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sectPr>
          <w:headerReference r:id="rId3" w:type="default"/>
          <w:footerReference r:id="rId4" w:type="default"/>
          <w:pgSz w:w="11906" w:h="16838"/>
          <w:pgMar w:top="2007" w:right="1440" w:bottom="1440" w:left="1440" w:header="851" w:footer="992" w:gutter="0"/>
          <w:pgNumType w:start="1"/>
          <w:cols w:space="425" w:num="1"/>
          <w:docGrid w:type="lines" w:linePitch="312" w:charSpace="0"/>
        </w:sectPr>
      </w:pPr>
    </w:p>
    <w:p>
      <w:pPr>
        <w:spacing w:line="360" w:lineRule="auto"/>
        <w:sectPr>
          <w:type w:val="continuous"/>
          <w:pgSz w:w="11906" w:h="16838"/>
          <w:pgMar w:top="2007" w:right="1440" w:bottom="1440" w:left="1440" w:header="851" w:footer="992" w:gutter="0"/>
          <w:pgNumType w:start="1"/>
          <w:cols w:space="425" w:num="1"/>
          <w:docGrid w:type="lines" w:linePitch="312" w:charSpace="0"/>
        </w:sectPr>
      </w:pPr>
    </w:p>
    <w:p>
      <w:pPr>
        <w:spacing w:line="360" w:lineRule="auto"/>
      </w:pPr>
    </w:p>
    <w:p>
      <w:pPr>
        <w:spacing w:line="360" w:lineRule="auto"/>
        <w:ind w:right="-57"/>
        <w:rPr>
          <w:rFonts w:ascii="宋体" w:hAnsi="宋体"/>
        </w:rPr>
      </w:pPr>
    </w:p>
    <w:p>
      <w:pPr>
        <w:pStyle w:val="34"/>
        <w:spacing w:before="0" w:line="360" w:lineRule="auto"/>
        <w:ind w:right="0"/>
        <w:jc w:val="center"/>
        <w:rPr>
          <w:rFonts w:ascii="宋体" w:hAnsi="宋体"/>
          <w:b/>
          <w:spacing w:val="-4"/>
          <w:sz w:val="44"/>
          <w:szCs w:val="44"/>
        </w:rPr>
      </w:pPr>
      <w:r>
        <w:rPr>
          <w:rFonts w:hint="eastAsia" w:ascii="宋体" w:hAnsi="宋体"/>
          <w:b/>
          <w:spacing w:val="-4"/>
          <w:sz w:val="44"/>
          <w:szCs w:val="44"/>
        </w:rPr>
        <w:t>南宁轨道交通运营有限公司</w:t>
      </w:r>
    </w:p>
    <w:p>
      <w:pPr>
        <w:pStyle w:val="34"/>
        <w:spacing w:before="0" w:line="360" w:lineRule="auto"/>
        <w:ind w:right="0"/>
        <w:jc w:val="center"/>
        <w:rPr>
          <w:rFonts w:ascii="宋体" w:hAnsi="宋体"/>
          <w:b/>
          <w:spacing w:val="-4"/>
          <w:sz w:val="44"/>
          <w:szCs w:val="44"/>
        </w:rPr>
      </w:pPr>
      <w:r>
        <w:rPr>
          <w:rFonts w:hint="eastAsia" w:ascii="宋体" w:hAnsi="宋体"/>
          <w:b/>
          <w:spacing w:val="-4"/>
          <w:sz w:val="44"/>
          <w:szCs w:val="44"/>
        </w:rPr>
        <w:t>2023年办公家具家电委外维修项目</w:t>
      </w:r>
    </w:p>
    <w:p>
      <w:pPr>
        <w:pStyle w:val="34"/>
        <w:spacing w:before="0" w:line="360" w:lineRule="auto"/>
        <w:ind w:right="-57" w:firstLine="0"/>
        <w:jc w:val="center"/>
        <w:rPr>
          <w:rFonts w:ascii="宋体" w:hAnsi="宋体"/>
          <w:b/>
          <w:spacing w:val="-4"/>
          <w:sz w:val="44"/>
          <w:szCs w:val="44"/>
        </w:rPr>
      </w:pPr>
    </w:p>
    <w:p>
      <w:pPr>
        <w:pStyle w:val="34"/>
        <w:spacing w:before="0" w:line="360" w:lineRule="auto"/>
        <w:ind w:right="-57" w:firstLine="0"/>
        <w:jc w:val="center"/>
        <w:rPr>
          <w:rFonts w:ascii="宋体" w:hAnsi="宋体"/>
          <w:b/>
          <w:spacing w:val="-4"/>
          <w:sz w:val="44"/>
          <w:szCs w:val="44"/>
        </w:rPr>
      </w:pPr>
    </w:p>
    <w:p>
      <w:pPr>
        <w:pStyle w:val="34"/>
        <w:spacing w:before="0" w:line="360" w:lineRule="auto"/>
        <w:ind w:right="-57" w:firstLine="0"/>
        <w:jc w:val="center"/>
        <w:rPr>
          <w:rFonts w:ascii="宋体" w:hAnsi="宋体"/>
          <w:b/>
          <w:spacing w:val="-4"/>
          <w:sz w:val="44"/>
          <w:szCs w:val="44"/>
        </w:rPr>
      </w:pPr>
    </w:p>
    <w:p>
      <w:pPr>
        <w:spacing w:line="360" w:lineRule="auto"/>
        <w:ind w:right="-57"/>
        <w:jc w:val="center"/>
        <w:rPr>
          <w:rFonts w:ascii="宋体" w:hAnsi="宋体"/>
          <w:sz w:val="72"/>
          <w:szCs w:val="72"/>
        </w:rPr>
      </w:pPr>
      <w:r>
        <w:rPr>
          <w:rFonts w:hint="eastAsia" w:ascii="宋体" w:hAnsi="宋体"/>
          <w:sz w:val="72"/>
          <w:szCs w:val="72"/>
        </w:rPr>
        <w:t>比选</w:t>
      </w:r>
      <w:r>
        <w:rPr>
          <w:rFonts w:ascii="宋体" w:hAnsi="宋体"/>
          <w:sz w:val="72"/>
          <w:szCs w:val="72"/>
        </w:rPr>
        <w:t>文件</w:t>
      </w:r>
    </w:p>
    <w:p>
      <w:pPr>
        <w:spacing w:line="360" w:lineRule="auto"/>
        <w:ind w:right="-57"/>
        <w:jc w:val="center"/>
        <w:rPr>
          <w:rFonts w:ascii="宋体" w:hAnsi="宋体"/>
          <w:sz w:val="32"/>
          <w:szCs w:val="32"/>
        </w:rPr>
      </w:pPr>
    </w:p>
    <w:p>
      <w:pPr>
        <w:spacing w:before="720" w:line="360" w:lineRule="auto"/>
        <w:ind w:left="1801" w:right="-57" w:hanging="180"/>
        <w:rPr>
          <w:rFonts w:ascii="宋体" w:hAnsi="宋体"/>
          <w:b/>
          <w:sz w:val="32"/>
          <w:szCs w:val="32"/>
        </w:rPr>
      </w:pPr>
    </w:p>
    <w:p>
      <w:pPr>
        <w:pStyle w:val="2"/>
        <w:spacing w:line="360" w:lineRule="auto"/>
      </w:pPr>
    </w:p>
    <w:p>
      <w:pPr>
        <w:pStyle w:val="2"/>
        <w:spacing w:line="360" w:lineRule="auto"/>
      </w:pPr>
    </w:p>
    <w:p>
      <w:pPr>
        <w:pStyle w:val="2"/>
        <w:spacing w:line="360" w:lineRule="auto"/>
      </w:pPr>
    </w:p>
    <w:p>
      <w:pPr>
        <w:spacing w:line="360" w:lineRule="auto"/>
        <w:ind w:left="1801" w:right="-57" w:hanging="180"/>
        <w:rPr>
          <w:rFonts w:ascii="宋体" w:hAnsi="宋体"/>
          <w:b/>
          <w:sz w:val="32"/>
          <w:szCs w:val="32"/>
          <w:u w:val="single"/>
        </w:rPr>
      </w:pPr>
      <w:r>
        <w:rPr>
          <w:rFonts w:hint="eastAsia" w:ascii="宋体" w:hAnsi="宋体"/>
          <w:b/>
          <w:sz w:val="32"/>
          <w:szCs w:val="32"/>
        </w:rPr>
        <w:t>项目编号：</w:t>
      </w:r>
      <w:r>
        <w:rPr>
          <w:rFonts w:ascii="宋体" w:hAnsi="宋体"/>
          <w:b/>
          <w:sz w:val="32"/>
          <w:szCs w:val="32"/>
          <w:u w:val="single"/>
        </w:rPr>
        <w:t>202208020001</w:t>
      </w:r>
    </w:p>
    <w:p>
      <w:pPr>
        <w:spacing w:line="360" w:lineRule="auto"/>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w:t>
      </w:r>
      <w:r>
        <w:rPr>
          <w:rFonts w:hint="eastAsia" w:ascii="宋体" w:hAnsi="宋体"/>
          <w:b/>
          <w:sz w:val="32"/>
          <w:szCs w:val="32"/>
          <w:u w:val="single"/>
        </w:rPr>
        <w:t>运营有限</w:t>
      </w:r>
      <w:r>
        <w:rPr>
          <w:rFonts w:ascii="宋体" w:hAnsi="宋体"/>
          <w:b/>
          <w:sz w:val="32"/>
          <w:szCs w:val="32"/>
          <w:u w:val="single"/>
        </w:rPr>
        <w:t>公司</w:t>
      </w:r>
    </w:p>
    <w:p>
      <w:pPr>
        <w:spacing w:line="360" w:lineRule="auto"/>
        <w:ind w:right="-57" w:firstLine="435"/>
        <w:jc w:val="center"/>
        <w:rPr>
          <w:rFonts w:ascii="宋体" w:hAnsi="宋体"/>
          <w:sz w:val="30"/>
          <w:szCs w:val="30"/>
        </w:rPr>
      </w:pPr>
    </w:p>
    <w:p>
      <w:pPr>
        <w:spacing w:line="360" w:lineRule="auto"/>
        <w:ind w:right="-57"/>
        <w:jc w:val="center"/>
        <w:rPr>
          <w:rFonts w:ascii="宋体" w:hAnsi="宋体"/>
          <w:b/>
          <w:sz w:val="36"/>
          <w:szCs w:val="36"/>
        </w:rPr>
      </w:pPr>
      <w:r>
        <w:rPr>
          <w:rFonts w:ascii="宋体" w:hAnsi="宋体"/>
          <w:b/>
          <w:sz w:val="36"/>
          <w:szCs w:val="36"/>
        </w:rPr>
        <w:t>年</w:t>
      </w:r>
      <w:r>
        <w:rPr>
          <w:rFonts w:hint="eastAsia" w:ascii="宋体" w:hAnsi="宋体"/>
          <w:b/>
          <w:sz w:val="36"/>
          <w:szCs w:val="36"/>
        </w:rPr>
        <w:t xml:space="preserve">  </w:t>
      </w:r>
      <w:r>
        <w:rPr>
          <w:rFonts w:ascii="宋体" w:hAnsi="宋体"/>
          <w:b/>
          <w:sz w:val="36"/>
          <w:szCs w:val="36"/>
        </w:rPr>
        <w:t xml:space="preserve">   月</w:t>
      </w:r>
      <w:r>
        <w:rPr>
          <w:rFonts w:hint="eastAsia" w:ascii="宋体" w:hAnsi="宋体"/>
          <w:b/>
          <w:sz w:val="36"/>
          <w:szCs w:val="36"/>
        </w:rPr>
        <w:t xml:space="preserve">  </w:t>
      </w:r>
      <w:r>
        <w:rPr>
          <w:rFonts w:ascii="宋体" w:hAnsi="宋体"/>
          <w:b/>
          <w:sz w:val="36"/>
          <w:szCs w:val="36"/>
        </w:rPr>
        <w:t xml:space="preserve"> </w:t>
      </w:r>
      <w:r>
        <w:rPr>
          <w:rFonts w:hint="eastAsia" w:ascii="宋体" w:hAnsi="宋体"/>
          <w:b/>
          <w:sz w:val="36"/>
          <w:szCs w:val="36"/>
        </w:rPr>
        <w:t xml:space="preserve"> 日</w:t>
      </w:r>
    </w:p>
    <w:p>
      <w:pPr>
        <w:pStyle w:val="28"/>
        <w:tabs>
          <w:tab w:val="right" w:leader="dot" w:pos="9016"/>
        </w:tabs>
        <w:spacing w:line="360" w:lineRule="auto"/>
        <w:jc w:val="center"/>
        <w:rPr>
          <w:sz w:val="44"/>
        </w:rPr>
      </w:pPr>
      <w:r>
        <w:rPr>
          <w:rFonts w:hint="eastAsia"/>
          <w:sz w:val="44"/>
        </w:rPr>
        <w:t>目  录</w:t>
      </w:r>
    </w:p>
    <w:p>
      <w:pPr>
        <w:pStyle w:val="28"/>
        <w:tabs>
          <w:tab w:val="right" w:leader="dot" w:pos="9026"/>
        </w:tabs>
      </w:pPr>
      <w:r>
        <w:fldChar w:fldCharType="begin"/>
      </w:r>
      <w:r>
        <w:instrText xml:space="preserve"> </w:instrText>
      </w:r>
      <w:r>
        <w:rPr>
          <w:rFonts w:hint="eastAsia"/>
        </w:rPr>
        <w:instrText xml:space="preserve">TOC \o "1-2" \h \z \u</w:instrText>
      </w:r>
      <w:r>
        <w:instrText xml:space="preserve"> </w:instrText>
      </w:r>
      <w:r>
        <w:fldChar w:fldCharType="separate"/>
      </w:r>
      <w:r>
        <w:fldChar w:fldCharType="begin"/>
      </w:r>
      <w:r>
        <w:instrText xml:space="preserve"> HYPERLINK \l _Toc21950 </w:instrText>
      </w:r>
      <w:r>
        <w:fldChar w:fldCharType="separate"/>
      </w:r>
      <w:r>
        <w:rPr>
          <w:rFonts w:hint="eastAsia" w:hAnsi="宋体"/>
          <w:szCs w:val="24"/>
        </w:rPr>
        <w:t xml:space="preserve">第一章 </w:t>
      </w:r>
      <w:r>
        <w:rPr>
          <w:rFonts w:hAnsi="宋体"/>
          <w:szCs w:val="24"/>
        </w:rPr>
        <w:t xml:space="preserve"> </w:t>
      </w:r>
      <w:r>
        <w:rPr>
          <w:rFonts w:hint="eastAsia" w:hAnsi="宋体"/>
          <w:szCs w:val="24"/>
        </w:rPr>
        <w:t>比选公告</w:t>
      </w:r>
      <w:r>
        <w:tab/>
      </w:r>
      <w:r>
        <w:fldChar w:fldCharType="begin"/>
      </w:r>
      <w:r>
        <w:instrText xml:space="preserve"> PAGEREF _Toc21950 \h </w:instrText>
      </w:r>
      <w:r>
        <w:fldChar w:fldCharType="separate"/>
      </w:r>
      <w:r>
        <w:t>1</w:t>
      </w:r>
      <w:r>
        <w:fldChar w:fldCharType="end"/>
      </w:r>
      <w:r>
        <w:fldChar w:fldCharType="end"/>
      </w:r>
    </w:p>
    <w:p>
      <w:pPr>
        <w:pStyle w:val="28"/>
        <w:tabs>
          <w:tab w:val="right" w:leader="dot" w:pos="9026"/>
        </w:tabs>
      </w:pPr>
      <w:r>
        <w:fldChar w:fldCharType="begin"/>
      </w:r>
      <w:r>
        <w:instrText xml:space="preserve"> HYPERLINK \l _Toc10233 </w:instrText>
      </w:r>
      <w:r>
        <w:fldChar w:fldCharType="separate"/>
      </w:r>
      <w:r>
        <w:rPr>
          <w:rFonts w:hint="eastAsia" w:hAnsi="宋体"/>
        </w:rPr>
        <w:t xml:space="preserve">第二章 </w:t>
      </w:r>
      <w:r>
        <w:rPr>
          <w:rFonts w:hAnsi="宋体"/>
        </w:rPr>
        <w:t xml:space="preserve"> </w:t>
      </w:r>
      <w:r>
        <w:rPr>
          <w:rFonts w:hint="eastAsia" w:hAnsi="宋体"/>
        </w:rPr>
        <w:t>比选申请须知</w:t>
      </w:r>
      <w:r>
        <w:tab/>
      </w:r>
      <w:r>
        <w:fldChar w:fldCharType="begin"/>
      </w:r>
      <w:r>
        <w:instrText xml:space="preserve"> PAGEREF _Toc10233 \h </w:instrText>
      </w:r>
      <w:r>
        <w:fldChar w:fldCharType="separate"/>
      </w:r>
      <w:r>
        <w:t>4</w:t>
      </w:r>
      <w:r>
        <w:fldChar w:fldCharType="end"/>
      </w:r>
      <w:r>
        <w:fldChar w:fldCharType="end"/>
      </w:r>
    </w:p>
    <w:p>
      <w:pPr>
        <w:pStyle w:val="32"/>
        <w:tabs>
          <w:tab w:val="right" w:leader="dot" w:pos="9026"/>
        </w:tabs>
      </w:pPr>
      <w:r>
        <w:fldChar w:fldCharType="begin"/>
      </w:r>
      <w:r>
        <w:instrText xml:space="preserve"> HYPERLINK \l _Toc1425 </w:instrText>
      </w:r>
      <w:r>
        <w:fldChar w:fldCharType="separate"/>
      </w:r>
      <w:r>
        <w:rPr>
          <w:rFonts w:hint="eastAsia" w:hAnsi="宋体" w:cs="黑体"/>
          <w:bCs/>
          <w:szCs w:val="24"/>
        </w:rPr>
        <w:t>一、</w:t>
      </w:r>
      <w:r>
        <w:rPr>
          <w:rFonts w:hAnsi="宋体" w:cs="黑体"/>
          <w:bCs/>
          <w:szCs w:val="24"/>
        </w:rPr>
        <w:t>说明</w:t>
      </w:r>
      <w:r>
        <w:tab/>
      </w:r>
      <w:r>
        <w:fldChar w:fldCharType="begin"/>
      </w:r>
      <w:r>
        <w:instrText xml:space="preserve"> PAGEREF _Toc1425 \h </w:instrText>
      </w:r>
      <w:r>
        <w:fldChar w:fldCharType="separate"/>
      </w:r>
      <w:r>
        <w:t>7</w:t>
      </w:r>
      <w:r>
        <w:fldChar w:fldCharType="end"/>
      </w:r>
      <w:r>
        <w:fldChar w:fldCharType="end"/>
      </w:r>
    </w:p>
    <w:p>
      <w:pPr>
        <w:pStyle w:val="32"/>
        <w:tabs>
          <w:tab w:val="right" w:leader="dot" w:pos="9026"/>
        </w:tabs>
      </w:pPr>
      <w:r>
        <w:fldChar w:fldCharType="begin"/>
      </w:r>
      <w:r>
        <w:instrText xml:space="preserve"> HYPERLINK \l _Toc12770 </w:instrText>
      </w:r>
      <w:r>
        <w:fldChar w:fldCharType="separate"/>
      </w:r>
      <w:r>
        <w:rPr>
          <w:rFonts w:hint="eastAsia" w:ascii="宋体" w:hAnsi="宋体"/>
          <w:szCs w:val="24"/>
        </w:rPr>
        <w:t>二、</w:t>
      </w:r>
      <w:r>
        <w:rPr>
          <w:rFonts w:ascii="宋体" w:hAnsi="宋体"/>
          <w:szCs w:val="24"/>
        </w:rPr>
        <w:t>比选文件</w:t>
      </w:r>
      <w:r>
        <w:tab/>
      </w:r>
      <w:r>
        <w:fldChar w:fldCharType="begin"/>
      </w:r>
      <w:r>
        <w:instrText xml:space="preserve"> PAGEREF _Toc12770 \h </w:instrText>
      </w:r>
      <w:r>
        <w:fldChar w:fldCharType="separate"/>
      </w:r>
      <w:r>
        <w:t>8</w:t>
      </w:r>
      <w:r>
        <w:fldChar w:fldCharType="end"/>
      </w:r>
      <w:r>
        <w:fldChar w:fldCharType="end"/>
      </w:r>
    </w:p>
    <w:p>
      <w:pPr>
        <w:pStyle w:val="32"/>
        <w:tabs>
          <w:tab w:val="right" w:leader="dot" w:pos="9026"/>
        </w:tabs>
      </w:pPr>
      <w:r>
        <w:fldChar w:fldCharType="begin"/>
      </w:r>
      <w:r>
        <w:instrText xml:space="preserve"> HYPERLINK \l _Toc22485 </w:instrText>
      </w:r>
      <w:r>
        <w:fldChar w:fldCharType="separate"/>
      </w:r>
      <w:r>
        <w:rPr>
          <w:rFonts w:hint="eastAsia" w:ascii="宋体" w:hAnsi="宋体" w:eastAsia="黑体"/>
          <w:bCs w:val="0"/>
          <w:szCs w:val="21"/>
        </w:rPr>
        <w:t>三、</w:t>
      </w:r>
      <w:r>
        <w:rPr>
          <w:rFonts w:ascii="宋体" w:hAnsi="宋体" w:eastAsia="黑体"/>
          <w:bCs w:val="0"/>
          <w:szCs w:val="21"/>
        </w:rPr>
        <w:t>比选申请文件的编制</w:t>
      </w:r>
      <w:r>
        <w:tab/>
      </w:r>
      <w:r>
        <w:fldChar w:fldCharType="begin"/>
      </w:r>
      <w:r>
        <w:instrText xml:space="preserve"> PAGEREF _Toc22485 \h </w:instrText>
      </w:r>
      <w:r>
        <w:fldChar w:fldCharType="separate"/>
      </w:r>
      <w:r>
        <w:t>9</w:t>
      </w:r>
      <w:r>
        <w:fldChar w:fldCharType="end"/>
      </w:r>
      <w:r>
        <w:fldChar w:fldCharType="end"/>
      </w:r>
    </w:p>
    <w:p>
      <w:pPr>
        <w:pStyle w:val="32"/>
        <w:tabs>
          <w:tab w:val="right" w:leader="dot" w:pos="9026"/>
        </w:tabs>
      </w:pPr>
      <w:r>
        <w:fldChar w:fldCharType="begin"/>
      </w:r>
      <w:r>
        <w:instrText xml:space="preserve"> HYPERLINK \l _Toc14011 </w:instrText>
      </w:r>
      <w:r>
        <w:fldChar w:fldCharType="separate"/>
      </w:r>
      <w:r>
        <w:rPr>
          <w:rFonts w:hint="eastAsia" w:ascii="宋体" w:hAnsi="宋体"/>
          <w:szCs w:val="24"/>
        </w:rPr>
        <w:t>四、</w:t>
      </w:r>
      <w:r>
        <w:rPr>
          <w:rFonts w:ascii="宋体" w:hAnsi="宋体"/>
          <w:szCs w:val="24"/>
        </w:rPr>
        <w:t>比选申请文件</w:t>
      </w:r>
      <w:r>
        <w:rPr>
          <w:rFonts w:hint="eastAsia" w:ascii="宋体" w:hAnsi="宋体"/>
          <w:szCs w:val="24"/>
        </w:rPr>
        <w:t>的密封和递交</w:t>
      </w:r>
      <w:r>
        <w:tab/>
      </w:r>
      <w:r>
        <w:fldChar w:fldCharType="begin"/>
      </w:r>
      <w:r>
        <w:instrText xml:space="preserve"> PAGEREF _Toc14011 \h </w:instrText>
      </w:r>
      <w:r>
        <w:fldChar w:fldCharType="separate"/>
      </w:r>
      <w:r>
        <w:t>12</w:t>
      </w:r>
      <w:r>
        <w:fldChar w:fldCharType="end"/>
      </w:r>
      <w:r>
        <w:fldChar w:fldCharType="end"/>
      </w:r>
    </w:p>
    <w:p>
      <w:pPr>
        <w:pStyle w:val="32"/>
        <w:tabs>
          <w:tab w:val="right" w:leader="dot" w:pos="9026"/>
        </w:tabs>
      </w:pPr>
      <w:r>
        <w:fldChar w:fldCharType="begin"/>
      </w:r>
      <w:r>
        <w:instrText xml:space="preserve"> HYPERLINK \l _Toc29562 </w:instrText>
      </w:r>
      <w:r>
        <w:fldChar w:fldCharType="separate"/>
      </w:r>
      <w:r>
        <w:rPr>
          <w:rFonts w:hint="eastAsia" w:ascii="宋体" w:hAnsi="宋体"/>
          <w:szCs w:val="24"/>
        </w:rPr>
        <w:t>五、比选申请文件递交与评审</w:t>
      </w:r>
      <w:r>
        <w:tab/>
      </w:r>
      <w:r>
        <w:fldChar w:fldCharType="begin"/>
      </w:r>
      <w:r>
        <w:instrText xml:space="preserve"> PAGEREF _Toc29562 \h </w:instrText>
      </w:r>
      <w:r>
        <w:fldChar w:fldCharType="separate"/>
      </w:r>
      <w:r>
        <w:t>14</w:t>
      </w:r>
      <w:r>
        <w:fldChar w:fldCharType="end"/>
      </w:r>
      <w:r>
        <w:fldChar w:fldCharType="end"/>
      </w:r>
    </w:p>
    <w:p>
      <w:pPr>
        <w:pStyle w:val="32"/>
        <w:tabs>
          <w:tab w:val="right" w:leader="dot" w:pos="9026"/>
        </w:tabs>
      </w:pPr>
      <w:r>
        <w:fldChar w:fldCharType="begin"/>
      </w:r>
      <w:r>
        <w:instrText xml:space="preserve"> HYPERLINK \l _Toc3541 </w:instrText>
      </w:r>
      <w:r>
        <w:fldChar w:fldCharType="separate"/>
      </w:r>
      <w:r>
        <w:rPr>
          <w:rFonts w:hint="eastAsia" w:ascii="宋体" w:hAnsi="宋体"/>
          <w:szCs w:val="24"/>
        </w:rPr>
        <w:t>六、</w:t>
      </w:r>
      <w:r>
        <w:rPr>
          <w:rFonts w:ascii="宋体" w:hAnsi="宋体"/>
          <w:szCs w:val="24"/>
        </w:rPr>
        <w:t>授予合同</w:t>
      </w:r>
      <w:r>
        <w:tab/>
      </w:r>
      <w:r>
        <w:fldChar w:fldCharType="begin"/>
      </w:r>
      <w:r>
        <w:instrText xml:space="preserve"> PAGEREF _Toc3541 \h </w:instrText>
      </w:r>
      <w:r>
        <w:fldChar w:fldCharType="separate"/>
      </w:r>
      <w:r>
        <w:t>17</w:t>
      </w:r>
      <w:r>
        <w:fldChar w:fldCharType="end"/>
      </w:r>
      <w:r>
        <w:fldChar w:fldCharType="end"/>
      </w:r>
    </w:p>
    <w:p>
      <w:pPr>
        <w:pStyle w:val="28"/>
        <w:tabs>
          <w:tab w:val="right" w:leader="dot" w:pos="9026"/>
        </w:tabs>
      </w:pPr>
      <w:r>
        <w:fldChar w:fldCharType="begin"/>
      </w:r>
      <w:r>
        <w:instrText xml:space="preserve"> HYPERLINK \l _Toc30252 </w:instrText>
      </w:r>
      <w:r>
        <w:fldChar w:fldCharType="separate"/>
      </w:r>
      <w:r>
        <w:rPr>
          <w:rFonts w:hint="eastAsia" w:hAnsi="宋体"/>
        </w:rPr>
        <w:t xml:space="preserve">第三章 </w:t>
      </w:r>
      <w:r>
        <w:rPr>
          <w:rFonts w:hAnsi="宋体"/>
        </w:rPr>
        <w:t xml:space="preserve"> </w:t>
      </w:r>
      <w:r>
        <w:rPr>
          <w:rFonts w:hint="eastAsia" w:hAnsi="宋体"/>
        </w:rPr>
        <w:t>合同条款及格式</w:t>
      </w:r>
      <w:r>
        <w:tab/>
      </w:r>
      <w:r>
        <w:fldChar w:fldCharType="begin"/>
      </w:r>
      <w:r>
        <w:instrText xml:space="preserve"> PAGEREF _Toc30252 \h </w:instrText>
      </w:r>
      <w:r>
        <w:fldChar w:fldCharType="separate"/>
      </w:r>
      <w:r>
        <w:t>19</w:t>
      </w:r>
      <w:r>
        <w:fldChar w:fldCharType="end"/>
      </w:r>
      <w:r>
        <w:fldChar w:fldCharType="end"/>
      </w:r>
    </w:p>
    <w:p>
      <w:pPr>
        <w:pStyle w:val="32"/>
        <w:tabs>
          <w:tab w:val="right" w:leader="dot" w:pos="9026"/>
        </w:tabs>
      </w:pPr>
      <w:r>
        <w:fldChar w:fldCharType="begin"/>
      </w:r>
      <w:r>
        <w:instrText xml:space="preserve"> HYPERLINK \l _Toc23397 </w:instrText>
      </w:r>
      <w:r>
        <w:fldChar w:fldCharType="separate"/>
      </w:r>
      <w:r>
        <w:rPr>
          <w:rFonts w:hint="eastAsia" w:ascii="宋体" w:hAnsi="宋体"/>
          <w:szCs w:val="24"/>
        </w:rPr>
        <w:t>一、合同协议书</w:t>
      </w:r>
      <w:r>
        <w:tab/>
      </w:r>
      <w:r>
        <w:fldChar w:fldCharType="begin"/>
      </w:r>
      <w:r>
        <w:instrText xml:space="preserve"> PAGEREF _Toc23397 \h </w:instrText>
      </w:r>
      <w:r>
        <w:fldChar w:fldCharType="separate"/>
      </w:r>
      <w:r>
        <w:t>19</w:t>
      </w:r>
      <w:r>
        <w:fldChar w:fldCharType="end"/>
      </w:r>
      <w:r>
        <w:fldChar w:fldCharType="end"/>
      </w:r>
    </w:p>
    <w:p>
      <w:pPr>
        <w:pStyle w:val="32"/>
        <w:tabs>
          <w:tab w:val="right" w:leader="dot" w:pos="9026"/>
        </w:tabs>
      </w:pPr>
      <w:r>
        <w:fldChar w:fldCharType="begin"/>
      </w:r>
      <w:r>
        <w:instrText xml:space="preserve"> HYPERLINK \l _Toc17331 </w:instrText>
      </w:r>
      <w:r>
        <w:fldChar w:fldCharType="separate"/>
      </w:r>
      <w:r>
        <w:rPr>
          <w:rFonts w:hint="eastAsia" w:ascii="宋体" w:hAnsi="宋体"/>
          <w:szCs w:val="24"/>
        </w:rPr>
        <w:t>二、合同条款</w:t>
      </w:r>
      <w:r>
        <w:tab/>
      </w:r>
      <w:r>
        <w:fldChar w:fldCharType="begin"/>
      </w:r>
      <w:r>
        <w:instrText xml:space="preserve"> PAGEREF _Toc17331 \h </w:instrText>
      </w:r>
      <w:r>
        <w:fldChar w:fldCharType="separate"/>
      </w:r>
      <w:r>
        <w:t>21</w:t>
      </w:r>
      <w:r>
        <w:fldChar w:fldCharType="end"/>
      </w:r>
      <w:r>
        <w:fldChar w:fldCharType="end"/>
      </w:r>
    </w:p>
    <w:p>
      <w:pPr>
        <w:pStyle w:val="32"/>
        <w:tabs>
          <w:tab w:val="right" w:leader="dot" w:pos="9026"/>
        </w:tabs>
      </w:pPr>
      <w:r>
        <w:fldChar w:fldCharType="begin"/>
      </w:r>
      <w:r>
        <w:instrText xml:space="preserve"> HYPERLINK \l _Toc10955 </w:instrText>
      </w:r>
      <w:r>
        <w:fldChar w:fldCharType="separate"/>
      </w:r>
      <w:r>
        <w:rPr>
          <w:rFonts w:hint="eastAsia" w:hAnsi="宋体"/>
          <w:szCs w:val="24"/>
        </w:rPr>
        <w:t>三、合同附件及格式</w:t>
      </w:r>
      <w:r>
        <w:tab/>
      </w:r>
      <w:r>
        <w:fldChar w:fldCharType="begin"/>
      </w:r>
      <w:r>
        <w:instrText xml:space="preserve"> PAGEREF _Toc10955 \h </w:instrText>
      </w:r>
      <w:r>
        <w:fldChar w:fldCharType="separate"/>
      </w:r>
      <w:r>
        <w:t>29</w:t>
      </w:r>
      <w:r>
        <w:fldChar w:fldCharType="end"/>
      </w:r>
      <w:r>
        <w:fldChar w:fldCharType="end"/>
      </w:r>
    </w:p>
    <w:p>
      <w:pPr>
        <w:pStyle w:val="28"/>
        <w:tabs>
          <w:tab w:val="right" w:leader="dot" w:pos="9026"/>
        </w:tabs>
      </w:pPr>
      <w:r>
        <w:fldChar w:fldCharType="begin"/>
      </w:r>
      <w:r>
        <w:instrText xml:space="preserve"> HYPERLINK \l _Toc7590 </w:instrText>
      </w:r>
      <w:r>
        <w:fldChar w:fldCharType="separate"/>
      </w:r>
      <w:r>
        <w:rPr>
          <w:rFonts w:hint="eastAsia" w:asciiTheme="minorEastAsia" w:hAnsiTheme="minorEastAsia" w:eastAsiaTheme="minorEastAsia"/>
        </w:rPr>
        <w:t xml:space="preserve">第四章 </w:t>
      </w:r>
      <w:r>
        <w:rPr>
          <w:rFonts w:asciiTheme="minorEastAsia" w:hAnsiTheme="minorEastAsia" w:eastAsiaTheme="minorEastAsia"/>
        </w:rPr>
        <w:t xml:space="preserve"> </w:t>
      </w:r>
      <w:r>
        <w:rPr>
          <w:rFonts w:hint="eastAsia" w:asciiTheme="minorEastAsia" w:hAnsiTheme="minorEastAsia" w:eastAsiaTheme="minorEastAsia"/>
        </w:rPr>
        <w:t>比选申请文件格式</w:t>
      </w:r>
      <w:r>
        <w:tab/>
      </w:r>
      <w:r>
        <w:fldChar w:fldCharType="begin"/>
      </w:r>
      <w:r>
        <w:instrText xml:space="preserve"> PAGEREF _Toc7590 \h </w:instrText>
      </w:r>
      <w:r>
        <w:fldChar w:fldCharType="separate"/>
      </w:r>
      <w:r>
        <w:t>48</w:t>
      </w:r>
      <w:r>
        <w:fldChar w:fldCharType="end"/>
      </w:r>
      <w:r>
        <w:fldChar w:fldCharType="end"/>
      </w:r>
    </w:p>
    <w:p>
      <w:pPr>
        <w:pStyle w:val="32"/>
        <w:tabs>
          <w:tab w:val="right" w:leader="dot" w:pos="9026"/>
        </w:tabs>
      </w:pPr>
      <w:r>
        <w:fldChar w:fldCharType="begin"/>
      </w:r>
      <w:r>
        <w:instrText xml:space="preserve"> HYPERLINK \l _Toc29724 </w:instrText>
      </w:r>
      <w:r>
        <w:fldChar w:fldCharType="separate"/>
      </w:r>
      <w:r>
        <w:rPr>
          <w:szCs w:val="24"/>
        </w:rPr>
        <w:t>A   资格审查</w:t>
      </w:r>
      <w:r>
        <w:rPr>
          <w:rFonts w:hint="eastAsia"/>
          <w:szCs w:val="24"/>
        </w:rPr>
        <w:t>文件</w:t>
      </w:r>
      <w:r>
        <w:tab/>
      </w:r>
      <w:r>
        <w:fldChar w:fldCharType="begin"/>
      </w:r>
      <w:r>
        <w:instrText xml:space="preserve"> PAGEREF _Toc29724 \h </w:instrText>
      </w:r>
      <w:r>
        <w:fldChar w:fldCharType="separate"/>
      </w:r>
      <w:r>
        <w:t>48</w:t>
      </w:r>
      <w:r>
        <w:fldChar w:fldCharType="end"/>
      </w:r>
      <w:r>
        <w:fldChar w:fldCharType="end"/>
      </w:r>
    </w:p>
    <w:p>
      <w:pPr>
        <w:pStyle w:val="32"/>
        <w:tabs>
          <w:tab w:val="right" w:leader="dot" w:pos="9026"/>
        </w:tabs>
      </w:pPr>
      <w:r>
        <w:fldChar w:fldCharType="begin"/>
      </w:r>
      <w:r>
        <w:instrText xml:space="preserve"> HYPERLINK \l _Toc11606 </w:instrText>
      </w:r>
      <w:r>
        <w:fldChar w:fldCharType="separate"/>
      </w:r>
      <w:r>
        <w:rPr>
          <w:rFonts w:hint="eastAsia" w:ascii="宋体" w:hAnsi="宋体"/>
          <w:szCs w:val="21"/>
        </w:rPr>
        <w:t>A</w:t>
      </w:r>
      <w:r>
        <w:rPr>
          <w:rFonts w:ascii="宋体" w:hAnsi="宋体"/>
          <w:szCs w:val="21"/>
        </w:rPr>
        <w:t>1 法定代表人授权书格式</w:t>
      </w:r>
      <w:r>
        <w:tab/>
      </w:r>
      <w:r>
        <w:fldChar w:fldCharType="begin"/>
      </w:r>
      <w:r>
        <w:instrText xml:space="preserve"> PAGEREF _Toc11606 \h </w:instrText>
      </w:r>
      <w:r>
        <w:fldChar w:fldCharType="separate"/>
      </w:r>
      <w:r>
        <w:t>49</w:t>
      </w:r>
      <w:r>
        <w:fldChar w:fldCharType="end"/>
      </w:r>
      <w:r>
        <w:fldChar w:fldCharType="end"/>
      </w:r>
    </w:p>
    <w:p>
      <w:pPr>
        <w:pStyle w:val="32"/>
        <w:tabs>
          <w:tab w:val="right" w:leader="dot" w:pos="9026"/>
        </w:tabs>
      </w:pPr>
      <w:r>
        <w:fldChar w:fldCharType="begin"/>
      </w:r>
      <w:r>
        <w:instrText xml:space="preserve"> HYPERLINK \l _Toc11973 </w:instrText>
      </w:r>
      <w:r>
        <w:fldChar w:fldCharType="separate"/>
      </w:r>
      <w:r>
        <w:rPr>
          <w:rFonts w:hint="eastAsia" w:ascii="宋体" w:hAnsi="宋体"/>
          <w:szCs w:val="21"/>
        </w:rPr>
        <w:t>A</w:t>
      </w:r>
      <w:r>
        <w:rPr>
          <w:rFonts w:ascii="宋体" w:hAnsi="宋体"/>
          <w:szCs w:val="21"/>
        </w:rPr>
        <w:t>2 法定代表人资格证明书格式</w:t>
      </w:r>
      <w:r>
        <w:tab/>
      </w:r>
      <w:r>
        <w:fldChar w:fldCharType="begin"/>
      </w:r>
      <w:r>
        <w:instrText xml:space="preserve"> PAGEREF _Toc11973 \h </w:instrText>
      </w:r>
      <w:r>
        <w:fldChar w:fldCharType="separate"/>
      </w:r>
      <w:r>
        <w:t>50</w:t>
      </w:r>
      <w:r>
        <w:fldChar w:fldCharType="end"/>
      </w:r>
      <w:r>
        <w:fldChar w:fldCharType="end"/>
      </w:r>
    </w:p>
    <w:p>
      <w:pPr>
        <w:pStyle w:val="32"/>
        <w:tabs>
          <w:tab w:val="right" w:leader="dot" w:pos="9026"/>
        </w:tabs>
      </w:pPr>
      <w:r>
        <w:fldChar w:fldCharType="begin"/>
      </w:r>
      <w:r>
        <w:instrText xml:space="preserve"> HYPERLINK \l _Toc14931 </w:instrText>
      </w:r>
      <w:r>
        <w:fldChar w:fldCharType="separate"/>
      </w:r>
      <w:r>
        <w:rPr>
          <w:rFonts w:ascii="宋体" w:hAnsi="宋体"/>
          <w:szCs w:val="21"/>
        </w:rPr>
        <w:t>A3 承诺书格式</w:t>
      </w:r>
      <w:r>
        <w:tab/>
      </w:r>
      <w:r>
        <w:fldChar w:fldCharType="begin"/>
      </w:r>
      <w:r>
        <w:instrText xml:space="preserve"> PAGEREF _Toc14931 \h </w:instrText>
      </w:r>
      <w:r>
        <w:fldChar w:fldCharType="separate"/>
      </w:r>
      <w:r>
        <w:t>51</w:t>
      </w:r>
      <w:r>
        <w:fldChar w:fldCharType="end"/>
      </w:r>
      <w:r>
        <w:fldChar w:fldCharType="end"/>
      </w:r>
    </w:p>
    <w:p>
      <w:pPr>
        <w:pStyle w:val="32"/>
        <w:tabs>
          <w:tab w:val="right" w:leader="dot" w:pos="9026"/>
        </w:tabs>
      </w:pPr>
      <w:r>
        <w:fldChar w:fldCharType="begin"/>
      </w:r>
      <w:r>
        <w:instrText xml:space="preserve"> HYPERLINK \l _Toc25221 </w:instrText>
      </w:r>
      <w:r>
        <w:fldChar w:fldCharType="separate"/>
      </w:r>
      <w:r>
        <w:rPr>
          <w:szCs w:val="24"/>
        </w:rPr>
        <w:t xml:space="preserve">B   </w:t>
      </w:r>
      <w:r>
        <w:rPr>
          <w:rFonts w:hAnsi="宋体"/>
          <w:szCs w:val="24"/>
        </w:rPr>
        <w:t>技术</w:t>
      </w:r>
      <w:r>
        <w:rPr>
          <w:rFonts w:hint="eastAsia" w:hAnsi="宋体"/>
          <w:szCs w:val="24"/>
        </w:rPr>
        <w:t>文件</w:t>
      </w:r>
      <w:r>
        <w:tab/>
      </w:r>
      <w:r>
        <w:fldChar w:fldCharType="begin"/>
      </w:r>
      <w:r>
        <w:instrText xml:space="preserve"> PAGEREF _Toc25221 \h </w:instrText>
      </w:r>
      <w:r>
        <w:fldChar w:fldCharType="separate"/>
      </w:r>
      <w:r>
        <w:t>52</w:t>
      </w:r>
      <w:r>
        <w:fldChar w:fldCharType="end"/>
      </w:r>
      <w:r>
        <w:fldChar w:fldCharType="end"/>
      </w:r>
    </w:p>
    <w:p>
      <w:pPr>
        <w:pStyle w:val="32"/>
        <w:tabs>
          <w:tab w:val="right" w:leader="dot" w:pos="9026"/>
        </w:tabs>
      </w:pPr>
      <w:r>
        <w:fldChar w:fldCharType="begin"/>
      </w:r>
      <w:r>
        <w:instrText xml:space="preserve"> HYPERLINK \l _Toc23051 </w:instrText>
      </w:r>
      <w:r>
        <w:fldChar w:fldCharType="separate"/>
      </w:r>
      <w:r>
        <w:rPr>
          <w:rFonts w:hAnsi="宋体"/>
          <w:bCs/>
        </w:rPr>
        <w:t>B</w:t>
      </w:r>
      <w:r>
        <w:rPr>
          <w:rFonts w:hint="eastAsia" w:hAnsi="宋体"/>
          <w:bCs/>
        </w:rPr>
        <w:t>1 商务响应</w:t>
      </w:r>
      <w:r>
        <w:rPr>
          <w:rFonts w:hAnsi="宋体"/>
          <w:bCs/>
        </w:rPr>
        <w:t>表</w:t>
      </w:r>
      <w:r>
        <w:rPr>
          <w:rFonts w:hint="eastAsia" w:hAnsi="宋体"/>
          <w:bCs/>
        </w:rPr>
        <w:t>格式</w:t>
      </w:r>
      <w:r>
        <w:tab/>
      </w:r>
      <w:r>
        <w:fldChar w:fldCharType="begin"/>
      </w:r>
      <w:r>
        <w:instrText xml:space="preserve"> PAGEREF _Toc23051 \h </w:instrText>
      </w:r>
      <w:r>
        <w:fldChar w:fldCharType="separate"/>
      </w:r>
      <w:r>
        <w:t>53</w:t>
      </w:r>
      <w:r>
        <w:fldChar w:fldCharType="end"/>
      </w:r>
      <w:r>
        <w:fldChar w:fldCharType="end"/>
      </w:r>
    </w:p>
    <w:p>
      <w:pPr>
        <w:pStyle w:val="32"/>
        <w:tabs>
          <w:tab w:val="right" w:leader="dot" w:pos="9026"/>
        </w:tabs>
      </w:pPr>
      <w:r>
        <w:fldChar w:fldCharType="begin"/>
      </w:r>
      <w:r>
        <w:instrText xml:space="preserve"> HYPERLINK \l _Toc28952 </w:instrText>
      </w:r>
      <w:r>
        <w:fldChar w:fldCharType="separate"/>
      </w:r>
      <w:r>
        <w:rPr>
          <w:rFonts w:ascii="宋体" w:hAnsi="宋体"/>
          <w:szCs w:val="24"/>
        </w:rPr>
        <w:t xml:space="preserve">C   </w:t>
      </w:r>
      <w:r>
        <w:rPr>
          <w:rFonts w:hint="eastAsia" w:ascii="宋体" w:hAnsi="宋体"/>
          <w:szCs w:val="24"/>
        </w:rPr>
        <w:t>价格文件</w:t>
      </w:r>
      <w:r>
        <w:tab/>
      </w:r>
      <w:r>
        <w:fldChar w:fldCharType="begin"/>
      </w:r>
      <w:r>
        <w:instrText xml:space="preserve"> PAGEREF _Toc28952 \h </w:instrText>
      </w:r>
      <w:r>
        <w:fldChar w:fldCharType="separate"/>
      </w:r>
      <w:r>
        <w:t>54</w:t>
      </w:r>
      <w:r>
        <w:fldChar w:fldCharType="end"/>
      </w:r>
      <w:r>
        <w:fldChar w:fldCharType="end"/>
      </w:r>
    </w:p>
    <w:p>
      <w:pPr>
        <w:pStyle w:val="32"/>
        <w:tabs>
          <w:tab w:val="right" w:leader="dot" w:pos="9026"/>
        </w:tabs>
      </w:pPr>
      <w:r>
        <w:fldChar w:fldCharType="begin"/>
      </w:r>
      <w:r>
        <w:instrText xml:space="preserve"> HYPERLINK \l _Toc2371 </w:instrText>
      </w:r>
      <w:r>
        <w:fldChar w:fldCharType="separate"/>
      </w:r>
      <w:r>
        <w:rPr>
          <w:rFonts w:ascii="宋体" w:hAnsi="宋体"/>
          <w:szCs w:val="21"/>
        </w:rPr>
        <w:t>C1 比选申请函格式</w:t>
      </w:r>
      <w:r>
        <w:tab/>
      </w:r>
      <w:r>
        <w:fldChar w:fldCharType="begin"/>
      </w:r>
      <w:r>
        <w:instrText xml:space="preserve"> PAGEREF _Toc2371 \h </w:instrText>
      </w:r>
      <w:r>
        <w:fldChar w:fldCharType="separate"/>
      </w:r>
      <w:r>
        <w:t>55</w:t>
      </w:r>
      <w:r>
        <w:fldChar w:fldCharType="end"/>
      </w:r>
      <w:r>
        <w:fldChar w:fldCharType="end"/>
      </w:r>
    </w:p>
    <w:p>
      <w:pPr>
        <w:pStyle w:val="32"/>
        <w:tabs>
          <w:tab w:val="right" w:leader="dot" w:pos="9026"/>
        </w:tabs>
      </w:pPr>
      <w:r>
        <w:fldChar w:fldCharType="begin"/>
      </w:r>
      <w:r>
        <w:instrText xml:space="preserve"> HYPERLINK \l _Toc26176 </w:instrText>
      </w:r>
      <w:r>
        <w:fldChar w:fldCharType="separate"/>
      </w:r>
      <w:r>
        <w:rPr>
          <w:rFonts w:hint="eastAsia" w:ascii="宋体" w:hAnsi="宋体" w:cs="Times New Roman"/>
          <w:bCs w:val="0"/>
          <w:kern w:val="0"/>
          <w:szCs w:val="21"/>
        </w:rPr>
        <w:t>C</w:t>
      </w:r>
      <w:r>
        <w:rPr>
          <w:rFonts w:ascii="宋体" w:hAnsi="宋体" w:cs="Times New Roman"/>
          <w:bCs w:val="0"/>
          <w:kern w:val="0"/>
          <w:szCs w:val="21"/>
        </w:rPr>
        <w:t xml:space="preserve">2 </w:t>
      </w:r>
      <w:r>
        <w:rPr>
          <w:rFonts w:hint="eastAsia" w:ascii="宋体" w:hAnsi="宋体" w:cs="Times New Roman"/>
          <w:bCs w:val="0"/>
          <w:kern w:val="0"/>
          <w:szCs w:val="21"/>
        </w:rPr>
        <w:t>比选申请报价表（汇总）</w:t>
      </w:r>
      <w:r>
        <w:tab/>
      </w:r>
      <w:r>
        <w:fldChar w:fldCharType="begin"/>
      </w:r>
      <w:r>
        <w:instrText xml:space="preserve"> PAGEREF _Toc26176 \h </w:instrText>
      </w:r>
      <w:r>
        <w:fldChar w:fldCharType="separate"/>
      </w:r>
      <w:r>
        <w:t>56</w:t>
      </w:r>
      <w:r>
        <w:fldChar w:fldCharType="end"/>
      </w:r>
      <w:r>
        <w:fldChar w:fldCharType="end"/>
      </w:r>
    </w:p>
    <w:p>
      <w:pPr>
        <w:pStyle w:val="32"/>
        <w:tabs>
          <w:tab w:val="right" w:leader="dot" w:pos="9026"/>
        </w:tabs>
      </w:pPr>
      <w:r>
        <w:fldChar w:fldCharType="begin"/>
      </w:r>
      <w:r>
        <w:instrText xml:space="preserve"> HYPERLINK \l _Toc26238 </w:instrText>
      </w:r>
      <w:r>
        <w:fldChar w:fldCharType="separate"/>
      </w:r>
      <w:r>
        <w:rPr>
          <w:rFonts w:ascii="宋体" w:hAnsi="宋体" w:cs="Times New Roman"/>
          <w:bCs w:val="0"/>
          <w:kern w:val="0"/>
          <w:szCs w:val="21"/>
        </w:rPr>
        <w:t>C3 比选申请报价表</w:t>
      </w:r>
      <w:r>
        <w:rPr>
          <w:rFonts w:hint="eastAsia" w:ascii="宋体" w:hAnsi="宋体" w:cs="Times New Roman"/>
          <w:bCs w:val="0"/>
          <w:kern w:val="0"/>
          <w:szCs w:val="21"/>
        </w:rPr>
        <w:t>（分项）</w:t>
      </w:r>
      <w:r>
        <w:tab/>
      </w:r>
      <w:r>
        <w:fldChar w:fldCharType="begin"/>
      </w:r>
      <w:r>
        <w:instrText xml:space="preserve"> PAGEREF _Toc26238 \h </w:instrText>
      </w:r>
      <w:r>
        <w:fldChar w:fldCharType="separate"/>
      </w:r>
      <w:r>
        <w:t>57</w:t>
      </w:r>
      <w:r>
        <w:fldChar w:fldCharType="end"/>
      </w:r>
      <w:r>
        <w:fldChar w:fldCharType="end"/>
      </w:r>
    </w:p>
    <w:p>
      <w:pPr>
        <w:pStyle w:val="28"/>
        <w:tabs>
          <w:tab w:val="right" w:leader="dot" w:pos="9026"/>
        </w:tabs>
      </w:pPr>
      <w:r>
        <w:fldChar w:fldCharType="begin"/>
      </w:r>
      <w:r>
        <w:instrText xml:space="preserve"> HYPERLINK \l _Toc18706 </w:instrText>
      </w:r>
      <w:r>
        <w:fldChar w:fldCharType="separate"/>
      </w:r>
      <w:r>
        <w:rPr>
          <w:rFonts w:ascii="黑体" w:hAnsi="黑体" w:cs="Courier New"/>
          <w:bCs w:val="0"/>
          <w:kern w:val="2"/>
        </w:rPr>
        <w:t>第五章</w:t>
      </w:r>
      <w:r>
        <w:rPr>
          <w:rFonts w:hint="eastAsia" w:ascii="黑体" w:hAnsi="黑体" w:cs="Courier New"/>
          <w:bCs w:val="0"/>
          <w:kern w:val="2"/>
        </w:rPr>
        <w:t xml:space="preserve"> </w:t>
      </w:r>
      <w:r>
        <w:rPr>
          <w:rFonts w:ascii="黑体" w:hAnsi="黑体" w:cs="Courier New"/>
          <w:bCs w:val="0"/>
          <w:kern w:val="2"/>
        </w:rPr>
        <w:t xml:space="preserve"> </w:t>
      </w:r>
      <w:r>
        <w:rPr>
          <w:rFonts w:hint="eastAsia" w:ascii="黑体" w:hAnsi="黑体" w:cs="Courier New"/>
          <w:bCs w:val="0"/>
          <w:kern w:val="2"/>
        </w:rPr>
        <w:t>用户需求书</w:t>
      </w:r>
      <w:r>
        <w:tab/>
      </w:r>
      <w:r>
        <w:fldChar w:fldCharType="begin"/>
      </w:r>
      <w:r>
        <w:instrText xml:space="preserve"> PAGEREF _Toc18706 \h </w:instrText>
      </w:r>
      <w:r>
        <w:fldChar w:fldCharType="separate"/>
      </w:r>
      <w:r>
        <w:t>71</w:t>
      </w:r>
      <w:r>
        <w:fldChar w:fldCharType="end"/>
      </w:r>
      <w:r>
        <w:fldChar w:fldCharType="end"/>
      </w:r>
    </w:p>
    <w:p>
      <w:pPr>
        <w:pStyle w:val="32"/>
        <w:tabs>
          <w:tab w:val="right" w:leader="dot" w:pos="9026"/>
        </w:tabs>
      </w:pPr>
      <w:r>
        <w:fldChar w:fldCharType="begin"/>
      </w:r>
      <w:r>
        <w:instrText xml:space="preserve"> HYPERLINK \l _Toc178 </w:instrText>
      </w:r>
      <w:r>
        <w:fldChar w:fldCharType="separate"/>
      </w:r>
      <w:r>
        <w:rPr>
          <w:rFonts w:hint="eastAsia" w:ascii="黑体" w:hAnsi="黑体" w:eastAsia="黑体"/>
        </w:rPr>
        <w:t>1.项目概况</w:t>
      </w:r>
      <w:r>
        <w:tab/>
      </w:r>
      <w:r>
        <w:fldChar w:fldCharType="begin"/>
      </w:r>
      <w:r>
        <w:instrText xml:space="preserve"> PAGEREF _Toc178 \h </w:instrText>
      </w:r>
      <w:r>
        <w:fldChar w:fldCharType="separate"/>
      </w:r>
      <w:r>
        <w:t>71</w:t>
      </w:r>
      <w:r>
        <w:fldChar w:fldCharType="end"/>
      </w:r>
      <w:r>
        <w:fldChar w:fldCharType="end"/>
      </w:r>
    </w:p>
    <w:p>
      <w:pPr>
        <w:pStyle w:val="32"/>
        <w:tabs>
          <w:tab w:val="right" w:leader="dot" w:pos="9026"/>
        </w:tabs>
      </w:pPr>
      <w:r>
        <w:fldChar w:fldCharType="begin"/>
      </w:r>
      <w:r>
        <w:instrText xml:space="preserve"> HYPERLINK \l _Toc18193 </w:instrText>
      </w:r>
      <w:r>
        <w:fldChar w:fldCharType="separate"/>
      </w:r>
      <w:r>
        <w:rPr>
          <w:rFonts w:hint="eastAsia" w:ascii="黑体" w:hAnsi="黑体" w:eastAsia="黑体"/>
        </w:rPr>
        <w:t>2.项目范围</w:t>
      </w:r>
      <w:r>
        <w:tab/>
      </w:r>
      <w:r>
        <w:fldChar w:fldCharType="begin"/>
      </w:r>
      <w:r>
        <w:instrText xml:space="preserve"> PAGEREF _Toc18193 \h </w:instrText>
      </w:r>
      <w:r>
        <w:fldChar w:fldCharType="separate"/>
      </w:r>
      <w:r>
        <w:t>71</w:t>
      </w:r>
      <w:r>
        <w:fldChar w:fldCharType="end"/>
      </w:r>
      <w:r>
        <w:fldChar w:fldCharType="end"/>
      </w:r>
    </w:p>
    <w:p>
      <w:pPr>
        <w:pStyle w:val="32"/>
        <w:tabs>
          <w:tab w:val="right" w:leader="dot" w:pos="9026"/>
        </w:tabs>
      </w:pPr>
      <w:r>
        <w:fldChar w:fldCharType="begin"/>
      </w:r>
      <w:r>
        <w:instrText xml:space="preserve"> HYPERLINK \l _Toc9695 </w:instrText>
      </w:r>
      <w:r>
        <w:fldChar w:fldCharType="separate"/>
      </w:r>
      <w:r>
        <w:rPr>
          <w:rFonts w:hint="eastAsia" w:ascii="黑体" w:hAnsi="黑体" w:eastAsia="黑体"/>
        </w:rPr>
        <w:t>3.项目技术标准、技术规范、维保范围及主要技术参数</w:t>
      </w:r>
      <w:r>
        <w:tab/>
      </w:r>
      <w:r>
        <w:fldChar w:fldCharType="begin"/>
      </w:r>
      <w:r>
        <w:instrText xml:space="preserve"> PAGEREF _Toc9695 \h </w:instrText>
      </w:r>
      <w:r>
        <w:fldChar w:fldCharType="separate"/>
      </w:r>
      <w:r>
        <w:t>72</w:t>
      </w:r>
      <w:r>
        <w:fldChar w:fldCharType="end"/>
      </w:r>
      <w:r>
        <w:fldChar w:fldCharType="end"/>
      </w:r>
    </w:p>
    <w:p>
      <w:pPr>
        <w:pStyle w:val="32"/>
        <w:tabs>
          <w:tab w:val="right" w:leader="dot" w:pos="9026"/>
        </w:tabs>
      </w:pPr>
      <w:r>
        <w:fldChar w:fldCharType="begin"/>
      </w:r>
      <w:r>
        <w:instrText xml:space="preserve"> HYPERLINK \l _Toc17928 </w:instrText>
      </w:r>
      <w:r>
        <w:fldChar w:fldCharType="separate"/>
      </w:r>
      <w:r>
        <w:rPr>
          <w:rFonts w:hint="eastAsia" w:ascii="黑体" w:hAnsi="黑体" w:eastAsia="黑体"/>
        </w:rPr>
        <w:t>4.维保项目管理</w:t>
      </w:r>
      <w:r>
        <w:tab/>
      </w:r>
      <w:r>
        <w:fldChar w:fldCharType="begin"/>
      </w:r>
      <w:r>
        <w:instrText xml:space="preserve"> PAGEREF _Toc17928 \h </w:instrText>
      </w:r>
      <w:r>
        <w:fldChar w:fldCharType="separate"/>
      </w:r>
      <w:r>
        <w:t>73</w:t>
      </w:r>
      <w:r>
        <w:fldChar w:fldCharType="end"/>
      </w:r>
      <w:r>
        <w:fldChar w:fldCharType="end"/>
      </w:r>
    </w:p>
    <w:p>
      <w:pPr>
        <w:pStyle w:val="32"/>
        <w:tabs>
          <w:tab w:val="right" w:leader="dot" w:pos="9026"/>
        </w:tabs>
      </w:pPr>
      <w:r>
        <w:fldChar w:fldCharType="begin"/>
      </w:r>
      <w:r>
        <w:instrText xml:space="preserve"> HYPERLINK \l _Toc25806 </w:instrText>
      </w:r>
      <w:r>
        <w:fldChar w:fldCharType="separate"/>
      </w:r>
      <w:r>
        <w:rPr>
          <w:rFonts w:hint="eastAsia" w:ascii="黑体" w:hAnsi="黑体" w:eastAsia="黑体"/>
        </w:rPr>
        <w:t>5</w:t>
      </w:r>
      <w:r>
        <w:rPr>
          <w:rFonts w:ascii="黑体" w:hAnsi="黑体" w:eastAsia="黑体"/>
        </w:rPr>
        <w:t>.</w:t>
      </w:r>
      <w:r>
        <w:rPr>
          <w:rFonts w:hint="eastAsia" w:ascii="黑体" w:hAnsi="黑体" w:eastAsia="黑体"/>
        </w:rPr>
        <w:t>维保工作内容及标准</w:t>
      </w:r>
      <w:r>
        <w:tab/>
      </w:r>
      <w:r>
        <w:fldChar w:fldCharType="begin"/>
      </w:r>
      <w:r>
        <w:instrText xml:space="preserve"> PAGEREF _Toc25806 \h </w:instrText>
      </w:r>
      <w:r>
        <w:fldChar w:fldCharType="separate"/>
      </w:r>
      <w:r>
        <w:t>76</w:t>
      </w:r>
      <w:r>
        <w:fldChar w:fldCharType="end"/>
      </w:r>
      <w:r>
        <w:fldChar w:fldCharType="end"/>
      </w:r>
    </w:p>
    <w:p>
      <w:pPr>
        <w:pStyle w:val="32"/>
        <w:tabs>
          <w:tab w:val="right" w:leader="dot" w:pos="9026"/>
        </w:tabs>
      </w:pPr>
      <w:r>
        <w:fldChar w:fldCharType="begin"/>
      </w:r>
      <w:r>
        <w:instrText xml:space="preserve"> HYPERLINK \l _Toc14767 </w:instrText>
      </w:r>
      <w:r>
        <w:fldChar w:fldCharType="separate"/>
      </w:r>
      <w:r>
        <w:rPr>
          <w:rFonts w:hint="eastAsia" w:ascii="黑体" w:hAnsi="黑体" w:eastAsia="黑体"/>
        </w:rPr>
        <w:t>6.考核条款</w:t>
      </w:r>
      <w:r>
        <w:tab/>
      </w:r>
      <w:r>
        <w:fldChar w:fldCharType="begin"/>
      </w:r>
      <w:r>
        <w:instrText xml:space="preserve"> PAGEREF _Toc14767 \h </w:instrText>
      </w:r>
      <w:r>
        <w:fldChar w:fldCharType="separate"/>
      </w:r>
      <w:r>
        <w:t>81</w:t>
      </w:r>
      <w:r>
        <w:fldChar w:fldCharType="end"/>
      </w:r>
      <w:r>
        <w:fldChar w:fldCharType="end"/>
      </w:r>
    </w:p>
    <w:p>
      <w:pPr>
        <w:pStyle w:val="32"/>
        <w:tabs>
          <w:tab w:val="right" w:leader="dot" w:pos="9026"/>
        </w:tabs>
      </w:pPr>
      <w:r>
        <w:fldChar w:fldCharType="begin"/>
      </w:r>
      <w:r>
        <w:instrText xml:space="preserve"> HYPERLINK \l _Toc23201 </w:instrText>
      </w:r>
      <w:r>
        <w:fldChar w:fldCharType="separate"/>
      </w:r>
      <w:r>
        <w:rPr>
          <w:rFonts w:hint="eastAsia" w:ascii="黑体" w:hAnsi="黑体" w:eastAsia="黑体"/>
        </w:rPr>
        <w:t>7.验收要求</w:t>
      </w:r>
      <w:r>
        <w:tab/>
      </w:r>
      <w:r>
        <w:fldChar w:fldCharType="begin"/>
      </w:r>
      <w:r>
        <w:instrText xml:space="preserve"> PAGEREF _Toc23201 \h </w:instrText>
      </w:r>
      <w:r>
        <w:fldChar w:fldCharType="separate"/>
      </w:r>
      <w:r>
        <w:t>82</w:t>
      </w:r>
      <w:r>
        <w:fldChar w:fldCharType="end"/>
      </w:r>
      <w:r>
        <w:fldChar w:fldCharType="end"/>
      </w:r>
    </w:p>
    <w:p>
      <w:pPr>
        <w:pStyle w:val="32"/>
        <w:tabs>
          <w:tab w:val="right" w:leader="dot" w:pos="9026"/>
        </w:tabs>
      </w:pPr>
      <w:r>
        <w:fldChar w:fldCharType="begin"/>
      </w:r>
      <w:r>
        <w:instrText xml:space="preserve"> HYPERLINK \l _Toc16248 </w:instrText>
      </w:r>
      <w:r>
        <w:fldChar w:fldCharType="separate"/>
      </w:r>
      <w:r>
        <w:rPr>
          <w:rFonts w:hint="eastAsia" w:ascii="黑体" w:hAnsi="黑体" w:eastAsia="黑体"/>
          <w:bCs w:val="0"/>
        </w:rPr>
        <w:t>8.其它附件</w:t>
      </w:r>
      <w:r>
        <w:tab/>
      </w:r>
      <w:r>
        <w:fldChar w:fldCharType="begin"/>
      </w:r>
      <w:r>
        <w:instrText xml:space="preserve"> PAGEREF _Toc16248 \h </w:instrText>
      </w:r>
      <w:r>
        <w:fldChar w:fldCharType="separate"/>
      </w:r>
      <w:r>
        <w:t>83</w:t>
      </w:r>
      <w:r>
        <w:fldChar w:fldCharType="end"/>
      </w:r>
      <w:r>
        <w:fldChar w:fldCharType="end"/>
      </w:r>
    </w:p>
    <w:p>
      <w:pPr>
        <w:pStyle w:val="28"/>
        <w:tabs>
          <w:tab w:val="right" w:leader="dot" w:pos="9026"/>
        </w:tabs>
      </w:pPr>
      <w:r>
        <w:fldChar w:fldCharType="begin"/>
      </w:r>
      <w:r>
        <w:instrText xml:space="preserve"> HYPERLINK \l _Toc1695 </w:instrText>
      </w:r>
      <w:r>
        <w:fldChar w:fldCharType="separate"/>
      </w:r>
      <w:r>
        <w:rPr>
          <w:rFonts w:hint="eastAsia" w:hAnsi="宋体"/>
        </w:rPr>
        <w:t>第六章  评审办法</w:t>
      </w:r>
      <w:r>
        <w:tab/>
      </w:r>
      <w:r>
        <w:fldChar w:fldCharType="begin"/>
      </w:r>
      <w:r>
        <w:instrText xml:space="preserve"> PAGEREF _Toc1695 \h </w:instrText>
      </w:r>
      <w:r>
        <w:fldChar w:fldCharType="separate"/>
      </w:r>
      <w:r>
        <w:t>102</w:t>
      </w:r>
      <w:r>
        <w:fldChar w:fldCharType="end"/>
      </w:r>
      <w:r>
        <w:fldChar w:fldCharType="end"/>
      </w:r>
    </w:p>
    <w:p>
      <w:pPr>
        <w:pStyle w:val="32"/>
        <w:tabs>
          <w:tab w:val="right" w:leader="dot" w:pos="9026"/>
        </w:tabs>
      </w:pPr>
      <w:r>
        <w:fldChar w:fldCharType="begin"/>
      </w:r>
      <w:r>
        <w:instrText xml:space="preserve"> HYPERLINK \l _Toc10770 </w:instrText>
      </w:r>
      <w:r>
        <w:fldChar w:fldCharType="separate"/>
      </w:r>
      <w:r>
        <w:rPr>
          <w:rFonts w:hint="eastAsia" w:ascii="宋体" w:hAnsi="宋体" w:cs="Arial"/>
          <w:bCs/>
          <w:szCs w:val="28"/>
        </w:rPr>
        <w:t>一、评审原则</w:t>
      </w:r>
      <w:r>
        <w:tab/>
      </w:r>
      <w:r>
        <w:fldChar w:fldCharType="begin"/>
      </w:r>
      <w:r>
        <w:instrText xml:space="preserve"> PAGEREF _Toc10770 \h </w:instrText>
      </w:r>
      <w:r>
        <w:fldChar w:fldCharType="separate"/>
      </w:r>
      <w:r>
        <w:t>102</w:t>
      </w:r>
      <w:r>
        <w:fldChar w:fldCharType="end"/>
      </w:r>
      <w:r>
        <w:fldChar w:fldCharType="end"/>
      </w:r>
    </w:p>
    <w:p>
      <w:pPr>
        <w:pStyle w:val="32"/>
        <w:tabs>
          <w:tab w:val="right" w:leader="dot" w:pos="9026"/>
        </w:tabs>
      </w:pPr>
      <w:r>
        <w:fldChar w:fldCharType="begin"/>
      </w:r>
      <w:r>
        <w:instrText xml:space="preserve"> HYPERLINK \l _Toc1844 </w:instrText>
      </w:r>
      <w:r>
        <w:fldChar w:fldCharType="separate"/>
      </w:r>
      <w:r>
        <w:rPr>
          <w:rFonts w:hint="eastAsia" w:ascii="宋体" w:hAnsi="宋体" w:cs="Arial"/>
          <w:szCs w:val="28"/>
        </w:rPr>
        <w:t>二、评定方法</w:t>
      </w:r>
      <w:r>
        <w:tab/>
      </w:r>
      <w:r>
        <w:fldChar w:fldCharType="begin"/>
      </w:r>
      <w:r>
        <w:instrText xml:space="preserve"> PAGEREF _Toc1844 \h </w:instrText>
      </w:r>
      <w:r>
        <w:fldChar w:fldCharType="separate"/>
      </w:r>
      <w:r>
        <w:t>102</w:t>
      </w:r>
      <w:r>
        <w:fldChar w:fldCharType="end"/>
      </w:r>
      <w:r>
        <w:fldChar w:fldCharType="end"/>
      </w:r>
    </w:p>
    <w:p>
      <w:pPr>
        <w:pStyle w:val="32"/>
        <w:tabs>
          <w:tab w:val="right" w:leader="dot" w:pos="9026"/>
        </w:tabs>
      </w:pPr>
      <w:r>
        <w:fldChar w:fldCharType="begin"/>
      </w:r>
      <w:r>
        <w:instrText xml:space="preserve"> HYPERLINK \l _Toc17098 </w:instrText>
      </w:r>
      <w:r>
        <w:fldChar w:fldCharType="separate"/>
      </w:r>
      <w:r>
        <w:rPr>
          <w:rFonts w:hint="eastAsia" w:ascii="宋体" w:hAnsi="宋体" w:cs="Arial"/>
          <w:szCs w:val="28"/>
        </w:rPr>
        <w:t>三、评审流程</w:t>
      </w:r>
      <w:r>
        <w:tab/>
      </w:r>
      <w:r>
        <w:fldChar w:fldCharType="begin"/>
      </w:r>
      <w:r>
        <w:instrText xml:space="preserve"> PAGEREF _Toc17098 \h </w:instrText>
      </w:r>
      <w:r>
        <w:fldChar w:fldCharType="separate"/>
      </w:r>
      <w:r>
        <w:t>102</w:t>
      </w:r>
      <w:r>
        <w:fldChar w:fldCharType="end"/>
      </w:r>
      <w:r>
        <w:fldChar w:fldCharType="end"/>
      </w:r>
    </w:p>
    <w:p>
      <w:pPr>
        <w:pStyle w:val="32"/>
        <w:tabs>
          <w:tab w:val="right" w:leader="dot" w:pos="9026"/>
        </w:tabs>
      </w:pPr>
      <w:r>
        <w:fldChar w:fldCharType="begin"/>
      </w:r>
      <w:r>
        <w:instrText xml:space="preserve"> HYPERLINK \l _Toc23233 </w:instrText>
      </w:r>
      <w:r>
        <w:fldChar w:fldCharType="separate"/>
      </w:r>
      <w:r>
        <w:rPr>
          <w:rFonts w:hint="eastAsia"/>
          <w:szCs w:val="21"/>
        </w:rPr>
        <w:t>附表一 资格审查表</w:t>
      </w:r>
      <w:r>
        <w:tab/>
      </w:r>
      <w:r>
        <w:fldChar w:fldCharType="begin"/>
      </w:r>
      <w:r>
        <w:instrText xml:space="preserve"> PAGEREF _Toc23233 \h </w:instrText>
      </w:r>
      <w:r>
        <w:fldChar w:fldCharType="separate"/>
      </w:r>
      <w:r>
        <w:t>105</w:t>
      </w:r>
      <w:r>
        <w:fldChar w:fldCharType="end"/>
      </w:r>
      <w:r>
        <w:fldChar w:fldCharType="end"/>
      </w:r>
    </w:p>
    <w:p>
      <w:pPr>
        <w:pStyle w:val="32"/>
        <w:tabs>
          <w:tab w:val="right" w:leader="dot" w:pos="9026"/>
        </w:tabs>
      </w:pPr>
      <w:r>
        <w:fldChar w:fldCharType="begin"/>
      </w:r>
      <w:r>
        <w:instrText xml:space="preserve"> HYPERLINK \l _Toc10148 </w:instrText>
      </w:r>
      <w:r>
        <w:fldChar w:fldCharType="separate"/>
      </w:r>
      <w:r>
        <w:rPr>
          <w:szCs w:val="21"/>
        </w:rPr>
        <w:t>附表二</w:t>
      </w:r>
      <w:r>
        <w:rPr>
          <w:rFonts w:hint="eastAsia"/>
          <w:szCs w:val="21"/>
        </w:rPr>
        <w:t xml:space="preserve"> 符合性</w:t>
      </w:r>
      <w:r>
        <w:rPr>
          <w:szCs w:val="21"/>
        </w:rPr>
        <w:t>评审表</w:t>
      </w:r>
      <w:r>
        <w:tab/>
      </w:r>
      <w:r>
        <w:fldChar w:fldCharType="begin"/>
      </w:r>
      <w:r>
        <w:instrText xml:space="preserve"> PAGEREF _Toc10148 \h </w:instrText>
      </w:r>
      <w:r>
        <w:fldChar w:fldCharType="separate"/>
      </w:r>
      <w:r>
        <w:t>106</w:t>
      </w:r>
      <w:r>
        <w:fldChar w:fldCharType="end"/>
      </w:r>
      <w:r>
        <w:fldChar w:fldCharType="end"/>
      </w:r>
    </w:p>
    <w:p>
      <w:pPr>
        <w:pStyle w:val="32"/>
        <w:tabs>
          <w:tab w:val="right" w:leader="dot" w:pos="9026"/>
        </w:tabs>
      </w:pPr>
      <w:r>
        <w:fldChar w:fldCharType="begin"/>
      </w:r>
      <w:r>
        <w:instrText xml:space="preserve"> HYPERLINK \l _Toc25559 </w:instrText>
      </w:r>
      <w:r>
        <w:fldChar w:fldCharType="separate"/>
      </w:r>
      <w:r>
        <w:rPr>
          <w:rFonts w:hint="eastAsia"/>
          <w:szCs w:val="21"/>
        </w:rPr>
        <w:t>附表三 价格文件评分表</w:t>
      </w:r>
      <w:r>
        <w:tab/>
      </w:r>
      <w:r>
        <w:fldChar w:fldCharType="begin"/>
      </w:r>
      <w:r>
        <w:instrText xml:space="preserve"> PAGEREF _Toc25559 \h </w:instrText>
      </w:r>
      <w:r>
        <w:fldChar w:fldCharType="separate"/>
      </w:r>
      <w:r>
        <w:t>107</w:t>
      </w:r>
      <w:r>
        <w:fldChar w:fldCharType="end"/>
      </w:r>
      <w:r>
        <w:fldChar w:fldCharType="end"/>
      </w:r>
    </w:p>
    <w:p>
      <w:pPr>
        <w:pStyle w:val="32"/>
        <w:tabs>
          <w:tab w:val="right" w:leader="dot" w:pos="9026"/>
        </w:tabs>
      </w:pPr>
      <w:r>
        <w:fldChar w:fldCharType="begin"/>
      </w:r>
      <w:r>
        <w:instrText xml:space="preserve"> HYPERLINK \l _Toc25368 </w:instrText>
      </w:r>
      <w:r>
        <w:fldChar w:fldCharType="separate"/>
      </w:r>
      <w:r>
        <w:rPr>
          <w:rFonts w:hint="eastAsia"/>
          <w:szCs w:val="21"/>
        </w:rPr>
        <w:t>附表四</w:t>
      </w:r>
      <w:r>
        <w:rPr>
          <w:szCs w:val="21"/>
        </w:rPr>
        <w:t xml:space="preserve"> </w:t>
      </w:r>
      <w:r>
        <w:rPr>
          <w:rFonts w:hint="eastAsia"/>
          <w:szCs w:val="21"/>
        </w:rPr>
        <w:t>比选申请报价修正表</w:t>
      </w:r>
      <w:r>
        <w:tab/>
      </w:r>
      <w:r>
        <w:fldChar w:fldCharType="begin"/>
      </w:r>
      <w:r>
        <w:instrText xml:space="preserve"> PAGEREF _Toc25368 \h </w:instrText>
      </w:r>
      <w:r>
        <w:fldChar w:fldCharType="separate"/>
      </w:r>
      <w:r>
        <w:t>108</w:t>
      </w:r>
      <w:r>
        <w:fldChar w:fldCharType="end"/>
      </w:r>
      <w:r>
        <w:fldChar w:fldCharType="end"/>
      </w:r>
    </w:p>
    <w:p>
      <w:pPr>
        <w:spacing w:line="360" w:lineRule="auto"/>
      </w:pPr>
      <w:r>
        <w:fldChar w:fldCharType="end"/>
      </w:r>
    </w:p>
    <w:p>
      <w:pPr>
        <w:pStyle w:val="2"/>
        <w:pageBreakBefore/>
        <w:spacing w:line="360" w:lineRule="auto"/>
        <w:ind w:right="-57"/>
        <w:jc w:val="center"/>
        <w:rPr>
          <w:rStyle w:val="92"/>
          <w:rFonts w:hAnsi="宋体"/>
        </w:rPr>
        <w:sectPr>
          <w:type w:val="continuous"/>
          <w:pgSz w:w="11906" w:h="16838"/>
          <w:pgMar w:top="2007" w:right="1440" w:bottom="1440" w:left="1440" w:header="851" w:footer="992" w:gutter="0"/>
          <w:pgNumType w:start="1"/>
          <w:cols w:space="425" w:num="1"/>
          <w:docGrid w:type="lines" w:linePitch="312" w:charSpace="0"/>
        </w:sectPr>
      </w:pPr>
      <w:bookmarkStart w:id="0" w:name="_Toc26939"/>
      <w:bookmarkStart w:id="1" w:name="_Toc3400"/>
      <w:bookmarkStart w:id="2" w:name="_Toc375039061"/>
      <w:bookmarkStart w:id="3" w:name="_Toc23367"/>
      <w:bookmarkStart w:id="4" w:name="_Toc1363"/>
      <w:bookmarkStart w:id="5" w:name="_Toc75771518"/>
      <w:bookmarkStart w:id="6" w:name="_Toc3658"/>
      <w:bookmarkStart w:id="7" w:name="_Toc30647"/>
      <w:bookmarkStart w:id="8" w:name="_Toc25750588"/>
      <w:bookmarkStart w:id="9" w:name="_Toc26620"/>
      <w:bookmarkStart w:id="10" w:name="_Toc1227"/>
      <w:bookmarkStart w:id="11" w:name="_Toc14762"/>
      <w:bookmarkStart w:id="12" w:name="_Toc492478714"/>
      <w:bookmarkStart w:id="13" w:name="_Toc23476"/>
      <w:bookmarkStart w:id="14" w:name="_Toc5910"/>
      <w:bookmarkStart w:id="15" w:name="_Toc481"/>
      <w:bookmarkStart w:id="16" w:name="_Toc15211"/>
      <w:bookmarkStart w:id="17" w:name="_Toc17906"/>
      <w:bookmarkStart w:id="18" w:name="_Toc237"/>
      <w:bookmarkStart w:id="19" w:name="_Toc26192"/>
      <w:bookmarkStart w:id="20" w:name="_Toc25355"/>
    </w:p>
    <w:p>
      <w:pPr>
        <w:pStyle w:val="2"/>
        <w:pageBreakBefore/>
        <w:spacing w:line="360" w:lineRule="auto"/>
        <w:ind w:right="-57"/>
        <w:jc w:val="center"/>
        <w:outlineLvl w:val="0"/>
        <w:rPr>
          <w:rStyle w:val="92"/>
          <w:rFonts w:hAnsi="宋体"/>
          <w:sz w:val="24"/>
          <w:szCs w:val="24"/>
        </w:rPr>
      </w:pPr>
      <w:bookmarkStart w:id="21" w:name="_Toc21950"/>
      <w:r>
        <w:rPr>
          <w:rStyle w:val="92"/>
          <w:rFonts w:hint="eastAsia" w:hAnsi="宋体"/>
          <w:sz w:val="24"/>
          <w:szCs w:val="24"/>
        </w:rPr>
        <w:t xml:space="preserve">第一章 </w:t>
      </w:r>
      <w:r>
        <w:rPr>
          <w:rStyle w:val="92"/>
          <w:rFonts w:hAnsi="宋体"/>
          <w:sz w:val="24"/>
          <w:szCs w:val="24"/>
        </w:rPr>
        <w:t xml:space="preserve"> </w:t>
      </w:r>
      <w:r>
        <w:rPr>
          <w:rStyle w:val="92"/>
          <w:rFonts w:hint="eastAsia" w:hAnsi="宋体"/>
          <w:sz w:val="24"/>
          <w:szCs w:val="24"/>
        </w:rPr>
        <w:t>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34"/>
        <w:spacing w:before="0" w:after="100" w:line="240" w:lineRule="auto"/>
        <w:ind w:left="0" w:right="0" w:firstLine="0"/>
        <w:jc w:val="center"/>
        <w:rPr>
          <w:rFonts w:ascii="宋体" w:hAnsi="宋体"/>
          <w:b/>
          <w:sz w:val="24"/>
          <w:szCs w:val="22"/>
        </w:rPr>
      </w:pPr>
      <w:r>
        <w:rPr>
          <w:rFonts w:hint="eastAsia" w:ascii="宋体" w:hAnsi="宋体"/>
          <w:b/>
          <w:sz w:val="24"/>
          <w:szCs w:val="22"/>
        </w:rPr>
        <w:t>南宁轨道交通运营有限公司2023年办公家具家电</w:t>
      </w:r>
    </w:p>
    <w:p>
      <w:pPr>
        <w:pStyle w:val="34"/>
        <w:spacing w:before="0" w:after="100" w:line="240" w:lineRule="auto"/>
        <w:ind w:left="0" w:right="0" w:firstLine="0"/>
        <w:jc w:val="center"/>
        <w:rPr>
          <w:rFonts w:ascii="宋体" w:hAnsi="宋体"/>
          <w:b/>
          <w:sz w:val="24"/>
          <w:szCs w:val="22"/>
        </w:rPr>
      </w:pPr>
      <w:r>
        <w:rPr>
          <w:rFonts w:hint="eastAsia" w:ascii="宋体" w:hAnsi="宋体"/>
          <w:b/>
          <w:sz w:val="24"/>
          <w:szCs w:val="22"/>
        </w:rPr>
        <w:t>委外维修项目</w:t>
      </w:r>
    </w:p>
    <w:p>
      <w:pPr>
        <w:spacing w:line="360" w:lineRule="auto"/>
        <w:ind w:firstLine="422" w:firstLineChars="200"/>
        <w:rPr>
          <w:rFonts w:ascii="宋体" w:hAnsi="宋体"/>
          <w:b/>
        </w:rPr>
      </w:pPr>
      <w:bookmarkStart w:id="22" w:name="OLE_LINK4"/>
      <w:bookmarkEnd w:id="22"/>
      <w:r>
        <w:rPr>
          <w:rFonts w:hint="eastAsia" w:ascii="宋体" w:hAnsi="宋体"/>
          <w:b/>
        </w:rPr>
        <w:t>1.比选条件</w:t>
      </w:r>
    </w:p>
    <w:p>
      <w:pPr>
        <w:spacing w:line="360" w:lineRule="auto"/>
        <w:ind w:firstLine="420" w:firstLineChars="200"/>
        <w:rPr>
          <w:rFonts w:ascii="宋体" w:hAnsi="宋体"/>
          <w:u w:val="single"/>
        </w:rPr>
      </w:pPr>
      <w:r>
        <w:rPr>
          <w:rFonts w:hint="eastAsia" w:ascii="宋体" w:hAnsi="宋体"/>
        </w:rPr>
        <w:t>本比选项目</w:t>
      </w:r>
      <w:r>
        <w:rPr>
          <w:rFonts w:hint="eastAsia" w:ascii="宋体" w:hAnsi="宋体"/>
          <w:u w:val="single"/>
        </w:rPr>
        <w:t xml:space="preserve">  南宁轨道交通运营有限公司2023年办公家具家电委外维修项目  </w:t>
      </w:r>
    </w:p>
    <w:p>
      <w:pPr>
        <w:spacing w:line="360" w:lineRule="auto"/>
        <w:ind w:firstLine="420" w:firstLineChars="200"/>
        <w:rPr>
          <w:rFonts w:ascii="宋体" w:hAnsi="宋体"/>
        </w:rPr>
      </w:pPr>
      <w:r>
        <w:rPr>
          <w:rFonts w:hint="eastAsia" w:ascii="宋体" w:hAnsi="宋体"/>
        </w:rPr>
        <w:t>比选人为</w:t>
      </w:r>
      <w:r>
        <w:rPr>
          <w:rFonts w:hint="eastAsia" w:ascii="宋体" w:hAnsi="宋体"/>
          <w:u w:val="single"/>
        </w:rPr>
        <w:t xml:space="preserve">  </w:t>
      </w:r>
      <w:r>
        <w:rPr>
          <w:rFonts w:ascii="宋体" w:hAnsi="宋体"/>
          <w:u w:val="single"/>
        </w:rPr>
        <w:t>南宁轨道交通</w:t>
      </w:r>
      <w:r>
        <w:rPr>
          <w:rFonts w:hint="eastAsia" w:ascii="宋体" w:hAnsi="宋体"/>
          <w:u w:val="single"/>
        </w:rPr>
        <w:t>运营有限</w:t>
      </w:r>
      <w:r>
        <w:rPr>
          <w:rFonts w:ascii="宋体" w:hAnsi="宋体"/>
          <w:u w:val="single"/>
        </w:rPr>
        <w:t>公司</w:t>
      </w:r>
      <w:r>
        <w:rPr>
          <w:rFonts w:hint="eastAsia" w:ascii="宋体" w:hAnsi="宋体"/>
          <w:u w:val="single"/>
        </w:rPr>
        <w:t xml:space="preserve">  </w:t>
      </w:r>
    </w:p>
    <w:p>
      <w:pPr>
        <w:spacing w:line="360" w:lineRule="auto"/>
        <w:ind w:firstLine="420" w:firstLineChars="200"/>
        <w:rPr>
          <w:rFonts w:ascii="宋体" w:hAnsi="宋体"/>
        </w:rPr>
      </w:pPr>
      <w:r>
        <w:rPr>
          <w:rFonts w:hint="eastAsia" w:ascii="宋体" w:hAnsi="宋体"/>
        </w:rPr>
        <w:t>比选项目资金来源为</w:t>
      </w:r>
      <w:r>
        <w:rPr>
          <w:rFonts w:hint="eastAsia" w:ascii="宋体" w:hAnsi="宋体"/>
          <w:u w:val="single"/>
        </w:rPr>
        <w:t xml:space="preserve"> 企业自有资金 </w:t>
      </w:r>
      <w:r>
        <w:rPr>
          <w:rFonts w:hint="eastAsia" w:ascii="宋体" w:hAnsi="宋体"/>
        </w:rPr>
        <w:t>。</w:t>
      </w:r>
    </w:p>
    <w:p>
      <w:pPr>
        <w:spacing w:line="360" w:lineRule="auto"/>
        <w:ind w:firstLine="422" w:firstLineChars="200"/>
        <w:rPr>
          <w:rFonts w:ascii="宋体" w:hAnsi="宋体"/>
          <w:b/>
        </w:rPr>
      </w:pPr>
      <w:r>
        <w:rPr>
          <w:rFonts w:hint="eastAsia" w:ascii="宋体" w:hAnsi="宋体"/>
          <w:b/>
        </w:rPr>
        <w:t>2.项目概况与比选范围</w:t>
      </w:r>
    </w:p>
    <w:p>
      <w:pPr>
        <w:spacing w:line="360" w:lineRule="auto"/>
        <w:ind w:firstLine="420" w:firstLineChars="200"/>
        <w:rPr>
          <w:rFonts w:ascii="宋体" w:hAnsi="宋体"/>
          <w:u w:val="single"/>
        </w:rPr>
      </w:pPr>
      <w:r>
        <w:rPr>
          <w:rFonts w:hint="eastAsia" w:ascii="宋体" w:hAnsi="宋体"/>
        </w:rPr>
        <w:t>2</w:t>
      </w:r>
      <w:r>
        <w:rPr>
          <w:rFonts w:ascii="宋体" w:hAnsi="宋体"/>
        </w:rPr>
        <w:t>.1</w:t>
      </w:r>
      <w:r>
        <w:rPr>
          <w:rFonts w:hint="eastAsia" w:ascii="宋体" w:hAnsi="宋体"/>
        </w:rPr>
        <w:t>项目编号：</w:t>
      </w:r>
      <w:r>
        <w:rPr>
          <w:rFonts w:hint="eastAsia" w:ascii="宋体" w:hAnsi="宋体"/>
          <w:u w:val="single"/>
        </w:rPr>
        <w:t xml:space="preserve"> </w:t>
      </w:r>
      <w:r>
        <w:rPr>
          <w:rFonts w:ascii="宋体" w:hAnsi="宋体"/>
          <w:u w:val="single"/>
        </w:rPr>
        <w:t xml:space="preserve">202208020001 </w:t>
      </w:r>
    </w:p>
    <w:p>
      <w:pPr>
        <w:spacing w:line="360" w:lineRule="auto"/>
        <w:ind w:firstLine="420" w:firstLineChars="200"/>
        <w:rPr>
          <w:rFonts w:ascii="宋体" w:hAnsi="宋体"/>
          <w:u w:val="single"/>
        </w:rPr>
      </w:pPr>
      <w:r>
        <w:rPr>
          <w:rFonts w:hint="eastAsia" w:ascii="宋体" w:hAnsi="宋体"/>
        </w:rPr>
        <w:t>2</w:t>
      </w:r>
      <w:r>
        <w:rPr>
          <w:rFonts w:ascii="宋体" w:hAnsi="宋体"/>
        </w:rPr>
        <w:t>.2</w:t>
      </w:r>
      <w:r>
        <w:rPr>
          <w:rFonts w:hint="eastAsia" w:ascii="宋体" w:hAnsi="宋体"/>
        </w:rPr>
        <w:t>项目名称：</w:t>
      </w:r>
      <w:r>
        <w:rPr>
          <w:rFonts w:hint="eastAsia" w:ascii="宋体" w:hAnsi="宋体"/>
          <w:u w:val="single"/>
        </w:rPr>
        <w:t>南宁轨道交通运营有限公司2</w:t>
      </w:r>
      <w:r>
        <w:rPr>
          <w:rFonts w:ascii="宋体" w:hAnsi="宋体"/>
          <w:u w:val="single"/>
        </w:rPr>
        <w:t>023</w:t>
      </w:r>
      <w:r>
        <w:rPr>
          <w:rFonts w:hint="eastAsia" w:ascii="宋体" w:hAnsi="宋体"/>
          <w:u w:val="single"/>
        </w:rPr>
        <w:t>年家电委外维修项目</w:t>
      </w:r>
    </w:p>
    <w:p>
      <w:pPr>
        <w:spacing w:line="360" w:lineRule="auto"/>
        <w:ind w:firstLine="420" w:firstLineChars="200"/>
        <w:rPr>
          <w:rFonts w:ascii="宋体" w:hAnsi="宋体"/>
          <w:u w:val="single"/>
        </w:rPr>
      </w:pPr>
      <w:r>
        <w:rPr>
          <w:rFonts w:hint="eastAsia" w:ascii="宋体" w:hAnsi="宋体"/>
        </w:rPr>
        <w:t>2</w:t>
      </w:r>
      <w:r>
        <w:rPr>
          <w:rFonts w:ascii="宋体" w:hAnsi="宋体"/>
        </w:rPr>
        <w:t>.3</w:t>
      </w:r>
      <w:r>
        <w:rPr>
          <w:rFonts w:hint="eastAsia" w:ascii="宋体" w:hAnsi="宋体"/>
        </w:rPr>
        <w:t>上限控制价：本项目上限控制价为人民币</w:t>
      </w:r>
      <w:r>
        <w:rPr>
          <w:rFonts w:ascii="宋体" w:hAnsi="宋体"/>
          <w:bCs/>
          <w:u w:val="single"/>
        </w:rPr>
        <w:t xml:space="preserve">  54.7  </w:t>
      </w:r>
      <w:r>
        <w:rPr>
          <w:rFonts w:hint="eastAsia" w:ascii="宋体" w:hAnsi="宋体"/>
          <w:bCs/>
        </w:rPr>
        <w:t>万元（不含税）</w:t>
      </w:r>
      <w:r>
        <w:rPr>
          <w:rFonts w:hint="eastAsia" w:ascii="宋体" w:hAnsi="宋体"/>
        </w:rPr>
        <w:t>。该控制价仅作为评标依据。项目合同暂定价格为人民币</w:t>
      </w:r>
      <w:r>
        <w:rPr>
          <w:rFonts w:hint="eastAsia" w:ascii="宋体" w:hAnsi="宋体"/>
          <w:u w:val="single"/>
        </w:rPr>
        <w:t xml:space="preserve">  54.7 </w:t>
      </w:r>
      <w:r>
        <w:rPr>
          <w:rFonts w:hint="eastAsia" w:ascii="宋体" w:hAnsi="宋体"/>
        </w:rPr>
        <w:t>万（不含税），最终结算按实际发生的故障维保项目和备品备件项目数量进行结算。投标报价高于比选控制价（或分项控制价）的投标文件将按否决投标处理。</w:t>
      </w:r>
    </w:p>
    <w:p>
      <w:pPr>
        <w:spacing w:line="360" w:lineRule="auto"/>
        <w:ind w:firstLine="420" w:firstLineChars="200"/>
        <w:rPr>
          <w:rFonts w:ascii="宋体" w:hAnsi="宋体"/>
          <w:sz w:val="19"/>
          <w:u w:val="single"/>
        </w:rPr>
      </w:pPr>
      <w:r>
        <w:rPr>
          <w:rFonts w:hint="eastAsia" w:ascii="宋体" w:hAnsi="宋体"/>
        </w:rPr>
        <w:t>2</w:t>
      </w:r>
      <w:r>
        <w:rPr>
          <w:rFonts w:ascii="宋体" w:hAnsi="宋体"/>
        </w:rPr>
        <w:t>.4</w:t>
      </w:r>
      <w:r>
        <w:rPr>
          <w:rFonts w:hint="eastAsia" w:ascii="宋体" w:hAnsi="宋体"/>
        </w:rPr>
        <w:t>合同期：</w:t>
      </w:r>
      <w:r>
        <w:rPr>
          <w:rFonts w:hint="eastAsia" w:ascii="宋体" w:hAnsi="宋体"/>
          <w:u w:val="single"/>
        </w:rPr>
        <w:t xml:space="preserve"> </w:t>
      </w:r>
      <w:r>
        <w:rPr>
          <w:rFonts w:ascii="宋体" w:hAnsi="宋体"/>
          <w:u w:val="single"/>
        </w:rPr>
        <w:t>12</w:t>
      </w:r>
      <w:r>
        <w:rPr>
          <w:rFonts w:hint="eastAsia" w:ascii="宋体" w:hAnsi="宋体"/>
          <w:u w:val="single"/>
        </w:rPr>
        <w:t xml:space="preserve">个月 </w:t>
      </w:r>
      <w:r>
        <w:rPr>
          <w:rFonts w:hint="eastAsia" w:ascii="宋体" w:hAnsi="宋体"/>
        </w:rPr>
        <w:t>。</w:t>
      </w:r>
    </w:p>
    <w:p>
      <w:pPr>
        <w:spacing w:line="360" w:lineRule="auto"/>
        <w:ind w:firstLine="420" w:firstLineChars="200"/>
        <w:rPr>
          <w:rFonts w:ascii="宋体" w:hAnsi="宋体"/>
          <w:sz w:val="19"/>
          <w:u w:val="single"/>
        </w:rPr>
      </w:pPr>
      <w:r>
        <w:rPr>
          <w:rFonts w:ascii="宋体" w:hAnsi="宋体"/>
        </w:rPr>
        <w:t>2.5</w:t>
      </w:r>
      <w:r>
        <w:rPr>
          <w:rFonts w:hint="eastAsia" w:ascii="宋体" w:hAnsi="宋体"/>
        </w:rPr>
        <w:t>项目地点</w:t>
      </w:r>
      <w:r>
        <w:rPr>
          <w:rFonts w:hint="eastAsia"/>
        </w:rPr>
        <w:t>：南宁轨道交通1号线屯里车辆段、西乡塘停车场、2号线安吉综合基地、3号线心圩车辆段、新村停车场、4号线五象车辆段、5号线那洪综合基地等7处场段及所属正线车站（具体详见用户需求书）。</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.6</w:t>
      </w:r>
      <w:r>
        <w:rPr>
          <w:rFonts w:hint="eastAsia" w:ascii="宋体" w:hAnsi="宋体"/>
          <w:szCs w:val="21"/>
        </w:rPr>
        <w:t>比选范围：</w:t>
      </w:r>
    </w:p>
    <w:p>
      <w:pPr>
        <w:spacing w:line="360" w:lineRule="auto"/>
        <w:ind w:firstLine="420"/>
        <w:rPr>
          <w:rFonts w:ascii="宋体" w:hAnsi="宋体"/>
          <w:szCs w:val="21"/>
        </w:rPr>
      </w:pPr>
      <w:r>
        <w:rPr>
          <w:rFonts w:hint="eastAsia" w:ascii="宋体" w:hAnsi="宋体"/>
          <w:szCs w:val="21"/>
        </w:rPr>
        <w:t>2</w:t>
      </w:r>
      <w:r>
        <w:rPr>
          <w:rFonts w:ascii="宋体" w:hAnsi="宋体"/>
          <w:szCs w:val="21"/>
        </w:rPr>
        <w:t xml:space="preserve">.6.1 </w:t>
      </w:r>
      <w:r>
        <w:rPr>
          <w:rFonts w:hint="eastAsia" w:ascii="宋体" w:hAnsi="宋体"/>
          <w:szCs w:val="21"/>
        </w:rPr>
        <w:t>包括但不限于对南宁轨道交通1号线屯里车辆段、西乡塘停车场、2号线安吉综合基地、3号线心圩车辆段、新村停车场、4号线五象车辆段及5号线那洪综合基地等7处场段生活办公区域的家具、家电、装饰装修、低压配电、区域设施设备进行维修维保（含配件耗材）；</w:t>
      </w:r>
    </w:p>
    <w:p>
      <w:pPr>
        <w:spacing w:line="360" w:lineRule="auto"/>
        <w:ind w:firstLine="420"/>
        <w:rPr>
          <w:rFonts w:ascii="宋体" w:hAnsi="宋体"/>
          <w:szCs w:val="21"/>
        </w:rPr>
      </w:pPr>
      <w:r>
        <w:rPr>
          <w:rFonts w:ascii="宋体" w:hAnsi="宋体"/>
          <w:szCs w:val="21"/>
        </w:rPr>
        <w:t>2.6.2</w:t>
      </w:r>
      <w:r>
        <w:rPr>
          <w:rFonts w:hint="eastAsia" w:ascii="宋体" w:hAnsi="宋体"/>
          <w:szCs w:val="21"/>
        </w:rPr>
        <w:t>包括但不限于场段生产区域及既有线路正线车站办公家具家电进行维修维保（含配件耗材）（具体详见用户需求书）。</w:t>
      </w:r>
    </w:p>
    <w:p>
      <w:pPr>
        <w:spacing w:line="360" w:lineRule="auto"/>
        <w:ind w:firstLine="422" w:firstLineChars="200"/>
        <w:rPr>
          <w:rFonts w:ascii="宋体" w:hAnsi="宋体"/>
        </w:rPr>
      </w:pPr>
      <w:r>
        <w:rPr>
          <w:rFonts w:hint="eastAsia" w:ascii="宋体" w:hAnsi="宋体"/>
          <w:b/>
        </w:rPr>
        <w:t>3.比选申请人资格要求</w:t>
      </w:r>
    </w:p>
    <w:p>
      <w:pPr>
        <w:spacing w:line="360" w:lineRule="auto"/>
        <w:ind w:firstLine="420" w:firstLineChars="200"/>
        <w:rPr>
          <w:rFonts w:ascii="宋体" w:hAnsi="宋体"/>
        </w:rPr>
      </w:pPr>
      <w:r>
        <w:rPr>
          <w:rFonts w:hint="eastAsia" w:ascii="宋体" w:hAnsi="宋体"/>
        </w:rPr>
        <w:t>3.1比选申请人为中华人民共和国境内依法设立的法人或其他组织（若以分公司名义参与投标，必须出具总公司授权参与的证明），经营范围至少包括下列范围（或类似经营范围）之一：①办公家具、家电销售；②办公家具、家电日常维保维护、维修等。</w:t>
      </w:r>
    </w:p>
    <w:p>
      <w:pPr>
        <w:spacing w:line="360" w:lineRule="auto"/>
        <w:ind w:firstLine="420" w:firstLineChars="200"/>
        <w:rPr>
          <w:rFonts w:ascii="宋体" w:hAnsi="宋体"/>
        </w:rPr>
      </w:pPr>
      <w:r>
        <w:rPr>
          <w:rFonts w:hint="eastAsia" w:hAnsi="Courier New" w:cs="Courier New" w:asciiTheme="minorEastAsia" w:eastAsiaTheme="minorEastAsia"/>
        </w:rPr>
        <w:t>3.</w:t>
      </w:r>
      <w:r>
        <w:rPr>
          <w:rFonts w:hAnsi="Courier New" w:cs="Courier New" w:asciiTheme="minorEastAsia" w:eastAsiaTheme="minorEastAsia"/>
        </w:rPr>
        <w:t>2</w:t>
      </w:r>
      <w:r>
        <w:rPr>
          <w:rFonts w:hint="eastAsia" w:hAnsi="Courier New" w:cs="Courier New" w:asciiTheme="minorEastAsia" w:eastAsiaTheme="minorEastAsia"/>
        </w:rPr>
        <w:t>比选申请人没有处于被行政主管部门或业主取消比选申请资格的处罚期内，且没有处于被责令停业，财产被接管、破产状态；比选申请截止时</w:t>
      </w:r>
      <w:r>
        <w:rPr>
          <w:rFonts w:hint="eastAsia" w:ascii="宋体" w:hAnsi="宋体"/>
        </w:rPr>
        <w:t>间前3年内没有骗取中选、严重违约或重大质量安全责任事故的情况；</w:t>
      </w:r>
    </w:p>
    <w:p>
      <w:pPr>
        <w:spacing w:line="360" w:lineRule="auto"/>
        <w:ind w:firstLine="420" w:firstLineChars="200"/>
        <w:rPr>
          <w:rFonts w:ascii="宋体" w:hAnsi="宋体"/>
        </w:rPr>
      </w:pPr>
      <w:r>
        <w:rPr>
          <w:rFonts w:hint="eastAsia" w:ascii="宋体" w:hAnsi="宋体"/>
        </w:rPr>
        <w:t>3.</w:t>
      </w:r>
      <w:r>
        <w:rPr>
          <w:rFonts w:ascii="宋体" w:hAnsi="宋体"/>
        </w:rPr>
        <w:t>3</w:t>
      </w:r>
      <w:r>
        <w:rPr>
          <w:rFonts w:hint="eastAsia" w:ascii="宋体" w:hAnsi="宋体"/>
        </w:rPr>
        <w:t>单位负责人为同一人或者存在控股、管理关系的不同单位，不得参加同一标段比选申请或者未划分标段的同一比选项目比选申请；</w:t>
      </w:r>
    </w:p>
    <w:p>
      <w:pPr>
        <w:spacing w:line="360" w:lineRule="auto"/>
        <w:ind w:firstLine="420" w:firstLineChars="200"/>
        <w:rPr>
          <w:rFonts w:ascii="宋体" w:hAnsi="宋体"/>
        </w:rPr>
      </w:pPr>
      <w:r>
        <w:rPr>
          <w:rFonts w:hint="eastAsia" w:ascii="宋体" w:hAnsi="宋体"/>
        </w:rPr>
        <w:t>3.</w:t>
      </w:r>
      <w:r>
        <w:rPr>
          <w:rFonts w:ascii="宋体" w:hAnsi="宋体"/>
        </w:rPr>
        <w:t>4</w:t>
      </w:r>
      <w:r>
        <w:rPr>
          <w:rFonts w:hint="eastAsia" w:ascii="宋体" w:hAnsi="宋体"/>
        </w:rPr>
        <w:t>本项目不接受联合体比选申请，不允许任何形式的转包或分包。</w:t>
      </w:r>
    </w:p>
    <w:p>
      <w:pPr>
        <w:spacing w:line="360" w:lineRule="auto"/>
        <w:ind w:firstLine="422" w:firstLineChars="200"/>
        <w:rPr>
          <w:rFonts w:ascii="宋体" w:hAnsi="宋体"/>
          <w:b/>
        </w:rPr>
      </w:pPr>
      <w:r>
        <w:rPr>
          <w:rFonts w:hint="eastAsia" w:ascii="宋体" w:hAnsi="宋体"/>
          <w:b/>
        </w:rPr>
        <w:t>4.资格审查方式</w:t>
      </w:r>
    </w:p>
    <w:p>
      <w:pPr>
        <w:spacing w:line="360" w:lineRule="auto"/>
        <w:ind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line="360" w:lineRule="auto"/>
        <w:ind w:firstLine="422" w:firstLineChars="200"/>
        <w:rPr>
          <w:rFonts w:ascii="宋体" w:hAnsi="宋体"/>
          <w:b/>
        </w:rPr>
      </w:pPr>
      <w:r>
        <w:rPr>
          <w:rFonts w:hint="eastAsia" w:ascii="宋体" w:hAnsi="宋体"/>
          <w:b/>
        </w:rPr>
        <w:t>5.比选文件的获取</w:t>
      </w:r>
    </w:p>
    <w:p>
      <w:pPr>
        <w:spacing w:line="360" w:lineRule="auto"/>
        <w:ind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line="360" w:lineRule="auto"/>
        <w:ind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line="360" w:lineRule="auto"/>
        <w:ind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line="360" w:lineRule="auto"/>
        <w:ind w:firstLine="420" w:firstLineChars="200"/>
        <w:rPr>
          <w:rFonts w:ascii="宋体" w:hAnsi="宋体"/>
        </w:rPr>
      </w:pPr>
      <w:r>
        <w:rPr>
          <w:rFonts w:hint="eastAsia" w:ascii="宋体" w:hAnsi="宋体"/>
        </w:rPr>
        <w:t>6.1比选申请文件须密封后于</w:t>
      </w:r>
      <w:r>
        <w:rPr>
          <w:rFonts w:hint="eastAsia" w:ascii="宋体" w:hAnsi="宋体"/>
          <w:u w:val="single"/>
        </w:rPr>
        <w:t xml:space="preserve"> </w:t>
      </w:r>
      <w:r>
        <w:rPr>
          <w:rFonts w:ascii="宋体" w:hAnsi="宋体"/>
          <w:u w:val="single"/>
        </w:rPr>
        <w:t>2023</w:t>
      </w:r>
      <w:r>
        <w:rPr>
          <w:rFonts w:hint="eastAsia" w:ascii="宋体" w:hAnsi="宋体"/>
          <w:u w:val="single"/>
        </w:rPr>
        <w:t xml:space="preserve"> </w:t>
      </w:r>
      <w:r>
        <w:rPr>
          <w:rFonts w:hint="eastAsia" w:ascii="宋体" w:hAnsi="宋体"/>
        </w:rPr>
        <w:t>年</w:t>
      </w:r>
      <w:r>
        <w:rPr>
          <w:rFonts w:ascii="宋体" w:hAnsi="宋体"/>
          <w:u w:val="single"/>
        </w:rPr>
        <w:t xml:space="preserve"> 1</w:t>
      </w:r>
      <w:r>
        <w:rPr>
          <w:rFonts w:hint="eastAsia" w:ascii="宋体" w:hAnsi="宋体"/>
          <w:u w:val="single"/>
        </w:rPr>
        <w:t xml:space="preserve"> </w:t>
      </w:r>
      <w:r>
        <w:rPr>
          <w:rFonts w:hint="eastAsia" w:ascii="宋体" w:hAnsi="宋体"/>
        </w:rPr>
        <w:t>月</w:t>
      </w:r>
      <w:r>
        <w:rPr>
          <w:rFonts w:ascii="宋体" w:hAnsi="宋体"/>
          <w:u w:val="single"/>
        </w:rPr>
        <w:t xml:space="preserve"> 6</w:t>
      </w:r>
      <w:r>
        <w:rPr>
          <w:rFonts w:hint="eastAsia" w:ascii="宋体" w:hAnsi="宋体"/>
          <w:u w:val="single"/>
        </w:rPr>
        <w:t xml:space="preserve"> </w:t>
      </w:r>
      <w:r>
        <w:rPr>
          <w:rFonts w:hint="eastAsia" w:ascii="宋体" w:hAnsi="宋体"/>
        </w:rPr>
        <w:t>日</w:t>
      </w:r>
      <w:r>
        <w:rPr>
          <w:rFonts w:hint="eastAsia" w:ascii="宋体" w:hAnsi="宋体"/>
          <w:u w:val="single"/>
        </w:rPr>
        <w:t xml:space="preserve"> 09 </w:t>
      </w:r>
      <w:r>
        <w:rPr>
          <w:rFonts w:hint="eastAsia" w:ascii="宋体" w:hAnsi="宋体"/>
        </w:rPr>
        <w:t>时</w:t>
      </w:r>
      <w:r>
        <w:rPr>
          <w:rFonts w:hint="eastAsia" w:ascii="宋体" w:hAnsi="宋体"/>
          <w:u w:val="single"/>
        </w:rPr>
        <w:t xml:space="preserve"> 00 </w:t>
      </w:r>
      <w:r>
        <w:rPr>
          <w:rFonts w:hint="eastAsia" w:ascii="宋体" w:hAnsi="宋体"/>
        </w:rPr>
        <w:t>分（北京时间）前递交，递交地点在广西南宁市青秀区云景路</w:t>
      </w:r>
      <w:r>
        <w:rPr>
          <w:rFonts w:hint="eastAsia" w:ascii="宋体" w:hAnsi="宋体"/>
          <w:u w:val="single"/>
        </w:rPr>
        <w:t xml:space="preserve"> 83 </w:t>
      </w:r>
      <w:r>
        <w:rPr>
          <w:rFonts w:hint="eastAsia" w:ascii="宋体" w:hAnsi="宋体"/>
        </w:rPr>
        <w:t>号</w:t>
      </w:r>
      <w:r>
        <w:rPr>
          <w:rFonts w:hint="eastAsia" w:ascii="宋体" w:hAnsi="宋体"/>
          <w:u w:val="single"/>
        </w:rPr>
        <w:t xml:space="preserve"> 屯里车辆段综合楼</w:t>
      </w:r>
      <w:r>
        <w:rPr>
          <w:rFonts w:ascii="宋体" w:hAnsi="宋体"/>
          <w:u w:val="single"/>
        </w:rPr>
        <w:t>20</w:t>
      </w:r>
      <w:r>
        <w:rPr>
          <w:rFonts w:hint="eastAsia" w:ascii="宋体" w:hAnsi="宋体"/>
          <w:u w:val="single"/>
          <w:lang w:val="en-US" w:eastAsia="zh-CN"/>
        </w:rPr>
        <w:t>2</w:t>
      </w:r>
      <w:r>
        <w:rPr>
          <w:rFonts w:hint="eastAsia" w:ascii="宋体" w:hAnsi="宋体"/>
          <w:u w:val="single"/>
        </w:rPr>
        <w:t xml:space="preserve">室 </w:t>
      </w:r>
      <w:r>
        <w:rPr>
          <w:rFonts w:hint="eastAsia" w:ascii="宋体" w:hAnsi="宋体"/>
        </w:rPr>
        <w:t>；</w:t>
      </w:r>
    </w:p>
    <w:p>
      <w:pPr>
        <w:spacing w:line="360" w:lineRule="auto"/>
        <w:ind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line="360" w:lineRule="auto"/>
        <w:ind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line="360" w:lineRule="auto"/>
        <w:ind w:firstLine="422" w:firstLineChars="200"/>
        <w:rPr>
          <w:rFonts w:ascii="宋体" w:hAnsi="宋体"/>
          <w:b/>
        </w:rPr>
      </w:pPr>
      <w:r>
        <w:rPr>
          <w:rFonts w:hint="eastAsia" w:ascii="宋体" w:hAnsi="宋体"/>
          <w:b/>
        </w:rPr>
        <w:t>7.发布公告的媒介</w:t>
      </w:r>
    </w:p>
    <w:p>
      <w:pPr>
        <w:spacing w:line="360" w:lineRule="auto"/>
        <w:ind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line="360" w:lineRule="auto"/>
        <w:ind w:firstLine="422" w:firstLineChars="200"/>
        <w:rPr>
          <w:rFonts w:ascii="宋体" w:hAnsi="宋体"/>
          <w:b/>
        </w:rPr>
      </w:pPr>
      <w:r>
        <w:rPr>
          <w:rFonts w:hint="eastAsia" w:ascii="宋体" w:hAnsi="宋体"/>
          <w:b/>
        </w:rPr>
        <w:t>8.联系方式</w:t>
      </w:r>
    </w:p>
    <w:p>
      <w:pPr>
        <w:spacing w:line="360" w:lineRule="auto"/>
        <w:ind w:firstLine="420" w:firstLineChars="200"/>
        <w:rPr>
          <w:rFonts w:ascii="宋体" w:hAnsi="宋体"/>
          <w:u w:val="single"/>
        </w:rPr>
      </w:pPr>
      <w:r>
        <w:rPr>
          <w:rFonts w:hint="eastAsia" w:ascii="宋体" w:hAnsi="宋体"/>
        </w:rPr>
        <w:t>比 选 人：</w:t>
      </w:r>
      <w:r>
        <w:rPr>
          <w:rFonts w:ascii="宋体" w:hAnsi="宋体"/>
          <w:u w:val="single"/>
        </w:rPr>
        <w:t>南宁轨道交通</w:t>
      </w:r>
      <w:r>
        <w:rPr>
          <w:rFonts w:hint="eastAsia" w:ascii="宋体" w:hAnsi="宋体"/>
          <w:u w:val="single"/>
        </w:rPr>
        <w:t>运营有限</w:t>
      </w:r>
      <w:r>
        <w:rPr>
          <w:rFonts w:ascii="宋体" w:hAnsi="宋体"/>
          <w:u w:val="single"/>
        </w:rPr>
        <w:t>公司</w:t>
      </w:r>
      <w:r>
        <w:rPr>
          <w:rFonts w:hint="eastAsia" w:ascii="宋体" w:hAnsi="宋体"/>
        </w:rPr>
        <w:t xml:space="preserve">    </w:t>
      </w:r>
      <w:r>
        <w:rPr>
          <w:rFonts w:ascii="宋体" w:hAnsi="宋体"/>
        </w:rPr>
        <w:t xml:space="preserve">     </w:t>
      </w:r>
      <w:r>
        <w:rPr>
          <w:rFonts w:hint="eastAsia" w:ascii="宋体" w:hAnsi="宋体"/>
        </w:rPr>
        <w:t>地    址：南宁市青秀区云景路83号</w:t>
      </w:r>
    </w:p>
    <w:p>
      <w:pPr>
        <w:spacing w:line="360" w:lineRule="auto"/>
        <w:ind w:firstLine="420" w:firstLineChars="200"/>
        <w:rPr>
          <w:rFonts w:ascii="宋体" w:hAnsi="宋体"/>
          <w:u w:val="single"/>
        </w:rPr>
      </w:pPr>
      <w:r>
        <w:rPr>
          <w:rFonts w:hint="eastAsia" w:ascii="宋体" w:hAnsi="宋体"/>
        </w:rPr>
        <w:t>邮    编：530022</w:t>
      </w:r>
    </w:p>
    <w:p>
      <w:pPr>
        <w:spacing w:line="360" w:lineRule="auto"/>
        <w:ind w:firstLine="420" w:firstLineChars="200"/>
        <w:rPr>
          <w:rFonts w:ascii="宋体" w:hAnsi="宋体"/>
          <w:u w:val="single"/>
        </w:rPr>
      </w:pPr>
      <w:r>
        <w:rPr>
          <w:rFonts w:hint="eastAsia" w:ascii="宋体" w:hAnsi="宋体"/>
        </w:rPr>
        <w:t>联 系 人：王工、王工</w:t>
      </w:r>
    </w:p>
    <w:p>
      <w:pPr>
        <w:spacing w:line="360" w:lineRule="auto"/>
        <w:ind w:firstLine="420" w:firstLineChars="200"/>
        <w:rPr>
          <w:rFonts w:ascii="宋体" w:hAnsi="宋体"/>
          <w:u w:val="single"/>
        </w:rPr>
      </w:pPr>
      <w:r>
        <w:rPr>
          <w:rFonts w:hint="eastAsia" w:ascii="宋体" w:hAnsi="宋体"/>
        </w:rPr>
        <w:t>电    话：</w:t>
      </w:r>
      <w:r>
        <w:rPr>
          <w:rFonts w:ascii="宋体" w:hAnsi="宋体"/>
          <w:u w:val="single"/>
        </w:rPr>
        <w:t>0771-2778030</w:t>
      </w:r>
      <w:r>
        <w:rPr>
          <w:rFonts w:hint="eastAsia" w:ascii="宋体" w:hAnsi="宋体"/>
          <w:u w:val="single"/>
        </w:rPr>
        <w:t>、</w:t>
      </w:r>
      <w:r>
        <w:rPr>
          <w:rFonts w:ascii="宋体" w:hAnsi="宋体"/>
          <w:u w:val="single"/>
        </w:rPr>
        <w:t>0771-2778974</w:t>
      </w:r>
    </w:p>
    <w:p>
      <w:pPr>
        <w:spacing w:line="360" w:lineRule="auto"/>
        <w:ind w:firstLine="420" w:firstLineChars="200"/>
        <w:rPr>
          <w:rFonts w:ascii="宋体" w:hAnsi="宋体"/>
        </w:rPr>
      </w:pPr>
      <w:r>
        <w:rPr>
          <w:rFonts w:hint="eastAsia" w:ascii="宋体" w:hAnsi="宋体"/>
        </w:rPr>
        <w:t xml:space="preserve">传真： </w:t>
      </w:r>
      <w:r>
        <w:rPr>
          <w:rFonts w:ascii="宋体" w:hAnsi="宋体"/>
        </w:rPr>
        <w:t xml:space="preserve">                                                </w:t>
      </w:r>
      <w:r>
        <w:rPr>
          <w:rFonts w:hint="eastAsia" w:ascii="宋体" w:hAnsi="宋体"/>
        </w:rPr>
        <w:t>电子邮件：</w:t>
      </w:r>
    </w:p>
    <w:p>
      <w:pPr>
        <w:pStyle w:val="2"/>
        <w:spacing w:line="360" w:lineRule="auto"/>
        <w:rPr>
          <w:rFonts w:hAnsi="宋体"/>
        </w:rPr>
      </w:pPr>
      <w:r>
        <w:rPr>
          <w:rFonts w:hAnsi="宋体"/>
        </w:rPr>
        <w:t xml:space="preserve">    </w:t>
      </w:r>
      <w:r>
        <w:rPr>
          <w:rFonts w:hint="eastAsia" w:hAnsi="宋体"/>
        </w:rPr>
        <w:t>项目纪检监察督导电话：0</w:t>
      </w:r>
      <w:r>
        <w:rPr>
          <w:rFonts w:hAnsi="宋体"/>
        </w:rPr>
        <w:t>771-2778084</w:t>
      </w:r>
    </w:p>
    <w:p>
      <w:pPr>
        <w:pStyle w:val="2"/>
        <w:pageBreakBefore/>
        <w:spacing w:line="360" w:lineRule="auto"/>
        <w:ind w:right="-57"/>
        <w:jc w:val="center"/>
        <w:outlineLvl w:val="0"/>
        <w:rPr>
          <w:rStyle w:val="92"/>
          <w:rFonts w:hAnsi="宋体"/>
        </w:rPr>
      </w:pPr>
      <w:bookmarkStart w:id="23" w:name="_Toc512357502"/>
      <w:bookmarkStart w:id="24" w:name="_Toc18454"/>
      <w:bookmarkStart w:id="25" w:name="_Toc17735"/>
      <w:bookmarkStart w:id="26" w:name="_Toc30725"/>
      <w:bookmarkStart w:id="27" w:name="_Toc15976"/>
      <w:bookmarkStart w:id="28" w:name="_Toc3495"/>
      <w:bookmarkStart w:id="29" w:name="_Toc22273"/>
      <w:bookmarkStart w:id="30" w:name="_Toc24390"/>
      <w:bookmarkStart w:id="31" w:name="_Toc75771519"/>
      <w:bookmarkStart w:id="32" w:name="_Toc17594"/>
      <w:bookmarkStart w:id="33" w:name="_Toc21830"/>
      <w:bookmarkStart w:id="34" w:name="_Toc30950"/>
      <w:bookmarkStart w:id="35" w:name="_Toc29836"/>
      <w:bookmarkStart w:id="36" w:name="_Toc25750589"/>
      <w:bookmarkStart w:id="37" w:name="_Toc1230"/>
      <w:bookmarkStart w:id="38" w:name="_Toc12635"/>
      <w:bookmarkStart w:id="39" w:name="_Toc20201"/>
      <w:bookmarkStart w:id="40" w:name="_Toc30883"/>
      <w:bookmarkStart w:id="41" w:name="_Toc24972"/>
      <w:bookmarkStart w:id="42" w:name="_Toc17240"/>
      <w:bookmarkStart w:id="43" w:name="_Toc10233"/>
      <w:r>
        <w:rPr>
          <w:rStyle w:val="92"/>
          <w:rFonts w:hint="eastAsia" w:hAnsi="宋体"/>
        </w:rPr>
        <w:t>第二章</w:t>
      </w:r>
      <w:bookmarkEnd w:id="23"/>
      <w:r>
        <w:rPr>
          <w:rStyle w:val="92"/>
          <w:rFonts w:hint="eastAsia" w:hAnsi="宋体"/>
        </w:rPr>
        <w:t xml:space="preserve"> </w:t>
      </w:r>
      <w:r>
        <w:rPr>
          <w:rStyle w:val="92"/>
          <w:rFonts w:hAnsi="宋体"/>
        </w:rPr>
        <w:t xml:space="preserve"> </w:t>
      </w:r>
      <w:r>
        <w:rPr>
          <w:rStyle w:val="92"/>
          <w:rFonts w:hint="eastAsia" w:hAnsi="宋体"/>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2"/>
        <w:spacing w:line="360" w:lineRule="auto"/>
        <w:jc w:val="center"/>
        <w:rPr>
          <w:rFonts w:hAnsi="宋体"/>
          <w:b/>
          <w:sz w:val="30"/>
          <w:szCs w:val="30"/>
        </w:rPr>
      </w:pPr>
    </w:p>
    <w:p>
      <w:pPr>
        <w:pStyle w:val="2"/>
        <w:spacing w:line="360" w:lineRule="auto"/>
        <w:jc w:val="center"/>
        <w:rPr>
          <w:rFonts w:hAnsi="宋体"/>
          <w:b/>
          <w:sz w:val="30"/>
          <w:szCs w:val="30"/>
        </w:rPr>
      </w:pPr>
      <w:r>
        <w:rPr>
          <w:rFonts w:hint="eastAsia" w:hAnsi="宋体"/>
          <w:b/>
          <w:sz w:val="30"/>
          <w:szCs w:val="30"/>
        </w:rPr>
        <w:t>比选申请须知前附表</w:t>
      </w:r>
    </w:p>
    <w:tbl>
      <w:tblPr>
        <w:tblStyle w:val="40"/>
        <w:tblW w:w="9924" w:type="dxa"/>
        <w:tblInd w:w="-318" w:type="dxa"/>
        <w:tblLayout w:type="fixed"/>
        <w:tblCellMar>
          <w:top w:w="0" w:type="dxa"/>
          <w:left w:w="108" w:type="dxa"/>
          <w:bottom w:w="0" w:type="dxa"/>
          <w:right w:w="108" w:type="dxa"/>
        </w:tblCellMar>
      </w:tblPr>
      <w:tblGrid>
        <w:gridCol w:w="852"/>
        <w:gridCol w:w="2013"/>
        <w:gridCol w:w="7059"/>
      </w:tblGrid>
      <w:tr>
        <w:tblPrEx>
          <w:tblCellMar>
            <w:top w:w="0" w:type="dxa"/>
            <w:left w:w="108" w:type="dxa"/>
            <w:bottom w:w="0" w:type="dxa"/>
            <w:right w:w="108" w:type="dxa"/>
          </w:tblCellMar>
        </w:tblPrEx>
        <w:trPr>
          <w:cantSplit/>
          <w:trHeight w:val="273"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rPr>
              <w:t>条款号</w:t>
            </w:r>
          </w:p>
        </w:tc>
        <w:tc>
          <w:tcPr>
            <w:tcW w:w="201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rPr>
              <w:t>条款名称</w:t>
            </w:r>
          </w:p>
        </w:tc>
        <w:tc>
          <w:tcPr>
            <w:tcW w:w="705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rPr>
              <w:t>详细内容</w:t>
            </w:r>
          </w:p>
        </w:tc>
      </w:tr>
      <w:tr>
        <w:tblPrEx>
          <w:tblCellMar>
            <w:top w:w="0" w:type="dxa"/>
            <w:left w:w="108" w:type="dxa"/>
            <w:bottom w:w="0" w:type="dxa"/>
            <w:right w:w="108" w:type="dxa"/>
          </w:tblCellMar>
        </w:tblPrEx>
        <w:trPr>
          <w:cantSplit/>
          <w:trHeight w:val="1197"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比选人</w:t>
            </w:r>
          </w:p>
        </w:tc>
        <w:tc>
          <w:tcPr>
            <w:tcW w:w="7059" w:type="dxa"/>
            <w:tcBorders>
              <w:top w:val="single" w:color="auto" w:sz="4" w:space="0"/>
              <w:left w:val="nil"/>
              <w:bottom w:val="single" w:color="auto" w:sz="4" w:space="0"/>
              <w:right w:val="single" w:color="auto" w:sz="4" w:space="0"/>
            </w:tcBorders>
            <w:vAlign w:val="center"/>
          </w:tcPr>
          <w:p>
            <w:pPr>
              <w:shd w:val="clear" w:color="auto" w:fill="FFFFFF" w:themeFill="background1"/>
              <w:rPr>
                <w:rFonts w:ascii="宋体" w:hAnsi="宋体"/>
              </w:rPr>
            </w:pPr>
            <w:r>
              <w:rPr>
                <w:rFonts w:hint="eastAsia" w:ascii="宋体" w:hAnsi="宋体"/>
              </w:rPr>
              <w:t>名称：</w:t>
            </w:r>
            <w:r>
              <w:rPr>
                <w:rFonts w:ascii="宋体" w:hAnsi="宋体"/>
                <w:u w:val="single"/>
              </w:rPr>
              <w:t>南宁轨道交通</w:t>
            </w:r>
            <w:r>
              <w:rPr>
                <w:rFonts w:hint="eastAsia" w:ascii="宋体" w:hAnsi="宋体"/>
                <w:u w:val="single"/>
              </w:rPr>
              <w:t>运营有限</w:t>
            </w:r>
            <w:r>
              <w:rPr>
                <w:rFonts w:ascii="宋体" w:hAnsi="宋体"/>
                <w:u w:val="single"/>
              </w:rPr>
              <w:t>公司</w:t>
            </w:r>
          </w:p>
          <w:p>
            <w:pPr>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rPr>
                <w:rFonts w:ascii="宋体" w:hAnsi="宋体"/>
              </w:rPr>
            </w:pPr>
            <w:r>
              <w:rPr>
                <w:rFonts w:hint="eastAsia" w:ascii="宋体" w:hAnsi="宋体"/>
              </w:rPr>
              <w:t>联系人：王工、王工</w:t>
            </w:r>
          </w:p>
          <w:p>
            <w:pPr>
              <w:rPr>
                <w:rFonts w:ascii="宋体" w:hAnsi="宋体"/>
              </w:rPr>
            </w:pPr>
            <w:r>
              <w:rPr>
                <w:rFonts w:hint="eastAsia" w:ascii="宋体" w:hAnsi="宋体"/>
              </w:rPr>
              <w:t>联系电话：</w:t>
            </w:r>
            <w:r>
              <w:rPr>
                <w:rFonts w:ascii="宋体" w:hAnsi="宋体"/>
              </w:rPr>
              <w:t>0771-2778030    0771-2778974</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1.2</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项目名称</w:t>
            </w:r>
          </w:p>
        </w:tc>
        <w:tc>
          <w:tcPr>
            <w:tcW w:w="7059" w:type="dxa"/>
            <w:tcBorders>
              <w:top w:val="single" w:color="auto" w:sz="4" w:space="0"/>
              <w:left w:val="nil"/>
              <w:bottom w:val="single" w:color="auto" w:sz="4" w:space="0"/>
              <w:right w:val="single" w:color="auto" w:sz="4" w:space="0"/>
            </w:tcBorders>
            <w:vAlign w:val="center"/>
          </w:tcPr>
          <w:p>
            <w:pPr>
              <w:rPr>
                <w:rFonts w:ascii="宋体" w:hAnsi="宋体"/>
                <w:u w:val="single"/>
              </w:rPr>
            </w:pPr>
            <w:r>
              <w:rPr>
                <w:rFonts w:hint="eastAsia" w:ascii="宋体" w:hAnsi="宋体"/>
                <w:u w:val="single"/>
              </w:rPr>
              <w:t>南宁轨道交通运营有限公司2</w:t>
            </w:r>
            <w:r>
              <w:rPr>
                <w:rFonts w:ascii="宋体" w:hAnsi="宋体"/>
                <w:u w:val="single"/>
              </w:rPr>
              <w:t>023</w:t>
            </w:r>
            <w:r>
              <w:rPr>
                <w:rFonts w:hint="eastAsia" w:ascii="宋体" w:hAnsi="宋体"/>
                <w:u w:val="single"/>
              </w:rPr>
              <w:t>年办公家具家电委外维修项目</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1.3</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项目编号</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ascii="宋体" w:hAnsi="宋体"/>
                <w:u w:val="single"/>
              </w:rPr>
              <w:t>202208020001</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1.4</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w:t>
            </w:r>
            <w:r>
              <w:rPr>
                <w:rFonts w:ascii="宋体" w:hAnsi="宋体"/>
              </w:rPr>
              <w:t>范围</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szCs w:val="21"/>
              </w:rPr>
              <w:t>包括但不限于对南宁轨道交通1号线屯里车辆段、西乡塘停车场、2号线安吉综合基地、3号线心圩车辆段、新村停车场、4号线五象车辆段及5号线那洪综合基地等7处场段生活办公区域的家具、家电、装饰装修、低压配电、区域设施设备进行维修维保（含配件耗材）；包括但不限于场段生产区域及既有线路正线车站办公家具家电进行维修维保（含配件耗材）</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1.5</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合同</w:t>
            </w:r>
            <w:r>
              <w:rPr>
                <w:rFonts w:ascii="宋体" w:hAnsi="宋体"/>
              </w:rPr>
              <w:t>期</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ascii="宋体" w:hAnsi="宋体"/>
              </w:rPr>
              <w:t>1</w:t>
            </w:r>
            <w:r>
              <w:rPr>
                <w:rFonts w:hint="eastAsia" w:ascii="宋体" w:hAnsi="宋体"/>
              </w:rPr>
              <w:t>2个月。</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1.6</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资金来源</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cantSplit/>
          <w:trHeight w:val="328"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1.7</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上限控制价</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上限控制价：本项目上限控制价为人民币</w:t>
            </w:r>
            <w:r>
              <w:rPr>
                <w:rFonts w:ascii="宋体" w:hAnsi="宋体"/>
                <w:bCs/>
                <w:u w:val="single"/>
              </w:rPr>
              <w:t xml:space="preserve">  54.7  </w:t>
            </w:r>
            <w:r>
              <w:rPr>
                <w:rFonts w:hint="eastAsia" w:ascii="宋体" w:hAnsi="宋体"/>
                <w:bCs/>
              </w:rPr>
              <w:t>万元（不含税）</w:t>
            </w:r>
            <w:r>
              <w:rPr>
                <w:rFonts w:hint="eastAsia" w:ascii="宋体" w:hAnsi="宋体"/>
              </w:rPr>
              <w:t>。该控制价仅作为评标依据。项目合同暂定价格为人民币</w:t>
            </w:r>
            <w:r>
              <w:rPr>
                <w:rFonts w:hint="eastAsia" w:ascii="宋体" w:hAnsi="宋体"/>
                <w:u w:val="single"/>
              </w:rPr>
              <w:t xml:space="preserve">  54.7 </w:t>
            </w:r>
            <w:r>
              <w:rPr>
                <w:rFonts w:hint="eastAsia" w:ascii="宋体" w:hAnsi="宋体"/>
              </w:rPr>
              <w:t>万（不含税），最终结算按实际发生的故障维保项目和备品备件项目数量进行结算。投标报价高于比选控制价（或分项控制价）的投标文件将按否决投标处理。</w:t>
            </w:r>
          </w:p>
        </w:tc>
      </w:tr>
      <w:tr>
        <w:tblPrEx>
          <w:tblCellMar>
            <w:top w:w="0" w:type="dxa"/>
            <w:left w:w="108" w:type="dxa"/>
            <w:bottom w:w="0" w:type="dxa"/>
            <w:right w:w="108" w:type="dxa"/>
          </w:tblCellMar>
        </w:tblPrEx>
        <w:trPr>
          <w:cantSplit/>
          <w:trHeight w:val="691"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3</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比选申请人应具备的资格条件</w:t>
            </w:r>
          </w:p>
        </w:tc>
        <w:tc>
          <w:tcPr>
            <w:tcW w:w="7059" w:type="dxa"/>
            <w:tcBorders>
              <w:top w:val="single" w:color="auto" w:sz="4" w:space="0"/>
              <w:left w:val="nil"/>
              <w:bottom w:val="single" w:color="auto" w:sz="4" w:space="0"/>
              <w:right w:val="single" w:color="auto" w:sz="4" w:space="0"/>
            </w:tcBorders>
            <w:shd w:val="clear" w:color="auto" w:fill="FFFFFF" w:themeFill="background1"/>
            <w:vAlign w:val="center"/>
          </w:tcPr>
          <w:p>
            <w:pPr>
              <w:ind w:firstLine="210" w:firstLineChars="100"/>
              <w:rPr>
                <w:rFonts w:ascii="宋体" w:hAnsi="宋体"/>
              </w:rPr>
            </w:pPr>
            <w:r>
              <w:rPr>
                <w:rFonts w:hint="eastAsia" w:ascii="宋体" w:hAnsi="宋体"/>
              </w:rPr>
              <w:t>（1）比选申请人为中华人民共和国境内依法设立的法人或其他组织（若以分公司名义参与投标，必须出具总公司授权参与的证明），经营范围至少包括下列范围（或类似经营范围）之一：①办公家具、家电销售；②办公家具、家电日常维保维护、维修等。</w:t>
            </w:r>
          </w:p>
          <w:p>
            <w:pPr>
              <w:ind w:firstLine="210" w:firstLineChars="100"/>
              <w:rPr>
                <w:rFonts w:ascii="宋体" w:hAnsi="宋体"/>
              </w:rPr>
            </w:pPr>
            <w:r>
              <w:rPr>
                <w:rFonts w:hint="eastAsia" w:ascii="宋体" w:hAnsi="宋体"/>
              </w:rPr>
              <w:t>（</w:t>
            </w:r>
            <w:r>
              <w:rPr>
                <w:rFonts w:ascii="宋体" w:hAnsi="宋体"/>
              </w:rPr>
              <w:t>2</w:t>
            </w:r>
            <w:r>
              <w:rPr>
                <w:rFonts w:hint="eastAsia" w:ascii="宋体" w:hAnsi="宋体"/>
              </w:rPr>
              <w:t>）比选申请人没有处于被行政管部门或业主取消比选申请资格的处罚期内，且没有处于被责令停业，财产被接管、破产状态；比选申请截止时间前</w:t>
            </w:r>
            <w:r>
              <w:rPr>
                <w:rFonts w:ascii="宋体" w:hAnsi="宋体"/>
              </w:rPr>
              <w:t>3</w:t>
            </w:r>
            <w:r>
              <w:rPr>
                <w:rFonts w:hint="eastAsia" w:ascii="宋体" w:hAnsi="宋体"/>
              </w:rPr>
              <w:t>年内没有骗取中选、严重违约或重大质量安全责任事故的情况；</w:t>
            </w:r>
          </w:p>
          <w:p>
            <w:pPr>
              <w:ind w:firstLine="210" w:firstLineChars="100"/>
              <w:rPr>
                <w:rFonts w:ascii="宋体" w:hAnsi="宋体"/>
              </w:rPr>
            </w:pPr>
            <w:r>
              <w:rPr>
                <w:rFonts w:hint="eastAsia" w:ascii="宋体" w:hAnsi="宋体"/>
              </w:rPr>
              <w:t>（</w:t>
            </w:r>
            <w:r>
              <w:rPr>
                <w:rFonts w:ascii="宋体" w:hAnsi="宋体"/>
              </w:rPr>
              <w:t>3</w:t>
            </w:r>
            <w:r>
              <w:rPr>
                <w:rFonts w:hint="eastAsia" w:ascii="宋体" w:hAnsi="宋体"/>
              </w:rPr>
              <w:t>）单位负责人为同一人或者存在控股、管理关系的不同单位，不得参加同一标段比选申请或者未划分标段的同一比选项目比选申请。</w:t>
            </w:r>
          </w:p>
          <w:p>
            <w:pPr>
              <w:ind w:firstLine="210" w:firstLineChars="100"/>
              <w:rPr>
                <w:rFonts w:ascii="宋体" w:hAnsi="宋体"/>
              </w:rPr>
            </w:pPr>
            <w:r>
              <w:rPr>
                <w:rFonts w:hint="eastAsia" w:ascii="宋体" w:hAnsi="宋体"/>
              </w:rPr>
              <w:t>（</w:t>
            </w:r>
            <w:r>
              <w:rPr>
                <w:rFonts w:ascii="宋体" w:hAnsi="宋体"/>
              </w:rPr>
              <w:t>4</w:t>
            </w:r>
            <w:r>
              <w:rPr>
                <w:rFonts w:hint="eastAsia" w:ascii="宋体" w:hAnsi="宋体"/>
              </w:rPr>
              <w:t>）本项目不接受联合体比选申请，不允许任何形式的转包或分包。</w:t>
            </w:r>
          </w:p>
        </w:tc>
      </w:tr>
      <w:tr>
        <w:tblPrEx>
          <w:tblCellMar>
            <w:top w:w="0" w:type="dxa"/>
            <w:left w:w="108" w:type="dxa"/>
            <w:bottom w:w="0" w:type="dxa"/>
            <w:right w:w="108" w:type="dxa"/>
          </w:tblCellMar>
        </w:tblPrEx>
        <w:trPr>
          <w:cantSplit/>
          <w:trHeight w:val="241" w:hRule="atLeast"/>
        </w:trPr>
        <w:tc>
          <w:tcPr>
            <w:tcW w:w="85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6.1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比选申请人要求澄清比选文件</w:t>
            </w:r>
          </w:p>
        </w:tc>
        <w:tc>
          <w:tcPr>
            <w:tcW w:w="7059"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rPr>
            </w:pPr>
            <w:r>
              <w:rPr>
                <w:rFonts w:hint="eastAsia" w:ascii="宋体" w:hAnsi="宋体"/>
              </w:rPr>
              <w:t>对比选文件提出疑问的截止时间：</w:t>
            </w:r>
            <w:r>
              <w:rPr>
                <w:rFonts w:ascii="宋体" w:hAnsi="宋体"/>
                <w:u w:val="single"/>
              </w:rPr>
              <w:t xml:space="preserve"> 2022 </w:t>
            </w:r>
            <w:r>
              <w:rPr>
                <w:rFonts w:hint="eastAsia" w:ascii="宋体" w:hAnsi="宋体"/>
              </w:rPr>
              <w:t>年</w:t>
            </w:r>
            <w:r>
              <w:rPr>
                <w:rFonts w:ascii="宋体" w:hAnsi="宋体"/>
                <w:u w:val="single"/>
              </w:rPr>
              <w:t xml:space="preserve"> 12 </w:t>
            </w:r>
            <w:r>
              <w:rPr>
                <w:rFonts w:hint="eastAsia" w:ascii="宋体" w:hAnsi="宋体"/>
              </w:rPr>
              <w:t>月</w:t>
            </w:r>
            <w:r>
              <w:rPr>
                <w:rFonts w:ascii="宋体" w:hAnsi="宋体"/>
                <w:u w:val="single"/>
              </w:rPr>
              <w:t xml:space="preserve"> 31 </w:t>
            </w:r>
            <w:r>
              <w:rPr>
                <w:rFonts w:hint="eastAsia" w:ascii="宋体" w:hAnsi="宋体"/>
              </w:rPr>
              <w:t>日前。比选申请人不在规定期限内提出，比选人有权不予答复，或答复后比选申请截止时间由比选人确定是否顺延。</w:t>
            </w:r>
          </w:p>
          <w:p>
            <w:pPr>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cantSplit/>
          <w:trHeight w:val="241"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比选文件澄清发布方式</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南宁轨道交通集团有限责任公司官网发布(http://www.nngdjt.com)</w:t>
            </w:r>
          </w:p>
        </w:tc>
      </w:tr>
      <w:tr>
        <w:tblPrEx>
          <w:tblCellMar>
            <w:top w:w="0" w:type="dxa"/>
            <w:left w:w="108" w:type="dxa"/>
            <w:bottom w:w="0" w:type="dxa"/>
            <w:right w:w="108" w:type="dxa"/>
          </w:tblCellMar>
        </w:tblPrEx>
        <w:trPr>
          <w:cantSplit/>
          <w:trHeight w:val="241"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比选申请人确认收到澄清的方式</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cantSplit/>
          <w:trHeight w:val="1378"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构成比选申请文件的组成</w:t>
            </w:r>
          </w:p>
        </w:tc>
        <w:tc>
          <w:tcPr>
            <w:tcW w:w="7059"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rPr>
            </w:pPr>
            <w:r>
              <w:rPr>
                <w:rFonts w:hint="eastAsia" w:ascii="宋体" w:hAnsi="宋体" w:cs="宋体"/>
                <w:kern w:val="0"/>
                <w:szCs w:val="21"/>
              </w:rPr>
              <w:t>投标文件的组成部分：资格审查文件、技术文件、报价文件三部分组成</w:t>
            </w:r>
          </w:p>
          <w:p>
            <w:pPr>
              <w:ind w:firstLine="422" w:firstLineChars="200"/>
              <w:rPr>
                <w:b/>
              </w:rPr>
            </w:pPr>
            <w:r>
              <w:rPr>
                <w:rFonts w:hint="eastAsia"/>
                <w:b/>
              </w:rPr>
              <w:t>资格审查文件</w:t>
            </w:r>
          </w:p>
          <w:p>
            <w:pPr>
              <w:tabs>
                <w:tab w:val="left" w:pos="1134"/>
              </w:tabs>
              <w:ind w:firstLine="420" w:firstLineChars="200"/>
              <w:rPr>
                <w:rFonts w:ascii="宋体" w:hAnsi="宋体" w:cs="宋体"/>
                <w:kern w:val="0"/>
                <w:szCs w:val="21"/>
              </w:rPr>
            </w:pPr>
            <w:r>
              <w:rPr>
                <w:rFonts w:hint="eastAsia" w:ascii="宋体" w:hAnsi="宋体" w:cs="宋体"/>
                <w:kern w:val="0"/>
                <w:szCs w:val="21"/>
              </w:rPr>
              <w:t>（1）法定代表人授权书（格式见A1）及法定代表人资格证明书（如无授权时，只需提供法定代表人资格证明书，格式见A2），法定代表人及被授权人身份证复印件；</w:t>
            </w:r>
          </w:p>
          <w:p>
            <w:pPr>
              <w:tabs>
                <w:tab w:val="left" w:pos="1134"/>
              </w:tabs>
              <w:ind w:firstLine="420" w:firstLineChars="200"/>
              <w:rPr>
                <w:rFonts w:ascii="宋体" w:hAnsi="宋体" w:cs="宋体"/>
                <w:kern w:val="0"/>
                <w:szCs w:val="21"/>
              </w:rPr>
            </w:pPr>
            <w:r>
              <w:rPr>
                <w:rFonts w:hint="eastAsia" w:ascii="宋体" w:hAnsi="宋体" w:cs="宋体"/>
                <w:kern w:val="0"/>
                <w:szCs w:val="21"/>
              </w:rPr>
              <w:t>（2）比选申请人有效的营业执照副本复印件；</w:t>
            </w:r>
          </w:p>
          <w:p>
            <w:pPr>
              <w:ind w:firstLine="420" w:firstLineChars="200"/>
              <w:rPr>
                <w:rFonts w:ascii="宋体" w:hAnsi="宋体" w:cs="宋体"/>
                <w:kern w:val="0"/>
                <w:szCs w:val="21"/>
              </w:rPr>
            </w:pPr>
            <w:r>
              <w:rPr>
                <w:rFonts w:hint="eastAsia" w:ascii="宋体" w:hAnsi="宋体" w:cs="宋体"/>
                <w:kern w:val="0"/>
                <w:szCs w:val="21"/>
              </w:rPr>
              <w:t>（3）</w:t>
            </w:r>
            <w:r>
              <w:rPr>
                <w:rFonts w:ascii="宋体" w:hAnsi="宋体" w:cs="宋体"/>
                <w:kern w:val="0"/>
                <w:szCs w:val="21"/>
              </w:rPr>
              <w:t>承诺书（格式见A</w:t>
            </w:r>
            <w:r>
              <w:rPr>
                <w:rFonts w:hint="eastAsia" w:ascii="宋体" w:hAnsi="宋体" w:cs="宋体"/>
                <w:kern w:val="0"/>
                <w:szCs w:val="21"/>
              </w:rPr>
              <w:t>3</w:t>
            </w:r>
            <w:r>
              <w:rPr>
                <w:rFonts w:ascii="宋体" w:hAnsi="宋体" w:cs="宋体"/>
                <w:kern w:val="0"/>
                <w:szCs w:val="21"/>
              </w:rPr>
              <w:t>）；</w:t>
            </w:r>
          </w:p>
          <w:p>
            <w:pPr>
              <w:ind w:firstLine="420" w:firstLineChars="200"/>
              <w:rPr>
                <w:rFonts w:ascii="宋体" w:hAnsi="宋体" w:cs="宋体"/>
                <w:kern w:val="0"/>
                <w:szCs w:val="21"/>
              </w:rPr>
            </w:pPr>
            <w:r>
              <w:rPr>
                <w:rFonts w:hint="eastAsia" w:ascii="宋体" w:hAnsi="宋体" w:cs="宋体"/>
                <w:kern w:val="0"/>
                <w:szCs w:val="21"/>
              </w:rPr>
              <w:t>（4）比选申请人认为应提交的其他比选申请资料（如有）。</w:t>
            </w:r>
          </w:p>
          <w:p>
            <w:pPr>
              <w:ind w:firstLine="422" w:firstLineChars="200"/>
              <w:rPr>
                <w:b/>
              </w:rPr>
            </w:pPr>
            <w:r>
              <w:rPr>
                <w:rFonts w:hint="eastAsia"/>
                <w:b/>
              </w:rPr>
              <w:t>技术文件</w:t>
            </w:r>
          </w:p>
          <w:p>
            <w:pPr>
              <w:spacing w:line="360" w:lineRule="auto"/>
              <w:ind w:firstLine="315"/>
              <w:rPr>
                <w:kern w:val="0"/>
              </w:rPr>
            </w:pPr>
            <w:r>
              <w:rPr>
                <w:rFonts w:hint="eastAsia" w:asciiTheme="minorEastAsia" w:hAnsiTheme="minorEastAsia" w:eastAsiaTheme="minorEastAsia"/>
                <w:kern w:val="0"/>
                <w:szCs w:val="21"/>
              </w:rPr>
              <w:t>（1</w:t>
            </w:r>
            <w:r>
              <w:rPr>
                <w:rFonts w:hint="eastAsia"/>
                <w:kern w:val="0"/>
                <w:szCs w:val="21"/>
              </w:rPr>
              <w:t>）</w:t>
            </w:r>
            <w:r>
              <w:rPr>
                <w:rFonts w:hint="eastAsia"/>
              </w:rPr>
              <w:t>商务响应表</w:t>
            </w:r>
            <w:r>
              <w:rPr>
                <w:rFonts w:hint="eastAsia" w:asciiTheme="minorEastAsia" w:hAnsiTheme="minorEastAsia" w:eastAsiaTheme="minorEastAsia"/>
              </w:rPr>
              <w:t>（格式见</w:t>
            </w:r>
            <w:r>
              <w:rPr>
                <w:rFonts w:asciiTheme="minorEastAsia" w:hAnsiTheme="minorEastAsia" w:eastAsiaTheme="minorEastAsia"/>
              </w:rPr>
              <w:t>B1</w:t>
            </w:r>
            <w:r>
              <w:rPr>
                <w:rFonts w:hint="eastAsia" w:asciiTheme="minorEastAsia" w:hAnsiTheme="minorEastAsia" w:eastAsiaTheme="minorEastAsia"/>
              </w:rPr>
              <w:t>）；</w:t>
            </w:r>
          </w:p>
          <w:p>
            <w:pPr>
              <w:ind w:firstLine="323" w:firstLineChars="154"/>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）比选申请人认为应提交的其他比选申请资料（如有）</w:t>
            </w:r>
          </w:p>
          <w:p>
            <w:pPr>
              <w:ind w:firstLine="422" w:firstLineChars="200"/>
              <w:rPr>
                <w:b/>
              </w:rPr>
            </w:pPr>
            <w:r>
              <w:rPr>
                <w:rFonts w:hint="eastAsia"/>
                <w:b/>
              </w:rPr>
              <w:t>价格文件</w:t>
            </w:r>
          </w:p>
          <w:p>
            <w:pPr>
              <w:ind w:firstLine="321" w:firstLineChars="153"/>
            </w:pPr>
            <w:r>
              <w:rPr>
                <w:rFonts w:hint="eastAsia"/>
              </w:rPr>
              <w:t>（</w:t>
            </w:r>
            <w:r>
              <w:t>1</w:t>
            </w:r>
            <w:r>
              <w:rPr>
                <w:rFonts w:hint="eastAsia"/>
              </w:rPr>
              <w:t>）比选申请函格式（格式见</w:t>
            </w:r>
            <w:r>
              <w:t>C1</w:t>
            </w:r>
            <w:r>
              <w:rPr>
                <w:rFonts w:hint="eastAsia"/>
              </w:rPr>
              <w:t>）；</w:t>
            </w:r>
          </w:p>
          <w:p>
            <w:pPr>
              <w:ind w:firstLine="321" w:firstLineChars="153"/>
            </w:pPr>
            <w:r>
              <w:rPr>
                <w:rFonts w:hint="eastAsia"/>
              </w:rPr>
              <w:t>（2）比选申请报价表（汇总）（格式见</w:t>
            </w:r>
            <w:r>
              <w:t>C2</w:t>
            </w:r>
            <w:r>
              <w:rPr>
                <w:rFonts w:hint="eastAsia"/>
              </w:rPr>
              <w:t>）；</w:t>
            </w:r>
          </w:p>
          <w:p>
            <w:pPr>
              <w:ind w:firstLine="321" w:firstLineChars="153"/>
            </w:pPr>
            <w:r>
              <w:rPr>
                <w:rFonts w:hint="eastAsia"/>
              </w:rPr>
              <w:t>（</w:t>
            </w:r>
            <w:r>
              <w:t>3</w:t>
            </w:r>
            <w:r>
              <w:rPr>
                <w:rFonts w:hint="eastAsia"/>
              </w:rPr>
              <w:t>）比选申请报价表（分项）（格式见</w:t>
            </w:r>
            <w:r>
              <w:t>C3</w:t>
            </w:r>
            <w:r>
              <w:rPr>
                <w:rFonts w:hint="eastAsia"/>
              </w:rPr>
              <w:t>）；</w:t>
            </w:r>
          </w:p>
          <w:p>
            <w:pPr>
              <w:ind w:firstLine="321" w:firstLineChars="153"/>
            </w:pPr>
            <w:r>
              <w:rPr>
                <w:rFonts w:hint="eastAsia"/>
              </w:rPr>
              <w:t>（</w:t>
            </w:r>
            <w:r>
              <w:t>4</w:t>
            </w:r>
            <w:r>
              <w:rPr>
                <w:rFonts w:hint="eastAsia"/>
              </w:rPr>
              <w:t>）比选申请人认为应提交的其他比选申请资料（如有）。</w:t>
            </w:r>
          </w:p>
        </w:tc>
      </w:tr>
      <w:tr>
        <w:tblPrEx>
          <w:tblCellMar>
            <w:top w:w="0" w:type="dxa"/>
            <w:left w:w="108" w:type="dxa"/>
            <w:bottom w:w="0" w:type="dxa"/>
            <w:right w:w="108" w:type="dxa"/>
          </w:tblCellMar>
        </w:tblPrEx>
        <w:trPr>
          <w:cantSplit/>
          <w:trHeight w:val="416"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12.1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比选申请报价</w:t>
            </w:r>
          </w:p>
        </w:tc>
        <w:tc>
          <w:tcPr>
            <w:tcW w:w="7059" w:type="dxa"/>
            <w:tcBorders>
              <w:top w:val="single" w:color="auto" w:sz="4" w:space="0"/>
              <w:left w:val="nil"/>
              <w:bottom w:val="single" w:color="auto" w:sz="4" w:space="0"/>
              <w:right w:val="single" w:color="auto" w:sz="4" w:space="0"/>
            </w:tcBorders>
            <w:vAlign w:val="center"/>
          </w:tcPr>
          <w:p>
            <w:pPr>
              <w:ind w:firstLine="323" w:firstLineChars="154"/>
              <w:rPr>
                <w:rFonts w:ascii="宋体" w:hAnsi="宋体"/>
              </w:rPr>
            </w:pPr>
            <w:r>
              <w:rPr>
                <w:rFonts w:hint="eastAsia" w:ascii="宋体" w:hAnsi="宋体"/>
              </w:rPr>
              <w:t>（</w:t>
            </w:r>
            <w:r>
              <w:rPr>
                <w:rFonts w:ascii="宋体" w:hAnsi="宋体"/>
              </w:rPr>
              <w:t>1</w:t>
            </w:r>
            <w:r>
              <w:rPr>
                <w:rFonts w:hint="eastAsia" w:ascii="宋体" w:hAnsi="宋体"/>
              </w:rPr>
              <w:t>）本项目采用不含税报价。在签订本项目合同时，遵循国家现行税法的相关规定，在中标人不含税单价的基础上逐项增加税费，并明确相应税率和税金，本合同最终税金在结算阶段，按实际产生的税金进行核算，但合同不含税价格不因国家税率调整而调整。</w:t>
            </w:r>
          </w:p>
          <w:p>
            <w:pPr>
              <w:ind w:firstLine="323" w:firstLineChars="154"/>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cantSplit/>
          <w:trHeight w:val="453"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14.1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比选申请保证金</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无</w:t>
            </w:r>
          </w:p>
        </w:tc>
      </w:tr>
      <w:tr>
        <w:tblPrEx>
          <w:tblCellMar>
            <w:top w:w="0" w:type="dxa"/>
            <w:left w:w="108" w:type="dxa"/>
            <w:bottom w:w="0" w:type="dxa"/>
            <w:right w:w="108" w:type="dxa"/>
          </w:tblCellMar>
        </w:tblPrEx>
        <w:trPr>
          <w:cantSplit/>
          <w:trHeight w:val="416"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w:t>
            </w:r>
            <w:r>
              <w:rPr>
                <w:rFonts w:ascii="宋体" w:hAnsi="宋体"/>
              </w:rPr>
              <w:t>5</w:t>
            </w:r>
          </w:p>
        </w:tc>
        <w:tc>
          <w:tcPr>
            <w:tcW w:w="201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履约担保</w:t>
            </w:r>
          </w:p>
        </w:tc>
        <w:tc>
          <w:tcPr>
            <w:tcW w:w="7059" w:type="dxa"/>
            <w:tcBorders>
              <w:top w:val="single" w:color="auto" w:sz="4" w:space="0"/>
              <w:left w:val="single" w:color="auto" w:sz="4" w:space="0"/>
              <w:bottom w:val="single" w:color="auto" w:sz="4" w:space="0"/>
              <w:right w:val="single" w:color="auto" w:sz="4" w:space="0"/>
            </w:tcBorders>
            <w:vAlign w:val="center"/>
          </w:tcPr>
          <w:p>
            <w:r>
              <w:rPr>
                <w:rFonts w:hint="eastAsia"/>
              </w:rPr>
              <w:t>履约担保的金额:合同总价的2.</w:t>
            </w:r>
            <w:r>
              <w:t>5%</w:t>
            </w:r>
          </w:p>
          <w:p>
            <w:pPr>
              <w:tabs>
                <w:tab w:val="left" w:pos="1134"/>
                <w:tab w:val="left" w:pos="8364"/>
              </w:tabs>
              <w:rPr>
                <w:rFonts w:ascii="宋体" w:hAnsi="宋体"/>
              </w:rPr>
            </w:pPr>
            <w:r>
              <w:rPr>
                <w:rFonts w:hint="eastAsia" w:ascii="宋体" w:hAnsi="宋体" w:cs="Times New Roman"/>
                <w:kern w:val="0"/>
                <w:szCs w:val="21"/>
              </w:rPr>
              <w:t>履约担保的形式：转账或电汇或银行保函。</w:t>
            </w:r>
          </w:p>
          <w:p>
            <w:pPr>
              <w:tabs>
                <w:tab w:val="left" w:pos="1134"/>
                <w:tab w:val="left" w:pos="8364"/>
              </w:tabs>
              <w:rPr>
                <w:rFonts w:ascii="宋体" w:hAnsi="宋体"/>
              </w:rPr>
            </w:pPr>
            <w:r>
              <w:rPr>
                <w:rFonts w:hint="eastAsia" w:ascii="宋体" w:hAnsi="宋体" w:cs="Times New Roman"/>
                <w:kern w:val="0"/>
                <w:szCs w:val="21"/>
              </w:rPr>
              <w:t>银行保函由中国境内各商业银行支行及其以上的银行开具的银行保函。</w:t>
            </w:r>
          </w:p>
          <w:p>
            <w:pPr>
              <w:tabs>
                <w:tab w:val="left" w:pos="1134"/>
                <w:tab w:val="left" w:pos="8364"/>
              </w:tabs>
              <w:rPr>
                <w:rFonts w:ascii="宋体" w:hAnsi="宋体"/>
              </w:rPr>
            </w:pPr>
            <w:r>
              <w:rPr>
                <w:rFonts w:hint="eastAsia" w:ascii="宋体" w:hAnsi="宋体" w:cs="Times New Roman"/>
                <w:kern w:val="0"/>
                <w:szCs w:val="21"/>
              </w:rPr>
              <w:t>递交地点：南宁市青秀区云景路83号。</w:t>
            </w:r>
          </w:p>
          <w:p>
            <w:pPr>
              <w:tabs>
                <w:tab w:val="left" w:pos="1134"/>
                <w:tab w:val="left" w:pos="8364"/>
              </w:tabs>
              <w:rPr>
                <w:rFonts w:ascii="宋体" w:hAnsi="宋体"/>
              </w:rPr>
            </w:pPr>
            <w:r>
              <w:rPr>
                <w:rFonts w:hint="eastAsia" w:ascii="宋体" w:hAnsi="宋体" w:cs="Times New Roman"/>
                <w:kern w:val="0"/>
                <w:szCs w:val="21"/>
              </w:rPr>
              <w:t>提交履约担保的时间：应在合同签订前、且最迟应在中选通知书发出之日起</w:t>
            </w:r>
            <w:r>
              <w:rPr>
                <w:rFonts w:ascii="宋体" w:hAnsi="宋体" w:cs="Times New Roman"/>
                <w:kern w:val="0"/>
                <w:szCs w:val="21"/>
              </w:rPr>
              <w:t>20</w:t>
            </w:r>
            <w:r>
              <w:rPr>
                <w:rFonts w:hint="eastAsia" w:ascii="宋体" w:hAnsi="宋体" w:cs="Times New Roman"/>
                <w:kern w:val="0"/>
                <w:szCs w:val="21"/>
              </w:rPr>
              <w:t>日内。</w:t>
            </w:r>
          </w:p>
          <w:p>
            <w:pPr>
              <w:tabs>
                <w:tab w:val="left" w:pos="1134"/>
                <w:tab w:val="left" w:pos="8364"/>
              </w:tabs>
              <w:rPr>
                <w:rFonts w:ascii="宋体" w:hAnsi="宋体"/>
              </w:rPr>
            </w:pPr>
            <w:r>
              <w:rPr>
                <w:rFonts w:hint="eastAsia" w:ascii="宋体" w:hAnsi="宋体" w:cs="Times New Roman"/>
                <w:kern w:val="0"/>
                <w:szCs w:val="21"/>
              </w:rPr>
              <w:t>备注：若中选人未在规定时间内足额缴纳履约担保，比选人有权取消其中选资格。</w:t>
            </w:r>
          </w:p>
          <w:p>
            <w:pPr>
              <w:rPr>
                <w:rFonts w:ascii="宋体" w:hAnsi="宋体"/>
              </w:rPr>
            </w:pPr>
            <w:r>
              <w:rPr>
                <w:rFonts w:hint="eastAsia" w:hAnsi="宋体" w:cs="Times New Roman"/>
                <w:kern w:val="0"/>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cantSplit/>
          <w:trHeight w:val="416"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w:t>
            </w:r>
            <w:r>
              <w:rPr>
                <w:rFonts w:ascii="宋体" w:hAnsi="宋体"/>
              </w:rPr>
              <w:t>6</w:t>
            </w:r>
            <w:r>
              <w:rPr>
                <w:rFonts w:hint="eastAsia" w:ascii="宋体" w:hAnsi="宋体"/>
              </w:rPr>
              <w:t>.1</w:t>
            </w:r>
          </w:p>
        </w:tc>
        <w:tc>
          <w:tcPr>
            <w:tcW w:w="201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比选申请有效期</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自比选申请截止时间起</w:t>
            </w:r>
            <w:r>
              <w:rPr>
                <w:rFonts w:ascii="宋体" w:hAnsi="宋体"/>
              </w:rPr>
              <w:t>120</w:t>
            </w:r>
            <w:r>
              <w:rPr>
                <w:rFonts w:hint="eastAsia" w:ascii="宋体" w:hAnsi="宋体"/>
              </w:rPr>
              <w:t>天</w:t>
            </w:r>
          </w:p>
        </w:tc>
      </w:tr>
      <w:tr>
        <w:tblPrEx>
          <w:tblCellMar>
            <w:top w:w="0" w:type="dxa"/>
            <w:left w:w="108" w:type="dxa"/>
            <w:bottom w:w="0" w:type="dxa"/>
            <w:right w:w="108" w:type="dxa"/>
          </w:tblCellMar>
        </w:tblPrEx>
        <w:trPr>
          <w:cantSplit/>
          <w:trHeight w:val="241"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w:t>
            </w:r>
            <w:r>
              <w:rPr>
                <w:rFonts w:ascii="宋体" w:hAnsi="宋体"/>
              </w:rPr>
              <w:t>7</w:t>
            </w:r>
            <w:r>
              <w:rPr>
                <w:rFonts w:hint="eastAsia" w:ascii="宋体" w:hAnsi="宋体"/>
              </w:rPr>
              <w:t>.1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比选申请文件副本份数</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cantSplit/>
          <w:trHeight w:val="140" w:hRule="atLeast"/>
        </w:trPr>
        <w:tc>
          <w:tcPr>
            <w:tcW w:w="85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19</w:t>
            </w:r>
            <w:r>
              <w:rPr>
                <w:rFonts w:hint="eastAsia" w:ascii="宋体" w:hAnsi="宋体"/>
              </w:rPr>
              <w:t>.1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比选申请截止时间</w:t>
            </w:r>
          </w:p>
        </w:tc>
        <w:tc>
          <w:tcPr>
            <w:tcW w:w="7059" w:type="dxa"/>
            <w:tcBorders>
              <w:top w:val="single" w:color="auto" w:sz="4" w:space="0"/>
              <w:left w:val="nil"/>
              <w:bottom w:val="single" w:color="auto" w:sz="4" w:space="0"/>
              <w:right w:val="single" w:color="auto" w:sz="4" w:space="0"/>
            </w:tcBorders>
            <w:vAlign w:val="center"/>
          </w:tcPr>
          <w:p>
            <w:pPr>
              <w:ind w:firstLine="630" w:firstLineChars="300"/>
              <w:rPr>
                <w:rFonts w:ascii="宋体" w:hAnsi="宋体"/>
              </w:rPr>
            </w:pPr>
            <w:bookmarkStart w:id="44" w:name="CgwjmbEntity：KBSJ3_0"/>
            <w:r>
              <w:rPr>
                <w:rFonts w:hint="eastAsia" w:ascii="宋体" w:hAnsi="宋体"/>
              </w:rPr>
              <w:t>2</w:t>
            </w:r>
            <w:r>
              <w:rPr>
                <w:rFonts w:ascii="宋体" w:hAnsi="宋体"/>
              </w:rPr>
              <w:t>023</w:t>
            </w:r>
            <w:r>
              <w:rPr>
                <w:rFonts w:hint="eastAsia" w:ascii="宋体" w:hAnsi="宋体"/>
              </w:rPr>
              <w:t>年</w:t>
            </w:r>
            <w:bookmarkEnd w:id="44"/>
            <w:r>
              <w:rPr>
                <w:rFonts w:ascii="宋体" w:hAnsi="宋体"/>
              </w:rPr>
              <w:t>1</w:t>
            </w:r>
            <w:r>
              <w:rPr>
                <w:rFonts w:hint="eastAsia" w:ascii="宋体" w:hAnsi="宋体"/>
              </w:rPr>
              <w:t>月</w:t>
            </w:r>
            <w:r>
              <w:rPr>
                <w:rFonts w:ascii="宋体" w:hAnsi="宋体"/>
              </w:rPr>
              <w:t>6</w:t>
            </w:r>
            <w:r>
              <w:rPr>
                <w:rFonts w:hint="eastAsia" w:ascii="宋体" w:hAnsi="宋体"/>
              </w:rPr>
              <w:t xml:space="preserve">日 </w:t>
            </w:r>
            <w:r>
              <w:rPr>
                <w:rFonts w:ascii="宋体" w:hAnsi="宋体"/>
              </w:rPr>
              <w:t xml:space="preserve"> 09 </w:t>
            </w:r>
            <w:r>
              <w:rPr>
                <w:rFonts w:hint="eastAsia" w:ascii="宋体" w:hAnsi="宋体"/>
              </w:rPr>
              <w:t xml:space="preserve">时 </w:t>
            </w:r>
            <w:r>
              <w:rPr>
                <w:rFonts w:ascii="宋体" w:hAnsi="宋体"/>
              </w:rPr>
              <w:t xml:space="preserve">00 </w:t>
            </w:r>
            <w:r>
              <w:rPr>
                <w:rFonts w:hint="eastAsia" w:ascii="宋体" w:hAnsi="宋体"/>
              </w:rPr>
              <w:t>分</w:t>
            </w:r>
          </w:p>
        </w:tc>
      </w:tr>
      <w:tr>
        <w:tblPrEx>
          <w:tblCellMar>
            <w:top w:w="0" w:type="dxa"/>
            <w:left w:w="108" w:type="dxa"/>
            <w:bottom w:w="0" w:type="dxa"/>
            <w:right w:w="108" w:type="dxa"/>
          </w:tblCellMar>
        </w:tblPrEx>
        <w:trPr>
          <w:cantSplit/>
          <w:trHeight w:val="797"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递交比选申请文件地点</w:t>
            </w:r>
          </w:p>
        </w:tc>
        <w:tc>
          <w:tcPr>
            <w:tcW w:w="7059" w:type="dxa"/>
            <w:tcBorders>
              <w:top w:val="single" w:color="auto" w:sz="4" w:space="0"/>
              <w:left w:val="nil"/>
              <w:bottom w:val="single" w:color="auto" w:sz="4" w:space="0"/>
              <w:right w:val="single" w:color="auto" w:sz="4" w:space="0"/>
            </w:tcBorders>
            <w:vAlign w:val="center"/>
          </w:tcPr>
          <w:p>
            <w:pPr>
              <w:shd w:val="clear" w:color="auto" w:fill="FFFFFF" w:themeFill="background1"/>
              <w:rPr>
                <w:rFonts w:ascii="宋体" w:hAnsi="宋体"/>
              </w:rPr>
            </w:pPr>
            <w:r>
              <w:rPr>
                <w:rFonts w:hint="eastAsia" w:ascii="宋体" w:hAnsi="宋体"/>
              </w:rPr>
              <w:t>单位：</w:t>
            </w:r>
            <w:r>
              <w:rPr>
                <w:rFonts w:ascii="宋体" w:hAnsi="宋体"/>
                <w:u w:val="single"/>
              </w:rPr>
              <w:t>南宁轨道交通</w:t>
            </w:r>
            <w:r>
              <w:rPr>
                <w:rFonts w:hint="eastAsia" w:ascii="宋体" w:hAnsi="宋体"/>
                <w:u w:val="single"/>
              </w:rPr>
              <w:t>运营有限</w:t>
            </w:r>
            <w:r>
              <w:rPr>
                <w:rFonts w:ascii="宋体" w:hAnsi="宋体"/>
                <w:u w:val="single"/>
              </w:rPr>
              <w:t>公司</w:t>
            </w:r>
          </w:p>
          <w:p>
            <w:pPr>
              <w:rPr>
                <w:rFonts w:ascii="宋体" w:hAnsi="宋体"/>
              </w:rPr>
            </w:pPr>
            <w:r>
              <w:rPr>
                <w:rFonts w:hint="eastAsia" w:ascii="宋体" w:hAnsi="宋体"/>
              </w:rPr>
              <w:t>地址：</w:t>
            </w:r>
            <w:r>
              <w:rPr>
                <w:rFonts w:ascii="宋体" w:hAnsi="宋体"/>
                <w:u w:val="single"/>
              </w:rPr>
              <w:t>南宁市青秀区云景路83号</w:t>
            </w:r>
            <w:r>
              <w:rPr>
                <w:rFonts w:hint="eastAsia" w:ascii="宋体" w:hAnsi="宋体"/>
                <w:u w:val="single"/>
              </w:rPr>
              <w:t xml:space="preserve">屯里车辆段 </w:t>
            </w:r>
            <w:r>
              <w:rPr>
                <w:rFonts w:ascii="宋体" w:hAnsi="宋体"/>
                <w:u w:val="single"/>
              </w:rPr>
              <w:t xml:space="preserve">             </w:t>
            </w:r>
          </w:p>
        </w:tc>
      </w:tr>
      <w:tr>
        <w:tblPrEx>
          <w:tblCellMar>
            <w:top w:w="0" w:type="dxa"/>
            <w:left w:w="108" w:type="dxa"/>
            <w:bottom w:w="0" w:type="dxa"/>
            <w:right w:w="108" w:type="dxa"/>
          </w:tblCellMar>
        </w:tblPrEx>
        <w:trPr>
          <w:cantSplit/>
          <w:trHeight w:val="242"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2</w:t>
            </w:r>
            <w:r>
              <w:rPr>
                <w:rFonts w:ascii="宋体" w:hAnsi="宋体"/>
              </w:rPr>
              <w:t>3</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评审方法</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最低评审价法（评审价以不含税总报价为基准）</w:t>
            </w:r>
          </w:p>
        </w:tc>
      </w:tr>
      <w:tr>
        <w:tblPrEx>
          <w:tblCellMar>
            <w:top w:w="0" w:type="dxa"/>
            <w:left w:w="108" w:type="dxa"/>
            <w:bottom w:w="0" w:type="dxa"/>
            <w:right w:w="108" w:type="dxa"/>
          </w:tblCellMar>
        </w:tblPrEx>
        <w:trPr>
          <w:cantSplit/>
          <w:trHeight w:val="242"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3</w:t>
            </w:r>
            <w:r>
              <w:rPr>
                <w:rFonts w:ascii="宋体" w:hAnsi="宋体"/>
              </w:rPr>
              <w:t>5</w:t>
            </w:r>
            <w:r>
              <w:rPr>
                <w:rFonts w:hint="eastAsia" w:ascii="宋体" w:hAnsi="宋体"/>
              </w:rPr>
              <w:t>.4</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放弃中选人资格</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cantSplit/>
          <w:trHeight w:val="242" w:hRule="atLeast"/>
        </w:trPr>
        <w:tc>
          <w:tcPr>
            <w:tcW w:w="852"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37.5</w:t>
            </w:r>
          </w:p>
        </w:tc>
        <w:tc>
          <w:tcPr>
            <w:tcW w:w="2013" w:type="dxa"/>
            <w:vMerge w:val="restart"/>
            <w:tcBorders>
              <w:top w:val="single" w:color="auto" w:sz="4" w:space="0"/>
              <w:left w:val="nil"/>
              <w:right w:val="single" w:color="auto" w:sz="4" w:space="0"/>
            </w:tcBorders>
            <w:vAlign w:val="center"/>
          </w:tcPr>
          <w:p>
            <w:pPr>
              <w:rPr>
                <w:rFonts w:ascii="宋体" w:hAnsi="宋体"/>
              </w:rPr>
            </w:pPr>
            <w:r>
              <w:rPr>
                <w:rFonts w:hint="eastAsia" w:ascii="宋体" w:hAnsi="宋体"/>
              </w:rPr>
              <w:t>需要补充的其他内容</w:t>
            </w:r>
          </w:p>
        </w:tc>
        <w:tc>
          <w:tcPr>
            <w:tcW w:w="7059"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rPr>
            </w:pPr>
            <w:r>
              <w:rPr>
                <w:rFonts w:hint="eastAsia" w:ascii="宋体" w:hAnsi="宋体"/>
              </w:rPr>
              <w:t>1.比选申请人在递交比选申请文件时，同时递交比选申请文件电子版。</w:t>
            </w:r>
          </w:p>
          <w:p>
            <w:pPr>
              <w:ind w:firstLine="420" w:firstLineChars="20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ind w:firstLine="420" w:firstLineChars="200"/>
              <w:rPr>
                <w:rFonts w:ascii="宋体" w:hAnsi="宋体"/>
              </w:rPr>
            </w:pPr>
            <w:r>
              <w:rPr>
                <w:rFonts w:ascii="宋体" w:hAnsi="宋体"/>
              </w:rPr>
              <w:t>3.</w:t>
            </w:r>
            <w:r>
              <w:rPr>
                <w:rFonts w:hint="eastAsia" w:ascii="宋体" w:hAnsi="宋体"/>
              </w:rPr>
              <w:t>比选申请文件电子版份数：1份。</w:t>
            </w:r>
          </w:p>
          <w:p>
            <w:pPr>
              <w:ind w:firstLine="420" w:firstLineChars="20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格式，维保项点清单为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ind w:firstLine="420" w:firstLineChars="200"/>
              <w:rPr>
                <w:rFonts w:ascii="宋体" w:hAnsi="宋体"/>
              </w:rPr>
            </w:pPr>
            <w:r>
              <w:rPr>
                <w:rFonts w:hint="eastAsia" w:ascii="宋体" w:hAnsi="宋体"/>
              </w:rPr>
              <w:t>保存介质：</w:t>
            </w:r>
            <w:r>
              <w:rPr>
                <w:rFonts w:ascii="宋体" w:hAnsi="宋体"/>
              </w:rPr>
              <w:t>U</w:t>
            </w:r>
            <w:r>
              <w:rPr>
                <w:rFonts w:hint="eastAsia" w:ascii="宋体" w:hAnsi="宋体"/>
              </w:rPr>
              <w:t>盘。</w:t>
            </w:r>
          </w:p>
          <w:p>
            <w:pPr>
              <w:ind w:firstLine="420" w:firstLineChars="20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cantSplit/>
          <w:trHeight w:val="242" w:hRule="atLeast"/>
        </w:trPr>
        <w:tc>
          <w:tcPr>
            <w:tcW w:w="852" w:type="dxa"/>
            <w:vMerge w:val="continue"/>
            <w:tcBorders>
              <w:left w:val="single" w:color="auto" w:sz="4" w:space="0"/>
              <w:right w:val="single" w:color="auto" w:sz="4" w:space="0"/>
            </w:tcBorders>
            <w:vAlign w:val="center"/>
          </w:tcPr>
          <w:p>
            <w:pPr>
              <w:rPr>
                <w:rFonts w:ascii="宋体" w:hAnsi="宋体"/>
              </w:rPr>
            </w:pPr>
          </w:p>
        </w:tc>
        <w:tc>
          <w:tcPr>
            <w:tcW w:w="2013" w:type="dxa"/>
            <w:vMerge w:val="continue"/>
            <w:tcBorders>
              <w:left w:val="nil"/>
              <w:right w:val="single" w:color="auto" w:sz="4" w:space="0"/>
            </w:tcBorders>
            <w:vAlign w:val="center"/>
          </w:tcPr>
          <w:p>
            <w:pPr>
              <w:rPr>
                <w:rFonts w:ascii="宋体" w:hAnsi="宋体"/>
              </w:rPr>
            </w:pPr>
          </w:p>
        </w:tc>
        <w:tc>
          <w:tcPr>
            <w:tcW w:w="7059"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ind w:firstLine="420" w:firstLineChars="20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cantSplit/>
          <w:trHeight w:val="242" w:hRule="atLeast"/>
        </w:trPr>
        <w:tc>
          <w:tcPr>
            <w:tcW w:w="852"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2013" w:type="dxa"/>
            <w:vMerge w:val="continue"/>
            <w:tcBorders>
              <w:left w:val="nil"/>
              <w:bottom w:val="single" w:color="auto" w:sz="4" w:space="0"/>
              <w:right w:val="single" w:color="auto" w:sz="4" w:space="0"/>
            </w:tcBorders>
            <w:vAlign w:val="center"/>
          </w:tcPr>
          <w:p>
            <w:pPr>
              <w:rPr>
                <w:rFonts w:ascii="宋体" w:hAnsi="宋体"/>
              </w:rPr>
            </w:pP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本项目比选文件的最终解释权归比选人。</w:t>
            </w:r>
          </w:p>
        </w:tc>
      </w:tr>
    </w:tbl>
    <w:p>
      <w:pPr>
        <w:pStyle w:val="2"/>
        <w:spacing w:line="360" w:lineRule="auto"/>
        <w:ind w:firstLine="420" w:firstLineChars="200"/>
        <w:outlineLvl w:val="1"/>
        <w:rPr>
          <w:rFonts w:hAnsi="宋体" w:cs="黑体"/>
          <w:b/>
          <w:bCs/>
          <w:sz w:val="24"/>
          <w:szCs w:val="24"/>
        </w:rPr>
      </w:pPr>
      <w:r>
        <w:rPr>
          <w:rFonts w:hAnsi="宋体"/>
        </w:rPr>
        <w:br w:type="page"/>
      </w:r>
      <w:bookmarkStart w:id="45" w:name="_Toc1425"/>
      <w:bookmarkStart w:id="46" w:name="_Toc25750590"/>
      <w:bookmarkStart w:id="47" w:name="_Toc75771520"/>
      <w:r>
        <w:rPr>
          <w:rFonts w:hint="eastAsia" w:hAnsi="宋体" w:cs="黑体"/>
          <w:b/>
          <w:bCs/>
          <w:sz w:val="24"/>
          <w:szCs w:val="24"/>
        </w:rPr>
        <w:t>一、</w:t>
      </w:r>
      <w:r>
        <w:rPr>
          <w:rFonts w:hAnsi="宋体" w:cs="黑体"/>
          <w:b/>
          <w:bCs/>
          <w:sz w:val="24"/>
          <w:szCs w:val="24"/>
        </w:rPr>
        <w:t>说明</w:t>
      </w:r>
      <w:bookmarkEnd w:id="45"/>
      <w:bookmarkEnd w:id="46"/>
      <w:bookmarkEnd w:id="47"/>
    </w:p>
    <w:p>
      <w:pPr>
        <w:pStyle w:val="5"/>
        <w:numPr>
          <w:ilvl w:val="0"/>
          <w:numId w:val="0"/>
        </w:numPr>
        <w:spacing w:line="360" w:lineRule="auto"/>
        <w:ind w:firstLine="422" w:firstLineChars="200"/>
        <w:rPr>
          <w:rFonts w:ascii="宋体" w:hAnsi="宋体"/>
          <w:b/>
          <w:bCs w:val="0"/>
        </w:rPr>
      </w:pPr>
      <w:bookmarkStart w:id="48" w:name="_Toc12526"/>
      <w:bookmarkStart w:id="49" w:name="_Toc31563"/>
      <w:bookmarkStart w:id="50" w:name="_Toc30570"/>
      <w:bookmarkStart w:id="51" w:name="_Toc492478718"/>
      <w:bookmarkStart w:id="52" w:name="_Toc375039064"/>
      <w:bookmarkStart w:id="53" w:name="_Toc12983505"/>
      <w:bookmarkStart w:id="54" w:name="_Toc385427793"/>
      <w:bookmarkStart w:id="55" w:name="_Toc14066"/>
      <w:bookmarkStart w:id="56" w:name="_Toc5495"/>
      <w:bookmarkStart w:id="57" w:name="_Toc3364"/>
      <w:bookmarkStart w:id="58" w:name="_Toc11224"/>
      <w:bookmarkStart w:id="59" w:name="_Toc7778"/>
      <w:bookmarkStart w:id="60" w:name="_Toc21139"/>
      <w:bookmarkStart w:id="61" w:name="_Toc17845"/>
      <w:bookmarkStart w:id="62" w:name="_Toc8166"/>
      <w:bookmarkStart w:id="63" w:name="_Toc25750591"/>
      <w:bookmarkStart w:id="64" w:name="_Toc28326"/>
      <w:bookmarkStart w:id="65" w:name="_Toc463"/>
      <w:bookmarkStart w:id="66" w:name="_Toc3804"/>
      <w:bookmarkStart w:id="67" w:name="_Toc390098419"/>
      <w:bookmarkStart w:id="68" w:name="_Toc383891168"/>
      <w:bookmarkStart w:id="69" w:name="_Toc27079"/>
      <w:bookmarkStart w:id="70" w:name="_Toc6861"/>
      <w:bookmarkStart w:id="71" w:name="_Toc9366"/>
      <w:r>
        <w:rPr>
          <w:rFonts w:hint="eastAsia" w:ascii="宋体" w:hAnsi="宋体"/>
          <w:b/>
          <w:bCs w:val="0"/>
        </w:rPr>
        <w:t xml:space="preserve">1. </w:t>
      </w:r>
      <w:r>
        <w:rPr>
          <w:rFonts w:ascii="宋体" w:hAnsi="宋体"/>
          <w:b/>
          <w:bCs w:val="0"/>
        </w:rPr>
        <w:t>项目说明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85"/>
        <w:numPr>
          <w:ilvl w:val="1"/>
          <w:numId w:val="3"/>
        </w:numPr>
        <w:spacing w:line="360" w:lineRule="auto"/>
        <w:ind w:firstLineChars="0"/>
        <w:rPr>
          <w:rFonts w:ascii="宋体" w:hAnsi="宋体"/>
        </w:rPr>
      </w:pPr>
      <w:r>
        <w:rPr>
          <w:rFonts w:hint="eastAsia" w:ascii="宋体" w:hAnsi="宋体"/>
        </w:rPr>
        <w:t xml:space="preserve"> 比选人</w:t>
      </w:r>
      <w:r>
        <w:rPr>
          <w:rFonts w:ascii="宋体" w:hAnsi="宋体"/>
        </w:rPr>
        <w:t>：详见比选申请须知前附表。</w:t>
      </w:r>
    </w:p>
    <w:p>
      <w:pPr>
        <w:pStyle w:val="85"/>
        <w:numPr>
          <w:ilvl w:val="1"/>
          <w:numId w:val="3"/>
        </w:numPr>
        <w:spacing w:line="360" w:lineRule="auto"/>
        <w:ind w:firstLineChars="0"/>
        <w:rPr>
          <w:rFonts w:ascii="宋体" w:hAnsi="宋体"/>
        </w:rPr>
      </w:pPr>
      <w:r>
        <w:rPr>
          <w:rFonts w:hint="eastAsia" w:ascii="宋体" w:hAnsi="宋体"/>
        </w:rPr>
        <w:t xml:space="preserve"> 项目名称</w:t>
      </w:r>
      <w:r>
        <w:rPr>
          <w:rFonts w:ascii="宋体" w:hAnsi="宋体"/>
        </w:rPr>
        <w:t>：详见比选申请须知前附表。</w:t>
      </w:r>
    </w:p>
    <w:p>
      <w:pPr>
        <w:pStyle w:val="85"/>
        <w:numPr>
          <w:ilvl w:val="1"/>
          <w:numId w:val="3"/>
        </w:numPr>
        <w:spacing w:line="360" w:lineRule="auto"/>
        <w:ind w:firstLineChars="0"/>
        <w:rPr>
          <w:rFonts w:ascii="宋体" w:hAnsi="宋体"/>
        </w:rPr>
      </w:pPr>
      <w:r>
        <w:rPr>
          <w:rFonts w:hint="eastAsia" w:ascii="宋体" w:hAnsi="宋体"/>
        </w:rPr>
        <w:t xml:space="preserve"> 项目编号</w:t>
      </w:r>
      <w:r>
        <w:rPr>
          <w:rFonts w:ascii="宋体" w:hAnsi="宋体"/>
        </w:rPr>
        <w:t>：详见比选申请须知前附表。</w:t>
      </w:r>
    </w:p>
    <w:p>
      <w:pPr>
        <w:pStyle w:val="85"/>
        <w:numPr>
          <w:ilvl w:val="1"/>
          <w:numId w:val="3"/>
        </w:numPr>
        <w:spacing w:line="360" w:lineRule="auto"/>
        <w:ind w:firstLineChars="0"/>
        <w:rPr>
          <w:rFonts w:ascii="宋体" w:hAnsi="宋体"/>
        </w:rPr>
      </w:pPr>
      <w:r>
        <w:rPr>
          <w:rFonts w:hint="eastAsia" w:ascii="宋体" w:hAnsi="宋体"/>
        </w:rPr>
        <w:t xml:space="preserve"> 比选范围：</w:t>
      </w:r>
      <w:r>
        <w:rPr>
          <w:rFonts w:ascii="宋体" w:hAnsi="宋体"/>
        </w:rPr>
        <w:t>详见比选申请须知前附表。</w:t>
      </w:r>
    </w:p>
    <w:p>
      <w:pPr>
        <w:pStyle w:val="85"/>
        <w:numPr>
          <w:ilvl w:val="1"/>
          <w:numId w:val="3"/>
        </w:numPr>
        <w:spacing w:line="360" w:lineRule="auto"/>
        <w:ind w:firstLineChars="0"/>
        <w:rPr>
          <w:rFonts w:ascii="宋体" w:hAnsi="宋体"/>
        </w:rPr>
      </w:pPr>
      <w:r>
        <w:rPr>
          <w:rFonts w:hint="eastAsia" w:ascii="宋体" w:hAnsi="宋体"/>
        </w:rPr>
        <w:t xml:space="preserve"> 合同期：</w:t>
      </w:r>
      <w:r>
        <w:rPr>
          <w:rFonts w:ascii="宋体" w:hAnsi="宋体"/>
        </w:rPr>
        <w:t>详见比选申请须知前附表。</w:t>
      </w:r>
    </w:p>
    <w:p>
      <w:pPr>
        <w:pStyle w:val="85"/>
        <w:numPr>
          <w:ilvl w:val="1"/>
          <w:numId w:val="3"/>
        </w:numPr>
        <w:spacing w:line="360" w:lineRule="auto"/>
        <w:ind w:firstLineChars="0"/>
        <w:rPr>
          <w:rFonts w:ascii="宋体" w:hAnsi="宋体"/>
        </w:rPr>
      </w:pPr>
      <w:r>
        <w:rPr>
          <w:rFonts w:hint="eastAsia" w:ascii="宋体" w:hAnsi="宋体"/>
        </w:rPr>
        <w:t xml:space="preserve"> 资金来源情况：</w:t>
      </w:r>
      <w:r>
        <w:rPr>
          <w:rFonts w:ascii="宋体" w:hAnsi="宋体"/>
        </w:rPr>
        <w:t>详见比选申请须知前附表。</w:t>
      </w:r>
    </w:p>
    <w:p>
      <w:pPr>
        <w:pStyle w:val="85"/>
        <w:numPr>
          <w:ilvl w:val="1"/>
          <w:numId w:val="3"/>
        </w:numPr>
        <w:spacing w:line="360" w:lineRule="auto"/>
        <w:ind w:firstLineChars="0"/>
        <w:rPr>
          <w:rFonts w:ascii="宋体" w:hAnsi="宋体"/>
        </w:rPr>
      </w:pPr>
      <w:r>
        <w:rPr>
          <w:rFonts w:hint="eastAsia" w:ascii="宋体" w:hAnsi="宋体"/>
        </w:rPr>
        <w:t xml:space="preserve"> 上限控制价</w:t>
      </w:r>
      <w:r>
        <w:rPr>
          <w:rFonts w:ascii="宋体" w:hAnsi="宋体"/>
        </w:rPr>
        <w:t>：详见比选申请须知前附表。</w:t>
      </w:r>
    </w:p>
    <w:p>
      <w:pPr>
        <w:pStyle w:val="5"/>
        <w:numPr>
          <w:ilvl w:val="0"/>
          <w:numId w:val="0"/>
        </w:numPr>
        <w:spacing w:line="360" w:lineRule="auto"/>
        <w:ind w:left="420"/>
        <w:rPr>
          <w:rFonts w:ascii="宋体" w:hAnsi="宋体"/>
          <w:b/>
          <w:bCs w:val="0"/>
        </w:rPr>
      </w:pPr>
      <w:r>
        <w:rPr>
          <w:rFonts w:ascii="宋体" w:hAnsi="宋体"/>
          <w:b/>
          <w:bCs w:val="0"/>
        </w:rPr>
        <w:t xml:space="preserve">2. </w:t>
      </w:r>
      <w:r>
        <w:rPr>
          <w:rFonts w:hint="eastAsia" w:ascii="宋体" w:hAnsi="宋体"/>
          <w:b/>
          <w:bCs w:val="0"/>
        </w:rPr>
        <w:t>定义</w:t>
      </w:r>
    </w:p>
    <w:p>
      <w:pPr>
        <w:spacing w:line="360" w:lineRule="auto"/>
        <w:ind w:firstLine="420" w:firstLineChars="200"/>
        <w:rPr>
          <w:rFonts w:ascii="宋体" w:hAnsi="宋体"/>
        </w:rPr>
      </w:pPr>
      <w:r>
        <w:rPr>
          <w:rFonts w:ascii="宋体" w:hAnsi="宋体"/>
        </w:rPr>
        <w:t>本比选文件使用的下列词汇具有如下规定的意义。</w:t>
      </w:r>
    </w:p>
    <w:p>
      <w:pPr>
        <w:tabs>
          <w:tab w:val="left" w:pos="8364"/>
        </w:tabs>
        <w:spacing w:line="360" w:lineRule="auto"/>
        <w:ind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的国家机关、企业、事业单位或其它组织。本比选文件中比选人是指南宁轨道交通</w:t>
      </w:r>
      <w:r>
        <w:rPr>
          <w:rFonts w:hint="eastAsia" w:ascii="宋体" w:hAnsi="宋体"/>
        </w:rPr>
        <w:t>运营</w:t>
      </w:r>
      <w:r>
        <w:rPr>
          <w:rFonts w:ascii="宋体" w:hAnsi="宋体"/>
        </w:rPr>
        <w:t>有限公司。如无特别说明本比选文件中的“发包人、业主、甲方和比选人”均指：南宁轨道交通</w:t>
      </w:r>
      <w:r>
        <w:rPr>
          <w:rFonts w:hint="eastAsia" w:ascii="宋体" w:hAnsi="宋体"/>
        </w:rPr>
        <w:t>运营</w:t>
      </w:r>
      <w:r>
        <w:rPr>
          <w:rFonts w:ascii="宋体" w:hAnsi="宋体"/>
        </w:rPr>
        <w:t>有限公司。</w:t>
      </w:r>
    </w:p>
    <w:p>
      <w:pPr>
        <w:tabs>
          <w:tab w:val="left" w:pos="8364"/>
        </w:tabs>
        <w:spacing w:line="360" w:lineRule="auto"/>
        <w:ind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w:t>
      </w:r>
      <w:r>
        <w:rPr>
          <w:rFonts w:ascii="宋体" w:hAnsi="宋体"/>
        </w:rPr>
        <w:t>。</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3“</w:t>
      </w:r>
      <w:r>
        <w:rPr>
          <w:rFonts w:hint="eastAsia" w:ascii="宋体" w:hAnsi="宋体"/>
        </w:rPr>
        <w:t>服务</w:t>
      </w:r>
      <w:r>
        <w:rPr>
          <w:rFonts w:ascii="宋体" w:hAnsi="宋体"/>
        </w:rPr>
        <w:t>”</w:t>
      </w:r>
      <w:r>
        <w:rPr>
          <w:rFonts w:hint="eastAsia" w:ascii="宋体" w:hAnsi="宋体"/>
        </w:rPr>
        <w:t>系指比选文件规定比选申请人须承担的与项目有关的辅助服务，包括但不限于软硬件开发与制造、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4“电子文件”系指将比选申请文件全部内容以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5“书面形式”系指打字或印刷的函件，包括传真、电报等。</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6“日”、“天”系指日历天。</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7</w:t>
      </w:r>
      <w:r>
        <w:rPr>
          <w:rFonts w:hint="eastAsia" w:ascii="宋体" w:hAnsi="宋体"/>
        </w:rPr>
        <w:t>“保质期”系指质量三包的期限。</w:t>
      </w:r>
    </w:p>
    <w:p>
      <w:pPr>
        <w:pStyle w:val="5"/>
        <w:numPr>
          <w:ilvl w:val="0"/>
          <w:numId w:val="0"/>
        </w:numPr>
        <w:spacing w:line="360" w:lineRule="auto"/>
        <w:ind w:left="420"/>
        <w:rPr>
          <w:rFonts w:ascii="宋体" w:hAnsi="宋体"/>
          <w:b/>
          <w:bCs w:val="0"/>
        </w:rPr>
      </w:pPr>
      <w:bookmarkStart w:id="72" w:name="_Toc390098421"/>
      <w:bookmarkStart w:id="73" w:name="_Toc375039066"/>
      <w:bookmarkStart w:id="74" w:name="_Toc383891170"/>
      <w:bookmarkStart w:id="75" w:name="_Toc385427795"/>
      <w:bookmarkStart w:id="76" w:name="_Toc492478720"/>
      <w:bookmarkStart w:id="77" w:name="_Toc25750593"/>
      <w:bookmarkStart w:id="78" w:name="_Toc8288"/>
      <w:bookmarkStart w:id="79" w:name="_Toc12983507"/>
      <w:bookmarkStart w:id="80" w:name="_Toc17568"/>
      <w:bookmarkStart w:id="81" w:name="_Toc25786"/>
      <w:bookmarkStart w:id="82" w:name="_Toc29401"/>
      <w:bookmarkStart w:id="83" w:name="_Toc17075"/>
      <w:bookmarkStart w:id="84" w:name="_Toc31477"/>
      <w:bookmarkStart w:id="85" w:name="_Toc7306"/>
      <w:bookmarkStart w:id="86" w:name="_Toc10653"/>
      <w:bookmarkStart w:id="87" w:name="_Toc22845"/>
      <w:bookmarkStart w:id="88" w:name="_Toc30498"/>
      <w:bookmarkStart w:id="89" w:name="_Toc29859"/>
      <w:bookmarkStart w:id="90" w:name="_Toc307"/>
      <w:bookmarkStart w:id="91" w:name="_Toc9929"/>
      <w:bookmarkStart w:id="92" w:name="_Toc24844"/>
      <w:bookmarkStart w:id="93" w:name="_Toc22115"/>
      <w:bookmarkStart w:id="94" w:name="_Toc12940"/>
      <w:bookmarkStart w:id="95" w:name="_Toc7797"/>
      <w:r>
        <w:rPr>
          <w:rFonts w:ascii="宋体" w:hAnsi="宋体"/>
          <w:b/>
          <w:bCs w:val="0"/>
        </w:rPr>
        <w:t>3. 比选申请人</w:t>
      </w:r>
      <w:bookmarkEnd w:id="72"/>
      <w:bookmarkEnd w:id="73"/>
      <w:bookmarkEnd w:id="74"/>
      <w:bookmarkEnd w:id="75"/>
      <w:bookmarkEnd w:id="76"/>
      <w:r>
        <w:rPr>
          <w:rFonts w:hint="eastAsia" w:ascii="宋体" w:hAnsi="宋体"/>
          <w:b/>
          <w:bCs w:val="0"/>
        </w:rPr>
        <w:t>应具备的资格条件</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tabs>
          <w:tab w:val="left" w:pos="8364"/>
        </w:tabs>
        <w:spacing w:line="360" w:lineRule="auto"/>
        <w:ind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line="360" w:lineRule="auto"/>
        <w:ind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line="360" w:lineRule="auto"/>
        <w:ind w:firstLine="283" w:firstLineChars="135"/>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line="360" w:lineRule="auto"/>
        <w:ind w:firstLine="283" w:firstLineChars="135"/>
        <w:rPr>
          <w:rFonts w:ascii="宋体" w:hAnsi="宋体"/>
        </w:rPr>
      </w:pPr>
      <w:r>
        <w:rPr>
          <w:rFonts w:hint="eastAsia" w:ascii="宋体" w:hAnsi="宋体"/>
        </w:rPr>
        <w:t>（</w:t>
      </w:r>
      <w:r>
        <w:rPr>
          <w:rFonts w:ascii="宋体" w:hAnsi="宋体"/>
        </w:rPr>
        <w:t>2</w:t>
      </w:r>
      <w:r>
        <w:rPr>
          <w:rFonts w:hint="eastAsia" w:ascii="宋体" w:hAnsi="宋体"/>
        </w:rPr>
        <w:t>）有骗取中选、严重违约或重大质量安全责任事故；</w:t>
      </w:r>
    </w:p>
    <w:p>
      <w:pPr>
        <w:spacing w:line="360" w:lineRule="auto"/>
        <w:ind w:firstLine="283" w:firstLineChars="135"/>
        <w:rPr>
          <w:rFonts w:ascii="宋体" w:hAnsi="宋体"/>
        </w:rPr>
      </w:pPr>
      <w:r>
        <w:rPr>
          <w:rFonts w:hint="eastAsia" w:ascii="宋体" w:hAnsi="宋体"/>
        </w:rPr>
        <w:t>（</w:t>
      </w:r>
      <w:r>
        <w:rPr>
          <w:rFonts w:ascii="宋体" w:hAnsi="宋体"/>
        </w:rPr>
        <w:t>3</w:t>
      </w:r>
      <w:r>
        <w:rPr>
          <w:rFonts w:hint="eastAsia" w:ascii="宋体" w:hAnsi="宋体"/>
        </w:rPr>
        <w:t>）单位负责人为同一人或者存在控股、管理关系的不同单位，不得同时参加同一标段比选申请或者未划分标段的同一比选项目比选申请；</w:t>
      </w:r>
    </w:p>
    <w:p>
      <w:pPr>
        <w:spacing w:line="360" w:lineRule="auto"/>
        <w:ind w:firstLine="283" w:firstLineChars="135"/>
        <w:rPr>
          <w:rFonts w:ascii="宋体" w:hAnsi="宋体"/>
        </w:rPr>
      </w:pPr>
      <w:r>
        <w:rPr>
          <w:rFonts w:hint="eastAsia" w:ascii="宋体" w:hAnsi="宋体"/>
        </w:rPr>
        <w:t>（</w:t>
      </w:r>
      <w:r>
        <w:rPr>
          <w:rFonts w:ascii="宋体" w:hAnsi="宋体"/>
        </w:rPr>
        <w:t>4</w:t>
      </w:r>
      <w:r>
        <w:rPr>
          <w:rFonts w:hint="eastAsia" w:ascii="宋体" w:hAnsi="宋体"/>
        </w:rPr>
        <w:t>）比选申请人向比选人或评审委员会成员以行贿的手段谋取中选的；</w:t>
      </w:r>
    </w:p>
    <w:p>
      <w:pPr>
        <w:spacing w:line="360" w:lineRule="auto"/>
        <w:ind w:firstLine="283" w:firstLineChars="135"/>
        <w:rPr>
          <w:rFonts w:ascii="宋体" w:hAnsi="宋体"/>
        </w:rPr>
      </w:pPr>
      <w:r>
        <w:rPr>
          <w:rFonts w:hint="eastAsia" w:ascii="宋体" w:hAnsi="宋体"/>
        </w:rPr>
        <w:t>（</w:t>
      </w:r>
      <w:r>
        <w:rPr>
          <w:rFonts w:ascii="宋体" w:hAnsi="宋体"/>
        </w:rPr>
        <w:t>5</w:t>
      </w:r>
      <w:r>
        <w:rPr>
          <w:rFonts w:hint="eastAsia" w:ascii="宋体" w:hAnsi="宋体"/>
        </w:rPr>
        <w:t>）串通比选申请或弄虚作假或有其他违法行为的；</w:t>
      </w:r>
    </w:p>
    <w:p>
      <w:pPr>
        <w:spacing w:line="360" w:lineRule="auto"/>
        <w:ind w:firstLine="283" w:firstLineChars="135"/>
        <w:rPr>
          <w:rFonts w:ascii="宋体" w:hAnsi="宋体"/>
        </w:rPr>
      </w:pPr>
      <w:r>
        <w:rPr>
          <w:rFonts w:hint="eastAsia" w:ascii="宋体" w:hAnsi="宋体"/>
        </w:rPr>
        <w:t>（</w:t>
      </w:r>
      <w:r>
        <w:rPr>
          <w:rFonts w:ascii="宋体" w:hAnsi="宋体"/>
        </w:rPr>
        <w:t>6</w:t>
      </w:r>
      <w:r>
        <w:rPr>
          <w:rFonts w:hint="eastAsia" w:ascii="宋体" w:hAnsi="宋体"/>
        </w:rPr>
        <w:t>）在比选申请文件中提供虚假文件或资料的。</w:t>
      </w:r>
    </w:p>
    <w:p>
      <w:pPr>
        <w:pStyle w:val="5"/>
        <w:numPr>
          <w:ilvl w:val="0"/>
          <w:numId w:val="0"/>
        </w:numPr>
        <w:spacing w:line="360" w:lineRule="auto"/>
        <w:ind w:left="420"/>
        <w:rPr>
          <w:rFonts w:ascii="宋体" w:hAnsi="宋体"/>
          <w:b/>
          <w:bCs w:val="0"/>
        </w:rPr>
      </w:pPr>
      <w:bookmarkStart w:id="96" w:name="_Toc1125"/>
      <w:bookmarkStart w:id="97" w:name="_Toc18668"/>
      <w:bookmarkStart w:id="98" w:name="_Toc7832"/>
      <w:bookmarkStart w:id="99" w:name="_Toc19709"/>
      <w:bookmarkStart w:id="100" w:name="_Toc1737"/>
      <w:bookmarkStart w:id="101" w:name="_Toc390098422"/>
      <w:bookmarkStart w:id="102" w:name="_Toc23146"/>
      <w:bookmarkStart w:id="103" w:name="_Toc25914"/>
      <w:bookmarkStart w:id="104" w:name="_Toc30752"/>
      <w:bookmarkStart w:id="105" w:name="_Toc3292"/>
      <w:bookmarkStart w:id="106" w:name="_Toc385427796"/>
      <w:bookmarkStart w:id="107" w:name="_Toc7103"/>
      <w:bookmarkStart w:id="108" w:name="_Toc21215"/>
      <w:bookmarkStart w:id="109" w:name="_Toc31789"/>
      <w:bookmarkStart w:id="110" w:name="_Toc375039067"/>
      <w:bookmarkStart w:id="111" w:name="_Toc12983508"/>
      <w:bookmarkStart w:id="112" w:name="_Toc25750594"/>
      <w:bookmarkStart w:id="113" w:name="_Toc616"/>
      <w:bookmarkStart w:id="114" w:name="_Toc19081"/>
      <w:bookmarkStart w:id="115" w:name="_Toc24103"/>
      <w:bookmarkStart w:id="116" w:name="_Toc4438"/>
      <w:bookmarkStart w:id="117" w:name="_Toc383891171"/>
      <w:bookmarkStart w:id="118" w:name="_Toc492478721"/>
      <w:bookmarkStart w:id="119" w:name="_Toc21602"/>
      <w:r>
        <w:rPr>
          <w:rFonts w:hint="eastAsia" w:ascii="宋体" w:hAnsi="宋体"/>
          <w:b/>
          <w:bCs w:val="0"/>
        </w:rPr>
        <w:t xml:space="preserve">4. </w:t>
      </w:r>
      <w:r>
        <w:rPr>
          <w:rFonts w:ascii="宋体" w:hAnsi="宋体"/>
          <w:b/>
          <w:bCs w:val="0"/>
        </w:rPr>
        <w:t>比选申请费用</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tabs>
          <w:tab w:val="left" w:pos="1134"/>
          <w:tab w:val="left" w:pos="8364"/>
        </w:tabs>
        <w:spacing w:line="360" w:lineRule="auto"/>
        <w:ind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line="360" w:lineRule="auto"/>
        <w:ind w:left="2" w:firstLine="439" w:firstLineChars="182"/>
        <w:rPr>
          <w:rFonts w:ascii="宋体" w:hAnsi="宋体"/>
          <w:sz w:val="24"/>
          <w:szCs w:val="24"/>
        </w:rPr>
      </w:pPr>
      <w:bookmarkStart w:id="120" w:name="_Toc2986"/>
      <w:bookmarkStart w:id="121" w:name="_Toc383891172"/>
      <w:bookmarkStart w:id="122" w:name="_Toc29160"/>
      <w:bookmarkStart w:id="123" w:name="_Toc6528"/>
      <w:bookmarkStart w:id="124" w:name="_Toc2609"/>
      <w:bookmarkStart w:id="125" w:name="_Toc18528"/>
      <w:bookmarkStart w:id="126" w:name="_Toc8562"/>
      <w:bookmarkStart w:id="127" w:name="_Toc12983509"/>
      <w:bookmarkStart w:id="128" w:name="_Toc16608"/>
      <w:bookmarkStart w:id="129" w:name="_Toc9677"/>
      <w:bookmarkStart w:id="130" w:name="_Toc28220"/>
      <w:bookmarkStart w:id="131" w:name="_Toc385427797"/>
      <w:bookmarkStart w:id="132" w:name="_Toc16530"/>
      <w:bookmarkStart w:id="133" w:name="_Toc19617"/>
      <w:bookmarkStart w:id="134" w:name="_Toc75771521"/>
      <w:bookmarkStart w:id="135" w:name="_Toc25750595"/>
      <w:bookmarkStart w:id="136" w:name="_Toc7339"/>
      <w:bookmarkStart w:id="137" w:name="_Toc390098423"/>
      <w:bookmarkStart w:id="138" w:name="_Toc16131"/>
      <w:bookmarkStart w:id="139" w:name="_Toc5160"/>
      <w:bookmarkStart w:id="140" w:name="_Toc492478722"/>
      <w:bookmarkStart w:id="141" w:name="_Toc375039068"/>
      <w:bookmarkStart w:id="142" w:name="_Toc5487"/>
      <w:bookmarkStart w:id="143" w:name="_Toc15763"/>
      <w:bookmarkStart w:id="144" w:name="_Toc3854"/>
      <w:bookmarkStart w:id="145" w:name="_Toc12770"/>
      <w:r>
        <w:rPr>
          <w:rFonts w:hint="eastAsia" w:ascii="宋体" w:hAnsi="宋体"/>
          <w:sz w:val="24"/>
          <w:szCs w:val="24"/>
        </w:rPr>
        <w:t>二、</w:t>
      </w:r>
      <w:r>
        <w:rPr>
          <w:rFonts w:ascii="宋体" w:hAnsi="宋体"/>
          <w:sz w:val="24"/>
          <w:szCs w:val="24"/>
        </w:rPr>
        <w:t>比选文件</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5"/>
        <w:numPr>
          <w:ilvl w:val="0"/>
          <w:numId w:val="0"/>
        </w:numPr>
        <w:spacing w:line="360" w:lineRule="auto"/>
        <w:ind w:left="420"/>
        <w:rPr>
          <w:rFonts w:ascii="宋体" w:hAnsi="宋体"/>
          <w:b/>
          <w:bCs w:val="0"/>
        </w:rPr>
      </w:pPr>
      <w:bookmarkStart w:id="146" w:name="_Toc12983510"/>
      <w:bookmarkStart w:id="147" w:name="_Toc32710"/>
      <w:bookmarkStart w:id="148" w:name="_Toc30401"/>
      <w:bookmarkStart w:id="149" w:name="_Toc390098424"/>
      <w:bookmarkStart w:id="150" w:name="_Toc4157"/>
      <w:bookmarkStart w:id="151" w:name="_Toc6637"/>
      <w:bookmarkStart w:id="152" w:name="_Toc6764"/>
      <w:bookmarkStart w:id="153" w:name="_Toc27870"/>
      <w:bookmarkStart w:id="154" w:name="_Toc492478723"/>
      <w:bookmarkStart w:id="155" w:name="_Toc383891173"/>
      <w:bookmarkStart w:id="156" w:name="_Toc25750596"/>
      <w:bookmarkStart w:id="157" w:name="_Toc5877"/>
      <w:bookmarkStart w:id="158" w:name="_Toc18436"/>
      <w:bookmarkStart w:id="159" w:name="_Toc29225"/>
      <w:bookmarkStart w:id="160" w:name="_Toc13114"/>
      <w:bookmarkStart w:id="161" w:name="_Toc9756"/>
      <w:bookmarkStart w:id="162" w:name="_Toc375039069"/>
      <w:bookmarkStart w:id="163" w:name="_Toc25378"/>
      <w:bookmarkStart w:id="164" w:name="_Toc26333"/>
      <w:bookmarkStart w:id="165" w:name="_Toc839"/>
      <w:bookmarkStart w:id="166" w:name="_Toc21811"/>
      <w:bookmarkStart w:id="167" w:name="_Toc29472"/>
      <w:bookmarkStart w:id="168" w:name="_Toc385427798"/>
      <w:bookmarkStart w:id="169" w:name="_Toc19561"/>
      <w:r>
        <w:rPr>
          <w:rFonts w:hint="eastAsia" w:ascii="宋体" w:hAnsi="宋体"/>
          <w:b/>
          <w:bCs w:val="0"/>
        </w:rPr>
        <w:t xml:space="preserve">5. </w:t>
      </w:r>
      <w:r>
        <w:rPr>
          <w:rFonts w:ascii="宋体" w:hAnsi="宋体"/>
          <w:b/>
          <w:bCs w:val="0"/>
        </w:rPr>
        <w:t>比选文件构成</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85"/>
        <w:numPr>
          <w:ilvl w:val="1"/>
          <w:numId w:val="4"/>
        </w:numPr>
        <w:spacing w:line="360" w:lineRule="auto"/>
        <w:ind w:firstLineChars="0"/>
        <w:rPr>
          <w:rFonts w:ascii="宋体" w:hAnsi="宋体"/>
        </w:rPr>
      </w:pPr>
      <w:r>
        <w:rPr>
          <w:rFonts w:ascii="宋体" w:hAnsi="宋体"/>
        </w:rPr>
        <w:t>比选文件包括下列内容：</w:t>
      </w:r>
    </w:p>
    <w:p>
      <w:pPr>
        <w:spacing w:line="360" w:lineRule="auto"/>
        <w:ind w:left="420"/>
        <w:rPr>
          <w:rFonts w:ascii="宋体" w:hAnsi="宋体"/>
        </w:rPr>
      </w:pPr>
      <w:r>
        <w:rPr>
          <w:rFonts w:hint="eastAsia" w:ascii="宋体" w:hAnsi="宋体"/>
        </w:rPr>
        <w:t>第一</w:t>
      </w:r>
      <w:r>
        <w:rPr>
          <w:rFonts w:ascii="宋体" w:hAnsi="宋体"/>
        </w:rPr>
        <w:t>章 比选公告</w:t>
      </w:r>
    </w:p>
    <w:p>
      <w:pPr>
        <w:spacing w:line="360" w:lineRule="auto"/>
        <w:ind w:left="420"/>
      </w:pPr>
      <w:r>
        <w:rPr>
          <w:rFonts w:hint="eastAsia"/>
        </w:rPr>
        <w:t xml:space="preserve">第二章 </w:t>
      </w:r>
      <w:r>
        <w:t>比选申请人须知</w:t>
      </w:r>
    </w:p>
    <w:p>
      <w:pPr>
        <w:spacing w:line="360" w:lineRule="auto"/>
        <w:ind w:left="420"/>
      </w:pPr>
      <w:r>
        <w:rPr>
          <w:rFonts w:hint="eastAsia" w:ascii="宋体" w:hAnsi="宋体"/>
        </w:rPr>
        <w:t xml:space="preserve">第三章 </w:t>
      </w:r>
      <w:r>
        <w:rPr>
          <w:rFonts w:ascii="宋体" w:hAnsi="宋体"/>
        </w:rPr>
        <w:t>合同条款</w:t>
      </w:r>
      <w:r>
        <w:rPr>
          <w:rFonts w:hint="eastAsia" w:ascii="宋体" w:hAnsi="宋体"/>
        </w:rPr>
        <w:t>及格式</w:t>
      </w:r>
    </w:p>
    <w:p>
      <w:pPr>
        <w:spacing w:line="360" w:lineRule="auto"/>
        <w:ind w:left="420"/>
      </w:pPr>
      <w:r>
        <w:rPr>
          <w:rFonts w:hint="eastAsia" w:ascii="宋体" w:hAnsi="宋体"/>
        </w:rPr>
        <w:t xml:space="preserve">第四章 </w:t>
      </w:r>
      <w:r>
        <w:rPr>
          <w:rFonts w:ascii="宋体" w:hAnsi="宋体"/>
        </w:rPr>
        <w:t>比选申请文件格式</w:t>
      </w:r>
    </w:p>
    <w:p>
      <w:pPr>
        <w:spacing w:line="360" w:lineRule="auto"/>
        <w:ind w:left="420"/>
      </w:pPr>
      <w:r>
        <w:rPr>
          <w:rFonts w:hint="eastAsia" w:ascii="宋体" w:hAnsi="宋体"/>
        </w:rPr>
        <w:t xml:space="preserve">第五章 </w:t>
      </w:r>
      <w:r>
        <w:rPr>
          <w:rFonts w:ascii="宋体" w:hAnsi="宋体"/>
        </w:rPr>
        <w:t>用户需求书</w:t>
      </w:r>
    </w:p>
    <w:p>
      <w:pPr>
        <w:spacing w:line="360" w:lineRule="auto"/>
        <w:ind w:left="420"/>
      </w:pPr>
      <w:r>
        <w:rPr>
          <w:rFonts w:hint="eastAsia" w:ascii="宋体" w:hAnsi="宋体"/>
        </w:rPr>
        <w:t xml:space="preserve">第六章 </w:t>
      </w:r>
      <w:r>
        <w:rPr>
          <w:rFonts w:ascii="宋体" w:hAnsi="宋体"/>
        </w:rPr>
        <w:t>评</w:t>
      </w:r>
      <w:r>
        <w:rPr>
          <w:rFonts w:hint="eastAsia" w:ascii="宋体" w:hAnsi="宋体"/>
        </w:rPr>
        <w:t>审</w:t>
      </w:r>
      <w:r>
        <w:rPr>
          <w:rFonts w:ascii="宋体" w:hAnsi="宋体"/>
        </w:rPr>
        <w:t>办法</w:t>
      </w:r>
    </w:p>
    <w:p>
      <w:pPr>
        <w:spacing w:line="360" w:lineRule="auto"/>
        <w:ind w:firstLine="420" w:firstLineChars="200"/>
      </w:pPr>
      <w:r>
        <w:rPr>
          <w:rFonts w:hint="eastAsia" w:ascii="宋体" w:hAnsi="宋体"/>
        </w:rPr>
        <w:t>5</w:t>
      </w:r>
      <w:r>
        <w:rPr>
          <w:rFonts w:ascii="宋体" w:hAnsi="宋体"/>
        </w:rPr>
        <w:t>.2比选申请人应认真检阅比选文件中所有的章节、条款、格式、图纸、附表和附件等。如果在收到比选文件后发现有缺页、印刷不清楚或对其中内容不理解而未向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line="360" w:lineRule="auto"/>
        <w:ind w:firstLine="420" w:firstLineChars="200"/>
      </w:pPr>
      <w:r>
        <w:rPr>
          <w:rFonts w:ascii="宋体" w:hAnsi="宋体"/>
        </w:rPr>
        <w:t>5.3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numPr>
          <w:ilvl w:val="0"/>
          <w:numId w:val="0"/>
        </w:numPr>
        <w:spacing w:line="360" w:lineRule="auto"/>
        <w:ind w:left="420"/>
        <w:rPr>
          <w:rFonts w:ascii="宋体" w:hAnsi="宋体"/>
          <w:b/>
          <w:bCs w:val="0"/>
        </w:rPr>
      </w:pPr>
      <w:bookmarkStart w:id="170" w:name="_Toc383891174"/>
      <w:bookmarkStart w:id="171" w:name="_Toc20903"/>
      <w:bookmarkStart w:id="172" w:name="_Toc375039070"/>
      <w:bookmarkStart w:id="173" w:name="_Toc25750597"/>
      <w:bookmarkStart w:id="174" w:name="_Toc492478724"/>
      <w:bookmarkStart w:id="175" w:name="_Toc385427799"/>
      <w:bookmarkStart w:id="176" w:name="_Toc10162"/>
      <w:bookmarkStart w:id="177" w:name="_Toc17279"/>
      <w:bookmarkStart w:id="178" w:name="_Toc28270"/>
      <w:bookmarkStart w:id="179" w:name="_Toc2489"/>
      <w:bookmarkStart w:id="180" w:name="_Toc11896"/>
      <w:bookmarkStart w:id="181" w:name="_Toc18631"/>
      <w:bookmarkStart w:id="182" w:name="_Toc31848"/>
      <w:bookmarkStart w:id="183" w:name="_Toc15154"/>
      <w:bookmarkStart w:id="184" w:name="_Toc29001"/>
      <w:bookmarkStart w:id="185" w:name="_Toc390098425"/>
      <w:bookmarkStart w:id="186" w:name="_Toc26909"/>
      <w:bookmarkStart w:id="187" w:name="_Toc2664"/>
      <w:bookmarkStart w:id="188" w:name="_Toc12983511"/>
      <w:bookmarkStart w:id="189" w:name="_Toc26811"/>
      <w:bookmarkStart w:id="190" w:name="_Toc14426"/>
      <w:bookmarkStart w:id="191" w:name="_Toc21365"/>
      <w:bookmarkStart w:id="192" w:name="_Toc2789"/>
      <w:bookmarkStart w:id="193" w:name="_Toc31386"/>
      <w:r>
        <w:rPr>
          <w:rFonts w:hint="eastAsia" w:ascii="宋体" w:hAnsi="宋体"/>
          <w:b/>
          <w:bCs w:val="0"/>
        </w:rPr>
        <w:t>6.</w:t>
      </w:r>
      <w:r>
        <w:rPr>
          <w:rFonts w:ascii="宋体" w:hAnsi="宋体"/>
          <w:b/>
          <w:bCs w:val="0"/>
        </w:rPr>
        <w:t xml:space="preserve"> 比选文件的澄清</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spacing w:line="360" w:lineRule="auto"/>
        <w:ind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line="360" w:lineRule="auto"/>
        <w:ind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numPr>
          <w:ilvl w:val="0"/>
          <w:numId w:val="0"/>
        </w:numPr>
        <w:spacing w:line="360" w:lineRule="auto"/>
        <w:ind w:left="420"/>
        <w:rPr>
          <w:rFonts w:ascii="宋体" w:hAnsi="宋体"/>
          <w:b/>
          <w:bCs w:val="0"/>
        </w:rPr>
      </w:pPr>
      <w:bookmarkStart w:id="194" w:name="_Toc7063"/>
      <w:bookmarkStart w:id="195" w:name="_Toc24128"/>
      <w:bookmarkStart w:id="196" w:name="_Toc14181"/>
      <w:bookmarkStart w:id="197" w:name="_Toc5364"/>
      <w:bookmarkStart w:id="198" w:name="_Toc383891175"/>
      <w:bookmarkStart w:id="199" w:name="_Toc25750598"/>
      <w:bookmarkStart w:id="200" w:name="_Toc15674"/>
      <w:bookmarkStart w:id="201" w:name="_Toc2072"/>
      <w:bookmarkStart w:id="202" w:name="_Toc390098426"/>
      <w:bookmarkStart w:id="203" w:name="_Toc26952"/>
      <w:bookmarkStart w:id="204" w:name="_Toc375039071"/>
      <w:bookmarkStart w:id="205" w:name="_Toc24583"/>
      <w:bookmarkStart w:id="206" w:name="_Toc19345"/>
      <w:bookmarkStart w:id="207" w:name="_Toc385427800"/>
      <w:bookmarkStart w:id="208" w:name="_Toc24191"/>
      <w:bookmarkStart w:id="209" w:name="_Toc30378"/>
      <w:bookmarkStart w:id="210" w:name="_Toc12983512"/>
      <w:bookmarkStart w:id="211" w:name="_Toc15137"/>
      <w:bookmarkStart w:id="212" w:name="_Toc2976"/>
      <w:bookmarkStart w:id="213" w:name="_Toc492478725"/>
      <w:bookmarkStart w:id="214" w:name="_Toc22529"/>
      <w:bookmarkStart w:id="215" w:name="_Toc15498"/>
      <w:bookmarkStart w:id="216" w:name="_Toc27124"/>
      <w:bookmarkStart w:id="217" w:name="_Toc29795"/>
      <w:r>
        <w:rPr>
          <w:rFonts w:hint="eastAsia" w:ascii="宋体" w:hAnsi="宋体"/>
          <w:b/>
          <w:bCs w:val="0"/>
        </w:rPr>
        <w:t xml:space="preserve">7. </w:t>
      </w:r>
      <w:r>
        <w:rPr>
          <w:rFonts w:ascii="宋体" w:hAnsi="宋体"/>
          <w:b/>
          <w:bCs w:val="0"/>
        </w:rPr>
        <w:t>比选文件的补遗或修改</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line="360" w:lineRule="auto"/>
        <w:ind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line="360" w:lineRule="auto"/>
        <w:ind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line="360" w:lineRule="auto"/>
        <w:ind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line="360" w:lineRule="auto"/>
        <w:ind w:firstLine="420" w:firstLineChars="200"/>
        <w:rPr>
          <w:rFonts w:ascii="宋体" w:hAnsi="宋体"/>
        </w:rPr>
      </w:pPr>
      <w:r>
        <w:rPr>
          <w:rFonts w:hint="eastAsia" w:ascii="宋体" w:hAnsi="宋体"/>
        </w:rPr>
        <w:t>7</w:t>
      </w:r>
      <w:r>
        <w:rPr>
          <w:rFonts w:ascii="宋体" w:hAnsi="宋体"/>
        </w:rPr>
        <w:t>.4 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line="360" w:lineRule="auto"/>
        <w:ind w:firstLine="394" w:firstLineChars="187"/>
        <w:rPr>
          <w:rFonts w:ascii="宋体" w:hAnsi="宋体" w:eastAsia="黑体"/>
          <w:bCs w:val="0"/>
          <w:sz w:val="21"/>
          <w:szCs w:val="21"/>
        </w:rPr>
      </w:pPr>
      <w:bookmarkStart w:id="218" w:name="_Toc14185"/>
      <w:bookmarkStart w:id="219" w:name="_Toc390098427"/>
      <w:bookmarkStart w:id="220" w:name="_Toc30363"/>
      <w:bookmarkStart w:id="221" w:name="_Toc7604"/>
      <w:bookmarkStart w:id="222" w:name="_Toc4718"/>
      <w:bookmarkStart w:id="223" w:name="_Toc18679"/>
      <w:bookmarkStart w:id="224" w:name="_Toc385427801"/>
      <w:bookmarkStart w:id="225" w:name="_Toc383891176"/>
      <w:bookmarkStart w:id="226" w:name="_Toc375039072"/>
      <w:bookmarkStart w:id="227" w:name="_Toc24557"/>
      <w:bookmarkStart w:id="228" w:name="_Toc24759"/>
      <w:bookmarkStart w:id="229" w:name="_Toc25750599"/>
      <w:bookmarkStart w:id="230" w:name="_Toc10869"/>
      <w:bookmarkStart w:id="231" w:name="_Toc17335"/>
      <w:bookmarkStart w:id="232" w:name="_Toc12983513"/>
      <w:bookmarkStart w:id="233" w:name="_Toc16406"/>
      <w:bookmarkStart w:id="234" w:name="_Toc25361"/>
      <w:bookmarkStart w:id="235" w:name="_Toc492478726"/>
      <w:bookmarkStart w:id="236" w:name="_Toc5805"/>
      <w:bookmarkStart w:id="237" w:name="_Toc27913"/>
      <w:bookmarkStart w:id="238" w:name="_Toc17692"/>
      <w:bookmarkStart w:id="239" w:name="_Toc28044"/>
      <w:bookmarkStart w:id="240" w:name="_Toc2902"/>
      <w:bookmarkStart w:id="241" w:name="_Toc75771522"/>
      <w:bookmarkStart w:id="242" w:name="_Toc95"/>
      <w:bookmarkStart w:id="243" w:name="_Toc22485"/>
      <w:r>
        <w:rPr>
          <w:rFonts w:hint="eastAsia" w:ascii="宋体" w:hAnsi="宋体" w:eastAsia="黑体"/>
          <w:bCs w:val="0"/>
          <w:sz w:val="21"/>
          <w:szCs w:val="21"/>
        </w:rPr>
        <w:t>三、</w:t>
      </w:r>
      <w:r>
        <w:rPr>
          <w:rFonts w:ascii="宋体" w:hAnsi="宋体" w:eastAsia="黑体"/>
          <w:bCs w:val="0"/>
          <w:sz w:val="21"/>
          <w:szCs w:val="21"/>
        </w:rPr>
        <w:t>比选申请文件的编制</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5"/>
        <w:numPr>
          <w:ilvl w:val="0"/>
          <w:numId w:val="0"/>
        </w:numPr>
        <w:spacing w:line="360" w:lineRule="auto"/>
        <w:ind w:left="210" w:leftChars="100" w:firstLine="211" w:firstLineChars="100"/>
        <w:rPr>
          <w:rFonts w:asciiTheme="minorEastAsia" w:hAnsiTheme="minorEastAsia" w:eastAsiaTheme="minorEastAsia"/>
          <w:b/>
          <w:bCs w:val="0"/>
        </w:rPr>
      </w:pPr>
      <w:bookmarkStart w:id="244" w:name="_Toc12456"/>
      <w:bookmarkStart w:id="245" w:name="_Toc18350"/>
      <w:bookmarkStart w:id="246" w:name="_Toc375039073"/>
      <w:bookmarkStart w:id="247" w:name="_Toc9592"/>
      <w:bookmarkStart w:id="248" w:name="_Toc23794"/>
      <w:bookmarkStart w:id="249" w:name="_Toc20025"/>
      <w:bookmarkStart w:id="250" w:name="_Toc26150"/>
      <w:bookmarkStart w:id="251" w:name="_Toc383891177"/>
      <w:bookmarkStart w:id="252" w:name="_Toc4384"/>
      <w:bookmarkStart w:id="253" w:name="_Toc26680"/>
      <w:bookmarkStart w:id="254" w:name="_Toc16435"/>
      <w:bookmarkStart w:id="255" w:name="_Toc492478727"/>
      <w:bookmarkStart w:id="256" w:name="_Toc13418"/>
      <w:bookmarkStart w:id="257" w:name="_Toc12983514"/>
      <w:bookmarkStart w:id="258" w:name="_Toc1733"/>
      <w:bookmarkStart w:id="259" w:name="_Toc16186"/>
      <w:bookmarkStart w:id="260" w:name="_Toc25750600"/>
      <w:bookmarkStart w:id="261" w:name="_Toc390098428"/>
      <w:bookmarkStart w:id="262" w:name="_Toc385427802"/>
      <w:bookmarkStart w:id="263" w:name="_Toc11259"/>
      <w:bookmarkStart w:id="264" w:name="_Toc29862"/>
      <w:bookmarkStart w:id="265" w:name="_Toc2819"/>
      <w:bookmarkStart w:id="266" w:name="_Toc21673"/>
      <w:bookmarkStart w:id="267" w:name="_Toc12074"/>
      <w:r>
        <w:rPr>
          <w:rFonts w:asciiTheme="minorEastAsia" w:hAnsiTheme="minorEastAsia" w:eastAsiaTheme="minorEastAsia"/>
          <w:b/>
          <w:bCs w:val="0"/>
        </w:rPr>
        <w:t>8.编制要求</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tabs>
          <w:tab w:val="left" w:pos="1134"/>
          <w:tab w:val="left" w:pos="8364"/>
        </w:tabs>
        <w:spacing w:line="360" w:lineRule="auto"/>
        <w:ind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0"/>
        </w:numPr>
        <w:spacing w:line="360" w:lineRule="auto"/>
        <w:ind w:left="210" w:leftChars="100" w:firstLine="211" w:firstLineChars="100"/>
        <w:rPr>
          <w:rFonts w:ascii="宋体" w:hAnsi="宋体" w:eastAsia="宋体"/>
          <w:b/>
          <w:szCs w:val="22"/>
        </w:rPr>
      </w:pPr>
      <w:bookmarkStart w:id="268" w:name="_Toc12207"/>
      <w:bookmarkStart w:id="269" w:name="_Toc11040"/>
      <w:bookmarkStart w:id="270" w:name="_Toc375039074"/>
      <w:bookmarkStart w:id="271" w:name="_Toc28065"/>
      <w:bookmarkStart w:id="272" w:name="_Toc11161"/>
      <w:bookmarkStart w:id="273" w:name="_Toc1047"/>
      <w:bookmarkStart w:id="274" w:name="_Toc385427803"/>
      <w:bookmarkStart w:id="275" w:name="_Toc24857"/>
      <w:bookmarkStart w:id="276" w:name="_Toc3492"/>
      <w:bookmarkStart w:id="277" w:name="_Toc9887"/>
      <w:bookmarkStart w:id="278" w:name="_Toc25750601"/>
      <w:bookmarkStart w:id="279" w:name="_Toc6261"/>
      <w:bookmarkStart w:id="280" w:name="_Toc26753"/>
      <w:bookmarkStart w:id="281" w:name="_Toc24935"/>
      <w:bookmarkStart w:id="282" w:name="_Toc15570"/>
      <w:bookmarkStart w:id="283" w:name="_Toc383891178"/>
      <w:bookmarkStart w:id="284" w:name="_Toc28296"/>
      <w:bookmarkStart w:id="285" w:name="_Toc390098429"/>
      <w:bookmarkStart w:id="286" w:name="_Toc19885"/>
      <w:bookmarkStart w:id="287" w:name="_Toc25770"/>
      <w:bookmarkStart w:id="288" w:name="_Toc12983515"/>
      <w:bookmarkStart w:id="289" w:name="_Toc16237"/>
      <w:bookmarkStart w:id="290" w:name="_Toc22026"/>
      <w:bookmarkStart w:id="291" w:name="_Toc492478728"/>
      <w:r>
        <w:rPr>
          <w:rFonts w:hint="eastAsia" w:ascii="宋体" w:hAnsi="宋体" w:eastAsia="宋体"/>
          <w:b/>
          <w:szCs w:val="22"/>
        </w:rPr>
        <w:t>9</w:t>
      </w:r>
      <w:r>
        <w:rPr>
          <w:rFonts w:ascii="宋体" w:hAnsi="宋体" w:eastAsia="宋体"/>
          <w:b/>
          <w:szCs w:val="22"/>
        </w:rPr>
        <w:t>.比选申请语言及计量单位</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spacing w:line="360" w:lineRule="auto"/>
        <w:ind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pStyle w:val="85"/>
        <w:numPr>
          <w:ilvl w:val="1"/>
          <w:numId w:val="5"/>
        </w:numPr>
        <w:spacing w:line="360" w:lineRule="auto"/>
        <w:ind w:firstLineChars="0"/>
        <w:rPr>
          <w:rFonts w:ascii="宋体" w:hAnsi="宋体"/>
        </w:rPr>
      </w:pPr>
      <w:r>
        <w:rPr>
          <w:rFonts w:ascii="宋体" w:hAnsi="宋体"/>
        </w:rPr>
        <w:t>除在比选文件另有规定外，计量单位应使用中华人民共和国法定计量单位。</w:t>
      </w:r>
    </w:p>
    <w:p>
      <w:pPr>
        <w:pStyle w:val="5"/>
        <w:numPr>
          <w:ilvl w:val="0"/>
          <w:numId w:val="0"/>
        </w:numPr>
        <w:spacing w:line="360" w:lineRule="auto"/>
        <w:ind w:left="420"/>
        <w:rPr>
          <w:rFonts w:ascii="宋体" w:hAnsi="宋体" w:eastAsia="宋体"/>
          <w:b/>
          <w:szCs w:val="22"/>
        </w:rPr>
      </w:pPr>
      <w:bookmarkStart w:id="292" w:name="_Toc15809"/>
      <w:bookmarkStart w:id="293" w:name="_Toc22476"/>
      <w:bookmarkStart w:id="294" w:name="_Toc492478729"/>
      <w:bookmarkStart w:id="295" w:name="_Toc3877"/>
      <w:bookmarkStart w:id="296" w:name="_Toc3411"/>
      <w:bookmarkStart w:id="297" w:name="_Toc24760"/>
      <w:bookmarkStart w:id="298" w:name="_Toc53"/>
      <w:bookmarkStart w:id="299" w:name="_Toc12983516"/>
      <w:bookmarkStart w:id="300" w:name="_Toc3464"/>
      <w:bookmarkStart w:id="301" w:name="_Toc30356"/>
      <w:bookmarkStart w:id="302" w:name="_Toc16307"/>
      <w:bookmarkStart w:id="303" w:name="_Toc23229"/>
      <w:bookmarkStart w:id="304" w:name="_Toc29881"/>
      <w:bookmarkStart w:id="305" w:name="_Toc385427804"/>
      <w:bookmarkStart w:id="306" w:name="_Toc383891179"/>
      <w:bookmarkStart w:id="307" w:name="_Toc25750602"/>
      <w:bookmarkStart w:id="308" w:name="_Toc23364"/>
      <w:bookmarkStart w:id="309" w:name="_Toc14323"/>
      <w:bookmarkStart w:id="310" w:name="_Toc390098430"/>
      <w:bookmarkStart w:id="311" w:name="_Toc30991"/>
      <w:bookmarkStart w:id="312" w:name="_Toc19681"/>
      <w:bookmarkStart w:id="313" w:name="_Toc28164"/>
      <w:bookmarkStart w:id="314" w:name="_Toc18149"/>
      <w:bookmarkStart w:id="315" w:name="_Toc375039075"/>
      <w:r>
        <w:rPr>
          <w:rFonts w:hint="eastAsia" w:ascii="宋体" w:hAnsi="宋体" w:eastAsia="宋体"/>
          <w:b/>
          <w:szCs w:val="22"/>
        </w:rPr>
        <w:t>1</w:t>
      </w:r>
      <w:r>
        <w:rPr>
          <w:rFonts w:ascii="宋体" w:hAnsi="宋体" w:eastAsia="宋体"/>
          <w:b/>
          <w:szCs w:val="22"/>
        </w:rPr>
        <w:t>0. 比选申请文件组成</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tabs>
          <w:tab w:val="left" w:pos="1134"/>
          <w:tab w:val="left" w:pos="1701"/>
          <w:tab w:val="left" w:pos="1843"/>
        </w:tabs>
        <w:spacing w:line="360" w:lineRule="auto"/>
        <w:ind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line="360" w:lineRule="auto"/>
        <w:ind w:firstLine="420" w:firstLineChars="200"/>
        <w:rPr>
          <w:rFonts w:ascii="宋体" w:hAnsi="宋体"/>
        </w:rPr>
      </w:pPr>
      <w:r>
        <w:rPr>
          <w:rFonts w:hint="eastAsia" w:ascii="宋体" w:hAnsi="宋体"/>
        </w:rPr>
        <w:t>10.2资格审查文件和技术文件不得透露有关报价的任何信息，否则其比选申请将被否决。</w:t>
      </w:r>
    </w:p>
    <w:p>
      <w:pPr>
        <w:pStyle w:val="5"/>
        <w:numPr>
          <w:ilvl w:val="0"/>
          <w:numId w:val="0"/>
        </w:numPr>
        <w:spacing w:line="360" w:lineRule="auto"/>
        <w:ind w:left="210" w:leftChars="100" w:firstLine="211" w:firstLineChars="100"/>
        <w:rPr>
          <w:rFonts w:ascii="宋体" w:hAnsi="宋体" w:eastAsia="宋体"/>
          <w:b/>
          <w:szCs w:val="22"/>
        </w:rPr>
      </w:pPr>
      <w:bookmarkStart w:id="316" w:name="_Toc675"/>
      <w:bookmarkStart w:id="317" w:name="_Toc383891180"/>
      <w:bookmarkStart w:id="318" w:name="_Toc25750603"/>
      <w:bookmarkStart w:id="319" w:name="_Toc14630"/>
      <w:bookmarkStart w:id="320" w:name="_Toc20490"/>
      <w:bookmarkStart w:id="321" w:name="_Toc15919"/>
      <w:bookmarkStart w:id="322" w:name="_Toc21144"/>
      <w:bookmarkStart w:id="323" w:name="_Toc2395"/>
      <w:bookmarkStart w:id="324" w:name="_Toc385427805"/>
      <w:bookmarkStart w:id="325" w:name="_Toc16783"/>
      <w:bookmarkStart w:id="326" w:name="_Toc492478730"/>
      <w:bookmarkStart w:id="327" w:name="_Toc11211"/>
      <w:bookmarkStart w:id="328" w:name="_Toc7608"/>
      <w:bookmarkStart w:id="329" w:name="_Toc14308"/>
      <w:bookmarkStart w:id="330" w:name="_Toc8151"/>
      <w:bookmarkStart w:id="331" w:name="_Toc3670"/>
      <w:bookmarkStart w:id="332" w:name="_Toc27019"/>
      <w:bookmarkStart w:id="333" w:name="_Toc390098431"/>
      <w:bookmarkStart w:id="334" w:name="_Toc375039076"/>
      <w:bookmarkStart w:id="335" w:name="_Toc27194"/>
      <w:bookmarkStart w:id="336" w:name="_Toc12983517"/>
      <w:bookmarkStart w:id="337" w:name="_Toc20248"/>
      <w:bookmarkStart w:id="338" w:name="_Toc23002"/>
      <w:bookmarkStart w:id="339" w:name="_Toc15448"/>
      <w:r>
        <w:rPr>
          <w:rFonts w:hint="eastAsia" w:ascii="宋体" w:hAnsi="宋体" w:eastAsia="宋体"/>
          <w:b/>
          <w:szCs w:val="22"/>
        </w:rPr>
        <w:t>1</w:t>
      </w:r>
      <w:r>
        <w:rPr>
          <w:rFonts w:ascii="宋体" w:hAnsi="宋体" w:eastAsia="宋体"/>
          <w:b/>
          <w:szCs w:val="22"/>
        </w:rPr>
        <w:t>1. 比选申请文件格式</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tabs>
          <w:tab w:val="left" w:pos="8364"/>
        </w:tabs>
        <w:spacing w:line="360" w:lineRule="auto"/>
        <w:ind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line="360" w:lineRule="auto"/>
        <w:ind w:firstLine="420" w:firstLineChars="200"/>
        <w:rPr>
          <w:rFonts w:ascii="宋体" w:hAnsi="宋体"/>
          <w:b/>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r>
        <w:rPr>
          <w:rFonts w:hint="eastAsia" w:ascii="宋体" w:hAnsi="宋体"/>
        </w:rPr>
        <w:t>，</w:t>
      </w:r>
      <w:r>
        <w:rPr>
          <w:rFonts w:hint="eastAsia" w:ascii="宋体" w:hAnsi="宋体" w:cs="宋体"/>
          <w:b/>
          <w:kern w:val="0"/>
          <w:szCs w:val="21"/>
        </w:rPr>
        <w:t>资格审查文件、技术文件、报价文件</w:t>
      </w:r>
      <w:r>
        <w:rPr>
          <w:rFonts w:hint="eastAsia" w:ascii="宋体" w:hAnsi="宋体"/>
          <w:b/>
        </w:rPr>
        <w:t>需分别装订成册</w:t>
      </w:r>
      <w:r>
        <w:rPr>
          <w:rFonts w:ascii="宋体" w:hAnsi="宋体"/>
          <w:b/>
        </w:rPr>
        <w:t>。</w:t>
      </w:r>
    </w:p>
    <w:p>
      <w:pPr>
        <w:tabs>
          <w:tab w:val="left" w:pos="8364"/>
        </w:tabs>
        <w:spacing w:line="360" w:lineRule="auto"/>
        <w:ind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line="360" w:lineRule="auto"/>
        <w:ind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line="360" w:lineRule="auto"/>
        <w:ind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numPr>
          <w:ilvl w:val="0"/>
          <w:numId w:val="0"/>
        </w:numPr>
        <w:spacing w:line="360" w:lineRule="auto"/>
        <w:ind w:left="210" w:leftChars="100" w:firstLine="211" w:firstLineChars="100"/>
        <w:rPr>
          <w:rFonts w:ascii="宋体" w:hAnsi="宋体" w:eastAsia="宋体"/>
          <w:b/>
          <w:szCs w:val="22"/>
        </w:rPr>
      </w:pPr>
      <w:bookmarkStart w:id="340" w:name="_Toc390098432"/>
      <w:bookmarkStart w:id="341" w:name="_Toc383891181"/>
      <w:bookmarkStart w:id="342" w:name="_Toc26482"/>
      <w:bookmarkStart w:id="343" w:name="_Toc31743"/>
      <w:bookmarkStart w:id="344" w:name="_Toc22295"/>
      <w:bookmarkStart w:id="345" w:name="_Toc17338"/>
      <w:bookmarkStart w:id="346" w:name="_Toc26974"/>
      <w:bookmarkStart w:id="347" w:name="_Toc3813"/>
      <w:bookmarkStart w:id="348" w:name="_Toc12983518"/>
      <w:bookmarkStart w:id="349" w:name="_Toc21084"/>
      <w:bookmarkStart w:id="350" w:name="_Toc20685"/>
      <w:bookmarkStart w:id="351" w:name="_Toc385427806"/>
      <w:bookmarkStart w:id="352" w:name="_Toc375039077"/>
      <w:bookmarkStart w:id="353" w:name="_Toc7857"/>
      <w:bookmarkStart w:id="354" w:name="_Toc25750604"/>
      <w:bookmarkStart w:id="355" w:name="_Toc14123"/>
      <w:bookmarkStart w:id="356" w:name="_Toc24264"/>
      <w:bookmarkStart w:id="357" w:name="_Toc9416"/>
      <w:bookmarkStart w:id="358" w:name="_Toc3799"/>
      <w:bookmarkStart w:id="359" w:name="_Toc16653"/>
      <w:bookmarkStart w:id="360" w:name="_Toc17379"/>
      <w:bookmarkStart w:id="361" w:name="_Toc17526"/>
      <w:bookmarkStart w:id="362" w:name="_Toc492478731"/>
      <w:bookmarkStart w:id="363" w:name="_Toc6671"/>
      <w:r>
        <w:rPr>
          <w:rFonts w:hint="eastAsia" w:ascii="宋体" w:hAnsi="宋体" w:eastAsia="宋体"/>
          <w:b/>
          <w:szCs w:val="22"/>
        </w:rPr>
        <w:t>1</w:t>
      </w:r>
      <w:r>
        <w:rPr>
          <w:rFonts w:ascii="宋体" w:hAnsi="宋体" w:eastAsia="宋体"/>
          <w:b/>
          <w:szCs w:val="22"/>
        </w:rPr>
        <w:t>2. 比选申请报价</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tabs>
          <w:tab w:val="left" w:pos="8364"/>
        </w:tabs>
        <w:spacing w:line="360" w:lineRule="auto"/>
        <w:ind w:firstLine="420" w:firstLineChars="200"/>
        <w:rPr>
          <w:rFonts w:ascii="宋体" w:hAnsi="宋体"/>
        </w:rPr>
      </w:pPr>
      <w:r>
        <w:rPr>
          <w:rFonts w:ascii="宋体" w:hAnsi="宋体"/>
        </w:rPr>
        <w:t xml:space="preserve">12.1 </w:t>
      </w:r>
      <w:r>
        <w:rPr>
          <w:rFonts w:hint="eastAsia" w:ascii="宋体" w:hAnsi="宋体"/>
        </w:rPr>
        <w:t>本项目比选申请报价采用不含税报价。在签订本项目合同时，遵循国家现行税法的相关规定，在中标人不含税单价的基础上逐项增加税费，并明确相应税率和税金，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line="360" w:lineRule="auto"/>
        <w:ind w:firstLine="420" w:firstLineChars="200"/>
        <w:rPr>
          <w:rFonts w:ascii="宋体" w:hAnsi="宋体"/>
        </w:rPr>
      </w:pPr>
      <w:r>
        <w:rPr>
          <w:rFonts w:ascii="宋体" w:hAnsi="宋体"/>
        </w:rPr>
        <w:t xml:space="preserve">12.2 </w:t>
      </w:r>
      <w:r>
        <w:rPr>
          <w:rFonts w:hint="eastAsia" w:ascii="宋体" w:hAnsi="宋体"/>
        </w:rPr>
        <w:t>比选申请报价应包括完成所有项目内容及质量保证期服务等履行合同全过程产生的所有成本、利润、税金及其他费用等全部费用以及比选申请人应承担的费用。</w:t>
      </w:r>
    </w:p>
    <w:p>
      <w:pPr>
        <w:tabs>
          <w:tab w:val="left" w:pos="8364"/>
        </w:tabs>
        <w:spacing w:line="360" w:lineRule="auto"/>
        <w:ind w:firstLine="420" w:firstLineChars="200"/>
        <w:rPr>
          <w:rFonts w:ascii="宋体" w:hAnsi="宋体"/>
        </w:rPr>
      </w:pPr>
      <w:r>
        <w:rPr>
          <w:rFonts w:hint="eastAsia" w:ascii="宋体" w:hAnsi="宋体"/>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line="360" w:lineRule="auto"/>
        <w:ind w:firstLine="420" w:firstLineChars="200"/>
        <w:rPr>
          <w:rFonts w:ascii="宋体" w:hAnsi="宋体"/>
        </w:rPr>
      </w:pPr>
      <w:r>
        <w:rPr>
          <w:rFonts w:hint="eastAsia" w:ascii="宋体" w:hAnsi="宋体"/>
        </w:rPr>
        <w:t>12.</w:t>
      </w:r>
      <w:r>
        <w:rPr>
          <w:rFonts w:ascii="宋体" w:hAnsi="宋体"/>
        </w:rPr>
        <w:t>4</w:t>
      </w:r>
      <w:r>
        <w:rPr>
          <w:rFonts w:hint="eastAsia" w:ascii="宋体" w:hAnsi="宋体"/>
        </w:rPr>
        <w:t xml:space="preserve"> 同一规格、型号、标准、内容的项目在各分项报价中应为同一单价。比选申请人对同类项目只允许有一个报价，如有不同报价，则以最低报价为准。</w:t>
      </w:r>
    </w:p>
    <w:p>
      <w:pPr>
        <w:tabs>
          <w:tab w:val="left" w:pos="8364"/>
        </w:tabs>
        <w:spacing w:line="360" w:lineRule="auto"/>
        <w:ind w:firstLine="420" w:firstLineChars="200"/>
        <w:rPr>
          <w:rFonts w:ascii="宋体" w:hAnsi="宋体"/>
        </w:rPr>
      </w:pPr>
      <w:r>
        <w:rPr>
          <w:rFonts w:ascii="宋体" w:hAnsi="宋体"/>
        </w:rPr>
        <w:t xml:space="preserve">12.5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line="360" w:lineRule="auto"/>
        <w:ind w:firstLine="420" w:firstLineChars="200"/>
        <w:rPr>
          <w:rFonts w:ascii="宋体" w:hAnsi="宋体"/>
        </w:rPr>
      </w:pPr>
      <w:r>
        <w:rPr>
          <w:rFonts w:ascii="宋体" w:hAnsi="宋体"/>
        </w:rPr>
        <w:t xml:space="preserve">12.6 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line="360" w:lineRule="auto"/>
        <w:ind w:firstLine="420" w:firstLineChars="200"/>
        <w:rPr>
          <w:rFonts w:ascii="宋体" w:hAnsi="宋体"/>
        </w:rPr>
      </w:pPr>
      <w:r>
        <w:rPr>
          <w:rFonts w:ascii="宋体" w:hAnsi="宋体"/>
        </w:rPr>
        <w:t xml:space="preserve">12.7 </w:t>
      </w:r>
      <w:r>
        <w:rPr>
          <w:rFonts w:hint="eastAsia" w:ascii="宋体" w:hAnsi="宋体"/>
        </w:rPr>
        <w:t>比选申请人不得以低于成本的报价竞标，也不得以他人名义比选申请或者以其他方式弄虚作假，骗取中选。</w:t>
      </w:r>
    </w:p>
    <w:p>
      <w:pPr>
        <w:tabs>
          <w:tab w:val="left" w:pos="8364"/>
        </w:tabs>
        <w:spacing w:line="360" w:lineRule="auto"/>
        <w:ind w:firstLine="420" w:firstLineChars="200"/>
        <w:rPr>
          <w:rFonts w:ascii="宋体" w:hAnsi="宋体"/>
        </w:rPr>
      </w:pPr>
      <w:r>
        <w:rPr>
          <w:rFonts w:hint="eastAsia" w:ascii="宋体" w:hAnsi="宋体"/>
        </w:rPr>
        <w:t>12.</w:t>
      </w:r>
      <w:r>
        <w:rPr>
          <w:rFonts w:ascii="宋体" w:hAnsi="宋体"/>
        </w:rPr>
        <w:t>8</w:t>
      </w:r>
      <w:r>
        <w:rPr>
          <w:rFonts w:hint="eastAsia" w:ascii="宋体" w:hAnsi="宋体"/>
        </w:rPr>
        <w:t xml:space="preserve"> 比选人不接受比选申请人对任何未办理正常进口手续的非中华人民共和国境内生产的货物的比选申请报价。</w:t>
      </w:r>
    </w:p>
    <w:p>
      <w:pPr>
        <w:tabs>
          <w:tab w:val="left" w:pos="8364"/>
        </w:tabs>
        <w:spacing w:line="360" w:lineRule="auto"/>
        <w:ind w:firstLine="420" w:firstLineChars="200"/>
        <w:rPr>
          <w:rFonts w:ascii="宋体" w:hAnsi="宋体"/>
        </w:rPr>
      </w:pPr>
      <w:r>
        <w:rPr>
          <w:rFonts w:hint="eastAsia" w:ascii="宋体" w:hAnsi="宋体"/>
        </w:rPr>
        <w:t>12.</w:t>
      </w:r>
      <w:r>
        <w:rPr>
          <w:rFonts w:ascii="宋体" w:hAnsi="宋体"/>
        </w:rPr>
        <w:t>9</w:t>
      </w:r>
      <w:r>
        <w:rPr>
          <w:rFonts w:hint="eastAsia" w:ascii="宋体" w:hAnsi="宋体"/>
        </w:rPr>
        <w:t xml:space="preserve"> 比选申请人不得在价格文件之外的比选申请文件中出现任何有关本项目的报价信息。</w:t>
      </w:r>
    </w:p>
    <w:p>
      <w:pPr>
        <w:pStyle w:val="5"/>
        <w:numPr>
          <w:ilvl w:val="0"/>
          <w:numId w:val="6"/>
        </w:numPr>
        <w:spacing w:line="360" w:lineRule="auto"/>
        <w:ind w:left="0" w:firstLine="422" w:firstLineChars="200"/>
        <w:rPr>
          <w:rFonts w:ascii="宋体" w:hAnsi="宋体" w:eastAsia="宋体"/>
          <w:b/>
          <w:szCs w:val="22"/>
        </w:rPr>
      </w:pPr>
      <w:bookmarkStart w:id="364" w:name="_Toc7428"/>
      <w:bookmarkStart w:id="365" w:name="_Toc385427807"/>
      <w:bookmarkStart w:id="366" w:name="_Toc21430"/>
      <w:bookmarkStart w:id="367" w:name="_Toc390098433"/>
      <w:bookmarkStart w:id="368" w:name="_Toc1664"/>
      <w:bookmarkStart w:id="369" w:name="_Toc20156"/>
      <w:bookmarkStart w:id="370" w:name="_Toc12762"/>
      <w:bookmarkStart w:id="371" w:name="_Toc383891182"/>
      <w:bookmarkStart w:id="372" w:name="_Toc21706"/>
      <w:bookmarkStart w:id="373" w:name="_Toc10220"/>
      <w:bookmarkStart w:id="374" w:name="_Toc12947"/>
      <w:bookmarkStart w:id="375" w:name="_Toc5836"/>
      <w:bookmarkStart w:id="376" w:name="_Toc12983519"/>
      <w:bookmarkStart w:id="377" w:name="_Toc28476"/>
      <w:bookmarkStart w:id="378" w:name="_Toc21448"/>
      <w:bookmarkStart w:id="379" w:name="_Toc375039078"/>
      <w:bookmarkStart w:id="380" w:name="_Toc25459"/>
      <w:bookmarkStart w:id="381" w:name="_Toc25750605"/>
      <w:bookmarkStart w:id="382" w:name="_Toc28880"/>
      <w:bookmarkStart w:id="383" w:name="_Toc15940"/>
      <w:bookmarkStart w:id="384" w:name="_Toc2710"/>
      <w:bookmarkStart w:id="385" w:name="_Toc492478732"/>
      <w:bookmarkStart w:id="386" w:name="_Toc26064"/>
      <w:bookmarkStart w:id="387" w:name="_Toc18875"/>
      <w:r>
        <w:rPr>
          <w:rFonts w:ascii="宋体" w:hAnsi="宋体" w:eastAsia="宋体"/>
          <w:b/>
          <w:szCs w:val="22"/>
        </w:rPr>
        <w:t>比选申请货币</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spacing w:line="360" w:lineRule="auto"/>
        <w:ind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line="360" w:lineRule="auto"/>
        <w:ind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6"/>
        </w:numPr>
        <w:spacing w:line="360" w:lineRule="auto"/>
        <w:ind w:left="0" w:firstLine="422" w:firstLineChars="200"/>
        <w:rPr>
          <w:rFonts w:ascii="宋体" w:hAnsi="宋体" w:eastAsia="宋体"/>
          <w:b/>
          <w:szCs w:val="22"/>
        </w:rPr>
      </w:pPr>
      <w:bookmarkStart w:id="388" w:name="_Toc27508"/>
      <w:bookmarkStart w:id="389" w:name="_Toc1624"/>
      <w:bookmarkStart w:id="390" w:name="_Toc12049"/>
      <w:bookmarkStart w:id="391" w:name="_Toc390098436"/>
      <w:bookmarkStart w:id="392" w:name="_Toc14922"/>
      <w:bookmarkStart w:id="393" w:name="_Toc25750606"/>
      <w:bookmarkStart w:id="394" w:name="_Toc9237"/>
      <w:bookmarkStart w:id="395" w:name="_Toc1530"/>
      <w:bookmarkStart w:id="396" w:name="_Toc30606"/>
      <w:bookmarkStart w:id="397" w:name="_Toc383891185"/>
      <w:bookmarkStart w:id="398" w:name="_Toc11690"/>
      <w:bookmarkStart w:id="399" w:name="_Toc24199"/>
      <w:bookmarkStart w:id="400" w:name="_Toc375039081"/>
      <w:bookmarkStart w:id="401" w:name="_Toc16314"/>
      <w:bookmarkStart w:id="402" w:name="_Toc30040"/>
      <w:bookmarkStart w:id="403" w:name="_Toc5974"/>
      <w:bookmarkStart w:id="404" w:name="_Toc385427810"/>
      <w:bookmarkStart w:id="405" w:name="_Toc22051"/>
      <w:bookmarkStart w:id="406" w:name="_Toc28665"/>
      <w:bookmarkStart w:id="407" w:name="_Toc14309"/>
      <w:bookmarkStart w:id="408" w:name="_Toc492478735"/>
      <w:bookmarkStart w:id="409" w:name="_Toc12983520"/>
      <w:bookmarkStart w:id="410" w:name="_Toc7417"/>
      <w:bookmarkStart w:id="411" w:name="_Toc30848"/>
      <w:r>
        <w:rPr>
          <w:rFonts w:ascii="宋体" w:hAnsi="宋体" w:eastAsia="宋体"/>
          <w:b/>
          <w:szCs w:val="22"/>
        </w:rPr>
        <w:t>比选保证金</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2"/>
        <w:spacing w:line="360" w:lineRule="auto"/>
        <w:ind w:firstLine="420" w:firstLineChars="200"/>
        <w:rPr>
          <w:rFonts w:hAnsi="宋体" w:cs="黑体"/>
          <w:szCs w:val="22"/>
        </w:rPr>
      </w:pPr>
      <w:r>
        <w:rPr>
          <w:rFonts w:hint="eastAsia" w:hAnsi="宋体" w:cs="黑体"/>
          <w:szCs w:val="22"/>
        </w:rPr>
        <w:t>无</w:t>
      </w:r>
    </w:p>
    <w:p>
      <w:pPr>
        <w:pStyle w:val="5"/>
        <w:numPr>
          <w:ilvl w:val="0"/>
          <w:numId w:val="0"/>
        </w:numPr>
        <w:spacing w:line="360" w:lineRule="auto"/>
        <w:ind w:left="420"/>
        <w:rPr>
          <w:rFonts w:ascii="宋体" w:hAnsi="宋体" w:eastAsia="宋体"/>
          <w:b/>
          <w:szCs w:val="22"/>
        </w:rPr>
      </w:pPr>
      <w:bookmarkStart w:id="412" w:name="_Toc12983521"/>
      <w:bookmarkStart w:id="413" w:name="_Toc2268"/>
      <w:bookmarkStart w:id="414" w:name="_Toc1604"/>
      <w:bookmarkStart w:id="415" w:name="_Toc28555"/>
      <w:bookmarkStart w:id="416" w:name="_Toc691"/>
      <w:bookmarkStart w:id="417" w:name="_Toc30499"/>
      <w:bookmarkStart w:id="418" w:name="_Toc20493"/>
      <w:bookmarkStart w:id="419" w:name="_Toc23114"/>
      <w:bookmarkStart w:id="420" w:name="_Toc20070"/>
      <w:bookmarkStart w:id="421" w:name="_Toc383891186"/>
      <w:bookmarkStart w:id="422" w:name="_Toc24656"/>
      <w:bookmarkStart w:id="423" w:name="_Toc845"/>
      <w:bookmarkStart w:id="424" w:name="_Toc4433"/>
      <w:bookmarkStart w:id="425" w:name="_Toc375039082"/>
      <w:bookmarkStart w:id="426" w:name="_Toc10918"/>
      <w:bookmarkStart w:id="427" w:name="_Toc7808"/>
      <w:bookmarkStart w:id="428" w:name="_Toc390098437"/>
      <w:bookmarkStart w:id="429" w:name="_Toc492478736"/>
      <w:bookmarkStart w:id="430" w:name="_Toc20643"/>
      <w:bookmarkStart w:id="431" w:name="_Toc9117"/>
      <w:bookmarkStart w:id="432" w:name="_Toc5690"/>
      <w:bookmarkStart w:id="433" w:name="_Toc385427811"/>
      <w:bookmarkStart w:id="434" w:name="_Toc25750607"/>
      <w:bookmarkStart w:id="435" w:name="_Toc28997"/>
      <w:r>
        <w:rPr>
          <w:rFonts w:hint="eastAsia" w:ascii="宋体" w:hAnsi="宋体" w:eastAsia="宋体"/>
          <w:b/>
          <w:szCs w:val="22"/>
        </w:rPr>
        <w:t>15. 履约担保</w:t>
      </w:r>
    </w:p>
    <w:p>
      <w:pPr>
        <w:tabs>
          <w:tab w:val="left" w:pos="1134"/>
          <w:tab w:val="left" w:pos="8364"/>
        </w:tabs>
        <w:spacing w:line="360" w:lineRule="auto"/>
        <w:ind w:firstLine="420" w:firstLineChars="200"/>
        <w:rPr>
          <w:rFonts w:ascii="宋体" w:hAnsi="宋体"/>
        </w:rPr>
      </w:pPr>
      <w:r>
        <w:rPr>
          <w:rFonts w:hint="eastAsia" w:ascii="宋体" w:hAnsi="宋体"/>
        </w:rPr>
        <w:t>15.1履约担保的金额：合同总价的</w:t>
      </w:r>
      <w:r>
        <w:rPr>
          <w:rFonts w:ascii="宋体" w:hAnsi="宋体"/>
        </w:rPr>
        <w:t>2.5%</w:t>
      </w:r>
      <w:r>
        <w:rPr>
          <w:rFonts w:hint="eastAsia"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15.2履约担保的形式：转账或电汇或银行保函。</w:t>
      </w:r>
    </w:p>
    <w:p>
      <w:pPr>
        <w:pStyle w:val="2"/>
        <w:spacing w:line="360" w:lineRule="auto"/>
        <w:ind w:firstLine="420"/>
      </w:pPr>
      <w:r>
        <w:rPr>
          <w:rFonts w:hint="eastAsia"/>
        </w:rPr>
        <w:t>15.3 履约担保金转账账号信息：</w:t>
      </w:r>
    </w:p>
    <w:p>
      <w:pPr>
        <w:pStyle w:val="2"/>
        <w:spacing w:line="360" w:lineRule="auto"/>
        <w:ind w:firstLine="420"/>
      </w:pPr>
      <w:r>
        <w:rPr>
          <w:rFonts w:hint="eastAsia"/>
        </w:rPr>
        <w:t>账户名称：南宁轨道交通运营有限公司</w:t>
      </w:r>
    </w:p>
    <w:p>
      <w:pPr>
        <w:pStyle w:val="2"/>
        <w:spacing w:line="360" w:lineRule="auto"/>
        <w:ind w:firstLine="420"/>
      </w:pPr>
      <w:r>
        <w:rPr>
          <w:rFonts w:hint="eastAsia"/>
        </w:rPr>
        <w:t>开户行：建行南宁市朝阳支行</w:t>
      </w:r>
    </w:p>
    <w:p>
      <w:pPr>
        <w:pStyle w:val="2"/>
        <w:spacing w:line="360" w:lineRule="auto"/>
        <w:ind w:firstLine="420"/>
      </w:pPr>
      <w:r>
        <w:rPr>
          <w:rFonts w:hint="eastAsia"/>
        </w:rPr>
        <w:t>账号：4</w:t>
      </w:r>
      <w:r>
        <w:t>5050160447309118866</w:t>
      </w:r>
    </w:p>
    <w:p>
      <w:pPr>
        <w:tabs>
          <w:tab w:val="left" w:pos="1134"/>
          <w:tab w:val="left" w:pos="8364"/>
        </w:tabs>
        <w:spacing w:line="360" w:lineRule="auto"/>
        <w:ind w:firstLine="420" w:firstLineChars="200"/>
        <w:rPr>
          <w:rFonts w:ascii="宋体" w:hAnsi="宋体"/>
        </w:rPr>
      </w:pPr>
      <w:r>
        <w:rPr>
          <w:rFonts w:hint="eastAsia" w:ascii="宋体" w:hAnsi="宋体"/>
        </w:rPr>
        <w:t>15.4银行保函由中国境内各商业银行支行及其以上的银行开具的银行保函。</w:t>
      </w:r>
    </w:p>
    <w:p>
      <w:pPr>
        <w:tabs>
          <w:tab w:val="left" w:pos="1134"/>
          <w:tab w:val="left" w:pos="8364"/>
        </w:tabs>
        <w:spacing w:line="360" w:lineRule="auto"/>
        <w:ind w:firstLine="420" w:firstLineChars="200"/>
        <w:rPr>
          <w:rFonts w:ascii="宋体" w:hAnsi="宋体"/>
        </w:rPr>
      </w:pPr>
      <w:r>
        <w:rPr>
          <w:rFonts w:hint="eastAsia" w:ascii="宋体" w:hAnsi="宋体"/>
        </w:rPr>
        <w:t>15.5递交地点：南宁市青秀区云景路83号屯里车辆段；</w:t>
      </w:r>
    </w:p>
    <w:p>
      <w:pPr>
        <w:tabs>
          <w:tab w:val="left" w:pos="1134"/>
          <w:tab w:val="left" w:pos="8364"/>
        </w:tabs>
        <w:spacing w:line="360" w:lineRule="auto"/>
        <w:ind w:firstLine="420" w:firstLineChars="200"/>
        <w:rPr>
          <w:rFonts w:ascii="宋体" w:hAnsi="宋体"/>
        </w:rPr>
      </w:pPr>
      <w:r>
        <w:rPr>
          <w:rFonts w:hint="eastAsia" w:ascii="宋体" w:hAnsi="宋体"/>
        </w:rPr>
        <w:t>15.6提交履约担保的时间：应在合同签订前、且最迟应在中选通知书发出之日起</w:t>
      </w:r>
      <w:r>
        <w:rPr>
          <w:rFonts w:ascii="宋体" w:hAnsi="宋体"/>
        </w:rPr>
        <w:t>20</w:t>
      </w:r>
      <w:r>
        <w:rPr>
          <w:rFonts w:hint="eastAsia" w:ascii="宋体" w:hAnsi="宋体"/>
        </w:rPr>
        <w:t>日内。</w:t>
      </w:r>
    </w:p>
    <w:p>
      <w:pPr>
        <w:tabs>
          <w:tab w:val="left" w:pos="1134"/>
          <w:tab w:val="left" w:pos="8364"/>
        </w:tabs>
        <w:spacing w:line="360" w:lineRule="auto"/>
        <w:ind w:firstLine="420" w:firstLineChars="200"/>
        <w:rPr>
          <w:rFonts w:ascii="宋体" w:hAnsi="宋体"/>
        </w:rPr>
      </w:pPr>
      <w:r>
        <w:rPr>
          <w:rFonts w:hint="eastAsia" w:ascii="宋体" w:hAnsi="宋体"/>
        </w:rPr>
        <w:t>15.7若中选人未在规定时间内足额缴纳履约担保，比选人有权取消其中选资格。</w:t>
      </w:r>
    </w:p>
    <w:p>
      <w:pPr>
        <w:spacing w:line="360" w:lineRule="auto"/>
        <w:ind w:firstLine="420" w:firstLineChars="200"/>
        <w:rPr>
          <w:rFonts w:ascii="宋体" w:hAnsi="宋体"/>
        </w:rPr>
      </w:pPr>
      <w:r>
        <w:rPr>
          <w:rFonts w:hint="eastAsia" w:ascii="宋体" w:hAnsi="宋体"/>
        </w:rPr>
        <w:t>15.8履约保函应采用合同规定格式，其开具银行应为中国境内商业银行地市级以上支行（含地市级支行），并须是以比选人为受益人，见索即付无条件付款的、不可撤销的银行保函。</w:t>
      </w:r>
    </w:p>
    <w:p>
      <w:pPr>
        <w:pStyle w:val="2"/>
        <w:ind w:firstLine="422" w:firstLineChars="200"/>
        <w:outlineLvl w:val="2"/>
        <w:rPr>
          <w:rFonts w:hAnsi="宋体"/>
          <w:b/>
          <w:szCs w:val="22"/>
        </w:rPr>
      </w:pPr>
      <w:r>
        <w:rPr>
          <w:rFonts w:hint="eastAsia" w:hAnsi="宋体"/>
          <w:b/>
          <w:szCs w:val="22"/>
        </w:rPr>
        <w:t xml:space="preserve">16. </w:t>
      </w:r>
      <w:r>
        <w:rPr>
          <w:rFonts w:hAnsi="宋体"/>
          <w:b/>
          <w:szCs w:val="22"/>
        </w:rPr>
        <w:t>比选申请有效期</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tabs>
          <w:tab w:val="left" w:pos="1134"/>
          <w:tab w:val="left" w:pos="8364"/>
        </w:tabs>
        <w:spacing w:line="360" w:lineRule="auto"/>
        <w:ind w:firstLine="420" w:firstLineChars="200"/>
        <w:rPr>
          <w:rFonts w:ascii="宋体" w:hAnsi="宋体"/>
        </w:rPr>
      </w:pPr>
      <w:r>
        <w:rPr>
          <w:rFonts w:hint="eastAsia" w:ascii="宋体" w:hAnsi="宋体"/>
        </w:rPr>
        <w:t xml:space="preserve">16.1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line="360" w:lineRule="auto"/>
        <w:ind w:firstLine="420" w:firstLineChars="200"/>
        <w:rPr>
          <w:rFonts w:ascii="宋体" w:hAnsi="宋体"/>
        </w:rPr>
      </w:pPr>
      <w:r>
        <w:rPr>
          <w:rFonts w:hint="eastAsia" w:ascii="宋体" w:hAnsi="宋体"/>
        </w:rPr>
        <w:t xml:space="preserve">16.2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pStyle w:val="5"/>
        <w:numPr>
          <w:ilvl w:val="0"/>
          <w:numId w:val="0"/>
        </w:numPr>
        <w:ind w:left="210" w:leftChars="100" w:firstLine="211" w:firstLineChars="100"/>
        <w:rPr>
          <w:rFonts w:ascii="宋体" w:hAnsi="宋体"/>
          <w:b/>
          <w:bCs w:val="0"/>
        </w:rPr>
      </w:pPr>
      <w:bookmarkStart w:id="436" w:name="_Toc4216"/>
      <w:bookmarkStart w:id="437" w:name="_Toc6065"/>
      <w:bookmarkStart w:id="438" w:name="_Toc25468"/>
      <w:bookmarkStart w:id="439" w:name="_Toc12506"/>
      <w:bookmarkStart w:id="440" w:name="_Toc301"/>
      <w:bookmarkStart w:id="441" w:name="_Toc24922"/>
      <w:bookmarkStart w:id="442" w:name="_Toc492478737"/>
      <w:bookmarkStart w:id="443" w:name="_Toc375039083"/>
      <w:bookmarkStart w:id="444" w:name="_Toc32525"/>
      <w:bookmarkStart w:id="445" w:name="_Toc27730"/>
      <w:bookmarkStart w:id="446" w:name="_Toc14672"/>
      <w:bookmarkStart w:id="447" w:name="_Toc8100"/>
      <w:bookmarkStart w:id="448" w:name="_Toc390098438"/>
      <w:bookmarkStart w:id="449" w:name="_Toc3414"/>
      <w:bookmarkStart w:id="450" w:name="_Toc12435"/>
      <w:bookmarkStart w:id="451" w:name="_Toc29108"/>
      <w:bookmarkStart w:id="452" w:name="_Toc19603"/>
      <w:bookmarkStart w:id="453" w:name="_Toc12983522"/>
      <w:bookmarkStart w:id="454" w:name="_Toc383891187"/>
      <w:bookmarkStart w:id="455" w:name="_Toc19044"/>
      <w:bookmarkStart w:id="456" w:name="_Toc25684"/>
      <w:bookmarkStart w:id="457" w:name="_Toc385427812"/>
      <w:bookmarkStart w:id="458" w:name="_Toc32020"/>
      <w:r>
        <w:rPr>
          <w:rFonts w:hint="eastAsia" w:ascii="宋体" w:hAnsi="宋体"/>
          <w:b/>
        </w:rPr>
        <w:t xml:space="preserve">17. </w:t>
      </w:r>
      <w:r>
        <w:rPr>
          <w:rFonts w:ascii="宋体" w:hAnsi="宋体"/>
          <w:b/>
        </w:rPr>
        <w:t>比选申请文件的制作和签署</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tabs>
          <w:tab w:val="left" w:pos="1134"/>
          <w:tab w:val="left" w:pos="8364"/>
        </w:tabs>
        <w:spacing w:line="360" w:lineRule="auto"/>
        <w:ind w:firstLine="420" w:firstLineChars="200"/>
        <w:rPr>
          <w:rFonts w:ascii="宋体" w:hAnsi="宋体"/>
          <w:b/>
        </w:rPr>
      </w:pPr>
      <w:r>
        <w:rPr>
          <w:rFonts w:hint="eastAsia" w:ascii="宋体" w:hAnsi="宋体"/>
        </w:rPr>
        <w:t xml:space="preserve">17.1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line="360" w:lineRule="auto"/>
        <w:ind w:firstLine="420" w:firstLineChars="200"/>
        <w:rPr>
          <w:rFonts w:ascii="宋体" w:hAnsi="宋体"/>
        </w:rPr>
      </w:pPr>
      <w:r>
        <w:rPr>
          <w:rFonts w:hint="eastAsia" w:ascii="宋体" w:hAnsi="宋体"/>
        </w:rPr>
        <w:t xml:space="preserve">17.2 </w:t>
      </w:r>
      <w:r>
        <w:rPr>
          <w:rFonts w:ascii="宋体" w:hAnsi="宋体"/>
        </w:rPr>
        <w:t>比选申请文件的正本需打印，并由比选申请人法定代表人或其授权委托人</w:t>
      </w:r>
      <w:r>
        <w:rPr>
          <w:rFonts w:hint="eastAsia" w:ascii="宋体" w:hAnsi="宋体"/>
        </w:rPr>
        <w:t>在比选文件规定的相关位置</w:t>
      </w:r>
      <w:r>
        <w:rPr>
          <w:rFonts w:ascii="宋体" w:hAnsi="宋体"/>
        </w:rPr>
        <w:t>签字并加盖公章。授权委托人应将以书面形式出具的“法定代表人授权书”附在比选申请文件中。</w:t>
      </w:r>
      <w:r>
        <w:rPr>
          <w:rFonts w:hint="eastAsia" w:ascii="宋体" w:hAnsi="宋体"/>
        </w:rPr>
        <w:t>比选申请文件正本需</w:t>
      </w:r>
      <w:r>
        <w:rPr>
          <w:rFonts w:ascii="宋体" w:hAnsi="宋体"/>
        </w:rPr>
        <w:t>骑缝加盖比选申请人单位公章</w:t>
      </w:r>
      <w:r>
        <w:rPr>
          <w:rFonts w:hint="eastAsia" w:ascii="宋体" w:hAnsi="宋体"/>
        </w:rPr>
        <w:t>，</w:t>
      </w:r>
      <w:r>
        <w:rPr>
          <w:rFonts w:ascii="宋体" w:hAnsi="宋体"/>
        </w:rPr>
        <w:t>比选申请文件的副本可采用正本的复印件</w:t>
      </w:r>
      <w:r>
        <w:rPr>
          <w:rFonts w:hint="eastAsia" w:ascii="宋体" w:hAnsi="宋体"/>
        </w:rPr>
        <w:t>（需</w:t>
      </w:r>
      <w:r>
        <w:rPr>
          <w:rFonts w:ascii="宋体" w:hAnsi="宋体"/>
        </w:rPr>
        <w:t>骑缝加盖比选申请人单位公章</w:t>
      </w:r>
      <w:r>
        <w:rPr>
          <w:rFonts w:hint="eastAsia" w:ascii="宋体" w:hAnsi="宋体"/>
        </w:rPr>
        <w:t>）</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17.3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r>
        <w:rPr>
          <w:rFonts w:hint="eastAsia" w:ascii="宋体" w:hAnsi="宋体"/>
        </w:rPr>
        <w:t>。</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line="360" w:lineRule="auto"/>
        <w:ind w:firstLine="424" w:firstLineChars="176"/>
        <w:rPr>
          <w:rFonts w:ascii="宋体" w:hAnsi="宋体"/>
          <w:sz w:val="24"/>
          <w:szCs w:val="24"/>
        </w:rPr>
      </w:pPr>
      <w:bookmarkStart w:id="459" w:name="_Toc375039084"/>
      <w:bookmarkStart w:id="460" w:name="_Toc385427813"/>
      <w:bookmarkStart w:id="461" w:name="_Toc383891188"/>
      <w:bookmarkStart w:id="462" w:name="_Toc390098439"/>
      <w:bookmarkStart w:id="463" w:name="_Toc1315"/>
      <w:bookmarkStart w:id="464" w:name="_Toc25750608"/>
      <w:bookmarkStart w:id="465" w:name="_Toc10234"/>
      <w:bookmarkStart w:id="466" w:name="_Toc15116"/>
      <w:bookmarkStart w:id="467" w:name="_Toc32054"/>
      <w:bookmarkStart w:id="468" w:name="_Toc30962"/>
      <w:bookmarkStart w:id="469" w:name="_Toc6101"/>
      <w:bookmarkStart w:id="470" w:name="_Toc30452"/>
      <w:bookmarkStart w:id="471" w:name="_Toc1952"/>
      <w:bookmarkStart w:id="472" w:name="_Toc16409"/>
      <w:bookmarkStart w:id="473" w:name="_Toc30187"/>
      <w:bookmarkStart w:id="474" w:name="_Toc26551"/>
      <w:bookmarkStart w:id="475" w:name="_Toc26776"/>
      <w:bookmarkStart w:id="476" w:name="_Toc75771523"/>
      <w:bookmarkStart w:id="477" w:name="_Toc2975"/>
      <w:bookmarkStart w:id="478" w:name="_Toc23177"/>
      <w:bookmarkStart w:id="479" w:name="_Toc759"/>
      <w:bookmarkStart w:id="480" w:name="_Toc18322"/>
      <w:bookmarkStart w:id="481" w:name="_Toc492478738"/>
      <w:bookmarkStart w:id="482" w:name="_Toc12983523"/>
      <w:bookmarkStart w:id="483" w:name="_Toc2113"/>
      <w:bookmarkStart w:id="484" w:name="_Toc14011"/>
      <w:r>
        <w:rPr>
          <w:rFonts w:hint="eastAsia" w:ascii="宋体" w:hAnsi="宋体"/>
          <w:sz w:val="24"/>
          <w:szCs w:val="24"/>
        </w:rPr>
        <w:t>四、</w:t>
      </w:r>
      <w:r>
        <w:rPr>
          <w:rFonts w:ascii="宋体" w:hAnsi="宋体"/>
          <w:sz w:val="24"/>
          <w:szCs w:val="24"/>
        </w:rPr>
        <w:t>比选申请文件</w:t>
      </w:r>
      <w:bookmarkEnd w:id="459"/>
      <w:bookmarkEnd w:id="460"/>
      <w:bookmarkEnd w:id="461"/>
      <w:bookmarkEnd w:id="462"/>
      <w:r>
        <w:rPr>
          <w:rFonts w:hint="eastAsia" w:ascii="宋体" w:hAnsi="宋体"/>
          <w:sz w:val="24"/>
          <w:szCs w:val="24"/>
        </w:rPr>
        <w:t>的密封和递交</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5"/>
        <w:numPr>
          <w:ilvl w:val="0"/>
          <w:numId w:val="0"/>
        </w:numPr>
        <w:spacing w:line="360" w:lineRule="auto"/>
        <w:ind w:left="420"/>
        <w:rPr>
          <w:rFonts w:ascii="宋体" w:hAnsi="宋体"/>
          <w:b/>
          <w:bCs w:val="0"/>
        </w:rPr>
      </w:pPr>
      <w:bookmarkStart w:id="485" w:name="_Toc12983524"/>
      <w:bookmarkStart w:id="486" w:name="_Toc12329"/>
      <w:bookmarkStart w:id="487" w:name="_Toc383891189"/>
      <w:bookmarkStart w:id="488" w:name="_Toc30196"/>
      <w:bookmarkStart w:id="489" w:name="_Toc17200"/>
      <w:bookmarkStart w:id="490" w:name="_Toc15071"/>
      <w:bookmarkStart w:id="491" w:name="_Toc19495"/>
      <w:bookmarkStart w:id="492" w:name="_Toc13621"/>
      <w:bookmarkStart w:id="493" w:name="_Toc15735"/>
      <w:bookmarkStart w:id="494" w:name="_Toc492478739"/>
      <w:bookmarkStart w:id="495" w:name="_Toc24648"/>
      <w:bookmarkStart w:id="496" w:name="_Toc25750609"/>
      <w:bookmarkStart w:id="497" w:name="_Toc5922"/>
      <w:bookmarkStart w:id="498" w:name="_Toc375039085"/>
      <w:bookmarkStart w:id="499" w:name="_Toc385427814"/>
      <w:bookmarkStart w:id="500" w:name="_Toc12117"/>
      <w:bookmarkStart w:id="501" w:name="_Toc390098440"/>
      <w:bookmarkStart w:id="502" w:name="_Toc26249"/>
      <w:bookmarkStart w:id="503" w:name="_Toc18616"/>
      <w:bookmarkStart w:id="504" w:name="_Toc9307"/>
      <w:bookmarkStart w:id="505" w:name="_Toc15650"/>
      <w:bookmarkStart w:id="506" w:name="_Toc13829"/>
      <w:bookmarkStart w:id="507" w:name="_Toc15663"/>
      <w:bookmarkStart w:id="508" w:name="_Toc13875"/>
      <w:r>
        <w:rPr>
          <w:rFonts w:hint="eastAsia" w:ascii="宋体" w:hAnsi="宋体"/>
          <w:b/>
          <w:bCs w:val="0"/>
        </w:rPr>
        <w:t xml:space="preserve">18. </w:t>
      </w:r>
      <w:r>
        <w:rPr>
          <w:rFonts w:ascii="宋体" w:hAnsi="宋体"/>
          <w:b/>
          <w:bCs w:val="0"/>
        </w:rPr>
        <w:t>比选申请文件</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tabs>
          <w:tab w:val="left" w:pos="1134"/>
          <w:tab w:val="left" w:pos="8364"/>
        </w:tabs>
        <w:spacing w:line="360" w:lineRule="auto"/>
        <w:ind w:firstLine="420" w:firstLineChars="200"/>
        <w:rPr>
          <w:rFonts w:ascii="宋体" w:hAnsi="宋体"/>
        </w:rPr>
      </w:pPr>
      <w:bookmarkStart w:id="509" w:name="_Toc385427815"/>
      <w:bookmarkStart w:id="510" w:name="_Toc383891190"/>
      <w:bookmarkStart w:id="511" w:name="_Toc375039086"/>
      <w:bookmarkStart w:id="512" w:name="_Toc390098441"/>
      <w:r>
        <w:rPr>
          <w:rFonts w:hint="eastAsia" w:ascii="宋体" w:hAnsi="宋体"/>
        </w:rPr>
        <w:t xml:space="preserve">18.1 </w:t>
      </w:r>
      <w:r>
        <w:rPr>
          <w:rFonts w:ascii="宋体" w:hAnsi="宋体"/>
        </w:rPr>
        <w:t>封装方式</w:t>
      </w:r>
    </w:p>
    <w:p>
      <w:pPr>
        <w:tabs>
          <w:tab w:val="left" w:pos="420"/>
          <w:tab w:val="left" w:pos="720"/>
          <w:tab w:val="left" w:pos="1134"/>
        </w:tabs>
        <w:spacing w:line="360" w:lineRule="auto"/>
        <w:ind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line="360" w:lineRule="auto"/>
        <w:ind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line="360" w:lineRule="auto"/>
        <w:ind w:firstLine="420" w:firstLineChars="200"/>
        <w:rPr>
          <w:rFonts w:ascii="宋体" w:hAnsi="宋体"/>
        </w:rPr>
      </w:pPr>
      <w:r>
        <w:rPr>
          <w:rFonts w:hint="eastAsia" w:ascii="宋体" w:hAnsi="宋体"/>
        </w:rPr>
        <w:t>（3）所有密封箱/袋应保证其密封性，并骑缝加盖比选申请人单位公章。</w:t>
      </w:r>
    </w:p>
    <w:p>
      <w:pPr>
        <w:pStyle w:val="2"/>
        <w:spacing w:line="360" w:lineRule="auto"/>
        <w:rPr>
          <w:rFonts w:hAnsi="宋体" w:cs="黑体"/>
          <w:b/>
          <w:szCs w:val="22"/>
        </w:rPr>
      </w:pPr>
      <w:r>
        <w:rPr>
          <w:rFonts w:hint="eastAsia"/>
        </w:rPr>
        <w:t xml:space="preserve">   </w:t>
      </w:r>
      <w:r>
        <w:rPr>
          <w:rFonts w:hAnsi="宋体" w:cs="黑体"/>
          <w:b/>
          <w:szCs w:val="22"/>
        </w:rPr>
        <w:t xml:space="preserve"> </w:t>
      </w:r>
      <w:r>
        <w:rPr>
          <w:rFonts w:hint="eastAsia" w:hAnsi="宋体" w:cs="黑体"/>
          <w:b/>
          <w:szCs w:val="22"/>
        </w:rPr>
        <w:t>（</w:t>
      </w:r>
      <w:r>
        <w:rPr>
          <w:rFonts w:hAnsi="宋体" w:cs="黑体"/>
          <w:b/>
          <w:szCs w:val="22"/>
        </w:rPr>
        <w:t>4</w:t>
      </w:r>
      <w:r>
        <w:rPr>
          <w:rFonts w:hint="eastAsia" w:hAnsi="宋体" w:cs="黑体"/>
          <w:b/>
          <w:szCs w:val="22"/>
        </w:rPr>
        <w:t>）资格审查文件、技术文件、报价文件需分别装订成册</w:t>
      </w:r>
      <w:r>
        <w:rPr>
          <w:rFonts w:hAnsi="宋体" w:cs="黑体"/>
          <w:b/>
          <w:szCs w:val="22"/>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18.2 </w:t>
      </w:r>
      <w:r>
        <w:rPr>
          <w:rFonts w:ascii="宋体" w:hAnsi="宋体"/>
        </w:rPr>
        <w:t>所有密封箱/袋都应具有下列识别标志：</w:t>
      </w:r>
    </w:p>
    <w:p>
      <w:pPr>
        <w:tabs>
          <w:tab w:val="left" w:pos="1155"/>
        </w:tabs>
        <w:spacing w:line="360" w:lineRule="auto"/>
        <w:ind w:firstLine="420" w:firstLineChars="200"/>
        <w:rPr>
          <w:rFonts w:ascii="宋体" w:hAnsi="宋体"/>
        </w:rPr>
      </w:pPr>
      <w:r>
        <w:rPr>
          <w:rFonts w:hint="eastAsia" w:ascii="宋体" w:hAnsi="宋体"/>
        </w:rPr>
        <w:t>（1）</w:t>
      </w:r>
      <w:r>
        <w:rPr>
          <w:rFonts w:ascii="宋体" w:hAnsi="宋体"/>
        </w:rPr>
        <w:t>项目名称：</w:t>
      </w:r>
      <w:r>
        <w:rPr>
          <w:rFonts w:hint="eastAsia" w:ascii="宋体" w:hAnsi="宋体"/>
          <w:u w:val="single"/>
        </w:rPr>
        <w:t>南宁轨道交通运营有限公司2</w:t>
      </w:r>
      <w:r>
        <w:rPr>
          <w:rFonts w:ascii="宋体" w:hAnsi="宋体"/>
          <w:u w:val="single"/>
        </w:rPr>
        <w:t>023</w:t>
      </w:r>
      <w:r>
        <w:rPr>
          <w:rFonts w:hint="eastAsia" w:ascii="宋体" w:hAnsi="宋体"/>
          <w:u w:val="single"/>
        </w:rPr>
        <w:t>年办公家具家电委外维修项目</w:t>
      </w:r>
      <w:r>
        <w:rPr>
          <w:rFonts w:ascii="宋体" w:hAnsi="宋体"/>
        </w:rPr>
        <w:t>；</w:t>
      </w:r>
    </w:p>
    <w:p>
      <w:pPr>
        <w:tabs>
          <w:tab w:val="left" w:pos="420"/>
          <w:tab w:val="left" w:pos="720"/>
          <w:tab w:val="left" w:pos="1134"/>
        </w:tabs>
        <w:spacing w:line="360" w:lineRule="auto"/>
        <w:ind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202208020001</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18.3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line="360" w:lineRule="auto"/>
        <w:ind w:firstLine="420" w:firstLineChars="200"/>
        <w:rPr>
          <w:rFonts w:ascii="宋体" w:hAnsi="宋体"/>
        </w:rPr>
      </w:pPr>
      <w:r>
        <w:rPr>
          <w:rFonts w:hint="eastAsia" w:ascii="宋体" w:hAnsi="宋体"/>
        </w:rPr>
        <w:t xml:space="preserve">18.4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0"/>
        </w:numPr>
        <w:spacing w:line="360" w:lineRule="auto"/>
        <w:ind w:firstLine="422" w:firstLineChars="200"/>
        <w:rPr>
          <w:rFonts w:ascii="宋体" w:hAnsi="宋体"/>
          <w:b/>
          <w:bCs w:val="0"/>
        </w:rPr>
      </w:pPr>
      <w:bookmarkStart w:id="513" w:name="_Toc16755"/>
      <w:bookmarkStart w:id="514" w:name="_Toc6339"/>
      <w:bookmarkStart w:id="515" w:name="_Toc11096"/>
      <w:bookmarkStart w:id="516" w:name="_Toc2337"/>
      <w:bookmarkStart w:id="517" w:name="_Toc492478740"/>
      <w:bookmarkStart w:id="518" w:name="_Toc13883"/>
      <w:bookmarkStart w:id="519" w:name="_Toc22180"/>
      <w:bookmarkStart w:id="520" w:name="_Toc4735"/>
      <w:bookmarkStart w:id="521" w:name="_Toc22445"/>
      <w:bookmarkStart w:id="522" w:name="_Toc12983525"/>
      <w:bookmarkStart w:id="523" w:name="_Toc11039"/>
      <w:bookmarkStart w:id="524" w:name="_Toc23859"/>
      <w:bookmarkStart w:id="525" w:name="_Toc11255"/>
      <w:bookmarkStart w:id="526" w:name="_Toc32760"/>
      <w:bookmarkStart w:id="527" w:name="_Toc6482"/>
      <w:bookmarkStart w:id="528" w:name="_Toc25750610"/>
      <w:bookmarkStart w:id="529" w:name="_Toc16266"/>
      <w:bookmarkStart w:id="530" w:name="_Toc642"/>
      <w:bookmarkStart w:id="531" w:name="_Toc16818"/>
      <w:bookmarkStart w:id="532" w:name="_Toc28071"/>
      <w:r>
        <w:rPr>
          <w:rFonts w:hint="eastAsia" w:ascii="宋体" w:hAnsi="宋体"/>
          <w:b/>
          <w:bCs w:val="0"/>
        </w:rPr>
        <w:t>19</w:t>
      </w:r>
      <w:r>
        <w:rPr>
          <w:rFonts w:ascii="宋体" w:hAnsi="宋体"/>
          <w:b/>
          <w:bCs w:val="0"/>
        </w:rPr>
        <w:t>. 比选申请截止期</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tabs>
          <w:tab w:val="left" w:pos="1134"/>
          <w:tab w:val="left" w:pos="8364"/>
        </w:tabs>
        <w:spacing w:line="360" w:lineRule="auto"/>
        <w:ind w:firstLine="420" w:firstLineChars="200"/>
        <w:rPr>
          <w:rFonts w:ascii="宋体" w:hAnsi="宋体"/>
        </w:rPr>
      </w:pPr>
      <w:r>
        <w:rPr>
          <w:rFonts w:hint="eastAsia" w:ascii="宋体" w:hAnsi="宋体"/>
        </w:rPr>
        <w:t xml:space="preserve">19.1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line="360" w:lineRule="auto"/>
        <w:ind w:firstLine="420" w:firstLineChars="200"/>
        <w:rPr>
          <w:rFonts w:ascii="宋体" w:hAnsi="宋体"/>
          <w:bCs/>
        </w:rPr>
      </w:pPr>
      <w:r>
        <w:rPr>
          <w:rFonts w:hint="eastAsia" w:ascii="宋体" w:hAnsi="宋体"/>
          <w:bCs/>
        </w:rPr>
        <w:t xml:space="preserve">19.2 </w:t>
      </w:r>
      <w:r>
        <w:rPr>
          <w:rFonts w:ascii="宋体" w:hAnsi="宋体"/>
          <w:bCs/>
        </w:rPr>
        <w:t>比选申请人在递交比选申请文件时必须签到，否则比选申请</w:t>
      </w:r>
      <w:r>
        <w:rPr>
          <w:rFonts w:hint="eastAsia" w:ascii="宋体" w:hAnsi="宋体"/>
          <w:bCs/>
        </w:rPr>
        <w:t>被拒绝</w:t>
      </w:r>
      <w:r>
        <w:rPr>
          <w:rFonts w:ascii="宋体" w:hAnsi="宋体"/>
          <w:bCs/>
        </w:rPr>
        <w:t>。递交比选申请文件的时间晚于比选申请截止时间时，比选申请文件将</w:t>
      </w:r>
      <w:r>
        <w:rPr>
          <w:rFonts w:hint="eastAsia" w:ascii="宋体" w:hAnsi="宋体"/>
          <w:bCs/>
        </w:rPr>
        <w:t>被拒收</w:t>
      </w:r>
      <w:r>
        <w:rPr>
          <w:rFonts w:ascii="宋体" w:hAnsi="宋体"/>
          <w:bCs/>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19.3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0"/>
        </w:numPr>
        <w:spacing w:line="360" w:lineRule="auto"/>
        <w:ind w:firstLine="422" w:firstLineChars="200"/>
        <w:rPr>
          <w:rFonts w:ascii="宋体" w:hAnsi="宋体"/>
          <w:b/>
          <w:bCs w:val="0"/>
        </w:rPr>
      </w:pPr>
      <w:bookmarkStart w:id="533" w:name="_Toc14239"/>
      <w:bookmarkStart w:id="534" w:name="_Toc375039087"/>
      <w:bookmarkStart w:id="535" w:name="_Toc12983526"/>
      <w:bookmarkStart w:id="536" w:name="_Toc2226"/>
      <w:bookmarkStart w:id="537" w:name="_Toc22945"/>
      <w:bookmarkStart w:id="538" w:name="_Toc390098442"/>
      <w:bookmarkStart w:id="539" w:name="_Toc11373"/>
      <w:bookmarkStart w:id="540" w:name="_Toc32621"/>
      <w:bookmarkStart w:id="541" w:name="_Toc15252"/>
      <w:bookmarkStart w:id="542" w:name="_Toc29473"/>
      <w:bookmarkStart w:id="543" w:name="_Toc492478741"/>
      <w:bookmarkStart w:id="544" w:name="_Toc9522"/>
      <w:bookmarkStart w:id="545" w:name="_Toc3597"/>
      <w:bookmarkStart w:id="546" w:name="_Toc383891191"/>
      <w:bookmarkStart w:id="547" w:name="_Toc32252"/>
      <w:bookmarkStart w:id="548" w:name="_Toc324"/>
      <w:bookmarkStart w:id="549" w:name="_Toc23404"/>
      <w:bookmarkStart w:id="550" w:name="_Toc25750611"/>
      <w:bookmarkStart w:id="551" w:name="_Toc13581"/>
      <w:bookmarkStart w:id="552" w:name="_Toc10818"/>
      <w:bookmarkStart w:id="553" w:name="_Toc29066"/>
      <w:bookmarkStart w:id="554" w:name="_Toc385427816"/>
      <w:bookmarkStart w:id="555" w:name="_Toc21960"/>
      <w:bookmarkStart w:id="556" w:name="_Toc26431"/>
      <w:r>
        <w:rPr>
          <w:rFonts w:hint="eastAsia" w:ascii="宋体" w:hAnsi="宋体"/>
          <w:b/>
          <w:bCs w:val="0"/>
        </w:rPr>
        <w:t xml:space="preserve">20. </w:t>
      </w:r>
      <w:r>
        <w:rPr>
          <w:rFonts w:ascii="宋体" w:hAnsi="宋体"/>
          <w:b/>
          <w:bCs w:val="0"/>
        </w:rPr>
        <w:t>迟交的比选申请文件</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tabs>
          <w:tab w:val="left" w:pos="1134"/>
          <w:tab w:val="left" w:pos="8364"/>
        </w:tabs>
        <w:spacing w:line="360" w:lineRule="auto"/>
        <w:ind w:firstLine="420" w:firstLineChars="200"/>
        <w:rPr>
          <w:rFonts w:ascii="宋体" w:hAnsi="宋体"/>
        </w:rPr>
      </w:pPr>
      <w:r>
        <w:rPr>
          <w:rFonts w:hint="eastAsia" w:ascii="宋体" w:hAnsi="宋体"/>
        </w:rPr>
        <w:t>比选人</w:t>
      </w:r>
      <w:r>
        <w:rPr>
          <w:rFonts w:ascii="宋体" w:hAnsi="宋体"/>
        </w:rPr>
        <w:t>将拒</w:t>
      </w:r>
      <w:r>
        <w:rPr>
          <w:rFonts w:hint="eastAsia" w:ascii="宋体" w:hAnsi="宋体"/>
        </w:rPr>
        <w:t>收本须知</w:t>
      </w:r>
      <w:r>
        <w:rPr>
          <w:rFonts w:ascii="宋体" w:hAnsi="宋体"/>
        </w:rPr>
        <w:t>19.1</w:t>
      </w:r>
      <w:r>
        <w:rPr>
          <w:rFonts w:hint="eastAsia" w:ascii="宋体" w:hAnsi="宋体"/>
        </w:rPr>
        <w:t>条</w:t>
      </w:r>
      <w:r>
        <w:rPr>
          <w:rFonts w:ascii="宋体" w:hAnsi="宋体"/>
        </w:rPr>
        <w:t>规定的比选申请截止时间后收到的任何比选申请文件。</w:t>
      </w:r>
    </w:p>
    <w:p>
      <w:pPr>
        <w:pStyle w:val="5"/>
        <w:numPr>
          <w:ilvl w:val="0"/>
          <w:numId w:val="0"/>
        </w:numPr>
        <w:spacing w:line="360" w:lineRule="auto"/>
        <w:ind w:firstLine="422" w:firstLineChars="200"/>
        <w:rPr>
          <w:rFonts w:ascii="宋体" w:hAnsi="宋体"/>
          <w:b/>
          <w:bCs w:val="0"/>
        </w:rPr>
      </w:pPr>
      <w:bookmarkStart w:id="557" w:name="_Toc383891192"/>
      <w:bookmarkStart w:id="558" w:name="_Toc28452"/>
      <w:bookmarkStart w:id="559" w:name="_Toc14522"/>
      <w:bookmarkStart w:id="560" w:name="_Toc21796"/>
      <w:bookmarkStart w:id="561" w:name="_Toc27195"/>
      <w:bookmarkStart w:id="562" w:name="_Toc390098443"/>
      <w:bookmarkStart w:id="563" w:name="_Toc31033"/>
      <w:bookmarkStart w:id="564" w:name="_Toc375039088"/>
      <w:bookmarkStart w:id="565" w:name="_Toc492478742"/>
      <w:bookmarkStart w:id="566" w:name="_Toc243"/>
      <w:bookmarkStart w:id="567" w:name="_Toc4605"/>
      <w:bookmarkStart w:id="568" w:name="_Toc24030"/>
      <w:bookmarkStart w:id="569" w:name="_Toc25750612"/>
      <w:bookmarkStart w:id="570" w:name="_Toc23449"/>
      <w:bookmarkStart w:id="571" w:name="_Toc12682"/>
      <w:bookmarkStart w:id="572" w:name="_Toc29208"/>
      <w:bookmarkStart w:id="573" w:name="_Toc8636"/>
      <w:bookmarkStart w:id="574" w:name="_Toc385427817"/>
      <w:bookmarkStart w:id="575" w:name="_Toc14411"/>
      <w:bookmarkStart w:id="576" w:name="_Toc25427"/>
      <w:bookmarkStart w:id="577" w:name="_Toc26282"/>
      <w:bookmarkStart w:id="578" w:name="_Toc9706"/>
      <w:bookmarkStart w:id="579" w:name="_Toc17797"/>
      <w:bookmarkStart w:id="580" w:name="_Toc12983527"/>
      <w:r>
        <w:rPr>
          <w:rFonts w:hint="eastAsia" w:ascii="宋体" w:hAnsi="宋体"/>
          <w:b/>
          <w:bCs w:val="0"/>
        </w:rPr>
        <w:t xml:space="preserve">21. </w:t>
      </w:r>
      <w:r>
        <w:rPr>
          <w:rFonts w:ascii="宋体" w:hAnsi="宋体"/>
          <w:b/>
          <w:bCs w:val="0"/>
        </w:rPr>
        <w:t>比选申请文件的修改和撤回</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tabs>
          <w:tab w:val="left" w:pos="1134"/>
          <w:tab w:val="left" w:pos="8364"/>
        </w:tabs>
        <w:spacing w:line="360" w:lineRule="auto"/>
        <w:ind w:firstLine="420" w:firstLineChars="200"/>
        <w:rPr>
          <w:rFonts w:ascii="宋体" w:hAnsi="宋体"/>
        </w:rPr>
      </w:pPr>
      <w:r>
        <w:rPr>
          <w:rFonts w:hint="eastAsia" w:ascii="宋体" w:hAnsi="宋体"/>
        </w:rPr>
        <w:t xml:space="preserve">21.1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line="360" w:lineRule="auto"/>
        <w:ind w:firstLine="420" w:firstLineChars="200"/>
        <w:rPr>
          <w:rFonts w:ascii="宋体" w:hAnsi="宋体"/>
        </w:rPr>
      </w:pPr>
      <w:r>
        <w:rPr>
          <w:rFonts w:hint="eastAsia" w:ascii="宋体" w:hAnsi="宋体"/>
        </w:rPr>
        <w:t xml:space="preserve">21.2 </w:t>
      </w:r>
      <w:r>
        <w:rPr>
          <w:rFonts w:ascii="宋体" w:hAnsi="宋体"/>
        </w:rPr>
        <w:t>比选申请人对比选申请文件修改的书面材料或撤回的通知应按本比选申请须知</w:t>
      </w:r>
      <w:r>
        <w:rPr>
          <w:rFonts w:hint="eastAsia" w:ascii="宋体" w:hAnsi="宋体"/>
        </w:rPr>
        <w:t>1</w:t>
      </w:r>
      <w:r>
        <w:rPr>
          <w:rFonts w:ascii="宋体" w:hAnsi="宋体"/>
        </w:rPr>
        <w:t>7和</w:t>
      </w:r>
      <w:r>
        <w:fldChar w:fldCharType="begin"/>
      </w:r>
      <w:r>
        <w:instrText xml:space="preserve"> HYPERLINK \l "_尻깃匡숭돨쵱룐뵨깃션" </w:instrText>
      </w:r>
      <w:r>
        <w:fldChar w:fldCharType="separate"/>
      </w:r>
      <w:r>
        <w:rPr>
          <w:rFonts w:hint="eastAsia" w:ascii="宋体" w:hAnsi="宋体"/>
        </w:rPr>
        <w:t>1</w:t>
      </w:r>
      <w:r>
        <w:rPr>
          <w:rFonts w:ascii="宋体" w:hAnsi="宋体"/>
        </w:rPr>
        <w:t>8条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line="360" w:lineRule="auto"/>
        <w:ind w:firstLine="420" w:firstLineChars="200"/>
        <w:rPr>
          <w:rFonts w:ascii="宋体" w:hAnsi="宋体"/>
        </w:rPr>
      </w:pPr>
      <w:r>
        <w:rPr>
          <w:rFonts w:hint="eastAsia" w:ascii="宋体" w:hAnsi="宋体"/>
        </w:rPr>
        <w:t xml:space="preserve">21.3 </w:t>
      </w:r>
      <w:r>
        <w:rPr>
          <w:rFonts w:ascii="宋体" w:hAnsi="宋体"/>
        </w:rPr>
        <w:t>比选申请截止时间以后比选申请人不得修改比选申请文件。</w:t>
      </w:r>
    </w:p>
    <w:p>
      <w:pPr>
        <w:tabs>
          <w:tab w:val="left" w:pos="1134"/>
          <w:tab w:val="left" w:pos="8364"/>
        </w:tabs>
        <w:spacing w:line="360" w:lineRule="auto"/>
        <w:ind w:firstLine="420" w:firstLineChars="200"/>
        <w:rPr>
          <w:rFonts w:ascii="宋体" w:hAnsi="宋体"/>
        </w:rPr>
      </w:pPr>
      <w:r>
        <w:rPr>
          <w:rFonts w:hint="eastAsia" w:ascii="宋体" w:hAnsi="宋体"/>
        </w:rPr>
        <w:t xml:space="preserve">21.4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line="360" w:lineRule="auto"/>
        <w:ind w:firstLine="424" w:firstLineChars="176"/>
        <w:rPr>
          <w:rFonts w:ascii="宋体" w:hAnsi="宋体"/>
          <w:sz w:val="24"/>
          <w:szCs w:val="24"/>
        </w:rPr>
      </w:pPr>
      <w:bookmarkStart w:id="581" w:name="_Toc2306"/>
      <w:bookmarkStart w:id="582" w:name="_Toc22587"/>
      <w:bookmarkStart w:id="583" w:name="_Toc31978"/>
      <w:bookmarkStart w:id="584" w:name="_Toc3006"/>
      <w:bookmarkStart w:id="585" w:name="_Toc9728"/>
      <w:bookmarkStart w:id="586" w:name="_Toc492478743"/>
      <w:bookmarkStart w:id="587" w:name="_Toc5592"/>
      <w:bookmarkStart w:id="588" w:name="_Toc12182"/>
      <w:bookmarkStart w:id="589" w:name="_Toc28694"/>
      <w:bookmarkStart w:id="590" w:name="_Toc18076"/>
      <w:bookmarkStart w:id="591" w:name="_Toc24485"/>
      <w:bookmarkStart w:id="592" w:name="_Toc383891193"/>
      <w:bookmarkStart w:id="593" w:name="_Toc10325"/>
      <w:bookmarkStart w:id="594" w:name="_Toc25433"/>
      <w:bookmarkStart w:id="595" w:name="_Toc9549"/>
      <w:bookmarkStart w:id="596" w:name="_Toc29264"/>
      <w:bookmarkStart w:id="597" w:name="_Toc16856"/>
      <w:bookmarkStart w:id="598" w:name="_Toc375039089"/>
      <w:bookmarkStart w:id="599" w:name="_Toc11529"/>
      <w:bookmarkStart w:id="600" w:name="_Toc12983528"/>
      <w:bookmarkStart w:id="601" w:name="_Toc390098444"/>
      <w:bookmarkStart w:id="602" w:name="_Toc385427818"/>
      <w:bookmarkStart w:id="603" w:name="_Toc4291"/>
      <w:bookmarkStart w:id="604" w:name="_Toc25750613"/>
      <w:bookmarkStart w:id="605" w:name="_Toc75771524"/>
      <w:bookmarkStart w:id="606" w:name="_Toc29562"/>
      <w:r>
        <w:rPr>
          <w:rFonts w:hint="eastAsia" w:ascii="宋体" w:hAnsi="宋体"/>
          <w:sz w:val="24"/>
          <w:szCs w:val="24"/>
        </w:rPr>
        <w:t>五、</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Fonts w:hint="eastAsia" w:ascii="宋体" w:hAnsi="宋体"/>
          <w:sz w:val="24"/>
          <w:szCs w:val="24"/>
        </w:rPr>
        <w:t>比选申请文件递交</w:t>
      </w:r>
      <w:bookmarkEnd w:id="604"/>
      <w:r>
        <w:rPr>
          <w:rFonts w:hint="eastAsia" w:ascii="宋体" w:hAnsi="宋体"/>
          <w:sz w:val="24"/>
          <w:szCs w:val="24"/>
        </w:rPr>
        <w:t>与评审</w:t>
      </w:r>
      <w:bookmarkEnd w:id="605"/>
      <w:bookmarkEnd w:id="606"/>
    </w:p>
    <w:p>
      <w:pPr>
        <w:pStyle w:val="5"/>
        <w:numPr>
          <w:ilvl w:val="0"/>
          <w:numId w:val="0"/>
        </w:numPr>
        <w:spacing w:line="360" w:lineRule="auto"/>
        <w:ind w:left="420"/>
        <w:rPr>
          <w:rFonts w:ascii="宋体" w:hAnsi="宋体"/>
          <w:b/>
          <w:bCs w:val="0"/>
        </w:rPr>
      </w:pPr>
      <w:bookmarkStart w:id="607" w:name="_Toc895"/>
      <w:bookmarkStart w:id="608" w:name="_Toc492478744"/>
      <w:bookmarkStart w:id="609" w:name="_Toc4825"/>
      <w:bookmarkStart w:id="610" w:name="_Toc375039090"/>
      <w:bookmarkStart w:id="611" w:name="_Toc6377"/>
      <w:bookmarkStart w:id="612" w:name="_Toc6839"/>
      <w:bookmarkStart w:id="613" w:name="_Toc25116"/>
      <w:bookmarkStart w:id="614" w:name="_Toc6974"/>
      <w:bookmarkStart w:id="615" w:name="_Toc385427819"/>
      <w:bookmarkStart w:id="616" w:name="_Toc9309"/>
      <w:bookmarkStart w:id="617" w:name="_Toc10883"/>
      <w:bookmarkStart w:id="618" w:name="_Toc18919"/>
      <w:bookmarkStart w:id="619" w:name="_Toc12983529"/>
      <w:bookmarkStart w:id="620" w:name="_Toc4674"/>
      <w:bookmarkStart w:id="621" w:name="_Toc10292"/>
      <w:bookmarkStart w:id="622" w:name="_Toc5182"/>
      <w:bookmarkStart w:id="623" w:name="_Toc9264"/>
      <w:bookmarkStart w:id="624" w:name="_Toc23705"/>
      <w:bookmarkStart w:id="625" w:name="_Toc4638"/>
      <w:bookmarkStart w:id="626" w:name="_Toc383891194"/>
      <w:bookmarkStart w:id="627" w:name="_Toc24196"/>
      <w:bookmarkStart w:id="628" w:name="_Toc390098445"/>
      <w:bookmarkStart w:id="629" w:name="_Toc4365"/>
      <w:bookmarkStart w:id="630" w:name="_Toc25750614"/>
      <w:r>
        <w:rPr>
          <w:rFonts w:hint="eastAsia" w:ascii="宋体" w:hAnsi="宋体"/>
          <w:b/>
          <w:bCs w:val="0"/>
        </w:rPr>
        <w:t xml:space="preserve">22. </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Fonts w:hint="eastAsia" w:ascii="宋体" w:hAnsi="宋体"/>
          <w:b/>
          <w:bCs w:val="0"/>
        </w:rPr>
        <w:t>比选申请文件递交</w:t>
      </w:r>
      <w:bookmarkEnd w:id="630"/>
    </w:p>
    <w:p>
      <w:pPr>
        <w:tabs>
          <w:tab w:val="left" w:pos="945"/>
          <w:tab w:val="left" w:pos="1134"/>
        </w:tabs>
        <w:spacing w:line="360" w:lineRule="auto"/>
        <w:ind w:firstLine="420" w:firstLineChars="200"/>
        <w:rPr>
          <w:rFonts w:ascii="宋体" w:hAnsi="宋体"/>
        </w:rPr>
      </w:pPr>
      <w:r>
        <w:rPr>
          <w:rFonts w:hint="eastAsia" w:ascii="宋体" w:hAnsi="宋体"/>
        </w:rPr>
        <w:t>22.1 比选人将按本须知</w:t>
      </w:r>
      <w:r>
        <w:rPr>
          <w:rFonts w:ascii="宋体" w:hAnsi="宋体"/>
        </w:rPr>
        <w:t>19.1</w:t>
      </w:r>
      <w:r>
        <w:rPr>
          <w:rFonts w:hint="eastAsia" w:ascii="宋体" w:hAnsi="宋体"/>
        </w:rPr>
        <w:t>条项规定的时间和地址，对所有按时递交并已签收达三个或以上比选申请人的比选申请文件进行核查。</w:t>
      </w:r>
    </w:p>
    <w:p>
      <w:pPr>
        <w:tabs>
          <w:tab w:val="left" w:pos="945"/>
          <w:tab w:val="left" w:pos="1134"/>
        </w:tabs>
        <w:spacing w:line="360" w:lineRule="auto"/>
        <w:ind w:firstLine="420" w:firstLineChars="200"/>
        <w:rPr>
          <w:rFonts w:ascii="宋体" w:hAnsi="宋体"/>
        </w:rPr>
      </w:pPr>
      <w:r>
        <w:rPr>
          <w:rFonts w:hint="eastAsia" w:ascii="宋体" w:hAnsi="宋体"/>
        </w:rPr>
        <w:t>比选申请文件有下列情形之一的，比选人应当拒收：</w:t>
      </w:r>
    </w:p>
    <w:p>
      <w:pPr>
        <w:tabs>
          <w:tab w:val="left" w:pos="945"/>
          <w:tab w:val="left" w:pos="1134"/>
        </w:tabs>
        <w:spacing w:line="360" w:lineRule="auto"/>
        <w:ind w:firstLine="420" w:firstLineChars="200"/>
        <w:rPr>
          <w:rFonts w:ascii="宋体" w:hAnsi="宋体"/>
        </w:rPr>
      </w:pPr>
      <w:r>
        <w:rPr>
          <w:rFonts w:ascii="宋体" w:hAnsi="宋体"/>
          <w:bCs/>
        </w:rPr>
        <w:t>①逾期送达的或者未送达指定地点的比选申请文件</w:t>
      </w:r>
      <w:r>
        <w:rPr>
          <w:rFonts w:hint="eastAsia" w:ascii="宋体" w:hAnsi="宋体"/>
          <w:bCs/>
        </w:rPr>
        <w:t>；</w:t>
      </w:r>
    </w:p>
    <w:p>
      <w:pPr>
        <w:tabs>
          <w:tab w:val="left" w:pos="945"/>
          <w:tab w:val="left" w:pos="1134"/>
        </w:tabs>
        <w:spacing w:line="360" w:lineRule="auto"/>
        <w:ind w:firstLine="420" w:firstLineChars="200"/>
        <w:rPr>
          <w:rFonts w:ascii="宋体" w:hAnsi="宋体"/>
          <w:bCs/>
        </w:rPr>
      </w:pPr>
      <w:r>
        <w:rPr>
          <w:rFonts w:ascii="宋体" w:hAnsi="宋体"/>
          <w:bCs/>
        </w:rPr>
        <w:t>②</w:t>
      </w:r>
      <w:r>
        <w:rPr>
          <w:rFonts w:hint="eastAsia" w:ascii="宋体" w:hAnsi="宋体"/>
          <w:bCs/>
        </w:rPr>
        <w:t>比选申请文件外包封</w:t>
      </w:r>
      <w:r>
        <w:rPr>
          <w:rFonts w:ascii="宋体" w:hAnsi="宋体"/>
          <w:bCs/>
        </w:rPr>
        <w:t>未按比选文件要求密封的</w:t>
      </w:r>
      <w:r>
        <w:rPr>
          <w:rFonts w:hint="eastAsia" w:ascii="宋体" w:hAnsi="宋体"/>
          <w:bCs/>
        </w:rPr>
        <w:t>。</w:t>
      </w:r>
    </w:p>
    <w:p>
      <w:pPr>
        <w:pStyle w:val="2"/>
        <w:spacing w:line="360" w:lineRule="auto"/>
      </w:pPr>
      <w:r>
        <w:rPr>
          <w:rFonts w:hint="eastAsia"/>
        </w:rPr>
        <w:t xml:space="preserve">    ③相关有效身份证件、比选申请授权书原件</w:t>
      </w:r>
    </w:p>
    <w:p>
      <w:pPr>
        <w:tabs>
          <w:tab w:val="left" w:pos="945"/>
          <w:tab w:val="left" w:pos="1134"/>
          <w:tab w:val="left" w:pos="8364"/>
        </w:tabs>
        <w:spacing w:line="360" w:lineRule="auto"/>
        <w:ind w:firstLine="420" w:firstLineChars="200"/>
        <w:rPr>
          <w:rFonts w:ascii="宋体" w:hAnsi="宋体"/>
          <w:bCs/>
        </w:rPr>
      </w:pPr>
      <w:r>
        <w:rPr>
          <w:rFonts w:ascii="宋体" w:hAnsi="宋体"/>
          <w:bCs/>
        </w:rPr>
        <w:t>22.2 比选申请人的法定代表人或其授权代表（以下统称</w:t>
      </w:r>
      <w:r>
        <w:rPr>
          <w:rFonts w:hint="eastAsia" w:ascii="宋体" w:hAnsi="宋体"/>
          <w:bCs/>
        </w:rPr>
        <w:t>“</w:t>
      </w:r>
      <w:r>
        <w:rPr>
          <w:rFonts w:ascii="宋体" w:hAnsi="宋体"/>
          <w:bCs/>
        </w:rPr>
        <w:t>比选申请人代表</w:t>
      </w:r>
      <w:r>
        <w:rPr>
          <w:rFonts w:hint="eastAsia" w:ascii="宋体" w:hAnsi="宋体"/>
          <w:bCs/>
        </w:rPr>
        <w:t>”</w:t>
      </w:r>
      <w:r>
        <w:rPr>
          <w:rFonts w:ascii="宋体" w:hAnsi="宋体"/>
          <w:bCs/>
        </w:rPr>
        <w:t>）必须</w:t>
      </w:r>
      <w:r>
        <w:rPr>
          <w:rFonts w:hint="eastAsia" w:ascii="宋体" w:hAnsi="宋体"/>
          <w:bCs/>
        </w:rPr>
        <w:t>现场</w:t>
      </w:r>
      <w:r>
        <w:rPr>
          <w:rFonts w:ascii="宋体" w:hAnsi="宋体"/>
          <w:bCs/>
        </w:rPr>
        <w:t>出示本人有效身份证（</w:t>
      </w:r>
      <w:r>
        <w:rPr>
          <w:rFonts w:hint="eastAsia" w:ascii="宋体" w:hAnsi="宋体"/>
          <w:bCs/>
        </w:rPr>
        <w:t>限中国公民居民身份证、外籍有效护照</w:t>
      </w:r>
      <w:r>
        <w:rPr>
          <w:rFonts w:ascii="宋体" w:hAnsi="宋体"/>
          <w:bCs/>
        </w:rPr>
        <w:t>，下同）的原件，比选申请人授权代表还必须</w:t>
      </w:r>
      <w:r>
        <w:rPr>
          <w:rFonts w:hint="eastAsia" w:ascii="宋体" w:hAnsi="宋体"/>
          <w:bCs/>
        </w:rPr>
        <w:t>现场</w:t>
      </w:r>
      <w:r>
        <w:rPr>
          <w:rFonts w:ascii="宋体" w:hAnsi="宋体"/>
          <w:bCs/>
        </w:rPr>
        <w:t>同时出示比选申请授权书原件，以证明授权代表的身份和被授权范围</w:t>
      </w:r>
      <w:r>
        <w:rPr>
          <w:rFonts w:hint="eastAsia" w:ascii="宋体" w:hAnsi="宋体"/>
          <w:bCs/>
        </w:rPr>
        <w:t>（有效身份证件原件及比选申请授权书原件需现场单独出示，如密封在比选申请文件里则视为无效）</w:t>
      </w:r>
      <w:r>
        <w:rPr>
          <w:rFonts w:ascii="宋体" w:hAnsi="宋体"/>
          <w:bCs/>
        </w:rPr>
        <w:t>，并由比选人验证确认。</w:t>
      </w:r>
      <w:bookmarkStart w:id="631" w:name="_Toc251051540"/>
      <w:r>
        <w:rPr>
          <w:rFonts w:ascii="宋体" w:hAnsi="宋体"/>
          <w:bCs/>
        </w:rPr>
        <w:t>否则</w:t>
      </w:r>
      <w:r>
        <w:rPr>
          <w:rFonts w:hint="eastAsia" w:ascii="宋体" w:hAnsi="宋体"/>
          <w:bCs/>
        </w:rPr>
        <w:t>该比选申请人的比选文件</w:t>
      </w:r>
      <w:bookmarkEnd w:id="631"/>
      <w:r>
        <w:rPr>
          <w:rFonts w:hint="eastAsia" w:ascii="宋体" w:hAnsi="宋体"/>
          <w:bCs/>
        </w:rPr>
        <w:t>被拒收。</w:t>
      </w:r>
    </w:p>
    <w:p>
      <w:pPr>
        <w:pStyle w:val="5"/>
        <w:numPr>
          <w:ilvl w:val="0"/>
          <w:numId w:val="0"/>
        </w:numPr>
        <w:spacing w:line="360" w:lineRule="auto"/>
        <w:ind w:left="420"/>
        <w:rPr>
          <w:rFonts w:ascii="宋体" w:hAnsi="宋体"/>
          <w:b/>
          <w:bCs w:val="0"/>
        </w:rPr>
      </w:pPr>
      <w:bookmarkStart w:id="632" w:name="_Toc383891195"/>
      <w:bookmarkStart w:id="633" w:name="_Toc375039091"/>
      <w:bookmarkStart w:id="634" w:name="_Toc390098446"/>
      <w:bookmarkStart w:id="635" w:name="_Toc385427820"/>
      <w:bookmarkStart w:id="636" w:name="_Toc23699"/>
      <w:bookmarkStart w:id="637" w:name="_Toc17785"/>
      <w:bookmarkStart w:id="638" w:name="_Toc12983530"/>
      <w:bookmarkStart w:id="639" w:name="_Toc9391"/>
      <w:bookmarkStart w:id="640" w:name="_Toc25750615"/>
      <w:bookmarkStart w:id="641" w:name="_Toc16601"/>
      <w:bookmarkStart w:id="642" w:name="_Toc1920"/>
      <w:bookmarkStart w:id="643" w:name="_Toc24630"/>
      <w:bookmarkStart w:id="644" w:name="_Toc15466"/>
      <w:bookmarkStart w:id="645" w:name="_Toc13202"/>
      <w:bookmarkStart w:id="646" w:name="_Toc27636"/>
      <w:bookmarkStart w:id="647" w:name="_Toc21819"/>
      <w:bookmarkStart w:id="648" w:name="_Toc25270"/>
      <w:bookmarkStart w:id="649" w:name="_Toc16068"/>
      <w:bookmarkStart w:id="650" w:name="_Toc5267"/>
      <w:bookmarkStart w:id="651" w:name="_Toc30671"/>
      <w:bookmarkStart w:id="652" w:name="_Toc11263"/>
      <w:bookmarkStart w:id="653" w:name="_Toc24687"/>
      <w:bookmarkStart w:id="654" w:name="_Toc492478745"/>
      <w:bookmarkStart w:id="655" w:name="_Toc11013"/>
      <w:r>
        <w:rPr>
          <w:rFonts w:hint="eastAsia" w:ascii="宋体" w:hAnsi="宋体"/>
          <w:b/>
          <w:bCs w:val="0"/>
        </w:rPr>
        <w:t>23.</w:t>
      </w:r>
      <w:r>
        <w:rPr>
          <w:rFonts w:ascii="宋体" w:hAnsi="宋体"/>
          <w:b/>
          <w:bCs w:val="0"/>
        </w:rPr>
        <w:t xml:space="preserve"> 评审</w:t>
      </w:r>
      <w:bookmarkEnd w:id="632"/>
      <w:bookmarkEnd w:id="633"/>
      <w:bookmarkEnd w:id="634"/>
      <w:bookmarkEnd w:id="635"/>
      <w:r>
        <w:rPr>
          <w:rFonts w:ascii="宋体" w:hAnsi="宋体"/>
          <w:b/>
          <w:bCs w:val="0"/>
        </w:rPr>
        <w:t>程序</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tabs>
          <w:tab w:val="left" w:pos="8364"/>
        </w:tabs>
        <w:spacing w:line="360" w:lineRule="auto"/>
        <w:ind w:firstLine="420" w:firstLineChars="200"/>
        <w:rPr>
          <w:rFonts w:ascii="宋体" w:hAnsi="宋体"/>
          <w:b/>
        </w:rPr>
      </w:pPr>
      <w:bookmarkStart w:id="656" w:name="_Toc375039092"/>
      <w:r>
        <w:rPr>
          <w:rFonts w:hint="eastAsia" w:ascii="宋体" w:hAnsi="宋体"/>
        </w:rPr>
        <w:t>详见第六章《评审办法》。</w:t>
      </w:r>
      <w:bookmarkEnd w:id="656"/>
    </w:p>
    <w:p>
      <w:pPr>
        <w:pStyle w:val="5"/>
        <w:numPr>
          <w:ilvl w:val="0"/>
          <w:numId w:val="0"/>
        </w:numPr>
        <w:spacing w:line="360" w:lineRule="auto"/>
        <w:ind w:firstLine="422" w:firstLineChars="200"/>
        <w:rPr>
          <w:rFonts w:ascii="宋体" w:hAnsi="宋体"/>
          <w:b/>
          <w:bCs w:val="0"/>
        </w:rPr>
      </w:pPr>
      <w:bookmarkStart w:id="657" w:name="_Toc11716"/>
      <w:bookmarkStart w:id="658" w:name="_Toc1456"/>
      <w:bookmarkStart w:id="659" w:name="_Toc18063"/>
      <w:bookmarkStart w:id="660" w:name="_Toc26137"/>
      <w:bookmarkStart w:id="661" w:name="_Toc375039093"/>
      <w:bookmarkStart w:id="662" w:name="_Toc27570"/>
      <w:bookmarkStart w:id="663" w:name="_Toc29929"/>
      <w:bookmarkStart w:id="664" w:name="_Toc25047"/>
      <w:bookmarkStart w:id="665" w:name="_Toc16072"/>
      <w:bookmarkStart w:id="666" w:name="_Toc492478746"/>
      <w:bookmarkStart w:id="667" w:name="_Toc13421"/>
      <w:bookmarkStart w:id="668" w:name="_Toc25750616"/>
      <w:bookmarkStart w:id="669" w:name="_Toc5386"/>
      <w:bookmarkStart w:id="670" w:name="_Toc8295"/>
      <w:bookmarkStart w:id="671" w:name="_Toc833"/>
      <w:bookmarkStart w:id="672" w:name="_Toc12983531"/>
      <w:bookmarkStart w:id="673" w:name="_Toc17980"/>
      <w:bookmarkStart w:id="674" w:name="_Toc15"/>
      <w:bookmarkStart w:id="675" w:name="_Toc390098447"/>
      <w:bookmarkStart w:id="676" w:name="_Toc383891196"/>
      <w:bookmarkStart w:id="677" w:name="_Toc24755"/>
      <w:bookmarkStart w:id="678" w:name="_Toc14719"/>
      <w:bookmarkStart w:id="679" w:name="_Toc18803"/>
      <w:bookmarkStart w:id="680" w:name="_Toc385427821"/>
      <w:r>
        <w:rPr>
          <w:rFonts w:hint="eastAsia" w:ascii="宋体" w:hAnsi="宋体"/>
          <w:b/>
          <w:bCs w:val="0"/>
        </w:rPr>
        <w:t xml:space="preserve">24. </w:t>
      </w:r>
      <w:r>
        <w:rPr>
          <w:rFonts w:ascii="宋体" w:hAnsi="宋体"/>
          <w:b/>
          <w:bCs w:val="0"/>
        </w:rPr>
        <w:t>与比选人和评审委员会的接触</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24.1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24.2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24.3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24.4 </w:t>
      </w:r>
      <w:r>
        <w:rPr>
          <w:rFonts w:ascii="宋体" w:hAnsi="宋体" w:cs="Arial"/>
        </w:rPr>
        <w:t>有关比选申请文件的审查、澄清、评估和比较以及有关授予合同的意向的一切情况都不得透露给任一比选申请人。</w:t>
      </w:r>
    </w:p>
    <w:p>
      <w:pPr>
        <w:pStyle w:val="5"/>
        <w:numPr>
          <w:ilvl w:val="0"/>
          <w:numId w:val="0"/>
        </w:numPr>
        <w:spacing w:line="360" w:lineRule="auto"/>
        <w:ind w:firstLine="422" w:firstLineChars="200"/>
        <w:rPr>
          <w:rFonts w:ascii="宋体" w:hAnsi="宋体"/>
          <w:b/>
          <w:bCs w:val="0"/>
        </w:rPr>
      </w:pPr>
      <w:bookmarkStart w:id="681" w:name="_Toc390098448"/>
      <w:bookmarkStart w:id="682" w:name="_Toc21167"/>
      <w:bookmarkStart w:id="683" w:name="_Toc12909"/>
      <w:bookmarkStart w:id="684" w:name="_Toc12960"/>
      <w:bookmarkStart w:id="685" w:name="_Toc19810"/>
      <w:bookmarkStart w:id="686" w:name="_Toc15988"/>
      <w:bookmarkStart w:id="687" w:name="_Toc20523"/>
      <w:bookmarkStart w:id="688" w:name="_Toc9602"/>
      <w:bookmarkStart w:id="689" w:name="_Toc29504"/>
      <w:bookmarkStart w:id="690" w:name="_Toc492478747"/>
      <w:bookmarkStart w:id="691" w:name="_Toc12555"/>
      <w:bookmarkStart w:id="692" w:name="_Toc654"/>
      <w:bookmarkStart w:id="693" w:name="_Toc12671"/>
      <w:bookmarkStart w:id="694" w:name="_Toc385427822"/>
      <w:bookmarkStart w:id="695" w:name="_Toc25750617"/>
      <w:bookmarkStart w:id="696" w:name="_Toc7858"/>
      <w:bookmarkStart w:id="697" w:name="_Toc383891197"/>
      <w:bookmarkStart w:id="698" w:name="_Toc9941"/>
      <w:bookmarkStart w:id="699" w:name="_Toc25734"/>
      <w:bookmarkStart w:id="700" w:name="_Toc16963"/>
      <w:bookmarkStart w:id="701" w:name="_Toc18515"/>
      <w:bookmarkStart w:id="702" w:name="_Toc12983532"/>
      <w:bookmarkStart w:id="703" w:name="_Toc30207"/>
      <w:bookmarkStart w:id="704" w:name="_Toc378514937"/>
      <w:bookmarkStart w:id="705" w:name="_Toc294723156"/>
      <w:bookmarkStart w:id="706" w:name="_Toc375039094"/>
      <w:r>
        <w:rPr>
          <w:rFonts w:hint="eastAsia" w:ascii="宋体" w:hAnsi="宋体"/>
          <w:b/>
          <w:bCs w:val="0"/>
        </w:rPr>
        <w:t>25.</w:t>
      </w:r>
      <w:r>
        <w:rPr>
          <w:rFonts w:ascii="宋体" w:hAnsi="宋体"/>
          <w:b/>
          <w:bCs w:val="0"/>
        </w:rPr>
        <w:t xml:space="preserve"> </w:t>
      </w:r>
      <w:r>
        <w:rPr>
          <w:rFonts w:hint="eastAsia" w:ascii="宋体" w:hAnsi="宋体"/>
          <w:b/>
          <w:bCs w:val="0"/>
        </w:rPr>
        <w:t>评审过程保密</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tabs>
          <w:tab w:val="left" w:pos="420"/>
          <w:tab w:val="left" w:pos="1134"/>
        </w:tabs>
        <w:spacing w:line="360" w:lineRule="auto"/>
        <w:ind w:firstLine="420" w:firstLineChars="200"/>
        <w:rPr>
          <w:rFonts w:ascii="宋体" w:hAnsi="宋体" w:cs="Arial"/>
        </w:rPr>
      </w:pPr>
      <w:r>
        <w:rPr>
          <w:rFonts w:hint="eastAsia" w:ascii="宋体" w:hAnsi="宋体" w:cs="Arial"/>
        </w:rPr>
        <w:t>25.1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line="360" w:lineRule="auto"/>
        <w:ind w:firstLine="420" w:firstLineChars="200"/>
        <w:rPr>
          <w:rFonts w:ascii="宋体" w:hAnsi="宋体" w:cs="Arial"/>
        </w:rPr>
      </w:pPr>
      <w:r>
        <w:rPr>
          <w:rFonts w:hint="eastAsia" w:ascii="宋体" w:hAnsi="宋体" w:cs="Arial"/>
        </w:rPr>
        <w:t>25.2 比选申请人在比选申请文件的审查、澄清、评价和比较以及授予合同的过程中，对比选人和评审专家施加影响的任何行为，都将导致取消比选申请资格。</w:t>
      </w:r>
    </w:p>
    <w:p>
      <w:pPr>
        <w:pStyle w:val="5"/>
        <w:numPr>
          <w:ilvl w:val="0"/>
          <w:numId w:val="0"/>
        </w:numPr>
        <w:spacing w:line="360" w:lineRule="auto"/>
        <w:ind w:left="210" w:leftChars="100" w:firstLine="211" w:firstLineChars="100"/>
        <w:rPr>
          <w:rFonts w:ascii="宋体" w:hAnsi="宋体"/>
          <w:b/>
          <w:bCs w:val="0"/>
        </w:rPr>
      </w:pPr>
      <w:bookmarkStart w:id="707" w:name="_Toc28843"/>
      <w:bookmarkStart w:id="708" w:name="_Toc25750618"/>
      <w:bookmarkStart w:id="709" w:name="_Toc492478748"/>
      <w:bookmarkStart w:id="710" w:name="_Toc27670"/>
      <w:bookmarkStart w:id="711" w:name="_Toc14860"/>
      <w:bookmarkStart w:id="712" w:name="_Toc5983"/>
      <w:bookmarkStart w:id="713" w:name="_Toc30429"/>
      <w:bookmarkStart w:id="714" w:name="_Toc28898"/>
      <w:bookmarkStart w:id="715" w:name="_Toc8827"/>
      <w:bookmarkStart w:id="716" w:name="_Toc14799"/>
      <w:bookmarkStart w:id="717" w:name="_Toc11077"/>
      <w:bookmarkStart w:id="718" w:name="_Toc24327"/>
      <w:bookmarkStart w:id="719" w:name="_Toc6624"/>
      <w:bookmarkStart w:id="720" w:name="_Toc385427823"/>
      <w:bookmarkStart w:id="721" w:name="_Toc28701"/>
      <w:bookmarkStart w:id="722" w:name="_Toc22510"/>
      <w:bookmarkStart w:id="723" w:name="_Toc1983"/>
      <w:bookmarkStart w:id="724" w:name="_Toc12983533"/>
      <w:bookmarkStart w:id="725" w:name="_Toc23267"/>
      <w:bookmarkStart w:id="726" w:name="_Toc390098449"/>
      <w:bookmarkStart w:id="727" w:name="_Toc383891198"/>
      <w:bookmarkStart w:id="728" w:name="_Toc13768"/>
      <w:bookmarkStart w:id="729" w:name="_Toc13743"/>
      <w:r>
        <w:rPr>
          <w:rFonts w:hint="eastAsia" w:ascii="宋体" w:hAnsi="宋体"/>
          <w:b/>
          <w:bCs w:val="0"/>
        </w:rPr>
        <w:t>26. 比选申请文件的澄清</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 </w:t>
      </w:r>
    </w:p>
    <w:p>
      <w:pPr>
        <w:pStyle w:val="5"/>
        <w:numPr>
          <w:ilvl w:val="0"/>
          <w:numId w:val="0"/>
        </w:numPr>
        <w:spacing w:line="360" w:lineRule="auto"/>
        <w:ind w:firstLine="422" w:firstLineChars="200"/>
        <w:rPr>
          <w:rFonts w:ascii="宋体" w:hAnsi="宋体"/>
          <w:b/>
          <w:bCs w:val="0"/>
        </w:rPr>
      </w:pPr>
      <w:bookmarkStart w:id="730" w:name="_Toc16884"/>
      <w:bookmarkStart w:id="731" w:name="_Toc4397"/>
      <w:bookmarkStart w:id="732" w:name="_Toc5437"/>
      <w:bookmarkStart w:id="733" w:name="_Toc12795"/>
      <w:bookmarkStart w:id="734" w:name="_Toc29146"/>
      <w:bookmarkStart w:id="735" w:name="_Toc26070"/>
      <w:bookmarkStart w:id="736" w:name="_Toc5607"/>
      <w:bookmarkStart w:id="737" w:name="_Toc30017"/>
      <w:bookmarkStart w:id="738" w:name="_Toc1915"/>
      <w:bookmarkStart w:id="739" w:name="_Toc383891199"/>
      <w:bookmarkStart w:id="740" w:name="_Toc390098450"/>
      <w:bookmarkStart w:id="741" w:name="_Toc28992"/>
      <w:bookmarkStart w:id="742" w:name="_Toc492478749"/>
      <w:bookmarkStart w:id="743" w:name="_Toc385427824"/>
      <w:bookmarkStart w:id="744" w:name="_Toc5926"/>
      <w:bookmarkStart w:id="745" w:name="_Toc6908"/>
      <w:bookmarkStart w:id="746" w:name="_Toc25750619"/>
      <w:bookmarkStart w:id="747" w:name="_Toc26318"/>
      <w:bookmarkStart w:id="748" w:name="_Toc9040"/>
      <w:bookmarkStart w:id="749" w:name="_Toc22681"/>
      <w:bookmarkStart w:id="750" w:name="_Toc12983534"/>
      <w:bookmarkStart w:id="751" w:name="_Toc18093"/>
      <w:bookmarkStart w:id="752" w:name="_Toc20519"/>
      <w:r>
        <w:rPr>
          <w:rFonts w:hint="eastAsia" w:ascii="宋体" w:hAnsi="宋体"/>
          <w:b/>
          <w:bCs w:val="0"/>
        </w:rPr>
        <w:t>27</w:t>
      </w:r>
      <w:r>
        <w:rPr>
          <w:rFonts w:ascii="宋体" w:hAnsi="宋体"/>
          <w:b/>
          <w:bCs w:val="0"/>
        </w:rPr>
        <w:t xml:space="preserve">. </w:t>
      </w:r>
      <w:r>
        <w:rPr>
          <w:rFonts w:hint="eastAsia" w:ascii="宋体" w:hAnsi="宋体"/>
          <w:b/>
          <w:bCs w:val="0"/>
        </w:rPr>
        <w:t>比选申请文件响应性的确定</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tabs>
          <w:tab w:val="left" w:pos="420"/>
          <w:tab w:val="left" w:pos="1134"/>
        </w:tabs>
        <w:spacing w:line="360" w:lineRule="auto"/>
        <w:ind w:firstLine="420" w:firstLineChars="200"/>
        <w:rPr>
          <w:rFonts w:ascii="宋体" w:hAnsi="宋体" w:cs="Arial"/>
        </w:rPr>
      </w:pPr>
      <w:r>
        <w:rPr>
          <w:rFonts w:hint="eastAsia" w:ascii="宋体" w:hAnsi="宋体" w:cs="Arial"/>
        </w:rPr>
        <w:t>27.1 在详细评审之前，评审委员会将首先审定每份比选申请文件是否在实质上响应了比选文件的要求和规定。</w:t>
      </w:r>
    </w:p>
    <w:p>
      <w:pPr>
        <w:tabs>
          <w:tab w:val="left" w:pos="420"/>
          <w:tab w:val="left" w:pos="1134"/>
        </w:tabs>
        <w:spacing w:line="360" w:lineRule="auto"/>
        <w:ind w:firstLine="420" w:firstLineChars="200"/>
        <w:rPr>
          <w:rFonts w:ascii="宋体" w:hAnsi="宋体" w:cs="Arial"/>
        </w:rPr>
      </w:pPr>
      <w:r>
        <w:rPr>
          <w:rFonts w:hint="eastAsia" w:ascii="宋体" w:hAnsi="宋体" w:cs="Arial"/>
        </w:rPr>
        <w:t>27.2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line="360" w:lineRule="auto"/>
        <w:ind w:firstLine="420" w:firstLineChars="200"/>
        <w:rPr>
          <w:rFonts w:ascii="宋体" w:hAnsi="宋体" w:cs="Arial"/>
        </w:rPr>
      </w:pPr>
      <w:r>
        <w:rPr>
          <w:rFonts w:hint="eastAsia" w:ascii="宋体" w:hAnsi="宋体" w:cs="Arial"/>
        </w:rPr>
        <w:t>27.3 如果比选申请文件实质上不响应比选文件的要求，比选人将予以拒绝，并且不允许比选申请人通过修正或撤销其不符要求的差异或保留使之成为具有响应性的比选申请。</w:t>
      </w:r>
    </w:p>
    <w:p>
      <w:pPr>
        <w:pStyle w:val="5"/>
        <w:numPr>
          <w:ilvl w:val="0"/>
          <w:numId w:val="0"/>
        </w:numPr>
        <w:spacing w:line="360" w:lineRule="auto"/>
        <w:ind w:left="424"/>
        <w:rPr>
          <w:rFonts w:ascii="宋体" w:hAnsi="宋体"/>
          <w:b/>
          <w:bCs w:val="0"/>
        </w:rPr>
      </w:pPr>
      <w:bookmarkStart w:id="753" w:name="_Toc23808"/>
      <w:bookmarkStart w:id="754" w:name="_Toc25750620"/>
      <w:bookmarkStart w:id="755" w:name="_Toc22063"/>
      <w:bookmarkStart w:id="756" w:name="_Toc21468"/>
      <w:bookmarkStart w:id="757" w:name="_Toc1027"/>
      <w:bookmarkStart w:id="758" w:name="_Toc12983535"/>
      <w:bookmarkStart w:id="759" w:name="_Toc31646"/>
      <w:bookmarkStart w:id="760" w:name="_Toc383891200"/>
      <w:bookmarkStart w:id="761" w:name="_Toc12167"/>
      <w:bookmarkStart w:id="762" w:name="_Toc23956"/>
      <w:bookmarkStart w:id="763" w:name="_Toc20912"/>
      <w:bookmarkStart w:id="764" w:name="_Toc22146"/>
      <w:bookmarkStart w:id="765" w:name="_Toc15051"/>
      <w:bookmarkStart w:id="766" w:name="_Toc23999"/>
      <w:bookmarkStart w:id="767" w:name="_Toc17236"/>
      <w:bookmarkStart w:id="768" w:name="_Toc29398"/>
      <w:bookmarkStart w:id="769" w:name="_Toc20810"/>
      <w:bookmarkStart w:id="770" w:name="_Toc19477"/>
      <w:bookmarkStart w:id="771" w:name="_Toc492478750"/>
      <w:bookmarkStart w:id="772" w:name="_Toc390098451"/>
      <w:bookmarkStart w:id="773" w:name="_Toc385427825"/>
      <w:bookmarkStart w:id="774" w:name="_Toc20874"/>
      <w:bookmarkStart w:id="775" w:name="_Toc26239"/>
      <w:r>
        <w:rPr>
          <w:rFonts w:hint="eastAsia" w:ascii="宋体" w:hAnsi="宋体"/>
          <w:b/>
          <w:bCs w:val="0"/>
        </w:rPr>
        <w:t>28. 比选申请文件计算错误的修正</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tabs>
          <w:tab w:val="left" w:pos="420"/>
          <w:tab w:val="left" w:pos="1134"/>
        </w:tabs>
        <w:spacing w:line="360" w:lineRule="auto"/>
        <w:ind w:firstLine="420" w:firstLineChars="200"/>
        <w:rPr>
          <w:rFonts w:ascii="宋体" w:hAnsi="宋体" w:cs="Arial"/>
        </w:rPr>
      </w:pPr>
      <w:r>
        <w:rPr>
          <w:rFonts w:hint="eastAsia" w:ascii="宋体" w:hAnsi="宋体" w:cs="Arial"/>
        </w:rPr>
        <w:t>28.1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line="360" w:lineRule="auto"/>
        <w:ind w:firstLine="420" w:firstLineChars="200"/>
        <w:rPr>
          <w:rFonts w:ascii="宋体" w:hAnsi="宋体" w:cs="Arial"/>
        </w:rPr>
      </w:pPr>
      <w:r>
        <w:rPr>
          <w:rFonts w:hint="eastAsia" w:ascii="宋体" w:hAnsi="宋体" w:cs="Arial"/>
        </w:rPr>
        <w:t>28.2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0"/>
          <w:numId w:val="0"/>
        </w:numPr>
        <w:spacing w:line="360" w:lineRule="auto"/>
        <w:ind w:left="424"/>
        <w:rPr>
          <w:rFonts w:ascii="宋体" w:hAnsi="宋体"/>
          <w:b/>
          <w:bCs w:val="0"/>
        </w:rPr>
      </w:pPr>
      <w:bookmarkStart w:id="776" w:name="_Toc16418"/>
      <w:bookmarkStart w:id="777" w:name="_Toc4958"/>
      <w:bookmarkStart w:id="778" w:name="_Toc23907"/>
      <w:bookmarkStart w:id="779" w:name="_Toc12983536"/>
      <w:bookmarkStart w:id="780" w:name="_Toc492478751"/>
      <w:bookmarkStart w:id="781" w:name="_Toc1004"/>
      <w:bookmarkStart w:id="782" w:name="_Toc25750621"/>
      <w:bookmarkStart w:id="783" w:name="_Toc20854"/>
      <w:bookmarkStart w:id="784" w:name="_Toc390098452"/>
      <w:bookmarkStart w:id="785" w:name="_Toc27112"/>
      <w:bookmarkStart w:id="786" w:name="_Toc383891201"/>
      <w:bookmarkStart w:id="787" w:name="_Toc9737"/>
      <w:bookmarkStart w:id="788" w:name="_Toc24176"/>
      <w:bookmarkStart w:id="789" w:name="_Toc19936"/>
      <w:bookmarkStart w:id="790" w:name="_Toc9812"/>
      <w:bookmarkStart w:id="791" w:name="_Toc29276"/>
      <w:bookmarkStart w:id="792" w:name="_Toc5319"/>
      <w:bookmarkStart w:id="793" w:name="_Toc22994"/>
      <w:bookmarkStart w:id="794" w:name="_Toc8959"/>
      <w:bookmarkStart w:id="795" w:name="_Toc3258"/>
      <w:bookmarkStart w:id="796" w:name="_Toc20881"/>
      <w:bookmarkStart w:id="797" w:name="_Toc385427826"/>
      <w:bookmarkStart w:id="798" w:name="_Toc20444"/>
      <w:r>
        <w:rPr>
          <w:rFonts w:hint="eastAsia" w:ascii="宋体" w:hAnsi="宋体"/>
          <w:b/>
          <w:bCs w:val="0"/>
        </w:rPr>
        <w:t>29. 比选申请文件的评价与比较</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tabs>
          <w:tab w:val="left" w:pos="420"/>
          <w:tab w:val="left" w:pos="1134"/>
        </w:tabs>
        <w:spacing w:line="360" w:lineRule="auto"/>
        <w:ind w:firstLine="420" w:firstLineChars="200"/>
        <w:rPr>
          <w:rFonts w:ascii="宋体" w:hAnsi="宋体" w:cs="Arial"/>
        </w:rPr>
      </w:pPr>
      <w:r>
        <w:rPr>
          <w:rFonts w:hint="eastAsia" w:ascii="宋体" w:hAnsi="宋体" w:cs="Arial"/>
        </w:rPr>
        <w:t>29.1 《评审办法》详见比选文件第六章，比选人将按照《评审办法》对本须知第26条确定为实质上响应比选文件要求的比选申请文件进行评价与比较。</w:t>
      </w:r>
    </w:p>
    <w:p>
      <w:pPr>
        <w:tabs>
          <w:tab w:val="left" w:pos="420"/>
          <w:tab w:val="left" w:pos="1134"/>
        </w:tabs>
        <w:spacing w:line="360" w:lineRule="auto"/>
        <w:ind w:firstLine="420" w:firstLineChars="200"/>
        <w:rPr>
          <w:rFonts w:ascii="宋体" w:hAnsi="宋体" w:cs="Arial"/>
        </w:rPr>
      </w:pPr>
      <w:r>
        <w:rPr>
          <w:rFonts w:hint="eastAsia" w:ascii="宋体" w:hAnsi="宋体" w:cs="Arial"/>
        </w:rPr>
        <w:t>29.2 评审将按《评审办法》规定执行。</w:t>
      </w:r>
      <w:bookmarkEnd w:id="704"/>
    </w:p>
    <w:p>
      <w:pPr>
        <w:pStyle w:val="5"/>
        <w:numPr>
          <w:ilvl w:val="0"/>
          <w:numId w:val="0"/>
        </w:numPr>
        <w:spacing w:line="360" w:lineRule="auto"/>
        <w:ind w:left="424"/>
        <w:rPr>
          <w:rFonts w:ascii="宋体" w:hAnsi="宋体"/>
          <w:b/>
          <w:bCs w:val="0"/>
        </w:rPr>
      </w:pPr>
      <w:bookmarkStart w:id="799" w:name="_Toc385427827"/>
      <w:bookmarkStart w:id="800" w:name="_Toc32344"/>
      <w:bookmarkStart w:id="801" w:name="_Toc15146"/>
      <w:bookmarkStart w:id="802" w:name="_Toc27803"/>
      <w:bookmarkStart w:id="803" w:name="_Toc25750622"/>
      <w:bookmarkStart w:id="804" w:name="_Toc507"/>
      <w:bookmarkStart w:id="805" w:name="_Toc1450"/>
      <w:bookmarkStart w:id="806" w:name="_Toc12983537"/>
      <w:bookmarkStart w:id="807" w:name="_Toc8074"/>
      <w:bookmarkStart w:id="808" w:name="_Toc492478752"/>
      <w:bookmarkStart w:id="809" w:name="_Toc383891202"/>
      <w:bookmarkStart w:id="810" w:name="_Toc14300"/>
      <w:bookmarkStart w:id="811" w:name="_Toc22500"/>
      <w:bookmarkStart w:id="812" w:name="_Toc11657"/>
      <w:bookmarkStart w:id="813" w:name="_Toc11010"/>
      <w:bookmarkStart w:id="814" w:name="_Toc3358"/>
      <w:bookmarkStart w:id="815" w:name="_Toc28489"/>
      <w:bookmarkStart w:id="816" w:name="_Toc390098453"/>
      <w:bookmarkStart w:id="817" w:name="_Toc8845"/>
      <w:bookmarkStart w:id="818" w:name="_Toc27289"/>
      <w:bookmarkStart w:id="819" w:name="_Toc17460"/>
      <w:bookmarkStart w:id="820" w:name="_Toc19322"/>
      <w:bookmarkStart w:id="821" w:name="_Toc31774"/>
      <w:r>
        <w:rPr>
          <w:rFonts w:ascii="宋体" w:hAnsi="宋体"/>
          <w:b/>
          <w:bCs w:val="0"/>
        </w:rPr>
        <w:t xml:space="preserve">30. </w:t>
      </w:r>
      <w:r>
        <w:rPr>
          <w:rFonts w:hint="eastAsia" w:ascii="宋体" w:hAnsi="宋体"/>
          <w:b/>
          <w:bCs w:val="0"/>
        </w:rPr>
        <w:t>定标</w:t>
      </w:r>
      <w:bookmarkEnd w:id="705"/>
      <w:bookmarkEnd w:id="706"/>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tabs>
          <w:tab w:val="left" w:pos="1134"/>
          <w:tab w:val="left" w:pos="8364"/>
        </w:tabs>
        <w:spacing w:line="360" w:lineRule="auto"/>
        <w:ind w:firstLine="420" w:firstLineChars="200"/>
        <w:rPr>
          <w:rFonts w:ascii="宋体" w:hAnsi="宋体" w:cs="Arial"/>
        </w:rPr>
      </w:pPr>
      <w:r>
        <w:rPr>
          <w:rFonts w:ascii="宋体" w:hAnsi="宋体" w:cs="Arial"/>
        </w:rPr>
        <w:t>30.1</w:t>
      </w:r>
      <w:r>
        <w:rPr>
          <w:rFonts w:hint="eastAsia" w:ascii="宋体" w:hAnsi="宋体" w:cs="Arial"/>
        </w:rPr>
        <w:t xml:space="preserve"> 经评审后，评标委员会将根据《比选报价申请表》的价格由低到高排列次序并推荐中标候选人。</w:t>
      </w:r>
    </w:p>
    <w:p>
      <w:pPr>
        <w:tabs>
          <w:tab w:val="left" w:pos="1134"/>
          <w:tab w:val="left" w:pos="8364"/>
        </w:tabs>
        <w:spacing w:line="360" w:lineRule="auto"/>
        <w:ind w:firstLine="420" w:firstLineChars="200"/>
        <w:rPr>
          <w:rFonts w:ascii="宋体" w:hAnsi="宋体" w:cs="Arial"/>
        </w:rPr>
      </w:pPr>
      <w:r>
        <w:rPr>
          <w:rFonts w:ascii="宋体" w:hAnsi="宋体" w:cs="Arial"/>
        </w:rPr>
        <w:t>30.2</w:t>
      </w:r>
      <w:r>
        <w:rPr>
          <w:rFonts w:hint="eastAsia" w:ascii="宋体" w:hAnsi="宋体" w:cs="Arial"/>
        </w:rPr>
        <w:t>比选人应当确定排名第一的中选候选人为中选人。排名第一的中选候选人放弃中选、因不可抗力不能履行合同、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line="360" w:lineRule="auto"/>
        <w:ind w:firstLine="420" w:firstLineChars="200"/>
        <w:rPr>
          <w:rFonts w:ascii="宋体" w:hAnsi="宋体" w:cs="Arial"/>
        </w:rPr>
      </w:pPr>
      <w:r>
        <w:rPr>
          <w:rFonts w:ascii="宋体" w:hAnsi="宋体" w:cs="Arial"/>
        </w:rPr>
        <w:t>30.3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line="360" w:lineRule="auto"/>
        <w:ind w:firstLine="420" w:firstLineChars="200"/>
        <w:rPr>
          <w:rFonts w:ascii="宋体" w:hAnsi="宋体" w:cs="Arial"/>
        </w:rPr>
      </w:pPr>
      <w:r>
        <w:rPr>
          <w:rFonts w:ascii="宋体" w:hAnsi="宋体" w:cs="Arial"/>
        </w:rPr>
        <w:t>30.4</w:t>
      </w:r>
      <w:r>
        <w:rPr>
          <w:rFonts w:hint="eastAsia" w:ascii="宋体" w:hAnsi="宋体" w:cs="Arial"/>
        </w:rPr>
        <w:t>比选人确定的中选人必须按有关规定进行公示。</w:t>
      </w:r>
    </w:p>
    <w:p>
      <w:pPr>
        <w:tabs>
          <w:tab w:val="left" w:pos="1134"/>
          <w:tab w:val="left" w:pos="8364"/>
        </w:tabs>
        <w:spacing w:line="360" w:lineRule="auto"/>
        <w:ind w:firstLine="420" w:firstLineChars="200"/>
        <w:rPr>
          <w:rFonts w:ascii="宋体" w:hAnsi="宋体"/>
        </w:rPr>
      </w:pPr>
      <w:r>
        <w:rPr>
          <w:rFonts w:ascii="宋体" w:hAnsi="宋体" w:cs="Arial"/>
        </w:rPr>
        <w:t>30.5</w:t>
      </w:r>
      <w:r>
        <w:rPr>
          <w:rFonts w:hint="eastAsia" w:ascii="宋体" w:hAnsi="宋体" w:cs="Arial"/>
        </w:rPr>
        <w:t>评审委员会评审结束后，比选人经审查发现评审过程中有明显错误，可以组织原评审委员会进行复评。</w:t>
      </w:r>
    </w:p>
    <w:p>
      <w:pPr>
        <w:pStyle w:val="5"/>
        <w:numPr>
          <w:ilvl w:val="0"/>
          <w:numId w:val="0"/>
        </w:numPr>
        <w:spacing w:line="360" w:lineRule="auto"/>
        <w:ind w:left="424"/>
        <w:rPr>
          <w:rFonts w:ascii="宋体" w:hAnsi="宋体"/>
          <w:b/>
          <w:bCs w:val="0"/>
        </w:rPr>
      </w:pPr>
      <w:bookmarkStart w:id="822" w:name="_Toc3761"/>
      <w:bookmarkStart w:id="823" w:name="_Toc21142"/>
      <w:bookmarkStart w:id="824" w:name="_Toc37"/>
      <w:bookmarkStart w:id="825" w:name="_Toc385427828"/>
      <w:bookmarkStart w:id="826" w:name="_Toc5172"/>
      <w:bookmarkStart w:id="827" w:name="_Toc5257"/>
      <w:bookmarkStart w:id="828" w:name="_Toc22182"/>
      <w:bookmarkStart w:id="829" w:name="_Toc19634"/>
      <w:bookmarkStart w:id="830" w:name="_Toc21947"/>
      <w:bookmarkStart w:id="831" w:name="_Toc15932"/>
      <w:bookmarkStart w:id="832" w:name="_Toc17823"/>
      <w:bookmarkStart w:id="833" w:name="_Toc383891203"/>
      <w:bookmarkStart w:id="834" w:name="_Toc14042"/>
      <w:bookmarkStart w:id="835" w:name="_Toc375039095"/>
      <w:bookmarkStart w:id="836" w:name="_Toc1215"/>
      <w:bookmarkStart w:id="837" w:name="_Toc492478753"/>
      <w:bookmarkStart w:id="838" w:name="_Toc12983538"/>
      <w:bookmarkStart w:id="839" w:name="_Toc26470"/>
      <w:bookmarkStart w:id="840" w:name="_Toc27664"/>
      <w:bookmarkStart w:id="841" w:name="_Toc13986"/>
      <w:bookmarkStart w:id="842" w:name="_Toc16732"/>
      <w:bookmarkStart w:id="843" w:name="_Toc18192"/>
      <w:bookmarkStart w:id="844" w:name="_Toc390098454"/>
      <w:bookmarkStart w:id="845" w:name="_Toc25750623"/>
      <w:r>
        <w:rPr>
          <w:rFonts w:ascii="宋体" w:hAnsi="宋体"/>
          <w:b/>
          <w:bCs w:val="0"/>
        </w:rPr>
        <w:t xml:space="preserve">31. </w:t>
      </w:r>
      <w:r>
        <w:rPr>
          <w:rFonts w:hint="eastAsia" w:ascii="宋体" w:hAnsi="宋体"/>
          <w:b/>
          <w:bCs w:val="0"/>
        </w:rPr>
        <w:t>重新</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Fonts w:hint="eastAsia" w:ascii="宋体" w:hAnsi="宋体"/>
          <w:b/>
          <w:bCs w:val="0"/>
        </w:rPr>
        <w:t>比选</w:t>
      </w:r>
      <w:bookmarkEnd w:id="845"/>
    </w:p>
    <w:p>
      <w:pPr>
        <w:tabs>
          <w:tab w:val="left" w:pos="1134"/>
          <w:tab w:val="left" w:pos="8364"/>
        </w:tabs>
        <w:spacing w:line="360" w:lineRule="auto"/>
        <w:ind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31.1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line="360" w:lineRule="auto"/>
        <w:ind w:firstLine="420" w:firstLineChars="200"/>
        <w:rPr>
          <w:rFonts w:ascii="宋体" w:hAnsi="宋体"/>
        </w:rPr>
      </w:pPr>
      <w:r>
        <w:rPr>
          <w:rFonts w:hint="eastAsia" w:ascii="宋体" w:hAnsi="宋体"/>
        </w:rPr>
        <w:t>31.2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家但还有两家</w:t>
      </w:r>
      <w:r>
        <w:rPr>
          <w:rFonts w:ascii="宋体" w:hAnsi="宋体"/>
        </w:rPr>
        <w:t>时，评审委员会认为剩余</w:t>
      </w:r>
      <w:r>
        <w:rPr>
          <w:rFonts w:hint="eastAsia" w:ascii="宋体" w:hAnsi="宋体"/>
        </w:rPr>
        <w:t>两家</w:t>
      </w:r>
      <w:r>
        <w:rPr>
          <w:rFonts w:ascii="宋体" w:hAnsi="宋体"/>
        </w:rPr>
        <w:t>的比选申请文件仍具有竞争性的，应继续评审）；</w:t>
      </w:r>
    </w:p>
    <w:p>
      <w:pPr>
        <w:tabs>
          <w:tab w:val="left" w:pos="1134"/>
          <w:tab w:val="left" w:pos="8364"/>
        </w:tabs>
        <w:spacing w:line="360" w:lineRule="auto"/>
        <w:ind w:firstLine="420" w:firstLineChars="200"/>
        <w:rPr>
          <w:rFonts w:ascii="宋体" w:hAnsi="宋体"/>
        </w:rPr>
      </w:pPr>
      <w:r>
        <w:rPr>
          <w:rFonts w:ascii="宋体" w:hAnsi="宋体"/>
        </w:rPr>
        <w:t>31.</w:t>
      </w:r>
      <w:r>
        <w:rPr>
          <w:rFonts w:hint="eastAsia" w:ascii="宋体" w:hAnsi="宋体"/>
        </w:rPr>
        <w:t>3</w:t>
      </w:r>
      <w:r>
        <w:rPr>
          <w:rFonts w:ascii="宋体" w:hAnsi="宋体"/>
        </w:rPr>
        <w:t>评审委员会决定否决全部比选申请的；</w:t>
      </w:r>
    </w:p>
    <w:p>
      <w:pPr>
        <w:tabs>
          <w:tab w:val="left" w:pos="1134"/>
          <w:tab w:val="left" w:pos="8364"/>
        </w:tabs>
        <w:spacing w:line="360" w:lineRule="auto"/>
        <w:ind w:firstLine="420" w:firstLineChars="200"/>
        <w:rPr>
          <w:rFonts w:ascii="宋体" w:hAnsi="宋体"/>
        </w:rPr>
      </w:pPr>
      <w:r>
        <w:rPr>
          <w:rFonts w:hint="eastAsia" w:ascii="宋体" w:hAnsi="宋体"/>
        </w:rPr>
        <w:t>31.4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31.5</w:t>
      </w:r>
      <w:r>
        <w:rPr>
          <w:rFonts w:ascii="宋体" w:hAnsi="宋体"/>
        </w:rPr>
        <w:t>根据本须知16</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line="360" w:lineRule="auto"/>
        <w:ind w:firstLine="420" w:firstLineChars="200"/>
        <w:rPr>
          <w:rFonts w:ascii="宋体" w:hAnsi="宋体"/>
        </w:rPr>
      </w:pPr>
      <w:r>
        <w:rPr>
          <w:rFonts w:hint="eastAsia" w:ascii="宋体" w:hAnsi="宋体"/>
        </w:rPr>
        <w:t>31.6比选文件中规定的其他情况。</w:t>
      </w:r>
    </w:p>
    <w:p>
      <w:pPr>
        <w:pStyle w:val="5"/>
        <w:numPr>
          <w:ilvl w:val="0"/>
          <w:numId w:val="0"/>
        </w:numPr>
        <w:spacing w:line="360" w:lineRule="auto"/>
        <w:ind w:left="424"/>
        <w:rPr>
          <w:rFonts w:ascii="宋体" w:hAnsi="宋体"/>
          <w:b/>
          <w:bCs w:val="0"/>
        </w:rPr>
      </w:pPr>
      <w:bookmarkStart w:id="846" w:name="_Toc11126"/>
      <w:bookmarkStart w:id="847" w:name="_Toc375039096"/>
      <w:bookmarkStart w:id="848" w:name="_Toc17042"/>
      <w:bookmarkStart w:id="849" w:name="_Toc5959"/>
      <w:bookmarkStart w:id="850" w:name="_Toc492478754"/>
      <w:bookmarkStart w:id="851" w:name="_Toc10962"/>
      <w:bookmarkStart w:id="852" w:name="_Toc385427829"/>
      <w:bookmarkStart w:id="853" w:name="_Toc390098455"/>
      <w:bookmarkStart w:id="854" w:name="_Toc25257"/>
      <w:bookmarkStart w:id="855" w:name="_Toc383891204"/>
      <w:bookmarkStart w:id="856" w:name="_Toc26919"/>
      <w:bookmarkStart w:id="857" w:name="_Toc2422"/>
      <w:bookmarkStart w:id="858" w:name="_Toc20979"/>
      <w:bookmarkStart w:id="859" w:name="_Toc14235"/>
      <w:bookmarkStart w:id="860" w:name="_Toc14454"/>
      <w:bookmarkStart w:id="861" w:name="_Toc26954"/>
      <w:bookmarkStart w:id="862" w:name="_Toc1116"/>
      <w:bookmarkStart w:id="863" w:name="_Toc6886"/>
      <w:bookmarkStart w:id="864" w:name="_Toc12983539"/>
      <w:bookmarkStart w:id="865" w:name="_Toc31757"/>
      <w:bookmarkStart w:id="866" w:name="_Toc3769"/>
      <w:bookmarkStart w:id="867" w:name="_Toc12031"/>
      <w:bookmarkStart w:id="868" w:name="_Toc1945"/>
      <w:bookmarkStart w:id="869" w:name="_Toc25750624"/>
      <w:r>
        <w:rPr>
          <w:rFonts w:hint="eastAsia" w:ascii="宋体" w:hAnsi="宋体"/>
          <w:b/>
          <w:bCs w:val="0"/>
        </w:rPr>
        <w:t>32. 不再</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Fonts w:hint="eastAsia" w:ascii="宋体" w:hAnsi="宋体"/>
          <w:b/>
          <w:bCs w:val="0"/>
        </w:rPr>
        <w:t>比选</w:t>
      </w:r>
      <w:bookmarkEnd w:id="869"/>
    </w:p>
    <w:p>
      <w:pPr>
        <w:pStyle w:val="2"/>
        <w:spacing w:line="360" w:lineRule="auto"/>
        <w:ind w:firstLine="420" w:firstLineChars="200"/>
      </w:pPr>
      <w:r>
        <w:rPr>
          <w:rFonts w:hAnsi="宋体"/>
        </w:rPr>
        <w:t>项目</w:t>
      </w:r>
      <w:r>
        <w:rPr>
          <w:rFonts w:hint="eastAsia" w:hAnsi="宋体"/>
        </w:rPr>
        <w:t>比选</w:t>
      </w:r>
      <w:r>
        <w:rPr>
          <w:rFonts w:hAnsi="宋体"/>
        </w:rPr>
        <w:t>经两次发布信息后比选申请人仍少于三个或重新</w:t>
      </w:r>
      <w:r>
        <w:rPr>
          <w:rFonts w:hint="eastAsia" w:hAnsi="宋体"/>
        </w:rPr>
        <w:t>比选</w:t>
      </w:r>
      <w:r>
        <w:rPr>
          <w:rFonts w:hAnsi="宋体"/>
        </w:rPr>
        <w:t>后有效比选申请人仍少于三个或者所有比选申请被否决的，比选人可不再进行</w:t>
      </w:r>
      <w:r>
        <w:rPr>
          <w:rFonts w:hint="eastAsia" w:hAnsi="宋体"/>
        </w:rPr>
        <w:t>比选</w:t>
      </w:r>
      <w:r>
        <w:rPr>
          <w:rFonts w:hAnsi="宋体"/>
        </w:rPr>
        <w:t>。</w:t>
      </w:r>
    </w:p>
    <w:p>
      <w:pPr>
        <w:pStyle w:val="4"/>
        <w:tabs>
          <w:tab w:val="left" w:pos="2605"/>
        </w:tabs>
        <w:spacing w:after="0" w:line="360" w:lineRule="auto"/>
        <w:ind w:firstLine="424" w:firstLineChars="176"/>
        <w:rPr>
          <w:rFonts w:ascii="宋体" w:hAnsi="宋体"/>
          <w:sz w:val="24"/>
          <w:szCs w:val="24"/>
        </w:rPr>
      </w:pPr>
      <w:bookmarkStart w:id="870" w:name="_Toc390098456"/>
      <w:bookmarkStart w:id="871" w:name="_Toc26653"/>
      <w:bookmarkStart w:id="872" w:name="_Toc12983540"/>
      <w:bookmarkStart w:id="873" w:name="_Toc383891205"/>
      <w:bookmarkStart w:id="874" w:name="_Toc30278"/>
      <w:bookmarkStart w:id="875" w:name="_Toc492478755"/>
      <w:bookmarkStart w:id="876" w:name="_Toc9113"/>
      <w:bookmarkStart w:id="877" w:name="_Toc22975"/>
      <w:bookmarkStart w:id="878" w:name="_Toc27839"/>
      <w:bookmarkStart w:id="879" w:name="_Toc24681"/>
      <w:bookmarkStart w:id="880" w:name="_Toc31958"/>
      <w:bookmarkStart w:id="881" w:name="_Toc75771525"/>
      <w:bookmarkStart w:id="882" w:name="_Toc385427830"/>
      <w:bookmarkStart w:id="883" w:name="_Toc19952"/>
      <w:bookmarkStart w:id="884" w:name="_Toc12421"/>
      <w:bookmarkStart w:id="885" w:name="_Toc25431"/>
      <w:bookmarkStart w:id="886" w:name="_Toc21516"/>
      <w:bookmarkStart w:id="887" w:name="_Toc6000"/>
      <w:bookmarkStart w:id="888" w:name="_Toc25750625"/>
      <w:bookmarkStart w:id="889" w:name="_Toc24580"/>
      <w:bookmarkStart w:id="890" w:name="_Toc18800"/>
      <w:bookmarkStart w:id="891" w:name="_Toc8834"/>
      <w:bookmarkStart w:id="892" w:name="_Toc2326"/>
      <w:bookmarkStart w:id="893" w:name="_Toc4743"/>
      <w:bookmarkStart w:id="894" w:name="_Toc375039097"/>
      <w:bookmarkStart w:id="895" w:name="_Toc3541"/>
      <w:r>
        <w:rPr>
          <w:rFonts w:hint="eastAsia" w:ascii="宋体" w:hAnsi="宋体"/>
          <w:sz w:val="24"/>
          <w:szCs w:val="24"/>
        </w:rPr>
        <w:t>六、</w:t>
      </w:r>
      <w:r>
        <w:rPr>
          <w:rFonts w:ascii="宋体" w:hAnsi="宋体"/>
          <w:sz w:val="24"/>
          <w:szCs w:val="24"/>
        </w:rPr>
        <w:t>授予合同</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Fonts w:ascii="宋体" w:hAnsi="宋体"/>
          <w:sz w:val="24"/>
          <w:szCs w:val="24"/>
        </w:rPr>
        <w:tab/>
      </w:r>
    </w:p>
    <w:p>
      <w:pPr>
        <w:pStyle w:val="5"/>
        <w:numPr>
          <w:ilvl w:val="0"/>
          <w:numId w:val="0"/>
        </w:numPr>
        <w:spacing w:line="360" w:lineRule="auto"/>
        <w:ind w:left="420"/>
        <w:rPr>
          <w:rFonts w:ascii="宋体" w:hAnsi="宋体"/>
          <w:b/>
          <w:bCs w:val="0"/>
        </w:rPr>
      </w:pPr>
      <w:bookmarkStart w:id="896" w:name="_Toc385427831"/>
      <w:bookmarkStart w:id="897" w:name="_Toc22323"/>
      <w:bookmarkStart w:id="898" w:name="_Toc12983541"/>
      <w:bookmarkStart w:id="899" w:name="_Toc26525"/>
      <w:bookmarkStart w:id="900" w:name="_Toc30026"/>
      <w:bookmarkStart w:id="901" w:name="_Toc21975"/>
      <w:bookmarkStart w:id="902" w:name="_Toc30743"/>
      <w:bookmarkStart w:id="903" w:name="_Toc383891206"/>
      <w:bookmarkStart w:id="904" w:name="_Toc28661"/>
      <w:bookmarkStart w:id="905" w:name="_Toc20642"/>
      <w:bookmarkStart w:id="906" w:name="_Toc13914"/>
      <w:bookmarkStart w:id="907" w:name="_Toc10522"/>
      <w:bookmarkStart w:id="908" w:name="_Toc18878"/>
      <w:bookmarkStart w:id="909" w:name="_Toc21728"/>
      <w:bookmarkStart w:id="910" w:name="_Toc26143"/>
      <w:bookmarkStart w:id="911" w:name="_Toc31011"/>
      <w:bookmarkStart w:id="912" w:name="_Toc25750626"/>
      <w:bookmarkStart w:id="913" w:name="_Toc11795"/>
      <w:bookmarkStart w:id="914" w:name="_Toc22688"/>
      <w:bookmarkStart w:id="915" w:name="_Toc390098457"/>
      <w:bookmarkStart w:id="916" w:name="_Toc1269"/>
      <w:bookmarkStart w:id="917" w:name="_Toc492478756"/>
      <w:bookmarkStart w:id="918" w:name="_Toc375039098"/>
      <w:bookmarkStart w:id="919" w:name="_Toc8938"/>
      <w:r>
        <w:rPr>
          <w:rFonts w:hint="eastAsia" w:ascii="宋体" w:hAnsi="宋体"/>
          <w:b/>
          <w:bCs w:val="0"/>
        </w:rPr>
        <w:t>33. 合同授予标准</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tabs>
          <w:tab w:val="left" w:pos="1134"/>
          <w:tab w:val="left" w:pos="8364"/>
        </w:tabs>
        <w:spacing w:line="360" w:lineRule="auto"/>
        <w:ind w:firstLine="420" w:firstLineChars="200"/>
        <w:rPr>
          <w:rFonts w:ascii="宋体" w:hAnsi="宋体"/>
        </w:rPr>
      </w:pPr>
      <w:r>
        <w:rPr>
          <w:rFonts w:hint="eastAsia" w:ascii="宋体" w:hAnsi="宋体"/>
        </w:rPr>
        <w:t xml:space="preserve">33.1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line="360" w:lineRule="auto"/>
        <w:ind w:firstLine="420" w:firstLineChars="200"/>
        <w:rPr>
          <w:rFonts w:ascii="宋体" w:hAnsi="宋体"/>
        </w:rPr>
      </w:pPr>
      <w:r>
        <w:rPr>
          <w:rFonts w:hint="eastAsia" w:ascii="宋体" w:hAnsi="宋体"/>
        </w:rPr>
        <w:t xml:space="preserve">33.2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numPr>
          <w:ilvl w:val="0"/>
          <w:numId w:val="0"/>
        </w:numPr>
        <w:spacing w:line="360" w:lineRule="auto"/>
        <w:ind w:left="420"/>
        <w:rPr>
          <w:rFonts w:ascii="宋体" w:hAnsi="宋体"/>
          <w:b/>
          <w:bCs w:val="0"/>
        </w:rPr>
      </w:pPr>
      <w:bookmarkStart w:id="920" w:name="_Toc18977"/>
      <w:bookmarkStart w:id="921" w:name="_Toc24183"/>
      <w:bookmarkStart w:id="922" w:name="_Toc14325"/>
      <w:bookmarkStart w:id="923" w:name="_Toc17818"/>
      <w:bookmarkStart w:id="924" w:name="_Toc25797"/>
      <w:bookmarkStart w:id="925" w:name="_Toc16111"/>
      <w:bookmarkStart w:id="926" w:name="_Toc383891207"/>
      <w:bookmarkStart w:id="927" w:name="_Toc377"/>
      <w:bookmarkStart w:id="928" w:name="_Toc385427832"/>
      <w:bookmarkStart w:id="929" w:name="_Toc390098458"/>
      <w:bookmarkStart w:id="930" w:name="_Toc12983542"/>
      <w:bookmarkStart w:id="931" w:name="_Toc19774"/>
      <w:bookmarkStart w:id="932" w:name="_Toc17153"/>
      <w:bookmarkStart w:id="933" w:name="_Toc19128"/>
      <w:bookmarkStart w:id="934" w:name="_Toc375039099"/>
      <w:bookmarkStart w:id="935" w:name="_Toc31336"/>
      <w:bookmarkStart w:id="936" w:name="_Toc23649"/>
      <w:bookmarkStart w:id="937" w:name="_Toc14301"/>
      <w:bookmarkStart w:id="938" w:name="_Toc25750627"/>
      <w:bookmarkStart w:id="939" w:name="_Toc13417"/>
      <w:bookmarkStart w:id="940" w:name="_Toc11913"/>
      <w:bookmarkStart w:id="941" w:name="_Toc1873"/>
      <w:bookmarkStart w:id="942" w:name="_Toc492478757"/>
      <w:bookmarkStart w:id="943" w:name="_Toc14832"/>
      <w:r>
        <w:rPr>
          <w:rFonts w:hint="eastAsia" w:ascii="宋体" w:hAnsi="宋体"/>
          <w:b/>
          <w:bCs w:val="0"/>
        </w:rPr>
        <w:t>34. 接受和否决任何或所有比选申请的权力</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tabs>
          <w:tab w:val="left" w:pos="1134"/>
          <w:tab w:val="left" w:pos="8364"/>
        </w:tabs>
        <w:spacing w:line="360" w:lineRule="auto"/>
        <w:ind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0"/>
        </w:numPr>
        <w:spacing w:line="360" w:lineRule="auto"/>
        <w:ind w:firstLine="422" w:firstLineChars="200"/>
        <w:rPr>
          <w:rFonts w:ascii="宋体" w:hAnsi="宋体"/>
          <w:b/>
          <w:bCs w:val="0"/>
        </w:rPr>
      </w:pPr>
      <w:bookmarkStart w:id="944" w:name="_Toc17953"/>
      <w:bookmarkStart w:id="945" w:name="_Toc13596"/>
      <w:bookmarkStart w:id="946" w:name="_Toc9636"/>
      <w:bookmarkStart w:id="947" w:name="_Toc25750628"/>
      <w:bookmarkStart w:id="948" w:name="_Toc2061"/>
      <w:bookmarkStart w:id="949" w:name="_Toc5061"/>
      <w:bookmarkStart w:id="950" w:name="_Toc921"/>
      <w:bookmarkStart w:id="951" w:name="_Toc21798"/>
      <w:bookmarkStart w:id="952" w:name="_Toc13605"/>
      <w:bookmarkStart w:id="953" w:name="_Toc27683"/>
      <w:bookmarkStart w:id="954" w:name="_Toc390098459"/>
      <w:bookmarkStart w:id="955" w:name="_Toc375039100"/>
      <w:bookmarkStart w:id="956" w:name="_Toc20680"/>
      <w:bookmarkStart w:id="957" w:name="_Toc19556"/>
      <w:bookmarkStart w:id="958" w:name="_Toc10348"/>
      <w:bookmarkStart w:id="959" w:name="_Toc673"/>
      <w:bookmarkStart w:id="960" w:name="_Toc19943"/>
      <w:bookmarkStart w:id="961" w:name="_Toc385427833"/>
      <w:bookmarkStart w:id="962" w:name="_Toc383891208"/>
      <w:bookmarkStart w:id="963" w:name="_Toc492478758"/>
      <w:bookmarkStart w:id="964" w:name="_Toc22657"/>
      <w:bookmarkStart w:id="965" w:name="_Toc32424"/>
      <w:bookmarkStart w:id="966" w:name="_Toc12983543"/>
      <w:bookmarkStart w:id="967" w:name="_Toc12065"/>
      <w:r>
        <w:rPr>
          <w:rFonts w:hint="eastAsia" w:ascii="宋体" w:hAnsi="宋体"/>
          <w:b/>
          <w:bCs w:val="0"/>
        </w:rPr>
        <w:t>35. 中选通知书</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tabs>
          <w:tab w:val="left" w:pos="450"/>
          <w:tab w:val="left" w:pos="1134"/>
          <w:tab w:val="left" w:pos="8364"/>
        </w:tabs>
        <w:spacing w:line="360" w:lineRule="auto"/>
        <w:ind w:firstLine="420" w:firstLineChars="200"/>
        <w:rPr>
          <w:rFonts w:ascii="宋体" w:hAnsi="宋体"/>
        </w:rPr>
      </w:pPr>
      <w:r>
        <w:rPr>
          <w:rFonts w:hint="eastAsia" w:ascii="宋体" w:hAnsi="宋体"/>
        </w:rPr>
        <w:t xml:space="preserve">35.1 </w:t>
      </w:r>
      <w:r>
        <w:rPr>
          <w:rFonts w:ascii="宋体" w:hAnsi="宋体"/>
        </w:rPr>
        <w:t>在比选申请有效期截止前，</w:t>
      </w:r>
      <w:r>
        <w:rPr>
          <w:rFonts w:hint="eastAsia" w:ascii="宋体" w:hAnsi="宋体"/>
        </w:rPr>
        <w:t>在本须知第</w:t>
      </w:r>
      <w:r>
        <w:rPr>
          <w:rFonts w:ascii="宋体" w:hAnsi="宋体"/>
        </w:rPr>
        <w:t>16条</w:t>
      </w:r>
      <w:r>
        <w:rPr>
          <w:rFonts w:hint="eastAsia" w:ascii="宋体" w:hAnsi="宋体"/>
        </w:rPr>
        <w:t>规定的比选申请有效期内，比选人以书面形式向中选人发出中选通知书。</w:t>
      </w:r>
    </w:p>
    <w:p>
      <w:pPr>
        <w:tabs>
          <w:tab w:val="left" w:pos="450"/>
          <w:tab w:val="left" w:pos="1134"/>
          <w:tab w:val="left" w:pos="8364"/>
        </w:tabs>
        <w:spacing w:line="360" w:lineRule="auto"/>
        <w:ind w:firstLine="420" w:firstLineChars="200"/>
        <w:rPr>
          <w:rFonts w:ascii="宋体" w:hAnsi="宋体"/>
        </w:rPr>
      </w:pPr>
      <w:r>
        <w:rPr>
          <w:rFonts w:hint="eastAsia" w:ascii="宋体" w:hAnsi="宋体"/>
        </w:rPr>
        <w:t xml:space="preserve">35.2 </w:t>
      </w:r>
      <w:r>
        <w:rPr>
          <w:rFonts w:ascii="宋体" w:hAnsi="宋体"/>
        </w:rPr>
        <w:t>中选通知书将作为签订合同的依据，并是合同的一个组成部分。</w:t>
      </w:r>
    </w:p>
    <w:p>
      <w:pPr>
        <w:tabs>
          <w:tab w:val="left" w:pos="450"/>
          <w:tab w:val="left" w:pos="1134"/>
          <w:tab w:val="left" w:pos="8364"/>
        </w:tabs>
        <w:spacing w:line="360" w:lineRule="auto"/>
        <w:ind w:firstLine="420" w:firstLineChars="200"/>
        <w:rPr>
          <w:rFonts w:ascii="宋体" w:hAnsi="宋体"/>
        </w:rPr>
      </w:pPr>
      <w:r>
        <w:rPr>
          <w:rFonts w:hint="eastAsia" w:ascii="宋体" w:hAnsi="宋体"/>
        </w:rPr>
        <w:t xml:space="preserve">35.3 </w:t>
      </w:r>
      <w:r>
        <w:rPr>
          <w:rFonts w:ascii="宋体" w:hAnsi="宋体"/>
        </w:rPr>
        <w:t>对未中选者，比选人不对未中选原因做出解释，同时亦不退还比选申请文件。</w:t>
      </w:r>
    </w:p>
    <w:p>
      <w:pPr>
        <w:tabs>
          <w:tab w:val="left" w:pos="450"/>
          <w:tab w:val="left" w:pos="1134"/>
          <w:tab w:val="left" w:pos="8364"/>
        </w:tabs>
        <w:spacing w:line="360" w:lineRule="auto"/>
        <w:ind w:firstLine="420" w:firstLineChars="200"/>
        <w:rPr>
          <w:rFonts w:ascii="宋体" w:hAnsi="宋体"/>
        </w:rPr>
      </w:pPr>
      <w:r>
        <w:rPr>
          <w:rFonts w:hint="eastAsia" w:ascii="宋体" w:hAnsi="宋体"/>
        </w:rPr>
        <w:t>35.4</w:t>
      </w:r>
      <w:r>
        <w:rPr>
          <w:rFonts w:ascii="宋体" w:hAnsi="宋体"/>
        </w:rPr>
        <w:t xml:space="preserve"> </w:t>
      </w:r>
      <w:r>
        <w:rPr>
          <w:rFonts w:hint="eastAsia" w:ascii="宋体" w:hAnsi="宋体"/>
        </w:rPr>
        <w:t>放弃中选人资格的处罚详见前附表。</w:t>
      </w:r>
    </w:p>
    <w:p>
      <w:pPr>
        <w:pStyle w:val="5"/>
        <w:numPr>
          <w:ilvl w:val="0"/>
          <w:numId w:val="0"/>
        </w:numPr>
        <w:spacing w:line="360" w:lineRule="auto"/>
        <w:ind w:left="426"/>
        <w:rPr>
          <w:rFonts w:ascii="宋体" w:hAnsi="宋体"/>
          <w:b/>
          <w:bCs w:val="0"/>
        </w:rPr>
      </w:pPr>
      <w:bookmarkStart w:id="968" w:name="_Toc375039101"/>
      <w:bookmarkStart w:id="969" w:name="_Toc24240"/>
      <w:bookmarkStart w:id="970" w:name="_Toc1862"/>
      <w:bookmarkStart w:id="971" w:name="_Toc21217"/>
      <w:bookmarkStart w:id="972" w:name="_Toc15048"/>
      <w:bookmarkStart w:id="973" w:name="_Toc29993"/>
      <w:bookmarkStart w:id="974" w:name="_Toc385427834"/>
      <w:bookmarkStart w:id="975" w:name="_Toc24885"/>
      <w:bookmarkStart w:id="976" w:name="_Toc22442"/>
      <w:bookmarkStart w:id="977" w:name="_Toc25208"/>
      <w:bookmarkStart w:id="978" w:name="_Toc492478759"/>
      <w:bookmarkStart w:id="979" w:name="_Toc390098460"/>
      <w:bookmarkStart w:id="980" w:name="_Toc30862"/>
      <w:bookmarkStart w:id="981" w:name="_Toc18694"/>
      <w:bookmarkStart w:id="982" w:name="_Toc12983544"/>
      <w:bookmarkStart w:id="983" w:name="_Toc28815"/>
      <w:bookmarkStart w:id="984" w:name="_Toc1780"/>
      <w:bookmarkStart w:id="985" w:name="_Toc383891209"/>
      <w:bookmarkStart w:id="986" w:name="_Toc5767"/>
      <w:bookmarkStart w:id="987" w:name="_Toc5617"/>
      <w:bookmarkStart w:id="988" w:name="_Toc4190"/>
      <w:bookmarkStart w:id="989" w:name="_Toc21570"/>
      <w:bookmarkStart w:id="990" w:name="_Toc25750629"/>
      <w:bookmarkStart w:id="991" w:name="_Toc8628"/>
      <w:r>
        <w:rPr>
          <w:rFonts w:ascii="宋体" w:hAnsi="宋体"/>
          <w:b/>
          <w:bCs w:val="0"/>
        </w:rPr>
        <w:t xml:space="preserve">36. </w:t>
      </w:r>
      <w:r>
        <w:rPr>
          <w:rFonts w:hint="eastAsia" w:ascii="宋体" w:hAnsi="宋体"/>
          <w:b/>
          <w:bCs w:val="0"/>
        </w:rPr>
        <w:t>签订合同</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tabs>
          <w:tab w:val="left" w:pos="1134"/>
          <w:tab w:val="left" w:pos="8364"/>
        </w:tabs>
        <w:spacing w:line="360" w:lineRule="auto"/>
        <w:ind w:firstLine="420" w:firstLineChars="200"/>
        <w:rPr>
          <w:rFonts w:ascii="宋体" w:hAnsi="宋体"/>
        </w:rPr>
      </w:pPr>
      <w:r>
        <w:rPr>
          <w:rFonts w:hint="eastAsia" w:ascii="宋体" w:hAnsi="宋体"/>
        </w:rPr>
        <w:t>36.1 中选人在收到中选通知书后，按比选文件的要求与比选人签订合同</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36.2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line="360" w:lineRule="auto"/>
        <w:ind w:firstLine="420" w:firstLineChars="200"/>
        <w:rPr>
          <w:rFonts w:ascii="宋体" w:hAnsi="宋体"/>
        </w:rPr>
      </w:pPr>
      <w:r>
        <w:rPr>
          <w:rFonts w:hint="eastAsia" w:ascii="宋体" w:hAnsi="宋体"/>
        </w:rPr>
        <w:t xml:space="preserve">36.3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36.4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0"/>
        </w:numPr>
        <w:spacing w:line="360" w:lineRule="auto"/>
        <w:ind w:left="426"/>
        <w:rPr>
          <w:rFonts w:ascii="宋体" w:hAnsi="宋体"/>
          <w:b/>
          <w:bCs w:val="0"/>
        </w:rPr>
      </w:pPr>
      <w:bookmarkStart w:id="992" w:name="_Toc390098462"/>
      <w:bookmarkStart w:id="993" w:name="_Toc375039103"/>
      <w:bookmarkStart w:id="994" w:name="_Toc8178"/>
      <w:bookmarkStart w:id="995" w:name="_Toc492478761"/>
      <w:bookmarkStart w:id="996" w:name="_Toc10399"/>
      <w:bookmarkStart w:id="997" w:name="_Toc16584"/>
      <w:bookmarkStart w:id="998" w:name="_Toc2637"/>
      <w:bookmarkStart w:id="999" w:name="_Toc10480"/>
      <w:bookmarkStart w:id="1000" w:name="_Toc25750631"/>
      <w:bookmarkStart w:id="1001" w:name="_Toc25988"/>
      <w:bookmarkStart w:id="1002" w:name="_Toc11354"/>
      <w:bookmarkStart w:id="1003" w:name="_Toc26808"/>
      <w:bookmarkStart w:id="1004" w:name="_Toc12983546"/>
      <w:bookmarkStart w:id="1005" w:name="_Toc30169"/>
      <w:bookmarkStart w:id="1006" w:name="_Toc24400"/>
      <w:bookmarkStart w:id="1007" w:name="_Toc21294"/>
      <w:bookmarkStart w:id="1008" w:name="_Toc13615"/>
      <w:bookmarkStart w:id="1009" w:name="_Toc385427836"/>
      <w:bookmarkStart w:id="1010" w:name="_Toc23115"/>
      <w:bookmarkStart w:id="1011" w:name="_Toc16212"/>
      <w:bookmarkStart w:id="1012" w:name="_Toc383891211"/>
      <w:bookmarkStart w:id="1013" w:name="_Toc19122"/>
      <w:bookmarkStart w:id="1014" w:name="_Toc20351"/>
      <w:bookmarkStart w:id="1015" w:name="_Toc25990"/>
      <w:r>
        <w:rPr>
          <w:rFonts w:hint="eastAsia" w:ascii="宋体" w:hAnsi="宋体"/>
          <w:b/>
          <w:bCs w:val="0"/>
        </w:rPr>
        <w:t>37. 其他</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tabs>
          <w:tab w:val="left" w:pos="1134"/>
          <w:tab w:val="left" w:pos="8364"/>
        </w:tabs>
        <w:spacing w:line="360" w:lineRule="auto"/>
        <w:ind w:firstLine="420" w:firstLineChars="200"/>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.2 </w:t>
      </w:r>
      <w:r>
        <w:rPr>
          <w:rFonts w:ascii="宋体" w:hAnsi="宋体"/>
        </w:rPr>
        <w:t>保密</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.3 </w:t>
      </w:r>
      <w:r>
        <w:rPr>
          <w:rFonts w:ascii="宋体" w:hAnsi="宋体"/>
        </w:rPr>
        <w:t>比选申请人知悉</w:t>
      </w:r>
    </w:p>
    <w:p>
      <w:pPr>
        <w:tabs>
          <w:tab w:val="left" w:pos="1134"/>
          <w:tab w:val="left" w:pos="8364"/>
        </w:tabs>
        <w:spacing w:line="360" w:lineRule="auto"/>
        <w:ind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.3.2 </w:t>
      </w:r>
      <w:r>
        <w:rPr>
          <w:rFonts w:ascii="宋体" w:hAnsi="宋体"/>
        </w:rPr>
        <w:t>如果比选申请人在比选申请过程中有欺诈行为，则比选人有权否决比选申请人的比选申请。</w:t>
      </w:r>
    </w:p>
    <w:p>
      <w:pPr>
        <w:tabs>
          <w:tab w:val="left" w:pos="425"/>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.4 分包：本项目不允许分包、禁止转包。</w:t>
      </w:r>
    </w:p>
    <w:p>
      <w:pPr>
        <w:pStyle w:val="2"/>
        <w:spacing w:line="360" w:lineRule="auto"/>
        <w:ind w:firstLine="420" w:firstLineChars="200"/>
        <w:rPr>
          <w:rFonts w:hAnsi="宋体"/>
        </w:rPr>
      </w:pPr>
      <w:r>
        <w:rPr>
          <w:rFonts w:hint="eastAsia" w:hAnsi="宋体"/>
        </w:rPr>
        <w:t>3</w:t>
      </w:r>
      <w:r>
        <w:rPr>
          <w:rFonts w:hAnsi="宋体"/>
        </w:rPr>
        <w:t>7</w:t>
      </w:r>
      <w:r>
        <w:rPr>
          <w:rFonts w:hint="eastAsia" w:hAnsi="宋体"/>
        </w:rPr>
        <w:t>.5 需要补充的其他内容：详见比选申请须知前附表</w:t>
      </w: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jc w:val="center"/>
        <w:outlineLvl w:val="0"/>
        <w:rPr>
          <w:rStyle w:val="92"/>
          <w:rFonts w:hAnsi="宋体"/>
        </w:rPr>
      </w:pPr>
      <w:bookmarkStart w:id="1016" w:name="_Toc25920"/>
      <w:bookmarkStart w:id="1017" w:name="_Toc7547"/>
      <w:bookmarkStart w:id="1018" w:name="_Toc4003"/>
      <w:bookmarkStart w:id="1019" w:name="_Toc9725"/>
      <w:bookmarkStart w:id="1020" w:name="_Toc25750632"/>
      <w:bookmarkStart w:id="1021" w:name="_Toc12281"/>
      <w:bookmarkStart w:id="1022" w:name="_Toc28464"/>
      <w:bookmarkStart w:id="1023" w:name="_Toc16340"/>
      <w:bookmarkStart w:id="1024" w:name="_Toc21919"/>
      <w:bookmarkStart w:id="1025" w:name="_Toc9458"/>
      <w:bookmarkStart w:id="1026" w:name="_Toc13323"/>
      <w:bookmarkStart w:id="1027" w:name="_Toc23292"/>
      <w:bookmarkStart w:id="1028" w:name="_Toc14991"/>
      <w:bookmarkStart w:id="1029" w:name="_Toc1179"/>
      <w:bookmarkStart w:id="1030" w:name="_Toc15740"/>
      <w:bookmarkStart w:id="1031" w:name="_Toc9991"/>
      <w:bookmarkStart w:id="1032" w:name="_Toc11424"/>
      <w:bookmarkStart w:id="1033" w:name="_Toc75771526"/>
      <w:bookmarkStart w:id="1034" w:name="_Toc17022"/>
      <w:bookmarkStart w:id="1035" w:name="_Toc30252"/>
      <w:r>
        <w:rPr>
          <w:rStyle w:val="92"/>
          <w:rFonts w:hint="eastAsia" w:hAnsi="宋体"/>
        </w:rPr>
        <w:t xml:space="preserve">第三章 </w:t>
      </w:r>
      <w:r>
        <w:rPr>
          <w:rStyle w:val="92"/>
          <w:rFonts w:hAnsi="宋体"/>
        </w:rPr>
        <w:t xml:space="preserve"> </w:t>
      </w:r>
      <w:r>
        <w:rPr>
          <w:rStyle w:val="92"/>
          <w:rFonts w:hint="eastAsia" w:hAnsi="宋体"/>
        </w:rPr>
        <w:t>合同条款及格式</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spacing w:line="360" w:lineRule="auto"/>
        <w:ind w:firstLine="200"/>
        <w:jc w:val="center"/>
        <w:outlineLvl w:val="1"/>
        <w:rPr>
          <w:rFonts w:ascii="宋体" w:hAnsi="宋体"/>
          <w:b/>
          <w:sz w:val="24"/>
          <w:szCs w:val="24"/>
        </w:rPr>
      </w:pPr>
      <w:bookmarkStart w:id="1036" w:name="_Toc2618"/>
      <w:bookmarkStart w:id="1037" w:name="_Toc14463"/>
      <w:bookmarkStart w:id="1038" w:name="_Toc25828"/>
      <w:bookmarkStart w:id="1039" w:name="_Toc6950"/>
      <w:bookmarkStart w:id="1040" w:name="_Toc31368"/>
      <w:bookmarkStart w:id="1041" w:name="_Toc3488"/>
      <w:bookmarkStart w:id="1042" w:name="_Toc12983547"/>
      <w:bookmarkStart w:id="1043" w:name="_Toc7236"/>
      <w:bookmarkStart w:id="1044" w:name="_Toc7587"/>
      <w:bookmarkStart w:id="1045" w:name="_Toc15840"/>
      <w:bookmarkStart w:id="1046" w:name="_Toc8999"/>
      <w:bookmarkStart w:id="1047" w:name="_Toc6190"/>
      <w:bookmarkStart w:id="1048" w:name="_Toc13761"/>
      <w:bookmarkStart w:id="1049" w:name="_Toc20060"/>
      <w:bookmarkStart w:id="1050" w:name="_Toc25750633"/>
      <w:bookmarkStart w:id="1051" w:name="_Toc32403"/>
      <w:bookmarkStart w:id="1052" w:name="_Toc1289"/>
      <w:bookmarkStart w:id="1053" w:name="_Toc29797"/>
      <w:bookmarkStart w:id="1054" w:name="_Toc4026"/>
      <w:bookmarkStart w:id="1055" w:name="_Toc75771527"/>
      <w:bookmarkStart w:id="1056" w:name="_Toc23397"/>
      <w:r>
        <w:rPr>
          <w:rFonts w:hint="eastAsia" w:ascii="宋体" w:hAnsi="宋体"/>
          <w:b/>
          <w:sz w:val="24"/>
          <w:szCs w:val="24"/>
        </w:rPr>
        <w:t>一、合同协议书</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spacing w:line="360" w:lineRule="auto"/>
        <w:ind w:firstLine="420" w:firstLineChars="200"/>
        <w:jc w:val="left"/>
        <w:rPr>
          <w:rFonts w:ascii="宋体" w:hAnsi="宋体"/>
          <w:u w:val="single"/>
        </w:rPr>
      </w:pPr>
      <w:r>
        <w:rPr>
          <w:rFonts w:hint="eastAsia" w:ascii="宋体" w:hAnsi="宋体"/>
        </w:rPr>
        <w:t>甲方（全称）：</w:t>
      </w:r>
      <w:r>
        <w:rPr>
          <w:rFonts w:hint="eastAsia" w:ascii="宋体" w:hAnsi="宋体"/>
          <w:u w:val="single"/>
        </w:rPr>
        <w:t xml:space="preserve"> </w:t>
      </w:r>
      <w:r>
        <w:rPr>
          <w:rFonts w:ascii="宋体" w:hAnsi="宋体"/>
          <w:u w:val="single"/>
        </w:rPr>
        <w:t>南宁轨道交通</w:t>
      </w:r>
      <w:r>
        <w:rPr>
          <w:rFonts w:hint="eastAsia" w:ascii="宋体" w:hAnsi="宋体"/>
          <w:u w:val="single"/>
        </w:rPr>
        <w:t>运营</w:t>
      </w:r>
      <w:r>
        <w:rPr>
          <w:rFonts w:ascii="宋体" w:hAnsi="宋体"/>
          <w:u w:val="single"/>
        </w:rPr>
        <w:t>有限公司</w:t>
      </w:r>
      <w:r>
        <w:rPr>
          <w:rFonts w:hint="eastAsia" w:ascii="宋体" w:hAnsi="宋体"/>
          <w:u w:val="single"/>
        </w:rPr>
        <w:t xml:space="preserve"> </w:t>
      </w:r>
    </w:p>
    <w:p>
      <w:pPr>
        <w:spacing w:line="360" w:lineRule="auto"/>
        <w:ind w:firstLine="420" w:firstLineChars="200"/>
        <w:jc w:val="left"/>
        <w:rPr>
          <w:rFonts w:ascii="宋体" w:hAnsi="宋体"/>
        </w:rPr>
      </w:pPr>
      <w:r>
        <w:rPr>
          <w:rFonts w:hint="eastAsia" w:ascii="宋体" w:hAnsi="宋体"/>
        </w:rPr>
        <w:t>乙方（全称）：</w:t>
      </w:r>
    </w:p>
    <w:p>
      <w:pPr>
        <w:spacing w:line="360" w:lineRule="auto"/>
        <w:ind w:firstLine="420" w:firstLineChars="200"/>
        <w:jc w:val="left"/>
        <w:rPr>
          <w:rFonts w:ascii="宋体" w:hAnsi="宋体"/>
        </w:rPr>
      </w:pPr>
      <w:r>
        <w:rPr>
          <w:rFonts w:hint="eastAsia" w:ascii="宋体" w:hAnsi="宋体"/>
        </w:rPr>
        <w:t>本协议由</w:t>
      </w:r>
      <w:r>
        <w:rPr>
          <w:rFonts w:ascii="宋体" w:hAnsi="宋体"/>
        </w:rPr>
        <w:t>南宁轨道交通</w:t>
      </w:r>
      <w:r>
        <w:rPr>
          <w:rFonts w:hint="eastAsia" w:ascii="宋体" w:hAnsi="宋体"/>
        </w:rPr>
        <w:t>运营</w:t>
      </w:r>
      <w:r>
        <w:rPr>
          <w:rFonts w:ascii="宋体" w:hAnsi="宋体"/>
        </w:rPr>
        <w:t>有限公司</w:t>
      </w:r>
      <w:r>
        <w:rPr>
          <w:rFonts w:hint="eastAsia" w:ascii="宋体" w:hAnsi="宋体"/>
        </w:rPr>
        <w:t>（下称“甲方”或业主）与（下称“乙方”），双方根据</w:t>
      </w:r>
      <w:r>
        <w:rPr>
          <w:rFonts w:hint="eastAsia" w:ascii="宋体" w:hAnsi="宋体"/>
          <w:u w:val="single"/>
        </w:rPr>
        <w:t xml:space="preserve"> 南宁轨道交通运营有限公司2</w:t>
      </w:r>
      <w:r>
        <w:rPr>
          <w:rFonts w:ascii="宋体" w:hAnsi="宋体"/>
          <w:u w:val="single"/>
        </w:rPr>
        <w:t>023</w:t>
      </w:r>
      <w:r>
        <w:rPr>
          <w:rFonts w:hint="eastAsia" w:ascii="宋体" w:hAnsi="宋体"/>
          <w:u w:val="single"/>
        </w:rPr>
        <w:t xml:space="preserve">年办公家具家电委外维修项目 </w:t>
      </w:r>
      <w:r>
        <w:rPr>
          <w:rFonts w:hint="eastAsia" w:ascii="宋体" w:hAnsi="宋体"/>
        </w:rPr>
        <w:t>（项目编号:</w:t>
      </w:r>
      <w:r>
        <w:rPr>
          <w:rFonts w:ascii="宋体" w:hAnsi="宋体"/>
          <w:u w:val="single"/>
        </w:rPr>
        <w:t xml:space="preserve"> 202208020001</w:t>
      </w:r>
      <w:r>
        <w:rPr>
          <w:rFonts w:hint="eastAsia" w:ascii="宋体" w:hAnsi="宋体"/>
        </w:rPr>
        <w:t>）比选结果，依据《中华人民共和国民法典》的规定，签订协议。具体内容如下：</w:t>
      </w:r>
    </w:p>
    <w:p>
      <w:pPr>
        <w:tabs>
          <w:tab w:val="left" w:pos="1134"/>
          <w:tab w:val="left" w:pos="1680"/>
        </w:tabs>
        <w:spacing w:line="360" w:lineRule="auto"/>
        <w:ind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line="360" w:lineRule="auto"/>
        <w:ind w:firstLine="420"/>
        <w:rPr>
          <w:rFonts w:ascii="宋体" w:hAnsi="宋体" w:cs="Arial"/>
        </w:rPr>
      </w:pPr>
      <w:r>
        <w:rPr>
          <w:rFonts w:hint="eastAsia" w:ascii="宋体" w:hAnsi="宋体" w:cs="Arial"/>
        </w:rPr>
        <w:t>1.1 项目名称：</w:t>
      </w:r>
      <w:r>
        <w:rPr>
          <w:rFonts w:hint="eastAsia" w:ascii="宋体" w:hAnsi="宋体"/>
          <w:u w:val="single"/>
        </w:rPr>
        <w:t>南宁轨道交通运营有限公司2</w:t>
      </w:r>
      <w:r>
        <w:rPr>
          <w:rFonts w:ascii="宋体" w:hAnsi="宋体"/>
          <w:u w:val="single"/>
        </w:rPr>
        <w:t>023</w:t>
      </w:r>
      <w:r>
        <w:rPr>
          <w:rFonts w:hint="eastAsia" w:ascii="宋体" w:hAnsi="宋体"/>
          <w:u w:val="single"/>
        </w:rPr>
        <w:t>年办公家具家电委外维修项目</w:t>
      </w:r>
    </w:p>
    <w:p>
      <w:pPr>
        <w:tabs>
          <w:tab w:val="left" w:pos="1134"/>
          <w:tab w:val="left" w:pos="1680"/>
        </w:tabs>
        <w:spacing w:line="360" w:lineRule="auto"/>
        <w:ind w:firstLine="420"/>
        <w:rPr>
          <w:rFonts w:ascii="宋体" w:hAnsi="宋体" w:cs="Arial"/>
        </w:rPr>
      </w:pPr>
      <w:r>
        <w:rPr>
          <w:rFonts w:hint="eastAsia" w:ascii="宋体" w:hAnsi="宋体" w:cs="Arial"/>
        </w:rPr>
        <w:t>1.2</w:t>
      </w:r>
      <w:r>
        <w:rPr>
          <w:rFonts w:ascii="宋体" w:hAnsi="宋体" w:cs="Arial"/>
        </w:rPr>
        <w:t xml:space="preserve"> </w:t>
      </w:r>
      <w:r>
        <w:rPr>
          <w:rFonts w:hint="eastAsia" w:ascii="宋体" w:hAnsi="宋体" w:cs="Arial"/>
        </w:rPr>
        <w:t>项目实施地点：</w:t>
      </w:r>
      <w:r>
        <w:rPr>
          <w:rFonts w:hint="eastAsia" w:ascii="宋体" w:hAnsi="宋体"/>
          <w:u w:val="single"/>
        </w:rPr>
        <w:t>南宁轨道交通1号线屯里车辆段、西乡塘停车场、2号线安吉综合基地、3号线心圩车辆段、新村停车场、4号线五象车辆段、5号线那洪综合基地及各线路所属既有线路正线车站。</w:t>
      </w:r>
    </w:p>
    <w:p>
      <w:pPr>
        <w:tabs>
          <w:tab w:val="left" w:pos="1134"/>
          <w:tab w:val="left" w:pos="1680"/>
        </w:tabs>
        <w:spacing w:line="360" w:lineRule="auto"/>
        <w:ind w:firstLine="420"/>
        <w:rPr>
          <w:rFonts w:ascii="宋体" w:hAnsi="宋体" w:cs="Arial"/>
        </w:rPr>
      </w:pPr>
      <w:r>
        <w:rPr>
          <w:rFonts w:hint="eastAsia" w:ascii="宋体" w:hAnsi="宋体" w:cs="Arial"/>
        </w:rPr>
        <w:t>1.3</w:t>
      </w:r>
      <w:r>
        <w:rPr>
          <w:rFonts w:ascii="宋体" w:hAnsi="宋体" w:cs="Arial"/>
        </w:rPr>
        <w:t xml:space="preserve"> </w:t>
      </w:r>
      <w:r>
        <w:rPr>
          <w:rFonts w:hint="eastAsia" w:ascii="宋体" w:hAnsi="宋体" w:cs="Arial"/>
        </w:rPr>
        <w:t>项目范围：</w:t>
      </w:r>
    </w:p>
    <w:p>
      <w:pPr>
        <w:tabs>
          <w:tab w:val="left" w:pos="1134"/>
          <w:tab w:val="left" w:pos="1680"/>
        </w:tabs>
        <w:spacing w:line="360" w:lineRule="auto"/>
        <w:ind w:firstLine="420"/>
        <w:rPr>
          <w:rFonts w:ascii="宋体" w:hAnsi="宋体" w:cs="Arial"/>
        </w:rPr>
      </w:pPr>
      <w:r>
        <w:rPr>
          <w:rFonts w:hint="eastAsia" w:ascii="宋体" w:hAnsi="宋体" w:cs="Arial"/>
        </w:rPr>
        <w:t xml:space="preserve">1.3.1 </w:t>
      </w:r>
      <w:r>
        <w:rPr>
          <w:rFonts w:hint="eastAsia" w:ascii="宋体" w:hAnsi="宋体"/>
          <w:szCs w:val="21"/>
        </w:rPr>
        <w:t>包括但不限于对南宁轨道交通1号线屯里车辆段、西乡塘停车场、2号线安吉综合基地、3号线心圩车辆段、新村停车场、4号线五象车辆段及5号线那洪综合基地等7处场段生活办公区域的家具、家电、装饰装修、低压配电、区域设施设备进行维修维保（含配件耗材）；</w:t>
      </w:r>
      <w:r>
        <w:rPr>
          <w:rFonts w:ascii="宋体" w:hAnsi="宋体" w:cs="Arial"/>
        </w:rPr>
        <w:t xml:space="preserve"> </w:t>
      </w:r>
    </w:p>
    <w:p>
      <w:pPr>
        <w:pStyle w:val="2"/>
        <w:spacing w:line="360" w:lineRule="auto"/>
        <w:rPr>
          <w:rFonts w:hAnsi="宋体" w:cs="Arial"/>
          <w:szCs w:val="22"/>
        </w:rPr>
      </w:pPr>
      <w:r>
        <w:rPr>
          <w:rFonts w:hint="eastAsia" w:hAnsi="宋体" w:cs="Arial"/>
          <w:szCs w:val="22"/>
        </w:rPr>
        <w:t xml:space="preserve">    1.3.2 </w:t>
      </w:r>
      <w:r>
        <w:rPr>
          <w:rFonts w:hint="eastAsia" w:hAnsi="宋体" w:cs="黑体"/>
        </w:rPr>
        <w:t>包括但不限于场段生产区域及既有线路正线车站办公家具家电进行维修维保（含配件耗材）</w:t>
      </w:r>
    </w:p>
    <w:p>
      <w:pPr>
        <w:tabs>
          <w:tab w:val="left" w:pos="567"/>
        </w:tabs>
        <w:spacing w:line="360" w:lineRule="auto"/>
        <w:ind w:firstLine="422" w:firstLineChars="200"/>
        <w:rPr>
          <w:rFonts w:ascii="宋体" w:hAnsi="宋体"/>
          <w:b/>
        </w:rPr>
      </w:pPr>
      <w:r>
        <w:rPr>
          <w:rFonts w:ascii="宋体" w:hAnsi="宋体"/>
          <w:b/>
        </w:rPr>
        <w:t>3、合同</w:t>
      </w:r>
      <w:r>
        <w:rPr>
          <w:rFonts w:hint="eastAsia" w:ascii="宋体" w:hAnsi="宋体"/>
          <w:b/>
        </w:rPr>
        <w:t>价格</w:t>
      </w:r>
    </w:p>
    <w:p>
      <w:pPr>
        <w:tabs>
          <w:tab w:val="left" w:pos="567"/>
        </w:tabs>
        <w:spacing w:line="360" w:lineRule="auto"/>
        <w:ind w:firstLine="420" w:firstLineChars="200"/>
        <w:rPr>
          <w:rFonts w:ascii="宋体" w:hAnsi="宋体"/>
        </w:rPr>
      </w:pPr>
      <w:r>
        <w:rPr>
          <w:rFonts w:hint="eastAsia" w:ascii="宋体" w:hAnsi="宋体"/>
        </w:rPr>
        <w:t>3.1本合同为固定单价（不含增值税）合同，合同总价为暂定价，金额为不含税</w:t>
      </w:r>
      <w:r>
        <w:rPr>
          <w:rFonts w:hint="eastAsia" w:ascii="宋体" w:hAnsi="宋体"/>
          <w:u w:val="single"/>
        </w:rPr>
        <w:t>5</w:t>
      </w:r>
      <w:r>
        <w:rPr>
          <w:rFonts w:ascii="宋体" w:hAnsi="宋体"/>
          <w:u w:val="single"/>
        </w:rPr>
        <w:t>47000.00</w:t>
      </w:r>
      <w:r>
        <w:rPr>
          <w:rFonts w:hint="eastAsia" w:ascii="宋体" w:hAnsi="宋体"/>
        </w:rPr>
        <w:t>元，最终结算按实际发生维修维保内容及数量的进行据实结算。</w:t>
      </w:r>
    </w:p>
    <w:p>
      <w:pPr>
        <w:tabs>
          <w:tab w:val="left" w:pos="567"/>
        </w:tabs>
        <w:spacing w:line="360" w:lineRule="auto"/>
        <w:ind w:firstLine="420" w:firstLineChars="200"/>
        <w:rPr>
          <w:rFonts w:ascii="宋体" w:hAnsi="宋体"/>
        </w:rPr>
      </w:pPr>
      <w:r>
        <w:rPr>
          <w:rFonts w:ascii="宋体" w:hAnsi="宋体"/>
        </w:rPr>
        <w:t>3.2</w:t>
      </w:r>
      <w:r>
        <w:rPr>
          <w:rFonts w:hint="eastAsia" w:ascii="宋体" w:hAnsi="宋体"/>
        </w:rPr>
        <w:t>合同价格为：不含税价：</w:t>
      </w:r>
      <w:r>
        <w:rPr>
          <w:rFonts w:hint="eastAsia" w:ascii="宋体" w:hAnsi="宋体"/>
          <w:u w:val="single"/>
        </w:rPr>
        <w:t xml:space="preserve"> 人民币伍拾肆万柒仟 (¥5</w:t>
      </w:r>
      <w:r>
        <w:rPr>
          <w:rFonts w:ascii="宋体" w:hAnsi="宋体"/>
          <w:u w:val="single"/>
        </w:rPr>
        <w:t>47000.00</w:t>
      </w:r>
      <w:r>
        <w:rPr>
          <w:rFonts w:hint="eastAsia" w:ascii="宋体" w:hAnsi="宋体"/>
          <w:u w:val="single"/>
        </w:rPr>
        <w:t>)</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。在合同履约过程中，本合同税率将遵照国家现行税法执行。本合同最终税金在结算阶段，按实际产生的税金进行核算，但合同不含税价格不因国家税率调整而调整。</w:t>
      </w:r>
    </w:p>
    <w:p>
      <w:pPr>
        <w:spacing w:line="360" w:lineRule="auto"/>
        <w:ind w:firstLine="422" w:firstLineChars="200"/>
        <w:rPr>
          <w:rFonts w:ascii="宋体" w:hAnsi="宋体"/>
        </w:rPr>
      </w:pPr>
      <w:r>
        <w:rPr>
          <w:rFonts w:ascii="宋体" w:hAnsi="宋体"/>
          <w:b/>
        </w:rPr>
        <w:t>4.本合同由下列文件构成</w:t>
      </w:r>
      <w:r>
        <w:rPr>
          <w:rFonts w:hint="eastAsia" w:ascii="宋体" w:hAnsi="宋体"/>
        </w:rPr>
        <w:t>：</w:t>
      </w:r>
    </w:p>
    <w:p>
      <w:pPr>
        <w:spacing w:line="360" w:lineRule="auto"/>
        <w:ind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line="360" w:lineRule="auto"/>
        <w:ind w:firstLine="420" w:firstLineChars="200"/>
        <w:rPr>
          <w:rFonts w:ascii="宋体" w:hAnsi="宋体"/>
        </w:rPr>
      </w:pPr>
      <w:r>
        <w:rPr>
          <w:rFonts w:hint="eastAsia" w:ascii="宋体" w:hAnsi="宋体"/>
        </w:rPr>
        <w:t>（</w:t>
      </w:r>
      <w:r>
        <w:rPr>
          <w:rFonts w:ascii="宋体" w:hAnsi="宋体"/>
        </w:rPr>
        <w:t>2</w:t>
      </w:r>
      <w:r>
        <w:rPr>
          <w:rFonts w:hint="eastAsia" w:ascii="宋体" w:hAnsi="宋体"/>
        </w:rPr>
        <w:t>）合同条款；</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）中选通知书；</w:t>
      </w:r>
    </w:p>
    <w:p>
      <w:pPr>
        <w:spacing w:line="360" w:lineRule="auto"/>
        <w:ind w:firstLine="420" w:firstLineChars="200"/>
        <w:rPr>
          <w:rFonts w:ascii="宋体" w:hAnsi="宋体"/>
        </w:rPr>
      </w:pPr>
      <w:r>
        <w:rPr>
          <w:rFonts w:hint="eastAsia" w:ascii="宋体" w:hAnsi="宋体"/>
        </w:rPr>
        <w:t>（4）价格组成文件；</w:t>
      </w:r>
    </w:p>
    <w:p>
      <w:pPr>
        <w:spacing w:line="360" w:lineRule="auto"/>
        <w:ind w:firstLine="420" w:firstLineChars="200"/>
        <w:rPr>
          <w:rFonts w:ascii="宋体" w:hAnsi="宋体"/>
        </w:rPr>
      </w:pPr>
      <w:r>
        <w:rPr>
          <w:rFonts w:hint="eastAsia" w:ascii="宋体" w:hAnsi="宋体"/>
        </w:rPr>
        <w:t>（5）用户需求书/技术规格书；</w:t>
      </w:r>
    </w:p>
    <w:p>
      <w:pPr>
        <w:spacing w:line="360" w:lineRule="auto"/>
        <w:ind w:firstLine="420" w:firstLineChars="200"/>
        <w:rPr>
          <w:rFonts w:ascii="宋体" w:hAnsi="宋体"/>
        </w:rPr>
      </w:pPr>
      <w:r>
        <w:rPr>
          <w:rFonts w:hint="eastAsia" w:ascii="宋体" w:hAnsi="宋体"/>
        </w:rPr>
        <w:t>（6）合同附件；</w:t>
      </w:r>
    </w:p>
    <w:p>
      <w:pPr>
        <w:pStyle w:val="2"/>
        <w:spacing w:line="360" w:lineRule="auto"/>
      </w:pPr>
      <w:r>
        <w:rPr>
          <w:rFonts w:hint="eastAsia"/>
        </w:rPr>
        <w:t xml:space="preserve"> </w:t>
      </w:r>
      <w:r>
        <w:t xml:space="preserve">   </w:t>
      </w:r>
      <w:r>
        <w:rPr>
          <w:rFonts w:hint="eastAsia"/>
        </w:rPr>
        <w:t>（7）其他与项目相关的资料。</w:t>
      </w:r>
    </w:p>
    <w:p>
      <w:pPr>
        <w:spacing w:line="360" w:lineRule="auto"/>
        <w:ind w:firstLine="420" w:firstLineChars="200"/>
        <w:rPr>
          <w:rFonts w:ascii="宋体" w:hAnsi="宋体" w:cs="Arial"/>
        </w:rPr>
      </w:pPr>
      <w:r>
        <w:rPr>
          <w:rFonts w:hint="eastAsia" w:cs="宋体"/>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rPr>
        <w:t>。</w:t>
      </w:r>
    </w:p>
    <w:p>
      <w:pPr>
        <w:spacing w:line="360" w:lineRule="auto"/>
        <w:ind w:firstLine="420" w:firstLineChars="200"/>
        <w:rPr>
          <w:rFonts w:ascii="宋体" w:hAnsi="宋体" w:cs="Arial"/>
        </w:rPr>
      </w:pPr>
      <w:r>
        <w:rPr>
          <w:rFonts w:hint="eastAsia" w:ascii="宋体" w:hAnsi="宋体" w:cs="Arial"/>
        </w:rPr>
        <w:t>5.</w:t>
      </w:r>
      <w:r>
        <w:rPr>
          <w:rFonts w:hint="eastAsia"/>
        </w:rPr>
        <w:t xml:space="preserve"> 乙方向甲方承诺严格履行合同条款义务，按合同约定承担本合同责任</w:t>
      </w:r>
      <w:r>
        <w:rPr>
          <w:rFonts w:hint="eastAsia" w:ascii="宋体" w:hAnsi="宋体" w:cs="Arial"/>
        </w:rPr>
        <w:t>。</w:t>
      </w:r>
    </w:p>
    <w:p>
      <w:pPr>
        <w:spacing w:line="360" w:lineRule="auto"/>
        <w:ind w:firstLine="420" w:firstLineChars="200"/>
      </w:pPr>
      <w:r>
        <w:rPr>
          <w:rFonts w:hint="eastAsia" w:ascii="宋体" w:hAnsi="宋体" w:cs="Arial"/>
        </w:rPr>
        <w:t>6.</w:t>
      </w:r>
      <w:r>
        <w:rPr>
          <w:rFonts w:hint="eastAsia"/>
        </w:rPr>
        <w:t xml:space="preserve"> 双方依据本次比选文件中的用户需求书，通过合同澄清最终形成技术规格书，并经双方正式签署后构成本合同的有效组成部分。在本合同执行中以技术规格书为准。</w:t>
      </w:r>
    </w:p>
    <w:p>
      <w:pPr>
        <w:spacing w:line="360" w:lineRule="auto"/>
        <w:ind w:firstLine="420" w:firstLineChars="200"/>
        <w:rPr>
          <w:rFonts w:ascii="宋体" w:hAnsi="宋体"/>
        </w:rPr>
      </w:pPr>
      <w:r>
        <w:rPr>
          <w:rFonts w:hint="eastAsia" w:ascii="宋体" w:hAnsi="宋体"/>
        </w:rPr>
        <w:t>7.</w:t>
      </w:r>
      <w:r>
        <w:rPr>
          <w:rFonts w:hint="eastAsia" w:ascii="宋体" w:hAnsi="宋体" w:cs="Arial"/>
        </w:rPr>
        <w:t xml:space="preserve"> </w:t>
      </w:r>
      <w:r>
        <w:rPr>
          <w:rFonts w:hint="eastAsia"/>
        </w:rPr>
        <w:t>甲方向乙方承诺按合同条款约定的条件、时间和方式支付合同价款。</w:t>
      </w:r>
    </w:p>
    <w:p>
      <w:pPr>
        <w:spacing w:line="360" w:lineRule="auto"/>
        <w:ind w:firstLine="420" w:firstLineChars="200"/>
      </w:pPr>
      <w:r>
        <w:rPr>
          <w:rFonts w:hint="eastAsia" w:ascii="宋体" w:hAnsi="宋体"/>
        </w:rPr>
        <w:t>8.</w:t>
      </w:r>
      <w:r>
        <w:rPr>
          <w:rFonts w:hint="eastAsia"/>
        </w:rPr>
        <w:t xml:space="preserve"> 甲方、乙方承诺按照合同条款约定的违约责任和解决争议方式履行合同。</w:t>
      </w:r>
    </w:p>
    <w:p>
      <w:pPr>
        <w:spacing w:line="360" w:lineRule="auto"/>
        <w:ind w:firstLine="420" w:firstLineChars="200"/>
        <w:rPr>
          <w:rFonts w:ascii="宋体" w:hAnsi="宋体" w:cs="Arial"/>
        </w:rPr>
      </w:pPr>
      <w:r>
        <w:rPr>
          <w:rFonts w:hint="eastAsia"/>
        </w:rPr>
        <w:t>9. 本合同协议书中有关词语含义与本合同《合同条款》中分别赋予它们的定义相同，合同协议书与《合同条款》共同组成完整的合同文本。</w:t>
      </w:r>
    </w:p>
    <w:p>
      <w:pPr>
        <w:spacing w:line="360" w:lineRule="auto"/>
        <w:ind w:firstLine="420" w:firstLineChars="200"/>
        <w:rPr>
          <w:rFonts w:ascii="宋体" w:hAnsi="宋体" w:cs="Arial"/>
        </w:rPr>
      </w:pPr>
      <w:r>
        <w:rPr>
          <w:rFonts w:hint="eastAsia" w:ascii="宋体" w:hAnsi="宋体" w:cs="Arial"/>
        </w:rPr>
        <w:t>10.本合同用中文书写，正本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ascii="宋体" w:hAnsi="宋体" w:cs="Arial"/>
          <w:u w:val="single"/>
        </w:rPr>
        <w:t>12</w:t>
      </w:r>
      <w:r>
        <w:rPr>
          <w:rFonts w:hint="eastAsia" w:ascii="宋体" w:hAnsi="宋体" w:cs="Arial"/>
        </w:rPr>
        <w:t>份，甲方持</w:t>
      </w:r>
      <w:r>
        <w:rPr>
          <w:rFonts w:ascii="宋体" w:hAnsi="宋体" w:cs="Arial"/>
          <w:u w:val="single"/>
        </w:rPr>
        <w:t>10</w:t>
      </w:r>
      <w:r>
        <w:rPr>
          <w:rFonts w:hint="eastAsia" w:ascii="宋体" w:hAnsi="宋体" w:cs="Arial"/>
        </w:rPr>
        <w:t>份，乙方持</w:t>
      </w:r>
      <w:r>
        <w:rPr>
          <w:rFonts w:ascii="宋体" w:hAnsi="宋体" w:cs="Arial"/>
          <w:u w:val="single"/>
        </w:rPr>
        <w:t>2</w:t>
      </w:r>
      <w:r>
        <w:rPr>
          <w:rFonts w:hint="eastAsia" w:ascii="宋体" w:hAnsi="宋体" w:cs="Arial"/>
        </w:rPr>
        <w:t>份。</w:t>
      </w:r>
    </w:p>
    <w:p>
      <w:pPr>
        <w:spacing w:line="360" w:lineRule="auto"/>
        <w:ind w:firstLine="420" w:firstLineChars="200"/>
        <w:rPr>
          <w:rFonts w:ascii="宋体" w:hAnsi="宋体" w:cs="Arial"/>
        </w:rPr>
      </w:pPr>
      <w:r>
        <w:rPr>
          <w:rFonts w:hint="eastAsia" w:ascii="宋体" w:hAnsi="宋体" w:cs="Arial"/>
        </w:rPr>
        <w:t>11.本合同协议书经双方法定代表人或授权代表</w:t>
      </w:r>
      <w:r>
        <w:rPr>
          <w:rFonts w:hint="eastAsia"/>
        </w:rPr>
        <w:t>在合同协议书上</w:t>
      </w:r>
      <w:r>
        <w:rPr>
          <w:rFonts w:hint="eastAsia" w:ascii="宋体" w:hAnsi="宋体" w:cs="Arial"/>
        </w:rPr>
        <w:t>签字并加盖单位公章后生效。</w:t>
      </w:r>
    </w:p>
    <w:p>
      <w:pPr>
        <w:spacing w:line="360" w:lineRule="auto"/>
        <w:ind w:firstLine="420" w:firstLineChars="200"/>
        <w:rPr>
          <w:rFonts w:ascii="宋体" w:hAnsi="宋体" w:cs="Arial"/>
        </w:rPr>
      </w:pPr>
      <w:r>
        <w:rPr>
          <w:rFonts w:hint="eastAsia" w:ascii="宋体" w:hAnsi="宋体" w:cs="Arial"/>
        </w:rPr>
        <w:t>12.</w:t>
      </w:r>
      <w:r>
        <w:rPr>
          <w:rFonts w:hint="eastAsia"/>
        </w:rPr>
        <w:t xml:space="preserve"> 合同未尽事宜，双方另行签订补充协议。</w:t>
      </w:r>
    </w:p>
    <w:tbl>
      <w:tblPr>
        <w:tblStyle w:val="40"/>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hd w:val="clear" w:color="auto" w:fill="FFFFFF" w:themeFill="background1"/>
              <w:spacing w:line="360" w:lineRule="auto"/>
            </w:pPr>
            <w:r>
              <w:rPr>
                <w:rFonts w:hint="eastAsia" w:hAnsi="宋体"/>
              </w:rPr>
              <w:t>甲方：</w:t>
            </w:r>
            <w:r>
              <w:t>南宁轨道交通</w:t>
            </w:r>
            <w:r>
              <w:rPr>
                <w:rFonts w:hint="eastAsia"/>
              </w:rPr>
              <w:t>运营</w:t>
            </w:r>
            <w:r>
              <w:t>有限公司</w:t>
            </w:r>
          </w:p>
          <w:p>
            <w:pPr>
              <w:pStyle w:val="2"/>
              <w:spacing w:line="360" w:lineRule="auto"/>
              <w:rPr>
                <w:rFonts w:hAnsi="宋体"/>
                <w:u w:val="single"/>
              </w:rPr>
            </w:pPr>
            <w:r>
              <w:rPr>
                <w:rFonts w:hint="eastAsia" w:hAnsi="宋体"/>
              </w:rPr>
              <w:t>法定代表人或授权人：</w:t>
            </w:r>
          </w:p>
          <w:p>
            <w:pPr>
              <w:pStyle w:val="2"/>
              <w:spacing w:line="360" w:lineRule="auto"/>
              <w:rPr>
                <w:rFonts w:hAnsi="宋体"/>
                <w:u w:val="single"/>
              </w:rPr>
            </w:pPr>
            <w:r>
              <w:rPr>
                <w:rFonts w:hint="eastAsia" w:hAnsi="宋体"/>
              </w:rPr>
              <w:t>地址：</w:t>
            </w:r>
            <w:r>
              <w:rPr>
                <w:rFonts w:hint="eastAsia" w:hAnsi="宋体"/>
                <w:u w:val="single"/>
              </w:rPr>
              <w:t>广西南宁市青秀区云景路</w:t>
            </w:r>
            <w:r>
              <w:rPr>
                <w:rFonts w:hAnsi="宋体"/>
                <w:u w:val="single"/>
              </w:rPr>
              <w:t>83</w:t>
            </w:r>
            <w:r>
              <w:rPr>
                <w:rFonts w:hint="eastAsia" w:hAnsi="宋体"/>
                <w:u w:val="single"/>
              </w:rPr>
              <w:t>号</w:t>
            </w:r>
          </w:p>
          <w:p>
            <w:pPr>
              <w:pStyle w:val="2"/>
              <w:spacing w:line="360" w:lineRule="auto"/>
              <w:rPr>
                <w:rFonts w:hAnsi="宋体"/>
              </w:rPr>
            </w:pPr>
            <w:r>
              <w:rPr>
                <w:rFonts w:hint="eastAsia" w:hAnsi="宋体"/>
              </w:rPr>
              <w:t>邮政编码：</w:t>
            </w:r>
          </w:p>
          <w:p>
            <w:pPr>
              <w:pStyle w:val="2"/>
              <w:spacing w:line="360" w:lineRule="auto"/>
              <w:rPr>
                <w:rFonts w:hAnsi="宋体"/>
              </w:rPr>
            </w:pPr>
            <w:r>
              <w:rPr>
                <w:rFonts w:hint="eastAsia" w:hAnsi="宋体"/>
              </w:rPr>
              <w:t>联系人：</w:t>
            </w:r>
          </w:p>
          <w:p>
            <w:pPr>
              <w:pStyle w:val="2"/>
              <w:spacing w:line="360" w:lineRule="auto"/>
              <w:rPr>
                <w:rFonts w:hAnsi="宋体"/>
                <w:u w:val="single"/>
              </w:rPr>
            </w:pPr>
            <w:r>
              <w:rPr>
                <w:rFonts w:hint="eastAsia" w:hAnsi="宋体"/>
              </w:rPr>
              <w:t xml:space="preserve">联系电话： </w:t>
            </w:r>
          </w:p>
          <w:p>
            <w:pPr>
              <w:pStyle w:val="2"/>
              <w:spacing w:line="360" w:lineRule="auto"/>
              <w:rPr>
                <w:rFonts w:hAnsi="宋体"/>
                <w:u w:val="single"/>
              </w:rPr>
            </w:pPr>
            <w:r>
              <w:rPr>
                <w:rFonts w:hint="eastAsia" w:hAnsi="宋体"/>
              </w:rPr>
              <w:t>传真：</w:t>
            </w:r>
          </w:p>
          <w:p>
            <w:pPr>
              <w:pStyle w:val="2"/>
              <w:spacing w:line="360" w:lineRule="auto"/>
              <w:rPr>
                <w:rFonts w:hAnsi="宋体"/>
              </w:rPr>
            </w:pPr>
          </w:p>
          <w:p>
            <w:pPr>
              <w:pStyle w:val="2"/>
              <w:spacing w:line="360" w:lineRule="auto"/>
              <w:rPr>
                <w:rFonts w:hAnsi="宋体"/>
              </w:rPr>
            </w:pPr>
          </w:p>
        </w:tc>
        <w:tc>
          <w:tcPr>
            <w:tcW w:w="4261" w:type="dxa"/>
          </w:tcPr>
          <w:p>
            <w:pPr>
              <w:pStyle w:val="2"/>
              <w:spacing w:line="360" w:lineRule="auto"/>
              <w:ind w:firstLine="200"/>
              <w:rPr>
                <w:rFonts w:hAnsi="宋体"/>
                <w:sz w:val="21"/>
                <w:szCs w:val="21"/>
                <w:u w:val="single"/>
              </w:rPr>
            </w:pPr>
            <w:r>
              <w:rPr>
                <w:rFonts w:hint="eastAsia" w:hAnsi="宋体"/>
                <w:sz w:val="21"/>
                <w:szCs w:val="21"/>
              </w:rPr>
              <w:t>乙方：</w:t>
            </w:r>
          </w:p>
          <w:p>
            <w:pPr>
              <w:pStyle w:val="2"/>
              <w:spacing w:line="360" w:lineRule="auto"/>
              <w:ind w:firstLine="200"/>
              <w:rPr>
                <w:rFonts w:hAnsi="宋体"/>
                <w:sz w:val="21"/>
                <w:szCs w:val="21"/>
                <w:u w:val="single"/>
              </w:rPr>
            </w:pPr>
            <w:r>
              <w:rPr>
                <w:rFonts w:hint="eastAsia" w:hAnsi="宋体"/>
                <w:sz w:val="21"/>
                <w:szCs w:val="21"/>
              </w:rPr>
              <w:t>法定代表人或授权人：</w:t>
            </w:r>
          </w:p>
          <w:p>
            <w:pPr>
              <w:pStyle w:val="2"/>
              <w:spacing w:line="360" w:lineRule="auto"/>
              <w:ind w:firstLine="200"/>
              <w:rPr>
                <w:rFonts w:hAnsi="宋体"/>
                <w:sz w:val="21"/>
                <w:szCs w:val="21"/>
                <w:u w:val="single"/>
              </w:rPr>
            </w:pPr>
            <w:r>
              <w:rPr>
                <w:rFonts w:hint="eastAsia" w:hAnsi="宋体"/>
                <w:sz w:val="21"/>
                <w:szCs w:val="21"/>
              </w:rPr>
              <w:t>地址：</w:t>
            </w:r>
          </w:p>
          <w:p>
            <w:pPr>
              <w:pStyle w:val="2"/>
              <w:spacing w:line="360" w:lineRule="auto"/>
              <w:ind w:firstLine="200"/>
              <w:rPr>
                <w:rFonts w:hAnsi="宋体"/>
                <w:sz w:val="21"/>
                <w:szCs w:val="21"/>
              </w:rPr>
            </w:pPr>
            <w:r>
              <w:rPr>
                <w:rFonts w:hint="eastAsia" w:hAnsi="宋体"/>
                <w:sz w:val="21"/>
                <w:szCs w:val="21"/>
              </w:rPr>
              <w:t>邮政编码：</w:t>
            </w:r>
          </w:p>
          <w:p>
            <w:pPr>
              <w:pStyle w:val="2"/>
              <w:spacing w:line="360" w:lineRule="auto"/>
              <w:ind w:firstLine="200"/>
              <w:rPr>
                <w:rFonts w:hAnsi="宋体"/>
                <w:sz w:val="21"/>
                <w:szCs w:val="21"/>
              </w:rPr>
            </w:pPr>
            <w:r>
              <w:rPr>
                <w:rFonts w:hint="eastAsia" w:hAnsi="宋体"/>
                <w:sz w:val="21"/>
                <w:szCs w:val="21"/>
              </w:rPr>
              <w:t>联系人：</w:t>
            </w:r>
          </w:p>
          <w:p>
            <w:pPr>
              <w:pStyle w:val="2"/>
              <w:spacing w:line="360" w:lineRule="auto"/>
              <w:ind w:firstLine="200"/>
              <w:rPr>
                <w:rFonts w:hAnsi="宋体"/>
                <w:sz w:val="21"/>
                <w:szCs w:val="21"/>
                <w:u w:val="single"/>
              </w:rPr>
            </w:pPr>
            <w:r>
              <w:rPr>
                <w:rFonts w:hint="eastAsia" w:hAnsi="宋体"/>
                <w:sz w:val="21"/>
                <w:szCs w:val="21"/>
              </w:rPr>
              <w:t>联系电话：</w:t>
            </w:r>
          </w:p>
          <w:p>
            <w:pPr>
              <w:pStyle w:val="2"/>
              <w:spacing w:line="360" w:lineRule="auto"/>
              <w:ind w:firstLine="200"/>
              <w:rPr>
                <w:rFonts w:hAnsi="宋体"/>
                <w:sz w:val="21"/>
                <w:szCs w:val="21"/>
                <w:u w:val="single"/>
              </w:rPr>
            </w:pPr>
            <w:r>
              <w:rPr>
                <w:rFonts w:hint="eastAsia" w:hAnsi="宋体"/>
                <w:sz w:val="21"/>
                <w:szCs w:val="21"/>
              </w:rPr>
              <w:t>传真：</w:t>
            </w:r>
          </w:p>
          <w:p>
            <w:pPr>
              <w:pStyle w:val="2"/>
              <w:spacing w:line="360" w:lineRule="auto"/>
              <w:ind w:firstLine="200"/>
              <w:rPr>
                <w:rFonts w:hAnsi="宋体"/>
                <w:sz w:val="21"/>
                <w:szCs w:val="21"/>
              </w:rPr>
            </w:pPr>
            <w:r>
              <w:rPr>
                <w:rFonts w:hint="eastAsia" w:hAnsi="宋体"/>
                <w:sz w:val="21"/>
                <w:szCs w:val="21"/>
              </w:rPr>
              <w:t>开户银行：</w:t>
            </w:r>
          </w:p>
          <w:p>
            <w:pPr>
              <w:pStyle w:val="2"/>
              <w:spacing w:line="360" w:lineRule="auto"/>
              <w:ind w:firstLine="200"/>
              <w:rPr>
                <w:rFonts w:hAnsi="宋体"/>
                <w:sz w:val="21"/>
                <w:szCs w:val="21"/>
              </w:rPr>
            </w:pPr>
            <w:r>
              <w:rPr>
                <w:rFonts w:hint="eastAsia" w:hAnsi="宋体"/>
                <w:sz w:val="21"/>
                <w:szCs w:val="21"/>
              </w:rPr>
              <w:t>银行账号：</w:t>
            </w:r>
          </w:p>
          <w:p>
            <w:pPr>
              <w:pStyle w:val="2"/>
              <w:spacing w:line="360" w:lineRule="auto"/>
              <w:ind w:left="708" w:hanging="707"/>
              <w:rPr>
                <w:rFonts w:hAnsi="宋体"/>
              </w:rPr>
            </w:pPr>
            <w:r>
              <w:rPr>
                <w:rFonts w:hint="eastAsia" w:hAnsi="宋体"/>
                <w:sz w:val="21"/>
                <w:szCs w:val="21"/>
              </w:rPr>
              <w:t xml:space="preserve">  纳税人识别号：</w:t>
            </w:r>
          </w:p>
        </w:tc>
      </w:tr>
    </w:tbl>
    <w:p>
      <w:pPr>
        <w:spacing w:line="360" w:lineRule="auto"/>
        <w:jc w:val="center"/>
        <w:rPr>
          <w:rFonts w:ascii="宋体" w:hAnsi="宋体"/>
          <w:b/>
          <w:u w:val="single"/>
        </w:rPr>
      </w:pPr>
      <w:r>
        <w:rPr>
          <w:rFonts w:hint="eastAsia" w:ascii="宋体" w:hAnsi="宋体"/>
          <w:b/>
        </w:rPr>
        <w:t>签订时间：     年   月   日</w:t>
      </w:r>
    </w:p>
    <w:p>
      <w:pPr>
        <w:spacing w:line="360" w:lineRule="auto"/>
        <w:ind w:firstLine="200"/>
        <w:jc w:val="center"/>
        <w:outlineLvl w:val="1"/>
        <w:rPr>
          <w:rFonts w:ascii="宋体" w:hAnsi="宋体"/>
          <w:b/>
          <w:sz w:val="24"/>
          <w:szCs w:val="24"/>
        </w:rPr>
      </w:pPr>
      <w:bookmarkStart w:id="1057" w:name="_Toc25750634"/>
      <w:bookmarkStart w:id="1058" w:name="_Toc997"/>
      <w:bookmarkStart w:id="1059" w:name="_Toc18460"/>
      <w:bookmarkStart w:id="1060" w:name="_Toc12155"/>
      <w:bookmarkStart w:id="1061" w:name="_Toc29876"/>
      <w:bookmarkStart w:id="1062" w:name="_Toc7529"/>
      <w:bookmarkStart w:id="1063" w:name="_Toc25942"/>
      <w:bookmarkStart w:id="1064" w:name="_Toc258"/>
      <w:bookmarkStart w:id="1065" w:name="_Toc24973"/>
      <w:bookmarkStart w:id="1066" w:name="_Toc7689"/>
      <w:bookmarkStart w:id="1067" w:name="_Toc24098"/>
      <w:bookmarkStart w:id="1068" w:name="_Toc10196"/>
      <w:bookmarkStart w:id="1069" w:name="_Toc75771528"/>
      <w:bookmarkStart w:id="1070" w:name="_Toc11253"/>
      <w:bookmarkStart w:id="1071" w:name="_Toc4133"/>
      <w:bookmarkStart w:id="1072" w:name="_Toc9438"/>
      <w:bookmarkStart w:id="1073" w:name="_Toc9188"/>
      <w:bookmarkStart w:id="1074" w:name="_Toc14469"/>
      <w:bookmarkStart w:id="1075" w:name="_Toc16743"/>
      <w:bookmarkStart w:id="1076" w:name="_Toc17331"/>
      <w:r>
        <w:rPr>
          <w:rFonts w:hint="eastAsia" w:ascii="宋体" w:hAnsi="宋体"/>
          <w:b/>
          <w:sz w:val="24"/>
          <w:szCs w:val="24"/>
        </w:rPr>
        <w:t>二、合同条款</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5"/>
        <w:numPr>
          <w:ilvl w:val="0"/>
          <w:numId w:val="0"/>
        </w:numPr>
        <w:spacing w:line="360" w:lineRule="auto"/>
        <w:ind w:left="1" w:firstLine="424" w:firstLineChars="201"/>
        <w:rPr>
          <w:rFonts w:ascii="宋体" w:hAnsi="宋体"/>
          <w:b/>
        </w:rPr>
      </w:pPr>
      <w:bookmarkStart w:id="1077" w:name="_Toc4032"/>
      <w:bookmarkStart w:id="1078" w:name="_Toc20484"/>
      <w:bookmarkStart w:id="1079" w:name="_Toc31691"/>
      <w:bookmarkStart w:id="1080" w:name="_Toc2614"/>
      <w:bookmarkStart w:id="1081" w:name="_Toc25643"/>
      <w:bookmarkStart w:id="1082" w:name="_Toc75771529"/>
      <w:bookmarkStart w:id="1083" w:name="_Toc43"/>
      <w:bookmarkStart w:id="1084" w:name="_Toc25750635"/>
      <w:bookmarkStart w:id="1085" w:name="_Toc12080"/>
      <w:bookmarkStart w:id="1086" w:name="_Toc10730"/>
      <w:bookmarkStart w:id="1087" w:name="_Toc14287"/>
      <w:bookmarkStart w:id="1088" w:name="_Toc12256"/>
      <w:bookmarkStart w:id="1089" w:name="_Toc385427838"/>
      <w:bookmarkStart w:id="1090" w:name="_Toc22880"/>
      <w:bookmarkStart w:id="1091" w:name="_Toc19920"/>
      <w:bookmarkStart w:id="1092" w:name="_Toc7961"/>
      <w:bookmarkStart w:id="1093" w:name="_Toc378514952"/>
      <w:bookmarkStart w:id="1094" w:name="_Toc28024"/>
      <w:bookmarkStart w:id="1095" w:name="_Toc492478763"/>
      <w:bookmarkStart w:id="1096" w:name="_Toc6054"/>
      <w:bookmarkStart w:id="1097" w:name="_Toc15707"/>
      <w:bookmarkStart w:id="1098" w:name="_Toc370933855"/>
      <w:bookmarkStart w:id="1099" w:name="_Toc18727"/>
      <w:bookmarkStart w:id="1100" w:name="_Toc29932"/>
      <w:bookmarkStart w:id="1101" w:name="_Toc390098464"/>
      <w:r>
        <w:rPr>
          <w:rFonts w:hint="eastAsia" w:ascii="宋体" w:hAnsi="宋体" w:eastAsia="宋体"/>
          <w:b/>
          <w:bCs w:val="0"/>
          <w:szCs w:val="22"/>
        </w:rPr>
        <w:t>1.</w:t>
      </w:r>
      <w:r>
        <w:rPr>
          <w:rFonts w:ascii="宋体" w:hAnsi="宋体" w:eastAsia="宋体"/>
          <w:b/>
          <w:bCs w:val="0"/>
          <w:szCs w:val="22"/>
        </w:rPr>
        <w:t xml:space="preserve"> </w:t>
      </w:r>
      <w:r>
        <w:rPr>
          <w:rFonts w:hint="eastAsia" w:ascii="宋体" w:hAnsi="宋体" w:eastAsia="宋体"/>
          <w:b/>
          <w:bCs w:val="0"/>
          <w:szCs w:val="22"/>
        </w:rPr>
        <w:t>定义及解释</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widowControl/>
        <w:numPr>
          <w:ilvl w:val="1"/>
          <w:numId w:val="7"/>
        </w:numPr>
        <w:tabs>
          <w:tab w:val="left" w:pos="840"/>
          <w:tab w:val="clear" w:pos="1134"/>
        </w:tabs>
        <w:spacing w:line="360" w:lineRule="auto"/>
        <w:ind w:left="0" w:firstLine="422" w:firstLineChars="200"/>
        <w:rPr>
          <w:rFonts w:ascii="宋体" w:hAnsi="宋体"/>
          <w:b/>
          <w:bCs/>
        </w:rPr>
      </w:pPr>
      <w:r>
        <w:rPr>
          <w:rFonts w:hint="eastAsia" w:ascii="宋体" w:hAnsi="宋体"/>
          <w:b/>
          <w:bCs/>
        </w:rPr>
        <w:t>定义</w:t>
      </w:r>
    </w:p>
    <w:p>
      <w:pPr>
        <w:tabs>
          <w:tab w:val="left" w:pos="540"/>
          <w:tab w:val="left" w:pos="840"/>
        </w:tabs>
        <w:spacing w:line="360" w:lineRule="auto"/>
        <w:ind w:left="420"/>
        <w:rPr>
          <w:rFonts w:ascii="宋体" w:hAnsi="宋体"/>
        </w:rPr>
      </w:pPr>
      <w:r>
        <w:rPr>
          <w:rFonts w:hint="eastAsia" w:ascii="宋体" w:hAnsi="宋体"/>
        </w:rPr>
        <w:t>在合同中，下列措辞和用语具有此处所赋予的他们的含义：</w:t>
      </w:r>
    </w:p>
    <w:p>
      <w:pPr>
        <w:widowControl/>
        <w:numPr>
          <w:ilvl w:val="2"/>
          <w:numId w:val="8"/>
        </w:numPr>
        <w:tabs>
          <w:tab w:val="left" w:pos="720"/>
          <w:tab w:val="left" w:pos="1060"/>
          <w:tab w:val="left" w:pos="1134"/>
        </w:tabs>
        <w:spacing w:line="360" w:lineRule="auto"/>
        <w:ind w:left="0" w:firstLine="420" w:firstLineChars="200"/>
        <w:rPr>
          <w:rFonts w:ascii="宋体" w:hAnsi="宋体"/>
        </w:rPr>
      </w:pPr>
      <w:r>
        <w:rPr>
          <w:rFonts w:hint="eastAsia"/>
        </w:rPr>
        <w:t>合同文件（或称合同）：指合同协议书、中标通知书、合同条款、合同附件、用户需求书/技术规格书、比选投标文件和澄清文件及甲方对项目管理的有关规定等。</w:t>
      </w:r>
    </w:p>
    <w:p>
      <w:pPr>
        <w:widowControl/>
        <w:numPr>
          <w:ilvl w:val="2"/>
          <w:numId w:val="8"/>
        </w:numPr>
        <w:tabs>
          <w:tab w:val="left" w:pos="720"/>
          <w:tab w:val="left" w:pos="1060"/>
          <w:tab w:val="left" w:pos="1134"/>
        </w:tabs>
        <w:spacing w:line="360" w:lineRule="auto"/>
        <w:ind w:lef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 xml:space="preserve"> “合同条款”系指本合同条款。</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ascii="宋体" w:hAnsi="宋体"/>
        </w:rPr>
        <w:t>南宁轨道交通</w:t>
      </w:r>
      <w:r>
        <w:rPr>
          <w:rFonts w:hint="eastAsia" w:ascii="宋体" w:hAnsi="宋体"/>
        </w:rPr>
        <w:t>运营</w:t>
      </w:r>
      <w:r>
        <w:rPr>
          <w:rFonts w:ascii="宋体" w:hAnsi="宋体"/>
        </w:rPr>
        <w:t>有限公司</w:t>
      </w:r>
      <w:r>
        <w:rPr>
          <w:rFonts w:hint="eastAsia" w:ascii="宋体" w:hAnsi="宋体"/>
        </w:rPr>
        <w:t>。</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“乙方”系指受甲方委托，负责本项目提供的法人。</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“双方”系指甲方和乙方。</w:t>
      </w:r>
    </w:p>
    <w:p>
      <w:pPr>
        <w:widowControl/>
        <w:numPr>
          <w:ilvl w:val="2"/>
          <w:numId w:val="7"/>
        </w:numPr>
        <w:spacing w:line="360" w:lineRule="auto"/>
        <w:ind w:lef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widowControl/>
        <w:numPr>
          <w:ilvl w:val="1"/>
          <w:numId w:val="7"/>
        </w:numPr>
        <w:tabs>
          <w:tab w:val="left" w:pos="840"/>
          <w:tab w:val="clear" w:pos="1134"/>
        </w:tabs>
        <w:spacing w:line="360" w:lineRule="auto"/>
        <w:ind w:left="0" w:firstLine="422" w:firstLineChars="200"/>
        <w:rPr>
          <w:rFonts w:ascii="宋体" w:hAnsi="宋体"/>
          <w:b/>
          <w:bCs/>
        </w:rPr>
      </w:pPr>
      <w:r>
        <w:rPr>
          <w:rFonts w:hint="eastAsia" w:ascii="宋体" w:hAnsi="宋体"/>
          <w:b/>
          <w:bCs/>
        </w:rPr>
        <w:t>解释</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widowControl/>
        <w:numPr>
          <w:ilvl w:val="2"/>
          <w:numId w:val="7"/>
        </w:numPr>
        <w:tabs>
          <w:tab w:val="left" w:pos="1060"/>
          <w:tab w:val="clear" w:pos="1134"/>
        </w:tabs>
        <w:spacing w:line="360" w:lineRule="auto"/>
        <w:ind w:lef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line="360" w:lineRule="auto"/>
        <w:ind w:left="422"/>
        <w:outlineLvl w:val="2"/>
        <w:rPr>
          <w:rFonts w:ascii="宋体" w:hAnsi="宋体"/>
          <w:b/>
        </w:rPr>
      </w:pPr>
      <w:bookmarkStart w:id="1102" w:name="_Toc7059"/>
      <w:bookmarkStart w:id="1103" w:name="_Toc30815"/>
      <w:bookmarkStart w:id="1104" w:name="_Toc8477"/>
      <w:bookmarkStart w:id="1105" w:name="_Toc390098465"/>
      <w:bookmarkStart w:id="1106" w:name="_Toc4212"/>
      <w:bookmarkStart w:id="1107" w:name="_Toc492478764"/>
      <w:bookmarkStart w:id="1108" w:name="_Toc15944"/>
      <w:bookmarkStart w:id="1109" w:name="_Toc75771530"/>
      <w:bookmarkStart w:id="1110" w:name="_Toc3180"/>
      <w:bookmarkStart w:id="1111" w:name="_Toc1169"/>
      <w:bookmarkStart w:id="1112" w:name="_Toc23112"/>
      <w:bookmarkStart w:id="1113" w:name="_Toc13835"/>
      <w:bookmarkStart w:id="1114" w:name="_Toc23305"/>
      <w:bookmarkStart w:id="1115" w:name="_Toc23247"/>
      <w:bookmarkStart w:id="1116" w:name="_Toc25750636"/>
      <w:bookmarkStart w:id="1117" w:name="_Toc385427839"/>
      <w:bookmarkStart w:id="1118" w:name="_Toc19899"/>
      <w:bookmarkStart w:id="1119" w:name="_Toc378514953"/>
      <w:bookmarkStart w:id="1120" w:name="_Toc4255"/>
      <w:bookmarkStart w:id="1121" w:name="_Toc5955"/>
      <w:bookmarkStart w:id="1122" w:name="_Toc18178"/>
      <w:bookmarkStart w:id="1123" w:name="_Toc25826"/>
      <w:bookmarkStart w:id="1124" w:name="_Toc370933856"/>
      <w:bookmarkStart w:id="1125" w:name="_Toc7813"/>
      <w:bookmarkStart w:id="1126" w:name="_Toc4301"/>
      <w:r>
        <w:rPr>
          <w:rFonts w:hint="eastAsia" w:ascii="宋体" w:hAnsi="宋体"/>
          <w:b/>
        </w:rPr>
        <w:t>2.</w:t>
      </w:r>
      <w:r>
        <w:rPr>
          <w:rFonts w:ascii="宋体" w:hAnsi="宋体"/>
          <w:b/>
        </w:rPr>
        <w:t xml:space="preserve"> </w:t>
      </w:r>
      <w:r>
        <w:rPr>
          <w:rFonts w:hint="eastAsia" w:ascii="宋体" w:hAnsi="宋体"/>
          <w:b/>
        </w:rPr>
        <w:t>适用性</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tabs>
          <w:tab w:val="left" w:pos="540"/>
          <w:tab w:val="left" w:pos="840"/>
        </w:tabs>
        <w:spacing w:line="360" w:lineRule="auto"/>
        <w:ind w:left="420"/>
        <w:rPr>
          <w:rFonts w:ascii="宋体" w:hAnsi="宋体"/>
        </w:rPr>
      </w:pPr>
      <w:r>
        <w:rPr>
          <w:rFonts w:hint="eastAsia" w:ascii="宋体" w:hAnsi="宋体"/>
        </w:rPr>
        <w:t>本合同条款适用于本合同其它部分未有规定或未被替代的范围。</w:t>
      </w:r>
    </w:p>
    <w:p>
      <w:pPr>
        <w:tabs>
          <w:tab w:val="left" w:pos="640"/>
          <w:tab w:val="left" w:pos="1843"/>
        </w:tabs>
        <w:spacing w:line="360" w:lineRule="auto"/>
        <w:ind w:left="422"/>
        <w:outlineLvl w:val="2"/>
        <w:rPr>
          <w:rFonts w:ascii="宋体" w:hAnsi="宋体"/>
        </w:rPr>
      </w:pPr>
      <w:bookmarkStart w:id="1127" w:name="_Toc15308"/>
      <w:bookmarkStart w:id="1128" w:name="_Toc3674"/>
      <w:bookmarkStart w:id="1129" w:name="_Toc18092"/>
      <w:bookmarkStart w:id="1130" w:name="_Toc4969"/>
      <w:bookmarkStart w:id="1131" w:name="_Toc5253"/>
      <w:bookmarkStart w:id="1132" w:name="_Toc390098466"/>
      <w:bookmarkStart w:id="1133" w:name="_Toc492478765"/>
      <w:bookmarkStart w:id="1134" w:name="_Toc11803"/>
      <w:bookmarkStart w:id="1135" w:name="_Toc9864"/>
      <w:bookmarkStart w:id="1136" w:name="_Toc12248"/>
      <w:bookmarkStart w:id="1137" w:name="_Toc75771531"/>
      <w:bookmarkStart w:id="1138" w:name="_Toc21065"/>
      <w:bookmarkStart w:id="1139" w:name="_Toc3131"/>
      <w:bookmarkStart w:id="1140" w:name="_Toc14437"/>
      <w:bookmarkStart w:id="1141" w:name="_Toc4738"/>
      <w:bookmarkStart w:id="1142" w:name="_Toc13801"/>
      <w:bookmarkStart w:id="1143" w:name="_Toc9306"/>
      <w:bookmarkStart w:id="1144" w:name="_Toc25750637"/>
      <w:bookmarkStart w:id="1145" w:name="_Toc378514954"/>
      <w:bookmarkStart w:id="1146" w:name="_Toc21603"/>
      <w:bookmarkStart w:id="1147" w:name="_Toc26983"/>
      <w:bookmarkStart w:id="1148" w:name="_Toc370933857"/>
      <w:bookmarkStart w:id="1149" w:name="_Toc385427840"/>
      <w:bookmarkStart w:id="1150" w:name="_Toc4898"/>
      <w:bookmarkStart w:id="1151" w:name="_Toc3397"/>
      <w:r>
        <w:rPr>
          <w:rFonts w:hint="eastAsia" w:ascii="宋体" w:hAnsi="宋体"/>
          <w:b/>
        </w:rPr>
        <w:t>3.</w:t>
      </w:r>
      <w:r>
        <w:rPr>
          <w:rFonts w:hint="eastAsia" w:cs="宋体"/>
          <w:b/>
          <w:bCs/>
        </w:rPr>
        <w:t xml:space="preserve"> 语言文字</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spacing w:line="360" w:lineRule="auto"/>
        <w:ind w:left="105" w:leftChars="50" w:firstLine="315" w:firstLineChars="150"/>
        <w:rPr>
          <w:rFonts w:ascii="宋体" w:hAnsi="宋体"/>
        </w:rPr>
      </w:pPr>
      <w:r>
        <w:rPr>
          <w:rFonts w:hint="eastAsia"/>
        </w:rPr>
        <w:t>除专用术语外，合同使用的语言文字为中文。专用术语在使用其他语种文字应附有中文注释。</w:t>
      </w:r>
    </w:p>
    <w:p>
      <w:pPr>
        <w:tabs>
          <w:tab w:val="left" w:pos="640"/>
          <w:tab w:val="left" w:pos="1843"/>
        </w:tabs>
        <w:spacing w:line="360" w:lineRule="auto"/>
        <w:ind w:left="422"/>
        <w:outlineLvl w:val="2"/>
        <w:rPr>
          <w:rFonts w:ascii="宋体" w:hAnsi="宋体"/>
        </w:rPr>
      </w:pPr>
      <w:bookmarkStart w:id="1152" w:name="_Toc14713"/>
      <w:bookmarkStart w:id="1153" w:name="_Toc23258"/>
      <w:bookmarkStart w:id="1154" w:name="_Toc10807"/>
      <w:bookmarkStart w:id="1155" w:name="_Toc492478766"/>
      <w:bookmarkStart w:id="1156" w:name="_Toc23249"/>
      <w:bookmarkStart w:id="1157" w:name="_Toc21289"/>
      <w:bookmarkStart w:id="1158" w:name="_Toc14273"/>
      <w:bookmarkStart w:id="1159" w:name="_Toc12180"/>
      <w:bookmarkStart w:id="1160" w:name="_Toc3318"/>
      <w:bookmarkStart w:id="1161" w:name="_Toc2708"/>
      <w:bookmarkStart w:id="1162" w:name="_Toc19514"/>
      <w:bookmarkStart w:id="1163" w:name="_Toc370933858"/>
      <w:bookmarkStart w:id="1164" w:name="_Toc18548"/>
      <w:bookmarkStart w:id="1165" w:name="_Toc21641"/>
      <w:bookmarkStart w:id="1166" w:name="_Toc16646"/>
      <w:bookmarkStart w:id="1167" w:name="_Toc25750638"/>
      <w:bookmarkStart w:id="1168" w:name="_Toc11524"/>
      <w:bookmarkStart w:id="1169" w:name="_Toc11626"/>
      <w:bookmarkStart w:id="1170" w:name="_Toc390098467"/>
      <w:bookmarkStart w:id="1171" w:name="_Toc25311"/>
      <w:bookmarkStart w:id="1172" w:name="_Toc27450"/>
      <w:bookmarkStart w:id="1173" w:name="_Toc385427841"/>
      <w:bookmarkStart w:id="1174" w:name="_Toc21356"/>
      <w:bookmarkStart w:id="1175" w:name="_Toc75771532"/>
      <w:bookmarkStart w:id="1176" w:name="_Toc378514955"/>
      <w:r>
        <w:rPr>
          <w:rFonts w:hint="eastAsia" w:ascii="宋体" w:hAnsi="宋体"/>
          <w:b/>
        </w:rPr>
        <w:t>4.</w:t>
      </w:r>
      <w:r>
        <w:rPr>
          <w:rFonts w:hint="eastAsia" w:cs="宋体"/>
          <w:b/>
          <w:bCs/>
        </w:rPr>
        <w:t xml:space="preserve"> 适用法律、标准和规范</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widowControl/>
        <w:numPr>
          <w:ilvl w:val="1"/>
          <w:numId w:val="9"/>
        </w:numPr>
        <w:tabs>
          <w:tab w:val="left" w:pos="840"/>
        </w:tabs>
        <w:spacing w:line="360" w:lineRule="auto"/>
        <w:ind w:lef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widowControl/>
        <w:numPr>
          <w:ilvl w:val="1"/>
          <w:numId w:val="9"/>
        </w:numPr>
        <w:tabs>
          <w:tab w:val="left" w:pos="840"/>
        </w:tabs>
        <w:spacing w:line="360" w:lineRule="auto"/>
        <w:ind w:left="0" w:firstLine="420" w:firstLineChars="200"/>
        <w:rPr>
          <w:rFonts w:ascii="宋体" w:hAnsi="宋体"/>
        </w:rPr>
      </w:pPr>
      <w:r>
        <w:rPr>
          <w:rFonts w:hint="eastAsia"/>
        </w:rPr>
        <w:t>适用标准、规范。</w:t>
      </w:r>
    </w:p>
    <w:p>
      <w:pPr>
        <w:widowControl/>
        <w:numPr>
          <w:ilvl w:val="1"/>
          <w:numId w:val="9"/>
        </w:numPr>
        <w:tabs>
          <w:tab w:val="left" w:pos="840"/>
        </w:tabs>
        <w:spacing w:line="360" w:lineRule="auto"/>
        <w:ind w:lef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line="360" w:lineRule="auto"/>
        <w:ind w:left="422"/>
        <w:outlineLvl w:val="2"/>
        <w:rPr>
          <w:rFonts w:ascii="宋体" w:hAnsi="宋体"/>
          <w:b/>
        </w:rPr>
      </w:pPr>
      <w:bookmarkStart w:id="1177" w:name="_Toc27620"/>
      <w:bookmarkStart w:id="1178" w:name="_Toc385427842"/>
      <w:bookmarkStart w:id="1179" w:name="_Toc2352"/>
      <w:bookmarkStart w:id="1180" w:name="_Toc492478767"/>
      <w:bookmarkStart w:id="1181" w:name="_Toc25750639"/>
      <w:bookmarkStart w:id="1182" w:name="_Toc17081"/>
      <w:bookmarkStart w:id="1183" w:name="_Toc31912"/>
      <w:bookmarkStart w:id="1184" w:name="_Toc19358"/>
      <w:bookmarkStart w:id="1185" w:name="_Toc22040"/>
      <w:bookmarkStart w:id="1186" w:name="_Toc2304"/>
      <w:bookmarkStart w:id="1187" w:name="_Toc14089"/>
      <w:bookmarkStart w:id="1188" w:name="_Toc20372"/>
      <w:bookmarkStart w:id="1189" w:name="_Toc13516"/>
      <w:bookmarkStart w:id="1190" w:name="_Toc18813"/>
      <w:bookmarkStart w:id="1191" w:name="_Toc24783"/>
      <w:bookmarkStart w:id="1192" w:name="_Toc390098468"/>
      <w:bookmarkStart w:id="1193" w:name="_Toc18617"/>
      <w:bookmarkStart w:id="1194" w:name="_Toc11487"/>
      <w:bookmarkStart w:id="1195" w:name="_Toc75771533"/>
      <w:bookmarkStart w:id="1196" w:name="_Toc378514956"/>
      <w:bookmarkStart w:id="1197" w:name="_Toc10995"/>
      <w:bookmarkStart w:id="1198" w:name="_Toc23539"/>
      <w:bookmarkStart w:id="1199" w:name="_Toc3165"/>
      <w:bookmarkStart w:id="1200" w:name="_Toc370933859"/>
      <w:bookmarkStart w:id="1201" w:name="_Toc4048"/>
      <w:r>
        <w:rPr>
          <w:rFonts w:hint="eastAsia" w:ascii="宋体" w:hAnsi="宋体"/>
          <w:b/>
        </w:rPr>
        <w:t>5.</w:t>
      </w:r>
      <w:r>
        <w:rPr>
          <w:rFonts w:ascii="宋体" w:hAnsi="宋体"/>
          <w:b/>
        </w:rPr>
        <w:t xml:space="preserve"> </w:t>
      </w:r>
      <w:r>
        <w:rPr>
          <w:rFonts w:hint="eastAsia" w:ascii="宋体" w:hAnsi="宋体"/>
          <w:b/>
        </w:rPr>
        <w:t>合同文件、资料及使用</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widowControl/>
        <w:numPr>
          <w:ilvl w:val="1"/>
          <w:numId w:val="10"/>
        </w:numPr>
        <w:tabs>
          <w:tab w:val="left" w:pos="840"/>
          <w:tab w:val="clear" w:pos="1134"/>
        </w:tabs>
        <w:spacing w:line="360" w:lineRule="auto"/>
        <w:ind w:lef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widowControl/>
        <w:numPr>
          <w:ilvl w:val="1"/>
          <w:numId w:val="10"/>
        </w:numPr>
        <w:tabs>
          <w:tab w:val="left" w:pos="840"/>
          <w:tab w:val="clear" w:pos="1134"/>
        </w:tabs>
        <w:spacing w:line="360" w:lineRule="auto"/>
        <w:ind w:lef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widowControl/>
        <w:numPr>
          <w:ilvl w:val="1"/>
          <w:numId w:val="10"/>
        </w:numPr>
        <w:tabs>
          <w:tab w:val="left" w:pos="840"/>
          <w:tab w:val="clear" w:pos="1134"/>
        </w:tabs>
        <w:spacing w:line="360" w:lineRule="auto"/>
        <w:ind w:lef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widowControl/>
        <w:numPr>
          <w:ilvl w:val="1"/>
          <w:numId w:val="10"/>
        </w:numPr>
        <w:tabs>
          <w:tab w:val="left" w:pos="840"/>
          <w:tab w:val="clear" w:pos="1134"/>
        </w:tabs>
        <w:spacing w:line="360" w:lineRule="auto"/>
        <w:ind w:left="0" w:firstLine="420" w:firstLineChars="200"/>
        <w:rPr>
          <w:rFonts w:ascii="宋体" w:hAnsi="宋体"/>
        </w:rPr>
      </w:pPr>
      <w:r>
        <w:rPr>
          <w:rFonts w:hint="eastAsia" w:ascii="宋体" w:hAnsi="宋体"/>
        </w:rPr>
        <w:t>甲方项目档案管理的规定（各类项目文件资料档案的移交份数，详见</w:t>
      </w:r>
      <w:r>
        <w:rPr>
          <w:rFonts w:ascii="宋体" w:hAnsi="宋体"/>
        </w:rPr>
        <w:t>南宁轨道交通</w:t>
      </w:r>
      <w:r>
        <w:rPr>
          <w:rFonts w:hint="eastAsia" w:ascii="宋体" w:hAnsi="宋体"/>
        </w:rPr>
        <w:t>运营</w:t>
      </w:r>
      <w:r>
        <w:rPr>
          <w:rFonts w:ascii="宋体" w:hAnsi="宋体"/>
        </w:rPr>
        <w:t>有限公司</w:t>
      </w:r>
      <w:r>
        <w:rPr>
          <w:rFonts w:hint="eastAsia" w:ascii="宋体" w:hAnsi="宋体"/>
        </w:rPr>
        <w:t>有关部门立卷的规定文件）。</w:t>
      </w:r>
    </w:p>
    <w:p>
      <w:pPr>
        <w:spacing w:line="360" w:lineRule="auto"/>
        <w:ind w:firstLine="420" w:firstLineChars="200"/>
        <w:rPr>
          <w:rFonts w:ascii="宋体" w:hAnsi="宋体"/>
        </w:rPr>
      </w:pPr>
      <w:r>
        <w:rPr>
          <w:rFonts w:hint="eastAsia" w:ascii="宋体" w:hAnsi="宋体"/>
        </w:rPr>
        <w:t>5</w:t>
      </w:r>
      <w:r>
        <w:rPr>
          <w:rFonts w:ascii="宋体" w:hAnsi="宋体"/>
        </w:rPr>
        <w:t>.5</w:t>
      </w: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line="360" w:lineRule="auto"/>
        <w:ind w:firstLine="420" w:firstLineChars="200"/>
        <w:rPr>
          <w:rFonts w:ascii="宋体" w:hAnsi="宋体"/>
        </w:rPr>
      </w:pPr>
      <w:r>
        <w:rPr>
          <w:rFonts w:hint="eastAsia" w:ascii="宋体" w:hAnsi="宋体"/>
        </w:rPr>
        <w:t>5</w:t>
      </w:r>
      <w:r>
        <w:rPr>
          <w:rFonts w:ascii="宋体" w:hAnsi="宋体"/>
        </w:rPr>
        <w:t>.6</w:t>
      </w: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line="360" w:lineRule="auto"/>
        <w:ind w:left="422"/>
        <w:outlineLvl w:val="2"/>
        <w:rPr>
          <w:rFonts w:ascii="宋体" w:hAnsi="宋体"/>
          <w:b/>
        </w:rPr>
      </w:pPr>
      <w:bookmarkStart w:id="1202" w:name="_Toc378514957"/>
      <w:bookmarkStart w:id="1203" w:name="_Toc25104"/>
      <w:bookmarkStart w:id="1204" w:name="_Toc75771534"/>
      <w:bookmarkStart w:id="1205" w:name="_Toc16891"/>
      <w:bookmarkStart w:id="1206" w:name="_Toc5930"/>
      <w:bookmarkStart w:id="1207" w:name="_Toc23274"/>
      <w:bookmarkStart w:id="1208" w:name="_Toc25750640"/>
      <w:bookmarkStart w:id="1209" w:name="_Toc15801"/>
      <w:bookmarkStart w:id="1210" w:name="_Toc8848"/>
      <w:bookmarkStart w:id="1211" w:name="_Toc2340"/>
      <w:bookmarkStart w:id="1212" w:name="_Toc385427843"/>
      <w:bookmarkStart w:id="1213" w:name="_Toc2096"/>
      <w:bookmarkStart w:id="1214" w:name="_Toc16793"/>
      <w:bookmarkStart w:id="1215" w:name="_Toc370933860"/>
      <w:bookmarkStart w:id="1216" w:name="_Toc17102"/>
      <w:bookmarkStart w:id="1217" w:name="_Toc18946"/>
      <w:bookmarkStart w:id="1218" w:name="_Toc17100"/>
      <w:bookmarkStart w:id="1219" w:name="_Toc12048"/>
      <w:bookmarkStart w:id="1220" w:name="_Toc390098469"/>
      <w:bookmarkStart w:id="1221" w:name="_Toc24189"/>
      <w:bookmarkStart w:id="1222" w:name="_Toc492478768"/>
      <w:bookmarkStart w:id="1223" w:name="_Toc4739"/>
      <w:bookmarkStart w:id="1224" w:name="_Toc25049"/>
      <w:bookmarkStart w:id="1225" w:name="_Toc23542"/>
      <w:bookmarkStart w:id="1226" w:name="_Toc17908"/>
      <w:r>
        <w:rPr>
          <w:rFonts w:hint="eastAsia" w:ascii="宋体" w:hAnsi="宋体"/>
          <w:b/>
        </w:rPr>
        <w:t>6.</w:t>
      </w:r>
      <w:r>
        <w:rPr>
          <w:rFonts w:ascii="宋体" w:hAnsi="宋体"/>
          <w:b/>
        </w:rPr>
        <w:t xml:space="preserve"> </w:t>
      </w:r>
      <w:r>
        <w:rPr>
          <w:rFonts w:hint="eastAsia" w:ascii="宋体" w:hAnsi="宋体"/>
          <w:b/>
        </w:rPr>
        <w:t>知识产权</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widowControl/>
        <w:numPr>
          <w:ilvl w:val="0"/>
          <w:numId w:val="11"/>
        </w:numPr>
        <w:tabs>
          <w:tab w:val="left" w:pos="840"/>
          <w:tab w:val="clear" w:pos="1134"/>
        </w:tabs>
        <w:spacing w:line="360" w:lineRule="auto"/>
        <w:ind w:lef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widowControl/>
        <w:numPr>
          <w:ilvl w:val="0"/>
          <w:numId w:val="11"/>
        </w:numPr>
        <w:tabs>
          <w:tab w:val="left" w:pos="840"/>
          <w:tab w:val="clear" w:pos="1134"/>
        </w:tabs>
        <w:spacing w:line="360" w:lineRule="auto"/>
        <w:ind w:lef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widowControl/>
        <w:numPr>
          <w:ilvl w:val="0"/>
          <w:numId w:val="11"/>
        </w:numPr>
        <w:tabs>
          <w:tab w:val="left" w:pos="840"/>
          <w:tab w:val="clear" w:pos="1134"/>
        </w:tabs>
        <w:spacing w:line="360" w:lineRule="auto"/>
        <w:ind w:lef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840"/>
          <w:tab w:val="left" w:pos="1843"/>
        </w:tabs>
        <w:spacing w:line="360" w:lineRule="auto"/>
        <w:ind w:left="422"/>
        <w:outlineLvl w:val="2"/>
        <w:rPr>
          <w:rFonts w:ascii="宋体" w:hAnsi="宋体"/>
          <w:b/>
        </w:rPr>
      </w:pPr>
      <w:bookmarkStart w:id="1227" w:name="_Toc32711"/>
      <w:bookmarkStart w:id="1228" w:name="_Toc12113"/>
      <w:bookmarkStart w:id="1229" w:name="_Toc25750642"/>
      <w:bookmarkStart w:id="1230" w:name="_Toc2613"/>
      <w:bookmarkStart w:id="1231" w:name="_Toc7801"/>
      <w:bookmarkStart w:id="1232" w:name="_Toc29729"/>
      <w:bookmarkStart w:id="1233" w:name="_Toc97"/>
      <w:bookmarkStart w:id="1234" w:name="_Toc5676"/>
      <w:bookmarkStart w:id="1235" w:name="_Toc26034"/>
      <w:bookmarkStart w:id="1236" w:name="_Toc1990"/>
      <w:bookmarkStart w:id="1237" w:name="_Toc20252"/>
      <w:bookmarkStart w:id="1238" w:name="_Toc25873"/>
      <w:bookmarkStart w:id="1239" w:name="_Toc20899"/>
      <w:bookmarkStart w:id="1240" w:name="_Toc30234"/>
      <w:bookmarkStart w:id="1241" w:name="_Toc31795"/>
      <w:bookmarkStart w:id="1242" w:name="_Toc32382"/>
      <w:bookmarkStart w:id="1243" w:name="_Toc20550"/>
      <w:bookmarkStart w:id="1244" w:name="_Toc15512"/>
      <w:bookmarkStart w:id="1245" w:name="_Toc21872"/>
      <w:bookmarkStart w:id="1246" w:name="_Toc75771536"/>
      <w:r>
        <w:rPr>
          <w:rFonts w:hint="eastAsia" w:ascii="宋体" w:hAnsi="宋体"/>
          <w:b/>
        </w:rPr>
        <w:t>7. 履约担保</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rPr>
        <w:t>7.1在合同签订前，乙方应向甲方提供履约担保，履约担保金额为中标总价的2.5%，履约担保可以采用转账或电汇或银行保函的形式。</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rPr>
        <w:t>7.2履约担保应从生效之日起至维保项目完成结算之日后四十五（45）天一直有效。如本项目实际维保验收合格日期超出该履约担保写明的日期，则乙方应相应延长履约担保的日期，当出现逾期验收而未及时办理保函续费手续时，甲方有权暂停剩余费用的支付，并收取违约金。</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rPr>
        <w:t>7.3履约担保币种应为人民币。</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rPr>
        <w:t>7.4乙方提交履约担保所产生的费用由乙方承担。</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rPr>
        <w:t>7.5如果在有效期内乙方不能履行其在合同项下的义务，则乙方应承担相应的违约责任，同时甲方有权用履约担保的资金补偿其任何损失或有权通过银行保函追索，但其剩余的履约担保仍应满足合同价格2.5%，乙方应在期限内及时补足担保金额，每逾期一天，按照应补未补部分的千分之三向甲方支付违约金，甲方有权在货款中扣留。</w:t>
      </w:r>
    </w:p>
    <w:p>
      <w:pPr>
        <w:pStyle w:val="2"/>
        <w:spacing w:line="360" w:lineRule="auto"/>
        <w:ind w:firstLine="420" w:firstLineChars="200"/>
        <w:rPr>
          <w:rFonts w:hAnsi="宋体" w:cs="Arial"/>
          <w:kern w:val="0"/>
        </w:rPr>
      </w:pPr>
      <w:r>
        <w:rPr>
          <w:rFonts w:hint="eastAsia" w:hAnsi="宋体" w:cs="Arial"/>
          <w:kern w:val="0"/>
        </w:rPr>
        <w:t>7.6履约担保在本合同完成合同结算后四十五（45）天后，根据履约期间甲方的索赔情况，将剩余履约担保款项无息退还乙方。</w:t>
      </w:r>
    </w:p>
    <w:p>
      <w:pPr>
        <w:pStyle w:val="2"/>
        <w:spacing w:line="360" w:lineRule="auto"/>
        <w:ind w:firstLine="420" w:firstLineChars="200"/>
        <w:rPr>
          <w:rFonts w:hAnsi="宋体" w:cs="Arial"/>
          <w:kern w:val="0"/>
        </w:rPr>
      </w:pPr>
      <w:r>
        <w:rPr>
          <w:rFonts w:hint="eastAsia" w:hAnsi="宋体" w:cs="Arial"/>
          <w:kern w:val="0"/>
        </w:rPr>
        <w:t>7.7 若发生以下行为，甲方将不退还履约保证金：</w:t>
      </w:r>
    </w:p>
    <w:p>
      <w:pPr>
        <w:pStyle w:val="2"/>
        <w:spacing w:line="360" w:lineRule="auto"/>
        <w:ind w:firstLine="420" w:firstLineChars="200"/>
        <w:rPr>
          <w:rFonts w:hAnsi="宋体" w:cs="Arial"/>
          <w:kern w:val="0"/>
        </w:rPr>
      </w:pPr>
      <w:r>
        <w:rPr>
          <w:rFonts w:hint="eastAsia" w:hAnsi="宋体" w:cs="Arial"/>
          <w:kern w:val="0"/>
        </w:rPr>
        <w:t>7.7.1在合同履行期间，乙方明确表示或者以自己的行为表明不履行主要义务的；</w:t>
      </w:r>
    </w:p>
    <w:p>
      <w:pPr>
        <w:pStyle w:val="2"/>
        <w:spacing w:line="360" w:lineRule="auto"/>
        <w:ind w:firstLine="420" w:firstLineChars="200"/>
        <w:rPr>
          <w:rFonts w:hAnsi="宋体" w:cs="Arial"/>
          <w:kern w:val="0"/>
        </w:rPr>
      </w:pPr>
      <w:r>
        <w:rPr>
          <w:rFonts w:hint="eastAsia" w:hAnsi="宋体" w:cs="Arial"/>
          <w:kern w:val="0"/>
        </w:rPr>
        <w:t>7.7.2乙方迟延履行主要义务，经催告后在合理期限内仍未履行的；</w:t>
      </w:r>
    </w:p>
    <w:p>
      <w:pPr>
        <w:pStyle w:val="2"/>
        <w:spacing w:line="360" w:lineRule="auto"/>
        <w:ind w:firstLine="420" w:firstLineChars="200"/>
        <w:rPr>
          <w:rFonts w:hAnsi="宋体" w:cs="Arial"/>
          <w:kern w:val="0"/>
        </w:rPr>
      </w:pPr>
      <w:r>
        <w:rPr>
          <w:rFonts w:hint="eastAsia" w:hAnsi="宋体" w:cs="Arial"/>
          <w:kern w:val="0"/>
        </w:rPr>
        <w:t>7.7.3乙方履行的义务不符合合同约定，经甲方催告后未在合理期限内整改完毕的；</w:t>
      </w:r>
    </w:p>
    <w:p>
      <w:pPr>
        <w:pStyle w:val="2"/>
        <w:spacing w:line="360" w:lineRule="auto"/>
        <w:ind w:firstLine="420" w:firstLineChars="200"/>
        <w:rPr>
          <w:rFonts w:hAnsi="宋体" w:cs="Arial"/>
          <w:kern w:val="0"/>
        </w:rPr>
      </w:pPr>
      <w:r>
        <w:rPr>
          <w:rFonts w:hint="eastAsia" w:hAnsi="宋体" w:cs="Arial"/>
          <w:kern w:val="0"/>
        </w:rPr>
        <w:t>7.7.4乙方其他违约行为导致合同解除或终止的。</w:t>
      </w:r>
    </w:p>
    <w:p>
      <w:pPr>
        <w:tabs>
          <w:tab w:val="left" w:pos="840"/>
          <w:tab w:val="left" w:pos="1843"/>
        </w:tabs>
        <w:spacing w:line="360" w:lineRule="auto"/>
        <w:ind w:left="422"/>
        <w:outlineLvl w:val="2"/>
        <w:rPr>
          <w:rFonts w:ascii="宋体" w:hAnsi="宋体"/>
          <w:b/>
        </w:rPr>
      </w:pPr>
      <w:r>
        <w:rPr>
          <w:rFonts w:ascii="宋体" w:hAnsi="宋体"/>
          <w:b/>
        </w:rPr>
        <w:t>8</w:t>
      </w:r>
      <w:r>
        <w:rPr>
          <w:rFonts w:hint="eastAsia" w:ascii="宋体" w:hAnsi="宋体"/>
          <w:b/>
        </w:rPr>
        <w:t>.</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Start w:id="1247" w:name="_Toc459730459"/>
      <w:bookmarkEnd w:id="1247"/>
      <w:bookmarkStart w:id="1248" w:name="_Toc459797505"/>
      <w:bookmarkEnd w:id="1248"/>
      <w:bookmarkStart w:id="1249" w:name="_Toc459730447"/>
      <w:bookmarkEnd w:id="1249"/>
      <w:bookmarkStart w:id="1250" w:name="_Toc459730449"/>
      <w:bookmarkEnd w:id="1250"/>
      <w:bookmarkStart w:id="1251" w:name="_Toc459797502"/>
      <w:bookmarkEnd w:id="1251"/>
      <w:bookmarkStart w:id="1252" w:name="_Toc459730454"/>
      <w:bookmarkEnd w:id="1252"/>
      <w:bookmarkStart w:id="1253" w:name="_Toc459730446"/>
      <w:bookmarkEnd w:id="1253"/>
      <w:bookmarkStart w:id="1254" w:name="_Toc459730451"/>
      <w:bookmarkEnd w:id="1254"/>
      <w:bookmarkStart w:id="1255" w:name="_Toc459730456"/>
      <w:bookmarkEnd w:id="1255"/>
      <w:bookmarkStart w:id="1256" w:name="_Toc459730444"/>
      <w:bookmarkEnd w:id="1256"/>
      <w:bookmarkStart w:id="1257" w:name="_Toc459730442"/>
      <w:bookmarkEnd w:id="1257"/>
      <w:bookmarkStart w:id="1258" w:name="_Toc459797512"/>
      <w:bookmarkEnd w:id="1258"/>
      <w:bookmarkStart w:id="1259" w:name="_Toc459797508"/>
      <w:bookmarkEnd w:id="1259"/>
      <w:bookmarkStart w:id="1260" w:name="_Toc459797503"/>
      <w:bookmarkEnd w:id="1260"/>
      <w:bookmarkStart w:id="1261" w:name="_Toc459797504"/>
      <w:bookmarkEnd w:id="1261"/>
      <w:bookmarkStart w:id="1262" w:name="_Toc459730455"/>
      <w:bookmarkEnd w:id="1262"/>
      <w:bookmarkStart w:id="1263" w:name="_Toc459730458"/>
      <w:bookmarkEnd w:id="1263"/>
      <w:bookmarkStart w:id="1264" w:name="_Toc459730450"/>
      <w:bookmarkEnd w:id="1264"/>
      <w:bookmarkStart w:id="1265" w:name="_Toc459730448"/>
      <w:bookmarkEnd w:id="1265"/>
      <w:bookmarkStart w:id="1266" w:name="_Toc459730452"/>
      <w:bookmarkEnd w:id="1266"/>
      <w:bookmarkStart w:id="1267" w:name="_Toc459797500"/>
      <w:bookmarkEnd w:id="1267"/>
      <w:bookmarkStart w:id="1268" w:name="_Toc459797510"/>
      <w:bookmarkEnd w:id="1268"/>
      <w:bookmarkStart w:id="1269" w:name="_Toc459730457"/>
      <w:bookmarkEnd w:id="1269"/>
      <w:bookmarkStart w:id="1270" w:name="_Toc459730443"/>
      <w:bookmarkEnd w:id="1270"/>
      <w:bookmarkStart w:id="1271" w:name="_Toc459797498"/>
      <w:bookmarkEnd w:id="1271"/>
      <w:bookmarkStart w:id="1272" w:name="_Toc459730445"/>
      <w:bookmarkEnd w:id="1272"/>
      <w:bookmarkStart w:id="1273" w:name="_Toc459797501"/>
      <w:bookmarkEnd w:id="1273"/>
      <w:bookmarkStart w:id="1274" w:name="_Toc459797496"/>
      <w:bookmarkEnd w:id="1274"/>
      <w:bookmarkStart w:id="1275" w:name="_Toc459797499"/>
      <w:bookmarkEnd w:id="1275"/>
      <w:bookmarkStart w:id="1276" w:name="_Toc459797507"/>
      <w:bookmarkEnd w:id="1276"/>
      <w:bookmarkStart w:id="1277" w:name="_Toc459797506"/>
      <w:bookmarkEnd w:id="1277"/>
      <w:bookmarkStart w:id="1278" w:name="_Toc459797495"/>
      <w:bookmarkEnd w:id="1278"/>
      <w:bookmarkStart w:id="1279" w:name="_Toc459730453"/>
      <w:bookmarkEnd w:id="1279"/>
      <w:bookmarkStart w:id="1280" w:name="_Toc459797497"/>
      <w:bookmarkEnd w:id="1280"/>
      <w:bookmarkStart w:id="1281" w:name="_Toc459797509"/>
      <w:bookmarkEnd w:id="1281"/>
      <w:bookmarkStart w:id="1282" w:name="_Toc459797511"/>
      <w:bookmarkEnd w:id="1282"/>
      <w:r>
        <w:rPr>
          <w:rFonts w:ascii="宋体" w:hAnsi="宋体"/>
          <w:b/>
        </w:rPr>
        <w:t xml:space="preserve"> </w:t>
      </w:r>
      <w:r>
        <w:rPr>
          <w:rFonts w:hint="eastAsia" w:ascii="宋体" w:hAnsi="宋体"/>
          <w:b/>
        </w:rPr>
        <w:t>合同价款支付方式</w:t>
      </w:r>
      <w:bookmarkEnd w:id="1246"/>
    </w:p>
    <w:p>
      <w:pPr>
        <w:tabs>
          <w:tab w:val="left" w:pos="8364"/>
        </w:tabs>
        <w:spacing w:line="360" w:lineRule="auto"/>
        <w:ind w:firstLine="420" w:firstLineChars="200"/>
        <w:rPr>
          <w:rFonts w:ascii="宋体" w:hAnsi="宋体" w:cs="Arial"/>
        </w:rPr>
      </w:pPr>
      <w:bookmarkStart w:id="1283" w:name="_Toc378514969"/>
      <w:bookmarkStart w:id="1284" w:name="_Toc370933872"/>
      <w:r>
        <w:rPr>
          <w:rFonts w:ascii="宋体" w:hAnsi="宋体" w:cs="Arial"/>
        </w:rPr>
        <w:t xml:space="preserve">8.1 </w:t>
      </w:r>
      <w:r>
        <w:rPr>
          <w:rFonts w:hint="eastAsia" w:ascii="宋体" w:hAnsi="宋体" w:cs="Arial"/>
        </w:rPr>
        <w:t>计量支付</w:t>
      </w:r>
    </w:p>
    <w:p>
      <w:pPr>
        <w:tabs>
          <w:tab w:val="left" w:pos="8364"/>
        </w:tabs>
        <w:spacing w:line="360" w:lineRule="auto"/>
        <w:ind w:firstLine="420" w:firstLineChars="200"/>
        <w:rPr>
          <w:rFonts w:ascii="宋体" w:hAnsi="宋体" w:cs="Arial"/>
        </w:rPr>
      </w:pPr>
      <w:r>
        <w:rPr>
          <w:rFonts w:ascii="宋体" w:hAnsi="宋体" w:cs="Arial"/>
        </w:rPr>
        <w:t>8</w:t>
      </w:r>
      <w:r>
        <w:rPr>
          <w:rFonts w:hint="eastAsia" w:ascii="宋体" w:hAnsi="宋体" w:cs="Arial"/>
        </w:rPr>
        <w:t>.1.1 根据合同清单单价结合实际维修数量进行据实计量，计量周期为</w:t>
      </w:r>
      <w:r>
        <w:rPr>
          <w:rFonts w:ascii="宋体" w:hAnsi="宋体" w:cs="Arial"/>
        </w:rPr>
        <w:t>3个月。</w:t>
      </w:r>
    </w:p>
    <w:p>
      <w:pPr>
        <w:pStyle w:val="2"/>
        <w:spacing w:line="360" w:lineRule="auto"/>
        <w:ind w:firstLine="420"/>
      </w:pPr>
      <w:r>
        <w:t xml:space="preserve">8.1.2 </w:t>
      </w:r>
      <w:r>
        <w:rPr>
          <w:rFonts w:hint="eastAsia"/>
        </w:rPr>
        <w:t>计量依据为《维修记录表》、《维保服务考评表》据实计量。</w:t>
      </w:r>
    </w:p>
    <w:p>
      <w:pPr>
        <w:pStyle w:val="2"/>
        <w:spacing w:line="360" w:lineRule="auto"/>
        <w:ind w:firstLine="420"/>
        <w:rPr>
          <w:rFonts w:hAnsi="宋体" w:cs="Arial"/>
        </w:rPr>
      </w:pPr>
      <w:r>
        <w:t xml:space="preserve">8.1.3 </w:t>
      </w:r>
      <w:r>
        <w:rPr>
          <w:rFonts w:hint="eastAsia" w:hAnsi="宋体" w:cs="Arial"/>
        </w:rPr>
        <w:t>甲方在收到由乙方提供的以下合格材料后4</w:t>
      </w:r>
      <w:r>
        <w:rPr>
          <w:rFonts w:hAnsi="宋体" w:cs="Arial"/>
        </w:rPr>
        <w:t>5</w:t>
      </w:r>
      <w:r>
        <w:rPr>
          <w:rFonts w:hint="eastAsia" w:hAnsi="宋体" w:cs="Arial"/>
        </w:rPr>
        <w:t>个工作日内按该季度进行计量支付。合同计量支付费用不超过合同总金额的75%。</w:t>
      </w:r>
    </w:p>
    <w:p>
      <w:pPr>
        <w:tabs>
          <w:tab w:val="left" w:pos="1134"/>
          <w:tab w:val="left" w:pos="8364"/>
        </w:tabs>
        <w:spacing w:line="360" w:lineRule="auto"/>
        <w:ind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line="360" w:lineRule="auto"/>
        <w:ind w:firstLine="420" w:firstLineChars="200"/>
        <w:rPr>
          <w:rFonts w:ascii="宋体" w:hAnsi="宋体" w:cs="Arial"/>
        </w:rPr>
      </w:pPr>
      <w:r>
        <w:rPr>
          <w:rFonts w:hint="eastAsia" w:ascii="宋体" w:hAnsi="宋体" w:cs="Arial"/>
        </w:rPr>
        <w:t>②乙方出具的支付申请材料。</w:t>
      </w:r>
    </w:p>
    <w:p>
      <w:pPr>
        <w:tabs>
          <w:tab w:val="left" w:pos="1134"/>
          <w:tab w:val="left" w:pos="8364"/>
        </w:tabs>
        <w:spacing w:line="360" w:lineRule="auto"/>
        <w:ind w:firstLine="420" w:firstLineChars="200"/>
        <w:rPr>
          <w:rFonts w:ascii="宋体" w:hAnsi="宋体" w:cs="Arial"/>
        </w:rPr>
      </w:pPr>
      <w:r>
        <w:rPr>
          <w:rFonts w:hint="eastAsia" w:ascii="宋体" w:hAnsi="宋体" w:cs="Arial"/>
        </w:rPr>
        <w:t>③当期已完成维保并签字验收的《维修记录表》、</w:t>
      </w:r>
      <w:r>
        <w:rPr>
          <w:rFonts w:hint="eastAsia"/>
        </w:rPr>
        <w:t>《维保服务考评表》</w:t>
      </w:r>
      <w:r>
        <w:rPr>
          <w:rFonts w:hint="eastAsia" w:ascii="宋体" w:hAnsi="宋体" w:cs="Arial"/>
        </w:rPr>
        <w:t>。</w:t>
      </w:r>
    </w:p>
    <w:p>
      <w:pPr>
        <w:pStyle w:val="2"/>
        <w:spacing w:line="360" w:lineRule="auto"/>
        <w:ind w:firstLine="420" w:firstLineChars="200"/>
        <w:rPr>
          <w:rFonts w:hAnsi="宋体" w:cs="Arial"/>
        </w:rPr>
      </w:pPr>
      <w:r>
        <w:rPr>
          <w:rFonts w:hint="eastAsia" w:hAnsi="宋体" w:cs="Arial"/>
        </w:rPr>
        <w:t>④违约情况及处理证明材料（如有）。</w:t>
      </w:r>
    </w:p>
    <w:p>
      <w:pPr>
        <w:pStyle w:val="2"/>
        <w:spacing w:line="360" w:lineRule="auto"/>
        <w:ind w:firstLine="420" w:firstLineChars="200"/>
        <w:rPr>
          <w:rFonts w:hAnsi="宋体" w:cs="Arial"/>
        </w:rPr>
      </w:pPr>
      <w:r>
        <w:rPr>
          <w:rFonts w:hAnsi="宋体" w:cs="Arial"/>
        </w:rPr>
        <w:t>8</w:t>
      </w:r>
      <w:r>
        <w:rPr>
          <w:rFonts w:hint="eastAsia" w:hAnsi="宋体" w:cs="Arial"/>
        </w:rPr>
        <w:t>.2 结算支付</w:t>
      </w:r>
    </w:p>
    <w:p>
      <w:pPr>
        <w:tabs>
          <w:tab w:val="left" w:pos="1134"/>
          <w:tab w:val="left" w:pos="8364"/>
        </w:tabs>
        <w:spacing w:line="360" w:lineRule="auto"/>
        <w:ind w:firstLine="420" w:firstLineChars="200"/>
        <w:rPr>
          <w:rFonts w:ascii="宋体" w:hAnsi="宋体" w:cs="Arial"/>
          <w:szCs w:val="21"/>
        </w:rPr>
      </w:pPr>
      <w:r>
        <w:rPr>
          <w:rFonts w:hint="eastAsia" w:ascii="宋体" w:hAnsi="宋体" w:cs="Arial"/>
          <w:szCs w:val="21"/>
        </w:rPr>
        <w:t>完成全部维保内容并验收合格后，乙方根据甲方要求完成档案归档及合同结算经甲方审定后，甲方在收到乙方提供的以下材料后4</w:t>
      </w:r>
      <w:r>
        <w:rPr>
          <w:rFonts w:ascii="宋体" w:hAnsi="宋体" w:cs="Arial"/>
          <w:szCs w:val="21"/>
        </w:rPr>
        <w:t>5</w:t>
      </w:r>
      <w:r>
        <w:rPr>
          <w:rFonts w:hint="eastAsia" w:ascii="宋体" w:hAnsi="宋体" w:cs="Arial"/>
          <w:szCs w:val="21"/>
        </w:rPr>
        <w:t>个工作日内支付至合同最终结算审定金额的</w:t>
      </w:r>
      <w:r>
        <w:rPr>
          <w:rFonts w:ascii="宋体" w:hAnsi="宋体" w:cs="Arial"/>
          <w:szCs w:val="21"/>
        </w:rPr>
        <w:t>100</w:t>
      </w:r>
      <w:r>
        <w:rPr>
          <w:rFonts w:hint="eastAsia" w:ascii="宋体" w:hAnsi="宋体" w:cs="Arial"/>
          <w:szCs w:val="21"/>
        </w:rPr>
        <w:t>%。</w:t>
      </w:r>
    </w:p>
    <w:p>
      <w:pPr>
        <w:tabs>
          <w:tab w:val="left" w:pos="1134"/>
          <w:tab w:val="left" w:pos="8364"/>
        </w:tabs>
        <w:spacing w:line="360" w:lineRule="auto"/>
        <w:ind w:firstLine="420" w:firstLineChars="200"/>
        <w:rPr>
          <w:rFonts w:ascii="宋体" w:hAnsi="宋体" w:cs="Arial"/>
          <w:szCs w:val="21"/>
        </w:rPr>
      </w:pPr>
      <w:r>
        <w:rPr>
          <w:rFonts w:hint="eastAsia" w:ascii="宋体" w:hAnsi="宋体" w:cs="Arial"/>
          <w:szCs w:val="21"/>
        </w:rPr>
        <w:t>①乙方开具的增值税专用发票金额，金额为合同最终结算审定金额的100%扣除已开票部分的余额。</w:t>
      </w:r>
    </w:p>
    <w:p>
      <w:pPr>
        <w:tabs>
          <w:tab w:val="left" w:pos="1134"/>
          <w:tab w:val="left" w:pos="8364"/>
        </w:tabs>
        <w:spacing w:line="360" w:lineRule="auto"/>
        <w:ind w:firstLine="420" w:firstLineChars="200"/>
        <w:rPr>
          <w:rFonts w:ascii="宋体" w:hAnsi="宋体" w:cs="Arial"/>
          <w:szCs w:val="21"/>
        </w:rPr>
      </w:pPr>
      <w:r>
        <w:rPr>
          <w:rFonts w:hint="eastAsia" w:ascii="宋体" w:hAnsi="宋体" w:cs="Arial"/>
          <w:szCs w:val="21"/>
        </w:rPr>
        <w:t>②乙方出具的支付申请书；</w:t>
      </w:r>
    </w:p>
    <w:p>
      <w:pPr>
        <w:tabs>
          <w:tab w:val="left" w:pos="1134"/>
          <w:tab w:val="left" w:pos="8364"/>
        </w:tabs>
        <w:spacing w:line="360" w:lineRule="auto"/>
        <w:ind w:firstLine="420" w:firstLineChars="200"/>
        <w:rPr>
          <w:rFonts w:ascii="宋体" w:hAnsi="宋体" w:cs="Arial"/>
          <w:szCs w:val="21"/>
        </w:rPr>
      </w:pPr>
      <w:r>
        <w:rPr>
          <w:rFonts w:hint="eastAsia" w:ascii="宋体" w:hAnsi="宋体" w:cs="Arial"/>
          <w:szCs w:val="21"/>
        </w:rPr>
        <w:t>③结算审定资料；</w:t>
      </w:r>
    </w:p>
    <w:p>
      <w:pPr>
        <w:tabs>
          <w:tab w:val="left" w:pos="1134"/>
          <w:tab w:val="left" w:pos="8364"/>
        </w:tabs>
        <w:spacing w:line="360" w:lineRule="auto"/>
        <w:ind w:firstLine="420" w:firstLineChars="200"/>
        <w:rPr>
          <w:rFonts w:ascii="宋体" w:hAnsi="宋体" w:cs="Arial"/>
          <w:szCs w:val="21"/>
        </w:rPr>
      </w:pPr>
      <w:r>
        <w:rPr>
          <w:rFonts w:hint="eastAsia" w:ascii="宋体" w:hAnsi="宋体" w:cs="Arial"/>
          <w:szCs w:val="21"/>
        </w:rPr>
        <w:t>④全部</w:t>
      </w:r>
      <w:r>
        <w:rPr>
          <w:rFonts w:hint="eastAsia" w:ascii="宋体" w:hAnsi="宋体" w:cs="Arial"/>
        </w:rPr>
        <w:t>已完成维保并签字验收的《维修记录表》、</w:t>
      </w:r>
      <w:r>
        <w:rPr>
          <w:rFonts w:hint="eastAsia"/>
        </w:rPr>
        <w:t>《维保服务考评表》</w:t>
      </w:r>
      <w:r>
        <w:rPr>
          <w:rFonts w:hint="eastAsia" w:ascii="宋体" w:hAnsi="宋体" w:cs="Arial"/>
          <w:szCs w:val="21"/>
        </w:rPr>
        <w:t>。</w:t>
      </w:r>
    </w:p>
    <w:p>
      <w:pPr>
        <w:tabs>
          <w:tab w:val="left" w:pos="0"/>
          <w:tab w:val="left" w:pos="8364"/>
        </w:tabs>
        <w:spacing w:line="360" w:lineRule="auto"/>
        <w:ind w:firstLine="424" w:firstLineChars="202"/>
        <w:rPr>
          <w:rFonts w:ascii="宋体" w:hAnsi="宋体" w:cs="Arial"/>
        </w:rPr>
      </w:pPr>
      <w:r>
        <w:rPr>
          <w:rFonts w:ascii="宋体" w:hAnsi="宋体" w:cs="Arial"/>
        </w:rPr>
        <w:t xml:space="preserve">8.3 </w:t>
      </w:r>
      <w:r>
        <w:rPr>
          <w:rFonts w:hint="eastAsia" w:ascii="宋体" w:hAnsi="宋体" w:cs="Arial"/>
        </w:rPr>
        <w:t>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tabs>
          <w:tab w:val="left" w:pos="0"/>
          <w:tab w:val="left" w:pos="8364"/>
        </w:tabs>
        <w:spacing w:line="360" w:lineRule="auto"/>
        <w:ind w:firstLine="424" w:firstLineChars="202"/>
        <w:rPr>
          <w:rFonts w:ascii="宋体" w:hAnsi="宋体" w:cs="Arial"/>
        </w:rPr>
      </w:pPr>
      <w:r>
        <w:t xml:space="preserve">8.4 </w:t>
      </w:r>
      <w:r>
        <w:rPr>
          <w:rFonts w:hint="eastAsia"/>
        </w:rPr>
        <w:t>支付的货币应以人民币支付，支付形式包括但不限于银行转账、汇票、国内信用证、供应链金融产品等。</w:t>
      </w:r>
    </w:p>
    <w:p>
      <w:pPr>
        <w:tabs>
          <w:tab w:val="left" w:pos="0"/>
        </w:tabs>
        <w:spacing w:line="360" w:lineRule="auto"/>
        <w:ind w:firstLine="424" w:firstLineChars="201"/>
        <w:outlineLvl w:val="2"/>
        <w:rPr>
          <w:rFonts w:ascii="宋体" w:hAnsi="宋体"/>
        </w:rPr>
      </w:pPr>
      <w:bookmarkStart w:id="1285" w:name="_Toc30094"/>
      <w:bookmarkStart w:id="1286" w:name="_Toc24274"/>
      <w:bookmarkStart w:id="1287" w:name="_Toc2957"/>
      <w:bookmarkStart w:id="1288" w:name="_Toc12979"/>
      <w:bookmarkStart w:id="1289" w:name="_Toc9642"/>
      <w:bookmarkStart w:id="1290" w:name="_Toc18054"/>
      <w:bookmarkStart w:id="1291" w:name="_Toc492478779"/>
      <w:bookmarkStart w:id="1292" w:name="_Toc18890"/>
      <w:bookmarkStart w:id="1293" w:name="_Toc390098481"/>
      <w:bookmarkStart w:id="1294" w:name="_Toc12729"/>
      <w:bookmarkStart w:id="1295" w:name="_Toc2069"/>
      <w:bookmarkStart w:id="1296" w:name="_Toc75771537"/>
      <w:bookmarkStart w:id="1297" w:name="_Toc4697"/>
      <w:bookmarkStart w:id="1298" w:name="_Toc13281"/>
      <w:bookmarkStart w:id="1299" w:name="_Toc26222"/>
      <w:bookmarkStart w:id="1300" w:name="_Toc19387"/>
      <w:bookmarkStart w:id="1301" w:name="_Toc27798"/>
      <w:bookmarkStart w:id="1302" w:name="_Toc22179"/>
      <w:bookmarkStart w:id="1303" w:name="_Toc9852"/>
      <w:bookmarkStart w:id="1304" w:name="_Toc385427855"/>
      <w:bookmarkStart w:id="1305" w:name="_Toc28757"/>
      <w:bookmarkStart w:id="1306" w:name="_Toc25750650"/>
      <w:bookmarkStart w:id="1307" w:name="_Toc16641"/>
      <w:r>
        <w:rPr>
          <w:rFonts w:ascii="宋体" w:hAnsi="宋体"/>
          <w:b/>
        </w:rPr>
        <w:t>9</w:t>
      </w:r>
      <w:r>
        <w:rPr>
          <w:rFonts w:hint="eastAsia" w:ascii="宋体" w:hAnsi="宋体"/>
          <w:b/>
        </w:rPr>
        <w:t>.</w:t>
      </w:r>
      <w:r>
        <w:rPr>
          <w:rFonts w:ascii="宋体" w:hAnsi="宋体"/>
          <w:b/>
        </w:rPr>
        <w:t xml:space="preserve"> </w:t>
      </w:r>
      <w:r>
        <w:rPr>
          <w:rFonts w:hint="eastAsia" w:ascii="宋体" w:hAnsi="宋体"/>
          <w:b/>
        </w:rPr>
        <w:t>合同价格</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tabs>
          <w:tab w:val="left" w:pos="960"/>
          <w:tab w:val="left" w:pos="1418"/>
          <w:tab w:val="left" w:pos="8364"/>
        </w:tabs>
        <w:spacing w:line="360" w:lineRule="auto"/>
        <w:ind w:firstLine="420" w:firstLineChars="200"/>
        <w:rPr>
          <w:rFonts w:ascii="宋体" w:hAnsi="宋体"/>
        </w:rPr>
      </w:pPr>
      <w:r>
        <w:rPr>
          <w:rFonts w:ascii="宋体" w:hAnsi="宋体"/>
        </w:rPr>
        <w:t>9</w:t>
      </w:r>
      <w:r>
        <w:rPr>
          <w:rFonts w:hint="eastAsia" w:ascii="宋体" w:hAnsi="宋体"/>
        </w:rPr>
        <w:t>.1</w:t>
      </w:r>
      <w:r>
        <w:rPr>
          <w:rFonts w:ascii="宋体" w:hAnsi="宋体"/>
        </w:rPr>
        <w:t xml:space="preserve"> </w:t>
      </w:r>
      <w:r>
        <w:rPr>
          <w:rFonts w:hint="eastAsia" w:ascii="宋体" w:hAnsi="宋体"/>
        </w:rPr>
        <w:t>合同价格执行以下条款的规定。</w:t>
      </w:r>
    </w:p>
    <w:p>
      <w:pPr>
        <w:tabs>
          <w:tab w:val="left" w:pos="960"/>
          <w:tab w:val="left" w:pos="1418"/>
          <w:tab w:val="left" w:pos="8364"/>
        </w:tabs>
        <w:spacing w:line="360" w:lineRule="auto"/>
        <w:ind w:firstLine="420" w:firstLineChars="200"/>
        <w:rPr>
          <w:rFonts w:ascii="宋体" w:hAnsi="宋体"/>
        </w:rPr>
      </w:pPr>
      <w:r>
        <w:rPr>
          <w:rFonts w:ascii="宋体" w:hAnsi="宋体"/>
        </w:rPr>
        <w:t xml:space="preserve">9.2 </w:t>
      </w:r>
      <w:r>
        <w:rPr>
          <w:rFonts w:hint="eastAsia" w:ascii="宋体" w:hAnsi="宋体"/>
        </w:rPr>
        <w:t>合同为固定单价（不含增值税）合同，合同总价为暂定价，金额为不含税</w:t>
      </w:r>
      <w:r>
        <w:rPr>
          <w:rFonts w:hint="eastAsia" w:ascii="宋体" w:hAnsi="宋体"/>
          <w:u w:val="single"/>
        </w:rPr>
        <w:t xml:space="preserve"> 5</w:t>
      </w:r>
      <w:r>
        <w:rPr>
          <w:rFonts w:ascii="宋体" w:hAnsi="宋体"/>
          <w:u w:val="single"/>
        </w:rPr>
        <w:t>47000.00</w:t>
      </w:r>
      <w:r>
        <w:rPr>
          <w:rFonts w:hint="eastAsia" w:ascii="宋体" w:hAnsi="宋体"/>
        </w:rPr>
        <w:t>元，最终结算按实际发生维修维保内容及数量的进行据实结算。</w:t>
      </w:r>
    </w:p>
    <w:p>
      <w:pPr>
        <w:tabs>
          <w:tab w:val="left" w:pos="960"/>
          <w:tab w:val="left" w:pos="1418"/>
          <w:tab w:val="left" w:pos="8364"/>
        </w:tabs>
        <w:spacing w:line="360" w:lineRule="auto"/>
        <w:ind w:firstLine="420" w:firstLineChars="200"/>
        <w:rPr>
          <w:rFonts w:ascii="宋体" w:hAnsi="宋体"/>
        </w:rPr>
      </w:pPr>
      <w:r>
        <w:rPr>
          <w:rFonts w:ascii="宋体" w:hAnsi="宋体"/>
        </w:rPr>
        <w:t>9.3</w:t>
      </w:r>
      <w:r>
        <w:rPr>
          <w:rFonts w:hint="eastAsia" w:ascii="宋体" w:hAnsi="宋体"/>
        </w:rPr>
        <w:t>合同价格为：不含税价：人民币</w:t>
      </w:r>
      <w:r>
        <w:rPr>
          <w:rFonts w:hint="eastAsia" w:ascii="宋体" w:hAnsi="宋体"/>
          <w:u w:val="single"/>
        </w:rPr>
        <w:t xml:space="preserve"> 伍万肆仟柒佰(¥5</w:t>
      </w:r>
      <w:r>
        <w:rPr>
          <w:rFonts w:ascii="宋体" w:hAnsi="宋体"/>
          <w:u w:val="single"/>
        </w:rPr>
        <w:t>47000.00</w:t>
      </w:r>
      <w:r>
        <w:rPr>
          <w:rFonts w:hint="eastAsia" w:ascii="宋体" w:hAnsi="宋体"/>
          <w:u w:val="single"/>
        </w:rPr>
        <w:t>)</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。在合同履约过程中，本合同税率将遵照国家现行税法执行。本合同最终税金在结算阶段，按实际产生的税金进行核算，但合同不含税价格不因国家税率调整而调整。</w:t>
      </w:r>
    </w:p>
    <w:p>
      <w:pPr>
        <w:tabs>
          <w:tab w:val="left" w:pos="0"/>
          <w:tab w:val="left" w:pos="8364"/>
        </w:tabs>
        <w:spacing w:line="360" w:lineRule="auto"/>
        <w:ind w:firstLine="420" w:firstLineChars="200"/>
        <w:rPr>
          <w:rFonts w:ascii="宋体" w:hAnsi="宋体"/>
        </w:rPr>
      </w:pPr>
      <w:r>
        <w:rPr>
          <w:rFonts w:ascii="宋体" w:hAnsi="宋体"/>
        </w:rPr>
        <w:t>9</w:t>
      </w:r>
      <w:r>
        <w:rPr>
          <w:rFonts w:hint="eastAsia" w:ascii="宋体" w:hAnsi="宋体"/>
        </w:rPr>
        <w:t>.4</w:t>
      </w:r>
      <w:r>
        <w:rPr>
          <w:rFonts w:ascii="宋体" w:hAnsi="宋体"/>
        </w:rPr>
        <w:t xml:space="preserve"> </w:t>
      </w:r>
      <w:r>
        <w:rPr>
          <w:rFonts w:hint="eastAsia" w:ascii="宋体" w:hAnsi="宋体"/>
        </w:rPr>
        <w:t>合同价格完全包括本合同中要求的全部工作内容、配件消耗料、服务及所涉及的施工及辅材。</w:t>
      </w:r>
    </w:p>
    <w:p>
      <w:pPr>
        <w:tabs>
          <w:tab w:val="left" w:pos="0"/>
          <w:tab w:val="left" w:pos="8364"/>
        </w:tabs>
        <w:spacing w:line="360" w:lineRule="auto"/>
        <w:ind w:firstLine="420" w:firstLineChars="200"/>
        <w:rPr>
          <w:rFonts w:ascii="宋体" w:hAnsi="宋体"/>
        </w:rPr>
      </w:pPr>
      <w:r>
        <w:rPr>
          <w:rFonts w:ascii="宋体" w:hAnsi="宋体"/>
        </w:rPr>
        <w:t>9</w:t>
      </w:r>
      <w:r>
        <w:rPr>
          <w:rFonts w:hint="eastAsia" w:ascii="宋体" w:hAnsi="宋体"/>
        </w:rPr>
        <w:t>.</w:t>
      </w:r>
      <w:r>
        <w:rPr>
          <w:rFonts w:ascii="宋体" w:hAnsi="宋体"/>
        </w:rPr>
        <w:t>5</w:t>
      </w:r>
      <w:r>
        <w:rPr>
          <w:rFonts w:hint="eastAsia" w:ascii="宋体" w:hAnsi="宋体"/>
        </w:rPr>
        <w:t>现场知晓</w:t>
      </w:r>
    </w:p>
    <w:p>
      <w:pPr>
        <w:tabs>
          <w:tab w:val="left" w:pos="0"/>
          <w:tab w:val="left" w:pos="8364"/>
        </w:tabs>
        <w:spacing w:line="360" w:lineRule="auto"/>
        <w:ind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418"/>
          <w:tab w:val="left" w:pos="8364"/>
        </w:tabs>
        <w:spacing w:line="360" w:lineRule="auto"/>
        <w:ind w:left="420"/>
        <w:rPr>
          <w:rFonts w:ascii="宋体" w:hAnsi="宋体"/>
        </w:rPr>
      </w:pPr>
      <w:r>
        <w:rPr>
          <w:rFonts w:ascii="宋体" w:hAnsi="宋体"/>
        </w:rPr>
        <w:t>9.6</w:t>
      </w:r>
      <w:r>
        <w:rPr>
          <w:rFonts w:hint="eastAsia" w:ascii="宋体" w:hAnsi="宋体"/>
        </w:rPr>
        <w:t>价格的充分性</w:t>
      </w:r>
    </w:p>
    <w:p>
      <w:pPr>
        <w:spacing w:line="360" w:lineRule="auto"/>
        <w:ind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spacing w:line="360" w:lineRule="auto"/>
        <w:ind w:left="420"/>
        <w:rPr>
          <w:rFonts w:ascii="宋体" w:hAnsi="宋体"/>
        </w:rPr>
      </w:pPr>
      <w:r>
        <w:rPr>
          <w:rFonts w:ascii="宋体" w:hAnsi="宋体"/>
        </w:rPr>
        <w:t>9.6</w:t>
      </w:r>
      <w:r>
        <w:rPr>
          <w:rFonts w:hint="eastAsia" w:ascii="宋体" w:hAnsi="宋体"/>
        </w:rPr>
        <w:t>.1影响合同价格的全部条件和情况；</w:t>
      </w:r>
    </w:p>
    <w:p>
      <w:pPr>
        <w:tabs>
          <w:tab w:val="left" w:pos="1134"/>
          <w:tab w:val="left" w:pos="8364"/>
        </w:tabs>
        <w:spacing w:line="360" w:lineRule="auto"/>
        <w:ind w:firstLine="420" w:firstLineChars="200"/>
        <w:rPr>
          <w:rFonts w:ascii="宋体" w:hAnsi="宋体"/>
        </w:rPr>
      </w:pPr>
      <w:r>
        <w:rPr>
          <w:rFonts w:ascii="宋体" w:hAnsi="宋体"/>
        </w:rPr>
        <w:t>9.6</w:t>
      </w:r>
      <w:r>
        <w:rPr>
          <w:rFonts w:hint="eastAsia" w:ascii="宋体" w:hAnsi="宋体"/>
        </w:rPr>
        <w:t>.2完成合同中所述项目的可能性；</w:t>
      </w:r>
    </w:p>
    <w:p>
      <w:pPr>
        <w:tabs>
          <w:tab w:val="left" w:pos="1134"/>
          <w:tab w:val="left" w:pos="8364"/>
        </w:tabs>
        <w:spacing w:line="360" w:lineRule="auto"/>
        <w:ind w:left="420"/>
        <w:rPr>
          <w:rFonts w:ascii="宋体" w:hAnsi="宋体"/>
        </w:rPr>
      </w:pPr>
      <w:r>
        <w:rPr>
          <w:rFonts w:ascii="宋体" w:hAnsi="宋体"/>
        </w:rPr>
        <w:t>9.6</w:t>
      </w:r>
      <w:r>
        <w:rPr>
          <w:rFonts w:hint="eastAsia" w:ascii="宋体" w:hAnsi="宋体"/>
        </w:rPr>
        <w:t>.3现场的综合情况；</w:t>
      </w:r>
    </w:p>
    <w:p>
      <w:pPr>
        <w:tabs>
          <w:tab w:val="left" w:pos="1134"/>
          <w:tab w:val="left" w:pos="8364"/>
        </w:tabs>
        <w:spacing w:line="360" w:lineRule="auto"/>
        <w:ind w:left="420"/>
        <w:rPr>
          <w:rFonts w:ascii="宋体" w:hAnsi="宋体"/>
        </w:rPr>
      </w:pPr>
      <w:r>
        <w:rPr>
          <w:rFonts w:ascii="宋体" w:hAnsi="宋体"/>
        </w:rPr>
        <w:t>9.6</w:t>
      </w:r>
      <w:r>
        <w:rPr>
          <w:rFonts w:hint="eastAsia" w:ascii="宋体" w:hAnsi="宋体"/>
        </w:rPr>
        <w:t>.4现场总的劳务情况；</w:t>
      </w:r>
    </w:p>
    <w:p>
      <w:pPr>
        <w:tabs>
          <w:tab w:val="left" w:pos="1134"/>
          <w:tab w:val="left" w:pos="8364"/>
        </w:tabs>
        <w:spacing w:line="360" w:lineRule="auto"/>
        <w:ind w:firstLine="420" w:firstLineChars="200"/>
        <w:rPr>
          <w:rFonts w:ascii="宋体" w:hAnsi="宋体"/>
        </w:rPr>
      </w:pPr>
      <w:r>
        <w:rPr>
          <w:rFonts w:ascii="宋体" w:hAnsi="宋体"/>
        </w:rPr>
        <w:t>9</w:t>
      </w:r>
      <w:r>
        <w:rPr>
          <w:rFonts w:hint="eastAsia" w:ascii="宋体" w:hAnsi="宋体"/>
        </w:rPr>
        <w:t>.</w:t>
      </w:r>
      <w:r>
        <w:rPr>
          <w:rFonts w:ascii="宋体" w:hAnsi="宋体"/>
        </w:rPr>
        <w:t>6</w:t>
      </w:r>
      <w:r>
        <w:rPr>
          <w:rFonts w:hint="eastAsia" w:ascii="宋体" w:hAnsi="宋体"/>
        </w:rPr>
        <w:t>.5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0"/>
        </w:tabs>
        <w:spacing w:line="360" w:lineRule="auto"/>
        <w:ind w:firstLine="422" w:firstLineChars="200"/>
        <w:outlineLvl w:val="2"/>
        <w:rPr>
          <w:rFonts w:ascii="宋体" w:hAnsi="宋体"/>
          <w:b/>
        </w:rPr>
      </w:pPr>
      <w:bookmarkStart w:id="1308" w:name="_Toc24113"/>
      <w:bookmarkStart w:id="1309" w:name="_Toc492478780"/>
      <w:bookmarkStart w:id="1310" w:name="_Toc29106"/>
      <w:bookmarkStart w:id="1311" w:name="_Toc29593"/>
      <w:bookmarkStart w:id="1312" w:name="_Toc385427856"/>
      <w:bookmarkStart w:id="1313" w:name="_Toc32028"/>
      <w:bookmarkStart w:id="1314" w:name="_Toc30611"/>
      <w:bookmarkStart w:id="1315" w:name="_Toc370933873"/>
      <w:bookmarkStart w:id="1316" w:name="_Toc10545"/>
      <w:bookmarkStart w:id="1317" w:name="_Toc3558"/>
      <w:bookmarkStart w:id="1318" w:name="_Toc378514970"/>
      <w:bookmarkStart w:id="1319" w:name="_Toc2295"/>
      <w:bookmarkStart w:id="1320" w:name="_Toc26418"/>
      <w:bookmarkStart w:id="1321" w:name="_Toc14851"/>
      <w:bookmarkStart w:id="1322" w:name="_Toc25230"/>
      <w:bookmarkStart w:id="1323" w:name="_Toc27489"/>
      <w:bookmarkStart w:id="1324" w:name="_Toc25441"/>
      <w:bookmarkStart w:id="1325" w:name="_Toc12825"/>
      <w:bookmarkStart w:id="1326" w:name="_Toc6771"/>
      <w:bookmarkStart w:id="1327" w:name="_Toc390098482"/>
      <w:bookmarkStart w:id="1328" w:name="_Toc21856"/>
      <w:bookmarkStart w:id="1329" w:name="_Toc75771538"/>
      <w:bookmarkStart w:id="1330" w:name="_Toc25750651"/>
      <w:bookmarkStart w:id="1331" w:name="_Toc23070"/>
      <w:bookmarkStart w:id="1332" w:name="_Toc769"/>
      <w:r>
        <w:rPr>
          <w:rFonts w:ascii="宋体" w:hAnsi="宋体"/>
          <w:b/>
        </w:rPr>
        <w:t>10</w:t>
      </w:r>
      <w:r>
        <w:rPr>
          <w:rFonts w:hint="eastAsia" w:ascii="宋体" w:hAnsi="宋体"/>
          <w:b/>
        </w:rPr>
        <w:t>.</w:t>
      </w:r>
      <w:r>
        <w:rPr>
          <w:rFonts w:ascii="宋体" w:hAnsi="宋体"/>
          <w:b/>
        </w:rPr>
        <w:t xml:space="preserve"> </w:t>
      </w:r>
      <w:r>
        <w:rPr>
          <w:rFonts w:hint="eastAsia" w:ascii="宋体" w:hAnsi="宋体"/>
          <w:b/>
        </w:rPr>
        <w:t>合同变更与修改</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spacing w:line="360" w:lineRule="auto"/>
        <w:ind w:left="420" w:leftChars="200" w:firstLine="4" w:firstLineChars="2"/>
        <w:rPr>
          <w:rFonts w:ascii="宋体" w:hAnsi="宋体"/>
        </w:rPr>
      </w:pPr>
      <w:r>
        <w:rPr>
          <w:rFonts w:ascii="宋体" w:hAnsi="宋体"/>
        </w:rPr>
        <w:t>10</w:t>
      </w:r>
      <w:r>
        <w:rPr>
          <w:rFonts w:hint="eastAsia" w:ascii="宋体" w:hAnsi="宋体"/>
        </w:rPr>
        <w:t>.1在合同执行过程中，除以下情况外，合同单价均不予调整：</w:t>
      </w:r>
    </w:p>
    <w:p>
      <w:pPr>
        <w:spacing w:line="360" w:lineRule="auto"/>
        <w:ind w:firstLine="420" w:firstLineChars="200"/>
        <w:rPr>
          <w:rFonts w:ascii="宋体" w:hAnsi="宋体"/>
        </w:rPr>
      </w:pPr>
      <w:r>
        <w:rPr>
          <w:rFonts w:hint="eastAsia" w:ascii="宋体" w:hAnsi="宋体"/>
        </w:rPr>
        <w:t>（1）本项目范围发生变化的；</w:t>
      </w:r>
    </w:p>
    <w:p>
      <w:pPr>
        <w:spacing w:line="360" w:lineRule="auto"/>
        <w:ind w:left="420" w:leftChars="200" w:firstLine="4" w:firstLineChars="2"/>
        <w:rPr>
          <w:rFonts w:ascii="宋体" w:hAnsi="宋体"/>
        </w:rPr>
      </w:pPr>
      <w:r>
        <w:rPr>
          <w:rFonts w:hint="eastAsia" w:ascii="宋体" w:hAnsi="宋体"/>
        </w:rPr>
        <w:t>（2）本合同服务期限发生变化的；</w:t>
      </w:r>
    </w:p>
    <w:p>
      <w:pPr>
        <w:spacing w:line="360" w:lineRule="auto"/>
        <w:ind w:left="420" w:leftChars="200" w:firstLine="4" w:firstLineChars="2"/>
        <w:rPr>
          <w:rFonts w:ascii="宋体" w:hAnsi="宋体"/>
        </w:rPr>
      </w:pPr>
      <w:r>
        <w:rPr>
          <w:rFonts w:hint="eastAsia" w:ascii="宋体" w:hAnsi="宋体"/>
        </w:rPr>
        <w:t>（3）本合同约定的其他予以调整的情况。</w:t>
      </w:r>
    </w:p>
    <w:p>
      <w:pPr>
        <w:spacing w:line="360" w:lineRule="auto"/>
        <w:ind w:left="420" w:leftChars="200" w:firstLine="4" w:firstLineChars="2"/>
        <w:rPr>
          <w:rFonts w:ascii="宋体" w:hAnsi="宋体"/>
        </w:rPr>
      </w:pPr>
      <w:r>
        <w:rPr>
          <w:rFonts w:ascii="宋体" w:hAnsi="宋体"/>
        </w:rPr>
        <w:t>10</w:t>
      </w:r>
      <w:r>
        <w:rPr>
          <w:rFonts w:hint="eastAsia" w:ascii="宋体" w:hAnsi="宋体"/>
        </w:rPr>
        <w:t>.2合同价格调整原则</w:t>
      </w:r>
    </w:p>
    <w:p>
      <w:pPr>
        <w:spacing w:line="360" w:lineRule="auto"/>
        <w:ind w:firstLine="422" w:firstLineChars="201"/>
        <w:rPr>
          <w:rFonts w:ascii="宋体" w:hAnsi="宋体"/>
        </w:rPr>
      </w:pPr>
      <w:r>
        <w:rPr>
          <w:rFonts w:ascii="宋体" w:hAnsi="宋体"/>
        </w:rPr>
        <w:t>10</w:t>
      </w:r>
      <w:r>
        <w:rPr>
          <w:rFonts w:hint="eastAsia" w:ascii="宋体" w:hAnsi="宋体"/>
        </w:rPr>
        <w:t>.2.1投标报价清单有相同项目的，按照相同项目单价计算；</w:t>
      </w:r>
    </w:p>
    <w:p>
      <w:pPr>
        <w:spacing w:line="360" w:lineRule="auto"/>
        <w:ind w:firstLine="422" w:firstLineChars="201"/>
        <w:rPr>
          <w:rFonts w:ascii="宋体" w:hAnsi="宋体"/>
        </w:rPr>
      </w:pPr>
      <w:r>
        <w:rPr>
          <w:rFonts w:ascii="宋体" w:hAnsi="宋体"/>
        </w:rPr>
        <w:t>10</w:t>
      </w:r>
      <w:r>
        <w:rPr>
          <w:rFonts w:hint="eastAsia" w:ascii="宋体" w:hAnsi="宋体"/>
        </w:rPr>
        <w:t>.2.2投标报价清单中无相同项目，但有类似项目的，应根据需调整单价的项目特征，对类似项目单价的变化部分进行调整（但管理费、利润等的取费标准不得调整），并按调整后的单价计算需调整的合同价格；</w:t>
      </w:r>
    </w:p>
    <w:p>
      <w:pPr>
        <w:spacing w:line="360" w:lineRule="auto"/>
        <w:ind w:firstLine="422" w:firstLineChars="201"/>
        <w:rPr>
          <w:rFonts w:ascii="宋体" w:hAnsi="宋体"/>
        </w:rPr>
      </w:pPr>
      <w:r>
        <w:rPr>
          <w:rFonts w:hint="eastAsia" w:ascii="宋体" w:hAnsi="宋体"/>
        </w:rPr>
        <w:t>10.2.3 如需进行合同价格调整，乙方需通过书面申请并经甲方同意后方可修改。</w:t>
      </w:r>
    </w:p>
    <w:p>
      <w:pPr>
        <w:tabs>
          <w:tab w:val="left" w:pos="840"/>
          <w:tab w:val="left" w:pos="1843"/>
        </w:tabs>
        <w:spacing w:line="360" w:lineRule="auto"/>
        <w:ind w:left="422"/>
        <w:outlineLvl w:val="2"/>
        <w:rPr>
          <w:rFonts w:ascii="宋体" w:hAnsi="宋体"/>
          <w:b/>
        </w:rPr>
      </w:pPr>
      <w:bookmarkStart w:id="1333" w:name="_Toc1259"/>
      <w:bookmarkStart w:id="1334" w:name="_Toc25750652"/>
      <w:bookmarkStart w:id="1335" w:name="_Toc29664"/>
      <w:bookmarkStart w:id="1336" w:name="_Toc18239"/>
      <w:bookmarkStart w:id="1337" w:name="_Toc25195"/>
      <w:bookmarkStart w:id="1338" w:name="_Toc15094"/>
      <w:bookmarkStart w:id="1339" w:name="_Toc24029"/>
      <w:bookmarkStart w:id="1340" w:name="_Toc370933874"/>
      <w:bookmarkStart w:id="1341" w:name="_Toc16088"/>
      <w:bookmarkStart w:id="1342" w:name="_Toc21302"/>
      <w:bookmarkStart w:id="1343" w:name="_Toc25965"/>
      <w:bookmarkStart w:id="1344" w:name="_Toc27980"/>
      <w:bookmarkStart w:id="1345" w:name="_Toc385427857"/>
      <w:bookmarkStart w:id="1346" w:name="_Toc492478781"/>
      <w:bookmarkStart w:id="1347" w:name="_Toc29029"/>
      <w:bookmarkStart w:id="1348" w:name="_Toc390098483"/>
      <w:bookmarkStart w:id="1349" w:name="_Toc378514971"/>
      <w:bookmarkStart w:id="1350" w:name="_Toc28641"/>
      <w:bookmarkStart w:id="1351" w:name="_Toc18453"/>
      <w:bookmarkStart w:id="1352" w:name="_Toc4403"/>
      <w:bookmarkStart w:id="1353" w:name="_Toc11895"/>
      <w:bookmarkStart w:id="1354" w:name="_Toc2307"/>
      <w:bookmarkStart w:id="1355" w:name="_Toc3081"/>
      <w:bookmarkStart w:id="1356" w:name="_Toc17820"/>
      <w:bookmarkStart w:id="1357" w:name="_Toc75771539"/>
      <w:r>
        <w:rPr>
          <w:rFonts w:ascii="宋体" w:hAnsi="宋体"/>
          <w:b/>
        </w:rPr>
        <w:t>11</w:t>
      </w:r>
      <w:r>
        <w:rPr>
          <w:rFonts w:hint="eastAsia" w:ascii="宋体" w:hAnsi="宋体"/>
          <w:b/>
        </w:rPr>
        <w: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Fonts w:ascii="宋体" w:hAnsi="宋体"/>
          <w:b/>
        </w:rPr>
        <w:t xml:space="preserve"> </w:t>
      </w:r>
      <w:r>
        <w:rPr>
          <w:rFonts w:hint="eastAsia" w:ascii="宋体" w:hAnsi="宋体"/>
          <w:b/>
        </w:rPr>
        <w:t>违约责任</w:t>
      </w:r>
      <w:bookmarkEnd w:id="1357"/>
      <w:bookmarkStart w:id="1358" w:name="_Toc75771540"/>
    </w:p>
    <w:p>
      <w:pPr>
        <w:ind w:firstLine="422" w:firstLineChars="200"/>
        <w:rPr>
          <w:rFonts w:ascii="宋体" w:hAnsi="宋体"/>
          <w:b/>
        </w:rPr>
      </w:pPr>
      <w:r>
        <w:rPr>
          <w:rFonts w:cs="宋体" w:asciiTheme="minorEastAsia" w:hAnsiTheme="minorEastAsia" w:eastAsiaTheme="minorEastAsia"/>
          <w:b/>
          <w:bCs/>
        </w:rPr>
        <w:t xml:space="preserve">11.1 </w:t>
      </w:r>
      <w:r>
        <w:rPr>
          <w:rFonts w:hint="eastAsia" w:cs="宋体" w:asciiTheme="minorEastAsia" w:hAnsiTheme="minorEastAsia" w:eastAsiaTheme="minorEastAsia"/>
          <w:b/>
          <w:bCs/>
        </w:rPr>
        <w:t>日常维保响应时间管理</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11.1.1 </w:t>
      </w:r>
      <w:r>
        <w:rPr>
          <w:rFonts w:hint="eastAsia" w:cs="宋体" w:asciiTheme="minorEastAsia" w:hAnsiTheme="minorEastAsia" w:eastAsiaTheme="minorEastAsia"/>
        </w:rPr>
        <w:t>响应到场时间超过约定服务时限的，处以</w:t>
      </w:r>
      <w:r>
        <w:rPr>
          <w:rFonts w:cs="宋体" w:asciiTheme="minorEastAsia" w:hAnsiTheme="minorEastAsia" w:eastAsiaTheme="minorEastAsia"/>
        </w:rPr>
        <w:t>100</w:t>
      </w:r>
      <w:r>
        <w:rPr>
          <w:rFonts w:hint="eastAsia" w:cs="宋体" w:asciiTheme="minorEastAsia" w:hAnsiTheme="minorEastAsia" w:eastAsiaTheme="minorEastAsia"/>
        </w:rPr>
        <w:t>元/次，本条按单次事件计算；</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11.1.2 </w:t>
      </w:r>
      <w:r>
        <w:rPr>
          <w:rFonts w:hint="eastAsia" w:cs="宋体" w:asciiTheme="minorEastAsia" w:hAnsiTheme="minorEastAsia" w:eastAsiaTheme="minorEastAsia"/>
        </w:rPr>
        <w:t>临时修复时间超过约定服务时限的，处以</w:t>
      </w:r>
      <w:r>
        <w:rPr>
          <w:rFonts w:cs="宋体" w:asciiTheme="minorEastAsia" w:hAnsiTheme="minorEastAsia" w:eastAsiaTheme="minorEastAsia"/>
        </w:rPr>
        <w:t>200</w:t>
      </w:r>
      <w:r>
        <w:rPr>
          <w:rFonts w:hint="eastAsia" w:cs="宋体" w:asciiTheme="minorEastAsia" w:hAnsiTheme="minorEastAsia" w:eastAsiaTheme="minorEastAsia"/>
        </w:rPr>
        <w:t>元/次，本条按单次事件计算；</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11.1.3 </w:t>
      </w:r>
      <w:r>
        <w:rPr>
          <w:rFonts w:hint="eastAsia" w:cs="宋体" w:asciiTheme="minorEastAsia" w:hAnsiTheme="minorEastAsia" w:eastAsiaTheme="minorEastAsia"/>
        </w:rPr>
        <w:t>完全修复时间超过约定服务时限的，处以</w:t>
      </w:r>
      <w:r>
        <w:rPr>
          <w:rFonts w:cs="宋体" w:asciiTheme="minorEastAsia" w:hAnsiTheme="minorEastAsia" w:eastAsiaTheme="minorEastAsia"/>
        </w:rPr>
        <w:t>500</w:t>
      </w:r>
      <w:r>
        <w:rPr>
          <w:rFonts w:hint="eastAsia" w:cs="宋体" w:asciiTheme="minorEastAsia" w:hAnsiTheme="minorEastAsia" w:eastAsiaTheme="minorEastAsia"/>
        </w:rPr>
        <w:t>元/次，本条按单次事件计算；</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11.1.4 </w:t>
      </w:r>
      <w:r>
        <w:rPr>
          <w:rFonts w:hint="eastAsia" w:cs="宋体" w:asciiTheme="minorEastAsia" w:hAnsiTheme="minorEastAsia" w:eastAsiaTheme="minorEastAsia"/>
        </w:rPr>
        <w:t>如发生乙方有未及时处理日常维保故障的情况，甲方保留自行处理故障的权利，因甲方处理故障产生的人工、材料消耗及设施设备租用等费用（按甲方的收费标准计算），在乙方本季度进度款中扣除并追加处以</w:t>
      </w:r>
      <w:r>
        <w:rPr>
          <w:rFonts w:cs="宋体" w:asciiTheme="minorEastAsia" w:hAnsiTheme="minorEastAsia" w:eastAsiaTheme="minorEastAsia"/>
        </w:rPr>
        <w:t>500</w:t>
      </w:r>
      <w:r>
        <w:rPr>
          <w:rFonts w:hint="eastAsia" w:cs="宋体" w:asciiTheme="minorEastAsia" w:hAnsiTheme="minorEastAsia" w:eastAsiaTheme="minorEastAsia"/>
        </w:rPr>
        <w:t>元/次。</w:t>
      </w:r>
    </w:p>
    <w:p>
      <w:pPr>
        <w:tabs>
          <w:tab w:val="left" w:pos="1120"/>
        </w:tabs>
        <w:spacing w:line="360" w:lineRule="auto"/>
        <w:ind w:firstLine="422" w:firstLineChars="200"/>
        <w:rPr>
          <w:rFonts w:cs="宋体" w:asciiTheme="minorEastAsia" w:hAnsiTheme="minorEastAsia" w:eastAsiaTheme="minorEastAsia"/>
        </w:rPr>
      </w:pPr>
      <w:r>
        <w:rPr>
          <w:rFonts w:cs="宋体" w:asciiTheme="minorEastAsia" w:hAnsiTheme="minorEastAsia" w:eastAsiaTheme="minorEastAsia"/>
          <w:b/>
          <w:bCs/>
        </w:rPr>
        <w:t xml:space="preserve">11.2 </w:t>
      </w:r>
      <w:r>
        <w:rPr>
          <w:rFonts w:hint="eastAsia" w:cs="宋体" w:asciiTheme="minorEastAsia" w:hAnsiTheme="minorEastAsia" w:eastAsiaTheme="minorEastAsia"/>
          <w:b/>
          <w:bCs/>
        </w:rPr>
        <w:t>应急维保响应时间管理</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11.2.1 </w:t>
      </w:r>
      <w:r>
        <w:rPr>
          <w:rFonts w:hint="eastAsia" w:cs="宋体" w:asciiTheme="minorEastAsia" w:hAnsiTheme="minorEastAsia" w:eastAsiaTheme="minorEastAsia"/>
        </w:rPr>
        <w:t>响应到场时间超过约定服务时限的，处以</w:t>
      </w:r>
      <w:r>
        <w:rPr>
          <w:rFonts w:cs="宋体" w:asciiTheme="minorEastAsia" w:hAnsiTheme="minorEastAsia" w:eastAsiaTheme="minorEastAsia"/>
        </w:rPr>
        <w:t>300</w:t>
      </w:r>
      <w:r>
        <w:rPr>
          <w:rFonts w:hint="eastAsia" w:cs="宋体" w:asciiTheme="minorEastAsia" w:hAnsiTheme="minorEastAsia" w:eastAsiaTheme="minorEastAsia"/>
        </w:rPr>
        <w:t>元/次，本条按单次事件计算；</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11.2.2 </w:t>
      </w:r>
      <w:r>
        <w:rPr>
          <w:rFonts w:hint="eastAsia" w:cs="宋体" w:asciiTheme="minorEastAsia" w:hAnsiTheme="minorEastAsia" w:eastAsiaTheme="minorEastAsia"/>
        </w:rPr>
        <w:t>临时修复时间超过约定服务时限的，处以</w:t>
      </w:r>
      <w:r>
        <w:rPr>
          <w:rFonts w:cs="宋体" w:asciiTheme="minorEastAsia" w:hAnsiTheme="minorEastAsia" w:eastAsiaTheme="minorEastAsia"/>
        </w:rPr>
        <w:t>500</w:t>
      </w:r>
      <w:r>
        <w:rPr>
          <w:rFonts w:hint="eastAsia" w:cs="宋体" w:asciiTheme="minorEastAsia" w:hAnsiTheme="minorEastAsia" w:eastAsiaTheme="minorEastAsia"/>
        </w:rPr>
        <w:t>元/次，本条按单次事件计算；</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11.2.3 </w:t>
      </w:r>
      <w:r>
        <w:rPr>
          <w:rFonts w:hint="eastAsia" w:cs="宋体" w:asciiTheme="minorEastAsia" w:hAnsiTheme="minorEastAsia" w:eastAsiaTheme="minorEastAsia"/>
        </w:rPr>
        <w:t>如发生乙方有未及时处理应急维保故障的情况，甲方保留自行处理故障的权利，因甲方处理故障产生的人工、材料消耗及设施设备租用等费用（按甲方的收费标准计算），在乙方进度款中扣除并追加处以</w:t>
      </w:r>
      <w:r>
        <w:rPr>
          <w:rFonts w:cs="宋体" w:asciiTheme="minorEastAsia" w:hAnsiTheme="minorEastAsia" w:eastAsiaTheme="minorEastAsia"/>
        </w:rPr>
        <w:t>1000</w:t>
      </w:r>
      <w:r>
        <w:rPr>
          <w:rFonts w:hint="eastAsia" w:cs="宋体" w:asciiTheme="minorEastAsia" w:hAnsiTheme="minorEastAsia" w:eastAsiaTheme="minorEastAsia"/>
        </w:rPr>
        <w:t>元/次。如在合同期内发生3次及以上的情况，甲方有权解除合同并扣除履约保证金，造成的损失由乙方承担。</w:t>
      </w:r>
    </w:p>
    <w:p>
      <w:pPr>
        <w:tabs>
          <w:tab w:val="left" w:pos="1120"/>
        </w:tabs>
        <w:spacing w:line="360" w:lineRule="auto"/>
        <w:ind w:firstLine="422" w:firstLineChars="200"/>
        <w:rPr>
          <w:rFonts w:cs="宋体" w:asciiTheme="minorEastAsia" w:hAnsiTheme="minorEastAsia" w:eastAsiaTheme="minorEastAsia"/>
        </w:rPr>
      </w:pPr>
      <w:r>
        <w:rPr>
          <w:rFonts w:cs="宋体" w:asciiTheme="minorEastAsia" w:hAnsiTheme="minorEastAsia" w:eastAsiaTheme="minorEastAsia"/>
          <w:b/>
          <w:bCs/>
        </w:rPr>
        <w:t xml:space="preserve">11.3 </w:t>
      </w:r>
      <w:r>
        <w:rPr>
          <w:rFonts w:hint="eastAsia" w:cs="宋体" w:asciiTheme="minorEastAsia" w:hAnsiTheme="minorEastAsia" w:eastAsiaTheme="minorEastAsia"/>
          <w:b/>
          <w:bCs/>
        </w:rPr>
        <w:t>维修维保工作质量</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11.3.1 </w:t>
      </w:r>
      <w:r>
        <w:rPr>
          <w:rFonts w:hint="eastAsia" w:cs="宋体" w:asciiTheme="minorEastAsia" w:hAnsiTheme="minorEastAsia" w:eastAsiaTheme="minorEastAsia"/>
        </w:rPr>
        <w:t>在维保过程中因乙方提供的不合格的维保配件或消耗料导致被维保物资、设施设备故障、损坏及产生的安全险性事件、连锁事件等，乙方需更换合格的维保配件或消耗料并承担维修该物资及设施设备所产生的一切费用，处以违约金</w:t>
      </w:r>
      <w:r>
        <w:rPr>
          <w:rFonts w:cs="宋体" w:asciiTheme="minorEastAsia" w:hAnsiTheme="minorEastAsia" w:eastAsiaTheme="minorEastAsia"/>
        </w:rPr>
        <w:t>500</w:t>
      </w:r>
      <w:r>
        <w:rPr>
          <w:rFonts w:hint="eastAsia" w:cs="宋体" w:asciiTheme="minorEastAsia" w:hAnsiTheme="minorEastAsia" w:eastAsiaTheme="minorEastAsia"/>
        </w:rPr>
        <w:t>元/次；</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11.3.</w:t>
      </w:r>
      <w:r>
        <w:rPr>
          <w:rFonts w:hint="eastAsia" w:cs="宋体" w:asciiTheme="minorEastAsia" w:hAnsiTheme="minorEastAsia" w:eastAsiaTheme="minorEastAsia"/>
        </w:rPr>
        <w:t>2</w:t>
      </w:r>
      <w:r>
        <w:rPr>
          <w:rFonts w:cs="宋体" w:asciiTheme="minorEastAsia" w:hAnsiTheme="minorEastAsia" w:eastAsiaTheme="minorEastAsia"/>
        </w:rPr>
        <w:t xml:space="preserve"> </w:t>
      </w:r>
      <w:r>
        <w:rPr>
          <w:rFonts w:hint="eastAsia" w:cs="宋体" w:asciiTheme="minorEastAsia" w:hAnsiTheme="minorEastAsia" w:eastAsiaTheme="minorEastAsia"/>
        </w:rPr>
        <w:t>在维保过程中，乙方提供的维保配件、消耗料质保期内（质保期按国家三包政策或行业规定执行、以维保时间安装之日起进行计算）出现质量问题，乙方在收到甲方通知后拒不维修的，取消本次维修维保费用，并处以</w:t>
      </w:r>
      <w:r>
        <w:rPr>
          <w:rFonts w:cs="宋体" w:asciiTheme="minorEastAsia" w:hAnsiTheme="minorEastAsia" w:eastAsiaTheme="minorEastAsia"/>
        </w:rPr>
        <w:t>500</w:t>
      </w:r>
      <w:r>
        <w:rPr>
          <w:rFonts w:hint="eastAsia" w:cs="宋体" w:asciiTheme="minorEastAsia" w:hAnsiTheme="minorEastAsia" w:eastAsiaTheme="minorEastAsia"/>
        </w:rPr>
        <w:t>元/次；</w:t>
      </w:r>
    </w:p>
    <w:p>
      <w:pPr>
        <w:tabs>
          <w:tab w:val="left" w:pos="1120"/>
        </w:tabs>
        <w:spacing w:line="360" w:lineRule="auto"/>
        <w:ind w:firstLine="422" w:firstLineChars="200"/>
        <w:rPr>
          <w:rFonts w:cs="宋体" w:asciiTheme="minorEastAsia" w:hAnsiTheme="minorEastAsia" w:eastAsiaTheme="minorEastAsia"/>
        </w:rPr>
      </w:pPr>
      <w:r>
        <w:rPr>
          <w:rFonts w:cs="宋体" w:asciiTheme="minorEastAsia" w:hAnsiTheme="minorEastAsia" w:eastAsiaTheme="minorEastAsia"/>
          <w:b/>
          <w:bCs/>
        </w:rPr>
        <w:t xml:space="preserve">11.4 </w:t>
      </w:r>
      <w:r>
        <w:rPr>
          <w:rFonts w:hint="eastAsia" w:cs="宋体" w:asciiTheme="minorEastAsia" w:hAnsiTheme="minorEastAsia" w:eastAsiaTheme="minorEastAsia"/>
          <w:b/>
          <w:bCs/>
        </w:rPr>
        <w:t>维保安全管理</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11.4.1 </w:t>
      </w:r>
      <w:r>
        <w:rPr>
          <w:rFonts w:hint="eastAsia" w:cs="宋体" w:asciiTheme="minorEastAsia" w:hAnsiTheme="minorEastAsia" w:eastAsiaTheme="minorEastAsia"/>
        </w:rPr>
        <w:t>乙方违反国家各类安全管理规定、法律法规（以国家最新规定为准），处以违约金</w:t>
      </w:r>
      <w:r>
        <w:rPr>
          <w:rFonts w:cs="宋体" w:asciiTheme="minorEastAsia" w:hAnsiTheme="minorEastAsia" w:eastAsiaTheme="minorEastAsia"/>
        </w:rPr>
        <w:t>1000</w:t>
      </w:r>
      <w:r>
        <w:rPr>
          <w:rFonts w:hint="eastAsia" w:cs="宋体" w:asciiTheme="minorEastAsia" w:hAnsiTheme="minorEastAsia" w:eastAsiaTheme="minorEastAsia"/>
        </w:rPr>
        <w:t>元/次。造成甲方的其他损失，甲方有权向乙方索赔。除乙方有充分证据证明以上事件与自身无关，否则无条件承担上述责任；</w:t>
      </w:r>
    </w:p>
    <w:p>
      <w:pPr>
        <w:tabs>
          <w:tab w:val="left" w:pos="1120"/>
        </w:tabs>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t xml:space="preserve">11.4.2 </w:t>
      </w:r>
      <w:r>
        <w:rPr>
          <w:rFonts w:hint="eastAsia" w:cs="宋体" w:asciiTheme="minorEastAsia" w:hAnsiTheme="minorEastAsia" w:eastAsiaTheme="minorEastAsia"/>
        </w:rPr>
        <w:t>因乙方原因造成甲方、第三方财产或人身损害的乙方除负责赔偿责任外，仍需向甲方赔付由甲方依据安全事故事件的性质、损失及甲方的名誉、形象受损的范围和程度等确定的费用。</w:t>
      </w:r>
    </w:p>
    <w:p>
      <w:pPr>
        <w:tabs>
          <w:tab w:val="left" w:pos="840"/>
          <w:tab w:val="left" w:pos="1843"/>
        </w:tabs>
        <w:spacing w:line="360" w:lineRule="auto"/>
        <w:ind w:left="422"/>
        <w:outlineLvl w:val="2"/>
        <w:rPr>
          <w:rFonts w:cs="宋体"/>
          <w:b/>
          <w:bCs/>
        </w:rPr>
      </w:pPr>
      <w:r>
        <w:rPr>
          <w:rFonts w:hint="eastAsia" w:ascii="宋体" w:hAnsi="宋体"/>
          <w:b/>
        </w:rPr>
        <w:t>1</w:t>
      </w:r>
      <w:r>
        <w:rPr>
          <w:rFonts w:ascii="宋体" w:hAnsi="宋体"/>
          <w:b/>
        </w:rPr>
        <w:t>2</w:t>
      </w:r>
      <w:r>
        <w:rPr>
          <w:rFonts w:hint="eastAsia" w:ascii="宋体" w:hAnsi="宋体"/>
          <w:b/>
        </w:rPr>
        <w:t>.</w:t>
      </w:r>
      <w:r>
        <w:rPr>
          <w:rFonts w:hint="eastAsia" w:cs="宋体"/>
          <w:b/>
          <w:bCs/>
        </w:rPr>
        <w:t xml:space="preserve"> 合同解除和终止</w:t>
      </w:r>
      <w:bookmarkEnd w:id="1358"/>
    </w:p>
    <w:p>
      <w:pPr>
        <w:tabs>
          <w:tab w:val="left" w:pos="1120"/>
        </w:tabs>
        <w:spacing w:line="360" w:lineRule="auto"/>
        <w:ind w:firstLine="420" w:firstLineChars="200"/>
        <w:rPr>
          <w:rFonts w:cs="宋体"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2</w:t>
      </w:r>
      <w:r>
        <w:rPr>
          <w:rFonts w:hint="eastAsia" w:asciiTheme="minorEastAsia" w:hAnsiTheme="minorEastAsia" w:eastAsiaTheme="minorEastAsia"/>
        </w:rPr>
        <w:t>.1</w:t>
      </w:r>
      <w:r>
        <w:rPr>
          <w:rFonts w:hint="eastAsia" w:cs="宋体" w:asciiTheme="minorEastAsia" w:hAnsiTheme="minorEastAsia" w:eastAsiaTheme="minorEastAsia"/>
        </w:rPr>
        <w:t>合同自然终止</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1</w:t>
      </w:r>
      <w:r>
        <w:rPr>
          <w:rFonts w:cs="宋体" w:asciiTheme="minorEastAsia" w:hAnsiTheme="minorEastAsia" w:eastAsiaTheme="minorEastAsia"/>
        </w:rPr>
        <w:t xml:space="preserve">2.1.1 </w:t>
      </w:r>
      <w:r>
        <w:rPr>
          <w:rFonts w:hint="eastAsia" w:cs="宋体" w:asciiTheme="minorEastAsia" w:hAnsiTheme="minorEastAsia" w:eastAsiaTheme="minorEastAsia"/>
        </w:rPr>
        <w:t>甲乙双方各自完成合同规定的责任和义务或发生不可抗力，合同自然终止；</w:t>
      </w:r>
    </w:p>
    <w:p>
      <w:pPr>
        <w:pStyle w:val="2"/>
        <w:spacing w:line="360" w:lineRule="auto"/>
        <w:ind w:firstLine="420"/>
        <w:rPr>
          <w:rFonts w:cs="宋体" w:asciiTheme="minorEastAsia" w:hAnsiTheme="minorEastAsia" w:eastAsiaTheme="minorEastAsia"/>
          <w:szCs w:val="22"/>
        </w:rPr>
      </w:pPr>
      <w:r>
        <w:rPr>
          <w:rFonts w:cs="宋体" w:asciiTheme="minorEastAsia" w:hAnsiTheme="minorEastAsia" w:eastAsiaTheme="minorEastAsia"/>
          <w:szCs w:val="22"/>
        </w:rPr>
        <w:t xml:space="preserve">12.1.2 </w:t>
      </w:r>
      <w:r>
        <w:rPr>
          <w:rFonts w:hint="eastAsia" w:cs="宋体" w:asciiTheme="minorEastAsia" w:hAnsiTheme="minorEastAsia" w:eastAsiaTheme="minorEastAsia"/>
          <w:szCs w:val="22"/>
        </w:rPr>
        <w:t>维保计量金额达到合同金额或合同达到约定期限。上述两种情况以先达到的条件为合同终止时间。</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1</w:t>
      </w:r>
      <w:r>
        <w:rPr>
          <w:rFonts w:cs="宋体" w:asciiTheme="minorEastAsia" w:hAnsiTheme="minorEastAsia" w:eastAsiaTheme="minorEastAsia"/>
        </w:rPr>
        <w:t>2</w:t>
      </w:r>
      <w:r>
        <w:rPr>
          <w:rFonts w:hint="eastAsia" w:cs="宋体" w:asciiTheme="minorEastAsia" w:hAnsiTheme="minorEastAsia" w:eastAsiaTheme="minorEastAsia"/>
        </w:rPr>
        <w:t>.2 违约违规终止合同</w:t>
      </w:r>
    </w:p>
    <w:p>
      <w:pPr>
        <w:tabs>
          <w:tab w:val="left" w:pos="540"/>
          <w:tab w:val="left" w:pos="960"/>
        </w:tabs>
        <w:spacing w:line="360" w:lineRule="auto"/>
        <w:ind w:firstLine="424" w:firstLineChars="202"/>
        <w:rPr>
          <w:rFonts w:ascii="宋体" w:hAnsi="宋体"/>
        </w:rPr>
      </w:pPr>
      <w:r>
        <w:rPr>
          <w:rFonts w:ascii="宋体" w:hAnsi="宋体"/>
        </w:rPr>
        <w:t>12.2.1</w:t>
      </w:r>
      <w:r>
        <w:rPr>
          <w:rFonts w:hint="eastAsia" w:ascii="宋体" w:hAnsi="宋体"/>
        </w:rPr>
        <w:t>在合同有效期内，如发现乙方违法分包、转包或挂靠，或前期存在围标串标或提供虚假资料情形的，甲方将单方终止合同，乙方须承担违约责任、赔偿甲方的一切经济损失。</w:t>
      </w:r>
    </w:p>
    <w:p>
      <w:pPr>
        <w:tabs>
          <w:tab w:val="left" w:pos="540"/>
          <w:tab w:val="left" w:pos="960"/>
        </w:tabs>
        <w:spacing w:line="360" w:lineRule="auto"/>
        <w:ind w:firstLine="424" w:firstLineChars="202"/>
        <w:rPr>
          <w:rFonts w:ascii="宋体" w:hAnsi="宋体"/>
        </w:rPr>
      </w:pPr>
      <w:r>
        <w:rPr>
          <w:rFonts w:ascii="宋体" w:hAnsi="宋体"/>
        </w:rPr>
        <w:t>12.2.2</w:t>
      </w:r>
      <w:r>
        <w:rPr>
          <w:rFonts w:hint="eastAsia" w:ascii="宋体" w:hAnsi="宋体"/>
        </w:rPr>
        <w:t>合同成立后，若乙方不按合同履行职责导致对甲方安全运营、名誉、形象等造成影响，甲方有权终止合同。</w:t>
      </w:r>
    </w:p>
    <w:p>
      <w:pPr>
        <w:pStyle w:val="5"/>
        <w:numPr>
          <w:ilvl w:val="0"/>
          <w:numId w:val="0"/>
        </w:numPr>
        <w:spacing w:line="360" w:lineRule="auto"/>
        <w:ind w:left="-10" w:leftChars="-5" w:firstLine="434" w:firstLineChars="206"/>
        <w:rPr>
          <w:rFonts w:ascii="Calibri" w:hAnsi="Calibri" w:eastAsia="宋体" w:cs="宋体"/>
          <w:b/>
          <w:szCs w:val="22"/>
        </w:rPr>
      </w:pPr>
      <w:bookmarkStart w:id="1359" w:name="_Toc3130"/>
      <w:bookmarkStart w:id="1360" w:name="_Toc32343"/>
      <w:bookmarkStart w:id="1361" w:name="_Toc13888"/>
      <w:bookmarkStart w:id="1362" w:name="_Toc390098484"/>
      <w:bookmarkStart w:id="1363" w:name="_Toc8696"/>
      <w:bookmarkStart w:id="1364" w:name="_Toc19987"/>
      <w:bookmarkStart w:id="1365" w:name="_Toc21413"/>
      <w:bookmarkStart w:id="1366" w:name="_Toc24065"/>
      <w:bookmarkStart w:id="1367" w:name="_Toc370933875"/>
      <w:bookmarkStart w:id="1368" w:name="_Toc661"/>
      <w:bookmarkStart w:id="1369" w:name="_Toc378514972"/>
      <w:bookmarkStart w:id="1370" w:name="_Toc18508"/>
      <w:bookmarkStart w:id="1371" w:name="_Toc4396"/>
      <w:bookmarkStart w:id="1372" w:name="_Toc25342"/>
      <w:bookmarkStart w:id="1373" w:name="_Toc24037"/>
      <w:bookmarkStart w:id="1374" w:name="_Toc25750653"/>
      <w:bookmarkStart w:id="1375" w:name="_Toc12432"/>
      <w:bookmarkStart w:id="1376" w:name="_Toc17029"/>
      <w:bookmarkStart w:id="1377" w:name="_Toc11530"/>
      <w:bookmarkStart w:id="1378" w:name="_Toc13416"/>
      <w:bookmarkStart w:id="1379" w:name="_Toc6234"/>
      <w:bookmarkStart w:id="1380" w:name="_Toc16315"/>
      <w:bookmarkStart w:id="1381" w:name="_Toc385427858"/>
      <w:bookmarkStart w:id="1382" w:name="_Toc492478782"/>
      <w:r>
        <w:rPr>
          <w:rFonts w:ascii="Calibri" w:hAnsi="Calibri" w:eastAsia="宋体" w:cs="宋体"/>
          <w:b/>
          <w:szCs w:val="22"/>
        </w:rPr>
        <w:t>13. 不可抗力</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tabs>
          <w:tab w:val="left" w:pos="540"/>
          <w:tab w:val="left" w:pos="960"/>
        </w:tabs>
        <w:spacing w:line="360" w:lineRule="auto"/>
        <w:ind w:firstLine="422" w:firstLineChars="201"/>
        <w:rPr>
          <w:rFonts w:ascii="宋体" w:hAnsi="宋体"/>
        </w:rPr>
      </w:pPr>
      <w:r>
        <w:rPr>
          <w:rFonts w:hint="eastAsia" w:ascii="宋体" w:hAnsi="宋体"/>
        </w:rPr>
        <w:t>1</w:t>
      </w:r>
      <w:r>
        <w:rPr>
          <w:rFonts w:ascii="宋体" w:hAnsi="宋体"/>
        </w:rPr>
        <w:t>3</w:t>
      </w:r>
      <w:r>
        <w:rPr>
          <w:rFonts w:hint="eastAsia" w:ascii="宋体" w:hAnsi="宋体"/>
        </w:rPr>
        <w:t>.1 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pStyle w:val="2"/>
        <w:spacing w:line="360" w:lineRule="auto"/>
        <w:ind w:firstLine="420"/>
        <w:rPr>
          <w:rFonts w:hAnsi="宋体" w:cs="黑体"/>
          <w:szCs w:val="22"/>
        </w:rPr>
      </w:pPr>
      <w:r>
        <w:rPr>
          <w:rFonts w:hint="eastAsia" w:hAnsi="宋体" w:cs="黑体"/>
          <w:szCs w:val="22"/>
        </w:rPr>
        <w:t>1</w:t>
      </w:r>
      <w:r>
        <w:rPr>
          <w:rFonts w:hAnsi="宋体" w:cs="黑体"/>
          <w:szCs w:val="22"/>
        </w:rPr>
        <w:t>3</w:t>
      </w:r>
      <w:r>
        <w:rPr>
          <w:rFonts w:hint="eastAsia" w:hAnsi="宋体" w:cs="黑体"/>
          <w:szCs w:val="22"/>
        </w:rPr>
        <w:t>.2 若不可抗力发生使合同执行受阻，则合同执行时间根据受影响的时间相应延长，但合同价格不得调整。</w:t>
      </w:r>
    </w:p>
    <w:p>
      <w:pPr>
        <w:pStyle w:val="2"/>
        <w:spacing w:line="360" w:lineRule="auto"/>
        <w:ind w:firstLine="420"/>
        <w:rPr>
          <w:rFonts w:hAnsi="宋体" w:cs="黑体"/>
          <w:szCs w:val="22"/>
        </w:rPr>
      </w:pPr>
      <w:r>
        <w:rPr>
          <w:rFonts w:hAnsi="宋体" w:cs="黑体"/>
          <w:szCs w:val="22"/>
        </w:rPr>
        <w:t xml:space="preserve">13.3 </w:t>
      </w:r>
      <w:r>
        <w:rPr>
          <w:rFonts w:hint="eastAsia" w:hAnsi="宋体" w:cs="黑体"/>
          <w:szCs w:val="22"/>
        </w:rPr>
        <w:t>如发生不可抗力，乙方应在十四天内通知甲方并应提供有关当局（官方机构）的证明文件。除非甲方另有书面指示，乙方应继续依可行方式及其他不受不可抗力制约的替代形式履行合同义务。</w:t>
      </w:r>
    </w:p>
    <w:p>
      <w:pPr>
        <w:pStyle w:val="2"/>
        <w:spacing w:line="360" w:lineRule="auto"/>
        <w:ind w:firstLine="420"/>
        <w:rPr>
          <w:rFonts w:hAnsi="宋体" w:cs="黑体"/>
          <w:szCs w:val="22"/>
        </w:rPr>
      </w:pPr>
      <w:r>
        <w:rPr>
          <w:rFonts w:hint="eastAsia" w:hAnsi="宋体" w:cs="黑体"/>
          <w:szCs w:val="22"/>
        </w:rPr>
        <w:t>1</w:t>
      </w:r>
      <w:r>
        <w:rPr>
          <w:rFonts w:hAnsi="宋体" w:cs="黑体"/>
          <w:szCs w:val="22"/>
        </w:rPr>
        <w:t>3</w:t>
      </w:r>
      <w:r>
        <w:rPr>
          <w:rFonts w:hint="eastAsia" w:hAnsi="宋体" w:cs="黑体"/>
          <w:szCs w:val="22"/>
        </w:rPr>
        <w:t>.4 任何因不可抗力所导致延误履行合同或不能履行合同，受阻方将不因此而构成违约。</w:t>
      </w:r>
    </w:p>
    <w:p>
      <w:pPr>
        <w:pStyle w:val="2"/>
        <w:spacing w:line="360" w:lineRule="auto"/>
        <w:ind w:firstLine="420"/>
        <w:rPr>
          <w:rFonts w:hAnsi="宋体" w:cs="黑体"/>
          <w:szCs w:val="22"/>
        </w:rPr>
      </w:pPr>
      <w:r>
        <w:rPr>
          <w:rFonts w:hint="eastAsia" w:hAnsi="宋体" w:cs="黑体"/>
          <w:szCs w:val="22"/>
        </w:rPr>
        <w:t>1</w:t>
      </w:r>
      <w:r>
        <w:rPr>
          <w:rFonts w:hAnsi="宋体" w:cs="黑体"/>
          <w:szCs w:val="22"/>
        </w:rPr>
        <w:t>3</w:t>
      </w:r>
      <w:r>
        <w:rPr>
          <w:rFonts w:hint="eastAsia" w:hAnsi="宋体" w:cs="黑体"/>
          <w:szCs w:val="22"/>
        </w:rPr>
        <w:t>.5 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pStyle w:val="2"/>
        <w:spacing w:line="360" w:lineRule="auto"/>
        <w:ind w:firstLine="420"/>
        <w:rPr>
          <w:rFonts w:hAnsi="宋体" w:cs="黑体"/>
          <w:szCs w:val="22"/>
        </w:rPr>
      </w:pPr>
      <w:r>
        <w:rPr>
          <w:rFonts w:hint="eastAsia" w:hAnsi="宋体" w:cs="黑体"/>
          <w:szCs w:val="22"/>
        </w:rPr>
        <w:t>1</w:t>
      </w:r>
      <w:r>
        <w:rPr>
          <w:rFonts w:hAnsi="宋体" w:cs="黑体"/>
          <w:szCs w:val="22"/>
        </w:rPr>
        <w:t>3</w:t>
      </w:r>
      <w:r>
        <w:rPr>
          <w:rFonts w:hint="eastAsia" w:hAnsi="宋体" w:cs="黑体"/>
          <w:szCs w:val="22"/>
        </w:rPr>
        <w:t>.6 如果不可抗力已发生并持续一百八十（</w:t>
      </w:r>
      <w:r>
        <w:rPr>
          <w:rFonts w:hAnsi="宋体" w:cs="黑体"/>
          <w:szCs w:val="22"/>
        </w:rPr>
        <w:t>180</w:t>
      </w:r>
      <w:r>
        <w:rPr>
          <w:rFonts w:hint="eastAsia" w:hAnsi="宋体" w:cs="黑体"/>
          <w:szCs w:val="22"/>
        </w:rPr>
        <w:t>）天，则尽管由于此原因可能已允许乙方延长交货期，双方中任何一方均有权在通知对方三十（</w:t>
      </w:r>
      <w:r>
        <w:rPr>
          <w:rFonts w:hAnsi="宋体" w:cs="黑体"/>
          <w:szCs w:val="22"/>
        </w:rPr>
        <w:t>30</w:t>
      </w:r>
      <w:r>
        <w:rPr>
          <w:rFonts w:hint="eastAsia" w:hAnsi="宋体" w:cs="黑体"/>
          <w:szCs w:val="22"/>
        </w:rPr>
        <w:t>）天后终止合同。</w:t>
      </w:r>
    </w:p>
    <w:p>
      <w:pPr>
        <w:pStyle w:val="2"/>
        <w:spacing w:line="360" w:lineRule="auto"/>
        <w:ind w:firstLine="420"/>
        <w:rPr>
          <w:rFonts w:hAnsi="宋体" w:cs="黑体"/>
          <w:szCs w:val="22"/>
        </w:rPr>
      </w:pPr>
      <w:r>
        <w:rPr>
          <w:rFonts w:hint="eastAsia" w:hAnsi="宋体" w:cs="黑体"/>
          <w:szCs w:val="22"/>
        </w:rPr>
        <w:t>1</w:t>
      </w:r>
      <w:r>
        <w:rPr>
          <w:rFonts w:hAnsi="宋体" w:cs="黑体"/>
          <w:szCs w:val="22"/>
        </w:rPr>
        <w:t>3</w:t>
      </w:r>
      <w:r>
        <w:rPr>
          <w:rFonts w:hint="eastAsia" w:hAnsi="宋体" w:cs="黑体"/>
          <w:szCs w:val="22"/>
        </w:rPr>
        <w:t>.7 如果不可抗力的情况发生并因此根据民法典双方均被解除进一步履行合同，乙方的履约担保不被没收。</w:t>
      </w:r>
    </w:p>
    <w:p>
      <w:pPr>
        <w:tabs>
          <w:tab w:val="left" w:pos="840"/>
          <w:tab w:val="left" w:pos="1843"/>
        </w:tabs>
        <w:spacing w:line="360" w:lineRule="auto"/>
        <w:ind w:left="422"/>
        <w:outlineLvl w:val="2"/>
        <w:rPr>
          <w:rFonts w:ascii="宋体" w:hAnsi="宋体"/>
          <w:b/>
        </w:rPr>
      </w:pPr>
      <w:bookmarkStart w:id="1383" w:name="_Toc75771541"/>
      <w:bookmarkStart w:id="1384" w:name="_Toc26831"/>
      <w:bookmarkStart w:id="1385" w:name="_Toc21718"/>
      <w:bookmarkStart w:id="1386" w:name="_Toc10805"/>
      <w:bookmarkStart w:id="1387" w:name="_Toc15352"/>
      <w:bookmarkStart w:id="1388" w:name="_Toc378514978"/>
      <w:bookmarkStart w:id="1389" w:name="_Toc1503"/>
      <w:bookmarkStart w:id="1390" w:name="_Toc4002"/>
      <w:bookmarkStart w:id="1391" w:name="_Toc492478788"/>
      <w:bookmarkStart w:id="1392" w:name="_Toc20850"/>
      <w:bookmarkStart w:id="1393" w:name="_Toc16121"/>
      <w:bookmarkStart w:id="1394" w:name="_Toc20058"/>
      <w:bookmarkStart w:id="1395" w:name="_Toc7691"/>
      <w:bookmarkStart w:id="1396" w:name="_Toc385427864"/>
      <w:bookmarkStart w:id="1397" w:name="_Toc370933881"/>
      <w:bookmarkStart w:id="1398" w:name="_Toc26667"/>
      <w:bookmarkStart w:id="1399" w:name="_Toc15991"/>
      <w:bookmarkStart w:id="1400" w:name="_Toc390098490"/>
      <w:bookmarkStart w:id="1401" w:name="_Toc24354"/>
      <w:bookmarkStart w:id="1402" w:name="_Toc29365"/>
      <w:bookmarkStart w:id="1403" w:name="_Toc10764"/>
      <w:bookmarkStart w:id="1404" w:name="_Toc1972"/>
      <w:bookmarkStart w:id="1405" w:name="_Toc25750659"/>
      <w:bookmarkStart w:id="1406" w:name="_Toc17213"/>
      <w:bookmarkStart w:id="1407" w:name="_Toc19072"/>
      <w:r>
        <w:rPr>
          <w:rFonts w:hint="eastAsia" w:ascii="宋体" w:hAnsi="宋体"/>
          <w:b/>
        </w:rPr>
        <w:t>1</w:t>
      </w:r>
      <w:r>
        <w:rPr>
          <w:rFonts w:ascii="宋体" w:hAnsi="宋体"/>
          <w:b/>
        </w:rPr>
        <w:t>4</w:t>
      </w:r>
      <w:r>
        <w:rPr>
          <w:rFonts w:hint="eastAsia" w:ascii="宋体" w:hAnsi="宋体"/>
          <w:b/>
        </w:rPr>
        <w:t>. 转让和分包</w:t>
      </w:r>
      <w:bookmarkEnd w:id="1383"/>
    </w:p>
    <w:p>
      <w:pPr>
        <w:tabs>
          <w:tab w:val="left" w:pos="1120"/>
        </w:tabs>
        <w:spacing w:line="360" w:lineRule="auto"/>
        <w:ind w:firstLine="420" w:firstLineChars="200"/>
        <w:rPr>
          <w:rFonts w:ascii="宋体" w:hAnsi="宋体"/>
        </w:rPr>
      </w:pPr>
      <w:r>
        <w:rPr>
          <w:rFonts w:hint="eastAsia" w:ascii="宋体" w:hAnsi="宋体"/>
        </w:rPr>
        <w:t>1</w:t>
      </w:r>
      <w:r>
        <w:rPr>
          <w:rFonts w:ascii="宋体" w:hAnsi="宋体"/>
        </w:rPr>
        <w:t>4</w:t>
      </w:r>
      <w:r>
        <w:rPr>
          <w:rFonts w:hint="eastAsia" w:ascii="宋体" w:hAnsi="宋体"/>
        </w:rPr>
        <w:t>.1 除甲方事先书面同意外，乙方不得将其合同权利、责任和义务部分转让或全部转让或转移给第三方。</w:t>
      </w:r>
    </w:p>
    <w:p>
      <w:pPr>
        <w:tabs>
          <w:tab w:val="left" w:pos="1120"/>
        </w:tabs>
        <w:spacing w:line="360" w:lineRule="auto"/>
        <w:ind w:firstLine="420" w:firstLineChars="200"/>
        <w:rPr>
          <w:rFonts w:ascii="宋体" w:hAnsi="宋体"/>
        </w:rPr>
      </w:pPr>
      <w:r>
        <w:rPr>
          <w:rFonts w:hint="eastAsia" w:ascii="宋体" w:hAnsi="宋体"/>
        </w:rPr>
        <w:t>1</w:t>
      </w:r>
      <w:r>
        <w:rPr>
          <w:rFonts w:ascii="宋体" w:hAnsi="宋体"/>
        </w:rPr>
        <w:t>4</w:t>
      </w:r>
      <w:r>
        <w:rPr>
          <w:rFonts w:hint="eastAsia" w:ascii="宋体" w:hAnsi="宋体"/>
        </w:rPr>
        <w:t>.2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Pr>
        <w:tabs>
          <w:tab w:val="left" w:pos="840"/>
          <w:tab w:val="left" w:pos="1843"/>
        </w:tabs>
        <w:spacing w:line="360" w:lineRule="auto"/>
        <w:ind w:firstLine="422" w:firstLineChars="200"/>
        <w:outlineLvl w:val="2"/>
        <w:rPr>
          <w:rFonts w:ascii="宋体" w:hAnsi="宋体"/>
          <w:b/>
        </w:rPr>
      </w:pPr>
      <w:bookmarkStart w:id="1408" w:name="_Toc25750662"/>
      <w:bookmarkStart w:id="1409" w:name="_Toc6374"/>
      <w:bookmarkStart w:id="1410" w:name="_Toc6421"/>
      <w:bookmarkStart w:id="1411" w:name="_Toc75771542"/>
      <w:bookmarkStart w:id="1412" w:name="_Toc22330"/>
      <w:bookmarkStart w:id="1413" w:name="_Toc23442"/>
      <w:bookmarkStart w:id="1414" w:name="_Toc385427867"/>
      <w:bookmarkStart w:id="1415" w:name="_Toc32071"/>
      <w:bookmarkStart w:id="1416" w:name="_Toc390098493"/>
      <w:bookmarkStart w:id="1417" w:name="_Toc17344"/>
      <w:bookmarkStart w:id="1418" w:name="_Toc370933884"/>
      <w:bookmarkStart w:id="1419" w:name="_Toc492478791"/>
      <w:bookmarkStart w:id="1420" w:name="_Toc378514981"/>
      <w:bookmarkStart w:id="1421" w:name="_Toc26295"/>
      <w:bookmarkStart w:id="1422" w:name="_Toc3785"/>
      <w:bookmarkStart w:id="1423" w:name="_Toc864"/>
      <w:bookmarkStart w:id="1424" w:name="_Toc10304"/>
      <w:bookmarkStart w:id="1425" w:name="_Toc25119"/>
      <w:bookmarkStart w:id="1426" w:name="_Toc28875"/>
      <w:bookmarkStart w:id="1427" w:name="_Toc13343"/>
      <w:bookmarkStart w:id="1428" w:name="_Toc3019"/>
      <w:bookmarkStart w:id="1429" w:name="_Toc15635"/>
      <w:bookmarkStart w:id="1430" w:name="_Toc2458"/>
      <w:bookmarkStart w:id="1431" w:name="_Toc19209"/>
      <w:bookmarkStart w:id="1432" w:name="_Toc32638"/>
      <w:r>
        <w:rPr>
          <w:rFonts w:hint="eastAsia" w:ascii="宋体" w:hAnsi="宋体"/>
          <w:b/>
        </w:rPr>
        <w:t>1</w:t>
      </w:r>
      <w:r>
        <w:rPr>
          <w:rFonts w:ascii="宋体" w:hAnsi="宋体"/>
          <w:b/>
        </w:rPr>
        <w:t>5</w:t>
      </w:r>
      <w:r>
        <w:rPr>
          <w:rFonts w:hint="eastAsia" w:ascii="宋体" w:hAnsi="宋体"/>
          <w:b/>
        </w:rPr>
        <w:t>.</w:t>
      </w:r>
      <w:r>
        <w:rPr>
          <w:rFonts w:ascii="宋体" w:hAnsi="宋体"/>
          <w:b/>
        </w:rPr>
        <w:t xml:space="preserve"> </w:t>
      </w:r>
      <w:r>
        <w:rPr>
          <w:rFonts w:hint="eastAsia" w:ascii="宋体" w:hAnsi="宋体"/>
          <w:b/>
        </w:rPr>
        <w:t>通知</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spacing w:line="360" w:lineRule="auto"/>
        <w:ind w:firstLine="424" w:firstLineChars="202"/>
        <w:rPr>
          <w:rFonts w:ascii="宋体" w:hAnsi="宋体"/>
          <w:b/>
        </w:rPr>
      </w:pPr>
      <w:r>
        <w:rPr>
          <w:rFonts w:hint="eastAsia" w:ascii="宋体" w:hAnsi="宋体"/>
        </w:rPr>
        <w:t>1</w:t>
      </w:r>
      <w:r>
        <w:rPr>
          <w:rFonts w:ascii="宋体" w:hAnsi="宋体"/>
        </w:rPr>
        <w:t>5</w:t>
      </w:r>
      <w:r>
        <w:rPr>
          <w:rFonts w:hint="eastAsia" w:ascii="宋体" w:hAnsi="宋体"/>
        </w:rPr>
        <w:t>.1除非在合同中另有规定，合同项下发出的所有通知都要按书面形式，以信函、特快专递、传真方式发送到合同指定的地址。任何一方对地址的变更应提前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spacing w:line="360" w:lineRule="auto"/>
        <w:ind w:firstLine="424" w:firstLineChars="202"/>
        <w:rPr>
          <w:rFonts w:ascii="宋体" w:hAnsi="宋体"/>
          <w:b/>
        </w:rPr>
      </w:pPr>
      <w:r>
        <w:rPr>
          <w:rFonts w:hint="eastAsia" w:ascii="宋体" w:hAnsi="宋体"/>
        </w:rPr>
        <w:t>1</w:t>
      </w:r>
      <w:r>
        <w:rPr>
          <w:rFonts w:ascii="宋体" w:hAnsi="宋体"/>
        </w:rPr>
        <w:t>5</w:t>
      </w:r>
      <w:r>
        <w:rPr>
          <w:rFonts w:hint="eastAsia" w:ascii="宋体" w:hAnsi="宋体"/>
        </w:rPr>
        <w:t>.2通知的内容包括合同项下的批复、意见、指令、说明和证据。</w:t>
      </w:r>
    </w:p>
    <w:p>
      <w:pPr>
        <w:spacing w:line="360" w:lineRule="auto"/>
        <w:ind w:firstLine="424" w:firstLineChars="202"/>
        <w:rPr>
          <w:rFonts w:ascii="宋体" w:hAnsi="宋体"/>
          <w:b/>
        </w:rPr>
      </w:pPr>
      <w:r>
        <w:rPr>
          <w:rFonts w:hint="eastAsia" w:ascii="宋体" w:hAnsi="宋体"/>
        </w:rPr>
        <w:t>1</w:t>
      </w:r>
      <w:r>
        <w:rPr>
          <w:rFonts w:ascii="宋体" w:hAnsi="宋体"/>
        </w:rPr>
        <w:t>5</w:t>
      </w:r>
      <w:r>
        <w:rPr>
          <w:rFonts w:hint="eastAsia" w:ascii="宋体" w:hAnsi="宋体"/>
        </w:rPr>
        <w:t>.3通知以送到日期或通知书的生效日期为生效日期，两者中以晚的一个日期为准。</w:t>
      </w:r>
    </w:p>
    <w:p>
      <w:pPr>
        <w:tabs>
          <w:tab w:val="left" w:pos="840"/>
          <w:tab w:val="left" w:pos="1843"/>
        </w:tabs>
        <w:spacing w:line="360" w:lineRule="auto"/>
        <w:ind w:left="422"/>
        <w:outlineLvl w:val="2"/>
        <w:rPr>
          <w:rFonts w:ascii="宋体" w:hAnsi="宋体"/>
          <w:b/>
        </w:rPr>
      </w:pPr>
      <w:bookmarkStart w:id="1433" w:name="_Toc459730507"/>
      <w:bookmarkEnd w:id="1433"/>
      <w:bookmarkStart w:id="1434" w:name="_Toc459730497"/>
      <w:bookmarkEnd w:id="1434"/>
      <w:bookmarkStart w:id="1435" w:name="_Toc459797538"/>
      <w:bookmarkEnd w:id="1435"/>
      <w:bookmarkStart w:id="1436" w:name="_Toc459797547"/>
      <w:bookmarkEnd w:id="1436"/>
      <w:bookmarkStart w:id="1437" w:name="_Toc459730490"/>
      <w:bookmarkEnd w:id="1437"/>
      <w:bookmarkStart w:id="1438" w:name="_Toc459730514"/>
      <w:bookmarkEnd w:id="1438"/>
      <w:bookmarkStart w:id="1439" w:name="_Toc459797545"/>
      <w:bookmarkEnd w:id="1439"/>
      <w:bookmarkStart w:id="1440" w:name="_Toc459730496"/>
      <w:bookmarkEnd w:id="1440"/>
      <w:bookmarkStart w:id="1441" w:name="_Toc459797544"/>
      <w:bookmarkEnd w:id="1441"/>
      <w:bookmarkStart w:id="1442" w:name="_Toc459730493"/>
      <w:bookmarkEnd w:id="1442"/>
      <w:bookmarkStart w:id="1443" w:name="_Toc459797563"/>
      <w:bookmarkEnd w:id="1443"/>
      <w:bookmarkStart w:id="1444" w:name="_Toc459730485"/>
      <w:bookmarkEnd w:id="1444"/>
      <w:bookmarkStart w:id="1445" w:name="_Toc459797553"/>
      <w:bookmarkEnd w:id="1445"/>
      <w:bookmarkStart w:id="1446" w:name="_Toc459730516"/>
      <w:bookmarkEnd w:id="1446"/>
      <w:bookmarkStart w:id="1447" w:name="_Toc459730489"/>
      <w:bookmarkEnd w:id="1447"/>
      <w:bookmarkStart w:id="1448" w:name="_Toc459730492"/>
      <w:bookmarkEnd w:id="1448"/>
      <w:bookmarkStart w:id="1449" w:name="_Toc459730495"/>
      <w:bookmarkEnd w:id="1449"/>
      <w:bookmarkStart w:id="1450" w:name="_Toc459797543"/>
      <w:bookmarkEnd w:id="1450"/>
      <w:bookmarkStart w:id="1451" w:name="_Toc459730494"/>
      <w:bookmarkEnd w:id="1451"/>
      <w:bookmarkStart w:id="1452" w:name="_Toc459730488"/>
      <w:bookmarkEnd w:id="1452"/>
      <w:bookmarkStart w:id="1453" w:name="_Toc459797568"/>
      <w:bookmarkEnd w:id="1453"/>
      <w:bookmarkStart w:id="1454" w:name="_Toc459730512"/>
      <w:bookmarkEnd w:id="1454"/>
      <w:bookmarkStart w:id="1455" w:name="_Toc459797555"/>
      <w:bookmarkEnd w:id="1455"/>
      <w:bookmarkStart w:id="1456" w:name="_Toc459730506"/>
      <w:bookmarkEnd w:id="1456"/>
      <w:bookmarkStart w:id="1457" w:name="_Toc459730486"/>
      <w:bookmarkEnd w:id="1457"/>
      <w:bookmarkStart w:id="1458" w:name="_Toc459797549"/>
      <w:bookmarkEnd w:id="1458"/>
      <w:bookmarkStart w:id="1459" w:name="_Toc459730498"/>
      <w:bookmarkEnd w:id="1459"/>
      <w:bookmarkStart w:id="1460" w:name="_Toc459797552"/>
      <w:bookmarkEnd w:id="1460"/>
      <w:bookmarkStart w:id="1461" w:name="_Toc459730510"/>
      <w:bookmarkEnd w:id="1461"/>
      <w:bookmarkStart w:id="1462" w:name="_Toc459730505"/>
      <w:bookmarkEnd w:id="1462"/>
      <w:bookmarkStart w:id="1463" w:name="_Toc459730503"/>
      <w:bookmarkEnd w:id="1463"/>
      <w:bookmarkStart w:id="1464" w:name="_Toc459797539"/>
      <w:bookmarkEnd w:id="1464"/>
      <w:bookmarkStart w:id="1465" w:name="_Toc459797564"/>
      <w:bookmarkEnd w:id="1465"/>
      <w:bookmarkStart w:id="1466" w:name="_Toc459730501"/>
      <w:bookmarkEnd w:id="1466"/>
      <w:bookmarkStart w:id="1467" w:name="_Toc459797559"/>
      <w:bookmarkEnd w:id="1467"/>
      <w:bookmarkStart w:id="1468" w:name="_Toc459730500"/>
      <w:bookmarkEnd w:id="1468"/>
      <w:bookmarkStart w:id="1469" w:name="_Toc459797557"/>
      <w:bookmarkEnd w:id="1469"/>
      <w:bookmarkStart w:id="1470" w:name="_Toc459730499"/>
      <w:bookmarkEnd w:id="1470"/>
      <w:bookmarkStart w:id="1471" w:name="_Toc459797566"/>
      <w:bookmarkEnd w:id="1471"/>
      <w:bookmarkStart w:id="1472" w:name="_Toc459797550"/>
      <w:bookmarkEnd w:id="1472"/>
      <w:bookmarkStart w:id="1473" w:name="_Toc459797561"/>
      <w:bookmarkEnd w:id="1473"/>
      <w:bookmarkStart w:id="1474" w:name="_Toc459797542"/>
      <w:bookmarkEnd w:id="1474"/>
      <w:bookmarkStart w:id="1475" w:name="_Toc459797546"/>
      <w:bookmarkEnd w:id="1475"/>
      <w:bookmarkStart w:id="1476" w:name="_Toc459730513"/>
      <w:bookmarkEnd w:id="1476"/>
      <w:bookmarkStart w:id="1477" w:name="_Toc459730511"/>
      <w:bookmarkEnd w:id="1477"/>
      <w:bookmarkStart w:id="1478" w:name="_Toc459797554"/>
      <w:bookmarkEnd w:id="1478"/>
      <w:bookmarkStart w:id="1479" w:name="_Toc459730504"/>
      <w:bookmarkEnd w:id="1479"/>
      <w:bookmarkStart w:id="1480" w:name="_Toc459797562"/>
      <w:bookmarkEnd w:id="1480"/>
      <w:bookmarkStart w:id="1481" w:name="_Toc459730509"/>
      <w:bookmarkEnd w:id="1481"/>
      <w:bookmarkStart w:id="1482" w:name="_Toc459797569"/>
      <w:bookmarkEnd w:id="1482"/>
      <w:bookmarkStart w:id="1483" w:name="_Toc459730487"/>
      <w:bookmarkEnd w:id="1483"/>
      <w:bookmarkStart w:id="1484" w:name="_Toc459797565"/>
      <w:bookmarkEnd w:id="1484"/>
      <w:bookmarkStart w:id="1485" w:name="_Toc459797548"/>
      <w:bookmarkEnd w:id="1485"/>
      <w:bookmarkStart w:id="1486" w:name="_Toc459797560"/>
      <w:bookmarkEnd w:id="1486"/>
      <w:bookmarkStart w:id="1487" w:name="_Toc459730508"/>
      <w:bookmarkEnd w:id="1487"/>
      <w:bookmarkStart w:id="1488" w:name="_Toc459797558"/>
      <w:bookmarkEnd w:id="1488"/>
      <w:bookmarkStart w:id="1489" w:name="_Toc459797556"/>
      <w:bookmarkEnd w:id="1489"/>
      <w:bookmarkStart w:id="1490" w:name="_Toc459730517"/>
      <w:bookmarkEnd w:id="1490"/>
      <w:bookmarkStart w:id="1491" w:name="_Toc459730491"/>
      <w:bookmarkEnd w:id="1491"/>
      <w:bookmarkStart w:id="1492" w:name="_Toc459797540"/>
      <w:bookmarkEnd w:id="1492"/>
      <w:bookmarkStart w:id="1493" w:name="_Toc459730515"/>
      <w:bookmarkEnd w:id="1493"/>
      <w:bookmarkStart w:id="1494" w:name="_Toc459797570"/>
      <w:bookmarkEnd w:id="1494"/>
      <w:bookmarkStart w:id="1495" w:name="_Toc459797551"/>
      <w:bookmarkEnd w:id="1495"/>
      <w:bookmarkStart w:id="1496" w:name="_Toc459797541"/>
      <w:bookmarkEnd w:id="1496"/>
      <w:bookmarkStart w:id="1497" w:name="_Toc459730502"/>
      <w:bookmarkEnd w:id="1497"/>
      <w:bookmarkStart w:id="1498" w:name="_Toc459797567"/>
      <w:bookmarkEnd w:id="1498"/>
      <w:bookmarkStart w:id="1499" w:name="_Toc75771543"/>
      <w:bookmarkStart w:id="1500" w:name="_Toc492478800"/>
      <w:bookmarkStart w:id="1501" w:name="_Toc11286"/>
      <w:bookmarkStart w:id="1502" w:name="_Toc25406"/>
      <w:bookmarkStart w:id="1503" w:name="_Toc25859"/>
      <w:bookmarkStart w:id="1504" w:name="_Toc11322"/>
      <w:bookmarkStart w:id="1505" w:name="_Toc925"/>
      <w:bookmarkStart w:id="1506" w:name="_Toc26446"/>
      <w:bookmarkStart w:id="1507" w:name="_Toc27029"/>
      <w:bookmarkStart w:id="1508" w:name="_Toc309"/>
      <w:bookmarkStart w:id="1509" w:name="_Toc378514990"/>
      <w:bookmarkStart w:id="1510" w:name="_Toc27400"/>
      <w:bookmarkStart w:id="1511" w:name="_Toc370933887"/>
      <w:bookmarkStart w:id="1512" w:name="_Toc24789"/>
      <w:bookmarkStart w:id="1513" w:name="_Toc25750670"/>
      <w:bookmarkStart w:id="1514" w:name="_Toc20780"/>
      <w:bookmarkStart w:id="1515" w:name="_Toc2427"/>
      <w:bookmarkStart w:id="1516" w:name="_Toc16845"/>
      <w:bookmarkStart w:id="1517" w:name="_Toc385427876"/>
      <w:bookmarkStart w:id="1518" w:name="_Toc8642"/>
      <w:bookmarkStart w:id="1519" w:name="_Toc14240"/>
      <w:bookmarkStart w:id="1520" w:name="_Toc20826"/>
      <w:bookmarkStart w:id="1521" w:name="_Toc4370"/>
      <w:bookmarkStart w:id="1522" w:name="_Toc390098502"/>
      <w:bookmarkStart w:id="1523" w:name="_Toc6462"/>
      <w:r>
        <w:rPr>
          <w:rFonts w:hint="eastAsia" w:ascii="宋体" w:hAnsi="宋体"/>
          <w:b/>
        </w:rPr>
        <w:t>1</w:t>
      </w:r>
      <w:r>
        <w:rPr>
          <w:rFonts w:ascii="宋体" w:hAnsi="宋体"/>
          <w:b/>
        </w:rPr>
        <w:t>6</w:t>
      </w:r>
      <w:r>
        <w:rPr>
          <w:rFonts w:hint="eastAsia" w:ascii="宋体" w:hAnsi="宋体"/>
          <w:b/>
        </w:rPr>
        <w:t>. 争端的解决</w:t>
      </w:r>
      <w:bookmarkEnd w:id="1499"/>
    </w:p>
    <w:p>
      <w:pPr>
        <w:spacing w:line="360" w:lineRule="auto"/>
        <w:ind w:firstLine="420" w:firstLineChars="200"/>
        <w:rPr>
          <w:rFonts w:ascii="宋体" w:hAnsi="宋体"/>
        </w:rPr>
      </w:pPr>
      <w:r>
        <w:rPr>
          <w:rFonts w:hint="eastAsia" w:ascii="宋体" w:hAnsi="宋体"/>
        </w:rPr>
        <w:t>因本合同引起的或与本合同有关的合同争议，由双方协商解决，协商不成的，依法向甲方住所地有管辖权的人民法院提起诉讼。</w:t>
      </w:r>
    </w:p>
    <w:p>
      <w:pPr>
        <w:tabs>
          <w:tab w:val="left" w:pos="840"/>
          <w:tab w:val="left" w:pos="1843"/>
        </w:tabs>
        <w:spacing w:line="360" w:lineRule="auto"/>
        <w:ind w:left="422"/>
        <w:outlineLvl w:val="2"/>
        <w:rPr>
          <w:rFonts w:ascii="宋体" w:hAnsi="宋体"/>
          <w:b/>
        </w:rPr>
      </w:pPr>
      <w:bookmarkStart w:id="1524" w:name="_Toc75771544"/>
      <w:r>
        <w:rPr>
          <w:rFonts w:hint="eastAsia" w:ascii="宋体" w:hAnsi="宋体"/>
          <w:b/>
        </w:rPr>
        <w:t>1</w:t>
      </w:r>
      <w:r>
        <w:rPr>
          <w:rFonts w:ascii="宋体" w:hAnsi="宋体"/>
          <w:b/>
        </w:rPr>
        <w:t>7</w:t>
      </w:r>
      <w:r>
        <w:rPr>
          <w:rFonts w:hint="eastAsia" w:ascii="宋体" w:hAnsi="宋体"/>
          <w:b/>
        </w:rPr>
        <w:t>.</w:t>
      </w:r>
      <w:r>
        <w:rPr>
          <w:rFonts w:ascii="宋体" w:hAnsi="宋体"/>
          <w:b/>
        </w:rPr>
        <w:t xml:space="preserve"> </w:t>
      </w:r>
      <w:r>
        <w:rPr>
          <w:rFonts w:hint="eastAsia" w:ascii="宋体" w:hAnsi="宋体"/>
          <w:b/>
        </w:rPr>
        <w:t>合同生效和签约地</w:t>
      </w:r>
      <w:bookmarkEnd w:id="1524"/>
    </w:p>
    <w:p>
      <w:pPr>
        <w:tabs>
          <w:tab w:val="left" w:pos="960"/>
          <w:tab w:val="left" w:pos="8364"/>
        </w:tabs>
        <w:spacing w:line="360" w:lineRule="auto"/>
        <w:ind w:left="420"/>
        <w:rPr>
          <w:rFonts w:ascii="宋体" w:hAnsi="宋体"/>
        </w:rPr>
      </w:pPr>
      <w:r>
        <w:rPr>
          <w:rFonts w:hint="eastAsia" w:ascii="宋体" w:hAnsi="宋体"/>
        </w:rPr>
        <w:t>本合同生效的时间以双方签署的协议书上的最后日期为准。</w:t>
      </w:r>
    </w:p>
    <w:p>
      <w:pPr>
        <w:tabs>
          <w:tab w:val="left" w:pos="960"/>
          <w:tab w:val="left" w:pos="8364"/>
        </w:tabs>
        <w:spacing w:line="360" w:lineRule="auto"/>
        <w:ind w:left="420"/>
        <w:rPr>
          <w:rFonts w:ascii="宋体" w:hAnsi="宋体"/>
        </w:rPr>
      </w:pPr>
      <w:r>
        <w:rPr>
          <w:rFonts w:hint="eastAsia" w:ascii="宋体" w:hAnsi="宋体"/>
        </w:rPr>
        <w:t>本合同签约地为中华人民共和国广西壮族自治区南宁市青秀区。</w:t>
      </w:r>
    </w:p>
    <w:p>
      <w:pPr>
        <w:spacing w:line="360" w:lineRule="auto"/>
        <w:ind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Pr>
        <w:pStyle w:val="5"/>
        <w:numPr>
          <w:ilvl w:val="0"/>
          <w:numId w:val="0"/>
        </w:numPr>
        <w:spacing w:line="360" w:lineRule="auto"/>
        <w:ind w:left="1" w:firstLine="424" w:firstLineChars="201"/>
        <w:rPr>
          <w:rFonts w:ascii="宋体" w:hAnsi="宋体"/>
          <w:b/>
        </w:rPr>
      </w:pPr>
      <w:bookmarkStart w:id="1525" w:name="_Toc75771545"/>
      <w:r>
        <w:rPr>
          <w:rFonts w:hint="eastAsia" w:ascii="宋体" w:hAnsi="宋体"/>
          <w:b/>
        </w:rPr>
        <w:t>1</w:t>
      </w:r>
      <w:r>
        <w:rPr>
          <w:rFonts w:ascii="宋体" w:hAnsi="宋体"/>
          <w:b/>
        </w:rPr>
        <w:t xml:space="preserve">8. </w:t>
      </w:r>
      <w:r>
        <w:rPr>
          <w:rFonts w:hint="eastAsia" w:ascii="宋体" w:hAnsi="宋体"/>
          <w:b/>
        </w:rPr>
        <w:t>其他</w:t>
      </w:r>
      <w:bookmarkEnd w:id="1525"/>
    </w:p>
    <w:p>
      <w:pPr>
        <w:pStyle w:val="2"/>
        <w:spacing w:line="360" w:lineRule="auto"/>
        <w:ind w:firstLine="420" w:firstLineChars="200"/>
      </w:pPr>
      <w:r>
        <w:rPr>
          <w:rFonts w:hint="eastAsia"/>
        </w:rPr>
        <w:t>本合同未尽事宜，由双方协商解决，必要时可签订补充合同。</w:t>
      </w:r>
    </w:p>
    <w:p>
      <w:pPr>
        <w:pStyle w:val="2"/>
        <w:spacing w:line="360" w:lineRule="auto"/>
        <w:jc w:val="center"/>
        <w:outlineLvl w:val="1"/>
        <w:rPr>
          <w:rFonts w:hAnsi="宋体"/>
          <w:b/>
          <w:sz w:val="24"/>
          <w:szCs w:val="24"/>
        </w:rPr>
        <w:sectPr>
          <w:headerReference r:id="rId5" w:type="default"/>
          <w:pgSz w:w="11906" w:h="16838"/>
          <w:pgMar w:top="2007" w:right="1440" w:bottom="1440" w:left="1440" w:header="851" w:footer="992" w:gutter="0"/>
          <w:pgNumType w:start="1"/>
          <w:cols w:space="425" w:num="1"/>
          <w:docGrid w:type="lines" w:linePitch="312" w:charSpace="0"/>
        </w:sectPr>
      </w:pPr>
    </w:p>
    <w:p>
      <w:pPr>
        <w:pStyle w:val="2"/>
        <w:spacing w:line="360" w:lineRule="auto"/>
        <w:outlineLvl w:val="1"/>
        <w:rPr>
          <w:rFonts w:hAnsi="宋体"/>
          <w:b/>
          <w:sz w:val="24"/>
          <w:szCs w:val="24"/>
        </w:rPr>
      </w:pPr>
      <w:bookmarkStart w:id="1526" w:name="_Toc10955"/>
      <w:r>
        <w:rPr>
          <w:rFonts w:hint="eastAsia" w:hAnsi="宋体"/>
          <w:b/>
          <w:sz w:val="24"/>
          <w:szCs w:val="24"/>
        </w:rPr>
        <w:t>三、合同附件及格式</w:t>
      </w:r>
      <w:bookmarkEnd w:id="1526"/>
    </w:p>
    <w:p>
      <w:pPr>
        <w:pStyle w:val="2"/>
        <w:spacing w:line="360" w:lineRule="auto"/>
        <w:jc w:val="center"/>
        <w:outlineLvl w:val="2"/>
        <w:rPr>
          <w:rFonts w:hAnsi="宋体"/>
          <w:b/>
          <w:sz w:val="24"/>
          <w:szCs w:val="24"/>
        </w:rPr>
      </w:pPr>
      <w:r>
        <w:rPr>
          <w:rFonts w:hint="eastAsia" w:hAnsi="宋体"/>
          <w:b/>
          <w:sz w:val="24"/>
          <w:szCs w:val="24"/>
        </w:rPr>
        <w:t>附件1：维修维保费用清单</w:t>
      </w:r>
    </w:p>
    <w:tbl>
      <w:tblPr>
        <w:tblStyle w:val="40"/>
        <w:tblW w:w="15286" w:type="dxa"/>
        <w:tblInd w:w="-1139" w:type="dxa"/>
        <w:tblLayout w:type="fixed"/>
        <w:tblCellMar>
          <w:top w:w="0" w:type="dxa"/>
          <w:left w:w="108" w:type="dxa"/>
          <w:bottom w:w="0" w:type="dxa"/>
          <w:right w:w="108" w:type="dxa"/>
        </w:tblCellMar>
      </w:tblPr>
      <w:tblGrid>
        <w:gridCol w:w="563"/>
        <w:gridCol w:w="1989"/>
        <w:gridCol w:w="2835"/>
        <w:gridCol w:w="723"/>
        <w:gridCol w:w="666"/>
        <w:gridCol w:w="2580"/>
        <w:gridCol w:w="963"/>
        <w:gridCol w:w="1140"/>
        <w:gridCol w:w="1134"/>
        <w:gridCol w:w="708"/>
        <w:gridCol w:w="993"/>
        <w:gridCol w:w="992"/>
      </w:tblGrid>
      <w:tr>
        <w:tblPrEx>
          <w:tblCellMar>
            <w:top w:w="0" w:type="dxa"/>
            <w:left w:w="108" w:type="dxa"/>
            <w:bottom w:w="0" w:type="dxa"/>
            <w:right w:w="108" w:type="dxa"/>
          </w:tblCellMar>
        </w:tblPrEx>
        <w:trPr>
          <w:trHeight w:val="375" w:hRule="atLeast"/>
          <w:tblHeader/>
        </w:trPr>
        <w:tc>
          <w:tcPr>
            <w:tcW w:w="56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维修/维保项目名称</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维修项目特征</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（含人工耗材费用）</w:t>
            </w:r>
          </w:p>
        </w:tc>
        <w:tc>
          <w:tcPr>
            <w:tcW w:w="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预估</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数量</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适用于的物资/设施设备描述</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所属类别</w:t>
            </w:r>
          </w:p>
        </w:tc>
        <w:tc>
          <w:tcPr>
            <w:tcW w:w="1140"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不含税单价（元）</w:t>
            </w:r>
          </w:p>
        </w:tc>
        <w:tc>
          <w:tcPr>
            <w:tcW w:w="1134"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不含税合价（元）</w:t>
            </w:r>
          </w:p>
        </w:tc>
        <w:tc>
          <w:tcPr>
            <w:tcW w:w="708" w:type="dxa"/>
            <w:tcBorders>
              <w:top w:val="single" w:color="auto" w:sz="4" w:space="0"/>
              <w:left w:val="nil"/>
              <w:bottom w:val="single" w:color="auto" w:sz="4" w:space="0"/>
              <w:right w:val="single" w:color="auto" w:sz="4" w:space="0"/>
            </w:tcBorders>
          </w:tcPr>
          <w:p>
            <w:pPr>
              <w:widowControl/>
              <w:spacing w:line="480"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税率</w:t>
            </w:r>
          </w:p>
        </w:tc>
        <w:tc>
          <w:tcPr>
            <w:tcW w:w="993"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含税单价（元）</w:t>
            </w:r>
          </w:p>
        </w:tc>
        <w:tc>
          <w:tcPr>
            <w:tcW w:w="992"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含税合价（元）</w:t>
            </w:r>
          </w:p>
        </w:tc>
      </w:tr>
      <w:tr>
        <w:tblPrEx>
          <w:tblCellMar>
            <w:top w:w="0" w:type="dxa"/>
            <w:left w:w="108" w:type="dxa"/>
            <w:bottom w:w="0" w:type="dxa"/>
            <w:right w:w="108" w:type="dxa"/>
          </w:tblCellMar>
        </w:tblPrEx>
        <w:trPr>
          <w:trHeight w:val="285" w:hRule="atLeast"/>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维修/更换沙发扶手换皮</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沙发扶手皮定制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适用于办公沙发2000W×800D×900H（mm）</w:t>
            </w:r>
          </w:p>
        </w:tc>
        <w:tc>
          <w:tcPr>
            <w:tcW w:w="963"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维修/更换保险柜锁具</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保险柜锁具22mm、优质铜芯，配2把钥匙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25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适用于保险柜1.双门电子，规格：1500*600*560（mm）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2.单门电子，600*340*390（mm）</w:t>
            </w:r>
          </w:p>
        </w:tc>
        <w:tc>
          <w:tcPr>
            <w:tcW w:w="9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重置保险柜密码</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5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维修/更换保险柜主板</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保险柜主板定制、根据所使用型号确定</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适用于保险柜1.双门电子，规格：1500*600*560（mm）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2.单门电子，600*340*390（mm）</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更换玻璃铁皮文件柜玻璃</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玻璃铁皮文件柜玻璃尺寸根据损坏玻璃大小定制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维修/更换玻璃铁皮文件柜导轨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玻璃铁皮文件柜导轨不锈钢阻尼导轨 18-45cm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玻璃铁皮文件柜锁具22mm、优质铜芯，配2把钥匙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40</w:t>
            </w:r>
          </w:p>
        </w:tc>
        <w:tc>
          <w:tcPr>
            <w:tcW w:w="25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玻璃铁皮文件柜五金件不锈钢/ASKL0037</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维修/更换储物柜链接处</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储物柜链接处默认尺寸/1583593805/不锈钢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适用于储物柜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更换储物柜锁具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储物柜锁具22mm、优质铜芯，配2把钥匙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适用于储物柜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维修/更换单人转椅连接处（五角星）</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单人转椅连接处（五角星）45*68厘米/</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更换单人转椅万向轮</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单人转椅万向轮35厘米/Q31</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更换单人转椅五金件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单人转椅五金件默认尺寸/不锈钢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维修/更换单人转椅坐垫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单人转椅坐垫按实际尺寸更换/定制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更换点钞室铁预制票柜玻璃</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点钞室铁预制票柜玻璃尺寸根据损坏玻璃大小定制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维修/更换点钞室铁预制票柜导轨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点钞室铁预制票柜导轨不锈钢阻尼导轨 18-45cm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点钞室铁预制票柜锁具22mm、优质铜芯，配2把钥匙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点钞室铁预制票柜五金件默认尺寸/不锈钢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维修/更换工班班台导轨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工班班台导轨不锈钢阻尼导轨 18-45cm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更换工班班台锁具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工班班台锁具22mm、优质铜芯，配2把钥匙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维修/更换工班班台桌板配件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工班班台桌板配件2英寸/TPEYZL，优质三合一锁扣、优质木胶塞</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更换工班椅五金件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工班椅五金件2英寸/TPEYZL</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维修/更换工班椅坐垫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工班椅坐垫定制/网椅坐垫，高回弹海绵</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更换工班长桌锁具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工班长桌锁具22mm、优质铜芯，配2把钥匙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适用于工班长桌</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维修/更换会议椅/弓形椅连接处（三合一）</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会议椅/弓形椅连接处（三合一）45*68厘米</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维修/更换会议椅、弓形椅坐垫</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会议椅、弓形椅坐垫按实际尺寸更换/定制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更换会议椅/弓形椅/职员椅五金件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会议椅/弓形椅/职员椅五金件默认尺寸/不锈钢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适用于会议椅/弓形椅/职员椅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维修/更换活动式档案柜铰链</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活动式档案柜铰链定制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维修/更换活动式档案柜铁质盖板</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活动式档案柜铁质盖板定制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维修/更换活动式档案柜齿轮</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活动式档案柜齿轮定制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维修/更换活动式档案柜五金配件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活动式档案柜五金配件包括但不限于适用于活动式档案柜的零星五金件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更换木制文件柜五金件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木制文件柜五金件五金零件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适用于木制文件柜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更换培训椅五金件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培训椅五金件内六角螺丝套</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维修/更换桌板配件写字板</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桌板配件写字板60*90cm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维修/更换桌板配件支架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桌板配件支架座椅支架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更换培训桌五金件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培训桌五金件五金零件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适用于培训桌</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更换钱箱货架柜锁具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钱箱货架柜锁具规格：25，优质铜芯锁，配两把钥匙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适用于钱箱货架柜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更换沙发五金件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沙发五金件角码</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适用于沙发</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维修/更换沙发坐垫皮</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沙发坐垫皮优质PU皮</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适用于沙发</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四门更衣柜锁具规格：25，优质铜芯锁，配两把钥匙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四门更衣柜锁具规格：25，优质铜芯锁，配两把钥匙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四门更衣柜五金件弹簧插销</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四门更衣柜五金件门把手</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更换员工卡座玻璃</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员工卡座玻璃尺寸根据损坏玻璃大小定制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维修/更换员工卡座导轨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员工卡座导轨不锈钢阻尼导轨 18-45cm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维修/更换员工卡座键盘托</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员工卡座键盘托370*82*25毫米</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更换员工卡座五金件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员工卡座五金件优质门把手、门铰等。</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维修/更换站长办公桌导轨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站长办公桌导轨不锈钢阻尼导轨 18-45cm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适用于站长办公桌</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更换站长办公桌锁具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站长办公桌锁具规格：25，优质铜芯锁，配两把钥匙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适用于站长办公桌</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更换职工之家更衣柜锁具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职工之家更衣柜锁具规格：25，优质铜芯锁，配两把钥匙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更换工之家更衣柜五金件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工之家更衣柜五金件门铰</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更换职工之家更衣柜钥匙（手环）</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职工之家更衣柜钥匙（手环）配套手环</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维修/更换职员椅连接处（三合一）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职员椅连接处（三合一）45*68厘米</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适用于职员椅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维修/更换职员椅坐垫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职员椅坐垫定制/网椅坐垫，高回弹海绵</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适用于职员椅</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桌子（通用）导轨不锈钢阻尼导轨 18-45cm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维修/更换桌子（通用）键盘托</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桌子（通用）键盘托370*82*25毫米</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维修/更换桌子（通用）连接处（三合一）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桌子（通用）连接处（三合一）三合一锁扣</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更换桌子（通用）锁具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桌子（通用）锁具规格：25，优质铜芯锁，配两把钥匙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40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更换桌子（通用）五金件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桌子（通用）五金件优质三合一锁扣、自攻钉、门把手、门铰等</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维修/更换桌子（通用）桌板配件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桌子（通用）桌板配件五金零件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管道日常堵漏疏通</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冰箱补漏焊点</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处理冰箱脏堵漏故障</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冰箱清洗服务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维修冰箱电脑版</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维修冰箱电脑版适配BCD-176M/BCD-225TMPM电脑版维修</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适用于冰箱</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维修冰箱风机</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维修冰箱风机适配BCD-176M/BCD-225TMPM风机维修</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适用于冰箱</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维修/更换单体空调压缩机</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单体空调压缩机1.5P/2P/2.5P/3P</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维修/更换单体空调电脑板</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单体空调电脑板1.5P/2P/2.5P/3P</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单体空调内机清洗</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单体空调外机清洗</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维修/更换单体空调铜管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单体空调铜管空调专用铜管</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单体空调铜管补漏</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挂式单体空调移机</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柜式单体空调移机</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5</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维修/更换工业型洗衣机/烘干机电子元件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工业型洗衣机/烘干机电子元件SWA801-50电子元件修理</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维修/更换工业型洗衣机/烘干机电机维修</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工业型洗衣机/烘干机电机维修SWA801-50电机维修</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更换工业型洗衣机/烘干机制动轮内衬</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工业型洗衣机/烘干机制动轮内衬XTQ-50制动轮内村</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更换工业型洗衣机/烘干机制动盘部件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工业型洗衣机/烘干机制动盘部件XTQ-50制动盘部件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更换工业型洗衣机/烘干机轴承座</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工业型洗衣机/烘干机轴承座XTQ-50轴承座</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工业型洗衣机/烘干机腔体清理</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维修/更换工业型洗衣机/烘干机五金件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工业型洗衣机/烘干机五金件接头，国标</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维修/更换工业型洗衣机/烘干机注水管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工业型洗衣机/烘干机注水管ppr冷热25管</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更换单体空调雪种</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单体空调雪种3公斤/家用空调制冷剂，型号：R22</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单体空调设备日常维护</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更换单体空调铜管水管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单体空调铜管水管300mm*15mm/(nWjA)</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更换洗衣机注水接头</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洗衣机注水接头70*40*50厘米/F202洗衣机龙头</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适用于家用洗衣机</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维修/更换洗衣机注水管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洗衣机注水管3m/005、海尔XPB100-178S</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适用于家用洗衣机</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咖啡机日常维护</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维修/更换单控单开开关</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单控单开开关G07、250V、单控单开</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维修/更换空调插座</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空调插座G09、四孔插座250V、16A</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维修/更换七孔插座</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七孔插座G09、七孔插座/250V</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维修/更换五孔插座</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五孔插座G09、五孔插座/250V、10A</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维修/更换空气开关</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空气开关D32/D16/D63等（带断电保护）</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常规低压配电件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维修/更换短灯管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短灯管18W短灯管/配套镇流器</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2000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维修/更换长灯管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长灯管36W长灯管/配套镇流器</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维修/更换灯盘</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灯盘吊装灯带LED38W，超大芯片、高亮度、铜芯导线</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维修/更换射灯</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射灯射灯LED15W、高显色、高寿命、高流明</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维修/更换筒灯</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筒灯筒灯LED15W</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维修/更换吸顶灯</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吸顶灯40W，吸顶灯</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维修/更换隐藏灯带</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隐藏灯带隐藏灯带LED15W，超大芯片、高亮度、铜芯导线</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开锁服务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维修/更换水龙头</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水龙头优质阀芯，单冷</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适用于办公楼洗手间水龙头</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小便池陶瓷/挂墙式/28千克</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适用于办公楼洗手间小便池</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维修/更换PVC线槽</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PVC线槽25mm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适用于办公区域低压配电</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维修/更换电源线</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电源线1.5平方</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适用于办公区域低压配电</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地砖14.5kg/CH8872AS/300mm*300mm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地砖14.5kg/CH8872AS/600mm*600mm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维修/更换踢脚线瓷砖</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踢脚线瓷砖按需定制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适用于办公区域墙壁踢脚线</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维修/更换办公区域纱窗网</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办公区域纱窗网定制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适用于办公区域纱窗</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维修/更换办公区域纱窗五金件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办公区域纱窗五金件定制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适用于办公区域纱窗</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维修/更换洗手间排气扇</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洗手间排气扇300mm*300mm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适用于办公区域洗手间排气扇</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维修/更换洗手间排气扇</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洗手间排气扇600mm*600mm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适用于办公区域洗手间排气扇</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维修/更换拖把池</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拖把池尺寸：375mm*500mm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适用于办公区域洗手间拖把池</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地砖14.5kg/CH8872AS/800mm*800mm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维修/更换办公室玻璃门合页</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办公室玻璃门合页国标</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维修/更换办公室玻璃门连接杆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办公室玻璃门连接杆国标</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117</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维修/更换办公室木门门锁</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办公室木门门锁国标</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维修/更换办公室天花板（铝扣板）</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办公室天花板（铝扣板）14.5kg/CH8692AS/600mm*600mm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适用于办公室天花板</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维修/更换地下停车场车用斜坡垫</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地下停车场车用斜坡垫定制橡胶，黄黑配色，报打钉安装</w:t>
            </w:r>
            <w:r>
              <w:rPr>
                <w:rFonts w:hint="eastAsia"/>
                <w:color w:val="000000"/>
                <w:sz w:val="18"/>
                <w:szCs w:val="18"/>
              </w:rPr>
              <w:br w:type="textWrapping"/>
            </w:r>
            <w:r>
              <w:rPr>
                <w:rFonts w:hint="eastAsia"/>
                <w:color w:val="000000"/>
                <w:sz w:val="18"/>
                <w:szCs w:val="18"/>
              </w:rPr>
              <w:t>五象车辆段：5980*110</w:t>
            </w:r>
            <w:r>
              <w:rPr>
                <w:rFonts w:hint="eastAsia"/>
                <w:color w:val="000000"/>
                <w:sz w:val="18"/>
                <w:szCs w:val="18"/>
              </w:rPr>
              <w:br w:type="textWrapping"/>
            </w:r>
            <w:r>
              <w:rPr>
                <w:rFonts w:hint="eastAsia"/>
                <w:color w:val="000000"/>
                <w:sz w:val="18"/>
                <w:szCs w:val="18"/>
              </w:rPr>
              <w:t>心圩车辆段：5400*120</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适用于场段地下停车场</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维修/更换冲水阀-脚踩式</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冲水阀-脚踩式优质阀芯，6分口径，含螺帽距离≥86mm</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适用于冲水阀-脚踩式</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维修/更换窗户-推拉式</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窗户-推拉式750mm*900mm优质铝合金、优质玻璃,具体尺寸根据实际情况定制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扇</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适用于窗户-推拉式</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维修/更换窗户-一体式</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窗户-一体式750mm*750mm优质铝合金、优质玻璃，具体尺寸根据实际情况定制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扇</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适用于窗户-一体式</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维修/更换窗帘轨道</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窗帘轨道PVC材质（含活动窗帘扣）</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适用于窗帘挂钩</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维修/更换蹲坑</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蹲坑14095/5.0L</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适用于蹲坑</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维修/更换感应水龙头</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感应水龙头按需定制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适用于感应式水龙头</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维修/更换感应水龙头感应器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感应水龙头感应器按需定制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ascii="等线" w:hAnsi="等线" w:eastAsia="等线"/>
                <w:color w:val="000000"/>
                <w:sz w:val="18"/>
                <w:szCs w:val="18"/>
              </w:rPr>
              <w:t>23</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适用于感应式水龙头</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维修/更换落地式感应小便池</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落地式感应小便池按需定制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维修/更换双面钢化玻璃</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双面钢化玻璃按实际尺寸定制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适用于建筑外墙玻璃</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维修/更换玻璃门连接开关</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玻璃门连接开关按需定制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适用于建筑正/侧门活动玻璃</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维修/更换淋雨花洒配件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淋雨花洒配件入水孔径(mm)20mm.安装孔距150mm/yy-20210325/全铜，局部铜，不锈钢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适用于淋雨花洒配件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维修/更换马桶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马桶300mm/连体式</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适用于马桶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墙体/天面表面修补</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墙体/天面表面修补15L，白墙刮灰/乳胶漆</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适用于墙体/天面表面修补</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维修/更换办公室木门合页</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办公室木门合页CB-JL372-3/不锈钢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维修/更换办公室木门连接杆</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办公室木门连接杆112/不锈钢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维修/更换办公室玻璃门门锁</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办公室玻璃门门锁XMWY-05/不锈钢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维修/更换洗手盆下水器带管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洗手盆下水器带管电镀管/翻版</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580"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适用于办公楼洗手间洗手盆</w:t>
            </w:r>
          </w:p>
        </w:tc>
        <w:tc>
          <w:tcPr>
            <w:tcW w:w="963"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维修/更换洗菜池下水器带管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洗菜池下水器带管电镀管/翻版</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适用于洗手盆下水连接</w:t>
            </w:r>
          </w:p>
        </w:tc>
        <w:tc>
          <w:tcPr>
            <w:tcW w:w="9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维修/更换小便池按压器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小便池按压器按需定制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适用于小便池</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维修/更换小便池排水管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小便池排水管DN25</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适用于小便池下水道连接</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140</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维修/更换小便池感应冲洗阀配件（大口径）</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小便池感应冲洗阀配件（大口径）按需定制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141</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维修/更换小便池感应冲洗阀（常规口径）</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小便池感应冲洗阀（常规口径）按需定制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维修/更换电动道闸配件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电动道闸配件QG-DZ3888</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维修/更换电动道闸遥控器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电动道闸遥控器通用</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维修/更换电动道闸感应雷达</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电动道闸感应雷达按需定制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维修/更换电动道闸手动控制器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电动道闸手动控制器按需定制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维修/更换电动道闸五金配件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电动道闸五金配件通用</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维修/更换电动伸缩门遥控器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电动伸缩门遥控器按需定制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维修/更换电动伸缩门电机马达</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电动伸缩门电机马达按需定制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维修/更换电动伸缩门五金配件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电动伸缩门五金配件通用</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维修/更换电动伸缩门连接杆/铝制套杆</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电动伸缩门连接杆/铝制套杆按需定制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维修/更换电动伸缩门轨道轮</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电动伸缩门轨道轮按需定制</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升维修/更换旗杆滑轮组</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升旗杆滑轮组金属不锈钢</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适用于升旗台</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维修/更换升旗杆绳索</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升旗杆绳索麻绳</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适用于升旗台</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维修/更换太阳能热水器高压开关</w:t>
            </w:r>
          </w:p>
        </w:tc>
        <w:tc>
          <w:tcPr>
            <w:tcW w:w="2835" w:type="dxa"/>
            <w:tcBorders>
              <w:top w:val="nil"/>
              <w:left w:val="nil"/>
              <w:bottom w:val="single" w:color="auto" w:sz="4" w:space="0"/>
              <w:right w:val="single" w:color="auto" w:sz="4" w:space="0"/>
            </w:tcBorders>
            <w:shd w:val="clear" w:color="auto" w:fill="auto"/>
            <w:noWrap/>
            <w:vAlign w:val="center"/>
          </w:tcPr>
          <w:p>
            <w:pPr>
              <w:widowControl/>
              <w:ind w:right="40" w:rightChars="19"/>
              <w:jc w:val="center"/>
              <w:rPr>
                <w:rFonts w:ascii="宋体" w:hAnsi="宋体" w:cs="宋体"/>
                <w:color w:val="000000"/>
                <w:kern w:val="0"/>
                <w:sz w:val="18"/>
                <w:szCs w:val="18"/>
              </w:rPr>
            </w:pPr>
            <w:r>
              <w:rPr>
                <w:rFonts w:hint="eastAsia"/>
                <w:color w:val="000000"/>
                <w:sz w:val="18"/>
                <w:szCs w:val="18"/>
              </w:rPr>
              <w:t>太阳能热水器高压开关10028500000000</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更换/保养太阳能热水器清洗集热器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太阳能热水器清洗集热器手工</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维修/更换太阳能热水器冷媒</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太阳能热水器冷媒r134a通用冷媒</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157</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维修/更换太阳能热水器压缩机</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太阳能热水器压缩机纯铜插片端子，20UF-100UF，450V</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158</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太阳能热水器整体清理清洗</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159</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维修/更换太阳能热水器电热管</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太阳能热水器电热管1500W（螺纹式）</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维修/更换太阳能热水器小型继电器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太阳能热水器小型继电器欧姆龙MY2NJ/AC220V/大八脚含底座</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维修/更换太阳能热水器温度控制器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太阳能热水器温度控制器碧河BF-D110A</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维修/更换太阳能热水器交流接触器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太阳能热水器交流接触器CHNT正泰220V/380V</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维修/更换太阳能热水器温度传感器/探头</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太阳能热水器温度传感器/探头通用</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164</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维修/更换太阳能热水器回水/供水电磁阀</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太阳能热水器回水/供水电磁阀DN50</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165</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维修/更换太阳能热水器控制变频器</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太阳能热水器控制变频器正泰NVF2G-2.2</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140"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708"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3"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67" w:hRule="atLeast"/>
        </w:trPr>
        <w:tc>
          <w:tcPr>
            <w:tcW w:w="611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8"/>
                <w:szCs w:val="18"/>
              </w:rPr>
            </w:pPr>
            <w:r>
              <w:rPr>
                <w:rFonts w:ascii="等线" w:hAnsi="等线" w:eastAsia="等线" w:cs="宋体"/>
                <w:b/>
                <w:bCs/>
                <w:color w:val="000000"/>
                <w:kern w:val="0"/>
                <w:sz w:val="18"/>
                <w:szCs w:val="18"/>
              </w:rPr>
              <w:t>5763</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w:t>
            </w:r>
          </w:p>
        </w:tc>
        <w:tc>
          <w:tcPr>
            <w:tcW w:w="9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w:t>
            </w:r>
          </w:p>
        </w:tc>
        <w:tc>
          <w:tcPr>
            <w:tcW w:w="1140"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w:t>
            </w:r>
          </w:p>
        </w:tc>
        <w:tc>
          <w:tcPr>
            <w:tcW w:w="1134"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p>
        </w:tc>
        <w:tc>
          <w:tcPr>
            <w:tcW w:w="708"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w:t>
            </w:r>
          </w:p>
        </w:tc>
        <w:tc>
          <w:tcPr>
            <w:tcW w:w="993"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w:t>
            </w:r>
          </w:p>
        </w:tc>
        <w:tc>
          <w:tcPr>
            <w:tcW w:w="992"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p>
        </w:tc>
      </w:tr>
    </w:tbl>
    <w:p>
      <w:pPr>
        <w:pStyle w:val="2"/>
        <w:spacing w:line="360" w:lineRule="auto"/>
        <w:outlineLvl w:val="2"/>
        <w:rPr>
          <w:rFonts w:hAnsi="宋体"/>
          <w:b/>
          <w:sz w:val="24"/>
          <w:szCs w:val="24"/>
        </w:rPr>
        <w:sectPr>
          <w:pgSz w:w="16838" w:h="11906" w:orient="landscape"/>
          <w:pgMar w:top="1440" w:right="2007" w:bottom="1440" w:left="1440" w:header="851" w:footer="992" w:gutter="0"/>
          <w:cols w:space="425" w:num="1"/>
          <w:docGrid w:type="lines" w:linePitch="312" w:charSpace="0"/>
        </w:sectPr>
      </w:pPr>
    </w:p>
    <w:p>
      <w:pPr>
        <w:pStyle w:val="2"/>
        <w:spacing w:line="360" w:lineRule="auto"/>
        <w:outlineLvl w:val="2"/>
        <w:rPr>
          <w:rFonts w:hAnsi="宋体"/>
          <w:b/>
          <w:sz w:val="24"/>
          <w:szCs w:val="24"/>
        </w:rPr>
      </w:pPr>
      <w:r>
        <w:rPr>
          <w:rFonts w:hint="eastAsia" w:hAnsi="宋体"/>
          <w:b/>
          <w:sz w:val="24"/>
          <w:szCs w:val="24"/>
        </w:rPr>
        <w:t>附件</w:t>
      </w:r>
      <w:r>
        <w:rPr>
          <w:rFonts w:hAnsi="宋体"/>
          <w:b/>
          <w:sz w:val="24"/>
          <w:szCs w:val="24"/>
        </w:rPr>
        <w:t>2</w:t>
      </w:r>
      <w:r>
        <w:rPr>
          <w:rFonts w:hint="eastAsia" w:hAnsi="宋体"/>
          <w:b/>
          <w:sz w:val="24"/>
          <w:szCs w:val="24"/>
        </w:rPr>
        <w:t>：合同违约处罚通知单</w:t>
      </w:r>
    </w:p>
    <w:p>
      <w:pPr>
        <w:rPr>
          <w:rFonts w:ascii="黑体" w:hAnsi="宋体" w:eastAsia="黑体" w:cs="Times New Roman"/>
          <w:sz w:val="36"/>
          <w:szCs w:val="36"/>
        </w:rPr>
      </w:pPr>
      <w:r>
        <w:rPr>
          <w:rFonts w:hint="eastAsia" w:asciiTheme="minorEastAsia" w:hAnsiTheme="minorEastAsia" w:eastAsiaTheme="minorEastAsia"/>
        </w:rPr>
        <w:t>NGYF/Q-GL-SC-11A8</w:t>
      </w:r>
    </w:p>
    <w:p>
      <w:pPr>
        <w:jc w:val="center"/>
        <w:rPr>
          <w:rFonts w:ascii="黑体" w:hAnsi="宋体" w:eastAsia="黑体"/>
          <w:sz w:val="36"/>
          <w:szCs w:val="36"/>
        </w:rPr>
      </w:pPr>
      <w:r>
        <w:rPr>
          <w:rFonts w:hint="eastAsia" w:ascii="黑体" w:hAnsi="宋体" w:eastAsia="黑体" w:cs="Times New Roman"/>
          <w:sz w:val="36"/>
          <w:szCs w:val="36"/>
        </w:rPr>
        <w:t>运营分公司委外项目合同违约处理通知单</w:t>
      </w:r>
    </w:p>
    <w:p>
      <w:pPr>
        <w:rPr>
          <w:rFonts w:ascii="宋体" w:hAnsi="宋体"/>
        </w:rPr>
      </w:pPr>
      <w:r>
        <w:rPr>
          <w:rFonts w:hint="eastAsia" w:hAnsi="宋体" w:cs="宋体"/>
          <w:b/>
          <w:sz w:val="32"/>
          <w:szCs w:val="32"/>
        </w:rPr>
        <w:t xml:space="preserve">                                    </w:t>
      </w:r>
      <w:r>
        <w:rPr>
          <w:rFonts w:hint="eastAsia" w:hAnsi="宋体" w:cs="Times New Roman"/>
          <w:b/>
        </w:rPr>
        <w:t>编号：</w:t>
      </w:r>
      <w:r>
        <w:rPr>
          <w:rFonts w:hint="eastAsia" w:hAnsi="宋体" w:cs="Times New Roman"/>
          <w:bCs/>
        </w:rPr>
        <w:t>合同编号-年月-两位数流水号</w:t>
      </w:r>
    </w:p>
    <w:tbl>
      <w:tblPr>
        <w:tblStyle w:val="40"/>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vAlign w:val="center"/>
          </w:tcPr>
          <w:p>
            <w:pPr>
              <w:jc w:val="center"/>
              <w:rPr>
                <w:rFonts w:ascii="宋体" w:hAnsi="宋体"/>
                <w:b/>
                <w:sz w:val="24"/>
              </w:rPr>
            </w:pPr>
            <w:r>
              <w:rPr>
                <w:rFonts w:hint="eastAsia" w:ascii="宋体" w:hAnsi="宋体"/>
                <w:b/>
                <w:szCs w:val="21"/>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vAlign w:val="center"/>
          </w:tcPr>
          <w:p>
            <w:pPr>
              <w:jc w:val="center"/>
              <w:rPr>
                <w:rFonts w:ascii="宋体" w:hAnsi="宋体"/>
                <w:b/>
              </w:rPr>
            </w:pPr>
          </w:p>
        </w:tc>
        <w:tc>
          <w:tcPr>
            <w:tcW w:w="1946" w:type="dxa"/>
            <w:tcBorders>
              <w:top w:val="thinThickSmallGap" w:color="auto" w:sz="18"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Cs w:val="21"/>
              </w:rPr>
              <w:t>合同编号</w:t>
            </w:r>
          </w:p>
        </w:tc>
        <w:tc>
          <w:tcPr>
            <w:tcW w:w="3035" w:type="dxa"/>
            <w:tcBorders>
              <w:top w:val="thinThickSmallGap" w:color="auto" w:sz="18" w:space="0"/>
              <w:left w:val="single" w:color="auto" w:sz="4" w:space="0"/>
              <w:bottom w:val="single" w:color="auto" w:sz="4" w:space="0"/>
              <w:right w:val="thinThickSmallGap" w:color="auto" w:sz="18"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sz w:val="24"/>
              </w:rPr>
            </w:pPr>
            <w:r>
              <w:rPr>
                <w:rFonts w:hint="eastAsia" w:ascii="宋体" w:hAnsi="宋体"/>
                <w:b/>
                <w:szCs w:val="21"/>
              </w:rPr>
              <w:t>承包商</w:t>
            </w:r>
          </w:p>
        </w:tc>
        <w:tc>
          <w:tcPr>
            <w:tcW w:w="3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运营分公司</w:t>
            </w:r>
          </w:p>
          <w:p>
            <w:pPr>
              <w:jc w:val="center"/>
              <w:rPr>
                <w:rFonts w:ascii="宋体" w:hAnsi="宋体"/>
                <w:b/>
                <w:sz w:val="24"/>
              </w:rPr>
            </w:pPr>
            <w:r>
              <w:rPr>
                <w:rFonts w:hint="eastAsia" w:ascii="宋体" w:hAnsi="宋体"/>
                <w:b/>
                <w:szCs w:val="21"/>
              </w:rPr>
              <w:t>主办部门</w:t>
            </w:r>
          </w:p>
        </w:tc>
        <w:tc>
          <w:tcPr>
            <w:tcW w:w="3035" w:type="dxa"/>
            <w:tcBorders>
              <w:top w:val="single" w:color="auto" w:sz="4" w:space="0"/>
              <w:left w:val="single" w:color="auto" w:sz="4" w:space="0"/>
              <w:bottom w:val="single" w:color="auto" w:sz="4" w:space="0"/>
              <w:right w:val="thinThickSmallGap" w:color="auto" w:sz="18"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snapToGrid w:val="0"/>
              <w:rPr>
                <w:rFonts w:ascii="宋体" w:hAnsi="宋体"/>
                <w:sz w:val="18"/>
                <w:szCs w:val="18"/>
              </w:rPr>
            </w:pPr>
            <w:r>
              <w:rPr>
                <w:rFonts w:hint="eastAsia" w:ascii="宋体" w:hAnsi="宋体"/>
                <w:bCs/>
                <w:sz w:val="18"/>
                <w:szCs w:val="18"/>
              </w:rPr>
              <w:t>违约情况：</w:t>
            </w:r>
            <w:r>
              <w:rPr>
                <w:rFonts w:hint="eastAsia" w:ascii="宋体" w:hAnsi="宋体"/>
                <w:sz w:val="18"/>
                <w:szCs w:val="18"/>
              </w:rPr>
              <w:t>我部技术人员于X年X月X日跟岗作业中（作业令：1A2-01-01）发现XX-XX区间部分XX设备存在锈蚀、松脱现象，且个别情况较为严重，而承包商在X年X月XX设备月检中未能及时发现和处理，检修台账中也未记录，存在漏检现象。（举例）</w:t>
            </w:r>
          </w:p>
          <w:p>
            <w:pPr>
              <w:widowControl/>
              <w:snapToGrid w:val="0"/>
              <w:rPr>
                <w:rFonts w:ascii="宋体" w:hAnsi="宋体"/>
                <w:sz w:val="18"/>
                <w:szCs w:val="18"/>
              </w:rPr>
            </w:pPr>
          </w:p>
          <w:p>
            <w:pPr>
              <w:widowControl/>
              <w:snapToGrid w:val="0"/>
              <w:rPr>
                <w:rFonts w:ascii="宋体" w:hAnsi="宋体"/>
                <w:sz w:val="18"/>
                <w:szCs w:val="18"/>
              </w:rPr>
            </w:pPr>
            <w:r>
              <w:rPr>
                <w:rFonts w:hint="eastAsia" w:ascii="宋体" w:hAnsi="宋体"/>
                <w:bCs/>
                <w:sz w:val="18"/>
                <w:szCs w:val="18"/>
              </w:rPr>
              <w:t>合同违约条款：</w:t>
            </w:r>
            <w:r>
              <w:rPr>
                <w:rFonts w:hint="eastAsia" w:ascii="宋体" w:hAnsi="宋体"/>
                <w:sz w:val="18"/>
                <w:szCs w:val="18"/>
              </w:rPr>
              <w:t>《XXX项目合同》十二条之附表第26条款：“</w:t>
            </w:r>
            <w:r>
              <w:rPr>
                <w:rFonts w:ascii="宋体" w:hAnsi="宋体"/>
                <w:sz w:val="18"/>
                <w:szCs w:val="18"/>
              </w:rPr>
              <w:t>乙方未按照《</w:t>
            </w:r>
            <w:r>
              <w:rPr>
                <w:rFonts w:hint="eastAsia" w:ascii="宋体" w:hAnsi="宋体"/>
                <w:sz w:val="18"/>
                <w:szCs w:val="18"/>
              </w:rPr>
              <w:t>XXX</w:t>
            </w:r>
            <w:r>
              <w:rPr>
                <w:rFonts w:ascii="宋体" w:hAnsi="宋体"/>
                <w:sz w:val="18"/>
                <w:szCs w:val="18"/>
              </w:rPr>
              <w:t>维修规程》规定的周期执行，发生漏检</w:t>
            </w:r>
            <w:r>
              <w:rPr>
                <w:rFonts w:hint="eastAsia" w:ascii="宋体" w:hAnsi="宋体"/>
                <w:sz w:val="18"/>
                <w:szCs w:val="18"/>
              </w:rPr>
              <w:t>、</w:t>
            </w:r>
            <w:r>
              <w:rPr>
                <w:rFonts w:ascii="宋体" w:hAnsi="宋体"/>
                <w:sz w:val="18"/>
                <w:szCs w:val="18"/>
              </w:rPr>
              <w:t>漏修月检内容</w:t>
            </w:r>
            <w:r>
              <w:rPr>
                <w:rFonts w:hint="eastAsia" w:ascii="宋体" w:hAnsi="宋体"/>
                <w:sz w:val="18"/>
                <w:szCs w:val="18"/>
              </w:rPr>
              <w:t>或记录不完善，</w:t>
            </w:r>
            <w:r>
              <w:rPr>
                <w:rFonts w:ascii="宋体" w:hAnsi="宋体"/>
                <w:sz w:val="18"/>
                <w:szCs w:val="18"/>
              </w:rPr>
              <w:t>每次</w:t>
            </w:r>
            <w:r>
              <w:rPr>
                <w:rFonts w:hint="eastAsia" w:ascii="宋体" w:hAnsi="宋体"/>
                <w:sz w:val="18"/>
                <w:szCs w:val="18"/>
              </w:rPr>
              <w:t>每项</w:t>
            </w:r>
            <w:r>
              <w:rPr>
                <w:rFonts w:ascii="宋体" w:hAnsi="宋体"/>
                <w:sz w:val="18"/>
                <w:szCs w:val="18"/>
              </w:rPr>
              <w:t>乙方向甲方支付</w:t>
            </w:r>
            <w:r>
              <w:rPr>
                <w:rFonts w:hint="eastAsia" w:ascii="宋体" w:hAnsi="宋体"/>
                <w:sz w:val="18"/>
                <w:szCs w:val="18"/>
              </w:rPr>
              <w:t>500</w:t>
            </w:r>
            <w:r>
              <w:rPr>
                <w:rFonts w:ascii="宋体" w:hAnsi="宋体"/>
                <w:sz w:val="18"/>
                <w:szCs w:val="18"/>
              </w:rPr>
              <w:t>元违约金</w:t>
            </w:r>
            <w:r>
              <w:rPr>
                <w:rFonts w:hint="eastAsia" w:ascii="宋体" w:hAnsi="宋体"/>
                <w:sz w:val="18"/>
                <w:szCs w:val="18"/>
              </w:rPr>
              <w:t>，考核0.5分”。（举例）</w:t>
            </w:r>
          </w:p>
          <w:p>
            <w:pPr>
              <w:spacing w:line="300" w:lineRule="exact"/>
              <w:rPr>
                <w:rFonts w:ascii="宋体" w:hAnsi="宋体"/>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snapToGrid w:val="0"/>
              <w:rPr>
                <w:rFonts w:ascii="宋体" w:hAnsi="宋体"/>
                <w:sz w:val="18"/>
                <w:szCs w:val="18"/>
              </w:rPr>
            </w:pPr>
          </w:p>
          <w:p>
            <w:pPr>
              <w:spacing w:line="300" w:lineRule="exact"/>
              <w:rPr>
                <w:rFonts w:ascii="宋体" w:hAnsi="宋体"/>
                <w:bCs/>
                <w:szCs w:val="21"/>
              </w:rPr>
            </w:pPr>
            <w:r>
              <w:rPr>
                <w:rFonts w:hint="eastAsia" w:ascii="宋体" w:hAnsi="宋体"/>
                <w:sz w:val="18"/>
                <w:szCs w:val="18"/>
              </w:rPr>
              <w:t>根据《XXX项目合同》中第XX条，决定对你司处以：1.处罚违约金500元人民币整；2.在月度评价表中扣0.5分；3.所罚扣款项从季度进度款中扣取。（举例）</w:t>
            </w:r>
          </w:p>
          <w:p>
            <w:pPr>
              <w:spacing w:line="300" w:lineRule="exact"/>
              <w:rPr>
                <w:rFonts w:ascii="宋体" w:hAnsi="宋体"/>
                <w:bCs/>
                <w:szCs w:val="21"/>
              </w:rPr>
            </w:pPr>
            <w:r>
              <w:rPr>
                <w:rFonts w:hint="eastAsia"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运营分公司审批意见</w:t>
            </w: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主办部门</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right="113"/>
              <w:rPr>
                <w:rFonts w:ascii="宋体" w:hAnsi="宋体" w:cs="宋体"/>
                <w:szCs w:val="21"/>
              </w:rPr>
            </w:pPr>
          </w:p>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528" w:type="dxa"/>
            <w:vMerge w:val="continue"/>
            <w:tcBorders>
              <w:left w:val="thinThickSmallGap" w:color="auto" w:sz="18"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生产技术部</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合同预算部</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left="113" w:right="113"/>
              <w:jc w:val="center"/>
              <w:rPr>
                <w:rFonts w:ascii="宋体" w:hAnsi="宋体" w:cs="宋体"/>
                <w:szCs w:val="21"/>
              </w:rPr>
            </w:pPr>
          </w:p>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主办部门</w:t>
            </w:r>
          </w:p>
          <w:p>
            <w:pPr>
              <w:jc w:val="center"/>
              <w:rPr>
                <w:rFonts w:ascii="宋体" w:hAnsi="宋体"/>
                <w:b/>
              </w:rPr>
            </w:pPr>
            <w:r>
              <w:rPr>
                <w:rFonts w:hint="eastAsia" w:ascii="宋体" w:hAnsi="宋体"/>
                <w:b/>
              </w:rPr>
              <w:t>分管副总经理</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right="113" w:firstLine="840" w:firstLineChars="400"/>
            </w:pPr>
            <w:r>
              <w:rPr>
                <w:rFonts w:hint="eastAsia"/>
              </w:rPr>
              <w:t xml:space="preserve">                                              </w:t>
            </w:r>
          </w:p>
          <w:p>
            <w:pPr>
              <w:pStyle w:val="2"/>
            </w:pPr>
            <w:r>
              <w:rPr>
                <w:rFonts w:hint="eastAsia"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总经理</w:t>
            </w:r>
          </w:p>
        </w:tc>
        <w:tc>
          <w:tcPr>
            <w:tcW w:w="8413" w:type="dxa"/>
            <w:gridSpan w:val="5"/>
            <w:tcBorders>
              <w:top w:val="single" w:color="auto" w:sz="4" w:space="0"/>
              <w:left w:val="single" w:color="auto" w:sz="4" w:space="0"/>
              <w:bottom w:val="single" w:color="auto" w:sz="4" w:space="0"/>
              <w:right w:val="thinThickSmallGap" w:color="auto" w:sz="18" w:space="0"/>
            </w:tcBorders>
          </w:tcPr>
          <w:p>
            <w:pPr>
              <w:rPr>
                <w:rFonts w:ascii="宋体" w:hAnsi="宋体" w:cs="宋体"/>
                <w:szCs w:val="21"/>
              </w:rPr>
            </w:pPr>
          </w:p>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vAlign w:val="center"/>
          </w:tcPr>
          <w:p>
            <w:pPr>
              <w:jc w:val="center"/>
              <w:rPr>
                <w:rFonts w:ascii="宋体" w:hAnsi="宋体"/>
                <w:b/>
              </w:rPr>
            </w:pPr>
            <w:r>
              <w:rPr>
                <w:rFonts w:hint="eastAsia" w:ascii="宋体" w:hAnsi="宋体"/>
                <w:b/>
              </w:rPr>
              <w:t>送达日期</w:t>
            </w:r>
          </w:p>
        </w:tc>
        <w:tc>
          <w:tcPr>
            <w:tcW w:w="1757" w:type="dxa"/>
            <w:tcBorders>
              <w:top w:val="single" w:color="auto" w:sz="4" w:space="0"/>
              <w:left w:val="single" w:color="auto" w:sz="4" w:space="0"/>
              <w:bottom w:val="thinThickSmallGap" w:color="auto" w:sz="18" w:space="0"/>
              <w:right w:val="single" w:color="auto" w:sz="4" w:space="0"/>
            </w:tcBorders>
          </w:tcPr>
          <w:p>
            <w:pPr>
              <w:widowControl/>
              <w:rPr>
                <w:rFonts w:ascii="宋体" w:hAnsi="宋体"/>
                <w:b/>
              </w:rPr>
            </w:pPr>
            <w:r>
              <w:rPr>
                <w:rFonts w:hint="eastAsia" w:ascii="宋体" w:hAnsi="宋体"/>
                <w:bCs/>
                <w:szCs w:val="21"/>
              </w:rPr>
              <w:t xml:space="preserve">            </w:t>
            </w:r>
          </w:p>
        </w:tc>
        <w:tc>
          <w:tcPr>
            <w:tcW w:w="1283" w:type="dxa"/>
            <w:tcBorders>
              <w:top w:val="single" w:color="auto" w:sz="4" w:space="0"/>
              <w:left w:val="single" w:color="auto" w:sz="4" w:space="0"/>
              <w:bottom w:val="thinThickSmallGap" w:color="auto" w:sz="18" w:space="0"/>
              <w:right w:val="single" w:color="auto" w:sz="4" w:space="0"/>
            </w:tcBorders>
            <w:vAlign w:val="center"/>
          </w:tcPr>
          <w:p>
            <w:pPr>
              <w:widowControl/>
              <w:jc w:val="center"/>
              <w:rPr>
                <w:rFonts w:ascii="宋体" w:hAnsi="宋体"/>
                <w:bCs/>
                <w:szCs w:val="21"/>
              </w:rPr>
            </w:pPr>
            <w:r>
              <w:rPr>
                <w:rFonts w:hint="eastAsia" w:ascii="宋体" w:hAnsi="宋体"/>
                <w:b/>
                <w:szCs w:val="21"/>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tcPr>
          <w:p>
            <w:pPr>
              <w:widowControl/>
              <w:ind w:firstLine="210" w:firstLineChars="100"/>
            </w:pPr>
            <w:r>
              <w:rPr>
                <w:rFonts w:hint="eastAsia"/>
              </w:rPr>
              <w:t>直接送达</w:t>
            </w:r>
            <w:r>
              <w:rPr>
                <w:rFonts w:hint="eastAsia"/>
              </w:rPr>
              <w:sym w:font="Wingdings 2" w:char="00A3"/>
            </w:r>
            <w:r>
              <w:rPr>
                <w:rFonts w:hint="eastAsia"/>
              </w:rPr>
              <w:t xml:space="preserve">  签收人：</w:t>
            </w:r>
          </w:p>
          <w:p>
            <w:pPr>
              <w:pStyle w:val="2"/>
            </w:pPr>
            <w:r>
              <w:rPr>
                <w:rFonts w:hint="eastAsia"/>
              </w:rPr>
              <w:t xml:space="preserve">  留置送达</w:t>
            </w:r>
            <w:r>
              <w:rPr>
                <w:rFonts w:hint="eastAsia"/>
              </w:rPr>
              <w:sym w:font="Wingdings 2" w:char="00A3"/>
            </w:r>
            <w:r>
              <w:rPr>
                <w:rFonts w:hint="eastAsia"/>
              </w:rPr>
              <w:t xml:space="preserve">  送达地址：                    </w:t>
            </w:r>
          </w:p>
          <w:p>
            <w:pPr>
              <w:pStyle w:val="2"/>
            </w:pPr>
            <w:r>
              <w:rPr>
                <w:rFonts w:hint="eastAsia"/>
              </w:rPr>
              <w:t xml:space="preserve">  电子送达</w:t>
            </w:r>
            <w:r>
              <w:rPr>
                <w:rFonts w:hint="eastAsia"/>
              </w:rPr>
              <w:sym w:font="Wingdings 2" w:char="00A3"/>
            </w:r>
            <w:r>
              <w:rPr>
                <w:rFonts w:hint="eastAsia"/>
              </w:rPr>
              <w:t xml:space="preserve">  收件人邮箱地址：</w:t>
            </w:r>
          </w:p>
        </w:tc>
      </w:tr>
    </w:tbl>
    <w:p>
      <w:pPr>
        <w:spacing w:line="240" w:lineRule="exact"/>
        <w:ind w:left="-619" w:leftChars="-295"/>
        <w:jc w:val="left"/>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.本表单一式三份，承包商执一份，运营分公司执两份，由运营分公司主办部门在合同执行过程中发现问题时填写；</w:t>
      </w:r>
    </w:p>
    <w:p>
      <w:pPr>
        <w:spacing w:line="240" w:lineRule="exact"/>
        <w:ind w:left="-78" w:leftChars="-37" w:right="-779" w:rightChars="-371"/>
        <w:jc w:val="left"/>
        <w:rPr>
          <w:rFonts w:ascii="宋体" w:hAnsi="宋体"/>
          <w:sz w:val="18"/>
          <w:szCs w:val="18"/>
        </w:rPr>
      </w:pPr>
      <w:r>
        <w:rPr>
          <w:rFonts w:hint="eastAsia" w:ascii="宋体" w:hAnsi="宋体"/>
          <w:sz w:val="18"/>
          <w:szCs w:val="18"/>
        </w:rPr>
        <w:t>2.承包商若对本次违约处理有意见，须在本表单送达后2个工作日内向运营分公司主办部门提交正式申诉材料提出申诉，否则视为接受违约处理意见，主办部门在收到申诉材料后须在5个工作日给予回复；</w:t>
      </w:r>
    </w:p>
    <w:p>
      <w:pPr>
        <w:spacing w:line="240" w:lineRule="exact"/>
        <w:ind w:left="-78" w:leftChars="-37" w:right="-779" w:rightChars="-371"/>
        <w:jc w:val="left"/>
        <w:rPr>
          <w:rFonts w:ascii="宋体" w:hAnsi="宋体"/>
          <w:sz w:val="18"/>
          <w:szCs w:val="18"/>
        </w:rPr>
      </w:pPr>
      <w:r>
        <w:rPr>
          <w:rFonts w:hint="eastAsia" w:ascii="宋体" w:hAnsi="宋体"/>
          <w:sz w:val="18"/>
          <w:szCs w:val="18"/>
        </w:rPr>
        <w:t>3.本表单按照违约处理决定的金额和授权方案逐级签批或用印，5000元（含）以下由主办部门签批，5000元（不含）-10000元（含）签批至分管主办部门的副总经理并用运营分公司印，10000元（不含）以上签批至总经理并用运营分公司印；</w:t>
      </w:r>
    </w:p>
    <w:p>
      <w:pPr>
        <w:spacing w:line="240" w:lineRule="exact"/>
        <w:ind w:left="-78" w:leftChars="-37" w:right="-779" w:rightChars="-371"/>
        <w:jc w:val="left"/>
        <w:rPr>
          <w:rFonts w:ascii="宋体" w:hAnsi="宋体"/>
          <w:color w:val="000000" w:themeColor="text1"/>
          <w:szCs w:val="21"/>
          <w14:textFill>
            <w14:solidFill>
              <w14:schemeClr w14:val="tx1"/>
            </w14:solidFill>
          </w14:textFill>
        </w:rPr>
      </w:pPr>
      <w:r>
        <w:rPr>
          <w:rFonts w:hint="eastAsia" w:ascii="宋体" w:hAnsi="宋体"/>
          <w:sz w:val="18"/>
          <w:szCs w:val="18"/>
        </w:rPr>
        <w:t>4.本表单自送达之日起生效。送达时间基准为：（1）直接送达以签收人签收时间为准；（2）留置送达以本表单送达指定地点时间为准，如出现拒签的情况以本表单送达指定地点时派送人现场照片或物流信息显示送达时间为准；（3）电子送达以发送人发出电子邮件时间为准。</w:t>
      </w:r>
    </w:p>
    <w:p>
      <w:pPr>
        <w:spacing w:line="360" w:lineRule="auto"/>
        <w:ind w:left="-199" w:leftChars="-95" w:right="-340" w:rightChars="-162" w:firstLine="630" w:firstLineChars="300"/>
        <w:rPr>
          <w:rFonts w:ascii="黑体" w:hAnsi="黑体" w:eastAsia="黑体"/>
        </w:rPr>
      </w:pPr>
    </w:p>
    <w:p>
      <w:pPr>
        <w:pStyle w:val="2"/>
        <w:spacing w:line="360" w:lineRule="auto"/>
        <w:outlineLvl w:val="2"/>
        <w:rPr>
          <w:rFonts w:hAnsi="宋体"/>
          <w:b/>
          <w:sz w:val="24"/>
          <w:szCs w:val="24"/>
        </w:rPr>
      </w:pPr>
      <w:r>
        <w:rPr>
          <w:rFonts w:hint="eastAsia" w:hAnsi="宋体"/>
          <w:b/>
          <w:sz w:val="24"/>
          <w:szCs w:val="24"/>
        </w:rPr>
        <w:t>附件</w:t>
      </w:r>
      <w:r>
        <w:rPr>
          <w:rFonts w:hAnsi="宋体"/>
          <w:b/>
          <w:sz w:val="24"/>
          <w:szCs w:val="24"/>
        </w:rPr>
        <w:t>3</w:t>
      </w:r>
      <w:r>
        <w:rPr>
          <w:rFonts w:hint="eastAsia" w:hAnsi="宋体"/>
          <w:b/>
          <w:sz w:val="24"/>
          <w:szCs w:val="24"/>
        </w:rPr>
        <w:t>：维修记录表</w:t>
      </w:r>
    </w:p>
    <w:tbl>
      <w:tblPr>
        <w:tblStyle w:val="40"/>
        <w:tblW w:w="9112" w:type="dxa"/>
        <w:tblInd w:w="108" w:type="dxa"/>
        <w:tblLayout w:type="fixed"/>
        <w:tblCellMar>
          <w:top w:w="0" w:type="dxa"/>
          <w:left w:w="108" w:type="dxa"/>
          <w:bottom w:w="0" w:type="dxa"/>
          <w:right w:w="108" w:type="dxa"/>
        </w:tblCellMar>
      </w:tblPr>
      <w:tblGrid>
        <w:gridCol w:w="2550"/>
        <w:gridCol w:w="454"/>
        <w:gridCol w:w="455"/>
        <w:gridCol w:w="1238"/>
        <w:gridCol w:w="1723"/>
        <w:gridCol w:w="993"/>
        <w:gridCol w:w="1699"/>
      </w:tblGrid>
      <w:tr>
        <w:tblPrEx>
          <w:tblCellMar>
            <w:top w:w="0" w:type="dxa"/>
            <w:left w:w="108" w:type="dxa"/>
            <w:bottom w:w="0" w:type="dxa"/>
            <w:right w:w="108" w:type="dxa"/>
          </w:tblCellMar>
        </w:tblPrEx>
        <w:trPr>
          <w:trHeight w:val="90" w:hRule="atLeast"/>
        </w:trPr>
        <w:tc>
          <w:tcPr>
            <w:tcW w:w="9112" w:type="dxa"/>
            <w:gridSpan w:val="7"/>
            <w:tcBorders>
              <w:top w:val="nil"/>
              <w:left w:val="nil"/>
              <w:bottom w:val="single" w:color="auto" w:sz="4" w:space="0"/>
              <w:right w:val="nil"/>
            </w:tcBorders>
            <w:shd w:val="clear" w:color="auto" w:fill="auto"/>
            <w:noWrap/>
            <w:vAlign w:val="center"/>
          </w:tcPr>
          <w:p>
            <w:pPr>
              <w:widowControl/>
              <w:spacing w:line="360" w:lineRule="auto"/>
              <w:jc w:val="center"/>
              <w:rPr>
                <w:rFonts w:ascii="等线" w:hAnsi="等线" w:eastAsia="等线" w:cs="宋体"/>
                <w:b/>
                <w:bCs/>
                <w:sz w:val="28"/>
                <w:szCs w:val="28"/>
              </w:rPr>
            </w:pPr>
            <w:r>
              <w:rPr>
                <w:rFonts w:hint="eastAsia" w:ascii="等线" w:hAnsi="等线" w:eastAsia="等线" w:cs="宋体"/>
                <w:b/>
                <w:bCs/>
                <w:sz w:val="28"/>
                <w:szCs w:val="28"/>
              </w:rPr>
              <w:t>南宁轨道交通运营有限公司委外维修记录表</w:t>
            </w:r>
          </w:p>
          <w:p>
            <w:pPr>
              <w:widowControl/>
              <w:spacing w:line="360" w:lineRule="auto"/>
              <w:jc w:val="center"/>
              <w:rPr>
                <w:rFonts w:ascii="等线" w:hAnsi="等线" w:eastAsia="等线" w:cs="宋体"/>
                <w:b/>
                <w:bCs/>
                <w:sz w:val="28"/>
                <w:szCs w:val="28"/>
              </w:rPr>
            </w:pPr>
            <w:r>
              <w:rPr>
                <w:rFonts w:hint="eastAsia" w:ascii="等线" w:hAnsi="等线" w:eastAsia="等线" w:cs="宋体"/>
                <w:b/>
                <w:bCs/>
                <w:sz w:val="28"/>
                <w:szCs w:val="28"/>
              </w:rPr>
              <w:t xml:space="preserve">                           </w:t>
            </w:r>
            <w:r>
              <w:rPr>
                <w:rFonts w:hint="eastAsia" w:ascii="等线" w:hAnsi="等线" w:eastAsia="等线" w:cs="宋体"/>
                <w:b/>
                <w:bCs/>
                <w:szCs w:val="28"/>
              </w:rPr>
              <w:t xml:space="preserve"> 维保单号：</w:t>
            </w:r>
          </w:p>
        </w:tc>
      </w:tr>
      <w:tr>
        <w:tblPrEx>
          <w:tblCellMar>
            <w:top w:w="0" w:type="dxa"/>
            <w:left w:w="108" w:type="dxa"/>
            <w:bottom w:w="0" w:type="dxa"/>
            <w:right w:w="108" w:type="dxa"/>
          </w:tblCellMar>
        </w:tblPrEx>
        <w:trPr>
          <w:trHeight w:val="90" w:hRule="atLeast"/>
        </w:trPr>
        <w:tc>
          <w:tcPr>
            <w:tcW w:w="255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报修部门（中心）</w:t>
            </w:r>
          </w:p>
        </w:tc>
        <w:tc>
          <w:tcPr>
            <w:tcW w:w="21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w:t>
            </w:r>
          </w:p>
        </w:tc>
        <w:tc>
          <w:tcPr>
            <w:tcW w:w="17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提报人</w:t>
            </w:r>
          </w:p>
        </w:tc>
        <w:tc>
          <w:tcPr>
            <w:tcW w:w="26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w:t>
            </w:r>
          </w:p>
        </w:tc>
      </w:tr>
      <w:tr>
        <w:tblPrEx>
          <w:tblCellMar>
            <w:top w:w="0" w:type="dxa"/>
            <w:left w:w="108" w:type="dxa"/>
            <w:bottom w:w="0" w:type="dxa"/>
            <w:right w:w="108" w:type="dxa"/>
          </w:tblCellMar>
        </w:tblPrEx>
        <w:trPr>
          <w:trHeight w:val="90" w:hRule="atLeast"/>
        </w:trPr>
        <w:tc>
          <w:tcPr>
            <w:tcW w:w="255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提报时间</w:t>
            </w:r>
          </w:p>
        </w:tc>
        <w:tc>
          <w:tcPr>
            <w:tcW w:w="21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w:t>
            </w:r>
          </w:p>
        </w:tc>
        <w:tc>
          <w:tcPr>
            <w:tcW w:w="17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维保地点</w:t>
            </w:r>
          </w:p>
        </w:tc>
        <w:tc>
          <w:tcPr>
            <w:tcW w:w="26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w:t>
            </w:r>
          </w:p>
        </w:tc>
      </w:tr>
      <w:tr>
        <w:tblPrEx>
          <w:tblCellMar>
            <w:top w:w="0" w:type="dxa"/>
            <w:left w:w="108" w:type="dxa"/>
            <w:bottom w:w="0" w:type="dxa"/>
            <w:right w:w="108" w:type="dxa"/>
          </w:tblCellMar>
        </w:tblPrEx>
        <w:trPr>
          <w:trHeight w:val="5650" w:hRule="atLeast"/>
        </w:trPr>
        <w:tc>
          <w:tcPr>
            <w:tcW w:w="255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32"/>
                <w:szCs w:val="32"/>
              </w:rPr>
            </w:pPr>
            <w:r>
              <w:rPr>
                <w:rFonts w:hint="eastAsia" w:ascii="等线" w:hAnsi="等线" w:eastAsia="等线" w:cs="宋体"/>
                <w:b/>
                <w:bCs/>
                <w:sz w:val="32"/>
                <w:szCs w:val="32"/>
              </w:rPr>
              <w:t>维保记录</w:t>
            </w:r>
          </w:p>
        </w:tc>
        <w:tc>
          <w:tcPr>
            <w:tcW w:w="6562"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tc>
      </w:tr>
      <w:tr>
        <w:tblPrEx>
          <w:tblCellMar>
            <w:top w:w="0" w:type="dxa"/>
            <w:left w:w="108" w:type="dxa"/>
            <w:bottom w:w="0" w:type="dxa"/>
            <w:right w:w="108" w:type="dxa"/>
          </w:tblCellMar>
        </w:tblPrEx>
        <w:trPr>
          <w:trHeight w:val="90" w:hRule="atLeast"/>
        </w:trPr>
        <w:tc>
          <w:tcPr>
            <w:tcW w:w="255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故障是否处理</w:t>
            </w:r>
          </w:p>
        </w:tc>
        <w:tc>
          <w:tcPr>
            <w:tcW w:w="9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□是      □否</w:t>
            </w:r>
          </w:p>
        </w:tc>
        <w:tc>
          <w:tcPr>
            <w:tcW w:w="123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是否可正常使用</w:t>
            </w:r>
          </w:p>
        </w:tc>
        <w:tc>
          <w:tcPr>
            <w:tcW w:w="441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□是      □否</w:t>
            </w:r>
          </w:p>
        </w:tc>
      </w:tr>
      <w:tr>
        <w:tblPrEx>
          <w:tblCellMar>
            <w:top w:w="0" w:type="dxa"/>
            <w:left w:w="108" w:type="dxa"/>
            <w:bottom w:w="0" w:type="dxa"/>
            <w:right w:w="108" w:type="dxa"/>
          </w:tblCellMar>
        </w:tblPrEx>
        <w:trPr>
          <w:trHeight w:val="1756" w:hRule="atLeast"/>
        </w:trPr>
        <w:tc>
          <w:tcPr>
            <w:tcW w:w="2550" w:type="dxa"/>
            <w:tcBorders>
              <w:top w:val="nil"/>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维保单位签名</w:t>
            </w:r>
          </w:p>
        </w:tc>
        <w:tc>
          <w:tcPr>
            <w:tcW w:w="454" w:type="dxa"/>
            <w:tcBorders>
              <w:top w:val="nil"/>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p>
        </w:tc>
        <w:tc>
          <w:tcPr>
            <w:tcW w:w="1693" w:type="dxa"/>
            <w:gridSpan w:val="2"/>
            <w:tcBorders>
              <w:top w:val="single" w:color="auto" w:sz="4" w:space="0"/>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报修部门签名</w:t>
            </w:r>
          </w:p>
        </w:tc>
        <w:tc>
          <w:tcPr>
            <w:tcW w:w="2716" w:type="dxa"/>
            <w:gridSpan w:val="2"/>
            <w:tcBorders>
              <w:top w:val="single" w:color="auto" w:sz="4" w:space="0"/>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xml:space="preserve">      主办部门审核</w:t>
            </w:r>
          </w:p>
        </w:tc>
        <w:tc>
          <w:tcPr>
            <w:tcW w:w="1699" w:type="dxa"/>
            <w:tcBorders>
              <w:top w:val="nil"/>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p>
          <w:p>
            <w:pPr>
              <w:pStyle w:val="2"/>
            </w:pPr>
          </w:p>
          <w:p>
            <w:pPr>
              <w:pStyle w:val="2"/>
            </w:pPr>
          </w:p>
          <w:p>
            <w:pPr>
              <w:pStyle w:val="2"/>
            </w:pPr>
          </w:p>
          <w:p>
            <w:pPr>
              <w:pStyle w:val="2"/>
            </w:pPr>
          </w:p>
          <w:p>
            <w:pPr>
              <w:pStyle w:val="2"/>
            </w:pPr>
          </w:p>
          <w:p>
            <w:pPr>
              <w:pStyle w:val="2"/>
            </w:pPr>
          </w:p>
          <w:p>
            <w:pPr>
              <w:pStyle w:val="2"/>
            </w:pPr>
          </w:p>
          <w:p>
            <w:pPr>
              <w:pStyle w:val="2"/>
            </w:pPr>
          </w:p>
        </w:tc>
      </w:tr>
    </w:tbl>
    <w:p>
      <w:pPr>
        <w:pStyle w:val="2"/>
        <w:spacing w:line="360" w:lineRule="auto"/>
        <w:outlineLvl w:val="2"/>
        <w:rPr>
          <w:rFonts w:ascii="黑体" w:hAnsi="黑体" w:eastAsia="黑体" w:cs="黑体"/>
          <w:b/>
        </w:rPr>
      </w:pPr>
      <w:r>
        <w:rPr>
          <w:rFonts w:hint="eastAsia" w:ascii="黑体" w:hAnsi="黑体" w:eastAsia="黑体" w:cs="黑体"/>
          <w:b/>
        </w:rPr>
        <w:t>附件4：维保服务考评表</w:t>
      </w:r>
    </w:p>
    <w:tbl>
      <w:tblPr>
        <w:tblStyle w:val="40"/>
        <w:tblW w:w="11624" w:type="dxa"/>
        <w:tblInd w:w="-1168" w:type="dxa"/>
        <w:tblLayout w:type="autofit"/>
        <w:tblCellMar>
          <w:top w:w="0" w:type="dxa"/>
          <w:left w:w="108" w:type="dxa"/>
          <w:bottom w:w="0" w:type="dxa"/>
          <w:right w:w="108" w:type="dxa"/>
        </w:tblCellMar>
      </w:tblPr>
      <w:tblGrid>
        <w:gridCol w:w="850"/>
        <w:gridCol w:w="7372"/>
        <w:gridCol w:w="2268"/>
        <w:gridCol w:w="1134"/>
      </w:tblGrid>
      <w:tr>
        <w:tblPrEx>
          <w:tblCellMar>
            <w:top w:w="0" w:type="dxa"/>
            <w:left w:w="108" w:type="dxa"/>
            <w:bottom w:w="0" w:type="dxa"/>
            <w:right w:w="108" w:type="dxa"/>
          </w:tblCellMar>
        </w:tblPrEx>
        <w:trPr>
          <w:trHeight w:val="585" w:hRule="atLeast"/>
        </w:trPr>
        <w:tc>
          <w:tcPr>
            <w:tcW w:w="11624" w:type="dxa"/>
            <w:gridSpan w:val="4"/>
            <w:tcBorders>
              <w:top w:val="nil"/>
              <w:left w:val="nil"/>
              <w:bottom w:val="nil"/>
              <w:right w:val="nil"/>
            </w:tcBorders>
            <w:shd w:val="clear" w:color="auto" w:fill="auto"/>
            <w:noWrap/>
            <w:vAlign w:val="center"/>
          </w:tcPr>
          <w:p>
            <w:pPr>
              <w:widowControl/>
              <w:jc w:val="center"/>
              <w:rPr>
                <w:rFonts w:ascii="等线" w:hAnsi="等线" w:eastAsia="等线" w:cs="宋体"/>
                <w:b/>
                <w:bCs/>
                <w:color w:val="000000"/>
                <w:kern w:val="0"/>
                <w:sz w:val="32"/>
                <w:szCs w:val="32"/>
              </w:rPr>
            </w:pPr>
          </w:p>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维保服务考评表</w:t>
            </w:r>
          </w:p>
        </w:tc>
      </w:tr>
      <w:tr>
        <w:tblPrEx>
          <w:tblCellMar>
            <w:top w:w="0" w:type="dxa"/>
            <w:left w:w="108" w:type="dxa"/>
            <w:bottom w:w="0" w:type="dxa"/>
            <w:right w:w="108" w:type="dxa"/>
          </w:tblCellMar>
        </w:tblPrEx>
        <w:trPr>
          <w:trHeight w:val="452" w:hRule="atLeast"/>
        </w:trPr>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序号</w:t>
            </w:r>
          </w:p>
        </w:tc>
        <w:tc>
          <w:tcPr>
            <w:tcW w:w="96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考评内容</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备注</w:t>
            </w:r>
          </w:p>
        </w:tc>
      </w:tr>
      <w:tr>
        <w:tblPrEx>
          <w:tblCellMar>
            <w:top w:w="0" w:type="dxa"/>
            <w:left w:w="108" w:type="dxa"/>
            <w:bottom w:w="0" w:type="dxa"/>
            <w:right w:w="108" w:type="dxa"/>
          </w:tblCellMar>
        </w:tblPrEx>
        <w:trPr>
          <w:trHeight w:val="778"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维保过程中是否按照规定的响应到场时间到场维保</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04"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维保过程中是否按照规定的临时处理时间处理完毕现场问题</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00"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维保过程中是否按照规定的完全处理时间处理完毕现场问题</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10"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维保人员在现场维保时的态度是否良好</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692"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维保过程中使用的配件、消耗料是否满足要求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688"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维保过程中是否发生违反公司相应制度、规程的事件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12"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维保后（三包期内）是否发生安全、责任事件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bl>
    <w:p>
      <w:pPr>
        <w:pStyle w:val="2"/>
        <w:spacing w:line="360" w:lineRule="auto"/>
        <w:ind w:firstLine="422" w:firstLineChars="200"/>
        <w:rPr>
          <w:rFonts w:ascii="黑体" w:hAnsi="黑体" w:eastAsia="黑体" w:cs="黑体"/>
          <w:b/>
        </w:rPr>
      </w:pPr>
      <w:r>
        <w:rPr>
          <w:rFonts w:hint="eastAsia" w:ascii="黑体" w:hAnsi="黑体" w:eastAsia="黑体" w:cs="黑体"/>
          <w:b/>
        </w:rPr>
        <w:t>说明：</w:t>
      </w:r>
    </w:p>
    <w:p>
      <w:pPr>
        <w:pStyle w:val="2"/>
        <w:spacing w:line="360" w:lineRule="auto"/>
        <w:ind w:firstLine="420" w:firstLineChars="200"/>
        <w:rPr>
          <w:rFonts w:ascii="黑体" w:hAnsi="黑体" w:eastAsia="黑体" w:cs="黑体"/>
          <w:bCs/>
        </w:rPr>
      </w:pPr>
      <w:r>
        <w:rPr>
          <w:rFonts w:hint="eastAsia" w:ascii="黑体" w:hAnsi="黑体" w:eastAsia="黑体" w:cs="黑体"/>
          <w:bCs/>
        </w:rPr>
        <w:t>1.该考评表由项目主办部门每季出具作为计量支付依据；</w:t>
      </w:r>
    </w:p>
    <w:p>
      <w:pPr>
        <w:pStyle w:val="2"/>
        <w:spacing w:line="360" w:lineRule="auto"/>
        <w:ind w:firstLine="420" w:firstLineChars="200"/>
        <w:rPr>
          <w:rFonts w:ascii="黑体" w:hAnsi="黑体" w:eastAsia="黑体" w:cs="黑体"/>
          <w:bCs/>
        </w:rPr>
      </w:pPr>
      <w:r>
        <w:rPr>
          <w:rFonts w:ascii="黑体" w:hAnsi="黑体" w:eastAsia="黑体" w:cs="黑体"/>
          <w:bCs/>
        </w:rPr>
        <w:t>2.</w:t>
      </w:r>
      <w:r>
        <w:rPr>
          <w:rFonts w:hint="eastAsia" w:ascii="黑体" w:hAnsi="黑体" w:eastAsia="黑体" w:cs="黑体"/>
          <w:bCs/>
        </w:rPr>
        <w:t>如发生相应的考评项点填写“否”的情况，应在备注写明具体事件内容及附上《维保记录表》，并将结合考核条款出具《合同违约处罚通知单》。</w:t>
      </w: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outlineLvl w:val="2"/>
        <w:rPr>
          <w:rFonts w:hAnsi="宋体"/>
          <w:b/>
          <w:sz w:val="24"/>
          <w:szCs w:val="24"/>
        </w:rPr>
      </w:pPr>
      <w:r>
        <w:rPr>
          <w:rFonts w:hint="eastAsia" w:hAnsi="宋体"/>
          <w:b/>
          <w:sz w:val="24"/>
          <w:szCs w:val="24"/>
        </w:rPr>
        <w:t>附件</w:t>
      </w:r>
      <w:r>
        <w:rPr>
          <w:rFonts w:hAnsi="宋体"/>
          <w:b/>
          <w:sz w:val="24"/>
          <w:szCs w:val="24"/>
        </w:rPr>
        <w:t>5</w:t>
      </w:r>
      <w:r>
        <w:rPr>
          <w:rFonts w:hint="eastAsia" w:hAnsi="宋体"/>
          <w:b/>
          <w:sz w:val="24"/>
          <w:szCs w:val="24"/>
        </w:rPr>
        <w:t>：履约保证金缴纳凭证</w:t>
      </w:r>
    </w:p>
    <w:p>
      <w:pPr>
        <w:ind w:right="-57"/>
        <w:jc w:val="center"/>
        <w:rPr>
          <w:rFonts w:ascii="宋体" w:hAnsi="宋体"/>
          <w:b/>
          <w:sz w:val="24"/>
          <w:szCs w:val="24"/>
        </w:rPr>
      </w:pPr>
    </w:p>
    <w:p>
      <w:pPr>
        <w:ind w:right="-57"/>
        <w:jc w:val="center"/>
        <w:rPr>
          <w:rFonts w:ascii="宋体" w:hAnsi="宋体"/>
          <w:b/>
          <w:sz w:val="24"/>
          <w:szCs w:val="24"/>
        </w:rPr>
      </w:pPr>
    </w:p>
    <w:p>
      <w:pPr>
        <w:ind w:right="-57"/>
        <w:jc w:val="center"/>
        <w:rPr>
          <w:rFonts w:ascii="宋体" w:hAnsi="宋体"/>
          <w:b/>
          <w:sz w:val="28"/>
          <w:szCs w:val="28"/>
        </w:rPr>
      </w:pPr>
      <w:r>
        <w:rPr>
          <w:rFonts w:hint="eastAsia" w:ascii="宋体" w:hAnsi="宋体"/>
          <w:b/>
          <w:sz w:val="24"/>
          <w:szCs w:val="24"/>
        </w:rPr>
        <w:t>银行</w:t>
      </w:r>
      <w:r>
        <w:rPr>
          <w:rFonts w:ascii="宋体" w:hAnsi="宋体"/>
          <w:b/>
          <w:sz w:val="24"/>
          <w:szCs w:val="24"/>
        </w:rPr>
        <w:t>保函</w:t>
      </w:r>
      <w:r>
        <w:rPr>
          <w:rFonts w:hint="eastAsia" w:ascii="宋体" w:hAnsi="宋体"/>
          <w:b/>
          <w:sz w:val="24"/>
          <w:szCs w:val="24"/>
        </w:rPr>
        <w:t>（中标后提供）</w:t>
      </w:r>
    </w:p>
    <w:p>
      <w:pPr>
        <w:autoSpaceDE w:val="0"/>
        <w:autoSpaceDN w:val="0"/>
        <w:spacing w:line="360" w:lineRule="auto"/>
        <w:ind w:right="-57"/>
        <w:jc w:val="left"/>
        <w:rPr>
          <w:rFonts w:ascii="宋体" w:hAnsi="宋体"/>
        </w:rPr>
      </w:pPr>
      <w:r>
        <w:rPr>
          <w:rFonts w:hint="eastAsia" w:ascii="宋体" w:hAnsi="宋体"/>
        </w:rPr>
        <w:t>保函编号：</w:t>
      </w:r>
    </w:p>
    <w:p>
      <w:pPr>
        <w:autoSpaceDE w:val="0"/>
        <w:autoSpaceDN w:val="0"/>
        <w:spacing w:line="360" w:lineRule="auto"/>
        <w:ind w:right="-57"/>
        <w:jc w:val="left"/>
        <w:rPr>
          <w:rFonts w:ascii="宋体" w:hAnsi="宋体"/>
        </w:rPr>
      </w:pPr>
      <w:r>
        <w:rPr>
          <w:rFonts w:hint="eastAsia" w:ascii="宋体" w:hAnsi="宋体"/>
        </w:rPr>
        <w:t>致：南宁轨道交通运营有限公司</w:t>
      </w:r>
    </w:p>
    <w:p>
      <w:pPr>
        <w:autoSpaceDE w:val="0"/>
        <w:autoSpaceDN w:val="0"/>
        <w:spacing w:line="360" w:lineRule="auto"/>
        <w:ind w:firstLine="630" w:firstLineChars="300"/>
        <w:jc w:val="left"/>
        <w:rPr>
          <w:rFonts w:ascii="宋体" w:hAnsi="宋体"/>
        </w:rPr>
      </w:pPr>
      <w:r>
        <w:rPr>
          <w:rFonts w:hint="eastAsia" w:ascii="宋体" w:hAnsi="宋体"/>
        </w:rPr>
        <w:t>鉴于贵方已于    年   月   日发出中标通知书，本保函作为贵方将与</w:t>
      </w:r>
      <w:r>
        <w:rPr>
          <w:rFonts w:hint="eastAsia" w:ascii="宋体" w:hAnsi="宋体"/>
          <w:u w:val="single"/>
        </w:rPr>
        <w:t xml:space="preserve">   （乙方名称） </w:t>
      </w:r>
      <w:r>
        <w:rPr>
          <w:rFonts w:hint="eastAsia" w:ascii="宋体" w:hAnsi="宋体"/>
        </w:rPr>
        <w:t>（以下简称“乙方”）签订的</w:t>
      </w:r>
      <w:r>
        <w:rPr>
          <w:rFonts w:hint="eastAsia" w:ascii="宋体" w:hAnsi="宋体"/>
          <w:u w:val="single"/>
        </w:rPr>
        <w:t xml:space="preserve">  （项目名称）   </w:t>
      </w:r>
      <w:r>
        <w:rPr>
          <w:rFonts w:hint="eastAsia" w:ascii="宋体" w:hAnsi="宋体"/>
        </w:rPr>
        <w:t>以下简称“本项目”）合同（中标价格￥元，大写：元）的银行保函。</w:t>
      </w:r>
    </w:p>
    <w:p>
      <w:pPr>
        <w:autoSpaceDE w:val="0"/>
        <w:autoSpaceDN w:val="0"/>
        <w:spacing w:line="360" w:lineRule="auto"/>
        <w:ind w:firstLine="426"/>
        <w:jc w:val="left"/>
        <w:rPr>
          <w:rFonts w:ascii="宋体" w:hAnsi="宋体"/>
        </w:rPr>
      </w:pPr>
      <w:r>
        <w:rPr>
          <w:rFonts w:hint="eastAsia" w:ascii="宋体" w:hAnsi="宋体"/>
        </w:rPr>
        <w:t>我方</w:t>
      </w:r>
      <w:r>
        <w:rPr>
          <w:rFonts w:hint="eastAsia" w:ascii="宋体" w:hAnsi="宋体"/>
          <w:u w:val="single"/>
        </w:rPr>
        <w:t>（担保人名称    ）</w:t>
      </w:r>
      <w:r>
        <w:rPr>
          <w:rFonts w:hint="eastAsia" w:ascii="宋体" w:hAnsi="宋体"/>
        </w:rPr>
        <w:t>，受该乙方委托，为该乙方履行上述合同规定的义务做出如下无条件地和不可撤销的保证：</w:t>
      </w:r>
    </w:p>
    <w:p>
      <w:pPr>
        <w:autoSpaceDE w:val="0"/>
        <w:autoSpaceDN w:val="0"/>
        <w:spacing w:line="360" w:lineRule="auto"/>
        <w:ind w:firstLine="426"/>
        <w:jc w:val="left"/>
        <w:rPr>
          <w:rFonts w:ascii="宋体" w:hAnsi="宋体"/>
        </w:rPr>
      </w:pPr>
      <w:r>
        <w:rPr>
          <w:rFonts w:hint="eastAsia" w:ascii="宋体" w:hAnsi="宋体"/>
        </w:rPr>
        <w:t>我方在收到贵方提出要求支付保证金的通知时，无须提出任何证明或证据，将于7日内无条件地和不可改变地向贵方支付不超过人民币元 （大写：）的任何要求金额，我方不要求贵方证实其在索赔要求中指出的违约情况。</w:t>
      </w:r>
    </w:p>
    <w:p>
      <w:pPr>
        <w:autoSpaceDE w:val="0"/>
        <w:autoSpaceDN w:val="0"/>
        <w:spacing w:line="360" w:lineRule="auto"/>
        <w:ind w:firstLine="426"/>
        <w:jc w:val="left"/>
        <w:rPr>
          <w:rFonts w:ascii="宋体" w:hAnsi="宋体"/>
        </w:rPr>
      </w:pPr>
      <w:r>
        <w:rPr>
          <w:rFonts w:hint="eastAsia" w:ascii="宋体" w:hAnsi="宋体"/>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line="360" w:lineRule="auto"/>
        <w:ind w:firstLine="426"/>
        <w:jc w:val="left"/>
        <w:rPr>
          <w:rFonts w:ascii="宋体" w:hAnsi="宋体"/>
        </w:rPr>
      </w:pPr>
      <w:r>
        <w:rPr>
          <w:rFonts w:hint="eastAsia" w:ascii="宋体" w:hAnsi="宋体"/>
        </w:rPr>
        <w:t>本保函项下所有权利和义务均适用于中华人民共和国法律。</w:t>
      </w:r>
    </w:p>
    <w:p>
      <w:pPr>
        <w:autoSpaceDE w:val="0"/>
        <w:autoSpaceDN w:val="0"/>
        <w:spacing w:line="360" w:lineRule="auto"/>
        <w:ind w:right="-57" w:firstLine="426"/>
        <w:jc w:val="left"/>
        <w:rPr>
          <w:rFonts w:ascii="宋体" w:hAnsi="宋体"/>
        </w:rPr>
      </w:pPr>
      <w:r>
        <w:rPr>
          <w:rFonts w:hint="eastAsia" w:ascii="宋体" w:hAnsi="宋体"/>
        </w:rPr>
        <w:t>1、本保函自</w:t>
      </w:r>
      <w:r>
        <w:rPr>
          <w:rFonts w:hint="eastAsia" w:ascii="宋体" w:hAnsi="宋体"/>
          <w:u w:val="single"/>
        </w:rPr>
        <w:t>X年X月X日</w:t>
      </w:r>
      <w:r>
        <w:rPr>
          <w:rFonts w:hint="eastAsia" w:ascii="宋体" w:hAnsi="宋体"/>
        </w:rPr>
        <w:t>起生效，至</w:t>
      </w:r>
      <w:r>
        <w:rPr>
          <w:rFonts w:hint="eastAsia" w:ascii="宋体" w:hAnsi="宋体"/>
          <w:u w:val="single"/>
        </w:rPr>
        <w:t>全部货物验收合格之日后四十五（45）天一直</w:t>
      </w:r>
      <w:r>
        <w:rPr>
          <w:rFonts w:hint="eastAsia" w:ascii="宋体" w:hAnsi="宋体" w:cs="Arial"/>
        </w:rPr>
        <w:t>有效</w:t>
      </w:r>
      <w:r>
        <w:rPr>
          <w:rFonts w:hint="eastAsia" w:ascii="宋体" w:hAnsi="宋体"/>
        </w:rPr>
        <w:t>，你方有权提前终止或解除本保函。保函失效后请将本保函退回我方注销。</w:t>
      </w:r>
    </w:p>
    <w:p>
      <w:pPr>
        <w:autoSpaceDE w:val="0"/>
        <w:autoSpaceDN w:val="0"/>
        <w:spacing w:line="360" w:lineRule="auto"/>
        <w:ind w:right="-57" w:firstLine="426"/>
        <w:jc w:val="left"/>
        <w:rPr>
          <w:rFonts w:ascii="宋体" w:hAnsi="宋体"/>
        </w:rPr>
      </w:pPr>
      <w:r>
        <w:rPr>
          <w:rFonts w:hint="eastAsia" w:ascii="宋体" w:hAnsi="宋体"/>
        </w:rPr>
        <w:t>2、本保函自</w:t>
      </w:r>
      <w:r>
        <w:rPr>
          <w:rFonts w:hint="eastAsia" w:ascii="宋体" w:hAnsi="宋体"/>
          <w:u w:val="single"/>
        </w:rPr>
        <w:t>X年X月X日</w:t>
      </w:r>
      <w:r>
        <w:rPr>
          <w:rFonts w:hint="eastAsia" w:ascii="宋体" w:hAnsi="宋体"/>
        </w:rPr>
        <w:t>起生效，至</w:t>
      </w:r>
      <w:r>
        <w:rPr>
          <w:rFonts w:hint="eastAsia" w:ascii="宋体" w:hAnsi="宋体"/>
          <w:u w:val="single"/>
        </w:rPr>
        <w:t>X年X月X日</w:t>
      </w:r>
      <w:r>
        <w:rPr>
          <w:rFonts w:hint="eastAsia" w:ascii="宋体" w:hAnsi="宋体" w:cs="Arial"/>
        </w:rPr>
        <w:t>一直有效，</w:t>
      </w:r>
      <w:r>
        <w:rPr>
          <w:rFonts w:hint="eastAsia" w:ascii="宋体" w:hAnsi="宋体"/>
        </w:rPr>
        <w:t>你方有权提前终止或解除本保函。保函失效后请将本保函退回我方注销。</w:t>
      </w:r>
    </w:p>
    <w:p>
      <w:pPr>
        <w:spacing w:line="360" w:lineRule="auto"/>
        <w:ind w:right="-57" w:firstLine="843" w:firstLineChars="400"/>
        <w:rPr>
          <w:rFonts w:ascii="宋体" w:hAnsi="宋体"/>
        </w:rPr>
      </w:pPr>
      <w:r>
        <w:rPr>
          <w:rFonts w:hint="eastAsia" w:ascii="宋体" w:hAnsi="宋体"/>
          <w:b/>
          <w:i/>
        </w:rPr>
        <w:t>（开具保函时，以上二种方式，任选一种。）</w:t>
      </w:r>
    </w:p>
    <w:p>
      <w:pPr>
        <w:spacing w:line="360" w:lineRule="auto"/>
        <w:ind w:right="-57" w:firstLine="840" w:firstLineChars="400"/>
        <w:rPr>
          <w:rFonts w:ascii="宋体" w:hAnsi="宋体" w:cs="Arial"/>
        </w:rPr>
      </w:pPr>
      <w:r>
        <w:rPr>
          <w:rFonts w:hint="eastAsia" w:ascii="宋体" w:hAnsi="宋体"/>
        </w:rPr>
        <w:t>银行地址：    担保银行：</w:t>
      </w:r>
      <w:r>
        <w:rPr>
          <w:rFonts w:hint="eastAsia" w:ascii="宋体" w:hAnsi="宋体"/>
          <w:u w:val="single"/>
        </w:rPr>
        <w:t xml:space="preserve">（全称）    </w:t>
      </w:r>
      <w:r>
        <w:rPr>
          <w:rFonts w:hint="eastAsia" w:ascii="宋体" w:hAnsi="宋体"/>
        </w:rPr>
        <w:t>(盖章)</w:t>
      </w:r>
    </w:p>
    <w:p>
      <w:pPr>
        <w:spacing w:line="360" w:lineRule="auto"/>
        <w:ind w:right="-57" w:firstLine="840" w:firstLineChars="400"/>
        <w:rPr>
          <w:rFonts w:ascii="宋体" w:hAnsi="宋体"/>
        </w:rPr>
      </w:pPr>
      <w:r>
        <w:rPr>
          <w:rFonts w:hint="eastAsia" w:ascii="宋体" w:hAnsi="宋体"/>
        </w:rPr>
        <w:t>邮编：   法定代表人或（授权代理人）：(签字)</w:t>
      </w:r>
    </w:p>
    <w:p>
      <w:pPr>
        <w:spacing w:line="360" w:lineRule="auto"/>
        <w:ind w:right="-57" w:firstLine="840" w:firstLineChars="400"/>
        <w:rPr>
          <w:rFonts w:ascii="宋体" w:hAnsi="宋体"/>
          <w:u w:val="single"/>
        </w:rPr>
      </w:pPr>
      <w:r>
        <w:rPr>
          <w:rFonts w:hint="eastAsia" w:ascii="宋体" w:hAnsi="宋体"/>
        </w:rPr>
        <w:t>电话：</w:t>
      </w:r>
      <w:r>
        <w:rPr>
          <w:rFonts w:hint="eastAsia" w:ascii="宋体" w:hAnsi="宋体"/>
          <w:u w:val="single"/>
        </w:rPr>
        <w:t>（职务）   （姓名）  （签字）</w:t>
      </w:r>
    </w:p>
    <w:p>
      <w:pPr>
        <w:spacing w:line="360" w:lineRule="auto"/>
        <w:ind w:right="-57" w:firstLine="840" w:firstLineChars="400"/>
        <w:rPr>
          <w:rFonts w:ascii="宋体" w:hAnsi="宋体"/>
        </w:rPr>
      </w:pPr>
      <w:r>
        <w:rPr>
          <w:rFonts w:hint="eastAsia" w:ascii="宋体" w:hAnsi="宋体"/>
        </w:rPr>
        <w:t>传真：           日期：    年    月    日</w:t>
      </w: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spacing w:line="360" w:lineRule="auto"/>
        <w:ind w:right="-57"/>
        <w:jc w:val="center"/>
        <w:rPr>
          <w:rFonts w:ascii="宋体" w:hAnsi="宋体"/>
          <w:b/>
          <w:sz w:val="24"/>
          <w:szCs w:val="24"/>
        </w:rPr>
      </w:pPr>
      <w:r>
        <w:rPr>
          <w:rFonts w:hint="eastAsia" w:ascii="宋体" w:hAnsi="宋体"/>
          <w:b/>
          <w:sz w:val="24"/>
          <w:szCs w:val="24"/>
        </w:rPr>
        <w:t>承诺函（中标后提供）</w:t>
      </w:r>
    </w:p>
    <w:p>
      <w:pPr>
        <w:spacing w:line="360" w:lineRule="auto"/>
        <w:ind w:right="-57"/>
        <w:rPr>
          <w:rFonts w:ascii="宋体" w:hAnsi="宋体"/>
        </w:rPr>
      </w:pPr>
    </w:p>
    <w:p>
      <w:pPr>
        <w:spacing w:line="360" w:lineRule="auto"/>
        <w:ind w:right="-57"/>
        <w:rPr>
          <w:rFonts w:ascii="宋体" w:hAnsi="宋体"/>
        </w:rPr>
      </w:pPr>
      <w:r>
        <w:rPr>
          <w:rFonts w:hint="eastAsia" w:ascii="宋体" w:hAnsi="宋体"/>
        </w:rPr>
        <w:t>南宁轨道交通运营有限公司：</w:t>
      </w:r>
    </w:p>
    <w:p>
      <w:pPr>
        <w:spacing w:line="360" w:lineRule="auto"/>
        <w:ind w:right="-57" w:firstLine="200"/>
        <w:rPr>
          <w:rFonts w:ascii="宋体" w:hAnsi="宋体"/>
        </w:rPr>
      </w:pPr>
      <w:r>
        <w:rPr>
          <w:rFonts w:hint="eastAsia" w:ascii="宋体" w:hAnsi="宋体"/>
        </w:rPr>
        <w:t>（以下称“本公司”）现已中标贵司比选的</w:t>
      </w:r>
      <w:r>
        <w:rPr>
          <w:rFonts w:hint="eastAsia" w:ascii="宋体" w:hAnsi="宋体"/>
          <w:u w:val="single"/>
        </w:rPr>
        <w:t xml:space="preserve">      （项目名称）</w:t>
      </w:r>
      <w:r>
        <w:rPr>
          <w:rFonts w:hint="eastAsia" w:ascii="宋体" w:hAnsi="宋体"/>
        </w:rPr>
        <w:t>，并拟签订正式合同，按合同规定需向贵司提供一份履约担保金额为人民币：</w:t>
      </w:r>
      <w:r>
        <w:rPr>
          <w:rFonts w:hint="eastAsia" w:ascii="宋体" w:hAnsi="宋体"/>
          <w:u w:val="single"/>
        </w:rPr>
        <w:t xml:space="preserve">         （￥   </w:t>
      </w:r>
      <w:r>
        <w:rPr>
          <w:rFonts w:hint="eastAsia" w:ascii="宋体" w:hAnsi="宋体"/>
        </w:rPr>
        <w:t>）的银行保函（保函编号：     ），有效期至X年X月X日。</w:t>
      </w:r>
    </w:p>
    <w:p>
      <w:pPr>
        <w:spacing w:line="360" w:lineRule="auto"/>
        <w:ind w:right="-57" w:firstLine="200"/>
        <w:rPr>
          <w:rFonts w:ascii="宋体" w:hAnsi="宋体"/>
        </w:rPr>
      </w:pPr>
      <w:r>
        <w:rPr>
          <w:rFonts w:hint="eastAsia" w:ascii="宋体" w:hAnsi="宋体"/>
        </w:rPr>
        <w:t>本公司现向贵司郑重承诺，如上述保函到期日仍未到合同约定的时间（</w:t>
      </w:r>
      <w:r>
        <w:rPr>
          <w:rFonts w:hint="eastAsia" w:ascii="宋体" w:hAnsi="宋体"/>
          <w:u w:val="single"/>
        </w:rPr>
        <w:t>全部货物验收合格之日后四十五（45）天</w:t>
      </w:r>
      <w:r>
        <w:rPr>
          <w:rFonts w:hint="eastAsia" w:ascii="宋体" w:hAnsi="宋体"/>
        </w:rPr>
        <w:t>），本公司将在保函到期前60天，无条件延长保函有效期。如未及时向贵司提供符合规定的银行保函，我司承担违约责任的一切后果。</w:t>
      </w:r>
    </w:p>
    <w:p>
      <w:pPr>
        <w:spacing w:line="360" w:lineRule="auto"/>
        <w:ind w:left="705" w:right="-57" w:hanging="285"/>
        <w:rPr>
          <w:rFonts w:ascii="宋体" w:hAnsi="宋体"/>
        </w:rPr>
      </w:pPr>
      <w:r>
        <w:rPr>
          <w:rFonts w:hint="eastAsia" w:ascii="宋体" w:hAnsi="宋体"/>
        </w:rPr>
        <w:t>特此承诺</w:t>
      </w:r>
    </w:p>
    <w:p>
      <w:pPr>
        <w:spacing w:line="360" w:lineRule="auto"/>
        <w:ind w:right="-57" w:firstLine="420"/>
        <w:rPr>
          <w:rFonts w:ascii="宋体" w:hAnsi="宋体"/>
        </w:rPr>
      </w:pPr>
    </w:p>
    <w:p>
      <w:pPr>
        <w:spacing w:line="360" w:lineRule="auto"/>
        <w:ind w:left="5040" w:right="-57" w:hanging="4935"/>
        <w:rPr>
          <w:rFonts w:ascii="宋体" w:hAnsi="宋体"/>
        </w:rPr>
      </w:pPr>
      <w:r>
        <w:rPr>
          <w:rFonts w:hint="eastAsia" w:ascii="宋体" w:hAnsi="宋体"/>
        </w:rPr>
        <w:t xml:space="preserve">                                                                                     承诺人：</w:t>
      </w:r>
    </w:p>
    <w:p>
      <w:pPr>
        <w:spacing w:line="360" w:lineRule="auto"/>
        <w:ind w:left="4935" w:right="-57" w:hanging="4830"/>
        <w:rPr>
          <w:rFonts w:ascii="宋体" w:hAnsi="宋体"/>
        </w:rPr>
      </w:pPr>
      <w:r>
        <w:rPr>
          <w:rFonts w:hint="eastAsia" w:ascii="宋体" w:hAnsi="宋体"/>
        </w:rPr>
        <w:t xml:space="preserve">                                                                                      X年X月X日</w:t>
      </w:r>
    </w:p>
    <w:p>
      <w:pPr>
        <w:spacing w:line="360" w:lineRule="auto"/>
        <w:ind w:right="-57" w:firstLine="200"/>
        <w:rPr>
          <w:rFonts w:ascii="宋体" w:hAnsi="宋体"/>
          <w:b/>
          <w:i/>
        </w:rPr>
      </w:pPr>
    </w:p>
    <w:p>
      <w:pPr>
        <w:tabs>
          <w:tab w:val="left" w:pos="1134"/>
          <w:tab w:val="left" w:pos="8364"/>
        </w:tabs>
        <w:spacing w:line="360" w:lineRule="auto"/>
        <w:ind w:right="-57"/>
        <w:rPr>
          <w:rFonts w:ascii="宋体" w:hAnsi="宋体"/>
          <w:b/>
          <w:sz w:val="24"/>
          <w:szCs w:val="24"/>
        </w:rPr>
      </w:pPr>
      <w:r>
        <w:rPr>
          <w:rFonts w:hint="eastAsia" w:ascii="宋体" w:hAnsi="宋体"/>
          <w:b/>
          <w:i/>
        </w:rPr>
        <w:t>（当选择银行保函格式第2种方式时开具银行保函的，必须提供本承诺书。）</w:t>
      </w: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rPr>
          <w:rFonts w:hAnsi="宋体"/>
          <w:b/>
          <w:sz w:val="24"/>
          <w:szCs w:val="24"/>
        </w:rPr>
      </w:pPr>
    </w:p>
    <w:p>
      <w:pPr>
        <w:pStyle w:val="2"/>
        <w:spacing w:line="360" w:lineRule="auto"/>
        <w:jc w:val="center"/>
        <w:outlineLvl w:val="0"/>
        <w:rPr>
          <w:rStyle w:val="92"/>
          <w:rFonts w:asciiTheme="minorEastAsia" w:hAnsiTheme="minorEastAsia" w:eastAsiaTheme="minorEastAsia"/>
        </w:rPr>
      </w:pPr>
      <w:bookmarkStart w:id="1527" w:name="_Toc13167"/>
      <w:bookmarkStart w:id="1528" w:name="_Toc32011"/>
      <w:bookmarkStart w:id="1529" w:name="_Toc27263"/>
      <w:bookmarkStart w:id="1530" w:name="_Toc4374"/>
      <w:bookmarkStart w:id="1531" w:name="_Toc17396"/>
      <w:bookmarkStart w:id="1532" w:name="_Toc28285"/>
      <w:bookmarkStart w:id="1533" w:name="_Toc28677"/>
      <w:bookmarkStart w:id="1534" w:name="_Toc6151"/>
      <w:bookmarkStart w:id="1535" w:name="_Toc21689"/>
      <w:bookmarkStart w:id="1536" w:name="_Toc25750673"/>
      <w:bookmarkStart w:id="1537" w:name="_Toc31574"/>
      <w:bookmarkStart w:id="1538" w:name="_Toc30920"/>
      <w:bookmarkStart w:id="1539" w:name="_Toc11320"/>
      <w:bookmarkStart w:id="1540" w:name="_Toc14790"/>
      <w:bookmarkStart w:id="1541" w:name="_Toc17261"/>
      <w:bookmarkStart w:id="1542" w:name="_Toc25306"/>
      <w:bookmarkStart w:id="1543" w:name="_Toc31873"/>
      <w:bookmarkStart w:id="1544" w:name="_Toc29546"/>
      <w:bookmarkStart w:id="1545" w:name="_Toc75771546"/>
      <w:bookmarkStart w:id="1546" w:name="_Toc7590"/>
      <w:r>
        <w:rPr>
          <w:rStyle w:val="92"/>
          <w:rFonts w:hint="eastAsia" w:asciiTheme="minorEastAsia" w:hAnsiTheme="minorEastAsia" w:eastAsiaTheme="minorEastAsia"/>
        </w:rPr>
        <w:t xml:space="preserve">第四章 </w:t>
      </w:r>
      <w:r>
        <w:rPr>
          <w:rStyle w:val="92"/>
          <w:rFonts w:asciiTheme="minorEastAsia" w:hAnsiTheme="minorEastAsia" w:eastAsiaTheme="minorEastAsia"/>
        </w:rPr>
        <w:t xml:space="preserve"> </w:t>
      </w:r>
      <w:r>
        <w:rPr>
          <w:rStyle w:val="92"/>
          <w:rFonts w:hint="eastAsia" w:asciiTheme="minorEastAsia" w:hAnsiTheme="minorEastAsia" w:eastAsiaTheme="minorEastAsia"/>
        </w:rPr>
        <w:t>比选申请文件格式</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2"/>
        <w:spacing w:line="360" w:lineRule="auto"/>
        <w:jc w:val="center"/>
        <w:rPr>
          <w:rStyle w:val="92"/>
          <w:rFonts w:asciiTheme="minorEastAsia" w:hAnsiTheme="minorEastAsia" w:eastAsiaTheme="minorEastAsia"/>
        </w:rPr>
      </w:pPr>
    </w:p>
    <w:p>
      <w:pPr>
        <w:pStyle w:val="4"/>
        <w:spacing w:line="360" w:lineRule="auto"/>
        <w:rPr>
          <w:sz w:val="24"/>
          <w:szCs w:val="24"/>
        </w:rPr>
      </w:pPr>
      <w:bookmarkStart w:id="1547" w:name="_Toc75771547"/>
      <w:bookmarkStart w:id="1548" w:name="_Toc25750674"/>
      <w:bookmarkStart w:id="1549" w:name="_Toc29724"/>
      <w:bookmarkStart w:id="1550" w:name="_Toc19412"/>
      <w:bookmarkStart w:id="1551" w:name="_Toc31535"/>
      <w:bookmarkStart w:id="1552" w:name="_Toc32185"/>
      <w:bookmarkStart w:id="1553" w:name="_Toc3396"/>
      <w:bookmarkStart w:id="1554" w:name="_Toc492478802"/>
      <w:bookmarkStart w:id="1555" w:name="_Toc24453"/>
      <w:bookmarkStart w:id="1556" w:name="_Toc12984805"/>
      <w:bookmarkStart w:id="1557" w:name="_Toc4027"/>
      <w:bookmarkStart w:id="1558" w:name="_Toc6941"/>
      <w:bookmarkStart w:id="1559" w:name="_Toc30705"/>
      <w:bookmarkStart w:id="1560" w:name="_Toc16671"/>
      <w:bookmarkStart w:id="1561" w:name="_Toc25325"/>
      <w:bookmarkStart w:id="1562" w:name="_Toc12983549"/>
      <w:bookmarkStart w:id="1563" w:name="_Toc22709"/>
      <w:bookmarkStart w:id="1564" w:name="_Toc361"/>
      <w:bookmarkStart w:id="1565" w:name="_Toc31624"/>
      <w:bookmarkStart w:id="1566" w:name="_Toc21274"/>
      <w:bookmarkStart w:id="1567" w:name="_Toc414290520"/>
      <w:bookmarkStart w:id="1568" w:name="_Toc24824"/>
      <w:bookmarkStart w:id="1569" w:name="_Toc23261"/>
      <w:bookmarkStart w:id="1570" w:name="_Toc4873"/>
      <w:r>
        <w:rPr>
          <w:sz w:val="24"/>
          <w:szCs w:val="24"/>
        </w:rPr>
        <w:t>A   资格审查</w:t>
      </w:r>
      <w:r>
        <w:rPr>
          <w:rFonts w:hint="eastAsia"/>
          <w:sz w:val="24"/>
          <w:szCs w:val="24"/>
        </w:rPr>
        <w:t>文件</w:t>
      </w:r>
      <w:bookmarkEnd w:id="1547"/>
      <w:bookmarkEnd w:id="1548"/>
      <w:bookmarkEnd w:id="1549"/>
    </w:p>
    <w:p>
      <w:pPr>
        <w:spacing w:line="360" w:lineRule="auto"/>
        <w:ind w:firstLine="422" w:firstLineChars="200"/>
        <w:jc w:val="left"/>
        <w:rPr>
          <w:rFonts w:ascii="宋体" w:hAnsi="宋体"/>
          <w:b/>
        </w:rPr>
      </w:pPr>
      <w:r>
        <w:rPr>
          <w:rFonts w:ascii="宋体" w:hAnsi="宋体"/>
          <w:b/>
        </w:rPr>
        <w:t>资格审查文件格式</w:t>
      </w:r>
    </w:p>
    <w:p>
      <w:pPr>
        <w:tabs>
          <w:tab w:val="left" w:pos="1134"/>
        </w:tabs>
        <w:spacing w:line="360" w:lineRule="auto"/>
        <w:ind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line="360" w:lineRule="auto"/>
        <w:ind w:firstLine="420" w:firstLineChars="200"/>
      </w:pPr>
      <w:r>
        <w:rPr>
          <w:rFonts w:hint="eastAsia" w:hAnsi="宋体"/>
        </w:rPr>
        <w:t>（2）比选申请人有效的营业执照副本复印件；</w:t>
      </w:r>
    </w:p>
    <w:p>
      <w:pPr>
        <w:spacing w:line="360" w:lineRule="auto"/>
        <w:ind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line="360" w:lineRule="auto"/>
        <w:ind w:firstLine="420" w:firstLineChars="200"/>
      </w:pPr>
      <w:r>
        <w:rPr>
          <w:rFonts w:hint="eastAsia" w:hAnsi="宋体"/>
        </w:rPr>
        <w:t>（4）比选申请人认为应提交的其他比选申请资料（如有）。</w:t>
      </w:r>
    </w:p>
    <w:p>
      <w:pPr>
        <w:spacing w:line="360" w:lineRule="auto"/>
        <w:ind w:firstLine="567" w:firstLineChars="270"/>
      </w:pPr>
      <w:r>
        <w:rPr>
          <w:rFonts w:hint="eastAsia" w:hAnsi="宋体"/>
        </w:rPr>
        <w:t>注：</w:t>
      </w:r>
      <w:r>
        <w:rPr>
          <w:rFonts w:hAnsi="宋体"/>
        </w:rPr>
        <w:t>以上提供的复印件必须加盖比选申请人公章。</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4"/>
        <w:spacing w:line="360" w:lineRule="auto"/>
        <w:rPr>
          <w:rFonts w:ascii="宋体" w:hAnsi="宋体"/>
          <w:sz w:val="21"/>
          <w:szCs w:val="21"/>
        </w:rPr>
      </w:pPr>
      <w:bookmarkStart w:id="1571" w:name="_Toc10238"/>
      <w:bookmarkStart w:id="1572" w:name="_Toc492478804"/>
      <w:bookmarkStart w:id="1573" w:name="_Toc8868"/>
      <w:bookmarkStart w:id="1574" w:name="_Toc32455"/>
      <w:bookmarkStart w:id="1575" w:name="_Toc13389"/>
      <w:bookmarkStart w:id="1576" w:name="_Toc10433"/>
      <w:bookmarkStart w:id="1577" w:name="_Toc75771548"/>
      <w:bookmarkStart w:id="1578" w:name="_Toc3499"/>
      <w:bookmarkStart w:id="1579" w:name="_Toc9658"/>
      <w:bookmarkStart w:id="1580" w:name="_Toc4125"/>
      <w:bookmarkStart w:id="1581" w:name="_Toc375564351"/>
      <w:bookmarkStart w:id="1582" w:name="_Toc956"/>
      <w:bookmarkStart w:id="1583" w:name="_Toc22533"/>
      <w:bookmarkStart w:id="1584" w:name="_Toc20671"/>
      <w:bookmarkStart w:id="1585" w:name="_Toc12984807"/>
      <w:bookmarkStart w:id="1586" w:name="_Toc414290522"/>
      <w:bookmarkStart w:id="1587" w:name="_Toc16089"/>
      <w:bookmarkStart w:id="1588" w:name="_Toc24436"/>
      <w:bookmarkStart w:id="1589" w:name="_Toc7057"/>
      <w:bookmarkStart w:id="1590" w:name="_Toc10789"/>
      <w:bookmarkStart w:id="1591" w:name="_Toc20283"/>
      <w:bookmarkStart w:id="1592" w:name="_Toc15696"/>
      <w:bookmarkStart w:id="1593" w:name="_Toc25750675"/>
      <w:bookmarkStart w:id="1594" w:name="_Toc20029"/>
      <w:bookmarkStart w:id="1595" w:name="_Toc11606"/>
      <w:r>
        <w:rPr>
          <w:rFonts w:hint="eastAsia" w:ascii="宋体" w:hAnsi="宋体"/>
          <w:b w:val="0"/>
          <w:sz w:val="21"/>
          <w:szCs w:val="21"/>
        </w:rPr>
        <w:t>A</w:t>
      </w:r>
      <w:r>
        <w:rPr>
          <w:rFonts w:ascii="宋体" w:hAnsi="宋体"/>
          <w:b w:val="0"/>
          <w:sz w:val="21"/>
          <w:szCs w:val="21"/>
        </w:rPr>
        <w:t xml:space="preserve">1 </w:t>
      </w:r>
      <w:r>
        <w:rPr>
          <w:rFonts w:ascii="宋体" w:hAnsi="宋体"/>
          <w:sz w:val="21"/>
          <w:szCs w:val="21"/>
        </w:rPr>
        <w:t>法定代表人授权书格式</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spacing w:before="240" w:after="240" w:line="360" w:lineRule="auto"/>
        <w:jc w:val="center"/>
        <w:rPr>
          <w:rFonts w:ascii="宋体" w:hAnsi="宋体"/>
          <w:b/>
          <w:sz w:val="32"/>
          <w:szCs w:val="32"/>
        </w:rPr>
      </w:pPr>
      <w:r>
        <w:rPr>
          <w:rFonts w:ascii="宋体" w:hAnsi="宋体"/>
          <w:b/>
          <w:sz w:val="32"/>
          <w:szCs w:val="32"/>
        </w:rPr>
        <w:t>法定代表人授权书</w:t>
      </w:r>
    </w:p>
    <w:p>
      <w:pPr>
        <w:tabs>
          <w:tab w:val="left" w:pos="8364"/>
        </w:tabs>
        <w:snapToGrid w:val="0"/>
        <w:spacing w:line="360" w:lineRule="auto"/>
        <w:ind w:left="500" w:hanging="499"/>
        <w:rPr>
          <w:rFonts w:ascii="宋体" w:hAnsi="宋体"/>
        </w:rPr>
      </w:pPr>
    </w:p>
    <w:p>
      <w:pPr>
        <w:tabs>
          <w:tab w:val="left" w:pos="8364"/>
        </w:tabs>
        <w:snapToGrid w:val="0"/>
        <w:spacing w:line="360" w:lineRule="auto"/>
        <w:ind w:left="500" w:hanging="499"/>
        <w:rPr>
          <w:rFonts w:ascii="宋体" w:hAnsi="宋体"/>
        </w:rPr>
      </w:pPr>
      <w:r>
        <w:rPr>
          <w:rFonts w:ascii="宋体" w:hAnsi="宋体"/>
        </w:rPr>
        <w:t>致：南宁轨道交通</w:t>
      </w:r>
      <w:r>
        <w:rPr>
          <w:rFonts w:hint="eastAsia" w:ascii="宋体" w:hAnsi="宋体"/>
        </w:rPr>
        <w:t>运营</w:t>
      </w:r>
      <w:r>
        <w:rPr>
          <w:rFonts w:ascii="宋体" w:hAnsi="宋体"/>
        </w:rPr>
        <w:t>有限公司</w:t>
      </w:r>
    </w:p>
    <w:p>
      <w:pPr>
        <w:tabs>
          <w:tab w:val="left" w:pos="8364"/>
        </w:tabs>
        <w:snapToGrid w:val="0"/>
        <w:spacing w:line="360" w:lineRule="auto"/>
        <w:ind w:firstLine="420" w:firstLineChars="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w:t>
      </w:r>
      <w:r>
        <w:rPr>
          <w:rFonts w:hint="eastAsia" w:ascii="宋体" w:hAnsi="宋体"/>
          <w:u w:val="single"/>
        </w:rPr>
        <w:t xml:space="preserve">           </w:t>
      </w:r>
      <w:r>
        <w:rPr>
          <w:rFonts w:ascii="宋体" w:hAnsi="宋体"/>
        </w:rPr>
        <w:t>的比选申请和合同执行，作为比选申请人代表以本公司的名义处理一切与之有关的事宜。</w:t>
      </w:r>
    </w:p>
    <w:p>
      <w:pPr>
        <w:tabs>
          <w:tab w:val="left" w:pos="8364"/>
        </w:tabs>
        <w:snapToGrid w:val="0"/>
        <w:spacing w:line="360" w:lineRule="auto"/>
        <w:ind w:firstLine="420" w:firstLineChars="200"/>
        <w:rPr>
          <w:rFonts w:ascii="宋体" w:hAnsi="宋体"/>
        </w:rPr>
      </w:pPr>
      <w:r>
        <w:rPr>
          <w:rFonts w:ascii="宋体" w:hAnsi="宋体"/>
        </w:rPr>
        <w:t>本授权书于</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日签字生效，特此声明。</w:t>
      </w:r>
    </w:p>
    <w:p>
      <w:pPr>
        <w:tabs>
          <w:tab w:val="left" w:pos="8364"/>
        </w:tabs>
        <w:snapToGrid w:val="0"/>
        <w:spacing w:line="360" w:lineRule="auto"/>
        <w:ind w:firstLine="200"/>
        <w:rPr>
          <w:rFonts w:ascii="宋体" w:hAnsi="宋体"/>
        </w:rPr>
      </w:pPr>
    </w:p>
    <w:p>
      <w:pPr>
        <w:tabs>
          <w:tab w:val="left" w:pos="8364"/>
        </w:tabs>
        <w:snapToGrid w:val="0"/>
        <w:spacing w:line="360" w:lineRule="auto"/>
        <w:ind w:firstLine="420" w:firstLineChars="200"/>
        <w:rPr>
          <w:rFonts w:ascii="宋体" w:hAnsi="宋体"/>
          <w:u w:val="single"/>
        </w:rPr>
      </w:pPr>
      <w:r>
        <w:rPr>
          <w:rFonts w:ascii="宋体" w:hAnsi="宋体"/>
        </w:rPr>
        <w:t>法定代表人签字或盖章：</w:t>
      </w:r>
    </w:p>
    <w:p>
      <w:pPr>
        <w:tabs>
          <w:tab w:val="left" w:pos="8364"/>
        </w:tabs>
        <w:snapToGrid w:val="0"/>
        <w:spacing w:line="360" w:lineRule="auto"/>
        <w:ind w:firstLine="420" w:firstLineChars="200"/>
        <w:rPr>
          <w:rFonts w:ascii="宋体" w:hAnsi="宋体"/>
          <w:u w:val="single"/>
        </w:rPr>
      </w:pPr>
      <w:r>
        <w:rPr>
          <w:rFonts w:ascii="宋体" w:hAnsi="宋体"/>
        </w:rPr>
        <w:t>职务：</w:t>
      </w:r>
    </w:p>
    <w:p>
      <w:pPr>
        <w:tabs>
          <w:tab w:val="left" w:pos="8364"/>
        </w:tabs>
        <w:snapToGrid w:val="0"/>
        <w:spacing w:line="360" w:lineRule="auto"/>
        <w:ind w:firstLine="420" w:firstLineChars="200"/>
        <w:rPr>
          <w:rFonts w:ascii="宋体" w:hAnsi="宋体"/>
        </w:rPr>
      </w:pPr>
      <w:r>
        <w:rPr>
          <w:rFonts w:ascii="宋体" w:hAnsi="宋体"/>
        </w:rPr>
        <w:t>单位名称：</w:t>
      </w:r>
      <w:r>
        <w:rPr>
          <w:rFonts w:ascii="宋体" w:hAnsi="宋体"/>
          <w:u w:val="single"/>
        </w:rPr>
        <w:t>（公章）</w:t>
      </w:r>
    </w:p>
    <w:p>
      <w:pPr>
        <w:tabs>
          <w:tab w:val="left" w:pos="8364"/>
        </w:tabs>
        <w:snapToGrid w:val="0"/>
        <w:spacing w:line="360" w:lineRule="auto"/>
        <w:ind w:firstLine="420" w:firstLineChars="200"/>
        <w:rPr>
          <w:rFonts w:ascii="宋体" w:hAnsi="宋体"/>
          <w:u w:val="single"/>
        </w:rPr>
      </w:pPr>
      <w:r>
        <w:rPr>
          <w:rFonts w:ascii="宋体" w:hAnsi="宋体"/>
        </w:rPr>
        <w:t>地址：</w:t>
      </w:r>
    </w:p>
    <w:p>
      <w:pPr>
        <w:tabs>
          <w:tab w:val="left" w:pos="8364"/>
        </w:tabs>
        <w:snapToGrid w:val="0"/>
        <w:spacing w:line="360" w:lineRule="auto"/>
        <w:ind w:firstLine="200"/>
        <w:rPr>
          <w:rFonts w:ascii="宋体" w:hAnsi="宋体"/>
        </w:rPr>
      </w:pPr>
    </w:p>
    <w:p>
      <w:pPr>
        <w:tabs>
          <w:tab w:val="left" w:pos="8364"/>
        </w:tabs>
        <w:snapToGrid w:val="0"/>
        <w:spacing w:line="360" w:lineRule="auto"/>
        <w:ind w:firstLine="420" w:firstLineChars="200"/>
        <w:rPr>
          <w:rFonts w:ascii="宋体" w:hAnsi="宋体"/>
          <w:u w:val="single"/>
        </w:rPr>
      </w:pPr>
      <w:r>
        <w:rPr>
          <w:rFonts w:ascii="宋体" w:hAnsi="宋体"/>
        </w:rPr>
        <w:t>比选申请人代表（被授权人）签字或盖章：</w:t>
      </w:r>
    </w:p>
    <w:p>
      <w:pPr>
        <w:tabs>
          <w:tab w:val="left" w:pos="8364"/>
        </w:tabs>
        <w:snapToGrid w:val="0"/>
        <w:spacing w:line="360" w:lineRule="auto"/>
        <w:ind w:firstLine="420" w:firstLineChars="200"/>
        <w:rPr>
          <w:rFonts w:ascii="宋体" w:hAnsi="宋体"/>
          <w:u w:val="single"/>
        </w:rPr>
      </w:pPr>
      <w:r>
        <w:rPr>
          <w:rFonts w:ascii="宋体" w:hAnsi="宋体"/>
        </w:rPr>
        <w:t>职务：</w:t>
      </w:r>
    </w:p>
    <w:p>
      <w:pPr>
        <w:tabs>
          <w:tab w:val="left" w:pos="8364"/>
        </w:tabs>
        <w:snapToGrid w:val="0"/>
        <w:spacing w:line="360" w:lineRule="auto"/>
        <w:ind w:firstLine="420" w:firstLineChars="200"/>
        <w:rPr>
          <w:rFonts w:ascii="宋体" w:hAnsi="宋体"/>
        </w:rPr>
      </w:pPr>
      <w:r>
        <w:rPr>
          <w:rFonts w:ascii="宋体" w:hAnsi="宋体"/>
        </w:rPr>
        <w:t>单位名称：</w:t>
      </w:r>
      <w:r>
        <w:rPr>
          <w:rFonts w:ascii="宋体" w:hAnsi="宋体"/>
          <w:u w:val="single"/>
        </w:rPr>
        <w:t>（公章）</w:t>
      </w:r>
    </w:p>
    <w:p>
      <w:pPr>
        <w:tabs>
          <w:tab w:val="left" w:pos="8364"/>
        </w:tabs>
        <w:snapToGrid w:val="0"/>
        <w:spacing w:line="360" w:lineRule="auto"/>
        <w:ind w:firstLine="420" w:firstLineChars="200"/>
        <w:rPr>
          <w:rFonts w:ascii="宋体" w:hAnsi="宋体"/>
          <w:u w:val="single"/>
        </w:rPr>
      </w:pPr>
      <w:r>
        <w:rPr>
          <w:rFonts w:ascii="宋体" w:hAnsi="宋体"/>
        </w:rPr>
        <w:t>地址：</w:t>
      </w:r>
    </w:p>
    <w:p>
      <w:pPr>
        <w:spacing w:line="360" w:lineRule="auto"/>
        <w:ind w:firstLine="135"/>
        <w:rPr>
          <w:rFonts w:ascii="宋体" w:hAnsi="宋体"/>
          <w:b/>
        </w:rPr>
      </w:pPr>
    </w:p>
    <w:p>
      <w:pPr>
        <w:spacing w:line="360" w:lineRule="auto"/>
        <w:ind w:firstLine="422" w:firstLineChars="200"/>
        <w:rPr>
          <w:rFonts w:ascii="宋体" w:hAnsi="宋体"/>
          <w:b/>
        </w:rPr>
      </w:pPr>
      <w:r>
        <w:rPr>
          <w:rFonts w:hint="eastAsia" w:ascii="宋体" w:hAnsi="宋体"/>
          <w:b/>
        </w:rPr>
        <w:t>附：授权代理人身份证复印件</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4"/>
        <w:spacing w:line="360" w:lineRule="auto"/>
        <w:rPr>
          <w:rFonts w:ascii="宋体" w:hAnsi="宋体"/>
          <w:sz w:val="21"/>
          <w:szCs w:val="21"/>
        </w:rPr>
      </w:pPr>
      <w:bookmarkStart w:id="1596" w:name="_Toc27657"/>
      <w:bookmarkStart w:id="1597" w:name="_Toc8654"/>
      <w:bookmarkStart w:id="1598" w:name="_Toc15980"/>
      <w:bookmarkStart w:id="1599" w:name="_Toc31808"/>
      <w:bookmarkStart w:id="1600" w:name="_Toc26713"/>
      <w:bookmarkStart w:id="1601" w:name="_Toc19744"/>
      <w:bookmarkStart w:id="1602" w:name="_Toc24322"/>
      <w:bookmarkStart w:id="1603" w:name="_Toc17964"/>
      <w:bookmarkStart w:id="1604" w:name="_Toc12984808"/>
      <w:bookmarkStart w:id="1605" w:name="_Toc13634"/>
      <w:bookmarkStart w:id="1606" w:name="_Toc375564352"/>
      <w:bookmarkStart w:id="1607" w:name="_Toc13798"/>
      <w:bookmarkStart w:id="1608" w:name="_Toc9583"/>
      <w:bookmarkStart w:id="1609" w:name="_Toc25750676"/>
      <w:bookmarkStart w:id="1610" w:name="_Toc7753"/>
      <w:bookmarkStart w:id="1611" w:name="_Toc13606"/>
      <w:bookmarkStart w:id="1612" w:name="_Toc20436"/>
      <w:bookmarkStart w:id="1613" w:name="_Toc7273"/>
      <w:bookmarkStart w:id="1614" w:name="_Toc492478805"/>
      <w:bookmarkStart w:id="1615" w:name="_Toc9757"/>
      <w:bookmarkStart w:id="1616" w:name="_Toc414290523"/>
      <w:bookmarkStart w:id="1617" w:name="_Toc27722"/>
      <w:bookmarkStart w:id="1618" w:name="_Toc15572"/>
      <w:bookmarkStart w:id="1619" w:name="_Toc75771549"/>
      <w:bookmarkStart w:id="1620" w:name="_Toc11973"/>
      <w:r>
        <w:rPr>
          <w:rFonts w:hint="eastAsia" w:ascii="宋体" w:hAnsi="宋体"/>
          <w:b w:val="0"/>
          <w:sz w:val="21"/>
          <w:szCs w:val="21"/>
        </w:rPr>
        <w:t>A</w:t>
      </w:r>
      <w:r>
        <w:rPr>
          <w:rFonts w:ascii="宋体" w:hAnsi="宋体"/>
          <w:b w:val="0"/>
          <w:sz w:val="21"/>
          <w:szCs w:val="21"/>
        </w:rPr>
        <w:t xml:space="preserve">2 </w:t>
      </w:r>
      <w:r>
        <w:rPr>
          <w:rFonts w:ascii="宋体" w:hAnsi="宋体"/>
          <w:sz w:val="21"/>
          <w:szCs w:val="21"/>
        </w:rPr>
        <w:t>法定代表人资格证明书格式</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spacing w:line="360" w:lineRule="auto"/>
        <w:ind w:firstLine="200"/>
        <w:rPr>
          <w:rFonts w:ascii="宋体" w:hAnsi="宋体"/>
        </w:rPr>
      </w:pPr>
    </w:p>
    <w:p>
      <w:pPr>
        <w:spacing w:before="240" w:after="240" w:line="360" w:lineRule="auto"/>
        <w:jc w:val="center"/>
        <w:rPr>
          <w:rFonts w:ascii="宋体" w:hAnsi="宋体"/>
          <w:b/>
          <w:sz w:val="32"/>
          <w:szCs w:val="32"/>
        </w:rPr>
      </w:pPr>
      <w:r>
        <w:rPr>
          <w:rFonts w:ascii="宋体" w:hAnsi="宋体"/>
          <w:b/>
          <w:sz w:val="32"/>
          <w:szCs w:val="32"/>
        </w:rPr>
        <w:t>法定代表人资格证明书</w:t>
      </w:r>
    </w:p>
    <w:p>
      <w:pPr>
        <w:spacing w:line="360" w:lineRule="auto"/>
        <w:ind w:firstLine="200"/>
        <w:rPr>
          <w:rFonts w:ascii="宋体" w:hAnsi="宋体"/>
          <w:u w:val="single"/>
        </w:rPr>
      </w:pPr>
      <w:r>
        <w:rPr>
          <w:rFonts w:ascii="宋体" w:hAnsi="宋体"/>
        </w:rPr>
        <w:t>单位名称：</w:t>
      </w:r>
    </w:p>
    <w:p>
      <w:pPr>
        <w:spacing w:line="360" w:lineRule="auto"/>
        <w:ind w:firstLine="200"/>
        <w:rPr>
          <w:rFonts w:ascii="宋体" w:hAnsi="宋体"/>
          <w:u w:val="single"/>
        </w:rPr>
      </w:pPr>
      <w:r>
        <w:rPr>
          <w:rFonts w:ascii="宋体" w:hAnsi="宋体"/>
        </w:rPr>
        <w:t>地址：</w:t>
      </w:r>
    </w:p>
    <w:p>
      <w:pPr>
        <w:spacing w:line="360" w:lineRule="auto"/>
        <w:ind w:firstLine="200"/>
        <w:rPr>
          <w:rFonts w:ascii="宋体" w:hAnsi="宋体"/>
          <w:u w:val="single"/>
        </w:rPr>
      </w:pPr>
      <w:r>
        <w:rPr>
          <w:rFonts w:ascii="宋体" w:hAnsi="宋体"/>
        </w:rPr>
        <w:t>姓名：性别：年龄：职务：</w:t>
      </w:r>
    </w:p>
    <w:p>
      <w:pPr>
        <w:spacing w:line="360" w:lineRule="auto"/>
        <w:ind w:firstLine="200"/>
        <w:rPr>
          <w:rFonts w:ascii="宋体" w:hAnsi="宋体"/>
        </w:rPr>
      </w:pPr>
      <w:r>
        <w:rPr>
          <w:rFonts w:ascii="宋体" w:hAnsi="宋体"/>
        </w:rPr>
        <w:t>系的法定代表人。</w:t>
      </w:r>
    </w:p>
    <w:p>
      <w:pPr>
        <w:spacing w:line="360" w:lineRule="auto"/>
        <w:ind w:firstLine="200"/>
        <w:rPr>
          <w:rFonts w:ascii="宋体" w:hAnsi="宋体"/>
        </w:rPr>
      </w:pPr>
      <w:r>
        <w:rPr>
          <w:rFonts w:ascii="宋体" w:hAnsi="宋体"/>
        </w:rPr>
        <w:t>特此证明。</w:t>
      </w:r>
    </w:p>
    <w:p>
      <w:pPr>
        <w:spacing w:line="360" w:lineRule="auto"/>
        <w:ind w:firstLine="200"/>
        <w:rPr>
          <w:rFonts w:ascii="宋体" w:hAnsi="宋体"/>
        </w:rPr>
      </w:pPr>
    </w:p>
    <w:p>
      <w:pPr>
        <w:spacing w:line="360" w:lineRule="auto"/>
        <w:ind w:firstLine="200"/>
        <w:rPr>
          <w:rFonts w:ascii="宋体" w:hAnsi="宋体"/>
          <w:u w:val="single"/>
        </w:rPr>
      </w:pPr>
      <w:r>
        <w:rPr>
          <w:rFonts w:ascii="宋体" w:hAnsi="宋体"/>
        </w:rPr>
        <w:t>比选申请人：（盖章）</w:t>
      </w:r>
    </w:p>
    <w:p>
      <w:pPr>
        <w:spacing w:line="360" w:lineRule="auto"/>
        <w:ind w:firstLine="200"/>
        <w:rPr>
          <w:rFonts w:ascii="宋体" w:hAnsi="宋体"/>
        </w:rPr>
      </w:pPr>
      <w:r>
        <w:rPr>
          <w:rFonts w:ascii="宋体" w:hAnsi="宋体"/>
        </w:rPr>
        <w:t>日期：年月日</w:t>
      </w:r>
    </w:p>
    <w:p>
      <w:pPr>
        <w:spacing w:line="360" w:lineRule="auto"/>
        <w:ind w:firstLine="211" w:firstLineChars="100"/>
        <w:rPr>
          <w:rFonts w:ascii="宋体" w:hAnsi="宋体"/>
          <w:b/>
        </w:rPr>
      </w:pPr>
    </w:p>
    <w:p>
      <w:pPr>
        <w:spacing w:line="360" w:lineRule="auto"/>
        <w:ind w:firstLine="211" w:firstLineChars="100"/>
        <w:rPr>
          <w:rFonts w:ascii="宋体" w:hAnsi="宋体"/>
          <w:b/>
        </w:rPr>
      </w:pPr>
      <w:r>
        <w:rPr>
          <w:rFonts w:hint="eastAsia" w:ascii="宋体" w:hAnsi="宋体"/>
          <w:b/>
        </w:rPr>
        <w:t>附</w:t>
      </w:r>
      <w:r>
        <w:rPr>
          <w:rFonts w:ascii="宋体" w:hAnsi="宋体"/>
          <w:b/>
        </w:rPr>
        <w:t xml:space="preserve">: </w:t>
      </w:r>
      <w:r>
        <w:rPr>
          <w:rFonts w:hint="eastAsia" w:ascii="宋体" w:hAnsi="宋体"/>
          <w:b/>
        </w:rPr>
        <w:t>法人身份证复印件</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4"/>
        <w:spacing w:line="360" w:lineRule="auto"/>
        <w:rPr>
          <w:rFonts w:ascii="宋体" w:hAnsi="宋体"/>
          <w:sz w:val="21"/>
          <w:szCs w:val="21"/>
        </w:rPr>
      </w:pPr>
      <w:bookmarkStart w:id="1621" w:name="_Toc14931"/>
      <w:bookmarkStart w:id="1622" w:name="_Toc75771550"/>
      <w:r>
        <w:rPr>
          <w:rFonts w:ascii="宋体" w:hAnsi="宋体"/>
          <w:b w:val="0"/>
          <w:sz w:val="21"/>
          <w:szCs w:val="21"/>
        </w:rPr>
        <w:t xml:space="preserve">A3 </w:t>
      </w:r>
      <w:r>
        <w:rPr>
          <w:rFonts w:ascii="宋体" w:hAnsi="宋体"/>
          <w:sz w:val="21"/>
          <w:szCs w:val="21"/>
        </w:rPr>
        <w:t>承诺书格式</w:t>
      </w:r>
      <w:bookmarkEnd w:id="1621"/>
      <w:bookmarkEnd w:id="1622"/>
    </w:p>
    <w:p>
      <w:pPr>
        <w:spacing w:before="240" w:after="240" w:line="360" w:lineRule="auto"/>
        <w:jc w:val="center"/>
        <w:rPr>
          <w:rFonts w:ascii="宋体" w:hAnsi="宋体"/>
          <w:b/>
          <w:sz w:val="32"/>
          <w:szCs w:val="32"/>
        </w:rPr>
      </w:pPr>
      <w:r>
        <w:rPr>
          <w:rFonts w:ascii="宋体" w:hAnsi="宋体"/>
          <w:b/>
          <w:sz w:val="32"/>
          <w:szCs w:val="32"/>
        </w:rPr>
        <w:t>承诺书</w:t>
      </w:r>
    </w:p>
    <w:p>
      <w:pPr>
        <w:spacing w:line="360" w:lineRule="auto"/>
        <w:ind w:firstLine="420" w:firstLineChars="200"/>
        <w:jc w:val="left"/>
        <w:rPr>
          <w:rFonts w:ascii="宋体" w:hAnsi="宋体"/>
        </w:rPr>
      </w:pPr>
      <w:r>
        <w:rPr>
          <w:rFonts w:ascii="宋体" w:hAnsi="宋体"/>
        </w:rPr>
        <w:t>致：南宁轨道交通</w:t>
      </w:r>
      <w:r>
        <w:rPr>
          <w:rFonts w:hint="eastAsia" w:ascii="宋体" w:hAnsi="宋体"/>
        </w:rPr>
        <w:t>运营</w:t>
      </w:r>
      <w:r>
        <w:rPr>
          <w:rFonts w:ascii="宋体" w:hAnsi="宋体"/>
        </w:rPr>
        <w:t>有限公司</w:t>
      </w:r>
    </w:p>
    <w:p>
      <w:pPr>
        <w:spacing w:line="360" w:lineRule="auto"/>
        <w:ind w:firstLine="420" w:firstLineChars="200"/>
        <w:jc w:val="left"/>
        <w:rPr>
          <w:rFonts w:ascii="宋体" w:hAnsi="宋体"/>
        </w:rPr>
      </w:pPr>
      <w:r>
        <w:rPr>
          <w:rFonts w:ascii="宋体" w:hAnsi="宋体"/>
        </w:rPr>
        <w:t>1、在认真研读南宁轨道交通</w:t>
      </w:r>
      <w:r>
        <w:rPr>
          <w:rFonts w:hint="eastAsia" w:ascii="宋体" w:hAnsi="宋体"/>
        </w:rPr>
        <w:t>运营</w:t>
      </w:r>
      <w:r>
        <w:rPr>
          <w:rFonts w:ascii="宋体" w:hAnsi="宋体"/>
        </w:rPr>
        <w:t>有限公司</w:t>
      </w:r>
      <w:r>
        <w:rPr>
          <w:rFonts w:hint="eastAsia" w:ascii="宋体" w:hAnsi="宋体"/>
        </w:rPr>
        <w:t>的</w:t>
      </w:r>
      <w:r>
        <w:rPr>
          <w:rFonts w:hint="eastAsia" w:ascii="宋体" w:hAnsi="宋体"/>
          <w:u w:val="single"/>
        </w:rPr>
        <w:t xml:space="preserve">     </w:t>
      </w:r>
      <w:r>
        <w:rPr>
          <w:rFonts w:hint="eastAsia" w:ascii="宋体" w:hAnsi="宋体"/>
        </w:rPr>
        <w:t>比选文件</w:t>
      </w:r>
      <w:r>
        <w:rPr>
          <w:rFonts w:ascii="宋体" w:hAnsi="宋体"/>
        </w:rPr>
        <w:t>后，我方经慎重考虑，郑重承诺参加</w:t>
      </w:r>
      <w:r>
        <w:rPr>
          <w:rFonts w:hint="eastAsia" w:ascii="宋体" w:hAnsi="宋体"/>
          <w:u w:val="single"/>
        </w:rPr>
        <w:t xml:space="preserve">         </w:t>
      </w:r>
      <w:r>
        <w:rPr>
          <w:rFonts w:hint="eastAsia" w:ascii="宋体" w:hAnsi="宋体"/>
        </w:rPr>
        <w:t>项目的招比选申请</w:t>
      </w:r>
      <w:r>
        <w:rPr>
          <w:rFonts w:ascii="宋体" w:hAnsi="宋体"/>
        </w:rPr>
        <w:t>活动。</w:t>
      </w:r>
    </w:p>
    <w:p>
      <w:pPr>
        <w:spacing w:line="360" w:lineRule="auto"/>
        <w:ind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line="360" w:lineRule="auto"/>
        <w:ind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line="360" w:lineRule="auto"/>
        <w:ind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line="360" w:lineRule="auto"/>
        <w:ind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line="360" w:lineRule="auto"/>
        <w:ind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line="360" w:lineRule="auto"/>
        <w:ind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line="360" w:lineRule="auto"/>
        <w:ind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line="360" w:lineRule="auto"/>
        <w:ind w:firstLine="200"/>
        <w:rPr>
          <w:rFonts w:ascii="宋体" w:hAnsi="宋体"/>
          <w:u w:val="single"/>
        </w:rPr>
      </w:pPr>
      <w:r>
        <w:rPr>
          <w:rFonts w:hint="eastAsia" w:ascii="宋体" w:hAnsi="宋体"/>
        </w:rPr>
        <w:t>比选申请人</w:t>
      </w:r>
      <w:r>
        <w:rPr>
          <w:rFonts w:ascii="宋体" w:hAnsi="宋体"/>
        </w:rPr>
        <w:t>地址：</w:t>
      </w:r>
      <w:r>
        <w:rPr>
          <w:rFonts w:hint="eastAsia" w:ascii="宋体" w:hAnsi="宋体"/>
        </w:rPr>
        <w:t xml:space="preserve"> </w:t>
      </w:r>
      <w:r>
        <w:rPr>
          <w:rFonts w:ascii="宋体" w:hAnsi="宋体"/>
        </w:rPr>
        <w:t xml:space="preserve">                                </w:t>
      </w: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line="360" w:lineRule="auto"/>
        <w:ind w:firstLine="200"/>
        <w:rPr>
          <w:rFonts w:ascii="宋体" w:hAnsi="宋体"/>
          <w:u w:val="single"/>
        </w:rPr>
      </w:pPr>
      <w:r>
        <w:rPr>
          <w:rFonts w:ascii="宋体" w:hAnsi="宋体"/>
        </w:rPr>
        <w:t>邮政编码：</w:t>
      </w:r>
      <w:r>
        <w:rPr>
          <w:rFonts w:hint="eastAsia" w:ascii="宋体" w:hAnsi="宋体"/>
        </w:rPr>
        <w:t xml:space="preserve"> </w:t>
      </w:r>
      <w:r>
        <w:rPr>
          <w:rFonts w:ascii="宋体" w:hAnsi="宋体"/>
        </w:rPr>
        <w:t xml:space="preserve">                        </w:t>
      </w: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line="360" w:lineRule="auto"/>
        <w:ind w:firstLine="200"/>
        <w:rPr>
          <w:rFonts w:ascii="宋体" w:hAnsi="宋体"/>
          <w:u w:val="single"/>
        </w:rPr>
      </w:pPr>
      <w:r>
        <w:rPr>
          <w:rFonts w:ascii="宋体" w:hAnsi="宋体"/>
        </w:rPr>
        <w:t>电话：　　</w:t>
      </w:r>
    </w:p>
    <w:p>
      <w:pPr>
        <w:spacing w:line="360" w:lineRule="auto"/>
        <w:ind w:firstLine="200"/>
        <w:rPr>
          <w:rFonts w:ascii="宋体" w:hAnsi="宋体"/>
          <w:u w:val="single"/>
        </w:rPr>
      </w:pPr>
      <w:r>
        <w:rPr>
          <w:rFonts w:ascii="宋体" w:hAnsi="宋体"/>
        </w:rPr>
        <w:t>传真：</w:t>
      </w:r>
      <w:r>
        <w:rPr>
          <w:rFonts w:hint="eastAsia" w:ascii="宋体" w:hAnsi="宋体"/>
        </w:rPr>
        <w:t xml:space="preserve"> </w:t>
      </w:r>
      <w:r>
        <w:rPr>
          <w:rFonts w:ascii="宋体" w:hAnsi="宋体"/>
        </w:rPr>
        <w:t xml:space="preserve">                                          日期：</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w:t>
      </w:r>
    </w:p>
    <w:p>
      <w:pPr>
        <w:pStyle w:val="4"/>
        <w:spacing w:line="360" w:lineRule="auto"/>
        <w:rPr>
          <w:rFonts w:hAnsi="宋体"/>
          <w:b w:val="0"/>
          <w:sz w:val="24"/>
          <w:szCs w:val="24"/>
        </w:rPr>
      </w:pPr>
      <w:bookmarkStart w:id="1623" w:name="_Toc492478827"/>
      <w:bookmarkStart w:id="1624" w:name="_Toc414290562"/>
      <w:bookmarkStart w:id="1625" w:name="_Toc19107"/>
      <w:bookmarkStart w:id="1626" w:name="_Toc75771555"/>
      <w:bookmarkStart w:id="1627" w:name="_Toc13870"/>
      <w:bookmarkStart w:id="1628" w:name="_Toc17664"/>
      <w:bookmarkStart w:id="1629" w:name="_Toc25220"/>
      <w:bookmarkStart w:id="1630" w:name="_Toc15451"/>
      <w:bookmarkStart w:id="1631" w:name="_Toc9876"/>
      <w:bookmarkStart w:id="1632" w:name="_Toc25635"/>
      <w:bookmarkStart w:id="1633" w:name="_Toc25750683"/>
      <w:bookmarkStart w:id="1634" w:name="_Toc14091"/>
      <w:bookmarkStart w:id="1635" w:name="_Toc22423"/>
      <w:bookmarkStart w:id="1636" w:name="_Toc3307"/>
      <w:bookmarkStart w:id="1637" w:name="_Toc29577"/>
      <w:bookmarkStart w:id="1638" w:name="_Toc32381"/>
      <w:bookmarkStart w:id="1639" w:name="_Toc19413"/>
      <w:bookmarkStart w:id="1640" w:name="_Toc2327"/>
      <w:bookmarkStart w:id="1641" w:name="_Toc6034"/>
      <w:bookmarkStart w:id="1642" w:name="_Toc8563"/>
      <w:bookmarkStart w:id="1643" w:name="_Toc30812"/>
      <w:bookmarkStart w:id="1644" w:name="_Toc25221"/>
      <w:bookmarkStart w:id="1645" w:name="_Toc12984811"/>
      <w:bookmarkStart w:id="1646" w:name="_Toc27820"/>
      <w:bookmarkStart w:id="1647" w:name="_Toc18876"/>
      <w:bookmarkStart w:id="1648" w:name="_Toc17687"/>
      <w:bookmarkStart w:id="1649" w:name="_Toc23770"/>
      <w:bookmarkStart w:id="1650" w:name="_Toc28662"/>
      <w:bookmarkStart w:id="1651" w:name="_Toc24971"/>
      <w:bookmarkStart w:id="1652" w:name="_Toc10812"/>
      <w:bookmarkStart w:id="1653" w:name="_Toc14988"/>
      <w:bookmarkStart w:id="1654" w:name="_Toc8451"/>
      <w:bookmarkStart w:id="1655" w:name="_Toc13328"/>
      <w:bookmarkStart w:id="1656" w:name="_Toc29358"/>
      <w:bookmarkStart w:id="1657" w:name="_Toc414290525"/>
      <w:bookmarkStart w:id="1658" w:name="_Toc16676"/>
      <w:bookmarkStart w:id="1659" w:name="_Toc492478807"/>
      <w:bookmarkStart w:id="1660" w:name="_Toc11582"/>
      <w:bookmarkStart w:id="1661" w:name="_Toc14586"/>
      <w:bookmarkStart w:id="1662" w:name="_Toc8874"/>
      <w:bookmarkStart w:id="1663" w:name="_Toc12983551"/>
      <w:bookmarkStart w:id="1664" w:name="_Toc12677"/>
      <w:bookmarkStart w:id="1665" w:name="_Toc8914"/>
      <w:bookmarkStart w:id="1666" w:name="_Toc25750679"/>
      <w:bookmarkStart w:id="1667" w:name="_Toc75771552"/>
      <w:r>
        <w:rPr>
          <w:sz w:val="24"/>
          <w:szCs w:val="24"/>
        </w:rPr>
        <w:t xml:space="preserve">B   </w:t>
      </w:r>
      <w:r>
        <w:rPr>
          <w:rFonts w:hAnsi="宋体"/>
          <w:sz w:val="24"/>
          <w:szCs w:val="24"/>
        </w:rPr>
        <w:t>技术</w:t>
      </w:r>
      <w:bookmarkEnd w:id="1623"/>
      <w:bookmarkEnd w:id="1624"/>
      <w:bookmarkEnd w:id="1625"/>
      <w:bookmarkStart w:id="1668" w:name="_Toc74938308"/>
      <w:bookmarkStart w:id="1669" w:name="_Toc99697927"/>
      <w:bookmarkStart w:id="1670" w:name="_Toc18770050"/>
      <w:bookmarkStart w:id="1671" w:name="_Toc17887241"/>
      <w:bookmarkStart w:id="1672" w:name="_Toc224010320"/>
      <w:r>
        <w:rPr>
          <w:rFonts w:hint="eastAsia" w:hAnsi="宋体"/>
          <w:sz w:val="24"/>
          <w:szCs w:val="24"/>
        </w:rPr>
        <w:t>文件</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spacing w:line="360" w:lineRule="auto"/>
        <w:ind w:firstLine="422" w:firstLineChars="200"/>
        <w:jc w:val="left"/>
        <w:rPr>
          <w:rFonts w:asciiTheme="minorEastAsia" w:hAnsiTheme="minorEastAsia" w:eastAsiaTheme="minorEastAsia"/>
          <w:b/>
          <w:sz w:val="44"/>
          <w:szCs w:val="44"/>
        </w:rPr>
      </w:pPr>
      <w:r>
        <w:rPr>
          <w:rFonts w:hint="eastAsia" w:asciiTheme="minorEastAsia" w:hAnsiTheme="minorEastAsia" w:eastAsiaTheme="minorEastAsia"/>
          <w:b/>
        </w:rPr>
        <w:t>技术文件格式</w:t>
      </w:r>
    </w:p>
    <w:p>
      <w:pPr>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 xml:space="preserve"> </w:t>
      </w:r>
      <w:r>
        <w:rPr>
          <w:rFonts w:hint="eastAsia" w:ascii="宋体" w:hAnsi="宋体"/>
          <w:kern w:val="0"/>
          <w:szCs w:val="21"/>
        </w:rPr>
        <w:t>比选人可根据以下内容和顺序编排投标文件：</w:t>
      </w:r>
    </w:p>
    <w:p>
      <w:pPr>
        <w:spacing w:line="360" w:lineRule="auto"/>
        <w:ind w:firstLine="315"/>
        <w:rPr>
          <w:kern w:val="0"/>
        </w:rPr>
      </w:pPr>
      <w:r>
        <w:rPr>
          <w:rFonts w:hint="eastAsia" w:asciiTheme="minorEastAsia" w:hAnsiTheme="minorEastAsia" w:eastAsiaTheme="minorEastAsia"/>
          <w:kern w:val="0"/>
          <w:szCs w:val="21"/>
        </w:rPr>
        <w:t>（1</w:t>
      </w:r>
      <w:r>
        <w:rPr>
          <w:rFonts w:hint="eastAsia"/>
          <w:kern w:val="0"/>
          <w:szCs w:val="21"/>
        </w:rPr>
        <w:t>）</w:t>
      </w:r>
      <w:r>
        <w:rPr>
          <w:rFonts w:hint="eastAsia"/>
        </w:rPr>
        <w:t>商务响应表</w:t>
      </w:r>
      <w:r>
        <w:rPr>
          <w:rFonts w:hint="eastAsia" w:asciiTheme="minorEastAsia" w:hAnsiTheme="minorEastAsia" w:eastAsiaTheme="minorEastAsia"/>
        </w:rPr>
        <w:t>（格式见</w:t>
      </w:r>
      <w:r>
        <w:rPr>
          <w:rFonts w:asciiTheme="minorEastAsia" w:hAnsiTheme="minorEastAsia" w:eastAsiaTheme="minorEastAsia"/>
        </w:rPr>
        <w:t>B1</w:t>
      </w:r>
      <w:r>
        <w:rPr>
          <w:rFonts w:hint="eastAsia" w:asciiTheme="minorEastAsia" w:hAnsiTheme="minorEastAsia" w:eastAsiaTheme="minorEastAsia"/>
        </w:rPr>
        <w:t>）；</w:t>
      </w:r>
    </w:p>
    <w:p>
      <w:pPr>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）比选申请人认为应提交的其他比选申请资料（如有）</w:t>
      </w:r>
      <w:bookmarkEnd w:id="1668"/>
      <w:bookmarkEnd w:id="1669"/>
      <w:bookmarkEnd w:id="1670"/>
      <w:bookmarkEnd w:id="1671"/>
      <w:bookmarkEnd w:id="1672"/>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outlineLvl w:val="1"/>
        <w:rPr>
          <w:b/>
          <w:bCs/>
        </w:rPr>
      </w:pPr>
      <w:bookmarkStart w:id="1673" w:name="_Toc23051"/>
      <w:bookmarkStart w:id="1674" w:name="_Toc75771556"/>
      <w:bookmarkStart w:id="1675" w:name="_Toc25750684"/>
      <w:r>
        <w:rPr>
          <w:rFonts w:hAnsi="宋体"/>
          <w:b/>
          <w:bCs/>
        </w:rPr>
        <w:t>B</w:t>
      </w:r>
      <w:r>
        <w:rPr>
          <w:rFonts w:hint="eastAsia" w:hAnsi="宋体"/>
          <w:b/>
          <w:bCs/>
        </w:rPr>
        <w:t>1 商务响应</w:t>
      </w:r>
      <w:r>
        <w:rPr>
          <w:rFonts w:hAnsi="宋体"/>
          <w:b/>
          <w:bCs/>
        </w:rPr>
        <w:t>表</w:t>
      </w:r>
      <w:r>
        <w:rPr>
          <w:rFonts w:hint="eastAsia" w:hAnsi="宋体"/>
          <w:b/>
          <w:bCs/>
        </w:rPr>
        <w:t>格式</w:t>
      </w:r>
      <w:bookmarkEnd w:id="1673"/>
      <w:bookmarkEnd w:id="1674"/>
      <w:bookmarkEnd w:id="1675"/>
    </w:p>
    <w:p>
      <w:pPr>
        <w:spacing w:line="360" w:lineRule="auto"/>
        <w:ind w:right="-57"/>
        <w:rPr>
          <w:rFonts w:ascii="宋体" w:hAnsi="宋体"/>
          <w:b/>
        </w:rPr>
      </w:pPr>
    </w:p>
    <w:p>
      <w:pPr>
        <w:spacing w:line="360" w:lineRule="auto"/>
        <w:ind w:right="-57"/>
        <w:jc w:val="center"/>
        <w:rPr>
          <w:rFonts w:ascii="宋体" w:hAnsi="宋体"/>
          <w:b/>
          <w:sz w:val="28"/>
          <w:szCs w:val="28"/>
        </w:rPr>
      </w:pPr>
      <w:r>
        <w:rPr>
          <w:rFonts w:hint="eastAsia" w:ascii="宋体" w:hAnsi="宋体"/>
          <w:b/>
        </w:rPr>
        <w:t>商务响应表</w:t>
      </w:r>
    </w:p>
    <w:p>
      <w:pPr>
        <w:spacing w:line="360" w:lineRule="auto"/>
        <w:rPr>
          <w:rFonts w:ascii="宋体" w:hAnsi="宋体"/>
        </w:rPr>
      </w:pPr>
      <w:r>
        <w:rPr>
          <w:rFonts w:hint="eastAsia" w:ascii="宋体" w:hAnsi="宋体"/>
        </w:rPr>
        <w:t>项目</w:t>
      </w:r>
      <w:r>
        <w:rPr>
          <w:rFonts w:ascii="宋体" w:hAnsi="宋体"/>
        </w:rPr>
        <w:t>名称：</w:t>
      </w:r>
      <w:r>
        <w:rPr>
          <w:rFonts w:hint="eastAsia" w:ascii="宋体" w:hAnsi="宋体"/>
          <w:u w:val="single"/>
        </w:rPr>
        <w:t xml:space="preserve"> 南宁轨道交通运营有限公司2023年办公家具家电委外维修项目 </w:t>
      </w:r>
    </w:p>
    <w:tbl>
      <w:tblPr>
        <w:tblStyle w:val="40"/>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第三章 </w:t>
            </w:r>
            <w:r>
              <w:rPr>
                <w:rFonts w:ascii="宋体" w:hAnsi="宋体"/>
              </w:rPr>
              <w:t xml:space="preserve"> </w:t>
            </w:r>
            <w:r>
              <w:rPr>
                <w:rFonts w:hint="eastAsia" w:ascii="宋体" w:hAnsi="宋体"/>
              </w:rPr>
              <w:t>合同条款及格式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第五章</w:t>
            </w:r>
            <w:r>
              <w:rPr>
                <w:rFonts w:ascii="宋体" w:hAnsi="宋体"/>
              </w:rPr>
              <w:t> </w:t>
            </w:r>
            <w:r>
              <w:rPr>
                <w:rFonts w:hint="eastAsia" w:ascii="宋体" w:hAnsi="宋体"/>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用户需求书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bl>
    <w:p>
      <w:pPr>
        <w:pStyle w:val="2"/>
        <w:spacing w:line="360" w:lineRule="auto"/>
      </w:pPr>
      <w:r>
        <w:rPr>
          <w:rFonts w:hint="eastAsia" w:hAnsi="宋体"/>
          <w:b/>
        </w:rPr>
        <w:t>注：上述响应要求必须全部为“完全响应”，否则，比选申请人将不能通过符合性评审</w:t>
      </w:r>
    </w:p>
    <w:p>
      <w:pPr>
        <w:snapToGrid w:val="0"/>
        <w:spacing w:after="50" w:line="360" w:lineRule="auto"/>
        <w:ind w:left="955" w:leftChars="455" w:right="-817" w:firstLine="2832" w:firstLineChars="1349"/>
        <w:rPr>
          <w:rFonts w:ascii="宋体" w:hAnsi="宋体"/>
        </w:rPr>
      </w:pPr>
    </w:p>
    <w:p>
      <w:pPr>
        <w:pStyle w:val="2"/>
        <w:spacing w:line="360" w:lineRule="auto"/>
      </w:pPr>
    </w:p>
    <w:p>
      <w:pPr>
        <w:snapToGrid w:val="0"/>
        <w:spacing w:after="50" w:line="360" w:lineRule="auto"/>
        <w:ind w:left="955" w:leftChars="455" w:right="-817" w:firstLine="4302" w:firstLineChars="2049"/>
        <w:rPr>
          <w:rFonts w:ascii="宋体" w:hAnsi="宋体"/>
          <w:u w:val="single"/>
        </w:rPr>
      </w:pPr>
      <w:r>
        <w:rPr>
          <w:rFonts w:hint="eastAsia" w:ascii="宋体" w:hAnsi="宋体"/>
        </w:rPr>
        <w:t>比选申请人名称（盖章）：</w:t>
      </w:r>
    </w:p>
    <w:p>
      <w:pPr>
        <w:snapToGrid w:val="0"/>
        <w:spacing w:after="50" w:line="360" w:lineRule="auto"/>
        <w:ind w:left="707" w:right="-817"/>
        <w:jc w:val="center"/>
        <w:rPr>
          <w:rFonts w:ascii="宋体" w:hAnsi="宋体"/>
          <w:u w:val="single"/>
        </w:rPr>
      </w:pPr>
      <w:r>
        <w:rPr>
          <w:rFonts w:ascii="宋体" w:hAnsi="宋体"/>
        </w:rPr>
        <w:t xml:space="preserve">                             </w:t>
      </w:r>
      <w:r>
        <w:rPr>
          <w:rFonts w:hint="eastAsia" w:ascii="宋体" w:hAnsi="宋体"/>
        </w:rPr>
        <w:t xml:space="preserve"> 法定代表人或被授权人（签字）：</w:t>
      </w:r>
    </w:p>
    <w:p>
      <w:pPr>
        <w:spacing w:line="360" w:lineRule="auto"/>
        <w:ind w:right="-57"/>
        <w:jc w:val="center"/>
        <w:rPr>
          <w:rFonts w:ascii="宋体" w:hAnsi="宋体"/>
        </w:rPr>
      </w:pPr>
      <w:r>
        <w:rPr>
          <w:rFonts w:ascii="宋体" w:hAnsi="宋体"/>
        </w:rPr>
        <w:t xml:space="preserve">                                   </w:t>
      </w:r>
      <w:r>
        <w:rPr>
          <w:rFonts w:hint="eastAsia" w:ascii="宋体" w:hAnsi="宋体"/>
        </w:rPr>
        <w:t xml:space="preserve">日  期：  年 </w:t>
      </w:r>
      <w:r>
        <w:rPr>
          <w:rFonts w:ascii="宋体" w:hAnsi="宋体"/>
        </w:rPr>
        <w:t xml:space="preserve"> </w:t>
      </w:r>
      <w:r>
        <w:rPr>
          <w:rFonts w:hint="eastAsia" w:ascii="宋体" w:hAnsi="宋体"/>
        </w:rPr>
        <w:t xml:space="preserve"> 月 </w:t>
      </w:r>
      <w:r>
        <w:rPr>
          <w:rFonts w:ascii="宋体" w:hAnsi="宋体"/>
        </w:rPr>
        <w:t xml:space="preserve"> </w:t>
      </w:r>
      <w:r>
        <w:rPr>
          <w:rFonts w:hint="eastAsia" w:ascii="宋体" w:hAnsi="宋体"/>
        </w:rPr>
        <w:t xml:space="preserve"> 日</w:t>
      </w:r>
    </w:p>
    <w:p>
      <w:pPr>
        <w:pStyle w:val="2"/>
      </w:pPr>
    </w:p>
    <w:p>
      <w:pPr>
        <w:pStyle w:val="2"/>
      </w:pPr>
    </w:p>
    <w:p>
      <w:pPr>
        <w:pStyle w:val="2"/>
      </w:pPr>
    </w:p>
    <w:p>
      <w:pPr>
        <w:pStyle w:val="2"/>
      </w:pPr>
    </w:p>
    <w:p>
      <w:pPr>
        <w:pStyle w:val="2"/>
      </w:pPr>
    </w:p>
    <w:p>
      <w:pPr>
        <w:pStyle w:val="2"/>
      </w:pPr>
    </w:p>
    <w:p>
      <w:pPr>
        <w:pStyle w:val="2"/>
      </w:pPr>
    </w:p>
    <w:p>
      <w:pPr>
        <w:pStyle w:val="4"/>
        <w:spacing w:line="360" w:lineRule="auto"/>
        <w:rPr>
          <w:rFonts w:ascii="宋体" w:hAnsi="宋体"/>
          <w:sz w:val="24"/>
          <w:szCs w:val="24"/>
        </w:rPr>
      </w:pPr>
      <w:bookmarkStart w:id="1676" w:name="_Toc28952"/>
      <w:r>
        <w:rPr>
          <w:rFonts w:ascii="宋体" w:hAnsi="宋体"/>
          <w:sz w:val="24"/>
          <w:szCs w:val="24"/>
        </w:rPr>
        <w:t>C</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Fonts w:ascii="宋体" w:hAnsi="宋体"/>
          <w:sz w:val="24"/>
          <w:szCs w:val="24"/>
        </w:rPr>
        <w:t xml:space="preserve">   </w:t>
      </w:r>
      <w:r>
        <w:rPr>
          <w:rFonts w:hint="eastAsia" w:ascii="宋体" w:hAnsi="宋体"/>
          <w:sz w:val="24"/>
          <w:szCs w:val="24"/>
        </w:rPr>
        <w:t>价格文件</w:t>
      </w:r>
      <w:bookmarkEnd w:id="1666"/>
      <w:bookmarkEnd w:id="1667"/>
      <w:bookmarkEnd w:id="1676"/>
    </w:p>
    <w:p>
      <w:pPr>
        <w:spacing w:line="360" w:lineRule="auto"/>
        <w:jc w:val="left"/>
        <w:rPr>
          <w:rFonts w:ascii="宋体" w:hAnsi="宋体"/>
          <w:b/>
        </w:rPr>
      </w:pPr>
    </w:p>
    <w:p>
      <w:pPr>
        <w:spacing w:line="360" w:lineRule="auto"/>
        <w:ind w:firstLine="422" w:firstLineChars="200"/>
        <w:jc w:val="left"/>
        <w:rPr>
          <w:rFonts w:ascii="宋体" w:hAnsi="宋体"/>
          <w:b/>
        </w:rPr>
      </w:pPr>
      <w:r>
        <w:rPr>
          <w:rFonts w:hint="eastAsia" w:ascii="宋体" w:hAnsi="宋体"/>
          <w:b/>
        </w:rPr>
        <w:t>价格文件格式</w:t>
      </w:r>
    </w:p>
    <w:p>
      <w:pPr>
        <w:spacing w:line="360" w:lineRule="auto"/>
        <w:ind w:firstLine="420" w:firstLineChars="200"/>
      </w:pPr>
      <w:r>
        <w:rPr>
          <w:rFonts w:hint="eastAsia"/>
        </w:rPr>
        <w:t>（</w:t>
      </w:r>
      <w:r>
        <w:t>1</w:t>
      </w:r>
      <w:r>
        <w:rPr>
          <w:rFonts w:hint="eastAsia"/>
        </w:rPr>
        <w:t>）比选申请函格式（格式见</w:t>
      </w:r>
      <w:r>
        <w:t>C1</w:t>
      </w:r>
      <w:r>
        <w:rPr>
          <w:rFonts w:hint="eastAsia"/>
        </w:rPr>
        <w:t>）；</w:t>
      </w:r>
    </w:p>
    <w:p>
      <w:pPr>
        <w:spacing w:line="360" w:lineRule="auto"/>
        <w:ind w:firstLine="420" w:firstLineChars="200"/>
      </w:pPr>
      <w:r>
        <w:rPr>
          <w:rFonts w:hint="eastAsia"/>
        </w:rPr>
        <w:t>（2）比选申请报价表（汇总）（格式见</w:t>
      </w:r>
      <w:r>
        <w:t>C</w:t>
      </w:r>
      <w:r>
        <w:rPr>
          <w:rFonts w:hint="eastAsia"/>
        </w:rPr>
        <w:t>2）</w:t>
      </w:r>
    </w:p>
    <w:p>
      <w:pPr>
        <w:spacing w:line="360" w:lineRule="auto"/>
        <w:ind w:firstLine="420" w:firstLineChars="200"/>
      </w:pPr>
      <w:r>
        <w:rPr>
          <w:rFonts w:hint="eastAsia"/>
        </w:rPr>
        <w:t>（</w:t>
      </w:r>
      <w:r>
        <w:t>3</w:t>
      </w:r>
      <w:r>
        <w:rPr>
          <w:rFonts w:hint="eastAsia"/>
        </w:rPr>
        <w:t>）比选申请报价（分项）（格式见</w:t>
      </w:r>
      <w:r>
        <w:t>C3</w:t>
      </w:r>
      <w:r>
        <w:rPr>
          <w:rFonts w:hint="eastAsia"/>
        </w:rPr>
        <w:t>）；</w:t>
      </w:r>
    </w:p>
    <w:p>
      <w:pPr>
        <w:pStyle w:val="2"/>
        <w:spacing w:line="360" w:lineRule="auto"/>
        <w:ind w:firstLine="420" w:firstLineChars="200"/>
      </w:pPr>
      <w:r>
        <w:rPr>
          <w:rFonts w:hint="eastAsia"/>
        </w:rPr>
        <w:t>（</w:t>
      </w:r>
      <w:r>
        <w:t>4</w:t>
      </w:r>
      <w:r>
        <w:rPr>
          <w:rFonts w:hint="eastAsia"/>
        </w:rPr>
        <w:t>）比选申请人认为应提交的其他比选申请资料（如有）。</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4"/>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sectPr>
          <w:pgSz w:w="11906" w:h="16838"/>
          <w:pgMar w:top="2007" w:right="1440" w:bottom="1440" w:left="1440" w:header="851" w:footer="992" w:gutter="0"/>
          <w:cols w:space="425" w:num="1"/>
          <w:docGrid w:type="lines" w:linePitch="312" w:charSpace="0"/>
        </w:sectPr>
      </w:pPr>
      <w:bookmarkStart w:id="1677" w:name="_Toc75771553"/>
      <w:bookmarkStart w:id="1678" w:name="_Toc12983552"/>
      <w:bookmarkStart w:id="1679" w:name="_Toc18340"/>
      <w:bookmarkStart w:id="1680" w:name="_Toc29688"/>
      <w:bookmarkStart w:id="1681" w:name="_Toc492478808"/>
      <w:bookmarkStart w:id="1682" w:name="_Toc24487"/>
      <w:bookmarkStart w:id="1683" w:name="_Toc25750680"/>
      <w:bookmarkStart w:id="1684" w:name="_Toc29231"/>
      <w:bookmarkStart w:id="1685" w:name="_Toc1158"/>
      <w:bookmarkStart w:id="1686" w:name="_Toc9560"/>
      <w:bookmarkStart w:id="1687" w:name="_Toc414290526"/>
      <w:bookmarkStart w:id="1688" w:name="_Toc7004"/>
      <w:bookmarkStart w:id="1689" w:name="_Toc18516"/>
      <w:bookmarkStart w:id="1690" w:name="_Toc16489"/>
      <w:bookmarkStart w:id="1691" w:name="_Toc25419"/>
      <w:bookmarkStart w:id="1692" w:name="_Toc375564355"/>
      <w:bookmarkStart w:id="1693" w:name="_Toc27610"/>
      <w:bookmarkStart w:id="1694" w:name="_Toc6992"/>
      <w:bookmarkStart w:id="1695" w:name="_Toc24326"/>
      <w:bookmarkStart w:id="1696" w:name="_Toc12951"/>
      <w:bookmarkStart w:id="1697" w:name="_Toc23615"/>
      <w:bookmarkStart w:id="1698" w:name="_Toc13980"/>
      <w:bookmarkStart w:id="1699" w:name="_Toc9861"/>
      <w:bookmarkStart w:id="1700" w:name="_Toc10991"/>
      <w:bookmarkStart w:id="1701" w:name="_Toc12984812"/>
    </w:p>
    <w:p>
      <w:pPr>
        <w:pStyle w:val="4"/>
        <w:tabs>
          <w:tab w:val="left" w:pos="567"/>
          <w:tab w:val="left" w:pos="720"/>
        </w:tabs>
        <w:snapToGrid w:val="0"/>
        <w:spacing w:after="0" w:line="360" w:lineRule="auto"/>
        <w:jc w:val="left"/>
        <w:rPr>
          <w:rFonts w:ascii="宋体" w:hAnsi="宋体" w:cs="Arial"/>
        </w:rPr>
      </w:pPr>
      <w:bookmarkStart w:id="1702" w:name="_Toc2371"/>
      <w:r>
        <w:rPr>
          <w:rFonts w:ascii="宋体" w:hAnsi="宋体"/>
          <w:sz w:val="21"/>
          <w:szCs w:val="21"/>
        </w:rPr>
        <w:t>C1 比选申请函格式</w:t>
      </w:r>
      <w:bookmarkEnd w:id="1702"/>
    </w:p>
    <w:p>
      <w:pPr>
        <w:spacing w:line="360" w:lineRule="auto"/>
        <w:jc w:val="center"/>
        <w:rPr>
          <w:rFonts w:ascii="宋体" w:hAnsi="宋体"/>
          <w:b/>
          <w:sz w:val="32"/>
          <w:szCs w:val="32"/>
        </w:rPr>
      </w:pPr>
      <w:r>
        <w:rPr>
          <w:rFonts w:ascii="宋体" w:hAnsi="宋体"/>
          <w:b/>
          <w:sz w:val="32"/>
          <w:szCs w:val="32"/>
        </w:rPr>
        <w:t>比选申请函</w:t>
      </w:r>
    </w:p>
    <w:p>
      <w:pPr>
        <w:spacing w:line="360" w:lineRule="auto"/>
        <w:rPr>
          <w:rFonts w:ascii="宋体" w:hAnsi="宋体"/>
        </w:rPr>
      </w:pPr>
      <w:r>
        <w:rPr>
          <w:rFonts w:ascii="宋体" w:hAnsi="宋体"/>
        </w:rPr>
        <w:t>致：南宁轨道交通</w:t>
      </w:r>
      <w:r>
        <w:rPr>
          <w:rFonts w:hint="eastAsia" w:ascii="宋体" w:hAnsi="宋体"/>
        </w:rPr>
        <w:t>运营</w:t>
      </w:r>
      <w:r>
        <w:rPr>
          <w:rFonts w:ascii="宋体" w:hAnsi="宋体"/>
        </w:rPr>
        <w:t>有限公司</w:t>
      </w:r>
    </w:p>
    <w:p>
      <w:pPr>
        <w:spacing w:line="360" w:lineRule="auto"/>
        <w:ind w:firstLine="420" w:firstLineChars="200"/>
        <w:rPr>
          <w:rFonts w:ascii="宋体" w:hAnsi="宋体"/>
        </w:rPr>
      </w:pPr>
      <w:r>
        <w:rPr>
          <w:rFonts w:ascii="宋体" w:hAnsi="宋体"/>
        </w:rPr>
        <w:t>根据贵方为</w:t>
      </w:r>
      <w:r>
        <w:rPr>
          <w:rFonts w:hint="eastAsia" w:ascii="宋体" w:hAnsi="宋体"/>
        </w:rPr>
        <w:t>采购项目</w:t>
      </w:r>
      <w:r>
        <w:rPr>
          <w:rFonts w:hint="eastAsia" w:ascii="宋体" w:hAnsi="宋体"/>
          <w:u w:val="single"/>
        </w:rPr>
        <w:t xml:space="preserve"> 南宁轨道交通运营有限公司2023年办公家具家电委外维修项目  </w:t>
      </w:r>
      <w:r>
        <w:rPr>
          <w:rFonts w:ascii="宋体" w:hAnsi="宋体"/>
        </w:rPr>
        <w:t>比选申请邀请(项目编号</w:t>
      </w:r>
      <w:r>
        <w:rPr>
          <w:rFonts w:hint="eastAsia" w:ascii="宋体" w:hAnsi="宋体"/>
        </w:rPr>
        <w:t>：</w:t>
      </w:r>
      <w:r>
        <w:rPr>
          <w:rFonts w:ascii="宋体" w:hAnsi="宋体"/>
          <w:u w:val="single"/>
        </w:rPr>
        <w:t>202208020001</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1 </w:t>
      </w:r>
      <w:r>
        <w:rPr>
          <w:rFonts w:ascii="宋体" w:hAnsi="宋体"/>
        </w:rPr>
        <w:t>份。</w:t>
      </w:r>
    </w:p>
    <w:p>
      <w:pPr>
        <w:spacing w:line="360" w:lineRule="auto"/>
        <w:ind w:firstLine="420" w:firstLineChars="200"/>
        <w:rPr>
          <w:rFonts w:ascii="宋体" w:hAnsi="宋体"/>
        </w:rPr>
      </w:pPr>
      <w:r>
        <w:rPr>
          <w:rFonts w:ascii="宋体" w:hAnsi="宋体"/>
        </w:rPr>
        <w:t>据此，签字人宣布同意如下：</w:t>
      </w:r>
    </w:p>
    <w:p>
      <w:pPr>
        <w:spacing w:line="360" w:lineRule="auto"/>
        <w:ind w:firstLine="420" w:firstLineChars="200"/>
        <w:rPr>
          <w:rFonts w:ascii="宋体" w:hAnsi="宋体"/>
        </w:rPr>
      </w:pPr>
      <w:bookmarkStart w:id="1703"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703"/>
    </w:p>
    <w:p>
      <w:pPr>
        <w:spacing w:line="360" w:lineRule="auto"/>
        <w:ind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line="360" w:lineRule="auto"/>
        <w:ind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line="360" w:lineRule="auto"/>
        <w:ind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u w:val="single"/>
        </w:rPr>
        <w:t xml:space="preserve"> </w:t>
      </w:r>
      <w:r>
        <w:rPr>
          <w:rFonts w:ascii="宋体" w:hAnsi="宋体"/>
          <w:u w:val="single"/>
        </w:rPr>
        <w:t xml:space="preserve">120 </w:t>
      </w:r>
      <w:r>
        <w:rPr>
          <w:rFonts w:ascii="宋体" w:hAnsi="宋体"/>
        </w:rPr>
        <w:t>日历天内。</w:t>
      </w:r>
    </w:p>
    <w:p>
      <w:pPr>
        <w:spacing w:line="360" w:lineRule="auto"/>
        <w:ind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line="360" w:lineRule="auto"/>
        <w:ind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line="360" w:lineRule="auto"/>
        <w:ind w:firstLine="420" w:firstLineChars="200"/>
        <w:rPr>
          <w:rFonts w:ascii="宋体" w:hAnsi="宋体"/>
        </w:rPr>
      </w:pPr>
      <w:r>
        <w:rPr>
          <w:rFonts w:hint="eastAsia" w:ascii="宋体" w:hAnsi="宋体"/>
        </w:rPr>
        <w:t>7</w:t>
      </w:r>
      <w:r>
        <w:rPr>
          <w:rFonts w:ascii="宋体" w:hAnsi="宋体"/>
        </w:rPr>
        <w:t>. 本项目采用</w:t>
      </w:r>
      <w:r>
        <w:rPr>
          <w:rFonts w:hint="eastAsia" w:ascii="宋体" w:hAnsi="宋体"/>
        </w:rPr>
        <w:t>不</w:t>
      </w:r>
      <w:r>
        <w:rPr>
          <w:rFonts w:ascii="宋体" w:hAnsi="宋体"/>
        </w:rPr>
        <w:t>含税报价</w:t>
      </w:r>
      <w:r>
        <w:rPr>
          <w:rFonts w:hint="eastAsia" w:ascii="宋体" w:hAnsi="宋体"/>
        </w:rPr>
        <w:t>，含税报价为合同暂定价</w:t>
      </w:r>
      <w:r>
        <w:rPr>
          <w:rFonts w:ascii="宋体" w:hAnsi="宋体"/>
        </w:rPr>
        <w:t>，</w:t>
      </w:r>
      <w:r>
        <w:rPr>
          <w:rFonts w:hint="eastAsia" w:ascii="宋体" w:hAnsi="宋体"/>
        </w:rPr>
        <w:t>合同的最终税金在结算阶段，按实际产生的税金进行核算，但合同不含税价格不因国家税率调整而调整。</w:t>
      </w:r>
    </w:p>
    <w:p>
      <w:pPr>
        <w:spacing w:line="360" w:lineRule="auto"/>
        <w:ind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line="360" w:lineRule="auto"/>
        <w:ind w:firstLine="420" w:firstLineChars="200"/>
        <w:rPr>
          <w:rFonts w:ascii="宋体" w:hAnsi="宋体"/>
          <w:u w:val="single"/>
        </w:rPr>
      </w:pPr>
      <w:r>
        <w:rPr>
          <w:rFonts w:ascii="宋体" w:hAnsi="宋体"/>
        </w:rPr>
        <w:t>地址：</w:t>
      </w:r>
    </w:p>
    <w:p>
      <w:pPr>
        <w:spacing w:line="360" w:lineRule="auto"/>
        <w:ind w:firstLine="420" w:firstLineChars="200"/>
        <w:rPr>
          <w:rFonts w:ascii="宋体" w:hAnsi="宋体"/>
        </w:rPr>
      </w:pPr>
      <w:r>
        <w:rPr>
          <w:rFonts w:ascii="宋体" w:hAnsi="宋体"/>
        </w:rPr>
        <w:t>邮编：传真：</w:t>
      </w:r>
    </w:p>
    <w:p>
      <w:pPr>
        <w:spacing w:line="360" w:lineRule="auto"/>
        <w:ind w:firstLine="420" w:firstLineChars="200"/>
        <w:rPr>
          <w:rFonts w:ascii="宋体" w:hAnsi="宋体"/>
        </w:rPr>
      </w:pPr>
      <w:r>
        <w:rPr>
          <w:rFonts w:ascii="宋体" w:hAnsi="宋体"/>
        </w:rPr>
        <w:t>电话：电子邮件：</w:t>
      </w:r>
    </w:p>
    <w:p>
      <w:pPr>
        <w:spacing w:line="360" w:lineRule="auto"/>
        <w:ind w:firstLine="420" w:firstLineChars="200"/>
        <w:rPr>
          <w:rFonts w:ascii="宋体" w:hAnsi="宋体"/>
          <w:u w:val="single"/>
        </w:rPr>
      </w:pPr>
      <w:r>
        <w:rPr>
          <w:rFonts w:ascii="宋体" w:hAnsi="宋体"/>
        </w:rPr>
        <w:t>比选申请人名称：</w:t>
      </w:r>
      <w:r>
        <w:rPr>
          <w:rFonts w:hint="eastAsia" w:ascii="宋体" w:hAnsi="宋体"/>
        </w:rPr>
        <w:t xml:space="preserve"> </w:t>
      </w:r>
      <w:r>
        <w:rPr>
          <w:rFonts w:hint="eastAsia" w:ascii="宋体" w:hAnsi="宋体"/>
          <w:u w:val="single"/>
        </w:rPr>
        <w:t xml:space="preserve">           </w:t>
      </w:r>
      <w:r>
        <w:rPr>
          <w:rFonts w:ascii="宋体" w:hAnsi="宋体"/>
          <w:u w:val="single"/>
        </w:rPr>
        <w:t>（全称并加盖公章）</w:t>
      </w:r>
    </w:p>
    <w:p>
      <w:pPr>
        <w:spacing w:line="360" w:lineRule="auto"/>
        <w:ind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line="360" w:lineRule="auto"/>
        <w:ind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pStyle w:val="2"/>
        <w:spacing w:line="360" w:lineRule="auto"/>
      </w:pPr>
    </w:p>
    <w:p>
      <w:pPr>
        <w:pStyle w:val="2"/>
        <w:spacing w:line="360" w:lineRule="auto"/>
      </w:pPr>
    </w:p>
    <w:p>
      <w:pPr>
        <w:pStyle w:val="4"/>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bookmarkStart w:id="1704" w:name="_Toc26176"/>
      <w:r>
        <w:rPr>
          <w:rFonts w:hint="eastAsia" w:ascii="宋体" w:hAnsi="宋体" w:cs="Times New Roman"/>
          <w:bCs w:val="0"/>
          <w:kern w:val="0"/>
          <w:sz w:val="21"/>
          <w:szCs w:val="21"/>
        </w:rPr>
        <w:t>C</w:t>
      </w:r>
      <w:r>
        <w:rPr>
          <w:rFonts w:ascii="宋体" w:hAnsi="宋体" w:cs="Times New Roman"/>
          <w:bCs w:val="0"/>
          <w:kern w:val="0"/>
          <w:sz w:val="21"/>
          <w:szCs w:val="21"/>
        </w:rPr>
        <w:t xml:space="preserve">2 </w:t>
      </w:r>
      <w:r>
        <w:rPr>
          <w:rFonts w:hint="eastAsia" w:ascii="宋体" w:hAnsi="宋体" w:cs="Times New Roman"/>
          <w:bCs w:val="0"/>
          <w:kern w:val="0"/>
          <w:sz w:val="21"/>
          <w:szCs w:val="21"/>
        </w:rPr>
        <w:t>比选申请报价表（汇总）</w:t>
      </w:r>
      <w:bookmarkEnd w:id="1704"/>
    </w:p>
    <w:p>
      <w:pPr>
        <w:snapToGrid w:val="0"/>
        <w:spacing w:after="50" w:line="360" w:lineRule="auto"/>
        <w:ind w:right="-57"/>
        <w:jc w:val="center"/>
        <w:rPr>
          <w:rFonts w:ascii="宋体" w:hAnsi="宋体"/>
          <w:b/>
          <w:sz w:val="24"/>
          <w:szCs w:val="24"/>
        </w:rPr>
      </w:pPr>
      <w:r>
        <w:rPr>
          <w:rFonts w:hint="eastAsia" w:ascii="宋体" w:hAnsi="宋体"/>
          <w:b/>
          <w:sz w:val="24"/>
          <w:szCs w:val="24"/>
        </w:rPr>
        <w:t>比选申请报价表（汇总）</w:t>
      </w:r>
    </w:p>
    <w:p>
      <w:pPr>
        <w:snapToGrid w:val="0"/>
        <w:spacing w:line="360" w:lineRule="auto"/>
        <w:ind w:right="-57"/>
        <w:rPr>
          <w:rFonts w:ascii="宋体" w:hAnsi="宋体"/>
          <w:u w:val="single"/>
        </w:rPr>
      </w:pPr>
      <w:r>
        <w:rPr>
          <w:rFonts w:hint="eastAsia" w:ascii="宋体" w:hAnsi="宋体"/>
        </w:rPr>
        <w:t>项目名称：</w:t>
      </w:r>
      <w:r>
        <w:rPr>
          <w:rFonts w:hint="eastAsia" w:ascii="宋体" w:hAnsi="宋体"/>
          <w:u w:val="single"/>
        </w:rPr>
        <w:t>南宁轨道交通运营有限公司2023年办公家具家电委外维修项目</w:t>
      </w:r>
    </w:p>
    <w:p>
      <w:pPr>
        <w:snapToGrid w:val="0"/>
        <w:spacing w:line="360" w:lineRule="auto"/>
        <w:ind w:right="-57"/>
        <w:rPr>
          <w:rFonts w:ascii="宋体" w:hAnsi="宋体"/>
          <w:u w:val="single"/>
        </w:rPr>
      </w:pPr>
      <w:r>
        <w:rPr>
          <w:rFonts w:hint="eastAsia" w:ascii="宋体" w:hAnsi="宋体"/>
        </w:rPr>
        <w:t>项目编号：</w:t>
      </w:r>
      <w:r>
        <w:rPr>
          <w:rFonts w:ascii="宋体" w:hAnsi="宋体"/>
          <w:u w:val="single"/>
        </w:rPr>
        <w:t>202208020001</w:t>
      </w:r>
    </w:p>
    <w:p>
      <w:pPr>
        <w:snapToGrid w:val="0"/>
        <w:spacing w:line="360" w:lineRule="auto"/>
        <w:ind w:right="-57"/>
        <w:rPr>
          <w:rFonts w:ascii="宋体" w:hAnsi="宋体"/>
        </w:rPr>
      </w:pPr>
      <w:r>
        <w:rPr>
          <w:rFonts w:hint="eastAsia" w:ascii="宋体" w:hAnsi="宋体"/>
        </w:rPr>
        <w:t xml:space="preserve">比选申请人名称：                   </w:t>
      </w:r>
      <w:r>
        <w:rPr>
          <w:rFonts w:ascii="宋体" w:hAnsi="宋体"/>
        </w:rPr>
        <w:t xml:space="preserve">                                       </w:t>
      </w:r>
      <w:r>
        <w:rPr>
          <w:rFonts w:hint="eastAsia" w:ascii="宋体" w:hAnsi="宋体"/>
        </w:rPr>
        <w:t>单位：元</w:t>
      </w:r>
    </w:p>
    <w:tbl>
      <w:tblPr>
        <w:tblStyle w:val="41"/>
        <w:tblW w:w="981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3990"/>
        <w:gridCol w:w="1104"/>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Merge w:val="restart"/>
          </w:tcPr>
          <w:p>
            <w:pPr>
              <w:jc w:val="center"/>
              <w:rPr>
                <w:b/>
                <w:bCs/>
              </w:rPr>
            </w:pPr>
          </w:p>
          <w:p>
            <w:pPr>
              <w:jc w:val="center"/>
              <w:rPr>
                <w:b/>
                <w:bCs/>
              </w:rPr>
            </w:pPr>
          </w:p>
          <w:p>
            <w:pPr>
              <w:jc w:val="center"/>
              <w:rPr>
                <w:b/>
                <w:bCs/>
              </w:rPr>
            </w:pPr>
          </w:p>
          <w:p>
            <w:pPr>
              <w:jc w:val="center"/>
              <w:rPr>
                <w:b/>
                <w:bCs/>
              </w:rPr>
            </w:pPr>
            <w:r>
              <w:rPr>
                <w:rFonts w:hint="eastAsia"/>
                <w:b/>
                <w:bCs/>
              </w:rPr>
              <w:t>报价汇总合计</w:t>
            </w:r>
          </w:p>
        </w:tc>
        <w:tc>
          <w:tcPr>
            <w:tcW w:w="3990" w:type="dxa"/>
          </w:tcPr>
          <w:p>
            <w:pPr>
              <w:jc w:val="center"/>
              <w:rPr>
                <w:b/>
                <w:bCs/>
              </w:rPr>
            </w:pPr>
            <w:r>
              <w:rPr>
                <w:rFonts w:hint="eastAsia"/>
                <w:b/>
                <w:bCs/>
              </w:rPr>
              <w:t>不含税合价（元）</w:t>
            </w:r>
          </w:p>
        </w:tc>
        <w:tc>
          <w:tcPr>
            <w:tcW w:w="1104" w:type="dxa"/>
          </w:tcPr>
          <w:p>
            <w:pPr>
              <w:jc w:val="center"/>
              <w:rPr>
                <w:b/>
                <w:bCs/>
              </w:rPr>
            </w:pPr>
            <w:r>
              <w:rPr>
                <w:rFonts w:hint="eastAsia"/>
                <w:b/>
                <w:bCs/>
              </w:rPr>
              <w:t>税率</w:t>
            </w:r>
          </w:p>
        </w:tc>
        <w:tc>
          <w:tcPr>
            <w:tcW w:w="2360" w:type="dxa"/>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2360" w:type="dxa"/>
            <w:vMerge w:val="continue"/>
          </w:tcPr>
          <w:p>
            <w:pPr>
              <w:jc w:val="center"/>
              <w:rPr>
                <w:b/>
                <w:bCs/>
              </w:rPr>
            </w:pPr>
          </w:p>
        </w:tc>
        <w:tc>
          <w:tcPr>
            <w:tcW w:w="3990" w:type="dxa"/>
          </w:tcPr>
          <w:p>
            <w:pPr>
              <w:rPr>
                <w:b/>
                <w:bCs/>
              </w:rPr>
            </w:pPr>
          </w:p>
          <w:p>
            <w:pPr>
              <w:rPr>
                <w:b/>
                <w:bCs/>
              </w:rPr>
            </w:pPr>
            <w:r>
              <w:rPr>
                <w:rFonts w:hint="eastAsia"/>
                <w:b/>
                <w:bCs/>
              </w:rPr>
              <w:t>小写：</w:t>
            </w:r>
          </w:p>
          <w:p>
            <w:pPr>
              <w:pStyle w:val="2"/>
              <w:rPr>
                <w:b/>
                <w:bCs/>
              </w:rPr>
            </w:pPr>
          </w:p>
          <w:p>
            <w:pPr>
              <w:rPr>
                <w:b/>
                <w:bCs/>
              </w:rPr>
            </w:pPr>
            <w:r>
              <w:rPr>
                <w:rFonts w:hint="eastAsia"/>
                <w:b/>
                <w:bCs/>
              </w:rPr>
              <w:t>大写：</w:t>
            </w:r>
          </w:p>
        </w:tc>
        <w:tc>
          <w:tcPr>
            <w:tcW w:w="1104" w:type="dxa"/>
          </w:tcPr>
          <w:p>
            <w:pPr>
              <w:jc w:val="center"/>
              <w:rPr>
                <w:b/>
                <w:bCs/>
              </w:rPr>
            </w:pPr>
          </w:p>
        </w:tc>
        <w:tc>
          <w:tcPr>
            <w:tcW w:w="2360" w:type="dxa"/>
          </w:tcPr>
          <w:p>
            <w:pPr>
              <w:jc w:val="center"/>
              <w:rPr>
                <w:b/>
                <w:bCs/>
              </w:rPr>
            </w:pPr>
          </w:p>
        </w:tc>
      </w:tr>
    </w:tbl>
    <w:p/>
    <w:p>
      <w:pPr>
        <w:rPr>
          <w:rFonts w:ascii="宋体" w:hAnsi="宋体"/>
        </w:rPr>
      </w:pPr>
      <w:r>
        <w:rPr>
          <w:rFonts w:hint="eastAsia" w:ascii="宋体" w:hAnsi="宋体"/>
        </w:rPr>
        <w:t>注</w:t>
      </w:r>
      <w:r>
        <w:rPr>
          <w:rFonts w:ascii="宋体" w:hAnsi="宋体"/>
        </w:rPr>
        <w:t>:</w:t>
      </w:r>
    </w:p>
    <w:p>
      <w:pPr>
        <w:ind w:firstLine="420" w:firstLineChars="200"/>
        <w:rPr>
          <w:rFonts w:ascii="宋体" w:hAnsi="宋体"/>
        </w:rPr>
      </w:pPr>
      <w:r>
        <w:rPr>
          <w:rFonts w:hint="eastAsia" w:ascii="宋体" w:hAnsi="宋体"/>
        </w:rPr>
        <w:t>1.比选申请报价应完全包括本合同中要求的全部工作内容、配件消耗料、服务及所涉及的施工及辅材。</w:t>
      </w:r>
    </w:p>
    <w:p>
      <w:pPr>
        <w:pStyle w:val="2"/>
        <w:ind w:firstLine="420" w:firstLineChars="200"/>
        <w:rPr>
          <w:rFonts w:hAnsi="宋体"/>
        </w:rPr>
      </w:pPr>
      <w:r>
        <w:rPr>
          <w:rFonts w:hint="eastAsia"/>
        </w:rPr>
        <w:t>2</w:t>
      </w:r>
      <w:r>
        <w:t>.</w:t>
      </w:r>
      <w:r>
        <w:rPr>
          <w:rFonts w:hint="eastAsia" w:hAnsi="宋体"/>
        </w:rPr>
        <w:t>比选申请人须按第五章《用户需求书》中的技术需求及数量表的顺序进行明细报价，不允许打乱顺序，不含税单价、不含税合价均精确到小数点后两位。</w:t>
      </w:r>
    </w:p>
    <w:p>
      <w:pPr>
        <w:pStyle w:val="2"/>
        <w:ind w:firstLine="420" w:firstLineChars="200"/>
        <w:rPr>
          <w:rFonts w:hAnsi="宋体"/>
        </w:rPr>
      </w:pPr>
      <w:r>
        <w:rPr>
          <w:rFonts w:hint="eastAsia" w:hAnsi="宋体"/>
        </w:rPr>
        <w:t>3</w:t>
      </w:r>
      <w:r>
        <w:rPr>
          <w:rFonts w:hAnsi="宋体"/>
        </w:rPr>
        <w:t>.</w:t>
      </w:r>
      <w:r>
        <w:rPr>
          <w:rFonts w:hint="eastAsia" w:hAnsi="宋体"/>
        </w:rPr>
        <w:t>同一项目在各分项报价中应为同一单价。比选申请人对每个项目</w:t>
      </w:r>
      <w:r>
        <w:rPr>
          <w:rFonts w:hAnsi="宋体"/>
        </w:rPr>
        <w:t>(</w:t>
      </w:r>
      <w:r>
        <w:rPr>
          <w:rFonts w:hint="eastAsia" w:hAnsi="宋体"/>
        </w:rPr>
        <w:t>指完全相同的同一项目</w:t>
      </w:r>
      <w:r>
        <w:rPr>
          <w:rFonts w:hAnsi="宋体"/>
        </w:rPr>
        <w:t>)</w:t>
      </w:r>
      <w:r>
        <w:rPr>
          <w:rFonts w:hint="eastAsia" w:hAnsi="宋体"/>
        </w:rPr>
        <w:t>只允许有一个报价，如有不同报价，则以最低报价为准。</w:t>
      </w:r>
    </w:p>
    <w:p>
      <w:pPr>
        <w:pStyle w:val="2"/>
        <w:ind w:firstLine="420" w:firstLineChars="200"/>
        <w:rPr>
          <w:rFonts w:hAnsi="宋体"/>
        </w:rPr>
      </w:pPr>
      <w:r>
        <w:rPr>
          <w:rFonts w:hint="eastAsia" w:hAnsi="宋体"/>
        </w:rPr>
        <w:t>4. 本项目为单价、总价上控，本报价仅作为评标依据。项目合同暂定价格为人民币</w:t>
      </w:r>
      <w:r>
        <w:rPr>
          <w:rFonts w:hint="eastAsia" w:hAnsi="宋体"/>
          <w:u w:val="single"/>
        </w:rPr>
        <w:t xml:space="preserve">  54.7 </w:t>
      </w:r>
      <w:r>
        <w:rPr>
          <w:rFonts w:hint="eastAsia" w:hAnsi="宋体"/>
        </w:rPr>
        <w:t>万（不含税），最终结算按实际发生的故障维保项目和备品备件项目数量进行结算。投标报价高于比选控制价（或分项控制价）的投标文件将按否决投标处理。</w:t>
      </w:r>
    </w:p>
    <w:p>
      <w:pPr>
        <w:pStyle w:val="2"/>
        <w:ind w:firstLine="420" w:firstLineChars="200"/>
        <w:rPr>
          <w:rFonts w:hAnsi="宋体"/>
        </w:rPr>
      </w:pPr>
    </w:p>
    <w:p>
      <w:pPr>
        <w:pStyle w:val="2"/>
        <w:ind w:firstLine="420" w:firstLineChars="200"/>
      </w:pPr>
    </w:p>
    <w:p>
      <w:pPr>
        <w:snapToGrid w:val="0"/>
        <w:spacing w:after="50"/>
        <w:ind w:left="955" w:right="-817" w:firstLine="5565" w:firstLineChars="2650"/>
        <w:rPr>
          <w:rFonts w:ascii="宋体" w:hAnsi="宋体"/>
        </w:rPr>
      </w:pPr>
    </w:p>
    <w:p>
      <w:pPr>
        <w:snapToGrid w:val="0"/>
        <w:spacing w:after="50"/>
        <w:ind w:left="955" w:right="-817" w:firstLine="5565" w:firstLineChars="2650"/>
        <w:rPr>
          <w:rFonts w:ascii="宋体" w:hAnsi="宋体"/>
        </w:rPr>
      </w:pPr>
      <w:r>
        <w:rPr>
          <w:rFonts w:hint="eastAsia" w:ascii="宋体" w:hAnsi="宋体"/>
        </w:rPr>
        <w:t>比选申请人名称（盖章）：</w:t>
      </w:r>
    </w:p>
    <w:p>
      <w:pPr>
        <w:pStyle w:val="2"/>
      </w:pPr>
    </w:p>
    <w:p>
      <w:pPr>
        <w:snapToGrid w:val="0"/>
        <w:spacing w:after="50"/>
        <w:ind w:left="707" w:right="-817" w:firstLine="5145" w:firstLineChars="2450"/>
        <w:rPr>
          <w:rFonts w:ascii="宋体" w:hAnsi="宋体"/>
        </w:rPr>
      </w:pPr>
      <w:r>
        <w:rPr>
          <w:rFonts w:hint="eastAsia" w:ascii="宋体" w:hAnsi="宋体"/>
        </w:rPr>
        <w:t>法定代表人或被授权人（签字）：</w:t>
      </w:r>
    </w:p>
    <w:p>
      <w:pPr>
        <w:pStyle w:val="2"/>
      </w:pPr>
    </w:p>
    <w:p>
      <w:pPr>
        <w:ind w:right="-57"/>
        <w:jc w:val="center"/>
        <w:rPr>
          <w:rFonts w:ascii="宋体" w:hAnsi="宋体"/>
        </w:rPr>
      </w:pPr>
      <w:r>
        <w:rPr>
          <w:rFonts w:hint="eastAsia" w:ascii="宋体" w:hAnsi="宋体"/>
        </w:rPr>
        <w:t xml:space="preserve"> </w:t>
      </w:r>
      <w:r>
        <w:rPr>
          <w:rFonts w:ascii="宋体" w:hAnsi="宋体"/>
        </w:rPr>
        <w:t xml:space="preserve">                                                  </w:t>
      </w:r>
      <w:r>
        <w:rPr>
          <w:rFonts w:hint="eastAsia" w:ascii="宋体" w:hAnsi="宋体"/>
        </w:rPr>
        <w:t xml:space="preserve">日  期：     年 </w:t>
      </w:r>
      <w:r>
        <w:rPr>
          <w:rFonts w:ascii="宋体" w:hAnsi="宋体"/>
        </w:rPr>
        <w:t xml:space="preserve">  </w:t>
      </w:r>
      <w:r>
        <w:rPr>
          <w:rFonts w:hint="eastAsia" w:ascii="宋体" w:hAnsi="宋体"/>
        </w:rPr>
        <w:t xml:space="preserve"> 月  </w:t>
      </w:r>
      <w:r>
        <w:rPr>
          <w:rFonts w:ascii="宋体" w:hAnsi="宋体"/>
        </w:rPr>
        <w:t xml:space="preserve">  </w:t>
      </w:r>
      <w:r>
        <w:rPr>
          <w:rFonts w:hint="eastAsia" w:ascii="宋体" w:hAnsi="宋体"/>
        </w:rPr>
        <w:t>日</w:t>
      </w:r>
    </w:p>
    <w:p>
      <w:pPr>
        <w:pStyle w:val="2"/>
      </w:pPr>
    </w:p>
    <w:p>
      <w:pPr>
        <w:pStyle w:val="2"/>
      </w:pPr>
    </w:p>
    <w:p>
      <w:pPr>
        <w:pStyle w:val="4"/>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sectPr>
          <w:pgSz w:w="11906" w:h="16838"/>
          <w:pgMar w:top="2007" w:right="1440" w:bottom="1440" w:left="1440" w:header="851" w:footer="992" w:gutter="0"/>
          <w:cols w:space="425" w:num="1"/>
          <w:docGrid w:type="lines" w:linePitch="312" w:charSpace="0"/>
        </w:sectPr>
      </w:pPr>
    </w:p>
    <w:p>
      <w:pPr>
        <w:pStyle w:val="4"/>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bookmarkStart w:id="1705" w:name="_Toc26238"/>
      <w:r>
        <w:rPr>
          <w:rFonts w:ascii="宋体" w:hAnsi="宋体" w:cs="Times New Roman"/>
          <w:bCs w:val="0"/>
          <w:kern w:val="0"/>
          <w:sz w:val="21"/>
          <w:szCs w:val="21"/>
        </w:rPr>
        <w:t>C3 比选申请报价表</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Fonts w:hint="eastAsia" w:ascii="宋体" w:hAnsi="宋体" w:cs="Times New Roman"/>
          <w:bCs w:val="0"/>
          <w:kern w:val="0"/>
          <w:sz w:val="21"/>
          <w:szCs w:val="21"/>
        </w:rPr>
        <w:t>（分项）</w:t>
      </w:r>
      <w:bookmarkEnd w:id="1705"/>
    </w:p>
    <w:p>
      <w:pPr>
        <w:snapToGrid w:val="0"/>
        <w:spacing w:after="50" w:line="360" w:lineRule="auto"/>
        <w:ind w:right="-57"/>
        <w:jc w:val="center"/>
        <w:rPr>
          <w:rFonts w:ascii="宋体" w:hAnsi="宋体"/>
          <w:b/>
          <w:sz w:val="24"/>
          <w:szCs w:val="24"/>
        </w:rPr>
      </w:pPr>
      <w:r>
        <w:rPr>
          <w:rFonts w:hint="eastAsia" w:ascii="宋体" w:hAnsi="宋体"/>
          <w:b/>
          <w:sz w:val="24"/>
          <w:szCs w:val="24"/>
        </w:rPr>
        <w:t>比选申请报价表（分项）</w:t>
      </w:r>
    </w:p>
    <w:p>
      <w:pPr>
        <w:snapToGrid w:val="0"/>
        <w:spacing w:line="360" w:lineRule="auto"/>
        <w:ind w:right="-57"/>
        <w:rPr>
          <w:rFonts w:ascii="宋体" w:hAnsi="宋体"/>
          <w:u w:val="single"/>
        </w:rPr>
      </w:pPr>
      <w:r>
        <w:rPr>
          <w:rFonts w:hint="eastAsia" w:ascii="宋体" w:hAnsi="宋体"/>
        </w:rPr>
        <w:t>项目名称：</w:t>
      </w:r>
      <w:r>
        <w:rPr>
          <w:rFonts w:hint="eastAsia" w:ascii="宋体" w:hAnsi="宋体"/>
          <w:u w:val="single"/>
        </w:rPr>
        <w:t>南宁轨道交通运营有限公司2023年办公家具家电委外维修项目</w:t>
      </w:r>
    </w:p>
    <w:p>
      <w:pPr>
        <w:snapToGrid w:val="0"/>
        <w:spacing w:line="360" w:lineRule="auto"/>
        <w:ind w:right="-57"/>
        <w:rPr>
          <w:rFonts w:ascii="宋体" w:hAnsi="宋体"/>
          <w:u w:val="single"/>
        </w:rPr>
      </w:pPr>
      <w:r>
        <w:rPr>
          <w:rFonts w:hint="eastAsia" w:ascii="宋体" w:hAnsi="宋体"/>
        </w:rPr>
        <w:t>项目编号：</w:t>
      </w:r>
      <w:r>
        <w:rPr>
          <w:rFonts w:ascii="宋体" w:hAnsi="宋体"/>
          <w:u w:val="single"/>
        </w:rPr>
        <w:t>202208020001</w:t>
      </w:r>
    </w:p>
    <w:p>
      <w:pPr>
        <w:snapToGrid w:val="0"/>
        <w:spacing w:line="360" w:lineRule="auto"/>
        <w:ind w:right="-57"/>
        <w:rPr>
          <w:rFonts w:ascii="宋体" w:hAnsi="宋体"/>
        </w:rPr>
      </w:pPr>
      <w:r>
        <w:rPr>
          <w:rFonts w:hint="eastAsia" w:ascii="宋体" w:hAnsi="宋体"/>
        </w:rPr>
        <w:t xml:space="preserve">比选申请人名称：                   </w:t>
      </w:r>
      <w:r>
        <w:rPr>
          <w:rFonts w:ascii="宋体" w:hAnsi="宋体"/>
        </w:rPr>
        <w:t xml:space="preserve">                                       </w:t>
      </w:r>
      <w:r>
        <w:rPr>
          <w:rFonts w:hint="eastAsia" w:ascii="宋体" w:hAnsi="宋体"/>
        </w:rPr>
        <w:t>单位：元</w:t>
      </w:r>
    </w:p>
    <w:tbl>
      <w:tblPr>
        <w:tblStyle w:val="40"/>
        <w:tblW w:w="16414" w:type="dxa"/>
        <w:tblInd w:w="-1139" w:type="dxa"/>
        <w:tblLayout w:type="fixed"/>
        <w:tblCellMar>
          <w:top w:w="0" w:type="dxa"/>
          <w:left w:w="108" w:type="dxa"/>
          <w:bottom w:w="0" w:type="dxa"/>
          <w:right w:w="108" w:type="dxa"/>
        </w:tblCellMar>
      </w:tblPr>
      <w:tblGrid>
        <w:gridCol w:w="563"/>
        <w:gridCol w:w="2669"/>
        <w:gridCol w:w="3118"/>
        <w:gridCol w:w="993"/>
        <w:gridCol w:w="708"/>
        <w:gridCol w:w="2835"/>
        <w:gridCol w:w="993"/>
        <w:gridCol w:w="1417"/>
        <w:gridCol w:w="851"/>
        <w:gridCol w:w="1275"/>
        <w:gridCol w:w="992"/>
      </w:tblGrid>
      <w:tr>
        <w:tblPrEx>
          <w:tblCellMar>
            <w:top w:w="0" w:type="dxa"/>
            <w:left w:w="108" w:type="dxa"/>
            <w:bottom w:w="0" w:type="dxa"/>
            <w:right w:w="108" w:type="dxa"/>
          </w:tblCellMar>
        </w:tblPrEx>
        <w:trPr>
          <w:trHeight w:val="375" w:hRule="atLeast"/>
          <w:tblHeader/>
        </w:trPr>
        <w:tc>
          <w:tcPr>
            <w:tcW w:w="56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维修/维保项目名称</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维修项目特征</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（含人工耗材费用）</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预估</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数量</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适用于的物资/设施设备描述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所属类别</w:t>
            </w:r>
          </w:p>
        </w:tc>
        <w:tc>
          <w:tcPr>
            <w:tcW w:w="1417"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不含税上限控制单价（元）</w:t>
            </w:r>
          </w:p>
        </w:tc>
        <w:tc>
          <w:tcPr>
            <w:tcW w:w="851"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税率</w:t>
            </w:r>
          </w:p>
        </w:tc>
        <w:tc>
          <w:tcPr>
            <w:tcW w:w="127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不含税单价（元 ）</w:t>
            </w:r>
          </w:p>
        </w:tc>
        <w:tc>
          <w:tcPr>
            <w:tcW w:w="992"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不含税合价（元）</w:t>
            </w:r>
          </w:p>
        </w:tc>
      </w:tr>
      <w:tr>
        <w:tblPrEx>
          <w:tblCellMar>
            <w:top w:w="0" w:type="dxa"/>
            <w:left w:w="108" w:type="dxa"/>
            <w:bottom w:w="0" w:type="dxa"/>
            <w:right w:w="108" w:type="dxa"/>
          </w:tblCellMar>
        </w:tblPrEx>
        <w:trPr>
          <w:trHeight w:val="285" w:hRule="atLeast"/>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维修/更换沙发扶手换皮</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沙发扶手皮定制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适用于办公沙发2000W×800D×900H（mm）</w:t>
            </w:r>
          </w:p>
        </w:tc>
        <w:tc>
          <w:tcPr>
            <w:tcW w:w="993"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¥504.42</w:t>
            </w:r>
          </w:p>
        </w:tc>
        <w:tc>
          <w:tcPr>
            <w:tcW w:w="851" w:type="dxa"/>
            <w:tcBorders>
              <w:top w:val="nil"/>
              <w:left w:val="single" w:color="auto" w:sz="4" w:space="0"/>
              <w:bottom w:val="nil"/>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nil"/>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维修/更换保险柜锁具</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保险柜锁具22mm、优质铜芯，配2把钥匙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283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适用于保险柜1.双门电子，规格：1500*600*560（mm）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2.单门电子，600*340*390（mm）</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¥77.73</w:t>
            </w:r>
          </w:p>
        </w:tc>
        <w:tc>
          <w:tcPr>
            <w:tcW w:w="85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重置保险柜密码</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83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¥148.58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维修/更换保险柜主板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保险柜主板定制、根据所使用型号确定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适用于保险柜1.双门电子，规格：1500*600*560（mm）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2.单门电子，600*340*390（mm）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¥145.63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更换玻璃铁皮文件柜玻璃</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玻璃铁皮文件柜玻璃尺寸根据损坏玻璃大小定制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¥112.49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维修/更换玻璃铁皮文件柜导轨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玻璃铁皮文件柜导轨不锈钢阻尼导轨 18-45cm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¥91.65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玻璃铁皮文件柜锁具22mm、优质铜芯，配2把钥匙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40</w:t>
            </w:r>
          </w:p>
        </w:tc>
        <w:tc>
          <w:tcPr>
            <w:tcW w:w="283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玻璃铁皮文件柜五金件不锈钢/ASKL0037</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维修/更换储物柜链接处</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储物柜链接处默认尺寸/1583593805/不锈钢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适用于储物柜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¥181.57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更换储物柜锁具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储物柜锁具22mm、优质铜芯，配2把钥匙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适用于储物柜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维修/更换单人转椅连接处（五角星）</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单人转椅连接处（五角星）45*68厘米/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¥185.03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更换单人转椅万向轮</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单人转椅万向轮35厘米/Q31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¥180.87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更换单人转椅五金件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单人转椅五金件默认尺寸/不锈钢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维修/更换单人转椅坐垫</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单人转椅坐垫按实际尺寸更换/定制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¥326.18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更换点钞室铁预制票柜玻璃</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点钞室铁预制票柜玻璃尺寸根据损坏玻璃大小定制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¥112.49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维修/更换点钞室铁预制票柜导轨</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点钞室铁预制票柜导轨不锈钢阻尼导轨 18-45cm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¥91.65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点钞室铁预制票柜锁具22mm、优质铜芯，配2把钥匙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点钞室铁预制票柜五金件默认尺寸/不锈钢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维修/更换工班班台导轨</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工班班台导轨不锈钢阻尼导轨 18-45cm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¥160.76</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更换工班班台锁具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工班班台锁具22mm、优质铜芯，配2把钥匙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维修/更换工班班台桌板配件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工班班台桌板配件2英寸/TPEYZL，优质三合一锁扣、优质木胶塞</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¥190.08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更换工班椅五金件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工班椅五金件2英寸/TPEYZL</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¥179.68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维修/更换工班椅坐垫</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工班椅坐垫定制/网椅坐垫，高回弹海绵</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¥326.18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更换工班长桌锁具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工班长桌锁具22mm、优质铜芯，配2把钥匙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适用于工班长桌</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维修/更换会议椅/弓形椅连接处（三合一）</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会议椅/弓形椅连接处（三合一）45*68厘米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¥182.26</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维修/更换会议椅、弓形椅坐垫</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会议椅、弓形椅坐垫按实际尺寸更换/定制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¥304.80</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更换会议椅/弓形椅/职员椅五金件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会议椅/弓形椅/职员椅五金件默认尺寸/不锈钢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适用于会议椅/弓形椅/职员椅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维修/更换活动式档案柜铰链</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活动式档案柜铰链定制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¥420.35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维修/更换活动式档案柜铁质盖板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活动式档案柜铁质盖板定制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维修/更换活动式档案柜齿轮</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活动式档案柜齿轮定制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维修/更换活动式档案柜五金配件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活动式档案柜五金配件包括但不限于适用于活动式档案柜的零星五金件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¥126.11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更换木制文件柜五金件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木制文件柜五金件五金零件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适用于木制文件柜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¥145.46</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更换培训椅五金件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培训椅五金件内六角螺丝套</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维修/更换桌板配件写字板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桌板配件写字板60*90cm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¥85.57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维修/更换桌板配件支架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桌板配件支架座椅支架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¥238.84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更换培训桌五金件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培训桌五金件五金零件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适用于培训桌</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更换钱箱货架柜锁具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钱箱货架柜锁具规格：25，优质铜芯锁，配两把钥匙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适用于钱箱货架柜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更换沙发五金件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沙发五金件角码</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适用于沙发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维修/更换沙发坐垫皮</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沙发坐垫皮优质PU皮</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适用于沙发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¥326.18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四门更衣柜锁具规格：25，优质铜芯锁，配两把钥匙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四门更衣柜锁具规格：25，优质铜芯锁，配两把钥匙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四门更衣柜五金件弹簧插销</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四门更衣柜五金件门把手</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更换员工卡座玻璃</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员工卡座玻璃尺寸根据损坏玻璃大小定制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¥221.49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维修/更换员工卡座导轨</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员工卡座导轨不锈钢阻尼导轨 18-45cm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¥91.65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维修/更换员工卡座键盘托</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员工卡座键盘托370*82*25毫米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¥41.31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更换员工卡座五金件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员工卡座五金件优质门把手、门铰等。</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维修/更换站长办公桌导轨</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站长办公桌导轨不锈钢阻尼导轨 18-45cm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适用于站长办公桌</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¥91.65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更换站长办公桌锁具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站长办公桌锁具规格：25，优质铜芯锁，配两把钥匙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适用于站长办公桌</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更换职工之家更衣柜锁具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职工之家更衣柜锁具规格：25，优质铜芯锁，配两把钥匙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¥55.89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更换职工之家更衣柜五金件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w:t>
            </w:r>
            <w:r>
              <w:rPr>
                <w:rFonts w:hint="eastAsia"/>
                <w:color w:val="000000"/>
                <w:sz w:val="18"/>
                <w:szCs w:val="18"/>
              </w:rPr>
              <w:t>工之家更衣柜五金件门铰</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更换职工之家更衣柜钥匙（手环）</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职工之家更衣柜钥匙（手环）配套手环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¥7.38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维修/更换职员椅连接处（三合一）</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职员椅连接处（三合一）45*68厘米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适用于职员椅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¥182.26</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维修/更换职员椅坐垫</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职员椅坐垫定制/网椅坐垫，高回弹海绵</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适用于职员椅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¥326.18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维修/更换桌子（通用）导轨</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桌子（通用）导轨不锈钢阻尼导轨 18-45cm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¥91.65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维修/更换桌子（通用）键盘托</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桌子（通用）键盘托370*82*25毫米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¥38.88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维修/更换桌子（通用）连接处（三合一）</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桌子（通用）连接处（三合一）三合一锁扣</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¥173.75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更换桌子（通用）锁具</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桌子（通用）锁具规格：25，优质铜芯锁，配两把钥匙</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40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¥77.73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更换桌子（通用）五金件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桌子（通用）五金件优质三合一锁扣、自攻钉、门把手、门铰等</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¥144.77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维修/更换桌子（通用）桌板配件</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桌子（通用）桌板配件五金零件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¥46.98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管道日常堵漏疏通</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冰箱补漏焊点</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¥273.22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处理冰箱脏堵漏故障</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¥273.22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冰箱清洗服务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¥280.15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维修冰箱电脑版</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维修冰箱电脑版适配BCD-176M/BCD-225TMPM电脑版维修</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适用于冰箱</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¥273.22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维修冰箱风机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维修冰箱风机适配BCD-176M/BCD-225TMPM风机维修</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适用于冰箱</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¥273.22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维修/更换单体空调压缩机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单体空调压缩机1.5P/2P/2.5P/3P</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维修/更换单体空调电脑板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单体空调电脑板1.5P/2P/2.5P/3P</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¥840.71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单体空调内机清洗</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¥252.21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单体空调外机清洗</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¥210.18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维修/更换单体空调铜管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单体空调铜管空调专用铜管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¥186.77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单体空调铜管补漏</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¥1,261.06</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挂式单体空调移机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¥672.57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柜式单体空调移机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5</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¥1,008.85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维修/更换工业型洗衣机/烘干机电子元件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工业型洗衣机/烘干机电子元件SWA801-50电子元件修理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¥206.38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维修/更换工业型洗衣机/烘干机电机维修</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工业型洗衣机/烘干机电机维修SWA801-50电机维修</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¥287.09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更换工业型洗衣机/烘干机制动轮内衬</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工业型洗衣机/烘干机制动轮内衬XTQ-50制动轮内村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¥1,046.32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更换工业型洗衣机/烘干机制动盘部件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工业型洗衣机/烘干机制动盘部件XTQ-50制动盘部件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¥1,953.83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更换工业型洗衣机/烘干机轴承座</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工业型洗衣机/烘干机轴承座XTQ-50轴承座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¥1,204.31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工业型洗衣机/烘干机腔体清理</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¥512.58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维修/更换工业型洗衣机/烘干机五金件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工业型洗衣机/烘干机五金件接头，国标</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¥272.52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维修/更换工业型洗衣机/烘干机注水管</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工业型洗衣机/烘干机注水管ppr冷热25管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¥272.52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更换单体空调雪种</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单体空调雪种3公斤/家用空调制冷剂，型号：R22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¥173.23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单体空调设备日常维护</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¥197.17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更换单体空调铜管水管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单体空调铜管水管300mm*15mm/(nWjA)</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更换洗衣机注水接头</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洗衣机注水接头70*40*50厘米/F202洗衣机龙头</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适用于家用洗衣机</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¥137.99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维修/更换洗衣机注水管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洗衣机注水管3m/005、海尔XPB100-178S</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适用于家用洗衣机</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¥138.70</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咖啡机日常维护</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维修/更换单控单开开关</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单控单开开关G07、250V、单控单开</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¥27.94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2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维修/更换空调插座</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空调插座G09、四孔插座250V、16A</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¥52.67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维修/更换七孔插座</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七孔插座G09、七孔插座/250V</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¥41.31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维修/更换五孔插座</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五孔插座G09、五孔插座/250V、10A</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¥27.94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维修/更换空气开关</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空气开关D32/D16/D63等（带断电保护）</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常规低压配电件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¥126.11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维修/更换短灯管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短灯管18W短灯管/配套镇流器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2000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¥29.93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维修/更换长灯管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长灯管36W长灯管/配套镇流器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¥47.45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维修/更换灯盘</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灯盘吊装灯带LED38W，超大芯片、高亮度、铜芯导线</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¥118.73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维修/更换射灯</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射灯射灯LED15W、高显色、高寿命、高流明</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¥113.53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维修/更换筒灯</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筒灯筒灯LED15W</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¥113.53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维修/更换吸顶灯</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吸顶灯40W，吸顶灯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¥112.49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维修/更换隐藏灯带</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隐藏灯带隐藏灯带LED15W，超大芯片、高亮度、铜芯导线</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¥118.73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开锁服务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¥100.88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维修/更换水龙头</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水龙头优质阀芯，单冷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适用于办公楼洗手间水龙头</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¥109.71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小便池陶瓷/挂墙式/28千克</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适用于办公楼洗手间小便池</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¥269.06</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维修/更换PVC线槽</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PVC线槽25mm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适用于办公区域低压配电</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¥42.04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维修/更换电源线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电源线1.5平方</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适用于办公区域低压配电</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¥4.20</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地砖14.5kg/CH8872AS/300mm*300mm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¥156.75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地砖14.5kg/CH8872AS/600mm*600mm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¥156.75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维修/更换踢脚线瓷砖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踢脚线瓷砖按需定制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适用于办公区域墙壁踢脚线</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¥420.35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维修/更换办公区域纱窗网</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办公区域纱窗网定制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适用于办公区域纱窗</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¥84.07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维修/更换办公区域纱窗五金件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办公区域纱窗五金件定制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适用于办公区域纱窗</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¥84.07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维修/更换洗手间排气扇</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洗手间排气扇300mm*300mm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适用于办公区域洗手间排气扇</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¥126.11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维修/更换洗手间排气扇</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洗手间排气扇600mm*600mm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适用于办公区域洗手间排气扇</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¥210.18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维修/更换拖把池</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拖把池尺寸：375mm*500mm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适用于办公区域洗手间拖把池</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¥672.57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地砖14.5kg/CH8872AS/800mm*800mm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¥166.45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维修/更换办公室玻璃门合页</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办公室玻璃门合页国标</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¥140.78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维修/更换办公室玻璃门连接杆</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办公室玻璃门连接杆国标</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¥93.38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117</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维修/更换办公室木门门锁</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办公室木门门锁国标</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¥163.68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维修/更换办公室天花板（铝扣板）</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办公室天花板（铝扣板）14.5kg/CH8692AS/600mm*600mm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适用于办公室天花板</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¥267.54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维修/更换地下停车场车用斜坡垫</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地下停车场车用斜坡垫定制橡胶，黄黑配色，报打钉安装</w:t>
            </w:r>
            <w:r>
              <w:rPr>
                <w:rFonts w:hint="eastAsia"/>
                <w:color w:val="000000"/>
                <w:sz w:val="18"/>
                <w:szCs w:val="18"/>
              </w:rPr>
              <w:br w:type="textWrapping"/>
            </w:r>
            <w:r>
              <w:rPr>
                <w:rFonts w:hint="eastAsia"/>
                <w:color w:val="000000"/>
                <w:sz w:val="18"/>
                <w:szCs w:val="18"/>
              </w:rPr>
              <w:t>五象车辆段：5980*110</w:t>
            </w:r>
            <w:r>
              <w:rPr>
                <w:rFonts w:hint="eastAsia"/>
                <w:color w:val="000000"/>
                <w:sz w:val="18"/>
                <w:szCs w:val="18"/>
              </w:rPr>
              <w:br w:type="textWrapping"/>
            </w:r>
            <w:r>
              <w:rPr>
                <w:rFonts w:hint="eastAsia"/>
                <w:color w:val="000000"/>
                <w:sz w:val="18"/>
                <w:szCs w:val="18"/>
              </w:rPr>
              <w:t>心圩车辆段：5400*120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适用于场段地下停车场</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¥252.21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维修/更换冲水阀-脚踩式</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冲水阀-脚踩式优质阀芯，6分口径，含螺帽距离≥86mm</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适用于冲水阀-脚踩式</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¥135.58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维修/更换窗户-推拉式</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窗户-推拉式750mm*900mm优质铝合金、优质玻璃,具体尺寸根据实际情况定制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扇</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适用于窗户-推拉式</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¥917.08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维修/更换窗户-一体式</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窗户-一体式750mm*750mm优质铝合金、优质玻璃，具体尺寸根据实际情况定制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扇</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适用于窗户-一体式</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¥934.41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维修/更换窗帘轨道</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窗帘轨道PVC材质（含活动窗帘扣）</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适用于窗帘挂钩</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¥252.21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维修/更换蹲坑</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蹲坑14095/5.0L</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适用于蹲坑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¥730.45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维修/更换感应水龙头</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感应水龙头按需定制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适用于感应式水龙头</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¥420.35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维修/更换感应水龙头感应器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感应水龙头感应器按需定制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ascii="等线" w:hAnsi="等线" w:eastAsia="等线"/>
                <w:color w:val="000000"/>
                <w:sz w:val="18"/>
                <w:szCs w:val="18"/>
              </w:rPr>
              <w:t>23</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适用于感应式水龙头</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¥252.21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维修/更换落地式感应小便池</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落地式感应小便池按需定制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¥1,261.06</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维修/更换双面钢化玻璃</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双面钢化玻璃按实际尺寸定制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适用于建筑外墙玻璃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¥1,092.92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维修/更换玻璃门连接开关</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玻璃门连接开关按需定制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适用于建筑正/侧门活动玻璃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¥487.61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维修/更换淋雨花洒配件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淋雨花洒配件入水孔径(mm)20mm.安装孔距150mm/yy-20210325/全铜，局部铜，不锈钢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适用于淋雨花洒配件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¥160.40</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维修/更换马桶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马桶300mm/连体式</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适用于马桶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¥616.32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墙体/天面表面修补</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墙体/天面表面修补15L，白墙刮灰/乳胶漆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适用于墙体/天面表面修补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¥187.58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维修/更换办公室木门合页</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办公室木门合页CB-JL372-3/不锈钢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¥146.85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维修/更换办公室木门连接杆</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办公室木门连接杆112/不锈钢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¥93.38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维修/更换办公室玻璃门门锁</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办公室玻璃门门锁XMWY-05/不锈钢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¥178.43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维修/更换洗手盆下水器带管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洗手盆下水器带管电镀管/翻版</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835"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适用于办公楼洗手间洗手盆</w:t>
            </w:r>
          </w:p>
        </w:tc>
        <w:tc>
          <w:tcPr>
            <w:tcW w:w="993"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w:t>
            </w:r>
          </w:p>
        </w:tc>
        <w:tc>
          <w:tcPr>
            <w:tcW w:w="851" w:type="dxa"/>
            <w:tcBorders>
              <w:top w:val="nil"/>
              <w:left w:val="single" w:color="auto" w:sz="4" w:space="0"/>
              <w:bottom w:val="nil"/>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nil"/>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nil"/>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维修/更换洗菜池下水器带管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洗菜池下水器带管电镀管/翻版</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适用于洗手盆下水连接</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w:t>
            </w:r>
          </w:p>
        </w:tc>
        <w:tc>
          <w:tcPr>
            <w:tcW w:w="85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维修/更换小便池按压器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小便池按压器按需定制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适用于小便池</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¥168.14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维修/更换小便池排水管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小便池排水管DN25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适用于小便池下水道连接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¥67.26</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140</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维修/更换小便池感应冲洗阀配件（大口径）</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小便池感应冲洗阀配件（大口径）按需定制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¥798.67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141</w:t>
            </w:r>
          </w:p>
        </w:tc>
        <w:tc>
          <w:tcPr>
            <w:tcW w:w="2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维修/更换小便池感应冲洗阀（常规口径）</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color w:val="000000"/>
                <w:sz w:val="18"/>
                <w:szCs w:val="18"/>
              </w:rPr>
              <w:t>小便池感应冲洗阀（常规口径）按需定制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¥319.47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维修/更换电动道闸配件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电动道闸配件QG-DZ3888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¥351.47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维修/更换电动道闸遥控器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电动道闸遥控器通用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¥252.21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维修/更换电动道闸感应雷达</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电动道闸感应雷达按需定制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¥672.57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维修/更换电动道闸手动控制器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电动道闸手动控制器按需定制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¥504.42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维修/更换电动道闸五金配件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电动道闸五金配件通用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¥126.11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维修/更换电动伸缩门遥控器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电动伸缩门遥控器按需定制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¥100.88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维修/更换电动伸缩门电机马达</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电动伸缩门电机马达按需定制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¥840.71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维修/更换电动伸缩门五金配件</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电动伸缩门五金配件通用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¥210.18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维修/更换电动伸缩门连接杆/铝制套杆</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电动伸缩门连接杆/铝制套杆按需定制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¥100.88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维修/更换电动伸缩门轨道轮</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电动伸缩门轨道轮按需定制</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¥210.18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升维修/更换旗杆滑轮组</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升旗杆滑轮组金属不锈钢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适用于升旗台</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¥252.21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维修/更换升旗杆绳索</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升旗杆绳索麻绳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适用于升旗台</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¥252.21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维修/更换太阳能热水器高压开关</w:t>
            </w:r>
          </w:p>
        </w:tc>
        <w:tc>
          <w:tcPr>
            <w:tcW w:w="3118" w:type="dxa"/>
            <w:tcBorders>
              <w:top w:val="nil"/>
              <w:left w:val="nil"/>
              <w:bottom w:val="single" w:color="auto" w:sz="4" w:space="0"/>
              <w:right w:val="single" w:color="auto" w:sz="4" w:space="0"/>
            </w:tcBorders>
            <w:shd w:val="clear" w:color="auto" w:fill="auto"/>
            <w:noWrap/>
            <w:vAlign w:val="center"/>
          </w:tcPr>
          <w:p>
            <w:pPr>
              <w:widowControl/>
              <w:ind w:right="40" w:rightChars="19"/>
              <w:jc w:val="center"/>
              <w:rPr>
                <w:rFonts w:ascii="宋体" w:hAnsi="宋体" w:cs="宋体"/>
                <w:color w:val="000000"/>
                <w:kern w:val="0"/>
                <w:sz w:val="18"/>
                <w:szCs w:val="18"/>
              </w:rPr>
            </w:pPr>
            <w:r>
              <w:rPr>
                <w:rFonts w:hint="eastAsia"/>
                <w:color w:val="000000"/>
                <w:sz w:val="18"/>
                <w:szCs w:val="18"/>
              </w:rPr>
              <w:t>太阳能热水器高压开关10028500000000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¥1,888.18</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更换/保养太阳能热水器清洗集热器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太阳能热水器清洗集热器手工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¥219.41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维修/更换太阳能热水器冷媒</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太阳能热水器冷媒r134a通用冷媒</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¥319.73</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157</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维修/更换太阳能热水器压缩机</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太阳能热水器压缩机纯铜插片端子，20UF-100UF，450V</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¥393.62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158</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太阳能热水器整体清理清洗</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¥319.19</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159</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维修/更换太阳能热水器电热管</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太阳能热水器电热管1500W（螺纹式）</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¥227.04</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维修/更换太阳能热水器小型继电器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太阳能热水器小型继电器欧姆龙MY2NJ/AC220V/大八脚含底座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¥126.11</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161</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维修/更换太阳能热水器温度控制器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太阳能热水器温度控制器碧河BF-D110A</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¥294.25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162</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维修/更换太阳能热水器交流接触器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太阳能热水器交流接触器CHNT正泰220V/380V</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¥319.47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维修/更换太阳能热水器温度传感器/探头</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太阳能热水器温度传感器/探头通用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¥319.47</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164</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维修/更换太阳能热水器回水/供水电磁阀</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太阳能热水器回水/供水电磁阀DN50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¥420.35</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165</w:t>
            </w:r>
          </w:p>
        </w:tc>
        <w:tc>
          <w:tcPr>
            <w:tcW w:w="2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维修/更换太阳能热水器控制变频器</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sz w:val="18"/>
                <w:szCs w:val="18"/>
              </w:rPr>
              <w:t>太阳能热水器控制变频器正泰NVF2G-2.2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color w:val="000000"/>
                <w:sz w:val="22"/>
              </w:rPr>
              <w:t>¥2,522.12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67" w:hRule="atLeast"/>
        </w:trPr>
        <w:tc>
          <w:tcPr>
            <w:tcW w:w="734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ascii="等线" w:hAnsi="等线" w:eastAsia="等线" w:cs="宋体"/>
                <w:color w:val="000000"/>
                <w:kern w:val="0"/>
                <w:sz w:val="18"/>
                <w:szCs w:val="18"/>
              </w:rPr>
              <w:t>5763</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7"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92"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bl>
    <w:p>
      <w:pPr>
        <w:rPr>
          <w:rFonts w:ascii="宋体" w:hAnsi="宋体"/>
        </w:rPr>
      </w:pPr>
    </w:p>
    <w:p>
      <w:pPr>
        <w:rPr>
          <w:rFonts w:ascii="宋体" w:hAnsi="宋体"/>
        </w:rPr>
      </w:pPr>
      <w:r>
        <w:rPr>
          <w:rFonts w:hint="eastAsia" w:ascii="宋体" w:hAnsi="宋体"/>
        </w:rPr>
        <w:t>注</w:t>
      </w:r>
      <w:r>
        <w:rPr>
          <w:rFonts w:ascii="宋体" w:hAnsi="宋体"/>
        </w:rPr>
        <w:t>:</w:t>
      </w:r>
    </w:p>
    <w:p>
      <w:pPr>
        <w:ind w:firstLine="420" w:firstLineChars="200"/>
        <w:rPr>
          <w:rFonts w:ascii="宋体" w:hAnsi="宋体"/>
        </w:rPr>
      </w:pPr>
      <w:r>
        <w:rPr>
          <w:rFonts w:hint="eastAsia" w:ascii="宋体" w:hAnsi="宋体"/>
        </w:rPr>
        <w:t>1.比选申请报价应完全包括本合同中要求的全部工作内容、配件消耗料、服务及所涉及的施工及辅材。</w:t>
      </w:r>
    </w:p>
    <w:p>
      <w:pPr>
        <w:pStyle w:val="2"/>
        <w:ind w:firstLine="420" w:firstLineChars="200"/>
        <w:rPr>
          <w:rFonts w:hAnsi="宋体"/>
        </w:rPr>
      </w:pPr>
      <w:r>
        <w:rPr>
          <w:rFonts w:hint="eastAsia"/>
        </w:rPr>
        <w:t>2</w:t>
      </w:r>
      <w:r>
        <w:t>.</w:t>
      </w:r>
      <w:r>
        <w:rPr>
          <w:rFonts w:hint="eastAsia" w:hAnsi="宋体"/>
        </w:rPr>
        <w:t>比选申请人须按第五章《用户需求书》中的技术需求及数量表的顺序进行明细报价，不允许打乱顺序，不含税单价、不含税合价均精确到小数点后两位。</w:t>
      </w:r>
    </w:p>
    <w:p>
      <w:pPr>
        <w:pStyle w:val="2"/>
        <w:ind w:firstLine="420" w:firstLineChars="200"/>
        <w:rPr>
          <w:rFonts w:hAnsi="宋体"/>
        </w:rPr>
      </w:pPr>
      <w:r>
        <w:rPr>
          <w:rFonts w:hint="eastAsia" w:hAnsi="宋体"/>
        </w:rPr>
        <w:t>3</w:t>
      </w:r>
      <w:r>
        <w:rPr>
          <w:rFonts w:hAnsi="宋体"/>
        </w:rPr>
        <w:t>.</w:t>
      </w:r>
      <w:r>
        <w:rPr>
          <w:rFonts w:hint="eastAsia" w:hAnsi="宋体"/>
        </w:rPr>
        <w:t>同一项目在各分项报价中应为同一单价。比选申请人对每个项目</w:t>
      </w:r>
      <w:r>
        <w:rPr>
          <w:rFonts w:hAnsi="宋体"/>
        </w:rPr>
        <w:t>(</w:t>
      </w:r>
      <w:r>
        <w:rPr>
          <w:rFonts w:hint="eastAsia" w:hAnsi="宋体"/>
        </w:rPr>
        <w:t>指完全相同的同一项目</w:t>
      </w:r>
      <w:r>
        <w:rPr>
          <w:rFonts w:hAnsi="宋体"/>
        </w:rPr>
        <w:t>)</w:t>
      </w:r>
      <w:r>
        <w:rPr>
          <w:rFonts w:hint="eastAsia" w:hAnsi="宋体"/>
        </w:rPr>
        <w:t>只允许有一个报价，如有不同报价，则以最低报价为准。</w:t>
      </w:r>
    </w:p>
    <w:p>
      <w:pPr>
        <w:pStyle w:val="2"/>
        <w:ind w:firstLine="420" w:firstLineChars="200"/>
        <w:rPr>
          <w:rFonts w:hAnsi="宋体"/>
        </w:rPr>
      </w:pPr>
      <w:r>
        <w:rPr>
          <w:rFonts w:hint="eastAsia" w:hAnsi="宋体"/>
        </w:rPr>
        <w:t>4.本项目为单价、总价上控，本报价仅作为评标依据。项目合同暂定价格为人民币</w:t>
      </w:r>
      <w:r>
        <w:rPr>
          <w:rFonts w:hint="eastAsia" w:hAnsi="宋体"/>
          <w:u w:val="single"/>
        </w:rPr>
        <w:t xml:space="preserve">  54.7 </w:t>
      </w:r>
      <w:r>
        <w:rPr>
          <w:rFonts w:hint="eastAsia" w:hAnsi="宋体"/>
        </w:rPr>
        <w:t>万（不含税），最终结算按实际发生的故障维保项目和备品备件项目数量进行结算。投标报价高于比选控制价（或分项控制价）的投标文件将按否决投标处理。</w:t>
      </w:r>
    </w:p>
    <w:p>
      <w:pPr>
        <w:pStyle w:val="2"/>
        <w:ind w:firstLine="420" w:firstLineChars="200"/>
      </w:pPr>
    </w:p>
    <w:p>
      <w:pPr>
        <w:snapToGrid w:val="0"/>
        <w:spacing w:after="50"/>
        <w:ind w:left="955" w:right="-817" w:firstLine="5565" w:firstLineChars="2650"/>
        <w:rPr>
          <w:rFonts w:ascii="宋体" w:hAnsi="宋体"/>
          <w:u w:val="single"/>
        </w:rPr>
      </w:pPr>
      <w:r>
        <w:rPr>
          <w:rFonts w:hint="eastAsia" w:ascii="宋体" w:hAnsi="宋体"/>
        </w:rPr>
        <w:t>比选申请人名称（盖章）：</w:t>
      </w:r>
    </w:p>
    <w:p>
      <w:pPr>
        <w:snapToGrid w:val="0"/>
        <w:spacing w:after="50"/>
        <w:ind w:left="707" w:right="-817" w:firstLine="5145" w:firstLineChars="2450"/>
        <w:rPr>
          <w:rFonts w:ascii="宋体" w:hAnsi="宋体"/>
          <w:u w:val="single"/>
        </w:rPr>
      </w:pPr>
      <w:r>
        <w:rPr>
          <w:rFonts w:hint="eastAsia" w:ascii="宋体" w:hAnsi="宋体"/>
        </w:rPr>
        <w:t>法定代表人或被授权人（签字）：</w:t>
      </w:r>
    </w:p>
    <w:p>
      <w:pPr>
        <w:ind w:right="-57"/>
        <w:jc w:val="center"/>
        <w:rPr>
          <w:rFonts w:ascii="宋体" w:hAnsi="宋体"/>
        </w:rPr>
      </w:pPr>
      <w:r>
        <w:rPr>
          <w:rFonts w:hint="eastAsia" w:ascii="宋体" w:hAnsi="宋体"/>
        </w:rPr>
        <w:t xml:space="preserve"> </w:t>
      </w:r>
      <w:r>
        <w:rPr>
          <w:rFonts w:ascii="宋体" w:hAnsi="宋体"/>
        </w:rPr>
        <w:t xml:space="preserve">                                                  </w:t>
      </w:r>
      <w:r>
        <w:rPr>
          <w:rFonts w:hint="eastAsia" w:ascii="宋体" w:hAnsi="宋体"/>
        </w:rPr>
        <w:t xml:space="preserve">日  期：     年 </w:t>
      </w:r>
      <w:r>
        <w:rPr>
          <w:rFonts w:ascii="宋体" w:hAnsi="宋体"/>
        </w:rPr>
        <w:t xml:space="preserve">  </w:t>
      </w:r>
      <w:r>
        <w:rPr>
          <w:rFonts w:hint="eastAsia" w:ascii="宋体" w:hAnsi="宋体"/>
        </w:rPr>
        <w:t xml:space="preserve"> 月  </w:t>
      </w:r>
      <w:r>
        <w:rPr>
          <w:rFonts w:ascii="宋体" w:hAnsi="宋体"/>
        </w:rPr>
        <w:t xml:space="preserve">  </w:t>
      </w:r>
      <w:r>
        <w:rPr>
          <w:rFonts w:hint="eastAsia" w:ascii="宋体" w:hAnsi="宋体"/>
        </w:rPr>
        <w:t>日</w:t>
      </w:r>
    </w:p>
    <w:p>
      <w:pPr>
        <w:rPr>
          <w:rFonts w:ascii="宋体" w:hAnsi="宋体"/>
          <w:szCs w:val="21"/>
        </w:rPr>
      </w:pPr>
      <w:bookmarkStart w:id="1706" w:name="_Toc68859063"/>
      <w:bookmarkStart w:id="1707" w:name="_Toc110413986"/>
      <w:bookmarkStart w:id="1708" w:name="_Toc61680485"/>
      <w:bookmarkStart w:id="1709" w:name="_Toc58124833"/>
      <w:bookmarkStart w:id="1710" w:name="_Toc6833"/>
      <w:bookmarkStart w:id="1711" w:name="_Toc12984813"/>
      <w:bookmarkStart w:id="1712" w:name="_Toc241920153"/>
      <w:bookmarkStart w:id="1713" w:name="_Toc14503"/>
      <w:bookmarkStart w:id="1714" w:name="_Toc375564356"/>
      <w:bookmarkStart w:id="1715" w:name="_Toc32224"/>
      <w:bookmarkStart w:id="1716" w:name="_Toc17112"/>
      <w:bookmarkStart w:id="1717" w:name="_Toc414290527"/>
      <w:bookmarkStart w:id="1718" w:name="_Toc2257"/>
      <w:bookmarkStart w:id="1719" w:name="_Toc75771554"/>
      <w:bookmarkStart w:id="1720" w:name="_Toc20737"/>
      <w:bookmarkStart w:id="1721" w:name="_Toc29702"/>
      <w:bookmarkStart w:id="1722" w:name="_Toc2585"/>
      <w:bookmarkStart w:id="1723" w:name="_Toc8713"/>
      <w:bookmarkStart w:id="1724" w:name="_Toc14859"/>
      <w:bookmarkStart w:id="1725" w:name="_Toc6270"/>
      <w:bookmarkStart w:id="1726" w:name="_Toc12983553"/>
      <w:bookmarkStart w:id="1727" w:name="_Toc492478809"/>
      <w:bookmarkStart w:id="1728" w:name="_Toc25750681"/>
      <w:bookmarkStart w:id="1729" w:name="_Toc15419"/>
      <w:bookmarkStart w:id="1730" w:name="_Toc10260"/>
      <w:bookmarkStart w:id="1731" w:name="_Toc4976"/>
      <w:bookmarkStart w:id="1732" w:name="_Toc25869"/>
      <w:bookmarkStart w:id="1733" w:name="_Toc11065"/>
      <w:bookmarkStart w:id="1734" w:name="_Toc21109"/>
      <w:bookmarkStart w:id="1735" w:name="_Toc20864"/>
    </w:p>
    <w:p>
      <w:pPr>
        <w:rPr>
          <w:rFonts w:ascii="宋体" w:hAnsi="宋体"/>
          <w:szCs w:val="21"/>
        </w:rPr>
      </w:pPr>
    </w:p>
    <w:p>
      <w:pPr>
        <w:rPr>
          <w:rFonts w:ascii="宋体" w:hAnsi="宋体"/>
          <w:szCs w:val="21"/>
        </w:rPr>
      </w:pPr>
    </w:p>
    <w:p>
      <w:pPr>
        <w:pStyle w:val="4"/>
        <w:tabs>
          <w:tab w:val="left" w:pos="567"/>
          <w:tab w:val="left" w:pos="720"/>
        </w:tabs>
        <w:snapToGrid w:val="0"/>
        <w:spacing w:after="0" w:line="360" w:lineRule="auto"/>
        <w:jc w:val="left"/>
        <w:rPr>
          <w:rFonts w:ascii="宋体" w:hAnsi="宋体"/>
          <w:sz w:val="21"/>
          <w:szCs w:val="21"/>
        </w:rPr>
        <w:sectPr>
          <w:pgSz w:w="16838" w:h="11906" w:orient="landscape"/>
          <w:pgMar w:top="1440" w:right="2007" w:bottom="1440" w:left="1440" w:header="851" w:footer="992" w:gutter="0"/>
          <w:cols w:space="425" w:num="1"/>
          <w:docGrid w:type="lines" w:linePitch="312" w:charSpace="0"/>
        </w:sectPr>
      </w:pPr>
    </w:p>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Pr>
        <w:pStyle w:val="3"/>
        <w:numPr>
          <w:ilvl w:val="0"/>
          <w:numId w:val="0"/>
        </w:numPr>
        <w:spacing w:line="360" w:lineRule="auto"/>
        <w:jc w:val="center"/>
        <w:rPr>
          <w:rStyle w:val="92"/>
          <w:rFonts w:ascii="黑体" w:hAnsi="黑体" w:cs="Courier New"/>
          <w:b/>
          <w:bCs w:val="0"/>
          <w:kern w:val="2"/>
        </w:rPr>
      </w:pPr>
      <w:bookmarkStart w:id="1736" w:name="_Toc75771559"/>
      <w:bookmarkStart w:id="1737" w:name="_Toc18706"/>
      <w:bookmarkStart w:id="1738" w:name="_Toc75442091"/>
      <w:r>
        <w:rPr>
          <w:rStyle w:val="92"/>
          <w:rFonts w:ascii="黑体" w:hAnsi="黑体" w:cs="Courier New"/>
          <w:b/>
          <w:bCs w:val="0"/>
          <w:kern w:val="2"/>
        </w:rPr>
        <w:t>第五章</w:t>
      </w:r>
      <w:r>
        <w:rPr>
          <w:rStyle w:val="92"/>
          <w:rFonts w:hint="eastAsia" w:ascii="黑体" w:hAnsi="黑体" w:cs="Courier New"/>
          <w:b/>
          <w:bCs w:val="0"/>
          <w:kern w:val="2"/>
        </w:rPr>
        <w:t xml:space="preserve"> </w:t>
      </w:r>
      <w:r>
        <w:rPr>
          <w:rStyle w:val="92"/>
          <w:rFonts w:ascii="黑体" w:hAnsi="黑体" w:cs="Courier New"/>
          <w:b/>
          <w:bCs w:val="0"/>
          <w:kern w:val="2"/>
        </w:rPr>
        <w:t xml:space="preserve"> </w:t>
      </w:r>
      <w:r>
        <w:rPr>
          <w:rStyle w:val="92"/>
          <w:rFonts w:hint="eastAsia" w:ascii="黑体" w:hAnsi="黑体" w:cs="Courier New"/>
          <w:b/>
          <w:bCs w:val="0"/>
          <w:kern w:val="2"/>
        </w:rPr>
        <w:t>用户需求书</w:t>
      </w:r>
      <w:bookmarkEnd w:id="1736"/>
      <w:bookmarkEnd w:id="1737"/>
    </w:p>
    <w:p>
      <w:pPr>
        <w:pStyle w:val="4"/>
        <w:spacing w:line="360" w:lineRule="auto"/>
        <w:rPr>
          <w:rFonts w:ascii="黑体" w:hAnsi="黑体" w:eastAsia="黑体"/>
          <w:sz w:val="24"/>
        </w:rPr>
      </w:pPr>
      <w:bookmarkStart w:id="1739" w:name="_Toc110498331"/>
      <w:bookmarkStart w:id="1740" w:name="_Toc178"/>
      <w:bookmarkStart w:id="1741" w:name="_Toc118923772"/>
      <w:bookmarkStart w:id="1742" w:name="_Hlk118038590"/>
      <w:r>
        <w:rPr>
          <w:rFonts w:hint="eastAsia" w:ascii="黑体" w:hAnsi="黑体" w:eastAsia="黑体"/>
          <w:sz w:val="24"/>
        </w:rPr>
        <w:t>1.项目概况</w:t>
      </w:r>
      <w:bookmarkEnd w:id="1739"/>
      <w:bookmarkEnd w:id="1740"/>
      <w:bookmarkEnd w:id="1741"/>
    </w:p>
    <w:p>
      <w:pPr>
        <w:spacing w:line="360" w:lineRule="auto"/>
        <w:rPr>
          <w:rFonts w:ascii="宋体" w:hAnsi="宋体"/>
          <w:b/>
          <w:szCs w:val="24"/>
        </w:rPr>
      </w:pPr>
      <w:bookmarkStart w:id="1743" w:name="_Toc110498332"/>
      <w:bookmarkStart w:id="1744" w:name="_Toc75442092"/>
      <w:r>
        <w:rPr>
          <w:rFonts w:hint="eastAsia" w:ascii="宋体" w:hAnsi="宋体"/>
          <w:szCs w:val="24"/>
        </w:rPr>
        <w:t>1.1项目概况</w:t>
      </w:r>
      <w:bookmarkEnd w:id="1743"/>
      <w:bookmarkEnd w:id="1744"/>
    </w:p>
    <w:p>
      <w:pPr>
        <w:spacing w:line="360" w:lineRule="auto"/>
        <w:ind w:firstLine="360" w:firstLineChars="200"/>
        <w:rPr>
          <w:rFonts w:ascii="宋体" w:hAnsi="宋体" w:cs="宋体"/>
          <w:sz w:val="18"/>
          <w:szCs w:val="21"/>
        </w:rPr>
      </w:pPr>
      <w:r>
        <w:rPr>
          <w:rFonts w:hint="eastAsia" w:ascii="宋体" w:hAnsi="宋体" w:cs="宋体"/>
          <w:sz w:val="18"/>
          <w:szCs w:val="21"/>
        </w:rPr>
        <w:t>为</w:t>
      </w:r>
      <w:r>
        <w:rPr>
          <w:rFonts w:ascii="宋体" w:hAnsi="宋体" w:cs="宋体"/>
          <w:sz w:val="18"/>
          <w:szCs w:val="21"/>
        </w:rPr>
        <w:t>做好</w:t>
      </w:r>
      <w:r>
        <w:rPr>
          <w:rFonts w:hint="eastAsia" w:ascii="宋体" w:hAnsi="宋体" w:cs="宋体"/>
          <w:sz w:val="18"/>
          <w:szCs w:val="21"/>
        </w:rPr>
        <w:t>运营</w:t>
      </w:r>
      <w:r>
        <w:rPr>
          <w:rFonts w:ascii="宋体" w:hAnsi="宋体" w:cs="宋体"/>
          <w:sz w:val="18"/>
          <w:szCs w:val="21"/>
        </w:rPr>
        <w:t>公司后勤</w:t>
      </w:r>
      <w:r>
        <w:rPr>
          <w:rFonts w:hint="eastAsia" w:ascii="宋体" w:hAnsi="宋体" w:cs="宋体"/>
          <w:sz w:val="18"/>
          <w:szCs w:val="21"/>
        </w:rPr>
        <w:t>维修</w:t>
      </w:r>
      <w:r>
        <w:rPr>
          <w:rFonts w:ascii="宋体" w:hAnsi="宋体" w:cs="宋体"/>
          <w:sz w:val="18"/>
          <w:szCs w:val="21"/>
        </w:rPr>
        <w:t>保障，</w:t>
      </w:r>
      <w:r>
        <w:rPr>
          <w:rFonts w:hint="eastAsia" w:ascii="宋体" w:hAnsi="宋体" w:cs="宋体"/>
          <w:sz w:val="18"/>
          <w:szCs w:val="21"/>
        </w:rPr>
        <w:t>做好所属办公家具家电、场段生活办公区域的低压配电、装饰装修及设施设备等的维修维保服务工作。</w:t>
      </w:r>
    </w:p>
    <w:p>
      <w:pPr>
        <w:pStyle w:val="2"/>
      </w:pPr>
    </w:p>
    <w:p>
      <w:pPr>
        <w:spacing w:line="360" w:lineRule="auto"/>
        <w:rPr>
          <w:rFonts w:ascii="宋体" w:hAnsi="宋体"/>
          <w:szCs w:val="24"/>
        </w:rPr>
      </w:pPr>
      <w:bookmarkStart w:id="1745" w:name="_Toc110498333"/>
      <w:bookmarkStart w:id="1746" w:name="_Toc75442093"/>
      <w:r>
        <w:rPr>
          <w:rFonts w:hint="eastAsia" w:ascii="宋体" w:hAnsi="宋体"/>
          <w:szCs w:val="24"/>
        </w:rPr>
        <w:t>1.</w:t>
      </w:r>
      <w:r>
        <w:rPr>
          <w:rFonts w:ascii="宋体" w:hAnsi="宋体"/>
          <w:szCs w:val="24"/>
        </w:rPr>
        <w:t>2</w:t>
      </w:r>
      <w:r>
        <w:rPr>
          <w:rFonts w:hint="eastAsia" w:ascii="宋体" w:hAnsi="宋体"/>
          <w:szCs w:val="24"/>
        </w:rPr>
        <w:t>招标人及投标人</w:t>
      </w:r>
      <w:bookmarkEnd w:id="1745"/>
      <w:bookmarkEnd w:id="1746"/>
    </w:p>
    <w:p>
      <w:pPr>
        <w:spacing w:line="360" w:lineRule="auto"/>
        <w:ind w:firstLine="360" w:firstLineChars="200"/>
        <w:rPr>
          <w:rFonts w:ascii="宋体" w:hAnsi="宋体" w:cs="宋体"/>
          <w:sz w:val="18"/>
          <w:szCs w:val="21"/>
        </w:rPr>
      </w:pPr>
      <w:r>
        <w:rPr>
          <w:rFonts w:hint="eastAsia" w:ascii="宋体" w:hAnsi="宋体" w:cs="宋体"/>
          <w:sz w:val="18"/>
          <w:szCs w:val="21"/>
        </w:rPr>
        <w:t>招标人：南宁轨道交通运营有限公司。</w:t>
      </w:r>
    </w:p>
    <w:p>
      <w:pPr>
        <w:spacing w:line="360" w:lineRule="auto"/>
        <w:ind w:firstLine="360" w:firstLineChars="200"/>
        <w:rPr>
          <w:rFonts w:ascii="宋体" w:hAnsi="宋体" w:cs="宋体"/>
          <w:sz w:val="18"/>
          <w:szCs w:val="21"/>
        </w:rPr>
      </w:pPr>
      <w:r>
        <w:rPr>
          <w:rFonts w:hint="eastAsia" w:ascii="宋体" w:hAnsi="宋体" w:cs="宋体"/>
          <w:sz w:val="18"/>
          <w:szCs w:val="21"/>
        </w:rPr>
        <w:t>投标人：响应招标、参加投标竞争的法人。</w:t>
      </w:r>
    </w:p>
    <w:p>
      <w:pPr>
        <w:pStyle w:val="4"/>
        <w:spacing w:line="360" w:lineRule="auto"/>
        <w:rPr>
          <w:rFonts w:ascii="黑体" w:hAnsi="黑体" w:eastAsia="黑体"/>
          <w:b w:val="0"/>
          <w:sz w:val="24"/>
        </w:rPr>
      </w:pPr>
      <w:bookmarkStart w:id="1747" w:name="_Toc75771561"/>
      <w:bookmarkStart w:id="1748" w:name="_Toc110498334"/>
      <w:bookmarkStart w:id="1749" w:name="_Toc75442094"/>
      <w:bookmarkStart w:id="1750" w:name="_Toc118923773"/>
      <w:bookmarkStart w:id="1751" w:name="_Toc18193"/>
      <w:r>
        <w:rPr>
          <w:rFonts w:hint="eastAsia" w:ascii="黑体" w:hAnsi="黑体" w:eastAsia="黑体"/>
          <w:b w:val="0"/>
          <w:sz w:val="24"/>
        </w:rPr>
        <w:t>2.项目范围</w:t>
      </w:r>
      <w:bookmarkEnd w:id="1747"/>
      <w:bookmarkEnd w:id="1748"/>
      <w:bookmarkEnd w:id="1749"/>
      <w:bookmarkEnd w:id="1750"/>
      <w:bookmarkEnd w:id="1751"/>
    </w:p>
    <w:p>
      <w:pPr>
        <w:numPr>
          <w:ilvl w:val="0"/>
          <w:numId w:val="12"/>
        </w:numPr>
        <w:tabs>
          <w:tab w:val="clear" w:pos="0"/>
        </w:tabs>
        <w:spacing w:line="360" w:lineRule="auto"/>
        <w:ind w:firstLine="360" w:firstLineChars="200"/>
        <w:rPr>
          <w:rFonts w:ascii="宋体" w:hAnsi="宋体" w:cs="宋体"/>
          <w:sz w:val="18"/>
          <w:szCs w:val="21"/>
        </w:rPr>
      </w:pPr>
      <w:r>
        <w:rPr>
          <w:rFonts w:hint="eastAsia" w:ascii="宋体" w:hAnsi="宋体" w:cs="宋体"/>
          <w:sz w:val="18"/>
          <w:szCs w:val="21"/>
        </w:rPr>
        <w:t>项目名称：南宁轨道交通运营有限公司2023年办公家具家电委外维修项目。</w:t>
      </w:r>
    </w:p>
    <w:p>
      <w:pPr>
        <w:numPr>
          <w:ilvl w:val="0"/>
          <w:numId w:val="12"/>
        </w:numPr>
        <w:tabs>
          <w:tab w:val="clear" w:pos="0"/>
        </w:tabs>
        <w:spacing w:line="360" w:lineRule="auto"/>
        <w:ind w:firstLine="360" w:firstLineChars="200"/>
        <w:rPr>
          <w:rFonts w:ascii="宋体" w:hAnsi="宋体" w:cs="宋体"/>
          <w:sz w:val="18"/>
          <w:szCs w:val="21"/>
        </w:rPr>
      </w:pPr>
      <w:r>
        <w:rPr>
          <w:rFonts w:hint="eastAsia" w:ascii="宋体" w:hAnsi="宋体" w:cs="宋体"/>
          <w:sz w:val="18"/>
          <w:szCs w:val="21"/>
        </w:rPr>
        <w:t>项目范围：</w:t>
      </w:r>
    </w:p>
    <w:p>
      <w:pPr>
        <w:spacing w:line="360" w:lineRule="auto"/>
        <w:ind w:firstLine="360" w:firstLineChars="200"/>
        <w:rPr>
          <w:rFonts w:ascii="宋体" w:hAnsi="宋体" w:cs="宋体"/>
          <w:sz w:val="18"/>
          <w:szCs w:val="21"/>
        </w:rPr>
      </w:pPr>
      <w:r>
        <w:rPr>
          <w:rFonts w:hint="eastAsia" w:ascii="宋体" w:hAnsi="宋体" w:cs="宋体"/>
          <w:sz w:val="18"/>
          <w:szCs w:val="21"/>
        </w:rPr>
        <w:t>2.2.1包括但不限于对南宁轨道交通1号线屯里车辆段、西乡塘停车场、2号线安吉综合基地、3号线心圩车辆段、新村停车场、4号线五象车辆段及5号线那洪综合基地等7处场段生活办公区域的家具、家电、装饰装修、低压配电、区域设施设备进行维修维保（含配件耗材）；</w:t>
      </w:r>
    </w:p>
    <w:p>
      <w:pPr>
        <w:spacing w:line="360" w:lineRule="auto"/>
        <w:ind w:firstLine="360" w:firstLineChars="200"/>
        <w:rPr>
          <w:rFonts w:ascii="宋体" w:hAnsi="宋体" w:cs="宋体"/>
          <w:sz w:val="18"/>
          <w:szCs w:val="21"/>
        </w:rPr>
      </w:pPr>
      <w:r>
        <w:rPr>
          <w:rFonts w:hint="eastAsia" w:ascii="宋体" w:hAnsi="宋体" w:cs="宋体"/>
          <w:sz w:val="18"/>
          <w:szCs w:val="21"/>
        </w:rPr>
        <w:t>2.2.2包括但不限于场段生产区域及既有线路正线车站办公家具家电进行维修维保（含配件耗材）。</w:t>
      </w:r>
    </w:p>
    <w:p>
      <w:pPr>
        <w:numPr>
          <w:ilvl w:val="0"/>
          <w:numId w:val="12"/>
        </w:numPr>
        <w:tabs>
          <w:tab w:val="clear" w:pos="0"/>
        </w:tabs>
        <w:spacing w:line="360" w:lineRule="auto"/>
        <w:ind w:firstLine="360" w:firstLineChars="200"/>
        <w:rPr>
          <w:rFonts w:ascii="宋体" w:hAnsi="宋体" w:cs="宋体"/>
          <w:sz w:val="18"/>
          <w:szCs w:val="21"/>
        </w:rPr>
      </w:pPr>
      <w:r>
        <w:rPr>
          <w:rFonts w:hint="eastAsia" w:ascii="宋体" w:hAnsi="宋体" w:cs="宋体"/>
          <w:sz w:val="18"/>
          <w:szCs w:val="21"/>
        </w:rPr>
        <w:t>项目地点：</w:t>
      </w:r>
    </w:p>
    <w:p>
      <w:pPr>
        <w:tabs>
          <w:tab w:val="left" w:pos="0"/>
        </w:tabs>
        <w:spacing w:line="360" w:lineRule="auto"/>
        <w:ind w:firstLine="360" w:firstLineChars="200"/>
        <w:rPr>
          <w:rFonts w:ascii="宋体" w:hAnsi="宋体" w:cs="宋体"/>
          <w:sz w:val="18"/>
          <w:szCs w:val="21"/>
        </w:rPr>
      </w:pPr>
      <w:r>
        <w:rPr>
          <w:rFonts w:ascii="宋体" w:hAnsi="宋体" w:cs="宋体"/>
          <w:sz w:val="18"/>
          <w:szCs w:val="21"/>
        </w:rPr>
        <w:t>2.3.1</w:t>
      </w:r>
      <w:r>
        <w:rPr>
          <w:rFonts w:hint="eastAsia" w:ascii="宋体" w:hAnsi="宋体" w:cs="宋体"/>
          <w:sz w:val="18"/>
          <w:szCs w:val="21"/>
        </w:rPr>
        <w:t xml:space="preserve"> 1号线的25个正线车站、屯里车辆段、西乡塘停车场；</w:t>
      </w:r>
    </w:p>
    <w:p>
      <w:pPr>
        <w:tabs>
          <w:tab w:val="left" w:pos="0"/>
        </w:tabs>
        <w:spacing w:line="360" w:lineRule="auto"/>
        <w:ind w:firstLine="360" w:firstLineChars="200"/>
        <w:rPr>
          <w:rFonts w:ascii="宋体" w:hAnsi="宋体" w:cs="宋体"/>
          <w:sz w:val="18"/>
          <w:szCs w:val="21"/>
        </w:rPr>
      </w:pPr>
      <w:r>
        <w:rPr>
          <w:rFonts w:hint="eastAsia" w:ascii="宋体" w:hAnsi="宋体" w:cs="宋体"/>
          <w:sz w:val="18"/>
          <w:szCs w:val="21"/>
        </w:rPr>
        <w:t>2.3.2</w:t>
      </w:r>
      <w:r>
        <w:rPr>
          <w:rFonts w:ascii="宋体" w:hAnsi="宋体" w:cs="宋体"/>
          <w:sz w:val="18"/>
          <w:szCs w:val="21"/>
        </w:rPr>
        <w:t xml:space="preserve"> </w:t>
      </w:r>
      <w:r>
        <w:rPr>
          <w:rFonts w:hint="eastAsia" w:ascii="宋体" w:hAnsi="宋体" w:cs="宋体"/>
          <w:sz w:val="18"/>
          <w:szCs w:val="21"/>
        </w:rPr>
        <w:t>2号线的2</w:t>
      </w:r>
      <w:r>
        <w:rPr>
          <w:rFonts w:ascii="宋体" w:hAnsi="宋体" w:cs="宋体"/>
          <w:sz w:val="18"/>
          <w:szCs w:val="21"/>
        </w:rPr>
        <w:t>1</w:t>
      </w:r>
      <w:r>
        <w:rPr>
          <w:rFonts w:hint="eastAsia" w:ascii="宋体" w:hAnsi="宋体" w:cs="宋体"/>
          <w:sz w:val="18"/>
          <w:szCs w:val="21"/>
        </w:rPr>
        <w:t>个正线车站及安吉综合基地。</w:t>
      </w:r>
    </w:p>
    <w:p>
      <w:pPr>
        <w:pStyle w:val="2"/>
        <w:spacing w:line="360" w:lineRule="auto"/>
        <w:rPr>
          <w:rFonts w:hAnsi="宋体" w:cs="宋体"/>
          <w:sz w:val="18"/>
        </w:rPr>
      </w:pPr>
      <w:r>
        <w:rPr>
          <w:rFonts w:hint="eastAsia" w:hAnsi="宋体" w:cs="宋体"/>
          <w:sz w:val="18"/>
        </w:rPr>
        <w:t xml:space="preserve">  </w:t>
      </w:r>
      <w:r>
        <w:rPr>
          <w:rFonts w:hAnsi="宋体" w:cs="宋体"/>
          <w:sz w:val="18"/>
        </w:rPr>
        <w:t xml:space="preserve"> </w:t>
      </w:r>
      <w:r>
        <w:rPr>
          <w:rFonts w:hint="eastAsia" w:hAnsi="宋体" w:cs="宋体"/>
          <w:sz w:val="18"/>
        </w:rPr>
        <w:t xml:space="preserve"> 2.3.3 3号线心圩车辆段、新村停车场及正线</w:t>
      </w:r>
      <w:r>
        <w:rPr>
          <w:rFonts w:hAnsi="宋体" w:cs="宋体"/>
          <w:sz w:val="18"/>
        </w:rPr>
        <w:t>23</w:t>
      </w:r>
      <w:r>
        <w:rPr>
          <w:rFonts w:hint="eastAsia" w:hAnsi="宋体" w:cs="宋体"/>
          <w:sz w:val="18"/>
        </w:rPr>
        <w:t>个车站</w:t>
      </w:r>
    </w:p>
    <w:p>
      <w:pPr>
        <w:pStyle w:val="2"/>
        <w:spacing w:line="360" w:lineRule="auto"/>
        <w:ind w:firstLine="360" w:firstLineChars="200"/>
        <w:rPr>
          <w:rFonts w:hAnsi="宋体" w:cs="宋体"/>
          <w:sz w:val="18"/>
        </w:rPr>
      </w:pPr>
      <w:r>
        <w:rPr>
          <w:rFonts w:hint="eastAsia" w:hAnsi="宋体" w:cs="宋体"/>
          <w:sz w:val="18"/>
        </w:rPr>
        <w:t>2.3.4 4号线五象车辆段及正线16个车站</w:t>
      </w:r>
    </w:p>
    <w:p>
      <w:pPr>
        <w:pStyle w:val="2"/>
        <w:spacing w:line="360" w:lineRule="auto"/>
        <w:ind w:firstLine="360" w:firstLineChars="200"/>
        <w:rPr>
          <w:rFonts w:hAnsi="宋体" w:cs="宋体"/>
          <w:sz w:val="18"/>
        </w:rPr>
      </w:pPr>
      <w:r>
        <w:rPr>
          <w:rFonts w:hint="eastAsia" w:hAnsi="宋体" w:cs="宋体"/>
          <w:sz w:val="18"/>
        </w:rPr>
        <w:t>2.3.5 5号线那洪综合基地及正线17个车站</w:t>
      </w:r>
    </w:p>
    <w:p>
      <w:pPr>
        <w:numPr>
          <w:ilvl w:val="0"/>
          <w:numId w:val="12"/>
        </w:numPr>
        <w:tabs>
          <w:tab w:val="clear" w:pos="0"/>
        </w:tabs>
        <w:spacing w:line="360" w:lineRule="auto"/>
        <w:ind w:firstLine="360" w:firstLineChars="200"/>
        <w:rPr>
          <w:rFonts w:ascii="宋体" w:hAnsi="宋体" w:cs="宋体"/>
          <w:sz w:val="18"/>
          <w:szCs w:val="21"/>
        </w:rPr>
      </w:pPr>
      <w:r>
        <w:rPr>
          <w:rFonts w:hint="eastAsia" w:ascii="宋体" w:hAnsi="宋体" w:cs="宋体"/>
          <w:sz w:val="18"/>
          <w:szCs w:val="21"/>
        </w:rPr>
        <w:t>采购方式：项目实行单价上控、按季据实结算形式进行承包，由投标人根据招标人实际需求进行维修维保。</w:t>
      </w:r>
    </w:p>
    <w:p>
      <w:pPr>
        <w:numPr>
          <w:ilvl w:val="0"/>
          <w:numId w:val="12"/>
        </w:numPr>
        <w:tabs>
          <w:tab w:val="clear" w:pos="0"/>
        </w:tabs>
        <w:spacing w:line="360" w:lineRule="auto"/>
        <w:ind w:firstLine="360" w:firstLineChars="200"/>
        <w:rPr>
          <w:rFonts w:ascii="宋体" w:hAnsi="宋体" w:cs="宋体"/>
          <w:sz w:val="18"/>
          <w:szCs w:val="21"/>
        </w:rPr>
      </w:pPr>
      <w:r>
        <w:rPr>
          <w:rFonts w:hint="eastAsia" w:ascii="宋体" w:hAnsi="宋体" w:cs="宋体"/>
          <w:sz w:val="18"/>
          <w:szCs w:val="21"/>
        </w:rPr>
        <w:t>项目分包：本项目不允许联合体投标，不允许任何形式的转包或分包。</w:t>
      </w:r>
    </w:p>
    <w:p>
      <w:pPr>
        <w:numPr>
          <w:ilvl w:val="0"/>
          <w:numId w:val="12"/>
        </w:numPr>
        <w:tabs>
          <w:tab w:val="clear" w:pos="0"/>
        </w:tabs>
        <w:spacing w:line="360" w:lineRule="auto"/>
        <w:ind w:firstLine="360" w:firstLineChars="200"/>
        <w:rPr>
          <w:rFonts w:ascii="宋体" w:hAnsi="宋体" w:cs="宋体"/>
          <w:sz w:val="18"/>
          <w:szCs w:val="21"/>
        </w:rPr>
      </w:pPr>
      <w:r>
        <w:rPr>
          <w:rFonts w:hint="eastAsia" w:ascii="宋体" w:hAnsi="宋体" w:cs="宋体"/>
          <w:sz w:val="18"/>
          <w:szCs w:val="21"/>
        </w:rPr>
        <w:t>服务期：</w:t>
      </w:r>
      <w:r>
        <w:rPr>
          <w:rFonts w:ascii="宋体" w:hAnsi="宋体" w:cs="宋体"/>
          <w:sz w:val="18"/>
          <w:szCs w:val="21"/>
        </w:rPr>
        <w:t>12</w:t>
      </w:r>
      <w:r>
        <w:rPr>
          <w:rFonts w:hint="eastAsia" w:ascii="宋体" w:hAnsi="宋体" w:cs="宋体"/>
          <w:sz w:val="18"/>
          <w:szCs w:val="21"/>
        </w:rPr>
        <w:t>个月。</w:t>
      </w:r>
    </w:p>
    <w:p>
      <w:pPr>
        <w:numPr>
          <w:ilvl w:val="0"/>
          <w:numId w:val="12"/>
        </w:numPr>
        <w:tabs>
          <w:tab w:val="clear" w:pos="0"/>
        </w:tabs>
        <w:spacing w:line="360" w:lineRule="auto"/>
        <w:ind w:firstLine="360" w:firstLineChars="200"/>
        <w:rPr>
          <w:rFonts w:ascii="宋体" w:hAnsi="宋体" w:cs="宋体"/>
          <w:sz w:val="18"/>
          <w:szCs w:val="21"/>
        </w:rPr>
      </w:pPr>
      <w:r>
        <w:rPr>
          <w:rFonts w:hint="eastAsia" w:ascii="宋体" w:hAnsi="宋体" w:cs="宋体"/>
          <w:sz w:val="18"/>
          <w:szCs w:val="21"/>
        </w:rPr>
        <w:t>补充说明：</w:t>
      </w:r>
    </w:p>
    <w:p>
      <w:pPr>
        <w:pStyle w:val="85"/>
        <w:spacing w:line="360" w:lineRule="auto"/>
        <w:ind w:left="-2" w:leftChars="-1" w:firstLine="360"/>
        <w:rPr>
          <w:rFonts w:ascii="宋体" w:hAnsi="宋体" w:cs="宋体"/>
          <w:sz w:val="18"/>
          <w:szCs w:val="21"/>
        </w:rPr>
      </w:pPr>
      <w:r>
        <w:rPr>
          <w:rFonts w:ascii="宋体" w:hAnsi="宋体" w:cs="宋体"/>
          <w:sz w:val="18"/>
          <w:szCs w:val="21"/>
        </w:rPr>
        <w:t>2.</w:t>
      </w:r>
      <w:r>
        <w:rPr>
          <w:rFonts w:hint="eastAsia" w:ascii="宋体" w:hAnsi="宋体" w:cs="宋体"/>
          <w:sz w:val="18"/>
          <w:szCs w:val="21"/>
        </w:rPr>
        <w:t>7</w:t>
      </w:r>
      <w:r>
        <w:rPr>
          <w:rFonts w:ascii="宋体" w:hAnsi="宋体" w:cs="宋体"/>
          <w:sz w:val="18"/>
          <w:szCs w:val="21"/>
        </w:rPr>
        <w:t>.1</w:t>
      </w:r>
      <w:r>
        <w:rPr>
          <w:rFonts w:hint="eastAsia" w:ascii="宋体" w:hAnsi="宋体" w:cs="宋体"/>
          <w:sz w:val="18"/>
          <w:szCs w:val="21"/>
        </w:rPr>
        <w:t>用于本维保项目的所有维修配件耗材，必须符合国家标准与行业规范，确保其达到质量、安全、环保等要求与原有设备设施保持基本一致。如需更换维保配件耗材必须提前征得招标人同意后方可实施。</w:t>
      </w:r>
    </w:p>
    <w:p>
      <w:pPr>
        <w:pStyle w:val="85"/>
        <w:spacing w:line="360" w:lineRule="auto"/>
        <w:ind w:left="-2" w:leftChars="-1" w:firstLine="360"/>
        <w:rPr>
          <w:rFonts w:ascii="宋体" w:hAnsi="宋体" w:cs="宋体"/>
          <w:sz w:val="18"/>
          <w:szCs w:val="21"/>
        </w:rPr>
      </w:pPr>
      <w:r>
        <w:rPr>
          <w:rFonts w:hint="eastAsia" w:ascii="宋体" w:hAnsi="宋体" w:cs="宋体"/>
          <w:sz w:val="18"/>
          <w:szCs w:val="21"/>
        </w:rPr>
        <w:t>2</w:t>
      </w:r>
      <w:r>
        <w:rPr>
          <w:rFonts w:ascii="宋体" w:hAnsi="宋体" w:cs="宋体"/>
          <w:sz w:val="18"/>
          <w:szCs w:val="21"/>
        </w:rPr>
        <w:t>.</w:t>
      </w:r>
      <w:r>
        <w:rPr>
          <w:rFonts w:hint="eastAsia" w:ascii="宋体" w:hAnsi="宋体" w:cs="宋体"/>
          <w:sz w:val="18"/>
          <w:szCs w:val="21"/>
        </w:rPr>
        <w:t>7</w:t>
      </w:r>
      <w:r>
        <w:rPr>
          <w:rFonts w:ascii="宋体" w:hAnsi="宋体" w:cs="宋体"/>
          <w:sz w:val="18"/>
          <w:szCs w:val="21"/>
        </w:rPr>
        <w:t>.2</w:t>
      </w:r>
      <w:r>
        <w:rPr>
          <w:rFonts w:hint="eastAsia" w:ascii="宋体" w:hAnsi="宋体" w:cs="宋体"/>
          <w:sz w:val="18"/>
          <w:szCs w:val="21"/>
        </w:rPr>
        <w:t>拆下或更换下来的维修物资由投标人进行回收或报废处理。</w:t>
      </w:r>
    </w:p>
    <w:p>
      <w:pPr>
        <w:pStyle w:val="4"/>
        <w:spacing w:line="360" w:lineRule="auto"/>
        <w:rPr>
          <w:rFonts w:ascii="黑体" w:hAnsi="黑体" w:eastAsia="黑体"/>
          <w:b w:val="0"/>
          <w:sz w:val="24"/>
        </w:rPr>
      </w:pPr>
      <w:bookmarkStart w:id="1752" w:name="_Toc75771562"/>
      <w:bookmarkStart w:id="1753" w:name="_Toc75442095"/>
      <w:bookmarkStart w:id="1754" w:name="_Toc110498335"/>
      <w:bookmarkStart w:id="1755" w:name="_Toc118923774"/>
      <w:bookmarkStart w:id="1756" w:name="_Toc9695"/>
      <w:r>
        <w:rPr>
          <w:rFonts w:hint="eastAsia" w:ascii="黑体" w:hAnsi="黑体" w:eastAsia="黑体"/>
          <w:b w:val="0"/>
          <w:sz w:val="24"/>
        </w:rPr>
        <w:t>3.项目技术标准、技术规范、维保范围及主要技术参数</w:t>
      </w:r>
      <w:bookmarkEnd w:id="1752"/>
      <w:bookmarkEnd w:id="1753"/>
      <w:bookmarkEnd w:id="1754"/>
      <w:bookmarkEnd w:id="1755"/>
      <w:bookmarkEnd w:id="1756"/>
    </w:p>
    <w:p>
      <w:pPr>
        <w:pStyle w:val="5"/>
        <w:numPr>
          <w:ilvl w:val="0"/>
          <w:numId w:val="0"/>
        </w:numPr>
        <w:spacing w:line="360" w:lineRule="auto"/>
        <w:ind w:left="-10" w:leftChars="-5" w:firstLine="292" w:firstLineChars="122"/>
        <w:rPr>
          <w:b/>
          <w:bCs w:val="0"/>
          <w:kern w:val="44"/>
          <w:sz w:val="24"/>
          <w:szCs w:val="24"/>
        </w:rPr>
      </w:pPr>
      <w:bookmarkStart w:id="1757" w:name="_Toc75442096"/>
      <w:bookmarkStart w:id="1758" w:name="_Toc110498336"/>
      <w:bookmarkStart w:id="1759" w:name="_Toc118923775"/>
      <w:r>
        <w:rPr>
          <w:rFonts w:hint="eastAsia"/>
          <w:bCs w:val="0"/>
          <w:kern w:val="44"/>
          <w:sz w:val="24"/>
          <w:szCs w:val="24"/>
        </w:rPr>
        <w:t>3.1国家相关技术标准及规范</w:t>
      </w:r>
      <w:bookmarkEnd w:id="1757"/>
      <w:bookmarkEnd w:id="1758"/>
      <w:bookmarkEnd w:id="1759"/>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各类标准即国家及行业相关标准，南宁轨道交通相关标准，满足下列标准或要求，如有最新版本，按新版本执行，按照权威性排列如下（同一权威等级取标准高者）。</w:t>
      </w:r>
    </w:p>
    <w:p>
      <w:pPr>
        <w:spacing w:line="360" w:lineRule="auto"/>
        <w:ind w:firstLine="422" w:firstLineChars="200"/>
        <w:rPr>
          <w:rFonts w:ascii="黑体" w:hAnsi="黑体"/>
          <w:b/>
        </w:rPr>
      </w:pPr>
      <w:r>
        <w:rPr>
          <w:rFonts w:hint="eastAsia" w:ascii="黑体" w:hAnsi="黑体"/>
          <w:b/>
        </w:rPr>
        <w:t>3</w:t>
      </w:r>
      <w:r>
        <w:rPr>
          <w:rFonts w:ascii="黑体" w:hAnsi="黑体"/>
          <w:b/>
        </w:rPr>
        <w:t>.1.1</w:t>
      </w:r>
      <w:r>
        <w:rPr>
          <w:rFonts w:hint="eastAsia" w:ascii="黑体" w:hAnsi="黑体"/>
          <w:b/>
        </w:rPr>
        <w:t>国家相关规范、地铁行业标准，包括不限于：</w:t>
      </w:r>
    </w:p>
    <w:p>
      <w:pPr>
        <w:widowControl/>
        <w:spacing w:line="360" w:lineRule="auto"/>
        <w:ind w:firstLine="360" w:firstLineChars="200"/>
        <w:jc w:val="left"/>
        <w:rPr>
          <w:rFonts w:ascii="宋体" w:hAnsi="宋体" w:cs="宋体"/>
          <w:sz w:val="18"/>
          <w:szCs w:val="21"/>
        </w:rPr>
      </w:pPr>
      <w:r>
        <w:rPr>
          <w:rFonts w:ascii="宋体" w:hAnsi="宋体" w:cs="宋体"/>
          <w:sz w:val="18"/>
          <w:szCs w:val="21"/>
        </w:rPr>
        <w:t>（1）</w:t>
      </w:r>
      <w:r>
        <w:rPr>
          <w:rFonts w:hint="eastAsia" w:ascii="宋体" w:hAnsi="宋体" w:cs="宋体"/>
          <w:sz w:val="18"/>
          <w:szCs w:val="21"/>
        </w:rPr>
        <w:t xml:space="preserve"> </w:t>
      </w:r>
      <w:r>
        <w:rPr>
          <w:rFonts w:ascii="宋体" w:hAnsi="宋体" w:cs="宋体"/>
          <w:sz w:val="18"/>
          <w:szCs w:val="21"/>
        </w:rPr>
        <w:t>《低压配电设计规范》（GB 50054-2011）</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（2） 《建筑涂饰工程施工及验收规程》（JGJ/T29-2015）</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w:t>
      </w:r>
      <w:r>
        <w:rPr>
          <w:rFonts w:ascii="宋体" w:hAnsi="宋体" w:cs="宋体"/>
          <w:sz w:val="18"/>
          <w:szCs w:val="21"/>
        </w:rPr>
        <w:t>3</w:t>
      </w:r>
      <w:r>
        <w:rPr>
          <w:rFonts w:hint="eastAsia" w:ascii="宋体" w:hAnsi="宋体" w:cs="宋体"/>
          <w:sz w:val="18"/>
          <w:szCs w:val="21"/>
        </w:rPr>
        <w:t>） 《</w:t>
      </w:r>
      <w:r>
        <w:rPr>
          <w:rFonts w:ascii="宋体" w:hAnsi="宋体" w:cs="宋体"/>
          <w:sz w:val="18"/>
          <w:szCs w:val="21"/>
        </w:rPr>
        <w:t>民用建筑修缮工程施工标准</w:t>
      </w:r>
      <w:r>
        <w:rPr>
          <w:rFonts w:hint="eastAsia" w:ascii="宋体" w:hAnsi="宋体" w:cs="宋体"/>
          <w:sz w:val="18"/>
          <w:szCs w:val="21"/>
        </w:rPr>
        <w:t>》（</w:t>
      </w:r>
      <w:r>
        <w:rPr>
          <w:rFonts w:ascii="宋体" w:hAnsi="宋体" w:cs="宋体"/>
          <w:sz w:val="18"/>
          <w:szCs w:val="21"/>
        </w:rPr>
        <w:t>JGJ/T112-2019</w:t>
      </w:r>
      <w:r>
        <w:rPr>
          <w:rFonts w:hint="eastAsia" w:ascii="宋体" w:hAnsi="宋体" w:cs="宋体"/>
          <w:sz w:val="18"/>
          <w:szCs w:val="21"/>
        </w:rPr>
        <w:t>）</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（4） 《轨道交通装饰装修工程施工质量验收标准（QGD-015-2005）</w:t>
      </w:r>
    </w:p>
    <w:p>
      <w:pPr>
        <w:widowControl/>
        <w:spacing w:line="360" w:lineRule="auto"/>
        <w:ind w:firstLine="360" w:firstLineChars="200"/>
        <w:jc w:val="left"/>
        <w:rPr>
          <w:rFonts w:hAnsi="宋体" w:cs="宋体"/>
          <w:sz w:val="18"/>
        </w:rPr>
      </w:pPr>
      <w:r>
        <w:rPr>
          <w:rFonts w:hint="eastAsia" w:hAnsi="宋体" w:cs="宋体"/>
          <w:sz w:val="18"/>
        </w:rPr>
        <w:t>（5） 《维修接口关系划分会议纪要》</w:t>
      </w:r>
    </w:p>
    <w:p>
      <w:pPr>
        <w:widowControl/>
        <w:spacing w:line="360" w:lineRule="auto"/>
        <w:ind w:firstLine="360" w:firstLineChars="200"/>
        <w:jc w:val="left"/>
        <w:rPr>
          <w:rFonts w:hAnsi="宋体" w:cs="宋体"/>
          <w:sz w:val="18"/>
        </w:rPr>
      </w:pPr>
      <w:r>
        <w:rPr>
          <w:rFonts w:hint="eastAsia" w:hAnsi="宋体" w:cs="宋体"/>
          <w:sz w:val="18"/>
        </w:rPr>
        <w:t>（6） 《运营分公司委外维修管理规定（试行）》</w:t>
      </w:r>
    </w:p>
    <w:p>
      <w:pPr>
        <w:spacing w:line="360" w:lineRule="auto"/>
        <w:ind w:firstLine="422" w:firstLineChars="200"/>
        <w:rPr>
          <w:rFonts w:ascii="黑体" w:hAnsi="黑体" w:eastAsia="黑体"/>
          <w:b/>
          <w:bCs/>
        </w:rPr>
      </w:pPr>
      <w:bookmarkStart w:id="1760" w:name="_Toc22798"/>
      <w:bookmarkStart w:id="1761" w:name="_Toc272"/>
      <w:bookmarkStart w:id="1762" w:name="_Toc8080"/>
      <w:bookmarkStart w:id="1763" w:name="_Toc12667"/>
      <w:bookmarkStart w:id="1764" w:name="_Toc2405"/>
      <w:bookmarkStart w:id="1765" w:name="_Toc16630"/>
      <w:bookmarkStart w:id="1766" w:name="_Toc16398"/>
      <w:bookmarkStart w:id="1767" w:name="_Toc6557"/>
      <w:bookmarkStart w:id="1768" w:name="_Toc14659"/>
      <w:bookmarkStart w:id="1769" w:name="_Toc28348"/>
      <w:r>
        <w:rPr>
          <w:rFonts w:hint="eastAsia" w:ascii="黑体" w:hAnsi="黑体" w:eastAsia="黑体"/>
          <w:b/>
          <w:bCs/>
        </w:rPr>
        <w:t>3.1.2标准适用原则</w:t>
      </w:r>
      <w:bookmarkEnd w:id="1760"/>
      <w:bookmarkEnd w:id="1761"/>
      <w:bookmarkEnd w:id="1762"/>
      <w:bookmarkEnd w:id="1763"/>
      <w:bookmarkEnd w:id="1764"/>
      <w:bookmarkEnd w:id="1765"/>
      <w:bookmarkEnd w:id="1766"/>
      <w:bookmarkEnd w:id="1767"/>
      <w:bookmarkEnd w:id="1768"/>
      <w:bookmarkEnd w:id="1769"/>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满足下列标准或要求，如有最新版本，按新版本执行：</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（1）招标人的各种会议纪要、决议、通知等；</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（2）招标人的企业标准；</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（3）招标人的规章制度；</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（4）地铁行业规范；</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（5）相关行业出版的专业书籍、文献、教材等；</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（6）以上均未涉及的，由招标人与投标人共同商定。</w:t>
      </w:r>
    </w:p>
    <w:p>
      <w:pPr>
        <w:pStyle w:val="5"/>
        <w:numPr>
          <w:ilvl w:val="0"/>
          <w:numId w:val="0"/>
        </w:numPr>
        <w:spacing w:line="360" w:lineRule="auto"/>
        <w:ind w:left="-10" w:leftChars="-5" w:firstLine="480" w:firstLineChars="200"/>
        <w:rPr>
          <w:szCs w:val="24"/>
        </w:rPr>
      </w:pPr>
      <w:bookmarkStart w:id="1770" w:name="_Toc110498337"/>
      <w:bookmarkStart w:id="1771" w:name="_Toc118923776"/>
      <w:bookmarkStart w:id="1772" w:name="_Toc75442097"/>
      <w:r>
        <w:rPr>
          <w:sz w:val="24"/>
          <w:szCs w:val="24"/>
        </w:rPr>
        <w:t>3.2</w:t>
      </w:r>
      <w:r>
        <w:rPr>
          <w:rFonts w:hint="eastAsia"/>
          <w:sz w:val="24"/>
          <w:szCs w:val="24"/>
        </w:rPr>
        <w:t>维保相关规程</w:t>
      </w:r>
      <w:bookmarkEnd w:id="1770"/>
      <w:bookmarkEnd w:id="1771"/>
      <w:bookmarkEnd w:id="1772"/>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（1）招标人内部标准《运营分公司委外维修项目承包商考评实施细则》</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（2）招标人内部标准《运营分公司设施委外维修施工组织管理办法》</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w:t>
      </w:r>
      <w:r>
        <w:rPr>
          <w:rFonts w:ascii="宋体" w:hAnsi="宋体" w:cs="宋体"/>
          <w:sz w:val="18"/>
          <w:szCs w:val="21"/>
        </w:rPr>
        <w:t>3</w:t>
      </w:r>
      <w:r>
        <w:rPr>
          <w:rFonts w:hint="eastAsia" w:ascii="宋体" w:hAnsi="宋体" w:cs="宋体"/>
          <w:sz w:val="18"/>
          <w:szCs w:val="21"/>
        </w:rPr>
        <w:t>）招标人内部标准《运营分公司设施维修接口关系规则》</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（4）招标人内部标准《南宁轨道交通运营委外项目零星故障修、零星工程及承包商违约处理操作指引》</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招标人维保相关规程，中标后由招标人提供。投标人应按照招标人发布的办公家具家电范围、场段生活办公区域接口关系规则、维保规程、作业指导书、工艺卡、故障应急处理指南、应急处置方案，安全、生产管理规章制度等相关要求进行维保作业。当招标人对以上标准、规程等进行修订后，均以最新发布文本为准，投标人必须严格遵从。</w:t>
      </w:r>
    </w:p>
    <w:p>
      <w:pPr>
        <w:pStyle w:val="5"/>
        <w:numPr>
          <w:ilvl w:val="0"/>
          <w:numId w:val="0"/>
        </w:numPr>
        <w:spacing w:line="360" w:lineRule="auto"/>
        <w:ind w:left="-10" w:leftChars="-5" w:firstLine="480" w:firstLineChars="200"/>
        <w:rPr>
          <w:szCs w:val="24"/>
        </w:rPr>
      </w:pPr>
      <w:bookmarkStart w:id="1773" w:name="_Toc75442098"/>
      <w:bookmarkStart w:id="1774" w:name="_Toc110498338"/>
      <w:bookmarkStart w:id="1775" w:name="_Toc118923777"/>
      <w:r>
        <w:rPr>
          <w:rFonts w:hint="eastAsia"/>
          <w:sz w:val="24"/>
          <w:szCs w:val="24"/>
        </w:rPr>
        <w:t>3</w:t>
      </w:r>
      <w:r>
        <w:rPr>
          <w:sz w:val="24"/>
          <w:szCs w:val="24"/>
        </w:rPr>
        <w:t>.3</w:t>
      </w:r>
      <w:r>
        <w:rPr>
          <w:rFonts w:hint="eastAsia"/>
          <w:sz w:val="24"/>
          <w:szCs w:val="24"/>
        </w:rPr>
        <w:t>维保范围清单及内容</w:t>
      </w:r>
      <w:bookmarkEnd w:id="1773"/>
      <w:bookmarkEnd w:id="1774"/>
      <w:bookmarkEnd w:id="1775"/>
    </w:p>
    <w:p>
      <w:pPr>
        <w:spacing w:line="360" w:lineRule="auto"/>
        <w:ind w:firstLine="419" w:firstLineChars="233"/>
        <w:rPr>
          <w:rFonts w:ascii="宋体" w:hAnsi="宋体" w:cs="宋体"/>
          <w:sz w:val="18"/>
          <w:szCs w:val="21"/>
        </w:rPr>
      </w:pPr>
      <w:r>
        <w:rPr>
          <w:rFonts w:hint="eastAsia" w:ascii="宋体" w:hAnsi="宋体" w:cs="宋体"/>
          <w:sz w:val="18"/>
          <w:szCs w:val="21"/>
        </w:rPr>
        <w:t>（1）包括但不限于对南宁轨道交通1号线屯里车辆段、西乡塘停车场、2号线安吉综合基地、3号线心圩车辆段、新村停车场、4号线五象车辆段及5号线那洪综合基地等7处场段生活办公区域的家具、家电、装饰装修、低压配电、区域设施设备进行维修维保（含配件耗材）；</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（2）包括但不限于场段生产区域及既有线路正线车站办公家具家电进行维修维保（含配件耗材）。</w:t>
      </w:r>
    </w:p>
    <w:p>
      <w:pPr>
        <w:widowControl/>
        <w:spacing w:line="360" w:lineRule="auto"/>
        <w:ind w:firstLine="360" w:firstLineChars="200"/>
        <w:jc w:val="left"/>
        <w:rPr>
          <w:rFonts w:ascii="宋体" w:hAnsi="宋体" w:cs="宋体"/>
          <w:sz w:val="18"/>
          <w:szCs w:val="21"/>
        </w:rPr>
      </w:pPr>
      <w:r>
        <w:rPr>
          <w:rFonts w:hint="eastAsia" w:ascii="宋体" w:hAnsi="宋体" w:cs="宋体"/>
          <w:sz w:val="18"/>
          <w:szCs w:val="21"/>
        </w:rPr>
        <w:t>（3）具体范围及项点内容详见《附件1 委外维修范围及项点》。</w:t>
      </w:r>
    </w:p>
    <w:p>
      <w:pPr>
        <w:pStyle w:val="4"/>
        <w:spacing w:line="360" w:lineRule="auto"/>
        <w:rPr>
          <w:rFonts w:ascii="黑体" w:hAnsi="黑体" w:eastAsia="黑体"/>
          <w:b w:val="0"/>
          <w:sz w:val="24"/>
        </w:rPr>
      </w:pPr>
      <w:bookmarkStart w:id="1776" w:name="_Toc110498339"/>
      <w:bookmarkStart w:id="1777" w:name="_Toc75442099"/>
      <w:bookmarkStart w:id="1778" w:name="_Toc75771563"/>
      <w:bookmarkStart w:id="1779" w:name="_Toc118923778"/>
      <w:bookmarkStart w:id="1780" w:name="_Toc17928"/>
      <w:r>
        <w:rPr>
          <w:rFonts w:hint="eastAsia" w:ascii="黑体" w:hAnsi="黑体" w:eastAsia="黑体"/>
          <w:b w:val="0"/>
          <w:sz w:val="24"/>
        </w:rPr>
        <w:t>4.维保项目管理</w:t>
      </w:r>
      <w:bookmarkEnd w:id="1776"/>
      <w:bookmarkEnd w:id="1777"/>
      <w:bookmarkEnd w:id="1778"/>
      <w:bookmarkEnd w:id="1779"/>
      <w:bookmarkEnd w:id="1780"/>
    </w:p>
    <w:p>
      <w:pPr>
        <w:pStyle w:val="5"/>
        <w:numPr>
          <w:ilvl w:val="0"/>
          <w:numId w:val="0"/>
        </w:numPr>
        <w:spacing w:line="360" w:lineRule="auto"/>
        <w:ind w:left="-10" w:leftChars="-5" w:firstLine="292" w:firstLineChars="122"/>
        <w:rPr>
          <w:sz w:val="24"/>
          <w:szCs w:val="24"/>
        </w:rPr>
      </w:pPr>
      <w:bookmarkStart w:id="1781" w:name="_Toc24564"/>
      <w:bookmarkStart w:id="1782" w:name="_Toc9279"/>
      <w:bookmarkStart w:id="1783" w:name="_Toc10832"/>
      <w:bookmarkStart w:id="1784" w:name="_Toc31187"/>
      <w:bookmarkStart w:id="1785" w:name="_Toc2784"/>
      <w:bookmarkStart w:id="1786" w:name="_Toc17593"/>
      <w:bookmarkStart w:id="1787" w:name="_Toc29627"/>
      <w:bookmarkStart w:id="1788" w:name="_Toc11407"/>
      <w:bookmarkStart w:id="1789" w:name="_Toc534969211"/>
      <w:bookmarkStart w:id="1790" w:name="_Toc24389"/>
      <w:bookmarkStart w:id="1791" w:name="_Toc11102"/>
      <w:bookmarkStart w:id="1792" w:name="_Toc27729"/>
      <w:bookmarkStart w:id="1793" w:name="_Toc1168"/>
      <w:bookmarkStart w:id="1794" w:name="_Toc3856"/>
      <w:bookmarkStart w:id="1795" w:name="_Toc21932_WPSOffice_Level2"/>
      <w:bookmarkStart w:id="1796" w:name="_Toc4052"/>
      <w:bookmarkStart w:id="1797" w:name="_Toc25950"/>
      <w:bookmarkStart w:id="1798" w:name="_Toc9206"/>
      <w:bookmarkStart w:id="1799" w:name="_Toc5809"/>
      <w:bookmarkStart w:id="1800" w:name="_Toc19844_WPSOffice_Level2"/>
      <w:bookmarkStart w:id="1801" w:name="_Toc18352"/>
      <w:bookmarkStart w:id="1802" w:name="_Toc18886"/>
      <w:bookmarkStart w:id="1803" w:name="_Toc19586"/>
      <w:bookmarkStart w:id="1804" w:name="_Toc6176"/>
      <w:bookmarkStart w:id="1805" w:name="_Toc18492"/>
      <w:bookmarkStart w:id="1806" w:name="_Toc25725"/>
      <w:bookmarkStart w:id="1807" w:name="_Toc30110"/>
      <w:bookmarkStart w:id="1808" w:name="_Toc25136"/>
      <w:bookmarkStart w:id="1809" w:name="_Toc18064"/>
      <w:bookmarkStart w:id="1810" w:name="_Toc21793"/>
      <w:bookmarkStart w:id="1811" w:name="_Toc31333_WPSOffice_Level2"/>
      <w:bookmarkStart w:id="1812" w:name="_Toc75442100"/>
      <w:bookmarkStart w:id="1813" w:name="_Toc60212996"/>
      <w:bookmarkStart w:id="1814" w:name="_Toc110498340"/>
      <w:bookmarkStart w:id="1815" w:name="_Toc118923779"/>
      <w:r>
        <w:rPr>
          <w:sz w:val="24"/>
          <w:szCs w:val="24"/>
        </w:rPr>
        <w:t>4.1</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Fonts w:hint="eastAsia"/>
          <w:sz w:val="24"/>
          <w:szCs w:val="24"/>
        </w:rPr>
        <w:t>投标人</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rFonts w:hint="eastAsia"/>
          <w:sz w:val="24"/>
          <w:szCs w:val="24"/>
        </w:rPr>
        <w:t>人员</w:t>
      </w:r>
      <w:bookmarkEnd w:id="1812"/>
      <w:bookmarkEnd w:id="1813"/>
      <w:r>
        <w:rPr>
          <w:rFonts w:hint="eastAsia"/>
          <w:sz w:val="24"/>
          <w:szCs w:val="24"/>
        </w:rPr>
        <w:t>管理</w:t>
      </w:r>
      <w:bookmarkEnd w:id="1814"/>
      <w:bookmarkEnd w:id="1815"/>
    </w:p>
    <w:p>
      <w:pPr>
        <w:widowControl/>
        <w:spacing w:line="360" w:lineRule="auto"/>
        <w:ind w:firstLine="361" w:firstLineChars="200"/>
        <w:rPr>
          <w:rFonts w:ascii="宋体" w:hAnsi="宋体" w:cs="宋体"/>
          <w:b/>
          <w:sz w:val="18"/>
          <w:szCs w:val="21"/>
        </w:rPr>
      </w:pPr>
      <w:r>
        <w:rPr>
          <w:rFonts w:hint="eastAsia" w:ascii="宋体" w:hAnsi="宋体" w:cs="宋体"/>
          <w:b/>
          <w:sz w:val="18"/>
          <w:szCs w:val="21"/>
        </w:rPr>
        <w:t>4</w:t>
      </w:r>
      <w:r>
        <w:rPr>
          <w:rFonts w:ascii="宋体" w:hAnsi="宋体" w:cs="宋体"/>
          <w:b/>
          <w:sz w:val="18"/>
          <w:szCs w:val="21"/>
        </w:rPr>
        <w:t xml:space="preserve">.1.1 </w:t>
      </w:r>
      <w:r>
        <w:rPr>
          <w:rFonts w:hint="eastAsia" w:ascii="宋体" w:hAnsi="宋体" w:cs="宋体"/>
          <w:b/>
          <w:sz w:val="18"/>
          <w:szCs w:val="21"/>
        </w:rPr>
        <w:t>投标人的资质要求</w:t>
      </w:r>
    </w:p>
    <w:p>
      <w:pPr>
        <w:widowControl/>
        <w:spacing w:line="360" w:lineRule="auto"/>
        <w:ind w:firstLine="360" w:firstLineChars="200"/>
        <w:rPr>
          <w:rFonts w:ascii="宋体" w:hAnsi="宋体" w:cs="宋体"/>
          <w:sz w:val="18"/>
          <w:szCs w:val="21"/>
        </w:rPr>
      </w:pPr>
      <w:r>
        <w:rPr>
          <w:rFonts w:ascii="宋体" w:hAnsi="宋体" w:cs="宋体"/>
          <w:sz w:val="18"/>
          <w:szCs w:val="21"/>
        </w:rPr>
        <w:t xml:space="preserve">4.1.1.1 </w:t>
      </w:r>
      <w:r>
        <w:rPr>
          <w:rFonts w:hint="eastAsia" w:ascii="宋体" w:hAnsi="宋体" w:cs="宋体"/>
          <w:sz w:val="18"/>
          <w:szCs w:val="21"/>
        </w:rPr>
        <w:t>办公家具、家电销售；</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w:t>
      </w:r>
      <w:r>
        <w:rPr>
          <w:rFonts w:ascii="宋体" w:hAnsi="宋体" w:cs="宋体"/>
          <w:sz w:val="18"/>
          <w:szCs w:val="21"/>
        </w:rPr>
        <w:t xml:space="preserve">.1.1.2 </w:t>
      </w:r>
      <w:r>
        <w:rPr>
          <w:rFonts w:hint="eastAsia" w:ascii="宋体" w:hAnsi="宋体" w:cs="宋体"/>
          <w:sz w:val="18"/>
          <w:szCs w:val="21"/>
        </w:rPr>
        <w:t>办公家具、家电日常维保维护、维修等。</w:t>
      </w:r>
    </w:p>
    <w:p>
      <w:pPr>
        <w:widowControl/>
        <w:spacing w:line="360" w:lineRule="auto"/>
        <w:ind w:firstLine="361" w:firstLineChars="200"/>
        <w:rPr>
          <w:rFonts w:ascii="宋体" w:hAnsi="宋体" w:cs="宋体"/>
          <w:b/>
          <w:sz w:val="18"/>
          <w:szCs w:val="21"/>
        </w:rPr>
      </w:pPr>
      <w:r>
        <w:rPr>
          <w:rFonts w:hint="eastAsia" w:ascii="宋体" w:hAnsi="宋体" w:cs="宋体"/>
          <w:b/>
          <w:sz w:val="18"/>
          <w:szCs w:val="21"/>
        </w:rPr>
        <w:t>4.1.</w:t>
      </w:r>
      <w:r>
        <w:rPr>
          <w:rFonts w:ascii="宋体" w:hAnsi="宋体" w:cs="宋体"/>
          <w:b/>
          <w:sz w:val="18"/>
          <w:szCs w:val="21"/>
        </w:rPr>
        <w:t xml:space="preserve">2 </w:t>
      </w:r>
      <w:r>
        <w:rPr>
          <w:rFonts w:hint="eastAsia" w:ascii="宋体" w:hAnsi="宋体" w:cs="宋体"/>
          <w:b/>
          <w:sz w:val="18"/>
          <w:szCs w:val="21"/>
        </w:rPr>
        <w:t>投标人须配置的人员要求</w:t>
      </w:r>
    </w:p>
    <w:p>
      <w:pPr>
        <w:widowControl/>
        <w:spacing w:line="360" w:lineRule="auto"/>
        <w:ind w:firstLine="360" w:firstLineChars="200"/>
        <w:rPr>
          <w:rFonts w:ascii="宋体" w:hAnsi="宋体" w:cs="宋体"/>
          <w:sz w:val="18"/>
          <w:szCs w:val="21"/>
        </w:rPr>
      </w:pPr>
      <w:r>
        <w:rPr>
          <w:rFonts w:ascii="宋体" w:hAnsi="宋体" w:cs="宋体"/>
          <w:sz w:val="18"/>
          <w:szCs w:val="21"/>
        </w:rPr>
        <w:t>4.1.2.1</w:t>
      </w:r>
      <w:r>
        <w:rPr>
          <w:rFonts w:hint="eastAsia" w:ascii="宋体" w:hAnsi="宋体" w:cs="宋体"/>
          <w:sz w:val="18"/>
          <w:szCs w:val="21"/>
        </w:rPr>
        <w:t>为保证本项目安全、顺利、高效、可靠地实施，投标人需针对本项目配置专门的维保人员。</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2</w:t>
      </w:r>
      <w:r>
        <w:rPr>
          <w:rFonts w:hint="eastAsia" w:ascii="宋体" w:hAnsi="宋体" w:cs="宋体"/>
          <w:sz w:val="18"/>
          <w:szCs w:val="21"/>
        </w:rPr>
        <w:t>.2投标人须如实地将参与本项目的所有人员的名单、工作资历、相关证件及身份证明等信息报送招标人审查备案。</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2</w:t>
      </w:r>
      <w:r>
        <w:rPr>
          <w:rFonts w:hint="eastAsia" w:ascii="宋体" w:hAnsi="宋体" w:cs="宋体"/>
          <w:sz w:val="18"/>
          <w:szCs w:val="21"/>
        </w:rPr>
        <w:t>.3特种设备及特种作业人员（如涉及电工作业、登高作业等），必须持有政府相关部门颁发的特种作业操作证方可上岗作业，并按照相关要求佩戴配套的防护劳保用品进行作业，严禁无证或有证不按照要求佩戴防护、劳保用品人员上岗作业。</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2</w:t>
      </w:r>
      <w:r>
        <w:rPr>
          <w:rFonts w:hint="eastAsia" w:ascii="宋体" w:hAnsi="宋体" w:cs="宋体"/>
          <w:sz w:val="18"/>
          <w:szCs w:val="21"/>
        </w:rPr>
        <w:t>.4投标人所有人员必须身体健康，按招标人要求体检合格后方可上岗。</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2</w:t>
      </w:r>
      <w:r>
        <w:rPr>
          <w:rFonts w:hint="eastAsia" w:ascii="宋体" w:hAnsi="宋体" w:cs="宋体"/>
          <w:sz w:val="18"/>
          <w:szCs w:val="21"/>
        </w:rPr>
        <w:t>.</w:t>
      </w:r>
      <w:r>
        <w:rPr>
          <w:rFonts w:ascii="宋体" w:hAnsi="宋体" w:cs="宋体"/>
          <w:sz w:val="18"/>
          <w:szCs w:val="21"/>
        </w:rPr>
        <w:t>5</w:t>
      </w:r>
      <w:r>
        <w:rPr>
          <w:rFonts w:hint="eastAsia" w:ascii="宋体" w:hAnsi="宋体" w:cs="宋体"/>
          <w:sz w:val="18"/>
          <w:szCs w:val="21"/>
        </w:rPr>
        <w:t>招标人可根据现场工作需求，有权要求投标人更换不符合要求的人员。</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2</w:t>
      </w:r>
      <w:r>
        <w:rPr>
          <w:rFonts w:hint="eastAsia" w:ascii="宋体" w:hAnsi="宋体" w:cs="宋体"/>
          <w:sz w:val="18"/>
          <w:szCs w:val="21"/>
        </w:rPr>
        <w:t>.</w:t>
      </w:r>
      <w:r>
        <w:rPr>
          <w:rFonts w:ascii="宋体" w:hAnsi="宋体" w:cs="宋体"/>
          <w:sz w:val="18"/>
          <w:szCs w:val="21"/>
        </w:rPr>
        <w:t>6</w:t>
      </w:r>
      <w:r>
        <w:rPr>
          <w:rFonts w:hint="eastAsia" w:ascii="宋体" w:hAnsi="宋体" w:cs="宋体"/>
          <w:sz w:val="18"/>
          <w:szCs w:val="21"/>
        </w:rPr>
        <w:t>投标人人员食宿及生产交通工具需自行解决。</w:t>
      </w:r>
    </w:p>
    <w:p>
      <w:pPr>
        <w:widowControl/>
        <w:spacing w:line="360" w:lineRule="auto"/>
        <w:ind w:firstLine="361" w:firstLineChars="200"/>
        <w:rPr>
          <w:rFonts w:ascii="宋体" w:hAnsi="宋体" w:cs="宋体"/>
          <w:b/>
          <w:sz w:val="18"/>
          <w:szCs w:val="21"/>
        </w:rPr>
      </w:pPr>
      <w:r>
        <w:rPr>
          <w:rFonts w:hint="eastAsia" w:ascii="宋体" w:hAnsi="宋体" w:cs="宋体"/>
          <w:b/>
          <w:sz w:val="18"/>
          <w:szCs w:val="21"/>
        </w:rPr>
        <w:t>4.1.</w:t>
      </w:r>
      <w:r>
        <w:rPr>
          <w:rFonts w:ascii="宋体" w:hAnsi="宋体" w:cs="宋体"/>
          <w:b/>
          <w:sz w:val="18"/>
          <w:szCs w:val="21"/>
        </w:rPr>
        <w:t>3</w:t>
      </w:r>
      <w:r>
        <w:rPr>
          <w:rFonts w:hint="eastAsia" w:ascii="宋体" w:hAnsi="宋体" w:cs="宋体"/>
          <w:b/>
          <w:sz w:val="18"/>
          <w:szCs w:val="21"/>
        </w:rPr>
        <w:t>劳动纪律</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3</w:t>
      </w:r>
      <w:r>
        <w:rPr>
          <w:rFonts w:hint="eastAsia" w:ascii="宋体" w:hAnsi="宋体" w:cs="宋体"/>
          <w:sz w:val="18"/>
          <w:szCs w:val="21"/>
        </w:rPr>
        <w:t>.</w:t>
      </w:r>
      <w:r>
        <w:rPr>
          <w:rFonts w:ascii="宋体" w:hAnsi="宋体" w:cs="宋体"/>
          <w:sz w:val="18"/>
          <w:szCs w:val="21"/>
        </w:rPr>
        <w:t>1</w:t>
      </w:r>
      <w:r>
        <w:rPr>
          <w:rFonts w:hint="eastAsia" w:ascii="宋体" w:hAnsi="宋体" w:cs="宋体"/>
          <w:sz w:val="18"/>
          <w:szCs w:val="21"/>
        </w:rPr>
        <w:t>投标人维保人员在工作现场须统一着装，按要求佩戴相关证件。</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3</w:t>
      </w:r>
      <w:r>
        <w:rPr>
          <w:rFonts w:hint="eastAsia" w:ascii="宋体" w:hAnsi="宋体" w:cs="宋体"/>
          <w:sz w:val="18"/>
          <w:szCs w:val="21"/>
        </w:rPr>
        <w:t>.</w:t>
      </w:r>
      <w:r>
        <w:rPr>
          <w:rFonts w:ascii="宋体" w:hAnsi="宋体" w:cs="宋体"/>
          <w:sz w:val="18"/>
          <w:szCs w:val="21"/>
        </w:rPr>
        <w:t>2</w:t>
      </w:r>
      <w:r>
        <w:rPr>
          <w:rFonts w:hint="eastAsia" w:ascii="宋体" w:hAnsi="宋体" w:cs="宋体"/>
          <w:sz w:val="18"/>
          <w:szCs w:val="21"/>
        </w:rPr>
        <w:t>投标人维保人员须服从招标人现场人员的指挥，严禁在维保现场睡觉、嬉戏。</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3</w:t>
      </w:r>
      <w:r>
        <w:rPr>
          <w:rFonts w:hint="eastAsia" w:ascii="宋体" w:hAnsi="宋体" w:cs="宋体"/>
          <w:sz w:val="18"/>
          <w:szCs w:val="21"/>
        </w:rPr>
        <w:t>.</w:t>
      </w:r>
      <w:r>
        <w:rPr>
          <w:rFonts w:ascii="宋体" w:hAnsi="宋体" w:cs="宋体"/>
          <w:sz w:val="18"/>
          <w:szCs w:val="21"/>
        </w:rPr>
        <w:t>3</w:t>
      </w:r>
      <w:r>
        <w:rPr>
          <w:rFonts w:hint="eastAsia" w:ascii="宋体" w:hAnsi="宋体" w:cs="宋体"/>
          <w:sz w:val="18"/>
          <w:szCs w:val="21"/>
        </w:rPr>
        <w:t>投标人维保人员严禁在维保作业场所内吸烟；班前6小时禁止饮酒。</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3</w:t>
      </w:r>
      <w:r>
        <w:rPr>
          <w:rFonts w:hint="eastAsia" w:ascii="宋体" w:hAnsi="宋体" w:cs="宋体"/>
          <w:sz w:val="18"/>
          <w:szCs w:val="21"/>
        </w:rPr>
        <w:t>.</w:t>
      </w:r>
      <w:r>
        <w:rPr>
          <w:rFonts w:ascii="宋体" w:hAnsi="宋体" w:cs="宋体"/>
          <w:sz w:val="18"/>
          <w:szCs w:val="21"/>
        </w:rPr>
        <w:t>4</w:t>
      </w:r>
      <w:r>
        <w:rPr>
          <w:rFonts w:hint="eastAsia" w:ascii="宋体" w:hAnsi="宋体" w:cs="宋体"/>
          <w:sz w:val="18"/>
          <w:szCs w:val="21"/>
        </w:rPr>
        <w:t>未经招标人允许不得私自外传相关资料、信息。</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3</w:t>
      </w:r>
      <w:r>
        <w:rPr>
          <w:rFonts w:hint="eastAsia" w:ascii="宋体" w:hAnsi="宋体" w:cs="宋体"/>
          <w:sz w:val="18"/>
          <w:szCs w:val="21"/>
        </w:rPr>
        <w:t>.</w:t>
      </w:r>
      <w:r>
        <w:rPr>
          <w:rFonts w:ascii="宋体" w:hAnsi="宋体" w:cs="宋体"/>
          <w:sz w:val="18"/>
          <w:szCs w:val="21"/>
        </w:rPr>
        <w:t>5</w:t>
      </w:r>
      <w:r>
        <w:rPr>
          <w:rFonts w:hint="eastAsia" w:ascii="宋体" w:hAnsi="宋体" w:cs="宋体"/>
          <w:sz w:val="18"/>
          <w:szCs w:val="21"/>
        </w:rPr>
        <w:t>投标人须加强维保人员管理，避免发生赌博、酗酒、斗殴等恶性事件，杜绝发生违纪、纠纷、民事、治安、刑事等事件，若发生上述事件，由投标人承担由此带来的全部后果。</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3</w:t>
      </w:r>
      <w:r>
        <w:rPr>
          <w:rFonts w:hint="eastAsia" w:ascii="宋体" w:hAnsi="宋体" w:cs="宋体"/>
          <w:sz w:val="18"/>
          <w:szCs w:val="21"/>
        </w:rPr>
        <w:t>.</w:t>
      </w:r>
      <w:r>
        <w:rPr>
          <w:rFonts w:ascii="宋体" w:hAnsi="宋体" w:cs="宋体"/>
          <w:sz w:val="18"/>
          <w:szCs w:val="21"/>
        </w:rPr>
        <w:t>6</w:t>
      </w:r>
      <w:r>
        <w:rPr>
          <w:rFonts w:hint="eastAsia" w:ascii="宋体" w:hAnsi="宋体" w:cs="宋体"/>
          <w:sz w:val="18"/>
          <w:szCs w:val="21"/>
        </w:rPr>
        <w:t>防护、劳保用品到位，投标人进场的制服到位，报招标人备案。</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4.1.</w:t>
      </w:r>
      <w:r>
        <w:rPr>
          <w:rFonts w:ascii="宋体" w:hAnsi="宋体" w:cs="宋体"/>
          <w:sz w:val="18"/>
          <w:szCs w:val="21"/>
        </w:rPr>
        <w:t>3</w:t>
      </w:r>
      <w:r>
        <w:rPr>
          <w:rFonts w:hint="eastAsia" w:ascii="宋体" w:hAnsi="宋体" w:cs="宋体"/>
          <w:sz w:val="18"/>
          <w:szCs w:val="21"/>
        </w:rPr>
        <w:t>.</w:t>
      </w:r>
      <w:r>
        <w:rPr>
          <w:rFonts w:ascii="宋体" w:hAnsi="宋体" w:cs="宋体"/>
          <w:sz w:val="18"/>
          <w:szCs w:val="21"/>
        </w:rPr>
        <w:t>7</w:t>
      </w:r>
      <w:r>
        <w:rPr>
          <w:rFonts w:hint="eastAsia" w:ascii="宋体" w:hAnsi="宋体" w:cs="宋体"/>
          <w:sz w:val="18"/>
          <w:szCs w:val="21"/>
        </w:rPr>
        <w:t>投标人应按照招标人要求组织项目全员签订保密协议，报招标人备案。</w:t>
      </w:r>
    </w:p>
    <w:p>
      <w:pPr>
        <w:widowControl/>
        <w:spacing w:line="360" w:lineRule="auto"/>
        <w:ind w:firstLine="361" w:firstLineChars="200"/>
        <w:rPr>
          <w:rFonts w:ascii="宋体" w:hAnsi="宋体" w:cs="宋体"/>
          <w:b/>
          <w:sz w:val="18"/>
          <w:szCs w:val="21"/>
        </w:rPr>
      </w:pPr>
      <w:r>
        <w:rPr>
          <w:rFonts w:hint="eastAsia" w:ascii="宋体" w:hAnsi="宋体" w:cs="宋体"/>
          <w:b/>
          <w:sz w:val="18"/>
          <w:szCs w:val="21"/>
        </w:rPr>
        <w:t>4</w:t>
      </w:r>
      <w:r>
        <w:rPr>
          <w:rFonts w:ascii="宋体" w:hAnsi="宋体" w:cs="宋体"/>
          <w:b/>
          <w:sz w:val="18"/>
          <w:szCs w:val="21"/>
        </w:rPr>
        <w:t>.1.4</w:t>
      </w:r>
      <w:r>
        <w:rPr>
          <w:rFonts w:hint="eastAsia" w:ascii="宋体" w:hAnsi="宋体" w:cs="宋体"/>
          <w:b/>
          <w:sz w:val="18"/>
          <w:szCs w:val="21"/>
        </w:rPr>
        <w:t>疫情防控要求</w:t>
      </w:r>
    </w:p>
    <w:p>
      <w:pPr>
        <w:widowControl/>
        <w:spacing w:line="360" w:lineRule="auto"/>
        <w:ind w:firstLine="360" w:firstLineChars="200"/>
        <w:rPr>
          <w:rFonts w:ascii="宋体" w:hAnsi="宋体" w:cs="宋体"/>
          <w:sz w:val="18"/>
          <w:szCs w:val="21"/>
        </w:rPr>
      </w:pPr>
      <w:r>
        <w:rPr>
          <w:rFonts w:ascii="宋体" w:hAnsi="宋体" w:cs="宋体"/>
          <w:sz w:val="18"/>
          <w:szCs w:val="21"/>
        </w:rPr>
        <w:t xml:space="preserve">4.1.4.1 </w:t>
      </w:r>
      <w:r>
        <w:rPr>
          <w:rFonts w:hint="eastAsia" w:ascii="宋体" w:hAnsi="宋体" w:cs="宋体"/>
          <w:sz w:val="18"/>
          <w:szCs w:val="21"/>
        </w:rPr>
        <w:t>在疫情期间，根据南宁市政府及招标人要求，投标人维保服务人员在上岗期间，全程佩戴口罩及手套，应为维保服务人员落实好足额的应急防疫物资，提前采购足量口罩、消杀物品、手套等防疫物资，储备一定数量的防护服、护目镜等应急物资，投标人开展维保服务期间所需的防疫物资包含在投标总价内。</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w:t>
      </w:r>
      <w:r>
        <w:rPr>
          <w:rFonts w:ascii="宋体" w:hAnsi="宋体" w:cs="宋体"/>
          <w:sz w:val="18"/>
          <w:szCs w:val="21"/>
        </w:rPr>
        <w:t xml:space="preserve">.1.4.2 </w:t>
      </w:r>
      <w:r>
        <w:rPr>
          <w:rFonts w:hint="eastAsia" w:ascii="宋体" w:hAnsi="宋体" w:cs="宋体"/>
          <w:sz w:val="18"/>
          <w:szCs w:val="21"/>
        </w:rPr>
        <w:t>在疫情期间，根据南宁市政府及招标人要求，投标人维保服务人员应落实好车站、车辆段(停车场)、综合基地等区域的疫情防控防范措施，进入地铁站、场段配合实施测体温、佩戴口罩、核查健康码等防控措施，积极主动配合属地管理部门做好疫情防控的相关工作。</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w:t>
      </w:r>
      <w:r>
        <w:rPr>
          <w:rFonts w:ascii="宋体" w:hAnsi="宋体" w:cs="宋体"/>
          <w:sz w:val="18"/>
          <w:szCs w:val="21"/>
        </w:rPr>
        <w:t xml:space="preserve">.1.4.3 </w:t>
      </w:r>
      <w:r>
        <w:rPr>
          <w:rFonts w:hint="eastAsia" w:ascii="宋体" w:hAnsi="宋体" w:cs="宋体"/>
          <w:sz w:val="18"/>
          <w:szCs w:val="21"/>
        </w:rPr>
        <w:t>在疫情期间，根据南宁市政府及招标人要求，投标人维保服务人员发现“红码、黄码”，要做到早发现、早报告、早处置，具体处置流程应严格按照招标人有关新型冠状病毒感染的肺炎疫情应急预案执行。</w:t>
      </w:r>
    </w:p>
    <w:p>
      <w:pPr>
        <w:widowControl/>
        <w:spacing w:line="360" w:lineRule="auto"/>
        <w:ind w:firstLine="360" w:firstLineChars="200"/>
        <w:rPr>
          <w:rFonts w:ascii="宋体" w:hAnsi="宋体" w:cs="宋体"/>
          <w:sz w:val="18"/>
          <w:szCs w:val="21"/>
        </w:rPr>
      </w:pPr>
      <w:r>
        <w:rPr>
          <w:rFonts w:hint="eastAsia" w:ascii="宋体" w:hAnsi="宋体" w:cs="宋体"/>
          <w:sz w:val="18"/>
          <w:szCs w:val="21"/>
        </w:rPr>
        <w:t>4</w:t>
      </w:r>
      <w:r>
        <w:rPr>
          <w:rFonts w:ascii="宋体" w:hAnsi="宋体" w:cs="宋体"/>
          <w:sz w:val="18"/>
          <w:szCs w:val="21"/>
        </w:rPr>
        <w:t xml:space="preserve">.1.4.4 </w:t>
      </w:r>
      <w:r>
        <w:rPr>
          <w:rFonts w:hint="eastAsia" w:ascii="宋体" w:hAnsi="宋体" w:cs="宋体"/>
          <w:sz w:val="18"/>
          <w:szCs w:val="21"/>
        </w:rPr>
        <w:t>在疫情期间，根据南宁市政府及招标人要求，投标人应提前做好内部员工出行动态排查及每日体温检测工作，形成防疫台账并做好记录，并根据地方的疫情防控管理要求开展对维保服务人员的管理。</w:t>
      </w:r>
    </w:p>
    <w:p>
      <w:pPr>
        <w:pStyle w:val="5"/>
        <w:numPr>
          <w:ilvl w:val="0"/>
          <w:numId w:val="0"/>
        </w:numPr>
        <w:spacing w:line="360" w:lineRule="auto"/>
        <w:ind w:left="564" w:leftChars="136" w:hanging="278" w:hangingChars="116"/>
        <w:rPr>
          <w:sz w:val="24"/>
          <w:szCs w:val="24"/>
        </w:rPr>
      </w:pPr>
      <w:bookmarkStart w:id="1816" w:name="_Toc75442101"/>
      <w:bookmarkStart w:id="1817" w:name="_Toc110498341"/>
      <w:bookmarkStart w:id="1818" w:name="_Toc118923780"/>
      <w:r>
        <w:rPr>
          <w:rFonts w:hint="eastAsia"/>
          <w:sz w:val="24"/>
          <w:szCs w:val="24"/>
        </w:rPr>
        <w:t>4.2项目质量管理</w:t>
      </w:r>
      <w:bookmarkEnd w:id="1816"/>
      <w:bookmarkEnd w:id="1817"/>
      <w:bookmarkEnd w:id="1818"/>
    </w:p>
    <w:p>
      <w:pPr>
        <w:widowControl/>
        <w:spacing w:line="360" w:lineRule="auto"/>
        <w:ind w:firstLine="361" w:firstLineChars="200"/>
        <w:rPr>
          <w:rFonts w:ascii="宋体" w:hAnsi="宋体" w:cs="宋体"/>
          <w:b/>
          <w:sz w:val="18"/>
          <w:szCs w:val="18"/>
        </w:rPr>
      </w:pPr>
      <w:r>
        <w:rPr>
          <w:rFonts w:hint="eastAsia" w:ascii="宋体" w:hAnsi="宋体" w:cs="宋体"/>
          <w:b/>
          <w:sz w:val="18"/>
          <w:szCs w:val="18"/>
        </w:rPr>
        <w:t>4</w:t>
      </w:r>
      <w:r>
        <w:rPr>
          <w:rFonts w:ascii="宋体" w:hAnsi="宋体" w:cs="宋体"/>
          <w:b/>
          <w:sz w:val="18"/>
          <w:szCs w:val="18"/>
        </w:rPr>
        <w:t xml:space="preserve">.2.1 </w:t>
      </w:r>
      <w:r>
        <w:rPr>
          <w:rFonts w:hint="eastAsia" w:ascii="宋体" w:hAnsi="宋体" w:cs="宋体"/>
          <w:b/>
          <w:sz w:val="18"/>
          <w:szCs w:val="18"/>
        </w:rPr>
        <w:t>维保项目工作内容</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投标人必须根据</w:t>
      </w:r>
      <w:r>
        <w:rPr>
          <w:rFonts w:hint="eastAsia" w:ascii="宋体" w:hAnsi="宋体" w:cs="宋体"/>
          <w:sz w:val="18"/>
          <w:szCs w:val="21"/>
        </w:rPr>
        <w:t>招标人</w:t>
      </w:r>
      <w:r>
        <w:rPr>
          <w:rFonts w:hint="eastAsia" w:ascii="宋体" w:hAnsi="宋体" w:cs="宋体"/>
          <w:sz w:val="18"/>
          <w:szCs w:val="18"/>
        </w:rPr>
        <w:t>提供的安全生产管理规章制度、检修规程、作业指导书、应急处置方案、设施维修接口关系规则等相关要求进行维保工作。本项目服务内容包括对办公家具家电、场段生活办公区域内装饰装修、低压配电及其区域设施设备的进行上门检查、维修维保、应急抢修以及</w:t>
      </w:r>
      <w:r>
        <w:rPr>
          <w:rFonts w:hint="eastAsia" w:ascii="宋体" w:hAnsi="宋体" w:cs="宋体"/>
          <w:sz w:val="18"/>
          <w:szCs w:val="21"/>
        </w:rPr>
        <w:t>招标人</w:t>
      </w:r>
      <w:r>
        <w:rPr>
          <w:rFonts w:hint="eastAsia" w:ascii="宋体" w:hAnsi="宋体" w:cs="宋体"/>
          <w:sz w:val="18"/>
          <w:szCs w:val="18"/>
        </w:rPr>
        <w:t>下达的临时任务等工作并做好相关台账记录。</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（1）办公家具：包括但不限于员工座椅、卡座、铁皮柜、文件柜、班台班椅、会议桌椅、沙发、司机公寓配套家具等；</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（2）办公家电：包括但不限于单体非精密空调、家用洗衣机、工业烘干机、电冰箱等；</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3）生活办公区域装饰装修：包括但不限于场段生活办公区域内的天地墙面的修补、瓷砖地板更换、天花铝扣板更换、门窗及其附属五金件等；给排水部分的洗手间水龙头、冲水阀、便池及其附属五金件、日常管道堵漏疏通等；</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4）生活办公区域低压配电：包括但不限于场段生活办公区域内的日常办公照明灯具（长灯管、短灯管、环形灯、筒灯、射灯等）及其附属配件、开关（空气开关、单控单开等）、插座（五孔、七孔、空调插座等）等；</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（5）生活办公区域设施设备：包括但不限于场段生活办公区域内的太阳能热水器、升旗台、出入场段电动伸缩门、电动道闸等；</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4</w:t>
      </w:r>
      <w:r>
        <w:rPr>
          <w:rFonts w:ascii="宋体" w:hAnsi="宋体" w:cs="宋体"/>
          <w:sz w:val="18"/>
          <w:szCs w:val="18"/>
        </w:rPr>
        <w:t>.2.</w:t>
      </w:r>
      <w:r>
        <w:rPr>
          <w:rFonts w:hint="eastAsia" w:ascii="宋体" w:hAnsi="宋体" w:cs="宋体"/>
          <w:sz w:val="18"/>
          <w:szCs w:val="18"/>
        </w:rPr>
        <w:t>2</w:t>
      </w:r>
      <w:r>
        <w:rPr>
          <w:rFonts w:ascii="宋体" w:hAnsi="宋体" w:cs="宋体"/>
          <w:sz w:val="18"/>
          <w:szCs w:val="18"/>
        </w:rPr>
        <w:t xml:space="preserve"> </w:t>
      </w:r>
      <w:r>
        <w:rPr>
          <w:rFonts w:hint="eastAsia" w:ascii="宋体" w:hAnsi="宋体" w:cs="宋体"/>
          <w:sz w:val="18"/>
          <w:szCs w:val="18"/>
        </w:rPr>
        <w:t>无条件的按照</w:t>
      </w:r>
      <w:r>
        <w:rPr>
          <w:rFonts w:hint="eastAsia" w:ascii="宋体" w:hAnsi="宋体" w:cs="宋体"/>
          <w:sz w:val="18"/>
          <w:szCs w:val="21"/>
        </w:rPr>
        <w:t>招标人</w:t>
      </w:r>
      <w:r>
        <w:rPr>
          <w:rFonts w:hint="eastAsia" w:ascii="宋体" w:hAnsi="宋体" w:cs="宋体"/>
          <w:sz w:val="18"/>
          <w:szCs w:val="18"/>
        </w:rPr>
        <w:t>的应急预案或抢险指令进行应急抢险工作；</w:t>
      </w:r>
    </w:p>
    <w:p>
      <w:pPr>
        <w:widowControl/>
        <w:spacing w:line="360" w:lineRule="auto"/>
        <w:ind w:firstLine="360" w:firstLineChars="200"/>
        <w:rPr>
          <w:rFonts w:ascii="宋体" w:hAnsi="宋体" w:cs="宋体"/>
          <w:sz w:val="18"/>
          <w:szCs w:val="18"/>
        </w:rPr>
      </w:pPr>
      <w:r>
        <w:rPr>
          <w:rFonts w:ascii="宋体" w:hAnsi="宋体" w:cs="宋体"/>
          <w:sz w:val="18"/>
          <w:szCs w:val="18"/>
        </w:rPr>
        <w:t>4.2.</w:t>
      </w:r>
      <w:r>
        <w:rPr>
          <w:rFonts w:hint="eastAsia" w:ascii="宋体" w:hAnsi="宋体" w:cs="宋体"/>
          <w:sz w:val="18"/>
          <w:szCs w:val="18"/>
        </w:rPr>
        <w:t>3</w:t>
      </w:r>
      <w:r>
        <w:rPr>
          <w:rFonts w:ascii="宋体" w:hAnsi="宋体" w:cs="宋体"/>
          <w:sz w:val="18"/>
          <w:szCs w:val="18"/>
        </w:rPr>
        <w:t xml:space="preserve"> </w:t>
      </w:r>
      <w:r>
        <w:rPr>
          <w:rFonts w:hint="eastAsia" w:ascii="宋体" w:hAnsi="宋体" w:cs="宋体"/>
          <w:sz w:val="18"/>
          <w:szCs w:val="18"/>
        </w:rPr>
        <w:t>承担项目范围内需与各设施厂家沟通的全部事宜；</w:t>
      </w:r>
    </w:p>
    <w:p>
      <w:pPr>
        <w:pStyle w:val="5"/>
        <w:numPr>
          <w:ilvl w:val="0"/>
          <w:numId w:val="0"/>
        </w:numPr>
        <w:spacing w:line="360" w:lineRule="auto"/>
        <w:ind w:left="-2" w:leftChars="-1" w:firstLine="283" w:firstLineChars="118"/>
        <w:rPr>
          <w:sz w:val="24"/>
          <w:szCs w:val="24"/>
        </w:rPr>
      </w:pPr>
      <w:bookmarkStart w:id="1819" w:name="_Toc75442102"/>
      <w:bookmarkStart w:id="1820" w:name="_Toc16996"/>
      <w:bookmarkStart w:id="1821" w:name="_Toc13955"/>
      <w:bookmarkStart w:id="1822" w:name="_Toc21682"/>
      <w:bookmarkStart w:id="1823" w:name="_Toc1248"/>
      <w:bookmarkStart w:id="1824" w:name="_Toc23579"/>
      <w:bookmarkStart w:id="1825" w:name="_Toc5259"/>
      <w:bookmarkStart w:id="1826" w:name="_Toc110498342"/>
      <w:bookmarkStart w:id="1827" w:name="_Toc27061"/>
      <w:bookmarkStart w:id="1828" w:name="_Toc18774"/>
      <w:bookmarkStart w:id="1829" w:name="_Toc23684"/>
      <w:bookmarkStart w:id="1830" w:name="_Toc20756"/>
      <w:bookmarkStart w:id="1831" w:name="_Toc1818"/>
      <w:bookmarkStart w:id="1832" w:name="_Toc60212998"/>
      <w:bookmarkStart w:id="1833" w:name="_Toc118923781"/>
      <w:r>
        <w:rPr>
          <w:rFonts w:hint="eastAsia"/>
          <w:sz w:val="24"/>
          <w:szCs w:val="24"/>
        </w:rPr>
        <w:t>4.3项目安全管理</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widowControl/>
        <w:spacing w:line="360" w:lineRule="auto"/>
        <w:ind w:firstLine="360" w:firstLineChars="200"/>
        <w:rPr>
          <w:rFonts w:ascii="宋体" w:hAnsi="宋体" w:cs="宋体"/>
          <w:sz w:val="18"/>
          <w:szCs w:val="18"/>
        </w:rPr>
      </w:pPr>
      <w:bookmarkStart w:id="1834" w:name="_Toc7446"/>
      <w:r>
        <w:rPr>
          <w:rFonts w:hint="eastAsia" w:ascii="宋体" w:hAnsi="宋体" w:cs="宋体"/>
          <w:sz w:val="18"/>
          <w:szCs w:val="18"/>
        </w:rPr>
        <w:t>4.3.1</w:t>
      </w:r>
      <w:r>
        <w:rPr>
          <w:rFonts w:ascii="宋体" w:hAnsi="宋体" w:cs="宋体"/>
          <w:sz w:val="18"/>
          <w:szCs w:val="18"/>
        </w:rPr>
        <w:t>严格遵守执行国家、地方、行业的相关法律、法规、规范、规程。遵守</w:t>
      </w:r>
      <w:r>
        <w:rPr>
          <w:rFonts w:hint="eastAsia" w:ascii="宋体" w:hAnsi="宋体" w:cs="宋体"/>
          <w:sz w:val="18"/>
          <w:szCs w:val="21"/>
        </w:rPr>
        <w:t>招标人</w:t>
      </w:r>
      <w:r>
        <w:rPr>
          <w:rFonts w:ascii="宋体" w:hAnsi="宋体" w:cs="宋体"/>
          <w:sz w:val="18"/>
          <w:szCs w:val="18"/>
        </w:rPr>
        <w:t>安全管理相关规章制度，并按安全管理架构要求组建安全管理体系。</w:t>
      </w:r>
      <w:bookmarkEnd w:id="1834"/>
    </w:p>
    <w:p>
      <w:pPr>
        <w:widowControl/>
        <w:spacing w:line="360" w:lineRule="auto"/>
        <w:ind w:firstLine="360" w:firstLineChars="200"/>
        <w:rPr>
          <w:rFonts w:ascii="宋体" w:hAnsi="宋体" w:cs="宋体"/>
          <w:sz w:val="18"/>
          <w:szCs w:val="18"/>
        </w:rPr>
      </w:pPr>
      <w:bookmarkStart w:id="1835" w:name="_Toc2686"/>
      <w:r>
        <w:rPr>
          <w:rFonts w:hint="eastAsia" w:ascii="宋体" w:hAnsi="宋体" w:cs="宋体"/>
          <w:sz w:val="18"/>
          <w:szCs w:val="18"/>
        </w:rPr>
        <w:t>4.3.2</w:t>
      </w:r>
      <w:r>
        <w:rPr>
          <w:rFonts w:ascii="宋体" w:hAnsi="宋体" w:cs="宋体"/>
          <w:sz w:val="18"/>
          <w:szCs w:val="18"/>
        </w:rPr>
        <w:t>投标人与</w:t>
      </w:r>
      <w:r>
        <w:rPr>
          <w:rFonts w:hint="eastAsia" w:ascii="宋体" w:hAnsi="宋体" w:cs="宋体"/>
          <w:sz w:val="18"/>
          <w:szCs w:val="21"/>
        </w:rPr>
        <w:t>招标人</w:t>
      </w:r>
      <w:r>
        <w:rPr>
          <w:rFonts w:ascii="宋体" w:hAnsi="宋体" w:cs="宋体"/>
          <w:sz w:val="18"/>
          <w:szCs w:val="18"/>
        </w:rPr>
        <w:t>签订安全协议。</w:t>
      </w:r>
      <w:bookmarkEnd w:id="1835"/>
    </w:p>
    <w:p>
      <w:pPr>
        <w:widowControl/>
        <w:spacing w:line="360" w:lineRule="auto"/>
        <w:ind w:firstLine="360" w:firstLineChars="200"/>
        <w:rPr>
          <w:rFonts w:ascii="宋体" w:hAnsi="宋体" w:cs="宋体"/>
          <w:sz w:val="18"/>
          <w:szCs w:val="18"/>
        </w:rPr>
      </w:pPr>
      <w:bookmarkStart w:id="1836" w:name="_Toc14977"/>
      <w:r>
        <w:rPr>
          <w:rFonts w:hint="eastAsia" w:ascii="宋体" w:hAnsi="宋体" w:cs="宋体"/>
          <w:sz w:val="18"/>
          <w:szCs w:val="18"/>
        </w:rPr>
        <w:t>4.3.3</w:t>
      </w:r>
      <w:r>
        <w:rPr>
          <w:rFonts w:ascii="宋体" w:hAnsi="宋体" w:cs="宋体"/>
          <w:sz w:val="18"/>
          <w:szCs w:val="18"/>
        </w:rPr>
        <w:t>在正常</w:t>
      </w:r>
      <w:r>
        <w:rPr>
          <w:rFonts w:hint="eastAsia" w:ascii="宋体" w:hAnsi="宋体" w:cs="宋体"/>
          <w:sz w:val="18"/>
          <w:szCs w:val="18"/>
        </w:rPr>
        <w:t>维保</w:t>
      </w:r>
      <w:r>
        <w:rPr>
          <w:rFonts w:ascii="宋体" w:hAnsi="宋体" w:cs="宋体"/>
          <w:sz w:val="18"/>
          <w:szCs w:val="18"/>
        </w:rPr>
        <w:t>作业过程中凡投标人人员出现伤亡情况及因此导致的所有损失均由投标人自行负责。由于事故造成</w:t>
      </w:r>
      <w:r>
        <w:rPr>
          <w:rFonts w:hint="eastAsia" w:ascii="宋体" w:hAnsi="宋体" w:cs="宋体"/>
          <w:sz w:val="18"/>
          <w:szCs w:val="21"/>
        </w:rPr>
        <w:t>招标人</w:t>
      </w:r>
      <w:r>
        <w:rPr>
          <w:rFonts w:ascii="宋体" w:hAnsi="宋体" w:cs="宋体"/>
          <w:sz w:val="18"/>
          <w:szCs w:val="18"/>
        </w:rPr>
        <w:t>或第三方人身伤亡或财产损失，可能引发争议，由投标人承担责任。产生诉讼的，投标人应独立应诉，承担一切诉讼后果。</w:t>
      </w:r>
      <w:bookmarkEnd w:id="1836"/>
    </w:p>
    <w:p>
      <w:pPr>
        <w:widowControl/>
        <w:spacing w:line="360" w:lineRule="auto"/>
        <w:ind w:firstLine="360" w:firstLineChars="200"/>
        <w:rPr>
          <w:rFonts w:ascii="宋体" w:hAnsi="宋体" w:cs="宋体"/>
          <w:sz w:val="18"/>
          <w:szCs w:val="18"/>
        </w:rPr>
      </w:pPr>
      <w:bookmarkStart w:id="1837" w:name="_Toc27445"/>
      <w:r>
        <w:rPr>
          <w:rFonts w:hint="eastAsia" w:ascii="宋体" w:hAnsi="宋体" w:cs="宋体"/>
          <w:sz w:val="18"/>
          <w:szCs w:val="18"/>
        </w:rPr>
        <w:t>4.3.4</w:t>
      </w:r>
      <w:r>
        <w:rPr>
          <w:rFonts w:ascii="宋体" w:hAnsi="宋体" w:cs="宋体"/>
          <w:sz w:val="18"/>
          <w:szCs w:val="18"/>
        </w:rPr>
        <w:t>投标人对合同范围内的</w:t>
      </w:r>
      <w:r>
        <w:rPr>
          <w:rFonts w:hint="eastAsia" w:ascii="宋体" w:hAnsi="宋体" w:cs="宋体"/>
          <w:sz w:val="18"/>
          <w:szCs w:val="18"/>
        </w:rPr>
        <w:t>维保</w:t>
      </w:r>
      <w:r>
        <w:rPr>
          <w:rFonts w:ascii="宋体" w:hAnsi="宋体" w:cs="宋体"/>
          <w:sz w:val="18"/>
          <w:szCs w:val="18"/>
        </w:rPr>
        <w:t>工作有失误或渎职而引发的事故/事件，由</w:t>
      </w:r>
      <w:r>
        <w:rPr>
          <w:rFonts w:hint="eastAsia" w:ascii="宋体" w:hAnsi="宋体" w:cs="宋体"/>
          <w:sz w:val="18"/>
          <w:szCs w:val="18"/>
        </w:rPr>
        <w:t>投标人</w:t>
      </w:r>
      <w:r>
        <w:rPr>
          <w:rFonts w:ascii="宋体" w:hAnsi="宋体" w:cs="宋体"/>
          <w:sz w:val="18"/>
          <w:szCs w:val="18"/>
        </w:rPr>
        <w:t>负全部责任，承担因此给</w:t>
      </w:r>
      <w:r>
        <w:rPr>
          <w:rFonts w:hint="eastAsia" w:ascii="宋体" w:hAnsi="宋体" w:cs="宋体"/>
          <w:sz w:val="18"/>
          <w:szCs w:val="21"/>
        </w:rPr>
        <w:t>招标人</w:t>
      </w:r>
      <w:r>
        <w:rPr>
          <w:rFonts w:ascii="宋体" w:hAnsi="宋体" w:cs="宋体"/>
          <w:sz w:val="18"/>
          <w:szCs w:val="18"/>
        </w:rPr>
        <w:t>造成的直接和间接经济损失。</w:t>
      </w:r>
      <w:bookmarkEnd w:id="1837"/>
    </w:p>
    <w:p>
      <w:pPr>
        <w:widowControl/>
        <w:spacing w:line="360" w:lineRule="auto"/>
        <w:ind w:firstLine="360" w:firstLineChars="200"/>
        <w:rPr>
          <w:rFonts w:ascii="宋体" w:hAnsi="宋体" w:cs="宋体"/>
          <w:sz w:val="18"/>
          <w:szCs w:val="18"/>
        </w:rPr>
      </w:pPr>
      <w:bookmarkStart w:id="1838" w:name="_Toc23184"/>
      <w:r>
        <w:rPr>
          <w:rFonts w:hint="eastAsia" w:ascii="宋体" w:hAnsi="宋体" w:cs="宋体"/>
          <w:sz w:val="18"/>
          <w:szCs w:val="18"/>
        </w:rPr>
        <w:t>4.3.5</w:t>
      </w:r>
      <w:r>
        <w:rPr>
          <w:rFonts w:ascii="宋体" w:hAnsi="宋体" w:cs="宋体"/>
          <w:sz w:val="18"/>
          <w:szCs w:val="18"/>
        </w:rPr>
        <w:t>所有</w:t>
      </w:r>
      <w:r>
        <w:rPr>
          <w:rFonts w:hint="eastAsia" w:ascii="宋体" w:hAnsi="宋体" w:cs="宋体"/>
          <w:sz w:val="18"/>
          <w:szCs w:val="18"/>
        </w:rPr>
        <w:t>参与维保</w:t>
      </w:r>
      <w:r>
        <w:rPr>
          <w:rFonts w:ascii="宋体" w:hAnsi="宋体" w:cs="宋体"/>
          <w:sz w:val="18"/>
          <w:szCs w:val="18"/>
        </w:rPr>
        <w:t>作业的</w:t>
      </w:r>
      <w:r>
        <w:rPr>
          <w:rFonts w:hint="eastAsia" w:ascii="宋体" w:hAnsi="宋体" w:cs="宋体"/>
          <w:sz w:val="18"/>
          <w:szCs w:val="18"/>
        </w:rPr>
        <w:t>维保</w:t>
      </w:r>
      <w:r>
        <w:rPr>
          <w:rFonts w:ascii="宋体" w:hAnsi="宋体" w:cs="宋体"/>
          <w:sz w:val="18"/>
          <w:szCs w:val="18"/>
        </w:rPr>
        <w:t>人员应遵守</w:t>
      </w:r>
      <w:r>
        <w:rPr>
          <w:rFonts w:hint="eastAsia" w:ascii="宋体" w:hAnsi="宋体" w:cs="宋体"/>
          <w:sz w:val="18"/>
          <w:szCs w:val="21"/>
        </w:rPr>
        <w:t>招标人</w:t>
      </w:r>
      <w:r>
        <w:rPr>
          <w:rFonts w:ascii="宋体" w:hAnsi="宋体" w:cs="宋体"/>
          <w:sz w:val="18"/>
          <w:szCs w:val="18"/>
        </w:rPr>
        <w:t>的</w:t>
      </w:r>
      <w:r>
        <w:rPr>
          <w:rFonts w:hint="eastAsia" w:ascii="宋体" w:hAnsi="宋体" w:cs="宋体"/>
          <w:sz w:val="18"/>
          <w:szCs w:val="18"/>
        </w:rPr>
        <w:t>相关</w:t>
      </w:r>
      <w:r>
        <w:rPr>
          <w:rFonts w:ascii="宋体" w:hAnsi="宋体" w:cs="宋体"/>
          <w:sz w:val="18"/>
          <w:szCs w:val="18"/>
        </w:rPr>
        <w:t>企业标准，全员持证上岗，按照</w:t>
      </w:r>
      <w:r>
        <w:rPr>
          <w:rFonts w:hint="eastAsia" w:ascii="宋体" w:hAnsi="宋体" w:cs="宋体"/>
          <w:sz w:val="18"/>
          <w:szCs w:val="18"/>
        </w:rPr>
        <w:t>维保</w:t>
      </w:r>
      <w:r>
        <w:rPr>
          <w:rFonts w:ascii="宋体" w:hAnsi="宋体" w:cs="宋体"/>
          <w:sz w:val="18"/>
          <w:szCs w:val="18"/>
        </w:rPr>
        <w:t>规范、方案和各项安全操作规程进行作业。</w:t>
      </w:r>
      <w:bookmarkEnd w:id="1838"/>
    </w:p>
    <w:p>
      <w:pPr>
        <w:widowControl/>
        <w:spacing w:line="360" w:lineRule="auto"/>
        <w:ind w:firstLine="360" w:firstLineChars="200"/>
        <w:rPr>
          <w:rFonts w:ascii="宋体" w:hAnsi="宋体" w:cs="宋体"/>
          <w:sz w:val="18"/>
          <w:szCs w:val="18"/>
        </w:rPr>
      </w:pPr>
      <w:bookmarkStart w:id="1839" w:name="_Toc23857"/>
      <w:r>
        <w:rPr>
          <w:rFonts w:hint="eastAsia" w:ascii="宋体" w:hAnsi="宋体" w:cs="宋体"/>
          <w:sz w:val="18"/>
          <w:szCs w:val="18"/>
        </w:rPr>
        <w:t>4.3.</w:t>
      </w:r>
      <w:r>
        <w:rPr>
          <w:rFonts w:ascii="宋体" w:hAnsi="宋体" w:cs="宋体"/>
          <w:sz w:val="18"/>
          <w:szCs w:val="18"/>
        </w:rPr>
        <w:t>6所有</w:t>
      </w:r>
      <w:r>
        <w:rPr>
          <w:rFonts w:hint="eastAsia" w:ascii="宋体" w:hAnsi="宋体" w:cs="宋体"/>
          <w:sz w:val="18"/>
          <w:szCs w:val="18"/>
        </w:rPr>
        <w:t>维保</w:t>
      </w:r>
      <w:r>
        <w:rPr>
          <w:rFonts w:ascii="宋体" w:hAnsi="宋体" w:cs="宋体"/>
          <w:sz w:val="18"/>
          <w:szCs w:val="18"/>
        </w:rPr>
        <w:t>人员和管理人员要熟悉掌握消防设施的性能和使用方法，非火灾情况不得触碰消防器材。除动火作业外</w:t>
      </w:r>
      <w:r>
        <w:rPr>
          <w:rFonts w:hint="eastAsia" w:ascii="宋体" w:hAnsi="宋体" w:cs="宋体"/>
          <w:sz w:val="18"/>
          <w:szCs w:val="18"/>
        </w:rPr>
        <w:t>维保</w:t>
      </w:r>
      <w:r>
        <w:rPr>
          <w:rFonts w:ascii="宋体" w:hAnsi="宋体" w:cs="宋体"/>
          <w:sz w:val="18"/>
          <w:szCs w:val="18"/>
        </w:rPr>
        <w:t>现场严禁烟火（吸烟）。</w:t>
      </w:r>
      <w:bookmarkEnd w:id="1839"/>
    </w:p>
    <w:p>
      <w:pPr>
        <w:widowControl/>
        <w:spacing w:line="360" w:lineRule="auto"/>
        <w:ind w:firstLine="360" w:firstLineChars="200"/>
        <w:rPr>
          <w:rFonts w:ascii="宋体" w:hAnsi="宋体" w:cs="宋体"/>
          <w:sz w:val="18"/>
          <w:szCs w:val="18"/>
        </w:rPr>
      </w:pPr>
      <w:bookmarkStart w:id="1840" w:name="_Toc11916"/>
      <w:r>
        <w:rPr>
          <w:rFonts w:hint="eastAsia" w:ascii="宋体" w:hAnsi="宋体" w:cs="宋体"/>
          <w:sz w:val="18"/>
          <w:szCs w:val="18"/>
        </w:rPr>
        <w:t>4.3.</w:t>
      </w:r>
      <w:r>
        <w:rPr>
          <w:rFonts w:ascii="宋体" w:hAnsi="宋体" w:cs="宋体"/>
          <w:sz w:val="18"/>
          <w:szCs w:val="18"/>
        </w:rPr>
        <w:t>7在</w:t>
      </w:r>
      <w:r>
        <w:rPr>
          <w:rFonts w:hint="eastAsia" w:ascii="宋体" w:hAnsi="宋体" w:cs="宋体"/>
          <w:sz w:val="18"/>
          <w:szCs w:val="18"/>
        </w:rPr>
        <w:t>维保工作</w:t>
      </w:r>
      <w:r>
        <w:rPr>
          <w:rFonts w:ascii="宋体" w:hAnsi="宋体" w:cs="宋体"/>
          <w:sz w:val="18"/>
          <w:szCs w:val="18"/>
        </w:rPr>
        <w:t>中如有</w:t>
      </w:r>
      <w:r>
        <w:rPr>
          <w:rFonts w:hint="eastAsia" w:ascii="宋体" w:hAnsi="宋体" w:cs="宋体"/>
          <w:sz w:val="18"/>
          <w:szCs w:val="18"/>
        </w:rPr>
        <w:t>带电作业</w:t>
      </w:r>
      <w:r>
        <w:rPr>
          <w:rFonts w:ascii="宋体" w:hAnsi="宋体" w:cs="宋体"/>
          <w:sz w:val="18"/>
          <w:szCs w:val="18"/>
        </w:rPr>
        <w:t>、登高作业等特种作业，必须提前向</w:t>
      </w:r>
      <w:r>
        <w:rPr>
          <w:rFonts w:hint="eastAsia" w:ascii="宋体" w:hAnsi="宋体" w:cs="宋体"/>
          <w:sz w:val="18"/>
          <w:szCs w:val="21"/>
        </w:rPr>
        <w:t>招标人</w:t>
      </w:r>
      <w:r>
        <w:rPr>
          <w:rFonts w:ascii="宋体" w:hAnsi="宋体" w:cs="宋体"/>
          <w:sz w:val="18"/>
          <w:szCs w:val="18"/>
        </w:rPr>
        <w:t>办理特种作业审批手续，作业人员必须持特种作业操作证上岗，严禁违规操作。</w:t>
      </w:r>
      <w:bookmarkEnd w:id="1840"/>
    </w:p>
    <w:p>
      <w:pPr>
        <w:widowControl/>
        <w:spacing w:line="360" w:lineRule="auto"/>
        <w:ind w:firstLine="360" w:firstLineChars="200"/>
        <w:rPr>
          <w:rFonts w:ascii="宋体" w:hAnsi="宋体" w:cs="宋体"/>
          <w:sz w:val="18"/>
          <w:szCs w:val="18"/>
        </w:rPr>
      </w:pPr>
      <w:bookmarkStart w:id="1841" w:name="_Toc11187"/>
      <w:r>
        <w:rPr>
          <w:rFonts w:hint="eastAsia" w:ascii="宋体" w:hAnsi="宋体" w:cs="宋体"/>
          <w:sz w:val="18"/>
          <w:szCs w:val="18"/>
        </w:rPr>
        <w:t>4.3</w:t>
      </w:r>
      <w:r>
        <w:rPr>
          <w:rFonts w:ascii="宋体" w:hAnsi="宋体" w:cs="宋体"/>
          <w:sz w:val="18"/>
          <w:szCs w:val="18"/>
        </w:rPr>
        <w:t>.8</w:t>
      </w:r>
      <w:r>
        <w:rPr>
          <w:rFonts w:hint="eastAsia" w:ascii="宋体" w:hAnsi="宋体" w:cs="宋体"/>
          <w:sz w:val="18"/>
          <w:szCs w:val="18"/>
        </w:rPr>
        <w:t>维保</w:t>
      </w:r>
      <w:r>
        <w:rPr>
          <w:rFonts w:ascii="宋体" w:hAnsi="宋体" w:cs="宋体"/>
          <w:sz w:val="18"/>
          <w:szCs w:val="18"/>
        </w:rPr>
        <w:t>人员在现场必须全程穿工作服和劳保鞋、戴安全帽、遵守劳动纪律，服从安全人员的指挥，严禁睡觉、嬉戏，赤脚、穿拖鞋、着装不整、不听劝告者不得进入现场。</w:t>
      </w:r>
      <w:bookmarkEnd w:id="1841"/>
    </w:p>
    <w:p>
      <w:pPr>
        <w:widowControl/>
        <w:spacing w:line="360" w:lineRule="auto"/>
        <w:ind w:firstLine="360" w:firstLineChars="200"/>
        <w:rPr>
          <w:rFonts w:ascii="宋体" w:hAnsi="宋体" w:cs="宋体"/>
          <w:sz w:val="18"/>
          <w:szCs w:val="18"/>
        </w:rPr>
      </w:pPr>
      <w:bookmarkStart w:id="1842" w:name="_Toc24579"/>
      <w:r>
        <w:rPr>
          <w:rFonts w:hint="eastAsia" w:ascii="宋体" w:hAnsi="宋体" w:cs="宋体"/>
          <w:sz w:val="18"/>
          <w:szCs w:val="18"/>
        </w:rPr>
        <w:t>4.3.</w:t>
      </w:r>
      <w:r>
        <w:rPr>
          <w:rFonts w:ascii="宋体" w:hAnsi="宋体" w:cs="宋体"/>
          <w:sz w:val="18"/>
          <w:szCs w:val="18"/>
        </w:rPr>
        <w:t>9高空作业应采取安全可靠的措施，严格按照规范要求搭设脚手架，搭设完成经安全验收合格后方可使用，并定期进行检查维修。高空作业必须系安全带，不得穿硬底或带钉的鞋，不得往下投掷物料。</w:t>
      </w:r>
      <w:bookmarkEnd w:id="1842"/>
    </w:p>
    <w:p>
      <w:pPr>
        <w:widowControl/>
        <w:spacing w:line="360" w:lineRule="auto"/>
        <w:ind w:firstLine="360" w:firstLineChars="200"/>
        <w:rPr>
          <w:rFonts w:ascii="宋体" w:hAnsi="宋体" w:cs="宋体"/>
          <w:sz w:val="18"/>
          <w:szCs w:val="18"/>
        </w:rPr>
      </w:pPr>
      <w:bookmarkStart w:id="1843" w:name="_Toc374"/>
      <w:r>
        <w:rPr>
          <w:rFonts w:hint="eastAsia" w:ascii="宋体" w:hAnsi="宋体" w:cs="宋体"/>
          <w:sz w:val="18"/>
          <w:szCs w:val="18"/>
        </w:rPr>
        <w:t>4.3</w:t>
      </w:r>
      <w:r>
        <w:rPr>
          <w:rFonts w:ascii="宋体" w:hAnsi="宋体" w:cs="宋体"/>
          <w:sz w:val="18"/>
          <w:szCs w:val="18"/>
        </w:rPr>
        <w:t>.10</w:t>
      </w:r>
      <w:r>
        <w:rPr>
          <w:rFonts w:hint="eastAsia" w:ascii="宋体" w:hAnsi="宋体" w:cs="宋体"/>
          <w:sz w:val="18"/>
          <w:szCs w:val="18"/>
        </w:rPr>
        <w:t>维保</w:t>
      </w:r>
      <w:r>
        <w:rPr>
          <w:rFonts w:ascii="宋体" w:hAnsi="宋体" w:cs="宋体"/>
          <w:sz w:val="18"/>
          <w:szCs w:val="18"/>
        </w:rPr>
        <w:t>前应对</w:t>
      </w:r>
      <w:r>
        <w:rPr>
          <w:rFonts w:hint="eastAsia" w:ascii="宋体" w:hAnsi="宋体" w:cs="宋体"/>
          <w:sz w:val="18"/>
          <w:szCs w:val="18"/>
        </w:rPr>
        <w:t>维保区域</w:t>
      </w:r>
      <w:r>
        <w:rPr>
          <w:rFonts w:ascii="宋体" w:hAnsi="宋体" w:cs="宋体"/>
          <w:sz w:val="18"/>
          <w:szCs w:val="18"/>
        </w:rPr>
        <w:t>内的</w:t>
      </w:r>
      <w:r>
        <w:rPr>
          <w:rFonts w:hint="eastAsia" w:ascii="宋体" w:hAnsi="宋体" w:cs="宋体"/>
          <w:sz w:val="18"/>
          <w:szCs w:val="18"/>
        </w:rPr>
        <w:t>原有的</w:t>
      </w:r>
      <w:r>
        <w:rPr>
          <w:rFonts w:ascii="宋体" w:hAnsi="宋体" w:cs="宋体"/>
          <w:sz w:val="18"/>
          <w:szCs w:val="18"/>
        </w:rPr>
        <w:t>设施</w:t>
      </w:r>
      <w:r>
        <w:rPr>
          <w:rFonts w:hint="eastAsia" w:ascii="宋体" w:hAnsi="宋体" w:cs="宋体"/>
          <w:sz w:val="18"/>
          <w:szCs w:val="18"/>
        </w:rPr>
        <w:t>设备</w:t>
      </w:r>
      <w:r>
        <w:rPr>
          <w:rFonts w:ascii="宋体" w:hAnsi="宋体" w:cs="宋体"/>
          <w:sz w:val="18"/>
          <w:szCs w:val="18"/>
        </w:rPr>
        <w:t>做好保护措施</w:t>
      </w:r>
      <w:r>
        <w:rPr>
          <w:rFonts w:hint="eastAsia" w:ascii="宋体" w:hAnsi="宋体" w:cs="宋体"/>
          <w:sz w:val="18"/>
          <w:szCs w:val="18"/>
        </w:rPr>
        <w:t>，特别是涉及消防烟感、火灾报警等</w:t>
      </w:r>
      <w:r>
        <w:rPr>
          <w:rFonts w:ascii="宋体" w:hAnsi="宋体" w:cs="宋体"/>
          <w:sz w:val="18"/>
          <w:szCs w:val="18"/>
        </w:rPr>
        <w:t>，不得损坏</w:t>
      </w:r>
      <w:r>
        <w:rPr>
          <w:rFonts w:hint="eastAsia" w:ascii="宋体" w:hAnsi="宋体" w:cs="宋体"/>
          <w:sz w:val="18"/>
          <w:szCs w:val="18"/>
        </w:rPr>
        <w:t>原有的</w:t>
      </w:r>
      <w:r>
        <w:rPr>
          <w:rFonts w:ascii="宋体" w:hAnsi="宋体" w:cs="宋体"/>
          <w:sz w:val="18"/>
          <w:szCs w:val="18"/>
        </w:rPr>
        <w:t>设施</w:t>
      </w:r>
      <w:r>
        <w:rPr>
          <w:rFonts w:hint="eastAsia" w:ascii="宋体" w:hAnsi="宋体" w:cs="宋体"/>
          <w:sz w:val="18"/>
          <w:szCs w:val="18"/>
        </w:rPr>
        <w:t>设备</w:t>
      </w:r>
      <w:r>
        <w:rPr>
          <w:rFonts w:ascii="宋体" w:hAnsi="宋体" w:cs="宋体"/>
          <w:sz w:val="18"/>
          <w:szCs w:val="18"/>
        </w:rPr>
        <w:t>，如发生意外应及时向</w:t>
      </w:r>
      <w:r>
        <w:rPr>
          <w:rFonts w:hint="eastAsia" w:ascii="宋体" w:hAnsi="宋体" w:cs="宋体"/>
          <w:sz w:val="18"/>
          <w:szCs w:val="21"/>
        </w:rPr>
        <w:t>招标人</w:t>
      </w:r>
      <w:r>
        <w:rPr>
          <w:rFonts w:ascii="宋体" w:hAnsi="宋体" w:cs="宋体"/>
          <w:sz w:val="18"/>
          <w:szCs w:val="18"/>
        </w:rPr>
        <w:t>有关部门反映并采取措施。</w:t>
      </w:r>
      <w:bookmarkEnd w:id="1843"/>
    </w:p>
    <w:p>
      <w:pPr>
        <w:widowControl/>
        <w:spacing w:line="360" w:lineRule="auto"/>
        <w:ind w:firstLine="360" w:firstLineChars="200"/>
        <w:rPr>
          <w:rFonts w:ascii="宋体" w:hAnsi="宋体" w:cs="宋体"/>
          <w:sz w:val="18"/>
          <w:szCs w:val="18"/>
        </w:rPr>
      </w:pPr>
      <w:bookmarkStart w:id="1844" w:name="_Toc1263"/>
      <w:r>
        <w:rPr>
          <w:rFonts w:hint="eastAsia" w:ascii="宋体" w:hAnsi="宋体" w:cs="宋体"/>
          <w:sz w:val="18"/>
          <w:szCs w:val="18"/>
        </w:rPr>
        <w:t>4.3</w:t>
      </w:r>
      <w:r>
        <w:rPr>
          <w:rFonts w:ascii="宋体" w:hAnsi="宋体" w:cs="宋体"/>
          <w:sz w:val="18"/>
          <w:szCs w:val="18"/>
        </w:rPr>
        <w:t xml:space="preserve">.11 </w:t>
      </w:r>
      <w:r>
        <w:rPr>
          <w:rFonts w:hint="eastAsia" w:ascii="宋体" w:hAnsi="宋体" w:cs="宋体"/>
          <w:sz w:val="18"/>
          <w:szCs w:val="21"/>
        </w:rPr>
        <w:t>招标人</w:t>
      </w:r>
      <w:r>
        <w:rPr>
          <w:rFonts w:ascii="宋体" w:hAnsi="宋体" w:cs="宋体"/>
          <w:sz w:val="18"/>
          <w:szCs w:val="18"/>
        </w:rPr>
        <w:t>为投标人提供的相关规章和制度文本资料，投标人不得外泄。投标人造成资料外泄的应承担全部责任。</w:t>
      </w:r>
      <w:bookmarkEnd w:id="1844"/>
    </w:p>
    <w:p>
      <w:pPr>
        <w:pStyle w:val="5"/>
        <w:numPr>
          <w:ilvl w:val="0"/>
          <w:numId w:val="0"/>
        </w:numPr>
        <w:spacing w:line="360" w:lineRule="auto"/>
        <w:ind w:left="-2" w:leftChars="-1" w:firstLine="283" w:firstLineChars="118"/>
        <w:rPr>
          <w:sz w:val="24"/>
          <w:szCs w:val="24"/>
        </w:rPr>
      </w:pPr>
      <w:bookmarkStart w:id="1845" w:name="_Toc75442103"/>
      <w:bookmarkStart w:id="1846" w:name="_Toc110498343"/>
      <w:bookmarkStart w:id="1847" w:name="_Toc60212999"/>
      <w:bookmarkStart w:id="1848" w:name="_Toc118923782"/>
      <w:r>
        <w:rPr>
          <w:rFonts w:hint="eastAsia"/>
          <w:sz w:val="24"/>
          <w:szCs w:val="24"/>
        </w:rPr>
        <w:t>4.4文明作业管理</w:t>
      </w:r>
      <w:bookmarkEnd w:id="1845"/>
      <w:bookmarkEnd w:id="1846"/>
      <w:bookmarkEnd w:id="1847"/>
      <w:bookmarkEnd w:id="1848"/>
    </w:p>
    <w:p>
      <w:pPr>
        <w:widowControl/>
        <w:spacing w:line="360" w:lineRule="auto"/>
        <w:ind w:firstLine="360" w:firstLineChars="200"/>
        <w:rPr>
          <w:rFonts w:ascii="宋体" w:hAnsi="宋体" w:cs="宋体"/>
          <w:sz w:val="18"/>
          <w:szCs w:val="18"/>
        </w:rPr>
      </w:pPr>
      <w:r>
        <w:rPr>
          <w:rFonts w:hint="eastAsia" w:ascii="宋体" w:hAnsi="宋体" w:cs="宋体"/>
          <w:sz w:val="18"/>
          <w:szCs w:val="18"/>
        </w:rPr>
        <w:t>4.4</w:t>
      </w:r>
      <w:r>
        <w:rPr>
          <w:rFonts w:ascii="宋体" w:hAnsi="宋体" w:cs="宋体"/>
          <w:sz w:val="18"/>
          <w:szCs w:val="18"/>
        </w:rPr>
        <w:t>.1</w:t>
      </w:r>
      <w:r>
        <w:rPr>
          <w:rFonts w:hint="eastAsia" w:ascii="宋体" w:hAnsi="宋体" w:cs="宋体"/>
          <w:sz w:val="18"/>
          <w:szCs w:val="18"/>
        </w:rPr>
        <w:t>维保作业</w:t>
      </w:r>
      <w:r>
        <w:rPr>
          <w:rFonts w:ascii="宋体" w:hAnsi="宋体" w:cs="宋体"/>
          <w:sz w:val="18"/>
          <w:szCs w:val="18"/>
        </w:rPr>
        <w:t>过程中，严格按照“规范化管理、标准化作业”规定要求，实施文明</w:t>
      </w:r>
      <w:r>
        <w:rPr>
          <w:rFonts w:hint="eastAsia" w:ascii="宋体" w:hAnsi="宋体" w:cs="宋体"/>
          <w:sz w:val="18"/>
          <w:szCs w:val="18"/>
        </w:rPr>
        <w:t>维保</w:t>
      </w:r>
      <w:r>
        <w:rPr>
          <w:rFonts w:ascii="宋体" w:hAnsi="宋体" w:cs="宋体"/>
          <w:sz w:val="18"/>
          <w:szCs w:val="18"/>
        </w:rPr>
        <w:t>管理。</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4.4</w:t>
      </w:r>
      <w:r>
        <w:rPr>
          <w:rFonts w:ascii="宋体" w:hAnsi="宋体" w:cs="宋体"/>
          <w:sz w:val="18"/>
          <w:szCs w:val="18"/>
        </w:rPr>
        <w:t>.2</w:t>
      </w:r>
      <w:r>
        <w:rPr>
          <w:rFonts w:hint="eastAsia" w:ascii="宋体" w:hAnsi="宋体" w:cs="宋体"/>
          <w:sz w:val="18"/>
          <w:szCs w:val="18"/>
        </w:rPr>
        <w:t>维保</w:t>
      </w:r>
      <w:r>
        <w:rPr>
          <w:rFonts w:ascii="宋体" w:hAnsi="宋体" w:cs="宋体"/>
          <w:sz w:val="18"/>
          <w:szCs w:val="18"/>
        </w:rPr>
        <w:t>作业过程中，</w:t>
      </w:r>
      <w:r>
        <w:rPr>
          <w:rFonts w:hint="eastAsia" w:ascii="宋体" w:hAnsi="宋体" w:cs="宋体"/>
          <w:sz w:val="18"/>
          <w:szCs w:val="18"/>
        </w:rPr>
        <w:t>投标人</w:t>
      </w:r>
      <w:r>
        <w:rPr>
          <w:rFonts w:ascii="宋体" w:hAnsi="宋体" w:cs="宋体"/>
          <w:sz w:val="18"/>
          <w:szCs w:val="18"/>
        </w:rPr>
        <w:t>应合理地保持作业现场,严禁出现不必要的障碍，处置好</w:t>
      </w:r>
      <w:r>
        <w:rPr>
          <w:rFonts w:hint="eastAsia" w:ascii="宋体" w:hAnsi="宋体" w:cs="宋体"/>
          <w:sz w:val="18"/>
          <w:szCs w:val="18"/>
        </w:rPr>
        <w:t>维保</w:t>
      </w:r>
      <w:r>
        <w:rPr>
          <w:rFonts w:ascii="宋体" w:hAnsi="宋体" w:cs="宋体"/>
          <w:sz w:val="18"/>
          <w:szCs w:val="18"/>
        </w:rPr>
        <w:t>作业</w:t>
      </w:r>
      <w:r>
        <w:rPr>
          <w:rFonts w:hint="eastAsia" w:ascii="宋体" w:hAnsi="宋体" w:cs="宋体"/>
          <w:sz w:val="18"/>
          <w:szCs w:val="18"/>
        </w:rPr>
        <w:t>中产生的相关</w:t>
      </w:r>
      <w:r>
        <w:rPr>
          <w:rFonts w:ascii="宋体" w:hAnsi="宋体" w:cs="宋体"/>
          <w:sz w:val="18"/>
          <w:szCs w:val="18"/>
        </w:rPr>
        <w:t>材料，保持现场整洁和道路通畅。</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4.4</w:t>
      </w:r>
      <w:r>
        <w:rPr>
          <w:rFonts w:ascii="宋体" w:hAnsi="宋体" w:cs="宋体"/>
          <w:sz w:val="18"/>
          <w:szCs w:val="18"/>
        </w:rPr>
        <w:t>.3</w:t>
      </w:r>
      <w:r>
        <w:rPr>
          <w:rFonts w:hint="eastAsia" w:ascii="宋体" w:hAnsi="宋体" w:cs="宋体"/>
          <w:sz w:val="18"/>
          <w:szCs w:val="18"/>
        </w:rPr>
        <w:t>投标人</w:t>
      </w:r>
      <w:r>
        <w:rPr>
          <w:rFonts w:ascii="宋体" w:hAnsi="宋体" w:cs="宋体"/>
          <w:sz w:val="18"/>
          <w:szCs w:val="18"/>
        </w:rPr>
        <w:t>应做好</w:t>
      </w:r>
      <w:r>
        <w:rPr>
          <w:rFonts w:hint="eastAsia" w:ascii="宋体" w:hAnsi="宋体" w:cs="宋体"/>
          <w:sz w:val="18"/>
          <w:szCs w:val="18"/>
        </w:rPr>
        <w:t>维保</w:t>
      </w:r>
      <w:r>
        <w:rPr>
          <w:rFonts w:ascii="宋体" w:hAnsi="宋体" w:cs="宋体"/>
          <w:sz w:val="18"/>
          <w:szCs w:val="18"/>
        </w:rPr>
        <w:t>作业区域内的</w:t>
      </w:r>
      <w:r>
        <w:rPr>
          <w:rFonts w:hint="eastAsia" w:ascii="宋体" w:hAnsi="宋体" w:cs="宋体"/>
          <w:sz w:val="18"/>
          <w:szCs w:val="18"/>
        </w:rPr>
        <w:t>其他</w:t>
      </w:r>
      <w:r>
        <w:rPr>
          <w:rFonts w:ascii="宋体" w:hAnsi="宋体" w:cs="宋体"/>
          <w:sz w:val="18"/>
          <w:szCs w:val="18"/>
        </w:rPr>
        <w:t>设备设施成品保护</w:t>
      </w:r>
      <w:r>
        <w:rPr>
          <w:rFonts w:hint="eastAsia" w:ascii="宋体" w:hAnsi="宋体" w:cs="宋体"/>
          <w:sz w:val="18"/>
          <w:szCs w:val="18"/>
        </w:rPr>
        <w:t>（特别是涉及消防设施、烟感报警等）</w:t>
      </w:r>
      <w:r>
        <w:rPr>
          <w:rFonts w:ascii="宋体" w:hAnsi="宋体" w:cs="宋体"/>
          <w:sz w:val="18"/>
          <w:szCs w:val="18"/>
        </w:rPr>
        <w:t>，严禁随意破坏、操作、占用。如与其他作业发生冲突，应事先通知</w:t>
      </w:r>
      <w:r>
        <w:rPr>
          <w:rFonts w:hint="eastAsia" w:ascii="宋体" w:hAnsi="宋体" w:cs="宋体"/>
          <w:sz w:val="18"/>
          <w:szCs w:val="21"/>
        </w:rPr>
        <w:t>招标人</w:t>
      </w:r>
      <w:r>
        <w:rPr>
          <w:rFonts w:ascii="宋体" w:hAnsi="宋体" w:cs="宋体"/>
          <w:sz w:val="18"/>
          <w:szCs w:val="18"/>
        </w:rPr>
        <w:t>，在得到</w:t>
      </w:r>
      <w:r>
        <w:rPr>
          <w:rFonts w:hint="eastAsia" w:ascii="宋体" w:hAnsi="宋体" w:cs="宋体"/>
          <w:sz w:val="18"/>
          <w:szCs w:val="21"/>
        </w:rPr>
        <w:t>招标人</w:t>
      </w:r>
      <w:r>
        <w:rPr>
          <w:rFonts w:ascii="宋体" w:hAnsi="宋体" w:cs="宋体"/>
          <w:sz w:val="18"/>
          <w:szCs w:val="18"/>
        </w:rPr>
        <w:t>同意后方可按要求执行，发现未经请示同意擅自行事，将视其具体情况予以处罚。</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4.4</w:t>
      </w:r>
      <w:r>
        <w:rPr>
          <w:rFonts w:ascii="宋体" w:hAnsi="宋体" w:cs="宋体"/>
          <w:sz w:val="18"/>
          <w:szCs w:val="18"/>
        </w:rPr>
        <w:t>.4</w:t>
      </w:r>
      <w:r>
        <w:rPr>
          <w:rFonts w:hint="eastAsia" w:ascii="宋体" w:hAnsi="宋体" w:cs="宋体"/>
          <w:sz w:val="18"/>
          <w:szCs w:val="18"/>
        </w:rPr>
        <w:t>维保</w:t>
      </w:r>
      <w:r>
        <w:rPr>
          <w:rFonts w:ascii="宋体" w:hAnsi="宋体" w:cs="宋体"/>
          <w:sz w:val="18"/>
          <w:szCs w:val="18"/>
        </w:rPr>
        <w:t>现场讲文明，讲礼貌，遇事商量解决，严禁打架斗殴。</w:t>
      </w:r>
    </w:p>
    <w:p>
      <w:pPr>
        <w:widowControl/>
        <w:spacing w:line="360" w:lineRule="auto"/>
        <w:ind w:firstLine="360" w:firstLineChars="200"/>
        <w:rPr>
          <w:rFonts w:ascii="宋体" w:hAnsi="宋体" w:cs="宋体"/>
          <w:sz w:val="18"/>
          <w:szCs w:val="18"/>
        </w:rPr>
      </w:pPr>
      <w:r>
        <w:rPr>
          <w:rFonts w:hint="eastAsia" w:ascii="宋体" w:hAnsi="宋体" w:cs="宋体"/>
          <w:sz w:val="18"/>
          <w:szCs w:val="18"/>
        </w:rPr>
        <w:t>4.4</w:t>
      </w:r>
      <w:r>
        <w:rPr>
          <w:rFonts w:ascii="宋体" w:hAnsi="宋体" w:cs="宋体"/>
          <w:sz w:val="18"/>
          <w:szCs w:val="18"/>
        </w:rPr>
        <w:t>.5</w:t>
      </w:r>
      <w:r>
        <w:rPr>
          <w:rFonts w:hint="eastAsia" w:ascii="宋体" w:hAnsi="宋体" w:cs="宋体"/>
          <w:sz w:val="18"/>
          <w:szCs w:val="18"/>
        </w:rPr>
        <w:t>投标人</w:t>
      </w:r>
      <w:r>
        <w:rPr>
          <w:rFonts w:ascii="宋体" w:hAnsi="宋体" w:cs="宋体"/>
          <w:sz w:val="18"/>
          <w:szCs w:val="18"/>
        </w:rPr>
        <w:t>在</w:t>
      </w:r>
      <w:r>
        <w:rPr>
          <w:rFonts w:hint="eastAsia" w:ascii="宋体" w:hAnsi="宋体" w:cs="宋体"/>
          <w:sz w:val="18"/>
          <w:szCs w:val="18"/>
        </w:rPr>
        <w:t>办公时段</w:t>
      </w:r>
      <w:r>
        <w:rPr>
          <w:rFonts w:ascii="宋体" w:hAnsi="宋体" w:cs="宋体"/>
          <w:sz w:val="18"/>
          <w:szCs w:val="18"/>
        </w:rPr>
        <w:t>进行</w:t>
      </w:r>
      <w:r>
        <w:rPr>
          <w:rFonts w:hint="eastAsia" w:ascii="宋体" w:hAnsi="宋体" w:cs="宋体"/>
          <w:sz w:val="18"/>
          <w:szCs w:val="18"/>
        </w:rPr>
        <w:t>维保</w:t>
      </w:r>
      <w:r>
        <w:rPr>
          <w:rFonts w:ascii="宋体" w:hAnsi="宋体" w:cs="宋体"/>
          <w:sz w:val="18"/>
          <w:szCs w:val="18"/>
        </w:rPr>
        <w:t>时，应充分考虑</w:t>
      </w:r>
      <w:r>
        <w:rPr>
          <w:rFonts w:hint="eastAsia" w:ascii="宋体" w:hAnsi="宋体" w:cs="宋体"/>
          <w:sz w:val="18"/>
          <w:szCs w:val="18"/>
        </w:rPr>
        <w:t>工作</w:t>
      </w:r>
      <w:r>
        <w:rPr>
          <w:rFonts w:ascii="宋体" w:hAnsi="宋体" w:cs="宋体"/>
          <w:sz w:val="18"/>
          <w:szCs w:val="18"/>
        </w:rPr>
        <w:t>产生的影响，尽可能的减小对</w:t>
      </w:r>
      <w:r>
        <w:rPr>
          <w:rFonts w:hint="eastAsia" w:ascii="宋体" w:hAnsi="宋体" w:cs="宋体"/>
          <w:sz w:val="18"/>
          <w:szCs w:val="18"/>
        </w:rPr>
        <w:t>办公区域（特别是公寓入住人员）及周边办公环境</w:t>
      </w:r>
      <w:r>
        <w:rPr>
          <w:rFonts w:ascii="宋体" w:hAnsi="宋体" w:cs="宋体"/>
          <w:sz w:val="18"/>
          <w:szCs w:val="18"/>
        </w:rPr>
        <w:t>的影响。</w:t>
      </w:r>
    </w:p>
    <w:p>
      <w:pPr>
        <w:pStyle w:val="4"/>
        <w:spacing w:line="360" w:lineRule="auto"/>
      </w:pPr>
      <w:bookmarkStart w:id="1849" w:name="_Toc25806"/>
      <w:bookmarkStart w:id="1850" w:name="_Toc75771564"/>
      <w:bookmarkStart w:id="1851" w:name="_Toc75442104"/>
      <w:bookmarkStart w:id="1852" w:name="_Toc118923783"/>
      <w:bookmarkStart w:id="1853" w:name="_Toc110498344"/>
      <w:r>
        <w:rPr>
          <w:rFonts w:hint="eastAsia" w:ascii="黑体" w:hAnsi="黑体" w:eastAsia="黑体"/>
          <w:b w:val="0"/>
          <w:sz w:val="24"/>
        </w:rPr>
        <w:t>5</w:t>
      </w:r>
      <w:r>
        <w:rPr>
          <w:rFonts w:ascii="黑体" w:hAnsi="黑体" w:eastAsia="黑体"/>
          <w:b w:val="0"/>
          <w:sz w:val="24"/>
        </w:rPr>
        <w:t>.</w:t>
      </w:r>
      <w:r>
        <w:rPr>
          <w:rFonts w:hint="eastAsia" w:ascii="黑体" w:hAnsi="黑体" w:eastAsia="黑体"/>
          <w:b w:val="0"/>
          <w:sz w:val="24"/>
        </w:rPr>
        <w:t>维保工作内容及标准</w:t>
      </w:r>
      <w:bookmarkEnd w:id="1849"/>
      <w:bookmarkEnd w:id="1850"/>
      <w:bookmarkEnd w:id="1851"/>
      <w:bookmarkEnd w:id="1852"/>
      <w:bookmarkEnd w:id="1853"/>
    </w:p>
    <w:p>
      <w:pPr>
        <w:pStyle w:val="5"/>
        <w:numPr>
          <w:ilvl w:val="0"/>
          <w:numId w:val="0"/>
        </w:numPr>
        <w:spacing w:line="360" w:lineRule="auto"/>
        <w:ind w:left="-2" w:leftChars="-1" w:firstLine="282" w:firstLineChars="117"/>
        <w:rPr>
          <w:rFonts w:ascii="宋体" w:hAnsi="宋体" w:cs="宋体"/>
          <w:b/>
          <w:sz w:val="24"/>
          <w:szCs w:val="24"/>
        </w:rPr>
      </w:pPr>
      <w:bookmarkStart w:id="1854" w:name="_Toc110498345"/>
      <w:bookmarkStart w:id="1855" w:name="_Toc75442105"/>
      <w:bookmarkStart w:id="1856" w:name="_Toc118923784"/>
      <w:bookmarkStart w:id="1857" w:name="_Toc60213001"/>
      <w:r>
        <w:rPr>
          <w:rFonts w:hint="eastAsia" w:ascii="宋体" w:hAnsi="宋体" w:cs="宋体"/>
          <w:b/>
          <w:sz w:val="24"/>
          <w:szCs w:val="24"/>
        </w:rPr>
        <w:t>5</w:t>
      </w:r>
      <w:r>
        <w:rPr>
          <w:rFonts w:ascii="宋体" w:hAnsi="宋体" w:cs="宋体"/>
          <w:b/>
          <w:sz w:val="24"/>
          <w:szCs w:val="24"/>
        </w:rPr>
        <w:t>.1</w:t>
      </w:r>
      <w:r>
        <w:rPr>
          <w:rFonts w:hint="eastAsia" w:ascii="宋体" w:hAnsi="宋体" w:cs="宋体"/>
          <w:b/>
          <w:sz w:val="24"/>
          <w:szCs w:val="24"/>
        </w:rPr>
        <w:t>维保故障处理</w:t>
      </w:r>
      <w:bookmarkEnd w:id="1854"/>
      <w:bookmarkEnd w:id="1855"/>
      <w:bookmarkEnd w:id="1856"/>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 xml:space="preserve">.1.1 </w:t>
      </w:r>
      <w:r>
        <w:rPr>
          <w:rFonts w:hint="eastAsia" w:ascii="宋体" w:hAnsi="宋体" w:cs="宋体"/>
          <w:sz w:val="18"/>
          <w:szCs w:val="18"/>
        </w:rPr>
        <w:t>对于项目维保范围内的项点发生的故障，投标人在接到招标人通知后，必须及时组织人力、物力按照招标人的安排和要求进行维保，力争在较短的时间内消除设施的故障，恢复设施的正常使用状态；无法立即消除的故障必须制定临时处理措施，待条件成熟时处理，不得拖延，故障处理必须符合维保服务承诺时间标准。</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5.1.</w:t>
      </w:r>
      <w:r>
        <w:rPr>
          <w:rFonts w:ascii="宋体" w:hAnsi="宋体" w:cs="宋体"/>
          <w:sz w:val="18"/>
          <w:szCs w:val="18"/>
        </w:rPr>
        <w:t xml:space="preserve">2 </w:t>
      </w:r>
      <w:r>
        <w:rPr>
          <w:rFonts w:hint="eastAsia" w:ascii="宋体" w:hAnsi="宋体" w:cs="宋体"/>
          <w:sz w:val="18"/>
          <w:szCs w:val="18"/>
        </w:rPr>
        <w:t>如遇见</w:t>
      </w:r>
      <w:r>
        <w:rPr>
          <w:rFonts w:ascii="宋体" w:hAnsi="宋体" w:cs="宋体"/>
          <w:sz w:val="18"/>
          <w:szCs w:val="18"/>
        </w:rPr>
        <w:t>应急抢修原则上由</w:t>
      </w:r>
      <w:r>
        <w:rPr>
          <w:rFonts w:hint="eastAsia" w:ascii="宋体" w:hAnsi="宋体" w:cs="宋体"/>
          <w:sz w:val="18"/>
          <w:szCs w:val="18"/>
        </w:rPr>
        <w:t>招标人</w:t>
      </w:r>
      <w:r>
        <w:rPr>
          <w:rFonts w:ascii="宋体" w:hAnsi="宋体" w:cs="宋体"/>
          <w:sz w:val="18"/>
          <w:szCs w:val="18"/>
        </w:rPr>
        <w:t>组织开展，由</w:t>
      </w:r>
      <w:r>
        <w:rPr>
          <w:rFonts w:hint="eastAsia" w:ascii="宋体" w:hAnsi="宋体" w:cs="宋体"/>
          <w:sz w:val="18"/>
          <w:szCs w:val="18"/>
        </w:rPr>
        <w:t>招标人</w:t>
      </w:r>
      <w:r>
        <w:rPr>
          <w:rFonts w:ascii="宋体" w:hAnsi="宋体" w:cs="宋体"/>
          <w:sz w:val="18"/>
          <w:szCs w:val="18"/>
        </w:rPr>
        <w:t>担任抢险指挥者，</w:t>
      </w:r>
      <w:r>
        <w:rPr>
          <w:rFonts w:hint="eastAsia" w:ascii="宋体" w:hAnsi="宋体" w:cs="宋体"/>
          <w:sz w:val="18"/>
          <w:szCs w:val="18"/>
        </w:rPr>
        <w:t>投标人</w:t>
      </w:r>
      <w:r>
        <w:rPr>
          <w:rFonts w:ascii="宋体" w:hAnsi="宋体" w:cs="宋体"/>
          <w:sz w:val="18"/>
          <w:szCs w:val="18"/>
        </w:rPr>
        <w:t>在</w:t>
      </w:r>
      <w:r>
        <w:rPr>
          <w:rFonts w:hint="eastAsia" w:ascii="宋体" w:hAnsi="宋体" w:cs="宋体"/>
          <w:sz w:val="18"/>
          <w:szCs w:val="18"/>
        </w:rPr>
        <w:t>招标人</w:t>
      </w:r>
      <w:r>
        <w:rPr>
          <w:rFonts w:ascii="宋体" w:hAnsi="宋体" w:cs="宋体"/>
          <w:sz w:val="18"/>
          <w:szCs w:val="18"/>
        </w:rPr>
        <w:t>的指挥下进行抢险作业</w:t>
      </w:r>
      <w:r>
        <w:rPr>
          <w:rFonts w:hint="eastAsia" w:ascii="宋体" w:hAnsi="宋体" w:cs="宋体"/>
          <w:sz w:val="18"/>
          <w:szCs w:val="18"/>
        </w:rPr>
        <w:t>，在招标人授权情况下，可由投标人进行现场组织，投标人向招标人报告抢修情况。投标人接到招标人的抢修命令后，必须立即奔赴现场组织抢修，不得以任何借口逃避和拖延。对故障或事故的性质及其影响范围，根据判断的结果和当时设备设施的实际情况，立即采取一切合理可靠的手段尽量减少故障或事故的影响范围，组织相关维保人员立即进行抢修、排除故障。</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 xml:space="preserve">.1.3 </w:t>
      </w:r>
      <w:r>
        <w:rPr>
          <w:rFonts w:hint="eastAsia" w:ascii="宋体" w:hAnsi="宋体" w:cs="宋体"/>
          <w:sz w:val="18"/>
          <w:szCs w:val="18"/>
        </w:rPr>
        <w:t>故障处理需听从项目主办部门统一安排，按照维保项点响应到场时间、临时修复时间及完全修复时间要求进行维保故障检修，所有维保故障(到场)响应时间详见《维保相应及修复时间指标表》。</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5.1.4 </w:t>
      </w:r>
      <w:r>
        <w:rPr>
          <w:rFonts w:hint="eastAsia" w:ascii="宋体" w:hAnsi="宋体" w:cs="宋体"/>
          <w:sz w:val="18"/>
          <w:szCs w:val="18"/>
        </w:rPr>
        <w:t>维保单位需根据维保工作需要提供日常服务电话及2</w:t>
      </w:r>
      <w:r>
        <w:rPr>
          <w:rFonts w:ascii="宋体" w:hAnsi="宋体" w:cs="宋体"/>
          <w:sz w:val="18"/>
          <w:szCs w:val="18"/>
        </w:rPr>
        <w:t>4</w:t>
      </w:r>
      <w:r>
        <w:rPr>
          <w:rFonts w:hint="eastAsia" w:ascii="宋体" w:hAnsi="宋体" w:cs="宋体"/>
          <w:sz w:val="18"/>
          <w:szCs w:val="18"/>
        </w:rPr>
        <w:t>小时应急响应座机电话。</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 xml:space="preserve">.1.5 </w:t>
      </w:r>
      <w:r>
        <w:rPr>
          <w:rFonts w:hint="eastAsia" w:ascii="宋体" w:hAnsi="宋体" w:cs="宋体"/>
          <w:sz w:val="18"/>
          <w:szCs w:val="18"/>
        </w:rPr>
        <w:t>维保响应及修复时间指标包含但不限于下表：</w:t>
      </w:r>
    </w:p>
    <w:tbl>
      <w:tblPr>
        <w:tblStyle w:val="40"/>
        <w:tblW w:w="11375" w:type="dxa"/>
        <w:tblInd w:w="-1452" w:type="dxa"/>
        <w:tblLayout w:type="autofit"/>
        <w:tblCellMar>
          <w:top w:w="0" w:type="dxa"/>
          <w:left w:w="108" w:type="dxa"/>
          <w:bottom w:w="0" w:type="dxa"/>
          <w:right w:w="108" w:type="dxa"/>
        </w:tblCellMar>
      </w:tblPr>
      <w:tblGrid>
        <w:gridCol w:w="709"/>
        <w:gridCol w:w="1277"/>
        <w:gridCol w:w="1160"/>
        <w:gridCol w:w="966"/>
        <w:gridCol w:w="1180"/>
        <w:gridCol w:w="1230"/>
        <w:gridCol w:w="1276"/>
        <w:gridCol w:w="3577"/>
      </w:tblGrid>
      <w:tr>
        <w:tblPrEx>
          <w:tblCellMar>
            <w:top w:w="0" w:type="dxa"/>
            <w:left w:w="108" w:type="dxa"/>
            <w:bottom w:w="0" w:type="dxa"/>
            <w:right w:w="108" w:type="dxa"/>
          </w:tblCellMar>
        </w:tblPrEx>
        <w:trPr>
          <w:trHeight w:val="420" w:hRule="atLeast"/>
        </w:trPr>
        <w:tc>
          <w:tcPr>
            <w:tcW w:w="11375" w:type="dxa"/>
            <w:gridSpan w:val="8"/>
            <w:tcBorders>
              <w:top w:val="nil"/>
              <w:left w:val="nil"/>
              <w:bottom w:val="nil"/>
              <w:right w:val="nil"/>
            </w:tcBorders>
            <w:shd w:val="clear" w:color="auto" w:fill="auto"/>
            <w:noWrap/>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维保响应及修复时间指标表</w:t>
            </w:r>
          </w:p>
        </w:tc>
      </w:tr>
      <w:tr>
        <w:tblPrEx>
          <w:tblCellMar>
            <w:top w:w="0" w:type="dxa"/>
            <w:left w:w="108" w:type="dxa"/>
            <w:bottom w:w="0" w:type="dxa"/>
            <w:right w:w="108" w:type="dxa"/>
          </w:tblCellMar>
        </w:tblPrEx>
        <w:trPr>
          <w:trHeight w:val="285" w:hRule="atLeast"/>
        </w:trPr>
        <w:tc>
          <w:tcPr>
            <w:tcW w:w="1137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日常维保</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序号</w:t>
            </w:r>
          </w:p>
        </w:tc>
        <w:tc>
          <w:tcPr>
            <w:tcW w:w="127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故障类型</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处理方式</w:t>
            </w: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故障地点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响应到场时间</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临时处理时间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完全修复时间</w:t>
            </w: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备注</w:t>
            </w:r>
          </w:p>
        </w:tc>
      </w:tr>
      <w:tr>
        <w:tblPrEx>
          <w:tblCellMar>
            <w:top w:w="0" w:type="dxa"/>
            <w:left w:w="108" w:type="dxa"/>
            <w:bottom w:w="0" w:type="dxa"/>
            <w:right w:w="108" w:type="dxa"/>
          </w:tblCellMar>
        </w:tblPrEx>
        <w:trPr>
          <w:trHeight w:val="141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12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家具/家电</w:t>
            </w: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更换相应配件/恢复使用</w:t>
            </w: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场段/正线车站</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≤90分钟</w:t>
            </w:r>
          </w:p>
        </w:tc>
        <w:tc>
          <w:tcPr>
            <w:tcW w:w="12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≤240分钟</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≤7个自然日</w:t>
            </w:r>
          </w:p>
        </w:tc>
        <w:tc>
          <w:tcPr>
            <w:tcW w:w="3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①家具：包括但不限于员工座椅、卡座、铁皮柜、文件柜、班台班椅、会议桌椅、沙发、司机公寓配套家具等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②家电：包括但不限于单体非精密空调、家用洗衣机、工业烘干机、电冰箱等</w:t>
            </w:r>
          </w:p>
        </w:tc>
      </w:tr>
      <w:tr>
        <w:tblPrEx>
          <w:tblCellMar>
            <w:top w:w="0" w:type="dxa"/>
            <w:left w:w="108" w:type="dxa"/>
            <w:bottom w:w="0" w:type="dxa"/>
            <w:right w:w="108" w:type="dxa"/>
          </w:tblCellMar>
        </w:tblPrEx>
        <w:trPr>
          <w:trHeight w:val="324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12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区域装饰装修、区域低压配电、区域设施设备</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场段生活办公区域范围内</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rPr>
            </w:pP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rPr>
            </w:pPr>
          </w:p>
        </w:tc>
        <w:tc>
          <w:tcPr>
            <w:tcW w:w="3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①区域装饰装修：包括但不限于场段生活办公区域内的天地墙面的修补、瓷砖地板更换、天花铝扣板更换、门窗及其附属五金件等；给排水部分的洗手间水龙头、冲水阀、便池及其附属五金件等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②区域低压配电：包括但不限于场段生活办公区域内的日常办公照明灯具（长灯管、短灯管、环形灯、筒灯、射灯等）及其附属配件、开关（空气开关、单控单开等）、插座（五孔、七孔、空调插座等）损坏更换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③区域设施设备：包括但不限于场段生活办公区域内的升旗台、电动道闸等</w:t>
            </w:r>
          </w:p>
        </w:tc>
      </w:tr>
      <w:tr>
        <w:tblPrEx>
          <w:tblCellMar>
            <w:top w:w="0" w:type="dxa"/>
            <w:left w:w="108" w:type="dxa"/>
            <w:bottom w:w="0" w:type="dxa"/>
            <w:right w:w="108" w:type="dxa"/>
          </w:tblCellMar>
        </w:tblPrEx>
        <w:trPr>
          <w:trHeight w:val="285" w:hRule="atLeast"/>
        </w:trPr>
        <w:tc>
          <w:tcPr>
            <w:tcW w:w="1137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应急情况响应</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序号</w:t>
            </w:r>
          </w:p>
        </w:tc>
        <w:tc>
          <w:tcPr>
            <w:tcW w:w="127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故障类型</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处理方式</w:t>
            </w: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故障地点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响应到场时间</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临时处理时间</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完全修复时间</w:t>
            </w: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rPr>
            </w:pPr>
            <w:r>
              <w:rPr>
                <w:rFonts w:hint="eastAsia" w:ascii="等线" w:hAnsi="等线" w:eastAsia="等线" w:cs="宋体"/>
                <w:b/>
                <w:bCs/>
                <w:color w:val="000000"/>
                <w:kern w:val="0"/>
                <w:sz w:val="16"/>
                <w:szCs w:val="16"/>
              </w:rPr>
              <w:t>备注</w:t>
            </w:r>
          </w:p>
        </w:tc>
      </w:tr>
      <w:tr>
        <w:tblPrEx>
          <w:tblCellMar>
            <w:top w:w="0" w:type="dxa"/>
            <w:left w:w="108" w:type="dxa"/>
            <w:bottom w:w="0" w:type="dxa"/>
            <w:right w:w="108" w:type="dxa"/>
          </w:tblCellMar>
        </w:tblPrEx>
        <w:trPr>
          <w:trHeight w:val="22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12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家具（正线车站保险柜）、区域装饰装修、区域低压配电、区域设施设备</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更换相应配件/恢复使用</w:t>
            </w: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场段/正线车站</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≤60分钟</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≤180分钟</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≤5个自然日</w:t>
            </w:r>
          </w:p>
        </w:tc>
        <w:tc>
          <w:tcPr>
            <w:tcW w:w="3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①区域装饰装修：包括但不限于场段生活办公区域内的开锁换锁服务；给排水部分的爆管漏水、日常管道堵漏疏通等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②区域低压配电：包括但不限于场段生活办公区域内的日常办公断电、漏电等无法使用的情况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③区域设施设备：包括但不限于场段生活办公区域内的太阳能热水器、出入场段电动伸缩门等</w:t>
            </w:r>
          </w:p>
          <w:p>
            <w:pPr>
              <w:pStyle w:val="2"/>
            </w:pPr>
            <w:r>
              <w:rPr>
                <w:rFonts w:hint="eastAsia" w:hAnsi="宋体" w:cs="宋体"/>
                <w:color w:val="000000"/>
                <w:kern w:val="0"/>
                <w:sz w:val="16"/>
                <w:szCs w:val="16"/>
              </w:rPr>
              <w:t>④正线车站保险柜：包括但不限于开锁换锁服务、更换主板等</w:t>
            </w:r>
          </w:p>
        </w:tc>
      </w:tr>
    </w:tbl>
    <w:p>
      <w:pPr>
        <w:spacing w:line="360" w:lineRule="auto"/>
        <w:rPr>
          <w:rFonts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说明：</w:t>
      </w:r>
    </w:p>
    <w:p>
      <w:pPr>
        <w:spacing w:line="360" w:lineRule="auto"/>
        <w:ind w:firstLine="360" w:firstLineChars="200"/>
        <w:rPr>
          <w:rFonts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1.响应到场时间（分钟）：指在接到维保任务要求后抵达现场的时间</w:t>
      </w:r>
    </w:p>
    <w:p>
      <w:pPr>
        <w:spacing w:line="360" w:lineRule="auto"/>
        <w:ind w:firstLine="360" w:firstLineChars="200"/>
        <w:rPr>
          <w:rFonts w:cs="宋体" w:asciiTheme="minorEastAsia" w:hAnsiTheme="minorEastAsia" w:eastAsiaTheme="minorEastAsia"/>
          <w:sz w:val="18"/>
          <w:szCs w:val="18"/>
          <w:lang w:bidi="ar"/>
        </w:rPr>
      </w:pPr>
      <w:r>
        <w:rPr>
          <w:rFonts w:cs="宋体" w:asciiTheme="minorEastAsia" w:hAnsiTheme="minorEastAsia" w:eastAsiaTheme="minorEastAsia"/>
          <w:sz w:val="18"/>
          <w:szCs w:val="18"/>
          <w:lang w:bidi="ar"/>
        </w:rPr>
        <w:t>2</w:t>
      </w:r>
      <w:r>
        <w:rPr>
          <w:rFonts w:hint="eastAsia" w:cs="宋体" w:asciiTheme="minorEastAsia" w:hAnsiTheme="minorEastAsia" w:eastAsiaTheme="minorEastAsia"/>
          <w:sz w:val="18"/>
          <w:szCs w:val="18"/>
          <w:lang w:bidi="ar"/>
        </w:rPr>
        <w:t>.临时处理时间（分钟）：秉持“先通后复”原则，从现场批点可开始处理至通过临时紧急处理基本满足运营要求功能的处理时长。（不包含响应时间）</w:t>
      </w:r>
    </w:p>
    <w:p>
      <w:pPr>
        <w:spacing w:line="360" w:lineRule="auto"/>
        <w:ind w:firstLine="360" w:firstLineChars="200"/>
        <w:rPr>
          <w:rFonts w:cs="宋体" w:asciiTheme="minorEastAsia" w:hAnsiTheme="minorEastAsia" w:eastAsiaTheme="minorEastAsia"/>
          <w:sz w:val="18"/>
          <w:szCs w:val="18"/>
          <w:lang w:bidi="ar"/>
        </w:rPr>
      </w:pPr>
      <w:r>
        <w:rPr>
          <w:rFonts w:cs="宋体" w:asciiTheme="minorEastAsia" w:hAnsiTheme="minorEastAsia" w:eastAsiaTheme="minorEastAsia"/>
          <w:sz w:val="18"/>
          <w:szCs w:val="18"/>
          <w:lang w:bidi="ar"/>
        </w:rPr>
        <w:t>3.</w:t>
      </w:r>
      <w:r>
        <w:rPr>
          <w:rFonts w:hint="eastAsia" w:cs="宋体" w:asciiTheme="minorEastAsia" w:hAnsiTheme="minorEastAsia" w:eastAsiaTheme="minorEastAsia"/>
          <w:sz w:val="18"/>
          <w:szCs w:val="18"/>
          <w:lang w:bidi="ar"/>
        </w:rPr>
        <w:t>完全修复时间（自然日）：从接报故障后现场批点可开始处理至设备完全恢复正常状态的处理时长。（不包含临因招标人原因中断的时间）</w:t>
      </w:r>
    </w:p>
    <w:p>
      <w:pPr>
        <w:widowControl/>
        <w:spacing w:line="360" w:lineRule="auto"/>
        <w:ind w:firstLine="360" w:firstLineChars="200"/>
        <w:jc w:val="left"/>
        <w:rPr>
          <w:rFonts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特别提醒：1.招标人可能会根据实际情况增加或更新故障种类和时间，具体以招标人通知为准。2.投标人响应及承诺的设施维修维护时间要求必须小于或等于上述表内各指标要求，最终以</w:t>
      </w:r>
      <w:r>
        <w:rPr>
          <w:rFonts w:hint="eastAsia" w:ascii="宋体" w:hAnsi="宋体" w:cs="宋体"/>
          <w:sz w:val="18"/>
          <w:szCs w:val="21"/>
        </w:rPr>
        <w:t>招标人</w:t>
      </w:r>
      <w:r>
        <w:rPr>
          <w:rFonts w:hint="eastAsia" w:cs="宋体" w:asciiTheme="minorEastAsia" w:hAnsiTheme="minorEastAsia" w:eastAsiaTheme="minorEastAsia"/>
          <w:sz w:val="18"/>
          <w:szCs w:val="18"/>
          <w:lang w:bidi="ar"/>
        </w:rPr>
        <w:t>规定的响应及承诺的服务时间为准。</w:t>
      </w:r>
    </w:p>
    <w:p>
      <w:pPr>
        <w:pStyle w:val="5"/>
        <w:numPr>
          <w:ilvl w:val="0"/>
          <w:numId w:val="0"/>
        </w:numPr>
        <w:spacing w:line="360" w:lineRule="auto"/>
        <w:ind w:leftChars="-5" w:hanging="10" w:hangingChars="4"/>
        <w:rPr>
          <w:rFonts w:ascii="宋体" w:hAnsi="宋体" w:cs="宋体"/>
          <w:b/>
          <w:sz w:val="24"/>
          <w:szCs w:val="24"/>
        </w:rPr>
      </w:pPr>
      <w:bookmarkStart w:id="1858" w:name="_Toc110498346"/>
      <w:bookmarkStart w:id="1859" w:name="_Toc75442106"/>
      <w:bookmarkStart w:id="1860" w:name="_Toc118923785"/>
      <w:r>
        <w:rPr>
          <w:rFonts w:hint="eastAsia" w:ascii="宋体" w:hAnsi="宋体" w:cs="宋体"/>
          <w:b/>
          <w:sz w:val="24"/>
          <w:szCs w:val="24"/>
        </w:rPr>
        <w:t>5.</w:t>
      </w:r>
      <w:r>
        <w:rPr>
          <w:rFonts w:ascii="宋体" w:hAnsi="宋体" w:cs="宋体"/>
          <w:b/>
          <w:sz w:val="24"/>
          <w:szCs w:val="24"/>
        </w:rPr>
        <w:t>2</w:t>
      </w:r>
      <w:r>
        <w:rPr>
          <w:rFonts w:hint="eastAsia" w:ascii="宋体" w:hAnsi="宋体" w:cs="宋体"/>
          <w:b/>
          <w:sz w:val="24"/>
          <w:szCs w:val="24"/>
        </w:rPr>
        <w:t>维保作业准备</w:t>
      </w:r>
      <w:bookmarkEnd w:id="1857"/>
      <w:bookmarkEnd w:id="1858"/>
      <w:bookmarkEnd w:id="1859"/>
      <w:bookmarkEnd w:id="1860"/>
    </w:p>
    <w:p>
      <w:pPr>
        <w:widowControl/>
        <w:spacing w:line="360" w:lineRule="auto"/>
        <w:ind w:firstLine="361" w:firstLineChars="200"/>
        <w:jc w:val="left"/>
        <w:rPr>
          <w:rFonts w:cs="宋体" w:asciiTheme="minorEastAsia" w:hAnsiTheme="minorEastAsia" w:eastAsiaTheme="minorEastAsia"/>
          <w:b/>
          <w:sz w:val="18"/>
          <w:szCs w:val="18"/>
        </w:rPr>
      </w:pPr>
      <w:bookmarkStart w:id="1861" w:name="_Toc19234"/>
      <w:bookmarkStart w:id="1862" w:name="_Toc14910"/>
      <w:bookmarkStart w:id="1863" w:name="_Toc14379"/>
      <w:bookmarkStart w:id="1864" w:name="_Toc21155"/>
      <w:bookmarkStart w:id="1865" w:name="_Toc31915"/>
      <w:r>
        <w:rPr>
          <w:rFonts w:cs="宋体" w:asciiTheme="minorEastAsia" w:hAnsiTheme="minorEastAsia" w:eastAsiaTheme="minorEastAsia"/>
          <w:b/>
          <w:sz w:val="18"/>
          <w:szCs w:val="18"/>
          <w:lang w:bidi="ar"/>
        </w:rPr>
        <w:t>5.2.1基本要求</w:t>
      </w:r>
      <w:bookmarkEnd w:id="1861"/>
      <w:bookmarkEnd w:id="1862"/>
      <w:bookmarkEnd w:id="1863"/>
      <w:bookmarkEnd w:id="1864"/>
      <w:bookmarkEnd w:id="1865"/>
    </w:p>
    <w:p>
      <w:pPr>
        <w:widowControl/>
        <w:spacing w:line="360" w:lineRule="auto"/>
        <w:ind w:firstLine="360" w:firstLineChars="200"/>
        <w:jc w:val="left"/>
        <w:rPr>
          <w:rFonts w:ascii="宋体" w:hAnsi="宋体" w:cs="宋体"/>
          <w:sz w:val="18"/>
          <w:szCs w:val="18"/>
        </w:rPr>
      </w:pPr>
      <w:r>
        <w:rPr>
          <w:rFonts w:ascii="宋体" w:hAnsi="宋体" w:cs="宋体"/>
          <w:sz w:val="18"/>
          <w:szCs w:val="18"/>
        </w:rPr>
        <w:t>5.2.1.1招标人负责</w:t>
      </w:r>
      <w:r>
        <w:rPr>
          <w:rFonts w:hint="eastAsia" w:ascii="宋体" w:hAnsi="宋体" w:cs="宋体"/>
          <w:sz w:val="18"/>
          <w:szCs w:val="18"/>
        </w:rPr>
        <w:t>对维保</w:t>
      </w:r>
      <w:r>
        <w:rPr>
          <w:rFonts w:ascii="宋体" w:hAnsi="宋体" w:cs="宋体"/>
          <w:sz w:val="18"/>
          <w:szCs w:val="18"/>
        </w:rPr>
        <w:t>的</w:t>
      </w:r>
      <w:r>
        <w:rPr>
          <w:rFonts w:hint="eastAsia" w:ascii="宋体" w:hAnsi="宋体" w:cs="宋体"/>
          <w:sz w:val="18"/>
          <w:szCs w:val="18"/>
        </w:rPr>
        <w:t>区域</w:t>
      </w:r>
      <w:r>
        <w:rPr>
          <w:rFonts w:ascii="宋体" w:hAnsi="宋体" w:cs="宋体"/>
          <w:sz w:val="18"/>
          <w:szCs w:val="18"/>
        </w:rPr>
        <w:t>清单进行描述，由投标人负责</w:t>
      </w:r>
      <w:r>
        <w:rPr>
          <w:rFonts w:hint="eastAsia" w:ascii="宋体" w:hAnsi="宋体" w:cs="宋体"/>
          <w:sz w:val="18"/>
          <w:szCs w:val="18"/>
        </w:rPr>
        <w:t>对清单</w:t>
      </w:r>
      <w:r>
        <w:rPr>
          <w:rFonts w:ascii="宋体" w:hAnsi="宋体" w:cs="宋体"/>
          <w:sz w:val="18"/>
          <w:szCs w:val="18"/>
        </w:rPr>
        <w:t>及材料提出详细的技术要求。</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5.2.1.2若</w:t>
      </w:r>
      <w:r>
        <w:rPr>
          <w:rFonts w:hint="eastAsia" w:ascii="宋体" w:hAnsi="宋体" w:cs="宋体"/>
          <w:sz w:val="18"/>
          <w:szCs w:val="18"/>
        </w:rPr>
        <w:t>投标人</w:t>
      </w:r>
      <w:r>
        <w:rPr>
          <w:rFonts w:ascii="宋体" w:hAnsi="宋体" w:cs="宋体"/>
          <w:sz w:val="18"/>
          <w:szCs w:val="18"/>
        </w:rPr>
        <w:t>提供的</w:t>
      </w:r>
      <w:r>
        <w:rPr>
          <w:rFonts w:hint="eastAsia" w:ascii="宋体" w:hAnsi="宋体" w:cs="宋体"/>
          <w:sz w:val="18"/>
          <w:szCs w:val="18"/>
        </w:rPr>
        <w:t>维保工艺</w:t>
      </w:r>
      <w:r>
        <w:rPr>
          <w:rFonts w:ascii="宋体" w:hAnsi="宋体" w:cs="宋体"/>
          <w:sz w:val="18"/>
          <w:szCs w:val="18"/>
        </w:rPr>
        <w:t>及</w:t>
      </w:r>
      <w:r>
        <w:rPr>
          <w:rFonts w:hint="eastAsia" w:ascii="宋体" w:hAnsi="宋体" w:cs="宋体"/>
          <w:sz w:val="18"/>
          <w:szCs w:val="18"/>
        </w:rPr>
        <w:t>配件</w:t>
      </w:r>
      <w:r>
        <w:rPr>
          <w:rFonts w:ascii="宋体" w:hAnsi="宋体" w:cs="宋体"/>
          <w:sz w:val="18"/>
          <w:szCs w:val="18"/>
        </w:rPr>
        <w:t>材料被认定不能满足要求，招标人将对所选用的</w:t>
      </w:r>
      <w:r>
        <w:rPr>
          <w:rFonts w:hint="eastAsia" w:ascii="宋体" w:hAnsi="宋体" w:cs="宋体"/>
          <w:sz w:val="18"/>
          <w:szCs w:val="18"/>
        </w:rPr>
        <w:t>配件材料</w:t>
      </w:r>
      <w:r>
        <w:rPr>
          <w:rFonts w:ascii="宋体" w:hAnsi="宋体" w:cs="宋体"/>
          <w:sz w:val="18"/>
          <w:szCs w:val="18"/>
        </w:rPr>
        <w:t>进行调研复核，并保留更换供货品牌或产品的权利。</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5.2.1.3投标人所使用的专用类工器具必须是合格品且具有使用说明书；投标人所使用的通用工具必须为合格品且具有使用说明书。</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5.2.1.4投标人所使用的计量、测量类工器具应在首次使用前按照招标人的要求送相关部门进行检定，待检定合格且经过招标人相关部门认可，方可以进场使用。严禁使用未检定的、不合格的计量、测量类工器具，进场后计量、测量类工器具送检周期以招标人相关规定为准，检定费用由投标人负责。</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5.2.1.5投标人进场的计量、测量类工器具应按照招标人的相关规定定期进行检定工作；对工器具、机械设备等定期进行保养，确保良好的状态投入使用。</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5.2.1.6</w:t>
      </w:r>
      <w:r>
        <w:rPr>
          <w:rFonts w:hint="eastAsia" w:ascii="宋体" w:hAnsi="宋体" w:cs="宋体"/>
          <w:sz w:val="18"/>
          <w:szCs w:val="18"/>
        </w:rPr>
        <w:t>维保</w:t>
      </w:r>
      <w:r>
        <w:rPr>
          <w:rFonts w:ascii="宋体" w:hAnsi="宋体" w:cs="宋体"/>
          <w:sz w:val="18"/>
          <w:szCs w:val="18"/>
        </w:rPr>
        <w:t>所用的电动工器具须考虑与可供电源的匹配性，并不得对配电线路构成危害。</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5.2.1.7</w:t>
      </w:r>
      <w:r>
        <w:rPr>
          <w:rFonts w:hint="eastAsia" w:ascii="宋体" w:hAnsi="宋体" w:cs="宋体"/>
          <w:sz w:val="18"/>
          <w:szCs w:val="18"/>
        </w:rPr>
        <w:t>维保</w:t>
      </w:r>
      <w:r>
        <w:rPr>
          <w:rFonts w:ascii="宋体" w:hAnsi="宋体" w:cs="宋体"/>
          <w:sz w:val="18"/>
          <w:szCs w:val="18"/>
        </w:rPr>
        <w:t>结束后，中标人须将招标人提供的设备、工器具如数归还</w:t>
      </w:r>
      <w:r>
        <w:rPr>
          <w:rFonts w:hint="eastAsia" w:ascii="宋体" w:hAnsi="宋体" w:cs="宋体"/>
          <w:sz w:val="18"/>
          <w:szCs w:val="18"/>
        </w:rPr>
        <w:t>（如有）</w:t>
      </w:r>
      <w:r>
        <w:rPr>
          <w:rFonts w:ascii="宋体" w:hAnsi="宋体" w:cs="宋体"/>
          <w:sz w:val="18"/>
          <w:szCs w:val="18"/>
        </w:rPr>
        <w:t>。</w:t>
      </w:r>
    </w:p>
    <w:p>
      <w:pPr>
        <w:spacing w:line="360" w:lineRule="auto"/>
        <w:ind w:firstLine="361" w:firstLineChars="200"/>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5.</w:t>
      </w:r>
      <w:r>
        <w:rPr>
          <w:rFonts w:cs="宋体" w:asciiTheme="minorEastAsia" w:hAnsiTheme="minorEastAsia" w:eastAsiaTheme="minorEastAsia"/>
          <w:b/>
          <w:sz w:val="18"/>
          <w:szCs w:val="18"/>
        </w:rPr>
        <w:t>2</w:t>
      </w:r>
      <w:r>
        <w:rPr>
          <w:rFonts w:hint="eastAsia" w:cs="宋体" w:asciiTheme="minorEastAsia" w:hAnsiTheme="minorEastAsia" w:eastAsiaTheme="minorEastAsia"/>
          <w:b/>
          <w:sz w:val="18"/>
          <w:szCs w:val="18"/>
        </w:rPr>
        <w:t>.</w:t>
      </w:r>
      <w:r>
        <w:rPr>
          <w:rFonts w:cs="宋体" w:asciiTheme="minorEastAsia" w:hAnsiTheme="minorEastAsia" w:eastAsiaTheme="minorEastAsia"/>
          <w:b/>
          <w:sz w:val="18"/>
          <w:szCs w:val="18"/>
        </w:rPr>
        <w:t>2</w:t>
      </w:r>
      <w:r>
        <w:rPr>
          <w:rFonts w:hint="eastAsia" w:cs="宋体" w:asciiTheme="minorEastAsia" w:hAnsiTheme="minorEastAsia" w:eastAsiaTheme="minorEastAsia"/>
          <w:b/>
          <w:sz w:val="18"/>
          <w:szCs w:val="18"/>
        </w:rPr>
        <w:t>进场要求</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w:t>
      </w:r>
      <w:r>
        <w:rPr>
          <w:rFonts w:ascii="宋体" w:hAnsi="宋体" w:cs="宋体"/>
          <w:sz w:val="18"/>
          <w:szCs w:val="18"/>
        </w:rPr>
        <w:t>2.1严格遵守执行国家、地方、行业的相关法律、法规、规范、规程、标准及招标人规章制度等各项管理制度和规定。</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w:t>
      </w:r>
      <w:r>
        <w:rPr>
          <w:rFonts w:ascii="宋体" w:hAnsi="宋体" w:cs="宋体"/>
          <w:sz w:val="18"/>
          <w:szCs w:val="18"/>
        </w:rPr>
        <w:t>2.2严格遵守合同协议，组织足够力量的</w:t>
      </w:r>
      <w:r>
        <w:rPr>
          <w:rFonts w:hint="eastAsia" w:ascii="宋体" w:hAnsi="宋体" w:cs="宋体"/>
          <w:sz w:val="18"/>
          <w:szCs w:val="18"/>
        </w:rPr>
        <w:t>维保</w:t>
      </w:r>
      <w:r>
        <w:rPr>
          <w:rFonts w:ascii="宋体" w:hAnsi="宋体" w:cs="宋体"/>
          <w:sz w:val="18"/>
          <w:szCs w:val="18"/>
        </w:rPr>
        <w:t>人员完成日常工作。</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.3</w:t>
      </w:r>
      <w:r>
        <w:rPr>
          <w:rFonts w:ascii="宋体" w:hAnsi="宋体" w:cs="宋体"/>
          <w:sz w:val="18"/>
          <w:szCs w:val="18"/>
        </w:rPr>
        <w:t>.3对</w:t>
      </w:r>
      <w:r>
        <w:rPr>
          <w:rFonts w:hint="eastAsia" w:ascii="宋体" w:hAnsi="宋体" w:cs="宋体"/>
          <w:sz w:val="18"/>
          <w:szCs w:val="18"/>
        </w:rPr>
        <w:t>维保</w:t>
      </w:r>
      <w:r>
        <w:rPr>
          <w:rFonts w:ascii="宋体" w:hAnsi="宋体" w:cs="宋体"/>
          <w:sz w:val="18"/>
          <w:szCs w:val="18"/>
        </w:rPr>
        <w:t>队伍人员素质、专业技术满足各项</w:t>
      </w:r>
      <w:r>
        <w:rPr>
          <w:rFonts w:hint="eastAsia" w:ascii="宋体" w:hAnsi="宋体" w:cs="宋体"/>
          <w:sz w:val="18"/>
          <w:szCs w:val="18"/>
        </w:rPr>
        <w:t>维保</w:t>
      </w:r>
      <w:r>
        <w:rPr>
          <w:rFonts w:ascii="宋体" w:hAnsi="宋体" w:cs="宋体"/>
          <w:sz w:val="18"/>
          <w:szCs w:val="18"/>
        </w:rPr>
        <w:t>要求，并保证参与作业的人员相对稳定。</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.3</w:t>
      </w:r>
      <w:r>
        <w:rPr>
          <w:rFonts w:ascii="宋体" w:hAnsi="宋体" w:cs="宋体"/>
          <w:sz w:val="18"/>
          <w:szCs w:val="18"/>
        </w:rPr>
        <w:t>.6准备工作就序（投标人必须在合同正式签订时已完成全部开工准备），双方协调认可满足</w:t>
      </w:r>
      <w:r>
        <w:rPr>
          <w:rFonts w:hint="eastAsia" w:ascii="宋体" w:hAnsi="宋体" w:cs="宋体"/>
          <w:sz w:val="18"/>
          <w:szCs w:val="18"/>
        </w:rPr>
        <w:t>进场</w:t>
      </w:r>
      <w:r>
        <w:rPr>
          <w:rFonts w:ascii="宋体" w:hAnsi="宋体" w:cs="宋体"/>
          <w:sz w:val="18"/>
          <w:szCs w:val="18"/>
        </w:rPr>
        <w:t>条件，将</w:t>
      </w:r>
      <w:r>
        <w:rPr>
          <w:rFonts w:hint="eastAsia" w:ascii="宋体" w:hAnsi="宋体" w:cs="宋体"/>
          <w:sz w:val="18"/>
          <w:szCs w:val="18"/>
        </w:rPr>
        <w:t>维保</w:t>
      </w:r>
      <w:r>
        <w:rPr>
          <w:rFonts w:ascii="宋体" w:hAnsi="宋体" w:cs="宋体"/>
          <w:sz w:val="18"/>
          <w:szCs w:val="18"/>
        </w:rPr>
        <w:t>准备情况及进场影响通报招标人相关部门，如生产技术部、安全监察部</w:t>
      </w:r>
      <w:r>
        <w:rPr>
          <w:rFonts w:hint="eastAsia" w:ascii="宋体" w:hAnsi="宋体" w:cs="宋体"/>
          <w:sz w:val="18"/>
          <w:szCs w:val="18"/>
        </w:rPr>
        <w:t>、</w:t>
      </w:r>
      <w:r>
        <w:rPr>
          <w:rFonts w:ascii="宋体" w:hAnsi="宋体" w:cs="宋体"/>
          <w:sz w:val="18"/>
          <w:szCs w:val="18"/>
        </w:rPr>
        <w:t>通号中心、</w:t>
      </w:r>
      <w:r>
        <w:rPr>
          <w:rFonts w:hint="eastAsia" w:ascii="宋体" w:hAnsi="宋体" w:cs="宋体"/>
          <w:sz w:val="18"/>
          <w:szCs w:val="18"/>
        </w:rPr>
        <w:t>客运中心、</w:t>
      </w:r>
      <w:r>
        <w:rPr>
          <w:rFonts w:ascii="宋体" w:hAnsi="宋体" w:cs="宋体"/>
          <w:sz w:val="18"/>
          <w:szCs w:val="18"/>
        </w:rPr>
        <w:t>维修中心等，招标人签发</w:t>
      </w:r>
      <w:r>
        <w:rPr>
          <w:rFonts w:hint="eastAsia" w:ascii="宋体" w:hAnsi="宋体" w:cs="宋体"/>
          <w:sz w:val="18"/>
          <w:szCs w:val="18"/>
        </w:rPr>
        <w:t>进场</w:t>
      </w:r>
      <w:r>
        <w:rPr>
          <w:rFonts w:ascii="宋体" w:hAnsi="宋体" w:cs="宋体"/>
          <w:sz w:val="18"/>
          <w:szCs w:val="18"/>
        </w:rPr>
        <w:t>令后方可进行正式项目实施</w:t>
      </w:r>
      <w:r>
        <w:rPr>
          <w:rFonts w:hint="eastAsia" w:ascii="宋体" w:hAnsi="宋体" w:cs="宋体"/>
          <w:sz w:val="18"/>
          <w:szCs w:val="18"/>
        </w:rPr>
        <w:t>维保</w:t>
      </w:r>
      <w:r>
        <w:rPr>
          <w:rFonts w:ascii="宋体" w:hAnsi="宋体" w:cs="宋体"/>
          <w:sz w:val="18"/>
          <w:szCs w:val="18"/>
        </w:rPr>
        <w:t>。</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.3</w:t>
      </w:r>
      <w:r>
        <w:rPr>
          <w:rFonts w:ascii="宋体" w:hAnsi="宋体" w:cs="宋体"/>
          <w:sz w:val="18"/>
          <w:szCs w:val="18"/>
        </w:rPr>
        <w:t>.7</w:t>
      </w:r>
      <w:r>
        <w:rPr>
          <w:rFonts w:hint="eastAsia" w:ascii="宋体" w:hAnsi="宋体" w:cs="宋体"/>
          <w:sz w:val="18"/>
          <w:szCs w:val="18"/>
        </w:rPr>
        <w:t>投标人</w:t>
      </w:r>
      <w:r>
        <w:rPr>
          <w:rFonts w:ascii="宋体" w:hAnsi="宋体" w:cs="宋体"/>
          <w:sz w:val="18"/>
          <w:szCs w:val="18"/>
        </w:rPr>
        <w:t>须做好设施状态普查、技术交底。</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.3</w:t>
      </w:r>
      <w:r>
        <w:rPr>
          <w:rFonts w:ascii="宋体" w:hAnsi="宋体" w:cs="宋体"/>
          <w:sz w:val="18"/>
          <w:szCs w:val="18"/>
        </w:rPr>
        <w:t>.8所有</w:t>
      </w:r>
      <w:r>
        <w:rPr>
          <w:rFonts w:hint="eastAsia" w:ascii="宋体" w:hAnsi="宋体" w:cs="宋体"/>
          <w:sz w:val="18"/>
          <w:szCs w:val="18"/>
        </w:rPr>
        <w:t>维保工作</w:t>
      </w:r>
      <w:r>
        <w:rPr>
          <w:rFonts w:ascii="宋体" w:hAnsi="宋体" w:cs="宋体"/>
          <w:sz w:val="18"/>
          <w:szCs w:val="18"/>
        </w:rPr>
        <w:t>人员要遵守招标人的企业标准</w:t>
      </w:r>
      <w:r>
        <w:rPr>
          <w:rFonts w:hint="eastAsia" w:ascii="宋体" w:hAnsi="宋体" w:cs="宋体"/>
          <w:sz w:val="18"/>
          <w:szCs w:val="18"/>
        </w:rPr>
        <w:t>《南宁轨道交通运营委外项目零星故障修、零星工程及承包商违约处理操作指引》</w:t>
      </w:r>
      <w:r>
        <w:rPr>
          <w:rFonts w:ascii="宋体" w:hAnsi="宋体" w:cs="宋体"/>
          <w:sz w:val="18"/>
          <w:szCs w:val="18"/>
        </w:rPr>
        <w:t>，并必须按照</w:t>
      </w:r>
      <w:r>
        <w:rPr>
          <w:rFonts w:hint="eastAsia" w:ascii="宋体" w:hAnsi="宋体" w:cs="宋体"/>
          <w:sz w:val="18"/>
          <w:szCs w:val="18"/>
        </w:rPr>
        <w:t>相关</w:t>
      </w:r>
      <w:r>
        <w:rPr>
          <w:rFonts w:ascii="宋体" w:hAnsi="宋体" w:cs="宋体"/>
          <w:sz w:val="18"/>
          <w:szCs w:val="18"/>
        </w:rPr>
        <w:t>规范、方案和各项安全操作规程进行作业。</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.3</w:t>
      </w:r>
      <w:r>
        <w:rPr>
          <w:rFonts w:ascii="宋体" w:hAnsi="宋体" w:cs="宋体"/>
          <w:sz w:val="18"/>
          <w:szCs w:val="18"/>
        </w:rPr>
        <w:t>.9</w:t>
      </w:r>
      <w:r>
        <w:rPr>
          <w:rFonts w:hint="eastAsia" w:ascii="宋体" w:hAnsi="宋体" w:cs="宋体"/>
          <w:sz w:val="18"/>
          <w:szCs w:val="18"/>
        </w:rPr>
        <w:t>投标人</w:t>
      </w:r>
      <w:r>
        <w:rPr>
          <w:rFonts w:ascii="宋体" w:hAnsi="宋体" w:cs="宋体"/>
          <w:sz w:val="18"/>
          <w:szCs w:val="18"/>
        </w:rPr>
        <w:t>人员须在合同执行之日前完成相关证件的取证工作，提交复印件（有效期内），并按照招标人要求对相关证件进行复审。</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.3</w:t>
      </w:r>
      <w:r>
        <w:rPr>
          <w:rFonts w:ascii="宋体" w:hAnsi="宋体" w:cs="宋体"/>
          <w:sz w:val="18"/>
          <w:szCs w:val="18"/>
        </w:rPr>
        <w:t>.10</w:t>
      </w:r>
      <w:r>
        <w:rPr>
          <w:rFonts w:hint="eastAsia" w:ascii="宋体" w:hAnsi="宋体" w:cs="宋体"/>
          <w:sz w:val="18"/>
          <w:szCs w:val="18"/>
        </w:rPr>
        <w:t>投标人应保证维保人员现场的相关安全</w:t>
      </w:r>
      <w:r>
        <w:rPr>
          <w:rFonts w:ascii="宋体" w:hAnsi="宋体" w:cs="宋体"/>
          <w:sz w:val="18"/>
          <w:szCs w:val="18"/>
        </w:rPr>
        <w:t>防护、劳保用品到位</w:t>
      </w:r>
      <w:r>
        <w:rPr>
          <w:rFonts w:hint="eastAsia" w:ascii="宋体" w:hAnsi="宋体" w:cs="宋体"/>
          <w:sz w:val="18"/>
          <w:szCs w:val="18"/>
        </w:rPr>
        <w:t>。</w:t>
      </w:r>
      <w:r>
        <w:rPr>
          <w:rFonts w:ascii="宋体" w:hAnsi="宋体" w:cs="宋体"/>
          <w:sz w:val="18"/>
          <w:szCs w:val="18"/>
        </w:rPr>
        <w:t xml:space="preserve"> </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.3</w:t>
      </w:r>
      <w:r>
        <w:rPr>
          <w:rFonts w:ascii="宋体" w:hAnsi="宋体" w:cs="宋体"/>
          <w:sz w:val="18"/>
          <w:szCs w:val="18"/>
        </w:rPr>
        <w:t>.13合同期内</w:t>
      </w:r>
      <w:r>
        <w:rPr>
          <w:rFonts w:hint="eastAsia" w:ascii="宋体" w:hAnsi="宋体" w:cs="宋体"/>
          <w:sz w:val="18"/>
          <w:szCs w:val="18"/>
        </w:rPr>
        <w:t>维保</w:t>
      </w:r>
      <w:r>
        <w:rPr>
          <w:rFonts w:ascii="宋体" w:hAnsi="宋体" w:cs="宋体"/>
          <w:sz w:val="18"/>
          <w:szCs w:val="18"/>
        </w:rPr>
        <w:t>作业人员原则上不许替换，更换</w:t>
      </w:r>
      <w:r>
        <w:rPr>
          <w:rFonts w:hint="eastAsia" w:ascii="宋体" w:hAnsi="宋体" w:cs="宋体"/>
          <w:sz w:val="18"/>
          <w:szCs w:val="18"/>
        </w:rPr>
        <w:t>维保</w:t>
      </w:r>
      <w:r>
        <w:rPr>
          <w:rFonts w:ascii="宋体" w:hAnsi="宋体" w:cs="宋体"/>
          <w:sz w:val="18"/>
          <w:szCs w:val="18"/>
        </w:rPr>
        <w:t>人员必须通知招标人并提交有关人员资料，必须确保替换人员的资历、经验不低于原来被替换的人员，并提供相关内部或送外的培训书面证明，并由招标人组织资料审核，未经招标人书面许可不得更换</w:t>
      </w:r>
      <w:r>
        <w:rPr>
          <w:rFonts w:hint="eastAsia" w:ascii="宋体" w:hAnsi="宋体" w:cs="宋体"/>
          <w:sz w:val="18"/>
          <w:szCs w:val="18"/>
        </w:rPr>
        <w:t>维保</w:t>
      </w:r>
      <w:r>
        <w:rPr>
          <w:rFonts w:ascii="宋体" w:hAnsi="宋体" w:cs="宋体"/>
          <w:sz w:val="18"/>
          <w:szCs w:val="18"/>
        </w:rPr>
        <w:t>人员。</w:t>
      </w:r>
    </w:p>
    <w:p>
      <w:pPr>
        <w:widowControl/>
        <w:spacing w:line="360" w:lineRule="auto"/>
        <w:ind w:firstLine="361" w:firstLineChars="200"/>
        <w:jc w:val="left"/>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5.</w:t>
      </w:r>
      <w:r>
        <w:rPr>
          <w:rFonts w:cs="宋体" w:asciiTheme="minorEastAsia" w:hAnsiTheme="minorEastAsia" w:eastAsiaTheme="minorEastAsia"/>
          <w:b/>
          <w:sz w:val="18"/>
          <w:szCs w:val="18"/>
        </w:rPr>
        <w:t>2</w:t>
      </w:r>
      <w:r>
        <w:rPr>
          <w:rFonts w:hint="eastAsia" w:cs="宋体" w:asciiTheme="minorEastAsia" w:hAnsiTheme="minorEastAsia" w:eastAsiaTheme="minorEastAsia"/>
          <w:b/>
          <w:sz w:val="18"/>
          <w:szCs w:val="18"/>
        </w:rPr>
        <w:t>.4</w:t>
      </w:r>
      <w:r>
        <w:rPr>
          <w:rFonts w:cs="宋体" w:asciiTheme="minorEastAsia" w:hAnsiTheme="minorEastAsia" w:eastAsiaTheme="minorEastAsia"/>
          <w:b/>
          <w:sz w:val="18"/>
          <w:szCs w:val="18"/>
        </w:rPr>
        <w:t>知识产权</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.4</w:t>
      </w:r>
      <w:r>
        <w:rPr>
          <w:rFonts w:ascii="宋体" w:hAnsi="宋体" w:cs="宋体"/>
          <w:sz w:val="18"/>
          <w:szCs w:val="18"/>
        </w:rPr>
        <w:t>.1因</w:t>
      </w:r>
      <w:r>
        <w:rPr>
          <w:rFonts w:hint="eastAsia" w:ascii="宋体" w:hAnsi="宋体" w:cs="宋体"/>
          <w:sz w:val="18"/>
          <w:szCs w:val="18"/>
        </w:rPr>
        <w:t>投标人</w:t>
      </w:r>
      <w:r>
        <w:rPr>
          <w:rFonts w:ascii="宋体" w:hAnsi="宋体" w:cs="宋体"/>
          <w:sz w:val="18"/>
          <w:szCs w:val="18"/>
        </w:rPr>
        <w:t>为实施本合同而向招标人提供的任何产品、资料、物件及服务引起的知识产权纠纷，由</w:t>
      </w:r>
      <w:r>
        <w:rPr>
          <w:rFonts w:hint="eastAsia" w:ascii="宋体" w:hAnsi="宋体" w:cs="宋体"/>
          <w:sz w:val="18"/>
          <w:szCs w:val="18"/>
        </w:rPr>
        <w:t>投标人</w:t>
      </w:r>
      <w:r>
        <w:rPr>
          <w:rFonts w:ascii="宋体" w:hAnsi="宋体" w:cs="宋体"/>
          <w:sz w:val="18"/>
          <w:szCs w:val="18"/>
        </w:rPr>
        <w:t>承担由此引起的一切法律和经济上的责任。</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.4</w:t>
      </w:r>
      <w:r>
        <w:rPr>
          <w:rFonts w:ascii="宋体" w:hAnsi="宋体" w:cs="宋体"/>
          <w:sz w:val="18"/>
          <w:szCs w:val="18"/>
        </w:rPr>
        <w:t>.2</w:t>
      </w:r>
      <w:r>
        <w:rPr>
          <w:rFonts w:hint="eastAsia" w:ascii="宋体" w:hAnsi="宋体" w:cs="宋体"/>
          <w:sz w:val="18"/>
          <w:szCs w:val="18"/>
        </w:rPr>
        <w:t>投标人</w:t>
      </w:r>
      <w:r>
        <w:rPr>
          <w:rFonts w:ascii="宋体" w:hAnsi="宋体" w:cs="宋体"/>
          <w:sz w:val="18"/>
          <w:szCs w:val="18"/>
        </w:rPr>
        <w:t>保证依据本合同所提供的任何产品、资料、物件及服务均不构成对第三方合法权益的侵犯，包括但不限于知识产权。即招标人在中国使用</w:t>
      </w:r>
      <w:r>
        <w:rPr>
          <w:rFonts w:hint="eastAsia" w:ascii="宋体" w:hAnsi="宋体" w:cs="宋体"/>
          <w:sz w:val="18"/>
          <w:szCs w:val="18"/>
        </w:rPr>
        <w:t>投标人</w:t>
      </w:r>
      <w:r>
        <w:rPr>
          <w:rFonts w:ascii="宋体" w:hAnsi="宋体" w:cs="宋体"/>
          <w:sz w:val="18"/>
          <w:szCs w:val="18"/>
        </w:rPr>
        <w:t>提供的产品、产品的任何一部分，资料或服务时，免受第三方提出的侵犯其专利权、商标权、工业设计权和其他知识产权的起诉。</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.4</w:t>
      </w:r>
      <w:r>
        <w:rPr>
          <w:rFonts w:ascii="宋体" w:hAnsi="宋体" w:cs="宋体"/>
          <w:sz w:val="18"/>
          <w:szCs w:val="18"/>
        </w:rPr>
        <w:t>.3</w:t>
      </w:r>
      <w:r>
        <w:rPr>
          <w:rFonts w:hint="eastAsia" w:ascii="宋体" w:hAnsi="宋体" w:cs="宋体"/>
          <w:sz w:val="18"/>
          <w:szCs w:val="18"/>
        </w:rPr>
        <w:t>投标人</w:t>
      </w:r>
      <w:r>
        <w:rPr>
          <w:rFonts w:ascii="宋体" w:hAnsi="宋体" w:cs="宋体"/>
          <w:sz w:val="18"/>
          <w:szCs w:val="18"/>
        </w:rPr>
        <w:t>为实施本合同及其缺陷修补，需使用第三人专利，专有技术、技术秘密、商业秘密、著作权、商标权等知识产权的，在签订合同时，应向招标人说明知识产权的权利人，名称等权利状况，相应知识产权使用费由</w:t>
      </w:r>
      <w:r>
        <w:rPr>
          <w:rFonts w:hint="eastAsia" w:ascii="宋体" w:hAnsi="宋体" w:cs="宋体"/>
          <w:sz w:val="18"/>
          <w:szCs w:val="18"/>
        </w:rPr>
        <w:t>投标人</w:t>
      </w:r>
      <w:r>
        <w:rPr>
          <w:rFonts w:ascii="宋体" w:hAnsi="宋体" w:cs="宋体"/>
          <w:sz w:val="18"/>
          <w:szCs w:val="18"/>
        </w:rPr>
        <w:t>负责支付。</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.4</w:t>
      </w:r>
      <w:r>
        <w:rPr>
          <w:rFonts w:ascii="宋体" w:hAnsi="宋体" w:cs="宋体"/>
          <w:sz w:val="18"/>
          <w:szCs w:val="18"/>
        </w:rPr>
        <w:t>.4在</w:t>
      </w:r>
      <w:r>
        <w:rPr>
          <w:rFonts w:hint="eastAsia" w:ascii="宋体" w:hAnsi="宋体" w:cs="宋体"/>
          <w:sz w:val="18"/>
          <w:szCs w:val="18"/>
        </w:rPr>
        <w:t>投标人</w:t>
      </w:r>
      <w:r>
        <w:rPr>
          <w:rFonts w:ascii="宋体" w:hAnsi="宋体" w:cs="宋体"/>
          <w:sz w:val="18"/>
          <w:szCs w:val="18"/>
        </w:rPr>
        <w:t>履行合同过程中，需增加使用第三人专利、专有技术、技术秘密、商业秘密、著作权、商标权等知识产权的，</w:t>
      </w:r>
      <w:r>
        <w:rPr>
          <w:rFonts w:hint="eastAsia" w:ascii="宋体" w:hAnsi="宋体" w:cs="宋体"/>
          <w:sz w:val="18"/>
          <w:szCs w:val="18"/>
        </w:rPr>
        <w:t>投标人</w:t>
      </w:r>
      <w:r>
        <w:rPr>
          <w:rFonts w:ascii="宋体" w:hAnsi="宋体" w:cs="宋体"/>
          <w:sz w:val="18"/>
          <w:szCs w:val="18"/>
        </w:rPr>
        <w:t>应取得招标人同意，所使用的知识产权应支付的费用由</w:t>
      </w:r>
      <w:r>
        <w:rPr>
          <w:rFonts w:hint="eastAsia" w:ascii="宋体" w:hAnsi="宋体" w:cs="宋体"/>
          <w:sz w:val="18"/>
          <w:szCs w:val="18"/>
        </w:rPr>
        <w:t>投标人</w:t>
      </w:r>
      <w:r>
        <w:rPr>
          <w:rFonts w:ascii="宋体" w:hAnsi="宋体" w:cs="宋体"/>
          <w:sz w:val="18"/>
          <w:szCs w:val="18"/>
        </w:rPr>
        <w:t>承担。</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.4</w:t>
      </w:r>
      <w:r>
        <w:rPr>
          <w:rFonts w:ascii="宋体" w:hAnsi="宋体" w:cs="宋体"/>
          <w:sz w:val="18"/>
          <w:szCs w:val="18"/>
        </w:rPr>
        <w:t>.5因</w:t>
      </w:r>
      <w:r>
        <w:rPr>
          <w:rFonts w:hint="eastAsia" w:ascii="宋体" w:hAnsi="宋体" w:cs="宋体"/>
          <w:sz w:val="18"/>
          <w:szCs w:val="18"/>
        </w:rPr>
        <w:t>投标人</w:t>
      </w:r>
      <w:r>
        <w:rPr>
          <w:rFonts w:ascii="宋体" w:hAnsi="宋体" w:cs="宋体"/>
          <w:sz w:val="18"/>
          <w:szCs w:val="18"/>
        </w:rPr>
        <w:t>提供的任何产品、资料、物件及服务引起的知识产权纠纷，由</w:t>
      </w:r>
      <w:r>
        <w:rPr>
          <w:rFonts w:hint="eastAsia" w:ascii="宋体" w:hAnsi="宋体" w:cs="宋体"/>
          <w:sz w:val="18"/>
          <w:szCs w:val="18"/>
        </w:rPr>
        <w:t>投标人</w:t>
      </w:r>
      <w:r>
        <w:rPr>
          <w:rFonts w:ascii="宋体" w:hAnsi="宋体" w:cs="宋体"/>
          <w:sz w:val="18"/>
          <w:szCs w:val="18"/>
        </w:rPr>
        <w:t>负责与第三人交涉、参加诉讼、进行辩护，并承担由此引起的一切法律和经济上的责任。上述纠纷包括但不限于因</w:t>
      </w:r>
      <w:r>
        <w:rPr>
          <w:rFonts w:hint="eastAsia" w:ascii="宋体" w:hAnsi="宋体" w:cs="宋体"/>
          <w:sz w:val="18"/>
          <w:szCs w:val="18"/>
        </w:rPr>
        <w:t>投标人</w:t>
      </w:r>
      <w:r>
        <w:rPr>
          <w:rFonts w:ascii="宋体" w:hAnsi="宋体" w:cs="宋体"/>
          <w:sz w:val="18"/>
          <w:szCs w:val="18"/>
        </w:rPr>
        <w:t>拥有或者有权许可的知识产权存在瑕疵导致产品瑕疵引起的索赔、诉讼或损失，因上述知识产权未在中国申请知识产权保护或海关备案而引起的侵权纠纷。</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.4</w:t>
      </w:r>
      <w:r>
        <w:rPr>
          <w:rFonts w:ascii="宋体" w:hAnsi="宋体" w:cs="宋体"/>
          <w:sz w:val="18"/>
          <w:szCs w:val="18"/>
        </w:rPr>
        <w:t>.6如</w:t>
      </w:r>
      <w:r>
        <w:rPr>
          <w:rFonts w:hint="eastAsia" w:ascii="宋体" w:hAnsi="宋体" w:cs="宋体"/>
          <w:sz w:val="18"/>
          <w:szCs w:val="18"/>
        </w:rPr>
        <w:t>投标人</w:t>
      </w:r>
      <w:r>
        <w:rPr>
          <w:rFonts w:ascii="宋体" w:hAnsi="宋体" w:cs="宋体"/>
          <w:sz w:val="18"/>
          <w:szCs w:val="18"/>
        </w:rPr>
        <w:t>拒绝或怠于履行上述义务的，招标人有权解除合同。招标人被第三方起诉或以其它方式追究责任，</w:t>
      </w:r>
      <w:r>
        <w:rPr>
          <w:rFonts w:hint="eastAsia" w:ascii="宋体" w:hAnsi="宋体" w:cs="宋体"/>
          <w:sz w:val="18"/>
          <w:szCs w:val="18"/>
        </w:rPr>
        <w:t>投标人</w:t>
      </w:r>
      <w:r>
        <w:rPr>
          <w:rFonts w:ascii="宋体" w:hAnsi="宋体" w:cs="宋体"/>
          <w:sz w:val="18"/>
          <w:szCs w:val="18"/>
        </w:rPr>
        <w:t>应赔偿因招标人被第三方索赔所引起的一切损失，包括但不限于招标人所支付的侵权损害赔偿费、律师费、诉讼费、仲裁费、办案差旅费等因应诉、沟通协调所发的一切费用。</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.4</w:t>
      </w:r>
      <w:r>
        <w:rPr>
          <w:rFonts w:ascii="宋体" w:hAnsi="宋体" w:cs="宋体"/>
          <w:sz w:val="18"/>
          <w:szCs w:val="18"/>
        </w:rPr>
        <w:t>.7对招标人提供的一切资料，以及项目执行生成的各种记录、会议纪要、现场影像资料等做好保密，未经招标人授权不得外传。</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w:t>
      </w:r>
      <w:r>
        <w:rPr>
          <w:rFonts w:ascii="宋体" w:hAnsi="宋体" w:cs="宋体"/>
          <w:sz w:val="18"/>
          <w:szCs w:val="18"/>
        </w:rPr>
        <w:t>2</w:t>
      </w:r>
      <w:r>
        <w:rPr>
          <w:rFonts w:hint="eastAsia" w:ascii="宋体" w:hAnsi="宋体" w:cs="宋体"/>
          <w:sz w:val="18"/>
          <w:szCs w:val="18"/>
        </w:rPr>
        <w:t>.4</w:t>
      </w:r>
      <w:r>
        <w:rPr>
          <w:rFonts w:ascii="宋体" w:hAnsi="宋体" w:cs="宋体"/>
          <w:sz w:val="18"/>
          <w:szCs w:val="18"/>
        </w:rPr>
        <w:t>.8未经招标人允许不得在网络、论坛、博客、微博、微信等媒体传播有关的照片、视频等影像资料，所造成的损失由</w:t>
      </w:r>
      <w:r>
        <w:rPr>
          <w:rFonts w:hint="eastAsia" w:ascii="宋体" w:hAnsi="宋体" w:cs="宋体"/>
          <w:sz w:val="18"/>
          <w:szCs w:val="18"/>
        </w:rPr>
        <w:t>投标人</w:t>
      </w:r>
      <w:r>
        <w:rPr>
          <w:rFonts w:ascii="宋体" w:hAnsi="宋体" w:cs="宋体"/>
          <w:sz w:val="18"/>
          <w:szCs w:val="18"/>
        </w:rPr>
        <w:t>承担。</w:t>
      </w:r>
    </w:p>
    <w:p>
      <w:pPr>
        <w:widowControl/>
        <w:spacing w:line="360" w:lineRule="auto"/>
        <w:ind w:firstLine="426" w:firstLineChars="236"/>
        <w:jc w:val="left"/>
        <w:outlineLvl w:val="2"/>
        <w:rPr>
          <w:rFonts w:ascii="宋体" w:hAnsi="宋体" w:cs="宋体"/>
          <w:b/>
          <w:bCs/>
        </w:rPr>
      </w:pPr>
      <w:bookmarkStart w:id="1866" w:name="_Toc27924"/>
      <w:bookmarkStart w:id="1867" w:name="_Toc75442107"/>
      <w:bookmarkStart w:id="1868" w:name="_Toc60213005"/>
      <w:bookmarkStart w:id="1869" w:name="_Toc110498347"/>
      <w:bookmarkStart w:id="1870" w:name="_Toc118923786"/>
      <w:r>
        <w:rPr>
          <w:rFonts w:hint="eastAsia" w:cs="宋体" w:asciiTheme="minorEastAsia" w:hAnsiTheme="minorEastAsia" w:eastAsiaTheme="minorEastAsia"/>
          <w:b/>
          <w:sz w:val="18"/>
          <w:szCs w:val="18"/>
        </w:rPr>
        <w:t>5.</w:t>
      </w:r>
      <w:r>
        <w:rPr>
          <w:rFonts w:cs="宋体" w:asciiTheme="minorEastAsia" w:hAnsiTheme="minorEastAsia" w:eastAsiaTheme="minorEastAsia"/>
          <w:b/>
          <w:sz w:val="18"/>
          <w:szCs w:val="18"/>
        </w:rPr>
        <w:t>3</w:t>
      </w:r>
      <w:r>
        <w:rPr>
          <w:rFonts w:hint="eastAsia" w:cs="宋体" w:asciiTheme="minorEastAsia" w:hAnsiTheme="minorEastAsia" w:eastAsiaTheme="minorEastAsia"/>
          <w:b/>
          <w:sz w:val="18"/>
          <w:szCs w:val="18"/>
        </w:rPr>
        <w:t>维保作业要求</w:t>
      </w:r>
      <w:bookmarkEnd w:id="1866"/>
      <w:bookmarkEnd w:id="1867"/>
      <w:bookmarkEnd w:id="1868"/>
      <w:bookmarkEnd w:id="1869"/>
      <w:bookmarkEnd w:id="1870"/>
    </w:p>
    <w:p>
      <w:pPr>
        <w:widowControl/>
        <w:spacing w:line="360" w:lineRule="auto"/>
        <w:ind w:firstLine="360" w:firstLineChars="200"/>
        <w:jc w:val="left"/>
        <w:rPr>
          <w:rFonts w:ascii="宋体" w:hAnsi="宋体" w:cs="宋体"/>
          <w:sz w:val="18"/>
          <w:szCs w:val="18"/>
        </w:rPr>
      </w:pPr>
      <w:bookmarkStart w:id="1871" w:name="_Toc2049"/>
      <w:bookmarkStart w:id="1872" w:name="_Toc60213006"/>
      <w:r>
        <w:rPr>
          <w:rFonts w:ascii="宋体" w:hAnsi="宋体" w:cs="宋体"/>
          <w:sz w:val="18"/>
          <w:szCs w:val="18"/>
        </w:rPr>
        <w:t xml:space="preserve">5.3.1 </w:t>
      </w:r>
      <w:r>
        <w:rPr>
          <w:rFonts w:hint="eastAsia" w:ascii="宋体" w:hAnsi="宋体" w:cs="宋体"/>
          <w:sz w:val="18"/>
          <w:szCs w:val="18"/>
        </w:rPr>
        <w:t>维保项目的所有人员要遵守招标人的相关管理规定，并必须按照维保规范、方案和各项安全操作规程进行作业。特殊工种或特种操作维保人员必须持证上岗。</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5.3.2 </w:t>
      </w:r>
      <w:r>
        <w:rPr>
          <w:rFonts w:hint="eastAsia" w:ascii="宋体" w:hAnsi="宋体" w:cs="宋体"/>
          <w:sz w:val="18"/>
          <w:szCs w:val="18"/>
        </w:rPr>
        <w:t>投标人必须牢固树立“安全第一、预防为主”的思想，不断地加强员工的安全生产教育，将安全生产贯彻到日常的工作中。严格按照招标人《南宁轨道交通运营委外项目零星故障修、零星工程及承包商违约处理操作指引》《通用安全实施守则》等文件的要求进行维保作业，掌握、严守招标人制定的相关安全生产规章制度、行车组织规则及员工安全守则等各项规章制度。</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5.3.4 </w:t>
      </w:r>
      <w:r>
        <w:rPr>
          <w:rFonts w:hint="eastAsia" w:ascii="宋体" w:hAnsi="宋体" w:cs="宋体"/>
          <w:sz w:val="18"/>
          <w:szCs w:val="18"/>
        </w:rPr>
        <w:t>整个维保作业过程的安全质量卡控由投标人负责。</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5.3.5 </w:t>
      </w:r>
      <w:r>
        <w:rPr>
          <w:rFonts w:hint="eastAsia" w:ascii="宋体" w:hAnsi="宋体" w:cs="宋体"/>
          <w:sz w:val="18"/>
          <w:szCs w:val="18"/>
        </w:rPr>
        <w:t>投标人必须服从招标人的管理，按照招标人的相关要求进行维保，确保按质、按量地完成工作；对于招标人认为确需紧急处理的紧急故障，投标人应该按照“无条件、即时性、高效性”的原则处理完成，并确保不影响运营服务。在紧急情况下，若投标人未及时响应招标人要求，招标人保留另行处理的权力，因此造成的费用由投标人承担。</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5.3.6 </w:t>
      </w:r>
      <w:r>
        <w:rPr>
          <w:rFonts w:hint="eastAsia" w:ascii="宋体" w:hAnsi="宋体" w:cs="宋体"/>
          <w:sz w:val="18"/>
          <w:szCs w:val="18"/>
        </w:rPr>
        <w:t>投标人应本着“实事求是、节约成本”的原则和态度对设施设备进行维保工作。针对具体的故障，采取切实可行的办法进行处理，坚决杜绝夸大故障、浪费成本、敷衍了事现象的出现。</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5.3.7</w:t>
      </w:r>
      <w:r>
        <w:rPr>
          <w:rFonts w:hint="eastAsia" w:ascii="宋体" w:hAnsi="宋体" w:cs="宋体"/>
          <w:sz w:val="18"/>
          <w:szCs w:val="18"/>
        </w:rPr>
        <w:t>招标人规定需要办理特种作业（如带电作业、登高作业等）手续的，投标人应该按照要求办理特种作业许可证，严禁违规操作；需其他部门配合的作业，在没有设备设施所属部门人员配合（或授权使用）的情况下，严禁动用其他部门所辖设备设施。</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5.3.8 </w:t>
      </w:r>
      <w:r>
        <w:rPr>
          <w:rFonts w:hint="eastAsia" w:ascii="宋体" w:hAnsi="宋体" w:cs="宋体"/>
          <w:sz w:val="18"/>
          <w:szCs w:val="18"/>
        </w:rPr>
        <w:t>特种作业（如电工、登高等）人员，必须持有政府等相关部门颁发的特种作业操作证方可上岗作业，并按照相关要求佩戴配套的防护劳保用品进行作业。严禁无证或不按照要求佩戴证件、防护、劳保用品人员上岗作业。</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5.3.9 </w:t>
      </w:r>
      <w:r>
        <w:rPr>
          <w:rFonts w:hint="eastAsia" w:ascii="宋体" w:hAnsi="宋体" w:cs="宋体"/>
          <w:sz w:val="18"/>
          <w:szCs w:val="18"/>
        </w:rPr>
        <w:t>投标人维保人员不得擅自触碰、操作外专业设备设施；进入设备房开展维保作业的，须设备房使用部门人员配合。</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5.3.10 </w:t>
      </w:r>
      <w:r>
        <w:rPr>
          <w:rFonts w:hint="eastAsia" w:ascii="宋体" w:hAnsi="宋体" w:cs="宋体"/>
          <w:sz w:val="18"/>
          <w:szCs w:val="18"/>
        </w:rPr>
        <w:t>投标人所安排的维保人员必须配备相应的通讯工具，并且遵守招标人相关规定，保持通讯工具24小时畅通，投标人应无条件的接受招标人的维保命令，并及时组织人员对相关设施进行修复，不得以任何理由拒绝接听招标人的电话。</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5.3.11 </w:t>
      </w:r>
      <w:r>
        <w:rPr>
          <w:rFonts w:hint="eastAsia" w:ascii="宋体" w:hAnsi="宋体" w:cs="宋体"/>
          <w:sz w:val="18"/>
          <w:szCs w:val="18"/>
        </w:rPr>
        <w:t>招标人要求参加的会议，投标人应该认真的组织相关人员参加；招标人颁布的规定，投标人应不折不扣的执行；投标人不按照规定所引发的损失、事故，由投标人负全部责任，并赔偿招标人全部损失。</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5.3.12 </w:t>
      </w:r>
      <w:r>
        <w:rPr>
          <w:rFonts w:hint="eastAsia" w:ascii="宋体" w:hAnsi="宋体" w:cs="宋体"/>
          <w:sz w:val="18"/>
          <w:szCs w:val="18"/>
        </w:rPr>
        <w:t>投标人在检修过程中所发生的事故，投标人应本着“诚实、合作、及时”的思想及时通知招标人，配合招标人做好事故的调查和分析工作，不得隐瞒或推卸责任。</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5.3.13 </w:t>
      </w:r>
      <w:r>
        <w:rPr>
          <w:rFonts w:hint="eastAsia" w:ascii="宋体" w:hAnsi="宋体" w:cs="宋体"/>
          <w:sz w:val="18"/>
          <w:szCs w:val="18"/>
        </w:rPr>
        <w:t>投标人履行招标人专业接口范围内的工作。对于接口不明确的部分由招标人做出判定，投标人必须无条件服从招标人的指令，不得以任何借口推脱或延误。</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5.3.14</w:t>
      </w:r>
      <w:r>
        <w:rPr>
          <w:rFonts w:hint="eastAsia" w:ascii="宋体" w:hAnsi="宋体" w:cs="宋体"/>
          <w:sz w:val="18"/>
          <w:szCs w:val="18"/>
        </w:rPr>
        <w:t>在维保作业过程中如需对既有设备设施进行成品保护，必须采取有效措施避免检修对相关设备设施产生不利影响。如可采用彩条布、防水材料遮盖易受影响的设备设施，以免烟尘、泥浆、水等对设备设施产生影响等。</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5.3.15 </w:t>
      </w:r>
      <w:r>
        <w:rPr>
          <w:rFonts w:hint="eastAsia" w:ascii="宋体" w:hAnsi="宋体" w:cs="宋体"/>
          <w:sz w:val="18"/>
          <w:szCs w:val="18"/>
        </w:rPr>
        <w:t>维保过程中涉及其他专业重要设备设施的，由设备设施所属专业提供配合并负责恢复，配合过程中因投标人所导致的经济损失由投标人承担。</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5.3.16 </w:t>
      </w:r>
      <w:r>
        <w:rPr>
          <w:rFonts w:hint="eastAsia" w:ascii="宋体" w:hAnsi="宋体" w:cs="宋体"/>
          <w:sz w:val="18"/>
          <w:szCs w:val="18"/>
        </w:rPr>
        <w:t>投标人应该严格执行招标人要求的“三不动、三不离”原则。</w:t>
      </w:r>
    </w:p>
    <w:p>
      <w:pPr>
        <w:widowControl/>
        <w:spacing w:line="360" w:lineRule="auto"/>
        <w:ind w:firstLine="360" w:firstLineChars="200"/>
        <w:jc w:val="left"/>
        <w:rPr>
          <w:rFonts w:ascii="宋体" w:hAnsi="宋体" w:cs="宋体"/>
          <w:sz w:val="18"/>
          <w:szCs w:val="18"/>
        </w:rPr>
      </w:pPr>
      <w:r>
        <w:rPr>
          <w:rFonts w:ascii="宋体" w:hAnsi="宋体" w:cs="宋体"/>
          <w:sz w:val="18"/>
          <w:szCs w:val="18"/>
        </w:rPr>
        <w:t xml:space="preserve">5.3.17 </w:t>
      </w:r>
      <w:r>
        <w:rPr>
          <w:rFonts w:hint="eastAsia" w:ascii="宋体" w:hAnsi="宋体" w:cs="宋体"/>
          <w:sz w:val="18"/>
          <w:szCs w:val="18"/>
        </w:rPr>
        <w:t>与本维保项目相关接口专业的作业，需要投标人配合时须无条件配合。</w:t>
      </w:r>
    </w:p>
    <w:bookmarkEnd w:id="1871"/>
    <w:bookmarkEnd w:id="1872"/>
    <w:p>
      <w:pPr>
        <w:pStyle w:val="5"/>
        <w:numPr>
          <w:ilvl w:val="0"/>
          <w:numId w:val="0"/>
        </w:numPr>
        <w:spacing w:line="360" w:lineRule="auto"/>
        <w:ind w:leftChars="-5" w:hanging="10" w:hangingChars="4"/>
        <w:rPr>
          <w:rFonts w:ascii="宋体" w:hAnsi="宋体" w:cs="宋体"/>
          <w:b/>
          <w:sz w:val="24"/>
          <w:szCs w:val="24"/>
        </w:rPr>
      </w:pPr>
      <w:bookmarkStart w:id="1873" w:name="_Toc110498348"/>
      <w:bookmarkStart w:id="1874" w:name="_Toc75442108"/>
      <w:bookmarkStart w:id="1875" w:name="_Toc118923787"/>
      <w:r>
        <w:rPr>
          <w:rFonts w:ascii="宋体" w:hAnsi="宋体" w:cs="宋体"/>
          <w:b/>
          <w:sz w:val="24"/>
          <w:szCs w:val="24"/>
        </w:rPr>
        <w:t>5</w:t>
      </w:r>
      <w:r>
        <w:rPr>
          <w:rFonts w:hint="eastAsia" w:ascii="宋体" w:hAnsi="宋体" w:cs="宋体"/>
          <w:b/>
          <w:sz w:val="24"/>
          <w:szCs w:val="24"/>
        </w:rPr>
        <w:t>.</w:t>
      </w:r>
      <w:r>
        <w:rPr>
          <w:rFonts w:ascii="宋体" w:hAnsi="宋体" w:cs="宋体"/>
          <w:b/>
          <w:sz w:val="24"/>
          <w:szCs w:val="24"/>
        </w:rPr>
        <w:t>4</w:t>
      </w:r>
      <w:r>
        <w:rPr>
          <w:rFonts w:hint="eastAsia" w:ascii="宋体" w:hAnsi="宋体" w:cs="宋体"/>
          <w:b/>
          <w:sz w:val="24"/>
          <w:szCs w:val="24"/>
        </w:rPr>
        <w:t>维保作业场地与条件</w:t>
      </w:r>
      <w:bookmarkEnd w:id="1873"/>
      <w:bookmarkEnd w:id="1874"/>
      <w:bookmarkEnd w:id="1875"/>
    </w:p>
    <w:p>
      <w:pPr>
        <w:spacing w:line="360" w:lineRule="auto"/>
        <w:ind w:firstLine="361" w:firstLineChars="200"/>
        <w:rPr>
          <w:rFonts w:ascii="宋体" w:hAnsi="宋体" w:cs="宋体"/>
          <w:b/>
          <w:sz w:val="18"/>
          <w:szCs w:val="18"/>
        </w:rPr>
      </w:pPr>
      <w:bookmarkStart w:id="1876" w:name="_Toc75442109"/>
      <w:r>
        <w:rPr>
          <w:rFonts w:hint="eastAsia" w:ascii="宋体" w:hAnsi="宋体" w:cs="宋体"/>
          <w:b/>
          <w:sz w:val="18"/>
          <w:szCs w:val="18"/>
        </w:rPr>
        <w:t>5</w:t>
      </w:r>
      <w:r>
        <w:rPr>
          <w:rFonts w:ascii="宋体" w:hAnsi="宋体" w:cs="宋体"/>
          <w:b/>
          <w:sz w:val="18"/>
          <w:szCs w:val="18"/>
        </w:rPr>
        <w:t xml:space="preserve">.4.1 </w:t>
      </w:r>
      <w:r>
        <w:rPr>
          <w:rFonts w:hint="eastAsia" w:ascii="宋体" w:hAnsi="宋体" w:cs="宋体"/>
          <w:b/>
          <w:sz w:val="18"/>
          <w:szCs w:val="18"/>
        </w:rPr>
        <w:t>作业场地</w:t>
      </w:r>
      <w:bookmarkEnd w:id="1876"/>
    </w:p>
    <w:p>
      <w:pPr>
        <w:spacing w:line="360" w:lineRule="auto"/>
        <w:ind w:firstLine="360" w:firstLineChars="200"/>
        <w:rPr>
          <w:rFonts w:ascii="宋体" w:hAnsi="宋体" w:cs="宋体"/>
          <w:sz w:val="18"/>
          <w:szCs w:val="18"/>
        </w:rPr>
      </w:pPr>
      <w:r>
        <w:rPr>
          <w:rFonts w:hint="eastAsia" w:ascii="宋体" w:hAnsi="宋体" w:cs="宋体"/>
          <w:sz w:val="18"/>
          <w:szCs w:val="18"/>
        </w:rPr>
        <w:t>日常作业地点位于南宁轨道交通1号线屯里车辆段、西乡塘停车场、2号线安吉综合基地、3号线心圩车辆段、新村停车场、4号线五象车辆段、5号线那洪综合基地及既有线路正线车站。</w:t>
      </w:r>
    </w:p>
    <w:p>
      <w:pPr>
        <w:spacing w:line="360" w:lineRule="auto"/>
        <w:ind w:firstLine="361" w:firstLineChars="200"/>
        <w:rPr>
          <w:rFonts w:ascii="宋体" w:hAnsi="宋体" w:cs="宋体"/>
          <w:b/>
          <w:sz w:val="18"/>
          <w:szCs w:val="18"/>
        </w:rPr>
      </w:pPr>
      <w:bookmarkStart w:id="1877" w:name="_Toc75442110"/>
      <w:r>
        <w:rPr>
          <w:rFonts w:hint="eastAsia" w:ascii="宋体" w:hAnsi="宋体" w:cs="宋体"/>
          <w:b/>
          <w:sz w:val="18"/>
          <w:szCs w:val="18"/>
        </w:rPr>
        <w:t>5.</w:t>
      </w:r>
      <w:r>
        <w:rPr>
          <w:rFonts w:ascii="宋体" w:hAnsi="宋体" w:cs="宋体"/>
          <w:b/>
          <w:sz w:val="18"/>
          <w:szCs w:val="18"/>
        </w:rPr>
        <w:t>4</w:t>
      </w:r>
      <w:r>
        <w:rPr>
          <w:rFonts w:hint="eastAsia" w:ascii="宋体" w:hAnsi="宋体" w:cs="宋体"/>
          <w:b/>
          <w:sz w:val="18"/>
          <w:szCs w:val="18"/>
        </w:rPr>
        <w:t>.2 作业时间</w:t>
      </w:r>
      <w:bookmarkEnd w:id="1877"/>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.2.1 在车站非关键行车设备房可在运营时间内进行不影响运营的作业。</w:t>
      </w:r>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.2.</w:t>
      </w:r>
      <w:r>
        <w:rPr>
          <w:rFonts w:ascii="宋体" w:hAnsi="宋体" w:cs="宋体"/>
          <w:sz w:val="18"/>
          <w:szCs w:val="18"/>
        </w:rPr>
        <w:t>2</w:t>
      </w:r>
      <w:r>
        <w:rPr>
          <w:rFonts w:hint="eastAsia" w:ascii="宋体" w:hAnsi="宋体" w:cs="宋体"/>
          <w:sz w:val="18"/>
          <w:szCs w:val="18"/>
        </w:rPr>
        <w:t xml:space="preserve"> </w:t>
      </w:r>
      <w:r>
        <w:rPr>
          <w:rFonts w:ascii="宋体" w:hAnsi="宋体" w:cs="宋体"/>
          <w:sz w:val="18"/>
          <w:szCs w:val="18"/>
        </w:rPr>
        <w:t>停车场、</w:t>
      </w:r>
      <w:r>
        <w:rPr>
          <w:rFonts w:hint="eastAsia" w:ascii="宋体" w:hAnsi="宋体" w:cs="宋体"/>
          <w:sz w:val="18"/>
          <w:szCs w:val="18"/>
        </w:rPr>
        <w:t>车辆</w:t>
      </w:r>
      <w:r>
        <w:rPr>
          <w:rFonts w:ascii="宋体" w:hAnsi="宋体" w:cs="宋体"/>
          <w:sz w:val="18"/>
          <w:szCs w:val="18"/>
        </w:rPr>
        <w:t>段及综合</w:t>
      </w:r>
      <w:r>
        <w:rPr>
          <w:rFonts w:hint="eastAsia" w:ascii="宋体" w:hAnsi="宋体" w:cs="宋体"/>
          <w:sz w:val="18"/>
          <w:szCs w:val="18"/>
        </w:rPr>
        <w:t>基地内的作业时间一般为白天（具体作业时间以招标人报修通知为准）。</w:t>
      </w:r>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.2.</w:t>
      </w:r>
      <w:r>
        <w:rPr>
          <w:rFonts w:ascii="宋体" w:hAnsi="宋体" w:cs="宋体"/>
          <w:sz w:val="18"/>
          <w:szCs w:val="18"/>
        </w:rPr>
        <w:t>3</w:t>
      </w:r>
      <w:r>
        <w:rPr>
          <w:rFonts w:hint="eastAsia" w:ascii="宋体" w:hAnsi="宋体" w:cs="宋体"/>
          <w:sz w:val="18"/>
          <w:szCs w:val="18"/>
        </w:rPr>
        <w:t xml:space="preserve"> 紧急抢修类作业不受维保时间和条件限制。</w:t>
      </w:r>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.2.</w:t>
      </w:r>
      <w:r>
        <w:rPr>
          <w:rFonts w:ascii="宋体" w:hAnsi="宋体" w:cs="宋体"/>
          <w:sz w:val="18"/>
          <w:szCs w:val="18"/>
        </w:rPr>
        <w:t>4</w:t>
      </w:r>
      <w:r>
        <w:rPr>
          <w:rFonts w:hint="eastAsia" w:ascii="宋体" w:hAnsi="宋体" w:cs="宋体"/>
          <w:sz w:val="18"/>
          <w:szCs w:val="18"/>
        </w:rPr>
        <w:t>上述作业时间均包括维保前准备、工器具搬运、进出场以及作业出清时间。</w:t>
      </w:r>
    </w:p>
    <w:p>
      <w:pPr>
        <w:spacing w:line="360" w:lineRule="auto"/>
        <w:ind w:firstLine="361" w:firstLineChars="200"/>
        <w:rPr>
          <w:rFonts w:ascii="宋体" w:hAnsi="宋体" w:cs="宋体"/>
          <w:b/>
          <w:sz w:val="18"/>
          <w:szCs w:val="18"/>
        </w:rPr>
      </w:pPr>
      <w:bookmarkStart w:id="1878" w:name="_Toc75442111"/>
      <w:r>
        <w:rPr>
          <w:rFonts w:hint="eastAsia" w:ascii="宋体" w:hAnsi="宋体" w:cs="宋体"/>
          <w:b/>
          <w:sz w:val="18"/>
          <w:szCs w:val="18"/>
        </w:rPr>
        <w:t>5.</w:t>
      </w:r>
      <w:r>
        <w:rPr>
          <w:rFonts w:ascii="宋体" w:hAnsi="宋体" w:cs="宋体"/>
          <w:b/>
          <w:sz w:val="18"/>
          <w:szCs w:val="18"/>
        </w:rPr>
        <w:t>4</w:t>
      </w:r>
      <w:r>
        <w:rPr>
          <w:rFonts w:hint="eastAsia" w:ascii="宋体" w:hAnsi="宋体" w:cs="宋体"/>
          <w:b/>
          <w:sz w:val="18"/>
          <w:szCs w:val="18"/>
        </w:rPr>
        <w:t>.</w:t>
      </w:r>
      <w:r>
        <w:rPr>
          <w:rFonts w:ascii="宋体" w:hAnsi="宋体" w:cs="宋体"/>
          <w:b/>
          <w:sz w:val="18"/>
          <w:szCs w:val="18"/>
        </w:rPr>
        <w:t>3</w:t>
      </w:r>
      <w:r>
        <w:rPr>
          <w:rFonts w:hint="eastAsia" w:ascii="宋体" w:hAnsi="宋体" w:cs="宋体"/>
          <w:b/>
          <w:sz w:val="18"/>
          <w:szCs w:val="18"/>
        </w:rPr>
        <w:t xml:space="preserve"> 招标人提供的条件</w:t>
      </w:r>
      <w:bookmarkEnd w:id="1878"/>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.4.1 按已有的水电接口免费提供维保作业用电、用水。</w:t>
      </w:r>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.4.</w:t>
      </w:r>
      <w:r>
        <w:rPr>
          <w:rFonts w:ascii="宋体" w:hAnsi="宋体" w:cs="宋体"/>
          <w:sz w:val="18"/>
          <w:szCs w:val="18"/>
        </w:rPr>
        <w:t xml:space="preserve">2 </w:t>
      </w:r>
      <w:r>
        <w:rPr>
          <w:rFonts w:hint="eastAsia" w:ascii="宋体" w:hAnsi="宋体" w:cs="宋体"/>
          <w:sz w:val="18"/>
          <w:szCs w:val="18"/>
        </w:rPr>
        <w:t>协调招标人内部各部门之间的工作。</w:t>
      </w:r>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.4.</w:t>
      </w:r>
      <w:r>
        <w:rPr>
          <w:rFonts w:ascii="宋体" w:hAnsi="宋体" w:cs="宋体"/>
          <w:sz w:val="18"/>
          <w:szCs w:val="18"/>
        </w:rPr>
        <w:t>3</w:t>
      </w:r>
      <w:r>
        <w:rPr>
          <w:rFonts w:hint="eastAsia" w:ascii="宋体" w:hAnsi="宋体" w:cs="宋体"/>
          <w:sz w:val="18"/>
          <w:szCs w:val="18"/>
        </w:rPr>
        <w:t xml:space="preserve"> 协助办理有关维保作业的审批手续（如需）。</w:t>
      </w:r>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.4.</w:t>
      </w:r>
      <w:r>
        <w:rPr>
          <w:rFonts w:ascii="宋体" w:hAnsi="宋体" w:cs="宋体"/>
          <w:sz w:val="18"/>
          <w:szCs w:val="18"/>
        </w:rPr>
        <w:t>4</w:t>
      </w:r>
      <w:r>
        <w:rPr>
          <w:rFonts w:hint="eastAsia" w:ascii="宋体" w:hAnsi="宋体" w:cs="宋体"/>
          <w:sz w:val="18"/>
          <w:szCs w:val="18"/>
        </w:rPr>
        <w:t xml:space="preserve"> 提供项目执行必须的技术资料和规章制度。</w:t>
      </w:r>
    </w:p>
    <w:p>
      <w:pPr>
        <w:spacing w:line="360" w:lineRule="auto"/>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4</w:t>
      </w:r>
      <w:r>
        <w:rPr>
          <w:rFonts w:hint="eastAsia" w:ascii="宋体" w:hAnsi="宋体" w:cs="宋体"/>
          <w:sz w:val="18"/>
          <w:szCs w:val="18"/>
        </w:rPr>
        <w:t>.4.</w:t>
      </w:r>
      <w:r>
        <w:rPr>
          <w:rFonts w:ascii="宋体" w:hAnsi="宋体" w:cs="宋体"/>
          <w:sz w:val="18"/>
          <w:szCs w:val="18"/>
        </w:rPr>
        <w:t>5</w:t>
      </w:r>
      <w:r>
        <w:rPr>
          <w:rFonts w:hint="eastAsia" w:ascii="宋体" w:hAnsi="宋体" w:cs="宋体"/>
          <w:sz w:val="18"/>
          <w:szCs w:val="18"/>
        </w:rPr>
        <w:t xml:space="preserve"> 按规定为维保人员办理临时出入证。</w:t>
      </w:r>
    </w:p>
    <w:p>
      <w:pPr>
        <w:pStyle w:val="4"/>
        <w:spacing w:line="360" w:lineRule="auto"/>
        <w:rPr>
          <w:rFonts w:ascii="黑体" w:hAnsi="黑体" w:eastAsia="黑体"/>
          <w:b w:val="0"/>
          <w:sz w:val="24"/>
        </w:rPr>
      </w:pPr>
      <w:bookmarkStart w:id="1879" w:name="_Toc75771565"/>
      <w:bookmarkStart w:id="1880" w:name="_Toc110498349"/>
      <w:bookmarkStart w:id="1881" w:name="_Toc75442112"/>
      <w:bookmarkStart w:id="1882" w:name="_Toc118923788"/>
      <w:bookmarkStart w:id="1883" w:name="_Toc14767"/>
      <w:r>
        <w:rPr>
          <w:rFonts w:hint="eastAsia" w:ascii="黑体" w:hAnsi="黑体" w:eastAsia="黑体"/>
          <w:b w:val="0"/>
          <w:sz w:val="24"/>
        </w:rPr>
        <w:t>6.</w:t>
      </w:r>
      <w:bookmarkStart w:id="1884" w:name="_Hlk75809348"/>
      <w:r>
        <w:rPr>
          <w:rFonts w:hint="eastAsia" w:ascii="黑体" w:hAnsi="黑体" w:eastAsia="黑体"/>
          <w:b w:val="0"/>
          <w:sz w:val="24"/>
        </w:rPr>
        <w:t>考核条款</w:t>
      </w:r>
      <w:bookmarkEnd w:id="1879"/>
      <w:bookmarkEnd w:id="1880"/>
      <w:bookmarkEnd w:id="1881"/>
      <w:bookmarkEnd w:id="1882"/>
      <w:bookmarkEnd w:id="1883"/>
    </w:p>
    <w:bookmarkEnd w:id="1884"/>
    <w:p>
      <w:pPr>
        <w:pStyle w:val="129"/>
        <w:snapToGrid w:val="0"/>
        <w:spacing w:before="0" w:after="0" w:line="360" w:lineRule="auto"/>
        <w:ind w:left="0" w:right="0" w:firstLine="361" w:firstLineChars="200"/>
        <w:rPr>
          <w:rFonts w:cs="宋体" w:asciiTheme="minorEastAsia" w:hAnsiTheme="minorEastAsia" w:eastAsiaTheme="minorEastAsia"/>
          <w:b/>
          <w:bCs/>
          <w:kern w:val="2"/>
          <w:sz w:val="18"/>
          <w:szCs w:val="18"/>
        </w:rPr>
      </w:pPr>
      <w:r>
        <w:rPr>
          <w:rFonts w:cs="宋体" w:asciiTheme="minorEastAsia" w:hAnsiTheme="minorEastAsia" w:eastAsiaTheme="minorEastAsia"/>
          <w:b/>
          <w:bCs/>
          <w:kern w:val="2"/>
          <w:sz w:val="18"/>
          <w:szCs w:val="18"/>
        </w:rPr>
        <w:t xml:space="preserve">6.1 </w:t>
      </w:r>
      <w:r>
        <w:rPr>
          <w:rFonts w:hint="eastAsia" w:cs="宋体" w:asciiTheme="minorEastAsia" w:hAnsiTheme="minorEastAsia" w:eastAsiaTheme="minorEastAsia"/>
          <w:b/>
          <w:bCs/>
          <w:kern w:val="2"/>
          <w:sz w:val="18"/>
          <w:szCs w:val="18"/>
        </w:rPr>
        <w:t>日常维保响应时间管理</w:t>
      </w:r>
    </w:p>
    <w:p>
      <w:pPr>
        <w:pStyle w:val="129"/>
        <w:snapToGrid w:val="0"/>
        <w:spacing w:before="0" w:after="0" w:line="360" w:lineRule="auto"/>
        <w:ind w:left="0" w:right="0" w:firstLine="360" w:firstLineChars="200"/>
        <w:rPr>
          <w:rFonts w:ascii="宋体" w:hAnsi="宋体" w:cs="宋体"/>
          <w:kern w:val="2"/>
          <w:sz w:val="18"/>
          <w:szCs w:val="18"/>
        </w:rPr>
      </w:pPr>
      <w:r>
        <w:rPr>
          <w:rFonts w:ascii="宋体" w:hAnsi="宋体" w:cs="宋体"/>
          <w:kern w:val="2"/>
          <w:sz w:val="18"/>
          <w:szCs w:val="18"/>
        </w:rPr>
        <w:t xml:space="preserve">6.1.1 </w:t>
      </w:r>
      <w:r>
        <w:rPr>
          <w:rFonts w:hint="eastAsia" w:ascii="宋体" w:hAnsi="宋体" w:cs="宋体"/>
          <w:kern w:val="2"/>
          <w:sz w:val="18"/>
          <w:szCs w:val="18"/>
        </w:rPr>
        <w:t>响应到场时间超过约定服务时限的，处以</w:t>
      </w:r>
      <w:r>
        <w:rPr>
          <w:rFonts w:ascii="宋体" w:hAnsi="宋体" w:cs="宋体"/>
          <w:kern w:val="2"/>
          <w:sz w:val="18"/>
          <w:szCs w:val="18"/>
        </w:rPr>
        <w:t>100</w:t>
      </w:r>
      <w:r>
        <w:rPr>
          <w:rFonts w:hint="eastAsia" w:ascii="宋体" w:hAnsi="宋体" w:cs="宋体"/>
          <w:kern w:val="2"/>
          <w:sz w:val="18"/>
          <w:szCs w:val="18"/>
        </w:rPr>
        <w:t>元/次，本条按单次事件计算；</w:t>
      </w:r>
    </w:p>
    <w:p>
      <w:pPr>
        <w:pStyle w:val="129"/>
        <w:snapToGrid w:val="0"/>
        <w:spacing w:before="0" w:after="0" w:line="360" w:lineRule="auto"/>
        <w:ind w:left="0" w:right="0" w:firstLine="360" w:firstLineChars="200"/>
        <w:rPr>
          <w:rFonts w:ascii="宋体" w:hAnsi="宋体" w:cs="宋体"/>
          <w:kern w:val="2"/>
          <w:sz w:val="18"/>
          <w:szCs w:val="18"/>
        </w:rPr>
      </w:pPr>
      <w:r>
        <w:rPr>
          <w:rFonts w:ascii="宋体" w:hAnsi="宋体" w:cs="宋体"/>
          <w:kern w:val="2"/>
          <w:sz w:val="18"/>
          <w:szCs w:val="18"/>
        </w:rPr>
        <w:t xml:space="preserve">6.1.2 </w:t>
      </w:r>
      <w:r>
        <w:rPr>
          <w:rFonts w:hint="eastAsia" w:ascii="宋体" w:hAnsi="宋体" w:cs="宋体"/>
          <w:kern w:val="2"/>
          <w:sz w:val="18"/>
          <w:szCs w:val="18"/>
        </w:rPr>
        <w:t>临时修复时间超过约定服务时限的，处以</w:t>
      </w:r>
      <w:r>
        <w:rPr>
          <w:rFonts w:ascii="宋体" w:hAnsi="宋体" w:cs="宋体"/>
          <w:kern w:val="2"/>
          <w:sz w:val="18"/>
          <w:szCs w:val="18"/>
        </w:rPr>
        <w:t>200</w:t>
      </w:r>
      <w:r>
        <w:rPr>
          <w:rFonts w:hint="eastAsia" w:ascii="宋体" w:hAnsi="宋体" w:cs="宋体"/>
          <w:kern w:val="2"/>
          <w:sz w:val="18"/>
          <w:szCs w:val="18"/>
        </w:rPr>
        <w:t>元/次，本条按单次事件计算；</w:t>
      </w:r>
    </w:p>
    <w:p>
      <w:pPr>
        <w:pStyle w:val="129"/>
        <w:snapToGrid w:val="0"/>
        <w:spacing w:before="0" w:after="0" w:line="360" w:lineRule="auto"/>
        <w:ind w:left="0" w:right="0" w:firstLine="360" w:firstLineChars="200"/>
        <w:rPr>
          <w:rFonts w:ascii="宋体" w:hAnsi="宋体" w:cs="宋体"/>
          <w:kern w:val="2"/>
          <w:sz w:val="18"/>
          <w:szCs w:val="18"/>
        </w:rPr>
      </w:pPr>
      <w:r>
        <w:rPr>
          <w:rFonts w:ascii="宋体" w:hAnsi="宋体" w:cs="宋体"/>
          <w:kern w:val="2"/>
          <w:sz w:val="18"/>
          <w:szCs w:val="18"/>
        </w:rPr>
        <w:t xml:space="preserve">6.1.3 </w:t>
      </w:r>
      <w:r>
        <w:rPr>
          <w:rFonts w:hint="eastAsia" w:ascii="宋体" w:hAnsi="宋体" w:cs="宋体"/>
          <w:kern w:val="2"/>
          <w:sz w:val="18"/>
          <w:szCs w:val="18"/>
        </w:rPr>
        <w:t>完全修复时间超过约定服务时限的，处以</w:t>
      </w:r>
      <w:r>
        <w:rPr>
          <w:rFonts w:ascii="宋体" w:hAnsi="宋体" w:cs="宋体"/>
          <w:kern w:val="2"/>
          <w:sz w:val="18"/>
          <w:szCs w:val="18"/>
        </w:rPr>
        <w:t>500</w:t>
      </w:r>
      <w:r>
        <w:rPr>
          <w:rFonts w:hint="eastAsia" w:ascii="宋体" w:hAnsi="宋体" w:cs="宋体"/>
          <w:kern w:val="2"/>
          <w:sz w:val="18"/>
          <w:szCs w:val="18"/>
        </w:rPr>
        <w:t>元/次，本条按单次事件计算；</w:t>
      </w:r>
    </w:p>
    <w:p>
      <w:pPr>
        <w:pStyle w:val="129"/>
        <w:snapToGrid w:val="0"/>
        <w:spacing w:before="0" w:after="0" w:line="360" w:lineRule="auto"/>
        <w:ind w:left="0" w:right="0" w:firstLine="360" w:firstLineChars="200"/>
        <w:rPr>
          <w:rFonts w:ascii="宋体" w:hAnsi="宋体" w:cs="宋体"/>
          <w:kern w:val="2"/>
          <w:sz w:val="18"/>
          <w:szCs w:val="18"/>
        </w:rPr>
      </w:pPr>
      <w:r>
        <w:rPr>
          <w:rFonts w:ascii="宋体" w:hAnsi="宋体" w:cs="宋体"/>
          <w:kern w:val="2"/>
          <w:sz w:val="18"/>
          <w:szCs w:val="18"/>
        </w:rPr>
        <w:t xml:space="preserve">6.1.4 </w:t>
      </w:r>
      <w:r>
        <w:rPr>
          <w:rFonts w:hint="eastAsia" w:ascii="宋体" w:hAnsi="宋体" w:cs="宋体"/>
          <w:kern w:val="2"/>
          <w:sz w:val="18"/>
          <w:szCs w:val="18"/>
        </w:rPr>
        <w:t>如发生投标人有未及时处理日常维保故障的情况，招标人保留自行处理故障的权利，因招标人处理故障产生的人工、材料消耗及设施设备租用等费用（按招标人的收费标准计算），在投标人本季度进度款中扣除并追加处以</w:t>
      </w:r>
      <w:r>
        <w:rPr>
          <w:rFonts w:ascii="宋体" w:hAnsi="宋体" w:cs="宋体"/>
          <w:kern w:val="2"/>
          <w:sz w:val="18"/>
          <w:szCs w:val="18"/>
        </w:rPr>
        <w:t>500</w:t>
      </w:r>
      <w:r>
        <w:rPr>
          <w:rFonts w:hint="eastAsia" w:ascii="宋体" w:hAnsi="宋体" w:cs="宋体"/>
          <w:kern w:val="2"/>
          <w:sz w:val="18"/>
          <w:szCs w:val="18"/>
        </w:rPr>
        <w:t>元/次。</w:t>
      </w:r>
    </w:p>
    <w:p>
      <w:pPr>
        <w:pStyle w:val="129"/>
        <w:snapToGrid w:val="0"/>
        <w:spacing w:before="0" w:after="0" w:line="360" w:lineRule="auto"/>
        <w:ind w:left="0" w:right="0" w:firstLine="361" w:firstLineChars="200"/>
        <w:rPr>
          <w:rFonts w:cs="宋体" w:asciiTheme="minorEastAsia" w:hAnsiTheme="minorEastAsia" w:eastAsiaTheme="minorEastAsia"/>
          <w:b/>
          <w:bCs/>
          <w:kern w:val="2"/>
          <w:sz w:val="18"/>
          <w:szCs w:val="18"/>
        </w:rPr>
      </w:pPr>
      <w:r>
        <w:rPr>
          <w:rFonts w:hint="eastAsia" w:cs="宋体" w:asciiTheme="minorEastAsia" w:hAnsiTheme="minorEastAsia" w:eastAsiaTheme="minorEastAsia"/>
          <w:b/>
          <w:bCs/>
          <w:kern w:val="2"/>
          <w:sz w:val="18"/>
          <w:szCs w:val="18"/>
        </w:rPr>
        <w:t>6</w:t>
      </w:r>
      <w:r>
        <w:rPr>
          <w:rFonts w:cs="宋体" w:asciiTheme="minorEastAsia" w:hAnsiTheme="minorEastAsia" w:eastAsiaTheme="minorEastAsia"/>
          <w:b/>
          <w:bCs/>
          <w:kern w:val="2"/>
          <w:sz w:val="18"/>
          <w:szCs w:val="18"/>
        </w:rPr>
        <w:t xml:space="preserve">.2 </w:t>
      </w:r>
      <w:r>
        <w:rPr>
          <w:rFonts w:hint="eastAsia" w:cs="宋体" w:asciiTheme="minorEastAsia" w:hAnsiTheme="minorEastAsia" w:eastAsiaTheme="minorEastAsia"/>
          <w:b/>
          <w:bCs/>
          <w:kern w:val="2"/>
          <w:sz w:val="18"/>
          <w:szCs w:val="18"/>
        </w:rPr>
        <w:t>应急维保响应时间管理</w:t>
      </w:r>
    </w:p>
    <w:p>
      <w:pPr>
        <w:pStyle w:val="129"/>
        <w:snapToGrid w:val="0"/>
        <w:spacing w:before="0" w:after="0" w:line="360" w:lineRule="auto"/>
        <w:ind w:left="0" w:right="0" w:firstLine="360" w:firstLineChars="200"/>
        <w:rPr>
          <w:rFonts w:ascii="宋体" w:hAnsi="宋体" w:cs="宋体"/>
          <w:kern w:val="2"/>
          <w:sz w:val="18"/>
          <w:szCs w:val="18"/>
        </w:rPr>
      </w:pPr>
      <w:r>
        <w:rPr>
          <w:rFonts w:hint="eastAsia" w:ascii="宋体" w:hAnsi="宋体" w:cs="宋体"/>
          <w:kern w:val="2"/>
          <w:sz w:val="18"/>
          <w:szCs w:val="18"/>
        </w:rPr>
        <w:t>6</w:t>
      </w:r>
      <w:r>
        <w:rPr>
          <w:rFonts w:ascii="宋体" w:hAnsi="宋体" w:cs="宋体"/>
          <w:kern w:val="2"/>
          <w:sz w:val="18"/>
          <w:szCs w:val="18"/>
        </w:rPr>
        <w:t xml:space="preserve">.2.1 </w:t>
      </w:r>
      <w:r>
        <w:rPr>
          <w:rFonts w:hint="eastAsia" w:ascii="宋体" w:hAnsi="宋体" w:cs="宋体"/>
          <w:kern w:val="2"/>
          <w:sz w:val="18"/>
          <w:szCs w:val="18"/>
        </w:rPr>
        <w:t>响应到场时间超过约定服务时限的，处以</w:t>
      </w:r>
      <w:r>
        <w:rPr>
          <w:rFonts w:ascii="宋体" w:hAnsi="宋体" w:cs="宋体"/>
          <w:kern w:val="2"/>
          <w:sz w:val="18"/>
          <w:szCs w:val="18"/>
        </w:rPr>
        <w:t>300</w:t>
      </w:r>
      <w:r>
        <w:rPr>
          <w:rFonts w:hint="eastAsia" w:ascii="宋体" w:hAnsi="宋体" w:cs="宋体"/>
          <w:kern w:val="2"/>
          <w:sz w:val="18"/>
          <w:szCs w:val="18"/>
        </w:rPr>
        <w:t>元/次，本条按单次事件计算；</w:t>
      </w:r>
    </w:p>
    <w:p>
      <w:pPr>
        <w:pStyle w:val="129"/>
        <w:snapToGrid w:val="0"/>
        <w:spacing w:before="0" w:after="0" w:line="360" w:lineRule="auto"/>
        <w:ind w:left="0" w:right="0" w:firstLine="360" w:firstLineChars="200"/>
        <w:rPr>
          <w:rFonts w:ascii="宋体" w:hAnsi="宋体" w:cs="宋体"/>
          <w:kern w:val="2"/>
          <w:sz w:val="18"/>
          <w:szCs w:val="18"/>
        </w:rPr>
      </w:pPr>
      <w:r>
        <w:rPr>
          <w:rFonts w:hint="eastAsia" w:ascii="宋体" w:hAnsi="宋体" w:cs="宋体"/>
          <w:kern w:val="2"/>
          <w:sz w:val="18"/>
          <w:szCs w:val="18"/>
        </w:rPr>
        <w:t>6</w:t>
      </w:r>
      <w:r>
        <w:rPr>
          <w:rFonts w:ascii="宋体" w:hAnsi="宋体" w:cs="宋体"/>
          <w:kern w:val="2"/>
          <w:sz w:val="18"/>
          <w:szCs w:val="18"/>
        </w:rPr>
        <w:t xml:space="preserve">.2.2 </w:t>
      </w:r>
      <w:r>
        <w:rPr>
          <w:rFonts w:hint="eastAsia" w:ascii="宋体" w:hAnsi="宋体" w:cs="宋体"/>
          <w:kern w:val="2"/>
          <w:sz w:val="18"/>
          <w:szCs w:val="18"/>
        </w:rPr>
        <w:t>临时修复时间超过约定服务时限的，处以</w:t>
      </w:r>
      <w:r>
        <w:rPr>
          <w:rFonts w:ascii="宋体" w:hAnsi="宋体" w:cs="宋体"/>
          <w:kern w:val="2"/>
          <w:sz w:val="18"/>
          <w:szCs w:val="18"/>
        </w:rPr>
        <w:t>500</w:t>
      </w:r>
      <w:r>
        <w:rPr>
          <w:rFonts w:hint="eastAsia" w:ascii="宋体" w:hAnsi="宋体" w:cs="宋体"/>
          <w:kern w:val="2"/>
          <w:sz w:val="18"/>
          <w:szCs w:val="18"/>
        </w:rPr>
        <w:t>元/次，本条按单次事件计算；</w:t>
      </w:r>
    </w:p>
    <w:p>
      <w:pPr>
        <w:pStyle w:val="129"/>
        <w:snapToGrid w:val="0"/>
        <w:spacing w:before="0" w:after="0" w:line="360" w:lineRule="auto"/>
        <w:ind w:left="0" w:right="0" w:firstLine="360" w:firstLineChars="200"/>
        <w:rPr>
          <w:rFonts w:ascii="宋体" w:hAnsi="宋体" w:cs="宋体"/>
          <w:kern w:val="2"/>
          <w:sz w:val="18"/>
          <w:szCs w:val="18"/>
        </w:rPr>
      </w:pPr>
      <w:r>
        <w:rPr>
          <w:rFonts w:hint="eastAsia" w:ascii="宋体" w:hAnsi="宋体" w:cs="宋体"/>
          <w:kern w:val="2"/>
          <w:sz w:val="18"/>
          <w:szCs w:val="18"/>
        </w:rPr>
        <w:t>6</w:t>
      </w:r>
      <w:r>
        <w:rPr>
          <w:rFonts w:ascii="宋体" w:hAnsi="宋体" w:cs="宋体"/>
          <w:kern w:val="2"/>
          <w:sz w:val="18"/>
          <w:szCs w:val="18"/>
        </w:rPr>
        <w:t xml:space="preserve">.2.3 </w:t>
      </w:r>
      <w:r>
        <w:rPr>
          <w:rFonts w:hint="eastAsia" w:ascii="宋体" w:hAnsi="宋体" w:cs="宋体"/>
          <w:kern w:val="2"/>
          <w:sz w:val="18"/>
          <w:szCs w:val="18"/>
        </w:rPr>
        <w:t>如发生投标人有未及时处理应急维保故障的情况，招标人保留自行处理故障的权利，因招标人处理故障产生的人工、材料消耗及设施设备租用等费用（按招标人的收费标准计算），在投标人进度款中扣除并追加处以</w:t>
      </w:r>
      <w:r>
        <w:rPr>
          <w:rFonts w:ascii="宋体" w:hAnsi="宋体" w:cs="宋体"/>
          <w:kern w:val="2"/>
          <w:sz w:val="18"/>
          <w:szCs w:val="18"/>
        </w:rPr>
        <w:t>1000</w:t>
      </w:r>
      <w:r>
        <w:rPr>
          <w:rFonts w:hint="eastAsia" w:ascii="宋体" w:hAnsi="宋体" w:cs="宋体"/>
          <w:kern w:val="2"/>
          <w:sz w:val="18"/>
          <w:szCs w:val="18"/>
        </w:rPr>
        <w:t>元/次。如在合同期内发生3次及以上的情况，招标人有权解除合同并扣除履约保证金，造成的损失由投标人承担。</w:t>
      </w:r>
    </w:p>
    <w:p>
      <w:pPr>
        <w:pStyle w:val="129"/>
        <w:snapToGrid w:val="0"/>
        <w:spacing w:before="0" w:after="0" w:line="360" w:lineRule="auto"/>
        <w:ind w:left="0" w:right="0" w:firstLine="361" w:firstLineChars="200"/>
        <w:rPr>
          <w:rFonts w:cs="宋体" w:asciiTheme="minorEastAsia" w:hAnsiTheme="minorEastAsia" w:eastAsiaTheme="minorEastAsia"/>
          <w:b/>
          <w:bCs/>
          <w:kern w:val="2"/>
          <w:sz w:val="18"/>
          <w:szCs w:val="18"/>
        </w:rPr>
      </w:pPr>
      <w:r>
        <w:rPr>
          <w:rFonts w:cs="宋体" w:asciiTheme="minorEastAsia" w:hAnsiTheme="minorEastAsia" w:eastAsiaTheme="minorEastAsia"/>
          <w:b/>
          <w:bCs/>
          <w:kern w:val="2"/>
          <w:sz w:val="18"/>
          <w:szCs w:val="18"/>
        </w:rPr>
        <w:t xml:space="preserve">6.3 </w:t>
      </w:r>
      <w:r>
        <w:rPr>
          <w:rFonts w:hint="eastAsia" w:cs="宋体" w:asciiTheme="minorEastAsia" w:hAnsiTheme="minorEastAsia" w:eastAsiaTheme="minorEastAsia"/>
          <w:b/>
          <w:bCs/>
          <w:kern w:val="2"/>
          <w:sz w:val="18"/>
          <w:szCs w:val="18"/>
        </w:rPr>
        <w:t>维修维保工作质量</w:t>
      </w:r>
    </w:p>
    <w:p>
      <w:pPr>
        <w:pStyle w:val="129"/>
        <w:snapToGrid w:val="0"/>
        <w:spacing w:before="0" w:after="0" w:line="360" w:lineRule="auto"/>
        <w:ind w:left="0" w:right="0" w:firstLine="360" w:firstLineChars="200"/>
        <w:rPr>
          <w:rFonts w:ascii="宋体" w:hAnsi="宋体" w:cs="宋体"/>
          <w:kern w:val="2"/>
          <w:sz w:val="18"/>
          <w:szCs w:val="18"/>
        </w:rPr>
      </w:pPr>
      <w:r>
        <w:rPr>
          <w:rFonts w:ascii="宋体" w:hAnsi="宋体" w:cs="宋体"/>
          <w:kern w:val="2"/>
          <w:sz w:val="18"/>
          <w:szCs w:val="18"/>
        </w:rPr>
        <w:t xml:space="preserve">6.3.1 </w:t>
      </w:r>
      <w:r>
        <w:rPr>
          <w:rFonts w:hint="eastAsia" w:ascii="宋体" w:hAnsi="宋体" w:cs="宋体"/>
          <w:kern w:val="2"/>
          <w:sz w:val="18"/>
          <w:szCs w:val="18"/>
        </w:rPr>
        <w:t>在维保过程中因投标人提供的不合格的维保配件或消耗料导致被维保物资、设施设备故障、损坏及产生的安全险性事件、连锁事件等，投标人需更换合格的维保配件或消耗料并承担维修该物资及设施设备所产生的一切费用，处以违约金</w:t>
      </w:r>
      <w:r>
        <w:rPr>
          <w:rFonts w:ascii="宋体" w:hAnsi="宋体" w:cs="宋体"/>
          <w:kern w:val="2"/>
          <w:sz w:val="18"/>
          <w:szCs w:val="18"/>
        </w:rPr>
        <w:t>500</w:t>
      </w:r>
      <w:r>
        <w:rPr>
          <w:rFonts w:hint="eastAsia" w:ascii="宋体" w:hAnsi="宋体" w:cs="宋体"/>
          <w:kern w:val="2"/>
          <w:sz w:val="18"/>
          <w:szCs w:val="18"/>
        </w:rPr>
        <w:t>元/次；</w:t>
      </w:r>
    </w:p>
    <w:p>
      <w:pPr>
        <w:pStyle w:val="129"/>
        <w:snapToGrid w:val="0"/>
        <w:spacing w:before="0" w:after="0" w:line="360" w:lineRule="auto"/>
        <w:ind w:left="0" w:right="0" w:firstLine="360" w:firstLineChars="200"/>
        <w:rPr>
          <w:rFonts w:ascii="宋体" w:hAnsi="宋体" w:cs="宋体"/>
          <w:kern w:val="2"/>
          <w:sz w:val="18"/>
          <w:szCs w:val="18"/>
        </w:rPr>
      </w:pPr>
      <w:r>
        <w:rPr>
          <w:rFonts w:ascii="宋体" w:hAnsi="宋体" w:cs="宋体"/>
          <w:kern w:val="2"/>
          <w:sz w:val="18"/>
          <w:szCs w:val="18"/>
        </w:rPr>
        <w:t>6.3.</w:t>
      </w:r>
      <w:r>
        <w:rPr>
          <w:rFonts w:hint="eastAsia" w:ascii="宋体" w:hAnsi="宋体" w:cs="宋体"/>
          <w:kern w:val="2"/>
          <w:sz w:val="18"/>
          <w:szCs w:val="18"/>
        </w:rPr>
        <w:t>2</w:t>
      </w:r>
      <w:r>
        <w:rPr>
          <w:rFonts w:ascii="宋体" w:hAnsi="宋体" w:cs="宋体"/>
          <w:kern w:val="2"/>
          <w:sz w:val="18"/>
          <w:szCs w:val="18"/>
        </w:rPr>
        <w:t xml:space="preserve"> </w:t>
      </w:r>
      <w:r>
        <w:rPr>
          <w:rFonts w:hint="eastAsia" w:ascii="宋体" w:hAnsi="宋体" w:cs="宋体"/>
          <w:kern w:val="2"/>
          <w:sz w:val="18"/>
          <w:szCs w:val="18"/>
        </w:rPr>
        <w:t>在维保过程中，投标人提供的维保配件、消耗料质保期内（质保期按国家三包政策或行业规定执行、以维保时间安装之日起进行计算）出现质量问题，投标人在收到招标人通知后拒不维修的，取消本次维修维保费用，并处以</w:t>
      </w:r>
      <w:r>
        <w:rPr>
          <w:rFonts w:ascii="宋体" w:hAnsi="宋体" w:cs="宋体"/>
          <w:kern w:val="2"/>
          <w:sz w:val="18"/>
          <w:szCs w:val="18"/>
        </w:rPr>
        <w:t>500</w:t>
      </w:r>
      <w:r>
        <w:rPr>
          <w:rFonts w:hint="eastAsia" w:ascii="宋体" w:hAnsi="宋体" w:cs="宋体"/>
          <w:kern w:val="2"/>
          <w:sz w:val="18"/>
          <w:szCs w:val="18"/>
        </w:rPr>
        <w:t>元/次；</w:t>
      </w:r>
    </w:p>
    <w:p>
      <w:pPr>
        <w:pStyle w:val="129"/>
        <w:snapToGrid w:val="0"/>
        <w:spacing w:before="0" w:after="0" w:line="360" w:lineRule="auto"/>
        <w:ind w:left="0" w:right="0" w:firstLine="361" w:firstLineChars="200"/>
        <w:rPr>
          <w:rFonts w:cs="宋体" w:asciiTheme="minorEastAsia" w:hAnsiTheme="minorEastAsia" w:eastAsiaTheme="minorEastAsia"/>
          <w:b/>
          <w:bCs/>
          <w:kern w:val="2"/>
          <w:sz w:val="18"/>
          <w:szCs w:val="18"/>
        </w:rPr>
      </w:pPr>
      <w:r>
        <w:rPr>
          <w:rFonts w:cs="宋体" w:asciiTheme="minorEastAsia" w:hAnsiTheme="minorEastAsia" w:eastAsiaTheme="minorEastAsia"/>
          <w:b/>
          <w:bCs/>
          <w:kern w:val="2"/>
          <w:sz w:val="18"/>
          <w:szCs w:val="18"/>
        </w:rPr>
        <w:t xml:space="preserve">6.4 </w:t>
      </w:r>
      <w:r>
        <w:rPr>
          <w:rFonts w:hint="eastAsia" w:cs="宋体" w:asciiTheme="minorEastAsia" w:hAnsiTheme="minorEastAsia" w:eastAsiaTheme="minorEastAsia"/>
          <w:b/>
          <w:bCs/>
          <w:kern w:val="2"/>
          <w:sz w:val="18"/>
          <w:szCs w:val="18"/>
        </w:rPr>
        <w:t>维保安全管理</w:t>
      </w:r>
    </w:p>
    <w:p>
      <w:pPr>
        <w:pStyle w:val="129"/>
        <w:snapToGrid w:val="0"/>
        <w:spacing w:before="0" w:after="0" w:line="360" w:lineRule="auto"/>
        <w:ind w:left="0" w:right="0" w:firstLine="360" w:firstLineChars="200"/>
        <w:rPr>
          <w:rFonts w:cs="宋体" w:asciiTheme="minorEastAsia" w:hAnsiTheme="minorEastAsia" w:eastAsiaTheme="minorEastAsia"/>
          <w:kern w:val="2"/>
          <w:sz w:val="18"/>
          <w:szCs w:val="18"/>
        </w:rPr>
      </w:pPr>
      <w:r>
        <w:rPr>
          <w:rFonts w:cs="宋体" w:asciiTheme="minorEastAsia" w:hAnsiTheme="minorEastAsia" w:eastAsiaTheme="minorEastAsia"/>
          <w:kern w:val="2"/>
          <w:sz w:val="18"/>
          <w:szCs w:val="18"/>
        </w:rPr>
        <w:t xml:space="preserve">6.4.1 </w:t>
      </w:r>
      <w:r>
        <w:rPr>
          <w:rFonts w:hint="eastAsia" w:cs="宋体" w:asciiTheme="minorEastAsia" w:hAnsiTheme="minorEastAsia" w:eastAsiaTheme="minorEastAsia"/>
          <w:kern w:val="2"/>
          <w:sz w:val="18"/>
          <w:szCs w:val="18"/>
        </w:rPr>
        <w:t>投标人违反国家各类安全管理规定、法律法规（以国家最新规定为准），处以违约金</w:t>
      </w:r>
      <w:r>
        <w:rPr>
          <w:rFonts w:cs="宋体" w:asciiTheme="minorEastAsia" w:hAnsiTheme="minorEastAsia" w:eastAsiaTheme="minorEastAsia"/>
          <w:kern w:val="2"/>
          <w:sz w:val="18"/>
          <w:szCs w:val="18"/>
        </w:rPr>
        <w:t>1000</w:t>
      </w:r>
      <w:r>
        <w:rPr>
          <w:rFonts w:hint="eastAsia" w:cs="宋体" w:asciiTheme="minorEastAsia" w:hAnsiTheme="minorEastAsia" w:eastAsiaTheme="minorEastAsia"/>
          <w:kern w:val="2"/>
          <w:sz w:val="18"/>
          <w:szCs w:val="18"/>
        </w:rPr>
        <w:t>元/次。造成招标人的其他损失，招标人有权向投标人索赔。除投标人有充分证据证明以上事件与自身无关，否则无条件承担上述责任；</w:t>
      </w:r>
    </w:p>
    <w:p>
      <w:pPr>
        <w:pStyle w:val="129"/>
        <w:snapToGrid w:val="0"/>
        <w:spacing w:before="0" w:after="0" w:line="360" w:lineRule="auto"/>
        <w:ind w:left="0" w:right="0" w:firstLine="360" w:firstLineChars="200"/>
        <w:rPr>
          <w:rFonts w:cs="宋体" w:asciiTheme="minorEastAsia" w:hAnsiTheme="minorEastAsia" w:eastAsiaTheme="minorEastAsia"/>
          <w:kern w:val="2"/>
          <w:sz w:val="18"/>
          <w:szCs w:val="18"/>
        </w:rPr>
      </w:pPr>
      <w:r>
        <w:rPr>
          <w:rFonts w:cs="宋体" w:asciiTheme="minorEastAsia" w:hAnsiTheme="minorEastAsia" w:eastAsiaTheme="minorEastAsia"/>
          <w:kern w:val="2"/>
          <w:sz w:val="18"/>
          <w:szCs w:val="18"/>
        </w:rPr>
        <w:t xml:space="preserve">6.4.2 </w:t>
      </w:r>
      <w:r>
        <w:rPr>
          <w:rFonts w:hint="eastAsia" w:cs="宋体" w:asciiTheme="minorEastAsia" w:hAnsiTheme="minorEastAsia" w:eastAsiaTheme="minorEastAsia"/>
          <w:kern w:val="2"/>
          <w:sz w:val="18"/>
          <w:szCs w:val="18"/>
        </w:rPr>
        <w:t>因投标人原因造成招标人、第三方财产或人身损害的投标人除负责赔偿责任外，仍需向招标人赔付由招标人依据安全事故事件的性质、损失及招标人的名誉、形象受损的范围和程度等确定的费用。</w:t>
      </w:r>
    </w:p>
    <w:p>
      <w:pPr>
        <w:pStyle w:val="4"/>
        <w:spacing w:line="360" w:lineRule="auto"/>
        <w:rPr>
          <w:rFonts w:ascii="黑体" w:hAnsi="黑体" w:eastAsia="黑体"/>
          <w:bCs w:val="0"/>
          <w:sz w:val="24"/>
        </w:rPr>
      </w:pPr>
      <w:bookmarkStart w:id="1885" w:name="_Toc110498350"/>
      <w:bookmarkStart w:id="1886" w:name="_Toc118923789"/>
      <w:bookmarkStart w:id="1887" w:name="_Toc23201"/>
      <w:r>
        <w:rPr>
          <w:rFonts w:hint="eastAsia" w:ascii="黑体" w:hAnsi="黑体" w:eastAsia="黑体"/>
          <w:sz w:val="24"/>
        </w:rPr>
        <w:t>7.验收要求</w:t>
      </w:r>
      <w:bookmarkEnd w:id="1885"/>
      <w:bookmarkEnd w:id="1886"/>
      <w:bookmarkEnd w:id="1887"/>
    </w:p>
    <w:p>
      <w:pPr>
        <w:numPr>
          <w:ilvl w:val="0"/>
          <w:numId w:val="13"/>
        </w:numPr>
        <w:spacing w:line="360" w:lineRule="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投标人需提交计划维保工作情况记录，主要包括：维保记录表、维保服务考评表（详见附件3、4）。</w:t>
      </w:r>
    </w:p>
    <w:p>
      <w:pPr>
        <w:numPr>
          <w:ilvl w:val="0"/>
          <w:numId w:val="13"/>
        </w:numPr>
        <w:spacing w:line="360" w:lineRule="auto"/>
        <w:rPr>
          <w:rFonts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rPr>
        <w:t>本项目通过单价上控、据实结算的形式，投标人在接到招标人通知后，</w:t>
      </w:r>
      <w:r>
        <w:rPr>
          <w:rFonts w:hint="eastAsia" w:cs="宋体" w:asciiTheme="minorEastAsia" w:hAnsiTheme="minorEastAsia" w:eastAsiaTheme="minorEastAsia"/>
          <w:sz w:val="18"/>
          <w:szCs w:val="18"/>
          <w:lang w:bidi="ar"/>
        </w:rPr>
        <w:t>必须及时组织人力、物力按照招标人的安排和要求进行维保，并通过填写《维保记录表》签字确认维保结果，结合由项目主办部门出具的《维保服务考评表》作为项目计量结算的凭证递交招标人进行归档。</w:t>
      </w:r>
    </w:p>
    <w:p>
      <w:pPr>
        <w:pStyle w:val="2"/>
        <w:spacing w:line="360" w:lineRule="auto"/>
        <w:ind w:firstLine="360" w:firstLineChars="200"/>
        <w:rPr>
          <w:rFonts w:cs="宋体" w:hAnsiTheme="minorEastAsia"/>
          <w:sz w:val="18"/>
          <w:szCs w:val="18"/>
          <w:lang w:bidi="ar"/>
        </w:rPr>
      </w:pPr>
      <w:r>
        <w:rPr>
          <w:rFonts w:hint="eastAsia" w:cs="宋体" w:hAnsiTheme="minorEastAsia"/>
          <w:sz w:val="18"/>
          <w:szCs w:val="18"/>
          <w:lang w:bidi="ar"/>
        </w:rPr>
        <w:t>7</w:t>
      </w:r>
      <w:r>
        <w:rPr>
          <w:rFonts w:cs="宋体" w:hAnsiTheme="minorEastAsia"/>
          <w:sz w:val="18"/>
          <w:szCs w:val="18"/>
          <w:lang w:bidi="ar"/>
        </w:rPr>
        <w:t>.3</w:t>
      </w:r>
      <w:r>
        <w:rPr>
          <w:rFonts w:hint="eastAsia" w:cs="宋体" w:hAnsiTheme="minorEastAsia"/>
          <w:sz w:val="18"/>
          <w:szCs w:val="18"/>
          <w:lang w:bidi="ar"/>
        </w:rPr>
        <w:t>部分验收要求：</w:t>
      </w:r>
    </w:p>
    <w:p>
      <w:pPr>
        <w:pStyle w:val="2"/>
        <w:spacing w:line="360" w:lineRule="auto"/>
        <w:ind w:firstLine="360" w:firstLineChars="200"/>
        <w:rPr>
          <w:rFonts w:cs="宋体" w:hAnsiTheme="minorEastAsia"/>
          <w:sz w:val="18"/>
          <w:szCs w:val="18"/>
          <w:lang w:bidi="ar"/>
        </w:rPr>
      </w:pPr>
      <w:r>
        <w:rPr>
          <w:rFonts w:hint="eastAsia" w:cs="宋体" w:hAnsiTheme="minorEastAsia"/>
          <w:sz w:val="18"/>
          <w:szCs w:val="18"/>
          <w:lang w:bidi="ar"/>
        </w:rPr>
        <w:t>7</w:t>
      </w:r>
      <w:r>
        <w:rPr>
          <w:rFonts w:cs="宋体" w:hAnsiTheme="minorEastAsia"/>
          <w:sz w:val="18"/>
          <w:szCs w:val="18"/>
          <w:lang w:bidi="ar"/>
        </w:rPr>
        <w:t xml:space="preserve">.3.1 </w:t>
      </w:r>
      <w:r>
        <w:rPr>
          <w:rFonts w:hint="eastAsia" w:cs="宋体" w:hAnsiTheme="minorEastAsia"/>
          <w:sz w:val="18"/>
          <w:szCs w:val="18"/>
          <w:lang w:bidi="ar"/>
        </w:rPr>
        <w:t>天花（顶棚）不存在明显的色差，天花吊顶满足“横平竖直”的基本要求，天花（顶棚）上方无异物；</w:t>
      </w:r>
    </w:p>
    <w:p>
      <w:pPr>
        <w:pStyle w:val="2"/>
        <w:spacing w:line="360" w:lineRule="auto"/>
        <w:ind w:firstLine="360" w:firstLineChars="200"/>
        <w:rPr>
          <w:rFonts w:cs="宋体" w:hAnsiTheme="minorEastAsia"/>
          <w:sz w:val="18"/>
          <w:szCs w:val="18"/>
          <w:lang w:bidi="ar"/>
        </w:rPr>
      </w:pPr>
      <w:r>
        <w:rPr>
          <w:rFonts w:cs="宋体" w:hAnsiTheme="minorEastAsia"/>
          <w:sz w:val="18"/>
          <w:szCs w:val="18"/>
          <w:lang w:bidi="ar"/>
        </w:rPr>
        <w:t xml:space="preserve">7.3.2 </w:t>
      </w:r>
      <w:r>
        <w:rPr>
          <w:rFonts w:hint="eastAsia" w:cs="宋体" w:hAnsiTheme="minorEastAsia"/>
          <w:sz w:val="18"/>
          <w:szCs w:val="18"/>
          <w:lang w:bidi="ar"/>
        </w:rPr>
        <w:t>地面（瓷砖、地坪）等无明显空鼓、破损、缺角、裂缝等现象，勾缝砂浆无污损且不存在明显色差。地砖包边条不脱落、翘起。</w:t>
      </w:r>
    </w:p>
    <w:p>
      <w:pPr>
        <w:pStyle w:val="2"/>
        <w:spacing w:line="360" w:lineRule="auto"/>
        <w:ind w:firstLine="360" w:firstLineChars="200"/>
        <w:rPr>
          <w:rFonts w:cs="宋体" w:hAnsiTheme="minorEastAsia"/>
          <w:sz w:val="18"/>
          <w:szCs w:val="18"/>
          <w:lang w:bidi="ar"/>
        </w:rPr>
      </w:pPr>
      <w:r>
        <w:rPr>
          <w:rFonts w:hint="eastAsia" w:cs="宋体" w:hAnsiTheme="minorEastAsia"/>
          <w:sz w:val="18"/>
          <w:szCs w:val="18"/>
          <w:lang w:bidi="ar"/>
        </w:rPr>
        <w:t>7</w:t>
      </w:r>
      <w:r>
        <w:rPr>
          <w:rFonts w:cs="宋体" w:hAnsiTheme="minorEastAsia"/>
          <w:sz w:val="18"/>
          <w:szCs w:val="18"/>
          <w:lang w:bidi="ar"/>
        </w:rPr>
        <w:t xml:space="preserve">.3.3 </w:t>
      </w:r>
      <w:r>
        <w:rPr>
          <w:rFonts w:hint="eastAsia" w:cs="宋体" w:hAnsiTheme="minorEastAsia"/>
          <w:sz w:val="18"/>
          <w:szCs w:val="18"/>
          <w:lang w:bidi="ar"/>
        </w:rPr>
        <w:t>墙面面层（抹灰、面漆、墙砖等）无明显空鼓、裂缝、风化、剥落等现象，勾缝砂浆无松脱等现象，阳角护角无破损、缺失等。墙面漆色泽均匀，不褪色，墙面各类孔洞封堵严实，且封堵后面层色泽与周边一致，无明显色差。墙面无异物突出。</w:t>
      </w:r>
    </w:p>
    <w:p>
      <w:pPr>
        <w:pStyle w:val="2"/>
        <w:spacing w:line="360" w:lineRule="auto"/>
        <w:ind w:firstLine="360" w:firstLineChars="200"/>
        <w:rPr>
          <w:rFonts w:cs="宋体" w:hAnsiTheme="minorEastAsia"/>
          <w:sz w:val="18"/>
          <w:szCs w:val="18"/>
          <w:lang w:bidi="ar"/>
        </w:rPr>
      </w:pPr>
      <w:r>
        <w:rPr>
          <w:rFonts w:hint="eastAsia" w:cs="宋体" w:hAnsiTheme="minorEastAsia"/>
          <w:sz w:val="18"/>
          <w:szCs w:val="18"/>
          <w:lang w:bidi="ar"/>
        </w:rPr>
        <w:t>7</w:t>
      </w:r>
      <w:r>
        <w:rPr>
          <w:rFonts w:cs="宋体" w:hAnsiTheme="minorEastAsia"/>
          <w:sz w:val="18"/>
          <w:szCs w:val="18"/>
          <w:lang w:bidi="ar"/>
        </w:rPr>
        <w:t xml:space="preserve">.3.4 </w:t>
      </w:r>
      <w:r>
        <w:rPr>
          <w:rFonts w:hint="eastAsia" w:cs="宋体" w:hAnsiTheme="minorEastAsia"/>
          <w:sz w:val="18"/>
          <w:szCs w:val="18"/>
          <w:lang w:bidi="ar"/>
        </w:rPr>
        <w:t>装饰墙板无空鼓、破损、变形、脱落，油漆完好无损。</w:t>
      </w:r>
    </w:p>
    <w:p>
      <w:pPr>
        <w:pStyle w:val="2"/>
        <w:spacing w:line="360" w:lineRule="auto"/>
        <w:ind w:firstLine="360" w:firstLineChars="200"/>
        <w:rPr>
          <w:rFonts w:cs="宋体" w:hAnsiTheme="minorEastAsia"/>
          <w:sz w:val="18"/>
          <w:szCs w:val="18"/>
          <w:lang w:bidi="ar"/>
        </w:rPr>
      </w:pPr>
      <w:r>
        <w:rPr>
          <w:rFonts w:hint="eastAsia" w:cs="宋体" w:hAnsiTheme="minorEastAsia"/>
          <w:sz w:val="18"/>
          <w:szCs w:val="18"/>
          <w:lang w:bidi="ar"/>
        </w:rPr>
        <w:t>7</w:t>
      </w:r>
      <w:r>
        <w:rPr>
          <w:rFonts w:cs="宋体" w:hAnsiTheme="minorEastAsia"/>
          <w:sz w:val="18"/>
          <w:szCs w:val="18"/>
          <w:lang w:bidi="ar"/>
        </w:rPr>
        <w:t>.3.5</w:t>
      </w:r>
      <w:r>
        <w:rPr>
          <w:rFonts w:hint="eastAsia" w:cs="宋体" w:hAnsiTheme="minorEastAsia"/>
          <w:sz w:val="18"/>
          <w:szCs w:val="18"/>
          <w:lang w:bidi="ar"/>
        </w:rPr>
        <w:t>照明灯具以简洁、实用、便于安装和维修为原则，安装牢固、无破损、变形、脱落。照度要求以工作面为参考面。</w:t>
      </w:r>
    </w:p>
    <w:p>
      <w:pPr>
        <w:pStyle w:val="2"/>
        <w:spacing w:line="360" w:lineRule="auto"/>
        <w:ind w:firstLine="360" w:firstLineChars="200"/>
        <w:rPr>
          <w:rFonts w:cs="宋体" w:hAnsiTheme="minorEastAsia"/>
          <w:sz w:val="18"/>
          <w:szCs w:val="18"/>
          <w:lang w:bidi="ar"/>
        </w:rPr>
      </w:pPr>
      <w:r>
        <w:rPr>
          <w:rFonts w:hint="eastAsia" w:cs="宋体" w:hAnsiTheme="minorEastAsia"/>
          <w:sz w:val="18"/>
          <w:szCs w:val="18"/>
          <w:lang w:bidi="ar"/>
        </w:rPr>
        <w:t>7</w:t>
      </w:r>
      <w:r>
        <w:rPr>
          <w:rFonts w:cs="宋体" w:hAnsiTheme="minorEastAsia"/>
          <w:sz w:val="18"/>
          <w:szCs w:val="18"/>
          <w:lang w:bidi="ar"/>
        </w:rPr>
        <w:t xml:space="preserve">.3.6 </w:t>
      </w:r>
      <w:r>
        <w:rPr>
          <w:rFonts w:hint="eastAsia" w:cs="宋体" w:hAnsiTheme="minorEastAsia"/>
          <w:sz w:val="18"/>
          <w:szCs w:val="18"/>
          <w:lang w:bidi="ar"/>
        </w:rPr>
        <w:t>插座回路设置漏电保护，安装牢固、无破损、变形、脱落。</w:t>
      </w:r>
    </w:p>
    <w:p>
      <w:pPr>
        <w:pStyle w:val="2"/>
        <w:spacing w:line="360" w:lineRule="auto"/>
        <w:ind w:firstLine="360" w:firstLineChars="200"/>
        <w:rPr>
          <w:rFonts w:cs="宋体" w:hAnsiTheme="minorEastAsia"/>
          <w:sz w:val="18"/>
          <w:szCs w:val="18"/>
          <w:lang w:bidi="ar"/>
        </w:rPr>
      </w:pPr>
      <w:r>
        <w:rPr>
          <w:rFonts w:hint="eastAsia" w:cs="宋体" w:hAnsiTheme="minorEastAsia"/>
          <w:sz w:val="18"/>
          <w:szCs w:val="18"/>
          <w:lang w:bidi="ar"/>
        </w:rPr>
        <w:t>7</w:t>
      </w:r>
      <w:r>
        <w:rPr>
          <w:rFonts w:cs="宋体" w:hAnsiTheme="minorEastAsia"/>
          <w:sz w:val="18"/>
          <w:szCs w:val="18"/>
          <w:lang w:bidi="ar"/>
        </w:rPr>
        <w:t xml:space="preserve">.3.7 </w:t>
      </w:r>
      <w:r>
        <w:rPr>
          <w:rFonts w:hint="eastAsia" w:cs="宋体" w:hAnsiTheme="minorEastAsia"/>
          <w:sz w:val="18"/>
          <w:szCs w:val="18"/>
          <w:lang w:bidi="ar"/>
        </w:rPr>
        <w:t>照明灯具、插座，保证设备可靠接地。</w:t>
      </w:r>
    </w:p>
    <w:p>
      <w:pPr>
        <w:pStyle w:val="2"/>
        <w:spacing w:line="360" w:lineRule="auto"/>
        <w:ind w:firstLine="360" w:firstLineChars="200"/>
        <w:rPr>
          <w:rFonts w:cs="宋体" w:hAnsiTheme="minorEastAsia"/>
          <w:sz w:val="18"/>
          <w:szCs w:val="18"/>
          <w:lang w:bidi="ar"/>
        </w:rPr>
      </w:pPr>
      <w:r>
        <w:rPr>
          <w:rFonts w:hint="eastAsia" w:cs="宋体" w:hAnsiTheme="minorEastAsia"/>
          <w:sz w:val="18"/>
          <w:szCs w:val="18"/>
          <w:lang w:bidi="ar"/>
        </w:rPr>
        <w:t>7</w:t>
      </w:r>
      <w:r>
        <w:rPr>
          <w:rFonts w:cs="宋体" w:hAnsiTheme="minorEastAsia"/>
          <w:sz w:val="18"/>
          <w:szCs w:val="18"/>
          <w:lang w:bidi="ar"/>
        </w:rPr>
        <w:t xml:space="preserve">.3.8 </w:t>
      </w:r>
      <w:r>
        <w:rPr>
          <w:rFonts w:hint="eastAsia" w:cs="宋体" w:hAnsiTheme="minorEastAsia"/>
          <w:sz w:val="18"/>
          <w:szCs w:val="18"/>
          <w:lang w:bidi="ar"/>
        </w:rPr>
        <w:t>给排水（包括洗手间小便池等）无渗水、漏水，排水畅通。</w:t>
      </w:r>
    </w:p>
    <w:p>
      <w:pPr>
        <w:pStyle w:val="4"/>
        <w:spacing w:line="360" w:lineRule="auto"/>
        <w:rPr>
          <w:rFonts w:ascii="黑体" w:hAnsi="黑体" w:eastAsia="黑体"/>
          <w:bCs w:val="0"/>
          <w:sz w:val="24"/>
        </w:rPr>
      </w:pPr>
      <w:bookmarkStart w:id="1888" w:name="_Toc110498351"/>
      <w:bookmarkStart w:id="1889" w:name="_Toc75771567"/>
      <w:bookmarkStart w:id="1890" w:name="_Toc75442118"/>
      <w:bookmarkStart w:id="1891" w:name="_Toc118923790"/>
      <w:bookmarkStart w:id="1892" w:name="_Toc16248"/>
      <w:r>
        <w:rPr>
          <w:rFonts w:hint="eastAsia" w:ascii="黑体" w:hAnsi="黑体" w:eastAsia="黑体"/>
          <w:bCs w:val="0"/>
          <w:sz w:val="24"/>
        </w:rPr>
        <w:t>8.其它附件</w:t>
      </w:r>
      <w:bookmarkEnd w:id="1888"/>
      <w:bookmarkEnd w:id="1889"/>
      <w:bookmarkEnd w:id="1890"/>
      <w:bookmarkEnd w:id="1891"/>
      <w:bookmarkEnd w:id="1892"/>
    </w:p>
    <w:p>
      <w:pPr>
        <w:pStyle w:val="4"/>
        <w:spacing w:line="360" w:lineRule="auto"/>
        <w:rPr>
          <w:b w:val="0"/>
          <w:bCs w:val="0"/>
        </w:rPr>
        <w:sectPr>
          <w:pgSz w:w="11906" w:h="16838"/>
          <w:pgMar w:top="1440" w:right="1800" w:bottom="1440" w:left="1800" w:header="851" w:footer="992" w:gutter="0"/>
          <w:cols w:space="425" w:num="1"/>
          <w:docGrid w:type="lines" w:linePitch="312" w:charSpace="0"/>
        </w:sectPr>
      </w:pPr>
      <w:bookmarkStart w:id="1893" w:name="_Toc75442119"/>
      <w:bookmarkStart w:id="1894" w:name="_Toc110498352"/>
    </w:p>
    <w:p>
      <w:pPr>
        <w:pStyle w:val="5"/>
        <w:numPr>
          <w:ilvl w:val="0"/>
          <w:numId w:val="0"/>
        </w:numPr>
        <w:spacing w:line="360" w:lineRule="auto"/>
        <w:ind w:left="1" w:leftChars="-5" w:hanging="11" w:hangingChars="5"/>
        <w:rPr>
          <w:rFonts w:cs="宋体"/>
          <w:b/>
          <w:bCs w:val="0"/>
        </w:rPr>
      </w:pPr>
      <w:r>
        <w:rPr>
          <w:rFonts w:hint="eastAsia"/>
          <w:b/>
          <w:bCs w:val="0"/>
        </w:rPr>
        <w:t>附件</w:t>
      </w:r>
      <w:r>
        <w:rPr>
          <w:b/>
          <w:bCs w:val="0"/>
        </w:rPr>
        <w:t xml:space="preserve">1 </w:t>
      </w:r>
      <w:r>
        <w:rPr>
          <w:rFonts w:hint="eastAsia" w:cs="宋体"/>
          <w:b/>
          <w:bCs w:val="0"/>
        </w:rPr>
        <w:t>委外维修范围及项点</w:t>
      </w:r>
      <w:bookmarkEnd w:id="1893"/>
      <w:bookmarkEnd w:id="1894"/>
    </w:p>
    <w:tbl>
      <w:tblPr>
        <w:tblStyle w:val="40"/>
        <w:tblW w:w="16039" w:type="dxa"/>
        <w:tblInd w:w="-1026" w:type="dxa"/>
        <w:tblLayout w:type="autofit"/>
        <w:tblCellMar>
          <w:top w:w="0" w:type="dxa"/>
          <w:left w:w="108" w:type="dxa"/>
          <w:bottom w:w="0" w:type="dxa"/>
          <w:right w:w="108" w:type="dxa"/>
        </w:tblCellMar>
      </w:tblPr>
      <w:tblGrid>
        <w:gridCol w:w="709"/>
        <w:gridCol w:w="3544"/>
        <w:gridCol w:w="2551"/>
        <w:gridCol w:w="2835"/>
        <w:gridCol w:w="730"/>
        <w:gridCol w:w="972"/>
        <w:gridCol w:w="3706"/>
        <w:gridCol w:w="972"/>
        <w:gridCol w:w="20"/>
      </w:tblGrid>
      <w:tr>
        <w:tblPrEx>
          <w:tblCellMar>
            <w:top w:w="0" w:type="dxa"/>
            <w:left w:w="108" w:type="dxa"/>
            <w:bottom w:w="0" w:type="dxa"/>
            <w:right w:w="108" w:type="dxa"/>
          </w:tblCellMar>
        </w:tblPrEx>
        <w:trPr>
          <w:gridAfter w:val="1"/>
          <w:wAfter w:w="21" w:type="dxa"/>
          <w:trHeight w:val="375" w:hRule="atLeast"/>
          <w:tblHeader/>
        </w:trPr>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维修/维保项目名称</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所需维修/维保消耗料名称</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维修/维保消耗料规格型号</w:t>
            </w: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预估数量</w:t>
            </w:r>
          </w:p>
        </w:tc>
        <w:tc>
          <w:tcPr>
            <w:tcW w:w="3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适用于的物资/设施设备描述</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所属类别</w:t>
            </w:r>
          </w:p>
        </w:tc>
      </w:tr>
      <w:tr>
        <w:tblPrEx>
          <w:tblCellMar>
            <w:top w:w="0" w:type="dxa"/>
            <w:left w:w="108" w:type="dxa"/>
            <w:bottom w:w="0" w:type="dxa"/>
            <w:right w:w="108" w:type="dxa"/>
          </w:tblCellMar>
        </w:tblPrEx>
        <w:trPr>
          <w:gridAfter w:val="1"/>
          <w:wAfter w:w="21" w:type="dxa"/>
          <w:trHeight w:val="28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维修/更换沙发扶手换皮</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沙发扶手皮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适用于办公沙发2000W×800D×900H（mm）</w:t>
            </w:r>
          </w:p>
        </w:tc>
        <w:tc>
          <w:tcPr>
            <w:tcW w:w="972"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45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维修/更换保险柜锁具</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保险柜锁具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22mm、优质铜芯，配2把钥匙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370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适用于保险柜1.双门电子，规格：1500*600*560（mm）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2.单门电子，600*340*390（mm）</w:t>
            </w:r>
          </w:p>
        </w:tc>
        <w:tc>
          <w:tcPr>
            <w:tcW w:w="9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重置保险柜密码</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370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45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维修/更换保险柜主板</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保险柜主板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定制、根据所使用型号确定</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适用于保险柜1.双门电子，规格：1500*600*560（mm）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2.单门电子，600*340*390（mm）</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更换玻璃铁皮文件柜玻璃</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玻璃铁皮文件柜玻璃</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尺寸根据损坏玻璃大小定制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维修/更换玻璃铁皮文件柜导轨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玻璃铁皮文件柜导轨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不锈钢阻尼导轨 18-45cm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玻璃铁皮文件柜锁具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22mm、优质铜芯，配2把钥匙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40</w:t>
            </w:r>
          </w:p>
        </w:tc>
        <w:tc>
          <w:tcPr>
            <w:tcW w:w="370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更换玻璃铁皮文件柜五金件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玻璃铁皮文件柜五金件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不锈钢/ASKL0037</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适用于玻璃铁皮文件柜规格尺寸：1800*850*390（mm）</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维修/更换储物柜链接处</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储物柜链接处</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默认尺寸/1583593805/不锈钢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适用于储物柜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更换储物柜锁具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储物柜锁具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22mm、优质铜芯，配2把钥匙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适用于储物柜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维修/更换单人转椅连接处（五角星）</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单人转椅连接处（五角星）</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45*68厘米/</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更换单人转椅万向轮</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单人转椅万向轮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35厘米/Q31</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更换单人转椅五金件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单人转椅五金件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默认尺寸/不锈钢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维修/更换单人转椅坐垫</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单人转椅坐垫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按实际尺寸更换/定制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适用于单人转椅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更换点钞室铁预制票柜玻璃</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点钞室铁预制票柜玻璃</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尺寸根据损坏玻璃大小定制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维修/更换点钞室铁预制票柜导轨</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点钞室铁预制票柜导轨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不锈钢阻尼导轨 18-45cm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点钞室铁预制票柜锁具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22mm、优质铜芯，配2把钥匙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更换点钞室铁预制票柜五金件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点钞室铁预制票柜五金件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默认尺寸/不锈钢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适用于点钞室铁预制票柜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维修/更换工班班台导轨</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工班班台导轨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不锈钢阻尼导轨 18-45cm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更换工班班台锁具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工班班台锁具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22mm、优质铜芯，配2把钥匙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维修/更换工班班台桌板配件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工班班台桌板配件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2英寸/TPEYZL，优质三合一锁扣、优质木胶塞</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适用于工班班台</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更换工班椅五金件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工班椅五金件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2英寸/TPEYZL</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维修/更换工班椅坐垫</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工班椅坐垫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定制/网椅坐垫，高回弹海绵</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更换工班长桌锁具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工班长桌锁具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22mm、优质铜芯，配2把钥匙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适用于工班长桌</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维修/更换会议椅/弓形椅连接处（三合一）</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会议椅/弓形椅连接处（三合一）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45*68厘米</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维修/更换会议椅、弓形椅坐垫</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会议椅、弓形椅坐垫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按实际尺寸更换/定制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更换会议椅/弓形椅/职员椅五金件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会议椅/弓形椅/职员椅五金件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默认尺寸/不锈钢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适用于会议椅/弓形椅/职员椅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维修/更换活动式档案柜铰链</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活动式档案柜铰链</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维修/更换活动式档案柜铁质盖板</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活动式档案柜铁质盖板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维修/更换活动式档案柜齿轮</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活动式档案柜齿轮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维修/更换活动式档案柜五金配件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活动式档案柜五金配件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包括但不限于适用于活动式档案柜的零星五金件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适用于活动式档案柜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更换木制文件柜五金件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木制文件柜五金件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五金零件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适用于木制文件柜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更换培训椅五金件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培训椅五金件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内六角螺丝套</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维修/更换桌板配件写字板</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桌板配件写字板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60*90cm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维修/更换桌板配件支架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桌板配件支架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座椅支架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更换培训桌五金件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培训桌五金件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五金零件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适用于培训桌</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更换钱箱货架柜锁具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钱箱货架柜锁具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规格：25，优质铜芯锁，配两把钥匙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适用于钱箱货架柜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更换沙发五金件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沙发五金件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角码</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适用于沙发</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维修/更换沙发坐垫皮</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沙发坐垫皮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优质PU皮</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适用于沙发</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四门更衣柜锁具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规格：25，优质铜芯锁，配两把钥匙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四门更衣柜锁具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规格：25，优质铜芯锁，配两把钥匙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四门更衣柜五金件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弹簧插销</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更换四门更衣柜五金件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四门更衣柜五金件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门把手</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适用于四门更衣柜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更换员工卡座玻璃</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员工卡座玻璃</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尺寸根据损坏玻璃大小定制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维修/更换员工卡座导轨</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员工卡座导轨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不锈钢阻尼导轨 18-45cm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维修/更换员工卡座键盘托</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员工卡座键盘托</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370*82*25毫米</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更换员工卡座五金件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员工卡座五金件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优质门把手、门铰等。</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适用于员工卡座</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维修/更换站长办公桌导轨</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站长办公桌导轨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不锈钢阻尼导轨 18-45cm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适用于站长办公桌</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更换站长办公桌锁具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站长办公桌锁具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规格：25，优质铜芯锁，配两把钥匙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适用于站长办公桌</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更换职工之家更衣柜锁具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职工之家更衣柜锁具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规格：25，优质铜芯锁，配两把钥匙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更换工之家更衣柜五金件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工之家更衣柜五金件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门铰</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更换职工之家更衣柜钥匙（手环）</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职工之家更衣柜钥匙（手环）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配套手环</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适用于职工之家更衣柜</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维修/更换职员椅连接处（三合一）</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职员椅连接处（三合一）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45*68厘米</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适用于职员椅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维修/更换职员椅坐垫</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职员椅坐垫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定制/网椅坐垫，高回弹海绵</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适用于职员椅</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维修/更换桌子（通用）导轨</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桌子（通用）导轨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不锈钢阻尼导轨 18-45cm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维修/更换桌子（通用）键盘托</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桌子（通用）键盘托</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370*82*25毫米</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维修/更换桌子（通用）连接处（三合一）</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桌子（通用）连接处（三合一）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三合一锁扣</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更换桌子（通用）锁具</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桌子（通用）锁具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规格：25，优质铜芯锁，配两把钥匙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40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更换桌子（通用）五金件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桌子（通用）五金件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优质三合一锁扣、自攻钉、门把手、门铰等</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维修/更换桌子（通用）桌板配件</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桌子（通用）桌板配件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五金零件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适用于桌子（通用）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家具</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管道日常堵漏疏通</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冰箱补漏焊点</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处理冰箱脏堵漏故障</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冰箱清洗服务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维修冰箱电脑版</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维修冰箱电脑版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适配BCD-176M/BCD-225TMPM电脑版维修</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适用于冰箱</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维修冰箱风机</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维修冰箱风机</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适配BCD-176M/BCD-225TMPM风机维修</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适用于冰箱</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维修/更换单体空调压缩机</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单体空调压缩机</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1.5P/2P/2.5P/3P</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维修/更换单体空调电脑板</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单体空调电脑板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1.5P/2P/2.5P/3P</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单体空调内机清洗</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单体空调外机清洗</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维修/更换单体空调铜管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单体空调铜管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空调专用铜管</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单体空调铜管补漏</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挂式单体空调移机</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柜式单体空调移机</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5</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维修/更换工业型洗衣机/烘干机电子元件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工业型洗衣机/烘干机电子元件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SWA801-50电子元件修理</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维修/更换工业型洗衣机/烘干机电机维修</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工业型洗衣机/烘干机电机维修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SWA801-50电机维修</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更换工业型洗衣机/烘干机制动轮内衬</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工业型洗衣机/烘干机制动轮内衬</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XTQ-50制动轮内村</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更换工业型洗衣机/烘干机制动盘部件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工业型洗衣机/烘干机制动盘部件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XTQ-50制动盘部件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更换工业型洗衣机/烘干机轴承座</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工业型洗衣机/烘干机轴承座</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XTQ-50轴承座</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工业型洗衣机/烘干机腔体清理</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维修/更换工业型洗衣机/烘干机五金件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接头，国标</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维修/更换工业型洗衣机/烘干机注水管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工业型洗衣机/烘干机注水管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ppr冷热25管</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适用于工业型洗衣机/烘干机海鑫工业烘干机SWA801-50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更换单体空调雪种</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单体空调雪种</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3公斤/家用空调制冷剂，型号：R22</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单体空调设备日常维护</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更换单体空调铜管水管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单体空调铜管水管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300mm*15mm/(nWjA)</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适用于单体空调</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更换洗衣机注水接头</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洗衣机注水接头</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70*40*50厘米/F202洗衣机龙头</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适用于家用洗衣机</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维修/更换洗衣机注水管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洗衣机注水管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3m/005、海尔XPB100-178S</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适用于家用洗衣机</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咖啡机日常维护</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咖啡机日常维护</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日常维护（包含清洗、日常维修维护等项点）</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维修/更换单控单开开关</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单控单开开关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G07、250V、单控单开</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维修/更换空调插座</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空调插座</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G09、四孔插座250V、16A</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维修/更换七孔插座</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七孔插座</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G09、七孔插座/250V</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维修/更换五孔插座</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五孔插座</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G09、五孔插座/250V、10A</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插座/开关</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维修/更换空气开关</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空气开关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D32/D16/D63等（带断电保护）</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常规低压配电件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维修/更换短灯管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短灯管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18W短灯管/配套镇流器</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2000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维修/更换长灯管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长灯管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36W长灯管/配套镇流器</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维修/更换灯盘</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灯盘</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吊装灯带LED38W，超大芯片、高亮度、铜芯导线</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维修/更换射灯</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射灯LED15W、高显色、高寿命、高流明</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维修/更换筒灯</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筒灯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筒灯LED15W</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维修/更换吸顶灯</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吸顶灯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40W，吸顶灯</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维修/更换隐藏灯带</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隐藏灯带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隐藏灯带LED15W，超大芯片、高亮度、铜芯导线</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盏</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日常办公照明灯具</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低压配电</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开锁服务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维修/更换水龙头</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水龙头</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优质阀芯，单冷</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适用于办公楼洗手间水龙头</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小便池</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陶瓷/挂墙式/28千克</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适用于办公楼洗手间小便池</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维修/更换PVC线槽</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PVC线槽</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适用于办公区域低压配电</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维修/更换电源线</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电源线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1.5平方</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适用于办公区域低压配电</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14.5kg/CH8872AS/300mm*300mm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14.5kg/CH8872AS/600mm*600mm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维修/更换踢脚线瓷砖</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踢脚线瓷砖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适用于办公区域墙壁踢脚线</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维修/更换办公区域纱窗网</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办公区域纱窗网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适用于办公区域纱窗</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维修/更换办公区域纱窗五金件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办公区域纱窗五金件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适用于办公区域纱窗</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维修/更换洗手间排气扇</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洗手间排气扇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300mm*300mm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适用于办公区域洗手间排气扇</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维修/更换洗手间排气扇</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洗手间排气扇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600mm*600mm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适用于办公区域洗手间排气扇</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维修/更换拖把池</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拖把池</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尺寸：375mm*500mm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适用于办公区域洗手间拖把池</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维修/更换地砖</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14.5kg/CH8872AS/800mm*800mm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30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适用于办公区域地砖</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维修/更换办公室玻璃门合页</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办公室玻璃门合页</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国标</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维修/更换办公室玻璃门连接杆</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办公室玻璃门连接杆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国标</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117</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维修/更换办公室木门门锁</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办公室木门门锁</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国标</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适用于办公室入户门-配件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维修/更换办公室天花板（铝扣板）</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办公室天花板（铝扣板）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14.5kg/CH8692AS/600mm*600mm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适用于办公室天花板</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67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维修/更换地下停车场车用斜坡垫</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地下停车场车用斜坡垫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定制橡胶，黄黑配色，报打钉安装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五象车辆段：5980*110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心圩车辆段：5400*120</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适用于场段地下停车场</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维修/更换冲水阀-脚踩式</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冲水阀-脚踩式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优质阀芯，6分口径，含螺帽距离≥86mm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150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适用于冲水阀-脚踩式</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45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维修/更换窗户-推拉式</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窗户-推拉式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750mm*900mm优质铝合金、优质玻璃,具体尺寸根据实际情况定制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扇</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适用于窗户-推拉式</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45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维修/更换窗户-一体式</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窗户-一体式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750mm*750mm优质铝合金、优质玻璃，具体尺寸根据实际情况定制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扇</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适用于窗户-一体式</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维修/更换窗帘轨道</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窗帘轨道</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PVC材质（含活动窗帘扣）</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适用于窗帘挂钩</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维修/更换蹲坑</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蹲坑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14095/5.0L</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适用于蹲坑</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维修/更换感应水龙头</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感应水龙头</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适用于感应式水龙头</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维修/更换感应水龙头感应器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感应水龙头感应器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ascii="等线" w:hAnsi="等线" w:eastAsia="等线"/>
                <w:color w:val="000000"/>
                <w:sz w:val="18"/>
                <w:szCs w:val="18"/>
              </w:rPr>
              <w:t>23</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适用于感应式水龙头</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维修/更换落地式感应小便池</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落地式感应小便池</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维修/更换双面钢化玻璃</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双面钢化玻璃</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按实际尺寸定制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适用于建筑外墙玻璃</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维修/更换玻璃门连接开关</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玻璃门连接开关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适用于建筑正/侧门活动玻璃</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45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维修/更换淋雨花洒配件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淋雨花洒配件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入水孔径(mm)20mm.安装孔距150mm/yy-20210325/全铜，局部铜，不锈钢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适用于淋雨花洒配件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维修/更换马桶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马桶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300mm/连体式</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适用于马桶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墙体/天面表面修补</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墙体/天面表面修补</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15L，白墙刮灰/乳胶漆</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适用于墙体/天面表面修补</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维修/更换办公室木门合页</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办公室木门合页</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CB-JL372-3/不锈钢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维修/更换办公室木门连接杆</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办公室木门连接杆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维修/更换办公室玻璃门门锁</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办公室玻璃门门锁</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XMWY-05/不锈钢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20</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适用于室内附属门-配件</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维修/更换洗手盆下水器带管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洗手盆下水器带管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电镀管/翻版</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3706"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适用于办公楼洗手间洗手盆</w:t>
            </w:r>
          </w:p>
        </w:tc>
        <w:tc>
          <w:tcPr>
            <w:tcW w:w="972"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维修/更换洗菜池下水器带管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洗菜池下水器带管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电镀管/翻版</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3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适用于洗手盆下水连接</w:t>
            </w:r>
          </w:p>
        </w:tc>
        <w:tc>
          <w:tcPr>
            <w:tcW w:w="9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维修/更换小便池按压器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小便池按压器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适用于小便池</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维修/更换小便池排水管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小便池排水管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DN25</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适用于小便池下水道连接</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140</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维修/更换小便池感应冲洗阀配件（大口径）</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小便池感应冲洗阀配件（大口径）</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141</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维修/更换小便池感应冲洗阀（常规口径）</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小便池感应冲洗阀（常规口径）</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适用于感应式小便池</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装饰装修</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维修/更换电动道闸配件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电动道闸配件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QG-DZ3888</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维修/更换电动道闸遥控器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电动道闸遥控器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通用</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维修/更换电动道闸感应雷达</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电动道闸感应雷达</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维修/更换电动道闸手动控制器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电动道闸手动控制器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维修/更换电动道闸五金配件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电动道闸五金配件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通用</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适用于电动道闸</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维修/更换电动伸缩门遥控器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电动伸缩门遥控器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维修/更换电动伸缩门电机马达</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电动伸缩门电机马达</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维修/更换电动伸缩门五金配件</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电动伸缩门五金配件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通用</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70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维修/更换电动伸缩门连接杆/铝制套杆</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电动伸缩门连接杆/铝制套杆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维修/更换电动伸缩门轨道轮</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电动伸缩门轨道轮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按需定制</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适用于电动伸缩门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升维修/更换旗杆滑轮组</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升旗杆滑轮组</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金属不锈钢</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适用于升旗台</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维修/更换升旗杆绳索</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升旗杆绳索</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麻绳</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适用于升旗台</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维修/更换太阳能热水器高压开关</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太阳能热水器高压开关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1.00E+13</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更换/保养太阳能热水器清洗集热器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太阳能热水器清洗集热器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手工</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维修/更换太阳能热水器冷媒</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太阳能热水器冷媒</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r134a通用冷媒</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157</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维修/更换太阳能热水器压缩机</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太阳能热水器压缩机</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纯铜插片端子，20UF-100UF，450V</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158</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太阳能热水器整体清理清洗</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159</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维修/更换太阳能热水器电热管</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太阳能热水器电热管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1500W（螺纹式）</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维修/更换太阳能热水器小型继电器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太阳能热水器小型继电器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欧姆龙MY2NJ/AC220V/大八脚含底座</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维修/更换太阳能热水器温度控制器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太阳能热水器温度控制器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碧河BF-D110A</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162</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维修/更换太阳能热水器交流接触器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太阳能热水器交流接触器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CHNT正泰220V/380V</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维修/更换太阳能热水器温度传感器/探头</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太阳能热水器温度传感器/探头</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通用</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164</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维修/更换太阳能热水器回水/供水电磁阀</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太阳能热水器回水/供水电磁阀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DN50</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gridAfter w:val="1"/>
          <w:wAfter w:w="21" w:type="dxa"/>
          <w:trHeight w:val="28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维修/更换太阳能热水器控制变频器</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太阳能热水器控制变频器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正泰NVF2G-2.2</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olor w:val="000000"/>
                <w:sz w:val="18"/>
                <w:szCs w:val="18"/>
              </w:rPr>
              <w:t>1</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适用于太阳能热水器</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设施设备</w:t>
            </w:r>
          </w:p>
        </w:tc>
      </w:tr>
      <w:tr>
        <w:tblPrEx>
          <w:tblCellMar>
            <w:top w:w="0" w:type="dxa"/>
            <w:left w:w="108" w:type="dxa"/>
            <w:bottom w:w="0" w:type="dxa"/>
            <w:right w:w="108" w:type="dxa"/>
          </w:tblCellMar>
        </w:tblPrEx>
        <w:trPr>
          <w:trHeight w:val="260" w:hRule="atLeast"/>
        </w:trPr>
        <w:tc>
          <w:tcPr>
            <w:tcW w:w="1036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合计</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4"/>
                <w:szCs w:val="24"/>
              </w:rPr>
            </w:pPr>
            <w:r>
              <w:rPr>
                <w:rFonts w:ascii="等线" w:hAnsi="等线" w:eastAsia="等线" w:cs="宋体"/>
                <w:b/>
                <w:bCs/>
                <w:color w:val="000000"/>
                <w:kern w:val="0"/>
                <w:sz w:val="24"/>
                <w:szCs w:val="24"/>
              </w:rPr>
              <w:t>5763</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　</w:t>
            </w:r>
          </w:p>
        </w:tc>
      </w:tr>
    </w:tbl>
    <w:p/>
    <w:p>
      <w:pPr>
        <w:pStyle w:val="2"/>
      </w:pPr>
    </w:p>
    <w:p>
      <w:pPr>
        <w:pStyle w:val="4"/>
        <w:spacing w:line="360" w:lineRule="auto"/>
        <w:rPr>
          <w:rFonts w:cs="宋体"/>
          <w:b w:val="0"/>
          <w:bCs w:val="0"/>
        </w:rPr>
        <w:sectPr>
          <w:pgSz w:w="16838" w:h="11906" w:orient="landscape"/>
          <w:pgMar w:top="1800" w:right="1440" w:bottom="1800" w:left="1440" w:header="851" w:footer="992" w:gutter="0"/>
          <w:cols w:space="425" w:num="1"/>
          <w:docGrid w:type="lines" w:linePitch="312" w:charSpace="0"/>
        </w:sectPr>
      </w:pPr>
      <w:bookmarkStart w:id="1895" w:name="_Toc110498353"/>
      <w:bookmarkStart w:id="1896" w:name="_Toc75442120"/>
    </w:p>
    <w:p>
      <w:pPr>
        <w:pStyle w:val="5"/>
        <w:numPr>
          <w:ilvl w:val="0"/>
          <w:numId w:val="0"/>
        </w:numPr>
        <w:spacing w:line="360" w:lineRule="auto"/>
        <w:ind w:left="720" w:hanging="720"/>
        <w:rPr>
          <w:rFonts w:cs="宋体"/>
          <w:b/>
          <w:bCs w:val="0"/>
        </w:rPr>
      </w:pPr>
      <w:r>
        <w:rPr>
          <w:rFonts w:hint="eastAsia" w:cs="宋体"/>
          <w:b/>
          <w:bCs w:val="0"/>
        </w:rPr>
        <w:t>附件</w:t>
      </w:r>
      <w:r>
        <w:rPr>
          <w:rFonts w:cs="宋体"/>
          <w:b/>
          <w:bCs w:val="0"/>
        </w:rPr>
        <w:t xml:space="preserve">2 </w:t>
      </w:r>
      <w:r>
        <w:rPr>
          <w:rFonts w:hint="eastAsia" w:cs="宋体"/>
          <w:b/>
          <w:bCs w:val="0"/>
        </w:rPr>
        <w:t>合同违约处罚通知单</w:t>
      </w:r>
      <w:bookmarkEnd w:id="1895"/>
      <w:bookmarkEnd w:id="1896"/>
      <w:bookmarkStart w:id="1897" w:name="_Toc5958_WPSOffice_Level2"/>
    </w:p>
    <w:p>
      <w:pPr>
        <w:rPr>
          <w:rFonts w:ascii="黑体" w:hAnsi="宋体" w:eastAsia="黑体" w:cs="Times New Roman"/>
          <w:sz w:val="36"/>
          <w:szCs w:val="36"/>
        </w:rPr>
      </w:pPr>
      <w:r>
        <w:rPr>
          <w:rFonts w:hint="eastAsia" w:asciiTheme="minorEastAsia" w:hAnsiTheme="minorEastAsia" w:eastAsiaTheme="minorEastAsia"/>
        </w:rPr>
        <w:t>NGYF/Q-GL-SC-11A8</w:t>
      </w:r>
    </w:p>
    <w:p>
      <w:pPr>
        <w:jc w:val="center"/>
        <w:rPr>
          <w:rFonts w:ascii="黑体" w:hAnsi="宋体" w:eastAsia="黑体"/>
          <w:sz w:val="36"/>
          <w:szCs w:val="36"/>
        </w:rPr>
      </w:pPr>
      <w:r>
        <w:rPr>
          <w:rFonts w:hint="eastAsia" w:ascii="黑体" w:hAnsi="宋体" w:eastAsia="黑体" w:cs="Times New Roman"/>
          <w:sz w:val="36"/>
          <w:szCs w:val="36"/>
        </w:rPr>
        <w:t>运营分公司委外项目合同违约处理通知单</w:t>
      </w:r>
    </w:p>
    <w:p>
      <w:pPr>
        <w:rPr>
          <w:rFonts w:ascii="宋体" w:hAnsi="宋体"/>
        </w:rPr>
      </w:pPr>
      <w:r>
        <w:rPr>
          <w:rFonts w:hint="eastAsia" w:hAnsi="宋体" w:cs="宋体"/>
          <w:b/>
          <w:sz w:val="32"/>
          <w:szCs w:val="32"/>
        </w:rPr>
        <w:t xml:space="preserve">                                    </w:t>
      </w:r>
      <w:r>
        <w:rPr>
          <w:rFonts w:hint="eastAsia" w:hAnsi="宋体" w:cs="Times New Roman"/>
          <w:b/>
        </w:rPr>
        <w:t>编号：</w:t>
      </w:r>
      <w:r>
        <w:rPr>
          <w:rFonts w:hint="eastAsia" w:hAnsi="宋体" w:cs="Times New Roman"/>
          <w:bCs/>
        </w:rPr>
        <w:t>合同编号-年月-两位数流水号</w:t>
      </w:r>
    </w:p>
    <w:tbl>
      <w:tblPr>
        <w:tblStyle w:val="40"/>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vAlign w:val="center"/>
          </w:tcPr>
          <w:p>
            <w:pPr>
              <w:jc w:val="center"/>
              <w:rPr>
                <w:rFonts w:ascii="宋体" w:hAnsi="宋体"/>
                <w:b/>
                <w:sz w:val="24"/>
              </w:rPr>
            </w:pPr>
            <w:r>
              <w:rPr>
                <w:rFonts w:hint="eastAsia" w:ascii="宋体" w:hAnsi="宋体"/>
                <w:b/>
                <w:szCs w:val="21"/>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vAlign w:val="center"/>
          </w:tcPr>
          <w:p>
            <w:pPr>
              <w:jc w:val="center"/>
              <w:rPr>
                <w:rFonts w:ascii="宋体" w:hAnsi="宋体"/>
                <w:b/>
              </w:rPr>
            </w:pPr>
          </w:p>
        </w:tc>
        <w:tc>
          <w:tcPr>
            <w:tcW w:w="1946" w:type="dxa"/>
            <w:tcBorders>
              <w:top w:val="thinThickSmallGap" w:color="auto" w:sz="18"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Cs w:val="21"/>
              </w:rPr>
              <w:t>合同编号</w:t>
            </w:r>
          </w:p>
        </w:tc>
        <w:tc>
          <w:tcPr>
            <w:tcW w:w="3035" w:type="dxa"/>
            <w:tcBorders>
              <w:top w:val="thinThickSmallGap" w:color="auto" w:sz="18" w:space="0"/>
              <w:left w:val="single" w:color="auto" w:sz="4" w:space="0"/>
              <w:bottom w:val="single" w:color="auto" w:sz="4" w:space="0"/>
              <w:right w:val="thinThickSmallGap" w:color="auto" w:sz="18"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sz w:val="24"/>
              </w:rPr>
            </w:pPr>
            <w:r>
              <w:rPr>
                <w:rFonts w:hint="eastAsia" w:ascii="宋体" w:hAnsi="宋体"/>
                <w:b/>
                <w:szCs w:val="21"/>
              </w:rPr>
              <w:t>承包商</w:t>
            </w:r>
          </w:p>
        </w:tc>
        <w:tc>
          <w:tcPr>
            <w:tcW w:w="3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运营分公司</w:t>
            </w:r>
          </w:p>
          <w:p>
            <w:pPr>
              <w:jc w:val="center"/>
              <w:rPr>
                <w:rFonts w:ascii="宋体" w:hAnsi="宋体"/>
                <w:b/>
                <w:sz w:val="24"/>
              </w:rPr>
            </w:pPr>
            <w:r>
              <w:rPr>
                <w:rFonts w:hint="eastAsia" w:ascii="宋体" w:hAnsi="宋体"/>
                <w:b/>
                <w:szCs w:val="21"/>
              </w:rPr>
              <w:t>主办部门</w:t>
            </w:r>
          </w:p>
        </w:tc>
        <w:tc>
          <w:tcPr>
            <w:tcW w:w="3035" w:type="dxa"/>
            <w:tcBorders>
              <w:top w:val="single" w:color="auto" w:sz="4" w:space="0"/>
              <w:left w:val="single" w:color="auto" w:sz="4" w:space="0"/>
              <w:bottom w:val="single" w:color="auto" w:sz="4" w:space="0"/>
              <w:right w:val="thinThickSmallGap" w:color="auto" w:sz="18"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snapToGrid w:val="0"/>
              <w:rPr>
                <w:rFonts w:ascii="宋体" w:hAnsi="宋体"/>
                <w:sz w:val="18"/>
                <w:szCs w:val="18"/>
              </w:rPr>
            </w:pPr>
            <w:r>
              <w:rPr>
                <w:rFonts w:hint="eastAsia" w:ascii="宋体" w:hAnsi="宋体"/>
                <w:bCs/>
                <w:sz w:val="18"/>
                <w:szCs w:val="18"/>
              </w:rPr>
              <w:t>违约情况：</w:t>
            </w:r>
            <w:r>
              <w:rPr>
                <w:rFonts w:hint="eastAsia" w:ascii="宋体" w:hAnsi="宋体"/>
                <w:sz w:val="18"/>
                <w:szCs w:val="18"/>
              </w:rPr>
              <w:t>我部技术人员于X年X月X日跟岗作业中（作业令：1A2-01-01）发现XX-XX区间部分XX设备存在锈蚀、松脱现象，且个别情况较为严重，而承包商在X年X月XX设备月检中未能及时发现和处理，检修台账中也未记录，存在漏检现象。（举例）</w:t>
            </w:r>
          </w:p>
          <w:p>
            <w:pPr>
              <w:widowControl/>
              <w:snapToGrid w:val="0"/>
              <w:rPr>
                <w:rFonts w:ascii="宋体" w:hAnsi="宋体"/>
                <w:sz w:val="18"/>
                <w:szCs w:val="18"/>
              </w:rPr>
            </w:pPr>
          </w:p>
          <w:p>
            <w:pPr>
              <w:widowControl/>
              <w:snapToGrid w:val="0"/>
              <w:rPr>
                <w:rFonts w:ascii="宋体" w:hAnsi="宋体"/>
                <w:sz w:val="18"/>
                <w:szCs w:val="18"/>
              </w:rPr>
            </w:pPr>
            <w:r>
              <w:rPr>
                <w:rFonts w:hint="eastAsia" w:ascii="宋体" w:hAnsi="宋体"/>
                <w:bCs/>
                <w:sz w:val="18"/>
                <w:szCs w:val="18"/>
              </w:rPr>
              <w:t>合同违约条款：</w:t>
            </w:r>
            <w:r>
              <w:rPr>
                <w:rFonts w:hint="eastAsia" w:ascii="宋体" w:hAnsi="宋体"/>
                <w:sz w:val="18"/>
                <w:szCs w:val="18"/>
              </w:rPr>
              <w:t>《XXX项目合同》十二条之附表第26条款：“</w:t>
            </w:r>
            <w:r>
              <w:rPr>
                <w:rFonts w:ascii="宋体" w:hAnsi="宋体"/>
                <w:sz w:val="18"/>
                <w:szCs w:val="18"/>
              </w:rPr>
              <w:t>乙方未按照《</w:t>
            </w:r>
            <w:r>
              <w:rPr>
                <w:rFonts w:hint="eastAsia" w:ascii="宋体" w:hAnsi="宋体"/>
                <w:sz w:val="18"/>
                <w:szCs w:val="18"/>
              </w:rPr>
              <w:t>XXX</w:t>
            </w:r>
            <w:r>
              <w:rPr>
                <w:rFonts w:ascii="宋体" w:hAnsi="宋体"/>
                <w:sz w:val="18"/>
                <w:szCs w:val="18"/>
              </w:rPr>
              <w:t>维修规程》规定的周期执行，发生漏检</w:t>
            </w:r>
            <w:r>
              <w:rPr>
                <w:rFonts w:hint="eastAsia" w:ascii="宋体" w:hAnsi="宋体"/>
                <w:sz w:val="18"/>
                <w:szCs w:val="18"/>
              </w:rPr>
              <w:t>、</w:t>
            </w:r>
            <w:r>
              <w:rPr>
                <w:rFonts w:ascii="宋体" w:hAnsi="宋体"/>
                <w:sz w:val="18"/>
                <w:szCs w:val="18"/>
              </w:rPr>
              <w:t>漏修月检内容</w:t>
            </w:r>
            <w:r>
              <w:rPr>
                <w:rFonts w:hint="eastAsia" w:ascii="宋体" w:hAnsi="宋体"/>
                <w:sz w:val="18"/>
                <w:szCs w:val="18"/>
              </w:rPr>
              <w:t>或记录不完善，</w:t>
            </w:r>
            <w:r>
              <w:rPr>
                <w:rFonts w:ascii="宋体" w:hAnsi="宋体"/>
                <w:sz w:val="18"/>
                <w:szCs w:val="18"/>
              </w:rPr>
              <w:t>每次</w:t>
            </w:r>
            <w:r>
              <w:rPr>
                <w:rFonts w:hint="eastAsia" w:ascii="宋体" w:hAnsi="宋体"/>
                <w:sz w:val="18"/>
                <w:szCs w:val="18"/>
              </w:rPr>
              <w:t>每项</w:t>
            </w:r>
            <w:r>
              <w:rPr>
                <w:rFonts w:ascii="宋体" w:hAnsi="宋体"/>
                <w:sz w:val="18"/>
                <w:szCs w:val="18"/>
              </w:rPr>
              <w:t>乙方向甲方支付</w:t>
            </w:r>
            <w:r>
              <w:rPr>
                <w:rFonts w:hint="eastAsia" w:ascii="宋体" w:hAnsi="宋体"/>
                <w:sz w:val="18"/>
                <w:szCs w:val="18"/>
              </w:rPr>
              <w:t>500</w:t>
            </w:r>
            <w:r>
              <w:rPr>
                <w:rFonts w:ascii="宋体" w:hAnsi="宋体"/>
                <w:sz w:val="18"/>
                <w:szCs w:val="18"/>
              </w:rPr>
              <w:t>元违约金</w:t>
            </w:r>
            <w:r>
              <w:rPr>
                <w:rFonts w:hint="eastAsia" w:ascii="宋体" w:hAnsi="宋体"/>
                <w:sz w:val="18"/>
                <w:szCs w:val="18"/>
              </w:rPr>
              <w:t>，考核0.5分”。（举例）</w:t>
            </w:r>
          </w:p>
          <w:p>
            <w:pPr>
              <w:spacing w:line="300" w:lineRule="exact"/>
              <w:rPr>
                <w:rFonts w:ascii="宋体" w:hAnsi="宋体"/>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snapToGrid w:val="0"/>
              <w:rPr>
                <w:rFonts w:ascii="宋体" w:hAnsi="宋体"/>
                <w:sz w:val="18"/>
                <w:szCs w:val="18"/>
              </w:rPr>
            </w:pPr>
          </w:p>
          <w:p>
            <w:pPr>
              <w:spacing w:line="300" w:lineRule="exact"/>
              <w:rPr>
                <w:rFonts w:ascii="宋体" w:hAnsi="宋体"/>
                <w:bCs/>
                <w:szCs w:val="21"/>
              </w:rPr>
            </w:pPr>
            <w:r>
              <w:rPr>
                <w:rFonts w:hint="eastAsia" w:ascii="宋体" w:hAnsi="宋体"/>
                <w:sz w:val="18"/>
                <w:szCs w:val="18"/>
              </w:rPr>
              <w:t>根据《XXX项目合同》中第XX条，决定对你司处以：1.处罚违约金500元人民币整；2.在月度评价表中扣0.5分；3.所罚扣款项从季度进度款中扣取。（举例）</w:t>
            </w:r>
          </w:p>
          <w:p>
            <w:pPr>
              <w:spacing w:line="300" w:lineRule="exact"/>
              <w:rPr>
                <w:rFonts w:ascii="宋体" w:hAnsi="宋体"/>
                <w:bCs/>
                <w:szCs w:val="21"/>
              </w:rPr>
            </w:pPr>
            <w:r>
              <w:rPr>
                <w:rFonts w:hint="eastAsia"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运营分公司审批意见</w:t>
            </w: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主办部门</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right="113"/>
              <w:rPr>
                <w:rFonts w:ascii="宋体" w:hAnsi="宋体" w:cs="宋体"/>
                <w:szCs w:val="21"/>
              </w:rPr>
            </w:pPr>
          </w:p>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528" w:type="dxa"/>
            <w:vMerge w:val="continue"/>
            <w:tcBorders>
              <w:left w:val="thinThickSmallGap" w:color="auto" w:sz="18"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生产技术部</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合同预算部</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left="113" w:right="113"/>
              <w:jc w:val="center"/>
              <w:rPr>
                <w:rFonts w:ascii="宋体" w:hAnsi="宋体" w:cs="宋体"/>
                <w:szCs w:val="21"/>
              </w:rPr>
            </w:pPr>
          </w:p>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主办部门</w:t>
            </w:r>
          </w:p>
          <w:p>
            <w:pPr>
              <w:jc w:val="center"/>
              <w:rPr>
                <w:rFonts w:ascii="宋体" w:hAnsi="宋体"/>
                <w:b/>
              </w:rPr>
            </w:pPr>
            <w:r>
              <w:rPr>
                <w:rFonts w:hint="eastAsia" w:ascii="宋体" w:hAnsi="宋体"/>
                <w:b/>
              </w:rPr>
              <w:t>分管副总经理</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right="113" w:firstLine="840" w:firstLineChars="400"/>
            </w:pPr>
            <w:r>
              <w:rPr>
                <w:rFonts w:hint="eastAsia"/>
              </w:rPr>
              <w:t xml:space="preserve">                                              </w:t>
            </w:r>
          </w:p>
          <w:p>
            <w:pPr>
              <w:pStyle w:val="2"/>
            </w:pPr>
            <w:r>
              <w:rPr>
                <w:rFonts w:hint="eastAsia"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总经理</w:t>
            </w:r>
          </w:p>
        </w:tc>
        <w:tc>
          <w:tcPr>
            <w:tcW w:w="8413" w:type="dxa"/>
            <w:gridSpan w:val="5"/>
            <w:tcBorders>
              <w:top w:val="single" w:color="auto" w:sz="4" w:space="0"/>
              <w:left w:val="single" w:color="auto" w:sz="4" w:space="0"/>
              <w:bottom w:val="single" w:color="auto" w:sz="4" w:space="0"/>
              <w:right w:val="thinThickSmallGap" w:color="auto" w:sz="18" w:space="0"/>
            </w:tcBorders>
          </w:tcPr>
          <w:p>
            <w:pPr>
              <w:rPr>
                <w:rFonts w:ascii="宋体" w:hAnsi="宋体" w:cs="宋体"/>
                <w:szCs w:val="21"/>
              </w:rPr>
            </w:pPr>
          </w:p>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vAlign w:val="center"/>
          </w:tcPr>
          <w:p>
            <w:pPr>
              <w:jc w:val="center"/>
              <w:rPr>
                <w:rFonts w:ascii="宋体" w:hAnsi="宋体"/>
                <w:b/>
              </w:rPr>
            </w:pPr>
            <w:r>
              <w:rPr>
                <w:rFonts w:hint="eastAsia" w:ascii="宋体" w:hAnsi="宋体"/>
                <w:b/>
              </w:rPr>
              <w:t>送达日期</w:t>
            </w:r>
          </w:p>
        </w:tc>
        <w:tc>
          <w:tcPr>
            <w:tcW w:w="1757" w:type="dxa"/>
            <w:tcBorders>
              <w:top w:val="single" w:color="auto" w:sz="4" w:space="0"/>
              <w:left w:val="single" w:color="auto" w:sz="4" w:space="0"/>
              <w:bottom w:val="thinThickSmallGap" w:color="auto" w:sz="18" w:space="0"/>
              <w:right w:val="single" w:color="auto" w:sz="4" w:space="0"/>
            </w:tcBorders>
          </w:tcPr>
          <w:p>
            <w:pPr>
              <w:widowControl/>
              <w:rPr>
                <w:rFonts w:ascii="宋体" w:hAnsi="宋体"/>
                <w:b/>
              </w:rPr>
            </w:pPr>
            <w:r>
              <w:rPr>
                <w:rFonts w:hint="eastAsia" w:ascii="宋体" w:hAnsi="宋体"/>
                <w:bCs/>
                <w:szCs w:val="21"/>
              </w:rPr>
              <w:t xml:space="preserve">            </w:t>
            </w:r>
          </w:p>
        </w:tc>
        <w:tc>
          <w:tcPr>
            <w:tcW w:w="1283" w:type="dxa"/>
            <w:tcBorders>
              <w:top w:val="single" w:color="auto" w:sz="4" w:space="0"/>
              <w:left w:val="single" w:color="auto" w:sz="4" w:space="0"/>
              <w:bottom w:val="thinThickSmallGap" w:color="auto" w:sz="18" w:space="0"/>
              <w:right w:val="single" w:color="auto" w:sz="4" w:space="0"/>
            </w:tcBorders>
            <w:vAlign w:val="center"/>
          </w:tcPr>
          <w:p>
            <w:pPr>
              <w:widowControl/>
              <w:jc w:val="center"/>
              <w:rPr>
                <w:rFonts w:ascii="宋体" w:hAnsi="宋体"/>
                <w:bCs/>
                <w:szCs w:val="21"/>
              </w:rPr>
            </w:pPr>
            <w:r>
              <w:rPr>
                <w:rFonts w:hint="eastAsia" w:ascii="宋体" w:hAnsi="宋体"/>
                <w:b/>
                <w:szCs w:val="21"/>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tcPr>
          <w:p>
            <w:pPr>
              <w:widowControl/>
              <w:ind w:firstLine="210" w:firstLineChars="100"/>
            </w:pPr>
            <w:r>
              <w:rPr>
                <w:rFonts w:hint="eastAsia"/>
              </w:rPr>
              <w:t>直接送达</w:t>
            </w:r>
            <w:r>
              <w:rPr>
                <w:rFonts w:hint="eastAsia"/>
              </w:rPr>
              <w:sym w:font="Wingdings 2" w:char="00A3"/>
            </w:r>
            <w:r>
              <w:rPr>
                <w:rFonts w:hint="eastAsia"/>
              </w:rPr>
              <w:t xml:space="preserve">  签收人：</w:t>
            </w:r>
          </w:p>
          <w:p>
            <w:pPr>
              <w:pStyle w:val="2"/>
            </w:pPr>
            <w:r>
              <w:rPr>
                <w:rFonts w:hint="eastAsia"/>
              </w:rPr>
              <w:t xml:space="preserve">  留置送达</w:t>
            </w:r>
            <w:r>
              <w:rPr>
                <w:rFonts w:hint="eastAsia"/>
              </w:rPr>
              <w:sym w:font="Wingdings 2" w:char="00A3"/>
            </w:r>
            <w:r>
              <w:rPr>
                <w:rFonts w:hint="eastAsia"/>
              </w:rPr>
              <w:t xml:space="preserve">  送达地址：                    </w:t>
            </w:r>
          </w:p>
          <w:p>
            <w:pPr>
              <w:pStyle w:val="2"/>
            </w:pPr>
            <w:r>
              <w:rPr>
                <w:rFonts w:hint="eastAsia"/>
              </w:rPr>
              <w:t xml:space="preserve">  电子送达</w:t>
            </w:r>
            <w:r>
              <w:rPr>
                <w:rFonts w:hint="eastAsia"/>
              </w:rPr>
              <w:sym w:font="Wingdings 2" w:char="00A3"/>
            </w:r>
            <w:r>
              <w:rPr>
                <w:rFonts w:hint="eastAsia"/>
              </w:rPr>
              <w:t xml:space="preserve">  收件人邮箱地址：</w:t>
            </w:r>
          </w:p>
        </w:tc>
      </w:tr>
    </w:tbl>
    <w:p>
      <w:pPr>
        <w:spacing w:line="240" w:lineRule="exact"/>
        <w:ind w:left="-619" w:leftChars="-295"/>
        <w:jc w:val="left"/>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.本表单一式三份，承包商执一份，运营分公司执两份，由运营分公司主办部门在合同执行过程中发现问题时填写；</w:t>
      </w:r>
    </w:p>
    <w:p>
      <w:pPr>
        <w:spacing w:line="240" w:lineRule="exact"/>
        <w:ind w:left="-78" w:leftChars="-37" w:right="-779" w:rightChars="-371"/>
        <w:jc w:val="left"/>
        <w:rPr>
          <w:rFonts w:ascii="宋体" w:hAnsi="宋体"/>
          <w:sz w:val="18"/>
          <w:szCs w:val="18"/>
        </w:rPr>
      </w:pPr>
      <w:r>
        <w:rPr>
          <w:rFonts w:hint="eastAsia" w:ascii="宋体" w:hAnsi="宋体"/>
          <w:sz w:val="18"/>
          <w:szCs w:val="18"/>
        </w:rPr>
        <w:t>2.承包商若对本次违约处理有意见，须在本表单送达后2个工作日内向运营分公司主办部门提交正式申诉材料提出申诉，否则视为接受违约处理意见，主办部门在收到申诉材料后须在5个工作日给予回复；</w:t>
      </w:r>
    </w:p>
    <w:p>
      <w:pPr>
        <w:spacing w:line="240" w:lineRule="exact"/>
        <w:ind w:left="-78" w:leftChars="-37" w:right="-779" w:rightChars="-371"/>
        <w:jc w:val="left"/>
        <w:rPr>
          <w:rFonts w:ascii="宋体" w:hAnsi="宋体"/>
          <w:sz w:val="18"/>
          <w:szCs w:val="18"/>
        </w:rPr>
      </w:pPr>
      <w:r>
        <w:rPr>
          <w:rFonts w:hint="eastAsia" w:ascii="宋体" w:hAnsi="宋体"/>
          <w:sz w:val="18"/>
          <w:szCs w:val="18"/>
        </w:rPr>
        <w:t>3.本表单按照违约处理决定的金额和授权方案逐级签批或用印，5000元（含）以下由主办部门签批，5000元（不含）-10000元（含）签批至分管主办部门的副总经理并用运营分公司印，10000元（不含）以上签批至总经理并用运营分公司印；</w:t>
      </w:r>
    </w:p>
    <w:p>
      <w:pPr>
        <w:spacing w:line="240" w:lineRule="exact"/>
        <w:ind w:left="-78" w:leftChars="-37" w:right="-779" w:rightChars="-371"/>
        <w:jc w:val="left"/>
        <w:rPr>
          <w:rFonts w:ascii="宋体" w:hAnsi="宋体"/>
          <w:color w:val="000000" w:themeColor="text1"/>
          <w:szCs w:val="21"/>
          <w14:textFill>
            <w14:solidFill>
              <w14:schemeClr w14:val="tx1"/>
            </w14:solidFill>
          </w14:textFill>
        </w:rPr>
      </w:pPr>
      <w:r>
        <w:rPr>
          <w:rFonts w:hint="eastAsia" w:ascii="宋体" w:hAnsi="宋体"/>
          <w:sz w:val="18"/>
          <w:szCs w:val="18"/>
        </w:rPr>
        <w:t>4.本表单自送达之日起生效。送达时间基准为：（1）直接送达以签收人签收时间为准；（2）留置送达以本表单送达指定地点时间为准，如出现拒签的情况以本表单送达指定地点时派送人现场照片或物流信息显示送达时间为准；（3）电子送达以发送人发出电子邮件时间为准。</w:t>
      </w:r>
    </w:p>
    <w:p/>
    <w:bookmarkEnd w:id="1897"/>
    <w:p>
      <w:pPr>
        <w:pStyle w:val="5"/>
        <w:numPr>
          <w:ilvl w:val="0"/>
          <w:numId w:val="0"/>
        </w:numPr>
        <w:spacing w:line="360" w:lineRule="auto"/>
        <w:ind w:left="720" w:hanging="720"/>
        <w:rPr>
          <w:rFonts w:cs="宋体"/>
          <w:b/>
        </w:rPr>
      </w:pPr>
      <w:bookmarkStart w:id="1898" w:name="_Toc110498354"/>
      <w:bookmarkStart w:id="1899" w:name="_Toc75442121"/>
      <w:r>
        <w:rPr>
          <w:rFonts w:hint="eastAsia" w:cs="宋体"/>
          <w:b/>
        </w:rPr>
        <w:t>附件3 维修记录表</w:t>
      </w:r>
      <w:bookmarkEnd w:id="1898"/>
    </w:p>
    <w:bookmarkEnd w:id="1899"/>
    <w:tbl>
      <w:tblPr>
        <w:tblStyle w:val="40"/>
        <w:tblW w:w="8400" w:type="dxa"/>
        <w:tblInd w:w="108" w:type="dxa"/>
        <w:tblLayout w:type="fixed"/>
        <w:tblCellMar>
          <w:top w:w="0" w:type="dxa"/>
          <w:left w:w="108" w:type="dxa"/>
          <w:bottom w:w="0" w:type="dxa"/>
          <w:right w:w="108" w:type="dxa"/>
        </w:tblCellMar>
      </w:tblPr>
      <w:tblGrid>
        <w:gridCol w:w="2705"/>
        <w:gridCol w:w="482"/>
        <w:gridCol w:w="482"/>
        <w:gridCol w:w="1313"/>
        <w:gridCol w:w="1827"/>
        <w:gridCol w:w="486"/>
        <w:gridCol w:w="1105"/>
      </w:tblGrid>
      <w:tr>
        <w:tblPrEx>
          <w:tblCellMar>
            <w:top w:w="0" w:type="dxa"/>
            <w:left w:w="108" w:type="dxa"/>
            <w:bottom w:w="0" w:type="dxa"/>
            <w:right w:w="108" w:type="dxa"/>
          </w:tblCellMar>
        </w:tblPrEx>
        <w:trPr>
          <w:trHeight w:val="90" w:hRule="atLeast"/>
        </w:trPr>
        <w:tc>
          <w:tcPr>
            <w:tcW w:w="8400" w:type="dxa"/>
            <w:gridSpan w:val="7"/>
            <w:tcBorders>
              <w:top w:val="nil"/>
              <w:left w:val="nil"/>
              <w:bottom w:val="single" w:color="auto" w:sz="4" w:space="0"/>
              <w:right w:val="nil"/>
            </w:tcBorders>
            <w:shd w:val="clear" w:color="auto" w:fill="auto"/>
            <w:noWrap/>
            <w:vAlign w:val="center"/>
          </w:tcPr>
          <w:p>
            <w:pPr>
              <w:widowControl/>
              <w:spacing w:line="360" w:lineRule="auto"/>
              <w:jc w:val="center"/>
              <w:rPr>
                <w:rFonts w:ascii="等线" w:hAnsi="等线" w:eastAsia="等线" w:cs="宋体"/>
                <w:b/>
                <w:bCs/>
                <w:sz w:val="28"/>
                <w:szCs w:val="28"/>
              </w:rPr>
            </w:pPr>
            <w:r>
              <w:rPr>
                <w:rFonts w:hint="eastAsia" w:ascii="等线" w:hAnsi="等线" w:eastAsia="等线" w:cs="宋体"/>
                <w:b/>
                <w:bCs/>
                <w:sz w:val="28"/>
                <w:szCs w:val="28"/>
              </w:rPr>
              <w:t>南宁轨道交通运营有限公司委外维修记录表</w:t>
            </w:r>
          </w:p>
          <w:p>
            <w:pPr>
              <w:widowControl/>
              <w:spacing w:line="360" w:lineRule="auto"/>
              <w:jc w:val="center"/>
              <w:rPr>
                <w:rFonts w:ascii="等线" w:hAnsi="等线" w:eastAsia="等线" w:cs="宋体"/>
                <w:b/>
                <w:bCs/>
                <w:sz w:val="28"/>
                <w:szCs w:val="28"/>
              </w:rPr>
            </w:pPr>
            <w:r>
              <w:rPr>
                <w:rFonts w:hint="eastAsia" w:ascii="等线" w:hAnsi="等线" w:eastAsia="等线" w:cs="宋体"/>
                <w:b/>
                <w:bCs/>
                <w:sz w:val="28"/>
                <w:szCs w:val="28"/>
              </w:rPr>
              <w:t xml:space="preserve">                           </w:t>
            </w:r>
            <w:r>
              <w:rPr>
                <w:rFonts w:hint="eastAsia" w:ascii="等线" w:hAnsi="等线" w:eastAsia="等线" w:cs="宋体"/>
                <w:b/>
                <w:bCs/>
                <w:szCs w:val="28"/>
              </w:rPr>
              <w:t xml:space="preserve"> 维保单号：</w:t>
            </w:r>
          </w:p>
        </w:tc>
      </w:tr>
      <w:tr>
        <w:tblPrEx>
          <w:tblCellMar>
            <w:top w:w="0" w:type="dxa"/>
            <w:left w:w="108" w:type="dxa"/>
            <w:bottom w:w="0" w:type="dxa"/>
            <w:right w:w="108" w:type="dxa"/>
          </w:tblCellMar>
        </w:tblPrEx>
        <w:trPr>
          <w:trHeight w:val="90" w:hRule="atLeast"/>
        </w:trPr>
        <w:tc>
          <w:tcPr>
            <w:tcW w:w="270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报修部门（中心）</w:t>
            </w:r>
          </w:p>
        </w:tc>
        <w:tc>
          <w:tcPr>
            <w:tcW w:w="227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w:t>
            </w:r>
          </w:p>
        </w:tc>
        <w:tc>
          <w:tcPr>
            <w:tcW w:w="1827"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提报人</w:t>
            </w:r>
          </w:p>
        </w:tc>
        <w:tc>
          <w:tcPr>
            <w:tcW w:w="15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w:t>
            </w:r>
          </w:p>
        </w:tc>
      </w:tr>
      <w:tr>
        <w:tblPrEx>
          <w:tblCellMar>
            <w:top w:w="0" w:type="dxa"/>
            <w:left w:w="108" w:type="dxa"/>
            <w:bottom w:w="0" w:type="dxa"/>
            <w:right w:w="108" w:type="dxa"/>
          </w:tblCellMar>
        </w:tblPrEx>
        <w:trPr>
          <w:trHeight w:val="90" w:hRule="atLeast"/>
        </w:trPr>
        <w:tc>
          <w:tcPr>
            <w:tcW w:w="270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提报时间</w:t>
            </w:r>
          </w:p>
        </w:tc>
        <w:tc>
          <w:tcPr>
            <w:tcW w:w="227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w:t>
            </w:r>
          </w:p>
        </w:tc>
        <w:tc>
          <w:tcPr>
            <w:tcW w:w="1827"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维保地点</w:t>
            </w:r>
          </w:p>
        </w:tc>
        <w:tc>
          <w:tcPr>
            <w:tcW w:w="15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w:t>
            </w:r>
          </w:p>
        </w:tc>
      </w:tr>
      <w:tr>
        <w:tblPrEx>
          <w:tblCellMar>
            <w:top w:w="0" w:type="dxa"/>
            <w:left w:w="108" w:type="dxa"/>
            <w:bottom w:w="0" w:type="dxa"/>
            <w:right w:w="108" w:type="dxa"/>
          </w:tblCellMar>
        </w:tblPrEx>
        <w:trPr>
          <w:trHeight w:val="290" w:hRule="atLeast"/>
        </w:trPr>
        <w:tc>
          <w:tcPr>
            <w:tcW w:w="270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32"/>
                <w:szCs w:val="32"/>
              </w:rPr>
            </w:pPr>
            <w:r>
              <w:rPr>
                <w:rFonts w:hint="eastAsia" w:ascii="等线" w:hAnsi="等线" w:eastAsia="等线" w:cs="宋体"/>
                <w:b/>
                <w:bCs/>
                <w:sz w:val="32"/>
                <w:szCs w:val="32"/>
              </w:rPr>
              <w:t>维保记录</w:t>
            </w:r>
          </w:p>
        </w:tc>
        <w:tc>
          <w:tcPr>
            <w:tcW w:w="5695"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p>
            <w:pPr>
              <w:widowControl/>
              <w:spacing w:line="360" w:lineRule="auto"/>
              <w:jc w:val="center"/>
              <w:rPr>
                <w:rFonts w:ascii="等线" w:hAnsi="等线" w:eastAsia="等线" w:cs="宋体"/>
                <w:b/>
                <w:bCs/>
                <w:sz w:val="22"/>
              </w:rPr>
            </w:pPr>
          </w:p>
        </w:tc>
      </w:tr>
      <w:tr>
        <w:tblPrEx>
          <w:tblCellMar>
            <w:top w:w="0" w:type="dxa"/>
            <w:left w:w="108" w:type="dxa"/>
            <w:bottom w:w="0" w:type="dxa"/>
            <w:right w:w="108" w:type="dxa"/>
          </w:tblCellMar>
        </w:tblPrEx>
        <w:trPr>
          <w:trHeight w:val="90" w:hRule="atLeast"/>
        </w:trPr>
        <w:tc>
          <w:tcPr>
            <w:tcW w:w="270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故障是否处理</w:t>
            </w:r>
          </w:p>
        </w:tc>
        <w:tc>
          <w:tcPr>
            <w:tcW w:w="96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□是      □否</w:t>
            </w:r>
          </w:p>
        </w:tc>
        <w:tc>
          <w:tcPr>
            <w:tcW w:w="131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是否可正常使用</w:t>
            </w:r>
          </w:p>
        </w:tc>
        <w:tc>
          <w:tcPr>
            <w:tcW w:w="3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□是      □否</w:t>
            </w:r>
          </w:p>
        </w:tc>
      </w:tr>
      <w:tr>
        <w:tblPrEx>
          <w:tblCellMar>
            <w:top w:w="0" w:type="dxa"/>
            <w:left w:w="108" w:type="dxa"/>
            <w:bottom w:w="0" w:type="dxa"/>
            <w:right w:w="108" w:type="dxa"/>
          </w:tblCellMar>
        </w:tblPrEx>
        <w:trPr>
          <w:trHeight w:val="90" w:hRule="atLeast"/>
        </w:trPr>
        <w:tc>
          <w:tcPr>
            <w:tcW w:w="2705" w:type="dxa"/>
            <w:tcBorders>
              <w:top w:val="nil"/>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维保单位签名</w:t>
            </w:r>
          </w:p>
        </w:tc>
        <w:tc>
          <w:tcPr>
            <w:tcW w:w="482" w:type="dxa"/>
            <w:tcBorders>
              <w:top w:val="nil"/>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p>
        </w:tc>
        <w:tc>
          <w:tcPr>
            <w:tcW w:w="1795" w:type="dxa"/>
            <w:gridSpan w:val="2"/>
            <w:tcBorders>
              <w:top w:val="single" w:color="auto" w:sz="4" w:space="0"/>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报修部门签名</w:t>
            </w:r>
          </w:p>
        </w:tc>
        <w:tc>
          <w:tcPr>
            <w:tcW w:w="2313" w:type="dxa"/>
            <w:gridSpan w:val="2"/>
            <w:tcBorders>
              <w:top w:val="single" w:color="auto" w:sz="4" w:space="0"/>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r>
              <w:rPr>
                <w:rFonts w:hint="eastAsia" w:ascii="等线" w:hAnsi="等线" w:eastAsia="等线" w:cs="宋体"/>
                <w:b/>
                <w:bCs/>
                <w:sz w:val="22"/>
              </w:rPr>
              <w:t xml:space="preserve">      主办部门审核</w:t>
            </w:r>
          </w:p>
        </w:tc>
        <w:tc>
          <w:tcPr>
            <w:tcW w:w="1105" w:type="dxa"/>
            <w:tcBorders>
              <w:top w:val="nil"/>
              <w:left w:val="nil"/>
              <w:bottom w:val="nil"/>
              <w:right w:val="nil"/>
            </w:tcBorders>
            <w:shd w:val="clear" w:color="auto" w:fill="auto"/>
            <w:noWrap/>
            <w:vAlign w:val="center"/>
          </w:tcPr>
          <w:p>
            <w:pPr>
              <w:widowControl/>
              <w:spacing w:line="360" w:lineRule="auto"/>
              <w:jc w:val="center"/>
              <w:rPr>
                <w:rFonts w:ascii="等线" w:hAnsi="等线" w:eastAsia="等线" w:cs="宋体"/>
                <w:b/>
                <w:bCs/>
                <w:sz w:val="22"/>
              </w:rPr>
            </w:pPr>
          </w:p>
          <w:p>
            <w:pPr>
              <w:pStyle w:val="2"/>
            </w:pPr>
          </w:p>
          <w:p>
            <w:pPr>
              <w:pStyle w:val="2"/>
            </w:pPr>
          </w:p>
          <w:p>
            <w:pPr>
              <w:pStyle w:val="2"/>
            </w:pPr>
          </w:p>
          <w:p>
            <w:pPr>
              <w:pStyle w:val="2"/>
            </w:pPr>
          </w:p>
          <w:p>
            <w:pPr>
              <w:pStyle w:val="2"/>
            </w:pPr>
          </w:p>
          <w:p>
            <w:pPr>
              <w:pStyle w:val="2"/>
            </w:pPr>
          </w:p>
          <w:p>
            <w:pPr>
              <w:pStyle w:val="2"/>
            </w:pPr>
          </w:p>
        </w:tc>
      </w:tr>
    </w:tbl>
    <w:p>
      <w:pPr>
        <w:pStyle w:val="2"/>
      </w:pPr>
    </w:p>
    <w:p>
      <w:pPr>
        <w:pStyle w:val="2"/>
      </w:pPr>
    </w:p>
    <w:p>
      <w:pPr>
        <w:pStyle w:val="2"/>
        <w:spacing w:line="360" w:lineRule="auto"/>
        <w:outlineLvl w:val="2"/>
        <w:rPr>
          <w:rFonts w:ascii="黑体" w:hAnsi="黑体" w:eastAsia="黑体" w:cs="黑体"/>
          <w:b/>
        </w:rPr>
      </w:pPr>
      <w:r>
        <w:rPr>
          <w:rFonts w:hint="eastAsia" w:ascii="黑体" w:hAnsi="黑体" w:eastAsia="黑体" w:cs="黑体"/>
          <w:b/>
        </w:rPr>
        <w:t>附件4 维保服务考评表</w:t>
      </w:r>
    </w:p>
    <w:tbl>
      <w:tblPr>
        <w:tblStyle w:val="40"/>
        <w:tblW w:w="11091" w:type="dxa"/>
        <w:tblInd w:w="-743" w:type="dxa"/>
        <w:tblLayout w:type="autofit"/>
        <w:tblCellMar>
          <w:top w:w="0" w:type="dxa"/>
          <w:left w:w="108" w:type="dxa"/>
          <w:bottom w:w="0" w:type="dxa"/>
          <w:right w:w="108" w:type="dxa"/>
        </w:tblCellMar>
      </w:tblPr>
      <w:tblGrid>
        <w:gridCol w:w="850"/>
        <w:gridCol w:w="7372"/>
        <w:gridCol w:w="2018"/>
        <w:gridCol w:w="851"/>
      </w:tblGrid>
      <w:tr>
        <w:tblPrEx>
          <w:tblCellMar>
            <w:top w:w="0" w:type="dxa"/>
            <w:left w:w="108" w:type="dxa"/>
            <w:bottom w:w="0" w:type="dxa"/>
            <w:right w:w="108" w:type="dxa"/>
          </w:tblCellMar>
        </w:tblPrEx>
        <w:trPr>
          <w:trHeight w:val="585" w:hRule="atLeast"/>
        </w:trPr>
        <w:tc>
          <w:tcPr>
            <w:tcW w:w="11091" w:type="dxa"/>
            <w:gridSpan w:val="4"/>
            <w:tcBorders>
              <w:top w:val="nil"/>
              <w:left w:val="nil"/>
              <w:bottom w:val="nil"/>
              <w:right w:val="nil"/>
            </w:tcBorders>
            <w:shd w:val="clear" w:color="auto" w:fill="auto"/>
            <w:noWrap/>
            <w:vAlign w:val="center"/>
          </w:tcPr>
          <w:p>
            <w:pPr>
              <w:widowControl/>
              <w:jc w:val="center"/>
              <w:rPr>
                <w:rFonts w:ascii="等线" w:hAnsi="等线" w:eastAsia="等线" w:cs="宋体"/>
                <w:b/>
                <w:bCs/>
                <w:color w:val="000000"/>
                <w:kern w:val="0"/>
                <w:sz w:val="32"/>
                <w:szCs w:val="32"/>
              </w:rPr>
            </w:pPr>
          </w:p>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维保服务考评表</w:t>
            </w:r>
          </w:p>
          <w:p>
            <w:pPr>
              <w:pStyle w:val="2"/>
            </w:pPr>
            <w:r>
              <w:rPr>
                <w:rFonts w:hint="eastAsia"/>
              </w:rPr>
              <w:t>日期：</w:t>
            </w:r>
          </w:p>
        </w:tc>
      </w:tr>
      <w:tr>
        <w:tblPrEx>
          <w:tblCellMar>
            <w:top w:w="0" w:type="dxa"/>
            <w:left w:w="108" w:type="dxa"/>
            <w:bottom w:w="0" w:type="dxa"/>
            <w:right w:w="108" w:type="dxa"/>
          </w:tblCellMar>
        </w:tblPrEx>
        <w:trPr>
          <w:trHeight w:val="452" w:hRule="atLeast"/>
        </w:trPr>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序号</w:t>
            </w:r>
          </w:p>
        </w:tc>
        <w:tc>
          <w:tcPr>
            <w:tcW w:w="93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考评内容</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备注</w:t>
            </w:r>
          </w:p>
        </w:tc>
      </w:tr>
      <w:tr>
        <w:tblPrEx>
          <w:tblCellMar>
            <w:top w:w="0" w:type="dxa"/>
            <w:left w:w="108" w:type="dxa"/>
            <w:bottom w:w="0" w:type="dxa"/>
            <w:right w:w="108" w:type="dxa"/>
          </w:tblCellMar>
        </w:tblPrEx>
        <w:trPr>
          <w:trHeight w:val="778"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维保过程中是否按照规定的响应到场时间到场维保</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04"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维保过程中是否按照规定的临时处理时间处理完毕现场问题</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00"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维保过程中是否按照规定的完全处理时间处理完毕现场问题</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10"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维保人员在现场维保时的态度是</w:t>
            </w:r>
            <w:bookmarkStart w:id="1963" w:name="_GoBack"/>
            <w:bookmarkEnd w:id="1963"/>
            <w:r>
              <w:rPr>
                <w:rFonts w:hint="eastAsia" w:ascii="等线" w:hAnsi="等线" w:eastAsia="等线" w:cs="宋体"/>
                <w:color w:val="000000"/>
                <w:kern w:val="0"/>
                <w:sz w:val="22"/>
              </w:rPr>
              <w:t>否良好</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692"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维保过程中使用的配件、消耗料是否满足要求</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688"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维保过程中是否发生违反公司相应制度、规程的事件</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12" w:hRule="atLeast"/>
        </w:trPr>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w:t>
            </w:r>
          </w:p>
        </w:tc>
        <w:tc>
          <w:tcPr>
            <w:tcW w:w="737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维保后（三包期内）是否发生安全、责任事件</w:t>
            </w:r>
          </w:p>
        </w:tc>
        <w:tc>
          <w:tcPr>
            <w:tcW w:w="201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712" w:hRule="atLeast"/>
        </w:trPr>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w:t>
            </w:r>
          </w:p>
        </w:tc>
        <w:tc>
          <w:tcPr>
            <w:tcW w:w="73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其他存在考评的项点</w:t>
            </w:r>
          </w:p>
        </w:tc>
        <w:tc>
          <w:tcPr>
            <w:tcW w:w="20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□是       □否</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bl>
    <w:p>
      <w:pPr>
        <w:pStyle w:val="2"/>
        <w:spacing w:line="360" w:lineRule="auto"/>
        <w:rPr>
          <w:rFonts w:ascii="黑体" w:hAnsi="黑体" w:eastAsia="黑体" w:cs="黑体"/>
          <w:b/>
        </w:rPr>
      </w:pPr>
      <w:r>
        <w:rPr>
          <w:rFonts w:hint="eastAsia" w:ascii="黑体" w:hAnsi="黑体" w:eastAsia="黑体" w:cs="黑体"/>
          <w:b/>
        </w:rPr>
        <w:t>经办人：                                审核人：                           部门负责人：</w:t>
      </w:r>
    </w:p>
    <w:p>
      <w:pPr>
        <w:pStyle w:val="2"/>
        <w:spacing w:line="360" w:lineRule="auto"/>
        <w:ind w:firstLine="422" w:firstLineChars="200"/>
        <w:rPr>
          <w:rFonts w:ascii="黑体" w:hAnsi="黑体" w:eastAsia="黑体" w:cs="黑体"/>
          <w:b/>
        </w:rPr>
      </w:pPr>
    </w:p>
    <w:p>
      <w:pPr>
        <w:pStyle w:val="2"/>
        <w:spacing w:line="360" w:lineRule="auto"/>
        <w:ind w:firstLine="422" w:firstLineChars="200"/>
        <w:rPr>
          <w:rFonts w:ascii="黑体" w:hAnsi="黑体" w:eastAsia="黑体" w:cs="黑体"/>
          <w:b/>
        </w:rPr>
      </w:pPr>
      <w:r>
        <w:rPr>
          <w:rFonts w:hint="eastAsia" w:ascii="黑体" w:hAnsi="黑体" w:eastAsia="黑体" w:cs="黑体"/>
          <w:b/>
        </w:rPr>
        <w:t>说明：</w:t>
      </w:r>
    </w:p>
    <w:p>
      <w:pPr>
        <w:pStyle w:val="2"/>
        <w:spacing w:line="360" w:lineRule="auto"/>
        <w:ind w:firstLine="420" w:firstLineChars="200"/>
        <w:rPr>
          <w:rFonts w:ascii="黑体" w:hAnsi="黑体" w:eastAsia="黑体" w:cs="黑体"/>
          <w:bCs/>
        </w:rPr>
      </w:pPr>
      <w:r>
        <w:rPr>
          <w:rFonts w:hint="eastAsia" w:ascii="黑体" w:hAnsi="黑体" w:eastAsia="黑体" w:cs="黑体"/>
          <w:bCs/>
        </w:rPr>
        <w:t>1.该考评表由项目主办部门每季出具作为计量支付依据；</w:t>
      </w:r>
    </w:p>
    <w:p>
      <w:pPr>
        <w:pStyle w:val="2"/>
        <w:spacing w:line="360" w:lineRule="auto"/>
        <w:ind w:firstLine="420" w:firstLineChars="200"/>
        <w:rPr>
          <w:rFonts w:ascii="黑体" w:hAnsi="黑体" w:eastAsia="黑体" w:cs="黑体"/>
          <w:bCs/>
        </w:rPr>
      </w:pPr>
      <w:r>
        <w:rPr>
          <w:rFonts w:ascii="黑体" w:hAnsi="黑体" w:eastAsia="黑体" w:cs="黑体"/>
          <w:bCs/>
        </w:rPr>
        <w:t>2.</w:t>
      </w:r>
      <w:r>
        <w:rPr>
          <w:rFonts w:hint="eastAsia" w:ascii="黑体" w:hAnsi="黑体" w:eastAsia="黑体" w:cs="黑体"/>
          <w:bCs/>
        </w:rPr>
        <w:t>如发生相应的考评项点填写“否”的情况，应在备注写明具体事件内容及附上《维保记录表》，并将结合考核条款出具《合同违约处罚通知单》。</w:t>
      </w: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bookmarkEnd w:id="1738"/>
    <w:bookmarkEnd w:id="1742"/>
    <w:p>
      <w:pPr>
        <w:pStyle w:val="2"/>
        <w:spacing w:line="360" w:lineRule="auto"/>
        <w:jc w:val="center"/>
        <w:outlineLvl w:val="0"/>
        <w:rPr>
          <w:rStyle w:val="92"/>
          <w:rFonts w:hAnsi="宋体"/>
        </w:rPr>
      </w:pPr>
      <w:bookmarkStart w:id="1900" w:name="_Toc14738"/>
      <w:bookmarkStart w:id="1901" w:name="_Toc5008"/>
      <w:bookmarkStart w:id="1902" w:name="_Toc14104"/>
      <w:bookmarkStart w:id="1903" w:name="_Toc3551"/>
      <w:bookmarkStart w:id="1904" w:name="_Toc22547"/>
      <w:bookmarkStart w:id="1905" w:name="_Toc1104"/>
      <w:bookmarkStart w:id="1906" w:name="_Toc4284"/>
      <w:bookmarkStart w:id="1907" w:name="_Toc26286"/>
      <w:bookmarkStart w:id="1908" w:name="_Toc17186"/>
      <w:bookmarkStart w:id="1909" w:name="_Toc25750691"/>
      <w:bookmarkStart w:id="1910" w:name="_Toc25908"/>
      <w:bookmarkStart w:id="1911" w:name="_Toc1777"/>
      <w:bookmarkStart w:id="1912" w:name="_Toc531"/>
      <w:bookmarkStart w:id="1913" w:name="_Toc9329"/>
      <w:bookmarkStart w:id="1914" w:name="_Toc147"/>
      <w:bookmarkStart w:id="1915" w:name="_Toc75771568"/>
      <w:bookmarkStart w:id="1916" w:name="_Toc3174"/>
      <w:bookmarkStart w:id="1917" w:name="_Toc21231"/>
      <w:bookmarkStart w:id="1918" w:name="_Toc6090"/>
      <w:bookmarkStart w:id="1919" w:name="_Toc1695"/>
      <w:r>
        <w:rPr>
          <w:rStyle w:val="92"/>
          <w:rFonts w:hint="eastAsia" w:hAnsi="宋体"/>
        </w:rPr>
        <w:t>第六章  评审办法</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spacing w:line="360" w:lineRule="auto"/>
        <w:ind w:firstLine="424" w:firstLineChars="151"/>
        <w:outlineLvl w:val="1"/>
        <w:rPr>
          <w:rFonts w:ascii="宋体" w:hAnsi="宋体" w:cs="Arial"/>
          <w:b/>
          <w:bCs/>
          <w:sz w:val="28"/>
          <w:szCs w:val="28"/>
        </w:rPr>
      </w:pPr>
      <w:bookmarkStart w:id="1920" w:name="_Toc10770"/>
      <w:bookmarkStart w:id="1921" w:name="_Toc25750692"/>
      <w:bookmarkStart w:id="1922" w:name="_Toc75771569"/>
      <w:r>
        <w:rPr>
          <w:rFonts w:hint="eastAsia" w:ascii="宋体" w:hAnsi="宋体" w:cs="Arial"/>
          <w:b/>
          <w:bCs/>
          <w:sz w:val="28"/>
          <w:szCs w:val="28"/>
        </w:rPr>
        <w:t>一、评审原则</w:t>
      </w:r>
      <w:bookmarkEnd w:id="1920"/>
      <w:bookmarkEnd w:id="1921"/>
      <w:bookmarkEnd w:id="1922"/>
    </w:p>
    <w:p>
      <w:pPr>
        <w:spacing w:line="360" w:lineRule="auto"/>
        <w:ind w:firstLine="420" w:firstLineChars="200"/>
        <w:rPr>
          <w:rFonts w:ascii="宋体" w:hAnsi="宋体" w:cs="Arial"/>
        </w:rPr>
      </w:pPr>
      <w:r>
        <w:rPr>
          <w:rFonts w:ascii="宋体" w:hAnsi="宋体" w:cs="Arial"/>
        </w:rPr>
        <w:t>1.1</w:t>
      </w:r>
      <w:r>
        <w:rPr>
          <w:rFonts w:hint="eastAsia" w:ascii="宋体" w:hAnsi="宋体" w:cs="Arial"/>
          <w:bCs/>
        </w:rPr>
        <w:t>评审委员会成员构成：本项目由</w:t>
      </w:r>
      <w:r>
        <w:rPr>
          <w:rFonts w:ascii="宋体" w:hAnsi="宋体"/>
        </w:rPr>
        <w:t>南宁轨道交通</w:t>
      </w:r>
      <w:r>
        <w:rPr>
          <w:rFonts w:hint="eastAsia" w:ascii="宋体" w:hAnsi="宋体"/>
        </w:rPr>
        <w:t>运营</w:t>
      </w:r>
      <w:r>
        <w:rPr>
          <w:rFonts w:ascii="宋体" w:hAnsi="宋体"/>
        </w:rPr>
        <w:t>有限公司</w:t>
      </w:r>
      <w:r>
        <w:rPr>
          <w:rFonts w:hint="eastAsia" w:ascii="宋体" w:hAnsi="宋体" w:cs="Arial"/>
          <w:bCs/>
        </w:rPr>
        <w:t>5人及以上单数组成评审小组，对比选申请文件按评审标准进行评审；由</w:t>
      </w:r>
      <w:r>
        <w:rPr>
          <w:rFonts w:ascii="宋体" w:hAnsi="宋体"/>
        </w:rPr>
        <w:t>南宁轨道交通</w:t>
      </w:r>
      <w:r>
        <w:rPr>
          <w:rFonts w:hint="eastAsia" w:ascii="宋体" w:hAnsi="宋体"/>
        </w:rPr>
        <w:t>运营</w:t>
      </w:r>
      <w:r>
        <w:rPr>
          <w:rFonts w:ascii="宋体" w:hAnsi="宋体"/>
        </w:rPr>
        <w:t>有限公司</w:t>
      </w:r>
      <w:r>
        <w:rPr>
          <w:rFonts w:hint="eastAsia" w:ascii="宋体" w:hAnsi="宋体" w:cs="Arial"/>
          <w:bCs/>
        </w:rPr>
        <w:t>合约法规部人员作为评审会议主持人。</w:t>
      </w:r>
    </w:p>
    <w:p>
      <w:pPr>
        <w:spacing w:line="360" w:lineRule="auto"/>
        <w:ind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line="360" w:lineRule="auto"/>
        <w:ind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pStyle w:val="4"/>
        <w:spacing w:line="360" w:lineRule="auto"/>
        <w:ind w:firstLine="424" w:firstLineChars="151"/>
        <w:rPr>
          <w:rFonts w:hAnsi="宋体" w:cs="Arial"/>
          <w:b w:val="0"/>
          <w:bCs w:val="0"/>
          <w:sz w:val="28"/>
          <w:szCs w:val="28"/>
        </w:rPr>
      </w:pPr>
      <w:bookmarkStart w:id="1923" w:name="_Toc29000"/>
      <w:bookmarkStart w:id="1924" w:name="_Toc5136"/>
      <w:bookmarkStart w:id="1925" w:name="_Toc15880"/>
      <w:bookmarkStart w:id="1926" w:name="_Toc478566177"/>
      <w:bookmarkStart w:id="1927" w:name="_Toc25750693"/>
      <w:bookmarkStart w:id="1928" w:name="_Toc11240"/>
      <w:bookmarkStart w:id="1929" w:name="_Toc75771570"/>
      <w:bookmarkStart w:id="1930" w:name="_Toc1844"/>
      <w:r>
        <w:rPr>
          <w:rFonts w:hint="eastAsia" w:ascii="宋体" w:hAnsi="宋体" w:cs="Arial"/>
          <w:sz w:val="28"/>
          <w:szCs w:val="28"/>
        </w:rPr>
        <w:t>二、评定方法</w:t>
      </w:r>
      <w:bookmarkEnd w:id="1923"/>
      <w:bookmarkEnd w:id="1924"/>
      <w:bookmarkEnd w:id="1925"/>
      <w:bookmarkEnd w:id="1926"/>
      <w:bookmarkEnd w:id="1927"/>
      <w:bookmarkEnd w:id="1928"/>
      <w:bookmarkEnd w:id="1929"/>
      <w:bookmarkEnd w:id="1930"/>
    </w:p>
    <w:p>
      <w:pPr>
        <w:spacing w:line="360" w:lineRule="auto"/>
        <w:ind w:firstLine="420" w:firstLineChars="200"/>
        <w:rPr>
          <w:rFonts w:ascii="宋体" w:hAnsi="宋体" w:cs="Arial"/>
        </w:rPr>
      </w:pPr>
      <w:r>
        <w:rPr>
          <w:rFonts w:hint="eastAsia" w:ascii="宋体" w:hAnsi="宋体" w:cs="Arial"/>
        </w:rPr>
        <w:t>2.1对资格性和符合性检查合格的比选申请文件，采用</w:t>
      </w:r>
      <w:r>
        <w:rPr>
          <w:rFonts w:hint="eastAsia" w:ascii="宋体" w:hAnsi="宋体" w:cs="Arial"/>
          <w:b/>
        </w:rPr>
        <w:t>最低评价法</w:t>
      </w:r>
      <w:r>
        <w:rPr>
          <w:rFonts w:hint="eastAsia" w:ascii="宋体" w:hAnsi="宋体" w:cs="Arial"/>
        </w:rPr>
        <w:t>进行评审。</w:t>
      </w:r>
    </w:p>
    <w:p>
      <w:pPr>
        <w:spacing w:line="360" w:lineRule="auto"/>
        <w:ind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line="360" w:lineRule="auto"/>
        <w:ind w:firstLine="420" w:firstLineChars="200"/>
        <w:rPr>
          <w:rFonts w:ascii="宋体" w:hAnsi="宋体" w:cs="Arial"/>
        </w:rPr>
      </w:pPr>
      <w:r>
        <w:rPr>
          <w:rFonts w:hint="eastAsia" w:ascii="宋体" w:hAnsi="宋体" w:cs="Arial"/>
        </w:rPr>
        <w:t>2.3</w:t>
      </w:r>
      <w:r>
        <w:rPr>
          <w:rFonts w:ascii="宋体" w:hAnsi="宋体" w:cs="Arial"/>
        </w:rPr>
        <w:t xml:space="preserve"> </w:t>
      </w:r>
      <w:r>
        <w:rPr>
          <w:rFonts w:hint="eastAsia" w:ascii="宋体" w:hAnsi="宋体" w:cs="Arial"/>
        </w:rPr>
        <w:t>若比选申请人的报价相同，</w:t>
      </w:r>
      <w:r>
        <w:rPr>
          <w:rFonts w:hint="eastAsia" w:ascii="宋体" w:hAnsi="宋体"/>
        </w:rPr>
        <w:t>以评审委员会记名投票的方式按少数服从多数的原则决定其排名顺序。</w:t>
      </w:r>
    </w:p>
    <w:p>
      <w:pPr>
        <w:pStyle w:val="4"/>
        <w:spacing w:line="360" w:lineRule="auto"/>
        <w:ind w:firstLine="284" w:firstLineChars="101"/>
        <w:rPr>
          <w:rFonts w:ascii="宋体" w:hAnsi="宋体" w:cs="Arial"/>
          <w:b w:val="0"/>
          <w:bCs w:val="0"/>
          <w:sz w:val="28"/>
          <w:szCs w:val="28"/>
        </w:rPr>
      </w:pPr>
      <w:bookmarkStart w:id="1931" w:name="_Toc17098"/>
      <w:bookmarkStart w:id="1932" w:name="_Toc75771571"/>
      <w:r>
        <w:rPr>
          <w:rFonts w:hint="eastAsia" w:ascii="宋体" w:hAnsi="宋体" w:cs="Arial"/>
          <w:sz w:val="28"/>
          <w:szCs w:val="28"/>
        </w:rPr>
        <w:t>三、评审流程</w:t>
      </w:r>
      <w:bookmarkEnd w:id="1931"/>
      <w:bookmarkEnd w:id="1932"/>
    </w:p>
    <w:p>
      <w:pPr>
        <w:tabs>
          <w:tab w:val="left" w:pos="567"/>
        </w:tabs>
        <w:spacing w:line="360" w:lineRule="auto"/>
        <w:ind w:left="422"/>
        <w:rPr>
          <w:rFonts w:ascii="宋体" w:hAnsi="宋体"/>
          <w:b/>
        </w:rPr>
      </w:pPr>
      <w:r>
        <w:rPr>
          <w:rFonts w:hint="eastAsia" w:ascii="宋体" w:hAnsi="宋体"/>
          <w:b/>
        </w:rPr>
        <w:t>3.1资格审查</w:t>
      </w:r>
    </w:p>
    <w:p>
      <w:pPr>
        <w:spacing w:line="360" w:lineRule="auto"/>
        <w:ind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line="360" w:lineRule="auto"/>
        <w:ind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line="360" w:lineRule="auto"/>
        <w:ind w:left="422"/>
        <w:rPr>
          <w:rFonts w:ascii="宋体" w:hAnsi="宋体"/>
          <w:b/>
        </w:rPr>
      </w:pPr>
      <w:r>
        <w:rPr>
          <w:rFonts w:hint="eastAsia" w:ascii="宋体" w:hAnsi="宋体"/>
          <w:b/>
        </w:rPr>
        <w:t>3.2初步评审</w:t>
      </w:r>
    </w:p>
    <w:p>
      <w:pPr>
        <w:tabs>
          <w:tab w:val="left" w:pos="851"/>
        </w:tabs>
        <w:spacing w:line="360" w:lineRule="auto"/>
        <w:ind w:firstLine="420" w:firstLineChars="200"/>
        <w:rPr>
          <w:rFonts w:hAnsi="宋体"/>
        </w:rPr>
      </w:pPr>
      <w:r>
        <w:rPr>
          <w:rFonts w:hint="eastAsia" w:hAnsi="宋体"/>
        </w:rPr>
        <w:t>（1）评审委员会将对比选申请文件的实质性内容进行初步评审，判定其内容是否真实、完整，是否满足比选文件要求并在实质性内容上予以响应。</w:t>
      </w:r>
    </w:p>
    <w:p>
      <w:pPr>
        <w:tabs>
          <w:tab w:val="left" w:pos="851"/>
        </w:tabs>
        <w:spacing w:line="360" w:lineRule="auto"/>
        <w:ind w:firstLine="420" w:firstLineChars="200"/>
        <w:rPr>
          <w:rFonts w:hAnsi="宋体"/>
        </w:rPr>
      </w:pPr>
      <w:r>
        <w:rPr>
          <w:rFonts w:hint="eastAsia" w:hAnsi="宋体"/>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line="360" w:lineRule="auto"/>
        <w:ind w:firstLine="420" w:firstLineChars="200"/>
        <w:rPr>
          <w:rFonts w:ascii="宋体" w:hAnsi="宋体"/>
        </w:rPr>
      </w:pPr>
      <w:r>
        <w:rPr>
          <w:rFonts w:hint="eastAsia" w:hAnsi="宋体"/>
        </w:rPr>
        <w:t>（3）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 w:val="left" w:pos="1134"/>
        </w:tabs>
        <w:spacing w:line="360" w:lineRule="auto"/>
        <w:ind w:left="422"/>
        <w:rPr>
          <w:rFonts w:ascii="宋体" w:hAnsi="宋体"/>
          <w:b/>
        </w:rPr>
      </w:pPr>
      <w:r>
        <w:rPr>
          <w:rFonts w:hint="eastAsia" w:ascii="宋体" w:hAnsi="宋体"/>
          <w:b/>
        </w:rPr>
        <w:t>3.3价格评审</w:t>
      </w:r>
    </w:p>
    <w:p>
      <w:pPr>
        <w:tabs>
          <w:tab w:val="left" w:pos="567"/>
        </w:tabs>
        <w:spacing w:line="360" w:lineRule="auto"/>
        <w:ind w:firstLine="420" w:firstLineChars="200"/>
        <w:rPr>
          <w:rFonts w:ascii="宋体" w:hAnsi="宋体"/>
        </w:rPr>
      </w:pPr>
      <w:r>
        <w:rPr>
          <w:rFonts w:hint="eastAsia"/>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567"/>
        </w:tabs>
        <w:spacing w:line="360" w:lineRule="auto"/>
        <w:ind w:firstLine="420" w:firstLineChars="200"/>
        <w:rPr>
          <w:rFonts w:ascii="宋体" w:hAnsi="宋体"/>
        </w:rPr>
      </w:pPr>
      <w:r>
        <w:rPr>
          <w:rFonts w:hint="eastAsia"/>
        </w:rPr>
        <w:t>3.3.2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 w:val="left" w:pos="1134"/>
        </w:tabs>
        <w:spacing w:line="360" w:lineRule="auto"/>
        <w:ind w:firstLine="424" w:firstLineChars="202"/>
        <w:jc w:val="left"/>
        <w:rPr>
          <w:rFonts w:cs="宋体"/>
        </w:rPr>
      </w:pPr>
      <w:r>
        <w:rPr>
          <w:rFonts w:hint="eastAsia"/>
        </w:rPr>
        <w:t>（1）比选申请</w:t>
      </w:r>
      <w:r>
        <w:rPr>
          <w:rFonts w:hint="eastAsia" w:cs="宋体"/>
        </w:rPr>
        <w:t>文件中的大写金额与小写金额不一致的，以大写金额为准；</w:t>
      </w:r>
    </w:p>
    <w:p>
      <w:pPr>
        <w:tabs>
          <w:tab w:val="left" w:pos="851"/>
          <w:tab w:val="left" w:pos="1134"/>
        </w:tabs>
        <w:spacing w:line="360" w:lineRule="auto"/>
        <w:ind w:firstLine="424" w:firstLineChars="202"/>
        <w:jc w:val="left"/>
        <w:rPr>
          <w:rFonts w:cs="宋体"/>
        </w:rPr>
      </w:pPr>
      <w:r>
        <w:rPr>
          <w:rFonts w:hint="eastAsia"/>
        </w:rPr>
        <w:t>（2）</w:t>
      </w:r>
      <w:r>
        <w:rPr>
          <w:rFonts w:hint="eastAsia" w:cs="宋体"/>
        </w:rPr>
        <w:t>总价金额与依据单价计算出的结果不一致的，以单价金额为准修正总价，但单价金额小数点有明显错误的除外；</w:t>
      </w:r>
    </w:p>
    <w:p>
      <w:pPr>
        <w:tabs>
          <w:tab w:val="left" w:pos="851"/>
          <w:tab w:val="left" w:pos="1134"/>
        </w:tabs>
        <w:spacing w:line="360" w:lineRule="auto"/>
        <w:ind w:firstLine="424" w:firstLineChars="202"/>
        <w:jc w:val="left"/>
      </w:pPr>
      <w:r>
        <w:rPr>
          <w:rFonts w:hint="eastAsia" w:cs="宋体"/>
        </w:rPr>
        <w:t>（3）</w:t>
      </w:r>
      <w:r>
        <w:rPr>
          <w:rFonts w:hint="eastAsia"/>
        </w:rPr>
        <w:t>修正后的最终比选申请报价超过上限控制价的比选申请文件作否决投标处理。修正后的分项报价超过分项控制价的比选申请文件作否决投标处理。如项目设有综合单价控制价的，修正后的综合单价超过综合单价控制价的比选申请文件作否决投标处理；</w:t>
      </w:r>
    </w:p>
    <w:p>
      <w:pPr>
        <w:tabs>
          <w:tab w:val="left" w:pos="851"/>
          <w:tab w:val="left" w:pos="1134"/>
        </w:tabs>
        <w:spacing w:line="360" w:lineRule="auto"/>
        <w:ind w:firstLine="424" w:firstLineChars="202"/>
        <w:jc w:val="left"/>
        <w:rPr>
          <w:rFonts w:cs="宋体"/>
        </w:rPr>
      </w:pPr>
      <w:r>
        <w:rPr>
          <w:rFonts w:hint="eastAsia"/>
        </w:rPr>
        <w:t>（4）</w:t>
      </w:r>
      <w:r>
        <w:rPr>
          <w:rFonts w:hint="eastAsia"/>
          <w:bCs/>
        </w:rPr>
        <w:t>修正后的总价若高于</w:t>
      </w:r>
      <w:r>
        <w:rPr>
          <w:rFonts w:hint="eastAsia"/>
        </w:rPr>
        <w:t>比选申请</w:t>
      </w:r>
      <w:r>
        <w:rPr>
          <w:rFonts w:hint="eastAsia"/>
          <w:bCs/>
        </w:rPr>
        <w:t>报价，则中选价以</w:t>
      </w:r>
      <w:r>
        <w:rPr>
          <w:rFonts w:hint="eastAsia"/>
        </w:rPr>
        <w:t>比选申请</w:t>
      </w:r>
      <w:r>
        <w:rPr>
          <w:rFonts w:hint="eastAsia"/>
          <w:bCs/>
        </w:rPr>
        <w:t>报价为准，评标总价以修正后的总价为准；修正后的总价若低于</w:t>
      </w:r>
      <w:r>
        <w:rPr>
          <w:rFonts w:hint="eastAsia"/>
        </w:rPr>
        <w:t>比选申请</w:t>
      </w:r>
      <w:r>
        <w:rPr>
          <w:rFonts w:hint="eastAsia"/>
          <w:bCs/>
        </w:rPr>
        <w:t>报价，则中选价以修正后总价为准，评标总价以</w:t>
      </w:r>
      <w:r>
        <w:rPr>
          <w:rFonts w:hint="eastAsia"/>
        </w:rPr>
        <w:t>比选申请</w:t>
      </w:r>
      <w:r>
        <w:rPr>
          <w:rFonts w:hint="eastAsia"/>
          <w:bCs/>
        </w:rPr>
        <w:t>报价为准</w:t>
      </w:r>
      <w:r>
        <w:rPr>
          <w:rFonts w:hint="eastAsia"/>
        </w:rPr>
        <w:t>。如比选申请人不接受按以上规则确定的评标总价和中选价，则其投标将被拒绝。</w:t>
      </w:r>
    </w:p>
    <w:p>
      <w:pPr>
        <w:tabs>
          <w:tab w:val="left" w:pos="851"/>
          <w:tab w:val="left" w:pos="1134"/>
        </w:tabs>
        <w:spacing w:line="360" w:lineRule="auto"/>
        <w:ind w:firstLine="424" w:firstLineChars="202"/>
        <w:jc w:val="left"/>
        <w:rPr>
          <w:rFonts w:cs="宋体"/>
        </w:rPr>
      </w:pPr>
      <w:r>
        <w:rPr>
          <w:rFonts w:hint="eastAsia" w:cs="宋体"/>
        </w:rPr>
        <w:t>3.3.3</w:t>
      </w:r>
      <w:r>
        <w:rPr>
          <w:rFonts w:hint="eastAsia"/>
        </w:rPr>
        <w:t>出现下列情况的比选申请文件将予以否决：</w:t>
      </w:r>
    </w:p>
    <w:p>
      <w:pPr>
        <w:tabs>
          <w:tab w:val="left" w:pos="851"/>
          <w:tab w:val="left" w:pos="1134"/>
        </w:tabs>
        <w:spacing w:line="360" w:lineRule="auto"/>
        <w:ind w:left="105" w:leftChars="50" w:firstLine="319" w:firstLineChars="152"/>
        <w:jc w:val="left"/>
        <w:rPr>
          <w:bCs/>
        </w:rPr>
      </w:pPr>
      <w:r>
        <w:rPr>
          <w:rFonts w:hint="eastAsia"/>
        </w:rPr>
        <w:t>（1）</w:t>
      </w:r>
      <w:r>
        <w:t>评审委员会</w:t>
      </w:r>
      <w:r>
        <w:rPr>
          <w:rFonts w:hint="eastAsia"/>
          <w:bCs/>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t>评审</w:t>
      </w:r>
      <w:r>
        <w:rPr>
          <w:rFonts w:hint="eastAsia"/>
          <w:bCs/>
        </w:rPr>
        <w:t>委员会应当认定该比选申请人以低于成本报价投标，否决其投标。</w:t>
      </w:r>
    </w:p>
    <w:p>
      <w:pPr>
        <w:tabs>
          <w:tab w:val="left" w:pos="851"/>
          <w:tab w:val="left" w:pos="1134"/>
        </w:tabs>
        <w:spacing w:line="360" w:lineRule="auto"/>
        <w:ind w:left="105" w:leftChars="50" w:firstLine="319" w:firstLineChars="152"/>
        <w:jc w:val="left"/>
        <w:rPr>
          <w:bCs/>
        </w:rPr>
      </w:pPr>
      <w:r>
        <w:rPr>
          <w:rFonts w:hint="eastAsia"/>
          <w:bCs/>
        </w:rPr>
        <w:t>（2）</w:t>
      </w:r>
      <w:bookmarkStart w:id="1933" w:name="_Hlk36511445"/>
      <w:r>
        <w:rPr>
          <w:rFonts w:hint="eastAsia"/>
          <w:b/>
          <w:bCs/>
        </w:rPr>
        <w:t>投标报价清单如有漏项的投标文件，将予以否决。</w:t>
      </w:r>
      <w:bookmarkEnd w:id="1933"/>
    </w:p>
    <w:p>
      <w:pPr>
        <w:tabs>
          <w:tab w:val="left" w:pos="567"/>
        </w:tabs>
        <w:spacing w:line="360" w:lineRule="auto"/>
        <w:ind w:left="422"/>
        <w:rPr>
          <w:rFonts w:ascii="宋体" w:hAnsi="宋体"/>
          <w:b/>
        </w:rPr>
      </w:pPr>
      <w:r>
        <w:rPr>
          <w:rFonts w:hint="eastAsia" w:ascii="宋体" w:hAnsi="宋体"/>
          <w:b/>
        </w:rPr>
        <w:t>3.4</w:t>
      </w:r>
      <w:r>
        <w:rPr>
          <w:rFonts w:ascii="宋体" w:hAnsi="宋体"/>
          <w:b/>
        </w:rPr>
        <w:t>澄清或补正</w:t>
      </w:r>
    </w:p>
    <w:p>
      <w:pPr>
        <w:tabs>
          <w:tab w:val="left" w:pos="851"/>
          <w:tab w:val="left" w:pos="1134"/>
        </w:tabs>
        <w:spacing w:line="360" w:lineRule="auto"/>
        <w:ind w:firstLine="420" w:firstLineChars="200"/>
        <w:rPr>
          <w:rFonts w:ascii="宋体" w:hAnsi="宋体"/>
        </w:rPr>
      </w:pPr>
      <w:r>
        <w:rPr>
          <w:rFonts w:hint="eastAsia" w:ascii="宋体" w:hAnsi="宋体"/>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line="360" w:lineRule="auto"/>
        <w:ind w:firstLine="420" w:firstLineChars="200"/>
        <w:rPr>
          <w:rFonts w:ascii="宋体" w:hAnsi="宋体"/>
        </w:rPr>
      </w:pPr>
      <w:r>
        <w:rPr>
          <w:rFonts w:hint="eastAsia" w:ascii="宋体" w:hAnsi="宋体"/>
        </w:rPr>
        <w:t>3.4.2</w:t>
      </w:r>
      <w:r>
        <w:rPr>
          <w:rFonts w:ascii="宋体" w:hAnsi="宋体"/>
        </w:rPr>
        <w:t>比选申请人须以书面形式提供澄清或补正文件，经评审委员会确认方可作为比选申请文件的组成部分。</w:t>
      </w:r>
    </w:p>
    <w:p>
      <w:pPr>
        <w:tabs>
          <w:tab w:val="left" w:pos="851"/>
          <w:tab w:val="left" w:pos="1134"/>
        </w:tabs>
        <w:spacing w:line="360" w:lineRule="auto"/>
        <w:ind w:firstLine="420" w:firstLineChars="20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line="360" w:lineRule="auto"/>
        <w:ind w:firstLine="420" w:firstLineChars="20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line="360" w:lineRule="auto"/>
        <w:ind w:firstLine="420" w:firstLineChars="20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line="360" w:lineRule="auto"/>
        <w:ind w:firstLine="422" w:firstLineChars="200"/>
        <w:rPr>
          <w:rFonts w:ascii="宋体" w:hAnsi="宋体"/>
          <w:b/>
        </w:rPr>
      </w:pPr>
      <w:r>
        <w:rPr>
          <w:rFonts w:hint="eastAsia" w:ascii="宋体" w:hAnsi="宋体"/>
          <w:b/>
        </w:rPr>
        <w:t>3.5</w:t>
      </w:r>
      <w:r>
        <w:rPr>
          <w:rFonts w:ascii="宋体" w:hAnsi="宋体"/>
          <w:b/>
        </w:rPr>
        <w:t>评审报告</w:t>
      </w:r>
    </w:p>
    <w:p>
      <w:pPr>
        <w:tabs>
          <w:tab w:val="left" w:pos="851"/>
          <w:tab w:val="left" w:pos="993"/>
        </w:tabs>
        <w:spacing w:line="360" w:lineRule="auto"/>
        <w:ind w:firstLine="420" w:firstLineChars="200"/>
        <w:rPr>
          <w:rFonts w:ascii="宋体" w:hAnsi="宋体"/>
        </w:rPr>
      </w:pPr>
      <w:r>
        <w:rPr>
          <w:rFonts w:hint="eastAsia" w:ascii="宋体" w:hAnsi="宋体"/>
        </w:rPr>
        <w:t>通过价格评审计算出比选申请人的实际评审总价，填写附表三《比选申请价格评审表》，由评审委员根据通过资格审查及符合性评审的比选申请人报价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spacing w:line="360" w:lineRule="auto"/>
        <w:ind w:firstLine="422" w:firstLineChars="200"/>
        <w:rPr>
          <w:rFonts w:ascii="宋体" w:hAnsi="宋体"/>
          <w:b/>
        </w:rPr>
      </w:pPr>
      <w:r>
        <w:rPr>
          <w:rFonts w:hint="eastAsia" w:ascii="宋体" w:hAnsi="宋体"/>
          <w:b/>
        </w:rPr>
        <w:t>3.6</w:t>
      </w:r>
      <w:r>
        <w:rPr>
          <w:rFonts w:ascii="宋体" w:hAnsi="宋体"/>
          <w:b/>
        </w:rPr>
        <w:t>否决比选申请条件</w:t>
      </w:r>
    </w:p>
    <w:p>
      <w:pPr>
        <w:spacing w:line="360" w:lineRule="auto"/>
        <w:ind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line="360" w:lineRule="auto"/>
        <w:ind w:firstLine="422" w:firstLineChars="200"/>
        <w:jc w:val="left"/>
        <w:rPr>
          <w:rFonts w:ascii="宋体" w:hAnsi="宋体"/>
          <w:b/>
        </w:rPr>
      </w:pPr>
      <w:r>
        <w:rPr>
          <w:rFonts w:hint="eastAsia" w:ascii="宋体" w:hAnsi="宋体"/>
          <w:b/>
        </w:rPr>
        <w:t>（1）不符合附表一《资格审查表》规定的；</w:t>
      </w:r>
    </w:p>
    <w:p>
      <w:pPr>
        <w:tabs>
          <w:tab w:val="left" w:pos="1276"/>
        </w:tabs>
        <w:spacing w:line="360" w:lineRule="auto"/>
        <w:ind w:firstLine="422" w:firstLineChars="200"/>
        <w:jc w:val="left"/>
        <w:rPr>
          <w:rFonts w:ascii="宋体" w:hAnsi="宋体"/>
          <w:b/>
        </w:rPr>
      </w:pPr>
      <w:r>
        <w:rPr>
          <w:rFonts w:hint="eastAsia" w:ascii="宋体" w:hAnsi="宋体"/>
          <w:b/>
        </w:rPr>
        <w:t>（2）不符合附表二《符合性评审表》规定的；</w:t>
      </w:r>
    </w:p>
    <w:p>
      <w:pPr>
        <w:tabs>
          <w:tab w:val="left" w:pos="1276"/>
        </w:tabs>
        <w:spacing w:line="360" w:lineRule="auto"/>
        <w:ind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line="360" w:lineRule="auto"/>
        <w:ind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line="360" w:lineRule="auto"/>
        <w:ind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line="360" w:lineRule="auto"/>
        <w:ind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line="360" w:lineRule="auto"/>
        <w:ind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line="360" w:lineRule="auto"/>
        <w:ind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line="360" w:lineRule="auto"/>
        <w:ind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line="360" w:lineRule="auto"/>
        <w:ind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pStyle w:val="2"/>
        <w:spacing w:line="360" w:lineRule="auto"/>
      </w:pPr>
    </w:p>
    <w:p>
      <w:pPr>
        <w:pStyle w:val="2"/>
        <w:spacing w:line="360" w:lineRule="auto"/>
      </w:pPr>
    </w:p>
    <w:p>
      <w:pPr>
        <w:pStyle w:val="2"/>
        <w:spacing w:line="360" w:lineRule="auto"/>
      </w:pPr>
    </w:p>
    <w:p>
      <w:pPr>
        <w:pStyle w:val="4"/>
        <w:spacing w:line="360" w:lineRule="auto"/>
        <w:rPr>
          <w:sz w:val="21"/>
          <w:szCs w:val="21"/>
        </w:rPr>
      </w:pPr>
      <w:bookmarkStart w:id="1934" w:name="_Toc23314"/>
      <w:bookmarkStart w:id="1935" w:name="_Toc19557"/>
      <w:bookmarkStart w:id="1936" w:name="_Toc31611"/>
      <w:bookmarkStart w:id="1937" w:name="_Toc15073"/>
      <w:bookmarkStart w:id="1938" w:name="_Toc15224"/>
      <w:bookmarkStart w:id="1939" w:name="_Toc75771572"/>
      <w:bookmarkStart w:id="1940" w:name="_Toc492478849"/>
      <w:bookmarkStart w:id="1941" w:name="_Toc18096"/>
      <w:bookmarkStart w:id="1942" w:name="_Toc29245"/>
      <w:bookmarkStart w:id="1943" w:name="_Toc9730"/>
      <w:bookmarkStart w:id="1944" w:name="_Toc16364"/>
      <w:bookmarkStart w:id="1945" w:name="_Toc25750694"/>
      <w:bookmarkStart w:id="1946" w:name="_Toc414290583"/>
      <w:bookmarkStart w:id="1947" w:name="_Toc29923"/>
      <w:bookmarkStart w:id="1948" w:name="_Toc22464"/>
      <w:bookmarkStart w:id="1949" w:name="_Toc9588"/>
      <w:bookmarkStart w:id="1950" w:name="_Toc27271"/>
      <w:bookmarkStart w:id="1951" w:name="_Toc10968"/>
      <w:bookmarkStart w:id="1952" w:name="_Toc434"/>
      <w:bookmarkStart w:id="1953" w:name="_Toc28404"/>
      <w:bookmarkStart w:id="1954" w:name="_Toc9189"/>
      <w:bookmarkStart w:id="1955" w:name="_Toc23233"/>
      <w:r>
        <w:rPr>
          <w:rFonts w:hint="eastAsia"/>
          <w:sz w:val="21"/>
          <w:szCs w:val="21"/>
        </w:rPr>
        <w:t>附表一 资格审查表</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snapToGrid w:val="0"/>
        <w:spacing w:line="360" w:lineRule="auto"/>
        <w:ind w:left="420" w:right="240"/>
        <w:jc w:val="center"/>
        <w:rPr>
          <w:rFonts w:ascii="宋体" w:hAnsi="宋体"/>
          <w:b/>
          <w:sz w:val="24"/>
          <w:szCs w:val="24"/>
        </w:rPr>
      </w:pPr>
      <w:r>
        <w:rPr>
          <w:rFonts w:hint="eastAsia" w:ascii="宋体" w:hAnsi="宋体"/>
          <w:b/>
          <w:sz w:val="24"/>
          <w:szCs w:val="24"/>
        </w:rPr>
        <w:t>资格审查表</w:t>
      </w:r>
    </w:p>
    <w:tbl>
      <w:tblPr>
        <w:tblStyle w:val="40"/>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jc w:val="center"/>
              <w:rPr>
                <w:rFonts w:ascii="宋体" w:hAnsi="宋体"/>
              </w:rPr>
            </w:pPr>
            <w:r>
              <w:rPr>
                <w:rFonts w:hint="eastAsia" w:ascii="宋体" w:hAnsi="宋体"/>
              </w:rPr>
              <w:t>序号</w:t>
            </w:r>
          </w:p>
        </w:tc>
        <w:tc>
          <w:tcPr>
            <w:tcW w:w="1076" w:type="dxa"/>
            <w:vAlign w:val="center"/>
          </w:tcPr>
          <w:p>
            <w:pPr>
              <w:jc w:val="center"/>
              <w:rPr>
                <w:rFonts w:ascii="宋体" w:hAnsi="宋体"/>
              </w:rPr>
            </w:pPr>
            <w:r>
              <w:rPr>
                <w:rFonts w:hint="eastAsia" w:ascii="宋体" w:hAnsi="宋体"/>
              </w:rPr>
              <w:t>项目内容</w:t>
            </w:r>
          </w:p>
        </w:tc>
        <w:tc>
          <w:tcPr>
            <w:tcW w:w="2873" w:type="dxa"/>
            <w:vAlign w:val="center"/>
          </w:tcPr>
          <w:p>
            <w:pPr>
              <w:jc w:val="center"/>
              <w:rPr>
                <w:rFonts w:ascii="宋体" w:hAnsi="宋体"/>
              </w:rPr>
            </w:pPr>
            <w:r>
              <w:rPr>
                <w:rFonts w:hint="eastAsia" w:ascii="宋体" w:hAnsi="宋体"/>
              </w:rPr>
              <w:t>合格条件标准</w:t>
            </w:r>
          </w:p>
        </w:tc>
        <w:tc>
          <w:tcPr>
            <w:tcW w:w="1379" w:type="dxa"/>
            <w:vAlign w:val="center"/>
          </w:tcPr>
          <w:p>
            <w:pPr>
              <w:jc w:val="center"/>
              <w:rPr>
                <w:rFonts w:ascii="宋体" w:hAnsi="宋体"/>
              </w:rPr>
            </w:pPr>
            <w:r>
              <w:rPr>
                <w:rFonts w:hint="eastAsia" w:ascii="宋体" w:hAnsi="宋体"/>
              </w:rPr>
              <w:t>评审依据</w:t>
            </w:r>
          </w:p>
        </w:tc>
        <w:tc>
          <w:tcPr>
            <w:tcW w:w="1094" w:type="dxa"/>
            <w:vAlign w:val="center"/>
          </w:tcPr>
          <w:p>
            <w:pPr>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rPr>
                <w:rFonts w:ascii="宋体" w:hAnsi="宋体"/>
              </w:rPr>
            </w:pPr>
            <w:r>
              <w:rPr>
                <w:rFonts w:ascii="宋体" w:hAnsi="宋体"/>
              </w:rPr>
              <w:t>1</w:t>
            </w:r>
          </w:p>
        </w:tc>
        <w:tc>
          <w:tcPr>
            <w:tcW w:w="1076" w:type="dxa"/>
            <w:vAlign w:val="center"/>
          </w:tcPr>
          <w:p>
            <w:pPr>
              <w:rPr>
                <w:rFonts w:ascii="宋体" w:hAnsi="宋体"/>
              </w:rPr>
            </w:pPr>
            <w:r>
              <w:rPr>
                <w:rFonts w:hint="eastAsia" w:ascii="宋体" w:hAnsi="宋体"/>
              </w:rPr>
              <w:t>身份证明材料</w:t>
            </w:r>
          </w:p>
        </w:tc>
        <w:tc>
          <w:tcPr>
            <w:tcW w:w="2873" w:type="dxa"/>
            <w:vAlign w:val="center"/>
          </w:tcPr>
          <w:p>
            <w:pPr>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rPr>
                <w:rFonts w:ascii="宋体" w:hAnsi="宋体"/>
              </w:rPr>
            </w:pPr>
            <w:r>
              <w:rPr>
                <w:rFonts w:hint="eastAsia" w:ascii="宋体" w:hAnsi="宋体"/>
              </w:rPr>
              <w:t>法定代表人授权书，法定代表人资格证明书和身份证复印件</w:t>
            </w:r>
          </w:p>
        </w:tc>
        <w:tc>
          <w:tcPr>
            <w:tcW w:w="1094" w:type="dxa"/>
            <w:vAlign w:val="center"/>
          </w:tcPr>
          <w:p>
            <w:pPr>
              <w:rPr>
                <w:rFonts w:ascii="宋体" w:hAnsi="宋体"/>
              </w:rPr>
            </w:pPr>
          </w:p>
        </w:tc>
        <w:tc>
          <w:tcPr>
            <w:tcW w:w="2401" w:type="dxa"/>
            <w:vAlign w:val="center"/>
          </w:tcPr>
          <w:p>
            <w:pPr>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ascii="宋体" w:hAnsi="宋体"/>
              </w:rPr>
            </w:pPr>
            <w:r>
              <w:rPr>
                <w:rFonts w:ascii="宋体" w:hAnsi="宋体"/>
              </w:rPr>
              <w:t>2</w:t>
            </w:r>
          </w:p>
        </w:tc>
        <w:tc>
          <w:tcPr>
            <w:tcW w:w="1076" w:type="dxa"/>
            <w:shd w:val="clear" w:color="auto" w:fill="auto"/>
            <w:vAlign w:val="center"/>
          </w:tcPr>
          <w:p>
            <w:pPr>
              <w:rPr>
                <w:rFonts w:ascii="宋体" w:hAnsi="宋体"/>
              </w:rPr>
            </w:pPr>
            <w:r>
              <w:rPr>
                <w:rFonts w:hint="eastAsia" w:ascii="宋体" w:hAnsi="宋体"/>
              </w:rPr>
              <w:t>比选申请人资格</w:t>
            </w:r>
          </w:p>
        </w:tc>
        <w:tc>
          <w:tcPr>
            <w:tcW w:w="2873" w:type="dxa"/>
            <w:shd w:val="clear" w:color="auto" w:fill="auto"/>
            <w:vAlign w:val="center"/>
          </w:tcPr>
          <w:p>
            <w:pPr>
              <w:rPr>
                <w:rFonts w:ascii="宋体" w:hAnsi="宋体"/>
              </w:rPr>
            </w:pPr>
            <w:r>
              <w:rPr>
                <w:rFonts w:hint="eastAsia" w:ascii="宋体" w:hAnsi="宋体"/>
              </w:rPr>
              <w:t>比选申请人为中华人民共和国境内依法设立的法人或其他组织（若以分公司名义参与投标，必须出具总公司授权参与的证明），经营范围至少包括下列范围（或类似经营范围）之一：①办公家具、家电销售；②办公家具、家电日常维保维护、维修等。</w:t>
            </w:r>
          </w:p>
        </w:tc>
        <w:tc>
          <w:tcPr>
            <w:tcW w:w="1379" w:type="dxa"/>
            <w:shd w:val="clear" w:color="auto" w:fill="auto"/>
            <w:vAlign w:val="center"/>
          </w:tcPr>
          <w:p>
            <w:pPr>
              <w:rPr>
                <w:rFonts w:ascii="宋体" w:hAnsi="宋体"/>
              </w:rPr>
            </w:pPr>
            <w:r>
              <w:rPr>
                <w:rFonts w:hint="eastAsia" w:ascii="宋体" w:hAnsi="宋体"/>
              </w:rPr>
              <w:t>营业执照副本或事业单位法人证书等证明文件</w:t>
            </w:r>
          </w:p>
        </w:tc>
        <w:tc>
          <w:tcPr>
            <w:tcW w:w="1094" w:type="dxa"/>
            <w:shd w:val="clear" w:color="auto" w:fill="auto"/>
            <w:vAlign w:val="center"/>
          </w:tcPr>
          <w:p>
            <w:pPr>
              <w:rPr>
                <w:rFonts w:ascii="宋体" w:hAnsi="宋体"/>
              </w:rPr>
            </w:pPr>
          </w:p>
        </w:tc>
        <w:tc>
          <w:tcPr>
            <w:tcW w:w="2401" w:type="dxa"/>
            <w:shd w:val="clear" w:color="auto" w:fill="auto"/>
            <w:vAlign w:val="center"/>
          </w:tcPr>
          <w:p>
            <w:pPr>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rPr>
                <w:rFonts w:ascii="宋体" w:hAnsi="宋体"/>
              </w:rPr>
            </w:pPr>
            <w:r>
              <w:rPr>
                <w:rFonts w:hint="eastAsia" w:ascii="宋体" w:hAnsi="宋体"/>
              </w:rPr>
              <w:t>3</w:t>
            </w:r>
          </w:p>
        </w:tc>
        <w:tc>
          <w:tcPr>
            <w:tcW w:w="1076" w:type="dxa"/>
            <w:vAlign w:val="center"/>
          </w:tcPr>
          <w:p>
            <w:pPr>
              <w:rPr>
                <w:rFonts w:ascii="宋体" w:hAnsi="宋体"/>
              </w:rPr>
            </w:pPr>
            <w:r>
              <w:rPr>
                <w:rFonts w:hint="eastAsia" w:ascii="宋体" w:hAnsi="宋体"/>
              </w:rPr>
              <w:t>承诺书</w:t>
            </w:r>
          </w:p>
        </w:tc>
        <w:tc>
          <w:tcPr>
            <w:tcW w:w="2873" w:type="dxa"/>
            <w:vAlign w:val="center"/>
          </w:tcPr>
          <w:p>
            <w:pPr>
              <w:rPr>
                <w:rFonts w:ascii="宋体" w:hAnsi="宋体"/>
              </w:rPr>
            </w:pPr>
          </w:p>
        </w:tc>
        <w:tc>
          <w:tcPr>
            <w:tcW w:w="1379" w:type="dxa"/>
            <w:vAlign w:val="center"/>
          </w:tcPr>
          <w:p>
            <w:pPr>
              <w:rPr>
                <w:rFonts w:ascii="宋体" w:hAnsi="宋体"/>
              </w:rPr>
            </w:pPr>
            <w:r>
              <w:rPr>
                <w:rFonts w:hint="eastAsia" w:ascii="宋体" w:hAnsi="宋体"/>
              </w:rPr>
              <w:t>承诺书原件</w:t>
            </w:r>
          </w:p>
        </w:tc>
        <w:tc>
          <w:tcPr>
            <w:tcW w:w="1094" w:type="dxa"/>
            <w:vAlign w:val="center"/>
          </w:tcPr>
          <w:p>
            <w:pPr>
              <w:rPr>
                <w:rFonts w:ascii="宋体" w:hAnsi="宋体"/>
              </w:rPr>
            </w:pPr>
          </w:p>
        </w:tc>
        <w:tc>
          <w:tcPr>
            <w:tcW w:w="2401" w:type="dxa"/>
            <w:vAlign w:val="center"/>
          </w:tcPr>
          <w:p>
            <w:pPr>
              <w:rPr>
                <w:rFonts w:ascii="宋体" w:hAnsi="宋体"/>
              </w:rPr>
            </w:pPr>
            <w:r>
              <w:rPr>
                <w:rFonts w:hint="eastAsia" w:ascii="宋体" w:hAnsi="宋体"/>
              </w:rPr>
              <w:t>按规定格式提供承诺书</w:t>
            </w:r>
          </w:p>
        </w:tc>
      </w:tr>
    </w:tbl>
    <w:p>
      <w:pPr>
        <w:snapToGrid w:val="0"/>
        <w:spacing w:line="360" w:lineRule="auto"/>
        <w:rPr>
          <w:rFonts w:ascii="宋体" w:hAnsi="宋体"/>
          <w:b/>
        </w:rPr>
      </w:pPr>
      <w:r>
        <w:rPr>
          <w:rFonts w:hint="eastAsia" w:ascii="宋体" w:hAnsi="宋体"/>
          <w:b/>
        </w:rPr>
        <w:t>注：</w:t>
      </w:r>
    </w:p>
    <w:p>
      <w:pPr>
        <w:snapToGrid w:val="0"/>
        <w:spacing w:line="360" w:lineRule="auto"/>
        <w:rPr>
          <w:rFonts w:ascii="宋体" w:hAnsi="宋体"/>
          <w:b/>
        </w:rPr>
      </w:pPr>
      <w:r>
        <w:rPr>
          <w:rFonts w:hint="eastAsia" w:ascii="宋体" w:hAnsi="宋体"/>
          <w:b/>
        </w:rPr>
        <w:t>1.以上所有证明资料原件备查。</w:t>
      </w:r>
    </w:p>
    <w:p>
      <w:pPr>
        <w:snapToGrid w:val="0"/>
        <w:spacing w:line="360" w:lineRule="auto"/>
        <w:rPr>
          <w:rFonts w:ascii="宋体" w:hAnsi="宋体"/>
          <w:b/>
        </w:rPr>
      </w:pPr>
      <w:r>
        <w:rPr>
          <w:rFonts w:hint="eastAsia" w:ascii="宋体" w:hAnsi="宋体"/>
          <w:b/>
        </w:rPr>
        <w:t>2.比选申请人如未通过上述资格审查，则作比选申请被否决处理并不得进入下一阶段评审。</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4"/>
        <w:spacing w:line="360" w:lineRule="auto"/>
        <w:rPr>
          <w:sz w:val="24"/>
          <w:szCs w:val="24"/>
        </w:rPr>
      </w:pPr>
      <w:bookmarkStart w:id="1956" w:name="_Toc25750695"/>
      <w:bookmarkStart w:id="1957" w:name="_Toc75771573"/>
      <w:bookmarkStart w:id="1958" w:name="_Toc10148"/>
      <w:r>
        <w:rPr>
          <w:sz w:val="21"/>
          <w:szCs w:val="21"/>
        </w:rPr>
        <w:t>附表二</w:t>
      </w:r>
      <w:r>
        <w:rPr>
          <w:rFonts w:hint="eastAsia"/>
          <w:sz w:val="21"/>
          <w:szCs w:val="21"/>
        </w:rPr>
        <w:t xml:space="preserve"> 符合性</w:t>
      </w:r>
      <w:r>
        <w:rPr>
          <w:sz w:val="21"/>
          <w:szCs w:val="21"/>
        </w:rPr>
        <w:t>评审表</w:t>
      </w:r>
      <w:bookmarkEnd w:id="1956"/>
      <w:bookmarkEnd w:id="1957"/>
      <w:bookmarkEnd w:id="1958"/>
    </w:p>
    <w:p>
      <w:pPr>
        <w:spacing w:line="360" w:lineRule="auto"/>
        <w:jc w:val="center"/>
        <w:rPr>
          <w:b/>
          <w:sz w:val="24"/>
          <w:szCs w:val="24"/>
        </w:rPr>
      </w:pPr>
      <w:r>
        <w:rPr>
          <w:rFonts w:hint="eastAsia" w:hAnsi="宋体"/>
          <w:b/>
          <w:sz w:val="24"/>
          <w:szCs w:val="24"/>
        </w:rPr>
        <w:t>符合性</w:t>
      </w:r>
      <w:r>
        <w:rPr>
          <w:rFonts w:hAnsi="宋体"/>
          <w:b/>
          <w:sz w:val="24"/>
          <w:szCs w:val="24"/>
        </w:rPr>
        <w:t>评审表</w:t>
      </w:r>
    </w:p>
    <w:tbl>
      <w:tblPr>
        <w:tblStyle w:val="40"/>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spacing w:line="360" w:lineRule="auto"/>
            </w:pPr>
            <w:r>
              <w:t>序号</w:t>
            </w:r>
          </w:p>
        </w:tc>
        <w:tc>
          <w:tcPr>
            <w:tcW w:w="6096" w:type="dxa"/>
            <w:tcBorders>
              <w:top w:val="single" w:color="auto" w:sz="12" w:space="0"/>
            </w:tcBorders>
            <w:vAlign w:val="center"/>
          </w:tcPr>
          <w:p>
            <w:pPr>
              <w:spacing w:line="360" w:lineRule="auto"/>
            </w:pPr>
            <w:r>
              <w:rPr>
                <w:rFonts w:hint="eastAsia"/>
              </w:rPr>
              <w:t>评审项目</w:t>
            </w:r>
          </w:p>
        </w:tc>
        <w:tc>
          <w:tcPr>
            <w:tcW w:w="1134" w:type="dxa"/>
            <w:tcBorders>
              <w:top w:val="single" w:color="auto" w:sz="12" w:space="0"/>
            </w:tcBorders>
          </w:tcPr>
          <w:p>
            <w:pPr>
              <w:spacing w:line="360" w:lineRule="auto"/>
            </w:pPr>
            <w:r>
              <w:rPr>
                <w:rFonts w:hint="eastAsia"/>
              </w:rPr>
              <w:t>评审结果</w:t>
            </w:r>
          </w:p>
        </w:tc>
        <w:tc>
          <w:tcPr>
            <w:tcW w:w="1098" w:type="dxa"/>
            <w:tcBorders>
              <w:top w:val="single" w:color="auto" w:sz="12" w:space="0"/>
            </w:tcBorders>
            <w:vAlign w:val="center"/>
          </w:tcPr>
          <w:p>
            <w:pPr>
              <w:spacing w:line="360" w:lineRule="auto"/>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spacing w:line="360" w:lineRule="auto"/>
              <w:jc w:val="center"/>
            </w:pPr>
            <w:r>
              <w:t>1</w:t>
            </w:r>
          </w:p>
        </w:tc>
        <w:tc>
          <w:tcPr>
            <w:tcW w:w="6096" w:type="dxa"/>
            <w:vAlign w:val="center"/>
          </w:tcPr>
          <w:p>
            <w:pPr>
              <w:spacing w:line="360" w:lineRule="auto"/>
            </w:pPr>
            <w:r>
              <w:rPr>
                <w:rFonts w:hint="eastAsia"/>
              </w:rPr>
              <w:t>比选申请文件按要求在规定的位置签字（或盖章）并加盖比选申请人单位公章的</w:t>
            </w:r>
          </w:p>
        </w:tc>
        <w:tc>
          <w:tcPr>
            <w:tcW w:w="1134" w:type="dxa"/>
          </w:tcPr>
          <w:p>
            <w:pPr>
              <w:spacing w:line="360" w:lineRule="auto"/>
            </w:pPr>
          </w:p>
        </w:tc>
        <w:tc>
          <w:tcPr>
            <w:tcW w:w="1098" w:type="dxa"/>
            <w:vMerge w:val="restart"/>
            <w:vAlign w:val="center"/>
          </w:tcPr>
          <w:p>
            <w:pPr>
              <w:spacing w:line="360" w:lineRule="auto"/>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spacing w:line="360" w:lineRule="auto"/>
              <w:jc w:val="center"/>
            </w:pPr>
            <w:r>
              <w:t>2</w:t>
            </w:r>
          </w:p>
        </w:tc>
        <w:tc>
          <w:tcPr>
            <w:tcW w:w="6096" w:type="dxa"/>
            <w:vAlign w:val="center"/>
          </w:tcPr>
          <w:p>
            <w:pPr>
              <w:spacing w:line="360" w:lineRule="auto"/>
            </w:pPr>
            <w:r>
              <w:rPr>
                <w:rFonts w:hint="eastAsia"/>
              </w:rPr>
              <w:t>比选申请文件的实质性内容按规定填写、内容齐全的；（按比选文件第四章节规定格式填写的）</w:t>
            </w:r>
          </w:p>
        </w:tc>
        <w:tc>
          <w:tcPr>
            <w:tcW w:w="1134" w:type="dxa"/>
          </w:tcPr>
          <w:p>
            <w:pPr>
              <w:spacing w:line="360" w:lineRule="auto"/>
            </w:pPr>
          </w:p>
        </w:tc>
        <w:tc>
          <w:tcPr>
            <w:tcW w:w="1098" w:type="dxa"/>
            <w:vMerge w:val="continue"/>
            <w:vAlign w:val="center"/>
          </w:tcPr>
          <w:p>
            <w:pPr>
              <w:spacing w:line="360" w:lineRule="auto"/>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spacing w:line="360" w:lineRule="auto"/>
              <w:jc w:val="center"/>
            </w:pPr>
            <w:r>
              <w:rPr>
                <w:rFonts w:hint="eastAsia"/>
              </w:rPr>
              <w:t>3</w:t>
            </w:r>
          </w:p>
        </w:tc>
        <w:tc>
          <w:tcPr>
            <w:tcW w:w="6096" w:type="dxa"/>
            <w:vAlign w:val="center"/>
          </w:tcPr>
          <w:p>
            <w:pPr>
              <w:spacing w:line="360" w:lineRule="auto"/>
            </w:pPr>
            <w:r>
              <w:rPr>
                <w:rFonts w:hint="eastAsia"/>
              </w:rPr>
              <w:t>比选申请人在资格审查文件或技术文件中未透露有关报价的信息</w:t>
            </w:r>
          </w:p>
        </w:tc>
        <w:tc>
          <w:tcPr>
            <w:tcW w:w="1134" w:type="dxa"/>
          </w:tcPr>
          <w:p>
            <w:pPr>
              <w:spacing w:line="360" w:lineRule="auto"/>
            </w:pPr>
          </w:p>
        </w:tc>
        <w:tc>
          <w:tcPr>
            <w:tcW w:w="1098" w:type="dxa"/>
            <w:vMerge w:val="continue"/>
            <w:vAlign w:val="center"/>
          </w:tcPr>
          <w:p>
            <w:pPr>
              <w:spacing w:line="360" w:lineRule="auto"/>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spacing w:line="360" w:lineRule="auto"/>
              <w:jc w:val="center"/>
            </w:pPr>
            <w:r>
              <w:rPr>
                <w:rFonts w:hint="eastAsia"/>
              </w:rPr>
              <w:t>4</w:t>
            </w:r>
          </w:p>
        </w:tc>
        <w:tc>
          <w:tcPr>
            <w:tcW w:w="6096" w:type="dxa"/>
            <w:vAlign w:val="center"/>
          </w:tcPr>
          <w:p>
            <w:pPr>
              <w:spacing w:line="360" w:lineRule="auto"/>
            </w:pPr>
            <w:r>
              <w:rPr>
                <w:rFonts w:hint="eastAsia"/>
              </w:rPr>
              <w:t>在比选申请文件中无虚假资料的</w:t>
            </w:r>
          </w:p>
        </w:tc>
        <w:tc>
          <w:tcPr>
            <w:tcW w:w="1134" w:type="dxa"/>
          </w:tcPr>
          <w:p>
            <w:pPr>
              <w:spacing w:line="360" w:lineRule="auto"/>
            </w:pPr>
          </w:p>
        </w:tc>
        <w:tc>
          <w:tcPr>
            <w:tcW w:w="1098" w:type="dxa"/>
            <w:vMerge w:val="continue"/>
            <w:vAlign w:val="center"/>
          </w:tcPr>
          <w:p>
            <w:pPr>
              <w:spacing w:line="360" w:lineRule="auto"/>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spacing w:line="360" w:lineRule="auto"/>
              <w:jc w:val="center"/>
            </w:pPr>
            <w:r>
              <w:rPr>
                <w:rFonts w:hint="eastAsia"/>
              </w:rPr>
              <w:t>5</w:t>
            </w:r>
          </w:p>
        </w:tc>
        <w:tc>
          <w:tcPr>
            <w:tcW w:w="6096" w:type="dxa"/>
            <w:vAlign w:val="center"/>
          </w:tcPr>
          <w:p>
            <w:pPr>
              <w:spacing w:line="360" w:lineRule="auto"/>
            </w:pPr>
            <w:r>
              <w:rPr>
                <w:rFonts w:hint="eastAsia"/>
              </w:rPr>
              <w:t>技术部分响应无负偏离的</w:t>
            </w:r>
          </w:p>
        </w:tc>
        <w:tc>
          <w:tcPr>
            <w:tcW w:w="1134" w:type="dxa"/>
            <w:tcBorders>
              <w:bottom w:val="single" w:color="auto" w:sz="4" w:space="0"/>
            </w:tcBorders>
          </w:tcPr>
          <w:p>
            <w:pPr>
              <w:spacing w:line="360" w:lineRule="auto"/>
            </w:pPr>
          </w:p>
        </w:tc>
        <w:tc>
          <w:tcPr>
            <w:tcW w:w="1098" w:type="dxa"/>
            <w:vMerge w:val="continue"/>
            <w:vAlign w:val="center"/>
          </w:tcPr>
          <w:p>
            <w:pPr>
              <w:spacing w:line="360" w:lineRule="auto"/>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spacing w:line="360" w:lineRule="auto"/>
              <w:jc w:val="center"/>
            </w:pPr>
            <w:r>
              <w:rPr>
                <w:rFonts w:hint="eastAsia"/>
              </w:rPr>
              <w:t>6</w:t>
            </w:r>
          </w:p>
        </w:tc>
        <w:tc>
          <w:tcPr>
            <w:tcW w:w="6096" w:type="dxa"/>
            <w:vAlign w:val="center"/>
          </w:tcPr>
          <w:p>
            <w:pPr>
              <w:spacing w:line="360" w:lineRule="auto"/>
            </w:pPr>
            <w:r>
              <w:rPr>
                <w:rFonts w:hint="eastAsia"/>
              </w:rPr>
              <w:t>无比选文件、法律、法规规定的其他否决比选申请条件</w:t>
            </w:r>
          </w:p>
        </w:tc>
        <w:tc>
          <w:tcPr>
            <w:tcW w:w="1134" w:type="dxa"/>
          </w:tcPr>
          <w:p>
            <w:pPr>
              <w:spacing w:line="360" w:lineRule="auto"/>
            </w:pPr>
          </w:p>
        </w:tc>
        <w:tc>
          <w:tcPr>
            <w:tcW w:w="1098" w:type="dxa"/>
            <w:vMerge w:val="continue"/>
            <w:vAlign w:val="center"/>
          </w:tcPr>
          <w:p>
            <w:pPr>
              <w:spacing w:line="360" w:lineRule="auto"/>
            </w:pPr>
          </w:p>
        </w:tc>
      </w:tr>
    </w:tbl>
    <w:p>
      <w:pPr>
        <w:spacing w:line="360" w:lineRule="auto"/>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4"/>
        <w:spacing w:line="360" w:lineRule="auto"/>
        <w:rPr>
          <w:sz w:val="21"/>
          <w:szCs w:val="21"/>
        </w:rPr>
        <w:sectPr>
          <w:headerReference r:id="rId6" w:type="default"/>
          <w:pgSz w:w="11906" w:h="16838"/>
          <w:pgMar w:top="2007" w:right="1440" w:bottom="1247" w:left="1440" w:header="851" w:footer="992" w:gutter="0"/>
          <w:pgNumType w:chapStyle="1"/>
          <w:cols w:space="720" w:num="1"/>
          <w:docGrid w:type="lines" w:linePitch="312" w:charSpace="0"/>
        </w:sectPr>
      </w:pPr>
      <w:bookmarkStart w:id="1959" w:name="_Toc75771576"/>
    </w:p>
    <w:p>
      <w:pPr>
        <w:pStyle w:val="4"/>
        <w:spacing w:line="360" w:lineRule="auto"/>
        <w:rPr>
          <w:b w:val="0"/>
          <w:bCs w:val="0"/>
        </w:rPr>
      </w:pPr>
      <w:bookmarkStart w:id="1960" w:name="_Toc25559"/>
      <w:r>
        <w:rPr>
          <w:rFonts w:hint="eastAsia"/>
          <w:sz w:val="21"/>
          <w:szCs w:val="21"/>
        </w:rPr>
        <w:t>附表三 价格文件评分表</w:t>
      </w:r>
      <w:bookmarkEnd w:id="1959"/>
      <w:bookmarkEnd w:id="1960"/>
      <w:r>
        <w:rPr>
          <w:rFonts w:hint="eastAsia"/>
          <w:sz w:val="21"/>
          <w:szCs w:val="21"/>
        </w:rPr>
        <w:t xml:space="preserve"> </w:t>
      </w:r>
    </w:p>
    <w:p>
      <w:pPr>
        <w:spacing w:line="360" w:lineRule="auto"/>
        <w:jc w:val="center"/>
        <w:rPr>
          <w:b/>
          <w:bCs/>
        </w:rPr>
      </w:pPr>
      <w:r>
        <w:rPr>
          <w:rFonts w:hint="eastAsia"/>
          <w:b/>
          <w:bCs/>
        </w:rPr>
        <w:t>价格文件评分表</w:t>
      </w:r>
    </w:p>
    <w:tbl>
      <w:tblPr>
        <w:tblStyle w:val="40"/>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rPr>
            </w:pPr>
          </w:p>
        </w:tc>
        <w:tc>
          <w:tcPr>
            <w:tcW w:w="4536" w:type="dxa"/>
            <w:tcBorders>
              <w:left w:val="single" w:color="auto" w:sz="4" w:space="0"/>
              <w:right w:val="single" w:color="auto" w:sz="4" w:space="0"/>
            </w:tcBorders>
            <w:vAlign w:val="center"/>
          </w:tcPr>
          <w:p>
            <w:pPr>
              <w:rPr>
                <w:rFonts w:ascii="宋体" w:hAnsi="宋体"/>
              </w:rPr>
            </w:pPr>
          </w:p>
        </w:tc>
        <w:tc>
          <w:tcPr>
            <w:tcW w:w="2268" w:type="dxa"/>
            <w:tcBorders>
              <w:left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rPr>
                <w:rFonts w:ascii="宋体" w:hAnsi="宋体"/>
              </w:rPr>
            </w:pPr>
          </w:p>
        </w:tc>
        <w:tc>
          <w:tcPr>
            <w:tcW w:w="4536" w:type="dxa"/>
            <w:tcBorders>
              <w:left w:val="single" w:color="auto" w:sz="4" w:space="0"/>
              <w:bottom w:val="single" w:color="auto" w:sz="4" w:space="0"/>
              <w:right w:val="single" w:color="auto" w:sz="4" w:space="0"/>
            </w:tcBorders>
            <w:vAlign w:val="center"/>
          </w:tcPr>
          <w:p>
            <w:pPr>
              <w:rPr>
                <w:rFonts w:ascii="宋体" w:hAnsi="宋体"/>
              </w:rPr>
            </w:pPr>
          </w:p>
        </w:tc>
        <w:tc>
          <w:tcPr>
            <w:tcW w:w="2268" w:type="dxa"/>
            <w:tcBorders>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rPr>
            </w:pPr>
          </w:p>
        </w:tc>
        <w:tc>
          <w:tcPr>
            <w:tcW w:w="4536" w:type="dxa"/>
            <w:tcBorders>
              <w:left w:val="single" w:color="auto" w:sz="4" w:space="0"/>
              <w:right w:val="single" w:color="auto" w:sz="4" w:space="0"/>
            </w:tcBorders>
            <w:vAlign w:val="center"/>
          </w:tcPr>
          <w:p>
            <w:pPr>
              <w:rPr>
                <w:rFonts w:ascii="宋体" w:hAnsi="宋体"/>
              </w:rPr>
            </w:pPr>
          </w:p>
        </w:tc>
        <w:tc>
          <w:tcPr>
            <w:tcW w:w="2268" w:type="dxa"/>
            <w:tcBorders>
              <w:left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rPr>
            </w:pPr>
          </w:p>
        </w:tc>
        <w:tc>
          <w:tcPr>
            <w:tcW w:w="4536" w:type="dxa"/>
            <w:tcBorders>
              <w:left w:val="single" w:color="auto" w:sz="4" w:space="0"/>
              <w:right w:val="single" w:color="auto" w:sz="4" w:space="0"/>
            </w:tcBorders>
            <w:vAlign w:val="center"/>
          </w:tcPr>
          <w:p>
            <w:pPr>
              <w:rPr>
                <w:rFonts w:ascii="宋体" w:hAnsi="宋体"/>
              </w:rPr>
            </w:pPr>
          </w:p>
        </w:tc>
        <w:tc>
          <w:tcPr>
            <w:tcW w:w="2268" w:type="dxa"/>
            <w:tcBorders>
              <w:left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rPr>
            </w:pPr>
          </w:p>
        </w:tc>
        <w:tc>
          <w:tcPr>
            <w:tcW w:w="4536" w:type="dxa"/>
            <w:tcBorders>
              <w:left w:val="single" w:color="auto" w:sz="4" w:space="0"/>
              <w:right w:val="single" w:color="auto" w:sz="4" w:space="0"/>
            </w:tcBorders>
            <w:vAlign w:val="center"/>
          </w:tcPr>
          <w:p>
            <w:pPr>
              <w:rPr>
                <w:rFonts w:ascii="宋体" w:hAnsi="宋体"/>
              </w:rPr>
            </w:pPr>
          </w:p>
        </w:tc>
        <w:tc>
          <w:tcPr>
            <w:tcW w:w="2268" w:type="dxa"/>
            <w:tcBorders>
              <w:left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bl>
    <w:p>
      <w:pPr>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ind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spacing w:line="360" w:lineRule="auto"/>
      </w:pPr>
    </w:p>
    <w:p>
      <w:pPr>
        <w:pStyle w:val="2"/>
        <w:spacing w:line="360" w:lineRule="auto"/>
        <w:sectPr>
          <w:pgSz w:w="16838" w:h="11906" w:orient="landscape"/>
          <w:pgMar w:top="1440" w:right="2007" w:bottom="1440" w:left="1247" w:header="851" w:footer="992" w:gutter="0"/>
          <w:pgNumType w:chapStyle="1"/>
          <w:cols w:space="720" w:num="1"/>
          <w:docGrid w:type="lines" w:linePitch="312" w:charSpace="0"/>
        </w:sectPr>
      </w:pPr>
    </w:p>
    <w:p>
      <w:pPr>
        <w:pStyle w:val="4"/>
        <w:spacing w:line="360" w:lineRule="auto"/>
        <w:rPr>
          <w:sz w:val="21"/>
          <w:szCs w:val="21"/>
        </w:rPr>
      </w:pPr>
      <w:bookmarkStart w:id="1961" w:name="_Toc25368"/>
      <w:bookmarkStart w:id="1962" w:name="_Toc75771577"/>
      <w:r>
        <w:rPr>
          <w:rFonts w:hint="eastAsia"/>
          <w:sz w:val="21"/>
          <w:szCs w:val="21"/>
        </w:rPr>
        <w:t>附表四</w:t>
      </w:r>
      <w:r>
        <w:rPr>
          <w:sz w:val="21"/>
          <w:szCs w:val="21"/>
        </w:rPr>
        <w:t xml:space="preserve"> </w:t>
      </w:r>
      <w:r>
        <w:rPr>
          <w:rFonts w:hint="eastAsia"/>
          <w:sz w:val="21"/>
          <w:szCs w:val="21"/>
        </w:rPr>
        <w:t>比选申请报价修正表</w:t>
      </w:r>
      <w:bookmarkEnd w:id="1961"/>
      <w:bookmarkEnd w:id="1962"/>
    </w:p>
    <w:p>
      <w:pPr>
        <w:pStyle w:val="2"/>
        <w:spacing w:line="360" w:lineRule="auto"/>
      </w:pPr>
    </w:p>
    <w:p>
      <w:pPr>
        <w:pStyle w:val="2"/>
        <w:spacing w:line="360" w:lineRule="auto"/>
        <w:jc w:val="center"/>
      </w:pPr>
      <w:r>
        <w:rPr>
          <w:rFonts w:hint="eastAsia" w:hAnsi="宋体"/>
          <w:b/>
          <w:sz w:val="28"/>
          <w:szCs w:val="28"/>
        </w:rPr>
        <w:t>比选申请报价修正表</w:t>
      </w:r>
    </w:p>
    <w:tbl>
      <w:tblPr>
        <w:tblStyle w:val="40"/>
        <w:tblW w:w="1006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2126"/>
        <w:gridCol w:w="3119"/>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r>
              <w:rPr>
                <w:rFonts w:hint="eastAsia" w:ascii="宋体" w:hAnsi="宋体"/>
                <w:b/>
                <w:sz w:val="24"/>
                <w:szCs w:val="24"/>
              </w:rPr>
              <w:t>编号</w:t>
            </w:r>
          </w:p>
        </w:tc>
        <w:tc>
          <w:tcPr>
            <w:tcW w:w="2126" w:type="dxa"/>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r>
              <w:rPr>
                <w:rFonts w:hint="eastAsia" w:ascii="宋体" w:hAnsi="宋体"/>
                <w:b/>
                <w:sz w:val="24"/>
                <w:szCs w:val="24"/>
              </w:rPr>
              <w:t>修正项目</w:t>
            </w:r>
          </w:p>
        </w:tc>
        <w:tc>
          <w:tcPr>
            <w:tcW w:w="3119" w:type="dxa"/>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r>
              <w:rPr>
                <w:rFonts w:hint="eastAsia" w:ascii="宋体" w:hAnsi="宋体"/>
                <w:b/>
                <w:sz w:val="24"/>
                <w:szCs w:val="24"/>
              </w:rPr>
              <w:t>修正前比选申请报价</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jc w:val="center"/>
              <w:rPr>
                <w:rFonts w:ascii="宋体" w:hAnsi="宋体"/>
              </w:rPr>
            </w:pPr>
          </w:p>
        </w:tc>
        <w:tc>
          <w:tcPr>
            <w:tcW w:w="2126" w:type="dxa"/>
            <w:tcBorders>
              <w:left w:val="single" w:color="auto" w:sz="4" w:space="0"/>
              <w:right w:val="single" w:color="auto" w:sz="4" w:space="0"/>
            </w:tcBorders>
            <w:vAlign w:val="center"/>
          </w:tcPr>
          <w:p>
            <w:pPr>
              <w:spacing w:line="360" w:lineRule="auto"/>
              <w:jc w:val="left"/>
              <w:rPr>
                <w:rFonts w:ascii="宋体" w:hAnsi="宋体" w:cs="宋体"/>
              </w:rPr>
            </w:pPr>
          </w:p>
        </w:tc>
        <w:tc>
          <w:tcPr>
            <w:tcW w:w="3119" w:type="dxa"/>
            <w:tcBorders>
              <w:left w:val="single" w:color="auto" w:sz="4" w:space="0"/>
              <w:right w:val="single" w:color="auto" w:sz="4" w:space="0"/>
            </w:tcBorders>
            <w:vAlign w:val="center"/>
          </w:tcPr>
          <w:p>
            <w:pPr>
              <w:spacing w:line="360" w:lineRule="auto"/>
              <w:jc w:val="center"/>
              <w:rPr>
                <w:rFonts w:ascii="宋体" w:hAnsi="宋体" w:cs="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jc w:val="center"/>
              <w:rPr>
                <w:rFonts w:ascii="宋体" w:hAnsi="宋体"/>
              </w:rPr>
            </w:pPr>
          </w:p>
        </w:tc>
        <w:tc>
          <w:tcPr>
            <w:tcW w:w="2126" w:type="dxa"/>
            <w:tcBorders>
              <w:left w:val="single" w:color="auto" w:sz="4" w:space="0"/>
              <w:right w:val="single" w:color="auto" w:sz="4" w:space="0"/>
            </w:tcBorders>
            <w:vAlign w:val="center"/>
          </w:tcPr>
          <w:p>
            <w:pPr>
              <w:spacing w:line="360" w:lineRule="auto"/>
              <w:jc w:val="center"/>
              <w:rPr>
                <w:rFonts w:ascii="宋体" w:hAnsi="宋体"/>
              </w:rPr>
            </w:pPr>
          </w:p>
        </w:tc>
        <w:tc>
          <w:tcPr>
            <w:tcW w:w="3119" w:type="dxa"/>
            <w:tcBorders>
              <w:left w:val="single" w:color="auto" w:sz="4" w:space="0"/>
              <w:right w:val="single" w:color="auto" w:sz="4" w:space="0"/>
            </w:tcBorders>
            <w:vAlign w:val="center"/>
          </w:tcPr>
          <w:p>
            <w:pPr>
              <w:spacing w:line="360" w:lineRule="auto"/>
              <w:jc w:val="left"/>
              <w:rPr>
                <w:rFonts w:ascii="宋体" w:hAnsi="宋体"/>
                <w:b/>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jc w:val="left"/>
              <w:rPr>
                <w:rFonts w:ascii="宋体" w:hAnsi="宋体"/>
                <w:b/>
                <w:sz w:val="24"/>
                <w:szCs w:val="24"/>
              </w:rPr>
            </w:pPr>
            <w:r>
              <w:rPr>
                <w:rFonts w:hint="eastAsia" w:ascii="宋体" w:hAnsi="宋体"/>
                <w:b/>
                <w:sz w:val="24"/>
                <w:szCs w:val="24"/>
              </w:rPr>
              <w:t>修正前比选申请报价总价：</w:t>
            </w:r>
          </w:p>
        </w:tc>
        <w:tc>
          <w:tcPr>
            <w:tcW w:w="8222" w:type="dxa"/>
            <w:gridSpan w:val="3"/>
            <w:tcBorders>
              <w:left w:val="single" w:color="auto" w:sz="4" w:space="0"/>
              <w:right w:val="single" w:color="auto" w:sz="4" w:space="0"/>
            </w:tcBorders>
            <w:vAlign w:val="center"/>
          </w:tcPr>
          <w:p>
            <w:pPr>
              <w:spacing w:line="360" w:lineRule="auto"/>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修正后比选申请报价总价：</w:t>
            </w:r>
          </w:p>
        </w:tc>
        <w:tc>
          <w:tcPr>
            <w:tcW w:w="8222" w:type="dxa"/>
            <w:gridSpan w:val="3"/>
            <w:tcBorders>
              <w:left w:val="single" w:color="auto" w:sz="4" w:space="0"/>
              <w:right w:val="single" w:color="auto" w:sz="4" w:space="0"/>
            </w:tcBorders>
            <w:vAlign w:val="center"/>
          </w:tcPr>
          <w:p>
            <w:pPr>
              <w:spacing w:line="360" w:lineRule="auto"/>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比选申请人名称</w:t>
            </w:r>
          </w:p>
        </w:tc>
        <w:tc>
          <w:tcPr>
            <w:tcW w:w="8222" w:type="dxa"/>
            <w:gridSpan w:val="3"/>
            <w:tcBorders>
              <w:left w:val="single" w:color="auto" w:sz="4" w:space="0"/>
              <w:right w:val="single" w:color="auto" w:sz="4" w:space="0"/>
            </w:tcBorders>
            <w:vAlign w:val="center"/>
          </w:tcPr>
          <w:p>
            <w:pPr>
              <w:spacing w:line="360" w:lineRule="auto"/>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bottom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比选申请人声明</w:t>
            </w:r>
          </w:p>
        </w:tc>
        <w:tc>
          <w:tcPr>
            <w:tcW w:w="8222" w:type="dxa"/>
            <w:gridSpan w:val="3"/>
            <w:tcBorders>
              <w:left w:val="single" w:color="auto" w:sz="4" w:space="0"/>
              <w:bottom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比选申请人代表签字</w:t>
            </w:r>
          </w:p>
        </w:tc>
        <w:tc>
          <w:tcPr>
            <w:tcW w:w="822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 xml:space="preserve">                                                                     日期：    年  月   日</w:t>
            </w:r>
          </w:p>
        </w:tc>
      </w:tr>
    </w:tbl>
    <w:p>
      <w:pPr>
        <w:spacing w:line="360" w:lineRule="auto"/>
        <w:ind w:left="42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spacing w:line="360" w:lineRule="auto"/>
      </w:pPr>
    </w:p>
    <w:sectPr>
      <w:pgSz w:w="11906" w:h="16838"/>
      <w:pgMar w:top="2007" w:right="1440" w:bottom="1247" w:left="1440" w:header="851" w:footer="992"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汉仪中黑简">
    <w:altName w:val="黑体"/>
    <w:panose1 w:val="00000000000000000000"/>
    <w:charset w:val="00"/>
    <w:family w:val="auto"/>
    <w:pitch w:val="default"/>
    <w:sig w:usb0="00000000" w:usb1="00000000" w:usb2="00000000" w:usb3="00000000" w:csb0="00000000" w:csb1="00000000"/>
  </w:font>
  <w:font w:name="Noto Sans CJK JP Regular">
    <w:altName w:val="Times New Roman"/>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371956"/>
    </w:sdtPr>
    <w:sdtContent>
      <w:p>
        <w:pPr>
          <w:pStyle w:val="26"/>
          <w:ind w:firstLine="180"/>
          <w:jc w:val="center"/>
        </w:pPr>
        <w:r>
          <w:fldChar w:fldCharType="begin"/>
        </w:r>
        <w:r>
          <w:instrText xml:space="preserve">PAGE   \* MERGEFORMAT</w:instrText>
        </w:r>
        <w:r>
          <w:fldChar w:fldCharType="separate"/>
        </w:r>
        <w:r>
          <w:rPr>
            <w:lang w:val="zh-CN"/>
          </w:rPr>
          <w:t>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21"/>
      </w:pBdr>
      <w:tabs>
        <w:tab w:val="left" w:pos="3213"/>
        <w:tab w:val="clear" w:pos="4153"/>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21"/>
      </w:pBdr>
      <w:tabs>
        <w:tab w:val="left" w:pos="3213"/>
        <w:tab w:val="clear" w:pos="4153"/>
        <w:tab w:val="clear" w:pos="8306"/>
      </w:tabs>
      <w:jc w:val="left"/>
    </w:pPr>
    <w:r>
      <mc:AlternateContent>
        <mc:Choice Requires="wps">
          <w:drawing>
            <wp:anchor distT="0" distB="0" distL="114300" distR="114300" simplePos="0" relativeHeight="251659264" behindDoc="0" locked="0" layoutInCell="1" allowOverlap="1">
              <wp:simplePos x="0" y="0"/>
              <wp:positionH relativeFrom="column">
                <wp:posOffset>-501650</wp:posOffset>
              </wp:positionH>
              <wp:positionV relativeFrom="paragraph">
                <wp:posOffset>408305</wp:posOffset>
              </wp:positionV>
              <wp:extent cx="6410325" cy="0"/>
              <wp:effectExtent l="0" t="0" r="2857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19050">
                        <a:solidFill>
                          <a:srgbClr val="0D0D0D"/>
                        </a:solidFill>
                        <a:round/>
                      </a:ln>
                      <a:effectLst/>
                    </wps:spPr>
                    <wps:bodyPr/>
                  </wps:wsp>
                </a:graphicData>
              </a:graphic>
            </wp:anchor>
          </w:drawing>
        </mc:Choice>
        <mc:Fallback>
          <w:pict>
            <v:line id="_x0000_s1026" o:spid="_x0000_s1026" o:spt="20" style="position:absolute;left:0pt;flip:y;margin-left:-39.5pt;margin-top:32.15pt;height:0pt;width:504.75pt;z-index:251659264;mso-width-relative:page;mso-height-relative:page;" filled="f" stroked="t" coordsize="21600,21600" o:gfxdata="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AbqXNoAAAAJAQAADwAAAAAAAAABACAAAAAiAAAAZHJzL2Rvd25yZXYueG1sUEsBAhQA&#10;FAAAAAgAh07iQDTFd3fwAQAAwwMAAA4AAAAAAAAAAQAgAAAAKQEAAGRycy9lMm9Eb2MueG1sUEsF&#10;BgAAAAAGAAYAWQEAAIsFAAAAAA==&#10;">
              <v:fill on="f" focussize="0,0"/>
              <v:stroke weight="1.5pt" color="#0D0D0D" joinstyle="round"/>
              <v:imagedata o:title=""/>
              <o:lock v:ext="edit" aspectratio="f"/>
            </v:lin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407"/>
        <w:tab w:val="center" w:pos="4573"/>
      </w:tabs>
      <w:jc w:val="left"/>
      <w:rPr>
        <w:rFonts w:ascii="黑体" w:hAnsi="黑体" w:eastAsia="黑体"/>
        <w:b/>
        <w:sz w:val="36"/>
        <w:szCs w:val="36"/>
      </w:rPr>
    </w:pPr>
    <w:r>
      <w:rPr>
        <w:rFonts w:hint="eastAsia" w:ascii="黑体" w:hAnsi="黑体" w:eastAsia="黑体"/>
        <w:b/>
        <w:sz w:val="28"/>
        <w:szCs w:val="28"/>
      </w:rPr>
      <w:tab/>
    </w:r>
    <w:r>
      <w:rPr>
        <w:rFonts w:hint="eastAsia" w:ascii="黑体" w:hAnsi="黑体" w:eastAsia="黑体"/>
        <w:b/>
        <w:sz w:val="36"/>
        <w:szCs w:val="36"/>
      </w:rPr>
      <w:tab/>
    </w:r>
  </w:p>
  <w:p>
    <w:pPr>
      <w:pStyle w:val="27"/>
      <w:pBdr>
        <w:bottom w:val="none" w:color="auto" w:sz="0" w:space="0"/>
      </w:pBdr>
      <w:jc w:val="both"/>
    </w:pPr>
  </w:p>
  <w:p>
    <w:pPr>
      <w:pStyle w:val="2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4F4EF"/>
    <w:multiLevelType w:val="singleLevel"/>
    <w:tmpl w:val="8374F4EF"/>
    <w:lvl w:ilvl="0" w:tentative="0">
      <w:start w:val="1"/>
      <w:numFmt w:val="decimal"/>
      <w:suff w:val="nothing"/>
      <w:lvlText w:val="7.%1 "/>
      <w:lvlJc w:val="left"/>
      <w:pPr>
        <w:ind w:left="0" w:firstLine="397"/>
      </w:pPr>
      <w:rPr>
        <w:rFonts w:hint="default" w:ascii="宋体" w:hAnsi="宋体" w:eastAsia="宋体" w:cs="宋体"/>
      </w:rPr>
    </w:lvl>
  </w:abstractNum>
  <w:abstractNum w:abstractNumId="1">
    <w:nsid w:val="BDE1120E"/>
    <w:multiLevelType w:val="multilevel"/>
    <w:tmpl w:val="BDE1120E"/>
    <w:lvl w:ilvl="0" w:tentative="0">
      <w:start w:val="1"/>
      <w:numFmt w:val="decimal"/>
      <w:pStyle w:val="3"/>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2">
    <w:nsid w:val="058C04CB"/>
    <w:multiLevelType w:val="multilevel"/>
    <w:tmpl w:val="058C04CB"/>
    <w:lvl w:ilvl="0" w:tentative="0">
      <w:start w:val="9"/>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3">
    <w:nsid w:val="063C63E8"/>
    <w:multiLevelType w:val="multilevel"/>
    <w:tmpl w:val="063C63E8"/>
    <w:lvl w:ilvl="0" w:tentative="0">
      <w:start w:val="5"/>
      <w:numFmt w:val="decimal"/>
      <w:lvlText w:val="%1"/>
      <w:lvlJc w:val="left"/>
      <w:pPr>
        <w:ind w:left="360" w:hanging="360"/>
      </w:pPr>
      <w:rPr>
        <w:rFonts w:hint="default"/>
      </w:rPr>
    </w:lvl>
    <w:lvl w:ilvl="1" w:tentative="0">
      <w:start w:val="1"/>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4">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344C7AF4"/>
    <w:multiLevelType w:val="multilevel"/>
    <w:tmpl w:val="344C7AF4"/>
    <w:lvl w:ilvl="0" w:tentative="0">
      <w:start w:val="1"/>
      <w:numFmt w:val="decimal"/>
      <w:lvlText w:val="%1"/>
      <w:lvlJc w:val="left"/>
      <w:pPr>
        <w:ind w:left="360" w:hanging="360"/>
      </w:pPr>
      <w:rPr>
        <w:rFonts w:hint="default"/>
      </w:rPr>
    </w:lvl>
    <w:lvl w:ilvl="1" w:tentative="0">
      <w:start w:val="1"/>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0">
    <w:nsid w:val="46737783"/>
    <w:multiLevelType w:val="singleLevel"/>
    <w:tmpl w:val="46737783"/>
    <w:lvl w:ilvl="0" w:tentative="0">
      <w:start w:val="1"/>
      <w:numFmt w:val="decimal"/>
      <w:suff w:val="nothing"/>
      <w:lvlText w:val="2.%1 "/>
      <w:lvlJc w:val="left"/>
      <w:pPr>
        <w:tabs>
          <w:tab w:val="left" w:pos="0"/>
        </w:tabs>
        <w:ind w:left="0" w:firstLine="40"/>
      </w:pPr>
      <w:rPr>
        <w:rFonts w:hint="default" w:ascii="宋体" w:hAnsi="宋体" w:eastAsia="宋体" w:cs="宋体"/>
      </w:rPr>
    </w:lvl>
  </w:abstractNum>
  <w:abstractNum w:abstractNumId="11">
    <w:nsid w:val="70D0396F"/>
    <w:multiLevelType w:val="multilevel"/>
    <w:tmpl w:val="70D0396F"/>
    <w:lvl w:ilvl="0" w:tentative="0">
      <w:start w:val="1"/>
      <w:numFmt w:val="decimal"/>
      <w:pStyle w:val="94"/>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11"/>
  </w:num>
  <w:num w:numId="3">
    <w:abstractNumId w:val="9"/>
  </w:num>
  <w:num w:numId="4">
    <w:abstractNumId w:val="3"/>
  </w:num>
  <w:num w:numId="5">
    <w:abstractNumId w:val="2"/>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MmFkMDI3Y2Y4NmVmNDc4MjkwYmY1YmNmZDJkNDAifQ=="/>
  </w:docVars>
  <w:rsids>
    <w:rsidRoot w:val="00C37441"/>
    <w:rsid w:val="00001A46"/>
    <w:rsid w:val="00001F2B"/>
    <w:rsid w:val="00002AEF"/>
    <w:rsid w:val="00005F5C"/>
    <w:rsid w:val="00010EF7"/>
    <w:rsid w:val="000124E4"/>
    <w:rsid w:val="00012B1E"/>
    <w:rsid w:val="0001377F"/>
    <w:rsid w:val="00014CD1"/>
    <w:rsid w:val="0001534B"/>
    <w:rsid w:val="000159C4"/>
    <w:rsid w:val="00015B44"/>
    <w:rsid w:val="00015B9E"/>
    <w:rsid w:val="00015F27"/>
    <w:rsid w:val="00020A75"/>
    <w:rsid w:val="00020AA6"/>
    <w:rsid w:val="00022D90"/>
    <w:rsid w:val="00025CB7"/>
    <w:rsid w:val="00026C65"/>
    <w:rsid w:val="00027B4C"/>
    <w:rsid w:val="00027B63"/>
    <w:rsid w:val="0003040E"/>
    <w:rsid w:val="00032808"/>
    <w:rsid w:val="00032F06"/>
    <w:rsid w:val="0003307A"/>
    <w:rsid w:val="00034307"/>
    <w:rsid w:val="00034A2C"/>
    <w:rsid w:val="00034D0B"/>
    <w:rsid w:val="00035350"/>
    <w:rsid w:val="00035FFF"/>
    <w:rsid w:val="000414D6"/>
    <w:rsid w:val="00042D9C"/>
    <w:rsid w:val="00043DFC"/>
    <w:rsid w:val="000442B3"/>
    <w:rsid w:val="0004532A"/>
    <w:rsid w:val="00045926"/>
    <w:rsid w:val="00045B21"/>
    <w:rsid w:val="000463CC"/>
    <w:rsid w:val="000465AE"/>
    <w:rsid w:val="00046FA5"/>
    <w:rsid w:val="000470F5"/>
    <w:rsid w:val="0004736D"/>
    <w:rsid w:val="00047F10"/>
    <w:rsid w:val="000502F2"/>
    <w:rsid w:val="00051DED"/>
    <w:rsid w:val="000533D9"/>
    <w:rsid w:val="00054707"/>
    <w:rsid w:val="00056F6B"/>
    <w:rsid w:val="00057F42"/>
    <w:rsid w:val="00060662"/>
    <w:rsid w:val="00060CF3"/>
    <w:rsid w:val="00061265"/>
    <w:rsid w:val="0006159E"/>
    <w:rsid w:val="00061D9C"/>
    <w:rsid w:val="00062664"/>
    <w:rsid w:val="000633A6"/>
    <w:rsid w:val="00065267"/>
    <w:rsid w:val="00065B10"/>
    <w:rsid w:val="00067423"/>
    <w:rsid w:val="000703ED"/>
    <w:rsid w:val="000727C3"/>
    <w:rsid w:val="000729E0"/>
    <w:rsid w:val="00072A4A"/>
    <w:rsid w:val="000735F6"/>
    <w:rsid w:val="00075593"/>
    <w:rsid w:val="00076EDB"/>
    <w:rsid w:val="00077211"/>
    <w:rsid w:val="00077F4F"/>
    <w:rsid w:val="00083541"/>
    <w:rsid w:val="00083A68"/>
    <w:rsid w:val="000850EA"/>
    <w:rsid w:val="000853B5"/>
    <w:rsid w:val="00085873"/>
    <w:rsid w:val="00086B34"/>
    <w:rsid w:val="00087A9F"/>
    <w:rsid w:val="000910C7"/>
    <w:rsid w:val="0009164A"/>
    <w:rsid w:val="000923A2"/>
    <w:rsid w:val="00093196"/>
    <w:rsid w:val="00093F9A"/>
    <w:rsid w:val="00094D1B"/>
    <w:rsid w:val="00097EF4"/>
    <w:rsid w:val="000A252D"/>
    <w:rsid w:val="000A373B"/>
    <w:rsid w:val="000A40FD"/>
    <w:rsid w:val="000A41E1"/>
    <w:rsid w:val="000A5A33"/>
    <w:rsid w:val="000A6054"/>
    <w:rsid w:val="000A6F63"/>
    <w:rsid w:val="000A70F3"/>
    <w:rsid w:val="000A7185"/>
    <w:rsid w:val="000B0FEF"/>
    <w:rsid w:val="000B1533"/>
    <w:rsid w:val="000B1C76"/>
    <w:rsid w:val="000B30E9"/>
    <w:rsid w:val="000C1D99"/>
    <w:rsid w:val="000C2816"/>
    <w:rsid w:val="000C3093"/>
    <w:rsid w:val="000C37C6"/>
    <w:rsid w:val="000C3C0A"/>
    <w:rsid w:val="000C5408"/>
    <w:rsid w:val="000C69A8"/>
    <w:rsid w:val="000C6A22"/>
    <w:rsid w:val="000C79D7"/>
    <w:rsid w:val="000C7AD1"/>
    <w:rsid w:val="000D103A"/>
    <w:rsid w:val="000D26B3"/>
    <w:rsid w:val="000D2735"/>
    <w:rsid w:val="000D4DD5"/>
    <w:rsid w:val="000D574F"/>
    <w:rsid w:val="000D75F8"/>
    <w:rsid w:val="000E0184"/>
    <w:rsid w:val="000E138F"/>
    <w:rsid w:val="000E318D"/>
    <w:rsid w:val="000E5D08"/>
    <w:rsid w:val="000E5F2C"/>
    <w:rsid w:val="000E5F49"/>
    <w:rsid w:val="000E7411"/>
    <w:rsid w:val="000F00FD"/>
    <w:rsid w:val="000F1F89"/>
    <w:rsid w:val="000F44A3"/>
    <w:rsid w:val="000F4B49"/>
    <w:rsid w:val="000F59AE"/>
    <w:rsid w:val="000F5D07"/>
    <w:rsid w:val="000F6BE9"/>
    <w:rsid w:val="000F730D"/>
    <w:rsid w:val="001003CE"/>
    <w:rsid w:val="00100434"/>
    <w:rsid w:val="00100FE6"/>
    <w:rsid w:val="0010113B"/>
    <w:rsid w:val="0010187E"/>
    <w:rsid w:val="00103368"/>
    <w:rsid w:val="00104037"/>
    <w:rsid w:val="00105BF5"/>
    <w:rsid w:val="001063E9"/>
    <w:rsid w:val="00106DDB"/>
    <w:rsid w:val="00106E55"/>
    <w:rsid w:val="001072E0"/>
    <w:rsid w:val="0011003E"/>
    <w:rsid w:val="001115FF"/>
    <w:rsid w:val="00111D29"/>
    <w:rsid w:val="00112391"/>
    <w:rsid w:val="00116D99"/>
    <w:rsid w:val="001172AE"/>
    <w:rsid w:val="00117671"/>
    <w:rsid w:val="00120D21"/>
    <w:rsid w:val="00120F04"/>
    <w:rsid w:val="00122B33"/>
    <w:rsid w:val="00123063"/>
    <w:rsid w:val="00123508"/>
    <w:rsid w:val="00123D5E"/>
    <w:rsid w:val="00126CB4"/>
    <w:rsid w:val="00126DA2"/>
    <w:rsid w:val="001332D0"/>
    <w:rsid w:val="0013333E"/>
    <w:rsid w:val="0013471B"/>
    <w:rsid w:val="00134B25"/>
    <w:rsid w:val="00135501"/>
    <w:rsid w:val="00136177"/>
    <w:rsid w:val="00140605"/>
    <w:rsid w:val="00140985"/>
    <w:rsid w:val="00140D79"/>
    <w:rsid w:val="001435F7"/>
    <w:rsid w:val="00145B7E"/>
    <w:rsid w:val="00146B30"/>
    <w:rsid w:val="00147708"/>
    <w:rsid w:val="00151F8D"/>
    <w:rsid w:val="00152D1A"/>
    <w:rsid w:val="00153644"/>
    <w:rsid w:val="00154910"/>
    <w:rsid w:val="001559B2"/>
    <w:rsid w:val="0015696B"/>
    <w:rsid w:val="00156987"/>
    <w:rsid w:val="00156E60"/>
    <w:rsid w:val="001575C4"/>
    <w:rsid w:val="00157E69"/>
    <w:rsid w:val="00157FA2"/>
    <w:rsid w:val="00160ACD"/>
    <w:rsid w:val="00160E55"/>
    <w:rsid w:val="0016270E"/>
    <w:rsid w:val="00164A8E"/>
    <w:rsid w:val="0016617E"/>
    <w:rsid w:val="00167BE8"/>
    <w:rsid w:val="001714E1"/>
    <w:rsid w:val="001732E2"/>
    <w:rsid w:val="00173E97"/>
    <w:rsid w:val="00174DD9"/>
    <w:rsid w:val="00175075"/>
    <w:rsid w:val="001759E3"/>
    <w:rsid w:val="00175C61"/>
    <w:rsid w:val="0017635B"/>
    <w:rsid w:val="001766D3"/>
    <w:rsid w:val="00176879"/>
    <w:rsid w:val="001769B1"/>
    <w:rsid w:val="001772B8"/>
    <w:rsid w:val="00180AA9"/>
    <w:rsid w:val="001814F5"/>
    <w:rsid w:val="00184619"/>
    <w:rsid w:val="00185026"/>
    <w:rsid w:val="0018584E"/>
    <w:rsid w:val="00186651"/>
    <w:rsid w:val="00190238"/>
    <w:rsid w:val="00196C37"/>
    <w:rsid w:val="001A044C"/>
    <w:rsid w:val="001A089F"/>
    <w:rsid w:val="001A1110"/>
    <w:rsid w:val="001A1914"/>
    <w:rsid w:val="001A3489"/>
    <w:rsid w:val="001A3978"/>
    <w:rsid w:val="001A4E34"/>
    <w:rsid w:val="001A56C5"/>
    <w:rsid w:val="001A5E38"/>
    <w:rsid w:val="001A7A76"/>
    <w:rsid w:val="001A7D84"/>
    <w:rsid w:val="001B0376"/>
    <w:rsid w:val="001B0D82"/>
    <w:rsid w:val="001B2414"/>
    <w:rsid w:val="001B2573"/>
    <w:rsid w:val="001B3357"/>
    <w:rsid w:val="001B43FD"/>
    <w:rsid w:val="001B4484"/>
    <w:rsid w:val="001B5048"/>
    <w:rsid w:val="001B5A2A"/>
    <w:rsid w:val="001B5F91"/>
    <w:rsid w:val="001B6E16"/>
    <w:rsid w:val="001C1812"/>
    <w:rsid w:val="001C1D0F"/>
    <w:rsid w:val="001C1FB8"/>
    <w:rsid w:val="001C22A7"/>
    <w:rsid w:val="001C2C36"/>
    <w:rsid w:val="001C2F79"/>
    <w:rsid w:val="001C444C"/>
    <w:rsid w:val="001C566B"/>
    <w:rsid w:val="001C58CC"/>
    <w:rsid w:val="001C6519"/>
    <w:rsid w:val="001C74A8"/>
    <w:rsid w:val="001D00BF"/>
    <w:rsid w:val="001D02C4"/>
    <w:rsid w:val="001D0761"/>
    <w:rsid w:val="001D32E3"/>
    <w:rsid w:val="001D36F9"/>
    <w:rsid w:val="001D3C53"/>
    <w:rsid w:val="001D46CB"/>
    <w:rsid w:val="001D4846"/>
    <w:rsid w:val="001D5151"/>
    <w:rsid w:val="001D64A5"/>
    <w:rsid w:val="001D74AB"/>
    <w:rsid w:val="001D7E74"/>
    <w:rsid w:val="001E02F1"/>
    <w:rsid w:val="001E0827"/>
    <w:rsid w:val="001E143A"/>
    <w:rsid w:val="001E20AA"/>
    <w:rsid w:val="001E2448"/>
    <w:rsid w:val="001E2E6D"/>
    <w:rsid w:val="001E3E9D"/>
    <w:rsid w:val="001E5ACE"/>
    <w:rsid w:val="001E5E53"/>
    <w:rsid w:val="001E62E4"/>
    <w:rsid w:val="001F011A"/>
    <w:rsid w:val="001F16C3"/>
    <w:rsid w:val="001F1C37"/>
    <w:rsid w:val="001F2568"/>
    <w:rsid w:val="001F6890"/>
    <w:rsid w:val="001F7423"/>
    <w:rsid w:val="00200326"/>
    <w:rsid w:val="00200F20"/>
    <w:rsid w:val="00201627"/>
    <w:rsid w:val="00203223"/>
    <w:rsid w:val="002040B3"/>
    <w:rsid w:val="002057D1"/>
    <w:rsid w:val="00205810"/>
    <w:rsid w:val="00205E3C"/>
    <w:rsid w:val="00206018"/>
    <w:rsid w:val="00207C11"/>
    <w:rsid w:val="00207D8C"/>
    <w:rsid w:val="00210B2A"/>
    <w:rsid w:val="002115FE"/>
    <w:rsid w:val="0021182B"/>
    <w:rsid w:val="00211E39"/>
    <w:rsid w:val="00211E55"/>
    <w:rsid w:val="002123C3"/>
    <w:rsid w:val="00212472"/>
    <w:rsid w:val="00212FF7"/>
    <w:rsid w:val="0021300B"/>
    <w:rsid w:val="00213AC4"/>
    <w:rsid w:val="00214C51"/>
    <w:rsid w:val="00214D3F"/>
    <w:rsid w:val="00216DA4"/>
    <w:rsid w:val="00222F2D"/>
    <w:rsid w:val="002235BE"/>
    <w:rsid w:val="00223D9D"/>
    <w:rsid w:val="0022671E"/>
    <w:rsid w:val="00226A93"/>
    <w:rsid w:val="00226C2A"/>
    <w:rsid w:val="00226D01"/>
    <w:rsid w:val="00231356"/>
    <w:rsid w:val="002314C1"/>
    <w:rsid w:val="00231841"/>
    <w:rsid w:val="002318C9"/>
    <w:rsid w:val="00231918"/>
    <w:rsid w:val="00231C74"/>
    <w:rsid w:val="00232A94"/>
    <w:rsid w:val="0023390A"/>
    <w:rsid w:val="00233AC6"/>
    <w:rsid w:val="002349AD"/>
    <w:rsid w:val="00234A41"/>
    <w:rsid w:val="00237E98"/>
    <w:rsid w:val="00240DF0"/>
    <w:rsid w:val="00241EBB"/>
    <w:rsid w:val="002436B1"/>
    <w:rsid w:val="00245511"/>
    <w:rsid w:val="002457F5"/>
    <w:rsid w:val="00246A3F"/>
    <w:rsid w:val="00246EAE"/>
    <w:rsid w:val="002471A0"/>
    <w:rsid w:val="0024725C"/>
    <w:rsid w:val="002479BD"/>
    <w:rsid w:val="00247CFE"/>
    <w:rsid w:val="00250390"/>
    <w:rsid w:val="0025187A"/>
    <w:rsid w:val="00253C66"/>
    <w:rsid w:val="002540F3"/>
    <w:rsid w:val="002557EC"/>
    <w:rsid w:val="00256B2E"/>
    <w:rsid w:val="00257818"/>
    <w:rsid w:val="002579C5"/>
    <w:rsid w:val="00261471"/>
    <w:rsid w:val="00262708"/>
    <w:rsid w:val="00263E95"/>
    <w:rsid w:val="0026418E"/>
    <w:rsid w:val="00264232"/>
    <w:rsid w:val="00264898"/>
    <w:rsid w:val="00267566"/>
    <w:rsid w:val="00267605"/>
    <w:rsid w:val="00267C8E"/>
    <w:rsid w:val="0027041B"/>
    <w:rsid w:val="00270976"/>
    <w:rsid w:val="00270A36"/>
    <w:rsid w:val="00271330"/>
    <w:rsid w:val="0027257D"/>
    <w:rsid w:val="00273100"/>
    <w:rsid w:val="00274631"/>
    <w:rsid w:val="00274A3C"/>
    <w:rsid w:val="00274C3B"/>
    <w:rsid w:val="0027569D"/>
    <w:rsid w:val="002759CC"/>
    <w:rsid w:val="00276140"/>
    <w:rsid w:val="00276626"/>
    <w:rsid w:val="00276754"/>
    <w:rsid w:val="00276C28"/>
    <w:rsid w:val="00277F63"/>
    <w:rsid w:val="00280C2E"/>
    <w:rsid w:val="002827C6"/>
    <w:rsid w:val="0028484D"/>
    <w:rsid w:val="00284F0F"/>
    <w:rsid w:val="002858CD"/>
    <w:rsid w:val="00287307"/>
    <w:rsid w:val="002906C1"/>
    <w:rsid w:val="002910E1"/>
    <w:rsid w:val="00291501"/>
    <w:rsid w:val="0029216E"/>
    <w:rsid w:val="0029390B"/>
    <w:rsid w:val="0029445D"/>
    <w:rsid w:val="002948F0"/>
    <w:rsid w:val="00296E6D"/>
    <w:rsid w:val="0029757C"/>
    <w:rsid w:val="00297989"/>
    <w:rsid w:val="002A10DD"/>
    <w:rsid w:val="002A1536"/>
    <w:rsid w:val="002A1806"/>
    <w:rsid w:val="002A1C9E"/>
    <w:rsid w:val="002A2D27"/>
    <w:rsid w:val="002A385F"/>
    <w:rsid w:val="002A3A6D"/>
    <w:rsid w:val="002A3B0C"/>
    <w:rsid w:val="002A3B50"/>
    <w:rsid w:val="002A5336"/>
    <w:rsid w:val="002A5E06"/>
    <w:rsid w:val="002A6ED5"/>
    <w:rsid w:val="002A7063"/>
    <w:rsid w:val="002B01AB"/>
    <w:rsid w:val="002B0C4A"/>
    <w:rsid w:val="002B18EE"/>
    <w:rsid w:val="002B229B"/>
    <w:rsid w:val="002B2F0B"/>
    <w:rsid w:val="002B4531"/>
    <w:rsid w:val="002B5D8C"/>
    <w:rsid w:val="002B6DD4"/>
    <w:rsid w:val="002B7072"/>
    <w:rsid w:val="002B7E47"/>
    <w:rsid w:val="002C2573"/>
    <w:rsid w:val="002C2C88"/>
    <w:rsid w:val="002C2FCA"/>
    <w:rsid w:val="002C3D30"/>
    <w:rsid w:val="002C4309"/>
    <w:rsid w:val="002C46CD"/>
    <w:rsid w:val="002C6547"/>
    <w:rsid w:val="002C716F"/>
    <w:rsid w:val="002C7558"/>
    <w:rsid w:val="002C7EEE"/>
    <w:rsid w:val="002D12AD"/>
    <w:rsid w:val="002D2551"/>
    <w:rsid w:val="002D29CE"/>
    <w:rsid w:val="002D4742"/>
    <w:rsid w:val="002D5606"/>
    <w:rsid w:val="002D5793"/>
    <w:rsid w:val="002D5B73"/>
    <w:rsid w:val="002D6224"/>
    <w:rsid w:val="002D6568"/>
    <w:rsid w:val="002D6CE7"/>
    <w:rsid w:val="002D7259"/>
    <w:rsid w:val="002E016F"/>
    <w:rsid w:val="002E072C"/>
    <w:rsid w:val="002E0C45"/>
    <w:rsid w:val="002E0EE7"/>
    <w:rsid w:val="002E11FD"/>
    <w:rsid w:val="002E2A57"/>
    <w:rsid w:val="002E42B4"/>
    <w:rsid w:val="002E4D99"/>
    <w:rsid w:val="002E6745"/>
    <w:rsid w:val="002E7828"/>
    <w:rsid w:val="002F1CAC"/>
    <w:rsid w:val="002F1CAE"/>
    <w:rsid w:val="002F365B"/>
    <w:rsid w:val="002F38D7"/>
    <w:rsid w:val="002F4124"/>
    <w:rsid w:val="002F4A8B"/>
    <w:rsid w:val="0030069D"/>
    <w:rsid w:val="00300F4B"/>
    <w:rsid w:val="0030140D"/>
    <w:rsid w:val="00302C3B"/>
    <w:rsid w:val="0030507D"/>
    <w:rsid w:val="003055D5"/>
    <w:rsid w:val="00305744"/>
    <w:rsid w:val="003065B2"/>
    <w:rsid w:val="00307134"/>
    <w:rsid w:val="003114DC"/>
    <w:rsid w:val="00313E68"/>
    <w:rsid w:val="0031463C"/>
    <w:rsid w:val="00314957"/>
    <w:rsid w:val="0031602F"/>
    <w:rsid w:val="00317965"/>
    <w:rsid w:val="003201E2"/>
    <w:rsid w:val="003206CA"/>
    <w:rsid w:val="00320BD5"/>
    <w:rsid w:val="00321A58"/>
    <w:rsid w:val="0032275E"/>
    <w:rsid w:val="003231B1"/>
    <w:rsid w:val="00324417"/>
    <w:rsid w:val="00325BA3"/>
    <w:rsid w:val="00327AB6"/>
    <w:rsid w:val="00327D61"/>
    <w:rsid w:val="00331B7C"/>
    <w:rsid w:val="00331E62"/>
    <w:rsid w:val="0033250D"/>
    <w:rsid w:val="003337AD"/>
    <w:rsid w:val="00335C2A"/>
    <w:rsid w:val="00335FA8"/>
    <w:rsid w:val="00336445"/>
    <w:rsid w:val="00337DD9"/>
    <w:rsid w:val="0034073E"/>
    <w:rsid w:val="00340853"/>
    <w:rsid w:val="00340D84"/>
    <w:rsid w:val="003410EB"/>
    <w:rsid w:val="00342600"/>
    <w:rsid w:val="003426BB"/>
    <w:rsid w:val="00342EF8"/>
    <w:rsid w:val="00343D32"/>
    <w:rsid w:val="00344B6B"/>
    <w:rsid w:val="00344DF9"/>
    <w:rsid w:val="003455C7"/>
    <w:rsid w:val="003479FA"/>
    <w:rsid w:val="00351121"/>
    <w:rsid w:val="003537AA"/>
    <w:rsid w:val="0035395B"/>
    <w:rsid w:val="003540DF"/>
    <w:rsid w:val="00354771"/>
    <w:rsid w:val="00355EF9"/>
    <w:rsid w:val="00356088"/>
    <w:rsid w:val="00356C5E"/>
    <w:rsid w:val="003572AD"/>
    <w:rsid w:val="00360EF0"/>
    <w:rsid w:val="003611AC"/>
    <w:rsid w:val="0036260E"/>
    <w:rsid w:val="00363D9E"/>
    <w:rsid w:val="00363EF9"/>
    <w:rsid w:val="0037022D"/>
    <w:rsid w:val="00371638"/>
    <w:rsid w:val="0037276A"/>
    <w:rsid w:val="00372AC5"/>
    <w:rsid w:val="00372FD9"/>
    <w:rsid w:val="00373536"/>
    <w:rsid w:val="0037364D"/>
    <w:rsid w:val="003761CD"/>
    <w:rsid w:val="003763C4"/>
    <w:rsid w:val="0037640A"/>
    <w:rsid w:val="0037762C"/>
    <w:rsid w:val="0038053B"/>
    <w:rsid w:val="003809C4"/>
    <w:rsid w:val="00383EF0"/>
    <w:rsid w:val="00386A4D"/>
    <w:rsid w:val="0039135B"/>
    <w:rsid w:val="003922B3"/>
    <w:rsid w:val="003932BC"/>
    <w:rsid w:val="003932D2"/>
    <w:rsid w:val="00396EBC"/>
    <w:rsid w:val="003A07C7"/>
    <w:rsid w:val="003A1FDF"/>
    <w:rsid w:val="003A2741"/>
    <w:rsid w:val="003A4054"/>
    <w:rsid w:val="003A557E"/>
    <w:rsid w:val="003A5E21"/>
    <w:rsid w:val="003A6299"/>
    <w:rsid w:val="003A6760"/>
    <w:rsid w:val="003A67D2"/>
    <w:rsid w:val="003A7D6C"/>
    <w:rsid w:val="003B2D3B"/>
    <w:rsid w:val="003B4BC4"/>
    <w:rsid w:val="003B6D75"/>
    <w:rsid w:val="003B7E39"/>
    <w:rsid w:val="003C0447"/>
    <w:rsid w:val="003C17B9"/>
    <w:rsid w:val="003C1AC0"/>
    <w:rsid w:val="003C22D6"/>
    <w:rsid w:val="003C4230"/>
    <w:rsid w:val="003C45E0"/>
    <w:rsid w:val="003C46DF"/>
    <w:rsid w:val="003C652F"/>
    <w:rsid w:val="003C7A6E"/>
    <w:rsid w:val="003D13D6"/>
    <w:rsid w:val="003D2162"/>
    <w:rsid w:val="003D3DFC"/>
    <w:rsid w:val="003D3E1C"/>
    <w:rsid w:val="003D4863"/>
    <w:rsid w:val="003D4B21"/>
    <w:rsid w:val="003D4B23"/>
    <w:rsid w:val="003D4FC5"/>
    <w:rsid w:val="003D5917"/>
    <w:rsid w:val="003D6578"/>
    <w:rsid w:val="003D65C5"/>
    <w:rsid w:val="003D7B6A"/>
    <w:rsid w:val="003E1041"/>
    <w:rsid w:val="003E187B"/>
    <w:rsid w:val="003E1B3A"/>
    <w:rsid w:val="003E318B"/>
    <w:rsid w:val="003E3461"/>
    <w:rsid w:val="003E53F2"/>
    <w:rsid w:val="003E7C92"/>
    <w:rsid w:val="003F1A34"/>
    <w:rsid w:val="003F294F"/>
    <w:rsid w:val="003F2B58"/>
    <w:rsid w:val="003F31BC"/>
    <w:rsid w:val="003F3EF1"/>
    <w:rsid w:val="003F4F33"/>
    <w:rsid w:val="003F581E"/>
    <w:rsid w:val="00400A6A"/>
    <w:rsid w:val="00400EFB"/>
    <w:rsid w:val="0040183E"/>
    <w:rsid w:val="00403F64"/>
    <w:rsid w:val="00410B4E"/>
    <w:rsid w:val="00411060"/>
    <w:rsid w:val="00411FD9"/>
    <w:rsid w:val="0041222C"/>
    <w:rsid w:val="004149E3"/>
    <w:rsid w:val="0041506D"/>
    <w:rsid w:val="004154C3"/>
    <w:rsid w:val="004167AB"/>
    <w:rsid w:val="0042113D"/>
    <w:rsid w:val="004219EA"/>
    <w:rsid w:val="00422897"/>
    <w:rsid w:val="00423A92"/>
    <w:rsid w:val="00430694"/>
    <w:rsid w:val="00430B1C"/>
    <w:rsid w:val="00430ECE"/>
    <w:rsid w:val="004319A6"/>
    <w:rsid w:val="004327CB"/>
    <w:rsid w:val="0043508A"/>
    <w:rsid w:val="004364E5"/>
    <w:rsid w:val="004370DE"/>
    <w:rsid w:val="0044013D"/>
    <w:rsid w:val="00440235"/>
    <w:rsid w:val="004416E7"/>
    <w:rsid w:val="00443B41"/>
    <w:rsid w:val="004440A6"/>
    <w:rsid w:val="0044498E"/>
    <w:rsid w:val="00445274"/>
    <w:rsid w:val="00446488"/>
    <w:rsid w:val="00446FC5"/>
    <w:rsid w:val="00452B53"/>
    <w:rsid w:val="00453C94"/>
    <w:rsid w:val="004576EF"/>
    <w:rsid w:val="0046048C"/>
    <w:rsid w:val="00460E2D"/>
    <w:rsid w:val="0046120A"/>
    <w:rsid w:val="00461E8D"/>
    <w:rsid w:val="004621D5"/>
    <w:rsid w:val="00463026"/>
    <w:rsid w:val="00463056"/>
    <w:rsid w:val="00463B2F"/>
    <w:rsid w:val="004649A0"/>
    <w:rsid w:val="00465D60"/>
    <w:rsid w:val="004672B9"/>
    <w:rsid w:val="0046775F"/>
    <w:rsid w:val="004677B8"/>
    <w:rsid w:val="00467990"/>
    <w:rsid w:val="004707F3"/>
    <w:rsid w:val="004723F1"/>
    <w:rsid w:val="00473D5A"/>
    <w:rsid w:val="004741A8"/>
    <w:rsid w:val="004758D0"/>
    <w:rsid w:val="00476754"/>
    <w:rsid w:val="004772AA"/>
    <w:rsid w:val="00481A8E"/>
    <w:rsid w:val="00482121"/>
    <w:rsid w:val="0048424E"/>
    <w:rsid w:val="0048492E"/>
    <w:rsid w:val="004855B9"/>
    <w:rsid w:val="00486301"/>
    <w:rsid w:val="0048683A"/>
    <w:rsid w:val="00487F68"/>
    <w:rsid w:val="0049102C"/>
    <w:rsid w:val="0049130F"/>
    <w:rsid w:val="00492BC5"/>
    <w:rsid w:val="00492BF1"/>
    <w:rsid w:val="00492E86"/>
    <w:rsid w:val="00493572"/>
    <w:rsid w:val="00495D61"/>
    <w:rsid w:val="00496872"/>
    <w:rsid w:val="004968BC"/>
    <w:rsid w:val="00497820"/>
    <w:rsid w:val="00497EBF"/>
    <w:rsid w:val="004A0B4B"/>
    <w:rsid w:val="004A39D6"/>
    <w:rsid w:val="004A5EBF"/>
    <w:rsid w:val="004A5F18"/>
    <w:rsid w:val="004A6A06"/>
    <w:rsid w:val="004B14FF"/>
    <w:rsid w:val="004B2A28"/>
    <w:rsid w:val="004B35F7"/>
    <w:rsid w:val="004B4978"/>
    <w:rsid w:val="004B6692"/>
    <w:rsid w:val="004B6D49"/>
    <w:rsid w:val="004B7C9B"/>
    <w:rsid w:val="004B7E0B"/>
    <w:rsid w:val="004C0841"/>
    <w:rsid w:val="004C11D6"/>
    <w:rsid w:val="004C1826"/>
    <w:rsid w:val="004C3602"/>
    <w:rsid w:val="004C46EE"/>
    <w:rsid w:val="004C472E"/>
    <w:rsid w:val="004C5C17"/>
    <w:rsid w:val="004D06C0"/>
    <w:rsid w:val="004D08D2"/>
    <w:rsid w:val="004D27C6"/>
    <w:rsid w:val="004D2999"/>
    <w:rsid w:val="004D5432"/>
    <w:rsid w:val="004D5696"/>
    <w:rsid w:val="004D6E5D"/>
    <w:rsid w:val="004D722A"/>
    <w:rsid w:val="004D7279"/>
    <w:rsid w:val="004E16AF"/>
    <w:rsid w:val="004E2DD5"/>
    <w:rsid w:val="004E3404"/>
    <w:rsid w:val="004E38E1"/>
    <w:rsid w:val="004E3925"/>
    <w:rsid w:val="004E40FD"/>
    <w:rsid w:val="004E415E"/>
    <w:rsid w:val="004E4ADD"/>
    <w:rsid w:val="004E4D65"/>
    <w:rsid w:val="004E70C9"/>
    <w:rsid w:val="004E7218"/>
    <w:rsid w:val="004E7B08"/>
    <w:rsid w:val="004F1FA1"/>
    <w:rsid w:val="004F48EA"/>
    <w:rsid w:val="004F4ED7"/>
    <w:rsid w:val="004F51A5"/>
    <w:rsid w:val="004F5E93"/>
    <w:rsid w:val="004F601B"/>
    <w:rsid w:val="004F79B8"/>
    <w:rsid w:val="004F7F50"/>
    <w:rsid w:val="00500D1C"/>
    <w:rsid w:val="00501027"/>
    <w:rsid w:val="005013E6"/>
    <w:rsid w:val="00501A8E"/>
    <w:rsid w:val="0050230E"/>
    <w:rsid w:val="00502AB1"/>
    <w:rsid w:val="00503255"/>
    <w:rsid w:val="0050368B"/>
    <w:rsid w:val="00503EDA"/>
    <w:rsid w:val="00504492"/>
    <w:rsid w:val="005063DC"/>
    <w:rsid w:val="0050642B"/>
    <w:rsid w:val="0050752B"/>
    <w:rsid w:val="00507587"/>
    <w:rsid w:val="00511D7B"/>
    <w:rsid w:val="00512C28"/>
    <w:rsid w:val="005132A4"/>
    <w:rsid w:val="005138C8"/>
    <w:rsid w:val="00513AD1"/>
    <w:rsid w:val="005143B7"/>
    <w:rsid w:val="0051460D"/>
    <w:rsid w:val="005146D5"/>
    <w:rsid w:val="00514746"/>
    <w:rsid w:val="0052009C"/>
    <w:rsid w:val="00520648"/>
    <w:rsid w:val="005212F9"/>
    <w:rsid w:val="00521D49"/>
    <w:rsid w:val="00522EB9"/>
    <w:rsid w:val="005234EE"/>
    <w:rsid w:val="005257A0"/>
    <w:rsid w:val="00526CEC"/>
    <w:rsid w:val="0052729D"/>
    <w:rsid w:val="0052734D"/>
    <w:rsid w:val="00527A7E"/>
    <w:rsid w:val="005316E6"/>
    <w:rsid w:val="00531831"/>
    <w:rsid w:val="00532267"/>
    <w:rsid w:val="005344EC"/>
    <w:rsid w:val="00535000"/>
    <w:rsid w:val="005362BE"/>
    <w:rsid w:val="00536533"/>
    <w:rsid w:val="00536FDC"/>
    <w:rsid w:val="005379C1"/>
    <w:rsid w:val="00537E19"/>
    <w:rsid w:val="005404FF"/>
    <w:rsid w:val="00540D7D"/>
    <w:rsid w:val="0054133E"/>
    <w:rsid w:val="00542014"/>
    <w:rsid w:val="00542783"/>
    <w:rsid w:val="00543D57"/>
    <w:rsid w:val="005476AC"/>
    <w:rsid w:val="00547A28"/>
    <w:rsid w:val="005505C2"/>
    <w:rsid w:val="0055213C"/>
    <w:rsid w:val="00552200"/>
    <w:rsid w:val="00552DB7"/>
    <w:rsid w:val="0055474B"/>
    <w:rsid w:val="00554C13"/>
    <w:rsid w:val="00555FD7"/>
    <w:rsid w:val="0055688B"/>
    <w:rsid w:val="005578AB"/>
    <w:rsid w:val="00557951"/>
    <w:rsid w:val="00560DB9"/>
    <w:rsid w:val="00561F04"/>
    <w:rsid w:val="00562BF1"/>
    <w:rsid w:val="00563C37"/>
    <w:rsid w:val="00564E5B"/>
    <w:rsid w:val="005653CD"/>
    <w:rsid w:val="005667E6"/>
    <w:rsid w:val="00566C36"/>
    <w:rsid w:val="00567081"/>
    <w:rsid w:val="00567644"/>
    <w:rsid w:val="00572CB6"/>
    <w:rsid w:val="00573CE9"/>
    <w:rsid w:val="0057401C"/>
    <w:rsid w:val="005772CE"/>
    <w:rsid w:val="00580080"/>
    <w:rsid w:val="0058174C"/>
    <w:rsid w:val="0058314D"/>
    <w:rsid w:val="00583E46"/>
    <w:rsid w:val="00584015"/>
    <w:rsid w:val="0058446A"/>
    <w:rsid w:val="00585544"/>
    <w:rsid w:val="005861F5"/>
    <w:rsid w:val="005874CE"/>
    <w:rsid w:val="00587E07"/>
    <w:rsid w:val="00590F95"/>
    <w:rsid w:val="0059287D"/>
    <w:rsid w:val="00592AB3"/>
    <w:rsid w:val="00593148"/>
    <w:rsid w:val="0059346C"/>
    <w:rsid w:val="00593F34"/>
    <w:rsid w:val="00596593"/>
    <w:rsid w:val="00596E18"/>
    <w:rsid w:val="0059725A"/>
    <w:rsid w:val="005A06DE"/>
    <w:rsid w:val="005A0A16"/>
    <w:rsid w:val="005A0C91"/>
    <w:rsid w:val="005A18E2"/>
    <w:rsid w:val="005A3334"/>
    <w:rsid w:val="005A3417"/>
    <w:rsid w:val="005A3552"/>
    <w:rsid w:val="005A3A23"/>
    <w:rsid w:val="005A4DA7"/>
    <w:rsid w:val="005A726F"/>
    <w:rsid w:val="005A772B"/>
    <w:rsid w:val="005B02E8"/>
    <w:rsid w:val="005B069D"/>
    <w:rsid w:val="005B1BC1"/>
    <w:rsid w:val="005B1F0F"/>
    <w:rsid w:val="005B30AD"/>
    <w:rsid w:val="005B39D5"/>
    <w:rsid w:val="005B3ADC"/>
    <w:rsid w:val="005B51EF"/>
    <w:rsid w:val="005B5C2B"/>
    <w:rsid w:val="005B6560"/>
    <w:rsid w:val="005B7471"/>
    <w:rsid w:val="005C05C7"/>
    <w:rsid w:val="005C14D3"/>
    <w:rsid w:val="005C1A74"/>
    <w:rsid w:val="005C207E"/>
    <w:rsid w:val="005C22DD"/>
    <w:rsid w:val="005C28D2"/>
    <w:rsid w:val="005C3426"/>
    <w:rsid w:val="005C3ADA"/>
    <w:rsid w:val="005C484B"/>
    <w:rsid w:val="005C58ED"/>
    <w:rsid w:val="005C59A2"/>
    <w:rsid w:val="005C60D0"/>
    <w:rsid w:val="005C6E0C"/>
    <w:rsid w:val="005C6E5C"/>
    <w:rsid w:val="005C7D4B"/>
    <w:rsid w:val="005D0A1B"/>
    <w:rsid w:val="005D2A21"/>
    <w:rsid w:val="005D2F91"/>
    <w:rsid w:val="005D395B"/>
    <w:rsid w:val="005D3E3E"/>
    <w:rsid w:val="005D3FB0"/>
    <w:rsid w:val="005D49D9"/>
    <w:rsid w:val="005D5475"/>
    <w:rsid w:val="005D70ED"/>
    <w:rsid w:val="005D7145"/>
    <w:rsid w:val="005D7D28"/>
    <w:rsid w:val="005E03A2"/>
    <w:rsid w:val="005E098D"/>
    <w:rsid w:val="005E0A2E"/>
    <w:rsid w:val="005E1534"/>
    <w:rsid w:val="005E1B6B"/>
    <w:rsid w:val="005E2D5A"/>
    <w:rsid w:val="005E4F3B"/>
    <w:rsid w:val="005E67C5"/>
    <w:rsid w:val="005E770E"/>
    <w:rsid w:val="005E7B1F"/>
    <w:rsid w:val="005E7CBA"/>
    <w:rsid w:val="005E7DB1"/>
    <w:rsid w:val="005F10D7"/>
    <w:rsid w:val="005F21AB"/>
    <w:rsid w:val="005F347D"/>
    <w:rsid w:val="005F3C8C"/>
    <w:rsid w:val="005F40CC"/>
    <w:rsid w:val="005F50E8"/>
    <w:rsid w:val="005F5345"/>
    <w:rsid w:val="005F62F7"/>
    <w:rsid w:val="005F64BA"/>
    <w:rsid w:val="005F65F3"/>
    <w:rsid w:val="005F7B8A"/>
    <w:rsid w:val="00600EAF"/>
    <w:rsid w:val="0060176B"/>
    <w:rsid w:val="00602174"/>
    <w:rsid w:val="00603812"/>
    <w:rsid w:val="00603E67"/>
    <w:rsid w:val="00604F68"/>
    <w:rsid w:val="006061F0"/>
    <w:rsid w:val="0060707B"/>
    <w:rsid w:val="006075F9"/>
    <w:rsid w:val="00612712"/>
    <w:rsid w:val="006127A4"/>
    <w:rsid w:val="00612A18"/>
    <w:rsid w:val="00612D06"/>
    <w:rsid w:val="006136E2"/>
    <w:rsid w:val="006137FF"/>
    <w:rsid w:val="0061486B"/>
    <w:rsid w:val="0061536C"/>
    <w:rsid w:val="00615689"/>
    <w:rsid w:val="00615B36"/>
    <w:rsid w:val="00617AEB"/>
    <w:rsid w:val="0062017C"/>
    <w:rsid w:val="00620B4D"/>
    <w:rsid w:val="00621084"/>
    <w:rsid w:val="00622296"/>
    <w:rsid w:val="0062347A"/>
    <w:rsid w:val="006256A1"/>
    <w:rsid w:val="0062653E"/>
    <w:rsid w:val="00626D0C"/>
    <w:rsid w:val="00626E23"/>
    <w:rsid w:val="00626F57"/>
    <w:rsid w:val="00627683"/>
    <w:rsid w:val="00630F55"/>
    <w:rsid w:val="006316F9"/>
    <w:rsid w:val="0063230F"/>
    <w:rsid w:val="0063470A"/>
    <w:rsid w:val="00634943"/>
    <w:rsid w:val="006349A8"/>
    <w:rsid w:val="00635470"/>
    <w:rsid w:val="00635B53"/>
    <w:rsid w:val="00636094"/>
    <w:rsid w:val="006366A1"/>
    <w:rsid w:val="00636AD7"/>
    <w:rsid w:val="00637C0B"/>
    <w:rsid w:val="00641575"/>
    <w:rsid w:val="00642137"/>
    <w:rsid w:val="00642EE5"/>
    <w:rsid w:val="006446BE"/>
    <w:rsid w:val="00644BCB"/>
    <w:rsid w:val="0064657F"/>
    <w:rsid w:val="0064713A"/>
    <w:rsid w:val="00647188"/>
    <w:rsid w:val="0064721A"/>
    <w:rsid w:val="006474DA"/>
    <w:rsid w:val="00647F86"/>
    <w:rsid w:val="0065019E"/>
    <w:rsid w:val="006502EC"/>
    <w:rsid w:val="0065066A"/>
    <w:rsid w:val="00655309"/>
    <w:rsid w:val="00656C49"/>
    <w:rsid w:val="00657119"/>
    <w:rsid w:val="0065794F"/>
    <w:rsid w:val="00660F24"/>
    <w:rsid w:val="006623E9"/>
    <w:rsid w:val="00664034"/>
    <w:rsid w:val="00664318"/>
    <w:rsid w:val="0066434C"/>
    <w:rsid w:val="00665EC7"/>
    <w:rsid w:val="006661A1"/>
    <w:rsid w:val="00666833"/>
    <w:rsid w:val="00670B18"/>
    <w:rsid w:val="0067259D"/>
    <w:rsid w:val="006729D7"/>
    <w:rsid w:val="00672EC7"/>
    <w:rsid w:val="0067357D"/>
    <w:rsid w:val="006746EF"/>
    <w:rsid w:val="00675264"/>
    <w:rsid w:val="00676235"/>
    <w:rsid w:val="006776F1"/>
    <w:rsid w:val="00677A49"/>
    <w:rsid w:val="00677CD3"/>
    <w:rsid w:val="00680699"/>
    <w:rsid w:val="00680850"/>
    <w:rsid w:val="00681651"/>
    <w:rsid w:val="006819D9"/>
    <w:rsid w:val="00681C86"/>
    <w:rsid w:val="00683CFC"/>
    <w:rsid w:val="00686292"/>
    <w:rsid w:val="006865B3"/>
    <w:rsid w:val="00687003"/>
    <w:rsid w:val="0068756F"/>
    <w:rsid w:val="00687CF1"/>
    <w:rsid w:val="00691D83"/>
    <w:rsid w:val="006921FB"/>
    <w:rsid w:val="006931AC"/>
    <w:rsid w:val="006940FE"/>
    <w:rsid w:val="006942D4"/>
    <w:rsid w:val="0069603D"/>
    <w:rsid w:val="00696D1B"/>
    <w:rsid w:val="006977BE"/>
    <w:rsid w:val="006A1683"/>
    <w:rsid w:val="006A1EBE"/>
    <w:rsid w:val="006A2CD3"/>
    <w:rsid w:val="006A327C"/>
    <w:rsid w:val="006A32C3"/>
    <w:rsid w:val="006A359E"/>
    <w:rsid w:val="006A40D7"/>
    <w:rsid w:val="006A46ED"/>
    <w:rsid w:val="006A475D"/>
    <w:rsid w:val="006A556C"/>
    <w:rsid w:val="006A72C1"/>
    <w:rsid w:val="006A7F9A"/>
    <w:rsid w:val="006B03A0"/>
    <w:rsid w:val="006B11A3"/>
    <w:rsid w:val="006B128A"/>
    <w:rsid w:val="006B286E"/>
    <w:rsid w:val="006B30C7"/>
    <w:rsid w:val="006B40A1"/>
    <w:rsid w:val="006B4864"/>
    <w:rsid w:val="006B542A"/>
    <w:rsid w:val="006B765A"/>
    <w:rsid w:val="006B76A8"/>
    <w:rsid w:val="006C0333"/>
    <w:rsid w:val="006C0421"/>
    <w:rsid w:val="006C04FE"/>
    <w:rsid w:val="006C0591"/>
    <w:rsid w:val="006C0ECA"/>
    <w:rsid w:val="006C0F81"/>
    <w:rsid w:val="006C1CD2"/>
    <w:rsid w:val="006C3196"/>
    <w:rsid w:val="006C3F14"/>
    <w:rsid w:val="006C4CB6"/>
    <w:rsid w:val="006C5729"/>
    <w:rsid w:val="006C6299"/>
    <w:rsid w:val="006C6A48"/>
    <w:rsid w:val="006C6F4E"/>
    <w:rsid w:val="006C770D"/>
    <w:rsid w:val="006D0A6B"/>
    <w:rsid w:val="006D16E9"/>
    <w:rsid w:val="006D4024"/>
    <w:rsid w:val="006E0ADE"/>
    <w:rsid w:val="006E2FDE"/>
    <w:rsid w:val="006E33FA"/>
    <w:rsid w:val="006E3B91"/>
    <w:rsid w:val="006E485F"/>
    <w:rsid w:val="006E4B2F"/>
    <w:rsid w:val="006E5EA4"/>
    <w:rsid w:val="006E65E2"/>
    <w:rsid w:val="006E6C18"/>
    <w:rsid w:val="006E6F15"/>
    <w:rsid w:val="006E7444"/>
    <w:rsid w:val="006E7B5D"/>
    <w:rsid w:val="006F0444"/>
    <w:rsid w:val="006F08BD"/>
    <w:rsid w:val="006F0B87"/>
    <w:rsid w:val="006F27ED"/>
    <w:rsid w:val="006F4556"/>
    <w:rsid w:val="006F4796"/>
    <w:rsid w:val="006F67BC"/>
    <w:rsid w:val="006F7F78"/>
    <w:rsid w:val="007015BC"/>
    <w:rsid w:val="00702E2C"/>
    <w:rsid w:val="007030E7"/>
    <w:rsid w:val="00703968"/>
    <w:rsid w:val="00704BAD"/>
    <w:rsid w:val="007052DC"/>
    <w:rsid w:val="00705398"/>
    <w:rsid w:val="00705520"/>
    <w:rsid w:val="007067DF"/>
    <w:rsid w:val="00707709"/>
    <w:rsid w:val="007077D2"/>
    <w:rsid w:val="007119C9"/>
    <w:rsid w:val="00712BE6"/>
    <w:rsid w:val="00712BF8"/>
    <w:rsid w:val="00713318"/>
    <w:rsid w:val="00714CBF"/>
    <w:rsid w:val="00715BAC"/>
    <w:rsid w:val="00715CF1"/>
    <w:rsid w:val="00721E0B"/>
    <w:rsid w:val="00722364"/>
    <w:rsid w:val="00722794"/>
    <w:rsid w:val="007235C3"/>
    <w:rsid w:val="00723BE4"/>
    <w:rsid w:val="00723BFB"/>
    <w:rsid w:val="00724290"/>
    <w:rsid w:val="00725435"/>
    <w:rsid w:val="007258C9"/>
    <w:rsid w:val="007264B4"/>
    <w:rsid w:val="00726848"/>
    <w:rsid w:val="007268CC"/>
    <w:rsid w:val="00726EBB"/>
    <w:rsid w:val="007273E5"/>
    <w:rsid w:val="00727C2E"/>
    <w:rsid w:val="00730468"/>
    <w:rsid w:val="00731019"/>
    <w:rsid w:val="0073133C"/>
    <w:rsid w:val="00732748"/>
    <w:rsid w:val="00733EED"/>
    <w:rsid w:val="007340D2"/>
    <w:rsid w:val="00735459"/>
    <w:rsid w:val="00735BD7"/>
    <w:rsid w:val="00736ABD"/>
    <w:rsid w:val="00737CC1"/>
    <w:rsid w:val="00740F38"/>
    <w:rsid w:val="007416C6"/>
    <w:rsid w:val="007429E7"/>
    <w:rsid w:val="00746EE8"/>
    <w:rsid w:val="00746FC0"/>
    <w:rsid w:val="007533AB"/>
    <w:rsid w:val="007541C2"/>
    <w:rsid w:val="00754210"/>
    <w:rsid w:val="00754B8A"/>
    <w:rsid w:val="00755FB7"/>
    <w:rsid w:val="007606DF"/>
    <w:rsid w:val="007608C5"/>
    <w:rsid w:val="00760C8D"/>
    <w:rsid w:val="00761CA0"/>
    <w:rsid w:val="00761FAF"/>
    <w:rsid w:val="007629E9"/>
    <w:rsid w:val="007640D0"/>
    <w:rsid w:val="00766135"/>
    <w:rsid w:val="00767161"/>
    <w:rsid w:val="00767399"/>
    <w:rsid w:val="00770693"/>
    <w:rsid w:val="007716FF"/>
    <w:rsid w:val="00771F53"/>
    <w:rsid w:val="00774535"/>
    <w:rsid w:val="00774AB1"/>
    <w:rsid w:val="00775B7C"/>
    <w:rsid w:val="00775BD8"/>
    <w:rsid w:val="00780111"/>
    <w:rsid w:val="0078060E"/>
    <w:rsid w:val="007831EF"/>
    <w:rsid w:val="00785881"/>
    <w:rsid w:val="00786E12"/>
    <w:rsid w:val="0078722A"/>
    <w:rsid w:val="0078746D"/>
    <w:rsid w:val="007901E1"/>
    <w:rsid w:val="0079025C"/>
    <w:rsid w:val="00792E6C"/>
    <w:rsid w:val="007934DF"/>
    <w:rsid w:val="0079451D"/>
    <w:rsid w:val="0079622C"/>
    <w:rsid w:val="00796821"/>
    <w:rsid w:val="007A0B1A"/>
    <w:rsid w:val="007A0FE0"/>
    <w:rsid w:val="007A12BE"/>
    <w:rsid w:val="007A315E"/>
    <w:rsid w:val="007A37D7"/>
    <w:rsid w:val="007A3B38"/>
    <w:rsid w:val="007A5C0C"/>
    <w:rsid w:val="007A7F47"/>
    <w:rsid w:val="007B29E8"/>
    <w:rsid w:val="007B2A2F"/>
    <w:rsid w:val="007B3F4F"/>
    <w:rsid w:val="007B68EA"/>
    <w:rsid w:val="007B6D1C"/>
    <w:rsid w:val="007C0A02"/>
    <w:rsid w:val="007C0BF2"/>
    <w:rsid w:val="007C1161"/>
    <w:rsid w:val="007C2751"/>
    <w:rsid w:val="007C2FB7"/>
    <w:rsid w:val="007C3537"/>
    <w:rsid w:val="007C484C"/>
    <w:rsid w:val="007C54E6"/>
    <w:rsid w:val="007C62E8"/>
    <w:rsid w:val="007C6E10"/>
    <w:rsid w:val="007C6EF2"/>
    <w:rsid w:val="007C75A5"/>
    <w:rsid w:val="007C7F48"/>
    <w:rsid w:val="007D155C"/>
    <w:rsid w:val="007D25A1"/>
    <w:rsid w:val="007D359A"/>
    <w:rsid w:val="007D40DD"/>
    <w:rsid w:val="007D42DC"/>
    <w:rsid w:val="007D452D"/>
    <w:rsid w:val="007D4662"/>
    <w:rsid w:val="007D7334"/>
    <w:rsid w:val="007D7AF5"/>
    <w:rsid w:val="007E253D"/>
    <w:rsid w:val="007E28E1"/>
    <w:rsid w:val="007E3121"/>
    <w:rsid w:val="007E364B"/>
    <w:rsid w:val="007E5345"/>
    <w:rsid w:val="007E557C"/>
    <w:rsid w:val="007E55B4"/>
    <w:rsid w:val="007E55D8"/>
    <w:rsid w:val="007E60E5"/>
    <w:rsid w:val="007E7CF2"/>
    <w:rsid w:val="007F1A6D"/>
    <w:rsid w:val="007F26F7"/>
    <w:rsid w:val="007F4491"/>
    <w:rsid w:val="007F4DCA"/>
    <w:rsid w:val="007F5967"/>
    <w:rsid w:val="007F66E8"/>
    <w:rsid w:val="007F6759"/>
    <w:rsid w:val="007F7111"/>
    <w:rsid w:val="00800277"/>
    <w:rsid w:val="008018FB"/>
    <w:rsid w:val="00802A6D"/>
    <w:rsid w:val="00802CDE"/>
    <w:rsid w:val="00803411"/>
    <w:rsid w:val="00803691"/>
    <w:rsid w:val="0080371C"/>
    <w:rsid w:val="00806A8E"/>
    <w:rsid w:val="008113F7"/>
    <w:rsid w:val="0081259F"/>
    <w:rsid w:val="00816281"/>
    <w:rsid w:val="00816B23"/>
    <w:rsid w:val="00817127"/>
    <w:rsid w:val="00821B93"/>
    <w:rsid w:val="00821E69"/>
    <w:rsid w:val="0082299B"/>
    <w:rsid w:val="008230D4"/>
    <w:rsid w:val="0082435E"/>
    <w:rsid w:val="00824C8A"/>
    <w:rsid w:val="00824E5A"/>
    <w:rsid w:val="0082675F"/>
    <w:rsid w:val="008275AA"/>
    <w:rsid w:val="0083052B"/>
    <w:rsid w:val="008330A6"/>
    <w:rsid w:val="00833AB3"/>
    <w:rsid w:val="00833DFC"/>
    <w:rsid w:val="00836665"/>
    <w:rsid w:val="00837359"/>
    <w:rsid w:val="008415AB"/>
    <w:rsid w:val="00842B98"/>
    <w:rsid w:val="008431BE"/>
    <w:rsid w:val="00844DA1"/>
    <w:rsid w:val="008453C9"/>
    <w:rsid w:val="0084671F"/>
    <w:rsid w:val="00846F0B"/>
    <w:rsid w:val="00847DB9"/>
    <w:rsid w:val="00847DBD"/>
    <w:rsid w:val="00850932"/>
    <w:rsid w:val="00850CC4"/>
    <w:rsid w:val="0085132E"/>
    <w:rsid w:val="00852E8C"/>
    <w:rsid w:val="00853FB6"/>
    <w:rsid w:val="008545EB"/>
    <w:rsid w:val="00854923"/>
    <w:rsid w:val="00855F57"/>
    <w:rsid w:val="00857447"/>
    <w:rsid w:val="008577E8"/>
    <w:rsid w:val="0085797F"/>
    <w:rsid w:val="00860B4D"/>
    <w:rsid w:val="0086205D"/>
    <w:rsid w:val="0086304B"/>
    <w:rsid w:val="008634CC"/>
    <w:rsid w:val="00863D85"/>
    <w:rsid w:val="00864152"/>
    <w:rsid w:val="00865824"/>
    <w:rsid w:val="0086658B"/>
    <w:rsid w:val="00866F03"/>
    <w:rsid w:val="00867945"/>
    <w:rsid w:val="00867D77"/>
    <w:rsid w:val="00872FD8"/>
    <w:rsid w:val="00873AFA"/>
    <w:rsid w:val="00873FDF"/>
    <w:rsid w:val="008742AE"/>
    <w:rsid w:val="00874D78"/>
    <w:rsid w:val="0087501C"/>
    <w:rsid w:val="0087532D"/>
    <w:rsid w:val="00875E69"/>
    <w:rsid w:val="00876943"/>
    <w:rsid w:val="008770A0"/>
    <w:rsid w:val="008771D5"/>
    <w:rsid w:val="008776DD"/>
    <w:rsid w:val="00877C15"/>
    <w:rsid w:val="00881A81"/>
    <w:rsid w:val="00881BBD"/>
    <w:rsid w:val="0088207D"/>
    <w:rsid w:val="00887DA8"/>
    <w:rsid w:val="00891790"/>
    <w:rsid w:val="00891991"/>
    <w:rsid w:val="0089233F"/>
    <w:rsid w:val="00892E29"/>
    <w:rsid w:val="00894901"/>
    <w:rsid w:val="00896C0D"/>
    <w:rsid w:val="00897FF8"/>
    <w:rsid w:val="008A1D9F"/>
    <w:rsid w:val="008A2919"/>
    <w:rsid w:val="008A3008"/>
    <w:rsid w:val="008A4375"/>
    <w:rsid w:val="008A564D"/>
    <w:rsid w:val="008A5E26"/>
    <w:rsid w:val="008A617D"/>
    <w:rsid w:val="008A6728"/>
    <w:rsid w:val="008A6833"/>
    <w:rsid w:val="008A6C7F"/>
    <w:rsid w:val="008A6EE5"/>
    <w:rsid w:val="008B0B59"/>
    <w:rsid w:val="008B1830"/>
    <w:rsid w:val="008B3442"/>
    <w:rsid w:val="008B56AF"/>
    <w:rsid w:val="008B5B26"/>
    <w:rsid w:val="008B637D"/>
    <w:rsid w:val="008B6F0B"/>
    <w:rsid w:val="008C0654"/>
    <w:rsid w:val="008C0C5E"/>
    <w:rsid w:val="008C0ED3"/>
    <w:rsid w:val="008C1098"/>
    <w:rsid w:val="008C297B"/>
    <w:rsid w:val="008C2AA9"/>
    <w:rsid w:val="008C3A6D"/>
    <w:rsid w:val="008C5835"/>
    <w:rsid w:val="008C5A7C"/>
    <w:rsid w:val="008D097A"/>
    <w:rsid w:val="008D1E53"/>
    <w:rsid w:val="008D2025"/>
    <w:rsid w:val="008D2E95"/>
    <w:rsid w:val="008D3738"/>
    <w:rsid w:val="008D4ED0"/>
    <w:rsid w:val="008D5B46"/>
    <w:rsid w:val="008D6716"/>
    <w:rsid w:val="008E3355"/>
    <w:rsid w:val="008E3491"/>
    <w:rsid w:val="008E5B01"/>
    <w:rsid w:val="008E6033"/>
    <w:rsid w:val="008E6229"/>
    <w:rsid w:val="008F1443"/>
    <w:rsid w:val="008F1C47"/>
    <w:rsid w:val="008F34B4"/>
    <w:rsid w:val="008F5273"/>
    <w:rsid w:val="008F668E"/>
    <w:rsid w:val="008F7415"/>
    <w:rsid w:val="008F7759"/>
    <w:rsid w:val="008F7E38"/>
    <w:rsid w:val="009001F6"/>
    <w:rsid w:val="009003F5"/>
    <w:rsid w:val="00900B3A"/>
    <w:rsid w:val="00900CB4"/>
    <w:rsid w:val="00901463"/>
    <w:rsid w:val="009015D6"/>
    <w:rsid w:val="00902281"/>
    <w:rsid w:val="00902892"/>
    <w:rsid w:val="009030F6"/>
    <w:rsid w:val="00904402"/>
    <w:rsid w:val="009048E0"/>
    <w:rsid w:val="009108CA"/>
    <w:rsid w:val="00910A06"/>
    <w:rsid w:val="009134AC"/>
    <w:rsid w:val="00913514"/>
    <w:rsid w:val="00913ED5"/>
    <w:rsid w:val="00913FD4"/>
    <w:rsid w:val="009140FC"/>
    <w:rsid w:val="009177D3"/>
    <w:rsid w:val="009207DD"/>
    <w:rsid w:val="009213C0"/>
    <w:rsid w:val="009225B3"/>
    <w:rsid w:val="00925970"/>
    <w:rsid w:val="00927209"/>
    <w:rsid w:val="00930646"/>
    <w:rsid w:val="00930C16"/>
    <w:rsid w:val="0093146B"/>
    <w:rsid w:val="00931F65"/>
    <w:rsid w:val="00932071"/>
    <w:rsid w:val="009358F3"/>
    <w:rsid w:val="00935BF9"/>
    <w:rsid w:val="009409CC"/>
    <w:rsid w:val="00940D80"/>
    <w:rsid w:val="009410DD"/>
    <w:rsid w:val="00941B40"/>
    <w:rsid w:val="0094300D"/>
    <w:rsid w:val="00944BD0"/>
    <w:rsid w:val="009454A5"/>
    <w:rsid w:val="00945C7F"/>
    <w:rsid w:val="00946821"/>
    <w:rsid w:val="00946F85"/>
    <w:rsid w:val="00947E4D"/>
    <w:rsid w:val="009525BB"/>
    <w:rsid w:val="009531F3"/>
    <w:rsid w:val="00953734"/>
    <w:rsid w:val="00953EAB"/>
    <w:rsid w:val="00955182"/>
    <w:rsid w:val="009556E7"/>
    <w:rsid w:val="00955FA5"/>
    <w:rsid w:val="0095633B"/>
    <w:rsid w:val="0095643D"/>
    <w:rsid w:val="00956D34"/>
    <w:rsid w:val="00957532"/>
    <w:rsid w:val="00957665"/>
    <w:rsid w:val="009602AC"/>
    <w:rsid w:val="00960E00"/>
    <w:rsid w:val="00961757"/>
    <w:rsid w:val="0096350D"/>
    <w:rsid w:val="00963FED"/>
    <w:rsid w:val="0096456B"/>
    <w:rsid w:val="00967166"/>
    <w:rsid w:val="009672A5"/>
    <w:rsid w:val="009705F4"/>
    <w:rsid w:val="0097243A"/>
    <w:rsid w:val="0097243E"/>
    <w:rsid w:val="009725FD"/>
    <w:rsid w:val="0097285F"/>
    <w:rsid w:val="00972FE2"/>
    <w:rsid w:val="0097383C"/>
    <w:rsid w:val="009738F2"/>
    <w:rsid w:val="00974FD0"/>
    <w:rsid w:val="00975548"/>
    <w:rsid w:val="00977216"/>
    <w:rsid w:val="00983B71"/>
    <w:rsid w:val="00985406"/>
    <w:rsid w:val="00985B26"/>
    <w:rsid w:val="00986AC8"/>
    <w:rsid w:val="00986B83"/>
    <w:rsid w:val="00986C12"/>
    <w:rsid w:val="00987D79"/>
    <w:rsid w:val="00987D80"/>
    <w:rsid w:val="00990164"/>
    <w:rsid w:val="0099195A"/>
    <w:rsid w:val="00991E90"/>
    <w:rsid w:val="00991F6D"/>
    <w:rsid w:val="009924E9"/>
    <w:rsid w:val="00993B35"/>
    <w:rsid w:val="00994AF2"/>
    <w:rsid w:val="00994C41"/>
    <w:rsid w:val="00995B4C"/>
    <w:rsid w:val="00997BB8"/>
    <w:rsid w:val="00997DDE"/>
    <w:rsid w:val="009A0767"/>
    <w:rsid w:val="009A22DB"/>
    <w:rsid w:val="009A2B9E"/>
    <w:rsid w:val="009A2DE2"/>
    <w:rsid w:val="009A3D60"/>
    <w:rsid w:val="009A42D8"/>
    <w:rsid w:val="009A4305"/>
    <w:rsid w:val="009A459C"/>
    <w:rsid w:val="009A51A9"/>
    <w:rsid w:val="009A5B76"/>
    <w:rsid w:val="009A632C"/>
    <w:rsid w:val="009A6A3F"/>
    <w:rsid w:val="009A7203"/>
    <w:rsid w:val="009A7B0A"/>
    <w:rsid w:val="009B0BA3"/>
    <w:rsid w:val="009B217B"/>
    <w:rsid w:val="009B25E8"/>
    <w:rsid w:val="009B2958"/>
    <w:rsid w:val="009B335D"/>
    <w:rsid w:val="009B4457"/>
    <w:rsid w:val="009B4968"/>
    <w:rsid w:val="009B4C64"/>
    <w:rsid w:val="009B4E4D"/>
    <w:rsid w:val="009B6031"/>
    <w:rsid w:val="009B7635"/>
    <w:rsid w:val="009C128A"/>
    <w:rsid w:val="009C20A8"/>
    <w:rsid w:val="009C2416"/>
    <w:rsid w:val="009C2986"/>
    <w:rsid w:val="009C2ACC"/>
    <w:rsid w:val="009C3150"/>
    <w:rsid w:val="009C3632"/>
    <w:rsid w:val="009C3D73"/>
    <w:rsid w:val="009C5F3E"/>
    <w:rsid w:val="009C77C3"/>
    <w:rsid w:val="009C7866"/>
    <w:rsid w:val="009D0A10"/>
    <w:rsid w:val="009D1E46"/>
    <w:rsid w:val="009D3F02"/>
    <w:rsid w:val="009D4C6F"/>
    <w:rsid w:val="009D6BB9"/>
    <w:rsid w:val="009D78AE"/>
    <w:rsid w:val="009E02AA"/>
    <w:rsid w:val="009E0958"/>
    <w:rsid w:val="009E0A03"/>
    <w:rsid w:val="009E284F"/>
    <w:rsid w:val="009E2C6F"/>
    <w:rsid w:val="009E4912"/>
    <w:rsid w:val="009E4F64"/>
    <w:rsid w:val="009E595D"/>
    <w:rsid w:val="009F00E3"/>
    <w:rsid w:val="009F2565"/>
    <w:rsid w:val="009F37FC"/>
    <w:rsid w:val="009F3871"/>
    <w:rsid w:val="009F4A66"/>
    <w:rsid w:val="009F535C"/>
    <w:rsid w:val="009F5425"/>
    <w:rsid w:val="009F5BAD"/>
    <w:rsid w:val="00A001F0"/>
    <w:rsid w:val="00A004C8"/>
    <w:rsid w:val="00A039E1"/>
    <w:rsid w:val="00A060C4"/>
    <w:rsid w:val="00A061CA"/>
    <w:rsid w:val="00A066A8"/>
    <w:rsid w:val="00A12C91"/>
    <w:rsid w:val="00A130F5"/>
    <w:rsid w:val="00A132AF"/>
    <w:rsid w:val="00A13623"/>
    <w:rsid w:val="00A15162"/>
    <w:rsid w:val="00A152CE"/>
    <w:rsid w:val="00A16264"/>
    <w:rsid w:val="00A16454"/>
    <w:rsid w:val="00A1677E"/>
    <w:rsid w:val="00A16830"/>
    <w:rsid w:val="00A2120B"/>
    <w:rsid w:val="00A2321E"/>
    <w:rsid w:val="00A24BEE"/>
    <w:rsid w:val="00A2613E"/>
    <w:rsid w:val="00A272D6"/>
    <w:rsid w:val="00A27648"/>
    <w:rsid w:val="00A279BA"/>
    <w:rsid w:val="00A32746"/>
    <w:rsid w:val="00A3386E"/>
    <w:rsid w:val="00A33F33"/>
    <w:rsid w:val="00A34326"/>
    <w:rsid w:val="00A365FB"/>
    <w:rsid w:val="00A36A7D"/>
    <w:rsid w:val="00A36F3C"/>
    <w:rsid w:val="00A37690"/>
    <w:rsid w:val="00A40AD9"/>
    <w:rsid w:val="00A41DF7"/>
    <w:rsid w:val="00A43002"/>
    <w:rsid w:val="00A436D4"/>
    <w:rsid w:val="00A46118"/>
    <w:rsid w:val="00A4667A"/>
    <w:rsid w:val="00A466C7"/>
    <w:rsid w:val="00A46D1E"/>
    <w:rsid w:val="00A46E56"/>
    <w:rsid w:val="00A51D27"/>
    <w:rsid w:val="00A51DB9"/>
    <w:rsid w:val="00A528E9"/>
    <w:rsid w:val="00A52D21"/>
    <w:rsid w:val="00A52E20"/>
    <w:rsid w:val="00A53157"/>
    <w:rsid w:val="00A539BF"/>
    <w:rsid w:val="00A54550"/>
    <w:rsid w:val="00A54EFD"/>
    <w:rsid w:val="00A5508C"/>
    <w:rsid w:val="00A56E85"/>
    <w:rsid w:val="00A61193"/>
    <w:rsid w:val="00A621E2"/>
    <w:rsid w:val="00A624C9"/>
    <w:rsid w:val="00A62C95"/>
    <w:rsid w:val="00A63243"/>
    <w:rsid w:val="00A63AA5"/>
    <w:rsid w:val="00A64D70"/>
    <w:rsid w:val="00A6659C"/>
    <w:rsid w:val="00A66A09"/>
    <w:rsid w:val="00A66A1C"/>
    <w:rsid w:val="00A67056"/>
    <w:rsid w:val="00A7187F"/>
    <w:rsid w:val="00A72347"/>
    <w:rsid w:val="00A72C85"/>
    <w:rsid w:val="00A74D01"/>
    <w:rsid w:val="00A74E69"/>
    <w:rsid w:val="00A75393"/>
    <w:rsid w:val="00A756D3"/>
    <w:rsid w:val="00A75A9A"/>
    <w:rsid w:val="00A75C13"/>
    <w:rsid w:val="00A76279"/>
    <w:rsid w:val="00A77131"/>
    <w:rsid w:val="00A812FA"/>
    <w:rsid w:val="00A8348B"/>
    <w:rsid w:val="00A849AE"/>
    <w:rsid w:val="00A856D1"/>
    <w:rsid w:val="00A8648F"/>
    <w:rsid w:val="00A865FB"/>
    <w:rsid w:val="00A87A08"/>
    <w:rsid w:val="00A87B8C"/>
    <w:rsid w:val="00A90623"/>
    <w:rsid w:val="00A908FE"/>
    <w:rsid w:val="00A9113E"/>
    <w:rsid w:val="00A921EF"/>
    <w:rsid w:val="00A92D28"/>
    <w:rsid w:val="00A93119"/>
    <w:rsid w:val="00A93DFF"/>
    <w:rsid w:val="00A942A4"/>
    <w:rsid w:val="00A942BC"/>
    <w:rsid w:val="00A9662F"/>
    <w:rsid w:val="00AA0572"/>
    <w:rsid w:val="00AA1942"/>
    <w:rsid w:val="00AA4549"/>
    <w:rsid w:val="00AA4ECB"/>
    <w:rsid w:val="00AA69F1"/>
    <w:rsid w:val="00AA72D1"/>
    <w:rsid w:val="00AB5404"/>
    <w:rsid w:val="00AB72C9"/>
    <w:rsid w:val="00AB79D3"/>
    <w:rsid w:val="00AC0D08"/>
    <w:rsid w:val="00AC12C2"/>
    <w:rsid w:val="00AC21B8"/>
    <w:rsid w:val="00AC4248"/>
    <w:rsid w:val="00AC540C"/>
    <w:rsid w:val="00AC5ABF"/>
    <w:rsid w:val="00AC6F65"/>
    <w:rsid w:val="00AD0BAE"/>
    <w:rsid w:val="00AD3200"/>
    <w:rsid w:val="00AD3669"/>
    <w:rsid w:val="00AD3890"/>
    <w:rsid w:val="00AD4303"/>
    <w:rsid w:val="00AD47A1"/>
    <w:rsid w:val="00AD62D2"/>
    <w:rsid w:val="00AE0C24"/>
    <w:rsid w:val="00AE0D6F"/>
    <w:rsid w:val="00AE0F3B"/>
    <w:rsid w:val="00AE4893"/>
    <w:rsid w:val="00AE53FF"/>
    <w:rsid w:val="00AE5D0A"/>
    <w:rsid w:val="00AE6A52"/>
    <w:rsid w:val="00AE7BFD"/>
    <w:rsid w:val="00AF0ED2"/>
    <w:rsid w:val="00AF1D03"/>
    <w:rsid w:val="00AF1F93"/>
    <w:rsid w:val="00AF2868"/>
    <w:rsid w:val="00AF3311"/>
    <w:rsid w:val="00AF3FB0"/>
    <w:rsid w:val="00AF41FB"/>
    <w:rsid w:val="00AF5B9A"/>
    <w:rsid w:val="00AF72A0"/>
    <w:rsid w:val="00B00E1E"/>
    <w:rsid w:val="00B00E53"/>
    <w:rsid w:val="00B01D41"/>
    <w:rsid w:val="00B01FA0"/>
    <w:rsid w:val="00B02D97"/>
    <w:rsid w:val="00B034F6"/>
    <w:rsid w:val="00B04594"/>
    <w:rsid w:val="00B050D9"/>
    <w:rsid w:val="00B06B3E"/>
    <w:rsid w:val="00B06DF0"/>
    <w:rsid w:val="00B1002B"/>
    <w:rsid w:val="00B10318"/>
    <w:rsid w:val="00B10F9A"/>
    <w:rsid w:val="00B1192F"/>
    <w:rsid w:val="00B1285E"/>
    <w:rsid w:val="00B134F3"/>
    <w:rsid w:val="00B13699"/>
    <w:rsid w:val="00B14FF0"/>
    <w:rsid w:val="00B1619A"/>
    <w:rsid w:val="00B21259"/>
    <w:rsid w:val="00B22567"/>
    <w:rsid w:val="00B22662"/>
    <w:rsid w:val="00B23D70"/>
    <w:rsid w:val="00B25332"/>
    <w:rsid w:val="00B25916"/>
    <w:rsid w:val="00B25A1B"/>
    <w:rsid w:val="00B26631"/>
    <w:rsid w:val="00B301F4"/>
    <w:rsid w:val="00B31A06"/>
    <w:rsid w:val="00B32671"/>
    <w:rsid w:val="00B329DC"/>
    <w:rsid w:val="00B32ED0"/>
    <w:rsid w:val="00B36F43"/>
    <w:rsid w:val="00B40A7C"/>
    <w:rsid w:val="00B40C00"/>
    <w:rsid w:val="00B43129"/>
    <w:rsid w:val="00B44F49"/>
    <w:rsid w:val="00B45FED"/>
    <w:rsid w:val="00B46A26"/>
    <w:rsid w:val="00B512F5"/>
    <w:rsid w:val="00B51A3D"/>
    <w:rsid w:val="00B51C63"/>
    <w:rsid w:val="00B52931"/>
    <w:rsid w:val="00B52C8D"/>
    <w:rsid w:val="00B541BF"/>
    <w:rsid w:val="00B54ED4"/>
    <w:rsid w:val="00B56A80"/>
    <w:rsid w:val="00B56C52"/>
    <w:rsid w:val="00B56FE0"/>
    <w:rsid w:val="00B570E9"/>
    <w:rsid w:val="00B57BE8"/>
    <w:rsid w:val="00B60F80"/>
    <w:rsid w:val="00B61749"/>
    <w:rsid w:val="00B627E0"/>
    <w:rsid w:val="00B637DB"/>
    <w:rsid w:val="00B64B9D"/>
    <w:rsid w:val="00B64D7D"/>
    <w:rsid w:val="00B6557E"/>
    <w:rsid w:val="00B659BD"/>
    <w:rsid w:val="00B66874"/>
    <w:rsid w:val="00B67F5D"/>
    <w:rsid w:val="00B70974"/>
    <w:rsid w:val="00B70B46"/>
    <w:rsid w:val="00B7266B"/>
    <w:rsid w:val="00B72F4F"/>
    <w:rsid w:val="00B7331B"/>
    <w:rsid w:val="00B744CC"/>
    <w:rsid w:val="00B7758C"/>
    <w:rsid w:val="00B777D4"/>
    <w:rsid w:val="00B77843"/>
    <w:rsid w:val="00B81BDB"/>
    <w:rsid w:val="00B81CE6"/>
    <w:rsid w:val="00B83423"/>
    <w:rsid w:val="00B83C76"/>
    <w:rsid w:val="00B85CA7"/>
    <w:rsid w:val="00B86868"/>
    <w:rsid w:val="00B869E8"/>
    <w:rsid w:val="00B86D6D"/>
    <w:rsid w:val="00B90F60"/>
    <w:rsid w:val="00B93FA8"/>
    <w:rsid w:val="00B94813"/>
    <w:rsid w:val="00B94E5E"/>
    <w:rsid w:val="00B96273"/>
    <w:rsid w:val="00B974C8"/>
    <w:rsid w:val="00B97F88"/>
    <w:rsid w:val="00BA11C7"/>
    <w:rsid w:val="00BA361C"/>
    <w:rsid w:val="00BA45E8"/>
    <w:rsid w:val="00BA53FC"/>
    <w:rsid w:val="00BA66E9"/>
    <w:rsid w:val="00BA766C"/>
    <w:rsid w:val="00BA7D00"/>
    <w:rsid w:val="00BB0337"/>
    <w:rsid w:val="00BB3A6E"/>
    <w:rsid w:val="00BB49E4"/>
    <w:rsid w:val="00BB56C3"/>
    <w:rsid w:val="00BB773B"/>
    <w:rsid w:val="00BC096E"/>
    <w:rsid w:val="00BC2217"/>
    <w:rsid w:val="00BC464A"/>
    <w:rsid w:val="00BC5244"/>
    <w:rsid w:val="00BC6F5F"/>
    <w:rsid w:val="00BD002F"/>
    <w:rsid w:val="00BD05DD"/>
    <w:rsid w:val="00BD0D79"/>
    <w:rsid w:val="00BD14BD"/>
    <w:rsid w:val="00BD1768"/>
    <w:rsid w:val="00BD2CAD"/>
    <w:rsid w:val="00BD2D89"/>
    <w:rsid w:val="00BD3165"/>
    <w:rsid w:val="00BD3579"/>
    <w:rsid w:val="00BD4364"/>
    <w:rsid w:val="00BD4419"/>
    <w:rsid w:val="00BD453B"/>
    <w:rsid w:val="00BD46B5"/>
    <w:rsid w:val="00BD4719"/>
    <w:rsid w:val="00BD4D85"/>
    <w:rsid w:val="00BD51B0"/>
    <w:rsid w:val="00BD6284"/>
    <w:rsid w:val="00BD765E"/>
    <w:rsid w:val="00BE2AD3"/>
    <w:rsid w:val="00BE2C18"/>
    <w:rsid w:val="00BE2F36"/>
    <w:rsid w:val="00BE3054"/>
    <w:rsid w:val="00BE3A3A"/>
    <w:rsid w:val="00BE4C3C"/>
    <w:rsid w:val="00BE50E9"/>
    <w:rsid w:val="00BE59FE"/>
    <w:rsid w:val="00BE5B5E"/>
    <w:rsid w:val="00BE5C48"/>
    <w:rsid w:val="00BE6BC6"/>
    <w:rsid w:val="00BF173F"/>
    <w:rsid w:val="00BF1C67"/>
    <w:rsid w:val="00BF24F2"/>
    <w:rsid w:val="00BF289F"/>
    <w:rsid w:val="00BF2D13"/>
    <w:rsid w:val="00BF4C11"/>
    <w:rsid w:val="00BF509E"/>
    <w:rsid w:val="00BF647D"/>
    <w:rsid w:val="00C00537"/>
    <w:rsid w:val="00C01D40"/>
    <w:rsid w:val="00C034AE"/>
    <w:rsid w:val="00C04685"/>
    <w:rsid w:val="00C06157"/>
    <w:rsid w:val="00C06EF5"/>
    <w:rsid w:val="00C10241"/>
    <w:rsid w:val="00C10907"/>
    <w:rsid w:val="00C11D37"/>
    <w:rsid w:val="00C122C7"/>
    <w:rsid w:val="00C1261F"/>
    <w:rsid w:val="00C12A5D"/>
    <w:rsid w:val="00C13327"/>
    <w:rsid w:val="00C13FD6"/>
    <w:rsid w:val="00C15262"/>
    <w:rsid w:val="00C15511"/>
    <w:rsid w:val="00C15762"/>
    <w:rsid w:val="00C1602B"/>
    <w:rsid w:val="00C17787"/>
    <w:rsid w:val="00C17FD9"/>
    <w:rsid w:val="00C21879"/>
    <w:rsid w:val="00C219D4"/>
    <w:rsid w:val="00C23D47"/>
    <w:rsid w:val="00C23D48"/>
    <w:rsid w:val="00C24CF2"/>
    <w:rsid w:val="00C25CB8"/>
    <w:rsid w:val="00C265F6"/>
    <w:rsid w:val="00C2691E"/>
    <w:rsid w:val="00C26C0C"/>
    <w:rsid w:val="00C26DFE"/>
    <w:rsid w:val="00C27090"/>
    <w:rsid w:val="00C27154"/>
    <w:rsid w:val="00C279DD"/>
    <w:rsid w:val="00C27F4C"/>
    <w:rsid w:val="00C301BD"/>
    <w:rsid w:val="00C30766"/>
    <w:rsid w:val="00C3109C"/>
    <w:rsid w:val="00C318E7"/>
    <w:rsid w:val="00C32E8B"/>
    <w:rsid w:val="00C331C0"/>
    <w:rsid w:val="00C33DC2"/>
    <w:rsid w:val="00C341D6"/>
    <w:rsid w:val="00C3456E"/>
    <w:rsid w:val="00C37441"/>
    <w:rsid w:val="00C415A6"/>
    <w:rsid w:val="00C42887"/>
    <w:rsid w:val="00C443B3"/>
    <w:rsid w:val="00C445EC"/>
    <w:rsid w:val="00C451D6"/>
    <w:rsid w:val="00C4587B"/>
    <w:rsid w:val="00C45B4B"/>
    <w:rsid w:val="00C46056"/>
    <w:rsid w:val="00C46516"/>
    <w:rsid w:val="00C46806"/>
    <w:rsid w:val="00C46834"/>
    <w:rsid w:val="00C4704C"/>
    <w:rsid w:val="00C507FD"/>
    <w:rsid w:val="00C557B7"/>
    <w:rsid w:val="00C61FBB"/>
    <w:rsid w:val="00C63F9B"/>
    <w:rsid w:val="00C65BA7"/>
    <w:rsid w:val="00C65F5D"/>
    <w:rsid w:val="00C66313"/>
    <w:rsid w:val="00C6633D"/>
    <w:rsid w:val="00C66C89"/>
    <w:rsid w:val="00C679EC"/>
    <w:rsid w:val="00C67DD8"/>
    <w:rsid w:val="00C67DF3"/>
    <w:rsid w:val="00C67F6F"/>
    <w:rsid w:val="00C717B4"/>
    <w:rsid w:val="00C71EFD"/>
    <w:rsid w:val="00C731A1"/>
    <w:rsid w:val="00C752D5"/>
    <w:rsid w:val="00C75E94"/>
    <w:rsid w:val="00C776F2"/>
    <w:rsid w:val="00C8048B"/>
    <w:rsid w:val="00C8095C"/>
    <w:rsid w:val="00C80E9F"/>
    <w:rsid w:val="00C82246"/>
    <w:rsid w:val="00C829D1"/>
    <w:rsid w:val="00C847E5"/>
    <w:rsid w:val="00C852B5"/>
    <w:rsid w:val="00C862C5"/>
    <w:rsid w:val="00C86575"/>
    <w:rsid w:val="00C87ACA"/>
    <w:rsid w:val="00C90FE6"/>
    <w:rsid w:val="00C91C33"/>
    <w:rsid w:val="00C92066"/>
    <w:rsid w:val="00C93167"/>
    <w:rsid w:val="00C95B31"/>
    <w:rsid w:val="00C95CCE"/>
    <w:rsid w:val="00C974E6"/>
    <w:rsid w:val="00C97DE9"/>
    <w:rsid w:val="00CA1D7F"/>
    <w:rsid w:val="00CA1F7A"/>
    <w:rsid w:val="00CA1FAA"/>
    <w:rsid w:val="00CA32E4"/>
    <w:rsid w:val="00CA3841"/>
    <w:rsid w:val="00CA3BE2"/>
    <w:rsid w:val="00CA4479"/>
    <w:rsid w:val="00CA4E23"/>
    <w:rsid w:val="00CA678B"/>
    <w:rsid w:val="00CB22FC"/>
    <w:rsid w:val="00CB5FE2"/>
    <w:rsid w:val="00CB64A4"/>
    <w:rsid w:val="00CB743D"/>
    <w:rsid w:val="00CB771C"/>
    <w:rsid w:val="00CC014F"/>
    <w:rsid w:val="00CC0DF3"/>
    <w:rsid w:val="00CC2CE4"/>
    <w:rsid w:val="00CC3961"/>
    <w:rsid w:val="00CC3BD8"/>
    <w:rsid w:val="00CC6F14"/>
    <w:rsid w:val="00CD1F57"/>
    <w:rsid w:val="00CD3381"/>
    <w:rsid w:val="00CD4543"/>
    <w:rsid w:val="00CD4C41"/>
    <w:rsid w:val="00CD5893"/>
    <w:rsid w:val="00CD6C32"/>
    <w:rsid w:val="00CD71FD"/>
    <w:rsid w:val="00CE0597"/>
    <w:rsid w:val="00CE149F"/>
    <w:rsid w:val="00CE16E2"/>
    <w:rsid w:val="00CE270C"/>
    <w:rsid w:val="00CE3BD0"/>
    <w:rsid w:val="00CE3EB0"/>
    <w:rsid w:val="00CE4DDF"/>
    <w:rsid w:val="00CE5537"/>
    <w:rsid w:val="00CE57D8"/>
    <w:rsid w:val="00CE6928"/>
    <w:rsid w:val="00CF0F27"/>
    <w:rsid w:val="00CF127D"/>
    <w:rsid w:val="00CF15D0"/>
    <w:rsid w:val="00CF2914"/>
    <w:rsid w:val="00CF2E65"/>
    <w:rsid w:val="00CF4273"/>
    <w:rsid w:val="00CF4B6B"/>
    <w:rsid w:val="00CF4DDF"/>
    <w:rsid w:val="00CF560F"/>
    <w:rsid w:val="00CF5A54"/>
    <w:rsid w:val="00CF63A5"/>
    <w:rsid w:val="00CF7294"/>
    <w:rsid w:val="00D0102A"/>
    <w:rsid w:val="00D03F40"/>
    <w:rsid w:val="00D042D2"/>
    <w:rsid w:val="00D0486F"/>
    <w:rsid w:val="00D0702B"/>
    <w:rsid w:val="00D11B5D"/>
    <w:rsid w:val="00D14DC7"/>
    <w:rsid w:val="00D15A9C"/>
    <w:rsid w:val="00D16F8C"/>
    <w:rsid w:val="00D2062D"/>
    <w:rsid w:val="00D20E51"/>
    <w:rsid w:val="00D22395"/>
    <w:rsid w:val="00D235B5"/>
    <w:rsid w:val="00D2377B"/>
    <w:rsid w:val="00D237AC"/>
    <w:rsid w:val="00D26BAD"/>
    <w:rsid w:val="00D26D81"/>
    <w:rsid w:val="00D27193"/>
    <w:rsid w:val="00D30E59"/>
    <w:rsid w:val="00D327DA"/>
    <w:rsid w:val="00D32EE1"/>
    <w:rsid w:val="00D330C8"/>
    <w:rsid w:val="00D33747"/>
    <w:rsid w:val="00D337ED"/>
    <w:rsid w:val="00D35E65"/>
    <w:rsid w:val="00D36766"/>
    <w:rsid w:val="00D36E12"/>
    <w:rsid w:val="00D407C2"/>
    <w:rsid w:val="00D41DFD"/>
    <w:rsid w:val="00D43539"/>
    <w:rsid w:val="00D46430"/>
    <w:rsid w:val="00D469F1"/>
    <w:rsid w:val="00D46F2C"/>
    <w:rsid w:val="00D47E4A"/>
    <w:rsid w:val="00D501D2"/>
    <w:rsid w:val="00D50B53"/>
    <w:rsid w:val="00D51200"/>
    <w:rsid w:val="00D516CE"/>
    <w:rsid w:val="00D5177E"/>
    <w:rsid w:val="00D521E2"/>
    <w:rsid w:val="00D5254D"/>
    <w:rsid w:val="00D52D4D"/>
    <w:rsid w:val="00D53549"/>
    <w:rsid w:val="00D53903"/>
    <w:rsid w:val="00D53E65"/>
    <w:rsid w:val="00D54DAB"/>
    <w:rsid w:val="00D55660"/>
    <w:rsid w:val="00D5628A"/>
    <w:rsid w:val="00D56C75"/>
    <w:rsid w:val="00D57587"/>
    <w:rsid w:val="00D57779"/>
    <w:rsid w:val="00D60D92"/>
    <w:rsid w:val="00D635B2"/>
    <w:rsid w:val="00D640B0"/>
    <w:rsid w:val="00D647C1"/>
    <w:rsid w:val="00D649BF"/>
    <w:rsid w:val="00D6501B"/>
    <w:rsid w:val="00D66052"/>
    <w:rsid w:val="00D66699"/>
    <w:rsid w:val="00D71F7D"/>
    <w:rsid w:val="00D72A3B"/>
    <w:rsid w:val="00D7326E"/>
    <w:rsid w:val="00D735B3"/>
    <w:rsid w:val="00D73E81"/>
    <w:rsid w:val="00D7414D"/>
    <w:rsid w:val="00D76FB4"/>
    <w:rsid w:val="00D778DF"/>
    <w:rsid w:val="00D80FAD"/>
    <w:rsid w:val="00D812BC"/>
    <w:rsid w:val="00D82FE2"/>
    <w:rsid w:val="00D83E5E"/>
    <w:rsid w:val="00D845ED"/>
    <w:rsid w:val="00D84EC0"/>
    <w:rsid w:val="00D855B9"/>
    <w:rsid w:val="00D859C3"/>
    <w:rsid w:val="00D86B5B"/>
    <w:rsid w:val="00D87074"/>
    <w:rsid w:val="00D875C0"/>
    <w:rsid w:val="00D877F9"/>
    <w:rsid w:val="00D87814"/>
    <w:rsid w:val="00D908DA"/>
    <w:rsid w:val="00D90943"/>
    <w:rsid w:val="00D9206D"/>
    <w:rsid w:val="00D92963"/>
    <w:rsid w:val="00D93AC3"/>
    <w:rsid w:val="00D9432C"/>
    <w:rsid w:val="00D94516"/>
    <w:rsid w:val="00D94953"/>
    <w:rsid w:val="00D94BD6"/>
    <w:rsid w:val="00D94F64"/>
    <w:rsid w:val="00D973D5"/>
    <w:rsid w:val="00DA030D"/>
    <w:rsid w:val="00DA0B28"/>
    <w:rsid w:val="00DA0B88"/>
    <w:rsid w:val="00DA12F5"/>
    <w:rsid w:val="00DA1519"/>
    <w:rsid w:val="00DA23BB"/>
    <w:rsid w:val="00DA2E01"/>
    <w:rsid w:val="00DA34D5"/>
    <w:rsid w:val="00DA6179"/>
    <w:rsid w:val="00DA6216"/>
    <w:rsid w:val="00DA6434"/>
    <w:rsid w:val="00DA776A"/>
    <w:rsid w:val="00DB0657"/>
    <w:rsid w:val="00DB0B17"/>
    <w:rsid w:val="00DB4177"/>
    <w:rsid w:val="00DB52F8"/>
    <w:rsid w:val="00DB5E60"/>
    <w:rsid w:val="00DB6AE9"/>
    <w:rsid w:val="00DB6B71"/>
    <w:rsid w:val="00DB706D"/>
    <w:rsid w:val="00DB7AD6"/>
    <w:rsid w:val="00DC0AD3"/>
    <w:rsid w:val="00DC1BC4"/>
    <w:rsid w:val="00DC7701"/>
    <w:rsid w:val="00DC771E"/>
    <w:rsid w:val="00DD1BED"/>
    <w:rsid w:val="00DD1D10"/>
    <w:rsid w:val="00DD213C"/>
    <w:rsid w:val="00DD2604"/>
    <w:rsid w:val="00DD2D60"/>
    <w:rsid w:val="00DD2F65"/>
    <w:rsid w:val="00DD34F0"/>
    <w:rsid w:val="00DD4C98"/>
    <w:rsid w:val="00DD5F96"/>
    <w:rsid w:val="00DD6591"/>
    <w:rsid w:val="00DD6BF7"/>
    <w:rsid w:val="00DD6C0F"/>
    <w:rsid w:val="00DD78F3"/>
    <w:rsid w:val="00DE2B0F"/>
    <w:rsid w:val="00DE622B"/>
    <w:rsid w:val="00DE72D5"/>
    <w:rsid w:val="00DF0D06"/>
    <w:rsid w:val="00DF0EB7"/>
    <w:rsid w:val="00DF153F"/>
    <w:rsid w:val="00DF233E"/>
    <w:rsid w:val="00DF2A72"/>
    <w:rsid w:val="00DF30FE"/>
    <w:rsid w:val="00DF4EBA"/>
    <w:rsid w:val="00DF5729"/>
    <w:rsid w:val="00DF7AE3"/>
    <w:rsid w:val="00E00391"/>
    <w:rsid w:val="00E00709"/>
    <w:rsid w:val="00E00838"/>
    <w:rsid w:val="00E00AD7"/>
    <w:rsid w:val="00E02174"/>
    <w:rsid w:val="00E050F1"/>
    <w:rsid w:val="00E063CC"/>
    <w:rsid w:val="00E079C8"/>
    <w:rsid w:val="00E07FA3"/>
    <w:rsid w:val="00E102CD"/>
    <w:rsid w:val="00E135AE"/>
    <w:rsid w:val="00E14DAF"/>
    <w:rsid w:val="00E15DA2"/>
    <w:rsid w:val="00E2205B"/>
    <w:rsid w:val="00E234E6"/>
    <w:rsid w:val="00E247A4"/>
    <w:rsid w:val="00E26727"/>
    <w:rsid w:val="00E26CCD"/>
    <w:rsid w:val="00E30630"/>
    <w:rsid w:val="00E332CB"/>
    <w:rsid w:val="00E34989"/>
    <w:rsid w:val="00E35701"/>
    <w:rsid w:val="00E36B0B"/>
    <w:rsid w:val="00E40138"/>
    <w:rsid w:val="00E401E8"/>
    <w:rsid w:val="00E41FAB"/>
    <w:rsid w:val="00E426F1"/>
    <w:rsid w:val="00E42713"/>
    <w:rsid w:val="00E43DFE"/>
    <w:rsid w:val="00E4419A"/>
    <w:rsid w:val="00E45594"/>
    <w:rsid w:val="00E470B5"/>
    <w:rsid w:val="00E47CEE"/>
    <w:rsid w:val="00E51856"/>
    <w:rsid w:val="00E51A0F"/>
    <w:rsid w:val="00E541A9"/>
    <w:rsid w:val="00E557D4"/>
    <w:rsid w:val="00E5695F"/>
    <w:rsid w:val="00E57547"/>
    <w:rsid w:val="00E609CE"/>
    <w:rsid w:val="00E62E2F"/>
    <w:rsid w:val="00E6321C"/>
    <w:rsid w:val="00E63D82"/>
    <w:rsid w:val="00E63FB5"/>
    <w:rsid w:val="00E705D7"/>
    <w:rsid w:val="00E71B0C"/>
    <w:rsid w:val="00E72C6F"/>
    <w:rsid w:val="00E73A28"/>
    <w:rsid w:val="00E74D89"/>
    <w:rsid w:val="00E74F5E"/>
    <w:rsid w:val="00E752D8"/>
    <w:rsid w:val="00E76703"/>
    <w:rsid w:val="00E769B4"/>
    <w:rsid w:val="00E81991"/>
    <w:rsid w:val="00E82291"/>
    <w:rsid w:val="00E834DA"/>
    <w:rsid w:val="00E837EE"/>
    <w:rsid w:val="00E84974"/>
    <w:rsid w:val="00E84FE0"/>
    <w:rsid w:val="00E85E7A"/>
    <w:rsid w:val="00E86714"/>
    <w:rsid w:val="00E87A9B"/>
    <w:rsid w:val="00E901F9"/>
    <w:rsid w:val="00E928EB"/>
    <w:rsid w:val="00E92D94"/>
    <w:rsid w:val="00E94C22"/>
    <w:rsid w:val="00E94F64"/>
    <w:rsid w:val="00E95175"/>
    <w:rsid w:val="00E95E0E"/>
    <w:rsid w:val="00E95F1A"/>
    <w:rsid w:val="00E977ED"/>
    <w:rsid w:val="00EA0415"/>
    <w:rsid w:val="00EA04CC"/>
    <w:rsid w:val="00EA08DE"/>
    <w:rsid w:val="00EA0A3B"/>
    <w:rsid w:val="00EA0F34"/>
    <w:rsid w:val="00EA307D"/>
    <w:rsid w:val="00EA3F61"/>
    <w:rsid w:val="00EA5D98"/>
    <w:rsid w:val="00EA6A81"/>
    <w:rsid w:val="00EA716E"/>
    <w:rsid w:val="00EA792B"/>
    <w:rsid w:val="00EB01F8"/>
    <w:rsid w:val="00EB0BA3"/>
    <w:rsid w:val="00EB0D7F"/>
    <w:rsid w:val="00EB1418"/>
    <w:rsid w:val="00EB2782"/>
    <w:rsid w:val="00EB2BFA"/>
    <w:rsid w:val="00EB345C"/>
    <w:rsid w:val="00EB36BD"/>
    <w:rsid w:val="00EB3A7B"/>
    <w:rsid w:val="00EB627C"/>
    <w:rsid w:val="00EB690A"/>
    <w:rsid w:val="00EB6E0B"/>
    <w:rsid w:val="00EB7DB7"/>
    <w:rsid w:val="00EC001F"/>
    <w:rsid w:val="00EC0982"/>
    <w:rsid w:val="00EC2E54"/>
    <w:rsid w:val="00EC31F1"/>
    <w:rsid w:val="00EC38A8"/>
    <w:rsid w:val="00EC39A7"/>
    <w:rsid w:val="00EC3B83"/>
    <w:rsid w:val="00EC3FF3"/>
    <w:rsid w:val="00EC487B"/>
    <w:rsid w:val="00EC57DD"/>
    <w:rsid w:val="00EC63C6"/>
    <w:rsid w:val="00EC6474"/>
    <w:rsid w:val="00EC700C"/>
    <w:rsid w:val="00ED057B"/>
    <w:rsid w:val="00ED11A6"/>
    <w:rsid w:val="00ED1BC3"/>
    <w:rsid w:val="00ED1E24"/>
    <w:rsid w:val="00ED25A8"/>
    <w:rsid w:val="00ED2C1F"/>
    <w:rsid w:val="00ED4CB8"/>
    <w:rsid w:val="00ED59F1"/>
    <w:rsid w:val="00ED7DA1"/>
    <w:rsid w:val="00EE113A"/>
    <w:rsid w:val="00EE1849"/>
    <w:rsid w:val="00EE2418"/>
    <w:rsid w:val="00EE4BFF"/>
    <w:rsid w:val="00EE529F"/>
    <w:rsid w:val="00EE565C"/>
    <w:rsid w:val="00EE5B43"/>
    <w:rsid w:val="00EE5FD4"/>
    <w:rsid w:val="00EE7F50"/>
    <w:rsid w:val="00EF0638"/>
    <w:rsid w:val="00EF1660"/>
    <w:rsid w:val="00EF1A38"/>
    <w:rsid w:val="00EF1BB0"/>
    <w:rsid w:val="00EF5AB9"/>
    <w:rsid w:val="00EF6794"/>
    <w:rsid w:val="00F0035A"/>
    <w:rsid w:val="00F02437"/>
    <w:rsid w:val="00F03356"/>
    <w:rsid w:val="00F0396F"/>
    <w:rsid w:val="00F03AC7"/>
    <w:rsid w:val="00F0475C"/>
    <w:rsid w:val="00F04EAA"/>
    <w:rsid w:val="00F0510B"/>
    <w:rsid w:val="00F051C1"/>
    <w:rsid w:val="00F1099E"/>
    <w:rsid w:val="00F10A8E"/>
    <w:rsid w:val="00F12C6D"/>
    <w:rsid w:val="00F13180"/>
    <w:rsid w:val="00F138F7"/>
    <w:rsid w:val="00F13F51"/>
    <w:rsid w:val="00F142D1"/>
    <w:rsid w:val="00F16585"/>
    <w:rsid w:val="00F16939"/>
    <w:rsid w:val="00F16A0F"/>
    <w:rsid w:val="00F173E9"/>
    <w:rsid w:val="00F2037D"/>
    <w:rsid w:val="00F213CF"/>
    <w:rsid w:val="00F219AF"/>
    <w:rsid w:val="00F25DA1"/>
    <w:rsid w:val="00F26285"/>
    <w:rsid w:val="00F26F8C"/>
    <w:rsid w:val="00F31AEB"/>
    <w:rsid w:val="00F32D7B"/>
    <w:rsid w:val="00F338A6"/>
    <w:rsid w:val="00F34F5C"/>
    <w:rsid w:val="00F34F6B"/>
    <w:rsid w:val="00F3627A"/>
    <w:rsid w:val="00F36D7F"/>
    <w:rsid w:val="00F37C9A"/>
    <w:rsid w:val="00F40DDE"/>
    <w:rsid w:val="00F41826"/>
    <w:rsid w:val="00F41E3B"/>
    <w:rsid w:val="00F42387"/>
    <w:rsid w:val="00F43553"/>
    <w:rsid w:val="00F45F4C"/>
    <w:rsid w:val="00F4785A"/>
    <w:rsid w:val="00F50927"/>
    <w:rsid w:val="00F515FC"/>
    <w:rsid w:val="00F51C8A"/>
    <w:rsid w:val="00F5320B"/>
    <w:rsid w:val="00F532B5"/>
    <w:rsid w:val="00F5343D"/>
    <w:rsid w:val="00F54706"/>
    <w:rsid w:val="00F55643"/>
    <w:rsid w:val="00F57626"/>
    <w:rsid w:val="00F57C21"/>
    <w:rsid w:val="00F603B9"/>
    <w:rsid w:val="00F60DFA"/>
    <w:rsid w:val="00F6217B"/>
    <w:rsid w:val="00F67284"/>
    <w:rsid w:val="00F701BC"/>
    <w:rsid w:val="00F7169B"/>
    <w:rsid w:val="00F738EC"/>
    <w:rsid w:val="00F74FF9"/>
    <w:rsid w:val="00F7539D"/>
    <w:rsid w:val="00F75467"/>
    <w:rsid w:val="00F75689"/>
    <w:rsid w:val="00F76B94"/>
    <w:rsid w:val="00F76E01"/>
    <w:rsid w:val="00F803DC"/>
    <w:rsid w:val="00F81203"/>
    <w:rsid w:val="00F812FD"/>
    <w:rsid w:val="00F82AF2"/>
    <w:rsid w:val="00F84558"/>
    <w:rsid w:val="00F85507"/>
    <w:rsid w:val="00F860AA"/>
    <w:rsid w:val="00F86169"/>
    <w:rsid w:val="00F8718C"/>
    <w:rsid w:val="00F902D9"/>
    <w:rsid w:val="00F90C6D"/>
    <w:rsid w:val="00F91260"/>
    <w:rsid w:val="00F9241D"/>
    <w:rsid w:val="00F92ABD"/>
    <w:rsid w:val="00F92E2D"/>
    <w:rsid w:val="00F9346D"/>
    <w:rsid w:val="00F938E2"/>
    <w:rsid w:val="00F95131"/>
    <w:rsid w:val="00F96788"/>
    <w:rsid w:val="00F970DD"/>
    <w:rsid w:val="00F9724E"/>
    <w:rsid w:val="00FA078E"/>
    <w:rsid w:val="00FA1336"/>
    <w:rsid w:val="00FA161D"/>
    <w:rsid w:val="00FA196B"/>
    <w:rsid w:val="00FA19F4"/>
    <w:rsid w:val="00FA2784"/>
    <w:rsid w:val="00FA30B0"/>
    <w:rsid w:val="00FA4339"/>
    <w:rsid w:val="00FA49F2"/>
    <w:rsid w:val="00FA5B0E"/>
    <w:rsid w:val="00FA7FB2"/>
    <w:rsid w:val="00FB02F2"/>
    <w:rsid w:val="00FB069D"/>
    <w:rsid w:val="00FB128A"/>
    <w:rsid w:val="00FB32D0"/>
    <w:rsid w:val="00FB3AD1"/>
    <w:rsid w:val="00FB3B43"/>
    <w:rsid w:val="00FB3CAC"/>
    <w:rsid w:val="00FB3E00"/>
    <w:rsid w:val="00FB3F1E"/>
    <w:rsid w:val="00FB6846"/>
    <w:rsid w:val="00FB6F16"/>
    <w:rsid w:val="00FB72E4"/>
    <w:rsid w:val="00FC0844"/>
    <w:rsid w:val="00FC08B9"/>
    <w:rsid w:val="00FC0A69"/>
    <w:rsid w:val="00FC1CD5"/>
    <w:rsid w:val="00FC26A6"/>
    <w:rsid w:val="00FC2AAB"/>
    <w:rsid w:val="00FC3F71"/>
    <w:rsid w:val="00FC52C3"/>
    <w:rsid w:val="00FC6A3E"/>
    <w:rsid w:val="00FC7675"/>
    <w:rsid w:val="00FC7DA5"/>
    <w:rsid w:val="00FD1FBC"/>
    <w:rsid w:val="00FD212B"/>
    <w:rsid w:val="00FD2488"/>
    <w:rsid w:val="00FD4EE8"/>
    <w:rsid w:val="00FD55CC"/>
    <w:rsid w:val="00FD686E"/>
    <w:rsid w:val="00FD6AB5"/>
    <w:rsid w:val="00FD72C5"/>
    <w:rsid w:val="00FE00D8"/>
    <w:rsid w:val="00FE0231"/>
    <w:rsid w:val="00FE03B7"/>
    <w:rsid w:val="00FE0957"/>
    <w:rsid w:val="00FE50D0"/>
    <w:rsid w:val="00FE554A"/>
    <w:rsid w:val="00FE59D4"/>
    <w:rsid w:val="00FE67AC"/>
    <w:rsid w:val="00FE7677"/>
    <w:rsid w:val="00FE7F29"/>
    <w:rsid w:val="00FF077B"/>
    <w:rsid w:val="00FF0AD4"/>
    <w:rsid w:val="00FF3405"/>
    <w:rsid w:val="00FF387A"/>
    <w:rsid w:val="00FF3950"/>
    <w:rsid w:val="00FF5AAA"/>
    <w:rsid w:val="00FF6395"/>
    <w:rsid w:val="00FF658F"/>
    <w:rsid w:val="017D20E3"/>
    <w:rsid w:val="018B589B"/>
    <w:rsid w:val="01B84B52"/>
    <w:rsid w:val="020402E7"/>
    <w:rsid w:val="024C0274"/>
    <w:rsid w:val="0265773E"/>
    <w:rsid w:val="027916DF"/>
    <w:rsid w:val="02893C92"/>
    <w:rsid w:val="02DB1061"/>
    <w:rsid w:val="02DE5A3E"/>
    <w:rsid w:val="035614B5"/>
    <w:rsid w:val="03824781"/>
    <w:rsid w:val="03955348"/>
    <w:rsid w:val="03A213C5"/>
    <w:rsid w:val="03A40464"/>
    <w:rsid w:val="03A56AF9"/>
    <w:rsid w:val="03EC707E"/>
    <w:rsid w:val="04117DBA"/>
    <w:rsid w:val="04243987"/>
    <w:rsid w:val="04305077"/>
    <w:rsid w:val="04596BEC"/>
    <w:rsid w:val="047C3935"/>
    <w:rsid w:val="04931EDB"/>
    <w:rsid w:val="04A95832"/>
    <w:rsid w:val="054C03DA"/>
    <w:rsid w:val="055369A5"/>
    <w:rsid w:val="055C54AA"/>
    <w:rsid w:val="056C7EE1"/>
    <w:rsid w:val="05742589"/>
    <w:rsid w:val="057A0293"/>
    <w:rsid w:val="058B291D"/>
    <w:rsid w:val="058B73A6"/>
    <w:rsid w:val="05933570"/>
    <w:rsid w:val="06045F35"/>
    <w:rsid w:val="06104253"/>
    <w:rsid w:val="06333FD4"/>
    <w:rsid w:val="0682116F"/>
    <w:rsid w:val="06A53104"/>
    <w:rsid w:val="06E46016"/>
    <w:rsid w:val="07031C52"/>
    <w:rsid w:val="07136866"/>
    <w:rsid w:val="0759700B"/>
    <w:rsid w:val="07751A8C"/>
    <w:rsid w:val="07F7755C"/>
    <w:rsid w:val="07FF79FE"/>
    <w:rsid w:val="080B2C1B"/>
    <w:rsid w:val="080D4999"/>
    <w:rsid w:val="083402F1"/>
    <w:rsid w:val="084716BF"/>
    <w:rsid w:val="085608E4"/>
    <w:rsid w:val="085935C5"/>
    <w:rsid w:val="08604ABE"/>
    <w:rsid w:val="086D2865"/>
    <w:rsid w:val="08A13E44"/>
    <w:rsid w:val="08D60EA1"/>
    <w:rsid w:val="090C3114"/>
    <w:rsid w:val="09122DEF"/>
    <w:rsid w:val="09536413"/>
    <w:rsid w:val="0A0119F8"/>
    <w:rsid w:val="0A224DC2"/>
    <w:rsid w:val="0A4166CB"/>
    <w:rsid w:val="0A710C49"/>
    <w:rsid w:val="0A7976D4"/>
    <w:rsid w:val="0AA43186"/>
    <w:rsid w:val="0AA45505"/>
    <w:rsid w:val="0AD540CA"/>
    <w:rsid w:val="0AE33F67"/>
    <w:rsid w:val="0AF16947"/>
    <w:rsid w:val="0AFB65AB"/>
    <w:rsid w:val="0B0E2D1B"/>
    <w:rsid w:val="0B455A8A"/>
    <w:rsid w:val="0B5A6411"/>
    <w:rsid w:val="0B986E77"/>
    <w:rsid w:val="0BE31F15"/>
    <w:rsid w:val="0BF873DD"/>
    <w:rsid w:val="0C0C410B"/>
    <w:rsid w:val="0C2233F2"/>
    <w:rsid w:val="0C2B637F"/>
    <w:rsid w:val="0C435FBA"/>
    <w:rsid w:val="0C486853"/>
    <w:rsid w:val="0C744097"/>
    <w:rsid w:val="0C812951"/>
    <w:rsid w:val="0C954D2B"/>
    <w:rsid w:val="0CD02868"/>
    <w:rsid w:val="0CF738C2"/>
    <w:rsid w:val="0D011840"/>
    <w:rsid w:val="0D7A58AC"/>
    <w:rsid w:val="0DC75C79"/>
    <w:rsid w:val="0DEF0F74"/>
    <w:rsid w:val="0E522ED3"/>
    <w:rsid w:val="0EA421A3"/>
    <w:rsid w:val="0EAD4B8E"/>
    <w:rsid w:val="0F1D57CD"/>
    <w:rsid w:val="0F6304DA"/>
    <w:rsid w:val="0FAC17A9"/>
    <w:rsid w:val="0FB87DF4"/>
    <w:rsid w:val="0FEF6973"/>
    <w:rsid w:val="1026339C"/>
    <w:rsid w:val="10431EEB"/>
    <w:rsid w:val="104F39B7"/>
    <w:rsid w:val="1052525D"/>
    <w:rsid w:val="106E6D24"/>
    <w:rsid w:val="108155D1"/>
    <w:rsid w:val="10941950"/>
    <w:rsid w:val="109717F7"/>
    <w:rsid w:val="109E5CE1"/>
    <w:rsid w:val="10B93986"/>
    <w:rsid w:val="10D0602A"/>
    <w:rsid w:val="10EA6573"/>
    <w:rsid w:val="10F72784"/>
    <w:rsid w:val="110820A2"/>
    <w:rsid w:val="11091341"/>
    <w:rsid w:val="11246D31"/>
    <w:rsid w:val="11697FB6"/>
    <w:rsid w:val="11834B0E"/>
    <w:rsid w:val="1189744A"/>
    <w:rsid w:val="118C6833"/>
    <w:rsid w:val="11AA65DE"/>
    <w:rsid w:val="120C4E87"/>
    <w:rsid w:val="1236114B"/>
    <w:rsid w:val="126D4FC7"/>
    <w:rsid w:val="12B370E2"/>
    <w:rsid w:val="12DB31C3"/>
    <w:rsid w:val="12EB21B2"/>
    <w:rsid w:val="134F192D"/>
    <w:rsid w:val="135B0100"/>
    <w:rsid w:val="13AA3F18"/>
    <w:rsid w:val="13B67D36"/>
    <w:rsid w:val="13BB02A1"/>
    <w:rsid w:val="13DC1D7A"/>
    <w:rsid w:val="13F0539F"/>
    <w:rsid w:val="14126561"/>
    <w:rsid w:val="14716EB5"/>
    <w:rsid w:val="147442BA"/>
    <w:rsid w:val="1493029E"/>
    <w:rsid w:val="14F1136A"/>
    <w:rsid w:val="15384747"/>
    <w:rsid w:val="15673045"/>
    <w:rsid w:val="15692C3E"/>
    <w:rsid w:val="15B252E7"/>
    <w:rsid w:val="15E66452"/>
    <w:rsid w:val="163105AD"/>
    <w:rsid w:val="16504185"/>
    <w:rsid w:val="166D5656"/>
    <w:rsid w:val="16876A33"/>
    <w:rsid w:val="16886873"/>
    <w:rsid w:val="171C5FC0"/>
    <w:rsid w:val="174419B7"/>
    <w:rsid w:val="175C40CD"/>
    <w:rsid w:val="178730AD"/>
    <w:rsid w:val="17AA5C7F"/>
    <w:rsid w:val="17DC7149"/>
    <w:rsid w:val="17E20A99"/>
    <w:rsid w:val="18120AA9"/>
    <w:rsid w:val="18494834"/>
    <w:rsid w:val="18513951"/>
    <w:rsid w:val="186829D2"/>
    <w:rsid w:val="18C40448"/>
    <w:rsid w:val="18CF668A"/>
    <w:rsid w:val="197E2030"/>
    <w:rsid w:val="199C0B99"/>
    <w:rsid w:val="19A245FB"/>
    <w:rsid w:val="19BC2AC2"/>
    <w:rsid w:val="1A2970AA"/>
    <w:rsid w:val="1A4744D2"/>
    <w:rsid w:val="1A8A452E"/>
    <w:rsid w:val="1A924A10"/>
    <w:rsid w:val="1A96544C"/>
    <w:rsid w:val="1ABE1D4F"/>
    <w:rsid w:val="1ACD06AD"/>
    <w:rsid w:val="1B073941"/>
    <w:rsid w:val="1B61679C"/>
    <w:rsid w:val="1B6277D4"/>
    <w:rsid w:val="1B667EA7"/>
    <w:rsid w:val="1B895F36"/>
    <w:rsid w:val="1BB17DBC"/>
    <w:rsid w:val="1BB40FC5"/>
    <w:rsid w:val="1BB92751"/>
    <w:rsid w:val="1BC4240F"/>
    <w:rsid w:val="1BEF385A"/>
    <w:rsid w:val="1C1071DC"/>
    <w:rsid w:val="1C1D42DD"/>
    <w:rsid w:val="1C2353C5"/>
    <w:rsid w:val="1C770782"/>
    <w:rsid w:val="1C8B339F"/>
    <w:rsid w:val="1C9A01D7"/>
    <w:rsid w:val="1CA411AB"/>
    <w:rsid w:val="1CB144C7"/>
    <w:rsid w:val="1D7A5205"/>
    <w:rsid w:val="1D956B8E"/>
    <w:rsid w:val="1E1666C7"/>
    <w:rsid w:val="1E1E1057"/>
    <w:rsid w:val="1E4772B2"/>
    <w:rsid w:val="1E4E0E12"/>
    <w:rsid w:val="1EF34471"/>
    <w:rsid w:val="1F26400F"/>
    <w:rsid w:val="1F4E27AA"/>
    <w:rsid w:val="1FE60700"/>
    <w:rsid w:val="200D7774"/>
    <w:rsid w:val="20272F24"/>
    <w:rsid w:val="20283EE4"/>
    <w:rsid w:val="204336AE"/>
    <w:rsid w:val="20C202C8"/>
    <w:rsid w:val="20CF47C9"/>
    <w:rsid w:val="210253BB"/>
    <w:rsid w:val="21090C46"/>
    <w:rsid w:val="21181A4C"/>
    <w:rsid w:val="211A018E"/>
    <w:rsid w:val="21493919"/>
    <w:rsid w:val="215B26DF"/>
    <w:rsid w:val="215E63E6"/>
    <w:rsid w:val="219A416D"/>
    <w:rsid w:val="21A47AC9"/>
    <w:rsid w:val="21AD395B"/>
    <w:rsid w:val="21C95499"/>
    <w:rsid w:val="21EE630E"/>
    <w:rsid w:val="22386080"/>
    <w:rsid w:val="22B66353"/>
    <w:rsid w:val="22E64D03"/>
    <w:rsid w:val="23646D03"/>
    <w:rsid w:val="238B2831"/>
    <w:rsid w:val="239954D9"/>
    <w:rsid w:val="23A73AF4"/>
    <w:rsid w:val="23AA75AD"/>
    <w:rsid w:val="23AB0BC6"/>
    <w:rsid w:val="23F23130"/>
    <w:rsid w:val="24261304"/>
    <w:rsid w:val="243C1339"/>
    <w:rsid w:val="244B23A9"/>
    <w:rsid w:val="244F4D09"/>
    <w:rsid w:val="245A31B4"/>
    <w:rsid w:val="246066F3"/>
    <w:rsid w:val="24617C4D"/>
    <w:rsid w:val="24667498"/>
    <w:rsid w:val="24674A4C"/>
    <w:rsid w:val="24AA00CB"/>
    <w:rsid w:val="24D82CF9"/>
    <w:rsid w:val="25101BC4"/>
    <w:rsid w:val="2517542C"/>
    <w:rsid w:val="25A24685"/>
    <w:rsid w:val="25E82F4A"/>
    <w:rsid w:val="2642443D"/>
    <w:rsid w:val="264A270D"/>
    <w:rsid w:val="268923A7"/>
    <w:rsid w:val="2689671C"/>
    <w:rsid w:val="26997D11"/>
    <w:rsid w:val="26BA3F6D"/>
    <w:rsid w:val="26D62B23"/>
    <w:rsid w:val="26D835C6"/>
    <w:rsid w:val="26EC2262"/>
    <w:rsid w:val="27286112"/>
    <w:rsid w:val="274C60EA"/>
    <w:rsid w:val="279E03D8"/>
    <w:rsid w:val="27A4142B"/>
    <w:rsid w:val="28065DF7"/>
    <w:rsid w:val="282C7487"/>
    <w:rsid w:val="286A4273"/>
    <w:rsid w:val="289F2652"/>
    <w:rsid w:val="28C12A1F"/>
    <w:rsid w:val="28D007C6"/>
    <w:rsid w:val="28D20FD9"/>
    <w:rsid w:val="28E95F7E"/>
    <w:rsid w:val="28EC6AC3"/>
    <w:rsid w:val="28EF40E4"/>
    <w:rsid w:val="290A275B"/>
    <w:rsid w:val="290A7ECF"/>
    <w:rsid w:val="293C1A83"/>
    <w:rsid w:val="295E1589"/>
    <w:rsid w:val="29C4586C"/>
    <w:rsid w:val="29EB2A56"/>
    <w:rsid w:val="2A130700"/>
    <w:rsid w:val="2A2B79AE"/>
    <w:rsid w:val="2A99654D"/>
    <w:rsid w:val="2AA73DD6"/>
    <w:rsid w:val="2ADC23E6"/>
    <w:rsid w:val="2ADD1E14"/>
    <w:rsid w:val="2AFD1F85"/>
    <w:rsid w:val="2B297466"/>
    <w:rsid w:val="2B2A1E8D"/>
    <w:rsid w:val="2B44189A"/>
    <w:rsid w:val="2B6E4DDE"/>
    <w:rsid w:val="2B8C7D05"/>
    <w:rsid w:val="2C025048"/>
    <w:rsid w:val="2C770CDD"/>
    <w:rsid w:val="2C824968"/>
    <w:rsid w:val="2CB31089"/>
    <w:rsid w:val="2CDF5331"/>
    <w:rsid w:val="2CFE49FC"/>
    <w:rsid w:val="2D112A9C"/>
    <w:rsid w:val="2D396606"/>
    <w:rsid w:val="2D5F2E8A"/>
    <w:rsid w:val="2D8F4629"/>
    <w:rsid w:val="2E0A58B2"/>
    <w:rsid w:val="2E434956"/>
    <w:rsid w:val="2E573C50"/>
    <w:rsid w:val="2E8C302F"/>
    <w:rsid w:val="2EA301D8"/>
    <w:rsid w:val="2EA90515"/>
    <w:rsid w:val="2EC723B7"/>
    <w:rsid w:val="2ECB15B4"/>
    <w:rsid w:val="2F532E06"/>
    <w:rsid w:val="2F9E1424"/>
    <w:rsid w:val="2FBC3808"/>
    <w:rsid w:val="2FDC311F"/>
    <w:rsid w:val="30017F0F"/>
    <w:rsid w:val="300D059B"/>
    <w:rsid w:val="30532827"/>
    <w:rsid w:val="30534258"/>
    <w:rsid w:val="30B44E13"/>
    <w:rsid w:val="30CE5073"/>
    <w:rsid w:val="30F86FB7"/>
    <w:rsid w:val="310E589C"/>
    <w:rsid w:val="312B40DD"/>
    <w:rsid w:val="315A51F8"/>
    <w:rsid w:val="31761450"/>
    <w:rsid w:val="31D004F7"/>
    <w:rsid w:val="31E07615"/>
    <w:rsid w:val="320606F8"/>
    <w:rsid w:val="32482D8C"/>
    <w:rsid w:val="327466F6"/>
    <w:rsid w:val="32A506FA"/>
    <w:rsid w:val="32BB3485"/>
    <w:rsid w:val="32C70A67"/>
    <w:rsid w:val="32D262D6"/>
    <w:rsid w:val="32FC1252"/>
    <w:rsid w:val="335A2B96"/>
    <w:rsid w:val="337D75EA"/>
    <w:rsid w:val="339B6F2E"/>
    <w:rsid w:val="33A923AC"/>
    <w:rsid w:val="33F56F41"/>
    <w:rsid w:val="344419B3"/>
    <w:rsid w:val="3452661D"/>
    <w:rsid w:val="346A1474"/>
    <w:rsid w:val="34B77FD7"/>
    <w:rsid w:val="34F25EC2"/>
    <w:rsid w:val="3527710F"/>
    <w:rsid w:val="352F07C4"/>
    <w:rsid w:val="35976FE7"/>
    <w:rsid w:val="35A666C2"/>
    <w:rsid w:val="35C72E35"/>
    <w:rsid w:val="35EE0040"/>
    <w:rsid w:val="35F447CA"/>
    <w:rsid w:val="35F57145"/>
    <w:rsid w:val="360D676A"/>
    <w:rsid w:val="36182E0E"/>
    <w:rsid w:val="369052C5"/>
    <w:rsid w:val="369F5C52"/>
    <w:rsid w:val="36F4792A"/>
    <w:rsid w:val="37494EB6"/>
    <w:rsid w:val="37772F3B"/>
    <w:rsid w:val="37872A24"/>
    <w:rsid w:val="378839C1"/>
    <w:rsid w:val="379204F6"/>
    <w:rsid w:val="379E0D71"/>
    <w:rsid w:val="37C62C18"/>
    <w:rsid w:val="37CD10BA"/>
    <w:rsid w:val="37CE339F"/>
    <w:rsid w:val="37D60FFC"/>
    <w:rsid w:val="381644E5"/>
    <w:rsid w:val="381F1009"/>
    <w:rsid w:val="384C5767"/>
    <w:rsid w:val="38594588"/>
    <w:rsid w:val="388531A1"/>
    <w:rsid w:val="38AB2355"/>
    <w:rsid w:val="38CD4B2F"/>
    <w:rsid w:val="39130583"/>
    <w:rsid w:val="39247617"/>
    <w:rsid w:val="392502FE"/>
    <w:rsid w:val="397878BE"/>
    <w:rsid w:val="39965DDA"/>
    <w:rsid w:val="399672AA"/>
    <w:rsid w:val="39AC0211"/>
    <w:rsid w:val="39B15719"/>
    <w:rsid w:val="39BC30F7"/>
    <w:rsid w:val="39DB3BBE"/>
    <w:rsid w:val="39E4045C"/>
    <w:rsid w:val="3A16333E"/>
    <w:rsid w:val="3AF2245E"/>
    <w:rsid w:val="3AF61395"/>
    <w:rsid w:val="3B381E16"/>
    <w:rsid w:val="3B384E8D"/>
    <w:rsid w:val="3B4B68A8"/>
    <w:rsid w:val="3B891B9C"/>
    <w:rsid w:val="3BA603E3"/>
    <w:rsid w:val="3BB21BB2"/>
    <w:rsid w:val="3BD9659A"/>
    <w:rsid w:val="3C564565"/>
    <w:rsid w:val="3CA92000"/>
    <w:rsid w:val="3CAA0A15"/>
    <w:rsid w:val="3CC6522D"/>
    <w:rsid w:val="3CE71836"/>
    <w:rsid w:val="3CE77FF3"/>
    <w:rsid w:val="3CEA3609"/>
    <w:rsid w:val="3CF7094A"/>
    <w:rsid w:val="3D3A3005"/>
    <w:rsid w:val="3D540BC7"/>
    <w:rsid w:val="3D62700E"/>
    <w:rsid w:val="3D7F3C73"/>
    <w:rsid w:val="3D8831A7"/>
    <w:rsid w:val="3D995285"/>
    <w:rsid w:val="3DCA3B49"/>
    <w:rsid w:val="3E174A58"/>
    <w:rsid w:val="3E584E79"/>
    <w:rsid w:val="3E75394D"/>
    <w:rsid w:val="3E7D1D9D"/>
    <w:rsid w:val="3EA07329"/>
    <w:rsid w:val="3F137EE1"/>
    <w:rsid w:val="3F6663A4"/>
    <w:rsid w:val="3FA408A8"/>
    <w:rsid w:val="3FAE1AA3"/>
    <w:rsid w:val="3FB61C3E"/>
    <w:rsid w:val="3FF74E34"/>
    <w:rsid w:val="3FFDA86E"/>
    <w:rsid w:val="3FFF5856"/>
    <w:rsid w:val="40006085"/>
    <w:rsid w:val="40014810"/>
    <w:rsid w:val="401F6121"/>
    <w:rsid w:val="40212C9E"/>
    <w:rsid w:val="402845EA"/>
    <w:rsid w:val="402C05BC"/>
    <w:rsid w:val="406554D0"/>
    <w:rsid w:val="4073475A"/>
    <w:rsid w:val="409D136E"/>
    <w:rsid w:val="40EA0ED5"/>
    <w:rsid w:val="41247E95"/>
    <w:rsid w:val="413727DE"/>
    <w:rsid w:val="41BF76BE"/>
    <w:rsid w:val="41E520C0"/>
    <w:rsid w:val="41FA54E0"/>
    <w:rsid w:val="42511CE9"/>
    <w:rsid w:val="425D379A"/>
    <w:rsid w:val="427B2C36"/>
    <w:rsid w:val="42834961"/>
    <w:rsid w:val="42852128"/>
    <w:rsid w:val="428B3413"/>
    <w:rsid w:val="429E74E3"/>
    <w:rsid w:val="42C32710"/>
    <w:rsid w:val="42C73491"/>
    <w:rsid w:val="42D5223B"/>
    <w:rsid w:val="42E77556"/>
    <w:rsid w:val="43125864"/>
    <w:rsid w:val="43544540"/>
    <w:rsid w:val="436E0D06"/>
    <w:rsid w:val="437277A0"/>
    <w:rsid w:val="439652BD"/>
    <w:rsid w:val="43B854EA"/>
    <w:rsid w:val="43D006DB"/>
    <w:rsid w:val="442A7EDD"/>
    <w:rsid w:val="44EC700F"/>
    <w:rsid w:val="45234FD2"/>
    <w:rsid w:val="45451D62"/>
    <w:rsid w:val="456C3CD1"/>
    <w:rsid w:val="45BA2CB4"/>
    <w:rsid w:val="45E92279"/>
    <w:rsid w:val="46DD083F"/>
    <w:rsid w:val="4722292D"/>
    <w:rsid w:val="47605F3E"/>
    <w:rsid w:val="476B046E"/>
    <w:rsid w:val="47764E9D"/>
    <w:rsid w:val="477C0E29"/>
    <w:rsid w:val="477F64AA"/>
    <w:rsid w:val="47981CB9"/>
    <w:rsid w:val="47F04F54"/>
    <w:rsid w:val="48163A54"/>
    <w:rsid w:val="481913B4"/>
    <w:rsid w:val="48452061"/>
    <w:rsid w:val="48761E80"/>
    <w:rsid w:val="48962F0A"/>
    <w:rsid w:val="48C260B7"/>
    <w:rsid w:val="48F378B9"/>
    <w:rsid w:val="490D21EC"/>
    <w:rsid w:val="4951456A"/>
    <w:rsid w:val="495E2D64"/>
    <w:rsid w:val="499472F5"/>
    <w:rsid w:val="499A6F26"/>
    <w:rsid w:val="499F56DD"/>
    <w:rsid w:val="49A460B2"/>
    <w:rsid w:val="49FE1F12"/>
    <w:rsid w:val="4A367806"/>
    <w:rsid w:val="4A3C46A6"/>
    <w:rsid w:val="4A635863"/>
    <w:rsid w:val="4A842451"/>
    <w:rsid w:val="4A8A4C7A"/>
    <w:rsid w:val="4AFE3098"/>
    <w:rsid w:val="4B090A57"/>
    <w:rsid w:val="4B24564C"/>
    <w:rsid w:val="4B3621B9"/>
    <w:rsid w:val="4B457257"/>
    <w:rsid w:val="4B5D09A1"/>
    <w:rsid w:val="4B7446DD"/>
    <w:rsid w:val="4BF01F9E"/>
    <w:rsid w:val="4C3E2F18"/>
    <w:rsid w:val="4C4A157A"/>
    <w:rsid w:val="4C522243"/>
    <w:rsid w:val="4C5868BB"/>
    <w:rsid w:val="4C5A0D10"/>
    <w:rsid w:val="4CA80860"/>
    <w:rsid w:val="4CB54997"/>
    <w:rsid w:val="4CBF0D91"/>
    <w:rsid w:val="4CDB5C54"/>
    <w:rsid w:val="4D14658F"/>
    <w:rsid w:val="4D20680D"/>
    <w:rsid w:val="4D231E78"/>
    <w:rsid w:val="4DA74E4A"/>
    <w:rsid w:val="4DA873AB"/>
    <w:rsid w:val="4DAD3486"/>
    <w:rsid w:val="4E107942"/>
    <w:rsid w:val="4E2211FB"/>
    <w:rsid w:val="4E324455"/>
    <w:rsid w:val="4EC850DE"/>
    <w:rsid w:val="4EE05CC3"/>
    <w:rsid w:val="4EE74873"/>
    <w:rsid w:val="4F08518E"/>
    <w:rsid w:val="4F18227C"/>
    <w:rsid w:val="4F365D17"/>
    <w:rsid w:val="4F730ABC"/>
    <w:rsid w:val="4F89256A"/>
    <w:rsid w:val="4FAD0BA9"/>
    <w:rsid w:val="4FB06617"/>
    <w:rsid w:val="4FB437F5"/>
    <w:rsid w:val="4FC827B9"/>
    <w:rsid w:val="502C7927"/>
    <w:rsid w:val="50594399"/>
    <w:rsid w:val="50CD4624"/>
    <w:rsid w:val="50E324B7"/>
    <w:rsid w:val="50F01A28"/>
    <w:rsid w:val="50F63029"/>
    <w:rsid w:val="510B285B"/>
    <w:rsid w:val="51874FF1"/>
    <w:rsid w:val="51952942"/>
    <w:rsid w:val="519C2845"/>
    <w:rsid w:val="51FB287B"/>
    <w:rsid w:val="520653FB"/>
    <w:rsid w:val="523A5DFF"/>
    <w:rsid w:val="5256566D"/>
    <w:rsid w:val="527D5766"/>
    <w:rsid w:val="52801F46"/>
    <w:rsid w:val="52AF4C40"/>
    <w:rsid w:val="52DC697C"/>
    <w:rsid w:val="533A34C5"/>
    <w:rsid w:val="53907A40"/>
    <w:rsid w:val="541F2668"/>
    <w:rsid w:val="542C0FCF"/>
    <w:rsid w:val="543A7C4B"/>
    <w:rsid w:val="546C3655"/>
    <w:rsid w:val="54731C92"/>
    <w:rsid w:val="54D15FDF"/>
    <w:rsid w:val="54E02669"/>
    <w:rsid w:val="54F7432B"/>
    <w:rsid w:val="54FD5F8F"/>
    <w:rsid w:val="55023B2A"/>
    <w:rsid w:val="551B13F5"/>
    <w:rsid w:val="55261C76"/>
    <w:rsid w:val="558A71F6"/>
    <w:rsid w:val="561261BF"/>
    <w:rsid w:val="56515A70"/>
    <w:rsid w:val="56672D3F"/>
    <w:rsid w:val="570E1466"/>
    <w:rsid w:val="57307B0F"/>
    <w:rsid w:val="57907806"/>
    <w:rsid w:val="57C13908"/>
    <w:rsid w:val="57DA53E0"/>
    <w:rsid w:val="57EA32C1"/>
    <w:rsid w:val="57EE6D92"/>
    <w:rsid w:val="57FA3712"/>
    <w:rsid w:val="580620CB"/>
    <w:rsid w:val="58092539"/>
    <w:rsid w:val="581614F8"/>
    <w:rsid w:val="585A06F8"/>
    <w:rsid w:val="58B462EB"/>
    <w:rsid w:val="58C20F18"/>
    <w:rsid w:val="590C5007"/>
    <w:rsid w:val="593A4775"/>
    <w:rsid w:val="593C7302"/>
    <w:rsid w:val="59477662"/>
    <w:rsid w:val="594942E4"/>
    <w:rsid w:val="59815011"/>
    <w:rsid w:val="59FA7BD2"/>
    <w:rsid w:val="5AA67DBD"/>
    <w:rsid w:val="5AC37236"/>
    <w:rsid w:val="5B2817C3"/>
    <w:rsid w:val="5B3924E8"/>
    <w:rsid w:val="5B48477A"/>
    <w:rsid w:val="5B637F3C"/>
    <w:rsid w:val="5B8B2598"/>
    <w:rsid w:val="5B923B13"/>
    <w:rsid w:val="5BC23FE6"/>
    <w:rsid w:val="5BF0372E"/>
    <w:rsid w:val="5C1C180A"/>
    <w:rsid w:val="5C21214B"/>
    <w:rsid w:val="5C955F51"/>
    <w:rsid w:val="5CE8447A"/>
    <w:rsid w:val="5D0F3F05"/>
    <w:rsid w:val="5D165DA1"/>
    <w:rsid w:val="5D3E35DC"/>
    <w:rsid w:val="5D582082"/>
    <w:rsid w:val="5D594046"/>
    <w:rsid w:val="5D93103E"/>
    <w:rsid w:val="5DA74C64"/>
    <w:rsid w:val="5DBC25F5"/>
    <w:rsid w:val="5DF737A6"/>
    <w:rsid w:val="5E2B33BF"/>
    <w:rsid w:val="5E2D4A2A"/>
    <w:rsid w:val="5E321DA5"/>
    <w:rsid w:val="5E520F3E"/>
    <w:rsid w:val="5E812258"/>
    <w:rsid w:val="5E8E2866"/>
    <w:rsid w:val="5E9C186A"/>
    <w:rsid w:val="5F5F5714"/>
    <w:rsid w:val="5F7749B0"/>
    <w:rsid w:val="5FD96F91"/>
    <w:rsid w:val="60007599"/>
    <w:rsid w:val="60113D71"/>
    <w:rsid w:val="60505CB1"/>
    <w:rsid w:val="605C1857"/>
    <w:rsid w:val="606F48B9"/>
    <w:rsid w:val="608A7B77"/>
    <w:rsid w:val="60B17A19"/>
    <w:rsid w:val="60BB234A"/>
    <w:rsid w:val="60E824B5"/>
    <w:rsid w:val="61192E03"/>
    <w:rsid w:val="61297A80"/>
    <w:rsid w:val="612B5F76"/>
    <w:rsid w:val="615C659D"/>
    <w:rsid w:val="61755DA8"/>
    <w:rsid w:val="61AA1D08"/>
    <w:rsid w:val="61FE1240"/>
    <w:rsid w:val="61FE3B04"/>
    <w:rsid w:val="62936559"/>
    <w:rsid w:val="629F4A33"/>
    <w:rsid w:val="62C80D73"/>
    <w:rsid w:val="62E7198B"/>
    <w:rsid w:val="62FD2C5A"/>
    <w:rsid w:val="632217A4"/>
    <w:rsid w:val="633A6D1A"/>
    <w:rsid w:val="635C588A"/>
    <w:rsid w:val="63D46811"/>
    <w:rsid w:val="640E2CB0"/>
    <w:rsid w:val="644F39DC"/>
    <w:rsid w:val="64683B11"/>
    <w:rsid w:val="64A83DDE"/>
    <w:rsid w:val="650D0BE7"/>
    <w:rsid w:val="652422DA"/>
    <w:rsid w:val="65942029"/>
    <w:rsid w:val="659F46F2"/>
    <w:rsid w:val="65C15A2E"/>
    <w:rsid w:val="6608270E"/>
    <w:rsid w:val="66395C3F"/>
    <w:rsid w:val="6639644B"/>
    <w:rsid w:val="663B4D94"/>
    <w:rsid w:val="663C25E4"/>
    <w:rsid w:val="66A46993"/>
    <w:rsid w:val="66E8003A"/>
    <w:rsid w:val="67135A6E"/>
    <w:rsid w:val="676B1416"/>
    <w:rsid w:val="67803D9F"/>
    <w:rsid w:val="68075623"/>
    <w:rsid w:val="6814401C"/>
    <w:rsid w:val="682C56FC"/>
    <w:rsid w:val="68391BA5"/>
    <w:rsid w:val="68426182"/>
    <w:rsid w:val="68705C18"/>
    <w:rsid w:val="68A77B42"/>
    <w:rsid w:val="68A841C6"/>
    <w:rsid w:val="68C07983"/>
    <w:rsid w:val="6906452A"/>
    <w:rsid w:val="690C4738"/>
    <w:rsid w:val="6920063C"/>
    <w:rsid w:val="692B63FF"/>
    <w:rsid w:val="6935540B"/>
    <w:rsid w:val="6946257A"/>
    <w:rsid w:val="69967A2E"/>
    <w:rsid w:val="69AE5AA7"/>
    <w:rsid w:val="69C47494"/>
    <w:rsid w:val="69DE7EA6"/>
    <w:rsid w:val="69E10DD4"/>
    <w:rsid w:val="6A1C0F26"/>
    <w:rsid w:val="6A3B1C05"/>
    <w:rsid w:val="6A4658F9"/>
    <w:rsid w:val="6A6E4551"/>
    <w:rsid w:val="6A88569C"/>
    <w:rsid w:val="6AC6254C"/>
    <w:rsid w:val="6ACC19BC"/>
    <w:rsid w:val="6AD93308"/>
    <w:rsid w:val="6ADC2883"/>
    <w:rsid w:val="6B5A269C"/>
    <w:rsid w:val="6B7A6E31"/>
    <w:rsid w:val="6BA60BCD"/>
    <w:rsid w:val="6C1B3CA8"/>
    <w:rsid w:val="6C4119DE"/>
    <w:rsid w:val="6C974810"/>
    <w:rsid w:val="6CA177A3"/>
    <w:rsid w:val="6CEC48A1"/>
    <w:rsid w:val="6D25310D"/>
    <w:rsid w:val="6D2746D2"/>
    <w:rsid w:val="6D32118B"/>
    <w:rsid w:val="6D6D621C"/>
    <w:rsid w:val="6DB652C6"/>
    <w:rsid w:val="6E8F20B9"/>
    <w:rsid w:val="6EB2427E"/>
    <w:rsid w:val="6EB26038"/>
    <w:rsid w:val="6EBA28A4"/>
    <w:rsid w:val="6ECB27FD"/>
    <w:rsid w:val="6F0211EB"/>
    <w:rsid w:val="6F0B4A26"/>
    <w:rsid w:val="6F2B6B85"/>
    <w:rsid w:val="6F5B794C"/>
    <w:rsid w:val="6F5E596F"/>
    <w:rsid w:val="6F8053E2"/>
    <w:rsid w:val="6FAB517D"/>
    <w:rsid w:val="6FBC3040"/>
    <w:rsid w:val="6FD87674"/>
    <w:rsid w:val="6FF343A8"/>
    <w:rsid w:val="6FFD5BE3"/>
    <w:rsid w:val="7016638E"/>
    <w:rsid w:val="704C40C0"/>
    <w:rsid w:val="7051734F"/>
    <w:rsid w:val="706C5BF7"/>
    <w:rsid w:val="70914C89"/>
    <w:rsid w:val="70943E43"/>
    <w:rsid w:val="710C6788"/>
    <w:rsid w:val="713D2515"/>
    <w:rsid w:val="71440A0B"/>
    <w:rsid w:val="715F131F"/>
    <w:rsid w:val="716A7129"/>
    <w:rsid w:val="71732DEA"/>
    <w:rsid w:val="71D071FB"/>
    <w:rsid w:val="71E143CA"/>
    <w:rsid w:val="726053BF"/>
    <w:rsid w:val="726F01E8"/>
    <w:rsid w:val="72950360"/>
    <w:rsid w:val="72EB75F7"/>
    <w:rsid w:val="73C251B8"/>
    <w:rsid w:val="740D319C"/>
    <w:rsid w:val="741E7A6D"/>
    <w:rsid w:val="743B1E5C"/>
    <w:rsid w:val="74712086"/>
    <w:rsid w:val="747D2D86"/>
    <w:rsid w:val="749571EA"/>
    <w:rsid w:val="74990D5A"/>
    <w:rsid w:val="74F44822"/>
    <w:rsid w:val="750D71C6"/>
    <w:rsid w:val="751E59CB"/>
    <w:rsid w:val="7520173E"/>
    <w:rsid w:val="75891CC2"/>
    <w:rsid w:val="75BC550F"/>
    <w:rsid w:val="75E14844"/>
    <w:rsid w:val="75FE1FD5"/>
    <w:rsid w:val="761F75CF"/>
    <w:rsid w:val="763359CD"/>
    <w:rsid w:val="76585169"/>
    <w:rsid w:val="76727946"/>
    <w:rsid w:val="768F47FD"/>
    <w:rsid w:val="76AB697E"/>
    <w:rsid w:val="76F201AA"/>
    <w:rsid w:val="77011ECC"/>
    <w:rsid w:val="77017E25"/>
    <w:rsid w:val="771205E6"/>
    <w:rsid w:val="77744C0B"/>
    <w:rsid w:val="777A4865"/>
    <w:rsid w:val="77831633"/>
    <w:rsid w:val="778E21C1"/>
    <w:rsid w:val="779B1E50"/>
    <w:rsid w:val="77AD4BC1"/>
    <w:rsid w:val="77CC6810"/>
    <w:rsid w:val="77E70337"/>
    <w:rsid w:val="780A7E24"/>
    <w:rsid w:val="780E779C"/>
    <w:rsid w:val="781F7B14"/>
    <w:rsid w:val="784D1DA3"/>
    <w:rsid w:val="78636932"/>
    <w:rsid w:val="78702DA6"/>
    <w:rsid w:val="7877397C"/>
    <w:rsid w:val="78886775"/>
    <w:rsid w:val="78B04EF6"/>
    <w:rsid w:val="78B86E36"/>
    <w:rsid w:val="78BB7429"/>
    <w:rsid w:val="78C51761"/>
    <w:rsid w:val="78EF46BD"/>
    <w:rsid w:val="79293EF3"/>
    <w:rsid w:val="793406B8"/>
    <w:rsid w:val="79514636"/>
    <w:rsid w:val="79522746"/>
    <w:rsid w:val="79701B9B"/>
    <w:rsid w:val="798F22B1"/>
    <w:rsid w:val="79953A94"/>
    <w:rsid w:val="79D20191"/>
    <w:rsid w:val="79FC3DBB"/>
    <w:rsid w:val="7A091C2D"/>
    <w:rsid w:val="7A147B63"/>
    <w:rsid w:val="7A153BF6"/>
    <w:rsid w:val="7A1D1564"/>
    <w:rsid w:val="7A406D94"/>
    <w:rsid w:val="7A712264"/>
    <w:rsid w:val="7B4535BF"/>
    <w:rsid w:val="7B78455A"/>
    <w:rsid w:val="7B9003E8"/>
    <w:rsid w:val="7B9B39BF"/>
    <w:rsid w:val="7BB97544"/>
    <w:rsid w:val="7BF556EB"/>
    <w:rsid w:val="7C1864AD"/>
    <w:rsid w:val="7C5063A1"/>
    <w:rsid w:val="7C7D0998"/>
    <w:rsid w:val="7C9822ED"/>
    <w:rsid w:val="7CAF1B24"/>
    <w:rsid w:val="7CAF6682"/>
    <w:rsid w:val="7D1950BB"/>
    <w:rsid w:val="7D1B3F9B"/>
    <w:rsid w:val="7D300BE4"/>
    <w:rsid w:val="7D49213D"/>
    <w:rsid w:val="7D7705B6"/>
    <w:rsid w:val="7DBE0842"/>
    <w:rsid w:val="7DCC59DE"/>
    <w:rsid w:val="7E020557"/>
    <w:rsid w:val="7E5F19E3"/>
    <w:rsid w:val="7E6350A6"/>
    <w:rsid w:val="7EEA353C"/>
    <w:rsid w:val="7EF10E66"/>
    <w:rsid w:val="7EF40D32"/>
    <w:rsid w:val="7F094EA1"/>
    <w:rsid w:val="7F1E22E0"/>
    <w:rsid w:val="7F4230BB"/>
    <w:rsid w:val="7F9E7E6C"/>
    <w:rsid w:val="7FA21DE2"/>
    <w:rsid w:val="7FAA3E99"/>
    <w:rsid w:val="BD37B958"/>
    <w:rsid w:val="BFFFDCA3"/>
    <w:rsid w:val="DFE2D1A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51"/>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52"/>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53"/>
    <w:unhideWhenUsed/>
    <w:qFormat/>
    <w:uiPriority w:val="0"/>
    <w:pPr>
      <w:keepNext/>
      <w:keepLines/>
      <w:numPr>
        <w:ilvl w:val="2"/>
        <w:numId w:val="1"/>
      </w:numPr>
      <w:outlineLvl w:val="2"/>
    </w:pPr>
    <w:rPr>
      <w:rFonts w:ascii="黑体" w:hAnsi="黑体" w:eastAsia="黑体"/>
      <w:bCs/>
      <w:szCs w:val="21"/>
    </w:rPr>
  </w:style>
  <w:style w:type="paragraph" w:styleId="6">
    <w:name w:val="heading 4"/>
    <w:basedOn w:val="1"/>
    <w:next w:val="1"/>
    <w:link w:val="54"/>
    <w:unhideWhenUsed/>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7">
    <w:name w:val="heading 5"/>
    <w:basedOn w:val="1"/>
    <w:next w:val="1"/>
    <w:link w:val="55"/>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link w:val="56"/>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link w:val="57"/>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link w:val="58"/>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link w:val="59"/>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0"/>
    <w:qFormat/>
    <w:uiPriority w:val="0"/>
    <w:rPr>
      <w:rFonts w:ascii="宋体" w:hAnsi="Courier New" w:cs="Courier New"/>
      <w:szCs w:val="21"/>
    </w:rPr>
  </w:style>
  <w:style w:type="paragraph" w:styleId="12">
    <w:name w:val="toc 7"/>
    <w:basedOn w:val="1"/>
    <w:next w:val="1"/>
    <w:qFormat/>
    <w:uiPriority w:val="0"/>
    <w:pPr>
      <w:ind w:left="1260"/>
      <w:jc w:val="left"/>
    </w:pPr>
    <w:rPr>
      <w:rFonts w:cs="Times New Roman"/>
      <w:sz w:val="18"/>
      <w:szCs w:val="18"/>
    </w:rPr>
  </w:style>
  <w:style w:type="paragraph" w:styleId="13">
    <w:name w:val="Normal Indent"/>
    <w:basedOn w:val="1"/>
    <w:qFormat/>
    <w:uiPriority w:val="0"/>
    <w:pPr>
      <w:ind w:firstLine="420"/>
      <w:jc w:val="left"/>
    </w:pPr>
    <w:rPr>
      <w:rFonts w:ascii="宋体" w:hAnsi="宋体"/>
      <w:szCs w:val="20"/>
    </w:rPr>
  </w:style>
  <w:style w:type="paragraph" w:styleId="14">
    <w:name w:val="caption"/>
    <w:basedOn w:val="1"/>
    <w:next w:val="1"/>
    <w:qFormat/>
    <w:uiPriority w:val="0"/>
    <w:rPr>
      <w:rFonts w:ascii="Cambria" w:hAnsi="Cambria" w:eastAsia="黑体" w:cs="Times New Roman"/>
      <w:sz w:val="20"/>
      <w:szCs w:val="20"/>
    </w:rPr>
  </w:style>
  <w:style w:type="paragraph" w:styleId="15">
    <w:name w:val="Document Map"/>
    <w:basedOn w:val="1"/>
    <w:link w:val="60"/>
    <w:qFormat/>
    <w:uiPriority w:val="0"/>
    <w:rPr>
      <w:rFonts w:ascii="宋体" w:hAnsi="Times New Roman" w:cs="Times New Roman"/>
      <w:sz w:val="18"/>
      <w:szCs w:val="18"/>
    </w:rPr>
  </w:style>
  <w:style w:type="paragraph" w:styleId="16">
    <w:name w:val="annotation text"/>
    <w:basedOn w:val="1"/>
    <w:link w:val="61"/>
    <w:unhideWhenUsed/>
    <w:qFormat/>
    <w:uiPriority w:val="0"/>
    <w:pPr>
      <w:jc w:val="left"/>
    </w:pPr>
    <w:rPr>
      <w:rFonts w:eastAsia="Times New Roman" w:asciiTheme="minorHAnsi" w:hAnsiTheme="minorHAnsi" w:cstheme="minorBidi"/>
      <w:kern w:val="0"/>
      <w:sz w:val="24"/>
      <w:szCs w:val="24"/>
    </w:rPr>
  </w:style>
  <w:style w:type="paragraph" w:styleId="17">
    <w:name w:val="Body Text"/>
    <w:basedOn w:val="1"/>
    <w:link w:val="62"/>
    <w:qFormat/>
    <w:uiPriority w:val="0"/>
    <w:rPr>
      <w:rFonts w:ascii="Times New Roman" w:hAnsi="Times New Roman" w:cs="Times New Roman"/>
      <w:b/>
      <w:bCs/>
      <w:sz w:val="28"/>
      <w:szCs w:val="24"/>
    </w:rPr>
  </w:style>
  <w:style w:type="paragraph" w:styleId="18">
    <w:name w:val="Body Text Indent"/>
    <w:basedOn w:val="1"/>
    <w:link w:val="63"/>
    <w:qFormat/>
    <w:uiPriority w:val="0"/>
    <w:pPr>
      <w:framePr w:hSpace="180" w:wrap="around" w:vAnchor="margin" w:hAnchor="margin" w:x="9447" w:y="1993"/>
      <w:ind w:left="-90"/>
      <w:jc w:val="left"/>
    </w:pPr>
    <w:rPr>
      <w:rFonts w:ascii="Times New Roman" w:hAnsi="Times New Roman" w:cs="Times New Roman"/>
      <w:spacing w:val="-1"/>
      <w:kern w:val="0"/>
      <w:sz w:val="18"/>
      <w:szCs w:val="26"/>
    </w:rPr>
  </w:style>
  <w:style w:type="paragraph" w:styleId="19">
    <w:name w:val="toc 5"/>
    <w:basedOn w:val="1"/>
    <w:next w:val="1"/>
    <w:qFormat/>
    <w:uiPriority w:val="0"/>
    <w:pPr>
      <w:ind w:left="840"/>
      <w:jc w:val="left"/>
    </w:pPr>
    <w:rPr>
      <w:rFonts w:cs="Times New Roman"/>
      <w:sz w:val="18"/>
      <w:szCs w:val="18"/>
    </w:rPr>
  </w:style>
  <w:style w:type="paragraph" w:styleId="20">
    <w:name w:val="toc 3"/>
    <w:basedOn w:val="1"/>
    <w:next w:val="1"/>
    <w:qFormat/>
    <w:uiPriority w:val="39"/>
    <w:pPr>
      <w:ind w:left="420"/>
      <w:jc w:val="left"/>
    </w:pPr>
    <w:rPr>
      <w:rFonts w:cs="Times New Roman"/>
      <w:i/>
      <w:iCs/>
      <w:sz w:val="20"/>
      <w:szCs w:val="20"/>
    </w:rPr>
  </w:style>
  <w:style w:type="paragraph" w:styleId="21">
    <w:name w:val="toc 8"/>
    <w:basedOn w:val="1"/>
    <w:next w:val="1"/>
    <w:qFormat/>
    <w:uiPriority w:val="0"/>
    <w:pPr>
      <w:ind w:left="1470"/>
      <w:jc w:val="left"/>
    </w:pPr>
    <w:rPr>
      <w:rFonts w:cs="Times New Roman"/>
      <w:sz w:val="18"/>
      <w:szCs w:val="18"/>
    </w:rPr>
  </w:style>
  <w:style w:type="paragraph" w:styleId="22">
    <w:name w:val="Date"/>
    <w:basedOn w:val="1"/>
    <w:next w:val="1"/>
    <w:link w:val="64"/>
    <w:qFormat/>
    <w:uiPriority w:val="0"/>
    <w:pPr>
      <w:ind w:left="100" w:leftChars="2500"/>
    </w:pPr>
    <w:rPr>
      <w:rFonts w:ascii="Times New Roman" w:hAnsi="Times New Roman" w:cs="Times New Roman"/>
      <w:szCs w:val="24"/>
    </w:rPr>
  </w:style>
  <w:style w:type="paragraph" w:styleId="23">
    <w:name w:val="Body Text Indent 2"/>
    <w:basedOn w:val="1"/>
    <w:link w:val="65"/>
    <w:qFormat/>
    <w:uiPriority w:val="0"/>
    <w:pPr>
      <w:ind w:firstLine="420" w:firstLineChars="200"/>
    </w:pPr>
    <w:rPr>
      <w:rFonts w:ascii="Times New Roman" w:hAnsi="Times New Roman" w:cs="Times New Roman"/>
      <w:szCs w:val="21"/>
    </w:rPr>
  </w:style>
  <w:style w:type="paragraph" w:styleId="24">
    <w:name w:val="endnote text"/>
    <w:basedOn w:val="1"/>
    <w:link w:val="66"/>
    <w:qFormat/>
    <w:uiPriority w:val="0"/>
    <w:pPr>
      <w:snapToGrid w:val="0"/>
      <w:jc w:val="left"/>
    </w:pPr>
    <w:rPr>
      <w:rFonts w:ascii="宋体" w:hAnsi="宋体"/>
      <w:szCs w:val="24"/>
    </w:rPr>
  </w:style>
  <w:style w:type="paragraph" w:styleId="25">
    <w:name w:val="Balloon Text"/>
    <w:basedOn w:val="1"/>
    <w:link w:val="67"/>
    <w:qFormat/>
    <w:uiPriority w:val="0"/>
    <w:rPr>
      <w:rFonts w:ascii="Times New Roman" w:hAnsi="Times New Roman" w:cs="Times New Roman"/>
      <w:sz w:val="18"/>
      <w:szCs w:val="18"/>
    </w:rPr>
  </w:style>
  <w:style w:type="paragraph" w:styleId="26">
    <w:name w:val="footer"/>
    <w:basedOn w:val="1"/>
    <w:link w:val="68"/>
    <w:unhideWhenUsed/>
    <w:qFormat/>
    <w:uiPriority w:val="99"/>
    <w:pPr>
      <w:tabs>
        <w:tab w:val="center" w:pos="4153"/>
        <w:tab w:val="right" w:pos="8306"/>
      </w:tabs>
      <w:snapToGrid w:val="0"/>
      <w:jc w:val="left"/>
    </w:pPr>
    <w:rPr>
      <w:sz w:val="18"/>
      <w:szCs w:val="18"/>
    </w:rPr>
  </w:style>
  <w:style w:type="paragraph" w:styleId="27">
    <w:name w:val="header"/>
    <w:basedOn w:val="1"/>
    <w:link w:val="69"/>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link w:val="70"/>
    <w:unhideWhenUsed/>
    <w:qFormat/>
    <w:uiPriority w:val="39"/>
    <w:pPr>
      <w:spacing w:before="120" w:after="120"/>
      <w:jc w:val="left"/>
    </w:pPr>
    <w:rPr>
      <w:rFonts w:cs="Times New Roman"/>
      <w:b/>
      <w:bCs/>
      <w:caps/>
      <w:sz w:val="20"/>
      <w:szCs w:val="20"/>
    </w:rPr>
  </w:style>
  <w:style w:type="paragraph" w:styleId="29">
    <w:name w:val="toc 4"/>
    <w:basedOn w:val="1"/>
    <w:next w:val="1"/>
    <w:link w:val="71"/>
    <w:qFormat/>
    <w:uiPriority w:val="39"/>
    <w:pPr>
      <w:ind w:left="630"/>
      <w:jc w:val="left"/>
    </w:pPr>
    <w:rPr>
      <w:rFonts w:cs="Times New Roman"/>
      <w:sz w:val="18"/>
      <w:szCs w:val="18"/>
    </w:rPr>
  </w:style>
  <w:style w:type="paragraph" w:styleId="30">
    <w:name w:val="Subtitle"/>
    <w:basedOn w:val="1"/>
    <w:link w:val="72"/>
    <w:qFormat/>
    <w:uiPriority w:val="0"/>
    <w:pPr>
      <w:spacing w:line="312" w:lineRule="auto"/>
      <w:jc w:val="center"/>
      <w:outlineLvl w:val="1"/>
    </w:pPr>
    <w:rPr>
      <w:rFonts w:ascii="Arial" w:hAnsi="Arial" w:eastAsia="Times New Roman" w:cstheme="minorBidi"/>
      <w:b/>
      <w:bCs/>
      <w:kern w:val="28"/>
      <w:sz w:val="32"/>
      <w:szCs w:val="32"/>
    </w:rPr>
  </w:style>
  <w:style w:type="paragraph" w:styleId="31">
    <w:name w:val="toc 6"/>
    <w:basedOn w:val="1"/>
    <w:next w:val="1"/>
    <w:qFormat/>
    <w:uiPriority w:val="0"/>
    <w:pPr>
      <w:ind w:left="1050"/>
      <w:jc w:val="left"/>
    </w:pPr>
    <w:rPr>
      <w:rFonts w:cs="Times New Roman"/>
      <w:sz w:val="18"/>
      <w:szCs w:val="18"/>
    </w:rPr>
  </w:style>
  <w:style w:type="paragraph" w:styleId="32">
    <w:name w:val="toc 2"/>
    <w:basedOn w:val="1"/>
    <w:next w:val="1"/>
    <w:qFormat/>
    <w:uiPriority w:val="39"/>
    <w:pPr>
      <w:ind w:left="210"/>
      <w:jc w:val="left"/>
    </w:pPr>
    <w:rPr>
      <w:rFonts w:cs="Times New Roman"/>
      <w:smallCaps/>
      <w:sz w:val="20"/>
      <w:szCs w:val="20"/>
    </w:rPr>
  </w:style>
  <w:style w:type="paragraph" w:styleId="33">
    <w:name w:val="toc 9"/>
    <w:basedOn w:val="1"/>
    <w:next w:val="1"/>
    <w:qFormat/>
    <w:uiPriority w:val="0"/>
    <w:pPr>
      <w:ind w:left="1680"/>
      <w:jc w:val="left"/>
    </w:pPr>
    <w:rPr>
      <w:rFonts w:cs="Times New Roman"/>
      <w:sz w:val="18"/>
      <w:szCs w:val="18"/>
    </w:rPr>
  </w:style>
  <w:style w:type="paragraph" w:styleId="34">
    <w:name w:val="Body Text 2"/>
    <w:basedOn w:val="1"/>
    <w:link w:val="73"/>
    <w:unhideWhenUsed/>
    <w:qFormat/>
    <w:uiPriority w:val="0"/>
    <w:pPr>
      <w:widowControl/>
      <w:spacing w:before="120" w:after="120" w:afterAutospacing="1" w:line="480" w:lineRule="auto"/>
      <w:ind w:left="709" w:right="-27" w:hanging="709"/>
    </w:pPr>
    <w:rPr>
      <w:rFonts w:ascii="Times New Roman" w:hAnsi="Times New Roman" w:cs="Times New Roman"/>
      <w:kern w:val="0"/>
      <w:szCs w:val="21"/>
    </w:rPr>
  </w:style>
  <w:style w:type="paragraph" w:styleId="35">
    <w:name w:val="HTML Preformatted"/>
    <w:basedOn w:val="1"/>
    <w:link w:val="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pPr>
    <w:rPr>
      <w:rFonts w:ascii="宋体" w:hAnsi="宋体" w:cs="宋体"/>
      <w:kern w:val="0"/>
      <w:sz w:val="24"/>
      <w:szCs w:val="24"/>
    </w:rPr>
  </w:style>
  <w:style w:type="paragraph" w:styleId="36">
    <w:name w:val="Normal (Web)"/>
    <w:basedOn w:val="1"/>
    <w:unhideWhenUsed/>
    <w:qFormat/>
    <w:uiPriority w:val="99"/>
    <w:pPr>
      <w:spacing w:beforeAutospacing="1" w:afterAutospacing="1" w:line="330" w:lineRule="atLeast"/>
      <w:jc w:val="left"/>
    </w:pPr>
    <w:rPr>
      <w:rFonts w:cs="Times New Roman"/>
      <w:kern w:val="0"/>
      <w:sz w:val="22"/>
    </w:rPr>
  </w:style>
  <w:style w:type="paragraph" w:styleId="37">
    <w:name w:val="index 1"/>
    <w:basedOn w:val="1"/>
    <w:next w:val="1"/>
    <w:qFormat/>
    <w:uiPriority w:val="0"/>
    <w:rPr>
      <w:rFonts w:ascii="宋体" w:hAnsi="宋体"/>
      <w:color w:val="000000"/>
      <w:szCs w:val="24"/>
    </w:rPr>
  </w:style>
  <w:style w:type="paragraph" w:styleId="38">
    <w:name w:val="annotation subject"/>
    <w:basedOn w:val="16"/>
    <w:next w:val="16"/>
    <w:link w:val="75"/>
    <w:unhideWhenUsed/>
    <w:qFormat/>
    <w:uiPriority w:val="0"/>
    <w:rPr>
      <w:b/>
      <w:bCs/>
    </w:rPr>
  </w:style>
  <w:style w:type="paragraph" w:styleId="39">
    <w:name w:val="Body Text First Indent"/>
    <w:basedOn w:val="17"/>
    <w:link w:val="76"/>
    <w:qFormat/>
    <w:uiPriority w:val="0"/>
    <w:pPr>
      <w:spacing w:after="120"/>
      <w:ind w:firstLine="420" w:firstLineChars="100"/>
    </w:pPr>
    <w:rPr>
      <w:rFonts w:ascii="宋体" w:hAnsi="宋体" w:cstheme="minorBidi"/>
      <w:b w:val="0"/>
      <w:bCs w:val="0"/>
      <w:kern w:val="0"/>
      <w:sz w:val="18"/>
      <w:szCs w:val="18"/>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22"/>
    <w:rPr>
      <w:b/>
    </w:rPr>
  </w:style>
  <w:style w:type="character" w:styleId="44">
    <w:name w:val="endnote reference"/>
    <w:basedOn w:val="42"/>
    <w:qFormat/>
    <w:uiPriority w:val="0"/>
    <w:rPr>
      <w:vertAlign w:val="superscript"/>
    </w:rPr>
  </w:style>
  <w:style w:type="character" w:styleId="45">
    <w:name w:val="page number"/>
    <w:basedOn w:val="42"/>
    <w:semiHidden/>
    <w:qFormat/>
    <w:uiPriority w:val="0"/>
  </w:style>
  <w:style w:type="character" w:styleId="46">
    <w:name w:val="FollowedHyperlink"/>
    <w:basedOn w:val="42"/>
    <w:semiHidden/>
    <w:unhideWhenUsed/>
    <w:qFormat/>
    <w:uiPriority w:val="99"/>
    <w:rPr>
      <w:color w:val="0000CC"/>
      <w:sz w:val="22"/>
      <w:szCs w:val="22"/>
      <w:u w:val="single"/>
    </w:rPr>
  </w:style>
  <w:style w:type="character" w:styleId="47">
    <w:name w:val="Emphasis"/>
    <w:qFormat/>
    <w:uiPriority w:val="0"/>
    <w:rPr>
      <w:color w:val="CC0033"/>
    </w:rPr>
  </w:style>
  <w:style w:type="character" w:styleId="48">
    <w:name w:val="Hyperlink"/>
    <w:basedOn w:val="42"/>
    <w:qFormat/>
    <w:uiPriority w:val="99"/>
    <w:rPr>
      <w:b/>
      <w:color w:val="0000CC"/>
      <w:sz w:val="22"/>
      <w:szCs w:val="22"/>
      <w:u w:val="single"/>
    </w:rPr>
  </w:style>
  <w:style w:type="character" w:styleId="49">
    <w:name w:val="annotation reference"/>
    <w:qFormat/>
    <w:uiPriority w:val="0"/>
    <w:rPr>
      <w:sz w:val="21"/>
      <w:szCs w:val="21"/>
    </w:rPr>
  </w:style>
  <w:style w:type="character" w:customStyle="1" w:styleId="50">
    <w:name w:val="纯文本 字符"/>
    <w:basedOn w:val="42"/>
    <w:link w:val="2"/>
    <w:qFormat/>
    <w:uiPriority w:val="99"/>
    <w:rPr>
      <w:rFonts w:ascii="宋体" w:hAnsi="Courier New" w:cs="Courier New"/>
      <w:kern w:val="2"/>
      <w:sz w:val="21"/>
      <w:szCs w:val="21"/>
    </w:rPr>
  </w:style>
  <w:style w:type="character" w:customStyle="1" w:styleId="51">
    <w:name w:val="标题 1 字符"/>
    <w:basedOn w:val="42"/>
    <w:link w:val="3"/>
    <w:qFormat/>
    <w:uiPriority w:val="0"/>
    <w:rPr>
      <w:rFonts w:ascii="Calibri" w:hAnsi="Calibri" w:cs="黑体"/>
      <w:b/>
      <w:bCs/>
      <w:kern w:val="44"/>
      <w:sz w:val="44"/>
      <w:szCs w:val="44"/>
    </w:rPr>
  </w:style>
  <w:style w:type="character" w:customStyle="1" w:styleId="52">
    <w:name w:val="标题 2 字符"/>
    <w:basedOn w:val="42"/>
    <w:link w:val="4"/>
    <w:qFormat/>
    <w:uiPriority w:val="0"/>
    <w:rPr>
      <w:rFonts w:ascii="Cambria" w:hAnsi="Cambria" w:eastAsia="宋体" w:cs="黑体"/>
      <w:b/>
      <w:bCs/>
      <w:kern w:val="2"/>
      <w:sz w:val="32"/>
      <w:szCs w:val="32"/>
    </w:rPr>
  </w:style>
  <w:style w:type="character" w:customStyle="1" w:styleId="53">
    <w:name w:val="标题 3 字符"/>
    <w:basedOn w:val="42"/>
    <w:link w:val="5"/>
    <w:qFormat/>
    <w:uiPriority w:val="0"/>
    <w:rPr>
      <w:rFonts w:ascii="黑体" w:hAnsi="黑体" w:eastAsia="黑体" w:cs="黑体"/>
      <w:bCs/>
      <w:kern w:val="2"/>
      <w:sz w:val="21"/>
      <w:szCs w:val="21"/>
    </w:rPr>
  </w:style>
  <w:style w:type="character" w:customStyle="1" w:styleId="54">
    <w:name w:val="标题 4 字符"/>
    <w:basedOn w:val="42"/>
    <w:link w:val="6"/>
    <w:qFormat/>
    <w:uiPriority w:val="0"/>
    <w:rPr>
      <w:rFonts w:ascii="Cambria" w:hAnsi="Cambria" w:cs="黑体"/>
      <w:b/>
      <w:bCs/>
      <w:kern w:val="2"/>
      <w:sz w:val="28"/>
      <w:szCs w:val="28"/>
    </w:rPr>
  </w:style>
  <w:style w:type="character" w:customStyle="1" w:styleId="55">
    <w:name w:val="标题 5 字符"/>
    <w:basedOn w:val="42"/>
    <w:link w:val="7"/>
    <w:qFormat/>
    <w:uiPriority w:val="0"/>
    <w:rPr>
      <w:rFonts w:ascii="Calibri" w:hAnsi="Calibri" w:cs="黑体"/>
      <w:b/>
      <w:kern w:val="2"/>
      <w:sz w:val="28"/>
      <w:szCs w:val="22"/>
    </w:rPr>
  </w:style>
  <w:style w:type="character" w:customStyle="1" w:styleId="56">
    <w:name w:val="标题 6 字符"/>
    <w:basedOn w:val="42"/>
    <w:link w:val="8"/>
    <w:uiPriority w:val="0"/>
    <w:rPr>
      <w:rFonts w:ascii="Arial" w:hAnsi="Arial" w:eastAsia="黑体" w:cs="黑体"/>
      <w:b/>
      <w:kern w:val="2"/>
      <w:sz w:val="24"/>
      <w:szCs w:val="22"/>
    </w:rPr>
  </w:style>
  <w:style w:type="character" w:customStyle="1" w:styleId="57">
    <w:name w:val="标题 7 字符"/>
    <w:basedOn w:val="42"/>
    <w:link w:val="9"/>
    <w:qFormat/>
    <w:uiPriority w:val="0"/>
    <w:rPr>
      <w:rFonts w:ascii="Calibri" w:hAnsi="Calibri" w:cs="黑体"/>
      <w:b/>
      <w:kern w:val="2"/>
      <w:sz w:val="24"/>
      <w:szCs w:val="22"/>
    </w:rPr>
  </w:style>
  <w:style w:type="character" w:customStyle="1" w:styleId="58">
    <w:name w:val="标题 8 字符"/>
    <w:basedOn w:val="42"/>
    <w:link w:val="10"/>
    <w:qFormat/>
    <w:uiPriority w:val="0"/>
    <w:rPr>
      <w:rFonts w:ascii="Arial" w:hAnsi="Arial" w:eastAsia="黑体" w:cs="黑体"/>
      <w:kern w:val="2"/>
      <w:sz w:val="24"/>
      <w:szCs w:val="22"/>
    </w:rPr>
  </w:style>
  <w:style w:type="character" w:customStyle="1" w:styleId="59">
    <w:name w:val="标题 9 字符"/>
    <w:basedOn w:val="42"/>
    <w:link w:val="11"/>
    <w:qFormat/>
    <w:uiPriority w:val="0"/>
    <w:rPr>
      <w:rFonts w:ascii="Arial" w:hAnsi="Arial" w:eastAsia="黑体" w:cs="黑体"/>
      <w:kern w:val="2"/>
      <w:sz w:val="21"/>
      <w:szCs w:val="22"/>
    </w:rPr>
  </w:style>
  <w:style w:type="character" w:customStyle="1" w:styleId="60">
    <w:name w:val="文档结构图 字符"/>
    <w:basedOn w:val="42"/>
    <w:link w:val="15"/>
    <w:qFormat/>
    <w:uiPriority w:val="0"/>
    <w:rPr>
      <w:rFonts w:ascii="宋体" w:hAnsi="Times New Roman" w:eastAsia="宋体" w:cs="Times New Roman"/>
      <w:sz w:val="18"/>
      <w:szCs w:val="18"/>
    </w:rPr>
  </w:style>
  <w:style w:type="character" w:customStyle="1" w:styleId="61">
    <w:name w:val="批注文字 字符"/>
    <w:basedOn w:val="42"/>
    <w:link w:val="16"/>
    <w:qFormat/>
    <w:uiPriority w:val="0"/>
    <w:rPr>
      <w:rFonts w:eastAsia="Times New Roman" w:asciiTheme="minorHAnsi" w:hAnsiTheme="minorHAnsi" w:cstheme="minorBidi"/>
      <w:sz w:val="24"/>
      <w:szCs w:val="24"/>
    </w:rPr>
  </w:style>
  <w:style w:type="character" w:customStyle="1" w:styleId="62">
    <w:name w:val="正文文本 字符"/>
    <w:basedOn w:val="42"/>
    <w:link w:val="17"/>
    <w:qFormat/>
    <w:uiPriority w:val="0"/>
    <w:rPr>
      <w:b/>
      <w:bCs/>
      <w:kern w:val="2"/>
      <w:sz w:val="28"/>
      <w:szCs w:val="24"/>
    </w:rPr>
  </w:style>
  <w:style w:type="character" w:customStyle="1" w:styleId="63">
    <w:name w:val="正文文本缩进 字符"/>
    <w:basedOn w:val="42"/>
    <w:link w:val="18"/>
    <w:qFormat/>
    <w:uiPriority w:val="0"/>
    <w:rPr>
      <w:spacing w:val="-1"/>
      <w:sz w:val="18"/>
      <w:szCs w:val="26"/>
    </w:rPr>
  </w:style>
  <w:style w:type="character" w:customStyle="1" w:styleId="64">
    <w:name w:val="日期 字符"/>
    <w:basedOn w:val="42"/>
    <w:link w:val="22"/>
    <w:qFormat/>
    <w:uiPriority w:val="0"/>
    <w:rPr>
      <w:rFonts w:ascii="Times New Roman" w:hAnsi="Times New Roman" w:eastAsia="宋体" w:cs="Times New Roman"/>
      <w:szCs w:val="24"/>
    </w:rPr>
  </w:style>
  <w:style w:type="character" w:customStyle="1" w:styleId="65">
    <w:name w:val="正文文本缩进 2 字符"/>
    <w:basedOn w:val="42"/>
    <w:link w:val="23"/>
    <w:qFormat/>
    <w:uiPriority w:val="0"/>
    <w:rPr>
      <w:kern w:val="2"/>
      <w:sz w:val="21"/>
      <w:szCs w:val="21"/>
    </w:rPr>
  </w:style>
  <w:style w:type="character" w:customStyle="1" w:styleId="66">
    <w:name w:val="尾注文本 字符"/>
    <w:basedOn w:val="42"/>
    <w:link w:val="24"/>
    <w:qFormat/>
    <w:uiPriority w:val="0"/>
    <w:rPr>
      <w:rFonts w:ascii="宋体" w:hAnsi="宋体"/>
      <w:kern w:val="2"/>
      <w:sz w:val="21"/>
      <w:szCs w:val="24"/>
    </w:rPr>
  </w:style>
  <w:style w:type="character" w:customStyle="1" w:styleId="67">
    <w:name w:val="批注框文本 字符"/>
    <w:basedOn w:val="42"/>
    <w:link w:val="25"/>
    <w:qFormat/>
    <w:uiPriority w:val="0"/>
    <w:rPr>
      <w:rFonts w:ascii="Times New Roman" w:hAnsi="Times New Roman" w:eastAsia="宋体" w:cs="Times New Roman"/>
      <w:sz w:val="18"/>
      <w:szCs w:val="18"/>
    </w:rPr>
  </w:style>
  <w:style w:type="character" w:customStyle="1" w:styleId="68">
    <w:name w:val="页脚 字符"/>
    <w:basedOn w:val="42"/>
    <w:link w:val="26"/>
    <w:qFormat/>
    <w:uiPriority w:val="99"/>
    <w:rPr>
      <w:sz w:val="18"/>
      <w:szCs w:val="18"/>
    </w:rPr>
  </w:style>
  <w:style w:type="character" w:customStyle="1" w:styleId="69">
    <w:name w:val="页眉 字符"/>
    <w:basedOn w:val="42"/>
    <w:link w:val="27"/>
    <w:qFormat/>
    <w:uiPriority w:val="0"/>
    <w:rPr>
      <w:sz w:val="18"/>
      <w:szCs w:val="18"/>
    </w:rPr>
  </w:style>
  <w:style w:type="character" w:customStyle="1" w:styleId="70">
    <w:name w:val="目录 1 字符"/>
    <w:link w:val="28"/>
    <w:qFormat/>
    <w:uiPriority w:val="39"/>
    <w:rPr>
      <w:rFonts w:cs="Times New Roman"/>
      <w:b/>
      <w:bCs/>
      <w:caps/>
      <w:sz w:val="20"/>
      <w:szCs w:val="20"/>
    </w:rPr>
  </w:style>
  <w:style w:type="character" w:customStyle="1" w:styleId="71">
    <w:name w:val="目录 4 字符"/>
    <w:link w:val="29"/>
    <w:qFormat/>
    <w:uiPriority w:val="39"/>
    <w:rPr>
      <w:rFonts w:cs="Times New Roman"/>
      <w:sz w:val="18"/>
      <w:szCs w:val="18"/>
    </w:rPr>
  </w:style>
  <w:style w:type="character" w:customStyle="1" w:styleId="72">
    <w:name w:val="副标题 字符"/>
    <w:basedOn w:val="42"/>
    <w:link w:val="30"/>
    <w:qFormat/>
    <w:uiPriority w:val="0"/>
    <w:rPr>
      <w:rFonts w:ascii="Arial" w:hAnsi="Arial" w:eastAsia="Times New Roman" w:cstheme="minorBidi"/>
      <w:b/>
      <w:bCs/>
      <w:kern w:val="28"/>
      <w:sz w:val="32"/>
      <w:szCs w:val="32"/>
    </w:rPr>
  </w:style>
  <w:style w:type="character" w:customStyle="1" w:styleId="73">
    <w:name w:val="正文文本 2 字符"/>
    <w:basedOn w:val="42"/>
    <w:link w:val="34"/>
    <w:qFormat/>
    <w:uiPriority w:val="0"/>
    <w:rPr>
      <w:sz w:val="21"/>
      <w:szCs w:val="21"/>
    </w:rPr>
  </w:style>
  <w:style w:type="character" w:customStyle="1" w:styleId="74">
    <w:name w:val="HTML 预设格式 字符"/>
    <w:basedOn w:val="42"/>
    <w:link w:val="35"/>
    <w:qFormat/>
    <w:uiPriority w:val="0"/>
    <w:rPr>
      <w:rFonts w:ascii="宋体" w:hAnsi="宋体" w:cs="宋体"/>
      <w:sz w:val="24"/>
      <w:szCs w:val="24"/>
    </w:rPr>
  </w:style>
  <w:style w:type="character" w:customStyle="1" w:styleId="75">
    <w:name w:val="批注主题 字符"/>
    <w:basedOn w:val="61"/>
    <w:link w:val="38"/>
    <w:qFormat/>
    <w:uiPriority w:val="0"/>
    <w:rPr>
      <w:rFonts w:eastAsia="Times New Roman" w:asciiTheme="minorHAnsi" w:hAnsiTheme="minorHAnsi" w:cstheme="minorBidi"/>
      <w:b/>
      <w:bCs/>
      <w:sz w:val="24"/>
      <w:szCs w:val="24"/>
    </w:rPr>
  </w:style>
  <w:style w:type="character" w:customStyle="1" w:styleId="76">
    <w:name w:val="正文首行缩进 字符"/>
    <w:basedOn w:val="62"/>
    <w:link w:val="39"/>
    <w:qFormat/>
    <w:uiPriority w:val="0"/>
    <w:rPr>
      <w:rFonts w:ascii="宋体" w:hAnsi="宋体" w:cstheme="minorBidi"/>
      <w:b w:val="0"/>
      <w:bCs w:val="0"/>
      <w:kern w:val="2"/>
      <w:sz w:val="18"/>
      <w:szCs w:val="18"/>
    </w:rPr>
  </w:style>
  <w:style w:type="paragraph" w:customStyle="1" w:styleId="77">
    <w:name w:val="列出段落1"/>
    <w:basedOn w:val="1"/>
    <w:qFormat/>
    <w:uiPriority w:val="99"/>
    <w:pPr>
      <w:ind w:firstLine="420" w:firstLineChars="200"/>
    </w:pPr>
  </w:style>
  <w:style w:type="paragraph" w:customStyle="1" w:styleId="78">
    <w:name w:val="Char"/>
    <w:basedOn w:val="1"/>
    <w:qFormat/>
    <w:uiPriority w:val="0"/>
    <w:rPr>
      <w:rFonts w:ascii="Times New Roman" w:hAnsi="Times New Roman" w:cs="Times New Roman"/>
      <w:snapToGrid w:val="0"/>
      <w:spacing w:val="10"/>
      <w:kern w:val="0"/>
      <w:sz w:val="24"/>
      <w:szCs w:val="20"/>
    </w:rPr>
  </w:style>
  <w:style w:type="paragraph" w:customStyle="1" w:styleId="79">
    <w:name w:val="Char1"/>
    <w:basedOn w:val="1"/>
    <w:qFormat/>
    <w:uiPriority w:val="0"/>
    <w:rPr>
      <w:rFonts w:ascii="Times New Roman" w:hAnsi="Times New Roman" w:cs="Times New Roman"/>
      <w:snapToGrid w:val="0"/>
      <w:spacing w:val="10"/>
      <w:kern w:val="0"/>
      <w:sz w:val="24"/>
      <w:szCs w:val="20"/>
    </w:rPr>
  </w:style>
  <w:style w:type="paragraph" w:customStyle="1" w:styleId="80">
    <w:name w:val="Default"/>
    <w:qFormat/>
    <w:uiPriority w:val="0"/>
    <w:pPr>
      <w:widowControl w:val="0"/>
      <w:autoSpaceDE w:val="0"/>
      <w:autoSpaceDN w:val="0"/>
      <w:adjustRightInd w:val="0"/>
    </w:pPr>
    <w:rPr>
      <w:rFonts w:ascii="汉仪中黑简" w:hAnsi="Times New Roman" w:eastAsia="汉仪中黑简" w:cs="汉仪中黑简"/>
      <w:color w:val="000000"/>
      <w:sz w:val="24"/>
      <w:szCs w:val="24"/>
      <w:lang w:val="en-US" w:eastAsia="zh-CN" w:bidi="ar-SA"/>
    </w:rPr>
  </w:style>
  <w:style w:type="paragraph" w:customStyle="1" w:styleId="81">
    <w:name w:val="列出段落11"/>
    <w:basedOn w:val="1"/>
    <w:qFormat/>
    <w:uiPriority w:val="99"/>
    <w:pPr>
      <w:ind w:firstLine="420" w:firstLineChars="200"/>
    </w:pPr>
    <w:rPr>
      <w:rFonts w:ascii="Times New Roman" w:hAnsi="Times New Roman" w:cs="Times New Roman"/>
      <w:szCs w:val="24"/>
    </w:rPr>
  </w:style>
  <w:style w:type="paragraph" w:customStyle="1" w:styleId="82">
    <w:name w:val="TOC 标题1"/>
    <w:basedOn w:val="3"/>
    <w:next w:val="1"/>
    <w:unhideWhenUsed/>
    <w:qFormat/>
    <w:uiPriority w:val="39"/>
    <w:pPr>
      <w:widowControl/>
      <w:spacing w:before="480" w:after="0" w:line="276" w:lineRule="auto"/>
      <w:jc w:val="left"/>
      <w:outlineLvl w:val="9"/>
    </w:pPr>
    <w:rPr>
      <w:rFonts w:ascii="Cambria" w:hAnsi="Cambria"/>
      <w:color w:val="365F90"/>
      <w:kern w:val="0"/>
      <w:sz w:val="28"/>
      <w:szCs w:val="28"/>
    </w:rPr>
  </w:style>
  <w:style w:type="paragraph" w:customStyle="1" w:styleId="83">
    <w:name w:val="Bzz表格"/>
    <w:qFormat/>
    <w:uiPriority w:val="0"/>
    <w:pPr>
      <w:spacing w:line="276" w:lineRule="auto"/>
      <w:jc w:val="center"/>
    </w:pPr>
    <w:rPr>
      <w:rFonts w:ascii="宋体" w:hAnsi="宋体" w:eastAsia="宋体" w:cs="Arial"/>
      <w:color w:val="000000"/>
      <w:kern w:val="2"/>
      <w:sz w:val="21"/>
      <w:szCs w:val="24"/>
      <w:lang w:val="en-US" w:eastAsia="zh-CN" w:bidi="ar-SA"/>
    </w:rPr>
  </w:style>
  <w:style w:type="paragraph" w:customStyle="1" w:styleId="84">
    <w:name w:val="TOC 标题2"/>
    <w:basedOn w:val="3"/>
    <w:next w:val="1"/>
    <w:unhideWhenUsed/>
    <w:qFormat/>
    <w:uiPriority w:val="39"/>
    <w:pPr>
      <w:widowControl/>
      <w:spacing w:before="480" w:after="0" w:line="276" w:lineRule="auto"/>
      <w:jc w:val="left"/>
      <w:outlineLvl w:val="9"/>
    </w:pPr>
    <w:rPr>
      <w:rFonts w:ascii="Cambria" w:hAnsi="Cambria"/>
      <w:color w:val="365F90"/>
      <w:kern w:val="0"/>
      <w:sz w:val="28"/>
      <w:szCs w:val="28"/>
    </w:rPr>
  </w:style>
  <w:style w:type="paragraph" w:styleId="85">
    <w:name w:val="List Paragraph"/>
    <w:basedOn w:val="1"/>
    <w:qFormat/>
    <w:uiPriority w:val="99"/>
    <w:pPr>
      <w:ind w:firstLine="420" w:firstLineChars="200"/>
    </w:pPr>
  </w:style>
  <w:style w:type="paragraph" w:customStyle="1" w:styleId="86">
    <w:name w:val="WPSOffice手动目录 1"/>
    <w:qFormat/>
    <w:uiPriority w:val="0"/>
    <w:rPr>
      <w:rFonts w:ascii="Times New Roman" w:hAnsi="Times New Roman" w:eastAsia="宋体" w:cs="Times New Roman"/>
      <w:lang w:val="en-US" w:eastAsia="zh-CN" w:bidi="ar-SA"/>
    </w:rPr>
  </w:style>
  <w:style w:type="paragraph" w:customStyle="1" w:styleId="8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8">
    <w:name w:val="修订1"/>
    <w:hidden/>
    <w:unhideWhenUsed/>
    <w:qFormat/>
    <w:uiPriority w:val="99"/>
    <w:rPr>
      <w:rFonts w:ascii="Calibri" w:hAnsi="Calibri" w:eastAsia="宋体" w:cs="黑体"/>
      <w:kern w:val="2"/>
      <w:sz w:val="21"/>
      <w:szCs w:val="22"/>
      <w:lang w:val="en-US" w:eastAsia="zh-CN" w:bidi="ar-SA"/>
    </w:rPr>
  </w:style>
  <w:style w:type="character" w:customStyle="1" w:styleId="89">
    <w:name w:val="style51"/>
    <w:basedOn w:val="42"/>
    <w:qFormat/>
    <w:uiPriority w:val="0"/>
    <w:rPr>
      <w:sz w:val="36"/>
      <w:szCs w:val="36"/>
    </w:rPr>
  </w:style>
  <w:style w:type="paragraph" w:customStyle="1" w:styleId="90">
    <w:name w:val="Table Paragraph"/>
    <w:basedOn w:val="1"/>
    <w:qFormat/>
    <w:uiPriority w:val="1"/>
    <w:rPr>
      <w:rFonts w:ascii="Noto Sans CJK JP Regular" w:hAnsi="Noto Sans CJK JP Regular" w:eastAsia="Noto Sans CJK JP Regular" w:cs="Noto Sans CJK JP Regular"/>
    </w:rPr>
  </w:style>
  <w:style w:type="paragraph" w:customStyle="1" w:styleId="91">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92">
    <w:name w:val="标题 2 Char"/>
    <w:qFormat/>
    <w:uiPriority w:val="0"/>
    <w:rPr>
      <w:rFonts w:ascii="Arial" w:hAnsi="Arial" w:eastAsia="黑体"/>
      <w:b/>
      <w:sz w:val="32"/>
      <w:szCs w:val="32"/>
    </w:rPr>
  </w:style>
  <w:style w:type="paragraph" w:customStyle="1" w:styleId="93">
    <w:name w:val="表格文字"/>
    <w:basedOn w:val="1"/>
    <w:qFormat/>
    <w:uiPriority w:val="0"/>
    <w:pPr>
      <w:jc w:val="left"/>
    </w:pPr>
    <w:rPr>
      <w:rFonts w:eastAsia="Times New Roman" w:asciiTheme="minorHAnsi" w:hAnsiTheme="minorHAnsi" w:cstheme="minorBidi"/>
      <w:color w:val="000000"/>
      <w:kern w:val="0"/>
      <w:sz w:val="24"/>
      <w:szCs w:val="24"/>
    </w:rPr>
  </w:style>
  <w:style w:type="paragraph" w:customStyle="1" w:styleId="94">
    <w:name w:val="标题1"/>
    <w:basedOn w:val="1"/>
    <w:qFormat/>
    <w:uiPriority w:val="0"/>
    <w:pPr>
      <w:numPr>
        <w:ilvl w:val="0"/>
        <w:numId w:val="2"/>
      </w:numPr>
    </w:pPr>
    <w:rPr>
      <w:rFonts w:eastAsia="Times New Roman" w:asciiTheme="minorHAnsi" w:hAnsiTheme="minorHAnsi" w:cstheme="minorBidi"/>
      <w:kern w:val="0"/>
      <w:sz w:val="24"/>
      <w:szCs w:val="24"/>
    </w:rPr>
  </w:style>
  <w:style w:type="paragraph" w:customStyle="1" w:styleId="95">
    <w:name w:val="正文1"/>
    <w:basedOn w:val="1"/>
    <w:qFormat/>
    <w:uiPriority w:val="0"/>
    <w:pPr>
      <w:adjustRightInd w:val="0"/>
      <w:snapToGrid w:val="0"/>
      <w:spacing w:line="360" w:lineRule="auto"/>
      <w:ind w:firstLine="480" w:firstLineChars="200"/>
    </w:pPr>
    <w:rPr>
      <w:rFonts w:ascii="宋体" w:hAnsi="宋体" w:cstheme="minorBidi"/>
      <w:kern w:val="0"/>
      <w:sz w:val="24"/>
      <w:szCs w:val="24"/>
    </w:rPr>
  </w:style>
  <w:style w:type="paragraph" w:customStyle="1" w:styleId="96">
    <w:name w:val="表格正文"/>
    <w:basedOn w:val="1"/>
    <w:link w:val="97"/>
    <w:qFormat/>
    <w:uiPriority w:val="0"/>
    <w:pPr>
      <w:widowControl/>
      <w:spacing w:line="276" w:lineRule="auto"/>
      <w:jc w:val="left"/>
    </w:pPr>
    <w:rPr>
      <w:rFonts w:ascii="Times New Roman" w:hAnsi="Times New Roman" w:cs="Times"/>
      <w:kern w:val="0"/>
      <w:szCs w:val="21"/>
    </w:rPr>
  </w:style>
  <w:style w:type="character" w:customStyle="1" w:styleId="97">
    <w:name w:val="表格正文 Char"/>
    <w:link w:val="96"/>
    <w:qFormat/>
    <w:uiPriority w:val="0"/>
    <w:rPr>
      <w:rFonts w:cs="Times"/>
      <w:sz w:val="21"/>
      <w:szCs w:val="21"/>
    </w:rPr>
  </w:style>
  <w:style w:type="paragraph" w:customStyle="1" w:styleId="98">
    <w:name w:val="_Style 1"/>
    <w:basedOn w:val="1"/>
    <w:qFormat/>
    <w:uiPriority w:val="34"/>
    <w:pPr>
      <w:spacing w:line="360" w:lineRule="auto"/>
      <w:ind w:firstLine="420" w:firstLineChars="200"/>
    </w:pPr>
    <w:rPr>
      <w:rFonts w:ascii="宋体" w:hAnsi="宋体" w:cstheme="minorBidi"/>
      <w:kern w:val="0"/>
      <w:szCs w:val="24"/>
    </w:rPr>
  </w:style>
  <w:style w:type="paragraph" w:customStyle="1" w:styleId="99">
    <w:name w:val="p0"/>
    <w:basedOn w:val="1"/>
    <w:qFormat/>
    <w:uiPriority w:val="0"/>
    <w:pPr>
      <w:widowControl/>
    </w:pPr>
    <w:rPr>
      <w:rFonts w:ascii="Times New Roman" w:hAnsi="Times New Roman" w:cs="Times New Roman"/>
      <w:kern w:val="0"/>
      <w:szCs w:val="21"/>
    </w:rPr>
  </w:style>
  <w:style w:type="paragraph" w:customStyle="1" w:styleId="100">
    <w:name w:val="TOC 标题3"/>
    <w:basedOn w:val="3"/>
    <w:next w:val="1"/>
    <w:semiHidden/>
    <w:unhideWhenUsed/>
    <w:qFormat/>
    <w:uiPriority w:val="39"/>
    <w:pPr>
      <w:widowControl/>
      <w:numPr>
        <w:numId w:val="0"/>
      </w:numPr>
      <w:spacing w:before="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101">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03">
    <w:name w:val="xl66"/>
    <w:basedOn w:val="1"/>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04">
    <w:name w:val="xl6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5">
    <w:name w:val="xl68"/>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6">
    <w:name w:val="xl69"/>
    <w:basedOn w:val="1"/>
    <w:uiPriority w:val="0"/>
    <w:pPr>
      <w:widowControl/>
      <w:spacing w:before="100" w:beforeAutospacing="1" w:after="100" w:afterAutospacing="1"/>
      <w:jc w:val="left"/>
      <w:textAlignment w:val="center"/>
    </w:pPr>
    <w:rPr>
      <w:rFonts w:ascii="宋体" w:hAnsi="宋体" w:cs="宋体"/>
      <w:kern w:val="0"/>
      <w:sz w:val="18"/>
      <w:szCs w:val="18"/>
    </w:rPr>
  </w:style>
  <w:style w:type="paragraph" w:customStyle="1" w:styleId="107">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8">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9">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0">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111">
    <w:name w:val="TOC 标题4"/>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12">
    <w:name w:val="批注文字 字符1"/>
    <w:qFormat/>
    <w:uiPriority w:val="0"/>
    <w:rPr>
      <w:kern w:val="2"/>
      <w:sz w:val="21"/>
      <w:szCs w:val="24"/>
    </w:rPr>
  </w:style>
  <w:style w:type="paragraph" w:customStyle="1" w:styleId="113">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xl1307"/>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15">
    <w:name w:val="xl1308"/>
    <w:basedOn w:val="1"/>
    <w:uiPriority w:val="0"/>
    <w:pPr>
      <w:widowControl/>
      <w:spacing w:before="100" w:beforeAutospacing="1" w:after="100" w:afterAutospacing="1"/>
      <w:jc w:val="center"/>
    </w:pPr>
    <w:rPr>
      <w:rFonts w:ascii="宋体" w:hAnsi="宋体" w:cs="宋体"/>
      <w:kern w:val="0"/>
      <w:sz w:val="16"/>
      <w:szCs w:val="16"/>
    </w:rPr>
  </w:style>
  <w:style w:type="paragraph" w:customStyle="1" w:styleId="116">
    <w:name w:val="xl1309"/>
    <w:basedOn w:val="1"/>
    <w:uiPriority w:val="0"/>
    <w:pPr>
      <w:widowControl/>
      <w:spacing w:before="100" w:beforeAutospacing="1" w:after="100" w:afterAutospacing="1"/>
      <w:jc w:val="left"/>
    </w:pPr>
    <w:rPr>
      <w:rFonts w:ascii="宋体" w:hAnsi="宋体" w:cs="宋体"/>
      <w:b/>
      <w:bCs/>
      <w:kern w:val="0"/>
      <w:sz w:val="16"/>
      <w:szCs w:val="16"/>
    </w:rPr>
  </w:style>
  <w:style w:type="paragraph" w:customStyle="1" w:styleId="117">
    <w:name w:val="xl1310"/>
    <w:basedOn w:val="1"/>
    <w:uiPriority w:val="0"/>
    <w:pPr>
      <w:widowControl/>
      <w:spacing w:before="100" w:beforeAutospacing="1" w:after="100" w:afterAutospacing="1"/>
      <w:jc w:val="left"/>
    </w:pPr>
    <w:rPr>
      <w:rFonts w:ascii="宋体" w:hAnsi="宋体" w:cs="宋体"/>
      <w:kern w:val="0"/>
      <w:sz w:val="16"/>
      <w:szCs w:val="16"/>
    </w:rPr>
  </w:style>
  <w:style w:type="paragraph" w:customStyle="1" w:styleId="118">
    <w:name w:val="xl1311"/>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kern w:val="0"/>
      <w:sz w:val="18"/>
      <w:szCs w:val="18"/>
    </w:rPr>
  </w:style>
  <w:style w:type="paragraph" w:customStyle="1" w:styleId="119">
    <w:name w:val="xl1312"/>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color w:val="000000"/>
      <w:kern w:val="0"/>
      <w:sz w:val="18"/>
      <w:szCs w:val="18"/>
    </w:rPr>
  </w:style>
  <w:style w:type="paragraph" w:customStyle="1" w:styleId="120">
    <w:name w:val="xl13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1">
    <w:name w:val="xl1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2">
    <w:name w:val="xl13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3">
    <w:name w:val="xl1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4">
    <w:name w:val="xl13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5">
    <w:name w:val="xl13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6">
    <w:name w:val="xl1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7">
    <w:name w:val="xl13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8">
    <w:name w:val="修订2"/>
    <w:hidden/>
    <w:semiHidden/>
    <w:uiPriority w:val="99"/>
    <w:rPr>
      <w:rFonts w:ascii="Calibri" w:hAnsi="Calibri" w:eastAsia="宋体" w:cs="黑体"/>
      <w:kern w:val="2"/>
      <w:sz w:val="21"/>
      <w:szCs w:val="22"/>
      <w:lang w:val="en-US" w:eastAsia="zh-CN" w:bidi="ar-SA"/>
    </w:rPr>
  </w:style>
  <w:style w:type="paragraph" w:customStyle="1" w:styleId="129">
    <w:name w:val="Blockquote"/>
    <w:basedOn w:val="1"/>
    <w:qFormat/>
    <w:uiPriority w:val="0"/>
    <w:pPr>
      <w:autoSpaceDE w:val="0"/>
      <w:autoSpaceDN w:val="0"/>
      <w:adjustRightInd w:val="0"/>
      <w:spacing w:before="100" w:after="100"/>
      <w:ind w:left="360" w:right="360"/>
      <w:jc w:val="left"/>
    </w:pPr>
    <w:rPr>
      <w:rFonts w:ascii="Times New Roman" w:hAnsi="Times New Roman" w:cs="Times New Roman"/>
      <w:kern w:val="0"/>
      <w:sz w:val="24"/>
      <w:szCs w:val="20"/>
    </w:rPr>
  </w:style>
  <w:style w:type="paragraph" w:customStyle="1" w:styleId="130">
    <w:name w:val="xl74"/>
    <w:basedOn w:val="1"/>
    <w:uiPriority w:val="0"/>
    <w:pPr>
      <w:widowControl/>
      <w:shd w:val="clear" w:color="000000" w:fill="00B0F0"/>
      <w:spacing w:before="100" w:beforeAutospacing="1" w:after="100" w:afterAutospacing="1"/>
      <w:jc w:val="left"/>
    </w:pPr>
    <w:rPr>
      <w:rFonts w:ascii="宋体" w:hAnsi="宋体" w:cs="宋体"/>
      <w:kern w:val="0"/>
      <w:sz w:val="24"/>
      <w:szCs w:val="24"/>
    </w:rPr>
  </w:style>
  <w:style w:type="paragraph" w:customStyle="1" w:styleId="13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32">
    <w:name w:val="xl7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33">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34">
    <w:name w:val="xl78"/>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b/>
      <w:bCs/>
      <w:kern w:val="0"/>
      <w:sz w:val="24"/>
      <w:szCs w:val="24"/>
    </w:rPr>
  </w:style>
  <w:style w:type="paragraph" w:customStyle="1" w:styleId="135">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36">
    <w:name w:val="xl80"/>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137">
    <w:name w:val="xl81"/>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color w:val="000000"/>
      <w:kern w:val="0"/>
      <w:sz w:val="18"/>
      <w:szCs w:val="18"/>
    </w:rPr>
  </w:style>
  <w:style w:type="paragraph" w:customStyle="1" w:styleId="138">
    <w:name w:val="xl82"/>
    <w:basedOn w:val="1"/>
    <w:uiPriority w:val="0"/>
    <w:pPr>
      <w:widowControl/>
      <w:spacing w:before="100" w:beforeAutospacing="1" w:after="100" w:afterAutospacing="1"/>
      <w:jc w:val="left"/>
      <w:textAlignment w:val="center"/>
    </w:pPr>
    <w:rPr>
      <w:rFonts w:ascii="宋体" w:hAnsi="宋体" w:cs="宋体"/>
      <w:b/>
      <w:bCs/>
      <w:kern w:val="0"/>
      <w:sz w:val="18"/>
      <w:szCs w:val="18"/>
    </w:rPr>
  </w:style>
  <w:style w:type="paragraph" w:customStyle="1" w:styleId="13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0">
    <w:name w:val="xl8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1">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14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43">
    <w:name w:val="xl87"/>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b/>
      <w:bCs/>
      <w:kern w:val="0"/>
      <w:sz w:val="24"/>
      <w:szCs w:val="24"/>
    </w:rPr>
  </w:style>
  <w:style w:type="paragraph" w:customStyle="1" w:styleId="144">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45">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b/>
      <w:bCs/>
      <w:kern w:val="0"/>
      <w:sz w:val="24"/>
      <w:szCs w:val="24"/>
    </w:rPr>
  </w:style>
  <w:style w:type="paragraph" w:customStyle="1" w:styleId="146">
    <w:name w:val="xl90"/>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147">
    <w:name w:val="xl91"/>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color w:val="000000"/>
      <w:kern w:val="0"/>
      <w:sz w:val="18"/>
      <w:szCs w:val="18"/>
    </w:rPr>
  </w:style>
  <w:style w:type="paragraph" w:customStyle="1" w:styleId="148">
    <w:name w:val="xl92"/>
    <w:basedOn w:val="1"/>
    <w:uiPriority w:val="0"/>
    <w:pPr>
      <w:widowControl/>
      <w:spacing w:before="100" w:beforeAutospacing="1" w:after="100" w:afterAutospacing="1"/>
      <w:jc w:val="left"/>
      <w:textAlignment w:val="center"/>
    </w:pPr>
    <w:rPr>
      <w:rFonts w:ascii="宋体" w:hAnsi="宋体" w:cs="宋体"/>
      <w:b/>
      <w:bCs/>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E5B8E-DA25-440C-B5E4-07526AF891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111</Pages>
  <Words>60524</Words>
  <Characters>67203</Characters>
  <Lines>563</Lines>
  <Paragraphs>158</Paragraphs>
  <TotalTime>44</TotalTime>
  <ScaleCrop>false</ScaleCrop>
  <LinksUpToDate>false</LinksUpToDate>
  <CharactersWithSpaces>69472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2019-03-25T08:27:00Z</dcterms:created>
  <dc:creator>NNRT</dc:creator>
  <cp:lastModifiedBy>NNRT</cp:lastModifiedBy>
  <cp:lastPrinted>2022-12-22T02:31:29Z</cp:lastPrinted>
  <dcterms:modified xsi:type="dcterms:W3CDTF">2022-12-22T02:37:49Z</dcterms:modified>
  <cp:revision>1029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5E19B21AB3B74B0E9CAFAD83C950DC1B</vt:lpwstr>
  </property>
</Properties>
</file>