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bookmarkStart w:id="200" w:name="_GoBack"/>
      <w:bookmarkEnd w:id="200"/>
    </w:p>
    <w:p>
      <w:pPr>
        <w:pStyle w:val="26"/>
        <w:spacing w:before="0"/>
        <w:ind w:left="1" w:right="0" w:firstLine="0"/>
        <w:jc w:val="center"/>
        <w:rPr>
          <w:rFonts w:hint="eastAsia" w:ascii="宋体" w:hAnsi="宋体"/>
          <w:b/>
          <w:color w:val="auto"/>
          <w:spacing w:val="-4"/>
          <w:sz w:val="44"/>
          <w:szCs w:val="44"/>
          <w:highlight w:val="none"/>
          <w:u w:val="single"/>
          <w:lang w:eastAsia="zh-CN"/>
        </w:rPr>
      </w:pPr>
      <w:r>
        <w:rPr>
          <w:rFonts w:hint="eastAsia" w:ascii="宋体" w:hAnsi="宋体"/>
          <w:b/>
          <w:color w:val="auto"/>
          <w:spacing w:val="-4"/>
          <w:sz w:val="44"/>
          <w:szCs w:val="44"/>
          <w:highlight w:val="none"/>
          <w:u w:val="single"/>
        </w:rPr>
        <w:t>南宁轨道交通运营有限公司</w:t>
      </w:r>
      <w:r>
        <w:rPr>
          <w:rFonts w:hint="eastAsia" w:ascii="宋体" w:hAnsi="宋体"/>
          <w:b/>
          <w:color w:val="auto"/>
          <w:spacing w:val="-4"/>
          <w:sz w:val="44"/>
          <w:szCs w:val="44"/>
          <w:highlight w:val="none"/>
          <w:u w:val="single"/>
          <w:lang w:eastAsia="zh-CN"/>
        </w:rPr>
        <w:t>2022年普通固废</w:t>
      </w:r>
    </w:p>
    <w:p>
      <w:pPr>
        <w:pStyle w:val="26"/>
        <w:spacing w:before="0"/>
        <w:ind w:left="1" w:right="0" w:firstLine="0"/>
        <w:jc w:val="center"/>
        <w:rPr>
          <w:rFonts w:hint="default" w:ascii="宋体" w:hAnsi="宋体"/>
          <w:b/>
          <w:color w:val="auto"/>
          <w:spacing w:val="-4"/>
          <w:sz w:val="44"/>
          <w:szCs w:val="44"/>
          <w:highlight w:val="none"/>
          <w:lang w:val="en-US"/>
        </w:rPr>
      </w:pPr>
      <w:r>
        <w:rPr>
          <w:rFonts w:hint="eastAsia" w:ascii="宋体" w:hAnsi="宋体"/>
          <w:b/>
          <w:color w:val="auto"/>
          <w:spacing w:val="-4"/>
          <w:sz w:val="44"/>
          <w:szCs w:val="44"/>
          <w:highlight w:val="none"/>
          <w:u w:val="single"/>
          <w:lang w:eastAsia="zh-CN"/>
        </w:rPr>
        <w:t>出售处置项目（废铁屑）</w:t>
      </w:r>
      <w:r>
        <w:rPr>
          <w:rFonts w:hint="eastAsia" w:ascii="宋体" w:hAnsi="宋体"/>
          <w:b/>
          <w:color w:val="auto"/>
          <w:spacing w:val="-4"/>
          <w:sz w:val="44"/>
          <w:szCs w:val="44"/>
          <w:highlight w:val="none"/>
          <w:u w:val="single"/>
          <w:lang w:val="en-US" w:eastAsia="zh-CN"/>
        </w:rPr>
        <w:t>第二次</w:t>
      </w:r>
    </w:p>
    <w:p>
      <w:pPr>
        <w:pStyle w:val="26"/>
        <w:spacing w:before="0"/>
        <w:ind w:left="1" w:right="-57" w:firstLine="0"/>
        <w:jc w:val="center"/>
        <w:rPr>
          <w:rFonts w:ascii="宋体" w:hAnsi="宋体"/>
          <w:b/>
          <w:color w:val="auto"/>
          <w:spacing w:val="-4"/>
          <w:sz w:val="44"/>
          <w:szCs w:val="44"/>
          <w:highlight w:val="none"/>
        </w:rPr>
      </w:pPr>
    </w:p>
    <w:p>
      <w:pPr>
        <w:spacing w:before="0"/>
        <w:ind w:left="0" w:right="-57" w:firstLine="0"/>
        <w:jc w:val="center"/>
        <w:rPr>
          <w:rFonts w:ascii="宋体" w:hAnsi="宋体"/>
          <w:b/>
          <w:color w:val="auto"/>
          <w:sz w:val="72"/>
          <w:szCs w:val="72"/>
          <w:highlight w:val="none"/>
        </w:rPr>
      </w:pPr>
    </w:p>
    <w:p>
      <w:pPr>
        <w:spacing w:before="0"/>
        <w:ind w:left="0" w:right="-57" w:firstLine="0"/>
        <w:jc w:val="center"/>
        <w:rPr>
          <w:rFonts w:ascii="宋体" w:hAnsi="宋体"/>
          <w:b/>
          <w:color w:val="auto"/>
          <w:sz w:val="72"/>
          <w:szCs w:val="7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0"/>
        <w:ind w:left="0" w:right="-57" w:firstLine="0"/>
        <w:jc w:val="center"/>
        <w:rPr>
          <w:rFonts w:ascii="宋体" w:hAnsi="宋体"/>
          <w:b/>
          <w:color w:val="auto"/>
          <w:sz w:val="48"/>
          <w:szCs w:val="48"/>
          <w:highlight w:val="none"/>
        </w:rPr>
      </w:pPr>
    </w:p>
    <w:p>
      <w:pPr>
        <w:spacing w:before="720"/>
        <w:ind w:left="1801" w:right="-57" w:hanging="180"/>
        <w:rPr>
          <w:rFonts w:ascii="宋体" w:hAnsi="宋体"/>
          <w:b/>
          <w:color w:val="auto"/>
          <w:sz w:val="32"/>
          <w:szCs w:val="32"/>
          <w:highlight w:val="none"/>
        </w:rPr>
      </w:pPr>
    </w:p>
    <w:p>
      <w:pPr>
        <w:spacing w:before="0"/>
        <w:ind w:left="1801" w:right="-57" w:hanging="180"/>
        <w:rPr>
          <w:rFonts w:hint="eastAsia" w:ascii="宋体" w:hAnsi="宋体"/>
          <w:b/>
          <w:color w:val="auto"/>
          <w:sz w:val="32"/>
          <w:szCs w:val="32"/>
          <w:highlight w:val="none"/>
        </w:rPr>
      </w:pPr>
      <w:r>
        <w:rPr>
          <w:rFonts w:hint="eastAsia" w:ascii="宋体" w:hAnsi="宋体"/>
          <w:b/>
          <w:color w:val="auto"/>
          <w:sz w:val="32"/>
          <w:szCs w:val="32"/>
          <w:highlight w:val="none"/>
        </w:rPr>
        <w:t>项目编号：202210170002</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hint="eastAsia" w:ascii="宋体" w:hAnsi="宋体"/>
          <w:b/>
          <w:color w:val="auto"/>
          <w:sz w:val="32"/>
          <w:szCs w:val="32"/>
          <w:highlight w:val="none"/>
        </w:rPr>
        <w:t>南宁轨道交通运营有限公司</w:t>
      </w:r>
    </w:p>
    <w:p>
      <w:pPr>
        <w:spacing w:before="0"/>
        <w:ind w:right="-57" w:firstLine="2891" w:firstLineChars="800"/>
        <w:rPr>
          <w:rFonts w:ascii="宋体" w:hAnsi="宋体" w:cs="宋体"/>
          <w:b/>
          <w:color w:val="auto"/>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color w:val="auto"/>
          <w:sz w:val="36"/>
          <w:szCs w:val="36"/>
          <w:highlight w:val="none"/>
        </w:rPr>
        <w:t>2</w:t>
      </w:r>
      <w:r>
        <w:rPr>
          <w:rFonts w:ascii="宋体" w:hAnsi="宋体"/>
          <w:b/>
          <w:color w:val="auto"/>
          <w:sz w:val="36"/>
          <w:szCs w:val="36"/>
          <w:highlight w:val="none"/>
        </w:rPr>
        <w:t>022年1</w:t>
      </w:r>
      <w:r>
        <w:rPr>
          <w:rFonts w:hint="eastAsia" w:ascii="宋体" w:hAnsi="宋体"/>
          <w:b/>
          <w:color w:val="auto"/>
          <w:sz w:val="36"/>
          <w:szCs w:val="36"/>
          <w:highlight w:val="none"/>
          <w:lang w:val="en-US" w:eastAsia="zh-CN"/>
        </w:rPr>
        <w:t>2</w:t>
      </w:r>
      <w:r>
        <w:rPr>
          <w:rFonts w:ascii="宋体" w:hAnsi="宋体"/>
          <w:b/>
          <w:color w:val="auto"/>
          <w:sz w:val="36"/>
          <w:szCs w:val="36"/>
          <w:highlight w:val="none"/>
        </w:rPr>
        <w:t>月</w:t>
      </w: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eastAsia" w:ascii="宋体" w:hAnsi="宋体" w:eastAsia="宋体" w:cs="宋体"/>
          <w:b w:val="0"/>
          <w:bCs w:val="0"/>
          <w:color w:val="auto"/>
          <w:sz w:val="21"/>
          <w:szCs w:val="21"/>
          <w:highlight w:val="none"/>
          <w:lang w:val="zh-CN"/>
        </w:rPr>
      </w:sdtEndPr>
      <w:sdtContent>
        <w:p>
          <w:pPr>
            <w:pStyle w:val="50"/>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9"/>
            <w:tabs>
              <w:tab w:val="right" w:leader="dot" w:pos="9059"/>
            </w:tabs>
            <w:rPr>
              <w:rFonts w:asciiTheme="minorHAnsi" w:hAnsiTheme="minorHAnsi" w:eastAsiaTheme="minorEastAsia" w:cstheme="minorBidi"/>
              <w:color w:val="auto"/>
              <w:kern w:val="2"/>
              <w:szCs w:val="22"/>
              <w:highlight w:val="none"/>
            </w:rPr>
          </w:pPr>
          <w:r>
            <w:rPr>
              <w:rFonts w:ascii="宋体" w:hAnsi="宋体"/>
              <w:color w:val="auto"/>
              <w:highlight w:val="none"/>
            </w:rPr>
            <w:fldChar w:fldCharType="begin"/>
          </w:r>
          <w:r>
            <w:rPr>
              <w:rFonts w:ascii="宋体" w:hAnsi="宋体"/>
              <w:color w:val="auto"/>
              <w:highlight w:val="none"/>
            </w:rPr>
            <w:instrText xml:space="preserve"> TOC \o "1-2"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"_Toc101965673" </w:instrText>
          </w:r>
          <w:r>
            <w:rPr>
              <w:color w:val="auto"/>
              <w:highlight w:val="none"/>
            </w:rPr>
            <w:fldChar w:fldCharType="separate"/>
          </w:r>
          <w:r>
            <w:rPr>
              <w:rStyle w:val="35"/>
              <w:rFonts w:hint="eastAsia" w:hAnsi="宋体"/>
              <w:b/>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_Toc101965673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9"/>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"_Toc101965674" </w:instrText>
          </w:r>
          <w:r>
            <w:rPr>
              <w:color w:val="auto"/>
              <w:highlight w:val="none"/>
            </w:rPr>
            <w:fldChar w:fldCharType="separate"/>
          </w:r>
          <w:r>
            <w:rPr>
              <w:rStyle w:val="35"/>
              <w:rFonts w:hint="eastAsia" w:hAnsi="宋体"/>
              <w:b/>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_Toc101965674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"_Toc101965675" </w:instrText>
          </w:r>
          <w:r>
            <w:rPr>
              <w:color w:val="auto"/>
              <w:highlight w:val="none"/>
            </w:rPr>
            <w:fldChar w:fldCharType="separate"/>
          </w:r>
          <w:r>
            <w:rPr>
              <w:rStyle w:val="35"/>
              <w:rFonts w:hint="eastAsia" w:ascii="宋体" w:hAnsi="宋体"/>
              <w:color w:val="auto"/>
              <w:highlight w:val="none"/>
            </w:rPr>
            <w:t>一、项目概况</w:t>
          </w:r>
          <w:r>
            <w:rPr>
              <w:color w:val="auto"/>
              <w:highlight w:val="none"/>
            </w:rPr>
            <w:tab/>
          </w:r>
          <w:r>
            <w:rPr>
              <w:color w:val="auto"/>
              <w:highlight w:val="none"/>
            </w:rPr>
            <w:fldChar w:fldCharType="begin"/>
          </w:r>
          <w:r>
            <w:rPr>
              <w:color w:val="auto"/>
              <w:highlight w:val="none"/>
            </w:rPr>
            <w:instrText xml:space="preserve"> PAGEREF _Toc101965675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"_Toc101965676" </w:instrText>
          </w:r>
          <w:r>
            <w:rPr>
              <w:color w:val="auto"/>
              <w:highlight w:val="none"/>
            </w:rPr>
            <w:fldChar w:fldCharType="separate"/>
          </w:r>
          <w:r>
            <w:rPr>
              <w:rStyle w:val="35"/>
              <w:rFonts w:hint="eastAsia" w:ascii="宋体" w:hAnsi="宋体"/>
              <w:color w:val="auto"/>
              <w:highlight w:val="none"/>
            </w:rPr>
            <w:t>二、比选人资格要求</w:t>
          </w:r>
          <w:r>
            <w:rPr>
              <w:color w:val="auto"/>
              <w:highlight w:val="none"/>
            </w:rPr>
            <w:tab/>
          </w:r>
          <w:r>
            <w:rPr>
              <w:color w:val="auto"/>
              <w:highlight w:val="none"/>
            </w:rPr>
            <w:fldChar w:fldCharType="begin"/>
          </w:r>
          <w:r>
            <w:rPr>
              <w:color w:val="auto"/>
              <w:highlight w:val="none"/>
            </w:rPr>
            <w:instrText xml:space="preserve"> PAGEREF _Toc101965676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"_Toc101965677" </w:instrText>
          </w:r>
          <w:r>
            <w:rPr>
              <w:color w:val="auto"/>
              <w:highlight w:val="none"/>
            </w:rPr>
            <w:fldChar w:fldCharType="separate"/>
          </w:r>
          <w:r>
            <w:rPr>
              <w:rStyle w:val="35"/>
              <w:rFonts w:hint="eastAsia" w:ascii="宋体" w:hAnsi="宋体"/>
              <w:color w:val="auto"/>
              <w:highlight w:val="none"/>
            </w:rPr>
            <w:t>三、比选申请文件内容</w:t>
          </w:r>
          <w:r>
            <w:rPr>
              <w:color w:val="auto"/>
              <w:highlight w:val="none"/>
            </w:rPr>
            <w:tab/>
          </w:r>
          <w:r>
            <w:rPr>
              <w:color w:val="auto"/>
              <w:highlight w:val="none"/>
            </w:rPr>
            <w:fldChar w:fldCharType="begin"/>
          </w:r>
          <w:r>
            <w:rPr>
              <w:color w:val="auto"/>
              <w:highlight w:val="none"/>
            </w:rPr>
            <w:instrText xml:space="preserve"> PAGEREF _Toc101965677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"_Toc101965678" </w:instrText>
          </w:r>
          <w:r>
            <w:rPr>
              <w:color w:val="auto"/>
              <w:highlight w:val="none"/>
            </w:rPr>
            <w:fldChar w:fldCharType="separate"/>
          </w:r>
          <w:r>
            <w:rPr>
              <w:rStyle w:val="35"/>
              <w:rFonts w:hint="eastAsia" w:ascii="宋体" w:hAnsi="宋体"/>
              <w:color w:val="auto"/>
              <w:highlight w:val="none"/>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_Toc101965678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"_Toc101965679" </w:instrText>
          </w:r>
          <w:r>
            <w:rPr>
              <w:color w:val="auto"/>
              <w:highlight w:val="none"/>
            </w:rPr>
            <w:fldChar w:fldCharType="separate"/>
          </w:r>
          <w:r>
            <w:rPr>
              <w:rStyle w:val="35"/>
              <w:rFonts w:hint="eastAsia" w:ascii="宋体" w:hAnsi="宋体"/>
              <w:color w:val="auto"/>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_Toc101965679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"_Toc101965680" </w:instrText>
          </w:r>
          <w:r>
            <w:rPr>
              <w:color w:val="auto"/>
              <w:highlight w:val="none"/>
            </w:rPr>
            <w:fldChar w:fldCharType="separate"/>
          </w:r>
          <w:r>
            <w:rPr>
              <w:rStyle w:val="35"/>
              <w:rFonts w:hint="eastAsia" w:ascii="宋体" w:hAnsi="宋体"/>
              <w:color w:val="auto"/>
              <w:highlight w:val="none"/>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_Toc101965680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"_Toc101965681" </w:instrText>
          </w:r>
          <w:r>
            <w:rPr>
              <w:color w:val="auto"/>
              <w:highlight w:val="none"/>
            </w:rPr>
            <w:fldChar w:fldCharType="separate"/>
          </w:r>
          <w:r>
            <w:rPr>
              <w:rStyle w:val="35"/>
              <w:rFonts w:hint="eastAsia" w:ascii="宋体" w:hAnsi="宋体"/>
              <w:color w:val="auto"/>
              <w:highlight w:val="none"/>
            </w:rPr>
            <w:t>七、报价要求</w:t>
          </w:r>
          <w:r>
            <w:rPr>
              <w:color w:val="auto"/>
              <w:highlight w:val="none"/>
            </w:rPr>
            <w:tab/>
          </w:r>
          <w:r>
            <w:rPr>
              <w:color w:val="auto"/>
              <w:highlight w:val="none"/>
            </w:rPr>
            <w:fldChar w:fldCharType="begin"/>
          </w:r>
          <w:r>
            <w:rPr>
              <w:color w:val="auto"/>
              <w:highlight w:val="none"/>
            </w:rPr>
            <w:instrText xml:space="preserve"> PAGEREF _Toc101965681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"_Toc101965682" </w:instrText>
          </w:r>
          <w:r>
            <w:rPr>
              <w:color w:val="auto"/>
              <w:highlight w:val="none"/>
            </w:rPr>
            <w:fldChar w:fldCharType="separate"/>
          </w:r>
          <w:r>
            <w:rPr>
              <w:rStyle w:val="35"/>
              <w:rFonts w:hint="eastAsia" w:ascii="宋体" w:hAnsi="宋体"/>
              <w:color w:val="auto"/>
              <w:highlight w:val="none"/>
            </w:rPr>
            <w:t>八、评审规则</w:t>
          </w:r>
          <w:r>
            <w:rPr>
              <w:color w:val="auto"/>
              <w:highlight w:val="none"/>
            </w:rPr>
            <w:tab/>
          </w:r>
          <w:r>
            <w:rPr>
              <w:color w:val="auto"/>
              <w:highlight w:val="none"/>
            </w:rPr>
            <w:fldChar w:fldCharType="begin"/>
          </w:r>
          <w:r>
            <w:rPr>
              <w:color w:val="auto"/>
              <w:highlight w:val="none"/>
            </w:rPr>
            <w:instrText xml:space="preserve"> PAGEREF _Toc101965682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"_Toc101965683" </w:instrText>
          </w:r>
          <w:r>
            <w:rPr>
              <w:color w:val="auto"/>
              <w:highlight w:val="none"/>
            </w:rPr>
            <w:fldChar w:fldCharType="separate"/>
          </w:r>
          <w:r>
            <w:rPr>
              <w:rStyle w:val="35"/>
              <w:rFonts w:hint="eastAsia" w:ascii="宋体" w:hAnsi="宋体"/>
              <w:color w:val="auto"/>
              <w:highlight w:val="none"/>
            </w:rPr>
            <w:t>九、重新比选或不再比选</w:t>
          </w:r>
          <w:r>
            <w:rPr>
              <w:color w:val="auto"/>
              <w:highlight w:val="none"/>
            </w:rPr>
            <w:tab/>
          </w:r>
          <w:r>
            <w:rPr>
              <w:color w:val="auto"/>
              <w:highlight w:val="none"/>
            </w:rPr>
            <w:fldChar w:fldCharType="begin"/>
          </w:r>
          <w:r>
            <w:rPr>
              <w:color w:val="auto"/>
              <w:highlight w:val="none"/>
            </w:rPr>
            <w:instrText xml:space="preserve"> PAGEREF _Toc101965683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"_Toc101965684" </w:instrText>
          </w:r>
          <w:r>
            <w:rPr>
              <w:color w:val="auto"/>
              <w:highlight w:val="none"/>
            </w:rPr>
            <w:fldChar w:fldCharType="separate"/>
          </w:r>
          <w:r>
            <w:rPr>
              <w:rStyle w:val="35"/>
              <w:rFonts w:hint="eastAsia" w:ascii="宋体" w:hAnsi="宋体"/>
              <w:color w:val="auto"/>
              <w:highlight w:val="none"/>
            </w:rPr>
            <w:t>九、比选申请有效期</w:t>
          </w:r>
          <w:r>
            <w:rPr>
              <w:color w:val="auto"/>
              <w:highlight w:val="none"/>
            </w:rPr>
            <w:tab/>
          </w:r>
          <w:r>
            <w:rPr>
              <w:color w:val="auto"/>
              <w:highlight w:val="none"/>
            </w:rPr>
            <w:fldChar w:fldCharType="begin"/>
          </w:r>
          <w:r>
            <w:rPr>
              <w:color w:val="auto"/>
              <w:highlight w:val="none"/>
            </w:rPr>
            <w:instrText xml:space="preserve"> PAGEREF _Toc101965684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"_Toc101965685" </w:instrText>
          </w:r>
          <w:r>
            <w:rPr>
              <w:color w:val="auto"/>
              <w:highlight w:val="none"/>
            </w:rPr>
            <w:fldChar w:fldCharType="separate"/>
          </w:r>
          <w:r>
            <w:rPr>
              <w:rStyle w:val="35"/>
              <w:rFonts w:hint="eastAsia" w:ascii="宋体" w:hAnsi="宋体"/>
              <w:color w:val="auto"/>
              <w:highlight w:val="none"/>
            </w:rPr>
            <w:t>十、比选保证金</w:t>
          </w:r>
          <w:r>
            <w:rPr>
              <w:color w:val="auto"/>
              <w:highlight w:val="none"/>
            </w:rPr>
            <w:tab/>
          </w:r>
          <w:r>
            <w:rPr>
              <w:color w:val="auto"/>
              <w:highlight w:val="none"/>
            </w:rPr>
            <w:fldChar w:fldCharType="begin"/>
          </w:r>
          <w:r>
            <w:rPr>
              <w:color w:val="auto"/>
              <w:highlight w:val="none"/>
            </w:rPr>
            <w:instrText xml:space="preserve"> PAGEREF _Toc101965685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"_Toc101965686" </w:instrText>
          </w:r>
          <w:r>
            <w:rPr>
              <w:color w:val="auto"/>
              <w:highlight w:val="none"/>
            </w:rPr>
            <w:fldChar w:fldCharType="separate"/>
          </w:r>
          <w:r>
            <w:rPr>
              <w:rStyle w:val="35"/>
              <w:rFonts w:hint="eastAsia" w:ascii="宋体" w:hAnsi="宋体"/>
              <w:color w:val="auto"/>
              <w:highlight w:val="none"/>
            </w:rPr>
            <w:t>十一、履约担保</w:t>
          </w:r>
          <w:r>
            <w:rPr>
              <w:color w:val="auto"/>
              <w:highlight w:val="none"/>
            </w:rPr>
            <w:tab/>
          </w:r>
          <w:r>
            <w:rPr>
              <w:color w:val="auto"/>
              <w:highlight w:val="none"/>
            </w:rPr>
            <w:fldChar w:fldCharType="begin"/>
          </w:r>
          <w:r>
            <w:rPr>
              <w:color w:val="auto"/>
              <w:highlight w:val="none"/>
            </w:rPr>
            <w:instrText xml:space="preserve"> PAGEREF _Toc101965686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"_Toc101965687" </w:instrText>
          </w:r>
          <w:r>
            <w:rPr>
              <w:color w:val="auto"/>
              <w:highlight w:val="none"/>
            </w:rPr>
            <w:fldChar w:fldCharType="separate"/>
          </w:r>
          <w:r>
            <w:rPr>
              <w:rStyle w:val="35"/>
              <w:rFonts w:hint="eastAsia" w:ascii="宋体" w:hAnsi="宋体"/>
              <w:color w:val="auto"/>
              <w:highlight w:val="none"/>
            </w:rPr>
            <w:t>十二、不良信用名单条款</w:t>
          </w:r>
          <w:r>
            <w:rPr>
              <w:color w:val="auto"/>
              <w:highlight w:val="none"/>
            </w:rPr>
            <w:tab/>
          </w:r>
          <w:r>
            <w:rPr>
              <w:color w:val="auto"/>
              <w:highlight w:val="none"/>
            </w:rPr>
            <w:fldChar w:fldCharType="begin"/>
          </w:r>
          <w:r>
            <w:rPr>
              <w:color w:val="auto"/>
              <w:highlight w:val="none"/>
            </w:rPr>
            <w:instrText xml:space="preserve"> PAGEREF _Toc101965687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9"/>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"_Toc101965688" </w:instrText>
          </w:r>
          <w:r>
            <w:rPr>
              <w:color w:val="auto"/>
              <w:highlight w:val="none"/>
            </w:rPr>
            <w:fldChar w:fldCharType="separate"/>
          </w:r>
          <w:r>
            <w:rPr>
              <w:rStyle w:val="35"/>
              <w:rFonts w:hint="eastAsia" w:ascii="Arial" w:hAnsi="宋体" w:eastAsia="黑体"/>
              <w:b/>
              <w:color w:val="auto"/>
              <w:highlight w:val="none"/>
            </w:rPr>
            <w:t>第三章</w:t>
          </w:r>
          <w:r>
            <w:rPr>
              <w:rStyle w:val="35"/>
              <w:rFonts w:ascii="Arial" w:hAnsi="宋体" w:eastAsia="黑体"/>
              <w:b/>
              <w:color w:val="auto"/>
              <w:highlight w:val="none"/>
            </w:rPr>
            <w:t xml:space="preserve"> </w:t>
          </w:r>
          <w:r>
            <w:rPr>
              <w:rStyle w:val="35"/>
              <w:rFonts w:hint="eastAsia" w:ascii="Arial" w:hAnsi="宋体" w:eastAsia="黑体"/>
              <w:b/>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_Toc101965688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4"/>
            <w:tabs>
              <w:tab w:val="right" w:leader="dot" w:pos="9059"/>
            </w:tabs>
            <w:rPr>
              <w:rFonts w:hint="eastAsia"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"_Toc101965689" </w:instrText>
          </w:r>
          <w:r>
            <w:rPr>
              <w:color w:val="auto"/>
              <w:highlight w:val="none"/>
            </w:rPr>
            <w:fldChar w:fldCharType="separate"/>
          </w:r>
          <w:r>
            <w:rPr>
              <w:rStyle w:val="35"/>
              <w:rFonts w:hint="eastAsia" w:ascii="宋体" w:hAnsi="宋体"/>
              <w:color w:val="auto"/>
              <w:highlight w:val="none"/>
            </w:rPr>
            <w:t>第一部分</w:t>
          </w:r>
          <w:r>
            <w:rPr>
              <w:rStyle w:val="35"/>
              <w:rFonts w:ascii="宋体" w:hAnsi="宋体"/>
              <w:color w:val="auto"/>
              <w:highlight w:val="none"/>
            </w:rPr>
            <w:t xml:space="preserve"> </w:t>
          </w:r>
          <w:r>
            <w:rPr>
              <w:rStyle w:val="35"/>
              <w:rFonts w:hint="eastAsia" w:ascii="宋体" w:hAnsi="宋体"/>
              <w:color w:val="auto"/>
              <w:highlight w:val="none"/>
              <w:lang w:val="en-US" w:eastAsia="zh-CN"/>
            </w:rPr>
            <w:t>合同正文</w:t>
          </w:r>
          <w:r>
            <w:rPr>
              <w:color w:val="auto"/>
              <w:highlight w:val="none"/>
            </w:rPr>
            <w:tab/>
          </w:r>
          <w:r>
            <w:rPr>
              <w:color w:val="auto"/>
              <w:highlight w:val="none"/>
            </w:rPr>
            <w:fldChar w:fldCharType="end"/>
          </w:r>
          <w:r>
            <w:rPr>
              <w:rFonts w:hint="eastAsia"/>
              <w:color w:val="auto"/>
              <w:highlight w:val="none"/>
              <w:lang w:val="en-US" w:eastAsia="zh-CN"/>
            </w:rPr>
            <w:t>15</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"_Toc101965690" </w:instrText>
          </w:r>
          <w:r>
            <w:rPr>
              <w:color w:val="auto"/>
              <w:highlight w:val="none"/>
            </w:rPr>
            <w:fldChar w:fldCharType="separate"/>
          </w:r>
          <w:r>
            <w:rPr>
              <w:rStyle w:val="35"/>
              <w:rFonts w:hint="eastAsia"/>
              <w:color w:val="auto"/>
              <w:highlight w:val="none"/>
            </w:rPr>
            <w:t>第二部分</w:t>
          </w:r>
          <w:r>
            <w:rPr>
              <w:rStyle w:val="35"/>
              <w:color w:val="auto"/>
              <w:highlight w:val="none"/>
            </w:rPr>
            <w:t xml:space="preserve"> </w:t>
          </w:r>
          <w:r>
            <w:rPr>
              <w:rStyle w:val="35"/>
              <w:rFonts w:hint="eastAsia"/>
              <w:color w:val="auto"/>
              <w:highlight w:val="none"/>
              <w:lang w:val="en-US" w:eastAsia="zh-CN"/>
            </w:rPr>
            <w:t>合同标的</w:t>
          </w:r>
          <w:r>
            <w:rPr>
              <w:color w:val="auto"/>
              <w:highlight w:val="none"/>
            </w:rPr>
            <w:tab/>
          </w:r>
          <w:r>
            <w:rPr>
              <w:color w:val="auto"/>
              <w:highlight w:val="none"/>
            </w:rPr>
            <w:fldChar w:fldCharType="end"/>
          </w:r>
          <w:r>
            <w:rPr>
              <w:rFonts w:hint="eastAsia"/>
              <w:color w:val="auto"/>
              <w:highlight w:val="none"/>
              <w:lang w:val="en-US" w:eastAsia="zh-CN"/>
            </w:rPr>
            <w:t>15</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"_Toc101965691" </w:instrText>
          </w:r>
          <w:r>
            <w:rPr>
              <w:color w:val="auto"/>
              <w:highlight w:val="none"/>
            </w:rPr>
            <w:fldChar w:fldCharType="separate"/>
          </w:r>
          <w:r>
            <w:rPr>
              <w:rStyle w:val="35"/>
              <w:rFonts w:hint="eastAsia"/>
              <w:color w:val="auto"/>
              <w:highlight w:val="none"/>
            </w:rPr>
            <w:t>第三部分</w:t>
          </w:r>
          <w:r>
            <w:rPr>
              <w:rStyle w:val="35"/>
              <w:color w:val="auto"/>
              <w:highlight w:val="none"/>
            </w:rPr>
            <w:t xml:space="preserve"> </w:t>
          </w:r>
          <w:r>
            <w:rPr>
              <w:rStyle w:val="35"/>
              <w:rFonts w:hint="eastAsia"/>
              <w:color w:val="auto"/>
              <w:highlight w:val="none"/>
              <w:lang w:val="en-US" w:eastAsia="zh-CN"/>
            </w:rPr>
            <w:t>合同价格</w:t>
          </w:r>
          <w:r>
            <w:rPr>
              <w:color w:val="auto"/>
              <w:highlight w:val="none"/>
            </w:rPr>
            <w:tab/>
          </w:r>
          <w:r>
            <w:rPr>
              <w:color w:val="auto"/>
              <w:highlight w:val="none"/>
            </w:rPr>
            <w:fldChar w:fldCharType="end"/>
          </w:r>
          <w:r>
            <w:rPr>
              <w:rFonts w:hint="eastAsia"/>
              <w:color w:val="auto"/>
              <w:highlight w:val="none"/>
              <w:lang w:val="en-US" w:eastAsia="zh-CN"/>
            </w:rPr>
            <w:t>15</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"_Toc101965692" </w:instrText>
          </w:r>
          <w:r>
            <w:rPr>
              <w:color w:val="auto"/>
              <w:highlight w:val="none"/>
            </w:rPr>
            <w:fldChar w:fldCharType="separate"/>
          </w:r>
          <w:r>
            <w:rPr>
              <w:rStyle w:val="35"/>
              <w:rFonts w:hint="eastAsia" w:ascii="宋体" w:hAnsi="宋体"/>
              <w:color w:val="auto"/>
              <w:highlight w:val="none"/>
            </w:rPr>
            <w:t>第四部分</w:t>
          </w:r>
          <w:r>
            <w:rPr>
              <w:rStyle w:val="35"/>
              <w:rFonts w:ascii="宋体" w:hAnsi="宋体"/>
              <w:color w:val="auto"/>
              <w:highlight w:val="none"/>
            </w:rPr>
            <w:t xml:space="preserve"> </w:t>
          </w:r>
          <w:r>
            <w:rPr>
              <w:rStyle w:val="35"/>
              <w:rFonts w:hint="eastAsia" w:ascii="宋体" w:hAnsi="宋体"/>
              <w:color w:val="auto"/>
              <w:highlight w:val="none"/>
              <w:lang w:val="en-US" w:eastAsia="zh-CN"/>
            </w:rPr>
            <w:t>处置周期、时间要求及地点</w:t>
          </w:r>
          <w:r>
            <w:rPr>
              <w:color w:val="auto"/>
              <w:highlight w:val="none"/>
            </w:rPr>
            <w:tab/>
          </w:r>
          <w:r>
            <w:rPr>
              <w:color w:val="auto"/>
              <w:highlight w:val="none"/>
            </w:rPr>
            <w:fldChar w:fldCharType="end"/>
          </w:r>
          <w:r>
            <w:rPr>
              <w:rFonts w:hint="eastAsia"/>
              <w:color w:val="auto"/>
              <w:highlight w:val="none"/>
              <w:lang w:val="en-US" w:eastAsia="zh-CN"/>
            </w:rPr>
            <w:t>16</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"_Toc101965693" </w:instrText>
          </w:r>
          <w:r>
            <w:rPr>
              <w:color w:val="auto"/>
              <w:highlight w:val="none"/>
            </w:rPr>
            <w:fldChar w:fldCharType="separate"/>
          </w:r>
          <w:r>
            <w:rPr>
              <w:rStyle w:val="35"/>
              <w:rFonts w:hint="eastAsia"/>
              <w:color w:val="auto"/>
              <w:highlight w:val="none"/>
            </w:rPr>
            <w:t>第五部分</w:t>
          </w:r>
          <w:r>
            <w:rPr>
              <w:rStyle w:val="35"/>
              <w:color w:val="auto"/>
              <w:highlight w:val="none"/>
            </w:rPr>
            <w:t xml:space="preserve"> </w:t>
          </w:r>
          <w:r>
            <w:rPr>
              <w:rStyle w:val="35"/>
              <w:rFonts w:hint="eastAsia"/>
              <w:color w:val="auto"/>
              <w:highlight w:val="none"/>
              <w:lang w:val="en-US" w:eastAsia="zh-CN"/>
            </w:rPr>
            <w:t>收款</w:t>
          </w:r>
          <w:r>
            <w:rPr>
              <w:color w:val="auto"/>
              <w:highlight w:val="none"/>
            </w:rPr>
            <w:tab/>
          </w:r>
          <w:r>
            <w:rPr>
              <w:color w:val="auto"/>
              <w:highlight w:val="none"/>
            </w:rPr>
            <w:fldChar w:fldCharType="end"/>
          </w:r>
          <w:r>
            <w:rPr>
              <w:rFonts w:hint="eastAsia"/>
              <w:color w:val="auto"/>
              <w:highlight w:val="none"/>
              <w:lang w:val="en-US" w:eastAsia="zh-CN"/>
            </w:rPr>
            <w:t>16</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"_Toc101965694" </w:instrText>
          </w:r>
          <w:r>
            <w:rPr>
              <w:color w:val="auto"/>
              <w:highlight w:val="none"/>
            </w:rPr>
            <w:fldChar w:fldCharType="separate"/>
          </w:r>
          <w:r>
            <w:rPr>
              <w:rStyle w:val="35"/>
              <w:rFonts w:hint="eastAsia" w:ascii="宋体" w:hAnsi="宋体"/>
              <w:iCs/>
              <w:color w:val="auto"/>
              <w:highlight w:val="none"/>
            </w:rPr>
            <w:t>第六部分</w:t>
          </w:r>
          <w:r>
            <w:rPr>
              <w:rStyle w:val="35"/>
              <w:rFonts w:ascii="宋体" w:hAnsi="宋体"/>
              <w:iCs/>
              <w:color w:val="auto"/>
              <w:highlight w:val="none"/>
            </w:rPr>
            <w:t xml:space="preserve"> </w:t>
          </w:r>
          <w:r>
            <w:rPr>
              <w:rStyle w:val="35"/>
              <w:rFonts w:hint="eastAsia" w:ascii="宋体" w:hAnsi="宋体"/>
              <w:iCs/>
              <w:color w:val="auto"/>
              <w:highlight w:val="none"/>
              <w:lang w:val="en-US" w:eastAsia="zh-CN"/>
            </w:rPr>
            <w:t>双方责任</w:t>
          </w:r>
          <w:r>
            <w:rPr>
              <w:color w:val="auto"/>
              <w:highlight w:val="none"/>
            </w:rPr>
            <w:tab/>
          </w:r>
          <w:r>
            <w:rPr>
              <w:color w:val="auto"/>
              <w:highlight w:val="none"/>
            </w:rPr>
            <w:fldChar w:fldCharType="end"/>
          </w:r>
          <w:r>
            <w:rPr>
              <w:rFonts w:hint="eastAsia"/>
              <w:color w:val="auto"/>
              <w:highlight w:val="none"/>
              <w:lang w:val="en-US" w:eastAsia="zh-CN"/>
            </w:rPr>
            <w:t>16</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"_Toc101965695" </w:instrText>
          </w:r>
          <w:r>
            <w:rPr>
              <w:color w:val="auto"/>
              <w:highlight w:val="none"/>
            </w:rPr>
            <w:fldChar w:fldCharType="separate"/>
          </w:r>
          <w:r>
            <w:rPr>
              <w:rStyle w:val="35"/>
              <w:rFonts w:hint="eastAsia"/>
              <w:color w:val="auto"/>
              <w:highlight w:val="none"/>
            </w:rPr>
            <w:t>第七部分</w:t>
          </w:r>
          <w:r>
            <w:rPr>
              <w:rStyle w:val="35"/>
              <w:color w:val="auto"/>
              <w:highlight w:val="none"/>
            </w:rPr>
            <w:t xml:space="preserve"> </w:t>
          </w:r>
          <w:r>
            <w:rPr>
              <w:rStyle w:val="35"/>
              <w:rFonts w:hint="eastAsia"/>
              <w:color w:val="auto"/>
              <w:highlight w:val="none"/>
              <w:lang w:val="en-US" w:eastAsia="zh-CN"/>
            </w:rPr>
            <w:t>违约责任</w:t>
          </w:r>
          <w:r>
            <w:rPr>
              <w:color w:val="auto"/>
              <w:highlight w:val="none"/>
            </w:rPr>
            <w:tab/>
          </w:r>
          <w:r>
            <w:rPr>
              <w:color w:val="auto"/>
              <w:highlight w:val="none"/>
            </w:rPr>
            <w:fldChar w:fldCharType="end"/>
          </w:r>
          <w:r>
            <w:rPr>
              <w:rFonts w:hint="eastAsia"/>
              <w:color w:val="auto"/>
              <w:highlight w:val="none"/>
              <w:lang w:val="en-US" w:eastAsia="zh-CN"/>
            </w:rPr>
            <w:t>17</w:t>
          </w:r>
        </w:p>
        <w:p>
          <w:pPr>
            <w:pStyle w:val="24"/>
            <w:tabs>
              <w:tab w:val="right" w:leader="dot" w:pos="9059"/>
            </w:tabs>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第八部分</w:t>
          </w:r>
          <w:r>
            <w:rPr>
              <w:rStyle w:val="35"/>
              <w:color w:val="auto"/>
              <w:highlight w:val="none"/>
            </w:rPr>
            <w:t xml:space="preserve"> </w:t>
          </w:r>
          <w:r>
            <w:rPr>
              <w:rStyle w:val="35"/>
              <w:rFonts w:hint="eastAsia"/>
              <w:color w:val="auto"/>
              <w:highlight w:val="none"/>
              <w:lang w:val="en-US" w:eastAsia="zh-CN"/>
            </w:rPr>
            <w:t>不可抗力</w:t>
          </w:r>
          <w:r>
            <w:rPr>
              <w:color w:val="auto"/>
              <w:highlight w:val="none"/>
            </w:rPr>
            <w:tab/>
          </w:r>
          <w:r>
            <w:rPr>
              <w:color w:val="auto"/>
              <w:highlight w:val="none"/>
            </w:rPr>
            <w:fldChar w:fldCharType="end"/>
          </w:r>
          <w:r>
            <w:rPr>
              <w:rFonts w:hint="eastAsia"/>
              <w:color w:val="auto"/>
              <w:highlight w:val="none"/>
              <w:lang w:val="en-US" w:eastAsia="zh-CN"/>
            </w:rPr>
            <w:t>18</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w:t>
          </w:r>
          <w:r>
            <w:rPr>
              <w:rStyle w:val="35"/>
              <w:rFonts w:hint="eastAsia"/>
              <w:color w:val="auto"/>
              <w:highlight w:val="none"/>
              <w:lang w:val="en-US" w:eastAsia="zh-CN"/>
            </w:rPr>
            <w:t>九</w:t>
          </w:r>
          <w:r>
            <w:rPr>
              <w:rStyle w:val="35"/>
              <w:rFonts w:hint="eastAsia"/>
              <w:color w:val="auto"/>
              <w:highlight w:val="none"/>
            </w:rPr>
            <w:t>部分</w:t>
          </w:r>
          <w:r>
            <w:rPr>
              <w:rStyle w:val="35"/>
              <w:color w:val="auto"/>
              <w:highlight w:val="none"/>
            </w:rPr>
            <w:t xml:space="preserve"> </w:t>
          </w:r>
          <w:r>
            <w:rPr>
              <w:rStyle w:val="35"/>
              <w:rFonts w:hint="eastAsia"/>
              <w:color w:val="auto"/>
              <w:highlight w:val="none"/>
              <w:lang w:val="en-US" w:eastAsia="zh-CN"/>
            </w:rPr>
            <w:t>变更指示</w:t>
          </w:r>
          <w:r>
            <w:rPr>
              <w:color w:val="auto"/>
              <w:highlight w:val="none"/>
            </w:rPr>
            <w:tab/>
          </w:r>
          <w:r>
            <w:rPr>
              <w:color w:val="auto"/>
              <w:highlight w:val="none"/>
            </w:rPr>
            <w:fldChar w:fldCharType="end"/>
          </w:r>
          <w:r>
            <w:rPr>
              <w:rFonts w:hint="eastAsia"/>
              <w:color w:val="auto"/>
              <w:highlight w:val="none"/>
              <w:lang w:val="en-US" w:eastAsia="zh-CN"/>
            </w:rPr>
            <w:t>19</w:t>
          </w:r>
        </w:p>
        <w:p>
          <w:pPr>
            <w:pStyle w:val="24"/>
            <w:tabs>
              <w:tab w:val="right" w:leader="dot" w:pos="9059"/>
            </w:tabs>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w:t>
          </w:r>
          <w:r>
            <w:rPr>
              <w:rStyle w:val="35"/>
              <w:rFonts w:hint="eastAsia"/>
              <w:color w:val="auto"/>
              <w:highlight w:val="none"/>
              <w:lang w:val="en-US" w:eastAsia="zh-CN"/>
            </w:rPr>
            <w:t>十</w:t>
          </w:r>
          <w:r>
            <w:rPr>
              <w:rStyle w:val="35"/>
              <w:rFonts w:hint="eastAsia"/>
              <w:color w:val="auto"/>
              <w:highlight w:val="none"/>
            </w:rPr>
            <w:t>部分</w:t>
          </w:r>
          <w:r>
            <w:rPr>
              <w:rStyle w:val="35"/>
              <w:color w:val="auto"/>
              <w:highlight w:val="none"/>
            </w:rPr>
            <w:t xml:space="preserve"> </w:t>
          </w:r>
          <w:r>
            <w:rPr>
              <w:rStyle w:val="35"/>
              <w:rFonts w:hint="eastAsia"/>
              <w:color w:val="auto"/>
              <w:highlight w:val="none"/>
              <w:lang w:val="en-US" w:eastAsia="zh-CN"/>
            </w:rPr>
            <w:t>争端处理</w:t>
          </w:r>
          <w:r>
            <w:rPr>
              <w:color w:val="auto"/>
              <w:highlight w:val="none"/>
            </w:rPr>
            <w:tab/>
          </w:r>
          <w:r>
            <w:rPr>
              <w:color w:val="auto"/>
              <w:highlight w:val="none"/>
            </w:rPr>
            <w:fldChar w:fldCharType="end"/>
          </w:r>
          <w:r>
            <w:rPr>
              <w:rFonts w:hint="eastAsia"/>
              <w:color w:val="auto"/>
              <w:highlight w:val="none"/>
              <w:lang w:val="en-US" w:eastAsia="zh-CN"/>
            </w:rPr>
            <w:t>19</w:t>
          </w:r>
        </w:p>
        <w:p>
          <w:pPr>
            <w:pStyle w:val="24"/>
            <w:tabs>
              <w:tab w:val="right" w:leader="dot" w:pos="9059"/>
            </w:tabs>
            <w:rPr>
              <w:rFonts w:hint="default" w:eastAsia="宋体" w:asciiTheme="minorHAnsi" w:hAnsiTheme="minorHAnsi" w:cstheme="minorBidi"/>
              <w:color w:val="auto"/>
              <w:kern w:val="2"/>
              <w:szCs w:val="22"/>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w:t>
          </w:r>
          <w:r>
            <w:rPr>
              <w:rStyle w:val="35"/>
              <w:rFonts w:hint="eastAsia"/>
              <w:color w:val="auto"/>
              <w:highlight w:val="none"/>
              <w:lang w:val="en-US" w:eastAsia="zh-CN"/>
            </w:rPr>
            <w:t>十一</w:t>
          </w:r>
          <w:r>
            <w:rPr>
              <w:rStyle w:val="35"/>
              <w:rFonts w:hint="eastAsia"/>
              <w:color w:val="auto"/>
              <w:highlight w:val="none"/>
            </w:rPr>
            <w:t>部分</w:t>
          </w:r>
          <w:r>
            <w:rPr>
              <w:rStyle w:val="35"/>
              <w:color w:val="auto"/>
              <w:highlight w:val="none"/>
            </w:rPr>
            <w:t xml:space="preserve"> </w:t>
          </w:r>
          <w:r>
            <w:rPr>
              <w:rStyle w:val="35"/>
              <w:rFonts w:hint="eastAsia"/>
              <w:color w:val="auto"/>
              <w:highlight w:val="none"/>
              <w:lang w:val="en-US" w:eastAsia="zh-CN"/>
            </w:rPr>
            <w:t>合同期限</w:t>
          </w:r>
          <w:r>
            <w:rPr>
              <w:color w:val="auto"/>
              <w:highlight w:val="none"/>
            </w:rPr>
            <w:tab/>
          </w:r>
          <w:r>
            <w:rPr>
              <w:color w:val="auto"/>
              <w:highlight w:val="none"/>
            </w:rPr>
            <w:fldChar w:fldCharType="end"/>
          </w:r>
          <w:r>
            <w:rPr>
              <w:rFonts w:hint="eastAsia"/>
              <w:color w:val="auto"/>
              <w:highlight w:val="none"/>
              <w:lang w:val="en-US" w:eastAsia="zh-CN"/>
            </w:rPr>
            <w:t>19</w:t>
          </w:r>
        </w:p>
        <w:p>
          <w:pPr>
            <w:pStyle w:val="24"/>
            <w:tabs>
              <w:tab w:val="right" w:leader="dot" w:pos="9059"/>
            </w:tabs>
            <w:rPr>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"_Toc101965696" </w:instrText>
          </w:r>
          <w:r>
            <w:rPr>
              <w:color w:val="auto"/>
              <w:highlight w:val="none"/>
            </w:rPr>
            <w:fldChar w:fldCharType="separate"/>
          </w:r>
          <w:r>
            <w:rPr>
              <w:rStyle w:val="35"/>
              <w:rFonts w:hint="eastAsia"/>
              <w:color w:val="auto"/>
              <w:highlight w:val="none"/>
            </w:rPr>
            <w:t>第</w:t>
          </w:r>
          <w:r>
            <w:rPr>
              <w:rStyle w:val="35"/>
              <w:rFonts w:hint="eastAsia"/>
              <w:color w:val="auto"/>
              <w:highlight w:val="none"/>
              <w:lang w:val="en-US" w:eastAsia="zh-CN"/>
            </w:rPr>
            <w:t>十二</w:t>
          </w:r>
          <w:r>
            <w:rPr>
              <w:rStyle w:val="35"/>
              <w:rFonts w:hint="eastAsia"/>
              <w:color w:val="auto"/>
              <w:highlight w:val="none"/>
            </w:rPr>
            <w:t>部分</w:t>
          </w:r>
          <w:r>
            <w:rPr>
              <w:rStyle w:val="35"/>
              <w:color w:val="auto"/>
              <w:highlight w:val="none"/>
            </w:rPr>
            <w:t xml:space="preserve"> </w:t>
          </w:r>
          <w:r>
            <w:rPr>
              <w:rStyle w:val="35"/>
              <w:rFonts w:hint="eastAsia"/>
              <w:color w:val="auto"/>
              <w:highlight w:val="none"/>
              <w:lang w:val="en-US" w:eastAsia="zh-CN"/>
            </w:rPr>
            <w:t>合同生效与其他</w:t>
          </w:r>
          <w:r>
            <w:rPr>
              <w:color w:val="auto"/>
              <w:highlight w:val="none"/>
            </w:rPr>
            <w:tab/>
          </w:r>
          <w:r>
            <w:rPr>
              <w:color w:val="auto"/>
              <w:highlight w:val="none"/>
            </w:rPr>
            <w:fldChar w:fldCharType="end"/>
          </w:r>
          <w:r>
            <w:rPr>
              <w:rFonts w:hint="eastAsia"/>
              <w:color w:val="auto"/>
              <w:highlight w:val="none"/>
              <w:lang w:val="en-US" w:eastAsia="zh-CN"/>
            </w:rPr>
            <w:t>19</w:t>
          </w:r>
        </w:p>
        <w:p>
          <w:pPr>
            <w:pStyle w:val="19"/>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"_Toc101965697" </w:instrText>
          </w:r>
          <w:r>
            <w:rPr>
              <w:color w:val="auto"/>
              <w:highlight w:val="none"/>
            </w:rPr>
            <w:fldChar w:fldCharType="separate"/>
          </w:r>
          <w:r>
            <w:rPr>
              <w:rStyle w:val="35"/>
              <w:rFonts w:hint="eastAsia" w:ascii="Arial" w:hAnsi="宋体" w:eastAsia="黑体"/>
              <w:b/>
              <w:color w:val="auto"/>
              <w:highlight w:val="none"/>
            </w:rPr>
            <w:t>第四章</w:t>
          </w:r>
          <w:r>
            <w:rPr>
              <w:rStyle w:val="35"/>
              <w:rFonts w:ascii="Arial" w:hAnsi="宋体" w:eastAsia="黑体"/>
              <w:b/>
              <w:color w:val="auto"/>
              <w:highlight w:val="none"/>
            </w:rPr>
            <w:t xml:space="preserve"> </w:t>
          </w:r>
          <w:r>
            <w:rPr>
              <w:rStyle w:val="35"/>
              <w:rFonts w:hint="eastAsia" w:ascii="Arial" w:hAnsi="宋体" w:eastAsia="黑体"/>
              <w:b/>
              <w:color w:val="auto"/>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_Toc101965697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"_Toc101965698" </w:instrText>
          </w:r>
          <w:r>
            <w:rPr>
              <w:color w:val="auto"/>
              <w:highlight w:val="none"/>
            </w:rPr>
            <w:fldChar w:fldCharType="separate"/>
          </w:r>
          <w:r>
            <w:rPr>
              <w:rStyle w:val="35"/>
              <w:rFonts w:hint="eastAsia"/>
              <w:color w:val="auto"/>
              <w:highlight w:val="none"/>
            </w:rPr>
            <w:t>一、比选申请函</w:t>
          </w:r>
          <w:r>
            <w:rPr>
              <w:color w:val="auto"/>
              <w:highlight w:val="none"/>
            </w:rPr>
            <w:tab/>
          </w:r>
          <w:r>
            <w:rPr>
              <w:color w:val="auto"/>
              <w:highlight w:val="none"/>
            </w:rPr>
            <w:fldChar w:fldCharType="begin"/>
          </w:r>
          <w:r>
            <w:rPr>
              <w:color w:val="auto"/>
              <w:highlight w:val="none"/>
            </w:rPr>
            <w:instrText xml:space="preserve"> PAGEREF _Toc101965698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"_Toc101965699" </w:instrText>
          </w:r>
          <w:r>
            <w:rPr>
              <w:color w:val="auto"/>
              <w:highlight w:val="none"/>
            </w:rPr>
            <w:fldChar w:fldCharType="separate"/>
          </w:r>
          <w:r>
            <w:rPr>
              <w:rStyle w:val="35"/>
              <w:rFonts w:hint="eastAsia"/>
              <w:color w:val="auto"/>
              <w:highlight w:val="none"/>
            </w:rPr>
            <w:t>二、比选承诺函</w:t>
          </w:r>
          <w:r>
            <w:rPr>
              <w:color w:val="auto"/>
              <w:highlight w:val="none"/>
            </w:rPr>
            <w:tab/>
          </w:r>
          <w:r>
            <w:rPr>
              <w:color w:val="auto"/>
              <w:highlight w:val="none"/>
            </w:rPr>
            <w:fldChar w:fldCharType="begin"/>
          </w:r>
          <w:r>
            <w:rPr>
              <w:color w:val="auto"/>
              <w:highlight w:val="none"/>
            </w:rPr>
            <w:instrText xml:space="preserve"> PAGEREF _Toc101965699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"_Toc101965700" </w:instrText>
          </w:r>
          <w:r>
            <w:rPr>
              <w:color w:val="auto"/>
              <w:highlight w:val="none"/>
            </w:rPr>
            <w:fldChar w:fldCharType="separate"/>
          </w:r>
          <w:r>
            <w:rPr>
              <w:rStyle w:val="35"/>
              <w:rFonts w:hint="eastAsia"/>
              <w:color w:val="auto"/>
              <w:highlight w:val="none"/>
            </w:rPr>
            <w:t>三、比选申请报价表</w:t>
          </w:r>
          <w:r>
            <w:rPr>
              <w:color w:val="auto"/>
              <w:highlight w:val="none"/>
            </w:rPr>
            <w:tab/>
          </w:r>
          <w:r>
            <w:rPr>
              <w:color w:val="auto"/>
              <w:highlight w:val="none"/>
            </w:rPr>
            <w:fldChar w:fldCharType="begin"/>
          </w:r>
          <w:r>
            <w:rPr>
              <w:color w:val="auto"/>
              <w:highlight w:val="none"/>
            </w:rPr>
            <w:instrText xml:space="preserve"> PAGEREF _Toc101965700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"_Toc101965701" </w:instrText>
          </w:r>
          <w:r>
            <w:rPr>
              <w:color w:val="auto"/>
              <w:highlight w:val="none"/>
            </w:rPr>
            <w:fldChar w:fldCharType="separate"/>
          </w:r>
          <w:r>
            <w:rPr>
              <w:rStyle w:val="35"/>
              <w:rFonts w:hint="eastAsia"/>
              <w:color w:val="auto"/>
              <w:highlight w:val="none"/>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_Toc101965701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"_Toc101965702" </w:instrText>
          </w:r>
          <w:r>
            <w:rPr>
              <w:color w:val="auto"/>
              <w:highlight w:val="none"/>
            </w:rPr>
            <w:fldChar w:fldCharType="separate"/>
          </w:r>
          <w:r>
            <w:rPr>
              <w:rStyle w:val="35"/>
              <w:rFonts w:hint="eastAsia"/>
              <w:color w:val="auto"/>
              <w:highlight w:val="none"/>
            </w:rPr>
            <w:t>五、企业证照</w:t>
          </w:r>
          <w:r>
            <w:rPr>
              <w:color w:val="auto"/>
              <w:highlight w:val="none"/>
            </w:rPr>
            <w:tab/>
          </w:r>
          <w:r>
            <w:rPr>
              <w:color w:val="auto"/>
              <w:highlight w:val="none"/>
            </w:rPr>
            <w:fldChar w:fldCharType="begin"/>
          </w:r>
          <w:r>
            <w:rPr>
              <w:color w:val="auto"/>
              <w:highlight w:val="none"/>
            </w:rPr>
            <w:instrText xml:space="preserve"> PAGEREF _Toc101965702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rFonts w:hint="eastAsia"/>
              <w:color w:val="auto"/>
              <w:highlight w:val="none"/>
              <w:lang w:val="en-US" w:eastAsia="zh-CN"/>
            </w:rPr>
            <w:t xml:space="preserve"> </w:t>
          </w:r>
          <w:r>
            <w:rPr>
              <w:color w:val="auto"/>
              <w:highlight w:val="none"/>
            </w:rPr>
            <w:fldChar w:fldCharType="begin"/>
          </w:r>
          <w:r>
            <w:rPr>
              <w:color w:val="auto"/>
              <w:highlight w:val="none"/>
            </w:rPr>
            <w:instrText xml:space="preserve"> HYPERLINK \l "_Toc101965704" </w:instrText>
          </w:r>
          <w:r>
            <w:rPr>
              <w:color w:val="auto"/>
              <w:highlight w:val="none"/>
            </w:rPr>
            <w:fldChar w:fldCharType="separate"/>
          </w:r>
          <w:r>
            <w:rPr>
              <w:rFonts w:hint="eastAsia"/>
              <w:color w:val="auto"/>
              <w:highlight w:val="none"/>
              <w:lang w:val="en-US" w:eastAsia="zh-CN"/>
            </w:rPr>
            <w:t>六</w:t>
          </w:r>
          <w:r>
            <w:rPr>
              <w:rStyle w:val="35"/>
              <w:rFonts w:hint="eastAsia"/>
              <w:color w:val="auto"/>
              <w:highlight w:val="none"/>
            </w:rPr>
            <w:t>、比选响应表</w:t>
          </w:r>
          <w:r>
            <w:rPr>
              <w:color w:val="auto"/>
              <w:highlight w:val="none"/>
            </w:rPr>
            <w:tab/>
          </w:r>
          <w:r>
            <w:rPr>
              <w:color w:val="auto"/>
              <w:highlight w:val="none"/>
            </w:rPr>
            <w:fldChar w:fldCharType="begin"/>
          </w:r>
          <w:r>
            <w:rPr>
              <w:color w:val="auto"/>
              <w:highlight w:val="none"/>
            </w:rPr>
            <w:instrText xml:space="preserve"> PAGEREF _Toc101965704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24"/>
            <w:tabs>
              <w:tab w:val="right" w:leader="dot" w:pos="9059"/>
            </w:tabs>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"_Toc101965705" </w:instrText>
          </w:r>
          <w:r>
            <w:rPr>
              <w:color w:val="auto"/>
              <w:highlight w:val="none"/>
            </w:rPr>
            <w:fldChar w:fldCharType="separate"/>
          </w:r>
          <w:r>
            <w:rPr>
              <w:rFonts w:hint="eastAsia"/>
              <w:color w:val="auto"/>
              <w:highlight w:val="none"/>
              <w:lang w:val="en-US" w:eastAsia="zh-CN"/>
            </w:rPr>
            <w:t>七</w:t>
          </w:r>
          <w:r>
            <w:rPr>
              <w:rStyle w:val="35"/>
              <w:rFonts w:hint="eastAsia"/>
              <w:color w:val="auto"/>
              <w:highlight w:val="none"/>
            </w:rPr>
            <w:t>、其他</w:t>
          </w:r>
          <w:r>
            <w:rPr>
              <w:color w:val="auto"/>
              <w:highlight w:val="none"/>
            </w:rPr>
            <w:tab/>
          </w:r>
          <w:r>
            <w:rPr>
              <w:color w:val="auto"/>
              <w:highlight w:val="none"/>
            </w:rPr>
            <w:fldChar w:fldCharType="begin"/>
          </w:r>
          <w:r>
            <w:rPr>
              <w:color w:val="auto"/>
              <w:highlight w:val="none"/>
            </w:rPr>
            <w:instrText xml:space="preserve"> PAGEREF _Toc101965705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24"/>
            <w:tabs>
              <w:tab w:val="right" w:leader="dot" w:pos="9061"/>
            </w:tabs>
            <w:spacing w:line="240" w:lineRule="auto"/>
            <w:rPr>
              <w:rFonts w:ascii="宋体" w:hAnsi="宋体"/>
              <w:color w:val="auto"/>
              <w:highlight w:val="none"/>
            </w:rPr>
          </w:pPr>
          <w:r>
            <w:rPr>
              <w:rFonts w:ascii="宋体" w:hAnsi="宋体"/>
              <w:color w:val="auto"/>
              <w:highlight w:val="none"/>
            </w:rPr>
            <w:fldChar w:fldCharType="end"/>
          </w:r>
        </w:p>
      </w:sdtContent>
    </w:sdt>
    <w:p>
      <w:pPr>
        <w:pStyle w:val="19"/>
        <w:tabs>
          <w:tab w:val="right" w:leader="dot" w:pos="9072"/>
        </w:tabs>
        <w:spacing w:before="0" w:after="0" w:afterAutospacing="0" w:line="240" w:lineRule="auto"/>
        <w:ind w:right="-57" w:firstLine="437"/>
        <w:jc w:val="center"/>
        <w:rPr>
          <w:rFonts w:ascii="宋体" w:hAnsi="宋体"/>
          <w:color w:val="auto"/>
          <w:highlight w:val="none"/>
        </w:rPr>
      </w:pPr>
    </w:p>
    <w:p>
      <w:pPr>
        <w:pStyle w:val="13"/>
        <w:pageBreakBefore/>
        <w:ind w:right="-57" w:firstLine="0"/>
        <w:jc w:val="center"/>
        <w:outlineLvl w:val="0"/>
        <w:rPr>
          <w:rStyle w:val="43"/>
          <w:rFonts w:ascii="宋体" w:hAnsi="宋体" w:eastAsia="宋体"/>
          <w:color w:val="auto"/>
          <w:highlight w:val="none"/>
        </w:rPr>
      </w:pPr>
      <w:bookmarkStart w:id="0" w:name="_Toc26620"/>
      <w:bookmarkStart w:id="1" w:name="_Toc481"/>
      <w:bookmarkStart w:id="2" w:name="_Toc14762"/>
      <w:bookmarkStart w:id="3" w:name="_Toc492478714"/>
      <w:bookmarkStart w:id="4" w:name="_Toc26192"/>
      <w:bookmarkStart w:id="5" w:name="_Toc30647"/>
      <w:bookmarkStart w:id="6" w:name="_Toc375039061"/>
      <w:bookmarkStart w:id="7" w:name="_Toc101965673"/>
      <w:bookmarkStart w:id="8" w:name="_Toc5910"/>
      <w:bookmarkStart w:id="9" w:name="_Toc23476"/>
      <w:bookmarkStart w:id="10" w:name="_Toc23367"/>
      <w:bookmarkStart w:id="11" w:name="_Toc1363"/>
      <w:bookmarkStart w:id="12" w:name="_Toc3658"/>
      <w:bookmarkStart w:id="13" w:name="_Toc15211"/>
      <w:bookmarkStart w:id="14" w:name="_Toc25355"/>
      <w:bookmarkStart w:id="15" w:name="_Toc17906"/>
      <w:bookmarkStart w:id="16" w:name="_Toc1227"/>
      <w:bookmarkStart w:id="17" w:name="_Toc26939"/>
      <w:bookmarkStart w:id="18" w:name="_Toc3400"/>
      <w:bookmarkStart w:id="19" w:name="_Toc237"/>
      <w:r>
        <w:rPr>
          <w:rStyle w:val="43"/>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ascii="宋体" w:hAnsi="宋体"/>
          <w:b/>
          <w:color w:val="auto"/>
          <w:sz w:val="28"/>
          <w:szCs w:val="28"/>
          <w:highlight w:val="none"/>
          <w:u w:val="single"/>
        </w:rPr>
      </w:pPr>
      <w:r>
        <w:rPr>
          <w:rFonts w:hint="eastAsia" w:ascii="宋体" w:hAnsi="宋体"/>
          <w:b/>
          <w:color w:val="auto"/>
          <w:sz w:val="28"/>
          <w:szCs w:val="28"/>
          <w:highlight w:val="none"/>
          <w:u w:val="single"/>
        </w:rPr>
        <w:t>南宁轨道交通运营有限公司</w:t>
      </w:r>
      <w:r>
        <w:rPr>
          <w:rFonts w:hint="eastAsia" w:ascii="宋体" w:hAnsi="宋体"/>
          <w:b/>
          <w:color w:val="auto"/>
          <w:sz w:val="28"/>
          <w:szCs w:val="28"/>
          <w:highlight w:val="none"/>
          <w:u w:val="single"/>
          <w:lang w:eastAsia="zh-CN"/>
        </w:rPr>
        <w:t>2022年普通固废出售处置项目（废铁屑）</w:t>
      </w:r>
      <w:r>
        <w:rPr>
          <w:rFonts w:hint="eastAsia" w:ascii="宋体" w:hAnsi="宋体"/>
          <w:b/>
          <w:color w:val="auto"/>
          <w:sz w:val="28"/>
          <w:szCs w:val="28"/>
          <w:highlight w:val="none"/>
          <w:u w:val="single"/>
        </w:rPr>
        <w:t>比选公告</w:t>
      </w:r>
    </w:p>
    <w:p>
      <w:pPr>
        <w:spacing w:before="0" w:after="0" w:afterAutospacing="0"/>
        <w:ind w:left="0" w:right="0" w:firstLine="422" w:firstLineChars="200"/>
        <w:rPr>
          <w:rFonts w:ascii="宋体" w:hAnsi="宋体"/>
          <w:b/>
          <w:color w:val="auto"/>
          <w:highlight w:val="none"/>
        </w:rPr>
      </w:pPr>
      <w:bookmarkStart w:id="20" w:name="OLE_LINK4"/>
      <w:bookmarkEnd w:id="20"/>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南宁轨道交通运营有限公司</w:t>
      </w:r>
      <w:r>
        <w:rPr>
          <w:rFonts w:hint="eastAsia" w:ascii="宋体" w:hAnsi="宋体"/>
          <w:color w:val="auto"/>
          <w:highlight w:val="none"/>
          <w:u w:val="single"/>
          <w:lang w:eastAsia="zh-CN"/>
        </w:rPr>
        <w:t>2022年普通固废出售处置项目（废铁屑）</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项目编号：202210170002</w:t>
      </w:r>
    </w:p>
    <w:p>
      <w:pPr>
        <w:spacing w:before="0" w:after="0" w:afterAutospacing="0"/>
        <w:ind w:left="0" w:right="0" w:firstLine="420" w:firstLineChars="200"/>
        <w:rPr>
          <w:rFonts w:hint="eastAsia" w:ascii="宋体" w:hAnsi="宋体" w:eastAsia="宋体"/>
          <w:color w:val="auto"/>
          <w:highlight w:val="none"/>
          <w:u w:val="single"/>
          <w:lang w:eastAsia="zh-CN"/>
        </w:rPr>
      </w:pPr>
      <w:r>
        <w:rPr>
          <w:rFonts w:hint="eastAsia" w:ascii="宋体" w:hAnsi="宋体"/>
          <w:color w:val="auto"/>
          <w:highlight w:val="none"/>
        </w:rPr>
        <w:t>项目名称：</w:t>
      </w:r>
      <w:r>
        <w:rPr>
          <w:rFonts w:hint="eastAsia" w:ascii="宋体" w:hAnsi="宋体"/>
          <w:color w:val="auto"/>
          <w:highlight w:val="none"/>
          <w:u w:val="single"/>
        </w:rPr>
        <w:t>南宁轨道交通运营有限公司</w:t>
      </w:r>
      <w:r>
        <w:rPr>
          <w:rFonts w:hint="eastAsia" w:ascii="宋体" w:hAnsi="宋体"/>
          <w:color w:val="auto"/>
          <w:highlight w:val="none"/>
          <w:u w:val="single"/>
          <w:lang w:eastAsia="zh-CN"/>
        </w:rPr>
        <w:t>2022年普通固废出售处置项目（废铁屑）</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bCs w:val="0"/>
          <w:color w:val="auto"/>
          <w:sz w:val="21"/>
          <w:szCs w:val="21"/>
          <w:highlight w:val="none"/>
          <w:lang w:val="en-US" w:eastAsia="zh-CN"/>
        </w:rPr>
        <w:t>报价下限控制单价：</w:t>
      </w:r>
      <w:r>
        <w:rPr>
          <w:rFonts w:hint="eastAsia" w:ascii="宋体" w:hAnsi="宋体"/>
          <w:bCs w:val="0"/>
          <w:color w:val="auto"/>
          <w:highlight w:val="none"/>
          <w:lang w:val="en-US" w:eastAsia="zh-CN"/>
        </w:rPr>
        <w:t>2.8</w:t>
      </w:r>
      <w:r>
        <w:rPr>
          <w:rFonts w:hint="eastAsia" w:ascii="宋体" w:hAnsi="宋体"/>
          <w:bCs w:val="0"/>
          <w:color w:val="auto"/>
          <w:highlight w:val="none"/>
        </w:rPr>
        <w:t>元</w:t>
      </w:r>
      <w:r>
        <w:rPr>
          <w:rFonts w:hint="eastAsia" w:ascii="宋体" w:hAnsi="宋体"/>
          <w:bCs w:val="0"/>
          <w:color w:val="auto"/>
          <w:highlight w:val="none"/>
          <w:lang w:val="en-US" w:eastAsia="zh-CN"/>
        </w:rPr>
        <w:t>/公斤，低于底价为无效报价</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bCs w:val="0"/>
          <w:color w:val="auto"/>
          <w:sz w:val="21"/>
          <w:szCs w:val="21"/>
          <w:highlight w:val="none"/>
          <w:lang w:val="en-US" w:eastAsia="zh-CN"/>
        </w:rPr>
        <w:t>预估量：</w:t>
      </w:r>
      <w:r>
        <w:rPr>
          <w:rFonts w:hint="eastAsia" w:ascii="宋体" w:hAnsi="宋体"/>
          <w:color w:val="auto"/>
          <w:highlight w:val="none"/>
          <w:lang w:val="en-US" w:eastAsia="zh-CN"/>
        </w:rPr>
        <w:t>13131.5公斤（按实际重量结算）。</w:t>
      </w:r>
    </w:p>
    <w:p>
      <w:pPr>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rPr>
        <w:t>工期：</w:t>
      </w:r>
      <w:r>
        <w:rPr>
          <w:rFonts w:hint="eastAsia" w:ascii="宋体" w:hAnsi="宋体"/>
          <w:color w:val="auto"/>
          <w:highlight w:val="none"/>
          <w:lang w:val="en-US" w:eastAsia="zh-CN"/>
        </w:rPr>
        <w:t>比选人</w:t>
      </w:r>
      <w:r>
        <w:rPr>
          <w:rFonts w:hint="eastAsia" w:ascii="宋体" w:hAnsi="宋体"/>
          <w:color w:val="auto"/>
          <w:highlight w:val="none"/>
        </w:rPr>
        <w:t>提前 5 天通知，</w:t>
      </w:r>
      <w:r>
        <w:rPr>
          <w:rFonts w:hint="eastAsia" w:ascii="宋体" w:hAnsi="宋体"/>
          <w:color w:val="auto"/>
          <w:highlight w:val="none"/>
          <w:lang w:val="en-US" w:eastAsia="zh-CN"/>
        </w:rPr>
        <w:t>中标方</w:t>
      </w:r>
      <w:r>
        <w:rPr>
          <w:rFonts w:hint="eastAsia" w:ascii="宋体" w:hAnsi="宋体"/>
          <w:color w:val="auto"/>
          <w:highlight w:val="none"/>
        </w:rPr>
        <w:t>在接到处置消息后</w:t>
      </w:r>
      <w:r>
        <w:rPr>
          <w:rFonts w:hint="eastAsia" w:ascii="宋体" w:hAnsi="宋体"/>
          <w:color w:val="auto"/>
          <w:highlight w:val="none"/>
          <w:lang w:val="en-US" w:eastAsia="zh-CN"/>
        </w:rPr>
        <w:t>7</w:t>
      </w:r>
      <w:r>
        <w:rPr>
          <w:rFonts w:hint="eastAsia" w:ascii="宋体" w:hAnsi="宋体"/>
          <w:color w:val="auto"/>
          <w:highlight w:val="none"/>
        </w:rPr>
        <w:t>个工作日内需完成</w:t>
      </w:r>
      <w:r>
        <w:rPr>
          <w:rFonts w:hint="eastAsia" w:ascii="宋体" w:hAnsi="宋体"/>
          <w:color w:val="auto"/>
          <w:highlight w:val="none"/>
          <w:lang w:val="en-US" w:eastAsia="zh-CN"/>
        </w:rPr>
        <w:t>废旧物资的</w:t>
      </w:r>
      <w:r>
        <w:rPr>
          <w:rFonts w:hint="eastAsia" w:ascii="宋体" w:hAnsi="宋体"/>
          <w:color w:val="auto"/>
          <w:highlight w:val="none"/>
        </w:rPr>
        <w:t>装卸、运输</w:t>
      </w:r>
      <w:r>
        <w:rPr>
          <w:rFonts w:hint="eastAsia" w:ascii="宋体" w:hAnsi="宋体"/>
          <w:color w:val="auto"/>
          <w:highlight w:val="none"/>
          <w:lang w:eastAsia="zh-CN"/>
        </w:rPr>
        <w:t>、</w:t>
      </w:r>
      <w:r>
        <w:rPr>
          <w:rFonts w:hint="eastAsia" w:ascii="宋体" w:hAnsi="宋体"/>
          <w:color w:val="auto"/>
          <w:highlight w:val="none"/>
          <w:lang w:val="en-US" w:eastAsia="zh-CN"/>
        </w:rPr>
        <w:t>过磅等处置工作。</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项目地点：具体详见用户需求书。</w:t>
      </w:r>
    </w:p>
    <w:p>
      <w:pPr>
        <w:spacing w:before="0" w:after="0" w:afterAutospacing="0"/>
        <w:ind w:left="0" w:right="0" w:firstLine="420" w:firstLineChars="200"/>
        <w:rPr>
          <w:rFonts w:hint="default" w:eastAsia="宋体"/>
          <w:color w:val="auto"/>
          <w:highlight w:val="none"/>
          <w:lang w:val="en-US" w:eastAsia="zh-CN"/>
        </w:rPr>
      </w:pPr>
      <w:r>
        <w:rPr>
          <w:rFonts w:hint="eastAsia" w:ascii="宋体" w:hAnsi="宋体"/>
          <w:color w:val="auto"/>
          <w:highlight w:val="none"/>
        </w:rPr>
        <w:t>比选范围：</w:t>
      </w:r>
      <w:r>
        <w:rPr>
          <w:rFonts w:hint="eastAsia" w:ascii="宋体" w:hAnsi="宋体"/>
          <w:color w:val="auto"/>
          <w:highlight w:val="none"/>
          <w:u w:val="single"/>
          <w:lang w:val="en-US" w:eastAsia="zh-CN"/>
        </w:rPr>
        <w:t>废铁屑</w:t>
      </w:r>
      <w:r>
        <w:rPr>
          <w:rFonts w:hint="eastAsia" w:ascii="宋体" w:hAnsi="宋体"/>
          <w:color w:val="auto"/>
          <w:highlight w:val="none"/>
          <w:u w:val="single"/>
        </w:rPr>
        <w:t>危险废物处置，</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 资质条件：营业执照经营范围包括</w:t>
      </w:r>
      <w:r>
        <w:rPr>
          <w:rFonts w:hint="eastAsia" w:ascii="宋体" w:hAnsi="宋体"/>
          <w:color w:val="auto"/>
          <w:highlight w:val="none"/>
          <w:lang w:val="en-US" w:eastAsia="zh-CN"/>
        </w:rPr>
        <w:t>废旧物资回收或金属回收</w:t>
      </w:r>
      <w:r>
        <w:rPr>
          <w:rFonts w:hint="eastAsia" w:ascii="宋体" w:hAnsi="宋体"/>
          <w:color w:val="auto"/>
          <w:highlight w:val="none"/>
        </w:rPr>
        <w:t>等类似范围（须提供营业执照证明材料）；</w:t>
      </w:r>
      <w:r>
        <w:rPr>
          <w:rFonts w:ascii="宋体" w:hAnsi="宋体"/>
          <w:color w:val="auto"/>
          <w:highlight w:val="none"/>
        </w:rPr>
        <w:t xml:space="preserve"> </w:t>
      </w:r>
    </w:p>
    <w:p>
      <w:pPr>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rPr>
        <w:t>3.3业绩条件：</w:t>
      </w:r>
      <w:r>
        <w:rPr>
          <w:rFonts w:hint="eastAsia" w:ascii="宋体" w:hAnsi="宋体"/>
          <w:color w:val="auto"/>
          <w:highlight w:val="none"/>
          <w:lang w:val="en-US" w:eastAsia="zh-CN"/>
        </w:rPr>
        <w:t>无</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比选申请人未处于被责令停业、投标资格被取消或财产被接管，破产状态；没有隐瞒，虚假，伪造等弄虚作假行为；本项目竞价公告发布前三年内不曾因其自身违约或不恰当履约引起经营合同终止、纠纷、争议、仲裁和诉讼；企业没有因骗取中标或严重违约等问题，被有关部门暂停投标资格并在暂停期内的。（供应商须出具相应承诺书并加盖供应商公章）</w:t>
      </w:r>
      <w:r>
        <w:rPr>
          <w:rFonts w:hint="eastAsia" w:ascii="宋体" w:hAnsi="宋体"/>
          <w:color w:val="auto"/>
          <w:highlight w:val="none"/>
          <w:lang w:val="en-US"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本项目不发放纸质文件，请各比选申请人自行网上下载。下载网址：南宁轨道交通运营有限公司官网(http://www.nngdjt.com)、中国e车网(http://www.ecrrc.com)。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 xml:space="preserve"> </w:t>
      </w:r>
      <w:r>
        <w:rPr>
          <w:rFonts w:ascii="宋体" w:hAnsi="宋体"/>
          <w:color w:val="auto"/>
          <w:highlight w:val="none"/>
          <w:u w:val="single"/>
        </w:rPr>
        <w:t>202</w:t>
      </w:r>
      <w:r>
        <w:rPr>
          <w:rFonts w:hint="eastAsia" w:ascii="宋体" w:hAnsi="宋体"/>
          <w:color w:val="auto"/>
          <w:highlight w:val="none"/>
          <w:u w:val="single"/>
          <w:lang w:eastAsia="zh-CN"/>
        </w:rPr>
        <w:t>3</w:t>
      </w:r>
      <w:r>
        <w:rPr>
          <w:rFonts w:hint="eastAsia" w:ascii="宋体" w:hAnsi="宋体"/>
          <w:color w:val="auto"/>
          <w:highlight w:val="none"/>
        </w:rPr>
        <w:t>年</w:t>
      </w:r>
      <w:r>
        <w:rPr>
          <w:rFonts w:hint="eastAsia" w:ascii="宋体" w:hAnsi="宋体"/>
          <w:color w:val="auto"/>
          <w:highlight w:val="none"/>
          <w:u w:val="single"/>
          <w:lang w:val="en-US" w:eastAsia="zh-CN"/>
        </w:rPr>
        <w:t xml:space="preserve"> 1</w:t>
      </w:r>
      <w:r>
        <w:rPr>
          <w:rFonts w:hint="eastAsia" w:ascii="宋体" w:hAnsi="宋体"/>
          <w:color w:val="auto"/>
          <w:highlight w:val="none"/>
        </w:rPr>
        <w:t>月</w:t>
      </w:r>
      <w:r>
        <w:rPr>
          <w:rFonts w:hint="eastAsia" w:ascii="宋体" w:hAnsi="宋体"/>
          <w:color w:val="auto"/>
          <w:highlight w:val="none"/>
          <w:u w:val="single"/>
          <w:lang w:val="en-US" w:eastAsia="zh-CN"/>
        </w:rPr>
        <w:t xml:space="preserve"> 12 </w:t>
      </w:r>
      <w:r>
        <w:rPr>
          <w:rFonts w:hint="eastAsia" w:ascii="宋体" w:hAnsi="宋体"/>
          <w:color w:val="auto"/>
          <w:highlight w:val="none"/>
        </w:rPr>
        <w:t>日</w:t>
      </w:r>
      <w:r>
        <w:rPr>
          <w:rFonts w:hint="eastAsia" w:ascii="宋体" w:hAnsi="宋体"/>
          <w:color w:val="auto"/>
          <w:highlight w:val="none"/>
          <w:u w:val="single"/>
          <w:lang w:val="en-US" w:eastAsia="zh-CN"/>
        </w:rPr>
        <w:t xml:space="preserve">  09 </w:t>
      </w:r>
      <w:r>
        <w:rPr>
          <w:rFonts w:hint="eastAsia" w:ascii="宋体" w:hAnsi="宋体"/>
          <w:color w:val="auto"/>
          <w:highlight w:val="none"/>
        </w:rPr>
        <w:t>时</w:t>
      </w:r>
      <w:r>
        <w:rPr>
          <w:rFonts w:hint="eastAsia" w:ascii="宋体" w:hAnsi="宋体"/>
          <w:color w:val="auto"/>
          <w:highlight w:val="none"/>
          <w:u w:val="single"/>
          <w:lang w:val="en-US" w:eastAsia="zh-CN"/>
        </w:rPr>
        <w:t xml:space="preserve"> 00  </w:t>
      </w:r>
      <w:r>
        <w:rPr>
          <w:rFonts w:hint="eastAsia" w:ascii="宋体" w:hAnsi="宋体"/>
          <w:color w:val="auto"/>
          <w:highlight w:val="none"/>
        </w:rPr>
        <w:t>分（北京时间）前递交，递交地点在</w:t>
      </w:r>
      <w:r>
        <w:rPr>
          <w:rFonts w:hint="eastAsia" w:ascii="宋体" w:hAnsi="宋体"/>
          <w:color w:val="auto"/>
          <w:highlight w:val="none"/>
          <w:u w:val="single"/>
        </w:rPr>
        <w:t>广西壮族自治区南宁市青秀区云景路83号南宁轨道交通运营有限公司屯里车辆段综合楼205会议室</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本次比选公告同时在南宁轨道交通运营有限公司官网(http://www.nngdjt.com)、中国e车网(http://www.ecrrc.com)发布。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比选 人：南宁轨道交通运营有限公司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lang w:val="en-US" w:eastAsia="zh-CN"/>
        </w:rPr>
        <w:t>董</w:t>
      </w:r>
      <w:r>
        <w:rPr>
          <w:rFonts w:hint="eastAsia" w:ascii="宋体" w:hAnsi="宋体"/>
          <w:color w:val="auto"/>
          <w:highlight w:val="none"/>
          <w:u w:val="single"/>
        </w:rPr>
        <w:t xml:space="preserve">工、王工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    话：0</w:t>
      </w:r>
      <w:r>
        <w:rPr>
          <w:rFonts w:ascii="宋体" w:hAnsi="宋体"/>
          <w:color w:val="auto"/>
          <w:highlight w:val="none"/>
        </w:rPr>
        <w:t>771-277831</w:t>
      </w:r>
      <w:r>
        <w:rPr>
          <w:rFonts w:hint="eastAsia" w:ascii="宋体" w:hAnsi="宋体"/>
          <w:color w:val="auto"/>
          <w:highlight w:val="none"/>
          <w:lang w:val="en-US" w:eastAsia="zh-CN"/>
        </w:rPr>
        <w:t>9</w:t>
      </w:r>
      <w:r>
        <w:rPr>
          <w:rFonts w:hint="eastAsia" w:ascii="宋体" w:hAnsi="宋体"/>
          <w:color w:val="auto"/>
          <w:highlight w:val="none"/>
        </w:rPr>
        <w:t>，0</w:t>
      </w:r>
      <w:r>
        <w:rPr>
          <w:rFonts w:ascii="宋体" w:hAnsi="宋体"/>
          <w:color w:val="auto"/>
          <w:highlight w:val="none"/>
        </w:rPr>
        <w:t>771-2778974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pStyle w:val="13"/>
        <w:pageBreakBefore/>
        <w:ind w:right="-57" w:firstLine="0"/>
        <w:jc w:val="center"/>
        <w:outlineLvl w:val="0"/>
        <w:rPr>
          <w:rStyle w:val="43"/>
          <w:rFonts w:ascii="宋体" w:hAnsi="宋体" w:eastAsia="宋体"/>
          <w:color w:val="auto"/>
          <w:highlight w:val="none"/>
        </w:rPr>
      </w:pPr>
      <w:bookmarkStart w:id="21" w:name="_Toc322528192"/>
      <w:bookmarkEnd w:id="21"/>
      <w:bookmarkStart w:id="22" w:name="_Toc512357502"/>
      <w:bookmarkStart w:id="23" w:name="_Toc24972"/>
      <w:bookmarkStart w:id="24" w:name="_Toc22273"/>
      <w:bookmarkStart w:id="25" w:name="_Toc17735"/>
      <w:bookmarkStart w:id="26" w:name="_Toc18454"/>
      <w:bookmarkStart w:id="27" w:name="_Toc30725"/>
      <w:bookmarkStart w:id="28" w:name="_Toc29836"/>
      <w:bookmarkStart w:id="29" w:name="_Toc12635"/>
      <w:bookmarkStart w:id="30" w:name="_Toc20201"/>
      <w:bookmarkStart w:id="31" w:name="_Toc1230"/>
      <w:bookmarkStart w:id="32" w:name="_Toc30883"/>
      <w:bookmarkStart w:id="33" w:name="_Toc24390"/>
      <w:bookmarkStart w:id="34" w:name="_Toc21830"/>
      <w:bookmarkStart w:id="35" w:name="_Toc17594"/>
      <w:bookmarkStart w:id="36" w:name="_Toc101965674"/>
      <w:bookmarkStart w:id="37" w:name="_Toc17240"/>
      <w:bookmarkStart w:id="38" w:name="_Toc15976"/>
      <w:bookmarkStart w:id="39" w:name="_Toc30950"/>
      <w:bookmarkStart w:id="40" w:name="_Toc3495"/>
      <w:r>
        <w:rPr>
          <w:rStyle w:val="43"/>
          <w:rFonts w:hint="eastAsia" w:ascii="宋体" w:hAnsi="宋体" w:eastAsia="宋体"/>
          <w:color w:val="auto"/>
          <w:highlight w:val="none"/>
        </w:rPr>
        <w:t>第二章</w:t>
      </w:r>
      <w:bookmarkEnd w:id="22"/>
      <w:r>
        <w:rPr>
          <w:rStyle w:val="43"/>
          <w:rFonts w:hint="eastAsia" w:ascii="宋体" w:hAnsi="宋体" w:eastAsia="宋体"/>
          <w:color w:val="auto"/>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5"/>
        <w:spacing w:after="0" w:afterAutospacing="0" w:line="360" w:lineRule="auto"/>
        <w:ind w:left="468" w:leftChars="200" w:right="0" w:hanging="48" w:hangingChars="20"/>
        <w:rPr>
          <w:rFonts w:ascii="宋体" w:hAnsi="宋体" w:eastAsia="宋体"/>
          <w:color w:val="auto"/>
          <w:sz w:val="24"/>
          <w:szCs w:val="24"/>
          <w:highlight w:val="none"/>
        </w:rPr>
      </w:pPr>
      <w:bookmarkStart w:id="41" w:name="_Toc322528193"/>
      <w:bookmarkEnd w:id="41"/>
      <w:bookmarkStart w:id="42" w:name="_Toc101965675"/>
      <w:r>
        <w:rPr>
          <w:rFonts w:hint="eastAsia" w:ascii="宋体" w:hAnsi="宋体" w:eastAsia="宋体"/>
          <w:color w:val="auto"/>
          <w:sz w:val="24"/>
          <w:szCs w:val="24"/>
          <w:highlight w:val="none"/>
        </w:rPr>
        <w:t>一、项目概况</w:t>
      </w:r>
      <w:bookmarkEnd w:id="42"/>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项目编号：202210170002</w:t>
      </w:r>
    </w:p>
    <w:p>
      <w:pPr>
        <w:spacing w:before="0" w:after="0" w:afterAutospacing="0"/>
        <w:ind w:left="0" w:right="0" w:firstLine="420" w:firstLineChars="200"/>
        <w:rPr>
          <w:rFonts w:hint="eastAsia" w:ascii="宋体" w:hAnsi="宋体" w:eastAsia="宋体"/>
          <w:color w:val="auto"/>
          <w:highlight w:val="none"/>
          <w:u w:val="single"/>
          <w:lang w:eastAsia="zh-CN"/>
        </w:rPr>
      </w:pPr>
      <w:r>
        <w:rPr>
          <w:rFonts w:hint="eastAsia" w:ascii="宋体" w:hAnsi="宋体"/>
          <w:color w:val="auto"/>
          <w:highlight w:val="none"/>
        </w:rPr>
        <w:t>项目名称：</w:t>
      </w:r>
      <w:r>
        <w:rPr>
          <w:rFonts w:hint="eastAsia" w:ascii="宋体" w:hAnsi="宋体"/>
          <w:color w:val="auto"/>
          <w:highlight w:val="none"/>
          <w:u w:val="single"/>
        </w:rPr>
        <w:t>南宁轨道交通运营有限公司2022年</w:t>
      </w:r>
      <w:r>
        <w:rPr>
          <w:rFonts w:hint="eastAsia" w:ascii="宋体" w:hAnsi="宋体"/>
          <w:color w:val="auto"/>
          <w:highlight w:val="none"/>
          <w:u w:val="single"/>
          <w:lang w:val="en-US" w:eastAsia="zh-CN"/>
        </w:rPr>
        <w:t>普通固废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bCs w:val="0"/>
          <w:color w:val="auto"/>
          <w:sz w:val="21"/>
          <w:szCs w:val="21"/>
          <w:highlight w:val="none"/>
          <w:lang w:val="en-US" w:eastAsia="zh-CN"/>
        </w:rPr>
        <w:t>报价下限控制单价：</w:t>
      </w:r>
      <w:r>
        <w:rPr>
          <w:rFonts w:hint="eastAsia" w:ascii="宋体" w:hAnsi="宋体"/>
          <w:bCs w:val="0"/>
          <w:color w:val="auto"/>
          <w:highlight w:val="none"/>
          <w:lang w:val="en-US" w:eastAsia="zh-CN"/>
        </w:rPr>
        <w:t>2.8</w:t>
      </w:r>
      <w:r>
        <w:rPr>
          <w:rFonts w:hint="eastAsia" w:ascii="宋体" w:hAnsi="宋体"/>
          <w:bCs w:val="0"/>
          <w:color w:val="auto"/>
          <w:highlight w:val="none"/>
        </w:rPr>
        <w:t>元</w:t>
      </w:r>
      <w:r>
        <w:rPr>
          <w:rFonts w:hint="eastAsia" w:ascii="宋体" w:hAnsi="宋体"/>
          <w:bCs w:val="0"/>
          <w:color w:val="auto"/>
          <w:highlight w:val="none"/>
          <w:lang w:val="en-US" w:eastAsia="zh-CN"/>
        </w:rPr>
        <w:t>/公斤，低于底价为无效报价</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bCs w:val="0"/>
          <w:color w:val="auto"/>
          <w:sz w:val="21"/>
          <w:szCs w:val="21"/>
          <w:highlight w:val="none"/>
          <w:lang w:val="en-US" w:eastAsia="zh-CN"/>
        </w:rPr>
        <w:t>预估量：</w:t>
      </w:r>
      <w:r>
        <w:rPr>
          <w:rFonts w:hint="eastAsia" w:ascii="宋体" w:hAnsi="宋体"/>
          <w:color w:val="auto"/>
          <w:highlight w:val="none"/>
          <w:lang w:val="en-US" w:eastAsia="zh-CN"/>
        </w:rPr>
        <w:t>13131.5公斤（按实际重量结算）。</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lang w:val="en-US" w:eastAsia="zh-CN"/>
        </w:rPr>
        <w:t>报价下限控制单价</w:t>
      </w:r>
      <w:r>
        <w:rPr>
          <w:rFonts w:hint="eastAsia" w:ascii="宋体" w:hAnsi="宋体"/>
          <w:color w:val="auto"/>
          <w:highlight w:val="none"/>
        </w:rPr>
        <w:t>交货期/工期：</w:t>
      </w:r>
      <w:r>
        <w:rPr>
          <w:rFonts w:hint="eastAsia" w:ascii="宋体" w:hAnsi="宋体"/>
          <w:color w:val="auto"/>
          <w:highlight w:val="none"/>
          <w:lang w:val="en-US" w:eastAsia="zh-CN"/>
        </w:rPr>
        <w:t>比选人</w:t>
      </w:r>
      <w:r>
        <w:rPr>
          <w:rFonts w:hint="eastAsia" w:ascii="宋体" w:hAnsi="宋体"/>
          <w:color w:val="auto"/>
          <w:highlight w:val="none"/>
        </w:rPr>
        <w:t>提前 5 天通知，中标方在接到处置消息后</w:t>
      </w:r>
      <w:r>
        <w:rPr>
          <w:rFonts w:hint="eastAsia" w:ascii="宋体" w:hAnsi="宋体"/>
          <w:color w:val="auto"/>
          <w:highlight w:val="none"/>
          <w:lang w:val="en-US" w:eastAsia="zh-CN"/>
        </w:rPr>
        <w:t>7</w:t>
      </w:r>
      <w:r>
        <w:rPr>
          <w:rFonts w:hint="eastAsia" w:ascii="宋体" w:hAnsi="宋体"/>
          <w:color w:val="auto"/>
          <w:highlight w:val="none"/>
        </w:rPr>
        <w:t>个工作日内需完成</w:t>
      </w:r>
      <w:r>
        <w:rPr>
          <w:rFonts w:hint="eastAsia" w:ascii="宋体" w:hAnsi="宋体"/>
          <w:color w:val="auto"/>
          <w:highlight w:val="none"/>
          <w:lang w:val="en-US" w:eastAsia="zh-CN"/>
        </w:rPr>
        <w:t>废铁屑</w:t>
      </w:r>
      <w:r>
        <w:rPr>
          <w:rFonts w:hint="eastAsia" w:ascii="宋体" w:hAnsi="宋体"/>
          <w:color w:val="auto"/>
          <w:highlight w:val="none"/>
        </w:rPr>
        <w:t>的称重及转移处置工作。</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项目地点：具体详见用户需求书。</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比选范围：</w:t>
      </w:r>
      <w:r>
        <w:rPr>
          <w:rFonts w:hint="eastAsia" w:ascii="宋体" w:hAnsi="宋体"/>
          <w:color w:val="auto"/>
          <w:highlight w:val="none"/>
          <w:u w:val="single"/>
          <w:lang w:val="en-US" w:eastAsia="zh-CN"/>
        </w:rPr>
        <w:t>废铁屑</w:t>
      </w:r>
      <w:r>
        <w:rPr>
          <w:rFonts w:hint="eastAsia" w:ascii="宋体" w:hAnsi="宋体"/>
          <w:color w:val="auto"/>
          <w:highlight w:val="none"/>
          <w:u w:val="single"/>
        </w:rPr>
        <w:t>危险废物处置，</w:t>
      </w:r>
      <w:r>
        <w:rPr>
          <w:rFonts w:hint="eastAsia" w:ascii="宋体" w:hAnsi="宋体"/>
          <w:color w:val="auto"/>
          <w:highlight w:val="none"/>
        </w:rPr>
        <w:t>具体详见用户需求书。</w:t>
      </w:r>
    </w:p>
    <w:p>
      <w:pPr>
        <w:pStyle w:val="2"/>
        <w:ind w:left="0" w:leftChars="0"/>
        <w:rPr>
          <w:rFonts w:hint="eastAsia" w:ascii="宋体" w:hAnsi="宋体"/>
          <w:color w:val="auto"/>
          <w:highlight w:val="none"/>
        </w:rPr>
      </w:pPr>
      <w:r>
        <w:rPr>
          <w:rFonts w:hint="eastAsia" w:ascii="宋体" w:hAnsi="宋体" w:cs="Times New Roman"/>
          <w:i w:val="0"/>
          <w:iCs w:val="0"/>
          <w:caps w:val="0"/>
          <w:color w:val="auto"/>
          <w:spacing w:val="0"/>
          <w:sz w:val="21"/>
          <w:szCs w:val="21"/>
          <w:highlight w:val="none"/>
          <w:shd w:val="clear"/>
          <w:lang w:val="en-US" w:eastAsia="zh-CN"/>
        </w:rPr>
        <w:t>废铁屑</w:t>
      </w:r>
      <w:r>
        <w:rPr>
          <w:rFonts w:hint="eastAsia" w:ascii="宋体" w:hAnsi="宋体" w:eastAsia="宋体" w:cs="Times New Roman"/>
          <w:i w:val="0"/>
          <w:iCs w:val="0"/>
          <w:caps w:val="0"/>
          <w:color w:val="auto"/>
          <w:spacing w:val="0"/>
          <w:sz w:val="21"/>
          <w:szCs w:val="21"/>
          <w:highlight w:val="none"/>
          <w:shd w:val="clear" w:fill="auto"/>
        </w:rPr>
        <w:t>处置不允许在现场分割，应按现状清运过磅，所有搬运、过磅、劳务、安全责任等涉及完成本次交易明示或暗示的所有责任、义务和一般风险由买方支付和承担。</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43" w:name="_Toc28220"/>
      <w:bookmarkStart w:id="44" w:name="_Toc15763"/>
      <w:bookmarkStart w:id="45" w:name="_Toc6528"/>
      <w:bookmarkStart w:id="46" w:name="_Toc19617"/>
      <w:bookmarkStart w:id="47" w:name="_Toc16131"/>
      <w:bookmarkStart w:id="48" w:name="_Toc16608"/>
      <w:bookmarkStart w:id="49" w:name="_Toc7339"/>
      <w:bookmarkStart w:id="50" w:name="_Toc492478722"/>
      <w:bookmarkStart w:id="51" w:name="_Toc375039068"/>
      <w:bookmarkStart w:id="52" w:name="_Toc16530"/>
      <w:bookmarkStart w:id="53" w:name="_Toc9677"/>
      <w:bookmarkStart w:id="54" w:name="_Toc2986"/>
      <w:bookmarkStart w:id="55" w:name="_Toc5160"/>
      <w:bookmarkStart w:id="56" w:name="_Toc12983509"/>
      <w:bookmarkStart w:id="57" w:name="_Toc383891172"/>
      <w:bookmarkStart w:id="58" w:name="_Toc29160"/>
      <w:bookmarkStart w:id="59" w:name="_Toc390098423"/>
      <w:bookmarkStart w:id="60" w:name="_Toc385427797"/>
      <w:bookmarkStart w:id="61" w:name="_Toc5487"/>
      <w:bookmarkStart w:id="62" w:name="_Toc2609"/>
      <w:bookmarkStart w:id="63" w:name="_Toc8562"/>
      <w:bookmarkStart w:id="64" w:name="_Toc3854"/>
      <w:bookmarkStart w:id="65" w:name="_Toc18528"/>
      <w:bookmarkStart w:id="66" w:name="_Toc101965676"/>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olor w:val="auto"/>
          <w:sz w:val="24"/>
          <w:szCs w:val="24"/>
          <w:highlight w:val="none"/>
        </w:rPr>
        <w:t>人资格要求</w:t>
      </w:r>
      <w:bookmarkEnd w:id="66"/>
    </w:p>
    <w:p>
      <w:pPr>
        <w:spacing w:before="0" w:after="0" w:afterAutospacing="0"/>
        <w:ind w:left="0" w:right="0" w:firstLine="420" w:firstLineChars="200"/>
        <w:rPr>
          <w:rFonts w:ascii="宋体" w:hAnsi="宋体"/>
          <w:color w:val="auto"/>
          <w:highlight w:val="none"/>
        </w:rPr>
      </w:pPr>
      <w:bookmarkStart w:id="67" w:name="_Toc4718"/>
      <w:bookmarkStart w:id="68" w:name="_Toc18679"/>
      <w:bookmarkStart w:id="69" w:name="_Toc27913"/>
      <w:bookmarkStart w:id="70" w:name="_Toc95"/>
      <w:bookmarkStart w:id="71" w:name="_Toc24557"/>
      <w:bookmarkStart w:id="72" w:name="_Toc17335"/>
      <w:bookmarkStart w:id="73" w:name="_Toc12983513"/>
      <w:bookmarkStart w:id="74" w:name="_Toc2902"/>
      <w:bookmarkStart w:id="75" w:name="_Toc375039072"/>
      <w:bookmarkStart w:id="76" w:name="_Toc28044"/>
      <w:bookmarkStart w:id="77" w:name="_Toc10869"/>
      <w:bookmarkStart w:id="78" w:name="_Toc385427801"/>
      <w:bookmarkStart w:id="79" w:name="_Toc24759"/>
      <w:bookmarkStart w:id="80" w:name="_Toc492478726"/>
      <w:bookmarkStart w:id="81" w:name="_Toc390098427"/>
      <w:bookmarkStart w:id="82" w:name="_Toc5805"/>
      <w:bookmarkStart w:id="83" w:name="_Toc16406"/>
      <w:bookmarkStart w:id="84" w:name="_Toc383891176"/>
      <w:bookmarkStart w:id="85" w:name="_Toc17692"/>
      <w:bookmarkStart w:id="86" w:name="_Toc25361"/>
      <w:bookmarkStart w:id="87" w:name="_Toc30363"/>
      <w:bookmarkStart w:id="88" w:name="_Toc7604"/>
      <w:bookmarkStart w:id="89" w:name="_Toc14185"/>
      <w:r>
        <w:rPr>
          <w:rFonts w:hint="eastAsia" w:ascii="宋体" w:hAnsi="宋体"/>
          <w:color w:val="auto"/>
          <w:highlight w:val="none"/>
        </w:rPr>
        <w:t>2.1为中华人民共和国境内依法设立的法人</w:t>
      </w:r>
      <w:r>
        <w:rPr>
          <w:rFonts w:hint="eastAsia" w:ascii="宋体" w:hAnsi="宋体"/>
          <w:color w:val="auto"/>
          <w:highlight w:val="none"/>
          <w:lang w:val="en-US" w:eastAsia="zh-CN"/>
        </w:rPr>
        <w:t>或其他组织</w:t>
      </w:r>
      <w:r>
        <w:rPr>
          <w:rFonts w:hint="eastAsia" w:ascii="宋体" w:hAnsi="宋体"/>
          <w:color w:val="auto"/>
          <w:highlight w:val="none"/>
        </w:rPr>
        <w:t>（若以分公司名义参与比选申请，必须出具总公司授权参与的证明。）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 资质条件：营业执照经营范围包括</w:t>
      </w:r>
      <w:r>
        <w:rPr>
          <w:rFonts w:hint="eastAsia"/>
          <w:color w:val="auto"/>
          <w:highlight w:val="none"/>
          <w:lang w:val="en-US" w:eastAsia="zh-CN"/>
        </w:rPr>
        <w:t>废旧物资回收或金属回收</w:t>
      </w:r>
      <w:r>
        <w:rPr>
          <w:rFonts w:hint="eastAsia" w:ascii="宋体" w:hAnsi="宋体"/>
          <w:color w:val="auto"/>
          <w:highlight w:val="none"/>
        </w:rPr>
        <w:t>等类似范围（须提供营业执照证明材料）；</w:t>
      </w:r>
      <w:r>
        <w:rPr>
          <w:rFonts w:ascii="宋体" w:hAnsi="宋体"/>
          <w:color w:val="auto"/>
          <w:highlight w:val="none"/>
        </w:rPr>
        <w:t xml:space="preserve"> </w:t>
      </w:r>
    </w:p>
    <w:p>
      <w:pPr>
        <w:spacing w:before="0" w:after="0" w:afterAutospacing="0"/>
        <w:ind w:left="0" w:right="0" w:firstLine="420" w:firstLineChars="200"/>
        <w:rPr>
          <w:rFonts w:hint="eastAsia" w:eastAsia="宋体"/>
          <w:color w:val="auto"/>
          <w:highlight w:val="none"/>
          <w:lang w:val="en-US" w:eastAsia="zh-CN"/>
        </w:rPr>
      </w:pPr>
      <w:r>
        <w:rPr>
          <w:rFonts w:hint="eastAsia" w:ascii="宋体" w:hAnsi="宋体"/>
          <w:color w:val="auto"/>
          <w:highlight w:val="none"/>
        </w:rPr>
        <w:t>2.3业绩条件：</w:t>
      </w:r>
      <w:r>
        <w:rPr>
          <w:rFonts w:ascii="宋体" w:hAnsi="宋体"/>
          <w:color w:val="auto"/>
          <w:highlight w:val="none"/>
        </w:rPr>
        <w:t xml:space="preserve"> </w:t>
      </w:r>
      <w:r>
        <w:rPr>
          <w:rFonts w:hint="eastAsia" w:cs="Times New Roman"/>
          <w:color w:val="auto"/>
          <w:highlight w:val="none"/>
          <w:lang w:val="en-US" w:eastAsia="zh-CN"/>
        </w:rPr>
        <w:t>无</w:t>
      </w:r>
    </w:p>
    <w:p>
      <w:pPr>
        <w:spacing w:before="0" w:after="0" w:afterAutospacing="0"/>
        <w:ind w:left="0" w:right="0"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rPr>
        <w:t>2.4比选申请人未处于被责令停业、投标资格被取消或财产被接管、冻结，破产状态；没有隐瞒，虚假，伪造等弄虚作假行为；本项目竞价公告发布前三年内不曾因其自身违约或不恰当履约引起经营合同终止、纠纷、争议、仲裁和诉讼；企业没有因骗取中标或严重违约等问题，被有关部门暂停投标资格并在暂停期内的。（供应商须出具相应承诺书并加盖供应商公章）</w:t>
      </w:r>
      <w:r>
        <w:rPr>
          <w:rFonts w:hint="eastAsia" w:ascii="Times New Roman" w:hAnsi="Times New Roman" w:cs="Times New Roman"/>
          <w:color w:val="auto"/>
          <w:highlight w:val="none"/>
          <w:lang w:val="en-US" w:eastAsia="zh-CN"/>
        </w:rPr>
        <w:t>。</w:t>
      </w:r>
    </w:p>
    <w:p>
      <w:pPr>
        <w:spacing w:before="0" w:after="0" w:afterAutospacing="0"/>
        <w:ind w:left="0" w:right="0" w:firstLine="420" w:firstLineChars="200"/>
        <w:rPr>
          <w:rFonts w:ascii="宋体" w:hAnsi="宋体"/>
          <w:color w:val="auto"/>
          <w:highlight w:val="none"/>
        </w:rPr>
      </w:pPr>
      <w:r>
        <w:rPr>
          <w:rFonts w:hint="eastAsia" w:ascii="Times New Roman" w:hAnsi="Times New Roman" w:cs="Times New Roman"/>
          <w:color w:val="auto"/>
          <w:highlight w:val="none"/>
        </w:rPr>
        <w:t>2.5</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2.6本项目不接受联合体比选申请。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2.7未列入比选人不良信用名单的。</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90" w:name="_Toc101965677"/>
      <w:r>
        <w:rPr>
          <w:rFonts w:hint="eastAsia" w:ascii="宋体" w:hAnsi="宋体" w:eastAsia="宋体"/>
          <w:color w:val="auto"/>
          <w:sz w:val="24"/>
          <w:szCs w:val="24"/>
          <w:highlight w:val="none"/>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olor w:val="auto"/>
          <w:sz w:val="24"/>
          <w:szCs w:val="24"/>
          <w:highlight w:val="none"/>
        </w:rPr>
        <w:t>比选申请文件内容</w:t>
      </w:r>
      <w:bookmarkEnd w:id="9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（2）比选承诺函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（3）比选申请报价表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（4）法定代表人身份证明及授权书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（5）企业证照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）比选响应表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）其他（如原厂授权等）</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91" w:name="_Toc101965678"/>
      <w:r>
        <w:rPr>
          <w:rFonts w:hint="eastAsia" w:ascii="宋体" w:hAnsi="宋体" w:eastAsia="宋体"/>
          <w:color w:val="auto"/>
          <w:sz w:val="24"/>
          <w:szCs w:val="24"/>
          <w:highlight w:val="none"/>
        </w:rPr>
        <w:t>四、比选申请文件签字及装订要求</w:t>
      </w:r>
      <w:bookmarkEnd w:id="91"/>
    </w:p>
    <w:p>
      <w:pPr>
        <w:spacing w:before="0" w:after="0" w:afterAutospacing="0"/>
        <w:ind w:left="0" w:right="0" w:firstLine="420" w:firstLineChars="200"/>
        <w:rPr>
          <w:rFonts w:ascii="宋体" w:hAnsi="宋体"/>
          <w:color w:val="auto"/>
          <w:highlight w:val="none"/>
        </w:rPr>
      </w:pPr>
      <w:bookmarkStart w:id="92" w:name="_Toc12983514"/>
      <w:bookmarkStart w:id="93" w:name="_Toc12456"/>
      <w:bookmarkStart w:id="94" w:name="_Toc11259"/>
      <w:bookmarkStart w:id="95" w:name="_Toc390098428"/>
      <w:bookmarkStart w:id="96" w:name="_Toc492478727"/>
      <w:bookmarkStart w:id="97" w:name="_Toc18350"/>
      <w:bookmarkStart w:id="98" w:name="_Toc12074"/>
      <w:bookmarkStart w:id="99" w:name="_Toc16435"/>
      <w:bookmarkStart w:id="100" w:name="_Toc4384"/>
      <w:bookmarkStart w:id="101" w:name="_Toc13418"/>
      <w:bookmarkStart w:id="102" w:name="_Toc383891177"/>
      <w:bookmarkStart w:id="103" w:name="_Toc2819"/>
      <w:bookmarkStart w:id="104" w:name="_Toc21673"/>
      <w:bookmarkStart w:id="105" w:name="_Toc23794"/>
      <w:bookmarkStart w:id="106" w:name="_Toc25750600"/>
      <w:bookmarkStart w:id="107" w:name="_Toc9592"/>
      <w:bookmarkStart w:id="108" w:name="_Toc375039073"/>
      <w:bookmarkStart w:id="109" w:name="_Toc16186"/>
      <w:bookmarkStart w:id="110" w:name="_Toc1733"/>
      <w:bookmarkStart w:id="111" w:name="_Toc29862"/>
      <w:bookmarkStart w:id="112" w:name="_Toc385427802"/>
      <w:bookmarkStart w:id="113" w:name="_Toc26150"/>
      <w:bookmarkStart w:id="114" w:name="_Toc26680"/>
      <w:bookmarkStart w:id="115" w:name="_Toc20025"/>
      <w:r>
        <w:rPr>
          <w:rFonts w:hint="eastAsia" w:ascii="宋体" w:hAnsi="宋体"/>
          <w:color w:val="auto"/>
          <w:highlight w:val="none"/>
        </w:rPr>
        <w:t>4.1比选申请文件应提交纸质版5份（正本1份，副本4份）、U盘电子版1份（内含比选申请文件正本全本扫描件及</w:t>
      </w:r>
      <w:r>
        <w:rPr>
          <w:rFonts w:ascii="宋体" w:hAnsi="宋体"/>
          <w:color w:val="auto"/>
          <w:highlight w:val="none"/>
        </w:rPr>
        <w:t>office</w:t>
      </w:r>
      <w:r>
        <w:rPr>
          <w:rFonts w:hint="eastAsia" w:ascii="宋体" w:hAnsi="宋体"/>
          <w:color w:val="auto"/>
          <w:highlight w:val="none"/>
        </w:rPr>
        <w:t>或WPS版本）。副本可使用正本复印件。</w:t>
      </w:r>
      <w:r>
        <w:rPr>
          <w:rFonts w:ascii="宋体" w:hAnsi="宋体"/>
          <w:color w:val="auto"/>
          <w:highlight w:val="none"/>
        </w:rPr>
        <w:t>若正本和副本</w:t>
      </w:r>
      <w:r>
        <w:rPr>
          <w:rFonts w:hint="eastAsia" w:ascii="宋体" w:hAnsi="宋体"/>
          <w:color w:val="auto"/>
          <w:highlight w:val="none"/>
        </w:rPr>
        <w:t>不一致时</w:t>
      </w:r>
      <w:r>
        <w:rPr>
          <w:rFonts w:ascii="宋体" w:hAnsi="宋体"/>
          <w:color w:val="auto"/>
          <w:highlight w:val="none"/>
        </w:rPr>
        <w:t>，以正本为准</w:t>
      </w:r>
      <w:r>
        <w:rPr>
          <w:rFonts w:hint="eastAsia" w:ascii="宋体" w:hAnsi="宋体"/>
          <w:color w:val="auto"/>
          <w:highlight w:val="none"/>
        </w:rPr>
        <w:t>；</w:t>
      </w:r>
      <w:r>
        <w:rPr>
          <w:rFonts w:ascii="宋体" w:hAnsi="宋体"/>
          <w:color w:val="auto"/>
          <w:highlight w:val="none"/>
        </w:rPr>
        <w:t>电子版与纸</w:t>
      </w:r>
      <w:r>
        <w:rPr>
          <w:rFonts w:hint="eastAsia" w:ascii="宋体" w:hAnsi="宋体"/>
          <w:color w:val="auto"/>
          <w:highlight w:val="none"/>
        </w:rPr>
        <w:t>质</w:t>
      </w:r>
      <w:r>
        <w:rPr>
          <w:rFonts w:ascii="宋体" w:hAnsi="宋体"/>
          <w:color w:val="auto"/>
          <w:highlight w:val="none"/>
        </w:rPr>
        <w:t>文件</w:t>
      </w:r>
      <w:r>
        <w:rPr>
          <w:rFonts w:hint="eastAsia" w:ascii="宋体" w:hAnsi="宋体"/>
          <w:color w:val="auto"/>
          <w:highlight w:val="none"/>
        </w:rPr>
        <w:t>不一致时，</w:t>
      </w:r>
      <w:r>
        <w:rPr>
          <w:rFonts w:ascii="宋体" w:hAnsi="宋体"/>
          <w:color w:val="auto"/>
          <w:highlight w:val="none"/>
        </w:rPr>
        <w:t>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color w:val="auto"/>
          <w:highlight w:val="none"/>
        </w:rPr>
        <w:t>。但由此不一致造成的评标差错由比选申请人自形承担。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4.2</w:t>
      </w:r>
      <w:r>
        <w:rPr>
          <w:rFonts w:ascii="宋体" w:hAnsi="宋体"/>
          <w:color w:val="auto"/>
          <w:highlight w:val="none"/>
        </w:rPr>
        <w:t xml:space="preserve"> </w:t>
      </w:r>
      <w:r>
        <w:rPr>
          <w:rFonts w:hint="eastAsia" w:ascii="宋体" w:hAnsi="宋体"/>
          <w:b/>
          <w:color w:val="auto"/>
          <w:highlight w:val="none"/>
        </w:rPr>
        <w:t>比选申请</w:t>
      </w:r>
      <w:r>
        <w:rPr>
          <w:rFonts w:ascii="宋体" w:hAnsi="宋体"/>
          <w:b/>
          <w:color w:val="auto"/>
          <w:highlight w:val="none"/>
        </w:rPr>
        <w:t>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w:t>
      </w:r>
      <w:r>
        <w:rPr>
          <w:rFonts w:ascii="宋体" w:hAnsi="宋体"/>
          <w:color w:val="auto"/>
          <w:highlight w:val="none"/>
        </w:rPr>
        <w:t xml:space="preserve"> “</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4.3</w:t>
      </w:r>
      <w:r>
        <w:rPr>
          <w:rFonts w:ascii="宋体" w:hAnsi="宋体"/>
          <w:color w:val="auto"/>
          <w:highlight w:val="none"/>
        </w:rPr>
        <w:t xml:space="preserve"> </w:t>
      </w:r>
      <w:r>
        <w:rPr>
          <w:rFonts w:hint="eastAsia" w:ascii="宋体" w:hAnsi="宋体"/>
          <w:color w:val="auto"/>
          <w:highlight w:val="none"/>
        </w:rPr>
        <w:t>比选申请文件</w:t>
      </w:r>
      <w:r>
        <w:rPr>
          <w:rFonts w:ascii="宋体" w:hAnsi="宋体"/>
          <w:color w:val="auto"/>
          <w:highlight w:val="none"/>
        </w:rPr>
        <w:t>统一为A4</w:t>
      </w:r>
      <w:r>
        <w:rPr>
          <w:rFonts w:hint="eastAsia" w:ascii="宋体" w:hAnsi="宋体"/>
          <w:color w:val="auto"/>
          <w:highlight w:val="none"/>
        </w:rPr>
        <w:t>版大小（图、表及证件等可折叠成A4大小）</w:t>
      </w:r>
      <w:r>
        <w:rPr>
          <w:rFonts w:ascii="宋体" w:hAnsi="宋体"/>
          <w:color w:val="auto"/>
          <w:highlight w:val="none"/>
        </w:rPr>
        <w:t>，纸质封面，装订</w:t>
      </w:r>
      <w:r>
        <w:rPr>
          <w:rFonts w:hint="eastAsia" w:ascii="宋体" w:hAnsi="宋体"/>
          <w:color w:val="auto"/>
          <w:highlight w:val="none"/>
        </w:rPr>
        <w:t>成册，不得有零散页</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4.4响应文件需密封包装，且封面注明：</w:t>
      </w:r>
    </w:p>
    <w:p>
      <w:pPr>
        <w:tabs>
          <w:tab w:val="left" w:pos="1155"/>
        </w:tabs>
        <w:spacing w:before="0" w:after="0" w:afterAutospacing="0"/>
        <w:ind w:left="0" w:right="0" w:firstLine="525" w:firstLineChars="250"/>
        <w:rPr>
          <w:rFonts w:ascii="宋体" w:hAnsi="宋体"/>
          <w:color w:val="auto"/>
          <w:highlight w:val="none"/>
        </w:rPr>
      </w:pPr>
      <w:r>
        <w:rPr>
          <w:rFonts w:ascii="宋体" w:hAnsi="宋体"/>
          <w:color w:val="auto"/>
          <w:highlight w:val="none"/>
        </w:rPr>
        <w:t>项目名称：</w:t>
      </w:r>
      <w:r>
        <w:rPr>
          <w:rFonts w:hint="eastAsia" w:ascii="宋体" w:hAnsi="宋体"/>
          <w:color w:val="auto"/>
          <w:highlight w:val="none"/>
          <w:u w:val="single"/>
        </w:rPr>
        <w:t>南宁轨道交通运营有限公司2022年</w:t>
      </w:r>
      <w:r>
        <w:rPr>
          <w:rFonts w:hint="eastAsia" w:ascii="宋体" w:hAnsi="宋体"/>
          <w:color w:val="auto"/>
          <w:highlight w:val="none"/>
          <w:u w:val="single"/>
          <w:lang w:val="en-US" w:eastAsia="zh-CN"/>
        </w:rPr>
        <w:t>普通固废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ascii="宋体" w:hAnsi="宋体"/>
          <w:color w:val="auto"/>
          <w:highlight w:val="none"/>
        </w:rPr>
        <w:t>项目编号：</w:t>
      </w:r>
      <w:r>
        <w:rPr>
          <w:rFonts w:hint="eastAsia" w:ascii="宋体" w:hAnsi="宋体"/>
          <w:color w:val="auto"/>
          <w:highlight w:val="none"/>
          <w:u w:val="single"/>
        </w:rPr>
        <w:t>202210170002</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color w:val="auto"/>
          <w:highlight w:val="none"/>
          <w:u w:val="single"/>
        </w:rPr>
        <w:t xml:space="preserve"> 南宁轨道交通运营有限公司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比选申请人电话：</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董</w:t>
      </w:r>
      <w:r>
        <w:rPr>
          <w:rFonts w:hint="eastAsia" w:ascii="宋体" w:hAnsi="宋体"/>
          <w:color w:val="auto"/>
          <w:highlight w:val="none"/>
          <w:u w:val="single"/>
        </w:rPr>
        <w:t>工：0771-27783</w:t>
      </w:r>
      <w:r>
        <w:rPr>
          <w:rFonts w:hint="eastAsia" w:ascii="宋体" w:hAnsi="宋体"/>
          <w:color w:val="auto"/>
          <w:highlight w:val="none"/>
          <w:u w:val="single"/>
          <w:lang w:val="en-US" w:eastAsia="zh-CN"/>
        </w:rPr>
        <w:t>19</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王工</w:t>
      </w:r>
      <w:r>
        <w:rPr>
          <w:rFonts w:hint="eastAsia" w:ascii="宋体" w:hAnsi="宋体"/>
          <w:color w:val="auto"/>
          <w:highlight w:val="none"/>
          <w:u w:val="single"/>
        </w:rPr>
        <w:t>：0771-2778</w:t>
      </w:r>
      <w:r>
        <w:rPr>
          <w:rFonts w:hint="eastAsia" w:ascii="宋体" w:hAnsi="宋体"/>
          <w:color w:val="auto"/>
          <w:highlight w:val="none"/>
          <w:u w:val="single"/>
          <w:lang w:val="en-US" w:eastAsia="zh-CN"/>
        </w:rPr>
        <w:t>974</w:t>
      </w:r>
      <w:r>
        <w:rPr>
          <w:rFonts w:hint="eastAsia" w:ascii="宋体" w:hAnsi="宋体"/>
          <w:color w:val="auto"/>
          <w:highlight w:val="none"/>
          <w:u w:val="single"/>
        </w:rPr>
        <w:t xml:space="preserve"> </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6" w:name="_Toc101965679"/>
      <w:r>
        <w:rPr>
          <w:rFonts w:hint="eastAsia" w:ascii="宋体" w:hAnsi="宋体" w:eastAsia="宋体"/>
          <w:color w:val="auto"/>
          <w:sz w:val="24"/>
          <w:szCs w:val="24"/>
          <w:highlight w:val="none"/>
        </w:rPr>
        <w:t>五、比选申请文件的递交</w:t>
      </w:r>
      <w:bookmarkEnd w:id="11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5.1比选申请文件递交截止时间及开标时间为</w:t>
      </w:r>
      <w:r>
        <w:rPr>
          <w:rFonts w:hint="eastAsia" w:ascii="宋体" w:hAnsi="宋体"/>
          <w:color w:val="auto"/>
          <w:highlight w:val="none"/>
          <w:u w:val="single"/>
        </w:rPr>
        <w:t xml:space="preserve"> </w:t>
      </w:r>
      <w:r>
        <w:rPr>
          <w:rFonts w:ascii="宋体" w:hAnsi="宋体"/>
          <w:color w:val="auto"/>
          <w:highlight w:val="none"/>
          <w:u w:val="single"/>
        </w:rPr>
        <w:t>202</w:t>
      </w:r>
      <w:r>
        <w:rPr>
          <w:rFonts w:hint="eastAsia" w:ascii="宋体" w:hAnsi="宋体"/>
          <w:color w:val="auto"/>
          <w:highlight w:val="none"/>
          <w:u w:val="single"/>
          <w:lang w:eastAsia="zh-CN"/>
        </w:rPr>
        <w:t>3</w:t>
      </w:r>
      <w:r>
        <w:rPr>
          <w:rFonts w:hint="eastAsia" w:ascii="宋体" w:hAnsi="宋体"/>
          <w:color w:val="auto"/>
          <w:highlight w:val="none"/>
        </w:rPr>
        <w:t>年</w:t>
      </w:r>
      <w:r>
        <w:rPr>
          <w:rFonts w:hint="eastAsia" w:ascii="宋体" w:hAnsi="宋体"/>
          <w:color w:val="auto"/>
          <w:highlight w:val="none"/>
          <w:u w:val="single"/>
          <w:lang w:val="en-US" w:eastAsia="zh-CN"/>
        </w:rPr>
        <w:t>1</w:t>
      </w:r>
      <w:r>
        <w:rPr>
          <w:rFonts w:hint="eastAsia" w:ascii="宋体" w:hAnsi="宋体"/>
          <w:color w:val="auto"/>
          <w:highlight w:val="none"/>
        </w:rPr>
        <w:t>月</w:t>
      </w:r>
      <w:r>
        <w:rPr>
          <w:rFonts w:hint="eastAsia" w:ascii="宋体" w:hAnsi="宋体"/>
          <w:color w:val="auto"/>
          <w:highlight w:val="none"/>
          <w:u w:val="single"/>
          <w:lang w:val="en-US" w:eastAsia="zh-CN"/>
        </w:rPr>
        <w:t>12</w:t>
      </w:r>
      <w:r>
        <w:rPr>
          <w:rFonts w:hint="eastAsia" w:ascii="宋体" w:hAnsi="宋体"/>
          <w:color w:val="auto"/>
          <w:highlight w:val="none"/>
        </w:rPr>
        <w:t>日</w:t>
      </w:r>
      <w:r>
        <w:rPr>
          <w:rFonts w:hint="eastAsia" w:ascii="宋体" w:hAnsi="宋体"/>
          <w:color w:val="auto"/>
          <w:highlight w:val="none"/>
          <w:u w:val="single"/>
          <w:lang w:val="en-US" w:eastAsia="zh-CN"/>
        </w:rPr>
        <w:t>09</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rPr>
        <w:t>分，地点为</w:t>
      </w:r>
      <w:r>
        <w:rPr>
          <w:rFonts w:hint="eastAsia" w:ascii="宋体" w:hAnsi="宋体"/>
          <w:color w:val="auto"/>
          <w:highlight w:val="none"/>
          <w:u w:val="single"/>
        </w:rPr>
        <w:t>广西壮族自治区南宁市青秀区云景路83号屯里车辆段综合楼205室，</w:t>
      </w:r>
      <w:r>
        <w:rPr>
          <w:rFonts w:hint="eastAsia" w:ascii="宋体" w:hAnsi="宋体"/>
          <w:color w:val="auto"/>
          <w:highlight w:val="none"/>
        </w:rPr>
        <w:t>开标时间为</w:t>
      </w:r>
      <w:r>
        <w:rPr>
          <w:rFonts w:hint="eastAsia" w:ascii="宋体" w:hAnsi="宋体"/>
          <w:color w:val="auto"/>
          <w:highlight w:val="none"/>
          <w:u w:val="single"/>
        </w:rPr>
        <w:t xml:space="preserve"> 202</w:t>
      </w:r>
      <w:r>
        <w:rPr>
          <w:rFonts w:hint="eastAsia" w:ascii="宋体" w:hAnsi="宋体"/>
          <w:color w:val="auto"/>
          <w:highlight w:val="none"/>
          <w:u w:val="single"/>
          <w:lang w:val="en-US" w:eastAsia="zh-CN"/>
        </w:rPr>
        <w:t>3</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w:t>
      </w:r>
      <w:r>
        <w:rPr>
          <w:rFonts w:hint="eastAsia" w:ascii="宋体" w:hAnsi="宋体"/>
          <w:color w:val="auto"/>
          <w:highlight w:val="none"/>
          <w:u w:val="single"/>
        </w:rPr>
        <w:t xml:space="preserve"> </w:t>
      </w:r>
      <w:r>
        <w:rPr>
          <w:rFonts w:hint="eastAsia" w:ascii="宋体" w:hAnsi="宋体"/>
          <w:color w:val="auto"/>
          <w:highlight w:val="none"/>
        </w:rPr>
        <w:t xml:space="preserve">月 </w:t>
      </w:r>
      <w:r>
        <w:rPr>
          <w:rFonts w:hint="eastAsia" w:ascii="宋体" w:hAnsi="宋体"/>
          <w:color w:val="auto"/>
          <w:highlight w:val="none"/>
          <w:u w:val="single"/>
          <w:lang w:val="en-US" w:eastAsia="zh-CN"/>
        </w:rPr>
        <w:t>12</w:t>
      </w:r>
      <w:r>
        <w:rPr>
          <w:rFonts w:hint="eastAsia" w:ascii="宋体" w:hAnsi="宋体"/>
          <w:color w:val="auto"/>
          <w:highlight w:val="none"/>
        </w:rPr>
        <w:t>日</w:t>
      </w:r>
      <w:r>
        <w:rPr>
          <w:rFonts w:hint="eastAsia" w:ascii="宋体" w:hAnsi="宋体"/>
          <w:color w:val="auto"/>
          <w:highlight w:val="none"/>
          <w:lang w:val="en-US" w:eastAsia="zh-CN"/>
        </w:rPr>
        <w:t>09</w:t>
      </w:r>
      <w:r>
        <w:rPr>
          <w:rFonts w:hint="eastAsia" w:ascii="宋体" w:hAnsi="宋体"/>
          <w:color w:val="auto"/>
          <w:highlight w:val="none"/>
          <w:u w:val="single"/>
        </w:rPr>
        <w:t xml:space="preserve"> </w:t>
      </w:r>
      <w:r>
        <w:rPr>
          <w:rFonts w:hint="eastAsia" w:ascii="宋体" w:hAnsi="宋体"/>
          <w:color w:val="auto"/>
          <w:highlight w:val="none"/>
        </w:rPr>
        <w:t>时</w:t>
      </w:r>
      <w:r>
        <w:rPr>
          <w:rFonts w:hint="eastAsia" w:ascii="宋体" w:hAnsi="宋体"/>
          <w:color w:val="auto"/>
          <w:highlight w:val="none"/>
          <w:u w:val="single"/>
        </w:rPr>
        <w:t xml:space="preserve"> 00 </w:t>
      </w:r>
      <w:r>
        <w:rPr>
          <w:rFonts w:hint="eastAsia" w:ascii="宋体" w:hAnsi="宋体"/>
          <w:color w:val="auto"/>
          <w:highlight w:val="none"/>
        </w:rPr>
        <w:t>分</w:t>
      </w:r>
      <w:r>
        <w:rPr>
          <w:rFonts w:hint="eastAsia" w:ascii="宋体" w:hAnsi="宋体"/>
          <w:color w:val="auto"/>
          <w:highlight w:val="none"/>
          <w:u w:val="singl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5.2逾期送达或未送达指定地点的比选申请文件，比选人不予受理。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5.3未按本文件要求密封的比选申请文件不予受理。</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7" w:name="_Toc101965680"/>
      <w:r>
        <w:rPr>
          <w:rFonts w:hint="eastAsia" w:ascii="宋体" w:hAnsi="宋体" w:eastAsia="宋体"/>
          <w:color w:val="auto"/>
          <w:sz w:val="24"/>
          <w:szCs w:val="24"/>
          <w:highlight w:val="none"/>
        </w:rPr>
        <w:t>六、比选申请人提出问题的截止时间</w:t>
      </w:r>
      <w:bookmarkEnd w:id="117"/>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6.1比选申请人提出问题的截止时间为</w:t>
      </w:r>
      <w:r>
        <w:rPr>
          <w:rFonts w:hint="eastAsia" w:ascii="宋体" w:hAnsi="宋体"/>
          <w:color w:val="auto"/>
          <w:highlight w:val="none"/>
          <w:u w:val="single"/>
        </w:rPr>
        <w:t xml:space="preserve"> </w:t>
      </w:r>
      <w:r>
        <w:rPr>
          <w:rFonts w:ascii="宋体" w:hAnsi="宋体"/>
          <w:color w:val="auto"/>
          <w:highlight w:val="none"/>
          <w:u w:val="single"/>
        </w:rPr>
        <w:t>202</w:t>
      </w:r>
      <w:r>
        <w:rPr>
          <w:rFonts w:hint="eastAsia" w:ascii="宋体" w:hAnsi="宋体"/>
          <w:color w:val="auto"/>
          <w:highlight w:val="none"/>
          <w:u w:val="single"/>
          <w:lang w:eastAsia="zh-CN"/>
        </w:rPr>
        <w:t>3</w:t>
      </w:r>
      <w:r>
        <w:rPr>
          <w:rFonts w:hint="eastAsia" w:ascii="宋体" w:hAnsi="宋体"/>
          <w:color w:val="auto"/>
          <w:highlight w:val="none"/>
        </w:rPr>
        <w:t>年</w:t>
      </w:r>
      <w:r>
        <w:rPr>
          <w:rFonts w:hint="eastAsia" w:ascii="宋体" w:hAnsi="宋体"/>
          <w:color w:val="auto"/>
          <w:highlight w:val="none"/>
          <w:u w:val="single"/>
          <w:lang w:val="en-US" w:eastAsia="zh-CN"/>
        </w:rPr>
        <w:t xml:space="preserve"> 1</w:t>
      </w:r>
      <w:r>
        <w:rPr>
          <w:rFonts w:hint="eastAsia" w:ascii="宋体" w:hAnsi="宋体"/>
          <w:color w:val="auto"/>
          <w:highlight w:val="none"/>
        </w:rPr>
        <w:t>月</w:t>
      </w:r>
      <w:r>
        <w:rPr>
          <w:rFonts w:hint="eastAsia" w:ascii="宋体" w:hAnsi="宋体"/>
          <w:color w:val="auto"/>
          <w:highlight w:val="none"/>
          <w:u w:val="single"/>
          <w:lang w:val="en-US" w:eastAsia="zh-CN"/>
        </w:rPr>
        <w:t xml:space="preserve"> 4</w:t>
      </w:r>
      <w:r>
        <w:rPr>
          <w:rFonts w:hint="eastAsia" w:ascii="宋体" w:hAnsi="宋体"/>
          <w:color w:val="auto"/>
          <w:highlight w:val="none"/>
        </w:rPr>
        <w:t>日</w:t>
      </w:r>
      <w:r>
        <w:rPr>
          <w:rFonts w:hint="eastAsia" w:ascii="宋体" w:hAnsi="宋体"/>
          <w:color w:val="auto"/>
          <w:highlight w:val="none"/>
          <w:u w:val="single"/>
          <w:lang w:val="en-US" w:eastAsia="zh-CN"/>
        </w:rPr>
        <w:t xml:space="preserve"> 18</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rPr>
        <w:t>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6.2需澄清的问题需以书面形式于上述提出问题截止时间前将加盖法人公章的电子版扫描件发到</w:t>
      </w:r>
      <w:r>
        <w:rPr>
          <w:rFonts w:hint="eastAsia" w:ascii="宋体" w:hAnsi="宋体"/>
          <w:color w:val="auto"/>
          <w:highlight w:val="none"/>
          <w:u w:val="single"/>
          <w:lang w:val="en-US" w:eastAsia="zh-CN"/>
        </w:rPr>
        <w:t>2779720072@qq</w:t>
      </w:r>
      <w:r>
        <w:rPr>
          <w:rFonts w:ascii="宋体" w:hAnsi="宋体"/>
          <w:color w:val="auto"/>
          <w:highlight w:val="none"/>
          <w:u w:val="single"/>
        </w:rPr>
        <w:t>.com</w:t>
      </w:r>
      <w:r>
        <w:rPr>
          <w:rFonts w:hint="eastAsia" w:ascii="宋体" w:hAnsi="宋体"/>
          <w:color w:val="auto"/>
          <w:highlight w:val="none"/>
        </w:rPr>
        <w:t>邮箱。</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6.3比选申请人不在规定期限内提出，比选人有权不予答复。答复后比选申请截止时间由比选人确定是否顺延。</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8" w:name="_Toc101965681"/>
      <w:r>
        <w:rPr>
          <w:rFonts w:hint="eastAsia" w:ascii="宋体" w:hAnsi="宋体" w:eastAsia="宋体"/>
          <w:color w:val="auto"/>
          <w:sz w:val="24"/>
          <w:szCs w:val="24"/>
          <w:highlight w:val="none"/>
        </w:rPr>
        <w:t>七、报价要求</w:t>
      </w:r>
      <w:bookmarkEnd w:id="11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7.1本项目合同价格形式采用以下方式：</w:t>
      </w:r>
      <w:r>
        <w:rPr>
          <w:rFonts w:ascii="宋体" w:hAnsi="宋体"/>
          <w:color w:val="auto"/>
          <w:highlight w:val="none"/>
        </w:rPr>
        <w:t xml:space="preserve"> </w:t>
      </w:r>
    </w:p>
    <w:p>
      <w:pPr>
        <w:tabs>
          <w:tab w:val="left" w:pos="1134"/>
          <w:tab w:val="left" w:pos="8364"/>
        </w:tabs>
        <w:ind w:left="0" w:firstLine="0" w:firstLineChars="0"/>
        <w:rPr>
          <w:rFonts w:ascii="宋体" w:hAnsi="宋体"/>
          <w:color w:val="auto"/>
          <w:highlight w:val="none"/>
        </w:rPr>
      </w:pPr>
      <w:r>
        <w:rPr>
          <w:rFonts w:hint="eastAsia" w:ascii="宋体" w:hAnsi="宋体"/>
          <w:b/>
          <w:color w:val="auto"/>
          <w:highlight w:val="none"/>
        </w:rPr>
        <w:t>单价合同，暂定总价</w:t>
      </w:r>
      <w:r>
        <w:rPr>
          <w:rFonts w:hint="eastAsia" w:ascii="宋体" w:hAnsi="宋体"/>
          <w:color w:val="auto"/>
          <w:highlight w:val="none"/>
        </w:rPr>
        <w:t>。根据实际完成的供货数量据实结算。</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w:t>
      </w:r>
      <w:r>
        <w:rPr>
          <w:color w:val="auto"/>
          <w:highlight w:val="none"/>
        </w:rPr>
        <w:t>本项目采用含税报价，在签订本项目合同时，</w:t>
      </w:r>
      <w:r>
        <w:rPr>
          <w:rFonts w:hint="eastAsia" w:ascii="宋体" w:hAnsi="宋体"/>
          <w:color w:val="auto"/>
          <w:highlight w:val="none"/>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比选申请人须按第五章《用户需求书》中的技术需求及数量表的顺序填报投标报价表，不允许打乱顺序。比选申请人应完整地填写比选文件中提供的“比选申请报价一览表”及“比选申请报价明细表”。比选申请人在“比选申请报价一览表”及“比选申请报价明细表”内所填报的总价应相一致。</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7.4</w:t>
      </w:r>
      <w:r>
        <w:rPr>
          <w:rFonts w:ascii="宋体" w:hAnsi="宋体"/>
          <w:color w:val="auto"/>
          <w:highlight w:val="none"/>
        </w:rPr>
        <w:t xml:space="preserve"> </w:t>
      </w:r>
      <w:r>
        <w:rPr>
          <w:rFonts w:hint="eastAsia" w:ascii="宋体" w:hAnsi="宋体"/>
          <w:color w:val="auto"/>
          <w:highlight w:val="none"/>
        </w:rPr>
        <w:t>比选申请报价应包括货物制造准备、制造、仓储、包装、运输、</w:t>
      </w:r>
      <w:r>
        <w:rPr>
          <w:rFonts w:hint="eastAsia" w:ascii="宋体" w:hAnsi="宋体"/>
          <w:color w:val="auto"/>
          <w:highlight w:val="none"/>
          <w:lang w:val="en-US" w:eastAsia="zh-CN"/>
        </w:rPr>
        <w:t>过磅、</w:t>
      </w:r>
      <w:r>
        <w:rPr>
          <w:rFonts w:hint="eastAsia" w:ascii="宋体" w:hAnsi="宋体"/>
          <w:color w:val="auto"/>
          <w:highlight w:val="none"/>
        </w:rPr>
        <w:t>保险、装卸、安装、服务、抽样及其检测费（如有）、计量检定费（如有）、计量校准检测费（如有）及质量保证期服务等履行合同标的全过程产生的所有成本和费用以及比选申请人应承担的费用。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7.5比选申请</w:t>
      </w:r>
      <w:r>
        <w:rPr>
          <w:rFonts w:ascii="宋体" w:hAnsi="宋体"/>
          <w:color w:val="auto"/>
          <w:highlight w:val="none"/>
        </w:rPr>
        <w:t>报价已包括所有应支付的，对专利权、著作权、注册商标专有使用权、计算机软件登记或其他知识产权而需要向其他方支付各项等费用</w:t>
      </w:r>
      <w:r>
        <w:rPr>
          <w:rFonts w:hint="eastAsia"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b/>
          <w:color w:val="auto"/>
          <w:highlight w:val="none"/>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7.7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w:t>
      </w:r>
      <w:r>
        <w:rPr>
          <w:rFonts w:hint="eastAsia" w:ascii="宋体" w:hAnsi="宋体"/>
          <w:color w:val="auto"/>
          <w:highlight w:val="none"/>
          <w:lang w:val="en-US" w:eastAsia="zh-CN"/>
        </w:rPr>
        <w:t>最高</w:t>
      </w:r>
      <w:r>
        <w:rPr>
          <w:rFonts w:hint="eastAsia" w:ascii="宋体" w:hAnsi="宋体"/>
          <w:color w:val="auto"/>
          <w:highlight w:val="none"/>
        </w:rPr>
        <w:t>报价为准。</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8"/>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w:t>
      </w:r>
      <w:r>
        <w:rPr>
          <w:rFonts w:hint="eastAsia" w:ascii="宋体" w:hAnsi="宋体"/>
          <w:color w:val="auto"/>
          <w:highlight w:val="none"/>
          <w:lang w:val="en-US" w:eastAsia="zh-CN"/>
        </w:rPr>
        <w:t>最高</w:t>
      </w:r>
      <w:r>
        <w:rPr>
          <w:rFonts w:hint="eastAsia" w:ascii="宋体" w:hAnsi="宋体"/>
          <w:color w:val="auto"/>
          <w:highlight w:val="none"/>
        </w:rPr>
        <w:t>报价为准。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（5）当各子目的合价累计不等于总价时，应以各子目合价累计数为准，修正总价。</w:t>
      </w:r>
    </w:p>
    <w:p>
      <w:pPr>
        <w:pStyle w:val="38"/>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（6）按上述（2）-（5）规则对比选申请报价进行修正。</w:t>
      </w:r>
      <w:r>
        <w:rPr>
          <w:rFonts w:hint="eastAsia" w:ascii="宋体" w:hAnsi="宋体" w:cs="Arial"/>
          <w:color w:val="auto"/>
          <w:highlight w:val="none"/>
        </w:rPr>
        <w:t>评标价格及中标价均以修正后的报价为准。</w:t>
      </w:r>
      <w:r>
        <w:rPr>
          <w:rFonts w:hint="eastAsia" w:ascii="宋体" w:hAnsi="宋体"/>
          <w:color w:val="auto"/>
          <w:highlight w:val="none"/>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7.9报价保留小数点后两位。</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7.10比选申请人只允许有一个报价，比选人不接受任何选择性报价，否则比选申请将被否决。</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19" w:name="_Toc101965682"/>
      <w:r>
        <w:rPr>
          <w:rFonts w:hint="eastAsia" w:ascii="宋体" w:hAnsi="宋体" w:eastAsia="宋体"/>
          <w:color w:val="auto"/>
          <w:sz w:val="24"/>
          <w:szCs w:val="24"/>
          <w:highlight w:val="none"/>
        </w:rPr>
        <w:t>八、评审规则</w:t>
      </w:r>
      <w:bookmarkEnd w:id="11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8.1本项目评标办法采用以下方式：</w:t>
      </w:r>
      <w:r>
        <w:rPr>
          <w:rFonts w:ascii="宋体" w:hAnsi="宋体"/>
          <w:color w:val="auto"/>
          <w:highlight w:val="none"/>
        </w:rPr>
        <w:t xml:space="preserve"> </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最</w:t>
      </w:r>
      <w:r>
        <w:rPr>
          <w:rFonts w:hint="eastAsia" w:ascii="宋体" w:hAnsi="宋体"/>
          <w:b/>
          <w:color w:val="auto"/>
          <w:highlight w:val="none"/>
          <w:lang w:val="en-US" w:eastAsia="zh-CN"/>
        </w:rPr>
        <w:t>高</w:t>
      </w:r>
      <w:r>
        <w:rPr>
          <w:rFonts w:hint="eastAsia" w:ascii="宋体" w:hAnsi="宋体"/>
          <w:b/>
          <w:color w:val="auto"/>
          <w:highlight w:val="none"/>
        </w:rPr>
        <w:t>评审价法</w:t>
      </w:r>
      <w:r>
        <w:rPr>
          <w:rFonts w:hint="eastAsia" w:ascii="宋体" w:hAnsi="宋体"/>
          <w:color w:val="auto"/>
          <w:highlight w:val="none"/>
        </w:rPr>
        <w:t>。最</w:t>
      </w:r>
      <w:r>
        <w:rPr>
          <w:rFonts w:hint="eastAsia" w:ascii="宋体" w:hAnsi="宋体"/>
          <w:color w:val="auto"/>
          <w:highlight w:val="none"/>
          <w:lang w:val="en-US" w:eastAsia="zh-CN"/>
        </w:rPr>
        <w:t>高</w:t>
      </w:r>
      <w:r>
        <w:rPr>
          <w:rFonts w:hint="eastAsia" w:ascii="宋体" w:hAnsi="宋体"/>
          <w:color w:val="auto"/>
          <w:highlight w:val="none"/>
        </w:rPr>
        <w:t>的有效报价作为推荐中选候选人依据</w:t>
      </w:r>
      <w:r>
        <w:rPr>
          <w:rFonts w:hint="eastAsia" w:ascii="宋体" w:hAnsi="宋体"/>
          <w:color w:val="auto"/>
          <w:highlight w:val="none"/>
          <w:lang w:eastAsia="zh-CN"/>
        </w:rPr>
        <w:t>，</w:t>
      </w:r>
      <w:r>
        <w:rPr>
          <w:rFonts w:hint="eastAsia" w:ascii="宋体" w:hAnsi="宋体"/>
          <w:color w:val="auto"/>
          <w:highlight w:val="none"/>
          <w:lang w:val="en-US" w:eastAsia="zh-CN"/>
        </w:rPr>
        <w:t>以最高价单价中标，按实际重量结算。如最高价出现两个或两个以上相同报价，则由相关报价人进行第二轮报价，最终按最高单价变卖。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8.2比选申请人有下述情况之一的，其比选申请将被否决：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（1）不满足比选人资格要求的。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（2）未按本文件要求签字、盖章、打印、装订或封装的。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（3）比选申请实质性内容未按本文件规定格式填写且内容不齐全的。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（4）技术需求响应表及商务响应表出现负偏离的。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（5）在比选申请文件中出现虚假文件或资料的。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（6）评标价超出本项目</w:t>
      </w:r>
      <w:r>
        <w:rPr>
          <w:rFonts w:hint="eastAsia" w:ascii="宋体" w:hAnsi="宋体"/>
          <w:color w:val="auto"/>
          <w:highlight w:val="none"/>
          <w:lang w:val="en-US" w:eastAsia="zh-CN"/>
        </w:rPr>
        <w:t>报价下限控制单价</w:t>
      </w:r>
      <w:r>
        <w:rPr>
          <w:rFonts w:hint="eastAsia" w:ascii="宋体" w:hAnsi="宋体"/>
          <w:color w:val="auto"/>
          <w:highlight w:val="none"/>
        </w:rPr>
        <w:t>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（7）出现比选文件、法律法规规定的其他否决比选申请条件的。</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0" w:name="_Toc101965683"/>
      <w:r>
        <w:rPr>
          <w:rFonts w:hint="eastAsia" w:ascii="宋体" w:hAnsi="宋体" w:eastAsia="宋体"/>
          <w:color w:val="auto"/>
          <w:sz w:val="24"/>
          <w:szCs w:val="24"/>
          <w:highlight w:val="none"/>
        </w:rPr>
        <w:t>九、重新比选或不再比选</w:t>
      </w:r>
      <w:bookmarkEnd w:id="120"/>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9.1比选申请人</w:t>
      </w:r>
      <w:r>
        <w:rPr>
          <w:rFonts w:ascii="宋体" w:hAnsi="宋体"/>
          <w:b/>
          <w:color w:val="auto"/>
          <w:highlight w:val="none"/>
        </w:rPr>
        <w:t>出现下列特殊情况之一时，可重新</w:t>
      </w:r>
      <w:r>
        <w:rPr>
          <w:rFonts w:hint="eastAsia" w:ascii="宋体" w:hAnsi="宋体"/>
          <w:b/>
          <w:color w:val="auto"/>
          <w:highlight w:val="none"/>
        </w:rPr>
        <w:t>比选：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（5）比选文件中规定的其他情况。</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9.2不再比选</w:t>
      </w:r>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1" w:name="_Toc101965684"/>
      <w:r>
        <w:rPr>
          <w:rFonts w:hint="eastAsia" w:ascii="宋体" w:hAnsi="宋体" w:eastAsia="宋体"/>
          <w:color w:val="auto"/>
          <w:sz w:val="24"/>
          <w:szCs w:val="24"/>
          <w:highlight w:val="none"/>
        </w:rPr>
        <w:t>九、比选申请有效期</w:t>
      </w:r>
      <w:bookmarkEnd w:id="1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自比选申请截止时间起90天。</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2" w:name="_Toc101965685"/>
      <w:r>
        <w:rPr>
          <w:rFonts w:hint="eastAsia" w:ascii="宋体" w:hAnsi="宋体" w:eastAsia="宋体"/>
          <w:color w:val="auto"/>
          <w:sz w:val="24"/>
          <w:szCs w:val="24"/>
          <w:highlight w:val="none"/>
        </w:rPr>
        <w:t>十、比选保证金</w:t>
      </w:r>
      <w:bookmarkEnd w:id="12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本项目不要求递交比选保证金。</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3" w:name="_Toc101965686"/>
      <w:r>
        <w:rPr>
          <w:rFonts w:hint="eastAsia" w:ascii="宋体" w:hAnsi="宋体" w:eastAsia="宋体"/>
          <w:color w:val="auto"/>
          <w:sz w:val="24"/>
          <w:szCs w:val="24"/>
          <w:highlight w:val="none"/>
        </w:rPr>
        <w:t>十一、履约担保</w:t>
      </w:r>
      <w:bookmarkEnd w:id="12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11.1履约担保的金额：</w:t>
      </w:r>
      <w:r>
        <w:rPr>
          <w:rFonts w:hint="eastAsia" w:ascii="宋体" w:hAnsi="宋体"/>
          <w:color w:val="auto"/>
          <w:highlight w:val="none"/>
          <w:lang w:val="en-US" w:eastAsia="zh-CN"/>
        </w:rPr>
        <w:t>人民币1800元</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11.2履约担保的形式：转账或电汇或银行保函。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11.3银行保函由中国境内各商业银行支行及其以上的银行开具的银行保函。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11.4递交地点：南宁市青秀区云景路</w:t>
      </w:r>
      <w:r>
        <w:rPr>
          <w:rFonts w:ascii="宋体" w:hAnsi="宋体"/>
          <w:color w:val="auto"/>
          <w:highlight w:val="none"/>
        </w:rPr>
        <w:t>83</w:t>
      </w:r>
      <w:r>
        <w:rPr>
          <w:rFonts w:hint="eastAsia" w:ascii="宋体" w:hAnsi="宋体"/>
          <w:color w:val="auto"/>
          <w:highlight w:val="none"/>
        </w:rPr>
        <w:t>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11.6若中选人未在规定时间内足额缴纳履约担保，比选人有权取消其中选资格。</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11.7履约保函应采用合同规定格式，其开具银行应为中国境内商业银行地市级以上支行（含地市级支行），并须是以甲方为受益人，见索即付无条件付款的、不可撤销的银行保函。</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24" w:name="_Toc101965687"/>
      <w:r>
        <w:rPr>
          <w:rFonts w:hint="eastAsia" w:ascii="宋体" w:hAnsi="宋体" w:eastAsia="宋体"/>
          <w:color w:val="auto"/>
          <w:sz w:val="24"/>
          <w:szCs w:val="24"/>
          <w:highlight w:val="none"/>
        </w:rPr>
        <w:t>十二、不良信用名单条款</w:t>
      </w:r>
      <w:bookmarkEnd w:id="12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比选人的不良信用名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（7）将合同转包的。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（11）中选</w:t>
      </w:r>
      <w:r>
        <w:rPr>
          <w:rFonts w:ascii="宋体" w:hAnsi="宋体"/>
          <w:color w:val="auto"/>
          <w:highlight w:val="none"/>
        </w:rPr>
        <w:t>人未按</w:t>
      </w:r>
      <w:r>
        <w:rPr>
          <w:rFonts w:hint="eastAsia" w:ascii="宋体" w:hAnsi="宋体"/>
          <w:color w:val="auto"/>
          <w:highlight w:val="none"/>
        </w:rPr>
        <w:t>比选申请须知</w:t>
      </w:r>
      <w:r>
        <w:rPr>
          <w:rFonts w:ascii="宋体" w:hAnsi="宋体"/>
          <w:color w:val="auto"/>
          <w:highlight w:val="none"/>
        </w:rPr>
        <w:t>要求</w:t>
      </w:r>
      <w:r>
        <w:rPr>
          <w:rFonts w:hint="eastAsia" w:ascii="宋体" w:hAnsi="宋体"/>
          <w:color w:val="auto"/>
          <w:highlight w:val="none"/>
        </w:rPr>
        <w:t>在比选申请阶段</w:t>
      </w:r>
      <w:r>
        <w:rPr>
          <w:rFonts w:ascii="宋体" w:hAnsi="宋体"/>
          <w:color w:val="auto"/>
          <w:highlight w:val="none"/>
        </w:rPr>
        <w:t>提出</w:t>
      </w:r>
      <w:r>
        <w:rPr>
          <w:rFonts w:hint="eastAsia" w:ascii="宋体" w:hAnsi="宋体"/>
          <w:color w:val="auto"/>
          <w:highlight w:val="none"/>
        </w:rPr>
        <w:t>异议或疑问</w:t>
      </w:r>
      <w:r>
        <w:rPr>
          <w:rFonts w:ascii="宋体" w:hAnsi="宋体"/>
          <w:color w:val="auto"/>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（13）比选文件、法律、法规规定的其他情形。</w:t>
      </w: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ageBreakBefore/>
        <w:spacing w:line="300" w:lineRule="exact"/>
        <w:ind w:left="950" w:right="-28" w:hanging="950" w:hangingChars="338"/>
        <w:jc w:val="center"/>
        <w:rPr>
          <w:rFonts w:ascii="宋体"/>
          <w:b/>
          <w:color w:val="auto"/>
          <w:sz w:val="28"/>
          <w:szCs w:val="30"/>
          <w:highlight w:val="none"/>
        </w:rPr>
      </w:pPr>
      <w:bookmarkStart w:id="125"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spacing w:line="300" w:lineRule="exact"/>
        <w:jc w:val="center"/>
        <w:rPr>
          <w:rFonts w:ascii="宋体"/>
          <w:b/>
          <w:color w:val="auto"/>
          <w:sz w:val="28"/>
          <w:szCs w:val="30"/>
          <w:highlight w:val="none"/>
        </w:rPr>
      </w:pPr>
    </w:p>
    <w:p>
      <w:pPr>
        <w:pStyle w:val="13"/>
        <w:ind w:right="-57" w:firstLine="0"/>
        <w:jc w:val="center"/>
        <w:outlineLvl w:val="0"/>
        <w:rPr>
          <w:rStyle w:val="43"/>
          <w:rFonts w:hAnsi="宋体"/>
          <w:color w:val="auto"/>
          <w:sz w:val="44"/>
          <w:szCs w:val="44"/>
          <w:highlight w:val="none"/>
        </w:rPr>
      </w:pPr>
      <w:bookmarkStart w:id="126" w:name="_Toc101965688"/>
      <w:r>
        <w:rPr>
          <w:rStyle w:val="43"/>
          <w:rFonts w:hint="eastAsia" w:hAnsi="宋体"/>
          <w:color w:val="auto"/>
          <w:sz w:val="44"/>
          <w:szCs w:val="44"/>
          <w:highlight w:val="none"/>
        </w:rPr>
        <w:t>第三章 合同条款及格式</w:t>
      </w:r>
      <w:bookmarkEnd w:id="125"/>
      <w:bookmarkEnd w:id="126"/>
    </w:p>
    <w:p>
      <w:pPr>
        <w:spacing w:after="156" w:afterLines="50"/>
        <w:jc w:val="center"/>
        <w:rPr>
          <w:b/>
          <w:color w:val="auto"/>
          <w:sz w:val="44"/>
          <w:szCs w:val="44"/>
          <w:highlight w:val="none"/>
        </w:rPr>
      </w:pPr>
    </w:p>
    <w:p>
      <w:pPr>
        <w:spacing w:after="156" w:afterLines="50"/>
        <w:jc w:val="center"/>
        <w:rPr>
          <w:b/>
          <w:color w:val="auto"/>
          <w:sz w:val="44"/>
          <w:szCs w:val="44"/>
          <w:highlight w:val="none"/>
        </w:rPr>
      </w:pPr>
    </w:p>
    <w:p>
      <w:pPr>
        <w:pStyle w:val="2"/>
        <w:rPr>
          <w:b/>
          <w:color w:val="auto"/>
          <w:sz w:val="44"/>
          <w:szCs w:val="44"/>
          <w:highlight w:val="none"/>
        </w:rPr>
      </w:pPr>
    </w:p>
    <w:p>
      <w:pPr>
        <w:rPr>
          <w:b/>
          <w:color w:val="auto"/>
          <w:sz w:val="44"/>
          <w:szCs w:val="44"/>
          <w:highlight w:val="none"/>
        </w:rPr>
      </w:pPr>
    </w:p>
    <w:p>
      <w:pPr>
        <w:pStyle w:val="2"/>
        <w:rPr>
          <w:b/>
          <w:color w:val="auto"/>
          <w:sz w:val="44"/>
          <w:szCs w:val="44"/>
          <w:highlight w:val="none"/>
        </w:rPr>
      </w:pPr>
    </w:p>
    <w:p>
      <w:pPr>
        <w:rPr>
          <w:b/>
          <w:color w:val="auto"/>
          <w:sz w:val="44"/>
          <w:szCs w:val="44"/>
          <w:highlight w:val="none"/>
        </w:rPr>
      </w:pPr>
    </w:p>
    <w:p>
      <w:pPr>
        <w:pStyle w:val="2"/>
        <w:rPr>
          <w:b/>
          <w:color w:val="auto"/>
          <w:sz w:val="44"/>
          <w:szCs w:val="44"/>
          <w:highlight w:val="none"/>
        </w:rPr>
      </w:pPr>
    </w:p>
    <w:p>
      <w:pPr>
        <w:rPr>
          <w:color w:val="auto"/>
          <w:highlight w:val="none"/>
        </w:rPr>
      </w:pPr>
    </w:p>
    <w:p>
      <w:pPr>
        <w:tabs>
          <w:tab w:val="left" w:pos="2268"/>
        </w:tabs>
        <w:spacing w:after="120" w:afterLines="50"/>
        <w:ind w:left="0" w:right="928" w:firstLine="0" w:firstLineChars="0"/>
        <w:jc w:val="right"/>
        <w:rPr>
          <w:rFonts w:ascii="宋体" w:hAnsi="宋体"/>
          <w:color w:val="auto"/>
          <w:sz w:val="30"/>
          <w:szCs w:val="30"/>
          <w:highlight w:val="none"/>
        </w:rPr>
      </w:pPr>
      <w:bookmarkStart w:id="127" w:name="_Toc114052410"/>
      <w:bookmarkStart w:id="128" w:name="_Toc114052336"/>
      <w:bookmarkStart w:id="129" w:name="_Toc286386830"/>
      <w:r>
        <w:rPr>
          <w:rFonts w:hint="eastAsia" w:ascii="宋体" w:hAnsi="宋体"/>
          <w:color w:val="auto"/>
          <w:sz w:val="30"/>
          <w:szCs w:val="30"/>
          <w:highlight w:val="none"/>
        </w:rPr>
        <w:t>【正本】</w:t>
      </w:r>
    </w:p>
    <w:p>
      <w:pPr>
        <w:spacing w:before="0" w:after="0" w:afterAutospacing="0" w:line="240" w:lineRule="auto"/>
        <w:ind w:right="-28"/>
        <w:jc w:val="center"/>
        <w:rPr>
          <w:rFonts w:ascii="宋体" w:hAnsi="宋体"/>
          <w:b/>
          <w:color w:val="auto"/>
          <w:sz w:val="44"/>
          <w:szCs w:val="44"/>
          <w:highlight w:val="none"/>
        </w:rPr>
      </w:pPr>
      <w:r>
        <w:rPr>
          <w:rFonts w:hint="eastAsia"/>
          <w:color w:val="auto"/>
          <w:sz w:val="44"/>
          <w:szCs w:val="44"/>
          <w:highlight w:val="none"/>
        </w:rPr>
        <w:t>南宁轨道交通集团</w:t>
      </w:r>
      <w:r>
        <w:rPr>
          <w:rFonts w:hint="eastAsia" w:ascii="宋体" w:hAnsi="宋体"/>
          <w:b/>
          <w:color w:val="auto"/>
          <w:sz w:val="44"/>
          <w:szCs w:val="44"/>
          <w:highlight w:val="none"/>
        </w:rPr>
        <w:t>运营公司</w:t>
      </w:r>
    </w:p>
    <w:p>
      <w:pPr>
        <w:pStyle w:val="26"/>
        <w:spacing w:before="0" w:after="0" w:afterAutospacing="0" w:line="240" w:lineRule="auto"/>
        <w:ind w:left="1" w:right="0" w:firstLine="0"/>
        <w:jc w:val="center"/>
        <w:rPr>
          <w:rFonts w:hint="eastAsia" w:ascii="Times New Roman" w:hAnsi="Times New Roman"/>
          <w:b w:val="0"/>
          <w:color w:val="auto"/>
          <w:sz w:val="44"/>
          <w:szCs w:val="44"/>
          <w:highlight w:val="none"/>
        </w:rPr>
      </w:pPr>
      <w:r>
        <w:rPr>
          <w:rFonts w:hint="eastAsia" w:ascii="Times New Roman" w:hAnsi="Times New Roman"/>
          <w:b w:val="0"/>
          <w:color w:val="auto"/>
          <w:spacing w:val="0"/>
          <w:sz w:val="44"/>
          <w:szCs w:val="44"/>
          <w:highlight w:val="none"/>
          <w:u w:val="none"/>
          <w:lang w:eastAsia="zh-CN"/>
        </w:rPr>
        <w:t>2022年普通固废出售处置项目（废铁屑）</w:t>
      </w:r>
    </w:p>
    <w:p>
      <w:pPr>
        <w:spacing w:before="120" w:beforeLines="50" w:after="240" w:afterLines="100" w:line="240" w:lineRule="auto"/>
        <w:ind w:left="0" w:right="-28" w:firstLine="0" w:firstLineChars="0"/>
        <w:jc w:val="center"/>
        <w:rPr>
          <w:rFonts w:hint="default" w:ascii="宋体" w:hAnsi="宋体"/>
          <w:b/>
          <w:color w:val="auto"/>
          <w:sz w:val="30"/>
          <w:szCs w:val="30"/>
          <w:highlight w:val="none"/>
          <w:lang w:val="en-US"/>
        </w:rPr>
      </w:pPr>
      <w:r>
        <w:rPr>
          <w:rFonts w:hint="eastAsia" w:ascii="宋体" w:hAnsi="宋体"/>
          <w:b/>
          <w:color w:val="auto"/>
          <w:sz w:val="30"/>
          <w:szCs w:val="30"/>
          <w:highlight w:val="none"/>
        </w:rPr>
        <w:t>项目编号:</w:t>
      </w:r>
      <w:r>
        <w:rPr>
          <w:rFonts w:hint="eastAsia" w:ascii="宋体" w:hAnsi="宋体" w:eastAsia="等线"/>
          <w:color w:val="auto"/>
          <w:sz w:val="28"/>
          <w:szCs w:val="28"/>
          <w:highlight w:val="none"/>
        </w:rPr>
        <w:t xml:space="preserve"> </w:t>
      </w:r>
      <w:r>
        <w:rPr>
          <w:rFonts w:hint="eastAsia" w:ascii="宋体" w:hAnsi="宋体"/>
          <w:b/>
          <w:color w:val="auto"/>
          <w:sz w:val="32"/>
          <w:szCs w:val="32"/>
          <w:highlight w:val="none"/>
        </w:rPr>
        <w:t>202210170002</w:t>
      </w:r>
    </w:p>
    <w:p>
      <w:pPr>
        <w:spacing w:before="120" w:beforeLines="50" w:after="240" w:afterLines="100" w:line="240" w:lineRule="auto"/>
        <w:ind w:left="0" w:right="-28" w:firstLine="0"/>
        <w:jc w:val="center"/>
        <w:rPr>
          <w:rFonts w:ascii="宋体" w:hAnsi="宋体"/>
          <w:b/>
          <w:color w:val="auto"/>
          <w:sz w:val="30"/>
          <w:szCs w:val="30"/>
          <w:highlight w:val="none"/>
        </w:rPr>
      </w:pPr>
      <w:r>
        <w:rPr>
          <w:rFonts w:hint="eastAsia" w:ascii="宋体" w:hAnsi="宋体"/>
          <w:b/>
          <w:color w:val="auto"/>
          <w:sz w:val="30"/>
          <w:szCs w:val="30"/>
          <w:highlight w:val="none"/>
        </w:rPr>
        <w:t>合同编号:</w:t>
      </w:r>
    </w:p>
    <w:p>
      <w:pPr>
        <w:spacing w:line="240" w:lineRule="auto"/>
        <w:ind w:right="-2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240" w:lineRule="auto"/>
        <w:ind w:right="-28"/>
        <w:jc w:val="center"/>
        <w:rPr>
          <w:rFonts w:ascii="宋体" w:hAnsi="宋体"/>
          <w:b/>
          <w:color w:val="auto"/>
          <w:sz w:val="72"/>
          <w:szCs w:val="52"/>
          <w:highlight w:val="none"/>
        </w:rPr>
      </w:pPr>
      <w:r>
        <w:rPr>
          <w:rFonts w:hint="eastAsia"/>
          <w:b/>
          <w:color w:val="auto"/>
          <w:sz w:val="72"/>
          <w:szCs w:val="52"/>
          <w:highlight w:val="none"/>
        </w:rPr>
        <w:t>同</w:t>
      </w:r>
    </w:p>
    <w:p>
      <w:pPr>
        <w:spacing w:after="120" w:afterLines="50" w:line="240" w:lineRule="auto"/>
        <w:ind w:right="-2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ascii="宋体" w:hAnsi="宋体"/>
          <w:b/>
          <w:color w:val="auto"/>
          <w:sz w:val="52"/>
          <w:highlight w:val="none"/>
        </w:rPr>
        <w:drawing>
          <wp:inline distT="0" distB="0" distL="0" distR="0">
            <wp:extent cx="1647825" cy="1831340"/>
            <wp:effectExtent l="0" t="0" r="13335" b="12700"/>
            <wp:docPr id="3"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50335" cy="1834730"/>
                    </a:xfrm>
                    <a:prstGeom prst="rect">
                      <a:avLst/>
                    </a:prstGeom>
                    <a:noFill/>
                    <a:ln>
                      <a:noFill/>
                    </a:ln>
                  </pic:spPr>
                </pic:pic>
              </a:graphicData>
            </a:graphic>
          </wp:inline>
        </w:drawing>
      </w:r>
    </w:p>
    <w:p>
      <w:pPr>
        <w:spacing w:before="0" w:beforeLines="0" w:after="0" w:afterAutospacing="0" w:line="15" w:lineRule="auto"/>
        <w:ind w:left="567" w:firstLine="1405" w:firstLineChars="500"/>
        <w:rPr>
          <w:rFonts w:ascii="宋体" w:hAnsi="宋体"/>
          <w:b/>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w:t>
      </w:r>
      <w:r>
        <w:rPr>
          <w:rFonts w:hint="eastAsia"/>
          <w:color w:val="auto"/>
          <w:sz w:val="28"/>
          <w:szCs w:val="28"/>
          <w:highlight w:val="none"/>
          <w:lang w:val="en-US" w:eastAsia="zh-CN"/>
        </w:rPr>
        <w:t>运营有限</w:t>
      </w:r>
      <w:r>
        <w:rPr>
          <w:rFonts w:hint="eastAsia"/>
          <w:color w:val="auto"/>
          <w:sz w:val="28"/>
          <w:szCs w:val="28"/>
          <w:highlight w:val="none"/>
        </w:rPr>
        <w:t>公司</w:t>
      </w:r>
    </w:p>
    <w:p>
      <w:pPr>
        <w:spacing w:before="0" w:beforeLines="0" w:after="0" w:afterAutospacing="0" w:line="15" w:lineRule="auto"/>
        <w:ind w:left="567" w:firstLine="1405" w:firstLineChars="500"/>
        <w:rPr>
          <w:rFonts w:ascii="宋体" w:hAnsi="宋体"/>
          <w:color w:val="auto"/>
          <w:sz w:val="28"/>
          <w:szCs w:val="28"/>
          <w:highlight w:val="none"/>
        </w:rPr>
      </w:pPr>
      <w:r>
        <w:rPr>
          <w:rFonts w:hint="eastAsia" w:ascii="宋体" w:hAnsi="宋体"/>
          <w:b/>
          <w:color w:val="auto"/>
          <w:sz w:val="28"/>
          <w:szCs w:val="28"/>
          <w:highlight w:val="none"/>
        </w:rPr>
        <w:t>乙    方：</w:t>
      </w:r>
    </w:p>
    <w:p>
      <w:pPr>
        <w:spacing w:before="0" w:beforeLines="0" w:after="0" w:afterAutospacing="0" w:line="15" w:lineRule="auto"/>
        <w:ind w:left="567" w:firstLine="1405" w:firstLineChars="500"/>
        <w:rPr>
          <w:rFonts w:ascii="宋体" w:hAnsi="宋体"/>
          <w:b/>
          <w:color w:val="auto"/>
          <w:sz w:val="28"/>
          <w:szCs w:val="28"/>
          <w:highlight w:val="none"/>
        </w:rPr>
      </w:pPr>
      <w:r>
        <w:rPr>
          <w:rFonts w:hint="eastAsia" w:ascii="宋体" w:hAnsi="宋体"/>
          <w:b/>
          <w:color w:val="auto"/>
          <w:sz w:val="28"/>
          <w:szCs w:val="28"/>
          <w:highlight w:val="none"/>
        </w:rPr>
        <w:t xml:space="preserve">签约日期： </w:t>
      </w:r>
      <w:r>
        <w:rPr>
          <w:rFonts w:hint="eastAsia" w:ascii="宋体" w:hAnsi="宋体"/>
          <w:b/>
          <w:bCs/>
          <w:color w:val="auto"/>
          <w:sz w:val="28"/>
          <w:szCs w:val="28"/>
          <w:highlight w:val="none"/>
          <w:u w:val="single"/>
        </w:rPr>
        <w:t>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before="0" w:beforeLines="0" w:after="0" w:afterAutospacing="0" w:line="15" w:lineRule="auto"/>
        <w:ind w:left="567" w:right="-86" w:rightChars="-41" w:firstLine="1358" w:firstLineChars="483"/>
        <w:rPr>
          <w:rFonts w:ascii="宋体" w:hAnsi="宋体"/>
          <w:b/>
          <w:color w:val="auto"/>
          <w:kern w:val="0"/>
          <w:sz w:val="24"/>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hint="eastAsia" w:ascii="宋体" w:hAnsi="宋体"/>
          <w:color w:val="auto"/>
          <w:sz w:val="28"/>
          <w:szCs w:val="28"/>
          <w:highlight w:val="none"/>
        </w:rPr>
        <w:t>广西壮族自治区南宁市</w:t>
      </w:r>
    </w:p>
    <w:p>
      <w:pPr>
        <w:widowControl/>
        <w:jc w:val="left"/>
        <w:rPr>
          <w:rFonts w:ascii="Cambria" w:hAnsi="Cambria"/>
          <w:b/>
          <w:bCs/>
          <w:color w:val="auto"/>
          <w:sz w:val="24"/>
          <w:szCs w:val="32"/>
          <w:highlight w:val="none"/>
        </w:rPr>
      </w:pPr>
    </w:p>
    <w:p>
      <w:pPr>
        <w:pStyle w:val="27"/>
        <w:spacing w:before="100" w:beforeAutospacing="1" w:after="0"/>
        <w:ind w:firstLine="48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8"/>
          <w:szCs w:val="28"/>
          <w:highlight w:val="none"/>
        </w:rPr>
        <w:t>合 同 正 文</w:t>
      </w:r>
    </w:p>
    <w:p>
      <w:pPr>
        <w:rPr>
          <w:color w:val="auto"/>
          <w:highlight w:val="none"/>
          <w:lang w:val="zh-CN"/>
        </w:rPr>
      </w:pPr>
    </w:p>
    <w:tbl>
      <w:tblPr>
        <w:tblStyle w:val="30"/>
        <w:tblW w:w="8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395" w:type="dxa"/>
            <w:vAlign w:val="center"/>
          </w:tcPr>
          <w:p>
            <w:pPr>
              <w:ind w:right="-86" w:rightChars="-41"/>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甲方：南宁轨道交通</w:t>
            </w:r>
            <w:r>
              <w:rPr>
                <w:rFonts w:hint="eastAsia" w:asciiTheme="minorEastAsia" w:hAnsiTheme="minorEastAsia" w:eastAsiaTheme="minorEastAsia"/>
                <w:b/>
                <w:color w:val="auto"/>
                <w:kern w:val="0"/>
                <w:sz w:val="24"/>
                <w:highlight w:val="none"/>
                <w:lang w:val="en-US" w:eastAsia="zh-CN"/>
              </w:rPr>
              <w:t>运营有限</w:t>
            </w:r>
            <w:r>
              <w:rPr>
                <w:rFonts w:hint="eastAsia" w:asciiTheme="minorEastAsia" w:hAnsiTheme="minorEastAsia" w:eastAsiaTheme="minorEastAsia"/>
                <w:b/>
                <w:color w:val="auto"/>
                <w:kern w:val="0"/>
                <w:sz w:val="24"/>
                <w:highlight w:val="none"/>
              </w:rPr>
              <w:t>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395" w:type="dxa"/>
            <w:vAlign w:val="center"/>
          </w:tcPr>
          <w:p>
            <w:pPr>
              <w:ind w:right="-86" w:rightChars="-41"/>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乙方：</w:t>
            </w:r>
          </w:p>
        </w:tc>
      </w:tr>
    </w:tbl>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定义和法律</w:t>
      </w:r>
    </w:p>
    <w:p>
      <w:pPr>
        <w:pStyle w:val="38"/>
        <w:numPr>
          <w:ilvl w:val="1"/>
          <w:numId w:val="2"/>
        </w:numPr>
        <w:spacing w:before="120" w:beforeLines="50" w:after="120" w:afterLines="50"/>
        <w:ind w:firstLineChars="0"/>
        <w:rPr>
          <w:color w:val="auto"/>
          <w:sz w:val="21"/>
          <w:highlight w:val="none"/>
        </w:rPr>
      </w:pPr>
      <w:r>
        <w:rPr>
          <w:rFonts w:hint="eastAsia"/>
          <w:color w:val="auto"/>
          <w:sz w:val="21"/>
          <w:highlight w:val="none"/>
        </w:rPr>
        <w:t>“合同”系指甲方和乙方已签署的协议，即由双方签订的合同格式中的文件，包括所有的附件、附录和组成合同部分的所有其它文件。</w:t>
      </w:r>
    </w:p>
    <w:p>
      <w:pPr>
        <w:pStyle w:val="38"/>
        <w:numPr>
          <w:ilvl w:val="1"/>
          <w:numId w:val="2"/>
        </w:numPr>
        <w:spacing w:before="120" w:beforeLines="50" w:after="120" w:afterLines="50"/>
        <w:ind w:left="600" w:hanging="525" w:hangingChars="250"/>
        <w:rPr>
          <w:color w:val="auto"/>
          <w:sz w:val="21"/>
          <w:highlight w:val="none"/>
        </w:rPr>
      </w:pPr>
      <w:r>
        <w:rPr>
          <w:rFonts w:hint="eastAsia"/>
          <w:color w:val="auto"/>
          <w:sz w:val="21"/>
          <w:highlight w:val="none"/>
        </w:rPr>
        <w:t>本合同适用的是中国的法律、法规，及部门规章、项目所在地的地方法规、地方规章。</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合同标的</w:t>
      </w:r>
    </w:p>
    <w:p>
      <w:pPr>
        <w:pStyle w:val="38"/>
        <w:numPr>
          <w:ilvl w:val="1"/>
          <w:numId w:val="3"/>
        </w:numPr>
        <w:spacing w:before="120" w:beforeLines="50" w:after="120" w:afterLines="50" w:line="360" w:lineRule="exact"/>
        <w:ind w:firstLineChars="0"/>
        <w:rPr>
          <w:color w:val="auto"/>
          <w:sz w:val="21"/>
          <w:highlight w:val="none"/>
        </w:rPr>
      </w:pPr>
      <w:r>
        <w:rPr>
          <w:rFonts w:hint="eastAsia"/>
          <w:color w:val="auto"/>
          <w:sz w:val="21"/>
          <w:highlight w:val="none"/>
        </w:rPr>
        <w:t>为贯彻执行《中华人民共和国环境保护法》和《中华人民共和国固体废物污染环境防治法》及相关法律法规，减少工业生产过程中产生的固体废物（液）对环境的污染，甲方将生产过程中产生的</w:t>
      </w:r>
      <w:r>
        <w:rPr>
          <w:rFonts w:hint="eastAsia" w:ascii="宋体" w:hAnsi="宋体"/>
          <w:color w:val="auto"/>
          <w:sz w:val="21"/>
          <w:szCs w:val="21"/>
          <w:highlight w:val="none"/>
          <w:lang w:val="en-US" w:eastAsia="zh-CN"/>
        </w:rPr>
        <w:t>废铁屑</w:t>
      </w:r>
      <w:r>
        <w:rPr>
          <w:rFonts w:hint="eastAsia" w:ascii="宋体" w:hAnsi="宋体"/>
          <w:color w:val="auto"/>
          <w:sz w:val="21"/>
          <w:szCs w:val="21"/>
          <w:highlight w:val="none"/>
        </w:rPr>
        <w:t>出售给乙方</w:t>
      </w:r>
      <w:r>
        <w:rPr>
          <w:rFonts w:hint="eastAsia" w:ascii="宋体" w:hAnsi="宋体"/>
          <w:color w:val="auto"/>
          <w:sz w:val="21"/>
          <w:szCs w:val="21"/>
          <w:highlight w:val="none"/>
          <w:lang w:eastAsia="zh-CN"/>
        </w:rPr>
        <w:t>，</w:t>
      </w:r>
      <w:r>
        <w:rPr>
          <w:rFonts w:hint="eastAsia" w:ascii="宋体" w:hAnsi="宋体"/>
          <w:color w:val="auto"/>
          <w:sz w:val="21"/>
          <w:szCs w:val="21"/>
          <w:highlight w:val="none"/>
        </w:rPr>
        <w:t>按照国家相关法律法规进行处理，</w:t>
      </w:r>
      <w:r>
        <w:rPr>
          <w:rFonts w:hint="eastAsia"/>
          <w:color w:val="auto"/>
          <w:sz w:val="21"/>
          <w:highlight w:val="none"/>
        </w:rPr>
        <w:t>数量、明细等见附件</w:t>
      </w:r>
      <w:r>
        <w:rPr>
          <w:rFonts w:hint="eastAsia" w:ascii="宋体" w:hAnsi="宋体"/>
          <w:color w:val="auto"/>
          <w:sz w:val="21"/>
          <w:highlight w:val="none"/>
        </w:rPr>
        <w:t>(一)</w:t>
      </w:r>
      <w:r>
        <w:rPr>
          <w:rFonts w:hint="eastAsia"/>
          <w:color w:val="auto"/>
          <w:sz w:val="21"/>
          <w:highlight w:val="none"/>
        </w:rPr>
        <w:t>：《</w:t>
      </w:r>
      <w:r>
        <w:rPr>
          <w:rFonts w:hint="eastAsia" w:ascii="宋体" w:hAnsi="宋体"/>
          <w:color w:val="auto"/>
          <w:sz w:val="21"/>
          <w:szCs w:val="21"/>
          <w:highlight w:val="none"/>
          <w:lang w:val="en-US" w:eastAsia="zh-CN"/>
        </w:rPr>
        <w:t>废铁屑</w:t>
      </w:r>
      <w:r>
        <w:rPr>
          <w:rFonts w:hint="eastAsia"/>
          <w:color w:val="auto"/>
          <w:sz w:val="21"/>
          <w:highlight w:val="none"/>
        </w:rPr>
        <w:t>估算清单表》。甲、乙双方经协商，在平等自愿的前提下，订立本合同。</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合同价格</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本合同暂定为人民币（大写）：X</w:t>
      </w:r>
      <w:r>
        <w:rPr>
          <w:color w:val="auto"/>
          <w:sz w:val="21"/>
          <w:highlight w:val="none"/>
        </w:rPr>
        <w:t>X</w:t>
      </w:r>
      <w:r>
        <w:rPr>
          <w:rFonts w:hint="eastAsia"/>
          <w:color w:val="auto"/>
          <w:sz w:val="21"/>
          <w:highlight w:val="none"/>
        </w:rPr>
        <w:t>元整（￥</w:t>
      </w:r>
      <w:r>
        <w:rPr>
          <w:rFonts w:ascii="宋体" w:hAnsi="宋体"/>
          <w:color w:val="auto"/>
          <w:sz w:val="21"/>
          <w:highlight w:val="none"/>
        </w:rPr>
        <w:t>00.00</w:t>
      </w:r>
      <w:r>
        <w:rPr>
          <w:rFonts w:hint="eastAsia" w:ascii="宋体" w:hAnsi="宋体"/>
          <w:color w:val="auto"/>
          <w:sz w:val="21"/>
          <w:highlight w:val="none"/>
        </w:rPr>
        <w:t>）</w:t>
      </w:r>
      <w:r>
        <w:rPr>
          <w:rFonts w:hint="eastAsia"/>
          <w:color w:val="auto"/>
          <w:sz w:val="21"/>
          <w:highlight w:val="none"/>
        </w:rPr>
        <w:t>，最终货款以单价乘以实际发生量计算，明细如下</w:t>
      </w:r>
      <w:r>
        <w:rPr>
          <w:rFonts w:hint="eastAsia"/>
          <w:color w:val="auto"/>
          <w:sz w:val="21"/>
          <w:szCs w:val="21"/>
          <w:highlight w:val="none"/>
        </w:rPr>
        <w:t>：</w:t>
      </w:r>
    </w:p>
    <w:tbl>
      <w:tblPr>
        <w:tblStyle w:val="29"/>
        <w:tblW w:w="8322" w:type="dxa"/>
        <w:jc w:val="center"/>
        <w:tblLayout w:type="fixed"/>
        <w:tblCellMar>
          <w:top w:w="0" w:type="dxa"/>
          <w:left w:w="108" w:type="dxa"/>
          <w:bottom w:w="0" w:type="dxa"/>
          <w:right w:w="108" w:type="dxa"/>
        </w:tblCellMar>
      </w:tblPr>
      <w:tblGrid>
        <w:gridCol w:w="828"/>
        <w:gridCol w:w="1308"/>
        <w:gridCol w:w="960"/>
        <w:gridCol w:w="1212"/>
        <w:gridCol w:w="1728"/>
        <w:gridCol w:w="768"/>
        <w:gridCol w:w="1518"/>
      </w:tblGrid>
      <w:tr>
        <w:tblPrEx>
          <w:tblCellMar>
            <w:top w:w="0" w:type="dxa"/>
            <w:left w:w="108" w:type="dxa"/>
            <w:bottom w:w="0" w:type="dxa"/>
            <w:right w:w="108" w:type="dxa"/>
          </w:tblCellMar>
        </w:tblPrEx>
        <w:trPr>
          <w:trHeight w:val="717"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物料名称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单位</w:t>
            </w:r>
          </w:p>
        </w:tc>
        <w:tc>
          <w:tcPr>
            <w:tcW w:w="12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预估量</w:t>
            </w:r>
          </w:p>
        </w:tc>
        <w:tc>
          <w:tcPr>
            <w:tcW w:w="17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含税单价（元）</w:t>
            </w:r>
          </w:p>
        </w:tc>
        <w:tc>
          <w:tcPr>
            <w:tcW w:w="7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税率</w:t>
            </w:r>
          </w:p>
        </w:tc>
        <w:tc>
          <w:tcPr>
            <w:tcW w:w="15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合计（元）</w:t>
            </w:r>
          </w:p>
        </w:tc>
      </w:tr>
      <w:tr>
        <w:tblPrEx>
          <w:tblCellMar>
            <w:top w:w="0" w:type="dxa"/>
            <w:left w:w="108" w:type="dxa"/>
            <w:bottom w:w="0" w:type="dxa"/>
            <w:right w:w="108" w:type="dxa"/>
          </w:tblCellMar>
        </w:tblPrEx>
        <w:trPr>
          <w:trHeight w:val="818"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废铁屑</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公斤</w:t>
            </w:r>
          </w:p>
        </w:tc>
        <w:tc>
          <w:tcPr>
            <w:tcW w:w="1212"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13131.5</w:t>
            </w:r>
          </w:p>
        </w:tc>
        <w:tc>
          <w:tcPr>
            <w:tcW w:w="17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7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5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r>
      <w:tr>
        <w:tblPrEx>
          <w:tblCellMar>
            <w:top w:w="0" w:type="dxa"/>
            <w:left w:w="108" w:type="dxa"/>
            <w:bottom w:w="0" w:type="dxa"/>
            <w:right w:w="108" w:type="dxa"/>
          </w:tblCellMar>
        </w:tblPrEx>
        <w:trPr>
          <w:trHeight w:val="1514"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备注：</w:t>
            </w:r>
          </w:p>
        </w:tc>
        <w:tc>
          <w:tcPr>
            <w:tcW w:w="7494"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1、本报价仅确定含税单价，最终数量按实际过磅计算，双方签字确认；</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2、在合同有效期内含税单价固定不变；</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3、乙方负责</w:t>
            </w:r>
            <w:r>
              <w:rPr>
                <w:rFonts w:hint="eastAsia" w:ascii="宋体" w:hAnsi="宋体" w:cs="宋体"/>
                <w:color w:val="auto"/>
                <w:kern w:val="0"/>
                <w:sz w:val="21"/>
                <w:szCs w:val="21"/>
                <w:highlight w:val="none"/>
                <w:lang w:val="en-US" w:eastAsia="zh-CN"/>
              </w:rPr>
              <w:t>废铁屑</w:t>
            </w:r>
            <w:r>
              <w:rPr>
                <w:rFonts w:hint="eastAsia" w:ascii="宋体" w:hAnsi="宋体" w:cs="宋体"/>
                <w:color w:val="auto"/>
                <w:kern w:val="0"/>
                <w:sz w:val="21"/>
                <w:szCs w:val="21"/>
                <w:highlight w:val="none"/>
              </w:rPr>
              <w:t>的装卸、运输及委外过磅等一切费用；</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、以上物料包含</w:t>
            </w:r>
            <w:r>
              <w:rPr>
                <w:rFonts w:hint="eastAsia" w:ascii="宋体" w:hAnsi="宋体"/>
                <w:color w:val="auto"/>
                <w:sz w:val="21"/>
                <w:szCs w:val="21"/>
                <w:highlight w:val="none"/>
              </w:rPr>
              <w:t>回收器具</w:t>
            </w:r>
            <w:r>
              <w:rPr>
                <w:rFonts w:hint="eastAsia" w:ascii="宋体" w:hAnsi="宋体" w:cs="宋体"/>
                <w:color w:val="auto"/>
                <w:kern w:val="0"/>
                <w:sz w:val="21"/>
                <w:szCs w:val="21"/>
                <w:highlight w:val="none"/>
              </w:rPr>
              <w:t>。</w:t>
            </w:r>
          </w:p>
        </w:tc>
      </w:tr>
    </w:tbl>
    <w:p>
      <w:pPr>
        <w:pStyle w:val="38"/>
        <w:numPr>
          <w:ilvl w:val="1"/>
          <w:numId w:val="1"/>
        </w:numPr>
        <w:spacing w:before="120" w:beforeLines="50" w:after="120" w:afterLines="50"/>
        <w:ind w:left="600" w:hanging="525" w:hangingChars="250"/>
        <w:rPr>
          <w:color w:val="auto"/>
          <w:sz w:val="21"/>
          <w:highlight w:val="none"/>
        </w:rPr>
      </w:pPr>
      <w:r>
        <w:rPr>
          <w:rFonts w:hint="eastAsia"/>
          <w:color w:val="auto"/>
          <w:sz w:val="21"/>
          <w:highlight w:val="none"/>
        </w:rPr>
        <w:t>本合同约定的含税单价为固定单价，在合同执行期间不受任何其他因素（汇率浮动、物价指数浮动、甲方调整数量等）影响，报价在合同期限内有效。</w:t>
      </w:r>
    </w:p>
    <w:p>
      <w:pPr>
        <w:pStyle w:val="38"/>
        <w:numPr>
          <w:ilvl w:val="1"/>
          <w:numId w:val="1"/>
        </w:numPr>
        <w:spacing w:before="120" w:beforeLines="50" w:after="120" w:afterLines="50"/>
        <w:ind w:left="602" w:hanging="527" w:hangingChars="250"/>
        <w:rPr>
          <w:b/>
          <w:color w:val="auto"/>
          <w:sz w:val="21"/>
          <w:highlight w:val="none"/>
        </w:rPr>
      </w:pPr>
      <w:r>
        <w:rPr>
          <w:rFonts w:hint="eastAsia"/>
          <w:b/>
          <w:color w:val="auto"/>
          <w:sz w:val="21"/>
          <w:highlight w:val="none"/>
        </w:rPr>
        <w:t>合同及附件中所列的数量为本次预计数量，</w:t>
      </w:r>
      <w:r>
        <w:rPr>
          <w:rFonts w:hint="eastAsia" w:ascii="宋体" w:hAnsi="宋体" w:cs="宋体"/>
          <w:b/>
          <w:color w:val="auto"/>
          <w:kern w:val="0"/>
          <w:sz w:val="21"/>
          <w:szCs w:val="21"/>
          <w:highlight w:val="none"/>
        </w:rPr>
        <w:t>最终数量按实际过磅计算为准，</w:t>
      </w:r>
      <w:r>
        <w:rPr>
          <w:rFonts w:hint="eastAsia" w:ascii="宋体" w:hAnsi="宋体" w:cstheme="minorBidi"/>
          <w:b/>
          <w:color w:val="auto"/>
          <w:sz w:val="21"/>
          <w:szCs w:val="21"/>
          <w:highlight w:val="none"/>
        </w:rPr>
        <w:t>不论实际数量大于或低于预计数量，均按照</w:t>
      </w:r>
      <w:r>
        <w:rPr>
          <w:rFonts w:hint="eastAsia"/>
          <w:b/>
          <w:color w:val="auto"/>
          <w:sz w:val="21"/>
          <w:highlight w:val="none"/>
        </w:rPr>
        <w:t>本合同约定的单价执行。</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处置周期、时间要求及地点：</w:t>
      </w:r>
    </w:p>
    <w:p>
      <w:pPr>
        <w:pStyle w:val="38"/>
        <w:numPr>
          <w:ilvl w:val="1"/>
          <w:numId w:val="1"/>
        </w:numPr>
        <w:spacing w:before="120" w:beforeLines="50" w:after="120" w:afterLines="50" w:line="320" w:lineRule="exact"/>
        <w:ind w:firstLineChars="0"/>
        <w:rPr>
          <w:color w:val="auto"/>
          <w:sz w:val="21"/>
          <w:highlight w:val="none"/>
        </w:rPr>
      </w:pPr>
      <w:r>
        <w:rPr>
          <w:rFonts w:hint="eastAsia"/>
          <w:color w:val="auto"/>
          <w:sz w:val="21"/>
          <w:highlight w:val="none"/>
        </w:rPr>
        <w:t>处置周期及时间要求：</w:t>
      </w:r>
      <w:r>
        <w:rPr>
          <w:rFonts w:hint="eastAsia"/>
          <w:color w:val="auto"/>
          <w:sz w:val="21"/>
          <w:szCs w:val="21"/>
          <w:highlight w:val="none"/>
        </w:rPr>
        <w:t>双方协商</w:t>
      </w:r>
      <w:r>
        <w:rPr>
          <w:rFonts w:hint="eastAsia" w:ascii="宋体" w:hAnsi="宋体"/>
          <w:color w:val="auto"/>
          <w:sz w:val="21"/>
          <w:szCs w:val="21"/>
          <w:highlight w:val="none"/>
        </w:rPr>
        <w:t>以固定周期的方式或视甲方</w:t>
      </w:r>
      <w:r>
        <w:rPr>
          <w:rFonts w:hint="eastAsia" w:ascii="宋体" w:hAnsi="宋体"/>
          <w:color w:val="auto"/>
          <w:sz w:val="21"/>
          <w:szCs w:val="21"/>
          <w:highlight w:val="none"/>
          <w:lang w:val="en-US" w:eastAsia="zh-CN"/>
        </w:rPr>
        <w:t>废铁屑</w:t>
      </w:r>
      <w:r>
        <w:rPr>
          <w:rFonts w:hint="eastAsia" w:ascii="宋体" w:hAnsi="宋体"/>
          <w:color w:val="auto"/>
          <w:sz w:val="21"/>
          <w:szCs w:val="21"/>
          <w:highlight w:val="none"/>
        </w:rPr>
        <w:t>库存量进行处置</w:t>
      </w:r>
      <w:r>
        <w:rPr>
          <w:rFonts w:hint="eastAsia"/>
          <w:color w:val="auto"/>
          <w:sz w:val="21"/>
          <w:szCs w:val="21"/>
          <w:highlight w:val="none"/>
        </w:rPr>
        <w:t>，原则上乙方</w:t>
      </w:r>
      <w:r>
        <w:rPr>
          <w:rFonts w:hint="eastAsia" w:ascii="宋体" w:hAnsi="宋体"/>
          <w:color w:val="auto"/>
          <w:sz w:val="21"/>
          <w:szCs w:val="21"/>
          <w:highlight w:val="none"/>
        </w:rPr>
        <w:t>在接到甲方电话通知</w:t>
      </w:r>
      <w:r>
        <w:rPr>
          <w:rFonts w:hint="eastAsia" w:ascii="宋体" w:hAnsi="宋体"/>
          <w:color w:val="auto"/>
          <w:sz w:val="21"/>
          <w:szCs w:val="21"/>
          <w:highlight w:val="none"/>
          <w:lang w:val="en-US" w:eastAsia="zh-CN"/>
        </w:rPr>
        <w:t>7</w:t>
      </w:r>
      <w:r>
        <w:rPr>
          <w:rFonts w:hint="eastAsia" w:ascii="宋体" w:hAnsi="宋体"/>
          <w:color w:val="auto"/>
          <w:sz w:val="21"/>
          <w:szCs w:val="21"/>
          <w:highlight w:val="none"/>
        </w:rPr>
        <w:t>个工作日内处理完成</w:t>
      </w:r>
      <w:r>
        <w:rPr>
          <w:rFonts w:hint="eastAsia" w:ascii="宋体" w:hAnsi="宋体" w:cs="Times New Roman"/>
          <w:color w:val="auto"/>
          <w:sz w:val="21"/>
          <w:szCs w:val="21"/>
          <w:highlight w:val="none"/>
          <w:lang w:val="en-US" w:eastAsia="zh-CN"/>
        </w:rPr>
        <w:t>废旧物资的</w:t>
      </w:r>
      <w:r>
        <w:rPr>
          <w:rFonts w:hint="eastAsia" w:ascii="宋体" w:hAnsi="宋体" w:cs="Times New Roman"/>
          <w:color w:val="auto"/>
          <w:sz w:val="21"/>
          <w:szCs w:val="21"/>
          <w:highlight w:val="none"/>
        </w:rPr>
        <w:t>装卸、运输</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过磅等处置工作</w:t>
      </w:r>
      <w:r>
        <w:rPr>
          <w:rFonts w:hint="eastAsia" w:ascii="宋体" w:hAnsi="宋体" w:cs="Times New Roman"/>
          <w:color w:val="auto"/>
          <w:sz w:val="21"/>
          <w:szCs w:val="21"/>
          <w:highlight w:val="none"/>
        </w:rPr>
        <w:t>，</w:t>
      </w:r>
      <w:r>
        <w:rPr>
          <w:rFonts w:hint="eastAsia" w:ascii="宋体" w:hAnsi="宋体" w:cs="Times New Roman"/>
          <w:color w:val="auto"/>
          <w:sz w:val="21"/>
          <w:szCs w:val="21"/>
          <w:highlight w:val="none"/>
          <w:lang w:eastAsia="zh-CN"/>
        </w:rPr>
        <w:t>乙方</w:t>
      </w:r>
      <w:r>
        <w:rPr>
          <w:rFonts w:hint="eastAsia" w:ascii="宋体" w:hAnsi="宋体" w:cs="Times New Roman"/>
          <w:color w:val="auto"/>
          <w:sz w:val="21"/>
          <w:szCs w:val="21"/>
          <w:highlight w:val="none"/>
        </w:rPr>
        <w:t>提货前，须</w:t>
      </w:r>
      <w:r>
        <w:rPr>
          <w:rFonts w:hint="eastAsia" w:ascii="宋体" w:hAnsi="宋体"/>
          <w:color w:val="auto"/>
          <w:sz w:val="21"/>
          <w:szCs w:val="21"/>
          <w:highlight w:val="none"/>
        </w:rPr>
        <w:t>至少提前</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个工作日通知</w:t>
      </w:r>
      <w:r>
        <w:rPr>
          <w:rFonts w:hint="eastAsia" w:ascii="宋体" w:hAnsi="宋体"/>
          <w:color w:val="auto"/>
          <w:sz w:val="21"/>
          <w:szCs w:val="21"/>
          <w:highlight w:val="none"/>
          <w:lang w:eastAsia="zh-CN"/>
        </w:rPr>
        <w:t>甲方</w:t>
      </w:r>
      <w:r>
        <w:rPr>
          <w:rFonts w:hint="eastAsia" w:ascii="宋体" w:hAnsi="宋体"/>
          <w:color w:val="auto"/>
          <w:sz w:val="21"/>
          <w:szCs w:val="21"/>
          <w:highlight w:val="none"/>
        </w:rPr>
        <w:t>。</w:t>
      </w:r>
    </w:p>
    <w:p>
      <w:pPr>
        <w:pStyle w:val="38"/>
        <w:numPr>
          <w:ilvl w:val="1"/>
          <w:numId w:val="1"/>
        </w:numPr>
        <w:spacing w:before="120" w:beforeLines="50" w:after="120" w:afterLines="50" w:line="320" w:lineRule="exact"/>
        <w:ind w:firstLineChars="0"/>
        <w:rPr>
          <w:color w:val="auto"/>
          <w:sz w:val="21"/>
          <w:highlight w:val="none"/>
        </w:rPr>
      </w:pPr>
      <w:r>
        <w:rPr>
          <w:rFonts w:hint="eastAsia"/>
          <w:color w:val="auto"/>
          <w:sz w:val="21"/>
          <w:highlight w:val="none"/>
        </w:rPr>
        <w:t>地点：</w:t>
      </w:r>
      <w:r>
        <w:rPr>
          <w:rFonts w:hint="eastAsia" w:cs="宋体" w:asciiTheme="minorEastAsia" w:hAnsiTheme="minorEastAsia"/>
          <w:color w:val="auto"/>
          <w:kern w:val="0"/>
          <w:sz w:val="21"/>
          <w:szCs w:val="21"/>
          <w:highlight w:val="none"/>
        </w:rPr>
        <w:t>南宁轨道交通集团有限责任公司运营</w:t>
      </w:r>
      <w:r>
        <w:rPr>
          <w:rFonts w:hint="eastAsia" w:cs="宋体" w:asciiTheme="minorEastAsia" w:hAnsiTheme="minorEastAsia"/>
          <w:color w:val="auto"/>
          <w:kern w:val="0"/>
          <w:sz w:val="21"/>
          <w:szCs w:val="21"/>
          <w:highlight w:val="none"/>
          <w:lang w:val="en-US" w:eastAsia="zh-CN"/>
        </w:rPr>
        <w:t>有限</w:t>
      </w:r>
      <w:r>
        <w:rPr>
          <w:rFonts w:hint="eastAsia" w:cs="宋体" w:asciiTheme="minorEastAsia" w:hAnsiTheme="minorEastAsia"/>
          <w:color w:val="auto"/>
          <w:kern w:val="0"/>
          <w:sz w:val="21"/>
          <w:szCs w:val="21"/>
          <w:highlight w:val="none"/>
        </w:rPr>
        <w:t>公司各车辆段、停车场以及其它指定的暂存</w:t>
      </w:r>
      <w:r>
        <w:rPr>
          <w:rFonts w:hint="eastAsia" w:cs="宋体" w:asciiTheme="minorEastAsia" w:hAnsiTheme="minorEastAsia"/>
          <w:color w:val="auto"/>
          <w:kern w:val="0"/>
          <w:sz w:val="21"/>
          <w:szCs w:val="21"/>
          <w:highlight w:val="none"/>
          <w:lang w:val="en-US" w:eastAsia="zh-CN"/>
        </w:rPr>
        <w:t>废铁屑</w:t>
      </w:r>
      <w:r>
        <w:rPr>
          <w:rFonts w:hint="eastAsia" w:cs="宋体" w:asciiTheme="minorEastAsia" w:hAnsiTheme="minorEastAsia"/>
          <w:color w:val="auto"/>
          <w:kern w:val="0"/>
          <w:sz w:val="21"/>
          <w:szCs w:val="21"/>
          <w:highlight w:val="none"/>
        </w:rPr>
        <w:t>的所有点位</w:t>
      </w:r>
      <w:r>
        <w:rPr>
          <w:rFonts w:hint="eastAsia" w:ascii="宋体" w:hAnsi="宋体"/>
          <w:color w:val="auto"/>
          <w:sz w:val="21"/>
          <w:szCs w:val="21"/>
          <w:highlight w:val="none"/>
        </w:rPr>
        <w:t>。</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收款</w:t>
      </w:r>
    </w:p>
    <w:p>
      <w:pPr>
        <w:pStyle w:val="38"/>
        <w:numPr>
          <w:ilvl w:val="1"/>
          <w:numId w:val="1"/>
        </w:numPr>
        <w:spacing w:before="120" w:beforeLines="50" w:after="120" w:afterLines="50" w:line="300" w:lineRule="exact"/>
        <w:ind w:firstLineChars="0"/>
        <w:rPr>
          <w:color w:val="auto"/>
          <w:highlight w:val="none"/>
        </w:rPr>
      </w:pPr>
      <w:r>
        <w:rPr>
          <w:rFonts w:hint="eastAsia" w:asciiTheme="minorEastAsia" w:hAnsiTheme="minorEastAsia" w:eastAsiaTheme="minorEastAsia"/>
          <w:color w:val="auto"/>
          <w:sz w:val="21"/>
          <w:szCs w:val="21"/>
          <w:highlight w:val="none"/>
        </w:rPr>
        <w:t>采用</w:t>
      </w:r>
      <w:r>
        <w:rPr>
          <w:rFonts w:hint="eastAsia" w:ascii="宋体" w:hAnsi="宋体" w:cs="宋体"/>
          <w:color w:val="auto"/>
          <w:kern w:val="0"/>
          <w:sz w:val="21"/>
          <w:szCs w:val="21"/>
          <w:highlight w:val="none"/>
        </w:rPr>
        <w:t>预付货款</w:t>
      </w:r>
      <w:r>
        <w:rPr>
          <w:rFonts w:hint="eastAsia"/>
          <w:color w:val="auto"/>
          <w:sz w:val="21"/>
          <w:highlight w:val="none"/>
        </w:rPr>
        <w:t>的方式（预付货款金额=预估量</w:t>
      </w:r>
      <w:r>
        <w:rPr>
          <w:rFonts w:hint="eastAsia" w:ascii="宋体" w:hAnsi="宋体" w:cs="宋体"/>
          <w:color w:val="auto"/>
          <w:kern w:val="0"/>
          <w:sz w:val="21"/>
          <w:szCs w:val="21"/>
          <w:highlight w:val="none"/>
          <w:lang w:val="en-US" w:eastAsia="zh-CN"/>
        </w:rPr>
        <w:t>13131.5公斤</w:t>
      </w:r>
      <w:r>
        <w:rPr>
          <w:rFonts w:hint="eastAsia"/>
          <w:color w:val="auto"/>
          <w:sz w:val="21"/>
          <w:highlight w:val="none"/>
        </w:rPr>
        <w:t>*合同单价）。合同生效后5个工日内，乙方根据甲方提供的银行账号以银行转账方式支付预付货款给甲方，待全部货物交付完毕且甲乙双方签字无异议后45个工作日内，根椐甲乙双方确认的过磅重量办理完成总结算及退、补货款手续。</w:t>
      </w:r>
    </w:p>
    <w:p>
      <w:pPr>
        <w:pStyle w:val="38"/>
        <w:numPr>
          <w:ilvl w:val="1"/>
          <w:numId w:val="1"/>
        </w:numPr>
        <w:tabs>
          <w:tab w:val="left" w:pos="709"/>
        </w:tabs>
        <w:spacing w:before="120" w:beforeLines="50" w:line="300" w:lineRule="exact"/>
        <w:ind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发票：甲方按每次对应结算金额开具发票给乙方。</w:t>
      </w:r>
    </w:p>
    <w:p>
      <w:pPr>
        <w:pStyle w:val="38"/>
        <w:numPr>
          <w:ilvl w:val="1"/>
          <w:numId w:val="1"/>
        </w:numPr>
        <w:tabs>
          <w:tab w:val="left" w:pos="709"/>
        </w:tabs>
        <w:spacing w:before="120" w:beforeLines="50" w:line="300" w:lineRule="exact"/>
        <w:ind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过磅事项：全程委外过磅，委外单位需具备第三方计量检定合格的地磅，并提供相关有效期内的计量检定证书（复印件）。</w:t>
      </w:r>
    </w:p>
    <w:p>
      <w:pPr>
        <w:pStyle w:val="5"/>
        <w:numPr>
          <w:ilvl w:val="0"/>
          <w:numId w:val="1"/>
        </w:numPr>
        <w:spacing w:before="240" w:beforeLines="100" w:after="120" w:afterLines="50" w:line="240" w:lineRule="auto"/>
        <w:ind w:left="0" w:firstLine="0"/>
        <w:rPr>
          <w:rFonts w:asciiTheme="minorEastAsia" w:hAnsiTheme="minorEastAsia" w:eastAsiaTheme="minorEastAsia"/>
          <w:b w:val="0"/>
          <w:color w:val="auto"/>
          <w:sz w:val="21"/>
          <w:szCs w:val="21"/>
          <w:highlight w:val="none"/>
        </w:rPr>
      </w:pPr>
      <w:r>
        <w:rPr>
          <w:rFonts w:hint="eastAsia" w:ascii="宋体" w:hAnsi="宋体" w:cs="宋体"/>
          <w:color w:val="auto"/>
          <w:kern w:val="0"/>
          <w:sz w:val="21"/>
          <w:szCs w:val="21"/>
          <w:highlight w:val="none"/>
        </w:rPr>
        <w:t>双方责任</w:t>
      </w:r>
    </w:p>
    <w:p>
      <w:pPr>
        <w:pStyle w:val="38"/>
        <w:numPr>
          <w:ilvl w:val="1"/>
          <w:numId w:val="1"/>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黑体" w:hAnsi="黑体"/>
          <w:color w:val="auto"/>
          <w:sz w:val="21"/>
          <w:highlight w:val="none"/>
        </w:rPr>
        <w:t>甲方</w:t>
      </w:r>
      <w:r>
        <w:rPr>
          <w:rFonts w:hint="eastAsia" w:ascii="黑体" w:hAnsi="黑体"/>
          <w:color w:val="auto"/>
          <w:sz w:val="21"/>
          <w:szCs w:val="21"/>
          <w:highlight w:val="none"/>
        </w:rPr>
        <w:t>责任：</w:t>
      </w:r>
      <w:r>
        <w:rPr>
          <w:rFonts w:hint="eastAsia" w:asciiTheme="minorEastAsia" w:hAnsiTheme="minorEastAsia" w:eastAsiaTheme="minorEastAsia"/>
          <w:color w:val="auto"/>
          <w:sz w:val="21"/>
          <w:szCs w:val="21"/>
          <w:highlight w:val="none"/>
        </w:rPr>
        <w:t>甲方将在生产过程中产生</w:t>
      </w:r>
      <w:r>
        <w:rPr>
          <w:rFonts w:hint="eastAsia" w:asciiTheme="minorEastAsia" w:hAnsiTheme="minorEastAsia" w:eastAsiaTheme="minorEastAsia"/>
          <w:color w:val="auto"/>
          <w:sz w:val="21"/>
          <w:szCs w:val="21"/>
          <w:highlight w:val="none"/>
          <w:lang w:val="en-US" w:eastAsia="zh-CN"/>
        </w:rPr>
        <w:t>废铁屑</w:t>
      </w:r>
      <w:r>
        <w:rPr>
          <w:rFonts w:hint="eastAsia" w:asciiTheme="minorEastAsia" w:hAnsiTheme="minorEastAsia" w:eastAsiaTheme="minorEastAsia"/>
          <w:color w:val="auto"/>
          <w:sz w:val="21"/>
          <w:szCs w:val="21"/>
          <w:highlight w:val="none"/>
        </w:rPr>
        <w:t>交由乙方处理，合同期限内不得将本合同规定的废物料交由第三方或自行擅自处理。</w:t>
      </w:r>
      <w:r>
        <w:rPr>
          <w:rFonts w:hint="eastAsia" w:asciiTheme="minorEastAsia" w:hAnsiTheme="minorEastAsia" w:eastAsiaTheme="minorEastAsia"/>
          <w:color w:val="auto"/>
          <w:sz w:val="21"/>
          <w:szCs w:val="21"/>
          <w:highlight w:val="none"/>
          <w:lang w:val="en-US" w:eastAsia="zh-CN"/>
        </w:rPr>
        <w:t>废铁屑</w:t>
      </w:r>
      <w:r>
        <w:rPr>
          <w:rFonts w:hint="eastAsia" w:asciiTheme="minorEastAsia" w:hAnsiTheme="minorEastAsia" w:eastAsiaTheme="minorEastAsia"/>
          <w:color w:val="auto"/>
          <w:sz w:val="21"/>
          <w:szCs w:val="21"/>
          <w:highlight w:val="none"/>
        </w:rPr>
        <w:t>存点责成专人负责监督，不得将与</w:t>
      </w:r>
      <w:r>
        <w:rPr>
          <w:rFonts w:hint="eastAsia" w:asciiTheme="minorEastAsia" w:hAnsiTheme="minorEastAsia" w:eastAsiaTheme="minorEastAsia"/>
          <w:color w:val="auto"/>
          <w:sz w:val="21"/>
          <w:szCs w:val="21"/>
          <w:highlight w:val="none"/>
          <w:lang w:val="en-US" w:eastAsia="zh-CN"/>
        </w:rPr>
        <w:t>废铁屑</w:t>
      </w:r>
      <w:r>
        <w:rPr>
          <w:rFonts w:hint="eastAsia" w:asciiTheme="minorEastAsia" w:hAnsiTheme="minorEastAsia" w:eastAsiaTheme="minorEastAsia"/>
          <w:color w:val="auto"/>
          <w:sz w:val="21"/>
          <w:szCs w:val="21"/>
          <w:highlight w:val="none"/>
        </w:rPr>
        <w:t>无关的工件装上车，一旦查出追究暂存点负责人责任。</w:t>
      </w:r>
    </w:p>
    <w:p>
      <w:pPr>
        <w:pStyle w:val="38"/>
        <w:numPr>
          <w:ilvl w:val="1"/>
          <w:numId w:val="1"/>
        </w:numPr>
        <w:tabs>
          <w:tab w:val="left" w:pos="709"/>
        </w:tabs>
        <w:spacing w:before="120" w:beforeLines="50" w:line="320" w:lineRule="exact"/>
        <w:ind w:firstLineChars="0"/>
        <w:rPr>
          <w:rFonts w:ascii="宋体" w:hAnsi="宋体" w:cs="宋体"/>
          <w:color w:val="auto"/>
          <w:kern w:val="0"/>
          <w:sz w:val="21"/>
          <w:szCs w:val="21"/>
          <w:highlight w:val="none"/>
        </w:rPr>
      </w:pPr>
      <w:r>
        <w:rPr>
          <w:rFonts w:hint="eastAsia" w:ascii="宋体" w:hAnsi="宋体" w:cs="宋体"/>
          <w:color w:val="auto"/>
          <w:kern w:val="0"/>
          <w:sz w:val="21"/>
          <w:szCs w:val="21"/>
          <w:highlight w:val="none"/>
        </w:rPr>
        <w:t>乙方责任：</w:t>
      </w:r>
    </w:p>
    <w:p>
      <w:pPr>
        <w:pStyle w:val="38"/>
        <w:numPr>
          <w:ilvl w:val="0"/>
          <w:numId w:val="4"/>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在合同的有效期内，乙方必须保证所持的许可证、执照、证书或批准书有效，并提供有关证照的复印件给甲方备案，</w:t>
      </w:r>
      <w:r>
        <w:rPr>
          <w:rFonts w:hint="eastAsia" w:ascii="宋体" w:hAnsi="宋体" w:cstheme="minorBidi"/>
          <w:color w:val="auto"/>
          <w:sz w:val="21"/>
          <w:szCs w:val="21"/>
          <w:highlight w:val="none"/>
        </w:rPr>
        <w:t>如在合同期限内，证书过期或无效，甲方可无条件解除合同。</w:t>
      </w:r>
    </w:p>
    <w:p>
      <w:pPr>
        <w:pStyle w:val="38"/>
        <w:numPr>
          <w:ilvl w:val="0"/>
          <w:numId w:val="4"/>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乙</w:t>
      </w:r>
      <w:r>
        <w:rPr>
          <w:rFonts w:hint="eastAsia" w:ascii="宋体" w:hAnsi="宋体" w:cs="宋体"/>
          <w:color w:val="auto"/>
          <w:kern w:val="0"/>
          <w:sz w:val="21"/>
          <w:szCs w:val="21"/>
          <w:highlight w:val="none"/>
        </w:rPr>
        <w:t>方应自备具有合法的运输车辆，负责</w:t>
      </w:r>
      <w:r>
        <w:rPr>
          <w:rFonts w:hint="eastAsia" w:ascii="宋体" w:hAnsi="宋体" w:cs="宋体"/>
          <w:color w:val="auto"/>
          <w:kern w:val="0"/>
          <w:sz w:val="21"/>
          <w:szCs w:val="21"/>
          <w:highlight w:val="none"/>
          <w:lang w:val="en-US" w:eastAsia="zh-CN"/>
        </w:rPr>
        <w:t>废铁屑</w:t>
      </w:r>
      <w:r>
        <w:rPr>
          <w:rFonts w:hint="eastAsia" w:ascii="宋体" w:hAnsi="宋体" w:cs="宋体"/>
          <w:color w:val="auto"/>
          <w:kern w:val="0"/>
          <w:sz w:val="21"/>
          <w:szCs w:val="21"/>
          <w:highlight w:val="none"/>
        </w:rPr>
        <w:t>的装卸、运输及委外过磅等一切费用，按双方商议的计划到指定地点收取</w:t>
      </w:r>
      <w:r>
        <w:rPr>
          <w:rFonts w:hint="eastAsia" w:ascii="宋体" w:hAnsi="宋体" w:cs="宋体"/>
          <w:color w:val="auto"/>
          <w:kern w:val="0"/>
          <w:sz w:val="21"/>
          <w:szCs w:val="21"/>
          <w:highlight w:val="none"/>
          <w:lang w:val="en-US" w:eastAsia="zh-CN"/>
        </w:rPr>
        <w:t>废铁屑</w:t>
      </w:r>
      <w:r>
        <w:rPr>
          <w:rFonts w:hint="eastAsia" w:ascii="宋体" w:hAnsi="宋体" w:cs="宋体"/>
          <w:color w:val="auto"/>
          <w:kern w:val="0"/>
          <w:sz w:val="21"/>
          <w:szCs w:val="21"/>
          <w:highlight w:val="none"/>
        </w:rPr>
        <w:t>，及时清理现场（因提货发生的清洁卫生</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w:t>
      </w:r>
    </w:p>
    <w:p>
      <w:pPr>
        <w:pStyle w:val="38"/>
        <w:numPr>
          <w:ilvl w:val="0"/>
          <w:numId w:val="4"/>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乙方运输车辆的司机与装卸员工，在甲方厂区内应文明作业，遵守甲方的安全卫生制度；</w:t>
      </w:r>
    </w:p>
    <w:p>
      <w:pPr>
        <w:pStyle w:val="38"/>
        <w:numPr>
          <w:ilvl w:val="0"/>
          <w:numId w:val="4"/>
        </w:numPr>
        <w:spacing w:before="120" w:beforeLines="50" w:after="120" w:afterLines="50" w:line="320" w:lineRule="exact"/>
        <w:ind w:firstLine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乙方在运输过程中不得沿途丢弃、遗撒废物。</w:t>
      </w:r>
    </w:p>
    <w:p>
      <w:pPr>
        <w:pStyle w:val="38"/>
        <w:numPr>
          <w:ilvl w:val="0"/>
          <w:numId w:val="4"/>
        </w:numPr>
        <w:spacing w:before="120" w:beforeLines="50" w:after="120" w:afterLines="50" w:line="320" w:lineRule="exact"/>
        <w:ind w:firstLineChars="0"/>
        <w:rPr>
          <w:rFonts w:ascii="宋体" w:hAnsi="宋体" w:cstheme="minorBidi"/>
          <w:color w:val="auto"/>
          <w:sz w:val="21"/>
          <w:szCs w:val="21"/>
          <w:highlight w:val="none"/>
        </w:rPr>
      </w:pPr>
      <w:r>
        <w:rPr>
          <w:rFonts w:hint="eastAsia" w:ascii="宋体" w:hAnsi="宋体" w:cstheme="minorBidi"/>
          <w:color w:val="auto"/>
          <w:sz w:val="21"/>
          <w:szCs w:val="21"/>
          <w:highlight w:val="none"/>
        </w:rPr>
        <w:t>乙方承担本项目</w:t>
      </w:r>
      <w:r>
        <w:rPr>
          <w:rFonts w:hint="eastAsia" w:ascii="宋体" w:hAnsi="宋体" w:cstheme="minorBidi"/>
          <w:color w:val="auto"/>
          <w:sz w:val="21"/>
          <w:szCs w:val="21"/>
          <w:highlight w:val="none"/>
          <w:lang w:val="en-US" w:eastAsia="zh-CN"/>
        </w:rPr>
        <w:t>废铁屑</w:t>
      </w:r>
      <w:r>
        <w:rPr>
          <w:rFonts w:hint="eastAsia" w:ascii="宋体" w:hAnsi="宋体" w:cstheme="minorBidi"/>
          <w:color w:val="auto"/>
          <w:sz w:val="21"/>
          <w:szCs w:val="21"/>
          <w:highlight w:val="none"/>
        </w:rPr>
        <w:t>转移、转运、处理与处置过程中产生的安全事故、环境污染事故、交通事故等一切责任和后果。</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违约责任</w:t>
      </w: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0"/>
          <w:numId w:val="5"/>
        </w:numPr>
        <w:ind w:firstLineChars="0"/>
        <w:rPr>
          <w:rFonts w:ascii="宋体" w:hAnsi="宋体"/>
          <w:vanish/>
          <w:color w:val="auto"/>
          <w:kern w:val="0"/>
          <w:sz w:val="21"/>
          <w:highlight w:val="none"/>
        </w:rPr>
      </w:pPr>
    </w:p>
    <w:p>
      <w:pPr>
        <w:pStyle w:val="38"/>
        <w:numPr>
          <w:ilvl w:val="1"/>
          <w:numId w:val="1"/>
        </w:numPr>
        <w:spacing w:before="120" w:beforeLines="50" w:after="120" w:afterLines="50" w:line="300" w:lineRule="exact"/>
        <w:ind w:firstLineChars="0"/>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若</w:t>
      </w:r>
      <w:r>
        <w:rPr>
          <w:rFonts w:hint="eastAsia" w:asciiTheme="minorEastAsia" w:hAnsiTheme="minorEastAsia" w:eastAsiaTheme="minorEastAsia"/>
          <w:color w:val="auto"/>
          <w:sz w:val="21"/>
          <w:szCs w:val="21"/>
          <w:highlight w:val="none"/>
          <w:lang w:eastAsia="zh-CN"/>
        </w:rPr>
        <w:t>乙方</w:t>
      </w:r>
      <w:r>
        <w:rPr>
          <w:rFonts w:hint="eastAsia" w:asciiTheme="minorEastAsia" w:hAnsiTheme="minorEastAsia" w:eastAsiaTheme="minorEastAsia"/>
          <w:color w:val="auto"/>
          <w:sz w:val="21"/>
          <w:szCs w:val="21"/>
          <w:highlight w:val="none"/>
        </w:rPr>
        <w:t>未能按双方协商确定的交货时间提货或付款时间付款，</w:t>
      </w:r>
      <w:r>
        <w:rPr>
          <w:rFonts w:hint="default" w:asciiTheme="minorEastAsia" w:hAnsiTheme="minorEastAsia" w:eastAsiaTheme="minorEastAsia"/>
          <w:color w:val="auto"/>
          <w:sz w:val="21"/>
          <w:szCs w:val="21"/>
          <w:highlight w:val="none"/>
          <w:lang w:val="en-US" w:eastAsia="zh-CN"/>
        </w:rPr>
        <w:t>每逾期一日按应支付</w:t>
      </w:r>
      <w:r>
        <w:rPr>
          <w:rFonts w:hint="eastAsia" w:asciiTheme="minorEastAsia" w:hAnsiTheme="minorEastAsia" w:eastAsiaTheme="minorEastAsia"/>
          <w:color w:val="auto"/>
          <w:sz w:val="21"/>
          <w:szCs w:val="21"/>
          <w:highlight w:val="none"/>
          <w:lang w:val="en-US" w:eastAsia="zh-CN"/>
        </w:rPr>
        <w:t>人民币180元违约金</w:t>
      </w:r>
      <w:r>
        <w:rPr>
          <w:rFonts w:hint="default" w:asciiTheme="minorEastAsia" w:hAnsiTheme="minorEastAsia" w:eastAsiaTheme="minorEastAsia"/>
          <w:color w:val="auto"/>
          <w:sz w:val="21"/>
          <w:szCs w:val="21"/>
          <w:highlight w:val="none"/>
          <w:lang w:val="en-US" w:eastAsia="zh-CN"/>
        </w:rPr>
        <w:t>给</w:t>
      </w:r>
      <w:r>
        <w:rPr>
          <w:rFonts w:hint="eastAsia" w:asciiTheme="minorEastAsia" w:hAnsiTheme="minorEastAsia" w:eastAsiaTheme="minorEastAsia"/>
          <w:color w:val="auto"/>
          <w:sz w:val="21"/>
          <w:szCs w:val="21"/>
          <w:highlight w:val="none"/>
          <w:lang w:val="en-US" w:eastAsia="zh-CN"/>
        </w:rPr>
        <w:t>甲方</w:t>
      </w:r>
      <w:r>
        <w:rPr>
          <w:rFonts w:hint="eastAsia" w:asciiTheme="minorEastAsia" w:hAnsiTheme="minorEastAsia" w:eastAsiaTheme="minorEastAsia"/>
          <w:color w:val="auto"/>
          <w:sz w:val="21"/>
          <w:szCs w:val="21"/>
          <w:highlight w:val="none"/>
        </w:rPr>
        <w:t>，不足一天的按一天计算。</w:t>
      </w:r>
    </w:p>
    <w:p>
      <w:pPr>
        <w:pStyle w:val="38"/>
        <w:numPr>
          <w:ilvl w:val="1"/>
          <w:numId w:val="1"/>
        </w:numPr>
        <w:spacing w:before="120" w:beforeLines="50" w:after="120" w:afterLines="50" w:line="300" w:lineRule="exact"/>
        <w:ind w:firstLineChars="0"/>
        <w:rPr>
          <w:rFonts w:hint="eastAsia"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如果</w:t>
      </w:r>
      <w:r>
        <w:rPr>
          <w:rFonts w:hint="eastAsia" w:asciiTheme="minorEastAsia" w:hAnsiTheme="minorEastAsia" w:eastAsiaTheme="minorEastAsia"/>
          <w:b w:val="0"/>
          <w:color w:val="auto"/>
          <w:sz w:val="21"/>
          <w:szCs w:val="21"/>
          <w:highlight w:val="none"/>
          <w:lang w:eastAsia="zh-CN"/>
        </w:rPr>
        <w:t>乙方</w:t>
      </w:r>
      <w:r>
        <w:rPr>
          <w:rFonts w:hint="eastAsia" w:asciiTheme="minorEastAsia" w:hAnsiTheme="minorEastAsia" w:eastAsiaTheme="minorEastAsia"/>
          <w:b w:val="0"/>
          <w:color w:val="auto"/>
          <w:sz w:val="21"/>
          <w:szCs w:val="21"/>
          <w:highlight w:val="none"/>
        </w:rPr>
        <w:t>出现以下一种或几种不当行为，按本合同买卖双方约定的条款处理：</w:t>
      </w:r>
    </w:p>
    <w:p>
      <w:pPr>
        <w:pStyle w:val="38"/>
        <w:numPr>
          <w:ilvl w:val="-1"/>
          <w:numId w:val="0"/>
        </w:numPr>
        <w:spacing w:beforeLines="50" w:after="120" w:afterLines="50" w:line="300" w:lineRule="exact"/>
        <w:ind w:left="567" w:firstLine="0"/>
        <w:rPr>
          <w:rFonts w:hint="eastAsia"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1）未经</w:t>
      </w:r>
      <w:r>
        <w:rPr>
          <w:rFonts w:hint="eastAsia" w:asciiTheme="minorEastAsia" w:hAnsiTheme="minorEastAsia" w:eastAsiaTheme="minorEastAsia"/>
          <w:b w:val="0"/>
          <w:color w:val="auto"/>
          <w:sz w:val="21"/>
          <w:szCs w:val="21"/>
          <w:highlight w:val="none"/>
          <w:lang w:val="en-US" w:eastAsia="zh-CN"/>
        </w:rPr>
        <w:t>甲方</w:t>
      </w:r>
      <w:r>
        <w:rPr>
          <w:rFonts w:hint="eastAsia" w:asciiTheme="minorEastAsia" w:hAnsiTheme="minorEastAsia" w:eastAsiaTheme="minorEastAsia"/>
          <w:b w:val="0"/>
          <w:color w:val="auto"/>
          <w:sz w:val="21"/>
          <w:szCs w:val="21"/>
          <w:highlight w:val="none"/>
        </w:rPr>
        <w:t>同意，</w:t>
      </w:r>
      <w:r>
        <w:rPr>
          <w:rFonts w:hint="eastAsia" w:asciiTheme="minorEastAsia" w:hAnsiTheme="minorEastAsia" w:eastAsiaTheme="minorEastAsia"/>
          <w:b w:val="0"/>
          <w:color w:val="auto"/>
          <w:sz w:val="21"/>
          <w:szCs w:val="21"/>
          <w:highlight w:val="none"/>
          <w:lang w:val="en-US" w:eastAsia="zh-CN"/>
        </w:rPr>
        <w:t>乙方</w:t>
      </w:r>
      <w:r>
        <w:rPr>
          <w:rFonts w:hint="eastAsia" w:asciiTheme="minorEastAsia" w:hAnsiTheme="minorEastAsia" w:eastAsiaTheme="minorEastAsia"/>
          <w:b w:val="0"/>
          <w:color w:val="auto"/>
          <w:sz w:val="21"/>
          <w:szCs w:val="21"/>
          <w:highlight w:val="none"/>
        </w:rPr>
        <w:t>拒不履行合同或部分不履行合同，</w:t>
      </w:r>
      <w:r>
        <w:rPr>
          <w:rFonts w:hint="eastAsia" w:asciiTheme="minorEastAsia" w:hAnsiTheme="minorEastAsia" w:eastAsiaTheme="minorEastAsia"/>
          <w:b w:val="0"/>
          <w:color w:val="auto"/>
          <w:sz w:val="21"/>
          <w:szCs w:val="21"/>
          <w:highlight w:val="none"/>
          <w:lang w:val="en-US" w:eastAsia="zh-CN"/>
        </w:rPr>
        <w:t>甲方</w:t>
      </w:r>
      <w:r>
        <w:rPr>
          <w:rFonts w:hint="eastAsia" w:asciiTheme="minorEastAsia" w:hAnsiTheme="minorEastAsia" w:eastAsiaTheme="minorEastAsia"/>
          <w:b w:val="0"/>
          <w:color w:val="auto"/>
          <w:sz w:val="21"/>
          <w:szCs w:val="21"/>
          <w:highlight w:val="none"/>
        </w:rPr>
        <w:t>有权立即解除或部分解除本合同，</w:t>
      </w:r>
      <w:r>
        <w:rPr>
          <w:rFonts w:hint="eastAsia" w:asciiTheme="minorEastAsia" w:hAnsiTheme="minorEastAsia" w:eastAsiaTheme="minorEastAsia"/>
          <w:b w:val="0"/>
          <w:color w:val="auto"/>
          <w:sz w:val="21"/>
          <w:szCs w:val="21"/>
          <w:highlight w:val="none"/>
          <w:lang w:val="en-US" w:eastAsia="zh-CN"/>
        </w:rPr>
        <w:t>乙方</w:t>
      </w:r>
      <w:r>
        <w:rPr>
          <w:rFonts w:hint="eastAsia" w:asciiTheme="minorEastAsia" w:hAnsiTheme="minorEastAsia" w:eastAsiaTheme="minorEastAsia"/>
          <w:b w:val="0"/>
          <w:color w:val="auto"/>
          <w:sz w:val="21"/>
          <w:szCs w:val="21"/>
          <w:highlight w:val="none"/>
        </w:rPr>
        <w:t>按解除部分合同金额的30‰向甲方支付违约金；</w:t>
      </w:r>
    </w:p>
    <w:p>
      <w:pPr>
        <w:pStyle w:val="38"/>
        <w:numPr>
          <w:ilvl w:val="-1"/>
          <w:numId w:val="0"/>
        </w:numPr>
        <w:spacing w:beforeLines="50" w:after="120" w:afterLines="50" w:line="300" w:lineRule="exact"/>
        <w:ind w:left="567" w:firstLine="0"/>
        <w:rPr>
          <w:rFonts w:hint="eastAsia" w:asciiTheme="minorEastAsia" w:hAnsiTheme="minorEastAsia" w:eastAsiaTheme="minorEastAsia"/>
          <w:b w:val="0"/>
          <w:color w:val="auto"/>
          <w:sz w:val="21"/>
          <w:szCs w:val="21"/>
          <w:highlight w:val="none"/>
        </w:rPr>
      </w:pPr>
      <w:r>
        <w:rPr>
          <w:rFonts w:hint="eastAsia" w:asciiTheme="minorEastAsia" w:hAnsiTheme="minorEastAsia" w:eastAsiaTheme="minorEastAsia"/>
          <w:b w:val="0"/>
          <w:color w:val="auto"/>
          <w:sz w:val="21"/>
          <w:szCs w:val="21"/>
          <w:highlight w:val="none"/>
        </w:rPr>
        <w:t>2）</w:t>
      </w:r>
      <w:r>
        <w:rPr>
          <w:rFonts w:hint="eastAsia" w:asciiTheme="minorEastAsia" w:hAnsiTheme="minorEastAsia" w:eastAsiaTheme="minorEastAsia"/>
          <w:b w:val="0"/>
          <w:color w:val="auto"/>
          <w:sz w:val="21"/>
          <w:szCs w:val="21"/>
          <w:highlight w:val="none"/>
          <w:lang w:val="en-US" w:eastAsia="zh-CN"/>
        </w:rPr>
        <w:t>乙方</w:t>
      </w:r>
      <w:r>
        <w:rPr>
          <w:rFonts w:hint="eastAsia" w:asciiTheme="minorEastAsia" w:hAnsiTheme="minorEastAsia" w:eastAsiaTheme="minorEastAsia"/>
          <w:b w:val="0"/>
          <w:color w:val="auto"/>
          <w:sz w:val="21"/>
          <w:szCs w:val="21"/>
          <w:highlight w:val="none"/>
        </w:rPr>
        <w:t>在履约过程中对</w:t>
      </w:r>
      <w:r>
        <w:rPr>
          <w:rFonts w:hint="eastAsia" w:asciiTheme="minorEastAsia" w:hAnsiTheme="minorEastAsia" w:eastAsiaTheme="minorEastAsia"/>
          <w:b w:val="0"/>
          <w:color w:val="auto"/>
          <w:sz w:val="21"/>
          <w:szCs w:val="21"/>
          <w:highlight w:val="none"/>
          <w:lang w:val="en-US" w:eastAsia="zh-CN"/>
        </w:rPr>
        <w:t>甲方</w:t>
      </w:r>
      <w:r>
        <w:rPr>
          <w:rFonts w:hint="eastAsia" w:asciiTheme="minorEastAsia" w:hAnsiTheme="minorEastAsia" w:eastAsiaTheme="minorEastAsia"/>
          <w:b w:val="0"/>
          <w:color w:val="auto"/>
          <w:sz w:val="21"/>
          <w:szCs w:val="21"/>
          <w:highlight w:val="none"/>
        </w:rPr>
        <w:t>的财产造成损害的，</w:t>
      </w:r>
      <w:r>
        <w:rPr>
          <w:rFonts w:hint="eastAsia" w:asciiTheme="minorEastAsia" w:hAnsiTheme="minorEastAsia" w:eastAsiaTheme="minorEastAsia"/>
          <w:b w:val="0"/>
          <w:color w:val="auto"/>
          <w:sz w:val="21"/>
          <w:szCs w:val="21"/>
          <w:highlight w:val="none"/>
          <w:lang w:val="en-US" w:eastAsia="zh-CN"/>
        </w:rPr>
        <w:t>甲方</w:t>
      </w:r>
      <w:r>
        <w:rPr>
          <w:rFonts w:hint="eastAsia" w:asciiTheme="minorEastAsia" w:hAnsiTheme="minorEastAsia" w:eastAsiaTheme="minorEastAsia"/>
          <w:b w:val="0"/>
          <w:color w:val="auto"/>
          <w:sz w:val="21"/>
          <w:szCs w:val="21"/>
          <w:highlight w:val="none"/>
        </w:rPr>
        <w:t>有权终止本合同，</w:t>
      </w:r>
      <w:r>
        <w:rPr>
          <w:rFonts w:hint="eastAsia" w:asciiTheme="minorEastAsia" w:hAnsiTheme="minorEastAsia" w:eastAsiaTheme="minorEastAsia"/>
          <w:b w:val="0"/>
          <w:color w:val="auto"/>
          <w:sz w:val="21"/>
          <w:szCs w:val="21"/>
          <w:highlight w:val="none"/>
          <w:lang w:val="en-US" w:eastAsia="zh-CN"/>
        </w:rPr>
        <w:t>乙方</w:t>
      </w:r>
      <w:r>
        <w:rPr>
          <w:rFonts w:hint="eastAsia" w:asciiTheme="minorEastAsia" w:hAnsiTheme="minorEastAsia" w:eastAsiaTheme="minorEastAsia"/>
          <w:b w:val="0"/>
          <w:color w:val="auto"/>
          <w:sz w:val="21"/>
          <w:szCs w:val="21"/>
          <w:highlight w:val="none"/>
        </w:rPr>
        <w:t>应向</w:t>
      </w:r>
      <w:r>
        <w:rPr>
          <w:rFonts w:hint="eastAsia" w:asciiTheme="minorEastAsia" w:hAnsiTheme="minorEastAsia" w:eastAsiaTheme="minorEastAsia"/>
          <w:b w:val="0"/>
          <w:color w:val="auto"/>
          <w:sz w:val="21"/>
          <w:szCs w:val="21"/>
          <w:highlight w:val="none"/>
          <w:lang w:eastAsia="zh-CN"/>
        </w:rPr>
        <w:t>甲方</w:t>
      </w:r>
      <w:r>
        <w:rPr>
          <w:rFonts w:hint="eastAsia" w:asciiTheme="minorEastAsia" w:hAnsiTheme="minorEastAsia" w:eastAsiaTheme="minorEastAsia"/>
          <w:b w:val="0"/>
          <w:color w:val="auto"/>
          <w:sz w:val="21"/>
          <w:szCs w:val="21"/>
          <w:highlight w:val="none"/>
        </w:rPr>
        <w:t>赔偿。</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不可抗力</w:t>
      </w: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0"/>
          <w:numId w:val="6"/>
        </w:numPr>
        <w:ind w:firstLineChars="0"/>
        <w:rPr>
          <w:rFonts w:ascii="宋体" w:hAnsi="宋体"/>
          <w:vanish/>
          <w:color w:val="auto"/>
          <w:kern w:val="0"/>
          <w:sz w:val="21"/>
          <w:highlight w:val="none"/>
        </w:rPr>
      </w:pP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不可抗力系指甲乙双方在缔结合同时所不能预见的，并且它的发生及其后果是无法避免和无法克服的事件，诸如战争、严重火灾、洪水、台风、地震等。</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受阻方应在不可抗力事件发生后</w:t>
      </w:r>
      <w:r>
        <w:rPr>
          <w:color w:val="auto"/>
          <w:sz w:val="21"/>
          <w:highlight w:val="none"/>
        </w:rPr>
        <w:t>7</w:t>
      </w:r>
      <w:r>
        <w:rPr>
          <w:rFonts w:hint="eastAsia"/>
          <w:color w:val="auto"/>
          <w:sz w:val="21"/>
          <w:highlight w:val="none"/>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发生不可抗力事件时，双方应各自承担不可抗力事件对其造成的损失。</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若不可抗力发生使合同执行受阻，则合同执行时间根据受影响的时间相应延长，但合同价格不得调整。</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一旦不可抗力事件的影响持续60天以上，双方应通过友好协商在合理的时间内达成一致的处理办法。</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迟延履行期间发生的不可抗力不具有免责效力。</w:t>
      </w: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38"/>
        <w:numPr>
          <w:ilvl w:val="0"/>
          <w:numId w:val="7"/>
        </w:numPr>
        <w:ind w:firstLineChars="0"/>
        <w:rPr>
          <w:rFonts w:ascii="宋体" w:hAnsi="宋体"/>
          <w:vanish/>
          <w:color w:val="auto"/>
          <w:kern w:val="0"/>
          <w:sz w:val="21"/>
          <w:highlight w:val="none"/>
        </w:rPr>
      </w:pP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变更指示</w:t>
      </w: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0"/>
          <w:numId w:val="8"/>
        </w:numPr>
        <w:ind w:firstLineChars="0"/>
        <w:rPr>
          <w:rFonts w:ascii="宋体" w:hAnsi="宋体"/>
          <w:vanish/>
          <w:color w:val="auto"/>
          <w:kern w:val="0"/>
          <w:sz w:val="21"/>
          <w:highlight w:val="none"/>
        </w:rPr>
      </w:pP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甲方可随时向乙方发出书面的变更指示，若该变更导致了乙方履行合同项下任何部分义务的费用或所需时间的增减，应对合同价格或处置进度进行合理的调整，另行签订补充合同。</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对合同条款做出任何改动或偏离，均须由甲乙双方签署书面协议或合同。</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争端处理</w:t>
      </w: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pStyle w:val="38"/>
        <w:numPr>
          <w:ilvl w:val="0"/>
          <w:numId w:val="9"/>
        </w:numPr>
        <w:ind w:firstLineChars="0"/>
        <w:rPr>
          <w:rFonts w:ascii="宋体" w:hAnsi="宋体"/>
          <w:vanish/>
          <w:color w:val="auto"/>
          <w:kern w:val="0"/>
          <w:sz w:val="21"/>
          <w:highlight w:val="none"/>
        </w:rPr>
      </w:pPr>
    </w:p>
    <w:p>
      <w:pPr>
        <w:spacing w:before="120" w:beforeLines="50" w:line="360" w:lineRule="auto"/>
        <w:rPr>
          <w:rFonts w:ascii="宋体" w:hAnsi="宋体"/>
          <w:color w:val="auto"/>
          <w:kern w:val="0"/>
          <w:sz w:val="21"/>
          <w:highlight w:val="none"/>
        </w:rPr>
      </w:pPr>
      <w:r>
        <w:rPr>
          <w:rFonts w:hint="eastAsia" w:ascii="宋体" w:hAnsi="宋体"/>
          <w:color w:val="auto"/>
          <w:kern w:val="0"/>
          <w:sz w:val="21"/>
          <w:highlight w:val="none"/>
        </w:rPr>
        <w:t>本合同发生争议，由双方友好协商解决，协商不成，依法向甲方所在地人民法院提起诉讼。</w:t>
      </w:r>
    </w:p>
    <w:p>
      <w:pPr>
        <w:pStyle w:val="5"/>
        <w:numPr>
          <w:ilvl w:val="0"/>
          <w:numId w:val="1"/>
        </w:numPr>
        <w:spacing w:before="240" w:beforeLines="100" w:after="120" w:afterLines="50" w:line="240" w:lineRule="auto"/>
        <w:ind w:left="0" w:firstLine="0"/>
        <w:rPr>
          <w:rFonts w:ascii="宋体" w:hAnsi="宋体"/>
          <w:color w:val="auto"/>
          <w:kern w:val="0"/>
          <w:sz w:val="21"/>
          <w:szCs w:val="21"/>
          <w:highlight w:val="none"/>
        </w:rPr>
      </w:pPr>
      <w:r>
        <w:rPr>
          <w:rFonts w:hint="eastAsia" w:ascii="宋体" w:hAnsi="宋体"/>
          <w:color w:val="auto"/>
          <w:kern w:val="0"/>
          <w:sz w:val="21"/>
          <w:szCs w:val="21"/>
          <w:highlight w:val="none"/>
        </w:rPr>
        <w:t>合同期限：</w:t>
      </w:r>
      <w:r>
        <w:rPr>
          <w:rFonts w:hint="eastAsia" w:asciiTheme="minorEastAsia" w:hAnsiTheme="minorEastAsia" w:eastAsiaTheme="minorEastAsia"/>
          <w:color w:val="auto"/>
          <w:sz w:val="21"/>
          <w:szCs w:val="21"/>
          <w:highlight w:val="none"/>
        </w:rPr>
        <w:t>合同有效期为一年。自合同签订之日起一年内有效。</w:t>
      </w:r>
    </w:p>
    <w:p>
      <w:pPr>
        <w:pStyle w:val="5"/>
        <w:numPr>
          <w:ilvl w:val="0"/>
          <w:numId w:val="1"/>
        </w:numPr>
        <w:spacing w:before="240" w:beforeLines="100" w:after="120" w:afterLines="50" w:line="240" w:lineRule="auto"/>
        <w:ind w:left="0" w:firstLine="0"/>
        <w:rPr>
          <w:color w:val="auto"/>
          <w:sz w:val="21"/>
          <w:szCs w:val="21"/>
          <w:highlight w:val="none"/>
        </w:rPr>
      </w:pPr>
      <w:r>
        <w:rPr>
          <w:rFonts w:hint="eastAsia"/>
          <w:color w:val="auto"/>
          <w:sz w:val="21"/>
          <w:szCs w:val="21"/>
          <w:highlight w:val="none"/>
        </w:rPr>
        <w:t>合同生效及其它</w:t>
      </w: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0"/>
          <w:numId w:val="10"/>
        </w:numPr>
        <w:ind w:firstLineChars="0"/>
        <w:rPr>
          <w:rFonts w:ascii="宋体" w:hAnsi="宋体"/>
          <w:vanish/>
          <w:color w:val="auto"/>
          <w:kern w:val="0"/>
          <w:sz w:val="21"/>
          <w:highlight w:val="none"/>
        </w:rPr>
      </w:pP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本合同在甲、乙双方签字盖章后生效。</w:t>
      </w:r>
    </w:p>
    <w:p>
      <w:pPr>
        <w:pStyle w:val="38"/>
        <w:numPr>
          <w:ilvl w:val="1"/>
          <w:numId w:val="1"/>
        </w:numPr>
        <w:spacing w:before="120" w:beforeLines="50" w:after="120" w:afterLines="50"/>
        <w:ind w:firstLineChars="0"/>
        <w:rPr>
          <w:color w:val="auto"/>
          <w:sz w:val="21"/>
          <w:highlight w:val="none"/>
        </w:rPr>
      </w:pPr>
      <w:r>
        <w:rPr>
          <w:rFonts w:hint="eastAsia"/>
          <w:color w:val="auto"/>
          <w:sz w:val="21"/>
          <w:highlight w:val="none"/>
        </w:rPr>
        <w:t>下列文件是本合同不可分割的组成部分，本合同未尽事宜从其规定，相互解释，互为说明。除合同另有规定外，其优先顺序如下</w:t>
      </w:r>
      <w:r>
        <w:rPr>
          <w:color w:val="auto"/>
          <w:sz w:val="21"/>
          <w:highlight w:val="none"/>
        </w:rPr>
        <w:t>:</w:t>
      </w:r>
    </w:p>
    <w:p>
      <w:pPr>
        <w:pStyle w:val="38"/>
        <w:numPr>
          <w:ilvl w:val="2"/>
          <w:numId w:val="1"/>
        </w:numPr>
        <w:ind w:left="811" w:hanging="709" w:hangingChars="338"/>
        <w:rPr>
          <w:color w:val="auto"/>
          <w:sz w:val="21"/>
          <w:highlight w:val="none"/>
        </w:rPr>
      </w:pPr>
      <w:r>
        <w:rPr>
          <w:rFonts w:hint="eastAsia"/>
          <w:color w:val="auto"/>
          <w:sz w:val="21"/>
          <w:highlight w:val="none"/>
        </w:rPr>
        <w:t>本合同文本及附件；</w:t>
      </w:r>
    </w:p>
    <w:p>
      <w:pPr>
        <w:pStyle w:val="38"/>
        <w:numPr>
          <w:ilvl w:val="2"/>
          <w:numId w:val="1"/>
        </w:numPr>
        <w:ind w:left="811" w:hanging="709" w:hangingChars="338"/>
        <w:rPr>
          <w:color w:val="auto"/>
          <w:sz w:val="21"/>
          <w:highlight w:val="none"/>
        </w:rPr>
      </w:pPr>
      <w:r>
        <w:rPr>
          <w:rFonts w:hint="eastAsia"/>
          <w:color w:val="auto"/>
          <w:sz w:val="21"/>
          <w:highlight w:val="none"/>
          <w:lang w:val="en-US" w:eastAsia="zh-CN"/>
        </w:rPr>
        <w:t>比选</w:t>
      </w:r>
      <w:r>
        <w:rPr>
          <w:rFonts w:hint="eastAsia"/>
          <w:color w:val="auto"/>
          <w:sz w:val="21"/>
          <w:highlight w:val="none"/>
        </w:rPr>
        <w:t>过程中的澄清文件；</w:t>
      </w:r>
    </w:p>
    <w:p>
      <w:pPr>
        <w:pStyle w:val="38"/>
        <w:numPr>
          <w:ilvl w:val="2"/>
          <w:numId w:val="1"/>
        </w:numPr>
        <w:ind w:left="811" w:hanging="709" w:hangingChars="338"/>
        <w:rPr>
          <w:color w:val="auto"/>
          <w:sz w:val="21"/>
          <w:highlight w:val="none"/>
        </w:rPr>
      </w:pPr>
      <w:r>
        <w:rPr>
          <w:rFonts w:hint="eastAsia"/>
          <w:color w:val="auto"/>
          <w:sz w:val="21"/>
          <w:highlight w:val="none"/>
        </w:rPr>
        <w:t>本项目</w:t>
      </w:r>
      <w:r>
        <w:rPr>
          <w:rFonts w:hint="eastAsia"/>
          <w:color w:val="auto"/>
          <w:sz w:val="21"/>
          <w:highlight w:val="none"/>
          <w:lang w:val="en-US" w:eastAsia="zh-CN"/>
        </w:rPr>
        <w:t>比选文件</w:t>
      </w:r>
      <w:r>
        <w:rPr>
          <w:rFonts w:hint="eastAsia"/>
          <w:color w:val="auto"/>
          <w:sz w:val="21"/>
          <w:highlight w:val="none"/>
        </w:rPr>
        <w:t>及其附件；</w:t>
      </w:r>
    </w:p>
    <w:p>
      <w:pPr>
        <w:pStyle w:val="38"/>
        <w:numPr>
          <w:ilvl w:val="2"/>
          <w:numId w:val="1"/>
        </w:numPr>
        <w:ind w:left="811" w:hanging="709" w:hangingChars="338"/>
        <w:rPr>
          <w:color w:val="auto"/>
          <w:sz w:val="21"/>
          <w:highlight w:val="none"/>
        </w:rPr>
      </w:pPr>
      <w:r>
        <w:rPr>
          <w:rFonts w:hint="eastAsia"/>
          <w:color w:val="auto"/>
          <w:sz w:val="21"/>
          <w:highlight w:val="none"/>
        </w:rPr>
        <w:t>本项目</w:t>
      </w:r>
      <w:r>
        <w:rPr>
          <w:color w:val="auto"/>
          <w:sz w:val="21"/>
          <w:highlight w:val="none"/>
        </w:rPr>
        <w:t>乙方</w:t>
      </w:r>
      <w:r>
        <w:rPr>
          <w:rFonts w:hint="eastAsia"/>
          <w:color w:val="auto"/>
          <w:sz w:val="21"/>
          <w:highlight w:val="none"/>
          <w:lang w:val="en-US" w:eastAsia="zh-CN"/>
        </w:rPr>
        <w:t>比选</w:t>
      </w:r>
      <w:r>
        <w:rPr>
          <w:rFonts w:hint="eastAsia"/>
          <w:color w:val="auto"/>
          <w:sz w:val="21"/>
          <w:highlight w:val="none"/>
        </w:rPr>
        <w:t>申请文件；</w:t>
      </w:r>
    </w:p>
    <w:p>
      <w:pPr>
        <w:pStyle w:val="38"/>
        <w:numPr>
          <w:ilvl w:val="2"/>
          <w:numId w:val="1"/>
        </w:numPr>
        <w:ind w:left="811" w:hanging="709" w:hangingChars="338"/>
        <w:rPr>
          <w:color w:val="auto"/>
          <w:sz w:val="21"/>
          <w:highlight w:val="none"/>
        </w:rPr>
      </w:pPr>
      <w:r>
        <w:rPr>
          <w:rFonts w:hint="eastAsia"/>
          <w:color w:val="auto"/>
          <w:sz w:val="21"/>
          <w:highlight w:val="none"/>
        </w:rPr>
        <w:t>南宁轨道交通集团有限责任公司制定的相关文件。</w:t>
      </w:r>
    </w:p>
    <w:p>
      <w:pPr>
        <w:pStyle w:val="38"/>
        <w:numPr>
          <w:ilvl w:val="1"/>
          <w:numId w:val="1"/>
        </w:numPr>
        <w:spacing w:before="120" w:beforeLines="50" w:after="120" w:afterLines="50"/>
        <w:ind w:leftChars="0"/>
        <w:rPr>
          <w:color w:val="auto"/>
          <w:sz w:val="21"/>
          <w:highlight w:val="none"/>
        </w:rPr>
      </w:pPr>
      <w:r>
        <w:rPr>
          <w:rFonts w:hint="eastAsia"/>
          <w:color w:val="auto"/>
          <w:sz w:val="21"/>
          <w:highlight w:val="none"/>
        </w:rPr>
        <w:t>本合同正本</w:t>
      </w:r>
      <w:r>
        <w:rPr>
          <w:color w:val="auto"/>
          <w:sz w:val="21"/>
          <w:highlight w:val="none"/>
        </w:rPr>
        <w:t>2</w:t>
      </w:r>
      <w:r>
        <w:rPr>
          <w:rFonts w:hint="eastAsia"/>
          <w:color w:val="auto"/>
          <w:sz w:val="21"/>
          <w:highlight w:val="none"/>
        </w:rPr>
        <w:t>份，甲、乙双方各执</w:t>
      </w:r>
      <w:r>
        <w:rPr>
          <w:color w:val="auto"/>
          <w:sz w:val="21"/>
          <w:highlight w:val="none"/>
        </w:rPr>
        <w:t>1</w:t>
      </w:r>
      <w:r>
        <w:rPr>
          <w:rFonts w:hint="eastAsia"/>
          <w:color w:val="auto"/>
          <w:sz w:val="21"/>
          <w:highlight w:val="none"/>
        </w:rPr>
        <w:t>份；副本8份，甲方执7份，乙方执1份；正副本均具有同等法律效力。若正本与副本内容有偏离时，以正本为准。</w:t>
      </w:r>
    </w:p>
    <w:tbl>
      <w:tblPr>
        <w:tblStyle w:val="29"/>
        <w:tblpPr w:leftFromText="180" w:rightFromText="180" w:vertAnchor="text" w:horzAnchor="page" w:tblpX="1489" w:tblpY="3205"/>
        <w:tblW w:w="93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615"/>
        <w:gridCol w:w="47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甲方：</w:t>
            </w:r>
          </w:p>
        </w:tc>
        <w:tc>
          <w:tcPr>
            <w:tcW w:w="4776" w:type="dxa"/>
            <w:tcBorders>
              <w:top w:val="single" w:color="auto" w:sz="4" w:space="0"/>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 xml:space="preserve">法定代表人或委托代理人: </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地址：</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电话：</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纳税人识别号：</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开户银行：</w:t>
            </w:r>
          </w:p>
        </w:tc>
        <w:tc>
          <w:tcPr>
            <w:tcW w:w="4776" w:type="dxa"/>
            <w:tcBorders>
              <w:top w:val="nil"/>
              <w:left w:val="single" w:color="auto" w:sz="4" w:space="0"/>
              <w:bottom w:val="nil"/>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4615" w:type="dxa"/>
            <w:tcBorders>
              <w:right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银行账号：</w:t>
            </w:r>
          </w:p>
        </w:tc>
        <w:tc>
          <w:tcPr>
            <w:tcW w:w="4776" w:type="dxa"/>
            <w:tcBorders>
              <w:top w:val="nil"/>
              <w:left w:val="single" w:color="auto" w:sz="4" w:space="0"/>
              <w:bottom w:val="single" w:color="auto" w:sz="4" w:space="0"/>
            </w:tcBorders>
          </w:tcPr>
          <w:p>
            <w:pPr>
              <w:ind w:right="-86" w:rightChars="-41"/>
              <w:rPr>
                <w:rFonts w:ascii="宋体" w:hAnsi="宋体"/>
                <w:color w:val="auto"/>
                <w:kern w:val="0"/>
                <w:sz w:val="21"/>
                <w:highlight w:val="none"/>
              </w:rPr>
            </w:pPr>
            <w:r>
              <w:rPr>
                <w:rFonts w:hint="eastAsia" w:ascii="宋体" w:hAnsi="宋体"/>
                <w:color w:val="auto"/>
                <w:kern w:val="0"/>
                <w:sz w:val="21"/>
                <w:highlight w:val="none"/>
              </w:rPr>
              <w:t>银行账号：</w:t>
            </w:r>
          </w:p>
        </w:tc>
      </w:tr>
    </w:tbl>
    <w:p>
      <w:pPr>
        <w:spacing w:after="156" w:afterLines="50"/>
        <w:ind w:right="448"/>
        <w:jc w:val="left"/>
        <w:rPr>
          <w:rFonts w:hint="eastAsia" w:ascii="Calibri" w:hAnsi="Calibri"/>
          <w:color w:val="auto"/>
          <w:sz w:val="21"/>
          <w:szCs w:val="21"/>
          <w:highlight w:val="none"/>
        </w:rPr>
      </w:pPr>
      <w:r>
        <w:rPr>
          <w:rFonts w:hint="eastAsia" w:ascii="Calibri" w:hAnsi="Calibri"/>
          <w:color w:val="auto"/>
          <w:sz w:val="21"/>
          <w:highlight w:val="none"/>
          <w:lang w:val="en-US" w:eastAsia="zh-CN"/>
        </w:rPr>
        <w:t>12.4.</w:t>
      </w:r>
      <w:r>
        <w:rPr>
          <w:rFonts w:hint="eastAsia" w:ascii="Calibri" w:hAnsi="Calibri"/>
          <w:color w:val="auto"/>
          <w:sz w:val="21"/>
          <w:highlight w:val="none"/>
        </w:rPr>
        <w:t>甲乙双方未尽事宜，经协商一致，可签订补充协议，补充协议与本合同具有同等法律效力。</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27"/>
    <w:bookmarkEnd w:id="128"/>
    <w:bookmarkEnd w:id="129"/>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Style w:val="5"/>
        <w:pageBreakBefore/>
        <w:spacing w:before="40" w:after="40" w:line="240" w:lineRule="auto"/>
        <w:jc w:val="center"/>
        <w:rPr>
          <w:rFonts w:ascii="Times New Roman" w:hAnsi="Times New Roman" w:eastAsia="宋体"/>
          <w:color w:val="auto"/>
          <w:highlight w:val="none"/>
        </w:rPr>
      </w:pPr>
      <w:r>
        <w:rPr>
          <w:rFonts w:ascii="Times New Roman" w:hAnsi="Times New Roman" w:eastAsia="宋体"/>
          <w:color w:val="auto"/>
          <w:highlight w:val="none"/>
        </w:rPr>
        <w:t>第</w:t>
      </w:r>
      <w:r>
        <w:rPr>
          <w:rFonts w:hint="eastAsia" w:ascii="Times New Roman" w:hAnsi="Times New Roman" w:eastAsia="宋体"/>
          <w:color w:val="auto"/>
          <w:highlight w:val="none"/>
        </w:rPr>
        <w:t>四</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p>
    <w:p>
      <w:pPr>
        <w:pStyle w:val="56"/>
        <w:adjustRightInd/>
        <w:spacing w:before="0" w:after="0" w:line="360" w:lineRule="auto"/>
        <w:ind w:left="0" w:right="0"/>
        <w:rPr>
          <w:rFonts w:ascii="宋体" w:hAnsi="宋体"/>
          <w:color w:val="auto"/>
          <w:sz w:val="21"/>
          <w:szCs w:val="21"/>
          <w:highlight w:val="none"/>
        </w:rPr>
      </w:pPr>
    </w:p>
    <w:p>
      <w:pPr>
        <w:pStyle w:val="6"/>
        <w:rPr>
          <w:rFonts w:ascii="宋体" w:hAnsi="宋体"/>
          <w:b w:val="0"/>
          <w:color w:val="auto"/>
          <w:sz w:val="21"/>
          <w:szCs w:val="21"/>
          <w:highlight w:val="none"/>
        </w:rPr>
      </w:pPr>
      <w:r>
        <w:rPr>
          <w:rFonts w:ascii="宋体" w:hAnsi="宋体"/>
          <w:b w:val="0"/>
          <w:color w:val="auto"/>
          <w:highlight w:val="none"/>
        </w:rPr>
        <w:t>1</w:t>
      </w:r>
      <w:r>
        <w:rPr>
          <w:rFonts w:hint="eastAsia" w:ascii="宋体" w:hAnsi="宋体"/>
          <w:b w:val="0"/>
          <w:color w:val="auto"/>
          <w:highlight w:val="none"/>
        </w:rPr>
        <w:t>.税率确认函</w:t>
      </w:r>
    </w:p>
    <w:p>
      <w:pPr>
        <w:pStyle w:val="6"/>
        <w:rPr>
          <w:rFonts w:ascii="宋体" w:hAnsi="宋体"/>
          <w:b w:val="0"/>
          <w:color w:val="auto"/>
          <w:highlight w:val="none"/>
        </w:rPr>
      </w:pPr>
      <w:r>
        <w:rPr>
          <w:rFonts w:hint="eastAsia" w:ascii="宋体" w:hAnsi="宋体"/>
          <w:b w:val="0"/>
          <w:color w:val="auto"/>
          <w:highlight w:val="none"/>
        </w:rPr>
        <w:t>2.报价表</w:t>
      </w: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numPr>
          <w:ilvl w:val="0"/>
          <w:numId w:val="11"/>
        </w:numPr>
        <w:adjustRightInd/>
        <w:spacing w:before="0" w:after="0" w:line="360" w:lineRule="auto"/>
        <w:ind w:right="0"/>
        <w:rPr>
          <w:rFonts w:ascii="宋体" w:hAnsi="宋体"/>
          <w:color w:val="auto"/>
          <w:sz w:val="21"/>
          <w:szCs w:val="21"/>
          <w:highlight w:val="none"/>
        </w:rPr>
      </w:pPr>
      <w:r>
        <w:rPr>
          <w:rFonts w:hint="eastAsia" w:ascii="宋体" w:hAnsi="宋体"/>
          <w:color w:val="auto"/>
          <w:sz w:val="21"/>
          <w:szCs w:val="21"/>
          <w:highlight w:val="none"/>
        </w:rPr>
        <w:t>报价表</w:t>
      </w:r>
    </w:p>
    <w:tbl>
      <w:tblPr>
        <w:tblStyle w:val="29"/>
        <w:tblW w:w="5000" w:type="pct"/>
        <w:tblInd w:w="0" w:type="dxa"/>
        <w:tblLayout w:type="autofit"/>
        <w:tblCellMar>
          <w:top w:w="0" w:type="dxa"/>
          <w:left w:w="108" w:type="dxa"/>
          <w:bottom w:w="0" w:type="dxa"/>
          <w:right w:w="108" w:type="dxa"/>
        </w:tblCellMar>
      </w:tblPr>
      <w:tblGrid>
        <w:gridCol w:w="616"/>
        <w:gridCol w:w="1994"/>
        <w:gridCol w:w="1810"/>
        <w:gridCol w:w="1292"/>
        <w:gridCol w:w="1290"/>
        <w:gridCol w:w="1520"/>
      </w:tblGrid>
      <w:tr>
        <w:tblPrEx>
          <w:tblCellMar>
            <w:top w:w="0" w:type="dxa"/>
            <w:left w:w="108" w:type="dxa"/>
            <w:bottom w:w="0" w:type="dxa"/>
            <w:right w:w="108" w:type="dxa"/>
          </w:tblCellMar>
        </w:tblPrEx>
        <w:trPr>
          <w:trHeight w:val="750" w:hRule="atLeast"/>
        </w:trPr>
        <w:tc>
          <w:tcPr>
            <w:tcW w:w="6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99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color w:val="auto"/>
                <w:sz w:val="22"/>
                <w:szCs w:val="22"/>
                <w:highlight w:val="none"/>
              </w:rPr>
            </w:pPr>
            <w:r>
              <w:rPr>
                <w:rFonts w:hint="eastAsia" w:ascii="宋体" w:hAnsi="宋体" w:cs="宋体"/>
                <w:b/>
                <w:bCs/>
                <w:color w:val="auto"/>
                <w:sz w:val="22"/>
                <w:highlight w:val="none"/>
                <w:lang w:bidi="ar"/>
              </w:rPr>
              <w:t>物资名称</w:t>
            </w:r>
          </w:p>
        </w:tc>
        <w:tc>
          <w:tcPr>
            <w:tcW w:w="1810" w:type="dxa"/>
            <w:tcBorders>
              <w:top w:val="single" w:color="auto" w:sz="4" w:space="0"/>
              <w:left w:val="nil"/>
              <w:bottom w:val="single" w:color="auto" w:sz="4" w:space="0"/>
              <w:right w:val="single" w:color="auto" w:sz="4" w:space="0"/>
            </w:tcBorders>
            <w:shd w:val="clear" w:color="auto" w:fill="auto"/>
            <w:vAlign w:val="center"/>
          </w:tcPr>
          <w:p>
            <w:pPr>
              <w:ind w:left="709" w:leftChars="0" w:right="-27" w:rightChars="0" w:hanging="709" w:firstLineChars="0"/>
              <w:jc w:val="center"/>
              <w:rPr>
                <w:rFonts w:hint="default"/>
                <w:color w:val="auto"/>
                <w:sz w:val="22"/>
                <w:szCs w:val="22"/>
                <w:highlight w:val="none"/>
                <w:lang w:val="en-US"/>
              </w:rPr>
            </w:pPr>
            <w:r>
              <w:rPr>
                <w:rFonts w:hint="eastAsia" w:ascii="宋体" w:hAnsi="宋体" w:cs="宋体"/>
                <w:b/>
                <w:bCs/>
                <w:color w:val="auto"/>
                <w:sz w:val="22"/>
                <w:highlight w:val="none"/>
                <w:lang w:val="en-US" w:eastAsia="zh-CN" w:bidi="ar"/>
              </w:rPr>
              <w:t>估算数量</w:t>
            </w:r>
          </w:p>
        </w:tc>
        <w:tc>
          <w:tcPr>
            <w:tcW w:w="129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单位</w:t>
            </w:r>
          </w:p>
        </w:tc>
        <w:tc>
          <w:tcPr>
            <w:tcW w:w="129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综合单价/元</w:t>
            </w:r>
          </w:p>
        </w:tc>
        <w:tc>
          <w:tcPr>
            <w:tcW w:w="152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处置响应时间</w:t>
            </w:r>
          </w:p>
        </w:tc>
      </w:tr>
      <w:tr>
        <w:tblPrEx>
          <w:tblCellMar>
            <w:top w:w="0" w:type="dxa"/>
            <w:left w:w="108" w:type="dxa"/>
            <w:bottom w:w="0" w:type="dxa"/>
            <w:right w:w="108" w:type="dxa"/>
          </w:tblCellMar>
        </w:tblPrEx>
        <w:trPr>
          <w:trHeight w:val="10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199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color w:val="auto"/>
                <w:sz w:val="22"/>
                <w:szCs w:val="22"/>
                <w:highlight w:val="none"/>
              </w:rPr>
            </w:pPr>
            <w:r>
              <w:rPr>
                <w:rFonts w:hint="eastAsia"/>
                <w:color w:val="auto"/>
                <w:sz w:val="22"/>
                <w:szCs w:val="22"/>
                <w:highlight w:val="none"/>
                <w:lang w:val="en-US" w:eastAsia="zh-CN"/>
              </w:rPr>
              <w:t>废铁屑</w:t>
            </w:r>
          </w:p>
        </w:tc>
        <w:tc>
          <w:tcPr>
            <w:tcW w:w="1810" w:type="dxa"/>
            <w:tcBorders>
              <w:top w:val="nil"/>
              <w:left w:val="nil"/>
              <w:bottom w:val="single" w:color="auto" w:sz="4" w:space="0"/>
              <w:right w:val="single" w:color="auto" w:sz="4" w:space="0"/>
            </w:tcBorders>
            <w:shd w:val="clear" w:color="auto" w:fill="auto"/>
            <w:vAlign w:val="center"/>
          </w:tcPr>
          <w:p>
            <w:pPr>
              <w:ind w:left="709" w:leftChars="0" w:right="-27" w:rightChars="0" w:hanging="709" w:firstLineChars="0"/>
              <w:jc w:val="center"/>
              <w:rPr>
                <w:color w:val="auto"/>
                <w:sz w:val="22"/>
                <w:szCs w:val="22"/>
                <w:highlight w:val="none"/>
              </w:rPr>
            </w:pPr>
            <w:r>
              <w:rPr>
                <w:rFonts w:hint="eastAsia"/>
                <w:color w:val="auto"/>
                <w:sz w:val="22"/>
                <w:szCs w:val="22"/>
                <w:highlight w:val="none"/>
              </w:rPr>
              <w:t>13131.5</w:t>
            </w:r>
          </w:p>
        </w:tc>
        <w:tc>
          <w:tcPr>
            <w:tcW w:w="129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公斤</w:t>
            </w:r>
          </w:p>
        </w:tc>
        <w:tc>
          <w:tcPr>
            <w:tcW w:w="129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　</w:t>
            </w:r>
          </w:p>
        </w:tc>
        <w:tc>
          <w:tcPr>
            <w:tcW w:w="152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cs="宋体"/>
                <w:color w:val="auto"/>
                <w:sz w:val="20"/>
                <w:szCs w:val="20"/>
                <w:highlight w:val="none"/>
              </w:rPr>
            </w:pPr>
            <w:r>
              <w:rPr>
                <w:rFonts w:hint="eastAsia" w:ascii="宋体" w:hAnsi="宋体" w:cs="宋体"/>
                <w:color w:val="auto"/>
                <w:sz w:val="20"/>
                <w:szCs w:val="20"/>
                <w:highlight w:val="none"/>
              </w:rPr>
              <w:t>　</w:t>
            </w:r>
          </w:p>
        </w:tc>
      </w:tr>
      <w:tr>
        <w:tblPrEx>
          <w:tblCellMar>
            <w:top w:w="0" w:type="dxa"/>
            <w:left w:w="108" w:type="dxa"/>
            <w:bottom w:w="0" w:type="dxa"/>
            <w:right w:w="108" w:type="dxa"/>
          </w:tblCellMar>
        </w:tblPrEx>
        <w:trPr>
          <w:trHeight w:val="1122" w:hRule="atLeast"/>
        </w:trPr>
        <w:tc>
          <w:tcPr>
            <w:tcW w:w="361"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c>
          <w:tcPr>
            <w:tcW w:w="4639" w:type="pct"/>
            <w:gridSpan w:val="5"/>
            <w:tcBorders>
              <w:top w:val="single" w:color="auto" w:sz="4" w:space="0"/>
              <w:left w:val="nil"/>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1、综合单价=实际</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部分单价为X/</w:t>
            </w:r>
            <w:r>
              <w:rPr>
                <w:rFonts w:hint="eastAsia" w:ascii="宋体" w:hAnsi="宋体" w:cs="宋体"/>
                <w:color w:val="auto"/>
                <w:sz w:val="20"/>
                <w:szCs w:val="20"/>
                <w:highlight w:val="none"/>
                <w:lang w:val="en-US" w:eastAsia="zh-CN"/>
              </w:rPr>
              <w:t>公斤</w:t>
            </w:r>
            <w:r>
              <w:rPr>
                <w:rFonts w:hint="eastAsia" w:ascii="宋体" w:hAnsi="宋体" w:cs="宋体"/>
                <w:color w:val="auto"/>
                <w:sz w:val="20"/>
                <w:szCs w:val="20"/>
                <w:highlight w:val="none"/>
              </w:rPr>
              <w:t>（含运费）+人工费、拆分费（X元/各线路）,本报价仅确定综合单价，最终数量按实际拆分下来的危废部分过磅计算，双方签字确认；</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2、在合同有效期内综合单价固定不变；</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3、报价方负责</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的装卸、运输及过磅等一切费用。</w:t>
            </w:r>
          </w:p>
        </w:tc>
      </w:tr>
    </w:tbl>
    <w:p>
      <w:pPr>
        <w:pStyle w:val="56"/>
        <w:adjustRightInd/>
        <w:spacing w:before="0" w:after="0" w:line="360" w:lineRule="auto"/>
        <w:ind w:left="1134"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bookmarkStart w:id="130" w:name="_Toc19448"/>
      <w:bookmarkStart w:id="131" w:name="_Toc5186"/>
      <w:bookmarkStart w:id="132" w:name="_Toc12470"/>
      <w:bookmarkStart w:id="133" w:name="_Toc21033"/>
      <w:bookmarkStart w:id="134" w:name="_Toc6194"/>
      <w:bookmarkStart w:id="135" w:name="_Toc16443"/>
      <w:bookmarkStart w:id="136" w:name="_Toc21372"/>
      <w:bookmarkStart w:id="137" w:name="_Toc21659"/>
      <w:bookmarkStart w:id="138" w:name="_Toc12983548"/>
      <w:bookmarkStart w:id="139" w:name="_Toc21635"/>
      <w:bookmarkStart w:id="140" w:name="_Toc27258"/>
      <w:bookmarkStart w:id="141" w:name="_Toc2753"/>
      <w:bookmarkStart w:id="142" w:name="_Toc5644"/>
      <w:bookmarkStart w:id="143" w:name="_Toc29249"/>
      <w:bookmarkStart w:id="144" w:name="_Toc14997"/>
      <w:bookmarkStart w:id="145" w:name="_Toc27316"/>
      <w:bookmarkStart w:id="146" w:name="_Toc16716"/>
      <w:bookmarkStart w:id="147" w:name="_Toc13288"/>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pageBreakBefore/>
        <w:adjustRightInd/>
        <w:spacing w:before="0" w:after="0" w:line="360" w:lineRule="auto"/>
        <w:ind w:left="0" w:right="0"/>
        <w:rPr>
          <w:rFonts w:ascii="宋体" w:hAnsi="宋体"/>
          <w:color w:val="auto"/>
          <w:sz w:val="21"/>
          <w:szCs w:val="21"/>
          <w:highlight w:val="none"/>
        </w:rPr>
      </w:pPr>
      <w:bookmarkStart w:id="148" w:name="_Toc92268647"/>
      <w:bookmarkStart w:id="149" w:name="_Toc75963081"/>
      <w:bookmarkStart w:id="150" w:name="_Toc483608731"/>
      <w:bookmarkStart w:id="151" w:name="_Toc480908536"/>
      <w:bookmarkStart w:id="152" w:name="_Toc72769348"/>
      <w:bookmarkStart w:id="153" w:name="_Toc75264122"/>
      <w:bookmarkStart w:id="154" w:name="_Toc14746"/>
      <w:bookmarkStart w:id="155" w:name="_Toc498882140"/>
      <w:bookmarkStart w:id="156" w:name="_Toc29924"/>
      <w:bookmarkStart w:id="157" w:name="_Toc68674896"/>
    </w:p>
    <w:p>
      <w:pPr>
        <w:pStyle w:val="5"/>
        <w:spacing w:before="40" w:after="40" w:line="240" w:lineRule="auto"/>
        <w:ind w:left="0" w:firstLine="0"/>
        <w:jc w:val="center"/>
        <w:rPr>
          <w:rFonts w:ascii="宋体" w:hAnsi="宋体" w:eastAsia="宋体"/>
          <w:iCs/>
          <w:color w:val="auto"/>
          <w:highlight w:val="none"/>
        </w:rPr>
      </w:pPr>
      <w:bookmarkStart w:id="158" w:name="_Toc101965694"/>
      <w:r>
        <w:rPr>
          <w:rFonts w:ascii="宋体" w:hAnsi="宋体" w:eastAsia="宋体"/>
          <w:iCs/>
          <w:color w:val="auto"/>
          <w:highlight w:val="none"/>
        </w:rPr>
        <w:t>第</w:t>
      </w:r>
      <w:r>
        <w:rPr>
          <w:rFonts w:hint="eastAsia" w:ascii="宋体" w:hAnsi="宋体" w:eastAsia="宋体"/>
          <w:iCs/>
          <w:color w:val="auto"/>
          <w:highlight w:val="none"/>
          <w:lang w:val="en-US" w:eastAsia="zh-CN"/>
        </w:rPr>
        <w:t>五</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148"/>
      <w:bookmarkEnd w:id="149"/>
      <w:bookmarkEnd w:id="150"/>
      <w:bookmarkEnd w:id="151"/>
      <w:bookmarkEnd w:id="152"/>
      <w:bookmarkEnd w:id="153"/>
      <w:bookmarkEnd w:id="154"/>
      <w:bookmarkEnd w:id="155"/>
      <w:bookmarkEnd w:id="156"/>
      <w:bookmarkEnd w:id="157"/>
      <w:bookmarkEnd w:id="158"/>
    </w:p>
    <w:p>
      <w:pPr>
        <w:pStyle w:val="6"/>
        <w:rPr>
          <w:rFonts w:ascii="宋体" w:hAnsi="宋体"/>
          <w:b w:val="0"/>
          <w:color w:val="auto"/>
          <w:highlight w:val="none"/>
        </w:rPr>
      </w:pPr>
      <w:bookmarkStart w:id="159" w:name="_Toc92268648"/>
      <w:r>
        <w:rPr>
          <w:rFonts w:hint="eastAsia" w:ascii="宋体" w:hAnsi="宋体"/>
          <w:b w:val="0"/>
          <w:color w:val="auto"/>
          <w:highlight w:val="none"/>
        </w:rPr>
        <w:t>1.履约保证金缴纳凭证（履约保函格式附后）</w:t>
      </w:r>
      <w:bookmarkEnd w:id="159"/>
    </w:p>
    <w:p>
      <w:pPr>
        <w:pStyle w:val="6"/>
        <w:rPr>
          <w:rFonts w:ascii="宋体" w:hAnsi="宋体"/>
          <w:b w:val="0"/>
          <w:color w:val="auto"/>
          <w:highlight w:val="none"/>
        </w:rPr>
      </w:pPr>
      <w:bookmarkStart w:id="160" w:name="_Toc92268649"/>
      <w:r>
        <w:rPr>
          <w:rFonts w:hint="eastAsia" w:ascii="宋体" w:hAnsi="宋体"/>
          <w:b w:val="0"/>
          <w:color w:val="auto"/>
          <w:highlight w:val="none"/>
        </w:rPr>
        <w:t>2.</w:t>
      </w:r>
      <w:bookmarkEnd w:id="160"/>
      <w:r>
        <w:rPr>
          <w:rFonts w:hint="eastAsia" w:ascii="宋体" w:hAnsi="宋体"/>
          <w:b w:val="0"/>
          <w:color w:val="auto"/>
          <w:highlight w:val="none"/>
        </w:rPr>
        <w:t>乙方营业执照或资质证书等（如有）</w:t>
      </w:r>
    </w:p>
    <w:p>
      <w:pPr>
        <w:pStyle w:val="6"/>
        <w:rPr>
          <w:rFonts w:ascii="宋体" w:hAnsi="宋体"/>
          <w:b w:val="0"/>
          <w:color w:val="auto"/>
          <w:highlight w:val="none"/>
        </w:rPr>
      </w:pPr>
      <w:r>
        <w:rPr>
          <w:rFonts w:hint="eastAsia" w:ascii="宋体" w:hAnsi="宋体"/>
          <w:b w:val="0"/>
          <w:color w:val="auto"/>
          <w:highlight w:val="none"/>
        </w:rPr>
        <w:t>3.乙方法人授权委托书（如有）</w:t>
      </w:r>
    </w:p>
    <w:p>
      <w:pPr>
        <w:pStyle w:val="56"/>
        <w:adjustRightInd/>
        <w:spacing w:before="0" w:after="0" w:line="360" w:lineRule="auto"/>
        <w:ind w:left="0" w:right="0"/>
        <w:rPr>
          <w:rFonts w:ascii="宋体" w:hAnsi="宋体"/>
          <w:color w:val="auto"/>
          <w:sz w:val="21"/>
          <w:szCs w:val="21"/>
          <w:highlight w:val="none"/>
        </w:rPr>
      </w:pP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（中标后提供）</w:t>
      </w:r>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鉴于贵方已于年月日发出中标通知书，本保函作为贵方将与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南宁轨道交通运营有限公司2022年</w:t>
      </w:r>
      <w:r>
        <w:rPr>
          <w:rFonts w:hint="eastAsia" w:ascii="宋体" w:hAnsi="宋体"/>
          <w:color w:val="auto"/>
          <w:highlight w:val="none"/>
          <w:u w:val="single"/>
          <w:lang w:val="en-US" w:eastAsia="zh-CN"/>
        </w:rPr>
        <w:t>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r>
        <w:rPr>
          <w:rFonts w:hint="eastAsia" w:ascii="宋体" w:hAnsi="宋体"/>
          <w:color w:val="auto"/>
          <w:highlight w:val="none"/>
        </w:rPr>
        <w:t>以下简称“本项目”）合同（中标价格￥元，大写：元）的银行保函。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rPr>
      </w:pPr>
      <w:r>
        <w:rPr>
          <w:rFonts w:hint="eastAsia" w:ascii="宋体" w:hAnsi="宋体"/>
          <w:color w:val="auto"/>
          <w:highlight w:val="none"/>
        </w:rPr>
        <w:t>电话：</w:t>
      </w:r>
      <w:r>
        <w:rPr>
          <w:rFonts w:hint="eastAsia" w:ascii="宋体" w:hAnsi="宋体"/>
          <w:color w:val="auto"/>
          <w:highlight w:val="none"/>
          <w:u w:val="single"/>
        </w:rPr>
        <w:t>（职务）   （姓名）  （签字）</w:t>
      </w: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承诺函（中标后提供）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（以下称“本公司”）现已中标贵司比选的</w:t>
      </w:r>
      <w:r>
        <w:rPr>
          <w:rFonts w:hint="eastAsia" w:ascii="宋体" w:hAnsi="宋体"/>
          <w:color w:val="auto"/>
          <w:highlight w:val="none"/>
          <w:u w:val="single"/>
        </w:rPr>
        <w:t xml:space="preserve">      南宁轨道交通运营有限公司2022年</w:t>
      </w:r>
      <w:r>
        <w:rPr>
          <w:rFonts w:hint="eastAsia" w:ascii="宋体" w:hAnsi="宋体"/>
          <w:color w:val="auto"/>
          <w:highlight w:val="none"/>
          <w:u w:val="single"/>
          <w:lang w:val="en-US" w:eastAsia="zh-CN"/>
        </w:rPr>
        <w:t>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left="1134" w:right="-57" w:firstLine="0"/>
        <w:rPr>
          <w:rFonts w:ascii="宋体" w:hAnsi="宋体"/>
          <w:color w:val="auto"/>
          <w:highlight w:val="none"/>
        </w:rPr>
      </w:pPr>
    </w:p>
    <w:p>
      <w:pPr>
        <w:pStyle w:val="56"/>
        <w:pageBreakBefore/>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61" w:name="_Toc24244"/>
      <w:bookmarkStart w:id="162" w:name="_Toc92268652"/>
      <w:bookmarkStart w:id="163" w:name="_Toc101965695"/>
      <w:r>
        <w:rPr>
          <w:rFonts w:ascii="Times New Roman" w:hAnsi="Times New Roman" w:eastAsia="宋体"/>
          <w:color w:val="auto"/>
          <w:highlight w:val="none"/>
        </w:rPr>
        <w:t>第</w:t>
      </w:r>
      <w:r>
        <w:rPr>
          <w:rFonts w:hint="eastAsia" w:ascii="Times New Roman" w:hAnsi="Times New Roman" w:eastAsia="宋体"/>
          <w:color w:val="auto"/>
          <w:highlight w:val="none"/>
          <w:lang w:val="en-US" w:eastAsia="zh-CN"/>
        </w:rPr>
        <w:t>六</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161"/>
      <w:bookmarkEnd w:id="162"/>
      <w:bookmarkEnd w:id="163"/>
    </w:p>
    <w:p>
      <w:pPr>
        <w:pStyle w:val="56"/>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6"/>
        <w:adjustRightInd/>
        <w:spacing w:before="0" w:after="0" w:line="360" w:lineRule="auto"/>
        <w:ind w:left="0" w:right="0"/>
        <w:rPr>
          <w:rFonts w:ascii="宋体" w:hAnsi="宋体"/>
          <w:color w:val="auto"/>
          <w:sz w:val="21"/>
          <w:szCs w:val="21"/>
          <w:highlight w:val="none"/>
        </w:rPr>
      </w:pPr>
    </w:p>
    <w:p>
      <w:pPr>
        <w:pStyle w:val="56"/>
        <w:pageBreakBefore/>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64" w:name="_Toc92268653"/>
      <w:bookmarkStart w:id="165" w:name="_Toc21928"/>
      <w:bookmarkStart w:id="166" w:name="_Toc101965696"/>
      <w:r>
        <w:rPr>
          <w:rFonts w:ascii="Times New Roman" w:hAnsi="Times New Roman" w:eastAsia="宋体"/>
          <w:color w:val="auto"/>
          <w:highlight w:val="none"/>
        </w:rPr>
        <w:t>第</w:t>
      </w:r>
      <w:r>
        <w:rPr>
          <w:rFonts w:hint="eastAsia" w:ascii="Times New Roman" w:hAnsi="Times New Roman" w:eastAsia="宋体"/>
          <w:color w:val="auto"/>
          <w:highlight w:val="none"/>
          <w:lang w:val="en-US" w:eastAsia="zh-CN"/>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164"/>
      <w:bookmarkEnd w:id="165"/>
      <w:bookmarkEnd w:id="166"/>
    </w:p>
    <w:p>
      <w:pPr>
        <w:pStyle w:val="56"/>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Style w:val="56"/>
        <w:adjustRightInd/>
        <w:spacing w:before="0" w:after="0" w:line="360" w:lineRule="auto"/>
        <w:ind w:left="0" w:right="0"/>
        <w:rPr>
          <w:rFonts w:ascii="宋体" w:hAnsi="宋体"/>
          <w:color w:val="auto"/>
          <w:sz w:val="21"/>
          <w:szCs w:val="21"/>
          <w:highlight w:val="none"/>
        </w:rPr>
      </w:pPr>
    </w:p>
    <w:p>
      <w:pPr>
        <w:pageBreakBefore/>
        <w:spacing w:line="300" w:lineRule="exact"/>
        <w:ind w:left="950" w:right="-28" w:hanging="950" w:hangingChars="338"/>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spacing w:line="300" w:lineRule="exact"/>
        <w:jc w:val="center"/>
        <w:rPr>
          <w:rFonts w:ascii="宋体"/>
          <w:b/>
          <w:color w:val="auto"/>
          <w:sz w:val="28"/>
          <w:szCs w:val="30"/>
          <w:highlight w:val="none"/>
        </w:rPr>
      </w:pPr>
    </w:p>
    <w:p>
      <w:pPr>
        <w:pStyle w:val="13"/>
        <w:ind w:left="1" w:right="-57" w:firstLine="0"/>
        <w:jc w:val="center"/>
        <w:outlineLvl w:val="0"/>
        <w:rPr>
          <w:rStyle w:val="43"/>
          <w:rFonts w:hAnsi="宋体"/>
          <w:color w:val="auto"/>
          <w:sz w:val="44"/>
          <w:szCs w:val="44"/>
          <w:highlight w:val="none"/>
        </w:rPr>
      </w:pPr>
      <w:bookmarkStart w:id="167" w:name="_Toc101965697"/>
      <w:r>
        <w:rPr>
          <w:rStyle w:val="43"/>
          <w:rFonts w:hint="eastAsia" w:hAnsi="宋体"/>
          <w:color w:val="auto"/>
          <w:sz w:val="44"/>
          <w:szCs w:val="44"/>
          <w:highlight w:val="none"/>
        </w:rPr>
        <w:t>第四章 比选申请文件格式</w:t>
      </w:r>
      <w:bookmarkEnd w:id="167"/>
    </w:p>
    <w:p>
      <w:pPr>
        <w:spacing w:after="156" w:afterLines="50"/>
        <w:jc w:val="center"/>
        <w:rPr>
          <w:b/>
          <w:color w:val="auto"/>
          <w:sz w:val="44"/>
          <w:szCs w:val="44"/>
          <w:highlight w:val="none"/>
        </w:rPr>
      </w:pPr>
    </w:p>
    <w:p>
      <w:pPr>
        <w:pStyle w:val="56"/>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pStyle w:val="13"/>
        <w:pageBreakBefore/>
        <w:ind w:left="0" w:right="-57" w:firstLine="0"/>
        <w:jc w:val="left"/>
        <w:rPr>
          <w:rStyle w:val="43"/>
          <w:rFonts w:ascii="宋体" w:hAnsi="宋体" w:eastAsia="宋体"/>
          <w:color w:val="auto"/>
          <w:sz w:val="21"/>
          <w:szCs w:val="21"/>
          <w:highlight w:val="none"/>
        </w:rPr>
      </w:pPr>
      <w:r>
        <w:rPr>
          <w:rFonts w:hAnsi="宋体"/>
          <w:b/>
          <w:color w:val="auto"/>
          <w:sz w:val="21"/>
          <w:szCs w:val="21"/>
          <w:highlight w:val="none"/>
        </w:rPr>
        <w:pict>
          <v:shape id="_x0000_s1027" o:spid="_x0000_s1027" o:spt="202" type="#_x0000_t202" style="position:absolute;left:0pt;margin-left:308.55pt;margin-top:19.1pt;height:42.5pt;width:117.35pt;z-index:251659264;mso-width-relative:page;mso-height-relative:page;" coordsize="21600,21600">
            <v:path/>
            <v:fill focussize="0,0"/>
            <v:stroke joinstyle="miter"/>
            <v:imagedata o:title=""/>
            <o:lock v:ext="edit"/>
            <v:textbox>
              <w:txbxContent>
                <w:p>
                  <w:pPr>
                    <w:ind w:left="0" w:firstLine="0"/>
                    <w:jc w:val="center"/>
                    <w:rPr>
                      <w:sz w:val="36"/>
                      <w:szCs w:val="36"/>
                    </w:rPr>
                  </w:pPr>
                  <w:r>
                    <w:rPr>
                      <w:rFonts w:hint="eastAsia"/>
                      <w:sz w:val="36"/>
                      <w:szCs w:val="36"/>
                    </w:rPr>
                    <w:t>正本/副本</w:t>
                  </w:r>
                </w:p>
              </w:txbxContent>
            </v:textbox>
          </v:shape>
        </w:pict>
      </w:r>
      <w:r>
        <w:rPr>
          <w:rStyle w:val="43"/>
          <w:rFonts w:hint="eastAsia" w:ascii="宋体" w:hAnsi="宋体" w:eastAsia="宋体"/>
          <w:color w:val="auto"/>
          <w:sz w:val="21"/>
          <w:szCs w:val="21"/>
          <w:highlight w:val="none"/>
        </w:rPr>
        <w:t>（比选申请文件封面格式）</w:t>
      </w:r>
    </w:p>
    <w:p>
      <w:pPr>
        <w:jc w:val="left"/>
        <w:rPr>
          <w:color w:val="auto"/>
          <w:highlight w:val="none"/>
        </w:rPr>
      </w:pPr>
    </w:p>
    <w:p>
      <w:pPr>
        <w:ind w:right="840"/>
        <w:rPr>
          <w:color w:val="auto"/>
          <w:highlight w:val="none"/>
        </w:rPr>
      </w:pPr>
    </w:p>
    <w:p>
      <w:pPr>
        <w:ind w:right="840"/>
        <w:rPr>
          <w:color w:val="auto"/>
          <w:highlight w:val="none"/>
        </w:rPr>
      </w:pPr>
    </w:p>
    <w:p>
      <w:pPr>
        <w:jc w:val="center"/>
        <w:rPr>
          <w:color w:val="auto"/>
          <w:sz w:val="28"/>
          <w:szCs w:val="28"/>
          <w:highlight w:val="none"/>
        </w:rPr>
      </w:pPr>
      <w:r>
        <w:rPr>
          <w:rFonts w:hint="eastAsia" w:ascii="宋体" w:hAnsi="宋体"/>
          <w:b/>
          <w:color w:val="auto"/>
          <w:spacing w:val="-4"/>
          <w:sz w:val="44"/>
          <w:szCs w:val="44"/>
          <w:highlight w:val="none"/>
          <w:u w:val="single"/>
        </w:rPr>
        <w:t xml:space="preserve">   南宁轨道交通运营有限公司2022年</w:t>
      </w:r>
      <w:r>
        <w:rPr>
          <w:rFonts w:hint="eastAsia" w:ascii="宋体" w:hAnsi="宋体"/>
          <w:b/>
          <w:color w:val="auto"/>
          <w:spacing w:val="-4"/>
          <w:sz w:val="44"/>
          <w:szCs w:val="44"/>
          <w:highlight w:val="none"/>
          <w:u w:val="single"/>
          <w:lang w:val="en-US" w:eastAsia="zh-CN"/>
        </w:rPr>
        <w:t>固废</w:t>
      </w:r>
      <w:r>
        <w:rPr>
          <w:rFonts w:hint="eastAsia" w:ascii="宋体" w:hAnsi="宋体"/>
          <w:b/>
          <w:color w:val="auto"/>
          <w:spacing w:val="-4"/>
          <w:sz w:val="44"/>
          <w:szCs w:val="44"/>
          <w:highlight w:val="none"/>
          <w:u w:val="single"/>
        </w:rPr>
        <w:t>处置项目</w:t>
      </w:r>
      <w:r>
        <w:rPr>
          <w:rFonts w:hint="eastAsia" w:ascii="宋体" w:hAnsi="宋体"/>
          <w:b/>
          <w:color w:val="auto"/>
          <w:spacing w:val="-4"/>
          <w:sz w:val="44"/>
          <w:szCs w:val="44"/>
          <w:highlight w:val="none"/>
          <w:u w:val="single"/>
          <w:lang w:eastAsia="zh-CN"/>
        </w:rPr>
        <w:t>（</w:t>
      </w:r>
      <w:r>
        <w:rPr>
          <w:rFonts w:hint="eastAsia" w:ascii="宋体" w:hAnsi="宋体"/>
          <w:b/>
          <w:color w:val="auto"/>
          <w:spacing w:val="-4"/>
          <w:sz w:val="44"/>
          <w:szCs w:val="44"/>
          <w:highlight w:val="none"/>
          <w:u w:val="single"/>
          <w:lang w:val="en-US" w:eastAsia="zh-CN"/>
        </w:rPr>
        <w:t>废铁屑</w:t>
      </w:r>
      <w:r>
        <w:rPr>
          <w:rFonts w:hint="eastAsia" w:ascii="宋体" w:hAnsi="宋体"/>
          <w:b/>
          <w:color w:val="auto"/>
          <w:spacing w:val="-4"/>
          <w:sz w:val="44"/>
          <w:szCs w:val="44"/>
          <w:highlight w:val="none"/>
          <w:u w:val="single"/>
          <w:lang w:eastAsia="zh-CN"/>
        </w:rPr>
        <w:t>）</w:t>
      </w:r>
    </w:p>
    <w:p>
      <w:pPr>
        <w:jc w:val="center"/>
        <w:rPr>
          <w:color w:val="auto"/>
          <w:sz w:val="28"/>
          <w:szCs w:val="28"/>
          <w:highlight w:val="none"/>
        </w:rPr>
      </w:pPr>
    </w:p>
    <w:p>
      <w:pPr>
        <w:jc w:val="center"/>
        <w:rPr>
          <w:color w:val="auto"/>
          <w:sz w:val="28"/>
          <w:szCs w:val="28"/>
          <w:highlight w:val="none"/>
        </w:rPr>
      </w:pPr>
    </w:p>
    <w:p>
      <w:pPr>
        <w:spacing w:before="312" w:beforeLines="100"/>
        <w:jc w:val="center"/>
        <w:rPr>
          <w:color w:val="auto"/>
          <w:sz w:val="56"/>
          <w:szCs w:val="56"/>
          <w:highlight w:val="none"/>
        </w:rPr>
      </w:pPr>
      <w:r>
        <w:rPr>
          <w:rFonts w:hint="eastAsia"/>
          <w:color w:val="auto"/>
          <w:sz w:val="56"/>
          <w:szCs w:val="56"/>
          <w:highlight w:val="none"/>
        </w:rPr>
        <w:t>比选申请</w:t>
      </w:r>
      <w:r>
        <w:rPr>
          <w:color w:val="auto"/>
          <w:sz w:val="56"/>
          <w:szCs w:val="56"/>
          <w:highlight w:val="none"/>
        </w:rPr>
        <w:t>文件</w:t>
      </w:r>
    </w:p>
    <w:p>
      <w:pPr>
        <w:ind w:left="0" w:firstLine="2520" w:firstLineChars="900"/>
        <w:rPr>
          <w:color w:val="auto"/>
          <w:sz w:val="28"/>
          <w:szCs w:val="28"/>
          <w:highlight w:val="none"/>
          <w:u w:val="single"/>
        </w:rPr>
      </w:pPr>
      <w:r>
        <w:rPr>
          <w:rFonts w:hint="eastAsia"/>
          <w:color w:val="auto"/>
          <w:sz w:val="28"/>
          <w:szCs w:val="28"/>
          <w:highlight w:val="none"/>
        </w:rPr>
        <w:t>（</w:t>
      </w:r>
      <w:r>
        <w:rPr>
          <w:color w:val="auto"/>
          <w:sz w:val="28"/>
          <w:szCs w:val="28"/>
          <w:highlight w:val="none"/>
        </w:rPr>
        <w:t>项目编号：</w:t>
      </w:r>
      <w:r>
        <w:rPr>
          <w:rFonts w:hint="eastAsia"/>
          <w:color w:val="auto"/>
          <w:sz w:val="28"/>
          <w:szCs w:val="28"/>
          <w:highlight w:val="none"/>
        </w:rPr>
        <w:t>202210170002）</w:t>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ind w:firstLine="1400" w:firstLineChars="500"/>
        <w:rPr>
          <w:color w:val="auto"/>
          <w:sz w:val="28"/>
          <w:szCs w:val="28"/>
          <w:highlight w:val="none"/>
        </w:rPr>
      </w:pPr>
      <w:r>
        <w:rPr>
          <w:rFonts w:hint="eastAsia"/>
          <w:color w:val="auto"/>
          <w:sz w:val="28"/>
          <w:szCs w:val="28"/>
          <w:highlight w:val="none"/>
        </w:rPr>
        <w:t>比选申请</w:t>
      </w:r>
      <w:r>
        <w:rPr>
          <w:color w:val="auto"/>
          <w:sz w:val="28"/>
          <w:szCs w:val="28"/>
          <w:highlight w:val="none"/>
        </w:rPr>
        <w:t>人：（</w:t>
      </w:r>
      <w:bookmarkStart w:id="168" w:name="_Hlk70427841"/>
      <w:r>
        <w:rPr>
          <w:color w:val="auto"/>
          <w:sz w:val="28"/>
          <w:szCs w:val="28"/>
          <w:highlight w:val="none"/>
        </w:rPr>
        <w:t>盖公章</w:t>
      </w:r>
      <w:bookmarkEnd w:id="168"/>
      <w:r>
        <w:rPr>
          <w:color w:val="auto"/>
          <w:sz w:val="28"/>
          <w:szCs w:val="28"/>
          <w:highlight w:val="none"/>
        </w:rPr>
        <w:t>）</w:t>
      </w:r>
    </w:p>
    <w:p>
      <w:pPr>
        <w:ind w:firstLine="1400" w:firstLineChars="500"/>
        <w:rPr>
          <w:color w:val="auto"/>
          <w:sz w:val="28"/>
          <w:szCs w:val="28"/>
          <w:highlight w:val="none"/>
        </w:rPr>
      </w:pPr>
      <w:r>
        <w:rPr>
          <w:color w:val="auto"/>
          <w:sz w:val="28"/>
          <w:szCs w:val="28"/>
          <w:highlight w:val="none"/>
        </w:rPr>
        <w:t>法定代表人或其委托代理人：（签字或盖章）</w:t>
      </w:r>
    </w:p>
    <w:p>
      <w:pPr>
        <w:spacing w:before="0" w:after="0" w:afterAutospacing="0"/>
        <w:ind w:left="0" w:right="0" w:firstLine="420" w:firstLineChars="200"/>
        <w:rPr>
          <w:rFonts w:hAnsi="宋体"/>
          <w:color w:val="auto"/>
          <w:highlight w:val="none"/>
        </w:rPr>
      </w:pPr>
    </w:p>
    <w:p>
      <w:pPr>
        <w:pStyle w:val="13"/>
        <w:pageBreakBefore/>
        <w:ind w:right="-57" w:firstLine="0"/>
        <w:jc w:val="center"/>
        <w:rPr>
          <w:rStyle w:val="43"/>
          <w:rFonts w:ascii="宋体" w:hAnsi="宋体" w:eastAsia="宋体"/>
          <w:color w:val="auto"/>
          <w:highlight w:val="none"/>
        </w:rPr>
      </w:pPr>
      <w:r>
        <w:rPr>
          <w:rStyle w:val="43"/>
          <w:rFonts w:hint="eastAsia" w:ascii="宋体" w:hAnsi="宋体" w:eastAsia="宋体"/>
          <w:color w:val="auto"/>
          <w:highlight w:val="none"/>
        </w:rPr>
        <w:t>目 录</w:t>
      </w:r>
    </w:p>
    <w:p>
      <w:pPr>
        <w:spacing w:before="0" w:after="0" w:afterAutospacing="0"/>
        <w:ind w:left="0" w:right="0" w:firstLine="420" w:firstLineChars="200"/>
        <w:rPr>
          <w:rFonts w:hAnsi="宋体"/>
          <w:color w:val="auto"/>
          <w:highlight w:val="none"/>
        </w:rPr>
      </w:pPr>
      <w:bookmarkStart w:id="169" w:name="_Toc4873"/>
      <w:bookmarkStart w:id="170" w:name="_Toc21274"/>
      <w:bookmarkStart w:id="171" w:name="_Toc30705"/>
      <w:bookmarkStart w:id="172" w:name="_Toc4027"/>
      <w:bookmarkStart w:id="173" w:name="_Toc361"/>
      <w:bookmarkStart w:id="174" w:name="_Toc32185"/>
      <w:bookmarkStart w:id="175" w:name="_Toc12983549"/>
      <w:bookmarkStart w:id="176" w:name="_Toc25325"/>
      <w:bookmarkStart w:id="177" w:name="_Toc24453"/>
      <w:bookmarkStart w:id="178" w:name="_Toc22709"/>
      <w:bookmarkStart w:id="179" w:name="_Toc24824"/>
      <w:bookmarkStart w:id="180" w:name="_Toc31535"/>
      <w:bookmarkStart w:id="181" w:name="_Toc31624"/>
      <w:bookmarkStart w:id="182" w:name="_Toc12984805"/>
      <w:bookmarkStart w:id="183" w:name="_Toc19412"/>
      <w:bookmarkStart w:id="184" w:name="_Toc492478802"/>
      <w:bookmarkStart w:id="185" w:name="_Toc414290520"/>
      <w:bookmarkStart w:id="186" w:name="_Toc3396"/>
      <w:bookmarkStart w:id="187" w:name="_Toc23261"/>
      <w:bookmarkStart w:id="188" w:name="_Toc6941"/>
      <w:bookmarkStart w:id="189" w:name="_Toc16671"/>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Pr>
        <w:pStyle w:val="19"/>
        <w:rPr>
          <w:b/>
          <w:color w:val="auto"/>
          <w:highlight w:val="none"/>
          <w:lang w:val="zh-CN"/>
        </w:rPr>
      </w:pPr>
      <w:r>
        <w:rPr>
          <w:rFonts w:hint="eastAsia"/>
          <w:b/>
          <w:color w:val="auto"/>
          <w:highlight w:val="none"/>
        </w:rPr>
        <w:t>一、比选申请函</w:t>
      </w:r>
      <w:r>
        <w:rPr>
          <w:b/>
          <w:color w:val="auto"/>
          <w:highlight w:val="none"/>
        </w:rPr>
        <w:tab/>
      </w:r>
    </w:p>
    <w:p>
      <w:pPr>
        <w:pStyle w:val="19"/>
        <w:rPr>
          <w:b/>
          <w:color w:val="auto"/>
          <w:highlight w:val="none"/>
        </w:rPr>
      </w:pPr>
      <w:r>
        <w:rPr>
          <w:rFonts w:hint="eastAsia"/>
          <w:b/>
          <w:color w:val="auto"/>
          <w:highlight w:val="none"/>
        </w:rPr>
        <w:t>二、比选承诺函</w:t>
      </w:r>
      <w:r>
        <w:rPr>
          <w:b/>
          <w:color w:val="auto"/>
          <w:highlight w:val="none"/>
        </w:rPr>
        <w:tab/>
      </w:r>
    </w:p>
    <w:p>
      <w:pPr>
        <w:pStyle w:val="19"/>
        <w:rPr>
          <w:b/>
          <w:color w:val="auto"/>
          <w:highlight w:val="none"/>
        </w:rPr>
      </w:pPr>
      <w:r>
        <w:rPr>
          <w:rFonts w:hint="eastAsia"/>
          <w:b/>
          <w:color w:val="auto"/>
          <w:highlight w:val="none"/>
        </w:rPr>
        <w:t>三、比选申请报价表</w:t>
      </w:r>
      <w:r>
        <w:rPr>
          <w:b/>
          <w:color w:val="auto"/>
          <w:highlight w:val="none"/>
        </w:rPr>
        <w:tab/>
      </w:r>
    </w:p>
    <w:p>
      <w:pPr>
        <w:pStyle w:val="24"/>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3.1比选申请报价表</w:t>
      </w:r>
      <w:r>
        <w:rPr>
          <w:rFonts w:asciiTheme="minorHAnsi" w:hAnsiTheme="minorHAnsi" w:eastAsiaTheme="minorEastAsia"/>
          <w:color w:val="auto"/>
          <w:sz w:val="22"/>
          <w:szCs w:val="22"/>
          <w:highlight w:val="none"/>
        </w:rPr>
        <w:tab/>
      </w:r>
    </w:p>
    <w:p>
      <w:pPr>
        <w:pStyle w:val="19"/>
        <w:rPr>
          <w:rFonts w:cstheme="minorBidi"/>
          <w:b/>
          <w:color w:val="auto"/>
          <w:sz w:val="22"/>
          <w:szCs w:val="22"/>
          <w:highlight w:val="none"/>
        </w:rPr>
      </w:pPr>
      <w:r>
        <w:rPr>
          <w:rFonts w:hint="eastAsia" w:cstheme="minorBidi"/>
          <w:b/>
          <w:color w:val="auto"/>
          <w:sz w:val="22"/>
          <w:szCs w:val="22"/>
          <w:highlight w:val="none"/>
        </w:rPr>
        <w:t>四、法定代表人身份证明及授权书</w:t>
      </w:r>
    </w:p>
    <w:p>
      <w:pPr>
        <w:pStyle w:val="24"/>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4.1法定代表人资格证明书</w:t>
      </w:r>
      <w:r>
        <w:rPr>
          <w:rFonts w:asciiTheme="minorHAnsi" w:hAnsiTheme="minorHAnsi" w:eastAsiaTheme="minorEastAsia"/>
          <w:color w:val="auto"/>
          <w:sz w:val="22"/>
          <w:szCs w:val="22"/>
          <w:highlight w:val="none"/>
        </w:rPr>
        <w:tab/>
      </w:r>
    </w:p>
    <w:p>
      <w:pPr>
        <w:pStyle w:val="24"/>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4.2法定代表人资格授权书</w:t>
      </w:r>
      <w:r>
        <w:rPr>
          <w:rFonts w:asciiTheme="minorHAnsi" w:hAnsiTheme="minorHAnsi" w:eastAsiaTheme="minorEastAsia"/>
          <w:color w:val="auto"/>
          <w:sz w:val="22"/>
          <w:szCs w:val="22"/>
          <w:highlight w:val="none"/>
        </w:rPr>
        <w:tab/>
      </w:r>
    </w:p>
    <w:p>
      <w:pPr>
        <w:pStyle w:val="19"/>
        <w:rPr>
          <w:b/>
          <w:color w:val="auto"/>
          <w:highlight w:val="none"/>
        </w:rPr>
      </w:pPr>
      <w:r>
        <w:rPr>
          <w:rFonts w:hint="eastAsia"/>
          <w:b/>
          <w:color w:val="auto"/>
          <w:highlight w:val="none"/>
        </w:rPr>
        <w:t>五、企业证照</w:t>
      </w:r>
      <w:r>
        <w:rPr>
          <w:b/>
          <w:color w:val="auto"/>
          <w:highlight w:val="none"/>
        </w:rPr>
        <w:tab/>
      </w:r>
    </w:p>
    <w:p>
      <w:pPr>
        <w:pStyle w:val="19"/>
        <w:rPr>
          <w:b/>
          <w:color w:val="auto"/>
          <w:highlight w:val="none"/>
        </w:rPr>
      </w:pPr>
      <w:r>
        <w:rPr>
          <w:rFonts w:hint="eastAsia"/>
          <w:b/>
          <w:color w:val="auto"/>
          <w:highlight w:val="none"/>
        </w:rPr>
        <w:t>六、比选响应表</w:t>
      </w:r>
      <w:r>
        <w:rPr>
          <w:b/>
          <w:color w:val="auto"/>
          <w:highlight w:val="none"/>
        </w:rPr>
        <w:tab/>
      </w:r>
    </w:p>
    <w:p>
      <w:pPr>
        <w:pStyle w:val="19"/>
        <w:rPr>
          <w:b/>
          <w:color w:val="auto"/>
          <w:highlight w:val="none"/>
        </w:rPr>
      </w:pPr>
      <w:r>
        <w:rPr>
          <w:rFonts w:hint="eastAsia"/>
          <w:b/>
          <w:color w:val="auto"/>
          <w:highlight w:val="none"/>
        </w:rPr>
        <w:t>七、其他</w:t>
      </w:r>
      <w:r>
        <w:rPr>
          <w:b/>
          <w:color w:val="auto"/>
          <w:highlight w:val="none"/>
        </w:rPr>
        <w:tab/>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0" w:name="_Toc101965698"/>
      <w:r>
        <w:rPr>
          <w:rFonts w:hint="eastAsia" w:ascii="Times New Roman" w:hAnsi="Times New Roman" w:eastAsia="宋体"/>
          <w:color w:val="auto"/>
          <w:highlight w:val="none"/>
        </w:rPr>
        <w:t>一、比选申请函</w:t>
      </w:r>
      <w:bookmarkEnd w:id="190"/>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hAnsi="宋体"/>
          <w:color w:val="auto"/>
          <w:highlight w:val="none"/>
        </w:rPr>
      </w:pPr>
      <w:r>
        <w:rPr>
          <w:rFonts w:hint="eastAsia" w:hAnsi="宋体"/>
          <w:color w:val="auto"/>
          <w:highlight w:val="none"/>
        </w:rPr>
        <w:t>致：</w:t>
      </w:r>
      <w:r>
        <w:rPr>
          <w:rFonts w:hint="eastAsia" w:ascii="宋体" w:hAnsi="宋体" w:cs="Arial"/>
          <w:color w:val="auto"/>
          <w:highlight w:val="none"/>
          <w:u w:val="single"/>
        </w:rPr>
        <w:t>南宁轨道交通运营有限公司</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根据贵方为</w:t>
      </w:r>
      <w:r>
        <w:rPr>
          <w:rFonts w:hint="eastAsia" w:ascii="宋体" w:hAnsi="宋体" w:cs="Arial"/>
          <w:color w:val="auto"/>
          <w:highlight w:val="none"/>
          <w:u w:val="single"/>
        </w:rPr>
        <w:t>南宁轨道交通运营有限公司</w:t>
      </w:r>
      <w:r>
        <w:rPr>
          <w:rFonts w:hint="eastAsia" w:ascii="宋体" w:hAnsi="宋体"/>
          <w:color w:val="auto"/>
          <w:highlight w:val="none"/>
          <w:u w:val="single"/>
        </w:rPr>
        <w:t>2022年</w:t>
      </w:r>
      <w:r>
        <w:rPr>
          <w:rFonts w:hint="eastAsia" w:ascii="宋体" w:hAnsi="宋体"/>
          <w:color w:val="auto"/>
          <w:highlight w:val="none"/>
          <w:u w:val="single"/>
          <w:lang w:val="en-US" w:eastAsia="zh-CN"/>
        </w:rPr>
        <w:t>固废</w:t>
      </w:r>
      <w:r>
        <w:rPr>
          <w:rFonts w:hint="eastAsia" w:ascii="宋体" w:hAnsi="宋体"/>
          <w:color w:val="auto"/>
          <w:highlight w:val="none"/>
          <w:u w:val="single"/>
        </w:rPr>
        <w:t>处置项目</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废铁屑</w:t>
      </w:r>
      <w:r>
        <w:rPr>
          <w:rFonts w:hint="eastAsia" w:ascii="宋体" w:hAnsi="宋体"/>
          <w:color w:val="auto"/>
          <w:highlight w:val="none"/>
          <w:u w:val="single"/>
          <w:lang w:eastAsia="zh-CN"/>
        </w:rPr>
        <w:t>）</w:t>
      </w:r>
      <w:r>
        <w:rPr>
          <w:rFonts w:hint="eastAsia" w:asciiTheme="minorEastAsia" w:hAnsiTheme="minorEastAsia" w:eastAsiaTheme="minorEastAsia"/>
          <w:color w:val="auto"/>
          <w:highlight w:val="none"/>
        </w:rPr>
        <w:t>的比选公告（项目编号</w:t>
      </w:r>
      <w:r>
        <w:rPr>
          <w:rFonts w:hint="eastAsia" w:asciiTheme="minorEastAsia" w:hAnsiTheme="minorEastAsia" w:eastAsiaTheme="minorEastAsia"/>
          <w:color w:val="auto"/>
          <w:highlight w:val="none"/>
          <w:lang w:eastAsia="zh-CN"/>
        </w:rPr>
        <w:t>202210170002</w:t>
      </w:r>
      <w:r>
        <w:rPr>
          <w:rFonts w:hint="eastAsia" w:asciiTheme="minorEastAsia" w:hAnsiTheme="minorEastAsia" w:eastAsiaTheme="minorEastAsia"/>
          <w:color w:val="auto"/>
          <w:highlight w:val="none"/>
        </w:rPr>
        <w:t>），签字人</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（全名、职务）经正式授权并代表我方</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（比选申请人名称、地址）提交下述文件正本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份、副本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份及电子文件</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份（U盘</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据此，签字人宣布同意如下：</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 按比选文件要求规定的应提交和交付的货物和服务并履行全部合同义务的比选申请总报价为不含增值税人民币（大写）</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元），税率</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 如果在规定的开标时间后，我方在比选申请有效期内撤销投标，将赔偿贵方损失。</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 如果我方中选，我方将提供金额为</w:t>
      </w:r>
      <w:r>
        <w:rPr>
          <w:rFonts w:hint="eastAsia" w:asciiTheme="minorEastAsia" w:hAnsiTheme="minorEastAsia" w:eastAsiaTheme="minorEastAsia"/>
          <w:color w:val="auto"/>
          <w:highlight w:val="none"/>
          <w:lang w:val="en-US" w:eastAsia="zh-CN"/>
        </w:rPr>
        <w:t>人民币1800元</w:t>
      </w:r>
      <w:r>
        <w:rPr>
          <w:rFonts w:hint="eastAsia" w:asciiTheme="minorEastAsia" w:hAnsiTheme="minorEastAsia" w:eastAsiaTheme="minorEastAsia"/>
          <w:color w:val="auto"/>
          <w:highlight w:val="none"/>
        </w:rPr>
        <w:t>的履约担保，作为适当履行合同的担保。</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 如果我方中选，保证按照比选文件规定的工程进度时间表履行交货/服务及有关的义务。</w:t>
      </w: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比选申请人名称：</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 xml:space="preserve"> （全称并加盖公章）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比选申请人法定代表人（或其委托代理人）签字或盖章：</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地址：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邮编：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电话/手机号码：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电子邮件：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       年   月    日</w:t>
      </w:r>
    </w:p>
    <w:p>
      <w:pPr>
        <w:snapToGrid w:val="0"/>
        <w:spacing w:before="0" w:after="0" w:afterAutospacing="0"/>
        <w:ind w:left="0" w:right="0" w:firstLine="480" w:firstLineChars="200"/>
        <w:rPr>
          <w:rFonts w:hAnsi="宋体"/>
          <w:color w:val="auto"/>
          <w:sz w:val="24"/>
          <w:szCs w:val="24"/>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1" w:name="_Toc101965699"/>
      <w:r>
        <w:rPr>
          <w:rFonts w:hint="eastAsia" w:ascii="Times New Roman" w:hAnsi="Times New Roman" w:eastAsia="宋体"/>
          <w:color w:val="auto"/>
          <w:highlight w:val="none"/>
        </w:rPr>
        <w:t>二、比选承诺函</w:t>
      </w:r>
      <w:bookmarkEnd w:id="191"/>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南宁轨道交通运营有限公司</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本项目比选</w:t>
      </w:r>
      <w:r>
        <w:rPr>
          <w:rFonts w:ascii="宋体" w:hAnsi="宋体"/>
          <w:color w:val="auto"/>
          <w:highlight w:val="none"/>
        </w:rPr>
        <w:t>文件后，我方经慎重考虑，郑重承诺参加</w:t>
      </w:r>
      <w:r>
        <w:rPr>
          <w:rFonts w:hint="eastAsia" w:ascii="宋体" w:hAnsi="宋体"/>
          <w:color w:val="auto"/>
          <w:highlight w:val="none"/>
        </w:rPr>
        <w:t>项目的比选</w:t>
      </w:r>
      <w:r>
        <w:rPr>
          <w:rFonts w:ascii="宋体" w:hAnsi="宋体"/>
          <w:color w:val="auto"/>
          <w:highlight w:val="none"/>
        </w:rPr>
        <w:t>活动。</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w:t>
      </w:r>
      <w:r>
        <w:rPr>
          <w:rFonts w:ascii="宋体" w:hAnsi="宋体"/>
          <w:color w:val="auto"/>
          <w:highlight w:val="none"/>
        </w:rPr>
        <w:t>文件要求的内容与格式，已编制完成</w:t>
      </w:r>
      <w:r>
        <w:rPr>
          <w:rFonts w:hint="eastAsia" w:ascii="宋体" w:hAnsi="宋体"/>
          <w:color w:val="auto"/>
          <w:highlight w:val="none"/>
        </w:rPr>
        <w:t>比选申请</w:t>
      </w:r>
      <w:r>
        <w:rPr>
          <w:rFonts w:ascii="宋体" w:hAnsi="宋体"/>
          <w:color w:val="auto"/>
          <w:highlight w:val="none"/>
        </w:rPr>
        <w:t>文件，现报上。</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没有处于被责令停业，或投标资格被住建部、国家安监总局、广西区或南宁市建设行政主管部门取消，或财产被接管、冻结、破产状态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投标截止时间前</w:t>
      </w:r>
      <w:r>
        <w:rPr>
          <w:rFonts w:ascii="宋体" w:hAnsi="宋体"/>
          <w:b/>
          <w:color w:val="auto"/>
          <w:highlight w:val="none"/>
        </w:rPr>
        <w:t>3年内没有骗取中标</w:t>
      </w:r>
      <w:r>
        <w:rPr>
          <w:rFonts w:hint="eastAsia" w:ascii="宋体" w:hAnsi="宋体"/>
          <w:b/>
          <w:color w:val="auto"/>
          <w:highlight w:val="none"/>
        </w:rPr>
        <w:t>、严重违约或重大质量安全责任事故。</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报名、比选申请</w:t>
      </w:r>
      <w:r>
        <w:rPr>
          <w:rFonts w:ascii="宋体" w:hAnsi="宋体"/>
          <w:color w:val="auto"/>
          <w:highlight w:val="none"/>
        </w:rPr>
        <w:t>过程中或者在中</w:t>
      </w:r>
      <w:r>
        <w:rPr>
          <w:rFonts w:hint="eastAsia" w:ascii="宋体" w:hAnsi="宋体"/>
          <w:color w:val="auto"/>
          <w:highlight w:val="none"/>
        </w:rPr>
        <w:t>选</w:t>
      </w:r>
      <w:r>
        <w:rPr>
          <w:rFonts w:ascii="宋体" w:hAnsi="宋体"/>
          <w:color w:val="auto"/>
          <w:highlight w:val="none"/>
        </w:rPr>
        <w:t>后，比选人或者有管辖权的</w:t>
      </w:r>
      <w:r>
        <w:rPr>
          <w:rFonts w:hint="eastAsia" w:ascii="宋体" w:hAnsi="宋体"/>
          <w:color w:val="auto"/>
          <w:highlight w:val="none"/>
        </w:rPr>
        <w:t>招</w:t>
      </w:r>
      <w:r>
        <w:rPr>
          <w:rFonts w:ascii="宋体" w:hAnsi="宋体"/>
          <w:color w:val="auto"/>
          <w:highlight w:val="none"/>
        </w:rPr>
        <w:t>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w:t>
      </w:r>
      <w:r>
        <w:rPr>
          <w:rFonts w:ascii="宋体" w:hAnsi="宋体"/>
          <w:color w:val="auto"/>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是否中标</w:t>
      </w:r>
      <w:r>
        <w:rPr>
          <w:rFonts w:ascii="宋体" w:hAnsi="宋体"/>
          <w:color w:val="auto"/>
          <w:highlight w:val="none"/>
        </w:rPr>
        <w:t>，我方将自行承担与</w:t>
      </w:r>
      <w:r>
        <w:rPr>
          <w:rFonts w:hint="eastAsia" w:ascii="宋体" w:hAnsi="宋体"/>
          <w:color w:val="auto"/>
          <w:highlight w:val="none"/>
        </w:rPr>
        <w:t>比选</w:t>
      </w:r>
      <w:r>
        <w:rPr>
          <w:rFonts w:ascii="宋体" w:hAnsi="宋体"/>
          <w:color w:val="auto"/>
          <w:highlight w:val="none"/>
        </w:rPr>
        <w:t>活动所需的一切费用。</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color w:val="auto"/>
          <w:highlight w:val="none"/>
        </w:rPr>
      </w:pPr>
      <w:r>
        <w:rPr>
          <w:rFonts w:hint="eastAsia" w:ascii="宋体" w:hAnsi="宋体"/>
          <w:b/>
          <w:color w:val="auto"/>
          <w:highlight w:val="none"/>
        </w:rPr>
        <w:t>9、我单位未被列入比选人不良信用名单。</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2" w:name="_Toc101965700"/>
      <w:r>
        <w:rPr>
          <w:rFonts w:hint="eastAsia" w:ascii="Times New Roman" w:hAnsi="Times New Roman" w:eastAsia="宋体"/>
          <w:color w:val="auto"/>
          <w:highlight w:val="none"/>
        </w:rPr>
        <w:t>三、比选申请报价表</w:t>
      </w:r>
      <w:bookmarkEnd w:id="192"/>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3.1比选申请报价表</w:t>
      </w:r>
    </w:p>
    <w:tbl>
      <w:tblPr>
        <w:tblStyle w:val="29"/>
        <w:tblW w:w="5000" w:type="pct"/>
        <w:tblInd w:w="0" w:type="dxa"/>
        <w:tblLayout w:type="autofit"/>
        <w:tblCellMar>
          <w:top w:w="0" w:type="dxa"/>
          <w:left w:w="108" w:type="dxa"/>
          <w:bottom w:w="0" w:type="dxa"/>
          <w:right w:w="108" w:type="dxa"/>
        </w:tblCellMar>
      </w:tblPr>
      <w:tblGrid>
        <w:gridCol w:w="616"/>
        <w:gridCol w:w="1994"/>
        <w:gridCol w:w="1810"/>
        <w:gridCol w:w="1292"/>
        <w:gridCol w:w="1444"/>
        <w:gridCol w:w="1366"/>
      </w:tblGrid>
      <w:tr>
        <w:tblPrEx>
          <w:tblCellMar>
            <w:top w:w="0" w:type="dxa"/>
            <w:left w:w="108" w:type="dxa"/>
            <w:bottom w:w="0" w:type="dxa"/>
            <w:right w:w="108" w:type="dxa"/>
          </w:tblCellMar>
        </w:tblPrEx>
        <w:trPr>
          <w:trHeight w:val="750" w:hRule="atLeast"/>
        </w:trPr>
        <w:tc>
          <w:tcPr>
            <w:tcW w:w="61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99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color w:val="auto"/>
                <w:sz w:val="22"/>
                <w:szCs w:val="22"/>
                <w:highlight w:val="none"/>
              </w:rPr>
            </w:pPr>
            <w:r>
              <w:rPr>
                <w:rFonts w:hint="eastAsia" w:ascii="宋体" w:hAnsi="宋体" w:cs="宋体"/>
                <w:b/>
                <w:bCs/>
                <w:color w:val="auto"/>
                <w:sz w:val="22"/>
                <w:highlight w:val="none"/>
                <w:lang w:bidi="ar"/>
              </w:rPr>
              <w:t>物资名称</w:t>
            </w:r>
          </w:p>
        </w:tc>
        <w:tc>
          <w:tcPr>
            <w:tcW w:w="1810" w:type="dxa"/>
            <w:tcBorders>
              <w:top w:val="single" w:color="auto" w:sz="4" w:space="0"/>
              <w:left w:val="nil"/>
              <w:bottom w:val="single" w:color="auto" w:sz="4" w:space="0"/>
              <w:right w:val="single" w:color="auto" w:sz="4" w:space="0"/>
            </w:tcBorders>
            <w:shd w:val="clear" w:color="auto" w:fill="auto"/>
            <w:vAlign w:val="center"/>
          </w:tcPr>
          <w:p>
            <w:pPr>
              <w:ind w:left="709" w:leftChars="0" w:right="-27" w:rightChars="0" w:hanging="709" w:firstLineChars="0"/>
              <w:jc w:val="center"/>
              <w:rPr>
                <w:rFonts w:hint="default"/>
                <w:color w:val="auto"/>
                <w:sz w:val="22"/>
                <w:szCs w:val="22"/>
                <w:highlight w:val="none"/>
                <w:lang w:val="en-US"/>
              </w:rPr>
            </w:pPr>
            <w:r>
              <w:rPr>
                <w:rFonts w:hint="eastAsia" w:ascii="宋体" w:hAnsi="宋体" w:cs="宋体"/>
                <w:b/>
                <w:bCs/>
                <w:color w:val="auto"/>
                <w:sz w:val="22"/>
                <w:highlight w:val="none"/>
                <w:lang w:val="en-US" w:eastAsia="zh-CN" w:bidi="ar"/>
              </w:rPr>
              <w:t>估算数量</w:t>
            </w:r>
          </w:p>
        </w:tc>
        <w:tc>
          <w:tcPr>
            <w:tcW w:w="129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单位</w:t>
            </w:r>
          </w:p>
        </w:tc>
        <w:tc>
          <w:tcPr>
            <w:tcW w:w="144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综合单价/元</w:t>
            </w:r>
          </w:p>
        </w:tc>
        <w:tc>
          <w:tcPr>
            <w:tcW w:w="136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处置响应时间</w:t>
            </w:r>
          </w:p>
        </w:tc>
      </w:tr>
      <w:tr>
        <w:tblPrEx>
          <w:tblCellMar>
            <w:top w:w="0" w:type="dxa"/>
            <w:left w:w="108" w:type="dxa"/>
            <w:bottom w:w="0" w:type="dxa"/>
            <w:right w:w="108" w:type="dxa"/>
          </w:tblCellMar>
        </w:tblPrEx>
        <w:trPr>
          <w:trHeight w:val="1050"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199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color w:val="auto"/>
                <w:sz w:val="22"/>
                <w:szCs w:val="22"/>
                <w:highlight w:val="none"/>
              </w:rPr>
            </w:pPr>
            <w:r>
              <w:rPr>
                <w:rFonts w:hint="eastAsia"/>
                <w:color w:val="auto"/>
                <w:sz w:val="22"/>
                <w:szCs w:val="22"/>
                <w:highlight w:val="none"/>
                <w:lang w:val="en-US" w:eastAsia="zh-CN"/>
              </w:rPr>
              <w:t>废铁屑</w:t>
            </w:r>
          </w:p>
        </w:tc>
        <w:tc>
          <w:tcPr>
            <w:tcW w:w="1810" w:type="dxa"/>
            <w:tcBorders>
              <w:top w:val="nil"/>
              <w:left w:val="nil"/>
              <w:bottom w:val="single" w:color="auto" w:sz="4" w:space="0"/>
              <w:right w:val="single" w:color="auto" w:sz="4" w:space="0"/>
            </w:tcBorders>
            <w:shd w:val="clear" w:color="auto" w:fill="auto"/>
            <w:vAlign w:val="center"/>
          </w:tcPr>
          <w:p>
            <w:pPr>
              <w:ind w:left="709" w:leftChars="0" w:right="-27" w:rightChars="0" w:hanging="709" w:firstLineChars="0"/>
              <w:jc w:val="center"/>
              <w:rPr>
                <w:color w:val="auto"/>
                <w:sz w:val="22"/>
                <w:szCs w:val="22"/>
                <w:highlight w:val="none"/>
              </w:rPr>
            </w:pPr>
            <w:r>
              <w:rPr>
                <w:rFonts w:hint="eastAsia"/>
                <w:color w:val="auto"/>
                <w:sz w:val="22"/>
                <w:szCs w:val="22"/>
                <w:highlight w:val="none"/>
              </w:rPr>
              <w:t>13131.5</w:t>
            </w:r>
          </w:p>
        </w:tc>
        <w:tc>
          <w:tcPr>
            <w:tcW w:w="129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lang w:val="en-US" w:eastAsia="zh-CN"/>
              </w:rPr>
              <w:t>公斤</w:t>
            </w:r>
          </w:p>
        </w:tc>
        <w:tc>
          <w:tcPr>
            <w:tcW w:w="144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ascii="宋体" w:hAnsi="宋体" w:cs="宋体"/>
                <w:color w:val="auto"/>
                <w:sz w:val="20"/>
                <w:szCs w:val="20"/>
                <w:highlight w:val="none"/>
              </w:rPr>
            </w:pPr>
            <w:r>
              <w:rPr>
                <w:rFonts w:hint="eastAsia" w:ascii="宋体" w:hAnsi="宋体" w:cs="宋体"/>
                <w:color w:val="auto"/>
                <w:sz w:val="20"/>
                <w:szCs w:val="20"/>
                <w:highlight w:val="none"/>
              </w:rPr>
              <w:t>　</w:t>
            </w:r>
          </w:p>
        </w:tc>
        <w:tc>
          <w:tcPr>
            <w:tcW w:w="136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cs="宋体"/>
                <w:color w:val="auto"/>
                <w:sz w:val="20"/>
                <w:szCs w:val="20"/>
                <w:highlight w:val="none"/>
              </w:rPr>
            </w:pPr>
            <w:r>
              <w:rPr>
                <w:rFonts w:hint="eastAsia" w:ascii="宋体" w:hAnsi="宋体" w:cs="宋体"/>
                <w:color w:val="auto"/>
                <w:sz w:val="20"/>
                <w:szCs w:val="20"/>
                <w:highlight w:val="none"/>
              </w:rPr>
              <w:t>　</w:t>
            </w:r>
          </w:p>
        </w:tc>
      </w:tr>
      <w:tr>
        <w:tblPrEx>
          <w:tblCellMar>
            <w:top w:w="0" w:type="dxa"/>
            <w:left w:w="108" w:type="dxa"/>
            <w:bottom w:w="0" w:type="dxa"/>
            <w:right w:w="108" w:type="dxa"/>
          </w:tblCellMar>
        </w:tblPrEx>
        <w:trPr>
          <w:trHeight w:val="1122" w:hRule="atLeast"/>
        </w:trPr>
        <w:tc>
          <w:tcPr>
            <w:tcW w:w="61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c>
          <w:tcPr>
            <w:tcW w:w="7906" w:type="dxa"/>
            <w:gridSpan w:val="5"/>
            <w:tcBorders>
              <w:top w:val="single" w:color="auto" w:sz="4" w:space="0"/>
              <w:left w:val="nil"/>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1、综合单价=实际</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部分单价为X/</w:t>
            </w:r>
            <w:r>
              <w:rPr>
                <w:rFonts w:hint="eastAsia" w:ascii="宋体" w:hAnsi="宋体" w:cs="宋体"/>
                <w:color w:val="auto"/>
                <w:sz w:val="20"/>
                <w:szCs w:val="20"/>
                <w:highlight w:val="none"/>
                <w:lang w:val="en-US" w:eastAsia="zh-CN"/>
              </w:rPr>
              <w:t>公斤</w:t>
            </w:r>
            <w:r>
              <w:rPr>
                <w:rFonts w:hint="eastAsia" w:ascii="宋体" w:hAnsi="宋体" w:cs="宋体"/>
                <w:color w:val="auto"/>
                <w:sz w:val="20"/>
                <w:szCs w:val="20"/>
                <w:highlight w:val="none"/>
              </w:rPr>
              <w:t>（含运费）+人工费、拆分费（X元/各线路）,本报价仅确定综合单价，最终数量按实际拆分下来的危废部分过磅计算，双方签字确认；</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2、在合同有效期内综合单价固定不变；</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3、报价方负责</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的装卸、运输及过磅等一切费用。</w:t>
            </w:r>
          </w:p>
        </w:tc>
      </w:tr>
    </w:tbl>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3.2比选申请报价明细表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单位：元</w:t>
      </w:r>
    </w:p>
    <w:tbl>
      <w:tblPr>
        <w:tblStyle w:val="29"/>
        <w:tblW w:w="5105" w:type="pct"/>
        <w:tblInd w:w="0" w:type="dxa"/>
        <w:tblLayout w:type="autofit"/>
        <w:tblCellMar>
          <w:top w:w="0" w:type="dxa"/>
          <w:left w:w="108" w:type="dxa"/>
          <w:bottom w:w="0" w:type="dxa"/>
          <w:right w:w="108" w:type="dxa"/>
        </w:tblCellMar>
      </w:tblPr>
      <w:tblGrid>
        <w:gridCol w:w="792"/>
        <w:gridCol w:w="1876"/>
        <w:gridCol w:w="1831"/>
        <w:gridCol w:w="1396"/>
        <w:gridCol w:w="1379"/>
        <w:gridCol w:w="1427"/>
      </w:tblGrid>
      <w:tr>
        <w:tblPrEx>
          <w:tblCellMar>
            <w:top w:w="0" w:type="dxa"/>
            <w:left w:w="108" w:type="dxa"/>
            <w:bottom w:w="0" w:type="dxa"/>
            <w:right w:w="108" w:type="dxa"/>
          </w:tblCellMar>
        </w:tblPrEx>
        <w:trPr>
          <w:trHeight w:val="750" w:hRule="atLeast"/>
        </w:trPr>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078"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color w:val="auto"/>
                <w:sz w:val="22"/>
                <w:szCs w:val="22"/>
                <w:highlight w:val="none"/>
              </w:rPr>
            </w:pPr>
            <w:r>
              <w:rPr>
                <w:rFonts w:hint="eastAsia" w:ascii="宋体" w:hAnsi="宋体" w:cs="宋体"/>
                <w:b/>
                <w:bCs/>
                <w:color w:val="auto"/>
                <w:sz w:val="22"/>
                <w:highlight w:val="none"/>
                <w:lang w:bidi="ar"/>
              </w:rPr>
              <w:t>物资名称</w:t>
            </w:r>
          </w:p>
        </w:tc>
        <w:tc>
          <w:tcPr>
            <w:tcW w:w="105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color w:val="auto"/>
                <w:sz w:val="22"/>
                <w:szCs w:val="22"/>
                <w:highlight w:val="none"/>
                <w:lang w:val="en-US" w:eastAsia="zh-CN"/>
              </w:rPr>
            </w:pPr>
            <w:r>
              <w:rPr>
                <w:rFonts w:hint="eastAsia" w:ascii="宋体" w:hAnsi="宋体" w:cs="宋体"/>
                <w:b/>
                <w:bCs/>
                <w:color w:val="auto"/>
                <w:sz w:val="22"/>
                <w:highlight w:val="none"/>
                <w:lang w:val="en-US" w:eastAsia="zh-CN" w:bidi="ar"/>
              </w:rPr>
              <w:t>预估数量</w:t>
            </w:r>
          </w:p>
        </w:tc>
        <w:tc>
          <w:tcPr>
            <w:tcW w:w="80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单位</w:t>
            </w:r>
          </w:p>
        </w:tc>
        <w:tc>
          <w:tcPr>
            <w:tcW w:w="79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综合单价/元</w:t>
            </w:r>
          </w:p>
        </w:tc>
        <w:tc>
          <w:tcPr>
            <w:tcW w:w="819"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sz w:val="20"/>
                <w:szCs w:val="20"/>
                <w:highlight w:val="none"/>
              </w:rPr>
            </w:pPr>
            <w:r>
              <w:rPr>
                <w:rFonts w:hint="eastAsia" w:ascii="宋体" w:hAnsi="宋体" w:cs="宋体"/>
                <w:b/>
                <w:bCs/>
                <w:color w:val="auto"/>
                <w:sz w:val="20"/>
                <w:szCs w:val="20"/>
                <w:highlight w:val="none"/>
              </w:rPr>
              <w:t>处置响应时间</w:t>
            </w:r>
          </w:p>
        </w:tc>
      </w:tr>
      <w:tr>
        <w:tblPrEx>
          <w:tblCellMar>
            <w:top w:w="0" w:type="dxa"/>
            <w:left w:w="108" w:type="dxa"/>
            <w:bottom w:w="0" w:type="dxa"/>
            <w:right w:w="108" w:type="dxa"/>
          </w:tblCellMar>
        </w:tblPrEx>
        <w:trPr>
          <w:trHeight w:val="1050" w:hRule="atLeast"/>
        </w:trPr>
        <w:tc>
          <w:tcPr>
            <w:tcW w:w="455"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1</w:t>
            </w:r>
          </w:p>
        </w:tc>
        <w:tc>
          <w:tcPr>
            <w:tcW w:w="1078"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废铁屑</w:t>
            </w:r>
          </w:p>
        </w:tc>
        <w:tc>
          <w:tcPr>
            <w:tcW w:w="1052" w:type="pct"/>
            <w:tcBorders>
              <w:top w:val="nil"/>
              <w:left w:val="nil"/>
              <w:bottom w:val="single" w:color="auto" w:sz="4" w:space="0"/>
              <w:right w:val="single" w:color="auto" w:sz="4" w:space="0"/>
            </w:tcBorders>
            <w:shd w:val="clear" w:color="auto" w:fill="auto"/>
            <w:vAlign w:val="center"/>
          </w:tcPr>
          <w:p>
            <w:pPr>
              <w:jc w:val="center"/>
              <w:rPr>
                <w:color w:val="auto"/>
                <w:sz w:val="22"/>
                <w:szCs w:val="22"/>
                <w:highlight w:val="none"/>
              </w:rPr>
            </w:pPr>
            <w:r>
              <w:rPr>
                <w:rFonts w:hint="eastAsia"/>
                <w:color w:val="auto"/>
                <w:sz w:val="22"/>
                <w:szCs w:val="22"/>
                <w:highlight w:val="none"/>
              </w:rPr>
              <w:t>13131.5</w:t>
            </w:r>
          </w:p>
        </w:tc>
        <w:tc>
          <w:tcPr>
            <w:tcW w:w="80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val="en-US" w:eastAsia="zh-CN"/>
              </w:rPr>
              <w:t>公斤</w:t>
            </w:r>
          </w:p>
        </w:tc>
        <w:tc>
          <w:tcPr>
            <w:tcW w:w="79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p>
        </w:tc>
        <w:tc>
          <w:tcPr>
            <w:tcW w:w="819"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　</w:t>
            </w:r>
          </w:p>
        </w:tc>
      </w:tr>
      <w:tr>
        <w:tblPrEx>
          <w:tblCellMar>
            <w:top w:w="0" w:type="dxa"/>
            <w:left w:w="108" w:type="dxa"/>
            <w:bottom w:w="0" w:type="dxa"/>
            <w:right w:w="108" w:type="dxa"/>
          </w:tblCellMar>
        </w:tblPrEx>
        <w:trPr>
          <w:trHeight w:val="1122" w:hRule="atLeast"/>
        </w:trPr>
        <w:tc>
          <w:tcPr>
            <w:tcW w:w="455"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c>
          <w:tcPr>
            <w:tcW w:w="4544" w:type="pct"/>
            <w:gridSpan w:val="5"/>
            <w:tcBorders>
              <w:top w:val="single" w:color="auto" w:sz="4" w:space="0"/>
              <w:left w:val="nil"/>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rPr>
                <w:rFonts w:ascii="宋体" w:hAnsi="宋体" w:cs="宋体"/>
                <w:color w:val="auto"/>
                <w:sz w:val="20"/>
                <w:szCs w:val="20"/>
                <w:highlight w:val="none"/>
              </w:rPr>
            </w:pPr>
            <w:r>
              <w:rPr>
                <w:rFonts w:hint="eastAsia" w:ascii="宋体" w:hAnsi="宋体" w:cs="宋体"/>
                <w:color w:val="auto"/>
                <w:sz w:val="20"/>
                <w:szCs w:val="20"/>
                <w:highlight w:val="none"/>
              </w:rPr>
              <w:t>1、综合单价=实际</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部分单价为X/</w:t>
            </w:r>
            <w:r>
              <w:rPr>
                <w:rFonts w:hint="eastAsia" w:ascii="宋体" w:hAnsi="宋体" w:cs="宋体"/>
                <w:color w:val="auto"/>
                <w:sz w:val="20"/>
                <w:szCs w:val="20"/>
                <w:highlight w:val="none"/>
                <w:lang w:val="en-US" w:eastAsia="zh-CN"/>
              </w:rPr>
              <w:t>公斤</w:t>
            </w:r>
            <w:r>
              <w:rPr>
                <w:rFonts w:hint="eastAsia" w:ascii="宋体" w:hAnsi="宋体" w:cs="宋体"/>
                <w:color w:val="auto"/>
                <w:sz w:val="20"/>
                <w:szCs w:val="20"/>
                <w:highlight w:val="none"/>
              </w:rPr>
              <w:t>（含运费）+人工费、拆分费（X元/各线路）,本报价仅确定综合单价，最终数量按实际拆分下来的危废部分过磅计算，双方签字确认；</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2、在合同有效期内综合单价固定不变；</w:t>
            </w:r>
            <w:r>
              <w:rPr>
                <w:rFonts w:hint="eastAsia" w:ascii="宋体" w:hAnsi="宋体" w:cs="宋体"/>
                <w:color w:val="auto"/>
                <w:sz w:val="20"/>
                <w:szCs w:val="20"/>
                <w:highlight w:val="none"/>
              </w:rPr>
              <w:br w:type="textWrapping"/>
            </w:r>
            <w:r>
              <w:rPr>
                <w:rFonts w:hint="eastAsia" w:ascii="宋体" w:hAnsi="宋体" w:cs="宋体"/>
                <w:color w:val="auto"/>
                <w:sz w:val="20"/>
                <w:szCs w:val="20"/>
                <w:highlight w:val="none"/>
              </w:rPr>
              <w:t>3、报价方负责</w:t>
            </w:r>
            <w:r>
              <w:rPr>
                <w:rFonts w:hint="eastAsia" w:ascii="宋体" w:hAnsi="宋体" w:cs="宋体"/>
                <w:color w:val="auto"/>
                <w:sz w:val="20"/>
                <w:szCs w:val="20"/>
                <w:highlight w:val="none"/>
                <w:lang w:val="en-US" w:eastAsia="zh-CN"/>
              </w:rPr>
              <w:t>废铁屑</w:t>
            </w:r>
            <w:r>
              <w:rPr>
                <w:rFonts w:hint="eastAsia" w:ascii="宋体" w:hAnsi="宋体" w:cs="宋体"/>
                <w:color w:val="auto"/>
                <w:sz w:val="20"/>
                <w:szCs w:val="20"/>
                <w:highlight w:val="none"/>
              </w:rPr>
              <w:t>的装卸、运输及过磅等一切费用。</w:t>
            </w:r>
          </w:p>
        </w:tc>
      </w:tr>
    </w:tbl>
    <w:p>
      <w:pPr>
        <w:snapToGrid w:val="0"/>
        <w:spacing w:before="0" w:after="0" w:afterAutospacing="0" w:line="240" w:lineRule="auto"/>
        <w:ind w:left="0" w:right="0" w:firstLine="424" w:firstLineChars="202"/>
        <w:rPr>
          <w:rFonts w:ascii="宋体" w:hAnsi="宋体"/>
          <w:color w:val="auto"/>
          <w:highlight w:val="none"/>
        </w:rPr>
      </w:pPr>
    </w:p>
    <w:p>
      <w:pPr>
        <w:snapToGrid w:val="0"/>
        <w:spacing w:before="0" w:after="0" w:afterAutospacing="0" w:line="240" w:lineRule="auto"/>
        <w:ind w:left="0" w:right="0" w:firstLine="424" w:firstLineChars="202"/>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3" w:name="_Toc101965701"/>
      <w:r>
        <w:rPr>
          <w:rFonts w:hint="eastAsia" w:ascii="Times New Roman" w:hAnsi="Times New Roman" w:eastAsia="宋体"/>
          <w:color w:val="auto"/>
          <w:highlight w:val="none"/>
        </w:rPr>
        <w:t>四、法定代表人身份证明及授权书</w:t>
      </w:r>
      <w:bookmarkEnd w:id="193"/>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4.1法定代表人身份证明</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性别：</w:t>
      </w:r>
      <w:r>
        <w:rPr>
          <w:rFonts w:hint="eastAsia" w:ascii="宋体" w:hAnsi="宋体"/>
          <w:color w:val="auto"/>
          <w:highlight w:val="none"/>
          <w:u w:val="single"/>
        </w:rPr>
        <w:t>（填写）</w:t>
      </w:r>
      <w:r>
        <w:rPr>
          <w:rFonts w:ascii="宋体" w:hAnsi="宋体"/>
          <w:color w:val="auto"/>
          <w:highlight w:val="none"/>
        </w:rPr>
        <w:t>年龄：</w:t>
      </w:r>
      <w:r>
        <w:rPr>
          <w:rFonts w:hint="eastAsia" w:ascii="宋体" w:hAnsi="宋体"/>
          <w:color w:val="auto"/>
          <w:highlight w:val="none"/>
          <w:u w:val="single"/>
        </w:rPr>
        <w:t>（填写）</w:t>
      </w:r>
      <w:r>
        <w:rPr>
          <w:rFonts w:ascii="宋体" w:hAnsi="宋体"/>
          <w:color w:val="auto"/>
          <w:highlight w:val="none"/>
        </w:rPr>
        <w:t>职务：</w:t>
      </w:r>
      <w:r>
        <w:rPr>
          <w:rFonts w:hint="eastAsia" w:ascii="宋体" w:hAnsi="宋体"/>
          <w:color w:val="auto"/>
          <w:highlight w:val="none"/>
          <w:u w:val="single"/>
        </w:rPr>
        <w:t>（填写）</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（填写）       </w:t>
      </w:r>
      <w:r>
        <w:rPr>
          <w:rFonts w:hint="eastAsia" w:ascii="宋体" w:hAnsi="宋体"/>
          <w:color w:val="auto"/>
          <w:highlight w:val="non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w:t>
      </w:r>
      <w:r>
        <w:rPr>
          <w:rFonts w:hint="eastAsia" w:ascii="宋体" w:hAnsi="宋体"/>
          <w:color w:val="auto"/>
          <w:highlight w:val="none"/>
          <w:u w:val="single"/>
        </w:rPr>
        <w:t>（填写）</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ind w:right="0" w:firstLine="135"/>
        <w:rPr>
          <w:rFonts w:ascii="宋体" w:hAnsi="宋体"/>
          <w:b/>
          <w:color w:val="auto"/>
          <w:highlight w:val="none"/>
        </w:rPr>
      </w:pPr>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法定代表人身份证复印件</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4.2法定代表人授权书</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w:t>
      </w:r>
      <w:r>
        <w:rPr>
          <w:rFonts w:hint="eastAsia" w:ascii="宋体" w:hAnsi="宋体"/>
          <w:b/>
          <w:color w:val="auto"/>
          <w:sz w:val="32"/>
          <w:szCs w:val="32"/>
          <w:highlight w:val="none"/>
        </w:rPr>
        <w:t>授权</w:t>
      </w:r>
      <w:r>
        <w:rPr>
          <w:rFonts w:ascii="宋体" w:hAnsi="宋体"/>
          <w:b/>
          <w:color w:val="auto"/>
          <w:sz w:val="32"/>
          <w:szCs w:val="32"/>
          <w:highlight w:val="none"/>
        </w:rPr>
        <w:t>书</w:t>
      </w:r>
    </w:p>
    <w:p>
      <w:pPr>
        <w:spacing w:before="0" w:after="0" w:afterAutospacing="0"/>
        <w:ind w:left="0" w:right="0" w:firstLine="420" w:firstLineChars="200"/>
        <w:rPr>
          <w:rFonts w:hAnsi="宋体"/>
          <w:color w:val="auto"/>
          <w:highlight w:val="none"/>
        </w:rPr>
      </w:pP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（比选人名称）</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rPr>
        <w:t>比选申请</w:t>
      </w:r>
      <w:r>
        <w:rPr>
          <w:rFonts w:ascii="宋体" w:hAnsi="宋体"/>
          <w:color w:val="auto"/>
          <w:highlight w:val="none"/>
          <w:u w:val="single"/>
        </w:rPr>
        <w:t>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为本公司的合法代理人，就比选编号为</w:t>
      </w:r>
      <w:r>
        <w:rPr>
          <w:rFonts w:hint="eastAsia" w:ascii="宋体" w:hAnsi="宋体"/>
          <w:color w:val="auto"/>
          <w:highlight w:val="none"/>
          <w:u w:val="single"/>
        </w:rPr>
        <w:t>（填写）</w:t>
      </w:r>
      <w:r>
        <w:rPr>
          <w:rFonts w:ascii="宋体" w:hAnsi="宋体"/>
          <w:color w:val="auto"/>
          <w:highlight w:val="none"/>
        </w:rPr>
        <w:t>的</w:t>
      </w:r>
      <w:r>
        <w:rPr>
          <w:rFonts w:hint="eastAsia" w:ascii="宋体" w:hAnsi="宋体"/>
          <w:color w:val="auto"/>
          <w:highlight w:val="none"/>
          <w:u w:val="single"/>
        </w:rPr>
        <w:t>（填写）</w:t>
      </w:r>
      <w:r>
        <w:rPr>
          <w:rFonts w:ascii="宋体" w:hAnsi="宋体"/>
          <w:color w:val="auto"/>
          <w:highlight w:val="none"/>
        </w:rPr>
        <w:t>项目的</w:t>
      </w:r>
      <w:r>
        <w:rPr>
          <w:rFonts w:hint="eastAsia" w:ascii="宋体" w:hAnsi="宋体"/>
          <w:color w:val="auto"/>
          <w:highlight w:val="none"/>
        </w:rPr>
        <w:t>比选申请</w:t>
      </w:r>
      <w:r>
        <w:rPr>
          <w:rFonts w:ascii="宋体" w:hAnsi="宋体"/>
          <w:color w:val="auto"/>
          <w:highlight w:val="none"/>
        </w:rPr>
        <w:t>和合同执行，作为</w:t>
      </w:r>
      <w:r>
        <w:rPr>
          <w:rFonts w:hint="eastAsia" w:ascii="宋体" w:hAnsi="宋体"/>
          <w:color w:val="auto"/>
          <w:highlight w:val="none"/>
        </w:rPr>
        <w:t>比选申请</w:t>
      </w:r>
      <w:r>
        <w:rPr>
          <w:rFonts w:ascii="宋体" w:hAnsi="宋体"/>
          <w:color w:val="auto"/>
          <w:highlight w:val="none"/>
        </w:rPr>
        <w:t>人代表以本公司的名义处理一切与之有关的事宜。</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（填写）</w:t>
      </w:r>
      <w:r>
        <w:rPr>
          <w:rFonts w:ascii="宋体" w:hAnsi="宋体"/>
          <w:color w:val="auto"/>
          <w:highlight w:val="none"/>
        </w:rPr>
        <w:t>年</w:t>
      </w:r>
      <w:r>
        <w:rPr>
          <w:rFonts w:hint="eastAsia" w:ascii="宋体" w:hAnsi="宋体"/>
          <w:color w:val="auto"/>
          <w:highlight w:val="none"/>
          <w:u w:val="single"/>
        </w:rPr>
        <w:t>（填写）</w:t>
      </w:r>
      <w:r>
        <w:rPr>
          <w:rFonts w:ascii="宋体" w:hAnsi="宋体"/>
          <w:color w:val="auto"/>
          <w:highlight w:val="none"/>
        </w:rPr>
        <w:t>月</w:t>
      </w:r>
      <w:r>
        <w:rPr>
          <w:rFonts w:hint="eastAsia" w:ascii="宋体" w:hAnsi="宋体"/>
          <w:color w:val="auto"/>
          <w:highlight w:val="none"/>
          <w:u w:val="single"/>
        </w:rPr>
        <w:t>（填写）</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tabs>
          <w:tab w:val="left" w:pos="8364"/>
        </w:tabs>
        <w:snapToGrid w:val="0"/>
        <w:spacing w:line="300" w:lineRule="exact"/>
        <w:ind w:right="0" w:firstLine="198"/>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hint="eastAsia" w:ascii="宋体" w:hAnsi="宋体"/>
          <w:color w:val="auto"/>
          <w:highlight w:val="none"/>
        </w:rPr>
        <w:t>比选申请</w:t>
      </w:r>
      <w:r>
        <w:rPr>
          <w:rFonts w:ascii="宋体" w:hAnsi="宋体"/>
          <w:color w:val="auto"/>
          <w:highlight w:val="none"/>
        </w:rPr>
        <w:t>人代表（被授权人）签字或盖章：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4" w:name="_Toc101965702"/>
      <w:r>
        <w:rPr>
          <w:rFonts w:hint="eastAsia" w:ascii="Times New Roman" w:hAnsi="Times New Roman" w:eastAsia="宋体"/>
          <w:color w:val="auto"/>
          <w:highlight w:val="none"/>
        </w:rPr>
        <w:t>五、企业证照</w:t>
      </w:r>
      <w:bookmarkEnd w:id="194"/>
    </w:p>
    <w:p>
      <w:pPr>
        <w:spacing w:before="0" w:after="0" w:afterAutospacing="0"/>
        <w:ind w:left="0" w:right="0" w:firstLine="420" w:firstLineChars="200"/>
        <w:rPr>
          <w:rFonts w:hAnsi="宋体"/>
          <w:color w:val="auto"/>
          <w:highlight w:val="none"/>
        </w:rPr>
      </w:pPr>
    </w:p>
    <w:p>
      <w:pPr>
        <w:snapToGrid w:val="0"/>
        <w:spacing w:before="0" w:after="0" w:afterAutospacing="0"/>
        <w:ind w:right="0" w:firstLine="0"/>
        <w:jc w:val="left"/>
        <w:rPr>
          <w:rFonts w:ascii="宋体" w:hAnsi="宋体"/>
          <w:b/>
          <w:color w:val="auto"/>
          <w:sz w:val="24"/>
          <w:szCs w:val="24"/>
          <w:highlight w:val="none"/>
        </w:rPr>
      </w:pPr>
      <w:r>
        <w:rPr>
          <w:rFonts w:hint="eastAsia" w:ascii="宋体" w:hAnsi="宋体"/>
          <w:b/>
          <w:color w:val="auto"/>
          <w:sz w:val="24"/>
          <w:szCs w:val="24"/>
          <w:highlight w:val="none"/>
        </w:rPr>
        <w:t>【复印件并加盖公章】</w: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5" w:name="_Toc101965704"/>
      <w:r>
        <w:rPr>
          <w:rFonts w:hint="eastAsia" w:ascii="Times New Roman" w:hAnsi="Times New Roman" w:eastAsia="宋体"/>
          <w:color w:val="auto"/>
          <w:highlight w:val="none"/>
        </w:rPr>
        <w:t>六、比选响应表</w:t>
      </w:r>
      <w:bookmarkEnd w:id="195"/>
    </w:p>
    <w:p>
      <w:pPr>
        <w:spacing w:before="0" w:after="0" w:afterAutospacing="0"/>
        <w:ind w:left="0" w:right="0" w:firstLine="420" w:firstLineChars="200"/>
        <w:rPr>
          <w:rFonts w:hAnsi="宋体"/>
          <w:color w:val="auto"/>
          <w:highlight w:val="none"/>
        </w:rPr>
      </w:pPr>
    </w:p>
    <w:tbl>
      <w:tblPr>
        <w:tblStyle w:val="29"/>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567"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用户需求书内容</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bl>
    <w:p>
      <w:pPr>
        <w:snapToGrid w:val="0"/>
        <w:spacing w:after="50"/>
        <w:ind w:left="0" w:right="-57" w:firstLine="0"/>
        <w:rPr>
          <w:rFonts w:ascii="宋体" w:hAnsi="宋体"/>
          <w:b/>
          <w:color w:val="auto"/>
          <w:highlight w:val="none"/>
        </w:rPr>
      </w:pPr>
    </w:p>
    <w:p>
      <w:pPr>
        <w:snapToGrid w:val="0"/>
        <w:spacing w:after="50"/>
        <w:ind w:left="0"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196" w:name="_Toc101965705"/>
      <w:r>
        <w:rPr>
          <w:rFonts w:hint="eastAsia" w:ascii="Times New Roman" w:hAnsi="Times New Roman" w:eastAsia="宋体"/>
          <w:color w:val="auto"/>
          <w:highlight w:val="none"/>
        </w:rPr>
        <w:t>七、其他</w:t>
      </w:r>
      <w:bookmarkEnd w:id="196"/>
    </w:p>
    <w:p>
      <w:pPr>
        <w:spacing w:before="0" w:after="0" w:afterAutospacing="0"/>
        <w:ind w:left="0" w:right="0" w:firstLine="482" w:firstLineChars="200"/>
        <w:rPr>
          <w:rFonts w:hAnsi="宋体"/>
          <w:color w:val="auto"/>
          <w:highlight w:val="none"/>
        </w:rPr>
      </w:pPr>
      <w:r>
        <w:rPr>
          <w:rFonts w:hint="eastAsia" w:ascii="宋体" w:hAnsi="宋体"/>
          <w:b/>
          <w:color w:val="auto"/>
          <w:sz w:val="24"/>
          <w:szCs w:val="24"/>
          <w:highlight w:val="none"/>
        </w:rPr>
        <w:t>【如有，格式自拟】</w:t>
      </w: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jc w:val="center"/>
        <w:rPr>
          <w:rFonts w:ascii="宋体" w:hAnsi="宋体"/>
          <w:b/>
          <w:color w:val="auto"/>
          <w:sz w:val="52"/>
          <w:szCs w:val="52"/>
          <w:highlight w:val="none"/>
          <w:lang w:val="zh-CN"/>
        </w:rPr>
      </w:pPr>
      <w:r>
        <w:rPr>
          <w:rFonts w:hint="eastAsia" w:ascii="宋体" w:hAnsi="宋体"/>
          <w:b/>
          <w:color w:val="auto"/>
          <w:sz w:val="52"/>
          <w:szCs w:val="52"/>
          <w:highlight w:val="none"/>
          <w:lang w:val="zh-CN"/>
        </w:rPr>
        <w:t>第五章用户需求书</w:t>
      </w:r>
    </w:p>
    <w:p>
      <w:pPr>
        <w:jc w:val="center"/>
        <w:rPr>
          <w:rFonts w:ascii="宋体" w:hAnsi="宋体"/>
          <w:b/>
          <w:color w:val="auto"/>
          <w:sz w:val="18"/>
          <w:szCs w:val="18"/>
          <w:highlight w:val="none"/>
          <w:lang w:val="zh-CN"/>
        </w:rPr>
      </w:pPr>
      <w:r>
        <w:rPr>
          <w:rFonts w:ascii="宋体" w:hAnsi="宋体"/>
          <w:b/>
          <w:color w:val="auto"/>
          <w:sz w:val="52"/>
          <w:szCs w:val="52"/>
          <w:highlight w:val="none"/>
          <w:lang w:val="zh-CN"/>
        </w:rPr>
        <w:t>目</w:t>
      </w:r>
      <w:r>
        <w:rPr>
          <w:rFonts w:hint="eastAsia" w:ascii="宋体" w:hAnsi="宋体"/>
          <w:b/>
          <w:color w:val="auto"/>
          <w:sz w:val="52"/>
          <w:szCs w:val="52"/>
          <w:highlight w:val="none"/>
          <w:lang w:val="zh-CN"/>
        </w:rPr>
        <w:t xml:space="preserve">  </w:t>
      </w:r>
      <w:r>
        <w:rPr>
          <w:rFonts w:ascii="宋体" w:hAnsi="宋体"/>
          <w:b/>
          <w:color w:val="auto"/>
          <w:sz w:val="52"/>
          <w:szCs w:val="52"/>
          <w:highlight w:val="none"/>
          <w:lang w:val="zh-CN"/>
        </w:rPr>
        <w:t>录</w:t>
      </w:r>
    </w:p>
    <w:p>
      <w:pPr>
        <w:rPr>
          <w:color w:val="auto"/>
          <w:highlight w:val="none"/>
          <w:lang w:val="zh-CN"/>
        </w:rPr>
      </w:pP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"_Toc478" </w:instrText>
      </w:r>
      <w:r>
        <w:rPr>
          <w:color w:val="auto"/>
          <w:highlight w:val="none"/>
        </w:rPr>
        <w:fldChar w:fldCharType="separate"/>
      </w:r>
      <w:r>
        <w:rPr>
          <w:rFonts w:hint="eastAsia"/>
          <w:color w:val="auto"/>
          <w:highlight w:val="none"/>
        </w:rPr>
        <w:t>一</w:t>
      </w:r>
      <w:r>
        <w:rPr>
          <w:rFonts w:hint="eastAsia"/>
          <w:color w:val="auto"/>
          <w:szCs w:val="28"/>
          <w:highlight w:val="none"/>
        </w:rPr>
        <w:t>、项目目标</w:t>
      </w:r>
      <w:r>
        <w:rPr>
          <w:color w:val="auto"/>
          <w:highlight w:val="none"/>
        </w:rPr>
        <w:tab/>
      </w:r>
      <w:r>
        <w:rPr>
          <w:rFonts w:hint="eastAsia"/>
          <w:color w:val="auto"/>
          <w:highlight w:val="none"/>
        </w:rPr>
        <w:t>3</w:t>
      </w:r>
      <w:r>
        <w:rPr>
          <w:rFonts w:hint="eastAsia"/>
          <w:color w:val="auto"/>
          <w:highlight w:val="none"/>
        </w:rPr>
        <w:fldChar w:fldCharType="end"/>
      </w: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"_Toc21442" </w:instrText>
      </w:r>
      <w:r>
        <w:rPr>
          <w:color w:val="auto"/>
          <w:highlight w:val="none"/>
        </w:rPr>
        <w:fldChar w:fldCharType="separate"/>
      </w:r>
      <w:r>
        <w:rPr>
          <w:rFonts w:hint="eastAsia"/>
          <w:color w:val="auto"/>
          <w:szCs w:val="28"/>
          <w:highlight w:val="none"/>
        </w:rPr>
        <w:t>二、项目依据及标准</w:t>
      </w:r>
      <w:r>
        <w:rPr>
          <w:color w:val="auto"/>
          <w:highlight w:val="none"/>
        </w:rPr>
        <w:tab/>
      </w:r>
      <w:r>
        <w:rPr>
          <w:rFonts w:hint="eastAsia"/>
          <w:color w:val="auto"/>
          <w:highlight w:val="none"/>
        </w:rPr>
        <w:t>3</w:t>
      </w:r>
      <w:r>
        <w:rPr>
          <w:rFonts w:hint="eastAsia"/>
          <w:color w:val="auto"/>
          <w:highlight w:val="none"/>
        </w:rPr>
        <w:fldChar w:fldCharType="end"/>
      </w: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"_Toc20551" </w:instrText>
      </w:r>
      <w:r>
        <w:rPr>
          <w:color w:val="auto"/>
          <w:highlight w:val="none"/>
        </w:rPr>
        <w:fldChar w:fldCharType="separate"/>
      </w:r>
      <w:r>
        <w:rPr>
          <w:rFonts w:hint="eastAsia"/>
          <w:color w:val="auto"/>
          <w:szCs w:val="28"/>
          <w:highlight w:val="none"/>
        </w:rPr>
        <w:t>三、项目内容及要求</w:t>
      </w:r>
      <w:r>
        <w:rPr>
          <w:color w:val="auto"/>
          <w:highlight w:val="none"/>
        </w:rPr>
        <w:tab/>
      </w:r>
      <w:r>
        <w:rPr>
          <w:color w:val="auto"/>
          <w:highlight w:val="none"/>
        </w:rPr>
        <w:fldChar w:fldCharType="begin"/>
      </w:r>
      <w:r>
        <w:rPr>
          <w:color w:val="auto"/>
          <w:highlight w:val="none"/>
        </w:rPr>
        <w:instrText xml:space="preserve"> PAGEREF _Toc20551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"_Toc2140" </w:instrText>
      </w:r>
      <w:r>
        <w:rPr>
          <w:color w:val="auto"/>
          <w:highlight w:val="none"/>
        </w:rPr>
        <w:fldChar w:fldCharType="separate"/>
      </w:r>
      <w:r>
        <w:rPr>
          <w:rFonts w:hint="eastAsia"/>
          <w:color w:val="auto"/>
          <w:szCs w:val="28"/>
          <w:highlight w:val="none"/>
        </w:rPr>
        <w:t>四、项目服务期限</w:t>
      </w:r>
      <w:r>
        <w:rPr>
          <w:color w:val="auto"/>
          <w:highlight w:val="none"/>
        </w:rPr>
        <w:tab/>
      </w:r>
      <w:r>
        <w:rPr>
          <w:rFonts w:hint="eastAsia"/>
          <w:color w:val="auto"/>
          <w:highlight w:val="none"/>
        </w:rPr>
        <w:t>6</w:t>
      </w:r>
      <w:r>
        <w:rPr>
          <w:rFonts w:hint="eastAsia"/>
          <w:color w:val="auto"/>
          <w:highlight w:val="none"/>
        </w:rPr>
        <w:fldChar w:fldCharType="end"/>
      </w:r>
    </w:p>
    <w:p>
      <w:pPr>
        <w:pStyle w:val="19"/>
        <w:tabs>
          <w:tab w:val="right" w:leader="dot" w:pos="9049"/>
        </w:tabs>
        <w:spacing w:line="500" w:lineRule="exact"/>
        <w:rPr>
          <w:color w:val="auto"/>
          <w:highlight w:val="none"/>
        </w:rPr>
      </w:pPr>
      <w:r>
        <w:rPr>
          <w:rFonts w:hint="eastAsia"/>
          <w:color w:val="auto"/>
          <w:highlight w:val="none"/>
        </w:rPr>
        <w:t>五、违约责任</w:t>
      </w:r>
      <w:r>
        <w:rPr>
          <w:color w:val="auto"/>
          <w:highlight w:val="none"/>
        </w:rPr>
        <w:tab/>
      </w:r>
      <w:r>
        <w:rPr>
          <w:rFonts w:hint="eastAsia"/>
          <w:color w:val="auto"/>
          <w:highlight w:val="none"/>
        </w:rPr>
        <w:t>6</w:t>
      </w:r>
    </w:p>
    <w:p>
      <w:pPr>
        <w:pStyle w:val="19"/>
        <w:tabs>
          <w:tab w:val="right" w:leader="dot" w:pos="9049"/>
        </w:tabs>
        <w:spacing w:line="500" w:lineRule="exact"/>
        <w:rPr>
          <w:color w:val="auto"/>
          <w:highlight w:val="none"/>
        </w:rPr>
      </w:pPr>
      <w:r>
        <w:rPr>
          <w:color w:val="auto"/>
          <w:highlight w:val="none"/>
        </w:rPr>
        <w:fldChar w:fldCharType="begin"/>
      </w:r>
      <w:r>
        <w:rPr>
          <w:color w:val="auto"/>
          <w:highlight w:val="none"/>
        </w:rPr>
        <w:instrText xml:space="preserve"> HYPERLINK \l "_Toc28589" </w:instrText>
      </w:r>
      <w:r>
        <w:rPr>
          <w:color w:val="auto"/>
          <w:highlight w:val="none"/>
        </w:rPr>
        <w:fldChar w:fldCharType="separate"/>
      </w:r>
      <w:r>
        <w:rPr>
          <w:rFonts w:hint="eastAsia"/>
          <w:color w:val="auto"/>
          <w:highlight w:val="none"/>
        </w:rPr>
        <w:t>六</w:t>
      </w:r>
      <w:r>
        <w:rPr>
          <w:rFonts w:hint="eastAsia"/>
          <w:color w:val="auto"/>
          <w:szCs w:val="28"/>
          <w:highlight w:val="none"/>
        </w:rPr>
        <w:t>、人员要求</w:t>
      </w:r>
      <w:r>
        <w:rPr>
          <w:color w:val="auto"/>
          <w:highlight w:val="none"/>
        </w:rPr>
        <w:tab/>
      </w:r>
      <w:r>
        <w:rPr>
          <w:color w:val="auto"/>
          <w:highlight w:val="none"/>
        </w:rPr>
        <w:fldChar w:fldCharType="begin"/>
      </w:r>
      <w:r>
        <w:rPr>
          <w:color w:val="auto"/>
          <w:highlight w:val="none"/>
        </w:rPr>
        <w:instrText xml:space="preserve"> PAGEREF _Toc28589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rPr>
          <w:color w:val="auto"/>
          <w:highlight w:val="none"/>
        </w:rPr>
      </w:pPr>
    </w:p>
    <w:p>
      <w:pPr>
        <w:pStyle w:val="2"/>
        <w:rPr>
          <w:color w:val="auto"/>
          <w:highlight w:val="none"/>
        </w:rPr>
        <w:sectPr>
          <w:footerReference r:id="rId7" w:type="default"/>
          <w:pgSz w:w="11906" w:h="16838"/>
          <w:pgMar w:top="1440" w:right="1800" w:bottom="1440" w:left="1800" w:header="851" w:footer="992" w:gutter="0"/>
          <w:cols w:space="425" w:num="1"/>
          <w:docGrid w:type="lines" w:linePitch="312" w:charSpace="0"/>
        </w:sectPr>
      </w:pPr>
    </w:p>
    <w:p>
      <w:pPr>
        <w:pStyle w:val="4"/>
        <w:spacing w:after="0"/>
        <w:rPr>
          <w:color w:val="auto"/>
          <w:highlight w:val="none"/>
        </w:rPr>
      </w:pPr>
      <w:bookmarkStart w:id="197" w:name="_Toc478"/>
      <w:r>
        <w:rPr>
          <w:rFonts w:hint="eastAsia"/>
          <w:color w:val="auto"/>
          <w:highlight w:val="none"/>
        </w:rPr>
        <w:t>一、项目目标</w:t>
      </w:r>
      <w:bookmarkEnd w:id="197"/>
    </w:p>
    <w:p>
      <w:pPr>
        <w:pStyle w:val="4"/>
        <w:keepNext w:val="0"/>
        <w:keepLines w:val="0"/>
        <w:pageBreakBefore w:val="0"/>
        <w:widowControl/>
        <w:kinsoku/>
        <w:wordWrap/>
        <w:overflowPunct/>
        <w:topLinePunct w:val="0"/>
        <w:autoSpaceDE/>
        <w:autoSpaceDN/>
        <w:bidi w:val="0"/>
        <w:adjustRightInd/>
        <w:snapToGrid/>
        <w:spacing w:after="0" w:afterAutospacing="0" w:line="360" w:lineRule="auto"/>
        <w:ind w:left="0" w:leftChars="0" w:right="0" w:firstLine="420" w:firstLineChars="200"/>
        <w:jc w:val="left"/>
        <w:textAlignment w:val="auto"/>
        <w:rPr>
          <w:color w:val="auto"/>
          <w:szCs w:val="28"/>
          <w:highlight w:val="none"/>
        </w:rPr>
      </w:pPr>
      <w:r>
        <w:rPr>
          <w:rFonts w:hint="eastAsia" w:ascii="宋体" w:hAnsi="宋体" w:eastAsia="宋体" w:cs="仿宋"/>
          <w:b w:val="0"/>
          <w:bCs w:val="0"/>
          <w:color w:val="auto"/>
          <w:kern w:val="2"/>
          <w:sz w:val="21"/>
          <w:szCs w:val="21"/>
          <w:highlight w:val="none"/>
          <w:lang w:val="en-US" w:eastAsia="zh-CN" w:bidi="ar-SA"/>
        </w:rPr>
        <w:t>完成南宁轨道交通运营有限公司在生产和经营过程中产生</w:t>
      </w:r>
      <w:r>
        <w:rPr>
          <w:rFonts w:hint="eastAsia" w:ascii="宋体" w:hAnsi="宋体" w:cs="仿宋"/>
          <w:b w:val="0"/>
          <w:bCs w:val="0"/>
          <w:color w:val="auto"/>
          <w:kern w:val="2"/>
          <w:sz w:val="21"/>
          <w:szCs w:val="21"/>
          <w:highlight w:val="none"/>
          <w:lang w:val="en-US" w:eastAsia="zh-CN" w:bidi="ar-SA"/>
        </w:rPr>
        <w:t>普通固体废物</w:t>
      </w:r>
      <w:r>
        <w:rPr>
          <w:rFonts w:hint="eastAsia" w:ascii="宋体" w:hAnsi="宋体" w:eastAsia="宋体" w:cs="仿宋"/>
          <w:b w:val="0"/>
          <w:bCs w:val="0"/>
          <w:color w:val="auto"/>
          <w:kern w:val="2"/>
          <w:sz w:val="21"/>
          <w:szCs w:val="21"/>
          <w:highlight w:val="none"/>
          <w:lang w:val="en-US" w:eastAsia="zh-CN" w:bidi="ar-SA"/>
        </w:rPr>
        <w:t>的转运、处置。（合同签订后1个月内完成）</w:t>
      </w:r>
      <w:r>
        <w:rPr>
          <w:rFonts w:hint="eastAsia" w:ascii="宋体" w:hAnsi="宋体" w:eastAsia="宋体" w:cs="仿宋"/>
          <w:color w:val="auto"/>
          <w:kern w:val="2"/>
          <w:sz w:val="21"/>
          <w:szCs w:val="21"/>
          <w:highlight w:val="none"/>
          <w:lang w:val="en-US" w:eastAsia="zh-CN" w:bidi="ar-SA"/>
        </w:rPr>
        <w:br w:type="textWrapping"/>
      </w:r>
      <w:r>
        <w:rPr>
          <w:rFonts w:hint="eastAsia"/>
          <w:color w:val="auto"/>
          <w:highlight w:val="none"/>
        </w:rPr>
        <w:t>二、</w:t>
      </w:r>
      <w:r>
        <w:rPr>
          <w:rFonts w:hint="eastAsia"/>
          <w:color w:val="auto"/>
          <w:szCs w:val="28"/>
          <w:highlight w:val="none"/>
        </w:rPr>
        <w:t>项目依据及标准</w:t>
      </w:r>
    </w:p>
    <w:p>
      <w:pPr>
        <w:widowControl w:val="0"/>
        <w:numPr>
          <w:ilvl w:val="0"/>
          <w:numId w:val="12"/>
        </w:numPr>
        <w:autoSpaceDE w:val="0"/>
        <w:autoSpaceDN w:val="0"/>
        <w:adjustRightInd w:val="0"/>
        <w:spacing w:before="0" w:after="0" w:afterAutospacing="0"/>
        <w:ind w:left="0" w:right="0" w:firstLine="413" w:firstLineChars="196"/>
        <w:outlineLvl w:val="2"/>
        <w:rPr>
          <w:rFonts w:ascii="宋体" w:hAnsi="宋体" w:cs="仿宋"/>
          <w:b/>
          <w:bCs/>
          <w:color w:val="auto"/>
          <w:highlight w:val="none"/>
        </w:rPr>
      </w:pPr>
      <w:r>
        <w:rPr>
          <w:rFonts w:hint="eastAsia" w:ascii="宋体" w:hAnsi="宋体" w:cs="仿宋"/>
          <w:b/>
          <w:bCs/>
          <w:color w:val="auto"/>
          <w:highlight w:val="none"/>
        </w:rPr>
        <w:t>项目依据</w:t>
      </w:r>
    </w:p>
    <w:p>
      <w:pPr>
        <w:pStyle w:val="4"/>
        <w:spacing w:after="0" w:line="360" w:lineRule="auto"/>
        <w:ind w:firstLine="420" w:firstLineChars="200"/>
        <w:rPr>
          <w:color w:val="auto"/>
          <w:highlight w:val="none"/>
        </w:rPr>
      </w:pPr>
      <w:r>
        <w:rPr>
          <w:rFonts w:hint="eastAsia" w:asciiTheme="majorEastAsia" w:hAnsiTheme="majorEastAsia" w:eastAsiaTheme="majorEastAsia" w:cstheme="majorEastAsia"/>
          <w:b w:val="0"/>
          <w:color w:val="auto"/>
          <w:kern w:val="2"/>
          <w:sz w:val="21"/>
          <w:szCs w:val="21"/>
          <w:highlight w:val="none"/>
        </w:rPr>
        <w:t>南轨运营发〔2017〕486号关于印发《运营</w:t>
      </w:r>
      <w:r>
        <w:rPr>
          <w:rFonts w:hint="eastAsia" w:asciiTheme="majorEastAsia" w:hAnsiTheme="majorEastAsia" w:eastAsiaTheme="majorEastAsia" w:cstheme="majorEastAsia"/>
          <w:b w:val="0"/>
          <w:color w:val="auto"/>
          <w:kern w:val="2"/>
          <w:sz w:val="21"/>
          <w:szCs w:val="21"/>
          <w:highlight w:val="none"/>
          <w:lang w:val="en-US" w:eastAsia="zh-CN"/>
        </w:rPr>
        <w:t>有限</w:t>
      </w:r>
      <w:r>
        <w:rPr>
          <w:rFonts w:hint="eastAsia" w:asciiTheme="majorEastAsia" w:hAnsiTheme="majorEastAsia" w:eastAsiaTheme="majorEastAsia" w:cstheme="majorEastAsia"/>
          <w:b w:val="0"/>
          <w:color w:val="auto"/>
          <w:kern w:val="2"/>
          <w:sz w:val="21"/>
          <w:szCs w:val="21"/>
          <w:highlight w:val="none"/>
        </w:rPr>
        <w:t>公司危险废弃物资回收处置管理办法》</w:t>
      </w:r>
    </w:p>
    <w:p>
      <w:pPr>
        <w:widowControl w:val="0"/>
        <w:numPr>
          <w:ilvl w:val="0"/>
          <w:numId w:val="12"/>
        </w:numPr>
        <w:autoSpaceDE w:val="0"/>
        <w:autoSpaceDN w:val="0"/>
        <w:adjustRightInd w:val="0"/>
        <w:spacing w:before="0" w:after="0" w:afterAutospacing="0"/>
        <w:ind w:left="0" w:right="0" w:firstLine="413" w:firstLineChars="196"/>
        <w:outlineLvl w:val="2"/>
        <w:rPr>
          <w:rFonts w:ascii="宋体" w:hAnsi="宋体" w:cs="仿宋"/>
          <w:b/>
          <w:bCs/>
          <w:color w:val="auto"/>
          <w:highlight w:val="none"/>
        </w:rPr>
      </w:pPr>
      <w:r>
        <w:rPr>
          <w:rFonts w:hint="eastAsia" w:ascii="宋体" w:hAnsi="宋体" w:cs="仿宋"/>
          <w:b/>
          <w:bCs/>
          <w:color w:val="auto"/>
          <w:highlight w:val="none"/>
        </w:rPr>
        <w:t>本项目实施须符合标准及规范包括但不限于以下标准：</w:t>
      </w:r>
    </w:p>
    <w:p>
      <w:pPr>
        <w:ind w:firstLine="420" w:firstLineChars="200"/>
        <w:jc w:val="left"/>
        <w:rPr>
          <w:rFonts w:ascii="宋体" w:hAnsi="宋体"/>
          <w:color w:val="auto"/>
          <w:highlight w:val="none"/>
        </w:rPr>
      </w:pPr>
      <w:r>
        <w:rPr>
          <w:rFonts w:hint="eastAsia" w:ascii="宋体" w:hAnsi="宋体"/>
          <w:color w:val="auto"/>
          <w:highlight w:val="none"/>
        </w:rPr>
        <w:t>《废旧物资管理规定》</w:t>
      </w:r>
    </w:p>
    <w:p>
      <w:pPr>
        <w:ind w:firstLine="420" w:firstLineChars="200"/>
        <w:jc w:val="left"/>
        <w:rPr>
          <w:rFonts w:ascii="宋体" w:hAnsi="宋体"/>
          <w:color w:val="auto"/>
          <w:highlight w:val="none"/>
        </w:rPr>
      </w:pPr>
      <w:r>
        <w:rPr>
          <w:rFonts w:hint="eastAsia" w:ascii="宋体" w:hAnsi="宋体"/>
          <w:color w:val="auto"/>
          <w:highlight w:val="none"/>
        </w:rPr>
        <w:t>《中华人民共和国固体废物污染环境防治法》</w:t>
      </w:r>
    </w:p>
    <w:p>
      <w:pPr>
        <w:ind w:firstLine="420" w:firstLineChars="200"/>
        <w:jc w:val="left"/>
        <w:rPr>
          <w:rFonts w:ascii="宋体" w:hAnsi="宋体"/>
          <w:color w:val="auto"/>
          <w:highlight w:val="none"/>
        </w:rPr>
      </w:pPr>
      <w:r>
        <w:rPr>
          <w:rFonts w:hint="eastAsia" w:ascii="宋体" w:hAnsi="宋体"/>
          <w:color w:val="auto"/>
          <w:highlight w:val="none"/>
        </w:rPr>
        <w:t>《中华人民共和国环境保护法》</w:t>
      </w:r>
    </w:p>
    <w:p>
      <w:pPr>
        <w:ind w:firstLine="420" w:firstLineChars="200"/>
        <w:jc w:val="left"/>
        <w:rPr>
          <w:rFonts w:ascii="宋体" w:hAnsi="宋体"/>
          <w:color w:val="auto"/>
          <w:highlight w:val="none"/>
        </w:rPr>
      </w:pPr>
      <w:r>
        <w:rPr>
          <w:rFonts w:hint="eastAsia" w:ascii="宋体" w:hAnsi="宋体"/>
          <w:color w:val="auto"/>
          <w:highlight w:val="none"/>
        </w:rPr>
        <w:t>《</w:t>
      </w:r>
      <w:r>
        <w:rPr>
          <w:rFonts w:ascii="宋体" w:hAnsi="宋体"/>
          <w:color w:val="auto"/>
          <w:highlight w:val="none"/>
        </w:rPr>
        <w:t>广西壮族自治区环境保护条例</w:t>
      </w:r>
      <w:r>
        <w:rPr>
          <w:rFonts w:hint="eastAsia" w:ascii="宋体" w:hAnsi="宋体"/>
          <w:color w:val="auto"/>
          <w:highlight w:val="none"/>
        </w:rPr>
        <w:t>》</w:t>
      </w:r>
    </w:p>
    <w:p>
      <w:pPr>
        <w:ind w:firstLine="420" w:firstLineChars="200"/>
        <w:jc w:val="left"/>
        <w:rPr>
          <w:color w:val="auto"/>
          <w:highlight w:val="none"/>
        </w:rPr>
      </w:pPr>
      <w:r>
        <w:rPr>
          <w:rFonts w:hint="eastAsia" w:ascii="宋体" w:hAnsi="宋体"/>
          <w:color w:val="auto"/>
          <w:highlight w:val="none"/>
        </w:rPr>
        <w:t>《广西壮族自治区固体废物污染环境防治条例》</w:t>
      </w:r>
    </w:p>
    <w:p>
      <w:pPr>
        <w:pStyle w:val="38"/>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国家的有关标准；</w:t>
      </w:r>
    </w:p>
    <w:p>
      <w:pPr>
        <w:pStyle w:val="38"/>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国际标准化组织（ISO）标准；</w:t>
      </w:r>
    </w:p>
    <w:p>
      <w:pPr>
        <w:pStyle w:val="38"/>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广西壮族自治区、南宁市有关地方法规、标准等。</w:t>
      </w:r>
      <w:bookmarkStart w:id="198" w:name="_Toc20551"/>
    </w:p>
    <w:p>
      <w:pPr>
        <w:pStyle w:val="4"/>
        <w:spacing w:after="0" w:line="360" w:lineRule="auto"/>
        <w:ind w:left="738" w:leftChars="15" w:hanging="707" w:hangingChars="160"/>
        <w:rPr>
          <w:color w:val="auto"/>
          <w:szCs w:val="28"/>
          <w:highlight w:val="none"/>
        </w:rPr>
      </w:pPr>
      <w:r>
        <w:rPr>
          <w:rFonts w:hint="eastAsia"/>
          <w:color w:val="auto"/>
          <w:highlight w:val="none"/>
        </w:rPr>
        <w:t>三、</w:t>
      </w:r>
      <w:r>
        <w:rPr>
          <w:rFonts w:hint="eastAsia"/>
          <w:color w:val="auto"/>
          <w:szCs w:val="28"/>
          <w:highlight w:val="none"/>
        </w:rPr>
        <w:t>项目内容及要求</w:t>
      </w:r>
    </w:p>
    <w:bookmarkEnd w:id="198"/>
    <w:p>
      <w:pPr>
        <w:ind w:left="0" w:firstLine="0"/>
        <w:rPr>
          <w:rFonts w:asciiTheme="minorEastAsia" w:hAnsiTheme="minorEastAsia" w:eastAsiaTheme="minorEastAsia" w:cstheme="minorEastAsia"/>
          <w:color w:val="auto"/>
          <w:highlight w:val="none"/>
        </w:rPr>
      </w:pPr>
      <w:r>
        <w:rPr>
          <w:rFonts w:hint="eastAsia"/>
          <w:color w:val="auto"/>
          <w:highlight w:val="none"/>
        </w:rPr>
        <w:t xml:space="preserve">  </w:t>
      </w:r>
      <w:r>
        <w:rPr>
          <w:rFonts w:hint="eastAsia" w:ascii="宋体" w:hAnsi="宋体" w:cs="楷体"/>
          <w:b/>
          <w:bCs/>
          <w:color w:val="auto"/>
          <w:highlight w:val="none"/>
        </w:rPr>
        <w:t>（一）项目内容</w:t>
      </w:r>
    </w:p>
    <w:p>
      <w:pPr>
        <w:widowControl w:val="0"/>
        <w:numPr>
          <w:ilvl w:val="0"/>
          <w:numId w:val="13"/>
        </w:numPr>
        <w:spacing w:before="0" w:after="0" w:afterAutospacing="0"/>
        <w:ind w:left="0" w:right="0" w:firstLine="420" w:firstLineChars="200"/>
        <w:rPr>
          <w:rFonts w:asciiTheme="majorEastAsia" w:hAnsiTheme="majorEastAsia" w:eastAsiaTheme="majorEastAsia" w:cstheme="majorEastAsia"/>
          <w:color w:val="auto"/>
          <w:highlight w:val="none"/>
        </w:rPr>
      </w:pPr>
      <w:r>
        <w:rPr>
          <w:rFonts w:hint="eastAsia"/>
          <w:color w:val="auto"/>
          <w:highlight w:val="none"/>
        </w:rPr>
        <w:t>对</w:t>
      </w:r>
      <w:r>
        <w:rPr>
          <w:rFonts w:hint="eastAsia" w:ascii="宋体" w:hAnsi="宋体" w:eastAsia="宋体" w:cs="宋体"/>
          <w:color w:val="auto"/>
          <w:kern w:val="0"/>
          <w:sz w:val="21"/>
          <w:szCs w:val="21"/>
          <w:highlight w:val="none"/>
          <w:lang w:eastAsia="zh-CN"/>
        </w:rPr>
        <w:t>南宁轨道交通运营有限公司</w:t>
      </w:r>
      <w:r>
        <w:rPr>
          <w:rFonts w:hint="eastAsia"/>
          <w:color w:val="auto"/>
          <w:highlight w:val="none"/>
        </w:rPr>
        <w:t>在生产和经营过程中产生的</w:t>
      </w:r>
      <w:r>
        <w:rPr>
          <w:rFonts w:hint="eastAsia"/>
          <w:color w:val="auto"/>
          <w:highlight w:val="none"/>
          <w:lang w:val="en-US" w:eastAsia="zh-CN"/>
        </w:rPr>
        <w:t>普通固体废旧物资</w:t>
      </w:r>
      <w:r>
        <w:rPr>
          <w:rFonts w:hint="eastAsia"/>
          <w:color w:val="auto"/>
          <w:highlight w:val="none"/>
        </w:rPr>
        <w:t>严格按国家相关法律规定进行</w:t>
      </w:r>
      <w:r>
        <w:rPr>
          <w:rFonts w:hint="eastAsia"/>
          <w:color w:val="auto"/>
          <w:highlight w:val="none"/>
          <w:lang w:val="en-US" w:eastAsia="zh-CN"/>
        </w:rPr>
        <w:t>出售、处置</w:t>
      </w:r>
      <w:r>
        <w:rPr>
          <w:rFonts w:hint="eastAsia" w:asciiTheme="majorEastAsia" w:hAnsiTheme="majorEastAsia" w:eastAsiaTheme="majorEastAsia" w:cstheme="majorEastAsia"/>
          <w:color w:val="auto"/>
          <w:highlight w:val="none"/>
        </w:rPr>
        <w:t>。</w:t>
      </w:r>
    </w:p>
    <w:p>
      <w:pPr>
        <w:widowControl w:val="0"/>
        <w:numPr>
          <w:ilvl w:val="0"/>
          <w:numId w:val="13"/>
        </w:numPr>
        <w:spacing w:before="0" w:after="0" w:afterAutospacing="0"/>
        <w:ind w:left="0" w:right="0"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项目地点：</w:t>
      </w:r>
      <w:r>
        <w:rPr>
          <w:rFonts w:hint="eastAsia" w:asciiTheme="majorEastAsia" w:hAnsiTheme="majorEastAsia" w:eastAsiaTheme="majorEastAsia" w:cstheme="majorEastAsia"/>
          <w:color w:val="auto"/>
          <w:kern w:val="0"/>
          <w:sz w:val="21"/>
          <w:szCs w:val="21"/>
          <w:highlight w:val="none"/>
          <w:lang w:eastAsia="zh-CN"/>
        </w:rPr>
        <w:t>南宁轨道交通运营有限公司</w:t>
      </w:r>
      <w:r>
        <w:rPr>
          <w:rFonts w:hint="eastAsia" w:asciiTheme="majorEastAsia" w:hAnsiTheme="majorEastAsia" w:eastAsiaTheme="majorEastAsia" w:cstheme="majorEastAsia"/>
          <w:color w:val="auto"/>
          <w:kern w:val="0"/>
          <w:sz w:val="21"/>
          <w:szCs w:val="21"/>
          <w:highlight w:val="none"/>
        </w:rPr>
        <w:t>各车辆段、</w:t>
      </w:r>
      <w:r>
        <w:rPr>
          <w:rFonts w:hint="eastAsia" w:asciiTheme="majorEastAsia" w:hAnsiTheme="majorEastAsia" w:eastAsiaTheme="majorEastAsia" w:cstheme="majorEastAsia"/>
          <w:color w:val="auto"/>
          <w:kern w:val="0"/>
          <w:sz w:val="21"/>
          <w:szCs w:val="21"/>
          <w:highlight w:val="none"/>
          <w:lang w:val="en-US" w:eastAsia="zh-CN"/>
        </w:rPr>
        <w:t>堆场</w:t>
      </w:r>
      <w:r>
        <w:rPr>
          <w:rFonts w:hint="eastAsia" w:asciiTheme="majorEastAsia" w:hAnsiTheme="majorEastAsia" w:eastAsiaTheme="majorEastAsia" w:cstheme="majorEastAsia"/>
          <w:color w:val="auto"/>
          <w:kern w:val="0"/>
          <w:sz w:val="21"/>
          <w:szCs w:val="21"/>
          <w:highlight w:val="none"/>
        </w:rPr>
        <w:t>以及其它指定的暂存</w:t>
      </w:r>
      <w:r>
        <w:rPr>
          <w:rFonts w:hint="eastAsia" w:asciiTheme="majorEastAsia" w:hAnsiTheme="majorEastAsia" w:eastAsiaTheme="majorEastAsia" w:cstheme="majorEastAsia"/>
          <w:color w:val="auto"/>
          <w:kern w:val="0"/>
          <w:sz w:val="21"/>
          <w:szCs w:val="21"/>
          <w:highlight w:val="none"/>
          <w:lang w:val="en-US" w:eastAsia="zh-CN"/>
        </w:rPr>
        <w:t>废旧物资材料</w:t>
      </w:r>
      <w:r>
        <w:rPr>
          <w:rFonts w:hint="eastAsia" w:asciiTheme="majorEastAsia" w:hAnsiTheme="majorEastAsia" w:eastAsiaTheme="majorEastAsia" w:cstheme="majorEastAsia"/>
          <w:color w:val="auto"/>
          <w:kern w:val="0"/>
          <w:sz w:val="21"/>
          <w:szCs w:val="21"/>
          <w:highlight w:val="none"/>
        </w:rPr>
        <w:t>的所有点位</w:t>
      </w:r>
      <w:r>
        <w:rPr>
          <w:rFonts w:hint="eastAsia" w:asciiTheme="majorEastAsia" w:hAnsiTheme="majorEastAsia" w:eastAsiaTheme="majorEastAsia" w:cstheme="majorEastAsia"/>
          <w:color w:val="auto"/>
          <w:highlight w:val="none"/>
        </w:rPr>
        <w:t>。</w:t>
      </w:r>
    </w:p>
    <w:p>
      <w:pPr>
        <w:widowControl w:val="0"/>
        <w:numPr>
          <w:ilvl w:val="0"/>
          <w:numId w:val="13"/>
        </w:numPr>
        <w:spacing w:before="0" w:after="0" w:afterAutospacing="0"/>
        <w:ind w:left="0" w:right="0" w:firstLine="420" w:firstLineChars="200"/>
        <w:rPr>
          <w:rFonts w:ascii="宋体" w:hAnsi="宋体" w:cs="楷体"/>
          <w:b/>
          <w:bCs/>
          <w:color w:val="auto"/>
          <w:highlight w:val="none"/>
        </w:rPr>
      </w:pPr>
      <w:r>
        <w:rPr>
          <w:rFonts w:hint="eastAsia" w:asciiTheme="majorEastAsia" w:hAnsiTheme="majorEastAsia" w:eastAsiaTheme="majorEastAsia" w:cstheme="majorEastAsia"/>
          <w:color w:val="auto"/>
          <w:highlight w:val="none"/>
        </w:rPr>
        <w:t>项目明细：</w:t>
      </w:r>
      <w:r>
        <w:rPr>
          <w:rFonts w:hint="eastAsia" w:asciiTheme="minorEastAsia" w:hAnsiTheme="minorEastAsia" w:eastAsiaTheme="minorEastAsia" w:cstheme="minorEastAsia"/>
          <w:color w:val="auto"/>
          <w:highlight w:val="none"/>
        </w:rPr>
        <w:t>见《</w:t>
      </w:r>
      <w:r>
        <w:rPr>
          <w:rFonts w:hint="eastAsia" w:eastAsiaTheme="minorEastAsia"/>
          <w:color w:val="auto"/>
          <w:highlight w:val="none"/>
          <w:lang w:val="en-US" w:eastAsia="zh-CN"/>
        </w:rPr>
        <w:t>废铁屑</w:t>
      </w:r>
      <w:r>
        <w:rPr>
          <w:rFonts w:hint="eastAsia"/>
          <w:color w:val="auto"/>
          <w:highlight w:val="none"/>
        </w:rPr>
        <w:t>处置清单汇总表</w:t>
      </w:r>
      <w:r>
        <w:rPr>
          <w:rFonts w:hint="eastAsia" w:asciiTheme="minorEastAsia" w:hAnsiTheme="minorEastAsia" w:eastAsiaTheme="minorEastAsia" w:cstheme="minorEastAsia"/>
          <w:color w:val="auto"/>
          <w:highlight w:val="none"/>
        </w:rPr>
        <w:t>》</w:t>
      </w:r>
      <w:r>
        <w:rPr>
          <w:rFonts w:hint="eastAsia"/>
          <w:color w:val="auto"/>
          <w:highlight w:val="none"/>
        </w:rPr>
        <w:t>。（详见附件1）</w:t>
      </w:r>
    </w:p>
    <w:p>
      <w:pPr>
        <w:pStyle w:val="38"/>
        <w:spacing w:before="156" w:beforeLines="50" w:line="400" w:lineRule="exact"/>
        <w:ind w:firstLine="0"/>
        <w:jc w:val="center"/>
        <w:rPr>
          <w:rFonts w:hint="eastAsia" w:asciiTheme="minorEastAsia" w:hAnsiTheme="minorEastAsia" w:eastAsiaTheme="minorEastAsia" w:cstheme="minorEastAsia"/>
          <w:color w:val="auto"/>
          <w:highlight w:val="none"/>
        </w:rPr>
      </w:pPr>
      <w:r>
        <w:rPr>
          <w:rFonts w:hint="eastAsia"/>
          <w:color w:val="auto"/>
          <w:highlight w:val="none"/>
          <w:lang w:val="en-US" w:eastAsia="zh-CN"/>
        </w:rPr>
        <w:t>废铁屑</w:t>
      </w:r>
      <w:r>
        <w:rPr>
          <w:rFonts w:hint="eastAsia"/>
          <w:color w:val="auto"/>
          <w:highlight w:val="none"/>
        </w:rPr>
        <w:t>处置清单汇总</w:t>
      </w:r>
      <w:r>
        <w:rPr>
          <w:rFonts w:hint="eastAsia" w:asciiTheme="minorEastAsia" w:hAnsiTheme="minorEastAsia" w:eastAsiaTheme="minorEastAsia" w:cstheme="minorEastAsia"/>
          <w:color w:val="auto"/>
          <w:highlight w:val="none"/>
        </w:rPr>
        <w:t>表</w:t>
      </w:r>
    </w:p>
    <w:tbl>
      <w:tblPr>
        <w:tblStyle w:val="29"/>
        <w:tblW w:w="9658" w:type="dxa"/>
        <w:tblInd w:w="-15" w:type="dxa"/>
        <w:tblLayout w:type="fixed"/>
        <w:tblCellMar>
          <w:top w:w="0" w:type="dxa"/>
          <w:left w:w="0" w:type="dxa"/>
          <w:bottom w:w="0" w:type="dxa"/>
          <w:right w:w="0" w:type="dxa"/>
        </w:tblCellMar>
      </w:tblPr>
      <w:tblGrid>
        <w:gridCol w:w="1198"/>
        <w:gridCol w:w="2175"/>
        <w:gridCol w:w="2145"/>
        <w:gridCol w:w="4140"/>
      </w:tblGrid>
      <w:tr>
        <w:tblPrEx>
          <w:tblCellMar>
            <w:top w:w="0" w:type="dxa"/>
            <w:left w:w="0" w:type="dxa"/>
            <w:bottom w:w="0" w:type="dxa"/>
            <w:right w:w="0" w:type="dxa"/>
          </w:tblCellMar>
        </w:tblPrEx>
        <w:trPr>
          <w:trHeight w:val="595"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线路</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回收服务内容</w:t>
            </w:r>
          </w:p>
        </w:tc>
        <w:tc>
          <w:tcPr>
            <w:tcW w:w="4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预估数量（</w:t>
            </w:r>
            <w:r>
              <w:rPr>
                <w:rFonts w:hint="eastAsia" w:ascii="宋体" w:hAnsi="宋体" w:cs="宋体"/>
                <w:i w:val="0"/>
                <w:color w:val="auto"/>
                <w:kern w:val="0"/>
                <w:sz w:val="21"/>
                <w:szCs w:val="21"/>
                <w:highlight w:val="none"/>
                <w:u w:val="none"/>
                <w:lang w:val="en-US" w:eastAsia="zh-CN" w:bidi="ar"/>
              </w:rPr>
              <w:t>公斤</w:t>
            </w:r>
            <w:r>
              <w:rPr>
                <w:rFonts w:hint="eastAsia" w:ascii="宋体" w:hAnsi="宋体" w:eastAsia="宋体" w:cs="宋体"/>
                <w:i w:val="0"/>
                <w:color w:val="auto"/>
                <w:kern w:val="0"/>
                <w:sz w:val="21"/>
                <w:szCs w:val="21"/>
                <w:highlight w:val="none"/>
                <w:u w:val="none"/>
                <w:lang w:val="en-US" w:eastAsia="zh-CN" w:bidi="ar"/>
              </w:rPr>
              <w:t>）</w:t>
            </w:r>
          </w:p>
        </w:tc>
      </w:tr>
      <w:tr>
        <w:tblPrEx>
          <w:tblCellMar>
            <w:top w:w="0" w:type="dxa"/>
            <w:left w:w="0" w:type="dxa"/>
            <w:bottom w:w="0" w:type="dxa"/>
            <w:right w:w="0" w:type="dxa"/>
          </w:tblCellMar>
        </w:tblPrEx>
        <w:trPr>
          <w:trHeight w:val="883"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1号线</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废铁屑</w:t>
            </w:r>
          </w:p>
        </w:tc>
        <w:tc>
          <w:tcPr>
            <w:tcW w:w="4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709" w:leftChars="0" w:right="-27" w:rightChars="0" w:hanging="709"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3923.5</w:t>
            </w:r>
          </w:p>
        </w:tc>
      </w:tr>
      <w:tr>
        <w:tblPrEx>
          <w:tblCellMar>
            <w:top w:w="0" w:type="dxa"/>
            <w:left w:w="0" w:type="dxa"/>
            <w:bottom w:w="0" w:type="dxa"/>
            <w:right w:w="0" w:type="dxa"/>
          </w:tblCellMar>
        </w:tblPrEx>
        <w:trPr>
          <w:trHeight w:val="883"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2号线</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废铁屑</w:t>
            </w:r>
          </w:p>
        </w:tc>
        <w:tc>
          <w:tcPr>
            <w:tcW w:w="4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2870</w:t>
            </w:r>
          </w:p>
        </w:tc>
      </w:tr>
      <w:tr>
        <w:tblPrEx>
          <w:tblCellMar>
            <w:top w:w="0" w:type="dxa"/>
            <w:left w:w="0" w:type="dxa"/>
            <w:bottom w:w="0" w:type="dxa"/>
            <w:right w:w="0" w:type="dxa"/>
          </w:tblCellMar>
        </w:tblPrEx>
        <w:trPr>
          <w:trHeight w:val="883"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3号线</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废铁屑</w:t>
            </w:r>
          </w:p>
        </w:tc>
        <w:tc>
          <w:tcPr>
            <w:tcW w:w="4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2400</w:t>
            </w:r>
          </w:p>
        </w:tc>
      </w:tr>
      <w:tr>
        <w:tblPrEx>
          <w:tblCellMar>
            <w:top w:w="0" w:type="dxa"/>
            <w:left w:w="0" w:type="dxa"/>
            <w:bottom w:w="0" w:type="dxa"/>
            <w:right w:w="0" w:type="dxa"/>
          </w:tblCellMar>
        </w:tblPrEx>
        <w:trPr>
          <w:trHeight w:val="596" w:hRule="atLeast"/>
        </w:trPr>
        <w:tc>
          <w:tcPr>
            <w:tcW w:w="11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4号线</w:t>
            </w:r>
          </w:p>
        </w:tc>
        <w:tc>
          <w:tcPr>
            <w:tcW w:w="21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废铁屑</w:t>
            </w:r>
          </w:p>
        </w:tc>
        <w:tc>
          <w:tcPr>
            <w:tcW w:w="4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709" w:leftChars="0" w:right="-27" w:rightChars="0" w:hanging="709"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3938</w:t>
            </w:r>
          </w:p>
        </w:tc>
      </w:tr>
      <w:tr>
        <w:tblPrEx>
          <w:tblCellMar>
            <w:top w:w="0" w:type="dxa"/>
            <w:left w:w="0" w:type="dxa"/>
            <w:bottom w:w="0" w:type="dxa"/>
            <w:right w:w="0" w:type="dxa"/>
          </w:tblCellMar>
        </w:tblPrEx>
        <w:trPr>
          <w:trHeight w:val="595" w:hRule="atLeast"/>
        </w:trPr>
        <w:tc>
          <w:tcPr>
            <w:tcW w:w="5518"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41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highlight w:val="none"/>
                <w:u w:val="none"/>
              </w:rPr>
              <w:t>13131.5</w:t>
            </w:r>
          </w:p>
        </w:tc>
      </w:tr>
      <w:tr>
        <w:tblPrEx>
          <w:tblCellMar>
            <w:top w:w="0" w:type="dxa"/>
            <w:left w:w="0" w:type="dxa"/>
            <w:bottom w:w="0" w:type="dxa"/>
            <w:right w:w="0" w:type="dxa"/>
          </w:tblCellMar>
        </w:tblPrEx>
        <w:trPr>
          <w:trHeight w:val="42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备注</w:t>
            </w: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（1）废旧物资为有回收价值废物，处于报废状态，功能已缺失。</w:t>
            </w:r>
          </w:p>
        </w:tc>
      </w:tr>
      <w:tr>
        <w:tblPrEx>
          <w:tblCellMar>
            <w:top w:w="0" w:type="dxa"/>
            <w:left w:w="0" w:type="dxa"/>
            <w:bottom w:w="0" w:type="dxa"/>
            <w:right w:w="0" w:type="dxa"/>
          </w:tblCellMar>
        </w:tblPrEx>
        <w:trPr>
          <w:trHeight w:val="42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（2）因物资种类、数量较多，无法进行分类。</w:t>
            </w:r>
          </w:p>
        </w:tc>
      </w:tr>
      <w:tr>
        <w:tblPrEx>
          <w:tblCellMar>
            <w:top w:w="0" w:type="dxa"/>
            <w:left w:w="0" w:type="dxa"/>
            <w:bottom w:w="0" w:type="dxa"/>
            <w:right w:w="0" w:type="dxa"/>
          </w:tblCellMar>
        </w:tblPrEx>
        <w:trPr>
          <w:trHeight w:val="42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（3）明细详见附件1 ：现有固体废物清单明细（截止2022年3月已产生）。</w:t>
            </w:r>
          </w:p>
        </w:tc>
      </w:tr>
      <w:tr>
        <w:tblPrEx>
          <w:tblCellMar>
            <w:top w:w="0" w:type="dxa"/>
            <w:left w:w="0" w:type="dxa"/>
            <w:bottom w:w="0" w:type="dxa"/>
            <w:right w:w="0" w:type="dxa"/>
          </w:tblCellMar>
        </w:tblPrEx>
        <w:trPr>
          <w:trHeight w:val="457"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auto"/>
                <w:sz w:val="21"/>
                <w:szCs w:val="21"/>
                <w:highlight w:val="none"/>
                <w:u w:val="none"/>
              </w:rPr>
            </w:pP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（4）回收内容包括但不限于，数量为估算值仅作报价依据，最终按实际发生量结算。</w:t>
            </w:r>
          </w:p>
        </w:tc>
      </w:tr>
    </w:tbl>
    <w:p>
      <w:pPr>
        <w:pStyle w:val="38"/>
        <w:spacing w:before="156" w:beforeLines="50" w:line="400" w:lineRule="exact"/>
        <w:ind w:firstLine="0"/>
        <w:jc w:val="center"/>
        <w:rPr>
          <w:rFonts w:hint="eastAsia" w:asciiTheme="minorEastAsia" w:hAnsiTheme="minorEastAsia" w:eastAsiaTheme="minorEastAsia" w:cstheme="minorEastAsia"/>
          <w:color w:val="auto"/>
          <w:highlight w:val="none"/>
        </w:rPr>
      </w:pPr>
    </w:p>
    <w:p>
      <w:pPr>
        <w:rPr>
          <w:rFonts w:ascii="宋体" w:hAnsi="宋体" w:cs="楷体"/>
          <w:b/>
          <w:bCs/>
          <w:color w:val="auto"/>
          <w:highlight w:val="none"/>
        </w:rPr>
      </w:pPr>
      <w:r>
        <w:rPr>
          <w:rFonts w:hint="eastAsia" w:ascii="宋体" w:hAnsi="宋体" w:cs="楷体"/>
          <w:b/>
          <w:bCs/>
          <w:color w:val="auto"/>
          <w:highlight w:val="none"/>
        </w:rPr>
        <w:t>（二）项目要求</w:t>
      </w:r>
    </w:p>
    <w:p>
      <w:pPr>
        <w:autoSpaceDE w:val="0"/>
        <w:autoSpaceDN w:val="0"/>
        <w:adjustRightInd w:val="0"/>
        <w:ind w:left="708" w:hanging="708" w:hangingChars="336"/>
        <w:outlineLvl w:val="2"/>
        <w:rPr>
          <w:rFonts w:ascii="宋体" w:hAnsi="宋体" w:cs="仿宋"/>
          <w:b/>
          <w:bCs/>
          <w:color w:val="auto"/>
          <w:highlight w:val="none"/>
        </w:rPr>
      </w:pPr>
      <w:r>
        <w:rPr>
          <w:rFonts w:hint="eastAsia" w:ascii="宋体" w:hAnsi="宋体" w:cs="仿宋"/>
          <w:b/>
          <w:bCs/>
          <w:color w:val="auto"/>
          <w:highlight w:val="none"/>
        </w:rPr>
        <w:t>1、资质要求</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1）中国人民共和国境内注册独立法人，具有独立承担民事责任的能力、独立承担招标项目的能力和独立履行合同的能力，持有合法有效的企业法人营业执照、组织机构代码证或有市场监管部门（原工商部门）核发统一社会信用代码的营业执照，</w:t>
      </w:r>
      <w:r>
        <w:rPr>
          <w:rFonts w:hint="eastAsia"/>
          <w:color w:val="auto"/>
          <w:highlight w:val="none"/>
          <w:lang w:val="en-US" w:eastAsia="zh-CN"/>
        </w:rPr>
        <w:t>营业执照经营范围涵盖“废旧物资回收或金属回收”等相关内容，提供合格有效的法人营业执照及组织机构代码证（营业执照有加载统一社会信用代码的，无需提供组织机构代码证）</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（2）</w:t>
      </w:r>
      <w:r>
        <w:rPr>
          <w:rFonts w:hint="eastAsia"/>
          <w:color w:val="auto"/>
          <w:highlight w:val="none"/>
          <w:lang w:val="en-US" w:eastAsia="zh-CN"/>
        </w:rPr>
        <w:t>乙方</w:t>
      </w:r>
      <w:r>
        <w:rPr>
          <w:rFonts w:hint="eastAsia"/>
          <w:color w:val="auto"/>
          <w:highlight w:val="none"/>
        </w:rPr>
        <w:t>未处于被责令停业、投标资格被取消或财产被接管、冻结，破产状态；没有隐瞒，虚假，伪造等弄虚作假行为；本项目竞价公告发布前三年内不曾因其自身违约或不恰当履约引起经营合同终止、纠纷、争议、仲裁和诉讼；企业没有因骗取中标或严重违约等问题，被有关部门暂停投标资格并在暂停期内的。（供应商须出具相应承诺书并加盖供应商公章）</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（3）</w:t>
      </w:r>
      <w:r>
        <w:rPr>
          <w:rFonts w:hint="eastAsia"/>
          <w:color w:val="auto"/>
          <w:highlight w:val="none"/>
        </w:rPr>
        <w:t>本项目不允许联合体报价；母、子公司只允许一家公司参与报价；同一法人代表，只接受一家报价。供应商负责人为同一人或者存在控股、管理关系的不同单位，不得同时参加本项目报价</w:t>
      </w:r>
      <w:r>
        <w:rPr>
          <w:rFonts w:hint="eastAsia" w:ascii="宋体" w:hAnsi="宋体" w:cs="仿宋"/>
          <w:color w:val="auto"/>
          <w:szCs w:val="21"/>
          <w:highlight w:val="none"/>
          <w:lang w:val="en-US" w:eastAsia="zh-CN"/>
        </w:rPr>
        <w:t>。</w:t>
      </w:r>
    </w:p>
    <w:p>
      <w:pPr>
        <w:autoSpaceDE w:val="0"/>
        <w:autoSpaceDN w:val="0"/>
        <w:adjustRightInd w:val="0"/>
        <w:outlineLvl w:val="2"/>
        <w:rPr>
          <w:rFonts w:ascii="宋体" w:hAnsi="宋体" w:cs="仿宋"/>
          <w:b/>
          <w:bCs/>
          <w:color w:val="auto"/>
          <w:highlight w:val="none"/>
        </w:rPr>
      </w:pPr>
      <w:r>
        <w:rPr>
          <w:rFonts w:hint="eastAsia" w:ascii="宋体" w:hAnsi="宋体" w:cs="仿宋"/>
          <w:b/>
          <w:bCs/>
          <w:color w:val="auto"/>
          <w:highlight w:val="none"/>
        </w:rPr>
        <w:t>2、技术及服务要求</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（1）乙方需自备回收器具，并负责货物的包装、装卸、运输及委外过磅，承担其发生的一切费用，并负责清理现场（因提货发生的清洁卫生）。</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（2）承担本项目废旧物资转移、转运、处理与处置过程中产生的安全事故、环境污染事故、交通事故等一切责任和后果。</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（3）甲方交付货物后，不再承担任何质量问题及售后服务。</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（4）做好转移、转运、处理与处置过程中出现的应急污染防治救援预案。</w:t>
      </w:r>
    </w:p>
    <w:p>
      <w:pPr>
        <w:keepNext w:val="0"/>
        <w:keepLines w:val="0"/>
        <w:pageBreakBefore w:val="0"/>
        <w:widowControl/>
        <w:kinsoku/>
        <w:wordWrap/>
        <w:overflowPunct/>
        <w:topLinePunct w:val="0"/>
        <w:autoSpaceDE w:val="0"/>
        <w:autoSpaceDN w:val="0"/>
        <w:bidi w:val="0"/>
        <w:adjustRightInd w:val="0"/>
        <w:snapToGrid/>
        <w:spacing w:before="0"/>
        <w:ind w:right="0"/>
        <w:textAlignment w:val="auto"/>
        <w:outlineLvl w:val="2"/>
        <w:rPr>
          <w:rFonts w:ascii="宋体" w:hAnsi="宋体" w:cs="仿宋"/>
          <w:b/>
          <w:bCs/>
          <w:color w:val="auto"/>
          <w:highlight w:val="none"/>
        </w:rPr>
      </w:pPr>
      <w:r>
        <w:rPr>
          <w:rFonts w:hint="eastAsia" w:ascii="宋体" w:hAnsi="宋体" w:cs="仿宋"/>
          <w:b/>
          <w:bCs/>
          <w:color w:val="auto"/>
          <w:highlight w:val="none"/>
        </w:rPr>
        <w:t>3、项目实施方案</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（1）甲方提前 5 天通知，乙方在接到处置消息后7个工作日内需完成废旧物资的装卸、运输、过磅等处置工作。</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（2）待全部货物双方确认过磅后，乙方将货款支付给甲方，方可进行货物交付。</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（3）过磅事项：由甲方选择通过三方检测合格的台秤或地磅，过磅完成后，过磅单须双方签字确认。</w:t>
      </w:r>
    </w:p>
    <w:p>
      <w:pPr>
        <w:keepNext w:val="0"/>
        <w:keepLines w:val="0"/>
        <w:pageBreakBefore w:val="0"/>
        <w:widowControl/>
        <w:kinsoku/>
        <w:wordWrap/>
        <w:overflowPunct/>
        <w:topLinePunct w:val="0"/>
        <w:autoSpaceDE w:val="0"/>
        <w:autoSpaceDN w:val="0"/>
        <w:bidi w:val="0"/>
        <w:adjustRightInd w:val="0"/>
        <w:snapToGrid/>
        <w:spacing w:before="0" w:after="0" w:afterAutospacing="0"/>
        <w:ind w:right="0"/>
        <w:textAlignment w:val="auto"/>
        <w:outlineLvl w:val="2"/>
        <w:rPr>
          <w:rFonts w:ascii="宋体" w:hAnsi="宋体" w:cs="仿宋"/>
          <w:b/>
          <w:bCs/>
          <w:color w:val="auto"/>
          <w:highlight w:val="none"/>
        </w:rPr>
      </w:pPr>
      <w:r>
        <w:rPr>
          <w:rFonts w:hint="eastAsia" w:ascii="宋体" w:hAnsi="宋体" w:cs="仿宋"/>
          <w:b/>
          <w:bCs/>
          <w:color w:val="auto"/>
          <w:highlight w:val="none"/>
        </w:rPr>
        <w:t>4、质量保证</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（1）</w:t>
      </w:r>
      <w:r>
        <w:rPr>
          <w:rFonts w:hint="eastAsia"/>
          <w:color w:val="auto"/>
          <w:highlight w:val="none"/>
        </w:rPr>
        <w:t>保证每次</w:t>
      </w:r>
      <w:r>
        <w:rPr>
          <w:rFonts w:hint="eastAsia"/>
          <w:color w:val="auto"/>
          <w:highlight w:val="none"/>
          <w:lang w:val="en-US" w:eastAsia="zh-CN"/>
        </w:rPr>
        <w:t>废旧物资</w:t>
      </w:r>
      <w:r>
        <w:rPr>
          <w:rFonts w:hint="eastAsia"/>
          <w:color w:val="auto"/>
          <w:highlight w:val="none"/>
        </w:rPr>
        <w:t>装卸、运输</w:t>
      </w:r>
      <w:r>
        <w:rPr>
          <w:rFonts w:hint="eastAsia"/>
          <w:color w:val="auto"/>
          <w:highlight w:val="none"/>
          <w:lang w:eastAsia="zh-CN"/>
        </w:rPr>
        <w:t>、</w:t>
      </w:r>
      <w:r>
        <w:rPr>
          <w:rFonts w:hint="eastAsia"/>
          <w:color w:val="auto"/>
          <w:highlight w:val="none"/>
          <w:lang w:val="en-US" w:eastAsia="zh-CN"/>
        </w:rPr>
        <w:t>过磅等</w:t>
      </w:r>
      <w:r>
        <w:rPr>
          <w:rFonts w:hint="eastAsia"/>
          <w:color w:val="auto"/>
          <w:highlight w:val="none"/>
        </w:rPr>
        <w:t>工作的连贯与安全性，将各车辆段</w:t>
      </w:r>
      <w:r>
        <w:rPr>
          <w:rFonts w:hint="eastAsia"/>
          <w:color w:val="auto"/>
          <w:highlight w:val="none"/>
          <w:lang w:val="en-US" w:eastAsia="zh-CN"/>
        </w:rPr>
        <w:t>所有的废旧物资</w:t>
      </w:r>
      <w:r>
        <w:rPr>
          <w:rFonts w:hint="eastAsia"/>
          <w:color w:val="auto"/>
          <w:highlight w:val="none"/>
        </w:rPr>
        <w:t>一次性安全转移，现场需做好相关的准备工作，保证该次工作完成后不残留作业工器具</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（2）</w:t>
      </w:r>
      <w:r>
        <w:rPr>
          <w:rFonts w:hint="eastAsia"/>
          <w:color w:val="auto"/>
          <w:highlight w:val="none"/>
          <w:lang w:val="en-US" w:eastAsia="zh-CN"/>
        </w:rPr>
        <w:t>保证回收的安全帽等劳保防护用品不流入市场及赠与他人使用</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（3）</w:t>
      </w:r>
      <w:r>
        <w:rPr>
          <w:rFonts w:hint="eastAsia" w:eastAsia="宋体"/>
          <w:color w:val="auto"/>
          <w:highlight w:val="none"/>
          <w:lang w:val="en-US" w:eastAsia="zh-CN"/>
        </w:rPr>
        <w:t>保证去除或破坏废旧物资上带有与南宁轨道交通集团有限责任公司相关的LOGO标志</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（4）</w:t>
      </w:r>
      <w:r>
        <w:rPr>
          <w:rFonts w:hint="eastAsia"/>
          <w:color w:val="auto"/>
          <w:highlight w:val="none"/>
          <w:lang w:val="en-US" w:eastAsia="zh-CN"/>
        </w:rPr>
        <w:t>保证及时清理现场（因</w:t>
      </w:r>
      <w:r>
        <w:rPr>
          <w:rFonts w:hint="eastAsia"/>
          <w:color w:val="auto"/>
          <w:highlight w:val="none"/>
        </w:rPr>
        <w:t>转移、转运、处理与处置</w:t>
      </w:r>
      <w:r>
        <w:rPr>
          <w:rFonts w:hint="eastAsia"/>
          <w:color w:val="auto"/>
          <w:highlight w:val="none"/>
          <w:lang w:val="en-US" w:eastAsia="zh-CN"/>
        </w:rPr>
        <w:t>过程中发生的清洁卫生）。</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（5）搬运、处置过程中需做好劳动保护措施，按相关规定穿戴好劳保用品。</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color w:val="auto"/>
          <w:highlight w:val="none"/>
          <w:lang w:val="en-US" w:eastAsia="zh-CN"/>
        </w:rPr>
      </w:pP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6</w:t>
      </w:r>
      <w:r>
        <w:rPr>
          <w:rFonts w:hint="eastAsia" w:ascii="宋体" w:hAnsi="宋体" w:cs="仿宋"/>
          <w:color w:val="auto"/>
          <w:szCs w:val="21"/>
          <w:highlight w:val="none"/>
          <w:lang w:eastAsia="zh-CN"/>
        </w:rPr>
        <w:t>）</w:t>
      </w:r>
      <w:r>
        <w:rPr>
          <w:rFonts w:hint="eastAsia" w:ascii="宋体" w:hAnsi="宋体" w:cs="仿宋"/>
          <w:color w:val="auto"/>
          <w:szCs w:val="21"/>
          <w:highlight w:val="none"/>
          <w:lang w:val="en-US" w:eastAsia="zh-CN"/>
        </w:rPr>
        <w:t>入场人员</w:t>
      </w:r>
      <w:r>
        <w:rPr>
          <w:rFonts w:hint="eastAsia" w:ascii="宋体" w:hAnsi="宋体" w:cs="仿宋"/>
          <w:color w:val="auto"/>
          <w:szCs w:val="21"/>
          <w:highlight w:val="none"/>
        </w:rPr>
        <w:t>需做好</w:t>
      </w:r>
      <w:r>
        <w:rPr>
          <w:rFonts w:hint="eastAsia" w:ascii="宋体" w:hAnsi="宋体" w:cs="仿宋"/>
          <w:color w:val="auto"/>
          <w:szCs w:val="21"/>
          <w:highlight w:val="none"/>
          <w:lang w:val="en-US" w:eastAsia="zh-CN"/>
        </w:rPr>
        <w:t>防疫</w:t>
      </w:r>
      <w:r>
        <w:rPr>
          <w:rFonts w:hint="eastAsia" w:ascii="宋体" w:hAnsi="宋体" w:cs="仿宋"/>
          <w:color w:val="auto"/>
          <w:szCs w:val="21"/>
          <w:highlight w:val="none"/>
        </w:rPr>
        <w:t>措施</w:t>
      </w:r>
      <w:r>
        <w:rPr>
          <w:rFonts w:hint="eastAsia" w:ascii="宋体" w:hAnsi="宋体" w:cs="仿宋"/>
          <w:color w:val="auto"/>
          <w:szCs w:val="21"/>
          <w:highlight w:val="none"/>
          <w:lang w:val="en-US" w:eastAsia="zh-CN"/>
        </w:rPr>
        <w:t>，全程佩戴口罩。</w:t>
      </w:r>
    </w:p>
    <w:p>
      <w:pPr>
        <w:autoSpaceDE w:val="0"/>
        <w:autoSpaceDN w:val="0"/>
        <w:adjustRightInd w:val="0"/>
        <w:outlineLvl w:val="2"/>
        <w:rPr>
          <w:rFonts w:ascii="宋体" w:hAnsi="宋体" w:cs="仿宋"/>
          <w:b/>
          <w:bCs/>
          <w:color w:val="auto"/>
          <w:highlight w:val="none"/>
        </w:rPr>
      </w:pPr>
      <w:r>
        <w:rPr>
          <w:rFonts w:hint="eastAsia" w:ascii="宋体" w:hAnsi="宋体" w:cs="仿宋"/>
          <w:b/>
          <w:bCs/>
          <w:color w:val="auto"/>
          <w:highlight w:val="none"/>
        </w:rPr>
        <w:t>5、响应要求</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在接到甲方电话通知后，7个工作日内完成普通固体废物的转移、处置。</w:t>
      </w:r>
    </w:p>
    <w:p>
      <w:pPr>
        <w:autoSpaceDE w:val="0"/>
        <w:autoSpaceDN w:val="0"/>
        <w:adjustRightInd w:val="0"/>
        <w:outlineLvl w:val="2"/>
        <w:rPr>
          <w:rFonts w:ascii="宋体" w:hAnsi="宋体" w:cs="仿宋"/>
          <w:b/>
          <w:bCs/>
          <w:color w:val="auto"/>
          <w:highlight w:val="none"/>
        </w:rPr>
      </w:pPr>
      <w:r>
        <w:rPr>
          <w:rFonts w:hint="eastAsia" w:ascii="宋体" w:hAnsi="宋体" w:cs="仿宋"/>
          <w:b/>
          <w:bCs/>
          <w:color w:val="auto"/>
          <w:highlight w:val="none"/>
        </w:rPr>
        <w:t>6、其他事项</w:t>
      </w:r>
    </w:p>
    <w:p>
      <w:pPr>
        <w:ind w:firstLine="420" w:firstLineChars="200"/>
        <w:rPr>
          <w:rFonts w:ascii="宋体" w:hAnsi="宋体" w:cs="仿宋"/>
          <w:color w:val="auto"/>
          <w:highlight w:val="none"/>
        </w:rPr>
      </w:pPr>
      <w:r>
        <w:rPr>
          <w:rFonts w:hint="eastAsia" w:ascii="宋体" w:hAnsi="宋体" w:cs="仿宋"/>
          <w:color w:val="auto"/>
          <w:highlight w:val="none"/>
        </w:rPr>
        <w:t>为了能够综合、准确、合理报价，从本项目比选公告发起至本项目开标前一天，投标方可择期到现场考察，询价人具体联系人：刘烽，0771-2228292/18773166466,以便投标方结合实际的情况进行报价。</w:t>
      </w:r>
    </w:p>
    <w:p>
      <w:pPr>
        <w:pStyle w:val="2"/>
        <w:ind w:left="0" w:leftChars="0" w:firstLine="562"/>
        <w:rPr>
          <w:b/>
          <w:bCs/>
          <w:color w:val="auto"/>
          <w:kern w:val="44"/>
          <w:sz w:val="28"/>
          <w:szCs w:val="44"/>
          <w:highlight w:val="none"/>
        </w:rPr>
      </w:pPr>
      <w:r>
        <w:rPr>
          <w:rFonts w:hint="eastAsia"/>
          <w:b/>
          <w:bCs/>
          <w:color w:val="auto"/>
          <w:kern w:val="44"/>
          <w:sz w:val="28"/>
          <w:szCs w:val="44"/>
          <w:highlight w:val="none"/>
        </w:rPr>
        <w:t>四、项目服务期限</w:t>
      </w:r>
    </w:p>
    <w:p>
      <w:pPr>
        <w:pStyle w:val="2"/>
        <w:keepNext w:val="0"/>
        <w:keepLines w:val="0"/>
        <w:pageBreakBefore w:val="0"/>
        <w:widowControl/>
        <w:kinsoku/>
        <w:wordWrap/>
        <w:overflowPunct/>
        <w:topLinePunct w:val="0"/>
        <w:autoSpaceDE/>
        <w:autoSpaceDN/>
        <w:bidi w:val="0"/>
        <w:adjustRightInd/>
        <w:snapToGrid/>
        <w:spacing w:before="0" w:after="0" w:afterAutospacing="0"/>
        <w:ind w:left="0" w:leftChars="0" w:right="0"/>
        <w:textAlignment w:val="auto"/>
        <w:rPr>
          <w:rFonts w:hint="eastAsia" w:ascii="宋体" w:hAnsi="宋体" w:eastAsia="宋体" w:cs="仿宋"/>
          <w:color w:val="auto"/>
          <w:sz w:val="21"/>
          <w:szCs w:val="21"/>
          <w:highlight w:val="none"/>
          <w:lang w:val="en-US" w:eastAsia="zh-CN" w:bidi="ar-SA"/>
        </w:rPr>
      </w:pPr>
      <w:r>
        <w:rPr>
          <w:rFonts w:hint="eastAsia" w:ascii="宋体" w:hAnsi="宋体" w:eastAsia="宋体" w:cs="仿宋"/>
          <w:color w:val="auto"/>
          <w:sz w:val="21"/>
          <w:szCs w:val="21"/>
          <w:highlight w:val="none"/>
          <w:lang w:val="en-US" w:eastAsia="zh-CN" w:bidi="ar-SA"/>
        </w:rPr>
        <w:t>自合同签订之日起1年。</w:t>
      </w:r>
    </w:p>
    <w:p>
      <w:pPr>
        <w:pStyle w:val="2"/>
        <w:widowControl w:val="0"/>
        <w:numPr>
          <w:ilvl w:val="0"/>
          <w:numId w:val="14"/>
        </w:numPr>
        <w:autoSpaceDE w:val="0"/>
        <w:autoSpaceDN w:val="0"/>
        <w:spacing w:before="100" w:beforeAutospacing="1" w:after="100" w:line="240" w:lineRule="auto"/>
        <w:ind w:left="0" w:leftChars="0" w:right="0" w:firstLine="0" w:firstLineChars="0"/>
        <w:rPr>
          <w:b/>
          <w:bCs/>
          <w:color w:val="auto"/>
          <w:kern w:val="44"/>
          <w:sz w:val="28"/>
          <w:szCs w:val="44"/>
          <w:highlight w:val="none"/>
        </w:rPr>
      </w:pPr>
      <w:r>
        <w:rPr>
          <w:rFonts w:hint="eastAsia"/>
          <w:b/>
          <w:bCs/>
          <w:color w:val="auto"/>
          <w:kern w:val="44"/>
          <w:sz w:val="28"/>
          <w:szCs w:val="44"/>
          <w:highlight w:val="none"/>
        </w:rPr>
        <w:t>违约责任</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（1）</w:t>
      </w:r>
      <w:r>
        <w:rPr>
          <w:rFonts w:hint="eastAsia"/>
          <w:color w:val="auto"/>
          <w:highlight w:val="none"/>
          <w:lang w:val="en-US" w:eastAsia="zh-CN"/>
        </w:rPr>
        <w:t>若乙方未能按双方协商确定的交货时间提货或付款时间付款，甲方有权没收乙方交纳的履约保证金。且延迟超过两周，甲方有权对超过两周后的延期追索违约金，每天违约金金额为该合同货物总额的0.5‰，不足一天的按一天计算</w:t>
      </w:r>
      <w:r>
        <w:rPr>
          <w:rFonts w:hint="default"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（2）</w:t>
      </w:r>
      <w:r>
        <w:rPr>
          <w:rFonts w:hint="eastAsia"/>
          <w:color w:val="auto"/>
          <w:highlight w:val="none"/>
          <w:lang w:val="en-US" w:eastAsia="zh-CN"/>
        </w:rPr>
        <w:t>如果延迟是由于不可抗力事件造成，交货时间或付款时间可相应延长</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（3）</w:t>
      </w:r>
      <w:r>
        <w:rPr>
          <w:rFonts w:hint="eastAsia"/>
          <w:color w:val="auto"/>
          <w:highlight w:val="none"/>
          <w:lang w:val="en-US" w:eastAsia="zh-CN"/>
        </w:rPr>
        <w:t>如果乙方出现以下一种或几种不当行为，按本合同买卖双方约定的条款处理</w:t>
      </w:r>
      <w:r>
        <w:rPr>
          <w:rFonts w:hint="eastAsia"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default" w:ascii="宋体" w:hAnsi="宋体" w:cs="仿宋"/>
          <w:color w:val="auto"/>
          <w:szCs w:val="21"/>
          <w:highlight w:val="none"/>
          <w:lang w:val="en-US" w:eastAsia="zh-CN"/>
        </w:rPr>
      </w:pPr>
      <w:r>
        <w:rPr>
          <w:rFonts w:hint="eastAsia" w:ascii="宋体" w:hAnsi="宋体" w:cs="仿宋"/>
          <w:color w:val="auto"/>
          <w:szCs w:val="21"/>
          <w:highlight w:val="none"/>
          <w:lang w:val="en-US" w:eastAsia="zh-CN"/>
        </w:rPr>
        <w:t>（3.1）未经甲方同意，乙方拒不履行合同或部分不履行合同，甲方有权立即解除或部分解除本合同，乙方按解除部分合同金额的30‰向甲方支付违约金</w:t>
      </w:r>
      <w:r>
        <w:rPr>
          <w:rFonts w:hint="default" w:ascii="宋体" w:hAnsi="宋体" w:cs="仿宋"/>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lang w:val="en-US" w:eastAsia="zh-CN"/>
        </w:rPr>
      </w:pPr>
      <w:r>
        <w:rPr>
          <w:rFonts w:hint="eastAsia" w:ascii="宋体" w:hAnsi="宋体" w:cs="仿宋"/>
          <w:color w:val="auto"/>
          <w:szCs w:val="21"/>
          <w:highlight w:val="none"/>
          <w:lang w:val="en-US" w:eastAsia="zh-CN"/>
        </w:rPr>
        <w:t>（3.2）乙方在履约过程中对甲方的财产造成损害的，甲方有权终止本合同，乙方应向甲方赔偿。</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color w:val="auto"/>
          <w:highlight w:val="none"/>
        </w:rPr>
      </w:pPr>
      <w:r>
        <w:rPr>
          <w:rFonts w:hint="eastAsia" w:ascii="宋体" w:hAnsi="宋体" w:cs="仿宋"/>
          <w:color w:val="auto"/>
          <w:szCs w:val="21"/>
          <w:highlight w:val="none"/>
          <w:lang w:val="en-US" w:eastAsia="zh-CN"/>
        </w:rPr>
        <w:t>（3.3）一经发现带有与南宁轨道交通集团有限责任公司相关LOGO标志的废旧物资流入市场，甲方将追究相关法律责任。</w:t>
      </w:r>
    </w:p>
    <w:p>
      <w:pPr>
        <w:pStyle w:val="2"/>
        <w:widowControl w:val="0"/>
        <w:numPr>
          <w:ilvl w:val="0"/>
          <w:numId w:val="14"/>
        </w:numPr>
        <w:autoSpaceDE w:val="0"/>
        <w:autoSpaceDN w:val="0"/>
        <w:spacing w:before="100" w:beforeAutospacing="1" w:after="100" w:line="240" w:lineRule="auto"/>
        <w:ind w:left="0" w:leftChars="0" w:right="0" w:firstLine="0" w:firstLineChars="0"/>
        <w:rPr>
          <w:b/>
          <w:bCs/>
          <w:color w:val="auto"/>
          <w:kern w:val="44"/>
          <w:sz w:val="28"/>
          <w:szCs w:val="44"/>
          <w:highlight w:val="none"/>
        </w:rPr>
      </w:pPr>
      <w:bookmarkStart w:id="199" w:name="_Toc28589"/>
      <w:r>
        <w:rPr>
          <w:rFonts w:hint="eastAsia"/>
          <w:b/>
          <w:bCs/>
          <w:color w:val="auto"/>
          <w:kern w:val="44"/>
          <w:sz w:val="28"/>
          <w:szCs w:val="44"/>
          <w:highlight w:val="none"/>
        </w:rPr>
        <w:t>人员要求</w:t>
      </w:r>
      <w:bookmarkEnd w:id="199"/>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rPr>
      </w:pPr>
      <w:r>
        <w:rPr>
          <w:rFonts w:hint="eastAsia" w:asciiTheme="majorEastAsia" w:hAnsiTheme="majorEastAsia" w:eastAsiaTheme="majorEastAsia" w:cstheme="majorEastAsia"/>
          <w:color w:val="auto"/>
          <w:sz w:val="21"/>
          <w:szCs w:val="21"/>
          <w:highlight w:val="none"/>
          <w:lang w:val="en-US" w:eastAsia="zh-CN"/>
        </w:rPr>
        <w:t>在本项目</w:t>
      </w:r>
      <w:r>
        <w:rPr>
          <w:rFonts w:hint="eastAsia" w:ascii="宋体" w:hAnsi="宋体" w:cs="仿宋"/>
          <w:color w:val="auto"/>
          <w:szCs w:val="21"/>
          <w:highlight w:val="none"/>
          <w:lang w:val="en-US" w:eastAsia="zh-CN"/>
        </w:rPr>
        <w:t>执行期间</w:t>
      </w:r>
      <w:r>
        <w:rPr>
          <w:rFonts w:hint="eastAsia" w:asciiTheme="majorEastAsia" w:hAnsiTheme="majorEastAsia" w:eastAsiaTheme="majorEastAsia" w:cstheme="majorEastAsia"/>
          <w:color w:val="auto"/>
          <w:sz w:val="21"/>
          <w:szCs w:val="21"/>
          <w:highlight w:val="none"/>
          <w:lang w:val="en-US" w:eastAsia="zh-CN"/>
        </w:rPr>
        <w:t>，乙方须配置足够的项目人员，按甲方要求驻场，保障项目的进度要求和质量。必须配备但不限于下列人员∶</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cs="仿宋"/>
          <w:color w:val="auto"/>
          <w:szCs w:val="21"/>
          <w:highlight w:val="none"/>
        </w:rPr>
      </w:pPr>
      <w:r>
        <w:rPr>
          <w:rFonts w:hint="eastAsia" w:ascii="宋体" w:hAnsi="宋体" w:cs="仿宋"/>
          <w:color w:val="auto"/>
          <w:szCs w:val="21"/>
          <w:highlight w:val="none"/>
        </w:rPr>
        <w:t>（</w:t>
      </w:r>
      <w:r>
        <w:rPr>
          <w:rFonts w:hint="eastAsia" w:ascii="宋体" w:hAnsi="宋体" w:cs="仿宋"/>
          <w:color w:val="auto"/>
          <w:szCs w:val="21"/>
          <w:highlight w:val="none"/>
          <w:lang w:val="en-US" w:eastAsia="zh-CN"/>
        </w:rPr>
        <w:t>1</w:t>
      </w:r>
      <w:r>
        <w:rPr>
          <w:rFonts w:hint="eastAsia" w:ascii="宋体" w:hAnsi="宋体" w:cs="仿宋"/>
          <w:color w:val="auto"/>
          <w:szCs w:val="21"/>
          <w:highlight w:val="none"/>
        </w:rPr>
        <w:t>）项目负责人1名：负责与</w:t>
      </w:r>
      <w:r>
        <w:rPr>
          <w:rFonts w:hint="eastAsia" w:asciiTheme="majorEastAsia" w:hAnsiTheme="majorEastAsia" w:eastAsiaTheme="majorEastAsia" w:cstheme="majorEastAsia"/>
          <w:color w:val="auto"/>
          <w:sz w:val="21"/>
          <w:szCs w:val="21"/>
          <w:highlight w:val="none"/>
          <w:lang w:val="en-US" w:eastAsia="zh-CN"/>
        </w:rPr>
        <w:t>甲方</w:t>
      </w:r>
      <w:r>
        <w:rPr>
          <w:rFonts w:hint="eastAsia" w:ascii="宋体" w:hAnsi="宋体" w:cs="仿宋"/>
          <w:color w:val="auto"/>
          <w:szCs w:val="21"/>
          <w:highlight w:val="none"/>
        </w:rPr>
        <w:t>统筹对接，协调项目执行过程中出现各类问题。</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eastAsiaTheme="majorEastAsia"/>
          <w:color w:val="auto"/>
          <w:highlight w:val="none"/>
          <w:lang w:val="en-US" w:eastAsia="zh-CN"/>
        </w:rPr>
      </w:pPr>
      <w:r>
        <w:rPr>
          <w:rFonts w:hint="eastAsia" w:ascii="宋体" w:hAnsi="宋体" w:cs="仿宋"/>
          <w:color w:val="auto"/>
          <w:szCs w:val="21"/>
          <w:highlight w:val="none"/>
        </w:rPr>
        <w:t>（</w:t>
      </w:r>
      <w:r>
        <w:rPr>
          <w:rFonts w:hint="eastAsia" w:ascii="宋体" w:hAnsi="宋体" w:cs="仿宋"/>
          <w:color w:val="auto"/>
          <w:szCs w:val="21"/>
          <w:highlight w:val="none"/>
          <w:lang w:val="en-US" w:eastAsia="zh-CN"/>
        </w:rPr>
        <w:t>2</w:t>
      </w:r>
      <w:r>
        <w:rPr>
          <w:rFonts w:hint="eastAsia" w:ascii="宋体" w:hAnsi="宋体" w:cs="仿宋"/>
          <w:color w:val="auto"/>
          <w:szCs w:val="21"/>
          <w:highlight w:val="none"/>
        </w:rPr>
        <w:t>）项目执行人员不少于</w:t>
      </w:r>
      <w:r>
        <w:rPr>
          <w:rFonts w:hint="eastAsia" w:ascii="宋体" w:hAnsi="宋体" w:cs="仿宋"/>
          <w:color w:val="auto"/>
          <w:szCs w:val="21"/>
          <w:highlight w:val="none"/>
          <w:lang w:val="en-US" w:eastAsia="zh-CN"/>
        </w:rPr>
        <w:t>3</w:t>
      </w:r>
      <w:r>
        <w:rPr>
          <w:rFonts w:hint="eastAsia" w:ascii="宋体" w:hAnsi="宋体" w:cs="仿宋"/>
          <w:color w:val="auto"/>
          <w:szCs w:val="21"/>
          <w:highlight w:val="none"/>
        </w:rPr>
        <w:t>名：负责</w:t>
      </w:r>
      <w:r>
        <w:rPr>
          <w:rFonts w:hint="eastAsia" w:ascii="宋体" w:hAnsi="宋体" w:cs="仿宋"/>
          <w:color w:val="auto"/>
          <w:szCs w:val="21"/>
          <w:highlight w:val="none"/>
          <w:lang w:val="en-US" w:eastAsia="zh-CN"/>
        </w:rPr>
        <w:t>配合项目负责人</w:t>
      </w:r>
      <w:r>
        <w:rPr>
          <w:rFonts w:hint="eastAsia"/>
          <w:color w:val="auto"/>
          <w:highlight w:val="none"/>
        </w:rPr>
        <w:t>对对</w:t>
      </w:r>
      <w:r>
        <w:rPr>
          <w:rFonts w:hint="eastAsia" w:ascii="宋体" w:hAnsi="宋体" w:eastAsia="宋体" w:cs="宋体"/>
          <w:color w:val="auto"/>
          <w:kern w:val="0"/>
          <w:sz w:val="21"/>
          <w:szCs w:val="21"/>
          <w:highlight w:val="none"/>
          <w:lang w:eastAsia="zh-CN"/>
        </w:rPr>
        <w:t>南宁轨道交通运营有限公司</w:t>
      </w:r>
      <w:r>
        <w:rPr>
          <w:rFonts w:hint="eastAsia"/>
          <w:color w:val="auto"/>
          <w:highlight w:val="none"/>
        </w:rPr>
        <w:t>在生产和经营过程中产生的</w:t>
      </w:r>
      <w:r>
        <w:rPr>
          <w:rFonts w:hint="eastAsia"/>
          <w:color w:val="auto"/>
          <w:highlight w:val="none"/>
          <w:lang w:val="en-US" w:eastAsia="zh-CN"/>
        </w:rPr>
        <w:t>普通固体废旧物资</w:t>
      </w:r>
      <w:r>
        <w:rPr>
          <w:rFonts w:hint="eastAsia"/>
          <w:color w:val="auto"/>
          <w:highlight w:val="none"/>
        </w:rPr>
        <w:t>严格按国家相关法律规定进行</w:t>
      </w:r>
      <w:r>
        <w:rPr>
          <w:rFonts w:hint="eastAsia"/>
          <w:color w:val="auto"/>
          <w:highlight w:val="none"/>
          <w:lang w:val="en-US" w:eastAsia="zh-CN"/>
        </w:rPr>
        <w:t>出售、处置</w:t>
      </w:r>
      <w:r>
        <w:rPr>
          <w:rFonts w:hint="eastAsia" w:asciiTheme="majorEastAsia" w:hAnsiTheme="majorEastAsia" w:eastAsiaTheme="majorEastAsia" w:cstheme="majorEastAsia"/>
          <w:color w:val="auto"/>
          <w:sz w:val="21"/>
          <w:szCs w:val="21"/>
          <w:highlight w:val="none"/>
          <w:lang w:val="en-US" w:eastAsia="zh-CN"/>
        </w:rPr>
        <w:t>。</w:t>
      </w:r>
    </w:p>
    <w:p>
      <w:pPr>
        <w:pStyle w:val="2"/>
        <w:rPr>
          <w:color w:val="auto"/>
          <w:highlight w:val="none"/>
        </w:rPr>
        <w:sectPr>
          <w:pgSz w:w="11906" w:h="16838"/>
          <w:pgMar w:top="1440" w:right="1800" w:bottom="1440" w:left="1800" w:header="851" w:footer="992" w:gutter="0"/>
          <w:cols w:space="425" w:num="1"/>
          <w:docGrid w:type="lines" w:linePitch="312" w:charSpace="0"/>
        </w:sectPr>
      </w:pPr>
    </w:p>
    <w:p>
      <w:pPr>
        <w:rPr>
          <w:color w:val="auto"/>
          <w:highlight w:val="none"/>
        </w:rPr>
      </w:pPr>
      <w:r>
        <w:rPr>
          <w:rFonts w:hint="eastAsia"/>
          <w:color w:val="auto"/>
          <w:highlight w:val="none"/>
        </w:rPr>
        <w:t>附件1：</w:t>
      </w:r>
      <w:r>
        <w:rPr>
          <w:rFonts w:hint="eastAsia"/>
          <w:color w:val="auto"/>
          <w:highlight w:val="none"/>
          <w:lang w:val="en-US" w:eastAsia="zh-CN"/>
        </w:rPr>
        <w:t>废铁屑</w:t>
      </w:r>
      <w:r>
        <w:rPr>
          <w:rFonts w:hint="eastAsia"/>
          <w:color w:val="auto"/>
          <w:highlight w:val="none"/>
        </w:rPr>
        <w:t>危险废弃清单明细</w:t>
      </w:r>
    </w:p>
    <w:tbl>
      <w:tblPr>
        <w:tblStyle w:val="29"/>
        <w:tblW w:w="9455" w:type="dxa"/>
        <w:tblInd w:w="93" w:type="dxa"/>
        <w:tblLayout w:type="fixed"/>
        <w:tblCellMar>
          <w:top w:w="0" w:type="dxa"/>
          <w:left w:w="108" w:type="dxa"/>
          <w:bottom w:w="0" w:type="dxa"/>
          <w:right w:w="108" w:type="dxa"/>
        </w:tblCellMar>
      </w:tblPr>
      <w:tblGrid>
        <w:gridCol w:w="1193"/>
        <w:gridCol w:w="1193"/>
        <w:gridCol w:w="2651"/>
        <w:gridCol w:w="1000"/>
        <w:gridCol w:w="1648"/>
        <w:gridCol w:w="1770"/>
      </w:tblGrid>
      <w:tr>
        <w:tblPrEx>
          <w:tblCellMar>
            <w:top w:w="0" w:type="dxa"/>
            <w:left w:w="108" w:type="dxa"/>
            <w:bottom w:w="0" w:type="dxa"/>
            <w:right w:w="108" w:type="dxa"/>
          </w:tblCellMar>
        </w:tblPrEx>
        <w:trPr>
          <w:trHeight w:val="49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序号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线路</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物资名称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单位</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数量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22"/>
                <w:highlight w:val="none"/>
              </w:rPr>
            </w:pPr>
            <w:r>
              <w:rPr>
                <w:rFonts w:hint="eastAsia" w:ascii="宋体" w:hAnsi="宋体" w:cs="宋体"/>
                <w:b/>
                <w:bCs/>
                <w:color w:val="auto"/>
                <w:sz w:val="22"/>
                <w:highlight w:val="none"/>
                <w:lang w:bidi="ar"/>
              </w:rPr>
              <w:t>备注</w:t>
            </w:r>
          </w:p>
        </w:tc>
      </w:tr>
      <w:tr>
        <w:tblPrEx>
          <w:tblCellMar>
            <w:top w:w="0" w:type="dxa"/>
            <w:left w:w="108" w:type="dxa"/>
            <w:bottom w:w="0" w:type="dxa"/>
            <w:right w:w="108" w:type="dxa"/>
          </w:tblCellMar>
        </w:tblPrEx>
        <w:trPr>
          <w:trHeight w:val="3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1号线</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bidi="ar"/>
              </w:rPr>
              <w:t>废铁屑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公斤</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eastAsia="宋体" w:cs="宋体"/>
                <w:i w:val="0"/>
                <w:iCs w:val="0"/>
                <w:color w:val="auto"/>
                <w:kern w:val="0"/>
                <w:sz w:val="21"/>
                <w:szCs w:val="21"/>
                <w:highlight w:val="none"/>
                <w:u w:val="none"/>
                <w:lang w:val="en-US" w:eastAsia="zh-CN" w:bidi="ar"/>
              </w:rPr>
              <w:t>3923.5</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2</w:t>
            </w:r>
            <w:r>
              <w:rPr>
                <w:rFonts w:hint="eastAsia" w:ascii="宋体" w:hAnsi="宋体" w:cs="宋体"/>
                <w:color w:val="auto"/>
                <w:sz w:val="22"/>
                <w:highlight w:val="none"/>
                <w:lang w:bidi="ar"/>
              </w:rPr>
              <w:t>号线</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废铁屑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公斤</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auto"/>
                <w:sz w:val="22"/>
                <w:highlight w:val="none"/>
              </w:rPr>
            </w:pPr>
            <w:r>
              <w:rPr>
                <w:rFonts w:hint="eastAsia" w:ascii="宋体" w:hAnsi="宋体" w:eastAsia="宋体" w:cs="宋体"/>
                <w:i w:val="0"/>
                <w:iCs w:val="0"/>
                <w:color w:val="auto"/>
                <w:kern w:val="0"/>
                <w:sz w:val="21"/>
                <w:szCs w:val="21"/>
                <w:highlight w:val="none"/>
                <w:u w:val="none"/>
                <w:lang w:val="en-US" w:eastAsia="zh-CN" w:bidi="ar"/>
              </w:rPr>
              <w:t>2870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3</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3</w:t>
            </w:r>
            <w:r>
              <w:rPr>
                <w:rFonts w:hint="eastAsia" w:ascii="宋体" w:hAnsi="宋体" w:cs="宋体"/>
                <w:color w:val="auto"/>
                <w:sz w:val="22"/>
                <w:highlight w:val="none"/>
                <w:lang w:bidi="ar"/>
              </w:rPr>
              <w:t>号线</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废铁屑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公斤</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auto"/>
                <w:sz w:val="22"/>
                <w:highlight w:val="none"/>
              </w:rPr>
            </w:pPr>
            <w:r>
              <w:rPr>
                <w:rFonts w:hint="eastAsia" w:ascii="宋体" w:hAnsi="宋体" w:eastAsia="宋体" w:cs="宋体"/>
                <w:i w:val="0"/>
                <w:iCs w:val="0"/>
                <w:color w:val="auto"/>
                <w:kern w:val="0"/>
                <w:sz w:val="21"/>
                <w:szCs w:val="21"/>
                <w:highlight w:val="none"/>
                <w:u w:val="none"/>
                <w:lang w:val="en-US" w:eastAsia="zh-CN" w:bidi="ar"/>
              </w:rPr>
              <w:t>2400</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4</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4</w:t>
            </w:r>
            <w:r>
              <w:rPr>
                <w:rFonts w:hint="eastAsia" w:ascii="宋体" w:hAnsi="宋体" w:cs="宋体"/>
                <w:color w:val="auto"/>
                <w:sz w:val="22"/>
                <w:highlight w:val="none"/>
                <w:lang w:bidi="ar"/>
              </w:rPr>
              <w:t>号线</w:t>
            </w:r>
          </w:p>
        </w:tc>
        <w:tc>
          <w:tcPr>
            <w:tcW w:w="2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val="en-US" w:eastAsia="zh-CN" w:bidi="ar"/>
              </w:rPr>
              <w:t>废铁屑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kg</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eastAsia="宋体" w:cs="宋体"/>
                <w:i w:val="0"/>
                <w:iCs w:val="0"/>
                <w:color w:val="auto"/>
                <w:kern w:val="0"/>
                <w:sz w:val="21"/>
                <w:szCs w:val="21"/>
                <w:highlight w:val="none"/>
                <w:u w:val="none"/>
                <w:lang w:val="en-US" w:eastAsia="zh-CN" w:bidi="ar"/>
              </w:rPr>
              <w:t>3938</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46" w:hRule="atLeast"/>
        </w:trPr>
        <w:tc>
          <w:tcPr>
            <w:tcW w:w="94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22"/>
                <w:highlight w:val="none"/>
              </w:rPr>
            </w:pPr>
            <w:r>
              <w:rPr>
                <w:rFonts w:hint="eastAsia" w:ascii="宋体" w:hAnsi="宋体" w:cs="宋体"/>
                <w:color w:val="auto"/>
                <w:sz w:val="22"/>
                <w:highlight w:val="none"/>
                <w:lang w:bidi="ar"/>
              </w:rPr>
              <w:t>备注：现有</w:t>
            </w:r>
            <w:r>
              <w:rPr>
                <w:rFonts w:hint="eastAsia" w:ascii="宋体" w:hAnsi="宋体" w:cs="宋体"/>
                <w:color w:val="auto"/>
                <w:sz w:val="22"/>
                <w:highlight w:val="none"/>
                <w:lang w:val="en-US" w:eastAsia="zh-CN" w:bidi="ar"/>
              </w:rPr>
              <w:t>废铁屑</w:t>
            </w:r>
            <w:r>
              <w:rPr>
                <w:rFonts w:hint="eastAsia" w:ascii="宋体" w:hAnsi="宋体" w:cs="宋体"/>
                <w:color w:val="auto"/>
                <w:sz w:val="22"/>
                <w:highlight w:val="none"/>
                <w:lang w:bidi="ar"/>
              </w:rPr>
              <w:t>清单明细为估算数量，最终按实际发生量结算。</w:t>
            </w:r>
          </w:p>
        </w:tc>
      </w:tr>
    </w:tbl>
    <w:p>
      <w:pPr>
        <w:spacing w:before="0"/>
        <w:ind w:left="744" w:leftChars="17" w:right="-57" w:hanging="708" w:hangingChars="336"/>
        <w:rPr>
          <w:rFonts w:ascii="宋体" w:hAnsi="宋体"/>
          <w:b/>
          <w:color w:val="auto"/>
          <w:highlight w:val="none"/>
        </w:rPr>
        <w:sectPr>
          <w:headerReference r:id="rId8" w:type="default"/>
          <w:pgSz w:w="11905" w:h="16838"/>
          <w:pgMar w:top="1418" w:right="1418" w:bottom="1304" w:left="1418" w:header="454" w:footer="567" w:gutter="0"/>
          <w:cols w:space="720" w:num="1"/>
          <w:docGrid w:linePitch="312" w:charSpace="0"/>
        </w:sectPr>
      </w:pPr>
    </w:p>
    <w:p>
      <w:pPr>
        <w:pStyle w:val="13"/>
        <w:pageBreakBefore/>
        <w:ind w:left="0" w:right="-57" w:firstLine="0"/>
        <w:outlineLvl w:val="0"/>
        <w:rPr>
          <w:rStyle w:val="43"/>
          <w:rFonts w:ascii="宋体" w:hAnsi="宋体" w:eastAsia="宋体"/>
          <w:color w:val="auto"/>
          <w:highlight w:val="none"/>
        </w:rPr>
      </w:pPr>
    </w:p>
    <w:sectPr>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w:t>
    </w:r>
  </w:p>
  <w:p>
    <w:pPr>
      <w:pStyle w:val="1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F197E"/>
    <w:multiLevelType w:val="singleLevel"/>
    <w:tmpl w:val="98CF197E"/>
    <w:lvl w:ilvl="0" w:tentative="0">
      <w:start w:val="1"/>
      <w:numFmt w:val="decimal"/>
      <w:suff w:val="nothing"/>
      <w:lvlText w:val="（%1）"/>
      <w:lvlJc w:val="left"/>
      <w:rPr>
        <w:rFonts w:hint="default"/>
        <w:b w:val="0"/>
        <w:bCs w:val="0"/>
      </w:rPr>
    </w:lvl>
  </w:abstractNum>
  <w:abstractNum w:abstractNumId="1">
    <w:nsid w:val="FC7ADF42"/>
    <w:multiLevelType w:val="singleLevel"/>
    <w:tmpl w:val="FC7ADF42"/>
    <w:lvl w:ilvl="0" w:tentative="0">
      <w:start w:val="1"/>
      <w:numFmt w:val="decimal"/>
      <w:suff w:val="nothing"/>
      <w:lvlText w:val="%1、"/>
      <w:lvlJc w:val="left"/>
    </w:lvl>
  </w:abstractNum>
  <w:abstractNum w:abstractNumId="2">
    <w:nsid w:val="02F0E73D"/>
    <w:multiLevelType w:val="singleLevel"/>
    <w:tmpl w:val="02F0E73D"/>
    <w:lvl w:ilvl="0" w:tentative="0">
      <w:start w:val="5"/>
      <w:numFmt w:val="chineseCounting"/>
      <w:suff w:val="nothing"/>
      <w:lvlText w:val="%1、"/>
      <w:lvlJc w:val="left"/>
      <w:rPr>
        <w:rFonts w:hint="eastAsia"/>
      </w:rPr>
    </w:lvl>
  </w:abstractNum>
  <w:abstractNum w:abstractNumId="3">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36FC2807"/>
    <w:multiLevelType w:val="multilevel"/>
    <w:tmpl w:val="36FC2807"/>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378070BE"/>
    <w:multiLevelType w:val="multilevel"/>
    <w:tmpl w:val="378070BE"/>
    <w:lvl w:ilvl="0" w:tentative="0">
      <w:start w:val="1"/>
      <w:numFmt w:val="decimal"/>
      <w:lvlText w:val="%1."/>
      <w:lvlJc w:val="left"/>
      <w:pPr>
        <w:ind w:left="425" w:hanging="425"/>
      </w:pPr>
      <w:rPr>
        <w:rFonts w:ascii="黑体" w:hAnsi="黑体" w:eastAsia="黑体"/>
      </w:rPr>
    </w:lvl>
    <w:lvl w:ilvl="1" w:tentative="0">
      <w:start w:val="1"/>
      <w:numFmt w:val="decimal"/>
      <w:lvlText w:val="%1.%2."/>
      <w:lvlJc w:val="left"/>
      <w:pPr>
        <w:ind w:left="567" w:hanging="567"/>
      </w:pPr>
      <w:rPr>
        <w:rFonts w:asciiTheme="minorEastAsia" w:hAnsiTheme="minorEastAsia" w:eastAsiaTheme="minorEastAsia"/>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52FC44CD"/>
    <w:multiLevelType w:val="multilevel"/>
    <w:tmpl w:val="52FC44CD"/>
    <w:lvl w:ilvl="0" w:tentative="0">
      <w:start w:val="1"/>
      <w:numFmt w:val="decimal"/>
      <w:lvlText w:val="（%1）"/>
      <w:lvlJc w:val="left"/>
      <w:pPr>
        <w:ind w:left="1680" w:hanging="72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1">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7"/>
  </w:num>
  <w:num w:numId="2">
    <w:abstractNumId w:val="4"/>
  </w:num>
  <w:num w:numId="3">
    <w:abstractNumId w:val="6"/>
  </w:num>
  <w:num w:numId="4">
    <w:abstractNumId w:val="10"/>
  </w:num>
  <w:num w:numId="5">
    <w:abstractNumId w:val="13"/>
  </w:num>
  <w:num w:numId="6">
    <w:abstractNumId w:val="11"/>
  </w:num>
  <w:num w:numId="7">
    <w:abstractNumId w:val="3"/>
  </w:num>
  <w:num w:numId="8">
    <w:abstractNumId w:val="8"/>
  </w:num>
  <w:num w:numId="9">
    <w:abstractNumId w:val="12"/>
  </w:num>
  <w:num w:numId="10">
    <w:abstractNumId w:val="9"/>
  </w:num>
  <w:num w:numId="11">
    <w:abstractNumId w:val="5"/>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I0MjA2ODE2MDlkNzE0NjdkZGZhMDNmZTBhZmNkYjIifQ=="/>
  </w:docVars>
  <w:rsids>
    <w:rsidRoot w:val="00BA3124"/>
    <w:rsid w:val="000000F2"/>
    <w:rsid w:val="00000139"/>
    <w:rsid w:val="00001DD3"/>
    <w:rsid w:val="00002F0C"/>
    <w:rsid w:val="00003CE2"/>
    <w:rsid w:val="000045EA"/>
    <w:rsid w:val="00007C3F"/>
    <w:rsid w:val="00012D3D"/>
    <w:rsid w:val="000138F8"/>
    <w:rsid w:val="000143B4"/>
    <w:rsid w:val="000156A5"/>
    <w:rsid w:val="00015B06"/>
    <w:rsid w:val="00022F88"/>
    <w:rsid w:val="00030F30"/>
    <w:rsid w:val="00033074"/>
    <w:rsid w:val="00033DC2"/>
    <w:rsid w:val="0003642A"/>
    <w:rsid w:val="000428F8"/>
    <w:rsid w:val="000437E6"/>
    <w:rsid w:val="00043E88"/>
    <w:rsid w:val="00050898"/>
    <w:rsid w:val="0005200D"/>
    <w:rsid w:val="00061B21"/>
    <w:rsid w:val="000627F0"/>
    <w:rsid w:val="00063942"/>
    <w:rsid w:val="000643DB"/>
    <w:rsid w:val="000674D5"/>
    <w:rsid w:val="00070470"/>
    <w:rsid w:val="00074337"/>
    <w:rsid w:val="0008222E"/>
    <w:rsid w:val="000829F7"/>
    <w:rsid w:val="00087832"/>
    <w:rsid w:val="00092270"/>
    <w:rsid w:val="0009493E"/>
    <w:rsid w:val="00095B78"/>
    <w:rsid w:val="000A0870"/>
    <w:rsid w:val="000A167C"/>
    <w:rsid w:val="000A1767"/>
    <w:rsid w:val="000A3331"/>
    <w:rsid w:val="000A49C9"/>
    <w:rsid w:val="000B1739"/>
    <w:rsid w:val="000B34C7"/>
    <w:rsid w:val="000B5BA2"/>
    <w:rsid w:val="000C1668"/>
    <w:rsid w:val="000C1D2F"/>
    <w:rsid w:val="000C20C1"/>
    <w:rsid w:val="000C32A2"/>
    <w:rsid w:val="000C4529"/>
    <w:rsid w:val="000C47FF"/>
    <w:rsid w:val="000C53FF"/>
    <w:rsid w:val="000C56A1"/>
    <w:rsid w:val="000C61D1"/>
    <w:rsid w:val="000C68D6"/>
    <w:rsid w:val="000D1F2B"/>
    <w:rsid w:val="000D1F61"/>
    <w:rsid w:val="000D2B9F"/>
    <w:rsid w:val="000D3045"/>
    <w:rsid w:val="000E072A"/>
    <w:rsid w:val="000E163B"/>
    <w:rsid w:val="000E3B0A"/>
    <w:rsid w:val="000E7DA5"/>
    <w:rsid w:val="000F0357"/>
    <w:rsid w:val="000F56F5"/>
    <w:rsid w:val="000F5E28"/>
    <w:rsid w:val="000F6EB3"/>
    <w:rsid w:val="00100517"/>
    <w:rsid w:val="00100EE1"/>
    <w:rsid w:val="001023BE"/>
    <w:rsid w:val="00107359"/>
    <w:rsid w:val="0011106B"/>
    <w:rsid w:val="0011296C"/>
    <w:rsid w:val="001147FC"/>
    <w:rsid w:val="001207B4"/>
    <w:rsid w:val="00126F0A"/>
    <w:rsid w:val="00126FBA"/>
    <w:rsid w:val="001315CE"/>
    <w:rsid w:val="00133A8C"/>
    <w:rsid w:val="001345CE"/>
    <w:rsid w:val="00135B62"/>
    <w:rsid w:val="00135C49"/>
    <w:rsid w:val="00136FF6"/>
    <w:rsid w:val="0014012E"/>
    <w:rsid w:val="00141670"/>
    <w:rsid w:val="001445DC"/>
    <w:rsid w:val="001477B8"/>
    <w:rsid w:val="001515A6"/>
    <w:rsid w:val="001520D4"/>
    <w:rsid w:val="0015296D"/>
    <w:rsid w:val="00155FD4"/>
    <w:rsid w:val="00157047"/>
    <w:rsid w:val="00157417"/>
    <w:rsid w:val="00166739"/>
    <w:rsid w:val="0017175E"/>
    <w:rsid w:val="0017343E"/>
    <w:rsid w:val="001765EB"/>
    <w:rsid w:val="00176DB5"/>
    <w:rsid w:val="00180594"/>
    <w:rsid w:val="00183519"/>
    <w:rsid w:val="00185BEC"/>
    <w:rsid w:val="00186A28"/>
    <w:rsid w:val="0019584B"/>
    <w:rsid w:val="001A37D3"/>
    <w:rsid w:val="001A3FCA"/>
    <w:rsid w:val="001A498E"/>
    <w:rsid w:val="001A4AD0"/>
    <w:rsid w:val="001A4C1E"/>
    <w:rsid w:val="001B0893"/>
    <w:rsid w:val="001C0C03"/>
    <w:rsid w:val="001C0C50"/>
    <w:rsid w:val="001D76BA"/>
    <w:rsid w:val="001E0D82"/>
    <w:rsid w:val="001E0D93"/>
    <w:rsid w:val="001E1AE3"/>
    <w:rsid w:val="001E5985"/>
    <w:rsid w:val="001E5F4A"/>
    <w:rsid w:val="001F25B0"/>
    <w:rsid w:val="001F75EE"/>
    <w:rsid w:val="002002F0"/>
    <w:rsid w:val="002041A6"/>
    <w:rsid w:val="002065F4"/>
    <w:rsid w:val="00206D2E"/>
    <w:rsid w:val="00210D44"/>
    <w:rsid w:val="0021174F"/>
    <w:rsid w:val="00212AF9"/>
    <w:rsid w:val="0022176E"/>
    <w:rsid w:val="00226768"/>
    <w:rsid w:val="00226771"/>
    <w:rsid w:val="00226B2E"/>
    <w:rsid w:val="00226D0E"/>
    <w:rsid w:val="00227511"/>
    <w:rsid w:val="00235F1A"/>
    <w:rsid w:val="00237A98"/>
    <w:rsid w:val="0024287B"/>
    <w:rsid w:val="002441F7"/>
    <w:rsid w:val="0024741B"/>
    <w:rsid w:val="002579FA"/>
    <w:rsid w:val="00261C93"/>
    <w:rsid w:val="00265564"/>
    <w:rsid w:val="00272F80"/>
    <w:rsid w:val="0027764C"/>
    <w:rsid w:val="002802AA"/>
    <w:rsid w:val="00280E7F"/>
    <w:rsid w:val="0028366D"/>
    <w:rsid w:val="00292853"/>
    <w:rsid w:val="002937E0"/>
    <w:rsid w:val="002A20A0"/>
    <w:rsid w:val="002A23E1"/>
    <w:rsid w:val="002A7A9A"/>
    <w:rsid w:val="002B0F06"/>
    <w:rsid w:val="002B1394"/>
    <w:rsid w:val="002C556E"/>
    <w:rsid w:val="002C5B0F"/>
    <w:rsid w:val="002D23D9"/>
    <w:rsid w:val="002D2720"/>
    <w:rsid w:val="002D2931"/>
    <w:rsid w:val="002D42A6"/>
    <w:rsid w:val="002D6A78"/>
    <w:rsid w:val="002D6D0E"/>
    <w:rsid w:val="002D770F"/>
    <w:rsid w:val="002E18B0"/>
    <w:rsid w:val="002E190D"/>
    <w:rsid w:val="002E6BE3"/>
    <w:rsid w:val="002F2891"/>
    <w:rsid w:val="002F51BA"/>
    <w:rsid w:val="002F644F"/>
    <w:rsid w:val="003044E3"/>
    <w:rsid w:val="003149DC"/>
    <w:rsid w:val="003166B6"/>
    <w:rsid w:val="00316E03"/>
    <w:rsid w:val="003207F4"/>
    <w:rsid w:val="00320BB7"/>
    <w:rsid w:val="0033057A"/>
    <w:rsid w:val="00330D78"/>
    <w:rsid w:val="003310AB"/>
    <w:rsid w:val="00331888"/>
    <w:rsid w:val="003354EE"/>
    <w:rsid w:val="00337C6A"/>
    <w:rsid w:val="003464E7"/>
    <w:rsid w:val="00346D4B"/>
    <w:rsid w:val="00353318"/>
    <w:rsid w:val="00354E36"/>
    <w:rsid w:val="003568E4"/>
    <w:rsid w:val="00361313"/>
    <w:rsid w:val="00362BA0"/>
    <w:rsid w:val="003632A7"/>
    <w:rsid w:val="00365CC3"/>
    <w:rsid w:val="0036732D"/>
    <w:rsid w:val="003706A5"/>
    <w:rsid w:val="003712A4"/>
    <w:rsid w:val="00372BED"/>
    <w:rsid w:val="003756AE"/>
    <w:rsid w:val="003777EC"/>
    <w:rsid w:val="00380052"/>
    <w:rsid w:val="00382649"/>
    <w:rsid w:val="00383573"/>
    <w:rsid w:val="00393EBC"/>
    <w:rsid w:val="00395A23"/>
    <w:rsid w:val="003976F0"/>
    <w:rsid w:val="003A0C71"/>
    <w:rsid w:val="003A170B"/>
    <w:rsid w:val="003A286A"/>
    <w:rsid w:val="003A65CA"/>
    <w:rsid w:val="003A7CFD"/>
    <w:rsid w:val="003A7F1A"/>
    <w:rsid w:val="003B097F"/>
    <w:rsid w:val="003B1CF0"/>
    <w:rsid w:val="003B1DA8"/>
    <w:rsid w:val="003B2656"/>
    <w:rsid w:val="003B3099"/>
    <w:rsid w:val="003B43D3"/>
    <w:rsid w:val="003B5507"/>
    <w:rsid w:val="003B6BE9"/>
    <w:rsid w:val="003B7F1E"/>
    <w:rsid w:val="003C312A"/>
    <w:rsid w:val="003C3839"/>
    <w:rsid w:val="003C4653"/>
    <w:rsid w:val="003C786C"/>
    <w:rsid w:val="003C7E9B"/>
    <w:rsid w:val="003D0506"/>
    <w:rsid w:val="003D18D1"/>
    <w:rsid w:val="003D2CE1"/>
    <w:rsid w:val="003D3A75"/>
    <w:rsid w:val="003D6118"/>
    <w:rsid w:val="003E454F"/>
    <w:rsid w:val="003E6DFB"/>
    <w:rsid w:val="003E75AF"/>
    <w:rsid w:val="003F2270"/>
    <w:rsid w:val="003F36B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4428D"/>
    <w:rsid w:val="00450010"/>
    <w:rsid w:val="004518D2"/>
    <w:rsid w:val="0045479E"/>
    <w:rsid w:val="004558BD"/>
    <w:rsid w:val="00456F89"/>
    <w:rsid w:val="004608EF"/>
    <w:rsid w:val="00462418"/>
    <w:rsid w:val="004632AA"/>
    <w:rsid w:val="0046775D"/>
    <w:rsid w:val="00476FBE"/>
    <w:rsid w:val="00483264"/>
    <w:rsid w:val="004A0C16"/>
    <w:rsid w:val="004A0D30"/>
    <w:rsid w:val="004A4E0B"/>
    <w:rsid w:val="004A5227"/>
    <w:rsid w:val="004B1E96"/>
    <w:rsid w:val="004B508D"/>
    <w:rsid w:val="004B62C0"/>
    <w:rsid w:val="004B6350"/>
    <w:rsid w:val="004B6F1C"/>
    <w:rsid w:val="004C09AF"/>
    <w:rsid w:val="004C6241"/>
    <w:rsid w:val="004C7017"/>
    <w:rsid w:val="004D03B0"/>
    <w:rsid w:val="004D1018"/>
    <w:rsid w:val="004D449E"/>
    <w:rsid w:val="004D4C3A"/>
    <w:rsid w:val="004E12DE"/>
    <w:rsid w:val="004E49A5"/>
    <w:rsid w:val="004E6A35"/>
    <w:rsid w:val="004F148B"/>
    <w:rsid w:val="004F548D"/>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50392"/>
    <w:rsid w:val="005558E4"/>
    <w:rsid w:val="00562190"/>
    <w:rsid w:val="0056287E"/>
    <w:rsid w:val="00562E44"/>
    <w:rsid w:val="005648F8"/>
    <w:rsid w:val="00564C20"/>
    <w:rsid w:val="00565FD9"/>
    <w:rsid w:val="00571943"/>
    <w:rsid w:val="00571D43"/>
    <w:rsid w:val="00574C3B"/>
    <w:rsid w:val="00575AB8"/>
    <w:rsid w:val="0057690D"/>
    <w:rsid w:val="0058087F"/>
    <w:rsid w:val="00580DE0"/>
    <w:rsid w:val="00583A7E"/>
    <w:rsid w:val="00584C8B"/>
    <w:rsid w:val="00587B70"/>
    <w:rsid w:val="00590880"/>
    <w:rsid w:val="00591E6F"/>
    <w:rsid w:val="005A1A6A"/>
    <w:rsid w:val="005A2E67"/>
    <w:rsid w:val="005A5B47"/>
    <w:rsid w:val="005B01E0"/>
    <w:rsid w:val="005B2E43"/>
    <w:rsid w:val="005B3A69"/>
    <w:rsid w:val="005B439E"/>
    <w:rsid w:val="005B45C1"/>
    <w:rsid w:val="005C0AA6"/>
    <w:rsid w:val="005C5B0E"/>
    <w:rsid w:val="005D0BB2"/>
    <w:rsid w:val="005D30DE"/>
    <w:rsid w:val="005E5912"/>
    <w:rsid w:val="005F1167"/>
    <w:rsid w:val="005F2A05"/>
    <w:rsid w:val="005F2C46"/>
    <w:rsid w:val="005F57D6"/>
    <w:rsid w:val="005F5B89"/>
    <w:rsid w:val="00606397"/>
    <w:rsid w:val="00606B19"/>
    <w:rsid w:val="006173A4"/>
    <w:rsid w:val="00621A90"/>
    <w:rsid w:val="00622520"/>
    <w:rsid w:val="00622A7C"/>
    <w:rsid w:val="006279E7"/>
    <w:rsid w:val="0063318F"/>
    <w:rsid w:val="00634596"/>
    <w:rsid w:val="006403EC"/>
    <w:rsid w:val="0064043C"/>
    <w:rsid w:val="006425FA"/>
    <w:rsid w:val="00642B95"/>
    <w:rsid w:val="00643E35"/>
    <w:rsid w:val="00647559"/>
    <w:rsid w:val="006523EB"/>
    <w:rsid w:val="00653C14"/>
    <w:rsid w:val="0065460D"/>
    <w:rsid w:val="0065720F"/>
    <w:rsid w:val="00657269"/>
    <w:rsid w:val="0066001D"/>
    <w:rsid w:val="00661132"/>
    <w:rsid w:val="0066558F"/>
    <w:rsid w:val="006679DC"/>
    <w:rsid w:val="00670400"/>
    <w:rsid w:val="006724B7"/>
    <w:rsid w:val="00672716"/>
    <w:rsid w:val="00672F69"/>
    <w:rsid w:val="00677925"/>
    <w:rsid w:val="00677A8A"/>
    <w:rsid w:val="006922EC"/>
    <w:rsid w:val="00695EDE"/>
    <w:rsid w:val="00697D33"/>
    <w:rsid w:val="006A0229"/>
    <w:rsid w:val="006A0C9A"/>
    <w:rsid w:val="006A23E9"/>
    <w:rsid w:val="006A265B"/>
    <w:rsid w:val="006A2F07"/>
    <w:rsid w:val="006A4828"/>
    <w:rsid w:val="006A4D72"/>
    <w:rsid w:val="006A543A"/>
    <w:rsid w:val="006B6F3C"/>
    <w:rsid w:val="006B7B90"/>
    <w:rsid w:val="006C2D0C"/>
    <w:rsid w:val="006C4DC3"/>
    <w:rsid w:val="006C77CD"/>
    <w:rsid w:val="006D5947"/>
    <w:rsid w:val="006D59C9"/>
    <w:rsid w:val="006E1C8A"/>
    <w:rsid w:val="006E692B"/>
    <w:rsid w:val="006F3AB0"/>
    <w:rsid w:val="006F48AD"/>
    <w:rsid w:val="006F56A7"/>
    <w:rsid w:val="006F629E"/>
    <w:rsid w:val="007032FC"/>
    <w:rsid w:val="00703D29"/>
    <w:rsid w:val="00703F0B"/>
    <w:rsid w:val="007076B1"/>
    <w:rsid w:val="0071330B"/>
    <w:rsid w:val="00722F66"/>
    <w:rsid w:val="00722FCE"/>
    <w:rsid w:val="00724317"/>
    <w:rsid w:val="007258A2"/>
    <w:rsid w:val="00726DE8"/>
    <w:rsid w:val="00730289"/>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0CF9"/>
    <w:rsid w:val="007624D8"/>
    <w:rsid w:val="00762CB8"/>
    <w:rsid w:val="0077088A"/>
    <w:rsid w:val="00771B6D"/>
    <w:rsid w:val="00785342"/>
    <w:rsid w:val="00785F88"/>
    <w:rsid w:val="00786B37"/>
    <w:rsid w:val="00790BBC"/>
    <w:rsid w:val="00790C82"/>
    <w:rsid w:val="00792362"/>
    <w:rsid w:val="0079609A"/>
    <w:rsid w:val="007A04C2"/>
    <w:rsid w:val="007A04DC"/>
    <w:rsid w:val="007A287A"/>
    <w:rsid w:val="007A2EB0"/>
    <w:rsid w:val="007A3D20"/>
    <w:rsid w:val="007A4490"/>
    <w:rsid w:val="007A4907"/>
    <w:rsid w:val="007B04FF"/>
    <w:rsid w:val="007B1635"/>
    <w:rsid w:val="007B194A"/>
    <w:rsid w:val="007B6C9B"/>
    <w:rsid w:val="007B6DA0"/>
    <w:rsid w:val="007C15ED"/>
    <w:rsid w:val="007C19AE"/>
    <w:rsid w:val="007C283D"/>
    <w:rsid w:val="007C2CCC"/>
    <w:rsid w:val="007C337F"/>
    <w:rsid w:val="007D0888"/>
    <w:rsid w:val="007D0CEA"/>
    <w:rsid w:val="007D2082"/>
    <w:rsid w:val="007D2FAE"/>
    <w:rsid w:val="007D399D"/>
    <w:rsid w:val="007D59AF"/>
    <w:rsid w:val="007D7DEB"/>
    <w:rsid w:val="007E5A68"/>
    <w:rsid w:val="007E7AA0"/>
    <w:rsid w:val="007F0619"/>
    <w:rsid w:val="007F12EA"/>
    <w:rsid w:val="007F28DB"/>
    <w:rsid w:val="007F4345"/>
    <w:rsid w:val="008027FA"/>
    <w:rsid w:val="00803C1E"/>
    <w:rsid w:val="00804954"/>
    <w:rsid w:val="00810B98"/>
    <w:rsid w:val="00811608"/>
    <w:rsid w:val="0081164E"/>
    <w:rsid w:val="00816129"/>
    <w:rsid w:val="008177BD"/>
    <w:rsid w:val="00820A06"/>
    <w:rsid w:val="008233B4"/>
    <w:rsid w:val="00824189"/>
    <w:rsid w:val="008252F0"/>
    <w:rsid w:val="00826EBD"/>
    <w:rsid w:val="00834258"/>
    <w:rsid w:val="008347E5"/>
    <w:rsid w:val="00834E88"/>
    <w:rsid w:val="0083668C"/>
    <w:rsid w:val="00840E0D"/>
    <w:rsid w:val="0084613C"/>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2A19"/>
    <w:rsid w:val="00884884"/>
    <w:rsid w:val="0088570D"/>
    <w:rsid w:val="008877B0"/>
    <w:rsid w:val="00887902"/>
    <w:rsid w:val="00891420"/>
    <w:rsid w:val="00895FBB"/>
    <w:rsid w:val="00897161"/>
    <w:rsid w:val="008A0C18"/>
    <w:rsid w:val="008A1E1B"/>
    <w:rsid w:val="008B0302"/>
    <w:rsid w:val="008B224C"/>
    <w:rsid w:val="008C2226"/>
    <w:rsid w:val="008C77F8"/>
    <w:rsid w:val="008D2976"/>
    <w:rsid w:val="008D71F1"/>
    <w:rsid w:val="008E500C"/>
    <w:rsid w:val="008F2A48"/>
    <w:rsid w:val="008F720F"/>
    <w:rsid w:val="00900496"/>
    <w:rsid w:val="00900D74"/>
    <w:rsid w:val="00901F18"/>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3DA9"/>
    <w:rsid w:val="00956B31"/>
    <w:rsid w:val="00956FA8"/>
    <w:rsid w:val="00957AA0"/>
    <w:rsid w:val="009604CB"/>
    <w:rsid w:val="00961F4A"/>
    <w:rsid w:val="00965538"/>
    <w:rsid w:val="00967991"/>
    <w:rsid w:val="0097464F"/>
    <w:rsid w:val="00974AA3"/>
    <w:rsid w:val="00974EBD"/>
    <w:rsid w:val="0098006A"/>
    <w:rsid w:val="0098272D"/>
    <w:rsid w:val="00984BFB"/>
    <w:rsid w:val="00991B49"/>
    <w:rsid w:val="00995A55"/>
    <w:rsid w:val="00997D4D"/>
    <w:rsid w:val="009A04C7"/>
    <w:rsid w:val="009A7B76"/>
    <w:rsid w:val="009B0988"/>
    <w:rsid w:val="009B12D4"/>
    <w:rsid w:val="009B72E9"/>
    <w:rsid w:val="009C0937"/>
    <w:rsid w:val="009C5DF4"/>
    <w:rsid w:val="009D3453"/>
    <w:rsid w:val="009E1329"/>
    <w:rsid w:val="009E28E5"/>
    <w:rsid w:val="009E4CE3"/>
    <w:rsid w:val="009E5119"/>
    <w:rsid w:val="009F214A"/>
    <w:rsid w:val="009F374F"/>
    <w:rsid w:val="009F588C"/>
    <w:rsid w:val="009F715D"/>
    <w:rsid w:val="009F7972"/>
    <w:rsid w:val="00A02139"/>
    <w:rsid w:val="00A02C14"/>
    <w:rsid w:val="00A03373"/>
    <w:rsid w:val="00A05ECF"/>
    <w:rsid w:val="00A11C51"/>
    <w:rsid w:val="00A1337E"/>
    <w:rsid w:val="00A1460C"/>
    <w:rsid w:val="00A16DB9"/>
    <w:rsid w:val="00A215E0"/>
    <w:rsid w:val="00A218AA"/>
    <w:rsid w:val="00A249A4"/>
    <w:rsid w:val="00A2528E"/>
    <w:rsid w:val="00A257D0"/>
    <w:rsid w:val="00A309F5"/>
    <w:rsid w:val="00A31A3F"/>
    <w:rsid w:val="00A34C49"/>
    <w:rsid w:val="00A461C1"/>
    <w:rsid w:val="00A535D7"/>
    <w:rsid w:val="00A54F86"/>
    <w:rsid w:val="00A62996"/>
    <w:rsid w:val="00A63392"/>
    <w:rsid w:val="00A7119C"/>
    <w:rsid w:val="00A722C5"/>
    <w:rsid w:val="00A859DC"/>
    <w:rsid w:val="00A872DA"/>
    <w:rsid w:val="00A9122E"/>
    <w:rsid w:val="00A9192D"/>
    <w:rsid w:val="00A91F36"/>
    <w:rsid w:val="00A93A7F"/>
    <w:rsid w:val="00A975BC"/>
    <w:rsid w:val="00AA0FB3"/>
    <w:rsid w:val="00AA13E7"/>
    <w:rsid w:val="00AB62BE"/>
    <w:rsid w:val="00AB6B27"/>
    <w:rsid w:val="00AD6B25"/>
    <w:rsid w:val="00AD6ED0"/>
    <w:rsid w:val="00AE2C17"/>
    <w:rsid w:val="00AE3331"/>
    <w:rsid w:val="00AE5333"/>
    <w:rsid w:val="00AE5EF9"/>
    <w:rsid w:val="00AE6F3C"/>
    <w:rsid w:val="00AE6FC9"/>
    <w:rsid w:val="00AE7735"/>
    <w:rsid w:val="00AF196A"/>
    <w:rsid w:val="00AF54E1"/>
    <w:rsid w:val="00B00C09"/>
    <w:rsid w:val="00B03300"/>
    <w:rsid w:val="00B04E81"/>
    <w:rsid w:val="00B05163"/>
    <w:rsid w:val="00B12244"/>
    <w:rsid w:val="00B13ACF"/>
    <w:rsid w:val="00B14E6B"/>
    <w:rsid w:val="00B16089"/>
    <w:rsid w:val="00B204D2"/>
    <w:rsid w:val="00B25BF3"/>
    <w:rsid w:val="00B266B6"/>
    <w:rsid w:val="00B31CA2"/>
    <w:rsid w:val="00B457D5"/>
    <w:rsid w:val="00B476A6"/>
    <w:rsid w:val="00B47764"/>
    <w:rsid w:val="00B4784E"/>
    <w:rsid w:val="00B52A91"/>
    <w:rsid w:val="00B52D63"/>
    <w:rsid w:val="00B53285"/>
    <w:rsid w:val="00B56B83"/>
    <w:rsid w:val="00B56C2F"/>
    <w:rsid w:val="00B6108C"/>
    <w:rsid w:val="00B62476"/>
    <w:rsid w:val="00B6303A"/>
    <w:rsid w:val="00B666E4"/>
    <w:rsid w:val="00B75E61"/>
    <w:rsid w:val="00B76717"/>
    <w:rsid w:val="00B80D2F"/>
    <w:rsid w:val="00B825E7"/>
    <w:rsid w:val="00B82E58"/>
    <w:rsid w:val="00B863CD"/>
    <w:rsid w:val="00B90078"/>
    <w:rsid w:val="00B90EB4"/>
    <w:rsid w:val="00B93F17"/>
    <w:rsid w:val="00B97802"/>
    <w:rsid w:val="00BA0E5D"/>
    <w:rsid w:val="00BA2586"/>
    <w:rsid w:val="00BA3124"/>
    <w:rsid w:val="00BA37AA"/>
    <w:rsid w:val="00BA55B3"/>
    <w:rsid w:val="00BA75BF"/>
    <w:rsid w:val="00BB2B84"/>
    <w:rsid w:val="00BD0791"/>
    <w:rsid w:val="00BD389A"/>
    <w:rsid w:val="00BE2F9C"/>
    <w:rsid w:val="00BE3C13"/>
    <w:rsid w:val="00BE54F8"/>
    <w:rsid w:val="00BE5988"/>
    <w:rsid w:val="00BF3812"/>
    <w:rsid w:val="00BF4099"/>
    <w:rsid w:val="00C0181D"/>
    <w:rsid w:val="00C07A4F"/>
    <w:rsid w:val="00C13489"/>
    <w:rsid w:val="00C244BA"/>
    <w:rsid w:val="00C254EC"/>
    <w:rsid w:val="00C25AD7"/>
    <w:rsid w:val="00C26F28"/>
    <w:rsid w:val="00C31620"/>
    <w:rsid w:val="00C3605A"/>
    <w:rsid w:val="00C4070E"/>
    <w:rsid w:val="00C421CD"/>
    <w:rsid w:val="00C43BC7"/>
    <w:rsid w:val="00C45A1F"/>
    <w:rsid w:val="00C46538"/>
    <w:rsid w:val="00C46568"/>
    <w:rsid w:val="00C517F9"/>
    <w:rsid w:val="00C519A3"/>
    <w:rsid w:val="00C524FA"/>
    <w:rsid w:val="00C557E5"/>
    <w:rsid w:val="00C572D0"/>
    <w:rsid w:val="00C61DF1"/>
    <w:rsid w:val="00C635BC"/>
    <w:rsid w:val="00C636A8"/>
    <w:rsid w:val="00C649A3"/>
    <w:rsid w:val="00C64C38"/>
    <w:rsid w:val="00C64D53"/>
    <w:rsid w:val="00C709CA"/>
    <w:rsid w:val="00C716E6"/>
    <w:rsid w:val="00C7432E"/>
    <w:rsid w:val="00C76FE6"/>
    <w:rsid w:val="00C8124B"/>
    <w:rsid w:val="00C85D99"/>
    <w:rsid w:val="00C91765"/>
    <w:rsid w:val="00C93B5E"/>
    <w:rsid w:val="00CA35A2"/>
    <w:rsid w:val="00CA3F44"/>
    <w:rsid w:val="00CA4DB7"/>
    <w:rsid w:val="00CA4EDA"/>
    <w:rsid w:val="00CA6CAC"/>
    <w:rsid w:val="00CB3033"/>
    <w:rsid w:val="00CB3C9F"/>
    <w:rsid w:val="00CB5F47"/>
    <w:rsid w:val="00CC0FA9"/>
    <w:rsid w:val="00CC18DB"/>
    <w:rsid w:val="00CC1C15"/>
    <w:rsid w:val="00CC29C4"/>
    <w:rsid w:val="00CC46A2"/>
    <w:rsid w:val="00CC5B47"/>
    <w:rsid w:val="00CC6D92"/>
    <w:rsid w:val="00CD04A5"/>
    <w:rsid w:val="00CD0CA9"/>
    <w:rsid w:val="00CD2AB7"/>
    <w:rsid w:val="00CD7D67"/>
    <w:rsid w:val="00CE01EF"/>
    <w:rsid w:val="00CE2FAC"/>
    <w:rsid w:val="00CF001A"/>
    <w:rsid w:val="00CF355D"/>
    <w:rsid w:val="00CF7364"/>
    <w:rsid w:val="00D0134F"/>
    <w:rsid w:val="00D0202D"/>
    <w:rsid w:val="00D04154"/>
    <w:rsid w:val="00D14665"/>
    <w:rsid w:val="00D14E99"/>
    <w:rsid w:val="00D1571D"/>
    <w:rsid w:val="00D209A9"/>
    <w:rsid w:val="00D21E36"/>
    <w:rsid w:val="00D222BF"/>
    <w:rsid w:val="00D2321E"/>
    <w:rsid w:val="00D23492"/>
    <w:rsid w:val="00D26520"/>
    <w:rsid w:val="00D277F8"/>
    <w:rsid w:val="00D300DD"/>
    <w:rsid w:val="00D334C5"/>
    <w:rsid w:val="00D378F7"/>
    <w:rsid w:val="00D37B6A"/>
    <w:rsid w:val="00D44DBA"/>
    <w:rsid w:val="00D44F13"/>
    <w:rsid w:val="00D479CD"/>
    <w:rsid w:val="00D55758"/>
    <w:rsid w:val="00D60AFA"/>
    <w:rsid w:val="00D61496"/>
    <w:rsid w:val="00D74E9C"/>
    <w:rsid w:val="00D829D0"/>
    <w:rsid w:val="00D841A1"/>
    <w:rsid w:val="00D84F11"/>
    <w:rsid w:val="00D92C17"/>
    <w:rsid w:val="00D930BB"/>
    <w:rsid w:val="00D932AD"/>
    <w:rsid w:val="00D93779"/>
    <w:rsid w:val="00D93FD6"/>
    <w:rsid w:val="00D95A48"/>
    <w:rsid w:val="00D95A4C"/>
    <w:rsid w:val="00DA4D68"/>
    <w:rsid w:val="00DB181C"/>
    <w:rsid w:val="00DB2E0D"/>
    <w:rsid w:val="00DB67CA"/>
    <w:rsid w:val="00DC3049"/>
    <w:rsid w:val="00DC6CCB"/>
    <w:rsid w:val="00DC7E00"/>
    <w:rsid w:val="00DD7DB5"/>
    <w:rsid w:val="00DE249D"/>
    <w:rsid w:val="00DE77B9"/>
    <w:rsid w:val="00E02431"/>
    <w:rsid w:val="00E03C51"/>
    <w:rsid w:val="00E11081"/>
    <w:rsid w:val="00E141CE"/>
    <w:rsid w:val="00E204F5"/>
    <w:rsid w:val="00E22781"/>
    <w:rsid w:val="00E255AC"/>
    <w:rsid w:val="00E26053"/>
    <w:rsid w:val="00E27434"/>
    <w:rsid w:val="00E2763A"/>
    <w:rsid w:val="00E312D2"/>
    <w:rsid w:val="00E33009"/>
    <w:rsid w:val="00E3415B"/>
    <w:rsid w:val="00E36EBD"/>
    <w:rsid w:val="00E42EAA"/>
    <w:rsid w:val="00E43660"/>
    <w:rsid w:val="00E449D8"/>
    <w:rsid w:val="00E45D74"/>
    <w:rsid w:val="00E51F99"/>
    <w:rsid w:val="00E52414"/>
    <w:rsid w:val="00E55177"/>
    <w:rsid w:val="00E57591"/>
    <w:rsid w:val="00E653F5"/>
    <w:rsid w:val="00E72F1F"/>
    <w:rsid w:val="00E73DC4"/>
    <w:rsid w:val="00E763ED"/>
    <w:rsid w:val="00E86025"/>
    <w:rsid w:val="00E8709E"/>
    <w:rsid w:val="00E93BCC"/>
    <w:rsid w:val="00E9439E"/>
    <w:rsid w:val="00E96E54"/>
    <w:rsid w:val="00EA11E5"/>
    <w:rsid w:val="00EA1ED7"/>
    <w:rsid w:val="00EA49B9"/>
    <w:rsid w:val="00EA5C66"/>
    <w:rsid w:val="00EB0C24"/>
    <w:rsid w:val="00EB7395"/>
    <w:rsid w:val="00EC0A40"/>
    <w:rsid w:val="00EC2D7B"/>
    <w:rsid w:val="00EC702B"/>
    <w:rsid w:val="00EC7653"/>
    <w:rsid w:val="00ED06C7"/>
    <w:rsid w:val="00ED5241"/>
    <w:rsid w:val="00ED64CD"/>
    <w:rsid w:val="00ED7688"/>
    <w:rsid w:val="00ED7DBB"/>
    <w:rsid w:val="00EE48E2"/>
    <w:rsid w:val="00EE5896"/>
    <w:rsid w:val="00EE6722"/>
    <w:rsid w:val="00EE6E83"/>
    <w:rsid w:val="00EF20F4"/>
    <w:rsid w:val="00EF2D43"/>
    <w:rsid w:val="00EF2D68"/>
    <w:rsid w:val="00EF5BD9"/>
    <w:rsid w:val="00EF6456"/>
    <w:rsid w:val="00F04498"/>
    <w:rsid w:val="00F06631"/>
    <w:rsid w:val="00F115E5"/>
    <w:rsid w:val="00F121C0"/>
    <w:rsid w:val="00F122E2"/>
    <w:rsid w:val="00F1492D"/>
    <w:rsid w:val="00F14CF5"/>
    <w:rsid w:val="00F2140E"/>
    <w:rsid w:val="00F2195D"/>
    <w:rsid w:val="00F22097"/>
    <w:rsid w:val="00F2563E"/>
    <w:rsid w:val="00F275D0"/>
    <w:rsid w:val="00F331FE"/>
    <w:rsid w:val="00F344D6"/>
    <w:rsid w:val="00F35244"/>
    <w:rsid w:val="00F359C1"/>
    <w:rsid w:val="00F37250"/>
    <w:rsid w:val="00F3752A"/>
    <w:rsid w:val="00F40FBF"/>
    <w:rsid w:val="00F41ABA"/>
    <w:rsid w:val="00F43D41"/>
    <w:rsid w:val="00F466A5"/>
    <w:rsid w:val="00F502E0"/>
    <w:rsid w:val="00F52E19"/>
    <w:rsid w:val="00F52F5A"/>
    <w:rsid w:val="00F5512B"/>
    <w:rsid w:val="00F56501"/>
    <w:rsid w:val="00F57BAB"/>
    <w:rsid w:val="00F603CC"/>
    <w:rsid w:val="00F6754C"/>
    <w:rsid w:val="00F74EBD"/>
    <w:rsid w:val="00F82ADB"/>
    <w:rsid w:val="00F831B3"/>
    <w:rsid w:val="00F8471F"/>
    <w:rsid w:val="00F85E17"/>
    <w:rsid w:val="00F86B8B"/>
    <w:rsid w:val="00F8733F"/>
    <w:rsid w:val="00F94057"/>
    <w:rsid w:val="00F95B86"/>
    <w:rsid w:val="00FB3AAB"/>
    <w:rsid w:val="00FC02B4"/>
    <w:rsid w:val="00FC3BF4"/>
    <w:rsid w:val="00FD1370"/>
    <w:rsid w:val="00FD5129"/>
    <w:rsid w:val="00FD5F55"/>
    <w:rsid w:val="00FD7DA1"/>
    <w:rsid w:val="00FE3364"/>
    <w:rsid w:val="00FE4C53"/>
    <w:rsid w:val="00FE6711"/>
    <w:rsid w:val="00FF2D5E"/>
    <w:rsid w:val="00FF3FB5"/>
    <w:rsid w:val="00FF4BBA"/>
    <w:rsid w:val="00FF501A"/>
    <w:rsid w:val="00FF5A2F"/>
    <w:rsid w:val="00FF6546"/>
    <w:rsid w:val="0224284B"/>
    <w:rsid w:val="03EC1913"/>
    <w:rsid w:val="04A57305"/>
    <w:rsid w:val="08DB512E"/>
    <w:rsid w:val="08FE1287"/>
    <w:rsid w:val="098A4A51"/>
    <w:rsid w:val="098B0432"/>
    <w:rsid w:val="09D339D3"/>
    <w:rsid w:val="09DC7227"/>
    <w:rsid w:val="0AE059A5"/>
    <w:rsid w:val="0B4F79EC"/>
    <w:rsid w:val="0C261880"/>
    <w:rsid w:val="0C2D57D1"/>
    <w:rsid w:val="0D460BF6"/>
    <w:rsid w:val="117440EB"/>
    <w:rsid w:val="117B6FDE"/>
    <w:rsid w:val="142F43C4"/>
    <w:rsid w:val="14997015"/>
    <w:rsid w:val="1844637C"/>
    <w:rsid w:val="187C75B7"/>
    <w:rsid w:val="18AC0922"/>
    <w:rsid w:val="1954241A"/>
    <w:rsid w:val="1A213C8E"/>
    <w:rsid w:val="1B0D5AB1"/>
    <w:rsid w:val="1CB51C69"/>
    <w:rsid w:val="1DC27AA2"/>
    <w:rsid w:val="20125C61"/>
    <w:rsid w:val="225C42C2"/>
    <w:rsid w:val="22C02998"/>
    <w:rsid w:val="239A32F4"/>
    <w:rsid w:val="25126282"/>
    <w:rsid w:val="2547125A"/>
    <w:rsid w:val="262045D6"/>
    <w:rsid w:val="27BF3B9D"/>
    <w:rsid w:val="2A0F6CE4"/>
    <w:rsid w:val="2F3751AF"/>
    <w:rsid w:val="2FC17626"/>
    <w:rsid w:val="301A0822"/>
    <w:rsid w:val="33EE06DA"/>
    <w:rsid w:val="342D3D8B"/>
    <w:rsid w:val="36536310"/>
    <w:rsid w:val="36AA52BD"/>
    <w:rsid w:val="36CD6C4E"/>
    <w:rsid w:val="3AEC50AC"/>
    <w:rsid w:val="3B3E3D12"/>
    <w:rsid w:val="3C940DD1"/>
    <w:rsid w:val="3E272D27"/>
    <w:rsid w:val="4036074F"/>
    <w:rsid w:val="40D57DED"/>
    <w:rsid w:val="428126E5"/>
    <w:rsid w:val="43465A30"/>
    <w:rsid w:val="454D1801"/>
    <w:rsid w:val="47C454E8"/>
    <w:rsid w:val="4AD42E24"/>
    <w:rsid w:val="4BA26FC9"/>
    <w:rsid w:val="4D3C64B9"/>
    <w:rsid w:val="4EA2513A"/>
    <w:rsid w:val="4EC10240"/>
    <w:rsid w:val="4FA8615B"/>
    <w:rsid w:val="52AB4326"/>
    <w:rsid w:val="572B3C88"/>
    <w:rsid w:val="586C4558"/>
    <w:rsid w:val="595D03DF"/>
    <w:rsid w:val="5A054C64"/>
    <w:rsid w:val="5B096777"/>
    <w:rsid w:val="5B735356"/>
    <w:rsid w:val="5BEF2BE2"/>
    <w:rsid w:val="5DF54E70"/>
    <w:rsid w:val="5F1A5159"/>
    <w:rsid w:val="613D7C39"/>
    <w:rsid w:val="61EF1ECF"/>
    <w:rsid w:val="645757E3"/>
    <w:rsid w:val="65206DF6"/>
    <w:rsid w:val="69360996"/>
    <w:rsid w:val="69AC44F5"/>
    <w:rsid w:val="6A902216"/>
    <w:rsid w:val="6B3F5E6A"/>
    <w:rsid w:val="6B905DD2"/>
    <w:rsid w:val="6CA65E33"/>
    <w:rsid w:val="6D862A26"/>
    <w:rsid w:val="6DE76703"/>
    <w:rsid w:val="6E2E4063"/>
    <w:rsid w:val="6EB74327"/>
    <w:rsid w:val="6EBE3BA5"/>
    <w:rsid w:val="712E383F"/>
    <w:rsid w:val="71804924"/>
    <w:rsid w:val="762E5323"/>
    <w:rsid w:val="789C0DDB"/>
    <w:rsid w:val="793C1C32"/>
    <w:rsid w:val="7E456B47"/>
    <w:rsid w:val="7FEE679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86"/>
    <w:semiHidden/>
    <w:unhideWhenUsed/>
    <w:qFormat/>
    <w:uiPriority w:val="99"/>
    <w:pPr>
      <w:ind w:firstLine="420" w:firstLineChars="200"/>
    </w:pPr>
  </w:style>
  <w:style w:type="paragraph" w:styleId="3">
    <w:name w:val="Body Text Indent"/>
    <w:basedOn w:val="1"/>
    <w:link w:val="85"/>
    <w:semiHidden/>
    <w:unhideWhenUsed/>
    <w:qFormat/>
    <w:uiPriority w:val="99"/>
    <w:pPr>
      <w:spacing w:after="120"/>
      <w:ind w:left="420" w:leftChars="200"/>
    </w:p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53"/>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51"/>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Date"/>
    <w:basedOn w:val="1"/>
    <w:next w:val="1"/>
    <w:link w:val="55"/>
    <w:semiHidden/>
    <w:unhideWhenUsed/>
    <w:qFormat/>
    <w:uiPriority w:val="99"/>
    <w:pPr>
      <w:ind w:left="100" w:leftChars="2500"/>
    </w:p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link w:val="58"/>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Title"/>
    <w:basedOn w:val="1"/>
    <w:next w:val="1"/>
    <w:qFormat/>
    <w:uiPriority w:val="0"/>
    <w:pPr>
      <w:spacing w:before="240" w:after="60"/>
      <w:jc w:val="center"/>
      <w:outlineLvl w:val="0"/>
    </w:pPr>
    <w:rPr>
      <w:rFonts w:ascii="Cambria" w:hAnsi="Cambria"/>
      <w:b/>
      <w:bCs/>
      <w:sz w:val="32"/>
      <w:szCs w:val="32"/>
      <w:lang w:val="zh-CN" w:eastAsia="zh-CN"/>
    </w:rPr>
  </w:style>
  <w:style w:type="paragraph" w:styleId="28">
    <w:name w:val="annotation subject"/>
    <w:basedOn w:val="9"/>
    <w:next w:val="9"/>
    <w:semiHidden/>
    <w:unhideWhenUsed/>
    <w:qFormat/>
    <w:uiPriority w:val="0"/>
    <w:rPr>
      <w:b/>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0"/>
    <w:rPr>
      <w:rFonts w:cs="Times New Roman"/>
      <w:b/>
    </w:rPr>
  </w:style>
  <w:style w:type="character" w:styleId="33">
    <w:name w:val="page number"/>
    <w:basedOn w:val="31"/>
    <w:qFormat/>
    <w:uiPriority w:val="0"/>
  </w:style>
  <w:style w:type="character" w:styleId="34">
    <w:name w:val="FollowedHyperlink"/>
    <w:basedOn w:val="31"/>
    <w:semiHidden/>
    <w:unhideWhenUsed/>
    <w:qFormat/>
    <w:uiPriority w:val="99"/>
    <w:rPr>
      <w:color w:val="954F72"/>
      <w:u w:val="single"/>
    </w:rPr>
  </w:style>
  <w:style w:type="character" w:styleId="35">
    <w:name w:val="Hyperlink"/>
    <w:basedOn w:val="31"/>
    <w:unhideWhenUsed/>
    <w:qFormat/>
    <w:uiPriority w:val="99"/>
    <w:rPr>
      <w:color w:val="0000FF"/>
      <w:u w:val="single"/>
    </w:rPr>
  </w:style>
  <w:style w:type="character" w:styleId="36">
    <w:name w:val="annotation reference"/>
    <w:basedOn w:val="31"/>
    <w:semiHidden/>
    <w:unhideWhenUsed/>
    <w:qFormat/>
    <w:uiPriority w:val="0"/>
    <w:rPr>
      <w:sz w:val="21"/>
      <w:szCs w:val="21"/>
    </w:rPr>
  </w:style>
  <w:style w:type="character" w:styleId="37">
    <w:name w:val="footnote reference"/>
    <w:basedOn w:val="31"/>
    <w:semiHidden/>
    <w:unhideWhenUsed/>
    <w:qFormat/>
    <w:uiPriority w:val="0"/>
    <w:rPr>
      <w:vertAlign w:val="superscript"/>
    </w:rPr>
  </w:style>
  <w:style w:type="paragraph" w:styleId="38">
    <w:name w:val="List Paragraph"/>
    <w:basedOn w:val="1"/>
    <w:qFormat/>
    <w:uiPriority w:val="34"/>
    <w:pPr>
      <w:ind w:firstLine="200"/>
    </w:pPr>
    <w:rPr>
      <w:rFonts w:ascii="Calibri" w:hAnsi="Calibri"/>
    </w:rPr>
  </w:style>
  <w:style w:type="character" w:customStyle="1" w:styleId="39">
    <w:name w:val="正文文本 2 Char"/>
    <w:basedOn w:val="31"/>
    <w:qFormat/>
    <w:uiPriority w:val="0"/>
    <w:rPr>
      <w:rFonts w:ascii="Times New Roman" w:hAnsi="Times New Roman" w:eastAsia="宋体" w:cs="Times New Roman"/>
    </w:rPr>
  </w:style>
  <w:style w:type="character" w:customStyle="1" w:styleId="40">
    <w:name w:val="16"/>
    <w:basedOn w:val="31"/>
    <w:qFormat/>
    <w:uiPriority w:val="0"/>
    <w:rPr>
      <w:rFonts w:hint="default" w:ascii="Times New Roman" w:hAnsi="Times New Roman" w:cs="Times New Roman"/>
      <w:color w:val="0000FF"/>
      <w:u w:val="single"/>
    </w:rPr>
  </w:style>
  <w:style w:type="character" w:customStyle="1" w:styleId="41">
    <w:name w:val="15"/>
    <w:basedOn w:val="31"/>
    <w:qFormat/>
    <w:uiPriority w:val="0"/>
    <w:rPr>
      <w:rFonts w:hint="default" w:ascii="Times New Roman" w:hAnsi="Times New Roman" w:cs="Times New Roman"/>
      <w:color w:val="0000FF"/>
      <w:u w:val="single"/>
    </w:rPr>
  </w:style>
  <w:style w:type="character" w:customStyle="1" w:styleId="42">
    <w:name w:val="标题 3 Char"/>
    <w:qFormat/>
    <w:uiPriority w:val="0"/>
    <w:rPr>
      <w:b/>
      <w:sz w:val="24"/>
      <w:szCs w:val="24"/>
    </w:rPr>
  </w:style>
  <w:style w:type="character" w:customStyle="1" w:styleId="43">
    <w:name w:val="标题 2 Char"/>
    <w:qFormat/>
    <w:uiPriority w:val="8"/>
    <w:rPr>
      <w:rFonts w:ascii="Arial" w:hAnsi="Arial" w:eastAsia="黑体"/>
      <w:b/>
      <w:sz w:val="32"/>
      <w:szCs w:val="32"/>
    </w:rPr>
  </w:style>
  <w:style w:type="character" w:customStyle="1" w:styleId="44">
    <w:name w:val="批注框文本 Char"/>
    <w:basedOn w:val="31"/>
    <w:semiHidden/>
    <w:qFormat/>
    <w:uiPriority w:val="0"/>
    <w:rPr>
      <w:sz w:val="18"/>
      <w:szCs w:val="18"/>
    </w:rPr>
  </w:style>
  <w:style w:type="character" w:customStyle="1" w:styleId="45">
    <w:name w:val="批注文字 Char"/>
    <w:basedOn w:val="31"/>
    <w:semiHidden/>
    <w:qFormat/>
    <w:uiPriority w:val="0"/>
    <w:rPr>
      <w:sz w:val="21"/>
      <w:szCs w:val="21"/>
    </w:rPr>
  </w:style>
  <w:style w:type="character" w:customStyle="1" w:styleId="46">
    <w:name w:val="批注主题 Char"/>
    <w:basedOn w:val="45"/>
    <w:semiHidden/>
    <w:qFormat/>
    <w:uiPriority w:val="0"/>
    <w:rPr>
      <w:b/>
      <w:sz w:val="21"/>
      <w:szCs w:val="21"/>
    </w:rPr>
  </w:style>
  <w:style w:type="character" w:customStyle="1" w:styleId="47">
    <w:name w:val="文档结构图 Char"/>
    <w:basedOn w:val="31"/>
    <w:semiHidden/>
    <w:qFormat/>
    <w:uiPriority w:val="0"/>
    <w:rPr>
      <w:rFonts w:ascii="宋体"/>
      <w:sz w:val="18"/>
      <w:szCs w:val="18"/>
    </w:rPr>
  </w:style>
  <w:style w:type="character" w:customStyle="1" w:styleId="48">
    <w:name w:val="页脚 Char"/>
    <w:qFormat/>
    <w:uiPriority w:val="99"/>
    <w:rPr>
      <w:sz w:val="18"/>
      <w:szCs w:val="18"/>
    </w:rPr>
  </w:style>
  <w:style w:type="character" w:customStyle="1" w:styleId="49">
    <w:name w:val="脚注文本 Char"/>
    <w:basedOn w:val="31"/>
    <w:semiHidden/>
    <w:qFormat/>
    <w:uiPriority w:val="0"/>
    <w:rPr>
      <w:sz w:val="18"/>
      <w:szCs w:val="18"/>
    </w:rPr>
  </w:style>
  <w:style w:type="paragraph" w:customStyle="1" w:styleId="50">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1">
    <w:name w:val="纯文本 字符"/>
    <w:link w:val="13"/>
    <w:qFormat/>
    <w:locked/>
    <w:uiPriority w:val="0"/>
    <w:rPr>
      <w:rFonts w:ascii="宋体" w:hAnsi="Courier New" w:cs="宋体"/>
    </w:rPr>
  </w:style>
  <w:style w:type="paragraph" w:customStyle="1" w:styleId="52">
    <w:name w:val="修订1"/>
    <w:hidden/>
    <w:semiHidden/>
    <w:qFormat/>
    <w:uiPriority w:val="99"/>
    <w:rPr>
      <w:rFonts w:ascii="Times New Roman" w:hAnsi="Times New Roman" w:eastAsia="宋体" w:cs="Times New Roman"/>
      <w:sz w:val="21"/>
      <w:szCs w:val="21"/>
      <w:lang w:val="en-US" w:eastAsia="zh-CN" w:bidi="ar-SA"/>
    </w:rPr>
  </w:style>
  <w:style w:type="character" w:customStyle="1" w:styleId="53">
    <w:name w:val="正文文本 字符"/>
    <w:basedOn w:val="31"/>
    <w:link w:val="10"/>
    <w:semiHidden/>
    <w:qFormat/>
    <w:uiPriority w:val="99"/>
    <w:rPr>
      <w:sz w:val="21"/>
      <w:szCs w:val="21"/>
    </w:rPr>
  </w:style>
  <w:style w:type="paragraph" w:customStyle="1" w:styleId="54">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5">
    <w:name w:val="日期 字符"/>
    <w:basedOn w:val="31"/>
    <w:link w:val="15"/>
    <w:semiHidden/>
    <w:qFormat/>
    <w:uiPriority w:val="99"/>
    <w:rPr>
      <w:sz w:val="21"/>
      <w:szCs w:val="21"/>
    </w:rPr>
  </w:style>
  <w:style w:type="paragraph" w:customStyle="1" w:styleId="56">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7">
    <w:name w:val="TOC Heading"/>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8">
    <w:name w:val="正文文本缩进 3 字符"/>
    <w:basedOn w:val="31"/>
    <w:link w:val="23"/>
    <w:qFormat/>
    <w:uiPriority w:val="0"/>
    <w:rPr>
      <w:sz w:val="16"/>
      <w:szCs w:val="16"/>
    </w:rPr>
  </w:style>
  <w:style w:type="paragraph" w:customStyle="1" w:styleId="59">
    <w:name w:val="msonormal"/>
    <w:basedOn w:val="1"/>
    <w:qFormat/>
    <w:uiPriority w:val="0"/>
    <w:pPr>
      <w:spacing w:before="100" w:beforeAutospacing="1" w:line="240" w:lineRule="auto"/>
      <w:ind w:left="0" w:right="0" w:firstLine="0"/>
      <w:jc w:val="left"/>
    </w:pPr>
    <w:rPr>
      <w:rFonts w:ascii="宋体" w:hAnsi="宋体" w:cs="宋体"/>
      <w:sz w:val="24"/>
      <w:szCs w:val="24"/>
    </w:rPr>
  </w:style>
  <w:style w:type="paragraph" w:customStyle="1" w:styleId="60">
    <w:name w:val="font5"/>
    <w:basedOn w:val="1"/>
    <w:qFormat/>
    <w:uiPriority w:val="0"/>
    <w:pPr>
      <w:spacing w:before="100" w:beforeAutospacing="1" w:line="240" w:lineRule="auto"/>
      <w:ind w:left="0" w:right="0" w:firstLine="0"/>
      <w:jc w:val="left"/>
    </w:pPr>
    <w:rPr>
      <w:rFonts w:ascii="宋体" w:hAnsi="宋体" w:cs="宋体"/>
      <w:sz w:val="20"/>
      <w:szCs w:val="20"/>
    </w:rPr>
  </w:style>
  <w:style w:type="paragraph" w:customStyle="1" w:styleId="61">
    <w:name w:val="font6"/>
    <w:basedOn w:val="1"/>
    <w:qFormat/>
    <w:uiPriority w:val="0"/>
    <w:pPr>
      <w:spacing w:before="100" w:beforeAutospacing="1" w:line="240" w:lineRule="auto"/>
      <w:ind w:left="0" w:right="0" w:firstLine="0"/>
      <w:jc w:val="left"/>
    </w:pPr>
    <w:rPr>
      <w:rFonts w:ascii="宋体" w:hAnsi="宋体" w:cs="宋体"/>
      <w:color w:val="000000"/>
      <w:sz w:val="20"/>
      <w:szCs w:val="20"/>
    </w:rPr>
  </w:style>
  <w:style w:type="paragraph" w:customStyle="1" w:styleId="62">
    <w:name w:val="font7"/>
    <w:basedOn w:val="1"/>
    <w:qFormat/>
    <w:uiPriority w:val="0"/>
    <w:pPr>
      <w:spacing w:before="100" w:beforeAutospacing="1" w:line="240" w:lineRule="auto"/>
      <w:ind w:left="0" w:right="0" w:firstLine="0"/>
      <w:jc w:val="left"/>
    </w:pPr>
    <w:rPr>
      <w:rFonts w:ascii="宋体" w:hAnsi="宋体" w:cs="宋体"/>
      <w:sz w:val="18"/>
      <w:szCs w:val="18"/>
    </w:rPr>
  </w:style>
  <w:style w:type="paragraph" w:customStyle="1" w:styleId="63">
    <w:name w:val="font8"/>
    <w:basedOn w:val="1"/>
    <w:qFormat/>
    <w:uiPriority w:val="0"/>
    <w:pPr>
      <w:spacing w:before="100" w:beforeAutospacing="1" w:line="240" w:lineRule="auto"/>
      <w:ind w:left="0" w:right="0" w:firstLine="0"/>
      <w:jc w:val="left"/>
    </w:pPr>
    <w:rPr>
      <w:rFonts w:ascii="微软雅黑" w:hAnsi="微软雅黑" w:eastAsia="微软雅黑" w:cs="宋体"/>
      <w:sz w:val="20"/>
      <w:szCs w:val="20"/>
    </w:rPr>
  </w:style>
  <w:style w:type="paragraph" w:customStyle="1" w:styleId="64">
    <w:name w:val="xl114"/>
    <w:basedOn w:val="1"/>
    <w:qFormat/>
    <w:uiPriority w:val="0"/>
    <w:pPr>
      <w:spacing w:before="100" w:beforeAutospacing="1" w:line="240" w:lineRule="auto"/>
      <w:ind w:left="0" w:right="0" w:firstLine="0"/>
      <w:jc w:val="left"/>
    </w:pPr>
    <w:rPr>
      <w:rFonts w:ascii="宋体" w:hAnsi="宋体" w:cs="宋体"/>
      <w:sz w:val="24"/>
      <w:szCs w:val="24"/>
    </w:rPr>
  </w:style>
  <w:style w:type="paragraph" w:customStyle="1" w:styleId="65">
    <w:name w:val="xl115"/>
    <w:basedOn w:val="1"/>
    <w:qFormat/>
    <w:uiPriority w:val="0"/>
    <w:pPr>
      <w:spacing w:before="100" w:beforeAutospacing="1" w:line="240" w:lineRule="auto"/>
      <w:ind w:left="0" w:right="0" w:firstLine="0"/>
      <w:jc w:val="center"/>
    </w:pPr>
    <w:rPr>
      <w:rFonts w:ascii="宋体" w:hAnsi="宋体" w:cs="宋体"/>
      <w:sz w:val="24"/>
      <w:szCs w:val="24"/>
    </w:rPr>
  </w:style>
  <w:style w:type="paragraph" w:customStyle="1" w:styleId="66">
    <w:name w:val="xl11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67">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宋体" w:hAnsi="宋体" w:cs="宋体"/>
      <w:sz w:val="24"/>
      <w:szCs w:val="24"/>
    </w:rPr>
  </w:style>
  <w:style w:type="paragraph" w:customStyle="1" w:styleId="68">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宋体" w:hAnsi="宋体" w:cs="宋体"/>
      <w:sz w:val="24"/>
      <w:szCs w:val="24"/>
    </w:rPr>
  </w:style>
  <w:style w:type="paragraph" w:customStyle="1" w:styleId="69">
    <w:name w:val="xl119"/>
    <w:basedOn w:val="1"/>
    <w:qFormat/>
    <w:uiPriority w:val="0"/>
    <w:pPr>
      <w:pBdr>
        <w:top w:val="single" w:color="auto" w:sz="4" w:space="0"/>
        <w:left w:val="single" w:color="auto" w:sz="4" w:space="0"/>
        <w:right w:val="single" w:color="auto" w:sz="4" w:space="0"/>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70">
    <w:name w:val="xl120"/>
    <w:basedOn w:val="1"/>
    <w:qFormat/>
    <w:uiPriority w:val="0"/>
    <w:pPr>
      <w:pBdr>
        <w:left w:val="single" w:color="auto" w:sz="4" w:space="0"/>
        <w:bottom w:val="single" w:color="auto" w:sz="4" w:space="0"/>
        <w:right w:val="single" w:color="auto" w:sz="4" w:space="0"/>
      </w:pBdr>
      <w:shd w:val="clear" w:color="000000" w:fill="FFFFFF"/>
      <w:spacing w:before="100" w:beforeAutospacing="1" w:line="240" w:lineRule="auto"/>
      <w:ind w:left="0" w:right="0" w:firstLine="0"/>
      <w:jc w:val="center"/>
    </w:pPr>
    <w:rPr>
      <w:rFonts w:ascii="宋体" w:hAnsi="宋体" w:cs="宋体"/>
      <w:sz w:val="24"/>
      <w:szCs w:val="24"/>
    </w:rPr>
  </w:style>
  <w:style w:type="paragraph" w:customStyle="1" w:styleId="71">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2">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3">
    <w:name w:val="xl123"/>
    <w:basedOn w:val="1"/>
    <w:qFormat/>
    <w:uiPriority w:val="0"/>
    <w:pPr>
      <w:pBdr>
        <w:top w:val="single" w:color="auto" w:sz="4" w:space="0"/>
        <w:left w:val="single" w:color="auto" w:sz="4" w:space="0"/>
        <w:bottom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4">
    <w:name w:val="xl124"/>
    <w:basedOn w:val="1"/>
    <w:qFormat/>
    <w:uiPriority w:val="0"/>
    <w:pPr>
      <w:pBdr>
        <w:top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5">
    <w:name w:val="xl125"/>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6">
    <w:name w:val="xl126"/>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7">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宋体" w:hAnsi="宋体" w:cs="宋体"/>
      <w:sz w:val="24"/>
      <w:szCs w:val="24"/>
    </w:rPr>
  </w:style>
  <w:style w:type="paragraph" w:customStyle="1" w:styleId="78">
    <w:name w:val="xl12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79">
    <w:name w:val="xl12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0">
    <w:name w:val="xl130"/>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1">
    <w:name w:val="xl131"/>
    <w:basedOn w:val="1"/>
    <w:qFormat/>
    <w:uiPriority w:val="0"/>
    <w:pP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2">
    <w:name w:val="xl13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3">
    <w:name w:val="xl133"/>
    <w:basedOn w:val="1"/>
    <w:qFormat/>
    <w:uiPriority w:val="0"/>
    <w:pPr>
      <w:pBdr>
        <w:top w:val="single" w:color="000000" w:sz="4" w:space="0"/>
        <w:left w:val="single" w:color="000000" w:sz="4" w:space="0"/>
        <w:bottom w:val="single" w:color="000000" w:sz="4" w:space="0"/>
        <w:right w:val="single" w:color="000000" w:sz="4" w:space="0"/>
      </w:pBdr>
      <w:shd w:val="clear" w:color="000000" w:fill="FFFFFF"/>
      <w:spacing w:before="100" w:beforeAutospacing="1" w:line="240" w:lineRule="auto"/>
      <w:ind w:left="0" w:right="0" w:firstLine="0"/>
      <w:jc w:val="left"/>
    </w:pPr>
    <w:rPr>
      <w:rFonts w:ascii="宋体" w:hAnsi="宋体" w:cs="宋体"/>
      <w:sz w:val="24"/>
      <w:szCs w:val="24"/>
    </w:rPr>
  </w:style>
  <w:style w:type="paragraph" w:customStyle="1" w:styleId="84">
    <w:name w:val="xl134"/>
    <w:basedOn w:val="1"/>
    <w:qFormat/>
    <w:uiPriority w:val="0"/>
    <w:pPr>
      <w:pBdr>
        <w:left w:val="single" w:color="auto" w:sz="4" w:space="0"/>
        <w:right w:val="single" w:color="auto" w:sz="4" w:space="0"/>
      </w:pBdr>
      <w:spacing w:before="100" w:beforeAutospacing="1" w:line="240" w:lineRule="auto"/>
      <w:ind w:left="0" w:right="0" w:firstLine="0"/>
      <w:jc w:val="left"/>
    </w:pPr>
    <w:rPr>
      <w:rFonts w:ascii="宋体" w:hAnsi="宋体" w:cs="宋体"/>
      <w:sz w:val="24"/>
      <w:szCs w:val="24"/>
    </w:rPr>
  </w:style>
  <w:style w:type="character" w:customStyle="1" w:styleId="85">
    <w:name w:val="正文文本缩进 字符"/>
    <w:basedOn w:val="31"/>
    <w:link w:val="3"/>
    <w:semiHidden/>
    <w:qFormat/>
    <w:uiPriority w:val="99"/>
    <w:rPr>
      <w:sz w:val="21"/>
      <w:szCs w:val="21"/>
    </w:rPr>
  </w:style>
  <w:style w:type="character" w:customStyle="1" w:styleId="86">
    <w:name w:val="正文首行缩进 2 字符"/>
    <w:basedOn w:val="85"/>
    <w:link w:val="2"/>
    <w:semiHidden/>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F2A04-7EB5-453F-A623-7A47552D9E9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47</Pages>
  <Words>14286</Words>
  <Characters>14925</Characters>
  <Lines>273</Lines>
  <Paragraphs>77</Paragraphs>
  <TotalTime>4</TotalTime>
  <ScaleCrop>false</ScaleCrop>
  <LinksUpToDate>false</LinksUpToDate>
  <CharactersWithSpaces>15515</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董杨凝</cp:lastModifiedBy>
  <cp:lastPrinted>2022-12-27T08:39:00Z</cp:lastPrinted>
  <dcterms:modified xsi:type="dcterms:W3CDTF">2022-12-28T00:22:55Z</dcterms:modified>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5DC1FD7FCFC04940894139B19C248D62</vt:lpwstr>
  </property>
</Properties>
</file>