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rPr>
      </w:pPr>
      <w:bookmarkStart w:id="0" w:name="_Toc114052410"/>
      <w:bookmarkStart w:id="1" w:name="_Toc286386830"/>
      <w:bookmarkStart w:id="2" w:name="_Toc114052336"/>
      <w:r>
        <w:rPr>
          <w:rFonts w:hint="eastAsia" w:ascii="宋体" w:hAnsi="宋体"/>
          <w:color w:val="000000" w:themeColor="text1"/>
          <w:sz w:val="30"/>
          <w:szCs w:val="30"/>
        </w:rPr>
        <w:t>【正本】</w:t>
      </w:r>
    </w:p>
    <w:p>
      <w:pPr>
        <w:spacing w:before="0" w:afterAutospacing="0"/>
        <w:ind w:left="-709" w:right="0" w:firstLine="880" w:firstLineChars="200"/>
        <w:jc w:val="center"/>
        <w:rPr>
          <w:rFonts w:hint="eastAsia"/>
          <w:sz w:val="44"/>
          <w:szCs w:val="44"/>
          <w:lang w:eastAsia="zh-CN"/>
        </w:rPr>
      </w:pPr>
      <w:r>
        <w:rPr>
          <w:rFonts w:hint="eastAsia"/>
          <w:sz w:val="44"/>
          <w:szCs w:val="44"/>
          <w:lang w:eastAsia="zh-CN"/>
        </w:rPr>
        <w:t>南宁轨道交通运营有限公司2号线朋云</w:t>
      </w:r>
    </w:p>
    <w:p>
      <w:pPr>
        <w:spacing w:before="0" w:afterAutospacing="0"/>
        <w:ind w:left="-709" w:right="0" w:firstLine="880" w:firstLineChars="200"/>
        <w:jc w:val="center"/>
        <w:rPr>
          <w:sz w:val="44"/>
          <w:szCs w:val="44"/>
        </w:rPr>
      </w:pPr>
      <w:r>
        <w:rPr>
          <w:rFonts w:hint="eastAsia"/>
          <w:sz w:val="44"/>
          <w:szCs w:val="44"/>
          <w:lang w:eastAsia="zh-CN"/>
        </w:rPr>
        <w:t>主变电站2#SVG连接变压器更换项目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kern w:val="2"/>
                <w:sz w:val="28"/>
                <w:szCs w:val="30"/>
                <w:highlight w:val="none"/>
              </w:rPr>
            </w:pPr>
            <w:r>
              <w:rPr>
                <w:rFonts w:hint="eastAsia" w:ascii="宋体" w:hAnsi="宋体"/>
                <w:kern w:val="2"/>
                <w:sz w:val="28"/>
                <w:szCs w:val="30"/>
                <w:highlight w:val="none"/>
              </w:rPr>
              <w:t>项目编号：</w:t>
            </w:r>
          </w:p>
        </w:tc>
        <w:tc>
          <w:tcPr>
            <w:tcW w:w="4761" w:type="dxa"/>
          </w:tcPr>
          <w:p>
            <w:pPr>
              <w:jc w:val="left"/>
              <w:rPr>
                <w:rFonts w:hint="eastAsia" w:ascii="宋体" w:hAnsi="宋体" w:eastAsia="宋体"/>
                <w:kern w:val="2"/>
                <w:sz w:val="28"/>
                <w:szCs w:val="30"/>
                <w:highlight w:val="none"/>
                <w:lang w:eastAsia="zh-CN"/>
              </w:rPr>
            </w:pPr>
            <w:r>
              <w:rPr>
                <w:rFonts w:hint="eastAsia" w:ascii="宋体" w:hAnsi="宋体" w:eastAsia="宋体"/>
                <w:kern w:val="2"/>
                <w:sz w:val="28"/>
                <w:szCs w:val="30"/>
                <w:highlight w:val="none"/>
                <w:lang w:eastAsia="zh-CN"/>
              </w:rPr>
              <w:t>202202180001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61312"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b w:val="0"/>
          <w:bCs/>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ascii="宋体" w:hAnsi="宋体"/>
          <w:b w:val="0"/>
          <w:bCs/>
          <w:sz w:val="28"/>
          <w:szCs w:val="28"/>
          <w:lang w:eastAsia="zh-CN"/>
        </w:rPr>
        <w:t>南宁轨道交通运营有限公司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hint="eastAsia" w:eastAsia="宋体"/>
          <w:sz w:val="24"/>
          <w:lang w:val="en-US" w:eastAsia="zh-CN"/>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r>
        <w:rPr>
          <w:rFonts w:hint="eastAsia" w:ascii="宋体" w:hAnsi="宋体"/>
          <w:sz w:val="28"/>
          <w:szCs w:val="28"/>
          <w:lang w:val="en-US" w:eastAsia="zh-CN"/>
        </w:rPr>
        <w:t xml:space="preserve"> </w:t>
      </w:r>
    </w:p>
    <w:bookmarkEnd w:id="0"/>
    <w:bookmarkEnd w:id="1"/>
    <w:bookmarkEnd w:id="2"/>
    <w:p>
      <w:pPr>
        <w:spacing w:before="0"/>
        <w:ind w:left="0" w:right="0" w:firstLine="0"/>
        <w:jc w:val="center"/>
        <w:outlineLvl w:val="1"/>
        <w:rPr>
          <w:rStyle w:val="59"/>
          <w:szCs w:val="22"/>
        </w:rPr>
      </w:pPr>
      <w:r>
        <w:rPr>
          <w:rStyle w:val="59"/>
          <w:rFonts w:hint="eastAsia"/>
          <w:kern w:val="44"/>
          <w:sz w:val="32"/>
          <w:szCs w:val="22"/>
        </w:rPr>
        <w:t>第一部分 合同协议书</w:t>
      </w:r>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（下称“甲方”或业主）与（下称“乙方”），双方根据</w:t>
      </w:r>
      <w:r>
        <w:rPr>
          <w:rFonts w:hint="eastAsia" w:ascii="宋体" w:hAnsi="宋体"/>
          <w:color w:val="auto"/>
          <w:highlight w:val="none"/>
          <w:u w:val="single"/>
        </w:rPr>
        <w:t>（南宁轨道交通运营有限公司</w:t>
      </w:r>
      <w:r>
        <w:rPr>
          <w:rFonts w:hint="eastAsia" w:ascii="宋体" w:hAnsi="宋体"/>
          <w:color w:val="auto"/>
          <w:highlight w:val="none"/>
          <w:u w:val="single"/>
          <w:lang w:val="en-US" w:eastAsia="zh-CN"/>
        </w:rPr>
        <w:t>2号线朋云主变电站2#SVG连接变压器更换项目</w:t>
      </w:r>
      <w:r>
        <w:rPr>
          <w:rFonts w:hint="eastAsia" w:ascii="宋体" w:hAnsi="宋体"/>
          <w:color w:val="auto"/>
          <w:highlight w:val="none"/>
          <w:u w:val="single"/>
        </w:rPr>
        <w:t>）</w:t>
      </w:r>
      <w:r>
        <w:rPr>
          <w:rFonts w:hint="eastAsia" w:ascii="宋体" w:hAnsi="宋体"/>
          <w:color w:val="auto"/>
          <w:highlight w:val="none"/>
        </w:rPr>
        <w:t>（项目编号：</w:t>
      </w:r>
      <w:r>
        <w:rPr>
          <w:rFonts w:hint="eastAsia" w:ascii="宋体" w:hAnsi="宋体"/>
          <w:b w:val="0"/>
          <w:color w:val="auto"/>
          <w:sz w:val="21"/>
          <w:szCs w:val="21"/>
          <w:highlight w:val="none"/>
          <w:u w:val="none"/>
          <w:lang w:eastAsia="zh-CN"/>
        </w:rPr>
        <w:t>202202180001</w:t>
      </w:r>
      <w:r>
        <w:rPr>
          <w:rFonts w:hint="eastAsia" w:ascii="宋体" w:hAnsi="宋体"/>
          <w:color w:val="auto"/>
          <w:highlight w:val="none"/>
        </w:rPr>
        <w:t>）比选结果，依据《中华人民共和国民法典》的规定，签订协议。具体内容如下：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（南宁轨道交通运营有限公司</w:t>
      </w:r>
      <w:r>
        <w:rPr>
          <w:rFonts w:hint="eastAsia" w:ascii="宋体" w:hAnsi="宋体"/>
          <w:color w:val="auto"/>
          <w:highlight w:val="none"/>
          <w:u w:val="single"/>
          <w:lang w:val="en-US" w:eastAsia="zh-CN"/>
        </w:rPr>
        <w:t>2号线朋云主变电站2#SVG连接变压器更换项目</w:t>
      </w:r>
      <w:r>
        <w:rPr>
          <w:rFonts w:hint="eastAsia" w:ascii="宋体" w:hAnsi="宋体"/>
          <w:color w:val="auto"/>
          <w:highlight w:val="none"/>
          <w:u w:val="single"/>
        </w:rPr>
        <w:t>）</w:t>
      </w:r>
      <w:r>
        <w:rPr>
          <w:rFonts w:hint="eastAsia" w:ascii="宋体" w:hAnsi="宋体" w:cs="Arial"/>
          <w:color w:val="auto"/>
          <w:highlight w:val="none"/>
        </w:rPr>
        <w:t>项下的货物和服务。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2.甲方接受乙方提供上述货物和服务的价格。不含税价：人民币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份；副本份，甲方持份，乙方持份。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highlight w:val="none"/>
                <w:lang w:eastAsia="zh-CN"/>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lang w:eastAsia="zh-CN"/>
              </w:rPr>
              <w:t>南宁轨道交通运营有限公司</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p>
    <w:p>
      <w:pPr>
        <w:pStyle w:val="2"/>
        <w:rPr>
          <w:rFonts w:ascii="宋体" w:hAnsi="宋体"/>
          <w:b/>
          <w:color w:val="auto"/>
          <w:highlight w:val="none"/>
        </w:rPr>
      </w:pPr>
      <w:bookmarkStart w:id="1048" w:name="_GoBack"/>
      <w:bookmarkEnd w:id="1048"/>
    </w:p>
    <w:p>
      <w:pPr>
        <w:tabs>
          <w:tab w:val="left" w:pos="640"/>
          <w:tab w:val="left" w:pos="1843"/>
        </w:tabs>
        <w:spacing w:before="0" w:after="0" w:afterAutospacing="0"/>
        <w:ind w:left="422" w:right="0" w:firstLine="0"/>
        <w:jc w:val="center"/>
        <w:outlineLvl w:val="1"/>
        <w:rPr>
          <w:rStyle w:val="59"/>
          <w:rFonts w:hint="eastAsia"/>
          <w:color w:val="000000" w:themeColor="text1"/>
          <w:kern w:val="44"/>
          <w:sz w:val="32"/>
          <w:szCs w:val="22"/>
        </w:rPr>
      </w:pPr>
      <w:bookmarkStart w:id="3" w:name="_Toc7689"/>
      <w:bookmarkStart w:id="4" w:name="_Toc25750634"/>
      <w:bookmarkStart w:id="5" w:name="_Toc4133"/>
      <w:bookmarkStart w:id="6" w:name="_Toc18460"/>
      <w:bookmarkStart w:id="7" w:name="_Toc29876"/>
      <w:bookmarkStart w:id="8" w:name="_Toc9438"/>
      <w:bookmarkStart w:id="9" w:name="_Toc12155"/>
      <w:bookmarkStart w:id="10" w:name="_Toc24973"/>
      <w:bookmarkStart w:id="11" w:name="_Toc9188"/>
      <w:bookmarkStart w:id="12" w:name="_Toc10196"/>
      <w:bookmarkStart w:id="13" w:name="_Toc11253"/>
      <w:bookmarkStart w:id="14" w:name="_Toc16743"/>
      <w:bookmarkStart w:id="15" w:name="_Toc997"/>
      <w:bookmarkStart w:id="16" w:name="_Toc25942"/>
      <w:bookmarkStart w:id="17" w:name="_Toc258"/>
      <w:bookmarkStart w:id="18" w:name="_Toc14469"/>
      <w:bookmarkStart w:id="19" w:name="_Toc24098"/>
      <w:bookmarkStart w:id="20" w:name="_Toc7529"/>
      <w:bookmarkStart w:id="21" w:name="_Toc2614"/>
      <w:bookmarkStart w:id="22" w:name="_Toc12080"/>
      <w:bookmarkStart w:id="23" w:name="_Toc22880"/>
      <w:bookmarkStart w:id="24" w:name="_Toc378514952"/>
      <w:bookmarkStart w:id="25" w:name="_Toc492478763"/>
      <w:bookmarkStart w:id="26" w:name="_Toc6054"/>
      <w:bookmarkStart w:id="27" w:name="_Toc43"/>
      <w:bookmarkStart w:id="28" w:name="_Toc10730"/>
      <w:bookmarkStart w:id="29" w:name="_Toc15707"/>
      <w:bookmarkStart w:id="30" w:name="_Toc4032"/>
      <w:bookmarkStart w:id="31" w:name="_Toc5834"/>
      <w:bookmarkStart w:id="32" w:name="_Toc28024"/>
      <w:bookmarkStart w:id="33" w:name="_Toc370933855"/>
      <w:bookmarkStart w:id="34" w:name="_Toc25643"/>
      <w:bookmarkStart w:id="35" w:name="_Toc12256"/>
      <w:bookmarkStart w:id="36" w:name="_Toc29932"/>
      <w:bookmarkStart w:id="37" w:name="_Toc385427838"/>
      <w:bookmarkStart w:id="38" w:name="_Toc31691"/>
      <w:bookmarkStart w:id="39" w:name="_Toc14287"/>
      <w:bookmarkStart w:id="40" w:name="_Toc390098464"/>
      <w:bookmarkStart w:id="41" w:name="_Toc20484"/>
      <w:bookmarkStart w:id="42" w:name="_Toc7961"/>
      <w:bookmarkStart w:id="43" w:name="_Toc18727"/>
      <w:bookmarkStart w:id="44" w:name="_Toc25750635"/>
      <w:bookmarkStart w:id="45" w:name="_Toc19920"/>
      <w:r>
        <w:rPr>
          <w:rStyle w:val="59"/>
          <w:rFonts w:hint="eastAsia"/>
          <w:color w:val="000000" w:themeColor="text1"/>
          <w:kern w:val="44"/>
          <w:sz w:val="32"/>
          <w:szCs w:val="22"/>
        </w:rPr>
        <w:t>第二部分 合同条款</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tabs>
          <w:tab w:val="left" w:pos="640"/>
          <w:tab w:val="left" w:pos="1843"/>
        </w:tabs>
        <w:spacing w:before="0" w:after="0" w:afterAutospacing="0"/>
        <w:ind w:left="422" w:right="0" w:firstLine="0"/>
        <w:outlineLvl w:val="1"/>
        <w:rPr>
          <w:rFonts w:ascii="宋体" w:hAnsi="宋体"/>
          <w:b/>
          <w:color w:val="auto"/>
          <w:highlight w:val="none"/>
        </w:rPr>
      </w:pPr>
      <w:r>
        <w:rPr>
          <w:rFonts w:hint="eastAsia" w:ascii="宋体" w:hAnsi="宋体"/>
          <w:b/>
          <w:color w:val="auto"/>
          <w:highlight w:val="none"/>
        </w:rPr>
        <w:t>1.定义及解释</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numPr>
          <w:ilvl w:val="1"/>
          <w:numId w:val="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w:t>
      </w: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“质量保证期”按本项目《用户需求书》中的质保期要求。</w:t>
      </w:r>
    </w:p>
    <w:p>
      <w:pPr>
        <w:numPr>
          <w:ilvl w:val="2"/>
          <w:numId w:val="1"/>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1"/>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1"/>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lang w:eastAsia="zh-CN"/>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highlight w:val="none"/>
        </w:rPr>
        <w:t>（如有）</w:t>
      </w:r>
    </w:p>
    <w:p>
      <w:pPr>
        <w:numPr>
          <w:ilvl w:val="2"/>
          <w:numId w:val="1"/>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46" w:name="_Toc492478764"/>
      <w:bookmarkStart w:id="47" w:name="_Toc1169"/>
      <w:bookmarkStart w:id="48" w:name="_Toc25826"/>
      <w:bookmarkStart w:id="49" w:name="_Toc370933856"/>
      <w:bookmarkStart w:id="50" w:name="_Toc8477"/>
      <w:bookmarkStart w:id="51" w:name="_Toc13835"/>
      <w:bookmarkStart w:id="52" w:name="_Toc7059"/>
      <w:bookmarkStart w:id="53" w:name="_Toc390098465"/>
      <w:bookmarkStart w:id="54" w:name="_Toc25750636"/>
      <w:bookmarkStart w:id="55" w:name="_Toc19899"/>
      <w:bookmarkStart w:id="56" w:name="_Toc385427839"/>
      <w:bookmarkStart w:id="57" w:name="_Toc23112"/>
      <w:bookmarkStart w:id="58" w:name="_Toc4301"/>
      <w:bookmarkStart w:id="59" w:name="_Toc23305"/>
      <w:bookmarkStart w:id="60" w:name="_Toc18178"/>
      <w:bookmarkStart w:id="61" w:name="_Toc19388"/>
      <w:bookmarkStart w:id="62" w:name="_Toc7813"/>
      <w:bookmarkStart w:id="63" w:name="_Toc4212"/>
      <w:bookmarkStart w:id="64" w:name="_Toc5955"/>
      <w:bookmarkStart w:id="65" w:name="_Toc15944"/>
      <w:bookmarkStart w:id="66" w:name="_Toc378514953"/>
      <w:bookmarkStart w:id="67" w:name="_Toc4255"/>
      <w:bookmarkStart w:id="68" w:name="_Toc30815"/>
      <w:bookmarkStart w:id="69" w:name="_Toc3180"/>
      <w:bookmarkStart w:id="70" w:name="_Toc23247"/>
      <w:r>
        <w:rPr>
          <w:rFonts w:hint="eastAsia" w:ascii="宋体" w:hAnsi="宋体"/>
          <w:b/>
          <w:color w:val="auto"/>
          <w:highlight w:val="none"/>
        </w:rPr>
        <w:t>2.适用性</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numPr>
          <w:ilvl w:val="1"/>
          <w:numId w:val="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71" w:name="_Toc29476"/>
      <w:bookmarkStart w:id="72" w:name="_Toc12248"/>
      <w:bookmarkStart w:id="73" w:name="_Toc390098466"/>
      <w:bookmarkStart w:id="74" w:name="_Toc4738"/>
      <w:bookmarkStart w:id="75" w:name="_Toc21065"/>
      <w:bookmarkStart w:id="76" w:name="_Toc385427840"/>
      <w:bookmarkStart w:id="77" w:name="_Toc4898"/>
      <w:bookmarkStart w:id="78" w:name="_Toc5253"/>
      <w:bookmarkStart w:id="79" w:name="_Toc15308"/>
      <w:bookmarkStart w:id="80" w:name="_Toc492478765"/>
      <w:bookmarkStart w:id="81" w:name="_Toc21603"/>
      <w:bookmarkStart w:id="82" w:name="_Toc9864"/>
      <w:bookmarkStart w:id="83" w:name="_Toc370933857"/>
      <w:bookmarkStart w:id="84" w:name="_Toc378514954"/>
      <w:bookmarkStart w:id="85" w:name="_Toc25750637"/>
      <w:bookmarkStart w:id="86" w:name="_Toc3397"/>
      <w:bookmarkStart w:id="87" w:name="_Toc18092"/>
      <w:bookmarkStart w:id="88" w:name="_Toc9306"/>
      <w:bookmarkStart w:id="89" w:name="_Toc14437"/>
      <w:bookmarkStart w:id="90" w:name="_Toc3674"/>
      <w:bookmarkStart w:id="91" w:name="_Toc26983"/>
      <w:bookmarkStart w:id="92" w:name="_Toc11803"/>
      <w:bookmarkStart w:id="93" w:name="_Toc13801"/>
      <w:bookmarkStart w:id="94" w:name="_Toc4969"/>
      <w:bookmarkStart w:id="95" w:name="_Toc3131"/>
      <w:r>
        <w:rPr>
          <w:rFonts w:hint="eastAsia" w:ascii="宋体" w:hAnsi="宋体"/>
          <w:b/>
          <w:color w:val="auto"/>
          <w:highlight w:val="none"/>
        </w:rPr>
        <w:t>3.来源地</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
      </w:pPr>
      <w:bookmarkStart w:id="96" w:name="_Toc385427841"/>
      <w:bookmarkStart w:id="97" w:name="_Toc390098467"/>
      <w:bookmarkStart w:id="98" w:name="_Toc16646"/>
      <w:bookmarkStart w:id="99" w:name="_Toc25311"/>
      <w:bookmarkStart w:id="100" w:name="_Toc378514955"/>
      <w:bookmarkStart w:id="101" w:name="_Toc23249"/>
      <w:bookmarkStart w:id="102" w:name="_Toc11626"/>
      <w:bookmarkStart w:id="103" w:name="_Toc492478766"/>
      <w:bookmarkStart w:id="104" w:name="_Toc18548"/>
      <w:bookmarkStart w:id="105" w:name="_Toc12180"/>
      <w:bookmarkStart w:id="106" w:name="_Toc370933858"/>
      <w:bookmarkStart w:id="107" w:name="_Toc25750638"/>
      <w:bookmarkStart w:id="108" w:name="_Toc2708"/>
      <w:bookmarkStart w:id="109" w:name="_Toc21641"/>
      <w:bookmarkStart w:id="110" w:name="_Toc14713"/>
      <w:bookmarkStart w:id="111" w:name="_Toc21356"/>
      <w:bookmarkStart w:id="112" w:name="_Toc19514"/>
      <w:bookmarkStart w:id="113" w:name="_Toc14273"/>
      <w:bookmarkStart w:id="114" w:name="_Toc27450"/>
      <w:bookmarkStart w:id="115" w:name="_Toc23258"/>
      <w:bookmarkStart w:id="116" w:name="_Toc10807"/>
      <w:bookmarkStart w:id="117" w:name="_Toc21289"/>
      <w:bookmarkStart w:id="118" w:name="_Toc11524"/>
      <w:bookmarkStart w:id="119" w:name="_Toc3318"/>
      <w:bookmarkStart w:id="120" w:name="_Toc30174"/>
      <w:bookmarkStart w:id="121" w:name="_Toc10995"/>
      <w:bookmarkStart w:id="122" w:name="_Toc3165"/>
      <w:bookmarkStart w:id="123" w:name="_Toc385427842"/>
      <w:bookmarkStart w:id="124" w:name="_Toc25750639"/>
      <w:bookmarkStart w:id="125" w:name="_Toc492478767"/>
      <w:bookmarkStart w:id="126" w:name="_Toc2304"/>
      <w:bookmarkStart w:id="127" w:name="_Toc23539"/>
      <w:bookmarkStart w:id="128" w:name="_Toc14089"/>
      <w:bookmarkStart w:id="129" w:name="_Toc20372"/>
      <w:bookmarkStart w:id="130" w:name="_Toc18813"/>
      <w:bookmarkStart w:id="131" w:name="_Toc18617"/>
      <w:bookmarkStart w:id="132" w:name="_Toc4048"/>
      <w:bookmarkStart w:id="133" w:name="_Toc19358"/>
      <w:bookmarkStart w:id="134" w:name="_Toc24783"/>
      <w:bookmarkStart w:id="135" w:name="_Toc370933859"/>
      <w:bookmarkStart w:id="136" w:name="_Toc27620"/>
      <w:bookmarkStart w:id="137" w:name="_Toc11487"/>
      <w:bookmarkStart w:id="138" w:name="_Toc2352"/>
      <w:bookmarkStart w:id="139" w:name="_Toc378514956"/>
      <w:bookmarkStart w:id="140" w:name="_Toc22040"/>
      <w:bookmarkStart w:id="141" w:name="_Toc13516"/>
      <w:bookmarkStart w:id="142" w:name="_Toc17081"/>
      <w:bookmarkStart w:id="143" w:name="_Toc31912"/>
      <w:bookmarkStart w:id="144" w:name="_Toc390098468"/>
      <w:r>
        <w:rPr>
          <w:rFonts w:ascii="宋体" w:hAnsi="宋体"/>
          <w:b/>
          <w:color w:val="auto"/>
          <w:highlight w:val="none"/>
        </w:rPr>
        <w:t>4.</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ascii="宋体" w:hAnsi="宋体"/>
          <w:b/>
          <w:color w:val="auto"/>
          <w:highlight w:val="none"/>
        </w:rPr>
        <w:t>适用法律、标准和规范</w:t>
      </w:r>
      <w:bookmarkEnd w:id="120"/>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适用于合同的法律包括国家现行法律、行政法规、部门规章，以及广西壮族自治区和南宁市的地方法规、地方政府规章</w:t>
      </w:r>
      <w:r>
        <w:rPr>
          <w:rFonts w:hint="eastAsia" w:ascii="宋体" w:hAnsi="宋体"/>
          <w:color w:val="auto"/>
          <w:highlight w:val="none"/>
        </w:rPr>
        <w:t>。</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适用标准、规范</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GB50148-2010</w:t>
      </w:r>
      <w:r>
        <w:rPr>
          <w:rFonts w:hint="eastAsia" w:ascii="宋体" w:hAnsi="宋体"/>
          <w:color w:val="auto"/>
          <w:highlight w:val="none"/>
          <w:lang w:val="en-US" w:eastAsia="zh-CN"/>
        </w:rPr>
        <w:t xml:space="preserve"> </w:t>
      </w:r>
      <w:r>
        <w:rPr>
          <w:rFonts w:hint="eastAsia" w:ascii="宋体" w:hAnsi="宋体"/>
          <w:color w:val="auto"/>
          <w:highlight w:val="none"/>
        </w:rPr>
        <w:t>电气装置安装工程 电力变压器、油浸电抗器、互感器施工及验收规范</w:t>
      </w:r>
    </w:p>
    <w:p>
      <w:pPr>
        <w:numPr>
          <w:ilvl w:val="0"/>
          <w:numId w:val="0"/>
        </w:numPr>
        <w:tabs>
          <w:tab w:val="left" w:pos="840"/>
        </w:tabs>
        <w:spacing w:before="0" w:after="0" w:afterAutospacing="0"/>
        <w:ind w:leftChars="200" w:right="0" w:rightChars="0"/>
        <w:rPr>
          <w:rFonts w:hint="eastAsia" w:ascii="宋体" w:hAnsi="宋体" w:eastAsia="宋体"/>
          <w:color w:val="auto"/>
          <w:highlight w:val="none"/>
          <w:lang w:val="en-US" w:eastAsia="zh-CN"/>
        </w:rPr>
      </w:pPr>
      <w:r>
        <w:rPr>
          <w:rFonts w:hint="default" w:ascii="宋体" w:hAnsi="宋体"/>
          <w:color w:val="auto"/>
          <w:highlight w:val="none"/>
        </w:rPr>
        <w:t>GB 311.1-2012</w:t>
      </w:r>
      <w:r>
        <w:rPr>
          <w:rFonts w:hint="eastAsia" w:ascii="宋体" w:hAnsi="宋体"/>
          <w:color w:val="auto"/>
          <w:highlight w:val="none"/>
          <w:lang w:val="en-US" w:eastAsia="zh-CN"/>
        </w:rPr>
        <w:t xml:space="preserve"> </w:t>
      </w:r>
      <w:r>
        <w:rPr>
          <w:rFonts w:hint="default" w:ascii="宋体" w:hAnsi="宋体"/>
          <w:color w:val="auto"/>
          <w:highlight w:val="none"/>
        </w:rPr>
        <w:t>高压输变电设备的绝缘配合</w:t>
      </w:r>
      <w:r>
        <w:rPr>
          <w:rFonts w:hint="eastAsia" w:ascii="宋体" w:hAnsi="宋体"/>
          <w:color w:val="auto"/>
          <w:highlight w:val="none"/>
          <w:lang w:val="en-US" w:eastAsia="zh-CN"/>
        </w:rPr>
        <w:t xml:space="preserve"> </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 50150-2016 电气装置安装工程电气设备交接试验标准</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default" w:ascii="宋体" w:hAnsi="宋体"/>
          <w:color w:val="auto"/>
          <w:highlight w:val="none"/>
        </w:rPr>
        <w:t>GB/T 1094.7-200</w:t>
      </w:r>
      <w:r>
        <w:rPr>
          <w:rFonts w:hint="eastAsia" w:ascii="宋体" w:hAnsi="宋体"/>
          <w:color w:val="auto"/>
          <w:highlight w:val="none"/>
          <w:lang w:val="en-US" w:eastAsia="zh-CN"/>
        </w:rPr>
        <w:t xml:space="preserve">8 </w:t>
      </w:r>
      <w:r>
        <w:rPr>
          <w:rFonts w:hint="default" w:ascii="宋体" w:hAnsi="宋体"/>
          <w:color w:val="auto"/>
          <w:highlight w:val="none"/>
        </w:rPr>
        <w:t>电力变压器</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GB/T 16927.1-2011</w:t>
      </w:r>
      <w:r>
        <w:rPr>
          <w:rFonts w:hint="eastAsia" w:ascii="宋体" w:hAnsi="宋体"/>
          <w:color w:val="auto"/>
          <w:highlight w:val="none"/>
          <w:lang w:val="en-US" w:eastAsia="zh-CN"/>
        </w:rPr>
        <w:t xml:space="preserve"> </w:t>
      </w:r>
      <w:r>
        <w:rPr>
          <w:rFonts w:hint="eastAsia" w:ascii="宋体" w:hAnsi="宋体"/>
          <w:color w:val="auto"/>
          <w:highlight w:val="none"/>
        </w:rPr>
        <w:t>高电压试验技术</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default" w:ascii="宋体" w:hAnsi="宋体"/>
          <w:color w:val="auto"/>
          <w:highlight w:val="none"/>
        </w:rPr>
        <w:t>GB∕T 13499-2016 电力变压器应用导则</w:t>
      </w:r>
    </w:p>
    <w:p>
      <w:pPr>
        <w:numPr>
          <w:ilvl w:val="0"/>
          <w:numId w:val="0"/>
        </w:numPr>
        <w:tabs>
          <w:tab w:val="left" w:pos="840"/>
        </w:tabs>
        <w:spacing w:before="0" w:after="0" w:afterAutospacing="0"/>
        <w:ind w:leftChars="200" w:right="0" w:rightChars="0"/>
        <w:rPr>
          <w:rFonts w:hint="default" w:ascii="宋体" w:hAnsi="宋体"/>
          <w:color w:val="auto"/>
          <w:highlight w:val="none"/>
        </w:rPr>
      </w:pPr>
      <w:r>
        <w:rPr>
          <w:rFonts w:hint="default" w:ascii="宋体" w:hAnsi="宋体"/>
          <w:color w:val="auto"/>
          <w:highlight w:val="none"/>
        </w:rPr>
        <w:t>DL T 620-2016</w:t>
      </w:r>
      <w:r>
        <w:rPr>
          <w:rFonts w:hint="eastAsia" w:ascii="宋体" w:hAnsi="宋体"/>
          <w:color w:val="auto"/>
          <w:highlight w:val="none"/>
          <w:lang w:val="en-US" w:eastAsia="zh-CN"/>
        </w:rPr>
        <w:t xml:space="preserve"> </w:t>
      </w:r>
      <w:r>
        <w:rPr>
          <w:rFonts w:hint="default" w:ascii="宋体" w:hAnsi="宋体"/>
          <w:color w:val="auto"/>
          <w:highlight w:val="none"/>
        </w:rPr>
        <w:t>交流电气装置的过电压保护和绝缘配合</w:t>
      </w:r>
    </w:p>
    <w:p>
      <w:pPr>
        <w:numPr>
          <w:ilvl w:val="0"/>
          <w:numId w:val="0"/>
        </w:numPr>
        <w:tabs>
          <w:tab w:val="left" w:pos="840"/>
        </w:tabs>
        <w:spacing w:before="0" w:after="0" w:afterAutospacing="0"/>
        <w:ind w:leftChars="200" w:right="0" w:rightChars="0"/>
        <w:rPr>
          <w:rFonts w:hint="default" w:ascii="宋体" w:hAnsi="宋体"/>
          <w:color w:val="auto"/>
          <w:highlight w:val="none"/>
        </w:rPr>
      </w:pPr>
      <w:r>
        <w:rPr>
          <w:rFonts w:hint="default" w:ascii="宋体" w:hAnsi="宋体"/>
          <w:color w:val="auto"/>
          <w:highlight w:val="none"/>
        </w:rPr>
        <w:t>JB/T 10088-2004</w:t>
      </w:r>
      <w:r>
        <w:rPr>
          <w:rFonts w:hint="eastAsia" w:ascii="宋体" w:hAnsi="宋体"/>
          <w:color w:val="auto"/>
          <w:highlight w:val="none"/>
          <w:lang w:val="en-US" w:eastAsia="zh-CN"/>
        </w:rPr>
        <w:t xml:space="preserve"> </w:t>
      </w:r>
      <w:r>
        <w:rPr>
          <w:rFonts w:hint="default" w:ascii="宋体" w:hAnsi="宋体"/>
          <w:color w:val="auto"/>
          <w:highlight w:val="none"/>
        </w:rPr>
        <w:t>6kV～500kV级电力变压器声级</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除甲方的“技术规格书”中特别要求外，本项目所涉及各项标准及规范应适用国家现行标准、规范的名称；没有国家标准、规范但有行业标准、规范的，约定适用行业标准、规范的名称；没有国家和行业标准、规范的，适用广西壮族自治区、南宁市或甲方的标准、规范。</w:t>
      </w:r>
    </w:p>
    <w:p>
      <w:pPr>
        <w:tabs>
          <w:tab w:val="left" w:pos="640"/>
          <w:tab w:val="left" w:pos="1843"/>
        </w:tabs>
        <w:spacing w:before="0" w:after="0" w:afterAutospacing="0"/>
        <w:ind w:left="422" w:right="0" w:firstLine="0"/>
        <w:outlineLvl w:val="1"/>
        <w:rPr>
          <w:rFonts w:ascii="宋体" w:hAnsi="宋体"/>
          <w:b/>
          <w:color w:val="auto"/>
          <w:highlight w:val="none"/>
        </w:rPr>
      </w:pPr>
      <w:bookmarkStart w:id="145" w:name="_Toc24522"/>
      <w:r>
        <w:rPr>
          <w:rFonts w:hint="eastAsia" w:ascii="宋体" w:hAnsi="宋体"/>
          <w:b/>
          <w:color w:val="auto"/>
          <w:highlight w:val="none"/>
        </w:rPr>
        <w:t>5.合同文件、资料及使用</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numPr>
          <w:ilvl w:val="1"/>
          <w:numId w:val="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46" w:name="_Toc18946"/>
      <w:bookmarkStart w:id="147" w:name="_Toc16793"/>
      <w:bookmarkStart w:id="148" w:name="_Toc15801"/>
      <w:bookmarkStart w:id="149" w:name="_Toc17102"/>
      <w:bookmarkStart w:id="150" w:name="_Toc2096"/>
      <w:bookmarkStart w:id="151" w:name="_Toc17908"/>
      <w:bookmarkStart w:id="152" w:name="_Toc2340"/>
      <w:bookmarkStart w:id="153" w:name="_Toc29934"/>
      <w:bookmarkStart w:id="154" w:name="_Toc370933860"/>
      <w:bookmarkStart w:id="155" w:name="_Toc385427843"/>
      <w:bookmarkStart w:id="156" w:name="_Toc5930"/>
      <w:bookmarkStart w:id="157" w:name="_Toc25750640"/>
      <w:bookmarkStart w:id="158" w:name="_Toc378514957"/>
      <w:bookmarkStart w:id="159" w:name="_Toc23542"/>
      <w:bookmarkStart w:id="160" w:name="_Toc4739"/>
      <w:bookmarkStart w:id="161" w:name="_Toc492478768"/>
      <w:bookmarkStart w:id="162" w:name="_Toc23274"/>
      <w:bookmarkStart w:id="163" w:name="_Toc12048"/>
      <w:bookmarkStart w:id="164" w:name="_Toc17100"/>
      <w:bookmarkStart w:id="165" w:name="_Toc8848"/>
      <w:bookmarkStart w:id="166" w:name="_Toc16891"/>
      <w:bookmarkStart w:id="167" w:name="_Toc25104"/>
      <w:bookmarkStart w:id="168" w:name="_Toc25049"/>
      <w:bookmarkStart w:id="169" w:name="_Toc390098469"/>
      <w:bookmarkStart w:id="170" w:name="_Toc24189"/>
      <w:r>
        <w:rPr>
          <w:rFonts w:hint="eastAsia" w:ascii="宋体" w:hAnsi="宋体"/>
          <w:b/>
          <w:color w:val="auto"/>
          <w:highlight w:val="none"/>
        </w:rPr>
        <w:t>6.知识产权</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numPr>
          <w:ilvl w:val="0"/>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71" w:name="_Toc378514958"/>
      <w:bookmarkStart w:id="172" w:name="_Toc29127"/>
      <w:bookmarkStart w:id="173" w:name="_Toc25888"/>
      <w:bookmarkStart w:id="174" w:name="_Toc11516"/>
      <w:bookmarkStart w:id="175" w:name="_Toc7907"/>
      <w:bookmarkStart w:id="176" w:name="_Toc17489"/>
      <w:bookmarkStart w:id="177" w:name="_Toc385427844"/>
      <w:bookmarkStart w:id="178" w:name="_Toc1869"/>
      <w:bookmarkStart w:id="179" w:name="_Toc17901"/>
      <w:bookmarkStart w:id="180" w:name="_Toc828"/>
      <w:bookmarkStart w:id="181" w:name="_Toc370933861"/>
      <w:bookmarkStart w:id="182" w:name="_Toc2076"/>
      <w:bookmarkStart w:id="183" w:name="_Toc7187"/>
      <w:bookmarkStart w:id="184" w:name="_Toc24887"/>
      <w:bookmarkStart w:id="185" w:name="_Toc25750641"/>
      <w:bookmarkStart w:id="186" w:name="_Toc492478769"/>
      <w:bookmarkStart w:id="187" w:name="_Toc390098470"/>
      <w:bookmarkStart w:id="188" w:name="_Toc21755"/>
      <w:bookmarkStart w:id="189" w:name="_Toc318"/>
      <w:bookmarkStart w:id="190" w:name="_Toc7460"/>
      <w:bookmarkStart w:id="191" w:name="_Toc20551"/>
      <w:bookmarkStart w:id="192" w:name="_Toc21848"/>
      <w:bookmarkStart w:id="193" w:name="_Toc29337"/>
      <w:bookmarkStart w:id="194" w:name="_Toc6777"/>
      <w:bookmarkStart w:id="195" w:name="_Toc25327"/>
      <w:r>
        <w:rPr>
          <w:rFonts w:hint="eastAsia" w:ascii="宋体" w:hAnsi="宋体"/>
          <w:b/>
          <w:color w:val="auto"/>
          <w:highlight w:val="none"/>
        </w:rPr>
        <w:t>7.履约担保</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cs="Arial"/>
          <w:color w:val="auto"/>
          <w:highlight w:val="none"/>
        </w:rPr>
      </w:pP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7.1在合同签订前，乙方应向甲方提供履约担保，履约担保金额为中标价格的5%，履约担保可以采用转账或电汇或银行保函或履约保证金的形式。</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乙方通过银行电汇或转账的形式提交履约保证金的，从基本账户中递交至甲方指定账户。履约保函应采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合同总价万分之五违约金。</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7.3履约担保币种应为人民币。</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7.4乙方提交履约担保所产生的费用由乙方承担。</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7.5如果在有效期内乙方不能履行其在合同项下的义务，则乙方应承担相应的违约责任，同时甲方有权用履约担保的资金补偿其任何损失或有权通过银行保函追索，但其剩余的履约担保仍应满足中标价格5%，乙方应及时补足担保金额，每逾期一天，按照应补未补部分的千分之三向甲方支付违约金，甲方有权在货款中扣留。</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7.6履约担保在本合同结束后，根据履约期间甲方的索赔情况，将剩余履约担保款项无息退还乙方。</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7.7若发生以下情形，甲方将不退还履约保证金：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7.7.1在合同履行期间，乙方明确表示或者以自己的行为表明不履行主要义务的；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7.7.2乙方迟延履行主要义务，经催告后在合理期限内仍未履行的；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7.7.3乙方履行的义务不符合合同约定，经甲方催告后未在合理期限内整改完毕的；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7.7.4乙方其他违约行为导致合同解除或终止的；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7.7.5乙方缴纳的履约保证金无法全部满足其应当支付的违约金、任何必要费用及损失补偿的。</w:t>
      </w:r>
    </w:p>
    <w:p>
      <w:pPr>
        <w:tabs>
          <w:tab w:val="left" w:pos="640"/>
          <w:tab w:val="left" w:pos="1843"/>
        </w:tabs>
        <w:spacing w:before="0" w:after="0" w:afterAutospacing="0"/>
        <w:ind w:left="422" w:right="0" w:firstLine="0"/>
        <w:outlineLvl w:val="1"/>
        <w:rPr>
          <w:rFonts w:hint="eastAsia" w:ascii="宋体" w:hAnsi="宋体"/>
          <w:b/>
          <w:color w:val="auto"/>
          <w:highlight w:val="none"/>
        </w:rPr>
      </w:pPr>
      <w:r>
        <w:rPr>
          <w:rFonts w:hint="eastAsia" w:ascii="宋体" w:hAnsi="宋体"/>
          <w:sz w:val="21"/>
          <w:szCs w:val="21"/>
          <w:highlight w:val="none"/>
          <w:lang w:val="en-US" w:eastAsia="zh-CN"/>
        </w:rPr>
        <w:t>7.8 若发生7.7.5条情形，如乙方中标甲方除本项目外的其他项目，且已缴纳履约保证金的，则甲方有权在乙方缴纳的其他项目履约保证金中直接扣除剩余费用，直至全部满足本合同项下乙方需支付的违约金、赔偿金、任何必要费用及损失补偿。（包括但不限于因乙方违约，导致甲方紧急采购产生的额外采购费用、甲方可得利益损失等）”。</w:t>
      </w:r>
      <w:bookmarkStart w:id="196" w:name="_Toc25750642"/>
      <w:bookmarkStart w:id="197" w:name="_Toc25873"/>
      <w:bookmarkStart w:id="198" w:name="_Toc20550"/>
      <w:bookmarkStart w:id="199" w:name="_Toc20899"/>
      <w:bookmarkStart w:id="200" w:name="_Toc2613"/>
      <w:bookmarkStart w:id="201" w:name="_Toc20252"/>
      <w:bookmarkStart w:id="202" w:name="_Toc12113"/>
      <w:bookmarkStart w:id="203" w:name="_Toc97"/>
      <w:bookmarkStart w:id="204" w:name="_Toc27590"/>
      <w:bookmarkStart w:id="205" w:name="_Toc30234"/>
      <w:bookmarkStart w:id="206" w:name="_Toc15512"/>
      <w:bookmarkStart w:id="207" w:name="_Toc31795"/>
      <w:bookmarkStart w:id="208" w:name="_Toc32711"/>
      <w:bookmarkStart w:id="209" w:name="_Toc26034"/>
      <w:bookmarkStart w:id="210" w:name="_Toc5676"/>
      <w:bookmarkStart w:id="211" w:name="_Toc29729"/>
      <w:bookmarkStart w:id="212" w:name="_Toc32382"/>
      <w:bookmarkStart w:id="213" w:name="_Toc7801"/>
      <w:bookmarkStart w:id="214" w:name="_Toc1990"/>
      <w:bookmarkStart w:id="215" w:name="_Toc21872"/>
    </w:p>
    <w:p>
      <w:pPr>
        <w:tabs>
          <w:tab w:val="left" w:pos="640"/>
          <w:tab w:val="left" w:pos="1843"/>
        </w:tabs>
        <w:spacing w:before="0" w:after="0" w:afterAutospacing="0"/>
        <w:ind w:left="422" w:right="0" w:firstLine="0"/>
        <w:outlineLvl w:val="1"/>
        <w:rPr>
          <w:rFonts w:ascii="宋体" w:hAnsi="宋体"/>
          <w:b/>
          <w:color w:val="auto"/>
          <w:highlight w:val="none"/>
        </w:rPr>
      </w:pPr>
      <w:r>
        <w:rPr>
          <w:rFonts w:hint="eastAsia" w:ascii="宋体" w:hAnsi="宋体"/>
          <w:b/>
          <w:color w:val="auto"/>
          <w:highlight w:val="none"/>
        </w:rPr>
        <w:t>8.检验</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highlight w:val="none"/>
          <w:lang w:eastAsia="zh-CN"/>
        </w:rPr>
        <w:t>南宁轨道交通运营有限公司</w:t>
      </w:r>
      <w:r>
        <w:rPr>
          <w:rFonts w:hint="eastAsia" w:ascii="宋体" w:hAnsi="宋体"/>
          <w:color w:val="auto"/>
          <w:highlight w:val="none"/>
        </w:rPr>
        <w:t>”，检验产生的所有费用包含在项目报价中。中华人民共和国强制检定的工作计量器具明细目录内的仪器仪表必须出具第三方计量检定报告。（如有）</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highlight w:val="none"/>
          <w:lang w:eastAsia="zh-CN"/>
        </w:rPr>
        <w:t>南宁轨道交通运营有限公司</w:t>
      </w:r>
      <w:r>
        <w:rPr>
          <w:rFonts w:hint="eastAsia" w:ascii="宋体" w:hAnsi="宋体"/>
          <w:color w:val="auto"/>
          <w:highlight w:val="none"/>
        </w:rPr>
        <w:t>”，检验产生的所有费用包含在项目报价中。（如有）</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甲方负责的部分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甲方参加到货检查、开箱检验等工作直至</w:t>
      </w:r>
      <w:r>
        <w:rPr>
          <w:rFonts w:hint="eastAsia" w:ascii="宋体" w:hAnsi="宋体" w:cs="Arial"/>
          <w:color w:val="auto"/>
          <w:highlight w:val="none"/>
        </w:rPr>
        <w:t>全部项目验收合格</w:t>
      </w:r>
      <w:r>
        <w:rPr>
          <w:rFonts w:hint="eastAsia" w:ascii="宋体" w:hAnsi="宋体"/>
          <w:color w:val="auto"/>
          <w:highlight w:val="none"/>
        </w:rPr>
        <w:t>。</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为检验提供货物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检验和验收过程中涉及的赔偿条款在合同条款第</w:t>
      </w:r>
      <w:r>
        <w:rPr>
          <w:rFonts w:ascii="宋体" w:hAnsi="宋体"/>
          <w:color w:val="auto"/>
          <w:highlight w:val="none"/>
        </w:rPr>
        <w:t>3</w:t>
      </w:r>
      <w:r>
        <w:rPr>
          <w:rFonts w:hint="eastAsia" w:ascii="宋体" w:hAnsi="宋体"/>
          <w:color w:val="auto"/>
          <w:highlight w:val="none"/>
        </w:rPr>
        <w:t>2条中规定。</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highlight w:val="none"/>
        </w:rPr>
      </w:pPr>
      <w:bookmarkStart w:id="216" w:name="_Toc370933863"/>
      <w:bookmarkStart w:id="217" w:name="_Toc492478771"/>
      <w:bookmarkStart w:id="218" w:name="_Toc23750"/>
      <w:bookmarkStart w:id="219" w:name="_Toc25750643"/>
      <w:bookmarkStart w:id="220" w:name="_Toc26036"/>
      <w:bookmarkStart w:id="221" w:name="_Toc390098472"/>
      <w:bookmarkStart w:id="222" w:name="_Toc1637"/>
      <w:bookmarkStart w:id="223" w:name="_Toc6736"/>
      <w:bookmarkStart w:id="224" w:name="_Toc4089"/>
      <w:bookmarkStart w:id="225" w:name="_Toc13241"/>
      <w:bookmarkStart w:id="226" w:name="_Toc8820"/>
      <w:bookmarkStart w:id="227" w:name="_Toc8743"/>
      <w:bookmarkStart w:id="228" w:name="_Toc19218"/>
      <w:bookmarkStart w:id="229" w:name="_Toc15424"/>
      <w:bookmarkStart w:id="230" w:name="_Toc17673"/>
      <w:bookmarkStart w:id="231" w:name="_Toc4466"/>
      <w:bookmarkStart w:id="232" w:name="_Toc378514960"/>
      <w:bookmarkStart w:id="233" w:name="_Toc385427846"/>
      <w:bookmarkStart w:id="234" w:name="_Toc22940"/>
      <w:bookmarkStart w:id="235" w:name="_Toc15199"/>
      <w:bookmarkStart w:id="236" w:name="_Toc28074"/>
      <w:bookmarkStart w:id="237" w:name="_Toc489"/>
      <w:bookmarkStart w:id="238" w:name="_Toc17625"/>
      <w:bookmarkStart w:id="239" w:name="_Toc16105"/>
      <w:bookmarkStart w:id="240" w:name="_Toc24667"/>
      <w:r>
        <w:rPr>
          <w:rFonts w:hint="eastAsia" w:ascii="宋体" w:hAnsi="宋体"/>
          <w:b/>
          <w:color w:val="auto"/>
          <w:highlight w:val="none"/>
        </w:rPr>
        <w:t>9.包装</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241" w:name="_Toc11827"/>
      <w:bookmarkStart w:id="242" w:name="_Toc1828"/>
      <w:bookmarkStart w:id="243" w:name="_Toc24077"/>
      <w:bookmarkStart w:id="244" w:name="_Toc25234"/>
      <w:bookmarkStart w:id="245" w:name="_Toc21387"/>
      <w:bookmarkStart w:id="246" w:name="_Toc31936"/>
      <w:bookmarkStart w:id="247" w:name="_Toc15856"/>
      <w:bookmarkStart w:id="248" w:name="_Toc14727"/>
      <w:bookmarkStart w:id="249" w:name="_Toc390098473"/>
      <w:bookmarkStart w:id="250" w:name="_Toc14492"/>
      <w:bookmarkStart w:id="251" w:name="_Toc9928"/>
      <w:bookmarkStart w:id="252" w:name="_Toc29215"/>
      <w:bookmarkStart w:id="253" w:name="_Toc378514961"/>
      <w:bookmarkStart w:id="254" w:name="_Toc25134"/>
      <w:bookmarkStart w:id="255" w:name="_Toc1543"/>
      <w:bookmarkStart w:id="256" w:name="_Toc25750644"/>
      <w:bookmarkStart w:id="257" w:name="_Toc20949"/>
      <w:bookmarkStart w:id="258" w:name="_Toc385427847"/>
      <w:bookmarkStart w:id="259" w:name="_Toc492478772"/>
      <w:bookmarkStart w:id="260" w:name="_Toc7316"/>
      <w:bookmarkStart w:id="261" w:name="_Toc370933864"/>
      <w:bookmarkStart w:id="262" w:name="_Toc30933"/>
      <w:bookmarkStart w:id="263" w:name="_Toc18168"/>
      <w:bookmarkStart w:id="264" w:name="_Toc6233"/>
      <w:bookmarkStart w:id="265" w:name="_Toc3212"/>
      <w:r>
        <w:rPr>
          <w:rFonts w:hint="eastAsia" w:ascii="宋体" w:hAnsi="宋体"/>
          <w:b/>
          <w:color w:val="auto"/>
          <w:highlight w:val="none"/>
        </w:rPr>
        <w:t>10交货和单据</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交货期：</w:t>
      </w:r>
      <w:r>
        <w:rPr>
          <w:rFonts w:hint="default"/>
          <w:b w:val="0"/>
          <w:bCs w:val="0"/>
          <w:color w:val="auto"/>
          <w:highlight w:val="none"/>
          <w:u w:val="none"/>
        </w:rPr>
        <w:t xml:space="preserve">合同签订之日起 </w:t>
      </w:r>
      <w:r>
        <w:rPr>
          <w:rFonts w:hint="eastAsia"/>
          <w:b w:val="0"/>
          <w:bCs w:val="0"/>
          <w:color w:val="auto"/>
          <w:highlight w:val="none"/>
          <w:u w:val="none"/>
          <w:lang w:val="en-US" w:eastAsia="zh-CN"/>
        </w:rPr>
        <w:t>60</w:t>
      </w:r>
      <w:r>
        <w:rPr>
          <w:rFonts w:hint="default"/>
          <w:b w:val="0"/>
          <w:bCs w:val="0"/>
          <w:color w:val="auto"/>
          <w:highlight w:val="none"/>
          <w:u w:val="none"/>
        </w:rPr>
        <w:t>天完成供货</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val="en-US" w:eastAsia="zh-CN"/>
        </w:rPr>
        <w:t>原则上</w:t>
      </w:r>
      <w:r>
        <w:rPr>
          <w:rFonts w:hint="eastAsia" w:ascii="宋体" w:hAnsi="宋体"/>
          <w:color w:val="auto"/>
          <w:highlight w:val="none"/>
        </w:rPr>
        <w:t>不得超过</w:t>
      </w:r>
      <w:r>
        <w:rPr>
          <w:rFonts w:ascii="宋体" w:hAnsi="宋体"/>
          <w:color w:val="auto"/>
          <w:highlight w:val="none"/>
        </w:rPr>
        <w:t>6</w:t>
      </w:r>
      <w:r>
        <w:rPr>
          <w:rFonts w:hint="eastAsia" w:ascii="宋体" w:hAnsi="宋体"/>
          <w:color w:val="auto"/>
          <w:highlight w:val="none"/>
        </w:rPr>
        <w:t>个月。具体详见用户需求书。</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ascii="宋体" w:hAnsi="宋体"/>
          <w:color w:val="auto"/>
          <w:highlight w:val="none"/>
        </w:rPr>
        <w:t>/</w:t>
      </w:r>
      <w:r>
        <w:rPr>
          <w:rFonts w:hint="eastAsia" w:ascii="宋体" w:hAnsi="宋体"/>
          <w:color w:val="auto"/>
          <w:highlight w:val="none"/>
        </w:rPr>
        <w:t>或其他单据执行合同条款的具体规定。</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highlight w:val="none"/>
        </w:rPr>
        <w:t>。</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bookmarkStart w:id="266" w:name="_Toc22446"/>
      <w:bookmarkStart w:id="267" w:name="_Toc11528"/>
      <w:bookmarkStart w:id="268" w:name="_Toc22801"/>
      <w:bookmarkStart w:id="269" w:name="_Toc18844"/>
      <w:bookmarkStart w:id="270" w:name="_Toc9877"/>
      <w:bookmarkStart w:id="271" w:name="_Toc378514962"/>
      <w:bookmarkStart w:id="272" w:name="_Toc10285"/>
      <w:bookmarkStart w:id="273" w:name="_Toc25750645"/>
      <w:bookmarkStart w:id="274" w:name="_Toc2014"/>
      <w:bookmarkStart w:id="275" w:name="_Toc370933865"/>
      <w:bookmarkStart w:id="276" w:name="_Toc23906"/>
      <w:bookmarkStart w:id="277" w:name="_Toc492478773"/>
      <w:bookmarkStart w:id="278" w:name="_Toc3042"/>
      <w:bookmarkStart w:id="279" w:name="_Toc23157"/>
      <w:bookmarkStart w:id="280" w:name="_Toc25434"/>
      <w:bookmarkStart w:id="281" w:name="_Toc11638"/>
      <w:bookmarkStart w:id="282" w:name="_Toc385427848"/>
      <w:bookmarkStart w:id="283" w:name="_Toc390098474"/>
      <w:bookmarkStart w:id="284" w:name="_Toc14212"/>
      <w:bookmarkStart w:id="285" w:name="_Toc26573"/>
      <w:bookmarkStart w:id="286" w:name="_Toc20395"/>
      <w:bookmarkStart w:id="287" w:name="_Toc3365"/>
      <w:bookmarkStart w:id="288" w:name="_Toc23304"/>
      <w:bookmarkStart w:id="289" w:name="_Toc29174"/>
      <w:r>
        <w:rPr>
          <w:rFonts w:hint="eastAsia" w:ascii="宋体" w:hAnsi="宋体"/>
          <w:color w:val="auto"/>
          <w:highlight w:val="none"/>
          <w:lang w:val="en-US" w:eastAsia="zh-CN"/>
        </w:rPr>
        <w:t xml:space="preserve"> 安装、调试</w:t>
      </w:r>
      <w:r>
        <w:rPr>
          <w:rFonts w:hint="eastAsia" w:ascii="宋体" w:hAnsi="宋体"/>
          <w:color w:val="auto"/>
          <w:highlight w:val="none"/>
          <w:lang w:eastAsia="zh-CN"/>
        </w:rPr>
        <w:t>期：</w:t>
      </w:r>
      <w:r>
        <w:rPr>
          <w:rFonts w:hint="eastAsia" w:ascii="宋体" w:hAnsi="宋体"/>
          <w:color w:val="auto"/>
          <w:highlight w:val="none"/>
          <w:lang w:val="en-US" w:eastAsia="zh-CN"/>
        </w:rPr>
        <w:t>15天内（以实际到货时间为计算），如遇不可抗拒因素可适当延长，延长情况以乙方提供的证明材料为准，原则上不得超过30天。</w:t>
      </w:r>
    </w:p>
    <w:p>
      <w:pPr>
        <w:tabs>
          <w:tab w:val="left" w:pos="840"/>
          <w:tab w:val="left" w:pos="1843"/>
        </w:tabs>
        <w:spacing w:before="0" w:after="0" w:afterAutospacing="0"/>
        <w:ind w:left="422" w:right="0" w:firstLine="0"/>
        <w:outlineLvl w:val="1"/>
        <w:rPr>
          <w:rFonts w:ascii="宋体" w:hAnsi="宋体"/>
          <w:b/>
          <w:color w:val="auto"/>
          <w:highlight w:val="none"/>
        </w:rPr>
      </w:pPr>
      <w:bookmarkStart w:id="290" w:name="_Toc7823"/>
      <w:r>
        <w:rPr>
          <w:rFonts w:hint="eastAsia" w:ascii="宋体" w:hAnsi="宋体"/>
          <w:b/>
          <w:color w:val="auto"/>
          <w:highlight w:val="none"/>
        </w:rPr>
        <w:t>11.所有权与风险转移</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numPr>
          <w:ilvl w:val="1"/>
          <w:numId w:val="10"/>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0"/>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0"/>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0"/>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highlight w:val="none"/>
        </w:rPr>
      </w:pPr>
      <w:bookmarkStart w:id="291" w:name="_Toc1991"/>
      <w:bookmarkStart w:id="292" w:name="_Toc26828"/>
      <w:bookmarkStart w:id="293" w:name="_Toc2366"/>
      <w:bookmarkStart w:id="294" w:name="_Toc31008"/>
      <w:bookmarkStart w:id="295" w:name="_Toc3640"/>
      <w:bookmarkStart w:id="296" w:name="_Toc28122"/>
      <w:bookmarkStart w:id="297" w:name="_Toc26080"/>
      <w:bookmarkStart w:id="298" w:name="_Toc22984"/>
      <w:bookmarkStart w:id="299" w:name="_Toc25750646"/>
      <w:bookmarkStart w:id="300" w:name="_Toc28032"/>
      <w:bookmarkStart w:id="301" w:name="_Toc5330"/>
      <w:bookmarkStart w:id="302" w:name="_Toc390098476"/>
      <w:bookmarkStart w:id="303" w:name="_Toc18847"/>
      <w:bookmarkStart w:id="304" w:name="_Toc12408"/>
      <w:bookmarkStart w:id="305" w:name="_Toc492478775"/>
      <w:bookmarkStart w:id="306" w:name="_Toc5445"/>
      <w:bookmarkStart w:id="307" w:name="_Toc5208"/>
      <w:bookmarkStart w:id="308" w:name="_Toc13663"/>
      <w:bookmarkStart w:id="309" w:name="_Toc378514964"/>
      <w:bookmarkStart w:id="310" w:name="_Toc17205"/>
      <w:bookmarkStart w:id="311" w:name="_Toc370933867"/>
      <w:bookmarkStart w:id="312" w:name="_Toc20300"/>
      <w:bookmarkStart w:id="313" w:name="_Toc22558"/>
      <w:bookmarkStart w:id="314" w:name="_Toc28209"/>
      <w:bookmarkStart w:id="315" w:name="_Toc385427850"/>
      <w:r>
        <w:rPr>
          <w:rFonts w:hint="eastAsia" w:ascii="宋体" w:hAnsi="宋体"/>
          <w:b/>
          <w:color w:val="auto"/>
          <w:highlight w:val="none"/>
        </w:rPr>
        <w:t>12.运输</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hint="eastAsia" w:ascii="宋体" w:hAnsi="宋体"/>
          <w:color w:val="auto"/>
          <w:highlight w:val="none"/>
          <w:u w:val="single"/>
        </w:rPr>
        <w:t>7天</w:t>
      </w:r>
      <w:r>
        <w:rPr>
          <w:rFonts w:hint="eastAsia" w:ascii="宋体" w:hAnsi="宋体"/>
          <w:color w:val="auto"/>
          <w:highlight w:val="none"/>
        </w:rPr>
        <w:t>通知甲方。</w:t>
      </w:r>
    </w:p>
    <w:p>
      <w:pPr>
        <w:numPr>
          <w:ilvl w:val="0"/>
          <w:numId w:val="11"/>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highlight w:val="none"/>
        </w:rPr>
      </w:pPr>
      <w:bookmarkStart w:id="316" w:name="_Toc378514965"/>
      <w:bookmarkStart w:id="317" w:name="_Toc28552"/>
      <w:bookmarkStart w:id="318" w:name="_Toc18029"/>
      <w:bookmarkStart w:id="319" w:name="_Toc23976"/>
      <w:bookmarkStart w:id="320" w:name="_Toc25750647"/>
      <w:bookmarkStart w:id="321" w:name="_Toc13163"/>
      <w:bookmarkStart w:id="322" w:name="_Toc10639"/>
      <w:bookmarkStart w:id="323" w:name="_Toc25004"/>
      <w:bookmarkStart w:id="324" w:name="_Toc606"/>
      <w:bookmarkStart w:id="325" w:name="_Toc23350"/>
      <w:bookmarkStart w:id="326" w:name="_Toc7764"/>
      <w:bookmarkStart w:id="327" w:name="_Toc10693"/>
      <w:bookmarkStart w:id="328" w:name="_Toc492478776"/>
      <w:bookmarkStart w:id="329" w:name="_Toc21300"/>
      <w:bookmarkStart w:id="330" w:name="_Toc385427851"/>
      <w:bookmarkStart w:id="331" w:name="_Toc370933868"/>
      <w:bookmarkStart w:id="332" w:name="_Toc28351"/>
      <w:bookmarkStart w:id="333" w:name="_Toc15819"/>
      <w:bookmarkStart w:id="334" w:name="_Toc2108"/>
      <w:bookmarkStart w:id="335" w:name="_Toc25594"/>
      <w:bookmarkStart w:id="336" w:name="_Toc20434"/>
      <w:bookmarkStart w:id="337" w:name="_Toc31553"/>
      <w:bookmarkStart w:id="338" w:name="_Toc1803"/>
      <w:bookmarkStart w:id="339" w:name="_Toc390098477"/>
      <w:bookmarkStart w:id="340" w:name="_Toc23523"/>
      <w:r>
        <w:rPr>
          <w:rFonts w:hint="eastAsia" w:ascii="宋体" w:hAnsi="宋体"/>
          <w:b/>
          <w:color w:val="auto"/>
          <w:highlight w:val="none"/>
        </w:rPr>
        <w:t>13.服务</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1"/>
          <w:numId w:val="12"/>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2"/>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2"/>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2"/>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2"/>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2"/>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highlight w:val="none"/>
        </w:rPr>
      </w:pPr>
      <w:bookmarkStart w:id="341" w:name="_Toc459797511"/>
      <w:bookmarkEnd w:id="341"/>
      <w:bookmarkStart w:id="342" w:name="_Toc459730452"/>
      <w:bookmarkEnd w:id="342"/>
      <w:bookmarkStart w:id="343" w:name="_Toc459730442"/>
      <w:bookmarkEnd w:id="343"/>
      <w:bookmarkStart w:id="344" w:name="_Toc459730449"/>
      <w:bookmarkEnd w:id="344"/>
      <w:bookmarkStart w:id="345" w:name="_Toc459730459"/>
      <w:bookmarkEnd w:id="345"/>
      <w:bookmarkStart w:id="346" w:name="_Toc459797507"/>
      <w:bookmarkEnd w:id="346"/>
      <w:bookmarkStart w:id="347" w:name="_Toc459797508"/>
      <w:bookmarkEnd w:id="347"/>
      <w:bookmarkStart w:id="348" w:name="_Toc459730443"/>
      <w:bookmarkEnd w:id="348"/>
      <w:bookmarkStart w:id="349" w:name="_Toc459797503"/>
      <w:bookmarkEnd w:id="349"/>
      <w:bookmarkStart w:id="350" w:name="_Toc459730450"/>
      <w:bookmarkEnd w:id="350"/>
      <w:bookmarkStart w:id="351" w:name="_Toc459730453"/>
      <w:bookmarkEnd w:id="351"/>
      <w:bookmarkStart w:id="352" w:name="_Toc459730454"/>
      <w:bookmarkEnd w:id="352"/>
      <w:bookmarkStart w:id="353" w:name="_Toc459797496"/>
      <w:bookmarkEnd w:id="353"/>
      <w:bookmarkStart w:id="354" w:name="_Toc459797510"/>
      <w:bookmarkEnd w:id="354"/>
      <w:bookmarkStart w:id="355" w:name="_Toc459797504"/>
      <w:bookmarkEnd w:id="355"/>
      <w:bookmarkStart w:id="356" w:name="_Toc459797501"/>
      <w:bookmarkEnd w:id="356"/>
      <w:bookmarkStart w:id="357" w:name="_Toc459797505"/>
      <w:bookmarkEnd w:id="357"/>
      <w:bookmarkStart w:id="358" w:name="_Toc459730451"/>
      <w:bookmarkEnd w:id="358"/>
      <w:bookmarkStart w:id="359" w:name="_Toc459730448"/>
      <w:bookmarkEnd w:id="359"/>
      <w:bookmarkStart w:id="360" w:name="_Toc459797500"/>
      <w:bookmarkEnd w:id="360"/>
      <w:bookmarkStart w:id="361" w:name="_Toc459797497"/>
      <w:bookmarkEnd w:id="361"/>
      <w:bookmarkStart w:id="362" w:name="_Toc459730447"/>
      <w:bookmarkEnd w:id="362"/>
      <w:bookmarkStart w:id="363" w:name="_Toc459797498"/>
      <w:bookmarkEnd w:id="363"/>
      <w:bookmarkStart w:id="364" w:name="_Toc459730456"/>
      <w:bookmarkEnd w:id="364"/>
      <w:bookmarkStart w:id="365" w:name="_Toc459730455"/>
      <w:bookmarkEnd w:id="365"/>
      <w:bookmarkStart w:id="366" w:name="_Toc459797506"/>
      <w:bookmarkEnd w:id="366"/>
      <w:bookmarkStart w:id="367" w:name="_Toc459730457"/>
      <w:bookmarkEnd w:id="367"/>
      <w:bookmarkStart w:id="368" w:name="_Toc459797509"/>
      <w:bookmarkEnd w:id="368"/>
      <w:bookmarkStart w:id="369" w:name="_Toc459797512"/>
      <w:bookmarkEnd w:id="369"/>
      <w:bookmarkStart w:id="370" w:name="_Toc459730458"/>
      <w:bookmarkEnd w:id="370"/>
      <w:bookmarkStart w:id="371" w:name="_Toc459730446"/>
      <w:bookmarkEnd w:id="371"/>
      <w:bookmarkStart w:id="372" w:name="_Toc459730445"/>
      <w:bookmarkEnd w:id="372"/>
      <w:bookmarkStart w:id="373" w:name="_Toc459797502"/>
      <w:bookmarkEnd w:id="373"/>
      <w:bookmarkStart w:id="374" w:name="_Toc459730444"/>
      <w:bookmarkEnd w:id="374"/>
      <w:bookmarkStart w:id="375" w:name="_Toc459797499"/>
      <w:bookmarkEnd w:id="375"/>
      <w:bookmarkStart w:id="376" w:name="_Toc459797495"/>
      <w:bookmarkEnd w:id="376"/>
      <w:bookmarkStart w:id="377" w:name="_Toc390098479"/>
      <w:bookmarkStart w:id="378" w:name="_Toc28676"/>
      <w:bookmarkStart w:id="379" w:name="_Toc14019"/>
      <w:bookmarkStart w:id="380" w:name="_Toc1101"/>
      <w:bookmarkStart w:id="381" w:name="_Toc8003"/>
      <w:bookmarkStart w:id="382" w:name="_Toc27587"/>
      <w:bookmarkStart w:id="383" w:name="_Toc19245"/>
      <w:bookmarkStart w:id="384" w:name="_Toc28755"/>
      <w:bookmarkStart w:id="385" w:name="_Toc10786"/>
      <w:bookmarkStart w:id="386" w:name="_Toc378514967"/>
      <w:bookmarkStart w:id="387" w:name="_Toc18790"/>
      <w:bookmarkStart w:id="388" w:name="_Toc20368"/>
      <w:bookmarkStart w:id="389" w:name="_Toc7041"/>
      <w:bookmarkStart w:id="390" w:name="_Toc29198"/>
      <w:bookmarkStart w:id="391" w:name="_Toc492478777"/>
      <w:bookmarkStart w:id="392" w:name="_Toc23897"/>
      <w:bookmarkStart w:id="393" w:name="_Toc370933870"/>
      <w:bookmarkStart w:id="394" w:name="_Toc10410"/>
      <w:bookmarkStart w:id="395" w:name="_Toc4379"/>
      <w:bookmarkStart w:id="396" w:name="_Toc26522"/>
      <w:bookmarkStart w:id="397" w:name="_Toc28005"/>
      <w:bookmarkStart w:id="398" w:name="_Toc19108"/>
      <w:bookmarkStart w:id="399" w:name="_Toc25253"/>
      <w:bookmarkStart w:id="400" w:name="_Toc25750648"/>
      <w:bookmarkStart w:id="401" w:name="_Toc385427853"/>
      <w:r>
        <w:rPr>
          <w:rFonts w:hint="eastAsia" w:ascii="宋体" w:hAnsi="宋体"/>
          <w:b/>
          <w:color w:val="auto"/>
          <w:highlight w:val="none"/>
        </w:rPr>
        <w:t>14.保证</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1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13"/>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13"/>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1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正常质量保证期为：安装调试完成经验收合格后</w:t>
      </w:r>
      <w:r>
        <w:rPr>
          <w:rFonts w:hint="eastAsia" w:ascii="宋体" w:hAnsi="宋体"/>
          <w:b/>
          <w:color w:val="auto"/>
          <w:highlight w:val="none"/>
          <w:u w:val="single"/>
          <w:lang w:val="en-US" w:eastAsia="zh-CN"/>
        </w:rPr>
        <w:t>12</w:t>
      </w:r>
      <w:r>
        <w:rPr>
          <w:rFonts w:hint="eastAsia" w:ascii="宋体" w:hAnsi="宋体"/>
          <w:b/>
          <w:color w:val="auto"/>
          <w:highlight w:val="none"/>
        </w:rPr>
        <w:t>个月（如中选人比选申请文件中承诺的质量保证期优于比选文件要求，按比选申请人承诺的质量保证期执行）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2在正常质量保证期内，乙方应对在合同条款之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（如中选人比选申请文件中承诺的质量保证期优于比选文件要求，按比选申请人承诺的质量保证期执行）</w:t>
      </w:r>
      <w:r>
        <w:rPr>
          <w:rFonts w:hint="eastAsia" w:ascii="宋体" w:hAnsi="宋体"/>
          <w:color w:val="auto"/>
          <w:highlight w:val="none"/>
        </w:rPr>
        <w:t>，全部项目验收合格之日起计算；提供免费上门维修（包含所有配件的更换及服务）及保养服务，正常质量保证期内至少每季度巡检一次。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w:t>
      </w:r>
      <w:r>
        <w:rPr>
          <w:rFonts w:hint="eastAsia" w:ascii="宋体" w:hAnsi="宋体"/>
          <w:color w:val="auto"/>
          <w:highlight w:val="none"/>
        </w:rPr>
        <w:t>（保质期为1年的，有效保质期须大于等于6个月）</w:t>
      </w:r>
      <w:r>
        <w:rPr>
          <w:rFonts w:ascii="宋体" w:hAnsi="宋体"/>
          <w:color w:val="auto"/>
          <w:highlight w:val="none"/>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6乙方提供的货物必须是全新原装正品，质量保证期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w:t>
      </w:r>
      <w:r>
        <w:rPr>
          <w:rFonts w:hint="eastAsia" w:ascii="宋体" w:hAnsi="宋体"/>
          <w:color w:val="auto"/>
          <w:highlight w:val="none"/>
        </w:rPr>
        <w:t>2条规定的时间内没有以合理的速度弥补缺陷，甲方可采取必要的补救措施，但其风险和费用将由乙方承担，甲方根据合同规定对乙方行使的其他权力不受影响。</w:t>
      </w:r>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w:t>
      </w:r>
      <w:r>
        <w:rPr>
          <w:rFonts w:hint="eastAsia" w:ascii="宋体" w:hAnsi="宋体"/>
          <w:color w:val="auto"/>
          <w:highlight w:val="none"/>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3"/>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13"/>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3"/>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highlight w:val="none"/>
        </w:rPr>
      </w:pPr>
      <w:bookmarkStart w:id="402" w:name="_Toc385427854"/>
      <w:bookmarkStart w:id="403" w:name="_Toc886"/>
      <w:bookmarkStart w:id="404" w:name="_Toc1295"/>
      <w:bookmarkStart w:id="405" w:name="_Toc390098480"/>
      <w:bookmarkStart w:id="406" w:name="_Toc28560"/>
      <w:bookmarkStart w:id="407" w:name="_Toc492478778"/>
      <w:bookmarkStart w:id="408" w:name="_Toc30070"/>
      <w:bookmarkStart w:id="409" w:name="_Toc10552"/>
      <w:bookmarkStart w:id="410" w:name="_Toc13238"/>
      <w:bookmarkStart w:id="411" w:name="_Toc11315"/>
      <w:bookmarkStart w:id="412" w:name="_Toc23773"/>
      <w:bookmarkStart w:id="413" w:name="_Toc32206"/>
      <w:bookmarkStart w:id="414" w:name="_Toc378514968"/>
      <w:bookmarkStart w:id="415" w:name="_Toc16602"/>
      <w:bookmarkStart w:id="416" w:name="_Toc26721"/>
      <w:bookmarkStart w:id="417" w:name="_Toc370933871"/>
      <w:bookmarkStart w:id="418" w:name="_Toc19053"/>
      <w:bookmarkStart w:id="419" w:name="_Toc13916"/>
      <w:bookmarkStart w:id="420" w:name="_Toc23162"/>
      <w:bookmarkStart w:id="421" w:name="_Toc25750649"/>
      <w:bookmarkStart w:id="422" w:name="_Toc21624"/>
      <w:bookmarkStart w:id="423" w:name="_Toc3299"/>
      <w:bookmarkStart w:id="424" w:name="_Toc24420"/>
      <w:bookmarkStart w:id="425" w:name="_Toc10179"/>
      <w:bookmarkStart w:id="426" w:name="_Toc32188"/>
      <w:r>
        <w:rPr>
          <w:rFonts w:hint="eastAsia" w:ascii="宋体" w:hAnsi="宋体"/>
          <w:b/>
          <w:color w:val="auto"/>
          <w:highlight w:val="none"/>
        </w:rPr>
        <w:t>15.付款</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numPr>
          <w:ilvl w:val="1"/>
          <w:numId w:val="14"/>
        </w:numPr>
        <w:tabs>
          <w:tab w:val="left" w:pos="960"/>
          <w:tab w:val="left" w:pos="8364"/>
        </w:tabs>
        <w:spacing w:before="0" w:after="0" w:afterAutospacing="0"/>
        <w:ind w:left="0" w:right="0" w:firstLine="420" w:firstLineChars="200"/>
        <w:rPr>
          <w:rFonts w:ascii="宋体" w:hAnsi="宋体"/>
          <w:color w:val="auto"/>
          <w:highlight w:val="none"/>
        </w:rPr>
      </w:pPr>
      <w:bookmarkStart w:id="427" w:name="_Toc370933872"/>
      <w:bookmarkStart w:id="428" w:name="_Toc378514969"/>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14"/>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14"/>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付款方式。</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15.3.2全部项目验收合格后，乙方根据甲方要求完成档案归档及合同结算经甲方审定后，甲方在收到乙方提供的以下材料后4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③全部货物验收合格证明。</w:t>
      </w:r>
    </w:p>
    <w:p>
      <w:pPr>
        <w:pStyle w:val="2"/>
        <w:ind w:left="705" w:leftChars="200" w:hanging="285" w:hangingChars="136"/>
        <w:rPr>
          <w:rFonts w:hint="eastAsia" w:ascii="宋体" w:hAnsi="宋体" w:eastAsia="宋体" w:cs="Arial"/>
          <w:color w:val="auto"/>
          <w:sz w:val="21"/>
          <w:szCs w:val="21"/>
          <w:highlight w:val="none"/>
          <w:lang w:val="en-US" w:eastAsia="zh-CN" w:bidi="ar-SA"/>
        </w:rPr>
      </w:pPr>
      <w:r>
        <w:rPr>
          <w:rFonts w:hint="eastAsia" w:ascii="宋体" w:hAnsi="宋体" w:eastAsia="宋体" w:cs="Arial"/>
          <w:color w:val="auto"/>
          <w:sz w:val="21"/>
          <w:szCs w:val="21"/>
          <w:highlight w:val="none"/>
          <w:lang w:val="en-US" w:eastAsia="zh-CN" w:bidi="ar-SA"/>
        </w:rPr>
        <w:t>④全部项目验收合格证明</w:t>
      </w:r>
    </w:p>
    <w:p>
      <w:pPr>
        <w:pStyle w:val="2"/>
        <w:ind w:left="705" w:leftChars="200" w:hanging="285" w:hangingChars="136"/>
        <w:rPr>
          <w:color w:val="auto"/>
          <w:highlight w:val="none"/>
        </w:rPr>
      </w:pPr>
      <w:r>
        <w:rPr>
          <w:rFonts w:hint="eastAsia" w:ascii="宋体" w:hAnsi="宋体" w:eastAsia="宋体" w:cs="Arial"/>
          <w:color w:val="auto"/>
          <w:sz w:val="21"/>
          <w:szCs w:val="21"/>
          <w:highlight w:val="none"/>
          <w:lang w:val="en-US" w:eastAsia="zh-CN" w:bidi="ar-SA"/>
        </w:rPr>
        <w:t>⑤甲方出具的结算审定单</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15.3.3</w:t>
      </w:r>
      <w:r>
        <w:rPr>
          <w:rFonts w:hint="eastAsia" w:ascii="宋体" w:hAnsi="宋体" w:cs="Arial"/>
          <w:color w:val="auto"/>
          <w:highlight w:val="none"/>
          <w:lang w:eastAsia="zh-CN"/>
        </w:rPr>
        <w:t>项目完成并通过验收满一年</w:t>
      </w:r>
      <w:r>
        <w:rPr>
          <w:rFonts w:hint="eastAsia" w:ascii="宋体" w:hAnsi="宋体" w:cs="Arial"/>
          <w:color w:val="auto"/>
          <w:highlight w:val="none"/>
        </w:rPr>
        <w:t>，经甲方确认所有</w:t>
      </w:r>
      <w:r>
        <w:rPr>
          <w:rFonts w:hint="eastAsia" w:ascii="宋体" w:hAnsi="宋体" w:cs="Arial"/>
          <w:color w:val="auto"/>
          <w:highlight w:val="none"/>
          <w:lang w:eastAsia="zh-CN"/>
        </w:rPr>
        <w:t>项目</w:t>
      </w:r>
      <w:r>
        <w:rPr>
          <w:rFonts w:hint="eastAsia" w:ascii="宋体" w:hAnsi="宋体" w:cs="Arial"/>
          <w:color w:val="auto"/>
          <w:highlight w:val="none"/>
        </w:rPr>
        <w:t>均无质量问题或乙方已</w:t>
      </w:r>
      <w:r>
        <w:rPr>
          <w:rFonts w:hint="eastAsia" w:ascii="宋体" w:hAnsi="宋体" w:cs="Arial"/>
          <w:color w:val="auto"/>
          <w:highlight w:val="none"/>
          <w:lang w:eastAsia="zh-CN"/>
        </w:rPr>
        <w:t>整改完毕有质量问题的项目并</w:t>
      </w:r>
      <w:r>
        <w:rPr>
          <w:rFonts w:hint="eastAsia" w:ascii="宋体" w:hAnsi="宋体" w:cs="Arial"/>
          <w:color w:val="auto"/>
          <w:highlight w:val="none"/>
        </w:rPr>
        <w:t>经甲方确认合格后，甲方在收到由乙方提供的以下材料后4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w:t>
      </w:r>
      <w:r>
        <w:rPr>
          <w:rFonts w:hint="eastAsia" w:ascii="宋体" w:hAnsi="宋体" w:cs="Arial"/>
          <w:color w:val="auto"/>
          <w:highlight w:val="none"/>
          <w:lang w:eastAsia="zh-CN"/>
        </w:rPr>
        <w:t>质量</w:t>
      </w:r>
      <w:r>
        <w:rPr>
          <w:rFonts w:hint="eastAsia" w:ascii="宋体" w:hAnsi="宋体" w:cs="Arial"/>
          <w:color w:val="auto"/>
          <w:highlight w:val="none"/>
        </w:rPr>
        <w:t>合格证明。</w:t>
      </w:r>
    </w:p>
    <w:p>
      <w:pPr>
        <w:numPr>
          <w:ilvl w:val="1"/>
          <w:numId w:val="14"/>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840"/>
          <w:tab w:val="left" w:pos="1134"/>
        </w:tabs>
        <w:spacing w:before="0" w:after="0" w:afterAutospacing="0"/>
        <w:ind w:left="426" w:right="0" w:firstLine="0"/>
        <w:outlineLvl w:val="1"/>
        <w:rPr>
          <w:rFonts w:hint="eastAsia" w:ascii="宋体" w:hAnsi="宋体" w:cs="Arial"/>
          <w:color w:val="auto"/>
          <w:highlight w:val="none"/>
        </w:rPr>
      </w:pPr>
      <w:r>
        <w:rPr>
          <w:rFonts w:hint="eastAsia" w:ascii="宋体" w:hAnsi="宋体" w:cs="Arial"/>
          <w:color w:val="auto"/>
          <w:highlight w:val="none"/>
          <w:lang w:val="en-US" w:eastAsia="zh-CN"/>
        </w:rPr>
        <w:t>15.5</w:t>
      </w: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highlight w:val="none"/>
        </w:rPr>
        <w:t>。</w:t>
      </w:r>
      <w:bookmarkStart w:id="429" w:name="_Toc17299"/>
      <w:bookmarkStart w:id="430" w:name="_Toc22179"/>
      <w:bookmarkStart w:id="431" w:name="_Toc492478779"/>
      <w:bookmarkStart w:id="432" w:name="_Toc9852"/>
      <w:bookmarkStart w:id="433" w:name="_Toc12729"/>
      <w:bookmarkStart w:id="434" w:name="_Toc18890"/>
      <w:bookmarkStart w:id="435" w:name="_Toc26222"/>
      <w:bookmarkStart w:id="436" w:name="_Toc12979"/>
      <w:bookmarkStart w:id="437" w:name="_Toc27798"/>
      <w:bookmarkStart w:id="438" w:name="_Toc9642"/>
      <w:bookmarkStart w:id="439" w:name="_Toc25750650"/>
      <w:bookmarkStart w:id="440" w:name="_Toc30094"/>
      <w:bookmarkStart w:id="441" w:name="_Toc4697"/>
      <w:bookmarkStart w:id="442" w:name="_Toc2957"/>
      <w:bookmarkStart w:id="443" w:name="_Toc16641"/>
      <w:bookmarkStart w:id="444" w:name="_Toc13281"/>
      <w:bookmarkStart w:id="445" w:name="_Toc28757"/>
      <w:bookmarkStart w:id="446" w:name="_Toc24274"/>
      <w:bookmarkStart w:id="447" w:name="_Toc390098481"/>
      <w:bookmarkStart w:id="448" w:name="_Toc18054"/>
      <w:bookmarkStart w:id="449" w:name="_Toc2069"/>
      <w:bookmarkStart w:id="450" w:name="_Toc385427855"/>
      <w:bookmarkStart w:id="451" w:name="_Toc19387"/>
    </w:p>
    <w:p>
      <w:pPr>
        <w:tabs>
          <w:tab w:val="left" w:pos="840"/>
          <w:tab w:val="left" w:pos="1134"/>
        </w:tabs>
        <w:spacing w:before="0" w:after="0" w:afterAutospacing="0"/>
        <w:ind w:left="426" w:right="0" w:firstLine="0"/>
        <w:outlineLvl w:val="1"/>
        <w:rPr>
          <w:rFonts w:ascii="宋体" w:hAnsi="宋体"/>
          <w:color w:val="auto"/>
          <w:highlight w:val="none"/>
        </w:rPr>
      </w:pPr>
      <w:r>
        <w:rPr>
          <w:rFonts w:hint="eastAsia" w:ascii="宋体" w:hAnsi="宋体"/>
          <w:b/>
          <w:color w:val="auto"/>
          <w:highlight w:val="none"/>
        </w:rPr>
        <w:t>16.价格</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其中1号线价格：不含税价：人民币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rPr>
        <w:t>2号线价格：不含税价：不含税价：人民币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15"/>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16"/>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16"/>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16"/>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16"/>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16"/>
        </w:num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
      </w:pPr>
      <w:bookmarkStart w:id="452" w:name="_Toc25441"/>
      <w:bookmarkStart w:id="453" w:name="_Toc32028"/>
      <w:bookmarkStart w:id="454" w:name="_Toc27489"/>
      <w:bookmarkStart w:id="455" w:name="_Toc29593"/>
      <w:bookmarkStart w:id="456" w:name="_Toc385427856"/>
      <w:bookmarkStart w:id="457" w:name="_Toc14851"/>
      <w:bookmarkStart w:id="458" w:name="_Toc2295"/>
      <w:bookmarkStart w:id="459" w:name="_Toc21856"/>
      <w:bookmarkStart w:id="460" w:name="_Toc25230"/>
      <w:bookmarkStart w:id="461" w:name="_Toc31650"/>
      <w:bookmarkStart w:id="462" w:name="_Toc30611"/>
      <w:bookmarkStart w:id="463" w:name="_Toc370933873"/>
      <w:bookmarkStart w:id="464" w:name="_Toc378514970"/>
      <w:bookmarkStart w:id="465" w:name="_Toc390098482"/>
      <w:bookmarkStart w:id="466" w:name="_Toc29106"/>
      <w:bookmarkStart w:id="467" w:name="_Toc25750651"/>
      <w:bookmarkStart w:id="468" w:name="_Toc10545"/>
      <w:bookmarkStart w:id="469" w:name="_Toc26418"/>
      <w:bookmarkStart w:id="470" w:name="_Toc24113"/>
      <w:bookmarkStart w:id="471" w:name="_Toc6771"/>
      <w:bookmarkStart w:id="472" w:name="_Toc769"/>
      <w:bookmarkStart w:id="473" w:name="_Toc3558"/>
      <w:bookmarkStart w:id="474" w:name="_Toc12825"/>
      <w:bookmarkStart w:id="475" w:name="_Toc492478780"/>
      <w:bookmarkStart w:id="476" w:name="_Toc23070"/>
      <w:r>
        <w:rPr>
          <w:rFonts w:hint="eastAsia" w:ascii="宋体" w:hAnsi="宋体"/>
          <w:b/>
          <w:color w:val="auto"/>
          <w:highlight w:val="none"/>
        </w:rPr>
        <w:t>17.合同变更与修改</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numPr>
          <w:ilvl w:val="1"/>
          <w:numId w:val="1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1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1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1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1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1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1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1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1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1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color w:val="auto"/>
          <w:highlight w:val="none"/>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1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1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0" w:afterAutospacing="0"/>
        <w:ind w:left="0"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1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17.8.3.1 根据合同规定的原则计出总价；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17.8.3.4 根据合同规定的相应成本确定；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17.8.3.5 根据当时的市场价格计算。</w:t>
      </w:r>
    </w:p>
    <w:p>
      <w:pPr>
        <w:numPr>
          <w:ilvl w:val="1"/>
          <w:numId w:val="1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6的预算为依据提出正式书面修改后才能开始实施这种变更。</w:t>
      </w:r>
    </w:p>
    <w:p>
      <w:pPr>
        <w:numPr>
          <w:ilvl w:val="1"/>
          <w:numId w:val="1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1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17.11.3乙方对合同价格调整的建议。</w:t>
      </w:r>
    </w:p>
    <w:p>
      <w:pPr>
        <w:tabs>
          <w:tab w:val="left" w:pos="1558"/>
        </w:tabs>
        <w:spacing w:before="0" w:after="0" w:afterAutospacing="0"/>
        <w:ind w:left="0"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highlight w:val="none"/>
        </w:rPr>
      </w:pPr>
      <w:bookmarkStart w:id="477" w:name="_Toc378514971"/>
      <w:bookmarkStart w:id="478" w:name="_Toc1259"/>
      <w:bookmarkStart w:id="479" w:name="_Toc27980"/>
      <w:bookmarkStart w:id="480" w:name="_Toc2307"/>
      <w:bookmarkStart w:id="481" w:name="_Toc28641"/>
      <w:bookmarkStart w:id="482" w:name="_Toc18239"/>
      <w:bookmarkStart w:id="483" w:name="_Toc370933874"/>
      <w:bookmarkStart w:id="484" w:name="_Toc4403"/>
      <w:bookmarkStart w:id="485" w:name="_Toc17820"/>
      <w:bookmarkStart w:id="486" w:name="_Toc21302"/>
      <w:bookmarkStart w:id="487" w:name="_Toc492478781"/>
      <w:bookmarkStart w:id="488" w:name="_Toc25965"/>
      <w:bookmarkStart w:id="489" w:name="_Toc390098483"/>
      <w:bookmarkStart w:id="490" w:name="_Toc3081"/>
      <w:bookmarkStart w:id="491" w:name="_Toc25195"/>
      <w:bookmarkStart w:id="492" w:name="_Toc29664"/>
      <w:bookmarkStart w:id="493" w:name="_Toc15094"/>
      <w:bookmarkStart w:id="494" w:name="_Toc29029"/>
      <w:bookmarkStart w:id="495" w:name="_Toc5188"/>
      <w:bookmarkStart w:id="496" w:name="_Toc24029"/>
      <w:bookmarkStart w:id="497" w:name="_Toc11895"/>
      <w:bookmarkStart w:id="498" w:name="_Toc16088"/>
      <w:bookmarkStart w:id="499" w:name="_Toc385427857"/>
      <w:bookmarkStart w:id="500" w:name="_Toc25750652"/>
      <w:bookmarkStart w:id="501" w:name="_Toc18453"/>
      <w:r>
        <w:rPr>
          <w:rFonts w:hint="eastAsia" w:ascii="宋体" w:hAnsi="宋体"/>
          <w:b/>
          <w:color w:val="auto"/>
          <w:highlight w:val="none"/>
        </w:rPr>
        <w:t>18.转让和分包</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18.2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0" w:afterAutospacing="0"/>
        <w:ind w:left="422" w:right="0" w:firstLine="0"/>
        <w:outlineLvl w:val="1"/>
        <w:rPr>
          <w:rFonts w:ascii="宋体" w:hAnsi="宋体"/>
          <w:b/>
          <w:color w:val="auto"/>
          <w:highlight w:val="none"/>
        </w:rPr>
      </w:pPr>
      <w:bookmarkStart w:id="502" w:name="_Toc24037"/>
      <w:bookmarkStart w:id="503" w:name="_Toc12432"/>
      <w:bookmarkStart w:id="504" w:name="_Toc21413"/>
      <w:bookmarkStart w:id="505" w:name="_Toc3130"/>
      <w:bookmarkStart w:id="506" w:name="_Toc25342"/>
      <w:bookmarkStart w:id="507" w:name="_Toc32343"/>
      <w:bookmarkStart w:id="508" w:name="_Toc16315"/>
      <w:bookmarkStart w:id="509" w:name="_Toc19987"/>
      <w:bookmarkStart w:id="510" w:name="_Toc492478782"/>
      <w:bookmarkStart w:id="511" w:name="_Toc25750653"/>
      <w:bookmarkStart w:id="512" w:name="_Toc6234"/>
      <w:bookmarkStart w:id="513" w:name="_Toc17755"/>
      <w:bookmarkStart w:id="514" w:name="_Toc13888"/>
      <w:bookmarkStart w:id="515" w:name="_Toc661"/>
      <w:bookmarkStart w:id="516" w:name="_Toc378514972"/>
      <w:bookmarkStart w:id="517" w:name="_Toc11530"/>
      <w:bookmarkStart w:id="518" w:name="_Toc13416"/>
      <w:bookmarkStart w:id="519" w:name="_Toc24065"/>
      <w:bookmarkStart w:id="520" w:name="_Toc390098484"/>
      <w:bookmarkStart w:id="521" w:name="_Toc4396"/>
      <w:bookmarkStart w:id="522" w:name="_Toc17029"/>
      <w:bookmarkStart w:id="523" w:name="_Toc385427858"/>
      <w:bookmarkStart w:id="524" w:name="_Toc18508"/>
      <w:bookmarkStart w:id="525" w:name="_Toc8696"/>
      <w:bookmarkStart w:id="526" w:name="_Toc370933875"/>
      <w:r>
        <w:rPr>
          <w:rFonts w:hint="eastAsia" w:ascii="宋体" w:hAnsi="宋体"/>
          <w:b/>
          <w:color w:val="auto"/>
          <w:highlight w:val="none"/>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numPr>
          <w:ilvl w:val="1"/>
          <w:numId w:val="19"/>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9"/>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19"/>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9"/>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19"/>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9"/>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19"/>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如果不可抗力的情况发生并因此根据民法典双方均被解除进一步履行合同，乙方的履约担保不被没收。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highlight w:val="none"/>
        </w:rPr>
      </w:pPr>
      <w:bookmarkStart w:id="527" w:name="_Toc18636"/>
      <w:bookmarkStart w:id="528" w:name="_Toc25750654"/>
      <w:r>
        <w:rPr>
          <w:rFonts w:hint="eastAsia" w:ascii="宋体" w:hAnsi="宋体"/>
          <w:b/>
          <w:color w:val="auto"/>
          <w:highlight w:val="none"/>
        </w:rPr>
        <w:t>20.</w:t>
      </w:r>
      <w:bookmarkStart w:id="529" w:name="_Toc492478783"/>
      <w:bookmarkStart w:id="530" w:name="_Toc4788"/>
      <w:bookmarkStart w:id="531" w:name="_Toc17808"/>
      <w:bookmarkStart w:id="532" w:name="_Toc13899"/>
      <w:bookmarkStart w:id="533" w:name="_Toc15746"/>
      <w:bookmarkStart w:id="534" w:name="_Toc378514973"/>
      <w:bookmarkStart w:id="535" w:name="_Toc25233"/>
      <w:bookmarkStart w:id="536" w:name="_Toc2649"/>
      <w:bookmarkStart w:id="537" w:name="_Toc4745"/>
      <w:bookmarkStart w:id="538" w:name="_Toc6046"/>
      <w:bookmarkStart w:id="539" w:name="_Toc10334"/>
      <w:bookmarkStart w:id="540" w:name="_Toc7028"/>
      <w:bookmarkStart w:id="541" w:name="_Toc28028"/>
      <w:bookmarkStart w:id="542" w:name="_Toc27564"/>
      <w:bookmarkStart w:id="543" w:name="_Toc22045"/>
      <w:bookmarkStart w:id="544" w:name="_Toc8769"/>
      <w:bookmarkStart w:id="545" w:name="_Toc385427859"/>
      <w:bookmarkStart w:id="546" w:name="_Toc19672"/>
      <w:bookmarkStart w:id="547" w:name="_Toc14033"/>
      <w:bookmarkStart w:id="548" w:name="_Toc19935"/>
      <w:bookmarkStart w:id="549" w:name="_Toc390098485"/>
      <w:bookmarkStart w:id="550" w:name="_Toc29383"/>
      <w:bookmarkStart w:id="551" w:name="_Toc370933876"/>
      <w:r>
        <w:rPr>
          <w:rFonts w:hint="eastAsia" w:ascii="宋体" w:hAnsi="宋体"/>
          <w:b/>
          <w:color w:val="auto"/>
          <w:highlight w:val="none"/>
        </w:rPr>
        <w:t>乙方履约展期</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numPr>
          <w:ilvl w:val="1"/>
          <w:numId w:val="20"/>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0"/>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w:t>
      </w:r>
      <w:r>
        <w:rPr>
          <w:rFonts w:hint="eastAsia" w:ascii="宋体" w:hAnsi="宋体"/>
          <w:color w:val="auto"/>
          <w:highlight w:val="none"/>
        </w:rPr>
        <w:t>7条中的变更；</w:t>
      </w:r>
    </w:p>
    <w:p>
      <w:pPr>
        <w:numPr>
          <w:ilvl w:val="1"/>
          <w:numId w:val="2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第19条所述之不可抗力；</w:t>
      </w:r>
    </w:p>
    <w:p>
      <w:pPr>
        <w:numPr>
          <w:ilvl w:val="1"/>
          <w:numId w:val="2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20"/>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w:t>
      </w:r>
      <w:r>
        <w:rPr>
          <w:rFonts w:hint="eastAsia" w:ascii="宋体" w:hAnsi="宋体"/>
          <w:color w:val="auto"/>
          <w:highlight w:val="none"/>
        </w:rPr>
        <w:t>0</w:t>
      </w:r>
      <w:r>
        <w:rPr>
          <w:rFonts w:ascii="宋体" w:hAnsi="宋体"/>
          <w:color w:val="auto"/>
          <w:highlight w:val="none"/>
        </w:rPr>
        <w:t>.2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highlight w:val="none"/>
        </w:rPr>
      </w:pPr>
      <w:bookmarkStart w:id="552" w:name="_Toc9033"/>
      <w:bookmarkStart w:id="553" w:name="_Toc492478784"/>
      <w:bookmarkStart w:id="554" w:name="_Toc19750"/>
      <w:bookmarkStart w:id="555" w:name="_Toc20929"/>
      <w:bookmarkStart w:id="556" w:name="_Toc18253"/>
      <w:bookmarkStart w:id="557" w:name="_Toc11763"/>
      <w:bookmarkStart w:id="558" w:name="_Toc24446"/>
      <w:bookmarkStart w:id="559" w:name="_Toc370933877"/>
      <w:bookmarkStart w:id="560" w:name="_Toc1527"/>
      <w:bookmarkStart w:id="561" w:name="_Toc16474"/>
      <w:bookmarkStart w:id="562" w:name="_Toc3952"/>
      <w:bookmarkStart w:id="563" w:name="_Toc25750655"/>
      <w:bookmarkStart w:id="564" w:name="_Toc9775"/>
      <w:bookmarkStart w:id="565" w:name="_Toc3388"/>
      <w:bookmarkStart w:id="566" w:name="_Toc378514974"/>
      <w:bookmarkStart w:id="567" w:name="_Toc26165"/>
      <w:bookmarkStart w:id="568" w:name="_Toc25987"/>
      <w:bookmarkStart w:id="569" w:name="_Toc28820"/>
      <w:bookmarkStart w:id="570" w:name="_Toc28565"/>
      <w:bookmarkStart w:id="571" w:name="_Toc18456"/>
      <w:bookmarkStart w:id="572" w:name="_Toc390098486"/>
      <w:bookmarkStart w:id="573" w:name="_Toc385427860"/>
      <w:bookmarkStart w:id="574" w:name="_Toc8598"/>
      <w:bookmarkStart w:id="575" w:name="_Toc3878"/>
      <w:bookmarkStart w:id="576" w:name="_Toc26944"/>
      <w:r>
        <w:rPr>
          <w:rFonts w:hint="eastAsia" w:ascii="宋体" w:hAnsi="宋体"/>
          <w:b/>
          <w:color w:val="auto"/>
          <w:highlight w:val="none"/>
        </w:rPr>
        <w:t>21.损失补偿</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numPr>
          <w:ilvl w:val="1"/>
          <w:numId w:val="22"/>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highlight w:val="none"/>
        </w:rPr>
        <w:t>22</w:t>
      </w:r>
      <w:r>
        <w:rPr>
          <w:rFonts w:hint="eastAsia" w:ascii="宋体" w:hAnsi="宋体"/>
          <w:color w:val="auto"/>
          <w:highlight w:val="none"/>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highlight w:val="none"/>
        </w:rPr>
      </w:pPr>
      <w:bookmarkStart w:id="577" w:name="_Toc15242"/>
      <w:bookmarkStart w:id="578" w:name="_Toc8146"/>
      <w:bookmarkStart w:id="579" w:name="_Toc11613"/>
      <w:bookmarkStart w:id="580" w:name="_Toc385427861"/>
      <w:bookmarkStart w:id="581" w:name="_Toc4252"/>
      <w:bookmarkStart w:id="582" w:name="_Toc370933878"/>
      <w:bookmarkStart w:id="583" w:name="_Toc390098487"/>
      <w:bookmarkStart w:id="584" w:name="_Toc4139"/>
      <w:bookmarkStart w:id="585" w:name="_Toc28076"/>
      <w:bookmarkStart w:id="586" w:name="_Toc10649"/>
      <w:bookmarkStart w:id="587" w:name="_Toc378514975"/>
      <w:bookmarkStart w:id="588" w:name="_Toc10900"/>
      <w:bookmarkStart w:id="589" w:name="_Toc12693"/>
      <w:bookmarkStart w:id="590" w:name="_Toc31151"/>
      <w:bookmarkStart w:id="591" w:name="_Toc6938"/>
      <w:bookmarkStart w:id="592" w:name="_Toc24190"/>
      <w:bookmarkStart w:id="593" w:name="_Toc11756"/>
      <w:bookmarkStart w:id="594" w:name="_Toc25945"/>
      <w:bookmarkStart w:id="595" w:name="_Toc8154"/>
      <w:bookmarkStart w:id="596" w:name="_Toc20303"/>
      <w:bookmarkStart w:id="597" w:name="_Toc492478785"/>
      <w:bookmarkStart w:id="598" w:name="_Toc10295"/>
      <w:bookmarkStart w:id="599" w:name="_Toc32687"/>
      <w:bookmarkStart w:id="600" w:name="_Toc25750656"/>
      <w:bookmarkStart w:id="601" w:name="_Toc26678"/>
      <w:r>
        <w:rPr>
          <w:rFonts w:ascii="宋体" w:hAnsi="宋体"/>
          <w:b/>
          <w:color w:val="auto"/>
          <w:highlight w:val="none"/>
        </w:rPr>
        <w:t>2</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拖期终止</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numPr>
          <w:ilvl w:val="1"/>
          <w:numId w:val="23"/>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如果乙方不能在合同规定的交货期内或甲方按第20条同意的延期期限内交货；</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2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23"/>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602" w:name="_Toc27804"/>
      <w:bookmarkStart w:id="603" w:name="_Toc9699"/>
      <w:bookmarkStart w:id="604" w:name="_Toc16606"/>
      <w:bookmarkStart w:id="605" w:name="_Toc26288"/>
      <w:bookmarkStart w:id="606" w:name="_Toc25750657"/>
      <w:bookmarkStart w:id="607" w:name="_Toc29284"/>
      <w:bookmarkStart w:id="608" w:name="_Toc370933879"/>
      <w:bookmarkStart w:id="609" w:name="_Toc19130"/>
      <w:bookmarkStart w:id="610" w:name="_Toc492478786"/>
      <w:bookmarkStart w:id="611" w:name="_Toc9989"/>
      <w:bookmarkStart w:id="612" w:name="_Toc18938"/>
      <w:bookmarkStart w:id="613" w:name="_Toc390098488"/>
      <w:bookmarkStart w:id="614" w:name="_Toc2356"/>
      <w:bookmarkStart w:id="615" w:name="_Toc18674"/>
      <w:bookmarkStart w:id="616" w:name="_Toc1299"/>
      <w:bookmarkStart w:id="617" w:name="_Toc10559"/>
      <w:bookmarkStart w:id="618" w:name="_Toc27131"/>
      <w:bookmarkStart w:id="619" w:name="_Toc19811"/>
      <w:bookmarkStart w:id="620" w:name="_Toc23635"/>
      <w:bookmarkStart w:id="621" w:name="_Toc378514976"/>
      <w:bookmarkStart w:id="622" w:name="_Toc17552"/>
      <w:bookmarkStart w:id="623" w:name="_Toc26166"/>
      <w:bookmarkStart w:id="624" w:name="_Toc385427862"/>
      <w:bookmarkStart w:id="625" w:name="_Toc13372"/>
      <w:bookmarkStart w:id="626" w:name="_Toc15636"/>
      <w:r>
        <w:rPr>
          <w:rFonts w:hint="eastAsia" w:ascii="宋体" w:hAnsi="宋体"/>
          <w:b/>
          <w:color w:val="auto"/>
          <w:highlight w:val="none"/>
        </w:rPr>
        <w:t>23.破产终止</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numPr>
          <w:ilvl w:val="1"/>
          <w:numId w:val="2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highlight w:val="none"/>
        </w:rPr>
      </w:pPr>
      <w:bookmarkStart w:id="627" w:name="_Toc14761"/>
      <w:bookmarkStart w:id="628" w:name="_Toc24054"/>
      <w:bookmarkStart w:id="629" w:name="_Toc385427863"/>
      <w:bookmarkStart w:id="630" w:name="_Toc370933880"/>
      <w:bookmarkStart w:id="631" w:name="_Toc24032"/>
      <w:bookmarkStart w:id="632" w:name="_Toc12574"/>
      <w:bookmarkStart w:id="633" w:name="_Toc5275"/>
      <w:bookmarkStart w:id="634" w:name="_Toc26669"/>
      <w:bookmarkStart w:id="635" w:name="_Toc390098489"/>
      <w:bookmarkStart w:id="636" w:name="_Toc22731"/>
      <w:bookmarkStart w:id="637" w:name="_Toc31893"/>
      <w:bookmarkStart w:id="638" w:name="_Toc8002"/>
      <w:bookmarkStart w:id="639" w:name="_Toc13603"/>
      <w:bookmarkStart w:id="640" w:name="_Toc492478787"/>
      <w:bookmarkStart w:id="641" w:name="_Toc28429"/>
      <w:bookmarkStart w:id="642" w:name="_Toc11490"/>
      <w:bookmarkStart w:id="643" w:name="_Toc14059"/>
      <w:bookmarkStart w:id="644" w:name="_Toc28919"/>
      <w:bookmarkStart w:id="645" w:name="_Toc8795"/>
      <w:bookmarkStart w:id="646" w:name="_Toc31954"/>
      <w:bookmarkStart w:id="647" w:name="_Toc32601"/>
      <w:bookmarkStart w:id="648" w:name="_Toc378514977"/>
      <w:bookmarkStart w:id="649" w:name="_Toc10887"/>
      <w:bookmarkStart w:id="650" w:name="_Toc5847"/>
      <w:bookmarkStart w:id="651" w:name="_Toc25750658"/>
      <w:r>
        <w:rPr>
          <w:rFonts w:hint="eastAsia" w:ascii="宋体" w:hAnsi="宋体"/>
          <w:b/>
          <w:color w:val="auto"/>
          <w:highlight w:val="none"/>
        </w:rPr>
        <w:t>24.方便终止</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numPr>
          <w:ilvl w:val="1"/>
          <w:numId w:val="26"/>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
      </w:pPr>
      <w:bookmarkStart w:id="652" w:name="_Toc21718"/>
      <w:bookmarkStart w:id="653" w:name="_Toc20850"/>
      <w:bookmarkStart w:id="654" w:name="_Toc16121"/>
      <w:bookmarkStart w:id="655" w:name="_Toc1972"/>
      <w:bookmarkStart w:id="656" w:name="_Toc10155"/>
      <w:bookmarkStart w:id="657" w:name="_Toc10805"/>
      <w:bookmarkStart w:id="658" w:name="_Toc19072"/>
      <w:bookmarkStart w:id="659" w:name="_Toc492478788"/>
      <w:bookmarkStart w:id="660" w:name="_Toc26667"/>
      <w:bookmarkStart w:id="661" w:name="_Toc24354"/>
      <w:bookmarkStart w:id="662" w:name="_Toc1503"/>
      <w:bookmarkStart w:id="663" w:name="_Toc370933881"/>
      <w:bookmarkStart w:id="664" w:name="_Toc378514978"/>
      <w:bookmarkStart w:id="665" w:name="_Toc26831"/>
      <w:bookmarkStart w:id="666" w:name="_Toc25750659"/>
      <w:bookmarkStart w:id="667" w:name="_Toc7691"/>
      <w:bookmarkStart w:id="668" w:name="_Toc390098490"/>
      <w:bookmarkStart w:id="669" w:name="_Toc20058"/>
      <w:bookmarkStart w:id="670" w:name="_Toc385427864"/>
      <w:bookmarkStart w:id="671" w:name="_Toc15991"/>
      <w:bookmarkStart w:id="672" w:name="_Toc17213"/>
      <w:bookmarkStart w:id="673" w:name="_Toc10764"/>
      <w:bookmarkStart w:id="674" w:name="_Toc4002"/>
      <w:bookmarkStart w:id="675" w:name="_Toc29365"/>
      <w:bookmarkStart w:id="676" w:name="_Toc15352"/>
      <w:r>
        <w:rPr>
          <w:rFonts w:hint="eastAsia" w:ascii="宋体" w:hAnsi="宋体"/>
          <w:b/>
          <w:color w:val="auto"/>
          <w:highlight w:val="none"/>
        </w:rPr>
        <w:t>25.争端的解决</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
      </w:pPr>
      <w:bookmarkStart w:id="677" w:name="_Toc385427865"/>
      <w:bookmarkStart w:id="678" w:name="_Toc25750660"/>
      <w:bookmarkStart w:id="679" w:name="_Toc6134"/>
      <w:bookmarkStart w:id="680" w:name="_Toc378514979"/>
      <w:bookmarkStart w:id="681" w:name="_Toc9395"/>
      <w:bookmarkStart w:id="682" w:name="_Toc11550"/>
      <w:bookmarkStart w:id="683" w:name="_Toc28185"/>
      <w:bookmarkStart w:id="684" w:name="_Toc16935"/>
      <w:bookmarkStart w:id="685" w:name="_Toc21064"/>
      <w:bookmarkStart w:id="686" w:name="_Toc390098491"/>
      <w:bookmarkStart w:id="687" w:name="_Toc1271"/>
      <w:bookmarkStart w:id="688" w:name="_Toc16475"/>
      <w:bookmarkStart w:id="689" w:name="_Toc11947"/>
      <w:bookmarkStart w:id="690" w:name="_Toc25167"/>
      <w:bookmarkStart w:id="691" w:name="_Toc370933882"/>
      <w:bookmarkStart w:id="692" w:name="_Toc26624"/>
      <w:bookmarkStart w:id="693" w:name="_Toc28145"/>
      <w:bookmarkStart w:id="694" w:name="_Toc27659"/>
      <w:bookmarkStart w:id="695" w:name="_Toc19227"/>
      <w:bookmarkStart w:id="696" w:name="_Toc22003"/>
      <w:bookmarkStart w:id="697" w:name="_Toc26376"/>
      <w:bookmarkStart w:id="698" w:name="_Toc16769"/>
      <w:bookmarkStart w:id="699" w:name="_Toc492478789"/>
      <w:bookmarkStart w:id="700" w:name="_Toc23425"/>
      <w:bookmarkStart w:id="701" w:name="_Toc12179"/>
      <w:r>
        <w:rPr>
          <w:rFonts w:hint="eastAsia" w:ascii="宋体" w:hAnsi="宋体"/>
          <w:b/>
          <w:color w:val="auto"/>
          <w:highlight w:val="none"/>
        </w:rPr>
        <w:t>26.语言</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numPr>
          <w:ilvl w:val="1"/>
          <w:numId w:val="28"/>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28"/>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28"/>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
      </w:pPr>
      <w:bookmarkStart w:id="702" w:name="_Toc27380"/>
      <w:bookmarkStart w:id="703" w:name="_Toc2075"/>
      <w:bookmarkStart w:id="704" w:name="_Toc25403"/>
      <w:bookmarkStart w:id="705" w:name="_Toc10482"/>
      <w:bookmarkStart w:id="706" w:name="_Toc25708"/>
      <w:bookmarkStart w:id="707" w:name="_Toc370933883"/>
      <w:bookmarkStart w:id="708" w:name="_Toc378514980"/>
      <w:bookmarkStart w:id="709" w:name="_Toc18902"/>
      <w:bookmarkStart w:id="710" w:name="_Toc27111"/>
      <w:bookmarkStart w:id="711" w:name="_Toc385427866"/>
      <w:bookmarkStart w:id="712" w:name="_Toc14784"/>
      <w:bookmarkStart w:id="713" w:name="_Toc23513"/>
      <w:bookmarkStart w:id="714" w:name="_Toc25750661"/>
      <w:bookmarkStart w:id="715" w:name="_Toc19166"/>
      <w:bookmarkStart w:id="716" w:name="_Toc12823"/>
      <w:bookmarkStart w:id="717" w:name="_Toc10209"/>
      <w:bookmarkStart w:id="718" w:name="_Toc21361"/>
      <w:bookmarkStart w:id="719" w:name="_Toc390098492"/>
      <w:bookmarkStart w:id="720" w:name="_Toc492478790"/>
      <w:bookmarkStart w:id="721" w:name="_Toc12520"/>
      <w:bookmarkStart w:id="722" w:name="_Toc8756"/>
      <w:bookmarkStart w:id="723" w:name="_Toc10832"/>
      <w:bookmarkStart w:id="724" w:name="_Toc14320"/>
      <w:bookmarkStart w:id="725" w:name="_Toc6951"/>
      <w:bookmarkStart w:id="726" w:name="_Toc2898"/>
      <w:r>
        <w:rPr>
          <w:rFonts w:hint="eastAsia" w:ascii="宋体" w:hAnsi="宋体"/>
          <w:b/>
          <w:color w:val="auto"/>
          <w:highlight w:val="none"/>
        </w:rPr>
        <w:t>27.适用法律</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numPr>
          <w:ilvl w:val="1"/>
          <w:numId w:val="2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
      </w:pPr>
      <w:bookmarkStart w:id="727" w:name="_Toc32071"/>
      <w:bookmarkStart w:id="728" w:name="_Toc2458"/>
      <w:bookmarkStart w:id="729" w:name="_Toc6374"/>
      <w:bookmarkStart w:id="730" w:name="_Toc27968"/>
      <w:bookmarkStart w:id="731" w:name="_Toc492478791"/>
      <w:bookmarkStart w:id="732" w:name="_Toc385427867"/>
      <w:bookmarkStart w:id="733" w:name="_Toc23442"/>
      <w:bookmarkStart w:id="734" w:name="_Toc32638"/>
      <w:bookmarkStart w:id="735" w:name="_Toc19209"/>
      <w:bookmarkStart w:id="736" w:name="_Toc26295"/>
      <w:bookmarkStart w:id="737" w:name="_Toc3019"/>
      <w:bookmarkStart w:id="738" w:name="_Toc10304"/>
      <w:bookmarkStart w:id="739" w:name="_Toc25750662"/>
      <w:bookmarkStart w:id="740" w:name="_Toc15635"/>
      <w:bookmarkStart w:id="741" w:name="_Toc378514981"/>
      <w:bookmarkStart w:id="742" w:name="_Toc13343"/>
      <w:bookmarkStart w:id="743" w:name="_Toc390098493"/>
      <w:bookmarkStart w:id="744" w:name="_Toc17344"/>
      <w:bookmarkStart w:id="745" w:name="_Toc28875"/>
      <w:bookmarkStart w:id="746" w:name="_Toc864"/>
      <w:bookmarkStart w:id="747" w:name="_Toc25119"/>
      <w:bookmarkStart w:id="748" w:name="_Toc6421"/>
      <w:bookmarkStart w:id="749" w:name="_Toc370933884"/>
      <w:bookmarkStart w:id="750" w:name="_Toc22330"/>
      <w:bookmarkStart w:id="751" w:name="_Toc3785"/>
      <w:r>
        <w:rPr>
          <w:rFonts w:hint="eastAsia" w:ascii="宋体" w:hAnsi="宋体"/>
          <w:b/>
          <w:color w:val="auto"/>
          <w:highlight w:val="none"/>
        </w:rPr>
        <w:t>28.通知</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numPr>
          <w:ilvl w:val="1"/>
          <w:numId w:val="3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
      </w:pPr>
      <w:bookmarkStart w:id="752" w:name="_Toc370933885"/>
      <w:bookmarkStart w:id="753" w:name="_Toc378514982"/>
      <w:bookmarkStart w:id="754" w:name="_Toc1446"/>
      <w:bookmarkStart w:id="755" w:name="_Toc8544"/>
      <w:bookmarkStart w:id="756" w:name="_Toc390098494"/>
      <w:bookmarkStart w:id="757" w:name="_Toc17127"/>
      <w:bookmarkStart w:id="758" w:name="_Toc385427868"/>
      <w:bookmarkStart w:id="759" w:name="_Toc13922"/>
      <w:bookmarkStart w:id="760" w:name="_Toc31709"/>
      <w:bookmarkStart w:id="761" w:name="_Toc1881"/>
      <w:bookmarkStart w:id="762" w:name="_Toc32680"/>
      <w:bookmarkStart w:id="763" w:name="_Toc492478792"/>
      <w:bookmarkStart w:id="764" w:name="_Toc12126"/>
      <w:bookmarkStart w:id="765" w:name="_Toc11314"/>
      <w:bookmarkStart w:id="766" w:name="_Toc30549"/>
      <w:bookmarkStart w:id="767" w:name="_Toc7810"/>
      <w:bookmarkStart w:id="768" w:name="_Toc29046"/>
      <w:bookmarkStart w:id="769" w:name="_Toc25750663"/>
      <w:bookmarkStart w:id="770" w:name="_Toc6110"/>
      <w:bookmarkStart w:id="771" w:name="_Toc6793"/>
      <w:bookmarkStart w:id="772" w:name="_Toc11726"/>
      <w:bookmarkStart w:id="773" w:name="_Toc27428"/>
      <w:bookmarkStart w:id="774" w:name="_Toc12697"/>
      <w:bookmarkStart w:id="775" w:name="_Toc21067"/>
      <w:bookmarkStart w:id="776" w:name="_Toc30071"/>
      <w:r>
        <w:rPr>
          <w:rFonts w:hint="eastAsia" w:ascii="宋体" w:hAnsi="宋体"/>
          <w:b/>
          <w:color w:val="auto"/>
          <w:highlight w:val="none"/>
        </w:rPr>
        <w:t>29.税</w:t>
      </w:r>
      <w:bookmarkEnd w:id="752"/>
      <w:bookmarkEnd w:id="753"/>
      <w:r>
        <w:rPr>
          <w:rFonts w:hint="eastAsia" w:ascii="宋体" w:hAnsi="宋体"/>
          <w:b/>
          <w:color w:val="auto"/>
          <w:highlight w:val="none"/>
        </w:rPr>
        <w:t>费</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numPr>
          <w:ilvl w:val="1"/>
          <w:numId w:val="31"/>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1"/>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777" w:name="_Toc1879"/>
      <w:bookmarkStart w:id="778" w:name="_Toc10218"/>
      <w:bookmarkStart w:id="779" w:name="_Toc14950"/>
      <w:bookmarkStart w:id="780" w:name="_Toc15813"/>
      <w:bookmarkStart w:id="781" w:name="_Toc30561"/>
      <w:bookmarkStart w:id="782" w:name="_Toc32531"/>
      <w:bookmarkStart w:id="783" w:name="_Toc5973"/>
      <w:bookmarkStart w:id="784" w:name="_Toc21199"/>
      <w:bookmarkStart w:id="785" w:name="_Toc3630"/>
      <w:bookmarkStart w:id="786" w:name="_Toc7487"/>
      <w:bookmarkStart w:id="787" w:name="_Toc3244"/>
      <w:bookmarkStart w:id="788" w:name="_Toc16469"/>
      <w:bookmarkStart w:id="789" w:name="_Toc24876"/>
      <w:bookmarkStart w:id="790" w:name="_Toc26494"/>
      <w:bookmarkStart w:id="791" w:name="_Toc2240"/>
      <w:bookmarkStart w:id="792" w:name="_Toc25511"/>
      <w:bookmarkStart w:id="793" w:name="_Toc11029"/>
      <w:bookmarkStart w:id="794" w:name="_Toc3452"/>
      <w:bookmarkStart w:id="795" w:name="_Toc25750664"/>
      <w:bookmarkStart w:id="796" w:name="_Toc22849"/>
      <w:r>
        <w:rPr>
          <w:rFonts w:hint="eastAsia" w:ascii="宋体" w:hAnsi="宋体"/>
          <w:b/>
          <w:color w:val="auto"/>
          <w:highlight w:val="none"/>
        </w:rPr>
        <w:t>30.合同标的</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numPr>
          <w:ilvl w:val="1"/>
          <w:numId w:val="32"/>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2"/>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2"/>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2"/>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highlight w:val="none"/>
        </w:rPr>
      </w:pPr>
      <w:bookmarkStart w:id="797" w:name="_Toc6314"/>
      <w:bookmarkStart w:id="798" w:name="_Toc23455"/>
      <w:bookmarkStart w:id="799" w:name="_Toc18828"/>
      <w:bookmarkStart w:id="800" w:name="_Toc11108"/>
      <w:bookmarkStart w:id="801" w:name="_Toc21949"/>
      <w:bookmarkStart w:id="802" w:name="_Toc12112"/>
      <w:bookmarkStart w:id="803" w:name="_Toc16044"/>
      <w:bookmarkStart w:id="804" w:name="_Toc23078"/>
      <w:bookmarkStart w:id="805" w:name="_Toc3619"/>
      <w:bookmarkStart w:id="806" w:name="_Toc25750665"/>
      <w:bookmarkStart w:id="807" w:name="_Toc26232"/>
      <w:bookmarkStart w:id="808" w:name="_Toc10309"/>
      <w:bookmarkStart w:id="809" w:name="_Toc23498"/>
      <w:bookmarkStart w:id="810" w:name="_Toc7765"/>
      <w:bookmarkStart w:id="811" w:name="_Toc26768"/>
      <w:bookmarkStart w:id="812" w:name="_Toc7733"/>
      <w:bookmarkStart w:id="813" w:name="_Toc1507"/>
      <w:bookmarkStart w:id="814" w:name="_Toc17632"/>
      <w:bookmarkStart w:id="815" w:name="_Toc15369"/>
      <w:bookmarkStart w:id="816" w:name="_Toc26"/>
      <w:r>
        <w:rPr>
          <w:rFonts w:hint="eastAsia" w:ascii="宋体" w:hAnsi="宋体"/>
          <w:b/>
          <w:color w:val="auto"/>
          <w:highlight w:val="none"/>
        </w:rPr>
        <w:t>31.开箱验收及现场保管</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甲方将在到货后10个工作日内组织验收。</w:t>
      </w:r>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highlight w:val="none"/>
        </w:rPr>
      </w:pPr>
      <w:bookmarkStart w:id="817" w:name="_Toc6480"/>
      <w:bookmarkStart w:id="818" w:name="_Toc24951"/>
      <w:bookmarkStart w:id="819" w:name="_Toc1011"/>
      <w:bookmarkStart w:id="820" w:name="_Toc10177"/>
      <w:bookmarkStart w:id="821" w:name="_Toc22055"/>
      <w:bookmarkStart w:id="822" w:name="_Toc25577"/>
      <w:bookmarkStart w:id="823" w:name="_Toc20670"/>
      <w:bookmarkStart w:id="824" w:name="_Toc572"/>
      <w:bookmarkStart w:id="825" w:name="_Toc1489"/>
      <w:bookmarkStart w:id="826" w:name="_Toc25750666"/>
      <w:bookmarkStart w:id="827" w:name="_Toc492478796"/>
      <w:bookmarkStart w:id="828" w:name="_Toc385427873"/>
      <w:bookmarkStart w:id="829" w:name="_Toc23740"/>
      <w:bookmarkStart w:id="830" w:name="_Toc29368"/>
      <w:bookmarkStart w:id="831" w:name="_Toc8992"/>
      <w:bookmarkStart w:id="832" w:name="_Toc24673"/>
      <w:bookmarkStart w:id="833" w:name="_Toc21485"/>
      <w:bookmarkStart w:id="834" w:name="_Toc378514987"/>
      <w:bookmarkStart w:id="835" w:name="_Toc2474"/>
      <w:bookmarkStart w:id="836" w:name="_Toc27069"/>
      <w:bookmarkStart w:id="837" w:name="_Toc390098499"/>
      <w:bookmarkStart w:id="838" w:name="_Toc20830"/>
      <w:bookmarkStart w:id="839" w:name="_Toc2372"/>
      <w:bookmarkStart w:id="840" w:name="_Toc18491"/>
      <w:r>
        <w:rPr>
          <w:rFonts w:ascii="宋体" w:hAnsi="宋体"/>
          <w:b/>
          <w:color w:val="auto"/>
          <w:highlight w:val="none"/>
        </w:rPr>
        <w:t>3</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索赔与赔偿</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34"/>
        <w:numPr>
          <w:ilvl w:val="0"/>
          <w:numId w:val="34"/>
        </w:numPr>
        <w:tabs>
          <w:tab w:val="left" w:pos="92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短装索赔</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一旦收到甲方索赔文件，乙方应无偿地补足短装货物，替换错装或损坏的货物，除非双方另有协议，该补足或替换应在十</w:t>
      </w:r>
      <w:r>
        <w:rPr>
          <w:rFonts w:ascii="宋体" w:hAnsi="宋体"/>
          <w:color w:val="auto"/>
          <w:highlight w:val="none"/>
        </w:rPr>
        <w:t>(10)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天内完成。起始日期应以乙方现场代表收到甲方先以传真再以信函的索赔文件之日起计算。乙方将需补足或替换的货物运至交货地点，并通过甲方全部项目验收合格之日为终止日期。如乙方的补足或替换未能在十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.4</w:t>
      </w:r>
      <w:r>
        <w:rPr>
          <w:rFonts w:hint="eastAsia" w:ascii="宋体" w:hAnsi="宋体"/>
          <w:color w:val="auto"/>
          <w:highlight w:val="none"/>
        </w:rPr>
        <w:t>执行。</w:t>
      </w:r>
    </w:p>
    <w:p>
      <w:pPr>
        <w:pStyle w:val="34"/>
        <w:numPr>
          <w:ilvl w:val="0"/>
          <w:numId w:val="3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若索赔属于保险赔偿范围，则乙方应自行处理保险索赔，且不应影响本合同条款第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.1.2</w:t>
      </w:r>
      <w:r>
        <w:rPr>
          <w:rFonts w:hint="eastAsia" w:ascii="宋体" w:hAnsi="宋体"/>
          <w:color w:val="auto"/>
          <w:highlight w:val="none"/>
        </w:rPr>
        <w:t>的执行.</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质量索赔</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条所述之检验过程中，发现系统及货物材料的质量不能达到用户需求书中的技术要求，则甲方应事先以书面文件的方式向乙方提出索赔，并附上下列文件之一作为向乙方进行索赔：</w:t>
      </w:r>
    </w:p>
    <w:p>
      <w:pPr>
        <w:pStyle w:val="34"/>
        <w:numPr>
          <w:ilvl w:val="0"/>
          <w:numId w:val="37"/>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34"/>
        <w:numPr>
          <w:ilvl w:val="0"/>
          <w:numId w:val="37"/>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乙方应在收到甲方的索赔文件后三（</w:t>
      </w:r>
      <w:r>
        <w:rPr>
          <w:rFonts w:ascii="宋体" w:hAnsi="宋体"/>
          <w:color w:val="auto"/>
          <w:highlight w:val="none"/>
        </w:rPr>
        <w:t>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34"/>
        <w:numPr>
          <w:ilvl w:val="0"/>
          <w:numId w:val="3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.2.1</w:t>
      </w:r>
      <w:r>
        <w:rPr>
          <w:rFonts w:hint="eastAsia" w:ascii="宋体" w:hAnsi="宋体"/>
          <w:color w:val="auto"/>
          <w:highlight w:val="none"/>
        </w:rPr>
        <w:t>规定对货物提出的质量索赔，若乙方根据本合同条款第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.2.3.1</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.2.3.2</w:t>
      </w:r>
      <w:r>
        <w:rPr>
          <w:rFonts w:hint="eastAsia" w:ascii="宋体" w:hAnsi="宋体"/>
          <w:color w:val="auto"/>
          <w:highlight w:val="none"/>
        </w:rPr>
        <w:t>的方式一次未能修复货物的缺陷后，则按第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.2.3.4</w:t>
      </w:r>
      <w:r>
        <w:rPr>
          <w:rFonts w:hint="eastAsia" w:ascii="宋体" w:hAnsi="宋体"/>
          <w:color w:val="auto"/>
          <w:highlight w:val="none"/>
        </w:rPr>
        <w:t>两者之一的方式处理。</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34"/>
        <w:numPr>
          <w:ilvl w:val="0"/>
          <w:numId w:val="38"/>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34"/>
        <w:numPr>
          <w:ilvl w:val="0"/>
          <w:numId w:val="39"/>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34"/>
        <w:numPr>
          <w:ilvl w:val="0"/>
          <w:numId w:val="40"/>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w:t>
      </w:r>
      <w:r>
        <w:rPr>
          <w:rFonts w:hint="eastAsia" w:ascii="宋体" w:hAnsi="宋体"/>
          <w:color w:val="auto"/>
          <w:highlight w:val="none"/>
        </w:rPr>
        <w:t>条执行。</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w:t>
      </w:r>
      <w:r>
        <w:rPr>
          <w:rFonts w:hint="eastAsia" w:ascii="宋体" w:hAnsi="宋体"/>
          <w:color w:val="auto"/>
          <w:highlight w:val="none"/>
        </w:rPr>
        <w:t>4条和</w:t>
      </w:r>
      <w:r>
        <w:rPr>
          <w:rFonts w:ascii="宋体" w:hAnsi="宋体"/>
          <w:color w:val="auto"/>
          <w:highlight w:val="none"/>
        </w:rPr>
        <w:t>3</w:t>
      </w:r>
      <w:r>
        <w:rPr>
          <w:rFonts w:hint="eastAsia" w:ascii="宋体" w:hAnsi="宋体"/>
          <w:color w:val="auto"/>
          <w:highlight w:val="none"/>
        </w:rPr>
        <w:t>2条的规定进行处理。</w:t>
      </w:r>
    </w:p>
    <w:p>
      <w:pPr>
        <w:pStyle w:val="34"/>
        <w:numPr>
          <w:ilvl w:val="0"/>
          <w:numId w:val="34"/>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w:t>
      </w:r>
      <w:r>
        <w:rPr>
          <w:rFonts w:hint="eastAsia" w:ascii="宋体" w:hAnsi="宋体"/>
          <w:color w:val="auto"/>
          <w:highlight w:val="none"/>
        </w:rPr>
        <w:t>6条规定的合同价格的百分之一百（</w:t>
      </w:r>
      <w:r>
        <w:rPr>
          <w:rFonts w:ascii="宋体" w:hAnsi="宋体"/>
          <w:color w:val="auto"/>
          <w:highlight w:val="none"/>
        </w:rPr>
        <w:t>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34"/>
        <w:numPr>
          <w:ilvl w:val="0"/>
          <w:numId w:val="34"/>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w:t>
      </w:r>
      <w:r>
        <w:rPr>
          <w:rFonts w:hint="eastAsia" w:ascii="宋体" w:hAnsi="宋体"/>
          <w:color w:val="auto"/>
          <w:highlight w:val="none"/>
        </w:rPr>
        <w:t>5条执行。但异议的协商不能影响合同项下的其它工作的继续进行。</w:t>
      </w:r>
    </w:p>
    <w:p>
      <w:pPr>
        <w:pStyle w:val="34"/>
        <w:numPr>
          <w:ilvl w:val="0"/>
          <w:numId w:val="3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highlight w:val="none"/>
        </w:rPr>
      </w:pPr>
      <w:bookmarkStart w:id="841" w:name="_Toc12538"/>
      <w:bookmarkStart w:id="842" w:name="_Toc23798"/>
      <w:bookmarkStart w:id="843" w:name="_Toc4586"/>
      <w:bookmarkStart w:id="844" w:name="_Toc1872"/>
      <w:bookmarkStart w:id="845" w:name="_Toc26296"/>
      <w:bookmarkStart w:id="846" w:name="_Toc28622"/>
      <w:bookmarkStart w:id="847" w:name="_Toc492478797"/>
      <w:bookmarkStart w:id="848" w:name="_Toc27531"/>
      <w:bookmarkStart w:id="849" w:name="_Toc378514988"/>
      <w:bookmarkStart w:id="850" w:name="_Toc5528"/>
      <w:bookmarkStart w:id="851" w:name="_Toc2735"/>
      <w:bookmarkStart w:id="852" w:name="_Toc22724"/>
      <w:bookmarkStart w:id="853" w:name="_Toc4656"/>
      <w:bookmarkStart w:id="854" w:name="_Toc30987"/>
      <w:bookmarkStart w:id="855" w:name="_Toc16726"/>
      <w:bookmarkStart w:id="856" w:name="_Toc390098500"/>
      <w:bookmarkStart w:id="857" w:name="_Toc17872"/>
      <w:bookmarkStart w:id="858" w:name="_Toc5367"/>
      <w:bookmarkStart w:id="859" w:name="_Toc19741"/>
      <w:bookmarkStart w:id="860" w:name="_Toc6517"/>
      <w:bookmarkStart w:id="861" w:name="_Toc25750667"/>
      <w:bookmarkStart w:id="862" w:name="_Toc30838"/>
      <w:bookmarkStart w:id="863" w:name="_Toc6197"/>
      <w:bookmarkStart w:id="864" w:name="_Toc385427874"/>
      <w:r>
        <w:rPr>
          <w:rFonts w:hint="eastAsia" w:ascii="宋体" w:hAnsi="宋体"/>
          <w:b/>
          <w:color w:val="auto"/>
          <w:highlight w:val="none"/>
        </w:rPr>
        <w:t>33.合同终止与暂停</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numPr>
          <w:ilvl w:val="1"/>
          <w:numId w:val="41"/>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1"/>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1"/>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4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33.3.1.1 在收到本合同条款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33.3.1.4 乙方在本合同的竞争和实施过程中有腐败行为和欺诈行为。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33.3.1.5 由于乙方违约而导致乙方支付违约金达到合同条款</w:t>
      </w:r>
      <w:r>
        <w:rPr>
          <w:rFonts w:ascii="宋体" w:hAnsi="宋体"/>
          <w:color w:val="auto"/>
          <w:highlight w:val="none"/>
        </w:rPr>
        <w:t>3</w:t>
      </w:r>
      <w:r>
        <w:rPr>
          <w:rFonts w:hint="eastAsia" w:ascii="宋体" w:hAnsi="宋体"/>
          <w:color w:val="auto"/>
          <w:highlight w:val="none"/>
        </w:rPr>
        <w:t>2条规定的限额。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33.3.1.6 按本合同条款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.3.1.1</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.3.1.2</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.3.1.5</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1"/>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4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44"/>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倘若发生本合同条款第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highlight w:val="none"/>
        </w:rPr>
      </w:pPr>
      <w:bookmarkStart w:id="865" w:name="_Toc459797567"/>
      <w:bookmarkEnd w:id="865"/>
      <w:bookmarkStart w:id="866" w:name="_Toc459730510"/>
      <w:bookmarkEnd w:id="866"/>
      <w:bookmarkStart w:id="867" w:name="_Toc459730498"/>
      <w:bookmarkEnd w:id="867"/>
      <w:bookmarkStart w:id="868" w:name="_Toc459730496"/>
      <w:bookmarkEnd w:id="868"/>
      <w:bookmarkStart w:id="869" w:name="_Toc459730502"/>
      <w:bookmarkEnd w:id="869"/>
      <w:bookmarkStart w:id="870" w:name="_Toc459797544"/>
      <w:bookmarkEnd w:id="870"/>
      <w:bookmarkStart w:id="871" w:name="_Toc459730504"/>
      <w:bookmarkEnd w:id="871"/>
      <w:bookmarkStart w:id="872" w:name="_Toc459730494"/>
      <w:bookmarkEnd w:id="872"/>
      <w:bookmarkStart w:id="873" w:name="_Toc459730486"/>
      <w:bookmarkEnd w:id="873"/>
      <w:bookmarkStart w:id="874" w:name="_Toc459797563"/>
      <w:bookmarkEnd w:id="874"/>
      <w:bookmarkStart w:id="875" w:name="_Toc459730511"/>
      <w:bookmarkEnd w:id="875"/>
      <w:bookmarkStart w:id="876" w:name="_Toc459730506"/>
      <w:bookmarkEnd w:id="876"/>
      <w:bookmarkStart w:id="877" w:name="_Toc459797542"/>
      <w:bookmarkEnd w:id="877"/>
      <w:bookmarkStart w:id="878" w:name="_Toc459730495"/>
      <w:bookmarkEnd w:id="878"/>
      <w:bookmarkStart w:id="879" w:name="_Toc459730508"/>
      <w:bookmarkEnd w:id="879"/>
      <w:bookmarkStart w:id="880" w:name="_Toc459730516"/>
      <w:bookmarkEnd w:id="880"/>
      <w:bookmarkStart w:id="881" w:name="_Toc459730507"/>
      <w:bookmarkEnd w:id="881"/>
      <w:bookmarkStart w:id="882" w:name="_Toc459797548"/>
      <w:bookmarkEnd w:id="882"/>
      <w:bookmarkStart w:id="883" w:name="_Toc459797568"/>
      <w:bookmarkEnd w:id="883"/>
      <w:bookmarkStart w:id="884" w:name="_Toc459730509"/>
      <w:bookmarkEnd w:id="884"/>
      <w:bookmarkStart w:id="885" w:name="_Toc459730517"/>
      <w:bookmarkEnd w:id="885"/>
      <w:bookmarkStart w:id="886" w:name="_Toc459797546"/>
      <w:bookmarkEnd w:id="886"/>
      <w:bookmarkStart w:id="887" w:name="_Toc459797562"/>
      <w:bookmarkEnd w:id="887"/>
      <w:bookmarkStart w:id="888" w:name="_Toc459797541"/>
      <w:bookmarkEnd w:id="888"/>
      <w:bookmarkStart w:id="889" w:name="_Toc459730499"/>
      <w:bookmarkEnd w:id="889"/>
      <w:bookmarkStart w:id="890" w:name="_Toc459730512"/>
      <w:bookmarkEnd w:id="890"/>
      <w:bookmarkStart w:id="891" w:name="_Toc459797552"/>
      <w:bookmarkEnd w:id="891"/>
      <w:bookmarkStart w:id="892" w:name="_Toc459730505"/>
      <w:bookmarkEnd w:id="892"/>
      <w:bookmarkStart w:id="893" w:name="_Toc459730490"/>
      <w:bookmarkEnd w:id="893"/>
      <w:bookmarkStart w:id="894" w:name="_Toc459730489"/>
      <w:bookmarkEnd w:id="894"/>
      <w:bookmarkStart w:id="895" w:name="_Toc459730493"/>
      <w:bookmarkEnd w:id="895"/>
      <w:bookmarkStart w:id="896" w:name="_Toc459797550"/>
      <w:bookmarkEnd w:id="896"/>
      <w:bookmarkStart w:id="897" w:name="_Toc459730487"/>
      <w:bookmarkEnd w:id="897"/>
      <w:bookmarkStart w:id="898" w:name="_Toc459797545"/>
      <w:bookmarkEnd w:id="898"/>
      <w:bookmarkStart w:id="899" w:name="_Toc459797556"/>
      <w:bookmarkEnd w:id="899"/>
      <w:bookmarkStart w:id="900" w:name="_Toc459797565"/>
      <w:bookmarkEnd w:id="900"/>
      <w:bookmarkStart w:id="901" w:name="_Toc459797559"/>
      <w:bookmarkEnd w:id="901"/>
      <w:bookmarkStart w:id="902" w:name="_Toc459730497"/>
      <w:bookmarkEnd w:id="902"/>
      <w:bookmarkStart w:id="903" w:name="_Toc459797553"/>
      <w:bookmarkEnd w:id="903"/>
      <w:bookmarkStart w:id="904" w:name="_Toc459797569"/>
      <w:bookmarkEnd w:id="904"/>
      <w:bookmarkStart w:id="905" w:name="_Toc459730485"/>
      <w:bookmarkEnd w:id="905"/>
      <w:bookmarkStart w:id="906" w:name="_Toc459797560"/>
      <w:bookmarkEnd w:id="906"/>
      <w:bookmarkStart w:id="907" w:name="_Toc459730492"/>
      <w:bookmarkEnd w:id="907"/>
      <w:bookmarkStart w:id="908" w:name="_Toc459797549"/>
      <w:bookmarkEnd w:id="908"/>
      <w:bookmarkStart w:id="909" w:name="_Toc459797558"/>
      <w:bookmarkEnd w:id="909"/>
      <w:bookmarkStart w:id="910" w:name="_Toc459797566"/>
      <w:bookmarkEnd w:id="910"/>
      <w:bookmarkStart w:id="911" w:name="_Toc459730491"/>
      <w:bookmarkEnd w:id="911"/>
      <w:bookmarkStart w:id="912" w:name="_Toc459730503"/>
      <w:bookmarkEnd w:id="912"/>
      <w:bookmarkStart w:id="913" w:name="_Toc459797557"/>
      <w:bookmarkEnd w:id="913"/>
      <w:bookmarkStart w:id="914" w:name="_Toc459797561"/>
      <w:bookmarkEnd w:id="914"/>
      <w:bookmarkStart w:id="915" w:name="_Toc459730513"/>
      <w:bookmarkEnd w:id="915"/>
      <w:bookmarkStart w:id="916" w:name="_Toc459730515"/>
      <w:bookmarkEnd w:id="916"/>
      <w:bookmarkStart w:id="917" w:name="_Toc459730488"/>
      <w:bookmarkEnd w:id="917"/>
      <w:bookmarkStart w:id="918" w:name="_Toc459797570"/>
      <w:bookmarkEnd w:id="918"/>
      <w:bookmarkStart w:id="919" w:name="_Toc459797540"/>
      <w:bookmarkEnd w:id="919"/>
      <w:bookmarkStart w:id="920" w:name="_Toc459797564"/>
      <w:bookmarkEnd w:id="920"/>
      <w:bookmarkStart w:id="921" w:name="_Toc459797547"/>
      <w:bookmarkEnd w:id="921"/>
      <w:bookmarkStart w:id="922" w:name="_Toc459797538"/>
      <w:bookmarkEnd w:id="922"/>
      <w:bookmarkStart w:id="923" w:name="_Toc459730500"/>
      <w:bookmarkEnd w:id="923"/>
      <w:bookmarkStart w:id="924" w:name="_Toc459730514"/>
      <w:bookmarkEnd w:id="924"/>
      <w:bookmarkStart w:id="925" w:name="_Toc459797543"/>
      <w:bookmarkEnd w:id="925"/>
      <w:bookmarkStart w:id="926" w:name="_Toc459797551"/>
      <w:bookmarkEnd w:id="926"/>
      <w:bookmarkStart w:id="927" w:name="_Toc459730501"/>
      <w:bookmarkEnd w:id="927"/>
      <w:bookmarkStart w:id="928" w:name="_Toc459797554"/>
      <w:bookmarkEnd w:id="928"/>
      <w:bookmarkStart w:id="929" w:name="_Toc459797539"/>
      <w:bookmarkEnd w:id="929"/>
      <w:bookmarkStart w:id="930" w:name="_Toc459797555"/>
      <w:bookmarkEnd w:id="930"/>
      <w:bookmarkStart w:id="931" w:name="_Toc10048"/>
      <w:bookmarkStart w:id="932" w:name="_Toc30952"/>
      <w:bookmarkStart w:id="933" w:name="_Toc11735"/>
      <w:bookmarkStart w:id="934" w:name="_Toc13350"/>
      <w:bookmarkStart w:id="935" w:name="_Toc16585"/>
      <w:bookmarkStart w:id="936" w:name="_Toc17551"/>
      <w:bookmarkStart w:id="937" w:name="_Toc16556"/>
      <w:bookmarkStart w:id="938" w:name="_Toc10055"/>
      <w:bookmarkStart w:id="939" w:name="_Toc2164"/>
      <w:bookmarkStart w:id="940" w:name="_Toc28448"/>
      <w:bookmarkStart w:id="941" w:name="_Toc31943"/>
      <w:bookmarkStart w:id="942" w:name="_Toc2267"/>
      <w:bookmarkStart w:id="943" w:name="_Toc28979"/>
      <w:bookmarkStart w:id="944" w:name="_Toc22885"/>
      <w:bookmarkStart w:id="945" w:name="_Toc3622"/>
      <w:bookmarkStart w:id="946" w:name="_Toc12929"/>
      <w:bookmarkStart w:id="947" w:name="_Toc25750668"/>
      <w:bookmarkStart w:id="948" w:name="_Toc24047"/>
      <w:bookmarkStart w:id="949" w:name="_Toc29090"/>
      <w:bookmarkStart w:id="950" w:name="_Toc492478798"/>
      <w:bookmarkStart w:id="951" w:name="_Toc28440"/>
      <w:r>
        <w:rPr>
          <w:rFonts w:hint="eastAsia" w:ascii="宋体" w:hAnsi="宋体"/>
          <w:b/>
          <w:color w:val="auto"/>
          <w:highlight w:val="none"/>
        </w:rPr>
        <w:t>34.</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hint="eastAsia" w:ascii="宋体" w:hAnsi="宋体"/>
          <w:b/>
          <w:color w:val="auto"/>
          <w:highlight w:val="none"/>
          <w:lang w:eastAsia="zh-CN"/>
        </w:rPr>
        <w:t>试验、检验及验收</w:t>
      </w:r>
      <w:bookmarkEnd w:id="951"/>
    </w:p>
    <w:p>
      <w:pPr>
        <w:numPr>
          <w:ilvl w:val="1"/>
          <w:numId w:val="45"/>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甲方，根据双方协定时间地点进行交货并全部项目验收合格之日起计算质量保证期。</w:t>
      </w:r>
    </w:p>
    <w:p>
      <w:pPr>
        <w:numPr>
          <w:ilvl w:val="1"/>
          <w:numId w:val="4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snapToGrid w:val="0"/>
        <w:spacing w:before="0" w:after="0" w:afterAutospacing="0"/>
        <w:ind w:left="0" w:right="0" w:firstLine="420" w:firstLineChars="200"/>
        <w:rPr>
          <w:rFonts w:ascii="宋体" w:hAnsi="宋体"/>
          <w:color w:val="auto"/>
          <w:highlight w:val="none"/>
        </w:rPr>
      </w:pPr>
      <w:r>
        <w:rPr>
          <w:rFonts w:hint="eastAsia"/>
          <w:lang w:eastAsia="zh-CN"/>
        </w:rPr>
        <w:t>（</w:t>
      </w:r>
      <w:r>
        <w:rPr>
          <w:rFonts w:hint="eastAsia"/>
          <w:lang w:val="en-US" w:eastAsia="zh-CN"/>
        </w:rPr>
        <w:t>3）提供所报变压器型号完整有效的型式试验报告（温升试验、雷电冲击试验和在90%和110%额定电压下的空载损耗试验和空载电流试验）</w:t>
      </w:r>
      <w:r>
        <w:rPr>
          <w:rFonts w:hint="eastAsia"/>
        </w:rPr>
        <w:t>。</w:t>
      </w:r>
    </w:p>
    <w:p>
      <w:pPr>
        <w:numPr>
          <w:ilvl w:val="1"/>
          <w:numId w:val="45"/>
        </w:numPr>
        <w:tabs>
          <w:tab w:val="left" w:pos="1080"/>
          <w:tab w:val="clear" w:pos="1134"/>
        </w:tabs>
        <w:spacing w:before="0" w:after="0" w:afterAutospacing="0"/>
        <w:ind w:left="0" w:right="0" w:firstLine="420" w:firstLineChars="200"/>
        <w:rPr>
          <w:rFonts w:ascii="宋体" w:hAnsi="宋体"/>
          <w:color w:val="auto"/>
          <w:highlight w:val="none"/>
        </w:rPr>
      </w:pPr>
      <w:bookmarkStart w:id="952" w:name="_Toc14941"/>
      <w:bookmarkStart w:id="953" w:name="_Toc13751"/>
      <w:bookmarkStart w:id="954" w:name="_Toc30922"/>
      <w:bookmarkStart w:id="955" w:name="_Toc5694"/>
      <w:bookmarkStart w:id="956" w:name="_Toc30584"/>
      <w:bookmarkStart w:id="957" w:name="_Toc6868"/>
      <w:bookmarkStart w:id="958" w:name="_Toc13500"/>
      <w:bookmarkStart w:id="959" w:name="_Toc6005"/>
      <w:bookmarkStart w:id="960" w:name="_Toc21038"/>
      <w:bookmarkStart w:id="961" w:name="_Toc21060"/>
      <w:bookmarkStart w:id="962" w:name="_Toc408"/>
      <w:bookmarkStart w:id="963" w:name="_Toc15820"/>
      <w:bookmarkStart w:id="964" w:name="_Toc9798"/>
      <w:bookmarkStart w:id="965" w:name="_Toc12478"/>
      <w:bookmarkStart w:id="966" w:name="_Toc31498"/>
      <w:bookmarkStart w:id="967" w:name="_Toc23559"/>
      <w:bookmarkStart w:id="968" w:name="_Toc12087"/>
      <w:bookmarkStart w:id="969" w:name="_Toc1713"/>
      <w:bookmarkStart w:id="970" w:name="_Toc492478799"/>
      <w:bookmarkStart w:id="971" w:name="_Toc25750669"/>
      <w:r>
        <w:rPr>
          <w:rFonts w:hint="eastAsia" w:ascii="宋体" w:hAnsi="宋体"/>
          <w:color w:val="auto"/>
          <w:highlight w:val="none"/>
          <w:lang w:val="en-US" w:eastAsia="zh-CN"/>
        </w:rPr>
        <w:t>安装</w:t>
      </w:r>
      <w:r>
        <w:rPr>
          <w:rFonts w:hint="eastAsia" w:ascii="宋体" w:hAnsi="宋体"/>
          <w:color w:val="auto"/>
          <w:highlight w:val="none"/>
        </w:rPr>
        <w:t>验收标准</w:t>
      </w:r>
    </w:p>
    <w:p>
      <w:pPr>
        <w:numPr>
          <w:ilvl w:val="1"/>
          <w:numId w:val="46"/>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lang w:eastAsia="zh-CN"/>
        </w:rPr>
        <w:t>设备安装试验单位应</w:t>
      </w:r>
      <w:r>
        <w:rPr>
          <w:rFonts w:hint="eastAsia" w:ascii="宋体" w:hAnsi="宋体"/>
          <w:color w:val="auto"/>
          <w:highlight w:val="none"/>
          <w:lang w:val="en-US" w:eastAsia="zh-CN"/>
        </w:rPr>
        <w:t>具有四级及以上承装(修、试)电力设施许可证；</w:t>
      </w:r>
    </w:p>
    <w:p>
      <w:pPr>
        <w:numPr>
          <w:ilvl w:val="1"/>
          <w:numId w:val="46"/>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设备应按照</w:t>
      </w:r>
      <w:r>
        <w:rPr>
          <w:rFonts w:hint="eastAsia" w:ascii="宋体" w:hAnsi="宋体"/>
          <w:color w:val="auto"/>
          <w:highlight w:val="none"/>
          <w:lang w:val="en-US" w:eastAsia="zh-CN"/>
        </w:rPr>
        <w:t>ISO9000系列质量保证体系要求并</w:t>
      </w:r>
      <w:r>
        <w:rPr>
          <w:rFonts w:hint="eastAsia" w:ascii="宋体" w:hAnsi="宋体"/>
          <w:color w:val="auto"/>
          <w:highlight w:val="none"/>
          <w:lang w:eastAsia="zh-CN"/>
        </w:rPr>
        <w:t>根据国标或相应</w:t>
      </w:r>
      <w:r>
        <w:rPr>
          <w:rFonts w:hint="eastAsia" w:ascii="宋体" w:hAnsi="宋体"/>
          <w:color w:val="auto"/>
          <w:highlight w:val="none"/>
          <w:lang w:val="en-US" w:eastAsia="zh-CN"/>
        </w:rPr>
        <w:t>IEC标准的规定、方式，通过型式试验</w:t>
      </w:r>
      <w:r>
        <w:rPr>
          <w:rFonts w:hint="eastAsia" w:ascii="宋体" w:hAnsi="宋体"/>
          <w:color w:val="auto"/>
          <w:highlight w:val="none"/>
        </w:rPr>
        <w:t>。</w:t>
      </w:r>
    </w:p>
    <w:p>
      <w:pPr>
        <w:numPr>
          <w:ilvl w:val="1"/>
          <w:numId w:val="46"/>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如果某项试验的条件、内容、程序、测量、记录和报告格式等任意一项不符合项目技术需求、国标或相应</w:t>
      </w:r>
      <w:r>
        <w:rPr>
          <w:rFonts w:hint="eastAsia" w:ascii="宋体" w:hAnsi="宋体"/>
          <w:color w:val="auto"/>
          <w:highlight w:val="none"/>
          <w:lang w:val="en-US" w:eastAsia="zh-CN"/>
        </w:rPr>
        <w:t>IEC标准，甲方有权拒绝接受试验报告，并要求重做该项试验。</w:t>
      </w:r>
    </w:p>
    <w:p>
      <w:pPr>
        <w:numPr>
          <w:ilvl w:val="1"/>
          <w:numId w:val="46"/>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以合格证书、技术性能参数、质量参数和国家质量标准作为对货物的检验标准。</w:t>
      </w:r>
    </w:p>
    <w:p>
      <w:pPr>
        <w:numPr>
          <w:ilvl w:val="1"/>
          <w:numId w:val="46"/>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45"/>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试验</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34.4.1 型式试验：温升试验、雷电冲击试验和在90%和110%额定电压下的空载损耗试验和空载电流试验。</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34.4.2 出厂试验：出厂试验是为了发现产品所用材料和制造中的缺陷，它不应损伤产品的性能和可靠性。出厂试验应该对每台成品进行检验，以确保产品与已经通过型式试验的产品相一致。</w:t>
      </w:r>
    </w:p>
    <w:p>
      <w:pPr>
        <w:numPr>
          <w:ilvl w:val="1"/>
          <w:numId w:val="45"/>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w:t>
      </w:r>
      <w:r>
        <w:rPr>
          <w:rFonts w:ascii="宋体" w:hAnsi="宋体"/>
          <w:color w:val="auto"/>
          <w:highlight w:val="none"/>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Pr>
        <w:numPr>
          <w:ilvl w:val="0"/>
          <w:numId w:val="0"/>
        </w:numPr>
        <w:tabs>
          <w:tab w:val="left" w:pos="840"/>
          <w:tab w:val="left" w:pos="1843"/>
        </w:tabs>
        <w:spacing w:before="0" w:after="0" w:afterAutospacing="0"/>
        <w:ind w:right="0" w:rightChars="0" w:firstLine="422" w:firstLineChars="200"/>
        <w:outlineLvl w:val="1"/>
        <w:rPr>
          <w:rFonts w:hint="eastAsia" w:ascii="宋体" w:hAnsi="宋体"/>
          <w:b/>
          <w:color w:val="auto"/>
          <w:highlight w:val="none"/>
          <w:lang w:val="en-US" w:eastAsia="zh-CN"/>
        </w:rPr>
      </w:pPr>
      <w:bookmarkStart w:id="972" w:name="_Toc7545"/>
      <w:bookmarkStart w:id="973" w:name="_Toc5186"/>
      <w:bookmarkStart w:id="974" w:name="_Toc21635"/>
      <w:bookmarkStart w:id="975" w:name="_Toc5644"/>
      <w:bookmarkStart w:id="976" w:name="_Toc19448"/>
      <w:bookmarkStart w:id="977" w:name="_Toc27258"/>
      <w:bookmarkStart w:id="978" w:name="_Toc21659"/>
      <w:bookmarkStart w:id="979" w:name="_Toc14997"/>
      <w:bookmarkStart w:id="980" w:name="_Toc25750672"/>
      <w:bookmarkStart w:id="981" w:name="_Toc29249"/>
      <w:bookmarkStart w:id="982" w:name="_Toc21033"/>
      <w:bookmarkStart w:id="983" w:name="_Toc6194"/>
      <w:bookmarkStart w:id="984" w:name="_Toc12983548"/>
      <w:bookmarkStart w:id="985" w:name="_Toc12470"/>
      <w:bookmarkStart w:id="986" w:name="_Toc27316"/>
      <w:bookmarkStart w:id="987" w:name="_Toc16716"/>
      <w:bookmarkStart w:id="988" w:name="_Toc21372"/>
      <w:bookmarkStart w:id="989" w:name="_Toc13288"/>
      <w:bookmarkStart w:id="990" w:name="_Toc2753"/>
      <w:bookmarkStart w:id="991" w:name="_Toc16443"/>
      <w:r>
        <w:rPr>
          <w:rFonts w:hint="eastAsia" w:ascii="宋体" w:hAnsi="宋体"/>
          <w:b/>
          <w:color w:val="auto"/>
          <w:highlight w:val="none"/>
          <w:lang w:val="en-US" w:eastAsia="zh-CN"/>
        </w:rPr>
        <w:t>35.现场验收</w:t>
      </w:r>
      <w:bookmarkEnd w:id="972"/>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35.1 货到现场开箱验收。</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35.2 安装验收：当设备及其附件安装完毕后进行安装验收。</w:t>
      </w:r>
    </w:p>
    <w:p>
      <w:pPr>
        <w:numPr>
          <w:ilvl w:val="0"/>
          <w:numId w:val="0"/>
        </w:numPr>
        <w:tabs>
          <w:tab w:val="left" w:pos="1060"/>
        </w:tabs>
        <w:spacing w:before="0" w:after="0" w:afterAutospacing="0"/>
        <w:ind w:leftChars="200" w:right="0" w:rightChars="0"/>
        <w:rPr>
          <w:rFonts w:hint="eastAsia" w:ascii="宋体" w:hAnsi="宋体"/>
          <w:color w:val="auto"/>
          <w:highlight w:val="none"/>
          <w:lang w:eastAsia="zh-CN"/>
        </w:rPr>
      </w:pPr>
      <w:r>
        <w:rPr>
          <w:rFonts w:hint="eastAsia" w:ascii="宋体" w:hAnsi="宋体"/>
          <w:color w:val="auto"/>
          <w:highlight w:val="none"/>
          <w:lang w:val="en-US" w:eastAsia="zh-CN"/>
        </w:rPr>
        <w:t>35.3 供电系统设备调试成功并完成</w:t>
      </w:r>
      <w:r>
        <w:rPr>
          <w:rFonts w:hint="eastAsia" w:ascii="宋体" w:hAnsi="宋体"/>
          <w:color w:val="auto"/>
          <w:highlight w:val="none"/>
        </w:rPr>
        <w:t>电气设备交接试验</w:t>
      </w:r>
      <w:r>
        <w:rPr>
          <w:rFonts w:hint="eastAsia" w:ascii="宋体" w:hAnsi="宋体"/>
          <w:color w:val="auto"/>
          <w:highlight w:val="none"/>
          <w:lang w:eastAsia="zh-CN"/>
        </w:rPr>
        <w:t>后开展最终验收。</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35.4 开展工程验收时，须按要求提供下列资料：</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出厂试验和检测报告；</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产品说明书、设备图纸、用户手册、维修手册；</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开箱检查记录；</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出厂合格证及质量证明文件；</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交接试验报告。</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35.5 乙方项目负责人必须参加上述验收。</w:t>
      </w:r>
    </w:p>
    <w:p>
      <w:pPr>
        <w:numPr>
          <w:ilvl w:val="0"/>
          <w:numId w:val="0"/>
        </w:numPr>
        <w:tabs>
          <w:tab w:val="left" w:pos="840"/>
          <w:tab w:val="left" w:pos="1843"/>
        </w:tabs>
        <w:spacing w:before="0" w:after="0" w:afterAutospacing="0"/>
        <w:ind w:right="0" w:rightChars="0" w:firstLine="422" w:firstLineChars="200"/>
        <w:outlineLvl w:val="1"/>
        <w:rPr>
          <w:rFonts w:hint="default" w:ascii="宋体" w:hAnsi="宋体"/>
          <w:b/>
          <w:color w:val="auto"/>
          <w:highlight w:val="none"/>
          <w:lang w:val="en-US" w:eastAsia="zh-CN"/>
        </w:rPr>
      </w:pPr>
      <w:bookmarkStart w:id="992" w:name="_Toc2205"/>
      <w:bookmarkStart w:id="993" w:name="_Toc4015"/>
      <w:bookmarkStart w:id="994" w:name="_Toc57215218"/>
      <w:bookmarkStart w:id="995" w:name="_Toc13737901"/>
      <w:bookmarkStart w:id="996" w:name="_Toc16316"/>
      <w:bookmarkStart w:id="997" w:name="_Toc79417426"/>
      <w:bookmarkStart w:id="998" w:name="_Toc26931"/>
      <w:bookmarkStart w:id="999" w:name="_Toc449019909"/>
      <w:r>
        <w:rPr>
          <w:rFonts w:hint="eastAsia" w:ascii="宋体" w:hAnsi="宋体"/>
          <w:b/>
          <w:color w:val="auto"/>
          <w:highlight w:val="none"/>
          <w:lang w:val="en-US" w:eastAsia="zh-CN"/>
        </w:rPr>
        <w:t>36.</w:t>
      </w:r>
      <w:r>
        <w:rPr>
          <w:rFonts w:hint="default" w:ascii="宋体" w:hAnsi="宋体"/>
          <w:b/>
          <w:color w:val="auto"/>
          <w:highlight w:val="none"/>
          <w:lang w:val="en-US" w:eastAsia="zh-CN"/>
        </w:rPr>
        <w:t>甲方、乙方权利与义务</w:t>
      </w:r>
      <w:bookmarkEnd w:id="992"/>
      <w:bookmarkEnd w:id="993"/>
      <w:bookmarkEnd w:id="994"/>
      <w:bookmarkEnd w:id="995"/>
      <w:bookmarkEnd w:id="996"/>
      <w:bookmarkEnd w:id="997"/>
      <w:bookmarkEnd w:id="998"/>
      <w:bookmarkEnd w:id="999"/>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  </w:t>
      </w:r>
      <w:r>
        <w:rPr>
          <w:rFonts w:hint="default" w:ascii="宋体" w:hAnsi="宋体"/>
          <w:color w:val="auto"/>
          <w:highlight w:val="none"/>
          <w:lang w:val="en-US" w:eastAsia="zh-CN"/>
        </w:rPr>
        <w:t>甲方权利与义务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36.1.1 </w:t>
      </w:r>
      <w:r>
        <w:rPr>
          <w:rFonts w:hint="default" w:ascii="宋体" w:hAnsi="宋体"/>
          <w:color w:val="auto"/>
          <w:highlight w:val="none"/>
          <w:lang w:val="en-US" w:eastAsia="zh-CN"/>
        </w:rPr>
        <w:t>向乙方提供完成本项目的基础资料；提供乙方认为需要了解的公司各部门制定的规章制度及规范；</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36.1.2 </w:t>
      </w:r>
      <w:r>
        <w:rPr>
          <w:rFonts w:hint="default" w:ascii="宋体" w:hAnsi="宋体"/>
          <w:color w:val="auto"/>
          <w:highlight w:val="none"/>
          <w:lang w:val="en-US" w:eastAsia="zh-CN"/>
        </w:rPr>
        <w:t>批准或认可工作计划和工程量，开具本合同所需的证明文件，以利乙方开展工作。有权完善作业内容，更改乙方工作计划；</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36.1.3 </w:t>
      </w:r>
      <w:r>
        <w:rPr>
          <w:rFonts w:hint="default" w:ascii="宋体" w:hAnsi="宋体"/>
          <w:color w:val="auto"/>
          <w:highlight w:val="none"/>
          <w:lang w:val="en-US" w:eastAsia="zh-CN"/>
        </w:rPr>
        <w:t>协调与</w:t>
      </w:r>
      <w:r>
        <w:rPr>
          <w:rFonts w:hint="eastAsia" w:ascii="宋体" w:hAnsi="宋体"/>
          <w:color w:val="auto"/>
          <w:highlight w:val="none"/>
          <w:lang w:val="en-US" w:eastAsia="zh-CN"/>
        </w:rPr>
        <w:t>2</w:t>
      </w:r>
      <w:r>
        <w:rPr>
          <w:rFonts w:hint="default" w:ascii="宋体" w:hAnsi="宋体"/>
          <w:color w:val="auto"/>
          <w:highlight w:val="none"/>
          <w:lang w:val="en-US" w:eastAsia="zh-CN"/>
        </w:rPr>
        <w:t>号线</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主变电站施工有关职能部门和占地所在单位、个人的关系，办理有关批准文件。乙方进场施工时，甲方按照相关规定给予配合；</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36.1.4 </w:t>
      </w:r>
      <w:r>
        <w:rPr>
          <w:rFonts w:hint="default" w:ascii="宋体" w:hAnsi="宋体"/>
          <w:color w:val="auto"/>
          <w:highlight w:val="none"/>
          <w:lang w:val="en-US" w:eastAsia="zh-CN"/>
        </w:rPr>
        <w:t>有权对施工工期、质量、人员、设备、仪器进行监督检查，对不符合技术要求的工作，乙方必须自费进行返工或调整；</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36.1.5 </w:t>
      </w:r>
      <w:r>
        <w:rPr>
          <w:rFonts w:hint="default" w:ascii="宋体" w:hAnsi="宋体"/>
          <w:color w:val="auto"/>
          <w:highlight w:val="none"/>
          <w:lang w:val="en-US" w:eastAsia="zh-CN"/>
        </w:rPr>
        <w:t>委派一名代表协助乙方处理项目实施过程中存在的问题；</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36.1.6 </w:t>
      </w:r>
      <w:r>
        <w:rPr>
          <w:rFonts w:hint="default" w:ascii="宋体" w:hAnsi="宋体"/>
          <w:color w:val="auto"/>
          <w:highlight w:val="none"/>
          <w:lang w:val="en-US" w:eastAsia="zh-CN"/>
        </w:rPr>
        <w:t>负责协助乙方进行作业请点及现场监督、指导工作；</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36.1.7 </w:t>
      </w:r>
      <w:r>
        <w:rPr>
          <w:rFonts w:hint="default" w:ascii="宋体" w:hAnsi="宋体"/>
          <w:color w:val="auto"/>
          <w:highlight w:val="none"/>
          <w:lang w:val="en-US" w:eastAsia="zh-CN"/>
        </w:rPr>
        <w:t>为入场施工人员有力的开展工作，负责对入场施工人员的特种作业资质和数量进行审核；</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36.1.8 </w:t>
      </w:r>
      <w:r>
        <w:rPr>
          <w:rFonts w:hint="default" w:ascii="宋体" w:hAnsi="宋体"/>
          <w:color w:val="auto"/>
          <w:highlight w:val="none"/>
          <w:lang w:val="en-US" w:eastAsia="zh-CN"/>
        </w:rPr>
        <w:t>实行责任制，甲方对乙方进行安全培训，并监督乙方在项目实施过程中按照应急预案的要求，妥善处置各类应急突发事项；</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36.1.9 </w:t>
      </w:r>
      <w:r>
        <w:rPr>
          <w:rFonts w:hint="default" w:ascii="宋体" w:hAnsi="宋体"/>
          <w:color w:val="auto"/>
          <w:highlight w:val="none"/>
          <w:lang w:val="en-US" w:eastAsia="zh-CN"/>
        </w:rPr>
        <w:t>负责根据本合同规定按时向乙方付款；</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36.1.10 </w:t>
      </w:r>
      <w:r>
        <w:rPr>
          <w:rFonts w:hint="default" w:ascii="宋体" w:hAnsi="宋体"/>
          <w:color w:val="auto"/>
          <w:highlight w:val="none"/>
          <w:lang w:val="en-US" w:eastAsia="zh-CN"/>
        </w:rPr>
        <w:t>维护乙方提交的技术方案，保守技术数据秘密；</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36.1.11 </w:t>
      </w:r>
      <w:r>
        <w:rPr>
          <w:rFonts w:hint="default" w:ascii="宋体" w:hAnsi="宋体"/>
          <w:color w:val="auto"/>
          <w:highlight w:val="none"/>
          <w:lang w:val="en-US" w:eastAsia="zh-CN"/>
        </w:rPr>
        <w:t>按合同要求组织项目竣工后的验收、送电等工作。</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36.2  </w:t>
      </w:r>
      <w:r>
        <w:rPr>
          <w:rFonts w:hint="default" w:ascii="宋体" w:hAnsi="宋体"/>
          <w:color w:val="auto"/>
          <w:highlight w:val="none"/>
          <w:lang w:val="en-US" w:eastAsia="zh-CN"/>
        </w:rPr>
        <w:t>乙方权利与义务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 </w:t>
      </w:r>
      <w:r>
        <w:rPr>
          <w:rFonts w:hint="default" w:ascii="宋体" w:hAnsi="宋体"/>
          <w:color w:val="auto"/>
          <w:highlight w:val="none"/>
          <w:lang w:val="en-US" w:eastAsia="zh-CN"/>
        </w:rPr>
        <w:t>乙方必须根据本工程项目作业内容、工程量及施工时的环境因素，为项目现场安装人员、试验人员配置适用且足够的仪器仪表、工器具、劳保防护用品、防暑降温用品等；</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36.2.2 </w:t>
      </w:r>
      <w:r>
        <w:rPr>
          <w:rFonts w:hint="default" w:ascii="宋体" w:hAnsi="宋体"/>
          <w:color w:val="auto"/>
          <w:highlight w:val="none"/>
          <w:lang w:val="en-US" w:eastAsia="zh-CN"/>
        </w:rPr>
        <w:t>乙方所使用的专用类工器具必须是有效的合格产品；</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36.2.3 </w:t>
      </w:r>
      <w:r>
        <w:rPr>
          <w:rFonts w:hint="default" w:ascii="宋体" w:hAnsi="宋体"/>
          <w:color w:val="auto"/>
          <w:highlight w:val="none"/>
          <w:lang w:val="en-US" w:eastAsia="zh-CN"/>
        </w:rPr>
        <w:t>乙方所使用的计量类工器具（如各种仪器、仪表、测量仪器）在进场使用前必须按照甲方、国标及地方相关的要求送相关部门进行检定，待检定合格后经过甲方认可，方可以进场使用，且有效期应满足项目需求；禁止未检定、或不合格的仪器、仪表以及计量类工器具进场使用；</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36.2.4 </w:t>
      </w:r>
      <w:r>
        <w:rPr>
          <w:rFonts w:hint="default" w:ascii="宋体" w:hAnsi="宋体"/>
          <w:color w:val="auto"/>
          <w:highlight w:val="none"/>
          <w:lang w:val="en-US" w:eastAsia="zh-CN"/>
        </w:rPr>
        <w:t>乙方应保证项目实施过程中，对于非专用工器具尤其是机械设备等，乙方应在进场前进行专项保养，确保设备处于可以开动状态，确保需要使用时，机器能以良好的状态投入生产；</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36.2.5 </w:t>
      </w:r>
      <w:r>
        <w:rPr>
          <w:rFonts w:hint="default" w:ascii="宋体" w:hAnsi="宋体"/>
          <w:color w:val="auto"/>
          <w:highlight w:val="none"/>
          <w:lang w:val="en-US" w:eastAsia="zh-CN"/>
        </w:rPr>
        <w:t>乙方的所有工器具、材料应该选择合理的地点进行存放，按照甲方的要求合理分类进行放置，并摆放整齐；易燃易爆品需分类进行隔离存储、隔开存储、分离存储，并在存储现场配置足够的消防器材；</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36.2.6 </w:t>
      </w:r>
      <w:r>
        <w:rPr>
          <w:rFonts w:hint="default" w:ascii="宋体" w:hAnsi="宋体"/>
          <w:color w:val="auto"/>
          <w:highlight w:val="none"/>
          <w:lang w:val="en-US" w:eastAsia="zh-CN"/>
        </w:rPr>
        <w:t>乙方应为所有参与本项目的维保人员配置统一着装，且必须为所有参与该项目的维保人员和生产班组人员配置足够的劳保防护用品；</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36.2.7 </w:t>
      </w:r>
      <w:r>
        <w:rPr>
          <w:rFonts w:hint="default" w:ascii="宋体" w:hAnsi="宋体"/>
          <w:color w:val="auto"/>
          <w:highlight w:val="none"/>
          <w:lang w:val="en-US" w:eastAsia="zh-CN"/>
        </w:rPr>
        <w:t>乙方必须牢固树立“安全第一、预防为主”的思想，掌握、严守甲方制定的相关安全生产各项规章制度、员工通用安全守则、行车组织规则及员工安全守则等各项规章制度。同时，乙方在项目实施前，应对进场作业人员进行相关培训、三级安全教育及三级安全教育登记；在项目实施过程中，应对项目有关安全施工的技术要求向进场作业人员作出详细说明及交底，并经双方签字确认；</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36.2.8 </w:t>
      </w:r>
      <w:r>
        <w:rPr>
          <w:rFonts w:hint="default" w:ascii="宋体" w:hAnsi="宋体"/>
          <w:color w:val="auto"/>
          <w:highlight w:val="none"/>
          <w:lang w:val="en-US" w:eastAsia="zh-CN"/>
        </w:rPr>
        <w:t>乙方必须服从甲方的管理，按照甲方的相关要求进行施工，严格确保施工质量，按合同规定时间如期完成本项目，在项目实施前，应及时提交项目实施的施工方案、110kV碧荔线安全防护方案，并通过甲方审核后方可实施；</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36.2.9 </w:t>
      </w:r>
      <w:r>
        <w:rPr>
          <w:rFonts w:hint="default" w:ascii="宋体" w:hAnsi="宋体"/>
          <w:color w:val="auto"/>
          <w:highlight w:val="none"/>
          <w:lang w:val="en-US" w:eastAsia="zh-CN"/>
        </w:rPr>
        <w:t>乙方必须确保按照工程范围内的工作内容、要求进行相关的施工作业，并按照南宁轨道交通集团相关规定要求，填写相关记录；乙方在项目实施过程中，未经甲方同意，不得擅自更改</w:t>
      </w:r>
      <w:r>
        <w:rPr>
          <w:rFonts w:hint="eastAsia" w:ascii="宋体" w:hAnsi="宋体"/>
          <w:color w:val="auto"/>
          <w:highlight w:val="none"/>
          <w:lang w:val="en-US" w:eastAsia="zh-CN"/>
        </w:rPr>
        <w:t>2</w:t>
      </w:r>
      <w:r>
        <w:rPr>
          <w:rFonts w:hint="default" w:ascii="宋体" w:hAnsi="宋体"/>
          <w:color w:val="auto"/>
          <w:highlight w:val="none"/>
          <w:lang w:val="en-US" w:eastAsia="zh-CN"/>
        </w:rPr>
        <w:t>号线</w:t>
      </w:r>
      <w:r>
        <w:rPr>
          <w:rFonts w:hint="eastAsia" w:ascii="宋体" w:hAnsi="宋体"/>
          <w:color w:val="auto"/>
          <w:highlight w:val="none"/>
          <w:lang w:val="en-US" w:eastAsia="zh-CN"/>
        </w:rPr>
        <w:t>朋云主所的</w:t>
      </w:r>
      <w:r>
        <w:rPr>
          <w:rFonts w:hint="default" w:ascii="宋体" w:hAnsi="宋体"/>
          <w:color w:val="auto"/>
          <w:highlight w:val="none"/>
          <w:lang w:val="en-US" w:eastAsia="zh-CN"/>
        </w:rPr>
        <w:t>原设计；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36.2.10 </w:t>
      </w:r>
      <w:r>
        <w:rPr>
          <w:rFonts w:hint="default" w:ascii="宋体" w:hAnsi="宋体"/>
          <w:color w:val="auto"/>
          <w:highlight w:val="none"/>
          <w:lang w:val="en-US" w:eastAsia="zh-CN"/>
        </w:rPr>
        <w:t>对于甲方规定必须申报施工作业计划的作业项目，乙方必须按照甲方相关进场作业的规定及时向甲方申报施工作业计划，且应在甲方持施工作业令进行请点作业后，乙方方可进场作业，在作业后必须办理相关销点手续并确认现场出清后方可撤离现场；对于甲方规定需要办理特种作业手续（如有限空间、动火、登高作业等）方可进行的作业，乙方应该按照要求向甲方申报办理特种作业施工许可证，严禁违规操作；对于施工作业令要求其他部门配合方可进行的作业，乙方应严格按照施工作业令执行，在没有设备所属部门人员配合（或授权使用）的情况下，严禁动用其他部门所辖设备；</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36.2.11 </w:t>
      </w:r>
      <w:r>
        <w:rPr>
          <w:rFonts w:hint="default" w:ascii="宋体" w:hAnsi="宋体"/>
          <w:color w:val="auto"/>
          <w:highlight w:val="none"/>
          <w:lang w:val="en-US" w:eastAsia="zh-CN"/>
        </w:rPr>
        <w:t>特种作业人员（如叉车操作证、起重机操作证、焊工证、高压试验、高压电工、电力电缆、高空作业等），必须持有政府等相关部门颁发的特种作业操作证方可上岗作业，并按照相关要求佩戴配套的防护劳保用品进行作业，严禁无证或不按照要求佩戴证件、劳保防护用品人员上岗作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36.2.12</w:t>
      </w:r>
      <w:r>
        <w:rPr>
          <w:rFonts w:hint="default" w:ascii="宋体" w:hAnsi="宋体"/>
          <w:color w:val="auto"/>
          <w:highlight w:val="none"/>
          <w:lang w:val="en-US" w:eastAsia="zh-CN"/>
        </w:rPr>
        <w:t>在项目实施过程中，乙方进场作业人员只负责项目所规定的范围及设备进行施工作业，对于不熟悉的设备、项目规定范围外的设备设施不得进行摸、碰，更不得对不清楚的设备进行操纵；</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36.2.13 </w:t>
      </w:r>
      <w:r>
        <w:rPr>
          <w:rFonts w:hint="default" w:ascii="宋体" w:hAnsi="宋体"/>
          <w:color w:val="auto"/>
          <w:highlight w:val="none"/>
          <w:lang w:val="en-US" w:eastAsia="zh-CN"/>
        </w:rPr>
        <w:t>乙方在项目实施过程中所发生的事故、事件，乙方应本着“诚实、合作、及时”的思想及时通知甲方，配合甲方做好事故、事件的调查和分析工作，不得隐瞒或推卸责任；</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36.2.14 </w:t>
      </w:r>
      <w:r>
        <w:rPr>
          <w:rFonts w:hint="default" w:ascii="宋体" w:hAnsi="宋体"/>
          <w:color w:val="auto"/>
          <w:highlight w:val="none"/>
          <w:lang w:val="en-US" w:eastAsia="zh-CN"/>
        </w:rPr>
        <w:t>为确保甲方</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设备的正常、安全运行，及响应市政府有关创城工作的有关规定，所有作业必须在当日作业结束前30分钟做好场地清理；如野外作业，无法保证甲方所提供物资安全的，乙方应安排专人在现场24小时值守，以保障甲方资产安全。进入项目作业现场，施工负责人必须做好当日人员、工器具作业前及作业结束后的清点、拍照工作；</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36.2.15</w:t>
      </w:r>
      <w:r>
        <w:rPr>
          <w:rFonts w:hint="default" w:ascii="宋体" w:hAnsi="宋体"/>
          <w:color w:val="auto"/>
          <w:highlight w:val="none"/>
          <w:lang w:val="en-US" w:eastAsia="zh-CN"/>
        </w:rPr>
        <w:t>为确保甲方</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主变电站设备的正常运行，在项目实施过程中需要对既有设备进行成品保护，必须采取有效措施防止项目作业对相关设备产生不利影响；</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36.2.14</w:t>
      </w:r>
      <w:r>
        <w:rPr>
          <w:rFonts w:hint="default" w:ascii="宋体" w:hAnsi="宋体"/>
          <w:color w:val="auto"/>
          <w:highlight w:val="none"/>
          <w:lang w:val="en-US" w:eastAsia="zh-CN"/>
        </w:rPr>
        <w:t>因乙方在项目实施过程中涉及其他专业、外单位、外部门重要设备的，应提前联系其他专业、外单位、外部门进行配合，因乙方原因导致的直接及间接经济损失由乙方承担；</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36.2.15</w:t>
      </w:r>
      <w:r>
        <w:rPr>
          <w:rFonts w:hint="default" w:ascii="宋体" w:hAnsi="宋体"/>
          <w:color w:val="auto"/>
          <w:highlight w:val="none"/>
          <w:lang w:val="en-US" w:eastAsia="zh-CN"/>
        </w:rPr>
        <w:t>乙方根据甲方提供的工程范围与工作内容及甲方相关要求编制项目实施的具体施工计划，并按相关规定与流程报甲方相关部门审核、审批；</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36.2.16</w:t>
      </w:r>
      <w:r>
        <w:rPr>
          <w:rFonts w:hint="default" w:ascii="宋体" w:hAnsi="宋体"/>
          <w:color w:val="auto"/>
          <w:highlight w:val="none"/>
          <w:lang w:val="en-US" w:eastAsia="zh-CN"/>
        </w:rPr>
        <w:t>乙方施工作业的请、销点手续根据《运营分公司设备委外维修施工组织管理办法》进行办理；</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36.2.17</w:t>
      </w:r>
      <w:r>
        <w:rPr>
          <w:rFonts w:hint="default" w:ascii="宋体" w:hAnsi="宋体"/>
          <w:color w:val="auto"/>
          <w:highlight w:val="none"/>
          <w:lang w:val="en-US" w:eastAsia="zh-CN"/>
        </w:rPr>
        <w:t>本项目所需的日常生产工器具、材料、零部件、全部油耗、低耗品等由乙方负责提供；</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36.2.18 </w:t>
      </w:r>
      <w:r>
        <w:rPr>
          <w:rFonts w:hint="default" w:ascii="宋体" w:hAnsi="宋体"/>
          <w:color w:val="auto"/>
          <w:highlight w:val="none"/>
          <w:lang w:val="en-US" w:eastAsia="zh-CN"/>
        </w:rPr>
        <w:t>乙方在每日施工前，要由甲方施工负责人及乙方施工负责人员共同向施工人员进行技术交底及安全要求交底，未经教育者不得进入施工现场，凡参加安全技术交底的人员要履行签字手续，并保存资料；乙方应对项目执行情况进行安全监察，核对安全技术措施的执行情况，并做好记录；乙方根据需要可随时抽查乙方在项目实施过程中的安全生产情况，对违反甲方安全管理相关规章制度要求的，甲方将及时上报有关部门，并依据甲方现行制度对乙方进行处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36.2.19</w:t>
      </w:r>
      <w:r>
        <w:rPr>
          <w:rFonts w:hint="default" w:ascii="宋体" w:hAnsi="宋体"/>
          <w:color w:val="auto"/>
          <w:highlight w:val="none"/>
          <w:lang w:val="en-US" w:eastAsia="zh-CN"/>
        </w:rPr>
        <w:t>乙方应严格实行持证上岗制度，树立“安全第一、预防为主”的思想，做到：“不违章指挥、不违章操作、不伤害自己、不被别人伤害”，提高职工整体安全防护意识和自我防护能力。”施工前乙方施工负责人、安全员、作业人员必须了解工作地点的设备状况，作业安全要点，做好通用安全防护、专用接电、专用安全防护（灭火器材、通风）等措施。在打开道路、园林绿化区域的电缆井盖或电缆沟盖板时，应在作业区域外围使用专用铁马护栏设置防护区，并根据相关规范设立告警标识牌，同时还应在防护区上设置专人防护</w:t>
      </w:r>
      <w:r>
        <w:rPr>
          <w:rFonts w:hint="eastAsia" w:ascii="宋体" w:hAnsi="宋体"/>
          <w:color w:val="auto"/>
          <w:highlight w:val="none"/>
          <w:lang w:val="en-US" w:eastAsia="zh-CN"/>
        </w:rPr>
        <w:t>；</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36.2.20</w:t>
      </w:r>
      <w:r>
        <w:rPr>
          <w:rFonts w:hint="default" w:ascii="宋体" w:hAnsi="宋体"/>
          <w:color w:val="auto"/>
          <w:highlight w:val="none"/>
          <w:lang w:val="en-US" w:eastAsia="zh-CN"/>
        </w:rPr>
        <w:t>乙方进场作业的人员应严格遵守劳动纪律，服从安全人员的指挥，严禁在施工场地睡觉、嬉戏，施工现场杜绝火种，严禁烟火（吸烟）；</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36.2.21 </w:t>
      </w:r>
      <w:r>
        <w:rPr>
          <w:rFonts w:hint="default" w:ascii="宋体" w:hAnsi="宋体"/>
          <w:color w:val="auto"/>
          <w:highlight w:val="none"/>
          <w:lang w:val="en-US" w:eastAsia="zh-CN"/>
        </w:rPr>
        <w:t>在工程项目施工过程中，乙方应根据当地政府有关部门发布的新冠肺炎疫情防控要求，切实做好工程施工现场新冠肺炎疫情防控工作，防止新冠肺炎疫情在施工工地出现、扩散和蔓延；如乙方发现异常或可疑情况，须及时向甲方汇报。</w:t>
      </w:r>
    </w:p>
    <w:p>
      <w:pPr>
        <w:tabs>
          <w:tab w:val="left" w:pos="840"/>
          <w:tab w:val="left" w:pos="1843"/>
        </w:tabs>
        <w:spacing w:before="0" w:after="0" w:afterAutospacing="0"/>
        <w:ind w:left="422" w:right="0" w:firstLine="0"/>
        <w:outlineLvl w:val="1"/>
        <w:rPr>
          <w:rFonts w:hint="eastAsia" w:ascii="宋体" w:hAnsi="宋体" w:cs="Times New Roman"/>
          <w:b/>
          <w:color w:val="auto"/>
          <w:highlight w:val="none"/>
          <w:lang w:val="en-US" w:eastAsia="zh-CN"/>
        </w:rPr>
      </w:pPr>
      <w:bookmarkStart w:id="1000" w:name="_Toc17805"/>
      <w:r>
        <w:rPr>
          <w:rFonts w:hint="eastAsia" w:ascii="宋体" w:hAnsi="宋体" w:cs="Times New Roman"/>
          <w:b/>
          <w:color w:val="auto"/>
          <w:highlight w:val="none"/>
          <w:lang w:val="en-US" w:eastAsia="zh-CN"/>
        </w:rPr>
        <w:t>36.违约责任</w:t>
      </w:r>
      <w:bookmarkEnd w:id="1000"/>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.1凡涉及以下任一条款，则甲方有权行使一票否决制，考核评定不合格，甲方有权随时终止合同。</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.1.1 对外透露保密性的信息，情节严重；</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.1.2 因乙方原因，造成发生一般事件C类及以上事故、事件；</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6.1.3 发生责任员工轻伤及以上；</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6.1.4 施工作业完成后，未按甲方相关施工管理规定进行出清或跨区域、跨范围作业；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6.1.5 因乙方责任造成解除合同的，由乙方承担相应的责任, 并赔偿相应损失；</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6.1.6 乙方有责任保证施工质量达到国家相关质量标准，并在合同执行过程中严格遵守甲方各项管理规定、要求；</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.2违约处理</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6.2.1 乙方人员在禁止抽烟区域内抽烟，工作期间喝酒或与其他部门/单位发生争执或打架斗殴等不文明现象的，扣以违约金2000元/次，造成不良影响的加倍处罚；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6.2.2 乙方不遵守文明施工规定，扣除违约金500元/次；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6.2.3 乙方不服从甲方现场管理，扣以违约金500元/次，此外造成甲方的损失，甲方有权向乙方索赔；</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4</w:t>
      </w:r>
      <w:r>
        <w:rPr>
          <w:rFonts w:hint="default" w:ascii="宋体" w:hAnsi="宋体" w:cs="Times New Roman"/>
          <w:color w:val="auto"/>
          <w:highlight w:val="none"/>
          <w:lang w:val="en-US" w:eastAsia="zh-CN"/>
        </w:rPr>
        <w:t xml:space="preserve"> 未经许可携带危化品进入作业现场的；作业结束后危化品处置不当，扣以违约金1000元/件；</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 xml:space="preserve">5 </w:t>
      </w:r>
      <w:r>
        <w:rPr>
          <w:rFonts w:hint="default" w:ascii="宋体" w:hAnsi="宋体" w:cs="Times New Roman"/>
          <w:color w:val="auto"/>
          <w:highlight w:val="none"/>
          <w:lang w:val="en-US" w:eastAsia="zh-CN"/>
        </w:rPr>
        <w:t>未经甲方同意，乙方带与工作无关人员进入主变电站作业区域的，扣以违约金2000元/次，因此造成其他经济损失由乙方负责；</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6</w:t>
      </w:r>
      <w:r>
        <w:rPr>
          <w:rFonts w:hint="default" w:ascii="宋体" w:hAnsi="宋体" w:cs="Times New Roman"/>
          <w:color w:val="auto"/>
          <w:highlight w:val="none"/>
          <w:lang w:val="en-US" w:eastAsia="zh-CN"/>
        </w:rPr>
        <w:t xml:space="preserve"> 乙方逾期完成施工的，每逾期一天，乙方向甲方支付合同价款的0.5%的违约金，逾期一个月的，乙方有权解除合同；</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7</w:t>
      </w:r>
      <w:r>
        <w:rPr>
          <w:rFonts w:hint="default" w:ascii="宋体" w:hAnsi="宋体" w:cs="Times New Roman"/>
          <w:color w:val="auto"/>
          <w:highlight w:val="none"/>
          <w:lang w:val="en-US" w:eastAsia="zh-CN"/>
        </w:rPr>
        <w:t xml:space="preserve"> 乙方人员在施工作业时未按要求穿戴劳保用品（工作服、劳保鞋、安全帽等），乙方须向甲方支付违约金500元/项</w:t>
      </w:r>
      <w:r>
        <w:rPr>
          <w:rFonts w:hint="eastAsia" w:ascii="宋体" w:hAnsi="宋体" w:cs="Times New Roman"/>
          <w:color w:val="auto"/>
          <w:highlight w:val="none"/>
          <w:lang w:val="en-US" w:eastAsia="zh-CN"/>
        </w:rPr>
        <w:t>；</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6.2.8 在乙方施工过程中造成系统零部件损坏，每件设备每次扣除违约金500元，并且乙方须按甲方确定的系统零部件实际损坏情况赔偿，立即提供符合规定的备件在4小时内进行更换；如造成甲方被第三方投诉等致使形象受损，乙方须负责甲方的相关损失及所发生的费用，费用以甲方计算为准；若出现乙方人员工器具不齐全的，扣除违约金1000元/项；</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.2.9 由于乙方施工不符合要求造成甲方损失，乙方须负责赔偿甲方的相关损失；</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.2.10 因乙方施工质量不合格引起设备故障而产生重大影响，导致甲方上级部门及外部门考核的情况，乙方须按上级部门及外部门考核甲方金额的2倍扣除违约金；</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.2.11 因乙方原因造成定性为一般事件C类及以上的，乙方负全责，扣除甲方受考核的金额或者合同总额的5%作为违约金，以两者处罚金额大的进行处罚；且甲方有权根据影响程度追加处罚，因此造成的其他损失甲方有权向乙方索赔。</w:t>
      </w:r>
    </w:p>
    <w:p>
      <w:pPr>
        <w:tabs>
          <w:tab w:val="left" w:pos="840"/>
          <w:tab w:val="left" w:pos="1843"/>
        </w:tabs>
        <w:spacing w:before="0" w:after="0" w:afterAutospacing="0"/>
        <w:ind w:left="422" w:right="0" w:firstLine="0"/>
        <w:outlineLvl w:val="1"/>
        <w:rPr>
          <w:rFonts w:hint="eastAsia" w:ascii="宋体" w:hAnsi="宋体"/>
          <w:b/>
          <w:color w:val="auto"/>
          <w:highlight w:val="none"/>
          <w:lang w:eastAsia="zh-CN"/>
        </w:rPr>
      </w:pPr>
      <w:bookmarkStart w:id="1001" w:name="_Toc12310"/>
      <w:r>
        <w:rPr>
          <w:rFonts w:ascii="宋体" w:hAnsi="宋体"/>
          <w:b/>
          <w:color w:val="auto"/>
          <w:highlight w:val="none"/>
        </w:rPr>
        <w:t>3</w:t>
      </w:r>
      <w:r>
        <w:rPr>
          <w:rFonts w:hint="eastAsia" w:ascii="宋体" w:hAnsi="宋体"/>
          <w:b/>
          <w:color w:val="auto"/>
          <w:highlight w:val="none"/>
          <w:lang w:val="en-US" w:eastAsia="zh-CN"/>
        </w:rPr>
        <w:t>8</w:t>
      </w:r>
      <w:r>
        <w:rPr>
          <w:rFonts w:ascii="宋体" w:hAnsi="宋体"/>
          <w:b/>
          <w:color w:val="auto"/>
          <w:highlight w:val="none"/>
        </w:rPr>
        <w:t>.</w:t>
      </w:r>
      <w:r>
        <w:rPr>
          <w:rFonts w:hint="eastAsia" w:ascii="宋体" w:hAnsi="宋体"/>
          <w:b/>
          <w:color w:val="auto"/>
          <w:highlight w:val="none"/>
          <w:lang w:eastAsia="zh-CN"/>
        </w:rPr>
        <w:t>保险</w:t>
      </w:r>
      <w:bookmarkEnd w:id="1001"/>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38.1乙方必须为乙方参与本项目的所有作业人员办理意外伤害保险和生命财产保险，并支付相关保险费用。</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38.2在合同执行过程中，甲方有权抽查本项目乙方自有人员办理意外伤害保险和生命财产保险的办理情况，如发现乙方未办理的，甲方有权要求乙方限期办理并暂停项目施工，直至乙方办理完毕，由此产生的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002" w:name="_Toc30492"/>
      <w:r>
        <w:rPr>
          <w:rFonts w:ascii="宋体" w:hAnsi="宋体"/>
          <w:b/>
          <w:color w:val="auto"/>
          <w:highlight w:val="none"/>
        </w:rPr>
        <w:t>3</w:t>
      </w:r>
      <w:r>
        <w:rPr>
          <w:rFonts w:hint="eastAsia" w:ascii="宋体" w:hAnsi="宋体"/>
          <w:b/>
          <w:color w:val="auto"/>
          <w:highlight w:val="none"/>
          <w:lang w:val="en-US" w:eastAsia="zh-CN"/>
        </w:rPr>
        <w:t>9</w:t>
      </w:r>
      <w:r>
        <w:rPr>
          <w:rFonts w:ascii="宋体" w:hAnsi="宋体"/>
          <w:b/>
          <w:color w:val="auto"/>
          <w:highlight w:val="none"/>
        </w:rPr>
        <w:t>.时间保证</w:t>
      </w:r>
      <w:bookmarkEnd w:id="1002"/>
    </w:p>
    <w:p>
      <w:pPr>
        <w:numPr>
          <w:ilvl w:val="2"/>
          <w:numId w:val="47"/>
        </w:numPr>
        <w:tabs>
          <w:tab w:val="left" w:pos="940"/>
          <w:tab w:val="clear" w:pos="1080"/>
        </w:tabs>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003" w:name="_Toc3611"/>
      <w:bookmarkStart w:id="1004" w:name="_Toc20780"/>
      <w:bookmarkStart w:id="1005" w:name="_Toc378514990"/>
      <w:bookmarkStart w:id="1006" w:name="_Toc11322"/>
      <w:bookmarkStart w:id="1007" w:name="_Toc4370"/>
      <w:bookmarkStart w:id="1008" w:name="_Toc27400"/>
      <w:bookmarkStart w:id="1009" w:name="_Toc6462"/>
      <w:bookmarkStart w:id="1010" w:name="_Toc385427876"/>
      <w:bookmarkStart w:id="1011" w:name="_Toc309"/>
      <w:bookmarkStart w:id="1012" w:name="_Toc14240"/>
      <w:bookmarkStart w:id="1013" w:name="_Toc25406"/>
      <w:bookmarkStart w:id="1014" w:name="_Toc16845"/>
      <w:bookmarkStart w:id="1015" w:name="_Toc26446"/>
      <w:bookmarkStart w:id="1016" w:name="_Toc24789"/>
      <w:bookmarkStart w:id="1017" w:name="_Toc25859"/>
      <w:bookmarkStart w:id="1018" w:name="_Toc2427"/>
      <w:bookmarkStart w:id="1019" w:name="_Toc8642"/>
      <w:bookmarkStart w:id="1020" w:name="_Toc925"/>
      <w:bookmarkStart w:id="1021" w:name="_Toc492478800"/>
      <w:bookmarkStart w:id="1022" w:name="_Toc20826"/>
      <w:bookmarkStart w:id="1023" w:name="_Toc370933887"/>
      <w:bookmarkStart w:id="1024" w:name="_Toc25750670"/>
      <w:bookmarkStart w:id="1025" w:name="_Toc390098502"/>
      <w:bookmarkStart w:id="1026" w:name="_Toc27029"/>
      <w:bookmarkStart w:id="1027" w:name="_Toc11286"/>
      <w:r>
        <w:rPr>
          <w:rFonts w:hint="eastAsia" w:ascii="宋体" w:hAnsi="宋体"/>
          <w:b/>
          <w:color w:val="auto"/>
          <w:highlight w:val="none"/>
          <w:lang w:val="en-US" w:eastAsia="zh-CN"/>
        </w:rPr>
        <w:t>40</w:t>
      </w:r>
      <w:r>
        <w:rPr>
          <w:rFonts w:ascii="宋体" w:hAnsi="宋体"/>
          <w:b/>
          <w:color w:val="auto"/>
          <w:highlight w:val="none"/>
        </w:rPr>
        <w:t>.其他</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34"/>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w:t>
      </w:r>
      <w:r>
        <w:rPr>
          <w:rFonts w:hint="eastAsia" w:ascii="宋体" w:hAnsi="宋体"/>
          <w:color w:val="auto"/>
          <w:highlight w:val="none"/>
        </w:rPr>
        <w:t>乙方确认并认知：</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40.1.1</w:t>
      </w: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34"/>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40.1.2</w:t>
      </w:r>
      <w:r>
        <w:rPr>
          <w:rFonts w:hint="eastAsia" w:ascii="宋体" w:hAnsi="宋体"/>
          <w:color w:val="auto"/>
          <w:highlight w:val="none"/>
        </w:rPr>
        <w:t>其同意该等风险和义务，并未受到甲方方面的任何胁迫或压力；</w:t>
      </w:r>
    </w:p>
    <w:p>
      <w:pPr>
        <w:pStyle w:val="34"/>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40.1.3</w:t>
      </w:r>
      <w:r>
        <w:rPr>
          <w:rFonts w:hint="eastAsia" w:ascii="宋体" w:hAnsi="宋体"/>
          <w:color w:val="auto"/>
          <w:highlight w:val="none"/>
        </w:rPr>
        <w:t>其接受该等风险和义务，是甲方愿意和能够按合同约定的价格订立合同的先决条件；</w:t>
      </w:r>
    </w:p>
    <w:p>
      <w:pPr>
        <w:pStyle w:val="34"/>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40.1.4</w:t>
      </w: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34"/>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40.2</w:t>
      </w: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34"/>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40.3</w:t>
      </w:r>
      <w:r>
        <w:rPr>
          <w:rFonts w:hint="eastAsia" w:ascii="宋体" w:hAnsi="宋体"/>
          <w:color w:val="auto"/>
          <w:highlight w:val="non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1028" w:name="_Toc13166"/>
      <w:bookmarkStart w:id="1029" w:name="_Toc13499"/>
      <w:bookmarkStart w:id="1030" w:name="_Toc7637"/>
      <w:bookmarkStart w:id="1031" w:name="_Toc8007"/>
      <w:bookmarkStart w:id="1032" w:name="_Toc22187"/>
      <w:bookmarkStart w:id="1033" w:name="_Toc24622"/>
      <w:bookmarkStart w:id="1034" w:name="_Toc18173"/>
      <w:bookmarkStart w:id="1035" w:name="_Toc16195"/>
      <w:bookmarkStart w:id="1036" w:name="_Toc19698"/>
      <w:bookmarkStart w:id="1037" w:name="_Toc25750671"/>
      <w:bookmarkStart w:id="1038" w:name="_Toc2305"/>
      <w:bookmarkStart w:id="1039" w:name="_Toc5033"/>
      <w:bookmarkStart w:id="1040" w:name="_Toc15121"/>
      <w:bookmarkStart w:id="1041" w:name="_Toc24724"/>
      <w:bookmarkStart w:id="1042" w:name="_Toc2266"/>
      <w:bookmarkStart w:id="1043" w:name="_Toc11176"/>
      <w:bookmarkStart w:id="1044" w:name="_Toc7437"/>
      <w:bookmarkStart w:id="1045" w:name="_Toc4615"/>
      <w:bookmarkStart w:id="1046" w:name="_Toc16684"/>
      <w:bookmarkStart w:id="1047" w:name="_Toc560"/>
      <w:r>
        <w:rPr>
          <w:rFonts w:hint="eastAsia" w:ascii="宋体" w:hAnsi="宋体"/>
          <w:b/>
          <w:color w:val="auto"/>
          <w:highlight w:val="none"/>
          <w:lang w:val="en-US" w:eastAsia="zh-CN"/>
        </w:rPr>
        <w:t>41</w:t>
      </w:r>
      <w:r>
        <w:rPr>
          <w:rFonts w:ascii="宋体" w:hAnsi="宋体"/>
          <w:b/>
          <w:color w:val="auto"/>
          <w:highlight w:val="none"/>
        </w:rPr>
        <w:t>.合同生效和签约地</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34"/>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41.1</w:t>
      </w:r>
      <w:r>
        <w:rPr>
          <w:rFonts w:hint="eastAsia" w:ascii="宋体" w:hAnsi="宋体"/>
          <w:color w:val="auto"/>
          <w:highlight w:val="none"/>
        </w:rPr>
        <w:t>本合同生效的时间以双方签署的协议书上的最后日期为准。</w:t>
      </w:r>
    </w:p>
    <w:p>
      <w:pPr>
        <w:pStyle w:val="34"/>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41.2</w:t>
      </w:r>
      <w:r>
        <w:rPr>
          <w:rFonts w:hint="eastAsia" w:ascii="宋体" w:hAnsi="宋体"/>
          <w:color w:val="auto"/>
          <w:highlight w:val="none"/>
        </w:rPr>
        <w:t>本合同签约地为中华人民共和国广西壮族自治区南宁市青秀区。</w:t>
      </w:r>
    </w:p>
    <w:p>
      <w:pPr>
        <w:pStyle w:val="34"/>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41.3</w:t>
      </w:r>
      <w:r>
        <w:rPr>
          <w:rFonts w:hint="eastAsia" w:ascii="宋体" w:hAnsi="宋体"/>
          <w:color w:val="auto"/>
          <w:highlight w:val="non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color w:val="auto"/>
          <w:highlight w:val="none"/>
        </w:rPr>
        <w:sectPr>
          <w:footerReference r:id="rId8" w:type="default"/>
          <w:pgSz w:w="11905" w:h="16838"/>
          <w:pgMar w:top="1417" w:right="1417" w:bottom="1417" w:left="1417" w:header="454" w:footer="567" w:gutter="0"/>
          <w:pgNumType w:fmt="decimal"/>
          <w:cols w:space="720" w:num="1"/>
          <w:docGrid w:linePitch="312" w:charSpace="0"/>
        </w:sectPr>
      </w:pPr>
    </w:p>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2"/>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hint="eastAsia" w:ascii="宋体" w:hAnsi="宋体" w:eastAsia="宋体"/>
          <w:color w:val="auto"/>
          <w:highlight w:val="none"/>
          <w:lang w:eastAsia="zh-CN"/>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全部项目验收合格之日后四十五（45）天一直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全部项目验收合格之日后四十五（45）天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lang w:eastAsia="zh-CN"/>
        </w:rPr>
        <w:t>南宁轨道交通运营有限公司</w:t>
      </w:r>
      <w:r>
        <w:rPr>
          <w:rFonts w:hint="eastAsia" w:ascii="宋体" w:hAnsi="宋体"/>
          <w:color w:val="auto"/>
          <w:sz w:val="24"/>
          <w:szCs w:val="24"/>
          <w:highlight w:val="none"/>
        </w:rPr>
        <w:t>：</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line="240" w:lineRule="auto"/>
              <w:ind w:left="0" w:right="0" w:firstLine="0"/>
              <w:rPr>
                <w:rFonts w:ascii="宋体" w:hAnsi="宋体"/>
                <w:color w:val="auto"/>
                <w:highlight w:val="none"/>
              </w:rPr>
            </w:pPr>
          </w:p>
        </w:tc>
      </w:tr>
    </w:tbl>
    <w:p>
      <w:pPr>
        <w:spacing w:before="0" w:after="0" w:afterAutospacing="0"/>
        <w:ind w:left="0" w:right="0" w:firstLine="420" w:firstLineChars="200"/>
        <w:rPr>
          <w:rFonts w:hAnsi="宋体"/>
          <w:color w:val="auto"/>
          <w:highlight w:val="none"/>
        </w:rPr>
        <w:sectPr>
          <w:footerReference r:id="rId9" w:type="default"/>
          <w:pgSz w:w="11905" w:h="16838"/>
          <w:pgMar w:top="1417" w:right="1417" w:bottom="1417" w:left="1417" w:header="454" w:footer="567" w:gutter="0"/>
          <w:cols w:space="720" w:num="1"/>
          <w:docGrid w:linePitch="312" w:charSpace="0"/>
        </w:sectPr>
      </w:pPr>
    </w:p>
    <w:p>
      <w:pPr>
        <w:numPr>
          <w:ilvl w:val="0"/>
          <w:numId w:val="48"/>
        </w:numPr>
        <w:spacing w:before="0" w:line="360" w:lineRule="auto"/>
        <w:ind w:left="1129" w:leftChars="200" w:right="0"/>
        <w:jc w:val="center"/>
        <w:outlineLvl w:val="1"/>
        <w:rPr>
          <w:rStyle w:val="59"/>
          <w:szCs w:val="22"/>
        </w:rPr>
      </w:pPr>
      <w:r>
        <w:rPr>
          <w:rStyle w:val="59"/>
          <w:rFonts w:hint="eastAsia"/>
          <w:szCs w:val="22"/>
        </w:rPr>
        <w:t>价格组成文件</w:t>
      </w: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numPr>
          <w:ilvl w:val="0"/>
          <w:numId w:val="48"/>
        </w:numPr>
        <w:spacing w:before="0" w:line="360" w:lineRule="auto"/>
        <w:ind w:left="1129" w:leftChars="200" w:right="0"/>
        <w:jc w:val="center"/>
        <w:outlineLvl w:val="1"/>
        <w:rPr>
          <w:rStyle w:val="59"/>
          <w:szCs w:val="22"/>
        </w:rPr>
      </w:pPr>
      <w:r>
        <w:rPr>
          <w:rStyle w:val="59"/>
          <w:rFonts w:hint="eastAsia"/>
          <w:szCs w:val="22"/>
        </w:rPr>
        <w:t>技术需求及数量表</w:t>
      </w:r>
    </w:p>
    <w:p>
      <w:pPr>
        <w:spacing w:before="0" w:line="360" w:lineRule="auto"/>
        <w:ind w:left="1129" w:leftChars="200" w:right="0"/>
        <w:outlineLvl w:val="1"/>
        <w:rPr>
          <w:rStyle w:val="59"/>
          <w:rFonts w:hint="eastAsia"/>
          <w:szCs w:val="22"/>
        </w:rPr>
      </w:pPr>
      <w:r>
        <w:rPr>
          <w:rStyle w:val="59"/>
          <w:rFonts w:hint="eastAsia"/>
          <w:szCs w:val="22"/>
        </w:rPr>
        <w:t>详见附件3</w:t>
      </w: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pStyle w:val="2"/>
        <w:rPr>
          <w:rStyle w:val="59"/>
          <w:rFonts w:hint="eastAsia"/>
          <w:szCs w:val="22"/>
        </w:rPr>
      </w:pPr>
    </w:p>
    <w:p>
      <w:pPr>
        <w:pStyle w:val="2"/>
        <w:ind w:left="0" w:leftChars="0" w:firstLine="0" w:firstLineChars="0"/>
        <w:rPr>
          <w:rStyle w:val="59"/>
          <w:rFonts w:hint="eastAsia"/>
          <w:szCs w:val="22"/>
        </w:rPr>
      </w:pPr>
    </w:p>
    <w:p>
      <w:pPr>
        <w:pStyle w:val="34"/>
        <w:numPr>
          <w:ilvl w:val="0"/>
          <w:numId w:val="48"/>
        </w:numPr>
        <w:jc w:val="center"/>
        <w:rPr>
          <w:rStyle w:val="59"/>
          <w:rFonts w:ascii="Times New Roman" w:hAnsi="Times New Roman"/>
          <w:szCs w:val="22"/>
        </w:rPr>
      </w:pPr>
      <w:r>
        <w:rPr>
          <w:rStyle w:val="59"/>
          <w:rFonts w:hint="eastAsia" w:ascii="Times New Roman" w:hAnsi="Times New Roman"/>
          <w:szCs w:val="22"/>
        </w:rPr>
        <w:t>询比价文件（另册）</w:t>
      </w:r>
    </w:p>
    <w:p>
      <w:pPr>
        <w:pStyle w:val="34"/>
        <w:numPr>
          <w:numId w:val="0"/>
        </w:numPr>
        <w:spacing w:before="120" w:after="100" w:afterAutospacing="1" w:line="360" w:lineRule="auto"/>
        <w:ind w:right="-27" w:rightChars="0"/>
        <w:jc w:val="center"/>
        <w:rPr>
          <w:rStyle w:val="59"/>
          <w:rFonts w:hint="eastAsia" w:ascii="Times New Roman" w:hAnsi="Times New Roman"/>
          <w:szCs w:val="22"/>
        </w:rPr>
      </w:pPr>
    </w:p>
    <w:p>
      <w:pPr>
        <w:pStyle w:val="34"/>
        <w:numPr>
          <w:numId w:val="0"/>
        </w:numPr>
        <w:spacing w:before="120" w:after="100" w:afterAutospacing="1" w:line="360" w:lineRule="auto"/>
        <w:ind w:right="-27" w:rightChars="0"/>
        <w:jc w:val="both"/>
        <w:rPr>
          <w:rStyle w:val="59"/>
          <w:rFonts w:hint="eastAsia" w:ascii="Times New Roman" w:hAnsi="Times New Roman"/>
          <w:szCs w:val="22"/>
        </w:rPr>
      </w:pPr>
    </w:p>
    <w:p>
      <w:pPr>
        <w:pStyle w:val="34"/>
        <w:numPr>
          <w:numId w:val="0"/>
        </w:numPr>
        <w:spacing w:before="120" w:after="100" w:afterAutospacing="1" w:line="360" w:lineRule="auto"/>
        <w:ind w:right="-27" w:rightChars="0"/>
        <w:jc w:val="both"/>
        <w:rPr>
          <w:rStyle w:val="59"/>
          <w:rFonts w:hint="eastAsia" w:ascii="Times New Roman" w:hAnsi="Times New Roman"/>
          <w:szCs w:val="22"/>
        </w:rPr>
      </w:pPr>
    </w:p>
    <w:p>
      <w:pPr>
        <w:pStyle w:val="34"/>
        <w:numPr>
          <w:numId w:val="0"/>
        </w:numPr>
        <w:spacing w:before="120" w:after="100" w:afterAutospacing="1" w:line="360" w:lineRule="auto"/>
        <w:ind w:right="-27" w:rightChars="0"/>
        <w:jc w:val="both"/>
        <w:rPr>
          <w:rStyle w:val="59"/>
          <w:rFonts w:hint="eastAsia" w:ascii="Times New Roman" w:hAnsi="Times New Roman"/>
          <w:szCs w:val="22"/>
        </w:rPr>
      </w:pPr>
    </w:p>
    <w:p>
      <w:pPr>
        <w:pStyle w:val="34"/>
        <w:numPr>
          <w:numId w:val="0"/>
        </w:numPr>
        <w:spacing w:before="120" w:after="100" w:afterAutospacing="1" w:line="360" w:lineRule="auto"/>
        <w:ind w:right="-27" w:rightChars="0"/>
        <w:jc w:val="both"/>
        <w:rPr>
          <w:rStyle w:val="59"/>
          <w:rFonts w:hint="eastAsia" w:ascii="Times New Roman" w:hAnsi="Times New Roman"/>
          <w:szCs w:val="22"/>
        </w:rPr>
      </w:pPr>
    </w:p>
    <w:p>
      <w:pPr>
        <w:pStyle w:val="34"/>
        <w:numPr>
          <w:numId w:val="0"/>
        </w:numPr>
        <w:spacing w:before="120" w:after="100" w:afterAutospacing="1" w:line="360" w:lineRule="auto"/>
        <w:ind w:right="-27" w:rightChars="0"/>
        <w:jc w:val="both"/>
        <w:rPr>
          <w:rStyle w:val="59"/>
          <w:rFonts w:hint="eastAsia" w:ascii="Times New Roman" w:hAnsi="Times New Roman"/>
          <w:szCs w:val="22"/>
        </w:rPr>
      </w:pPr>
    </w:p>
    <w:p>
      <w:pPr>
        <w:pStyle w:val="34"/>
        <w:numPr>
          <w:numId w:val="0"/>
        </w:numPr>
        <w:spacing w:before="120" w:after="100" w:afterAutospacing="1" w:line="360" w:lineRule="auto"/>
        <w:ind w:right="-27" w:rightChars="0"/>
        <w:jc w:val="both"/>
        <w:rPr>
          <w:rStyle w:val="59"/>
          <w:rFonts w:hint="eastAsia" w:ascii="Times New Roman" w:hAnsi="Times New Roman"/>
          <w:szCs w:val="22"/>
        </w:rPr>
      </w:pPr>
    </w:p>
    <w:p>
      <w:pPr>
        <w:pStyle w:val="34"/>
        <w:numPr>
          <w:numId w:val="0"/>
        </w:numPr>
        <w:spacing w:before="120" w:after="100" w:afterAutospacing="1" w:line="360" w:lineRule="auto"/>
        <w:ind w:right="-27" w:rightChars="0"/>
        <w:jc w:val="both"/>
        <w:rPr>
          <w:rStyle w:val="59"/>
          <w:rFonts w:hint="eastAsia" w:ascii="Times New Roman" w:hAnsi="Times New Roman"/>
          <w:szCs w:val="22"/>
        </w:rPr>
      </w:pPr>
    </w:p>
    <w:p>
      <w:pPr>
        <w:pStyle w:val="34"/>
        <w:numPr>
          <w:ilvl w:val="0"/>
          <w:numId w:val="48"/>
        </w:numPr>
        <w:jc w:val="center"/>
        <w:rPr>
          <w:rStyle w:val="59"/>
          <w:rFonts w:ascii="Times New Roman" w:hAnsi="Times New Roman"/>
          <w:szCs w:val="22"/>
        </w:rPr>
      </w:pPr>
      <w:r>
        <w:rPr>
          <w:rStyle w:val="59"/>
          <w:rFonts w:hint="eastAsia" w:ascii="Times New Roman" w:hAnsi="Times New Roman"/>
          <w:szCs w:val="22"/>
        </w:rPr>
        <w:t>询比价申请文件（另册）</w:t>
      </w:r>
    </w:p>
    <w:p>
      <w:pPr>
        <w:spacing w:before="0" w:after="0"/>
        <w:ind w:left="420" w:right="0" w:firstLine="0"/>
        <w:jc w:val="left"/>
        <w:rPr>
          <w:rFonts w:ascii="宋体" w:hAnsi="宋体"/>
          <w:color w:val="auto"/>
          <w:highlight w:val="none"/>
        </w:rPr>
      </w:pPr>
    </w:p>
    <w:sectPr>
      <w:headerReference r:id="rId10" w:type="default"/>
      <w:footerReference r:id="rId11" w:type="default"/>
      <w:pgSz w:w="16838" w:h="11905" w:orient="landscape"/>
      <w:pgMar w:top="1417" w:right="1417" w:bottom="1417" w:left="1304" w:header="454" w:footer="567" w:gutter="0"/>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20" o:spid="_x0000_s102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path/>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w:pict>
        <v:shape id="文本框 9"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6233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8">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2">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3">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4">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5">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6">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7">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8">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9">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2">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3">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6">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44256D71"/>
    <w:multiLevelType w:val="singleLevel"/>
    <w:tmpl w:val="44256D71"/>
    <w:lvl w:ilvl="0" w:tentative="0">
      <w:start w:val="3"/>
      <w:numFmt w:val="chineseCounting"/>
      <w:suff w:val="space"/>
      <w:lvlText w:val="第%1部分"/>
      <w:lvlJc w:val="left"/>
      <w:rPr>
        <w:rFonts w:hint="eastAsia"/>
      </w:rPr>
    </w:lvl>
  </w:abstractNum>
  <w:num w:numId="1">
    <w:abstractNumId w:val="5"/>
  </w:num>
  <w:num w:numId="2">
    <w:abstractNumId w:val="19"/>
  </w:num>
  <w:num w:numId="3">
    <w:abstractNumId w:val="9"/>
  </w:num>
  <w:num w:numId="4">
    <w:abstractNumId w:val="16"/>
  </w:num>
  <w:num w:numId="5">
    <w:abstractNumId w:val="1"/>
  </w:num>
  <w:num w:numId="6">
    <w:abstractNumId w:val="18"/>
  </w:num>
  <w:num w:numId="7">
    <w:abstractNumId w:val="17"/>
  </w:num>
  <w:num w:numId="8">
    <w:abstractNumId w:val="7"/>
  </w:num>
  <w:num w:numId="9">
    <w:abstractNumId w:val="20"/>
  </w:num>
  <w:num w:numId="10">
    <w:abstractNumId w:val="4"/>
  </w:num>
  <w:num w:numId="11">
    <w:abstractNumId w:val="13"/>
  </w:num>
  <w:num w:numId="12">
    <w:abstractNumId w:val="14"/>
  </w:num>
  <w:num w:numId="13">
    <w:abstractNumId w:val="10"/>
  </w:num>
  <w:num w:numId="14">
    <w:abstractNumId w:val="22"/>
  </w:num>
  <w:num w:numId="15">
    <w:abstractNumId w:val="3"/>
  </w:num>
  <w:num w:numId="16">
    <w:abstractNumId w:val="26"/>
  </w:num>
  <w:num w:numId="17">
    <w:abstractNumId w:val="0"/>
  </w:num>
  <w:num w:numId="18">
    <w:abstractNumId w:val="35"/>
  </w:num>
  <w:num w:numId="19">
    <w:abstractNumId w:val="45"/>
  </w:num>
  <w:num w:numId="20">
    <w:abstractNumId w:val="2"/>
  </w:num>
  <w:num w:numId="21">
    <w:abstractNumId w:val="25"/>
  </w:num>
  <w:num w:numId="22">
    <w:abstractNumId w:val="8"/>
  </w:num>
  <w:num w:numId="23">
    <w:abstractNumId w:val="11"/>
  </w:num>
  <w:num w:numId="24">
    <w:abstractNumId w:val="36"/>
  </w:num>
  <w:num w:numId="25">
    <w:abstractNumId w:val="23"/>
  </w:num>
  <w:num w:numId="26">
    <w:abstractNumId w:val="38"/>
  </w:num>
  <w:num w:numId="27">
    <w:abstractNumId w:val="21"/>
  </w:num>
  <w:num w:numId="28">
    <w:abstractNumId w:val="15"/>
  </w:num>
  <w:num w:numId="29">
    <w:abstractNumId w:val="44"/>
  </w:num>
  <w:num w:numId="30">
    <w:abstractNumId w:val="6"/>
  </w:num>
  <w:num w:numId="31">
    <w:abstractNumId w:val="46"/>
  </w:num>
  <w:num w:numId="32">
    <w:abstractNumId w:val="41"/>
  </w:num>
  <w:num w:numId="33">
    <w:abstractNumId w:val="43"/>
  </w:num>
  <w:num w:numId="34">
    <w:abstractNumId w:val="28"/>
  </w:num>
  <w:num w:numId="35">
    <w:abstractNumId w:val="39"/>
  </w:num>
  <w:num w:numId="36">
    <w:abstractNumId w:val="27"/>
  </w:num>
  <w:num w:numId="37">
    <w:abstractNumId w:val="33"/>
  </w:num>
  <w:num w:numId="38">
    <w:abstractNumId w:val="24"/>
  </w:num>
  <w:num w:numId="39">
    <w:abstractNumId w:val="32"/>
  </w:num>
  <w:num w:numId="40">
    <w:abstractNumId w:val="40"/>
  </w:num>
  <w:num w:numId="41">
    <w:abstractNumId w:val="29"/>
  </w:num>
  <w:num w:numId="42">
    <w:abstractNumId w:val="30"/>
  </w:num>
  <w:num w:numId="43">
    <w:abstractNumId w:val="31"/>
  </w:num>
  <w:num w:numId="44">
    <w:abstractNumId w:val="42"/>
  </w:num>
  <w:num w:numId="45">
    <w:abstractNumId w:val="12"/>
  </w:num>
  <w:num w:numId="46">
    <w:abstractNumId w:val="37"/>
  </w:num>
  <w:num w:numId="47">
    <w:abstractNumId w:val="3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RiYzc1M2Q3OTA0ZGVmYzFjZTBjNjI3ZjlkNmRlZjE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1DF79C5"/>
    <w:rsid w:val="025958ED"/>
    <w:rsid w:val="026B2025"/>
    <w:rsid w:val="028642E4"/>
    <w:rsid w:val="04165147"/>
    <w:rsid w:val="0452773B"/>
    <w:rsid w:val="0498064F"/>
    <w:rsid w:val="04D53301"/>
    <w:rsid w:val="054E51FC"/>
    <w:rsid w:val="06B069BA"/>
    <w:rsid w:val="0745513D"/>
    <w:rsid w:val="07C03DF5"/>
    <w:rsid w:val="081F1297"/>
    <w:rsid w:val="083B7E4D"/>
    <w:rsid w:val="090867C4"/>
    <w:rsid w:val="0915675A"/>
    <w:rsid w:val="092E4768"/>
    <w:rsid w:val="092F0CA8"/>
    <w:rsid w:val="0A49414A"/>
    <w:rsid w:val="0AAB7A61"/>
    <w:rsid w:val="0BBC0BA8"/>
    <w:rsid w:val="0BE76153"/>
    <w:rsid w:val="0C667718"/>
    <w:rsid w:val="0C727C5A"/>
    <w:rsid w:val="0C74604D"/>
    <w:rsid w:val="0D246BD4"/>
    <w:rsid w:val="0D460BF6"/>
    <w:rsid w:val="0E325320"/>
    <w:rsid w:val="0EAB2F18"/>
    <w:rsid w:val="0EB00652"/>
    <w:rsid w:val="0EC141E5"/>
    <w:rsid w:val="0FC103AD"/>
    <w:rsid w:val="10466E61"/>
    <w:rsid w:val="10B14C22"/>
    <w:rsid w:val="10FB48BC"/>
    <w:rsid w:val="110D62AE"/>
    <w:rsid w:val="115D7BDB"/>
    <w:rsid w:val="11B010CA"/>
    <w:rsid w:val="11BB6DB6"/>
    <w:rsid w:val="125161BB"/>
    <w:rsid w:val="13053004"/>
    <w:rsid w:val="142F43C4"/>
    <w:rsid w:val="14EB67A9"/>
    <w:rsid w:val="14EE2F7E"/>
    <w:rsid w:val="15D121B3"/>
    <w:rsid w:val="16026B81"/>
    <w:rsid w:val="16DB1AE8"/>
    <w:rsid w:val="16F62AD9"/>
    <w:rsid w:val="16F63439"/>
    <w:rsid w:val="17A4250C"/>
    <w:rsid w:val="17F0516B"/>
    <w:rsid w:val="182409DA"/>
    <w:rsid w:val="184C0256"/>
    <w:rsid w:val="18E02D2E"/>
    <w:rsid w:val="18E32266"/>
    <w:rsid w:val="19415A79"/>
    <w:rsid w:val="197C6E4E"/>
    <w:rsid w:val="19C937AF"/>
    <w:rsid w:val="1A515B00"/>
    <w:rsid w:val="1B244243"/>
    <w:rsid w:val="1B9D2327"/>
    <w:rsid w:val="1C7E4664"/>
    <w:rsid w:val="1D2B555E"/>
    <w:rsid w:val="1D2F400B"/>
    <w:rsid w:val="1D5141EA"/>
    <w:rsid w:val="1E5B1C54"/>
    <w:rsid w:val="1EF514BB"/>
    <w:rsid w:val="1F446918"/>
    <w:rsid w:val="1F53250D"/>
    <w:rsid w:val="20205555"/>
    <w:rsid w:val="212424BE"/>
    <w:rsid w:val="2188552B"/>
    <w:rsid w:val="219D6319"/>
    <w:rsid w:val="21B874B6"/>
    <w:rsid w:val="21C503F7"/>
    <w:rsid w:val="22FB4014"/>
    <w:rsid w:val="233514EB"/>
    <w:rsid w:val="23571954"/>
    <w:rsid w:val="240706A8"/>
    <w:rsid w:val="242D6430"/>
    <w:rsid w:val="24670624"/>
    <w:rsid w:val="24793816"/>
    <w:rsid w:val="24DC6FFD"/>
    <w:rsid w:val="24FA6740"/>
    <w:rsid w:val="25302162"/>
    <w:rsid w:val="257864AC"/>
    <w:rsid w:val="25B5111E"/>
    <w:rsid w:val="26E334BB"/>
    <w:rsid w:val="278F0587"/>
    <w:rsid w:val="28581F79"/>
    <w:rsid w:val="28616AD6"/>
    <w:rsid w:val="28A406EE"/>
    <w:rsid w:val="28A847A4"/>
    <w:rsid w:val="290C4790"/>
    <w:rsid w:val="29443561"/>
    <w:rsid w:val="29C311AE"/>
    <w:rsid w:val="29CA1896"/>
    <w:rsid w:val="29CA5BB4"/>
    <w:rsid w:val="2A2E5EF4"/>
    <w:rsid w:val="2AD922E2"/>
    <w:rsid w:val="2B187CF1"/>
    <w:rsid w:val="2B964525"/>
    <w:rsid w:val="2CB847EB"/>
    <w:rsid w:val="2D156E43"/>
    <w:rsid w:val="2D445AB7"/>
    <w:rsid w:val="2DCD5806"/>
    <w:rsid w:val="2E356514"/>
    <w:rsid w:val="2E6B6BA3"/>
    <w:rsid w:val="2EC12EC5"/>
    <w:rsid w:val="2F7C1986"/>
    <w:rsid w:val="2FF54356"/>
    <w:rsid w:val="31CC6733"/>
    <w:rsid w:val="32A37210"/>
    <w:rsid w:val="32A81076"/>
    <w:rsid w:val="32B86DE7"/>
    <w:rsid w:val="336D3EFC"/>
    <w:rsid w:val="33D463AE"/>
    <w:rsid w:val="340D2E36"/>
    <w:rsid w:val="346356C0"/>
    <w:rsid w:val="35060552"/>
    <w:rsid w:val="350B22A4"/>
    <w:rsid w:val="352956ED"/>
    <w:rsid w:val="360A565E"/>
    <w:rsid w:val="360C0C42"/>
    <w:rsid w:val="36885BB2"/>
    <w:rsid w:val="37081918"/>
    <w:rsid w:val="375A4E1C"/>
    <w:rsid w:val="375D663C"/>
    <w:rsid w:val="37BA71ED"/>
    <w:rsid w:val="38F54F7C"/>
    <w:rsid w:val="394A1545"/>
    <w:rsid w:val="398B1ECB"/>
    <w:rsid w:val="39EF62E9"/>
    <w:rsid w:val="3A047F37"/>
    <w:rsid w:val="3A3A45FD"/>
    <w:rsid w:val="3A727459"/>
    <w:rsid w:val="3A7C06F1"/>
    <w:rsid w:val="3A9C399E"/>
    <w:rsid w:val="3AEC50AC"/>
    <w:rsid w:val="3B6915C2"/>
    <w:rsid w:val="3B9A6FF2"/>
    <w:rsid w:val="3C3A73AE"/>
    <w:rsid w:val="3CBE1E06"/>
    <w:rsid w:val="3D265DA3"/>
    <w:rsid w:val="3DBE36D1"/>
    <w:rsid w:val="3DF97569"/>
    <w:rsid w:val="3EA44FC3"/>
    <w:rsid w:val="3ED35BBC"/>
    <w:rsid w:val="3EE8159B"/>
    <w:rsid w:val="3F536D21"/>
    <w:rsid w:val="3FAE5EA6"/>
    <w:rsid w:val="3FB26F01"/>
    <w:rsid w:val="400242A3"/>
    <w:rsid w:val="404E76D6"/>
    <w:rsid w:val="40D57DED"/>
    <w:rsid w:val="40DA0D7C"/>
    <w:rsid w:val="41115EE3"/>
    <w:rsid w:val="412768A8"/>
    <w:rsid w:val="416A1DE3"/>
    <w:rsid w:val="420E7210"/>
    <w:rsid w:val="426E3F54"/>
    <w:rsid w:val="43FD33D4"/>
    <w:rsid w:val="440775F8"/>
    <w:rsid w:val="44316F05"/>
    <w:rsid w:val="451D7F19"/>
    <w:rsid w:val="453E3FCF"/>
    <w:rsid w:val="459A1E7C"/>
    <w:rsid w:val="45A5020A"/>
    <w:rsid w:val="46C73B51"/>
    <w:rsid w:val="47A00926"/>
    <w:rsid w:val="47C35BA6"/>
    <w:rsid w:val="47D95A82"/>
    <w:rsid w:val="484A67E7"/>
    <w:rsid w:val="48654D28"/>
    <w:rsid w:val="486F1C71"/>
    <w:rsid w:val="48B242B0"/>
    <w:rsid w:val="492020CD"/>
    <w:rsid w:val="49F65739"/>
    <w:rsid w:val="4AA7442F"/>
    <w:rsid w:val="4B1178BB"/>
    <w:rsid w:val="4B2D6560"/>
    <w:rsid w:val="4B3D57B7"/>
    <w:rsid w:val="4B512EEA"/>
    <w:rsid w:val="4BA33D85"/>
    <w:rsid w:val="4BC37D59"/>
    <w:rsid w:val="4BCF4269"/>
    <w:rsid w:val="4BE62AC4"/>
    <w:rsid w:val="4C9831AA"/>
    <w:rsid w:val="4DD86643"/>
    <w:rsid w:val="4E174F8C"/>
    <w:rsid w:val="4E38646F"/>
    <w:rsid w:val="4E715DCB"/>
    <w:rsid w:val="4E7B71C2"/>
    <w:rsid w:val="4E8D0572"/>
    <w:rsid w:val="4EB938FA"/>
    <w:rsid w:val="4F7C798D"/>
    <w:rsid w:val="4FB630D4"/>
    <w:rsid w:val="506E4FA2"/>
    <w:rsid w:val="51475FBA"/>
    <w:rsid w:val="520B348B"/>
    <w:rsid w:val="53346675"/>
    <w:rsid w:val="53814CA5"/>
    <w:rsid w:val="538B5462"/>
    <w:rsid w:val="53E57DD6"/>
    <w:rsid w:val="54E53A3C"/>
    <w:rsid w:val="55244ABC"/>
    <w:rsid w:val="5563538C"/>
    <w:rsid w:val="55903F51"/>
    <w:rsid w:val="559C195E"/>
    <w:rsid w:val="55E22755"/>
    <w:rsid w:val="564451BE"/>
    <w:rsid w:val="564E5E94"/>
    <w:rsid w:val="5697379F"/>
    <w:rsid w:val="57541DB8"/>
    <w:rsid w:val="583F271F"/>
    <w:rsid w:val="585425C1"/>
    <w:rsid w:val="587A4E51"/>
    <w:rsid w:val="597245D4"/>
    <w:rsid w:val="598631B8"/>
    <w:rsid w:val="598A28D1"/>
    <w:rsid w:val="599E0C77"/>
    <w:rsid w:val="5A9E7472"/>
    <w:rsid w:val="5AC47CB1"/>
    <w:rsid w:val="5B096777"/>
    <w:rsid w:val="5C1D0043"/>
    <w:rsid w:val="5C4E6F4D"/>
    <w:rsid w:val="5CA22BED"/>
    <w:rsid w:val="5CEE1A5F"/>
    <w:rsid w:val="5E2A19C7"/>
    <w:rsid w:val="5E581ADC"/>
    <w:rsid w:val="5EB81890"/>
    <w:rsid w:val="5F173F86"/>
    <w:rsid w:val="60821E77"/>
    <w:rsid w:val="60C9013C"/>
    <w:rsid w:val="61DC079B"/>
    <w:rsid w:val="6218376F"/>
    <w:rsid w:val="626369CC"/>
    <w:rsid w:val="629717CC"/>
    <w:rsid w:val="629F34F7"/>
    <w:rsid w:val="62D33282"/>
    <w:rsid w:val="62F24ED5"/>
    <w:rsid w:val="63537893"/>
    <w:rsid w:val="63565291"/>
    <w:rsid w:val="6382071C"/>
    <w:rsid w:val="638E5512"/>
    <w:rsid w:val="6399397E"/>
    <w:rsid w:val="646204A5"/>
    <w:rsid w:val="64C7265C"/>
    <w:rsid w:val="65BA5DC5"/>
    <w:rsid w:val="65CF072A"/>
    <w:rsid w:val="65DC1391"/>
    <w:rsid w:val="66833198"/>
    <w:rsid w:val="68084296"/>
    <w:rsid w:val="68A613C0"/>
    <w:rsid w:val="68D561D2"/>
    <w:rsid w:val="697414BE"/>
    <w:rsid w:val="6AF3563E"/>
    <w:rsid w:val="6C566BFA"/>
    <w:rsid w:val="6C81031A"/>
    <w:rsid w:val="6CA8457B"/>
    <w:rsid w:val="6DD96B80"/>
    <w:rsid w:val="6E015C26"/>
    <w:rsid w:val="6EB662F8"/>
    <w:rsid w:val="6EF530A1"/>
    <w:rsid w:val="6F3847AD"/>
    <w:rsid w:val="6F460ADB"/>
    <w:rsid w:val="6F7D65DB"/>
    <w:rsid w:val="6FD32774"/>
    <w:rsid w:val="6FDD5469"/>
    <w:rsid w:val="6FED07AD"/>
    <w:rsid w:val="70803334"/>
    <w:rsid w:val="70B268EC"/>
    <w:rsid w:val="70BC0AC8"/>
    <w:rsid w:val="70D02159"/>
    <w:rsid w:val="71702B9B"/>
    <w:rsid w:val="725667B3"/>
    <w:rsid w:val="72954D13"/>
    <w:rsid w:val="72E415ED"/>
    <w:rsid w:val="72ED4189"/>
    <w:rsid w:val="73B528F8"/>
    <w:rsid w:val="73FA169D"/>
    <w:rsid w:val="76163097"/>
    <w:rsid w:val="76AF7225"/>
    <w:rsid w:val="76D63D72"/>
    <w:rsid w:val="779C516C"/>
    <w:rsid w:val="78B97F0C"/>
    <w:rsid w:val="795F1B8B"/>
    <w:rsid w:val="7A06163E"/>
    <w:rsid w:val="7A6C5F58"/>
    <w:rsid w:val="7A960353"/>
    <w:rsid w:val="7AF56DA4"/>
    <w:rsid w:val="7B5F2A58"/>
    <w:rsid w:val="7BBB53E1"/>
    <w:rsid w:val="7BCB7664"/>
    <w:rsid w:val="7C132746"/>
    <w:rsid w:val="7C466CEA"/>
    <w:rsid w:val="7CC82155"/>
    <w:rsid w:val="7CDD0F52"/>
    <w:rsid w:val="7D3058A4"/>
    <w:rsid w:val="7DC31E50"/>
    <w:rsid w:val="7DDC3C8F"/>
    <w:rsid w:val="7DE36366"/>
    <w:rsid w:val="7E435BBC"/>
    <w:rsid w:val="7E6F077A"/>
    <w:rsid w:val="7F4265E1"/>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59"/>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8"/>
    <w:next w:val="8"/>
    <w:semiHidden/>
    <w:unhideWhenUsed/>
    <w:qFormat/>
    <w:uiPriority w:val="0"/>
    <w:rPr>
      <w:b/>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Char"/>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Char"/>
    <w:basedOn w:val="28"/>
    <w:link w:val="9"/>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8"/>
    <w:qFormat/>
    <w:uiPriority w:val="0"/>
    <w:rPr>
      <w:rFonts w:hint="eastAsia" w:ascii="宋体" w:hAnsi="宋体" w:eastAsia="宋体" w:cs="宋体"/>
      <w:color w:val="FF0000"/>
      <w:sz w:val="24"/>
      <w:szCs w:val="24"/>
      <w:u w:val="none"/>
    </w:rPr>
  </w:style>
  <w:style w:type="character" w:customStyle="1" w:styleId="52">
    <w:name w:val="font01"/>
    <w:basedOn w:val="28"/>
    <w:qFormat/>
    <w:uiPriority w:val="0"/>
    <w:rPr>
      <w:rFonts w:hint="eastAsia" w:ascii="宋体" w:hAnsi="宋体" w:eastAsia="宋体" w:cs="宋体"/>
      <w:color w:val="000000"/>
      <w:sz w:val="24"/>
      <w:szCs w:val="24"/>
      <w:u w:val="none"/>
    </w:rPr>
  </w:style>
  <w:style w:type="character" w:customStyle="1" w:styleId="53">
    <w:name w:val="font31"/>
    <w:basedOn w:val="28"/>
    <w:qFormat/>
    <w:uiPriority w:val="0"/>
    <w:rPr>
      <w:rFonts w:hint="default" w:ascii="Arial" w:hAnsi="Arial" w:cs="Arial"/>
      <w:color w:val="000000"/>
      <w:sz w:val="16"/>
      <w:szCs w:val="16"/>
      <w:u w:val="none"/>
    </w:rPr>
  </w:style>
  <w:style w:type="character" w:customStyle="1" w:styleId="54">
    <w:name w:val="font41"/>
    <w:basedOn w:val="28"/>
    <w:qFormat/>
    <w:uiPriority w:val="0"/>
    <w:rPr>
      <w:rFonts w:hint="eastAsia" w:ascii="宋体" w:hAnsi="宋体" w:eastAsia="宋体" w:cs="宋体"/>
      <w:color w:val="000000"/>
      <w:sz w:val="20"/>
      <w:szCs w:val="20"/>
      <w:u w:val="none"/>
    </w:rPr>
  </w:style>
  <w:style w:type="character" w:customStyle="1" w:styleId="55">
    <w:name w:val="font112"/>
    <w:basedOn w:val="28"/>
    <w:qFormat/>
    <w:uiPriority w:val="0"/>
    <w:rPr>
      <w:rFonts w:ascii="微软雅黑" w:hAnsi="微软雅黑" w:eastAsia="微软雅黑" w:cs="微软雅黑"/>
      <w:color w:val="000000"/>
      <w:sz w:val="16"/>
      <w:szCs w:val="16"/>
      <w:u w:val="none"/>
    </w:rPr>
  </w:style>
  <w:style w:type="character" w:customStyle="1" w:styleId="56">
    <w:name w:val="font101"/>
    <w:basedOn w:val="28"/>
    <w:qFormat/>
    <w:uiPriority w:val="0"/>
    <w:rPr>
      <w:rFonts w:ascii="Calibri" w:hAnsi="Calibri" w:cs="Calibri"/>
      <w:color w:val="000000"/>
      <w:sz w:val="16"/>
      <w:szCs w:val="16"/>
      <w:u w:val="none"/>
    </w:rPr>
  </w:style>
  <w:style w:type="character" w:customStyle="1" w:styleId="57">
    <w:name w:val="font21"/>
    <w:basedOn w:val="28"/>
    <w:qFormat/>
    <w:uiPriority w:val="0"/>
    <w:rPr>
      <w:rFonts w:hint="eastAsia" w:ascii="宋体" w:hAnsi="宋体" w:eastAsia="宋体" w:cs="宋体"/>
      <w:color w:val="000000"/>
      <w:sz w:val="18"/>
      <w:szCs w:val="18"/>
      <w:u w:val="none"/>
    </w:rPr>
  </w:style>
  <w:style w:type="character" w:customStyle="1" w:styleId="58">
    <w:name w:val="font61"/>
    <w:basedOn w:val="28"/>
    <w:qFormat/>
    <w:uiPriority w:val="0"/>
    <w:rPr>
      <w:rFonts w:hint="eastAsia" w:ascii="宋体" w:hAnsi="宋体" w:eastAsia="宋体" w:cs="宋体"/>
      <w:color w:val="FF0000"/>
      <w:sz w:val="20"/>
      <w:szCs w:val="20"/>
      <w:u w:val="none"/>
    </w:rPr>
  </w:style>
  <w:style w:type="character" w:customStyle="1" w:styleId="59">
    <w:name w:val="标题 1 字符"/>
    <w:link w:val="3"/>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34</Pages>
  <Words>23317</Words>
  <Characters>24404</Characters>
  <Lines>355</Lines>
  <Paragraphs>100</Paragraphs>
  <TotalTime>0</TotalTime>
  <ScaleCrop>false</ScaleCrop>
  <LinksUpToDate>false</LinksUpToDate>
  <CharactersWithSpaces>25504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哦</cp:lastModifiedBy>
  <cp:lastPrinted>2021-07-08T01:53:00Z</cp:lastPrinted>
  <dcterms:modified xsi:type="dcterms:W3CDTF">2022-12-16T02:09:50Z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EB87E5A6C0644096BD5A7FFAC32FA59F</vt:lpwstr>
  </property>
</Properties>
</file>