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jc w:val="center"/>
        <w:rPr>
          <w:rFonts w:ascii="黑体" w:eastAsia="黑体"/>
          <w:sz w:val="44"/>
          <w:szCs w:val="48"/>
          <w:highlight w:val="none"/>
        </w:rPr>
      </w:pPr>
    </w:p>
    <w:p>
      <w:pPr>
        <w:spacing w:after="120" w:line="600" w:lineRule="exact"/>
        <w:jc w:val="center"/>
        <w:rPr>
          <w:rFonts w:ascii="黑体" w:eastAsia="黑体"/>
          <w:sz w:val="44"/>
          <w:szCs w:val="48"/>
          <w:highlight w:val="none"/>
        </w:rPr>
      </w:pPr>
      <w:r>
        <w:rPr>
          <w:rFonts w:hint="eastAsia" w:ascii="黑体" w:eastAsia="黑体"/>
          <w:sz w:val="44"/>
          <w:szCs w:val="48"/>
          <w:highlight w:val="none"/>
        </w:rPr>
        <w:t>南宁轨道交通集团有限责任公司</w:t>
      </w:r>
      <w:r>
        <w:rPr>
          <w:rFonts w:ascii="黑体" w:eastAsia="黑体"/>
          <w:sz w:val="44"/>
          <w:szCs w:val="48"/>
          <w:highlight w:val="none"/>
        </w:rPr>
        <w:t>2022</w:t>
      </w:r>
      <w:r>
        <w:rPr>
          <w:rFonts w:hint="eastAsia" w:ascii="黑体" w:eastAsia="黑体"/>
          <w:sz w:val="44"/>
          <w:szCs w:val="48"/>
          <w:highlight w:val="none"/>
        </w:rPr>
        <w:t>年度</w:t>
      </w:r>
    </w:p>
    <w:p>
      <w:pPr>
        <w:spacing w:after="120" w:line="600" w:lineRule="exact"/>
        <w:jc w:val="center"/>
        <w:rPr>
          <w:rFonts w:ascii="黑体" w:eastAsia="黑体"/>
          <w:sz w:val="44"/>
          <w:szCs w:val="48"/>
          <w:highlight w:val="none"/>
        </w:rPr>
      </w:pPr>
      <w:r>
        <w:rPr>
          <w:rFonts w:hint="eastAsia" w:ascii="黑体" w:eastAsia="黑体"/>
          <w:sz w:val="44"/>
          <w:szCs w:val="48"/>
          <w:highlight w:val="none"/>
        </w:rPr>
        <w:t>集团公司本部内控自评价及</w:t>
      </w:r>
      <w:r>
        <w:rPr>
          <w:rFonts w:ascii="黑体" w:eastAsia="黑体"/>
          <w:sz w:val="44"/>
          <w:szCs w:val="48"/>
          <w:highlight w:val="none"/>
        </w:rPr>
        <w:t>6</w:t>
      </w:r>
      <w:r>
        <w:rPr>
          <w:rFonts w:hint="eastAsia" w:ascii="黑体" w:eastAsia="黑体"/>
          <w:sz w:val="44"/>
          <w:szCs w:val="48"/>
          <w:highlight w:val="none"/>
        </w:rPr>
        <w:t>家重要全资、</w:t>
      </w:r>
    </w:p>
    <w:p>
      <w:pPr>
        <w:spacing w:after="120" w:line="600" w:lineRule="exact"/>
        <w:jc w:val="center"/>
        <w:rPr>
          <w:rFonts w:eastAsia="黑体"/>
          <w:b/>
          <w:bCs/>
          <w:spacing w:val="-20"/>
          <w:sz w:val="28"/>
          <w:szCs w:val="28"/>
          <w:highlight w:val="none"/>
        </w:rPr>
      </w:pPr>
      <w:r>
        <w:rPr>
          <w:rFonts w:hint="eastAsia" w:ascii="黑体" w:eastAsia="黑体"/>
          <w:sz w:val="44"/>
          <w:szCs w:val="48"/>
          <w:highlight w:val="none"/>
        </w:rPr>
        <w:t>控股子公司内控监督评价</w:t>
      </w:r>
      <w:r>
        <w:rPr>
          <w:rFonts w:hint="eastAsia" w:ascii="黑体" w:eastAsia="黑体"/>
          <w:spacing w:val="-20"/>
          <w:sz w:val="44"/>
          <w:szCs w:val="48"/>
          <w:highlight w:val="none"/>
        </w:rPr>
        <w:t>项目</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比</w:t>
      </w:r>
    </w:p>
    <w:p>
      <w:pPr>
        <w:spacing w:line="480" w:lineRule="auto"/>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选</w:t>
      </w: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p>
    <w:p>
      <w:pPr>
        <w:spacing w:line="480" w:lineRule="auto"/>
        <w:jc w:val="center"/>
        <w:rPr>
          <w:rFonts w:eastAsia="黑体"/>
          <w:b/>
          <w:bCs/>
          <w:sz w:val="44"/>
          <w:szCs w:val="44"/>
          <w:highlight w:val="none"/>
        </w:rPr>
      </w:pPr>
      <w:r>
        <w:rPr>
          <w:rFonts w:hint="eastAsia" w:eastAsia="黑体"/>
          <w:b/>
          <w:bCs/>
          <w:sz w:val="44"/>
          <w:szCs w:val="44"/>
          <w:highlight w:val="none"/>
        </w:rPr>
        <w:t>文</w:t>
      </w:r>
    </w:p>
    <w:p>
      <w:pPr>
        <w:jc w:val="center"/>
        <w:rPr>
          <w:rFonts w:eastAsia="黑体"/>
          <w:b/>
          <w:bCs/>
          <w:sz w:val="44"/>
          <w:szCs w:val="44"/>
          <w:highlight w:val="none"/>
        </w:rPr>
      </w:pPr>
    </w:p>
    <w:p>
      <w:pPr>
        <w:jc w:val="center"/>
        <w:rPr>
          <w:rFonts w:eastAsia="黑体"/>
          <w:b/>
          <w:bCs/>
          <w:sz w:val="44"/>
          <w:szCs w:val="44"/>
          <w:highlight w:val="none"/>
        </w:rPr>
      </w:pPr>
    </w:p>
    <w:p>
      <w:pPr>
        <w:jc w:val="center"/>
        <w:rPr>
          <w:rFonts w:eastAsia="黑体"/>
          <w:b/>
          <w:bCs/>
          <w:sz w:val="44"/>
          <w:szCs w:val="44"/>
          <w:highlight w:val="none"/>
        </w:rPr>
      </w:pPr>
      <w:r>
        <w:rPr>
          <w:rFonts w:hint="eastAsia" w:eastAsia="黑体"/>
          <w:b/>
          <w:bCs/>
          <w:sz w:val="44"/>
          <w:szCs w:val="44"/>
          <w:highlight w:val="none"/>
        </w:rPr>
        <w:t>件</w:t>
      </w:r>
    </w:p>
    <w:p>
      <w:pPr>
        <w:spacing w:line="360" w:lineRule="auto"/>
        <w:rPr>
          <w:b/>
          <w:bCs/>
          <w:sz w:val="36"/>
          <w:szCs w:val="36"/>
          <w:highlight w:val="none"/>
        </w:rPr>
      </w:pPr>
    </w:p>
    <w:p>
      <w:pPr>
        <w:spacing w:line="360" w:lineRule="auto"/>
        <w:ind w:firstLine="1800" w:firstLineChars="498"/>
        <w:rPr>
          <w:b/>
          <w:bCs/>
          <w:sz w:val="36"/>
          <w:szCs w:val="36"/>
          <w:highlight w:val="none"/>
        </w:rPr>
      </w:pPr>
    </w:p>
    <w:p>
      <w:pPr>
        <w:spacing w:line="360" w:lineRule="auto"/>
        <w:rPr>
          <w:b/>
          <w:bCs/>
          <w:sz w:val="32"/>
          <w:szCs w:val="32"/>
          <w:highlight w:val="none"/>
        </w:rPr>
      </w:pPr>
      <w:r>
        <w:rPr>
          <w:rFonts w:hint="eastAsia"/>
          <w:b/>
          <w:bCs/>
          <w:sz w:val="32"/>
          <w:szCs w:val="32"/>
          <w:highlight w:val="none"/>
        </w:rPr>
        <w:t>比选发起人：南宁轨道交通集团有限责任公司</w:t>
      </w:r>
    </w:p>
    <w:p>
      <w:pPr>
        <w:ind w:firstLine="2551" w:firstLineChars="794"/>
        <w:jc w:val="left"/>
        <w:rPr>
          <w:rFonts w:ascii="宋体" w:cs="宋体"/>
          <w:b/>
          <w:sz w:val="32"/>
          <w:szCs w:val="32"/>
          <w:highlight w:val="none"/>
        </w:rPr>
        <w:sectPr>
          <w:headerReference r:id="rId3" w:type="default"/>
          <w:footerReference r:id="rId4" w:type="default"/>
          <w:pgSz w:w="11906" w:h="16838"/>
          <w:pgMar w:top="2098" w:right="1531" w:bottom="2098" w:left="1531" w:header="851" w:footer="992" w:gutter="0"/>
          <w:pgNumType w:start="1"/>
          <w:cols w:space="720" w:num="1"/>
          <w:docGrid w:type="lines" w:linePitch="312" w:charSpace="0"/>
        </w:sectPr>
      </w:pPr>
      <w:bookmarkStart w:id="0" w:name="_Toc461525293"/>
      <w:bookmarkStart w:id="1" w:name="_Toc12363"/>
      <w:bookmarkStart w:id="2" w:name="_Toc27692"/>
      <w:bookmarkStart w:id="3" w:name="_Toc21106"/>
      <w:bookmarkStart w:id="4" w:name="_Toc32122"/>
      <w:bookmarkStart w:id="5" w:name="_Toc4954"/>
      <w:bookmarkStart w:id="6" w:name="_Toc18159"/>
      <w:bookmarkStart w:id="7" w:name="_Toc25905"/>
      <w:bookmarkStart w:id="8" w:name="_Toc23188"/>
      <w:bookmarkStart w:id="9" w:name="_Toc471482358"/>
      <w:bookmarkStart w:id="10" w:name="_Toc9980"/>
      <w:bookmarkStart w:id="11" w:name="_Toc14943"/>
      <w:r>
        <w:rPr>
          <w:b/>
          <w:bCs/>
          <w:sz w:val="32"/>
          <w:szCs w:val="32"/>
          <w:highlight w:val="none"/>
        </w:rPr>
        <w:t>2023</w:t>
      </w:r>
      <w:r>
        <w:rPr>
          <w:rFonts w:hint="eastAsia"/>
          <w:b/>
          <w:bCs/>
          <w:sz w:val="32"/>
          <w:szCs w:val="32"/>
          <w:highlight w:val="none"/>
        </w:rPr>
        <w:t>年</w:t>
      </w:r>
      <w:r>
        <w:rPr>
          <w:b/>
          <w:bCs/>
          <w:sz w:val="32"/>
          <w:szCs w:val="32"/>
          <w:highlight w:val="none"/>
        </w:rPr>
        <w:t xml:space="preserve"> </w:t>
      </w:r>
      <w:r>
        <w:rPr>
          <w:b/>
          <w:bCs/>
          <w:sz w:val="32"/>
          <w:szCs w:val="32"/>
          <w:highlight w:val="none"/>
        </w:rPr>
        <w:t>2</w:t>
      </w:r>
      <w:r>
        <w:rPr>
          <w:rFonts w:hint="eastAsia"/>
          <w:b/>
          <w:bCs/>
          <w:sz w:val="32"/>
          <w:szCs w:val="32"/>
          <w:highlight w:val="none"/>
        </w:rPr>
        <w:t>月</w:t>
      </w:r>
      <w:r>
        <w:rPr>
          <w:b/>
          <w:bCs/>
          <w:sz w:val="32"/>
          <w:szCs w:val="32"/>
          <w:highlight w:val="none"/>
        </w:rPr>
        <w:t>1</w:t>
      </w:r>
      <w:r>
        <w:rPr>
          <w:rFonts w:hint="eastAsia" w:ascii="宋体" w:hAnsi="宋体" w:cs="宋体"/>
          <w:b/>
          <w:sz w:val="32"/>
          <w:szCs w:val="32"/>
          <w:highlight w:val="none"/>
        </w:rPr>
        <w:t>日</w:t>
      </w:r>
    </w:p>
    <w:p>
      <w:pPr>
        <w:pStyle w:val="3"/>
        <w:tabs>
          <w:tab w:val="right" w:leader="dot" w:pos="9219"/>
        </w:tabs>
        <w:spacing w:before="0" w:after="0" w:line="600" w:lineRule="exact"/>
        <w:ind w:firstLine="4000" w:firstLineChars="1250"/>
        <w:jc w:val="both"/>
        <w:rPr>
          <w:rFonts w:ascii="宋体" w:cs="宋体"/>
          <w:szCs w:val="21"/>
          <w:highlight w:val="none"/>
        </w:rPr>
      </w:pPr>
      <w:bookmarkStart w:id="12" w:name="_Toc24586"/>
      <w:bookmarkStart w:id="13" w:name="_Toc16693"/>
      <w:bookmarkStart w:id="14" w:name="_Toc19051"/>
      <w:bookmarkStart w:id="15" w:name="_Toc13153"/>
      <w:bookmarkStart w:id="16" w:name="_Toc31734"/>
      <w:bookmarkStart w:id="17" w:name="_Toc17397"/>
      <w:bookmarkStart w:id="18" w:name="_Toc27700"/>
      <w:r>
        <w:rPr>
          <w:rFonts w:ascii="宋体" w:hAnsi="宋体"/>
          <w:b w:val="0"/>
          <w:sz w:val="32"/>
          <w:szCs w:val="21"/>
          <w:highlight w:val="none"/>
        </w:rPr>
        <w:t xml:space="preserve"> </w:t>
      </w:r>
      <w:bookmarkStart w:id="19" w:name="_Toc2225"/>
      <w:r>
        <w:rPr>
          <w:rFonts w:hint="eastAsia" w:ascii="宋体" w:hAnsi="宋体"/>
          <w:b w:val="0"/>
          <w:sz w:val="32"/>
          <w:szCs w:val="21"/>
          <w:highlight w:val="none"/>
        </w:rPr>
        <w:t>目录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ascii="宋体" w:hAnsi="宋体" w:cs="宋体"/>
          <w:sz w:val="21"/>
          <w:szCs w:val="21"/>
          <w:highlight w:val="none"/>
        </w:rPr>
        <w:fldChar w:fldCharType="begin"/>
      </w:r>
      <w:r>
        <w:rPr>
          <w:rFonts w:ascii="宋体" w:hAnsi="宋体" w:cs="宋体"/>
          <w:sz w:val="21"/>
          <w:szCs w:val="21"/>
          <w:highlight w:val="none"/>
        </w:rPr>
        <w:instrText xml:space="preserve"> TOC \o "1-2" \h \z \u </w:instrText>
      </w:r>
      <w:r>
        <w:rPr>
          <w:rFonts w:ascii="宋体" w:hAnsi="宋体" w:cs="宋体"/>
          <w:sz w:val="21"/>
          <w:szCs w:val="21"/>
          <w:highlight w:val="none"/>
        </w:rPr>
        <w:fldChar w:fldCharType="separate"/>
      </w:r>
    </w:p>
    <w:p>
      <w:pPr>
        <w:pStyle w:val="18"/>
        <w:tabs>
          <w:tab w:val="right" w:leader="dot" w:pos="9219"/>
        </w:tabs>
        <w:rPr>
          <w:highlight w:val="none"/>
        </w:rPr>
      </w:pPr>
      <w:r>
        <w:rPr>
          <w:highlight w:val="none"/>
        </w:rPr>
        <w:fldChar w:fldCharType="begin"/>
      </w:r>
      <w:r>
        <w:rPr>
          <w:highlight w:val="none"/>
        </w:rPr>
        <w:instrText xml:space="preserve"> HYPERLINK \l "_Toc2225" </w:instrText>
      </w:r>
      <w:r>
        <w:rPr>
          <w:highlight w:val="none"/>
        </w:rPr>
        <w:fldChar w:fldCharType="separate"/>
      </w:r>
      <w:r>
        <w:rPr>
          <w:rFonts w:hint="eastAsia" w:ascii="宋体" w:hAnsi="宋体"/>
          <w:szCs w:val="21"/>
          <w:highlight w:val="none"/>
        </w:rPr>
        <w:t>目录</w:t>
      </w:r>
      <w:r>
        <w:rPr>
          <w:highlight w:val="none"/>
        </w:rPr>
        <w:tab/>
      </w:r>
      <w:r>
        <w:rPr>
          <w:highlight w:val="none"/>
        </w:rPr>
        <w:fldChar w:fldCharType="begin"/>
      </w:r>
      <w:r>
        <w:rPr>
          <w:highlight w:val="none"/>
        </w:rPr>
        <w:instrText xml:space="preserve"> PAGEREF _Toc2225 \h </w:instrText>
      </w:r>
      <w:r>
        <w:rPr>
          <w:highlight w:val="none"/>
        </w:rPr>
        <w:fldChar w:fldCharType="separate"/>
      </w:r>
      <w:r>
        <w:rPr>
          <w:highlight w:val="none"/>
        </w:rPr>
        <w:t>1</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"_Toc31523" </w:instrText>
      </w:r>
      <w:r>
        <w:rPr>
          <w:highlight w:val="none"/>
        </w:rPr>
        <w:fldChar w:fldCharType="separate"/>
      </w:r>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r>
        <w:rPr>
          <w:highlight w:val="none"/>
        </w:rPr>
        <w:tab/>
      </w:r>
      <w:r>
        <w:rPr>
          <w:highlight w:val="none"/>
        </w:rPr>
        <w:fldChar w:fldCharType="begin"/>
      </w:r>
      <w:r>
        <w:rPr>
          <w:highlight w:val="none"/>
        </w:rPr>
        <w:instrText xml:space="preserve"> PAGEREF _Toc31523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"_Toc31603" </w:instrText>
      </w:r>
      <w:r>
        <w:rPr>
          <w:highlight w:val="none"/>
        </w:rPr>
        <w:fldChar w:fldCharType="separate"/>
      </w:r>
      <w:r>
        <w:rPr>
          <w:rFonts w:hint="eastAsia"/>
          <w:highlight w:val="none"/>
        </w:rPr>
        <w:t>前附表</w:t>
      </w:r>
      <w:r>
        <w:rPr>
          <w:highlight w:val="none"/>
        </w:rPr>
        <w:tab/>
      </w:r>
      <w:r>
        <w:rPr>
          <w:highlight w:val="none"/>
        </w:rPr>
        <w:fldChar w:fldCharType="begin"/>
      </w:r>
      <w:r>
        <w:rPr>
          <w:highlight w:val="none"/>
        </w:rPr>
        <w:instrText xml:space="preserve"> PAGEREF _Toc31603 \h </w:instrText>
      </w:r>
      <w:r>
        <w:rPr>
          <w:highlight w:val="none"/>
        </w:rPr>
        <w:fldChar w:fldCharType="separate"/>
      </w:r>
      <w:r>
        <w:rPr>
          <w:highlight w:val="none"/>
        </w:rPr>
        <w:t>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"_Toc9900" </w:instrText>
      </w:r>
      <w:r>
        <w:rPr>
          <w:highlight w:val="none"/>
        </w:rPr>
        <w:fldChar w:fldCharType="separate"/>
      </w:r>
      <w:r>
        <w:rPr>
          <w:rFonts w:hint="eastAsia" w:ascii="宋体" w:hAnsi="宋体"/>
          <w:szCs w:val="21"/>
          <w:highlight w:val="none"/>
        </w:rPr>
        <w:t>一、总则</w:t>
      </w:r>
      <w:r>
        <w:rPr>
          <w:highlight w:val="none"/>
        </w:rPr>
        <w:tab/>
      </w:r>
      <w:r>
        <w:rPr>
          <w:highlight w:val="none"/>
        </w:rPr>
        <w:fldChar w:fldCharType="begin"/>
      </w:r>
      <w:r>
        <w:rPr>
          <w:highlight w:val="none"/>
        </w:rPr>
        <w:instrText xml:space="preserve"> PAGEREF _Toc9900 \h </w:instrText>
      </w:r>
      <w:r>
        <w:rPr>
          <w:highlight w:val="none"/>
        </w:rPr>
        <w:fldChar w:fldCharType="separate"/>
      </w:r>
      <w:r>
        <w:rPr>
          <w:highlight w:val="none"/>
        </w:rPr>
        <w:t>5</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"_Toc18550" </w:instrText>
      </w:r>
      <w:r>
        <w:rPr>
          <w:highlight w:val="none"/>
        </w:rPr>
        <w:fldChar w:fldCharType="separate"/>
      </w:r>
      <w:r>
        <w:rPr>
          <w:rFonts w:hint="eastAsia" w:ascii="宋体" w:hAnsi="宋体"/>
          <w:szCs w:val="21"/>
          <w:highlight w:val="none"/>
        </w:rPr>
        <w:t>二、比选文件</w:t>
      </w:r>
      <w:r>
        <w:rPr>
          <w:highlight w:val="none"/>
        </w:rPr>
        <w:tab/>
      </w:r>
      <w:r>
        <w:rPr>
          <w:highlight w:val="none"/>
        </w:rPr>
        <w:fldChar w:fldCharType="begin"/>
      </w:r>
      <w:r>
        <w:rPr>
          <w:highlight w:val="none"/>
        </w:rPr>
        <w:instrText xml:space="preserve"> PAGEREF _Toc18550 \h </w:instrText>
      </w:r>
      <w:r>
        <w:rPr>
          <w:highlight w:val="none"/>
        </w:rPr>
        <w:fldChar w:fldCharType="separate"/>
      </w:r>
      <w:r>
        <w:rPr>
          <w:highlight w:val="none"/>
        </w:rPr>
        <w:t>6</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"_Toc16619" </w:instrText>
      </w:r>
      <w:r>
        <w:rPr>
          <w:highlight w:val="none"/>
        </w:rPr>
        <w:fldChar w:fldCharType="separate"/>
      </w:r>
      <w:r>
        <w:rPr>
          <w:rFonts w:hint="eastAsia" w:ascii="宋体" w:hAnsi="宋体"/>
          <w:szCs w:val="21"/>
          <w:highlight w:val="none"/>
        </w:rPr>
        <w:t>三、申请比选报价说明</w:t>
      </w:r>
      <w:r>
        <w:rPr>
          <w:highlight w:val="none"/>
        </w:rPr>
        <w:tab/>
      </w:r>
      <w:r>
        <w:rPr>
          <w:highlight w:val="none"/>
        </w:rPr>
        <w:fldChar w:fldCharType="begin"/>
      </w:r>
      <w:r>
        <w:rPr>
          <w:highlight w:val="none"/>
        </w:rPr>
        <w:instrText xml:space="preserve"> PAGEREF _Toc16619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"_Toc9601" </w:instrText>
      </w:r>
      <w:r>
        <w:rPr>
          <w:highlight w:val="none"/>
        </w:rPr>
        <w:fldChar w:fldCharType="separate"/>
      </w:r>
      <w:r>
        <w:rPr>
          <w:rFonts w:hint="eastAsia"/>
          <w:szCs w:val="21"/>
          <w:highlight w:val="none"/>
        </w:rPr>
        <w:t>四、比选申请文件的编制</w:t>
      </w:r>
      <w:r>
        <w:rPr>
          <w:highlight w:val="none"/>
        </w:rPr>
        <w:tab/>
      </w:r>
      <w:r>
        <w:rPr>
          <w:highlight w:val="none"/>
        </w:rPr>
        <w:fldChar w:fldCharType="begin"/>
      </w:r>
      <w:r>
        <w:rPr>
          <w:highlight w:val="none"/>
        </w:rPr>
        <w:instrText xml:space="preserve"> PAGEREF _Toc9601 \h </w:instrText>
      </w:r>
      <w:r>
        <w:rPr>
          <w:highlight w:val="none"/>
        </w:rPr>
        <w:fldChar w:fldCharType="separate"/>
      </w:r>
      <w:r>
        <w:rPr>
          <w:highlight w:val="none"/>
        </w:rPr>
        <w:t>7</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"_Toc6029" </w:instrText>
      </w:r>
      <w:r>
        <w:rPr>
          <w:highlight w:val="none"/>
        </w:rPr>
        <w:fldChar w:fldCharType="separate"/>
      </w:r>
      <w:r>
        <w:rPr>
          <w:rFonts w:hint="eastAsia"/>
          <w:szCs w:val="21"/>
          <w:highlight w:val="none"/>
        </w:rPr>
        <w:t>五、比选申请文件的递交</w:t>
      </w:r>
      <w:r>
        <w:rPr>
          <w:highlight w:val="none"/>
        </w:rPr>
        <w:tab/>
      </w:r>
      <w:r>
        <w:rPr>
          <w:highlight w:val="none"/>
        </w:rPr>
        <w:fldChar w:fldCharType="begin"/>
      </w:r>
      <w:r>
        <w:rPr>
          <w:highlight w:val="none"/>
        </w:rPr>
        <w:instrText xml:space="preserve"> PAGEREF _Toc6029 \h </w:instrText>
      </w:r>
      <w:r>
        <w:rPr>
          <w:highlight w:val="none"/>
        </w:rPr>
        <w:fldChar w:fldCharType="separate"/>
      </w:r>
      <w:r>
        <w:rPr>
          <w:highlight w:val="none"/>
        </w:rPr>
        <w:t>9</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"_Toc1268" </w:instrText>
      </w:r>
      <w:r>
        <w:rPr>
          <w:highlight w:val="none"/>
        </w:rPr>
        <w:fldChar w:fldCharType="separate"/>
      </w:r>
      <w:r>
        <w:rPr>
          <w:rFonts w:hint="eastAsia"/>
          <w:szCs w:val="21"/>
          <w:highlight w:val="none"/>
        </w:rPr>
        <w:t>六、评审</w:t>
      </w:r>
      <w:r>
        <w:rPr>
          <w:highlight w:val="none"/>
        </w:rPr>
        <w:tab/>
      </w:r>
      <w:r>
        <w:rPr>
          <w:highlight w:val="none"/>
        </w:rPr>
        <w:fldChar w:fldCharType="begin"/>
      </w:r>
      <w:r>
        <w:rPr>
          <w:highlight w:val="none"/>
        </w:rPr>
        <w:instrText xml:space="preserve"> PAGEREF _Toc1268 \h </w:instrText>
      </w:r>
      <w:r>
        <w:rPr>
          <w:highlight w:val="none"/>
        </w:rPr>
        <w:fldChar w:fldCharType="separate"/>
      </w:r>
      <w:r>
        <w:rPr>
          <w:highlight w:val="none"/>
        </w:rPr>
        <w:t>10</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"_Toc18764" </w:instrText>
      </w:r>
      <w:r>
        <w:rPr>
          <w:highlight w:val="none"/>
        </w:rPr>
        <w:fldChar w:fldCharType="separate"/>
      </w:r>
      <w:r>
        <w:rPr>
          <w:rFonts w:hint="eastAsia"/>
          <w:szCs w:val="21"/>
          <w:highlight w:val="none"/>
        </w:rPr>
        <w:t>七、授予合同</w:t>
      </w:r>
      <w:r>
        <w:rPr>
          <w:highlight w:val="none"/>
        </w:rPr>
        <w:tab/>
      </w:r>
      <w:r>
        <w:rPr>
          <w:highlight w:val="none"/>
        </w:rPr>
        <w:fldChar w:fldCharType="begin"/>
      </w:r>
      <w:r>
        <w:rPr>
          <w:highlight w:val="none"/>
        </w:rPr>
        <w:instrText xml:space="preserve"> PAGEREF _Toc18764 \h </w:instrText>
      </w:r>
      <w:r>
        <w:rPr>
          <w:highlight w:val="none"/>
        </w:rPr>
        <w:fldChar w:fldCharType="separate"/>
      </w:r>
      <w:r>
        <w:rPr>
          <w:highlight w:val="none"/>
        </w:rPr>
        <w:t>12</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"_Toc4368" </w:instrText>
      </w:r>
      <w:r>
        <w:rPr>
          <w:highlight w:val="none"/>
        </w:rPr>
        <w:fldChar w:fldCharType="separate"/>
      </w:r>
      <w:r>
        <w:rPr>
          <w:rFonts w:hint="eastAsia" w:ascii="宋体" w:hAnsi="宋体"/>
          <w:szCs w:val="28"/>
          <w:highlight w:val="none"/>
        </w:rPr>
        <w:t>第二章</w:t>
      </w:r>
      <w:r>
        <w:rPr>
          <w:rFonts w:ascii="宋体" w:hAnsi="宋体"/>
          <w:szCs w:val="28"/>
          <w:highlight w:val="none"/>
        </w:rPr>
        <w:t xml:space="preserve"> </w:t>
      </w:r>
      <w:r>
        <w:rPr>
          <w:rFonts w:hint="eastAsia" w:ascii="宋体" w:hAnsi="宋体"/>
          <w:szCs w:val="28"/>
          <w:highlight w:val="none"/>
        </w:rPr>
        <w:t>合同条款（格式）</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13</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"_Toc3086" </w:instrText>
      </w:r>
      <w:r>
        <w:rPr>
          <w:highlight w:val="none"/>
        </w:rPr>
        <w:fldChar w:fldCharType="separate"/>
      </w:r>
      <w:r>
        <w:rPr>
          <w:rFonts w:hint="eastAsia" w:ascii="宋体" w:hAnsi="宋体" w:cs="宋体"/>
          <w:szCs w:val="28"/>
          <w:highlight w:val="none"/>
        </w:rPr>
        <w:t>第三章</w:t>
      </w:r>
      <w:r>
        <w:rPr>
          <w:rFonts w:ascii="宋体" w:hAnsi="宋体" w:cs="宋体"/>
          <w:szCs w:val="28"/>
          <w:highlight w:val="none"/>
        </w:rPr>
        <w:t xml:space="preserve"> </w:t>
      </w:r>
      <w:r>
        <w:rPr>
          <w:rFonts w:hint="eastAsia" w:ascii="宋体" w:hAnsi="宋体" w:cs="宋体"/>
          <w:szCs w:val="28"/>
          <w:highlight w:val="none"/>
        </w:rPr>
        <w:t>比选申请文件（格式）</w:t>
      </w:r>
      <w:r>
        <w:rPr>
          <w:highlight w:val="none"/>
        </w:rPr>
        <w:tab/>
      </w:r>
      <w:r>
        <w:rPr>
          <w:highlight w:val="none"/>
        </w:rPr>
        <w:fldChar w:fldCharType="begin"/>
      </w:r>
      <w:r>
        <w:rPr>
          <w:highlight w:val="none"/>
        </w:rPr>
        <w:instrText xml:space="preserve"> PAGEREF _Toc3086 \h </w:instrText>
      </w:r>
      <w:r>
        <w:rPr>
          <w:highlight w:val="none"/>
        </w:rPr>
        <w:fldChar w:fldCharType="separate"/>
      </w:r>
      <w:r>
        <w:rPr>
          <w:highlight w:val="none"/>
        </w:rPr>
        <w:t>23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"_Toc12836" </w:instrText>
      </w:r>
      <w:r>
        <w:rPr>
          <w:highlight w:val="none"/>
        </w:rPr>
        <w:fldChar w:fldCharType="separate"/>
      </w:r>
      <w:r>
        <w:rPr>
          <w:rFonts w:hint="eastAsia"/>
          <w:highlight w:val="none"/>
        </w:rPr>
        <w:t>一、资格审查文件目录</w:t>
      </w:r>
      <w:r>
        <w:rPr>
          <w:highlight w:val="none"/>
        </w:rPr>
        <w:tab/>
      </w:r>
      <w:r>
        <w:rPr>
          <w:highlight w:val="none"/>
        </w:rPr>
        <w:fldChar w:fldCharType="begin"/>
      </w:r>
      <w:r>
        <w:rPr>
          <w:highlight w:val="none"/>
        </w:rPr>
        <w:instrText xml:space="preserve"> PAGEREF _Toc12836 \h </w:instrText>
      </w:r>
      <w:r>
        <w:rPr>
          <w:highlight w:val="none"/>
        </w:rPr>
        <w:fldChar w:fldCharType="separate"/>
      </w:r>
      <w:r>
        <w:rPr>
          <w:highlight w:val="none"/>
        </w:rPr>
        <w:t>24</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"_Toc4323" </w:instrText>
      </w:r>
      <w:r>
        <w:rPr>
          <w:highlight w:val="none"/>
        </w:rPr>
        <w:fldChar w:fldCharType="separate"/>
      </w:r>
      <w:r>
        <w:rPr>
          <w:rFonts w:hint="eastAsia"/>
          <w:highlight w:val="none"/>
        </w:rPr>
        <w:t>二、技术部分材料目录</w:t>
      </w:r>
      <w:r>
        <w:rPr>
          <w:highlight w:val="none"/>
        </w:rPr>
        <w:tab/>
      </w:r>
      <w:r>
        <w:rPr>
          <w:highlight w:val="none"/>
        </w:rPr>
        <w:fldChar w:fldCharType="begin"/>
      </w:r>
      <w:r>
        <w:rPr>
          <w:highlight w:val="none"/>
        </w:rPr>
        <w:instrText xml:space="preserve"> PAGEREF _Toc4323 \h </w:instrText>
      </w:r>
      <w:r>
        <w:rPr>
          <w:highlight w:val="none"/>
        </w:rPr>
        <w:fldChar w:fldCharType="separate"/>
      </w:r>
      <w:r>
        <w:rPr>
          <w:highlight w:val="none"/>
        </w:rPr>
        <w:t>33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"_Toc32531" </w:instrText>
      </w:r>
      <w:r>
        <w:rPr>
          <w:highlight w:val="none"/>
        </w:rPr>
        <w:fldChar w:fldCharType="separate"/>
      </w:r>
      <w:r>
        <w:rPr>
          <w:rFonts w:hint="eastAsia"/>
          <w:highlight w:val="none"/>
        </w:rPr>
        <w:t>三、商务部分材料目录</w:t>
      </w:r>
      <w:r>
        <w:rPr>
          <w:highlight w:val="none"/>
        </w:rPr>
        <w:tab/>
      </w:r>
      <w:r>
        <w:rPr>
          <w:highlight w:val="none"/>
        </w:rPr>
        <w:fldChar w:fldCharType="begin"/>
      </w:r>
      <w:r>
        <w:rPr>
          <w:highlight w:val="none"/>
        </w:rPr>
        <w:instrText xml:space="preserve"> PAGEREF _Toc32531 \h </w:instrText>
      </w:r>
      <w:r>
        <w:rPr>
          <w:highlight w:val="none"/>
        </w:rPr>
        <w:fldChar w:fldCharType="separate"/>
      </w:r>
      <w:r>
        <w:rPr>
          <w:highlight w:val="none"/>
        </w:rPr>
        <w:t>40</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"_Toc23786" </w:instrText>
      </w:r>
      <w:r>
        <w:rPr>
          <w:highlight w:val="none"/>
        </w:rPr>
        <w:fldChar w:fldCharType="separate"/>
      </w:r>
      <w:r>
        <w:rPr>
          <w:rFonts w:hint="eastAsia"/>
          <w:highlight w:val="none"/>
        </w:rPr>
        <w:t>第四章</w:t>
      </w:r>
      <w:r>
        <w:rPr>
          <w:highlight w:val="none"/>
        </w:rPr>
        <w:t xml:space="preserve"> </w:t>
      </w:r>
      <w:r>
        <w:rPr>
          <w:rFonts w:hint="eastAsia"/>
          <w:highlight w:val="none"/>
        </w:rPr>
        <w:t>评比办法</w:t>
      </w:r>
      <w:r>
        <w:rPr>
          <w:highlight w:val="none"/>
        </w:rPr>
        <w:tab/>
      </w:r>
      <w:r>
        <w:rPr>
          <w:highlight w:val="none"/>
        </w:rPr>
        <w:fldChar w:fldCharType="begin"/>
      </w:r>
      <w:r>
        <w:rPr>
          <w:highlight w:val="none"/>
        </w:rPr>
        <w:instrText xml:space="preserve"> PAGEREF _Toc23786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"_Toc13092" </w:instrText>
      </w:r>
      <w:r>
        <w:rPr>
          <w:highlight w:val="none"/>
        </w:rPr>
        <w:fldChar w:fldCharType="separate"/>
      </w:r>
      <w:r>
        <w:rPr>
          <w:rFonts w:hint="eastAsia"/>
          <w:highlight w:val="none"/>
        </w:rPr>
        <w:t>一、综合评分办法</w:t>
      </w:r>
      <w:r>
        <w:rPr>
          <w:highlight w:val="none"/>
        </w:rPr>
        <w:tab/>
      </w:r>
      <w:r>
        <w:rPr>
          <w:highlight w:val="none"/>
        </w:rPr>
        <w:fldChar w:fldCharType="begin"/>
      </w:r>
      <w:r>
        <w:rPr>
          <w:highlight w:val="none"/>
        </w:rPr>
        <w:instrText xml:space="preserve"> PAGEREF _Toc13092 \h </w:instrText>
      </w:r>
      <w:r>
        <w:rPr>
          <w:highlight w:val="none"/>
        </w:rPr>
        <w:fldChar w:fldCharType="separate"/>
      </w:r>
      <w:r>
        <w:rPr>
          <w:highlight w:val="none"/>
        </w:rPr>
        <w:t>42</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"_Toc26214" </w:instrText>
      </w:r>
      <w:r>
        <w:rPr>
          <w:highlight w:val="none"/>
        </w:rPr>
        <w:fldChar w:fldCharType="separate"/>
      </w:r>
      <w:r>
        <w:rPr>
          <w:rFonts w:hint="eastAsia"/>
          <w:highlight w:val="none"/>
        </w:rPr>
        <w:t>二、总分计算公式</w:t>
      </w:r>
      <w:r>
        <w:rPr>
          <w:highlight w:val="none"/>
        </w:rPr>
        <w:tab/>
      </w:r>
      <w:r>
        <w:rPr>
          <w:highlight w:val="none"/>
        </w:rPr>
        <w:fldChar w:fldCharType="begin"/>
      </w:r>
      <w:r>
        <w:rPr>
          <w:highlight w:val="none"/>
        </w:rPr>
        <w:instrText xml:space="preserve"> PAGEREF _Toc26214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"_Toc23358" </w:instrText>
      </w:r>
      <w:r>
        <w:rPr>
          <w:highlight w:val="none"/>
        </w:rPr>
        <w:fldChar w:fldCharType="separate"/>
      </w:r>
      <w:r>
        <w:rPr>
          <w:rFonts w:hint="eastAsia"/>
          <w:highlight w:val="none"/>
        </w:rPr>
        <w:t>三、评分细则</w:t>
      </w:r>
      <w:r>
        <w:rPr>
          <w:highlight w:val="none"/>
        </w:rPr>
        <w:tab/>
      </w:r>
      <w:r>
        <w:rPr>
          <w:highlight w:val="none"/>
        </w:rPr>
        <w:fldChar w:fldCharType="begin"/>
      </w:r>
      <w:r>
        <w:rPr>
          <w:highlight w:val="none"/>
        </w:rPr>
        <w:instrText xml:space="preserve"> PAGEREF _Toc23358 \h </w:instrText>
      </w:r>
      <w:r>
        <w:rPr>
          <w:highlight w:val="none"/>
        </w:rPr>
        <w:fldChar w:fldCharType="separate"/>
      </w:r>
      <w:r>
        <w:rPr>
          <w:highlight w:val="none"/>
        </w:rPr>
        <w:t>43</w:t>
      </w:r>
      <w:r>
        <w:rPr>
          <w:highlight w:val="none"/>
        </w:rPr>
        <w:fldChar w:fldCharType="end"/>
      </w:r>
      <w:r>
        <w:rPr>
          <w:highlight w:val="none"/>
        </w:rPr>
        <w:fldChar w:fldCharType="end"/>
      </w:r>
    </w:p>
    <w:p>
      <w:pPr>
        <w:pStyle w:val="22"/>
        <w:tabs>
          <w:tab w:val="right" w:leader="dot" w:pos="9219"/>
        </w:tabs>
        <w:ind w:left="31680"/>
        <w:rPr>
          <w:highlight w:val="none"/>
        </w:rPr>
      </w:pPr>
      <w:r>
        <w:rPr>
          <w:highlight w:val="none"/>
        </w:rPr>
        <w:fldChar w:fldCharType="begin"/>
      </w:r>
      <w:r>
        <w:rPr>
          <w:highlight w:val="none"/>
        </w:rPr>
        <w:instrText xml:space="preserve"> HYPERLINK \l "_Toc32657" </w:instrText>
      </w:r>
      <w:r>
        <w:rPr>
          <w:highlight w:val="none"/>
        </w:rPr>
        <w:fldChar w:fldCharType="separate"/>
      </w:r>
      <w:r>
        <w:rPr>
          <w:rFonts w:hint="eastAsia" w:ascii="宋体" w:hAnsi="宋体" w:cs="仿宋"/>
          <w:szCs w:val="28"/>
          <w:highlight w:val="none"/>
        </w:rPr>
        <w:t>四、中选标准</w:t>
      </w:r>
      <w:r>
        <w:rPr>
          <w:highlight w:val="none"/>
        </w:rPr>
        <w:tab/>
      </w:r>
      <w:r>
        <w:rPr>
          <w:highlight w:val="none"/>
        </w:rPr>
        <w:fldChar w:fldCharType="begin"/>
      </w:r>
      <w:r>
        <w:rPr>
          <w:highlight w:val="none"/>
        </w:rPr>
        <w:instrText xml:space="preserve"> PAGEREF _Toc32657 \h </w:instrText>
      </w:r>
      <w:r>
        <w:rPr>
          <w:highlight w:val="none"/>
        </w:rPr>
        <w:fldChar w:fldCharType="separate"/>
      </w:r>
      <w:r>
        <w:rPr>
          <w:highlight w:val="none"/>
        </w:rPr>
        <w:t>44</w:t>
      </w:r>
      <w:r>
        <w:rPr>
          <w:highlight w:val="none"/>
        </w:rPr>
        <w:fldChar w:fldCharType="end"/>
      </w:r>
      <w:r>
        <w:rPr>
          <w:highlight w:val="none"/>
        </w:rPr>
        <w:fldChar w:fldCharType="end"/>
      </w:r>
    </w:p>
    <w:p>
      <w:pPr>
        <w:pStyle w:val="18"/>
        <w:tabs>
          <w:tab w:val="right" w:leader="dot" w:pos="9219"/>
        </w:tabs>
        <w:rPr>
          <w:highlight w:val="none"/>
        </w:rPr>
      </w:pPr>
      <w:r>
        <w:rPr>
          <w:highlight w:val="none"/>
        </w:rPr>
        <w:fldChar w:fldCharType="begin"/>
      </w:r>
      <w:r>
        <w:rPr>
          <w:highlight w:val="none"/>
        </w:rPr>
        <w:instrText xml:space="preserve"> HYPERLINK \l "_Toc15858" </w:instrText>
      </w:r>
      <w:r>
        <w:rPr>
          <w:highlight w:val="none"/>
        </w:rPr>
        <w:fldChar w:fldCharType="separate"/>
      </w:r>
      <w:r>
        <w:rPr>
          <w:rFonts w:hint="eastAsia" w:ascii="宋体" w:hAnsi="宋体" w:cs="方正小标宋简体"/>
          <w:bCs/>
          <w:szCs w:val="28"/>
          <w:highlight w:val="none"/>
        </w:rPr>
        <w:t>第五章</w:t>
      </w:r>
      <w:r>
        <w:rPr>
          <w:rFonts w:ascii="宋体" w:hAnsi="宋体" w:cs="方正小标宋简体"/>
          <w:bCs/>
          <w:szCs w:val="28"/>
          <w:highlight w:val="none"/>
        </w:rPr>
        <w:t xml:space="preserve"> </w:t>
      </w:r>
      <w:r>
        <w:rPr>
          <w:rFonts w:hint="eastAsia" w:ascii="宋体" w:hAnsi="宋体" w:cs="方正小标宋简体"/>
          <w:bCs/>
          <w:szCs w:val="28"/>
          <w:highlight w:val="none"/>
        </w:rPr>
        <w:t>用户需求书</w:t>
      </w:r>
      <w:r>
        <w:rPr>
          <w:highlight w:val="none"/>
        </w:rPr>
        <w:tab/>
      </w:r>
      <w:r>
        <w:rPr>
          <w:highlight w:val="none"/>
        </w:rPr>
        <w:fldChar w:fldCharType="begin"/>
      </w:r>
      <w:r>
        <w:rPr>
          <w:highlight w:val="none"/>
        </w:rPr>
        <w:instrText xml:space="preserve"> PAGEREF _Toc15858 \h </w:instrText>
      </w:r>
      <w:r>
        <w:rPr>
          <w:highlight w:val="none"/>
        </w:rPr>
        <w:fldChar w:fldCharType="separate"/>
      </w:r>
      <w:r>
        <w:rPr>
          <w:highlight w:val="none"/>
        </w:rPr>
        <w:t>45</w:t>
      </w:r>
      <w:r>
        <w:rPr>
          <w:highlight w:val="none"/>
        </w:rPr>
        <w:fldChar w:fldCharType="end"/>
      </w:r>
      <w:r>
        <w:rPr>
          <w:highlight w:val="none"/>
        </w:rPr>
        <w:fldChar w:fldCharType="end"/>
      </w:r>
    </w:p>
    <w:p>
      <w:pPr>
        <w:pStyle w:val="3"/>
        <w:tabs>
          <w:tab w:val="right" w:leader="dot" w:pos="9219"/>
        </w:tabs>
        <w:spacing w:before="0" w:after="0" w:line="600" w:lineRule="exact"/>
        <w:ind w:firstLine="2490" w:firstLineChars="1181"/>
        <w:jc w:val="both"/>
        <w:rPr>
          <w:rStyle w:val="27"/>
          <w:rFonts w:ascii="宋体"/>
          <w:szCs w:val="21"/>
          <w:highlight w:val="none"/>
        </w:rPr>
      </w:pPr>
      <w:r>
        <w:rPr>
          <w:rFonts w:ascii="宋体" w:hAnsi="宋体" w:cs="宋体"/>
          <w:sz w:val="21"/>
          <w:szCs w:val="21"/>
          <w:highlight w:val="none"/>
        </w:rPr>
        <w:fldChar w:fldCharType="end"/>
      </w:r>
    </w:p>
    <w:p>
      <w:pPr>
        <w:jc w:val="left"/>
        <w:rPr>
          <w:rFonts w:ascii="宋体" w:cs="宋体"/>
          <w:szCs w:val="21"/>
          <w:highlight w:val="none"/>
        </w:rPr>
      </w:pPr>
    </w:p>
    <w:p>
      <w:pPr>
        <w:jc w:val="left"/>
        <w:rPr>
          <w:rFonts w:ascii="宋体" w:cs="宋体"/>
          <w:szCs w:val="28"/>
          <w:highlight w:val="none"/>
        </w:rPr>
      </w:pPr>
    </w:p>
    <w:p>
      <w:pPr>
        <w:jc w:val="center"/>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jc w:val="left"/>
        <w:rPr>
          <w:rFonts w:ascii="宋体" w:cs="宋体"/>
          <w:szCs w:val="28"/>
          <w:highlight w:val="none"/>
        </w:rPr>
      </w:pPr>
    </w:p>
    <w:p>
      <w:pPr>
        <w:rPr>
          <w:rFonts w:ascii="宋体" w:cs="宋体"/>
          <w:szCs w:val="28"/>
          <w:highlight w:val="none"/>
        </w:rPr>
      </w:pPr>
      <w:bookmarkStart w:id="20" w:name="_Toc12557"/>
      <w:bookmarkStart w:id="21" w:name="_Toc14177"/>
      <w:bookmarkStart w:id="22" w:name="_Toc31020"/>
      <w:bookmarkStart w:id="23" w:name="_Toc9092"/>
      <w:bookmarkStart w:id="24" w:name="_Toc32719"/>
      <w:bookmarkStart w:id="25" w:name="_Toc24235"/>
      <w:bookmarkStart w:id="26" w:name="_Toc32556"/>
      <w:bookmarkStart w:id="27" w:name="_Toc14897"/>
      <w:bookmarkStart w:id="28" w:name="_Toc471482359"/>
      <w:bookmarkStart w:id="29" w:name="_Toc24752"/>
      <w:bookmarkStart w:id="30" w:name="_Toc11052"/>
      <w:bookmarkStart w:id="31" w:name="_Toc20342"/>
      <w:bookmarkStart w:id="32" w:name="_Toc461525294"/>
      <w:bookmarkStart w:id="33" w:name="_Toc27762"/>
      <w:bookmarkStart w:id="34" w:name="_Toc9851"/>
      <w:bookmarkStart w:id="35" w:name="_Toc13623"/>
      <w:bookmarkStart w:id="36" w:name="_Toc30233"/>
      <w:bookmarkStart w:id="37" w:name="_Toc6747"/>
      <w:bookmarkStart w:id="38" w:name="_Toc29385"/>
      <w:bookmarkStart w:id="39" w:name="_Toc18544"/>
      <w:bookmarkStart w:id="40" w:name="_Toc30578"/>
      <w:r>
        <w:rPr>
          <w:rFonts w:ascii="宋体" w:cs="宋体"/>
          <w:szCs w:val="28"/>
          <w:highlight w:val="none"/>
        </w:rPr>
        <w:br w:type="page"/>
      </w:r>
    </w:p>
    <w:p>
      <w:pPr>
        <w:pStyle w:val="3"/>
        <w:spacing w:before="0" w:after="0" w:line="600" w:lineRule="exact"/>
        <w:rPr>
          <w:rFonts w:ascii="宋体" w:cs="宋体"/>
          <w:szCs w:val="28"/>
          <w:highlight w:val="none"/>
        </w:rPr>
      </w:pPr>
      <w:bookmarkStart w:id="41" w:name="_Toc31523"/>
      <w:r>
        <w:rPr>
          <w:rFonts w:hint="eastAsia" w:ascii="宋体" w:hAnsi="宋体" w:cs="宋体"/>
          <w:szCs w:val="28"/>
          <w:highlight w:val="none"/>
        </w:rPr>
        <w:t>第一章</w:t>
      </w:r>
      <w:r>
        <w:rPr>
          <w:rFonts w:ascii="宋体" w:hAnsi="宋体" w:cs="宋体"/>
          <w:szCs w:val="28"/>
          <w:highlight w:val="none"/>
        </w:rPr>
        <w:t xml:space="preserve"> </w:t>
      </w:r>
      <w:r>
        <w:rPr>
          <w:rFonts w:hint="eastAsia" w:ascii="宋体" w:hAnsi="宋体" w:cs="宋体"/>
          <w:szCs w:val="28"/>
          <w:highlight w:val="none"/>
        </w:rPr>
        <w:t>比选须知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line="540" w:lineRule="exact"/>
        <w:jc w:val="left"/>
        <w:rPr>
          <w:sz w:val="24"/>
          <w:szCs w:val="24"/>
          <w:highlight w:val="none"/>
        </w:rPr>
      </w:pPr>
      <w:bookmarkStart w:id="42" w:name="_Toc21327"/>
      <w:bookmarkStart w:id="43" w:name="_Toc25750"/>
      <w:bookmarkStart w:id="44" w:name="_Toc24301"/>
      <w:bookmarkStart w:id="45" w:name="_Toc18968"/>
      <w:bookmarkStart w:id="46" w:name="_Toc31166"/>
      <w:bookmarkStart w:id="47" w:name="_Toc24239"/>
      <w:bookmarkStart w:id="48" w:name="_Toc17254"/>
      <w:bookmarkStart w:id="49" w:name="_Toc20765"/>
      <w:bookmarkStart w:id="50" w:name="_Toc11329"/>
      <w:bookmarkStart w:id="51" w:name="_Toc11337"/>
      <w:bookmarkStart w:id="52" w:name="_Toc21200"/>
      <w:bookmarkStart w:id="53" w:name="_Toc32591"/>
      <w:bookmarkStart w:id="54" w:name="_Toc5848"/>
      <w:bookmarkStart w:id="55" w:name="_Toc18263"/>
      <w:bookmarkStart w:id="56" w:name="_Toc14510"/>
      <w:bookmarkStart w:id="57" w:name="_Toc17641"/>
      <w:bookmarkStart w:id="58" w:name="_Toc14984"/>
      <w:bookmarkStart w:id="59" w:name="_Toc471482360"/>
      <w:bookmarkStart w:id="60" w:name="_Toc31603"/>
      <w:bookmarkStart w:id="61" w:name="_Toc461525295"/>
      <w:bookmarkStart w:id="62" w:name="_Toc2242"/>
      <w:bookmarkStart w:id="63" w:name="_Toc2162"/>
      <w:r>
        <w:rPr>
          <w:rFonts w:hint="eastAsia"/>
          <w:sz w:val="24"/>
          <w:szCs w:val="24"/>
          <w:highlight w:val="none"/>
        </w:rPr>
        <w:t>前附表</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tbl>
      <w:tblPr>
        <w:tblStyle w:val="25"/>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7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70" w:type="dxa"/>
            <w:vAlign w:val="center"/>
          </w:tcPr>
          <w:p>
            <w:pPr>
              <w:jc w:val="center"/>
              <w:rPr>
                <w:rFonts w:ascii="宋体" w:cs="宋体"/>
                <w:b/>
                <w:szCs w:val="21"/>
                <w:highlight w:val="none"/>
              </w:rPr>
            </w:pPr>
            <w:r>
              <w:rPr>
                <w:rFonts w:hint="eastAsia" w:ascii="宋体" w:hAnsi="宋体" w:cs="宋体"/>
                <w:b/>
                <w:szCs w:val="21"/>
                <w:highlight w:val="none"/>
              </w:rPr>
              <w:t>序号</w:t>
            </w:r>
          </w:p>
        </w:tc>
        <w:tc>
          <w:tcPr>
            <w:tcW w:w="1732" w:type="dxa"/>
            <w:vAlign w:val="center"/>
          </w:tcPr>
          <w:p>
            <w:pPr>
              <w:jc w:val="left"/>
              <w:rPr>
                <w:rFonts w:ascii="宋体" w:cs="宋体"/>
                <w:b/>
                <w:szCs w:val="21"/>
                <w:highlight w:val="none"/>
              </w:rPr>
            </w:pPr>
          </w:p>
        </w:tc>
        <w:tc>
          <w:tcPr>
            <w:tcW w:w="7074" w:type="dxa"/>
            <w:vAlign w:val="center"/>
          </w:tcPr>
          <w:p>
            <w:pPr>
              <w:jc w:val="center"/>
              <w:rPr>
                <w:rFonts w:ascii="宋体" w:cs="宋体"/>
                <w:b/>
                <w:szCs w:val="21"/>
                <w:highlight w:val="none"/>
              </w:rPr>
            </w:pPr>
            <w:r>
              <w:rPr>
                <w:rFonts w:hint="eastAsia" w:ascii="宋体" w:hAnsi="宋体" w:cs="宋体"/>
                <w:b/>
                <w:szCs w:val="21"/>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项目名称</w:t>
            </w:r>
          </w:p>
        </w:tc>
        <w:tc>
          <w:tcPr>
            <w:tcW w:w="7074" w:type="dxa"/>
            <w:vAlign w:val="center"/>
          </w:tcPr>
          <w:p>
            <w:pPr>
              <w:spacing w:line="300" w:lineRule="exact"/>
              <w:rPr>
                <w:rFonts w:ascii="宋体" w:cs="宋体"/>
                <w:b/>
                <w:sz w:val="28"/>
                <w:szCs w:val="21"/>
                <w:highlight w:val="none"/>
              </w:rPr>
            </w:pPr>
            <w:r>
              <w:rPr>
                <w:rFonts w:hint="eastAsia" w:ascii="宋体" w:hAnsi="宋体" w:cs="宋体"/>
                <w:szCs w:val="21"/>
                <w:highlight w:val="none"/>
                <w:u w:val="single"/>
              </w:rPr>
              <w:t>南宁轨道交通集团有限责任公司</w:t>
            </w:r>
            <w:r>
              <w:rPr>
                <w:rFonts w:ascii="宋体" w:hAnsi="宋体" w:cs="宋体"/>
                <w:szCs w:val="21"/>
                <w:highlight w:val="none"/>
                <w:u w:val="single"/>
              </w:rPr>
              <w:t>2022</w:t>
            </w:r>
            <w:r>
              <w:rPr>
                <w:rFonts w:hint="eastAsia" w:ascii="宋体" w:hAnsi="宋体" w:cs="宋体"/>
                <w:szCs w:val="21"/>
                <w:highlight w:val="none"/>
                <w:u w:val="single"/>
              </w:rPr>
              <w:t>年度集团公司本部内控自评价及</w:t>
            </w:r>
            <w:r>
              <w:rPr>
                <w:rFonts w:ascii="宋体" w:hAnsi="宋体" w:cs="宋体"/>
                <w:szCs w:val="21"/>
                <w:highlight w:val="none"/>
                <w:u w:val="single"/>
              </w:rPr>
              <w:t>6</w:t>
            </w:r>
            <w:r>
              <w:rPr>
                <w:rFonts w:hint="eastAsia" w:ascii="宋体" w:hAnsi="宋体" w:cs="宋体"/>
                <w:szCs w:val="21"/>
                <w:highlight w:val="none"/>
                <w:u w:val="single"/>
              </w:rPr>
              <w:t>家重要全资、控股子公司内控监督评价项目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2</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项目范围</w:t>
            </w:r>
          </w:p>
        </w:tc>
        <w:tc>
          <w:tcPr>
            <w:tcW w:w="7074" w:type="dxa"/>
          </w:tcPr>
          <w:p>
            <w:pPr>
              <w:spacing w:line="300" w:lineRule="exact"/>
              <w:rPr>
                <w:rFonts w:ascii="宋体" w:cs="宋体"/>
                <w:szCs w:val="21"/>
                <w:highlight w:val="none"/>
              </w:rPr>
            </w:pPr>
            <w:r>
              <w:rPr>
                <w:rFonts w:hint="eastAsia" w:ascii="宋体" w:hAnsi="宋体" w:cs="宋体"/>
                <w:szCs w:val="21"/>
                <w:highlight w:val="none"/>
              </w:rPr>
              <w:t>对南宁轨道交通集团有限责任公司</w:t>
            </w:r>
            <w:r>
              <w:rPr>
                <w:rFonts w:ascii="宋体" w:hAnsi="宋体" w:cs="宋体"/>
                <w:szCs w:val="21"/>
                <w:highlight w:val="none"/>
              </w:rPr>
              <w:t>2022</w:t>
            </w:r>
            <w:r>
              <w:rPr>
                <w:rFonts w:hint="eastAsia" w:ascii="宋体" w:hAnsi="宋体" w:cs="宋体"/>
                <w:szCs w:val="21"/>
                <w:highlight w:val="none"/>
              </w:rPr>
              <w:t>年度集团公司本部内控自评价及南宁轨道交通建设有限公司、南宁轨道交通运营有限公司、南宁轨道地产集团有限责任公司、南宁铁路枢纽投资有限公司、南宁公共交通集团有限公司、南宁市市民卡信息服务有限责任公司</w:t>
            </w:r>
            <w:r>
              <w:rPr>
                <w:rFonts w:ascii="宋体" w:hAnsi="宋体" w:cs="宋体"/>
                <w:szCs w:val="21"/>
                <w:highlight w:val="none"/>
              </w:rPr>
              <w:t>6</w:t>
            </w:r>
            <w:r>
              <w:rPr>
                <w:rFonts w:hint="eastAsia" w:ascii="宋体" w:hAnsi="宋体" w:cs="宋体"/>
                <w:szCs w:val="21"/>
                <w:highlight w:val="none"/>
              </w:rPr>
              <w:t>家重要全资、控股子公司内控监督评价。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3</w:t>
            </w:r>
          </w:p>
        </w:tc>
        <w:tc>
          <w:tcPr>
            <w:tcW w:w="1732" w:type="dxa"/>
            <w:vAlign w:val="center"/>
          </w:tcPr>
          <w:p>
            <w:pPr>
              <w:jc w:val="left"/>
              <w:rPr>
                <w:rFonts w:ascii="宋体" w:cs="宋体"/>
                <w:szCs w:val="21"/>
                <w:highlight w:val="none"/>
              </w:rPr>
            </w:pPr>
            <w:r>
              <w:rPr>
                <w:rFonts w:hint="eastAsia" w:ascii="宋体" w:hAnsi="宋体" w:cs="宋体"/>
                <w:szCs w:val="21"/>
                <w:highlight w:val="none"/>
              </w:rPr>
              <w:t>项目内容及成果要求</w:t>
            </w:r>
          </w:p>
        </w:tc>
        <w:tc>
          <w:tcPr>
            <w:tcW w:w="7074" w:type="dxa"/>
          </w:tcPr>
          <w:p>
            <w:pPr>
              <w:pStyle w:val="55"/>
              <w:numPr>
                <w:ilvl w:val="0"/>
                <w:numId w:val="1"/>
              </w:numPr>
              <w:spacing w:line="300" w:lineRule="exact"/>
              <w:ind w:firstLine="0" w:firstLineChars="0"/>
              <w:rPr>
                <w:rFonts w:ascii="宋体" w:cs="宋体"/>
                <w:szCs w:val="21"/>
                <w:highlight w:val="none"/>
              </w:rPr>
            </w:pPr>
            <w:r>
              <w:rPr>
                <w:rFonts w:hint="eastAsia" w:ascii="宋体" w:hAnsi="宋体" w:cs="宋体"/>
                <w:szCs w:val="21"/>
                <w:highlight w:val="none"/>
              </w:rPr>
              <w:t>评价内容</w:t>
            </w:r>
          </w:p>
          <w:p>
            <w:pPr>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本次评价总体围绕内部环境、风险评估、控制活动、信息与沟通、内部监督等要素，对企业内部控制设计与运行情况进行全面评价。包括但不仅限于以下内容：</w:t>
            </w:r>
          </w:p>
          <w:p>
            <w:pPr>
              <w:adjustRightInd w:val="0"/>
              <w:snapToGrid w:val="0"/>
              <w:spacing w:line="300" w:lineRule="exact"/>
              <w:ind w:firstLine="420" w:firstLineChars="200"/>
              <w:textAlignment w:val="baseline"/>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内控体系建设情况</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）内控体系是否建立健全；</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）内部管控体制机制是否完善；</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）内部管理制度体系是否完善，是否融合企业内控、风险</w:t>
            </w:r>
          </w:p>
          <w:p>
            <w:pPr>
              <w:adjustRightInd w:val="0"/>
              <w:snapToGrid w:val="0"/>
              <w:spacing w:line="300" w:lineRule="exact"/>
              <w:textAlignment w:val="baseline"/>
              <w:rPr>
                <w:rFonts w:ascii="宋体" w:cs="宋体"/>
                <w:szCs w:val="21"/>
                <w:highlight w:val="none"/>
              </w:rPr>
            </w:pPr>
            <w:r>
              <w:rPr>
                <w:rFonts w:hint="eastAsia" w:ascii="宋体" w:hAnsi="宋体" w:cs="宋体"/>
                <w:szCs w:val="21"/>
                <w:highlight w:val="none"/>
              </w:rPr>
              <w:t>和合规管理和相关要求；</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）内控监督评价体系是否建立完善；</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）风控文化建设是否到位。</w:t>
            </w:r>
          </w:p>
          <w:p>
            <w:pPr>
              <w:adjustRightInd w:val="0"/>
              <w:snapToGrid w:val="0"/>
              <w:spacing w:line="300" w:lineRule="exact"/>
              <w:ind w:firstLine="420" w:firstLineChars="200"/>
              <w:textAlignment w:val="baseline"/>
              <w:rPr>
                <w:rFonts w:ascii="宋体" w:cs="宋体"/>
                <w:szCs w:val="21"/>
                <w:highlight w:val="none"/>
              </w:rPr>
            </w:pPr>
            <w:r>
              <w:rPr>
                <w:rFonts w:ascii="宋体" w:hAnsi="宋体" w:cs="宋体"/>
                <w:szCs w:val="21"/>
                <w:highlight w:val="none"/>
              </w:rPr>
              <w:t>2.</w:t>
            </w:r>
            <w:r>
              <w:rPr>
                <w:rFonts w:hint="eastAsia" w:ascii="宋体" w:hAnsi="宋体" w:cs="宋体"/>
                <w:szCs w:val="21"/>
                <w:highlight w:val="none"/>
              </w:rPr>
              <w:t>内控体系执行情况</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）重点领域日常管控是否完整、全面控制、执行有效；</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）重要岗位授权管理和权力制衡是否合理，不相容岗位职</w:t>
            </w:r>
          </w:p>
          <w:p>
            <w:pPr>
              <w:adjustRightInd w:val="0"/>
              <w:snapToGrid w:val="0"/>
              <w:spacing w:line="300" w:lineRule="exact"/>
              <w:textAlignment w:val="baseline"/>
              <w:rPr>
                <w:rFonts w:ascii="宋体" w:cs="宋体"/>
                <w:szCs w:val="21"/>
                <w:highlight w:val="none"/>
              </w:rPr>
            </w:pPr>
            <w:r>
              <w:rPr>
                <w:rFonts w:hint="eastAsia" w:ascii="宋体" w:hAnsi="宋体" w:cs="宋体"/>
                <w:szCs w:val="21"/>
                <w:highlight w:val="none"/>
              </w:rPr>
              <w:t>责是否相分离；</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）重大风险防控体系是否健全完善，是否制定风险应对方</w:t>
            </w:r>
          </w:p>
          <w:p>
            <w:pPr>
              <w:adjustRightInd w:val="0"/>
              <w:snapToGrid w:val="0"/>
              <w:spacing w:line="300" w:lineRule="exact"/>
              <w:textAlignment w:val="baseline"/>
              <w:rPr>
                <w:rFonts w:ascii="宋体" w:cs="宋体"/>
                <w:szCs w:val="21"/>
                <w:highlight w:val="none"/>
              </w:rPr>
            </w:pPr>
            <w:r>
              <w:rPr>
                <w:rFonts w:hint="eastAsia" w:ascii="宋体" w:hAnsi="宋体" w:cs="宋体"/>
                <w:szCs w:val="21"/>
                <w:highlight w:val="none"/>
              </w:rPr>
              <w:t>案及应急预案；</w:t>
            </w:r>
          </w:p>
          <w:p>
            <w:pPr>
              <w:adjustRightInd w:val="0"/>
              <w:snapToGrid w:val="0"/>
              <w:spacing w:line="300" w:lineRule="exact"/>
              <w:textAlignment w:val="baseline"/>
              <w:rPr>
                <w:rFonts w:ascii="宋体" w:cs="宋体"/>
                <w:szCs w:val="21"/>
                <w:highlight w:val="none"/>
              </w:rPr>
            </w:pPr>
            <w:r>
              <w:rPr>
                <w:rFonts w:ascii="宋体" w:hAnsi="宋体" w:cs="宋体"/>
                <w:szCs w:val="21"/>
                <w:highlight w:val="none"/>
              </w:rPr>
              <w:t xml:space="preserve">    </w:t>
            </w: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）关键风险指标是否存在异常波动。</w:t>
            </w:r>
          </w:p>
          <w:p>
            <w:pPr>
              <w:adjustRightInd w:val="0"/>
              <w:snapToGrid w:val="0"/>
              <w:spacing w:line="300" w:lineRule="exact"/>
              <w:ind w:firstLine="420" w:firstLineChars="200"/>
              <w:textAlignment w:val="baseline"/>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内控信息化情况</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）信息系统建设是否建立健全；</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）内控信息化与业务信息系统是否有效对接，并将内控体</w:t>
            </w:r>
          </w:p>
          <w:p>
            <w:pPr>
              <w:adjustRightInd w:val="0"/>
              <w:snapToGrid w:val="0"/>
              <w:spacing w:line="300" w:lineRule="exact"/>
              <w:textAlignment w:val="baseline"/>
              <w:rPr>
                <w:rFonts w:ascii="宋体" w:cs="宋体"/>
                <w:szCs w:val="21"/>
                <w:highlight w:val="none"/>
              </w:rPr>
            </w:pPr>
            <w:r>
              <w:rPr>
                <w:rFonts w:hint="eastAsia" w:ascii="宋体" w:hAnsi="宋体" w:cs="宋体"/>
                <w:szCs w:val="21"/>
                <w:highlight w:val="none"/>
              </w:rPr>
              <w:t>系管控措施嵌入各类业务系统；</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）智能监管风险预警是否固化至信息系统。</w:t>
            </w:r>
          </w:p>
          <w:p>
            <w:pPr>
              <w:adjustRightInd w:val="0"/>
              <w:snapToGrid w:val="0"/>
              <w:spacing w:line="300" w:lineRule="exact"/>
              <w:ind w:firstLine="420" w:firstLineChars="200"/>
              <w:textAlignment w:val="baseline"/>
              <w:rPr>
                <w:rFonts w:ascii="宋体" w:cs="宋体"/>
                <w:szCs w:val="21"/>
                <w:highlight w:val="none"/>
              </w:rPr>
            </w:pPr>
            <w:r>
              <w:rPr>
                <w:rFonts w:ascii="宋体" w:hAnsi="宋体" w:cs="宋体"/>
                <w:szCs w:val="21"/>
                <w:highlight w:val="none"/>
              </w:rPr>
              <w:t>4.</w:t>
            </w:r>
            <w:r>
              <w:rPr>
                <w:rFonts w:hint="eastAsia" w:ascii="宋体" w:hAnsi="宋体" w:cs="宋体"/>
                <w:szCs w:val="21"/>
                <w:highlight w:val="none"/>
              </w:rPr>
              <w:t>内控体监督评价情况</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）企业自评是否有序规范开展，客观、真实、准确揭示经</w:t>
            </w:r>
          </w:p>
          <w:p>
            <w:pPr>
              <w:adjustRightInd w:val="0"/>
              <w:snapToGrid w:val="0"/>
              <w:spacing w:line="300" w:lineRule="exact"/>
              <w:textAlignment w:val="baseline"/>
              <w:rPr>
                <w:rFonts w:ascii="宋体" w:cs="宋体"/>
                <w:szCs w:val="21"/>
                <w:highlight w:val="none"/>
              </w:rPr>
            </w:pPr>
            <w:r>
              <w:rPr>
                <w:rFonts w:hint="eastAsia" w:ascii="宋体" w:hAnsi="宋体" w:cs="宋体"/>
                <w:szCs w:val="21"/>
                <w:highlight w:val="none"/>
              </w:rPr>
              <w:t>营管理中存在的内控缺陷、风险和合规问题进行全面自评，形成自评报告；</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）集团是否开展重要下属单位内控体系监督评价工作；</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）是否聘请具有相应资质的社会中介机构对内控体系进行外部评价，包括对子公司可持续发展能力进行评价；</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）整改监督是否落到实处，明确内控缺陷整改责任部门、责任人和完成时限，对整改效果进行检查评价；</w:t>
            </w:r>
          </w:p>
          <w:p>
            <w:pPr>
              <w:adjustRightInd w:val="0"/>
              <w:snapToGrid w:val="0"/>
              <w:spacing w:line="3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）是否严格执行内控体系考核机制。</w:t>
            </w:r>
          </w:p>
          <w:p>
            <w:pPr>
              <w:adjustRightInd w:val="0"/>
              <w:snapToGrid w:val="0"/>
              <w:spacing w:line="300" w:lineRule="exact"/>
              <w:ind w:firstLine="420" w:firstLineChars="200"/>
              <w:textAlignment w:val="baseline"/>
              <w:rPr>
                <w:rFonts w:ascii="宋体" w:cs="宋体"/>
                <w:b/>
                <w:bCs/>
                <w:szCs w:val="21"/>
                <w:highlight w:val="none"/>
              </w:rPr>
            </w:pPr>
            <w:r>
              <w:rPr>
                <w:rFonts w:ascii="宋体" w:hAnsi="宋体" w:cs="宋体"/>
                <w:szCs w:val="21"/>
                <w:highlight w:val="none"/>
              </w:rPr>
              <w:t>5.</w:t>
            </w:r>
            <w:r>
              <w:rPr>
                <w:rFonts w:hint="eastAsia" w:ascii="宋体" w:hAnsi="宋体" w:cs="宋体"/>
                <w:szCs w:val="21"/>
                <w:highlight w:val="none"/>
              </w:rPr>
              <w:t>其他需要评价的内容。</w:t>
            </w:r>
          </w:p>
          <w:p>
            <w:pPr>
              <w:pStyle w:val="2"/>
              <w:numPr>
                <w:ilvl w:val="255"/>
                <w:numId w:val="0"/>
              </w:numPr>
              <w:spacing w:after="0" w:line="300" w:lineRule="exact"/>
              <w:ind w:firstLine="315" w:firstLineChars="150"/>
              <w:rPr>
                <w:rFonts w:ascii="仿宋" w:hAnsi="仿宋" w:eastAsia="仿宋" w:cs="仿宋"/>
                <w:sz w:val="32"/>
                <w:szCs w:val="32"/>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）子公司可持续发展能力评价。</w:t>
            </w:r>
          </w:p>
          <w:p>
            <w:pPr>
              <w:spacing w:line="300" w:lineRule="exact"/>
              <w:ind w:firstLine="420" w:firstLineChars="200"/>
              <w:rPr>
                <w:rFonts w:ascii="宋体" w:cs="宋体"/>
                <w:szCs w:val="21"/>
                <w:highlight w:val="none"/>
              </w:rPr>
            </w:pPr>
            <w:r>
              <w:rPr>
                <w:rFonts w:hint="eastAsia" w:ascii="宋体" w:hAnsi="宋体" w:cs="宋体"/>
                <w:szCs w:val="21"/>
                <w:highlight w:val="none"/>
              </w:rPr>
              <w:t>二、评价要求及成果</w:t>
            </w:r>
          </w:p>
          <w:p>
            <w:pPr>
              <w:spacing w:line="300" w:lineRule="exact"/>
              <w:ind w:firstLine="420" w:firstLineChars="200"/>
              <w:rPr>
                <w:rFonts w:ascii="宋体" w:cs="宋体"/>
                <w:szCs w:val="21"/>
                <w:highlight w:val="none"/>
              </w:rPr>
            </w:pPr>
            <w:r>
              <w:rPr>
                <w:rFonts w:hint="eastAsia" w:ascii="宋体" w:hAnsi="宋体" w:cs="宋体"/>
                <w:szCs w:val="21"/>
                <w:highlight w:val="none"/>
              </w:rPr>
              <w:t>根据《关于加强中央企业内部控制体系建设与监督工作的实施意见》《关于贯彻落实自治区国资委关于印发加强监管企业内部控制体系建设与监督工作实施意见的通知》《企业内部控制基本规范》《企业内部控制应用指引》及其他相关法律法规开展工作，对南宁轨道交通集团有限责任公司本部及</w:t>
            </w:r>
            <w:r>
              <w:rPr>
                <w:rFonts w:ascii="宋体" w:hAnsi="宋体" w:cs="宋体"/>
                <w:szCs w:val="21"/>
                <w:highlight w:val="none"/>
              </w:rPr>
              <w:t>6</w:t>
            </w:r>
            <w:r>
              <w:rPr>
                <w:rFonts w:hint="eastAsia" w:ascii="宋体" w:hAnsi="宋体" w:cs="宋体"/>
                <w:szCs w:val="21"/>
                <w:highlight w:val="none"/>
              </w:rPr>
              <w:t>家重要全资、控股子公司</w:t>
            </w:r>
            <w:r>
              <w:rPr>
                <w:rFonts w:ascii="宋体" w:hAnsi="宋体" w:cs="宋体"/>
                <w:szCs w:val="21"/>
                <w:highlight w:val="none"/>
              </w:rPr>
              <w:t>2022</w:t>
            </w:r>
            <w:r>
              <w:rPr>
                <w:rFonts w:hint="eastAsia" w:ascii="宋体" w:hAnsi="宋体" w:cs="宋体"/>
                <w:szCs w:val="21"/>
                <w:highlight w:val="none"/>
              </w:rPr>
              <w:t>年度内部控制情况作出客观公正、实事求是的评价，单独出具</w:t>
            </w:r>
            <w:r>
              <w:rPr>
                <w:rFonts w:ascii="宋体" w:hAnsi="宋体" w:cs="宋体"/>
                <w:szCs w:val="21"/>
                <w:highlight w:val="none"/>
              </w:rPr>
              <w:t>2022</w:t>
            </w:r>
            <w:r>
              <w:rPr>
                <w:rFonts w:hint="eastAsia" w:ascii="宋体" w:hAnsi="宋体" w:cs="宋体"/>
                <w:szCs w:val="21"/>
                <w:highlight w:val="none"/>
              </w:rPr>
              <w:t>年度南宁轨道交通集团有限责任公司本部内控自评价报告及</w:t>
            </w:r>
            <w:r>
              <w:rPr>
                <w:rFonts w:ascii="宋体" w:hAnsi="宋体" w:cs="宋体"/>
                <w:szCs w:val="21"/>
                <w:highlight w:val="none"/>
              </w:rPr>
              <w:t>6</w:t>
            </w:r>
            <w:r>
              <w:rPr>
                <w:rFonts w:hint="eastAsia" w:ascii="宋体" w:hAnsi="宋体" w:cs="宋体"/>
                <w:szCs w:val="21"/>
                <w:highlight w:val="none"/>
              </w:rPr>
              <w:t>家重要全资、控股子公司内控监督评价报告，并经南宁轨道交通集团有限责任公司审批通过。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资金来源</w:t>
            </w:r>
          </w:p>
        </w:tc>
        <w:tc>
          <w:tcPr>
            <w:tcW w:w="7074" w:type="dxa"/>
            <w:shd w:val="clear" w:color="auto" w:fill="FFFFFF"/>
          </w:tcPr>
          <w:p>
            <w:pPr>
              <w:ind w:right="-3"/>
              <w:jc w:val="left"/>
              <w:rPr>
                <w:rFonts w:ascii="宋体" w:cs="宋体"/>
                <w:szCs w:val="21"/>
                <w:highlight w:val="none"/>
              </w:rPr>
            </w:pPr>
            <w:r>
              <w:rPr>
                <w:rFonts w:hint="eastAsia" w:ascii="宋体" w:hAnsi="宋体" w:cs="宋体"/>
                <w:szCs w:val="21"/>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5</w:t>
            </w:r>
          </w:p>
        </w:tc>
        <w:tc>
          <w:tcPr>
            <w:tcW w:w="1732" w:type="dxa"/>
            <w:vAlign w:val="center"/>
          </w:tcPr>
          <w:p>
            <w:pPr>
              <w:jc w:val="left"/>
              <w:rPr>
                <w:rFonts w:ascii="宋体" w:cs="宋体"/>
                <w:szCs w:val="21"/>
                <w:highlight w:val="none"/>
              </w:rPr>
            </w:pPr>
            <w:r>
              <w:rPr>
                <w:rFonts w:hint="eastAsia" w:ascii="宋体" w:hAnsi="宋体" w:cs="宋体"/>
                <w:szCs w:val="21"/>
                <w:highlight w:val="none"/>
              </w:rPr>
              <w:t>计费方式</w:t>
            </w:r>
          </w:p>
        </w:tc>
        <w:tc>
          <w:tcPr>
            <w:tcW w:w="7074" w:type="dxa"/>
          </w:tcPr>
          <w:p>
            <w:pPr>
              <w:ind w:right="-3"/>
              <w:jc w:val="left"/>
              <w:rPr>
                <w:rFonts w:ascii="宋体" w:cs="宋体"/>
                <w:szCs w:val="21"/>
                <w:highlight w:val="none"/>
              </w:rPr>
            </w:pPr>
            <w:r>
              <w:rPr>
                <w:rFonts w:hint="eastAsia" w:ascii="宋体" w:hAnsi="宋体" w:cs="宋体"/>
                <w:szCs w:val="21"/>
                <w:highlight w:val="none"/>
              </w:rPr>
              <w:t>采用总价包干（包括但不限于税费、交通费、食宿费、差旅费等），费用不予调整。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6</w:t>
            </w:r>
          </w:p>
        </w:tc>
        <w:tc>
          <w:tcPr>
            <w:tcW w:w="1732" w:type="dxa"/>
            <w:vAlign w:val="center"/>
          </w:tcPr>
          <w:p>
            <w:pPr>
              <w:jc w:val="left"/>
              <w:rPr>
                <w:rFonts w:ascii="宋体" w:cs="宋体"/>
                <w:szCs w:val="21"/>
                <w:highlight w:val="none"/>
              </w:rPr>
            </w:pPr>
            <w:r>
              <w:rPr>
                <w:rFonts w:hint="eastAsia" w:ascii="宋体" w:hAnsi="宋体" w:cs="宋体"/>
                <w:szCs w:val="21"/>
                <w:highlight w:val="none"/>
              </w:rPr>
              <w:t>上限控制价</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人民币：</w:t>
            </w:r>
            <w:r>
              <w:rPr>
                <w:rFonts w:ascii="宋体" w:hAnsi="宋体" w:cs="宋体"/>
                <w:szCs w:val="21"/>
                <w:highlight w:val="none"/>
              </w:rPr>
              <w:t xml:space="preserve"> 200,000.00</w:t>
            </w:r>
            <w:r>
              <w:rPr>
                <w:rFonts w:hint="eastAsia" w:ascii="宋体" w:hAnsi="宋体" w:cs="宋体"/>
                <w:szCs w:val="21"/>
                <w:highlight w:val="none"/>
              </w:rPr>
              <w:t>元</w:t>
            </w:r>
            <w:r>
              <w:rPr>
                <w:rFonts w:ascii="宋体" w:hAnsi="宋体" w:cs="宋体"/>
                <w:szCs w:val="21"/>
                <w:highlight w:val="none"/>
              </w:rPr>
              <w:t>(</w:t>
            </w:r>
            <w:r>
              <w:rPr>
                <w:rFonts w:hint="eastAsia" w:ascii="宋体" w:hAnsi="宋体" w:cs="宋体"/>
                <w:szCs w:val="21"/>
                <w:highlight w:val="none"/>
              </w:rPr>
              <w:t>含税</w:t>
            </w: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188,679.25</w:t>
            </w:r>
            <w:r>
              <w:rPr>
                <w:rFonts w:hint="eastAsia" w:ascii="宋体" w:hAnsi="宋体" w:cs="宋体"/>
                <w:szCs w:val="21"/>
                <w:highlight w:val="none"/>
              </w:rPr>
              <w:t>元整</w:t>
            </w:r>
            <w:r>
              <w:rPr>
                <w:rFonts w:ascii="宋体" w:hAnsi="宋体" w:cs="宋体"/>
                <w:szCs w:val="21"/>
                <w:highlight w:val="none"/>
              </w:rPr>
              <w:t>(</w:t>
            </w:r>
            <w:r>
              <w:rPr>
                <w:rFonts w:hint="eastAsia" w:ascii="宋体" w:hAnsi="宋体" w:cs="宋体"/>
                <w:szCs w:val="21"/>
                <w:highlight w:val="none"/>
              </w:rPr>
              <w:t>不含税</w:t>
            </w:r>
            <w:r>
              <w:rPr>
                <w:rFonts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7</w:t>
            </w:r>
          </w:p>
        </w:tc>
        <w:tc>
          <w:tcPr>
            <w:tcW w:w="1732" w:type="dxa"/>
            <w:vAlign w:val="center"/>
          </w:tcPr>
          <w:p>
            <w:pPr>
              <w:jc w:val="left"/>
              <w:rPr>
                <w:rFonts w:ascii="宋体" w:cs="宋体"/>
                <w:szCs w:val="21"/>
                <w:highlight w:val="none"/>
              </w:rPr>
            </w:pPr>
            <w:r>
              <w:rPr>
                <w:rFonts w:hint="eastAsia" w:ascii="宋体" w:hAnsi="宋体" w:cs="宋体"/>
                <w:szCs w:val="21"/>
                <w:highlight w:val="none"/>
              </w:rPr>
              <w:t>报价方式</w:t>
            </w:r>
          </w:p>
        </w:tc>
        <w:tc>
          <w:tcPr>
            <w:tcW w:w="7074" w:type="dxa"/>
            <w:vAlign w:val="center"/>
          </w:tcPr>
          <w:p>
            <w:pPr>
              <w:ind w:right="-3"/>
              <w:jc w:val="left"/>
              <w:rPr>
                <w:rFonts w:ascii="宋体" w:cs="宋体"/>
                <w:szCs w:val="21"/>
                <w:highlight w:val="none"/>
              </w:rPr>
            </w:pPr>
            <w:r>
              <w:rPr>
                <w:rFonts w:hint="eastAsia" w:ascii="宋体" w:hAnsi="宋体" w:cs="宋体"/>
                <w:szCs w:val="21"/>
                <w:highlight w:val="none"/>
              </w:rPr>
              <w:t>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8</w:t>
            </w:r>
          </w:p>
        </w:tc>
        <w:tc>
          <w:tcPr>
            <w:tcW w:w="1732" w:type="dxa"/>
            <w:vAlign w:val="center"/>
          </w:tcPr>
          <w:p>
            <w:pPr>
              <w:jc w:val="left"/>
              <w:rPr>
                <w:rFonts w:ascii="宋体" w:cs="宋体"/>
                <w:szCs w:val="21"/>
                <w:highlight w:val="none"/>
              </w:rPr>
            </w:pPr>
            <w:r>
              <w:rPr>
                <w:rFonts w:hint="eastAsia" w:ascii="宋体" w:hAnsi="宋体" w:cs="宋体"/>
                <w:szCs w:val="21"/>
                <w:highlight w:val="none"/>
              </w:rPr>
              <w:t>服务期限</w:t>
            </w:r>
          </w:p>
        </w:tc>
        <w:tc>
          <w:tcPr>
            <w:tcW w:w="7074" w:type="dxa"/>
            <w:vAlign w:val="center"/>
          </w:tcPr>
          <w:p>
            <w:pPr>
              <w:ind w:right="-3"/>
              <w:jc w:val="left"/>
              <w:rPr>
                <w:rFonts w:ascii="宋体" w:cs="宋体"/>
                <w:szCs w:val="21"/>
                <w:highlight w:val="none"/>
              </w:rPr>
            </w:pPr>
            <w:r>
              <w:rPr>
                <w:rFonts w:ascii="宋体" w:hAnsi="宋体" w:cs="宋体"/>
                <w:szCs w:val="21"/>
                <w:highlight w:val="none"/>
              </w:rPr>
              <w:t>3</w:t>
            </w:r>
            <w:r>
              <w:rPr>
                <w:rFonts w:hint="eastAsia" w:ascii="宋体" w:hAnsi="宋体" w:cs="宋体"/>
                <w:szCs w:val="21"/>
                <w:highlight w:val="none"/>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9</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比选申请人资格要求</w:t>
            </w:r>
          </w:p>
        </w:tc>
        <w:tc>
          <w:tcPr>
            <w:tcW w:w="7074" w:type="dxa"/>
            <w:vAlign w:val="center"/>
          </w:tcPr>
          <w:p>
            <w:pPr>
              <w:ind w:right="-3"/>
              <w:jc w:val="left"/>
              <w:rPr>
                <w:rFonts w:ascii="宋体" w:cs="宋体"/>
                <w:szCs w:val="21"/>
                <w:highlight w:val="none"/>
              </w:rPr>
            </w:pPr>
            <w:r>
              <w:rPr>
                <w:rFonts w:ascii="宋体" w:hAnsi="宋体" w:cs="宋体"/>
                <w:szCs w:val="21"/>
                <w:highlight w:val="none"/>
              </w:rPr>
              <w:t>1</w:t>
            </w:r>
            <w:r>
              <w:rPr>
                <w:rFonts w:hint="eastAsia" w:ascii="宋体" w:hAnsi="宋体" w:cs="宋体"/>
                <w:szCs w:val="21"/>
                <w:highlight w:val="none"/>
              </w:rPr>
              <w:t>、比选申请人为中华人民共和国境内依法设立的法人或其他组织</w:t>
            </w:r>
            <w:r>
              <w:rPr>
                <w:rFonts w:ascii="宋体" w:cs="宋体"/>
                <w:szCs w:val="21"/>
                <w:highlight w:val="none"/>
              </w:rPr>
              <w:t>,</w:t>
            </w:r>
            <w:r>
              <w:rPr>
                <w:rFonts w:hint="eastAsia" w:ascii="宋体" w:hAnsi="宋体" w:cs="宋体"/>
                <w:szCs w:val="21"/>
                <w:highlight w:val="none"/>
              </w:rPr>
              <w:t>必须持有合法有效的财政部门颁发的会计师事务所执业证书。若以分支机构参与投标，必须出具总部授权参与证明。</w:t>
            </w:r>
          </w:p>
          <w:p>
            <w:pPr>
              <w:ind w:right="-3"/>
              <w:jc w:val="left"/>
              <w:rPr>
                <w:rFonts w:ascii="宋体" w:cs="宋体"/>
                <w:szCs w:val="21"/>
                <w:highlight w:val="none"/>
              </w:rPr>
            </w:pPr>
            <w:r>
              <w:rPr>
                <w:rFonts w:ascii="宋体" w:hAnsi="宋体" w:cs="宋体"/>
                <w:kern w:val="0"/>
                <w:szCs w:val="21"/>
                <w:highlight w:val="none"/>
              </w:rPr>
              <w:t>2</w:t>
            </w:r>
            <w:r>
              <w:rPr>
                <w:rFonts w:hint="eastAsia" w:ascii="宋体" w:hAnsi="宋体" w:cs="宋体"/>
                <w:kern w:val="0"/>
                <w:szCs w:val="21"/>
                <w:highlight w:val="none"/>
              </w:rPr>
              <w:t>、本次比选不接受联合体报价，母、子公司只允许其中一家公司参与比选申请；同一法人代表，只接受一家参与比选申请。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10</w:t>
            </w:r>
          </w:p>
        </w:tc>
        <w:tc>
          <w:tcPr>
            <w:tcW w:w="1732" w:type="dxa"/>
            <w:vAlign w:val="center"/>
          </w:tcPr>
          <w:p>
            <w:pPr>
              <w:jc w:val="left"/>
              <w:rPr>
                <w:rFonts w:ascii="宋体" w:cs="宋体"/>
                <w:szCs w:val="21"/>
                <w:highlight w:val="none"/>
              </w:rPr>
            </w:pPr>
            <w:r>
              <w:rPr>
                <w:rFonts w:hint="eastAsia" w:ascii="宋体" w:hAnsi="宋体" w:cs="宋体"/>
                <w:szCs w:val="21"/>
                <w:highlight w:val="none"/>
              </w:rPr>
              <w:t>获取比选文件方式</w:t>
            </w:r>
          </w:p>
        </w:tc>
        <w:tc>
          <w:tcPr>
            <w:tcW w:w="7074" w:type="dxa"/>
            <w:vAlign w:val="center"/>
          </w:tcPr>
          <w:p>
            <w:pPr>
              <w:jc w:val="left"/>
              <w:rPr>
                <w:rFonts w:ascii="宋体" w:cs="宋体"/>
                <w:szCs w:val="21"/>
                <w:highlight w:val="none"/>
              </w:rPr>
            </w:pPr>
            <w:r>
              <w:rPr>
                <w:rFonts w:hint="eastAsia" w:ascii="宋体" w:hAnsi="宋体" w:cs="宋体"/>
                <w:szCs w:val="21"/>
                <w:highlight w:val="none"/>
              </w:rPr>
              <w:t>本项目实行网上发布电子版比选文件，不出售纸质比选文件。凡有意参与的潜在比选申请人，请登录南宁轨道交通集团有限责任公司官网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的招标招商中的招标公告处下载比选文件。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11</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比选有效期</w:t>
            </w:r>
            <w:r>
              <w:rPr>
                <w:rFonts w:ascii="宋体" w:hAnsi="宋体" w:cs="宋体"/>
                <w:szCs w:val="21"/>
                <w:highlight w:val="none"/>
              </w:rPr>
              <w:t xml:space="preserve"> </w:t>
            </w:r>
          </w:p>
        </w:tc>
        <w:tc>
          <w:tcPr>
            <w:tcW w:w="7074" w:type="dxa"/>
            <w:vAlign w:val="center"/>
          </w:tcPr>
          <w:p>
            <w:pPr>
              <w:ind w:right="-82"/>
              <w:jc w:val="left"/>
              <w:rPr>
                <w:rFonts w:ascii="宋体" w:cs="宋体"/>
                <w:szCs w:val="21"/>
                <w:highlight w:val="none"/>
              </w:rPr>
            </w:pPr>
            <w:r>
              <w:rPr>
                <w:rFonts w:ascii="宋体" w:hAnsi="宋体" w:cs="宋体"/>
                <w:szCs w:val="21"/>
                <w:highlight w:val="none"/>
              </w:rPr>
              <w:t>90</w:t>
            </w:r>
            <w:r>
              <w:rPr>
                <w:rFonts w:hint="eastAsia" w:ascii="宋体" w:hAnsi="宋体" w:cs="宋体"/>
                <w:szCs w:val="21"/>
                <w:highlight w:val="none"/>
              </w:rPr>
              <w:t>天（比选有效期是指为保证比选发起人有足够的时间完成评审和与中选人签订合同而在一定时间内保持有效的期限。比选有效期从比选申请文件递交截止之日算起。）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12</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比选申请文件份数</w:t>
            </w:r>
          </w:p>
        </w:tc>
        <w:tc>
          <w:tcPr>
            <w:tcW w:w="7074" w:type="dxa"/>
            <w:vAlign w:val="center"/>
          </w:tcPr>
          <w:p>
            <w:pPr>
              <w:ind w:right="-82"/>
              <w:jc w:val="left"/>
              <w:rPr>
                <w:rFonts w:ascii="宋体" w:cs="宋体"/>
                <w:szCs w:val="21"/>
                <w:highlight w:val="none"/>
              </w:rPr>
            </w:pPr>
            <w:r>
              <w:rPr>
                <w:rFonts w:hint="eastAsia" w:ascii="宋体" w:hAnsi="宋体" w:cs="宋体"/>
                <w:szCs w:val="21"/>
                <w:highlight w:val="none"/>
              </w:rPr>
              <w:t>纸质版一式五份，其中正本一份、副本四份（</w:t>
            </w:r>
            <w:r>
              <w:rPr>
                <w:rFonts w:ascii="宋体" w:hAnsi="宋体" w:cs="宋体"/>
                <w:szCs w:val="21"/>
                <w:highlight w:val="none"/>
              </w:rPr>
              <w:t>U</w:t>
            </w:r>
            <w:r>
              <w:rPr>
                <w:rFonts w:hint="eastAsia" w:ascii="宋体" w:hAnsi="宋体" w:cs="宋体"/>
                <w:szCs w:val="21"/>
                <w:highlight w:val="none"/>
              </w:rPr>
              <w:t>盘电子版</w:t>
            </w:r>
            <w:r>
              <w:rPr>
                <w:rFonts w:ascii="宋体" w:hAnsi="宋体" w:cs="宋体"/>
                <w:szCs w:val="21"/>
                <w:highlight w:val="none"/>
              </w:rPr>
              <w:t>1</w:t>
            </w:r>
            <w:r>
              <w:rPr>
                <w:rFonts w:hint="eastAsia" w:ascii="宋体" w:hAnsi="宋体" w:cs="宋体"/>
                <w:szCs w:val="21"/>
                <w:highlight w:val="none"/>
              </w:rPr>
              <w:t>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13</w:t>
            </w:r>
          </w:p>
        </w:tc>
        <w:tc>
          <w:tcPr>
            <w:tcW w:w="1732" w:type="dxa"/>
            <w:vAlign w:val="center"/>
          </w:tcPr>
          <w:p>
            <w:pPr>
              <w:jc w:val="left"/>
              <w:rPr>
                <w:rFonts w:ascii="宋体" w:cs="宋体"/>
                <w:szCs w:val="21"/>
                <w:highlight w:val="none"/>
              </w:rPr>
            </w:pPr>
            <w:r>
              <w:rPr>
                <w:rFonts w:hint="eastAsia" w:ascii="宋体" w:hAnsi="宋体" w:cs="宋体"/>
                <w:szCs w:val="21"/>
                <w:highlight w:val="none"/>
              </w:rPr>
              <w:t>比选申请文件递交地址</w:t>
            </w:r>
          </w:p>
        </w:tc>
        <w:tc>
          <w:tcPr>
            <w:tcW w:w="7074" w:type="dxa"/>
            <w:vAlign w:val="center"/>
          </w:tcPr>
          <w:p>
            <w:pPr>
              <w:ind w:right="-3"/>
              <w:jc w:val="left"/>
              <w:rPr>
                <w:rFonts w:ascii="宋体" w:cs="宋体"/>
                <w:b/>
                <w:szCs w:val="21"/>
                <w:highlight w:val="none"/>
              </w:rPr>
            </w:pPr>
            <w:r>
              <w:rPr>
                <w:rFonts w:hint="eastAsia" w:ascii="宋体" w:hAnsi="宋体" w:cs="宋体"/>
                <w:b/>
                <w:szCs w:val="21"/>
                <w:highlight w:val="none"/>
              </w:rPr>
              <w:t>地点：广西南宁市云景路</w:t>
            </w:r>
            <w:r>
              <w:rPr>
                <w:rFonts w:ascii="宋体" w:hAnsi="宋体" w:cs="宋体"/>
                <w:b/>
                <w:szCs w:val="21"/>
                <w:highlight w:val="none"/>
              </w:rPr>
              <w:t>69</w:t>
            </w:r>
            <w:r>
              <w:rPr>
                <w:rFonts w:hint="eastAsia" w:ascii="宋体" w:hAnsi="宋体" w:cs="宋体"/>
                <w:b/>
                <w:szCs w:val="21"/>
                <w:highlight w:val="none"/>
              </w:rPr>
              <w:t>号南宁轨道交通集团有限责任公司</w:t>
            </w:r>
            <w:r>
              <w:rPr>
                <w:rFonts w:ascii="宋体" w:hAnsi="宋体" w:cs="宋体"/>
                <w:b/>
                <w:szCs w:val="21"/>
                <w:highlight w:val="none"/>
              </w:rPr>
              <w:t>A2</w:t>
            </w:r>
            <w:r>
              <w:rPr>
                <w:rFonts w:hint="eastAsia" w:ascii="宋体" w:hAnsi="宋体" w:cs="宋体"/>
                <w:b/>
                <w:szCs w:val="21"/>
                <w:highlight w:val="none"/>
              </w:rPr>
              <w:t>栋</w:t>
            </w:r>
            <w:r>
              <w:rPr>
                <w:rFonts w:ascii="宋体" w:hAnsi="宋体" w:cs="宋体"/>
                <w:b/>
                <w:szCs w:val="21"/>
                <w:highlight w:val="none"/>
              </w:rPr>
              <w:t>104</w:t>
            </w:r>
            <w:r>
              <w:rPr>
                <w:rFonts w:hint="eastAsia" w:ascii="宋体" w:hAnsi="宋体" w:cs="宋体"/>
                <w:b/>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14</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比选申请文件递交日期</w:t>
            </w:r>
            <w:r>
              <w:rPr>
                <w:rFonts w:ascii="宋体" w:hAnsi="宋体" w:cs="宋体"/>
                <w:szCs w:val="21"/>
                <w:highlight w:val="none"/>
              </w:rPr>
              <w:t xml:space="preserve"> </w:t>
            </w:r>
          </w:p>
        </w:tc>
        <w:tc>
          <w:tcPr>
            <w:tcW w:w="7074" w:type="dxa"/>
            <w:shd w:val="clear" w:color="auto" w:fill="FFFFFF"/>
            <w:vAlign w:val="center"/>
          </w:tcPr>
          <w:p>
            <w:pPr>
              <w:ind w:right="753"/>
              <w:jc w:val="left"/>
              <w:rPr>
                <w:rFonts w:ascii="宋体" w:cs="宋体"/>
                <w:szCs w:val="21"/>
                <w:highlight w:val="none"/>
              </w:rPr>
            </w:pPr>
            <w:r>
              <w:rPr>
                <w:rFonts w:ascii="宋体" w:hAnsi="宋体" w:cs="宋体"/>
                <w:szCs w:val="21"/>
                <w:highlight w:val="none"/>
              </w:rPr>
              <w:t>20</w:t>
            </w:r>
            <w:r>
              <w:rPr>
                <w:rFonts w:ascii="宋体" w:hAnsi="宋体" w:cs="宋体"/>
                <w:szCs w:val="21"/>
                <w:highlight w:val="none"/>
              </w:rPr>
              <w:t>23</w:t>
            </w:r>
            <w:r>
              <w:rPr>
                <w:rFonts w:hint="eastAsia" w:ascii="宋体" w:hAnsi="宋体" w:cs="宋体"/>
                <w:szCs w:val="21"/>
                <w:highlight w:val="none"/>
              </w:rPr>
              <w:t>年</w:t>
            </w:r>
            <w:r>
              <w:rPr>
                <w:rFonts w:ascii="宋体" w:hAnsi="宋体" w:cs="宋体"/>
                <w:szCs w:val="21"/>
                <w:highlight w:val="none"/>
              </w:rPr>
              <w:t xml:space="preserve"> 2</w:t>
            </w:r>
            <w:r>
              <w:rPr>
                <w:rFonts w:hint="eastAsia" w:ascii="宋体" w:hAnsi="宋体" w:cs="宋体"/>
                <w:szCs w:val="21"/>
                <w:highlight w:val="none"/>
              </w:rPr>
              <w:t>月</w:t>
            </w:r>
            <w:r>
              <w:rPr>
                <w:rFonts w:hint="eastAsia" w:ascii="宋体" w:hAnsi="宋体" w:cs="宋体"/>
                <w:szCs w:val="21"/>
                <w:highlight w:val="none"/>
                <w:lang w:val="en-US" w:eastAsia="zh-CN"/>
              </w:rPr>
              <w:t>8</w:t>
            </w:r>
            <w:r>
              <w:rPr>
                <w:rFonts w:hint="eastAsia" w:ascii="宋体" w:hAnsi="宋体" w:cs="宋体"/>
                <w:szCs w:val="21"/>
                <w:highlight w:val="none"/>
              </w:rPr>
              <w:t>日上午</w:t>
            </w:r>
            <w:r>
              <w:rPr>
                <w:rFonts w:ascii="宋体" w:hAnsi="宋体" w:cs="宋体"/>
                <w:szCs w:val="21"/>
                <w:highlight w:val="none"/>
              </w:rPr>
              <w:t>8:3</w:t>
            </w:r>
            <w:r>
              <w:rPr>
                <w:rFonts w:ascii="宋体" w:cs="宋体"/>
                <w:szCs w:val="21"/>
                <w:highlight w:val="none"/>
              </w:rPr>
              <w:t>0</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shd w:val="clear" w:color="auto" w:fill="FFFFFF"/>
            <w:vAlign w:val="center"/>
          </w:tcPr>
          <w:p>
            <w:pPr>
              <w:jc w:val="center"/>
              <w:rPr>
                <w:rFonts w:ascii="宋体" w:cs="宋体"/>
                <w:szCs w:val="21"/>
                <w:highlight w:val="none"/>
              </w:rPr>
            </w:pPr>
            <w:r>
              <w:rPr>
                <w:rFonts w:ascii="宋体" w:hAnsi="宋体" w:cs="宋体"/>
                <w:szCs w:val="21"/>
                <w:highlight w:val="none"/>
              </w:rPr>
              <w:t>15</w:t>
            </w:r>
          </w:p>
        </w:tc>
        <w:tc>
          <w:tcPr>
            <w:tcW w:w="1732" w:type="dxa"/>
            <w:shd w:val="clear" w:color="auto" w:fill="FFFFFF"/>
            <w:vAlign w:val="center"/>
          </w:tcPr>
          <w:p>
            <w:pPr>
              <w:jc w:val="left"/>
              <w:rPr>
                <w:rFonts w:ascii="宋体" w:cs="宋体"/>
                <w:szCs w:val="21"/>
                <w:highlight w:val="none"/>
              </w:rPr>
            </w:pPr>
            <w:r>
              <w:rPr>
                <w:rFonts w:hint="eastAsia" w:ascii="宋体" w:hAnsi="宋体" w:cs="宋体"/>
                <w:szCs w:val="21"/>
                <w:highlight w:val="none"/>
              </w:rPr>
              <w:t>比选时间、地点</w:t>
            </w:r>
            <w:r>
              <w:rPr>
                <w:rFonts w:ascii="宋体" w:hAnsi="宋体" w:cs="宋体"/>
                <w:szCs w:val="21"/>
                <w:highlight w:val="none"/>
              </w:rPr>
              <w:t xml:space="preserve">          </w:t>
            </w:r>
          </w:p>
        </w:tc>
        <w:tc>
          <w:tcPr>
            <w:tcW w:w="7074" w:type="dxa"/>
            <w:shd w:val="clear" w:color="auto" w:fill="FFFFFF"/>
            <w:vAlign w:val="center"/>
          </w:tcPr>
          <w:p>
            <w:pPr>
              <w:ind w:right="-3"/>
              <w:jc w:val="left"/>
              <w:rPr>
                <w:rFonts w:ascii="宋体" w:cs="宋体"/>
                <w:szCs w:val="21"/>
                <w:highlight w:val="none"/>
              </w:rPr>
            </w:pPr>
            <w:r>
              <w:rPr>
                <w:rFonts w:hint="eastAsia" w:ascii="宋体" w:hAnsi="宋体" w:cs="宋体"/>
                <w:szCs w:val="21"/>
                <w:highlight w:val="none"/>
              </w:rPr>
              <w:t>时间：</w:t>
            </w:r>
            <w:r>
              <w:rPr>
                <w:rFonts w:ascii="宋体" w:hAnsi="宋体" w:cs="宋体"/>
                <w:szCs w:val="21"/>
                <w:highlight w:val="none"/>
              </w:rPr>
              <w:t>20</w:t>
            </w:r>
            <w:r>
              <w:rPr>
                <w:rFonts w:ascii="宋体" w:hAnsi="宋体" w:cs="宋体"/>
                <w:szCs w:val="21"/>
                <w:highlight w:val="none"/>
              </w:rPr>
              <w:t>23</w:t>
            </w:r>
            <w:r>
              <w:rPr>
                <w:rFonts w:hint="eastAsia" w:ascii="宋体" w:hAnsi="宋体" w:cs="宋体"/>
                <w:szCs w:val="21"/>
                <w:highlight w:val="none"/>
              </w:rPr>
              <w:t>年</w:t>
            </w:r>
            <w:r>
              <w:rPr>
                <w:rFonts w:ascii="宋体" w:hAnsi="宋体" w:cs="宋体"/>
                <w:szCs w:val="21"/>
                <w:highlight w:val="none"/>
              </w:rPr>
              <w:t xml:space="preserve">2 </w:t>
            </w:r>
            <w:r>
              <w:rPr>
                <w:rFonts w:hint="eastAsia" w:ascii="宋体" w:hAnsi="宋体" w:cs="宋体"/>
                <w:szCs w:val="21"/>
                <w:highlight w:val="none"/>
              </w:rPr>
              <w:t>月</w:t>
            </w:r>
            <w:r>
              <w:rPr>
                <w:rFonts w:hint="eastAsia" w:ascii="宋体" w:hAnsi="宋体" w:cs="宋体"/>
                <w:szCs w:val="21"/>
                <w:highlight w:val="none"/>
                <w:lang w:val="en-US" w:eastAsia="zh-CN"/>
              </w:rPr>
              <w:t>8</w:t>
            </w:r>
            <w:r>
              <w:rPr>
                <w:rFonts w:hint="eastAsia" w:ascii="宋体" w:hAnsi="宋体" w:cs="宋体"/>
                <w:szCs w:val="21"/>
                <w:highlight w:val="none"/>
              </w:rPr>
              <w:t>日</w:t>
            </w:r>
            <w:r>
              <w:rPr>
                <w:rFonts w:hint="eastAsia" w:ascii="宋体" w:hAnsi="宋体" w:cs="宋体"/>
                <w:szCs w:val="21"/>
                <w:highlight w:val="none"/>
              </w:rPr>
              <w:t>上午</w:t>
            </w:r>
            <w:r>
              <w:rPr>
                <w:rFonts w:ascii="宋体" w:hAnsi="宋体" w:cs="宋体"/>
                <w:szCs w:val="21"/>
                <w:highlight w:val="none"/>
              </w:rPr>
              <w:t>9:00</w:t>
            </w:r>
          </w:p>
          <w:p>
            <w:pPr>
              <w:ind w:right="-3"/>
              <w:jc w:val="left"/>
              <w:rPr>
                <w:rFonts w:ascii="宋体" w:cs="宋体"/>
                <w:szCs w:val="21"/>
                <w:highlight w:val="none"/>
              </w:rPr>
            </w:pPr>
            <w:r>
              <w:rPr>
                <w:rFonts w:hint="eastAsia" w:ascii="宋体" w:hAnsi="宋体" w:cs="宋体"/>
                <w:szCs w:val="21"/>
                <w:highlight w:val="none"/>
              </w:rPr>
              <w:t>地点：广西南宁市云景路</w:t>
            </w:r>
            <w:r>
              <w:rPr>
                <w:rFonts w:ascii="宋体" w:hAnsi="宋体" w:cs="宋体"/>
                <w:szCs w:val="21"/>
                <w:highlight w:val="none"/>
              </w:rPr>
              <w:t>69</w:t>
            </w:r>
            <w:r>
              <w:rPr>
                <w:rFonts w:hint="eastAsia" w:ascii="宋体" w:hAnsi="宋体" w:cs="宋体"/>
                <w:szCs w:val="21"/>
                <w:highlight w:val="none"/>
              </w:rPr>
              <w:t>号南宁轨道交通集团有限责任公司</w:t>
            </w:r>
            <w:r>
              <w:rPr>
                <w:rFonts w:ascii="宋体" w:hAnsi="宋体" w:cs="宋体"/>
                <w:szCs w:val="21"/>
                <w:highlight w:val="none"/>
              </w:rPr>
              <w:t>A2</w:t>
            </w:r>
            <w:r>
              <w:rPr>
                <w:rFonts w:hint="eastAsia" w:ascii="宋体" w:hAnsi="宋体" w:cs="宋体"/>
                <w:szCs w:val="21"/>
                <w:highlight w:val="none"/>
              </w:rPr>
              <w:t>栋</w:t>
            </w:r>
            <w:r>
              <w:rPr>
                <w:rFonts w:ascii="宋体" w:hAnsi="宋体" w:cs="宋体"/>
                <w:szCs w:val="21"/>
                <w:highlight w:val="none"/>
              </w:rPr>
              <w:t>104</w:t>
            </w:r>
            <w:r>
              <w:rPr>
                <w:rFonts w:hint="eastAsia" w:ascii="宋体" w:hAnsi="宋体" w:cs="宋体"/>
                <w:szCs w:val="21"/>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0" w:type="dxa"/>
            <w:vAlign w:val="center"/>
          </w:tcPr>
          <w:p>
            <w:pPr>
              <w:jc w:val="center"/>
              <w:rPr>
                <w:rFonts w:ascii="宋体" w:cs="宋体"/>
                <w:szCs w:val="21"/>
                <w:highlight w:val="none"/>
              </w:rPr>
            </w:pPr>
            <w:r>
              <w:rPr>
                <w:rFonts w:ascii="宋体" w:hAnsi="宋体" w:cs="宋体"/>
                <w:szCs w:val="21"/>
                <w:highlight w:val="none"/>
              </w:rPr>
              <w:t>16</w:t>
            </w:r>
          </w:p>
        </w:tc>
        <w:tc>
          <w:tcPr>
            <w:tcW w:w="1732" w:type="dxa"/>
            <w:vAlign w:val="center"/>
          </w:tcPr>
          <w:p>
            <w:pPr>
              <w:jc w:val="left"/>
              <w:rPr>
                <w:rFonts w:ascii="宋体" w:cs="宋体"/>
                <w:szCs w:val="21"/>
                <w:highlight w:val="none"/>
              </w:rPr>
            </w:pPr>
            <w:r>
              <w:rPr>
                <w:rFonts w:hint="eastAsia" w:ascii="宋体" w:hAnsi="宋体" w:cs="宋体"/>
                <w:szCs w:val="21"/>
                <w:highlight w:val="none"/>
              </w:rPr>
              <w:t>评比办法</w:t>
            </w:r>
          </w:p>
        </w:tc>
        <w:tc>
          <w:tcPr>
            <w:tcW w:w="7074" w:type="dxa"/>
            <w:vAlign w:val="center"/>
          </w:tcPr>
          <w:p>
            <w:pPr>
              <w:ind w:right="753"/>
              <w:jc w:val="left"/>
              <w:rPr>
                <w:rFonts w:ascii="宋体" w:cs="宋体"/>
                <w:szCs w:val="21"/>
                <w:highlight w:val="none"/>
              </w:rPr>
            </w:pPr>
            <w:r>
              <w:rPr>
                <w:rFonts w:hint="eastAsia" w:ascii="宋体" w:hAnsi="宋体" w:cs="宋体"/>
                <w:szCs w:val="21"/>
                <w:highlight w:val="none"/>
              </w:rPr>
              <w:t>综合评分办法（详见第四章）</w:t>
            </w:r>
            <w:r>
              <w:rPr>
                <w:rFonts w:ascii="宋体" w:hAnsi="宋体" w:cs="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17</w:t>
            </w:r>
          </w:p>
        </w:tc>
        <w:tc>
          <w:tcPr>
            <w:tcW w:w="1732" w:type="dxa"/>
            <w:vAlign w:val="center"/>
          </w:tcPr>
          <w:p>
            <w:pPr>
              <w:jc w:val="left"/>
              <w:rPr>
                <w:rFonts w:ascii="宋体" w:cs="宋体"/>
                <w:szCs w:val="21"/>
                <w:highlight w:val="none"/>
              </w:rPr>
            </w:pPr>
            <w:r>
              <w:rPr>
                <w:rFonts w:hint="eastAsia" w:ascii="宋体" w:hAnsi="宋体" w:cs="宋体"/>
                <w:szCs w:val="21"/>
                <w:highlight w:val="none"/>
              </w:rPr>
              <w:t>中选通知</w:t>
            </w:r>
          </w:p>
        </w:tc>
        <w:tc>
          <w:tcPr>
            <w:tcW w:w="7074" w:type="dxa"/>
          </w:tcPr>
          <w:p>
            <w:pPr>
              <w:ind w:right="-3"/>
              <w:jc w:val="left"/>
              <w:rPr>
                <w:rFonts w:ascii="宋体" w:cs="宋体"/>
                <w:szCs w:val="21"/>
                <w:highlight w:val="none"/>
              </w:rPr>
            </w:pPr>
            <w:r>
              <w:rPr>
                <w:rFonts w:hint="eastAsia" w:ascii="宋体" w:hAnsi="宋体" w:cs="宋体"/>
                <w:szCs w:val="21"/>
                <w:highlight w:val="none"/>
              </w:rPr>
              <w:t>比选人根据评审小组的评比结果在比选有效期内向中选的比选申请人发出中选通知书。</w:t>
            </w:r>
          </w:p>
          <w:p>
            <w:pPr>
              <w:ind w:right="-3"/>
              <w:jc w:val="left"/>
              <w:rPr>
                <w:rFonts w:ascii="宋体" w:cs="宋体"/>
                <w:szCs w:val="21"/>
                <w:highlight w:val="none"/>
              </w:rPr>
            </w:pPr>
            <w:r>
              <w:rPr>
                <w:rFonts w:hint="eastAsia" w:ascii="宋体" w:hAnsi="宋体" w:cs="宋体"/>
                <w:szCs w:val="21"/>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18</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比选保证金</w:t>
            </w:r>
          </w:p>
        </w:tc>
        <w:tc>
          <w:tcPr>
            <w:tcW w:w="7074" w:type="dxa"/>
            <w:vAlign w:val="center"/>
          </w:tcPr>
          <w:p>
            <w:pPr>
              <w:spacing w:line="240" w:lineRule="exact"/>
              <w:rPr>
                <w:rFonts w:ascii="宋体"/>
                <w:szCs w:val="21"/>
                <w:highlight w:val="none"/>
              </w:rPr>
            </w:pPr>
            <w:r>
              <w:rPr>
                <w:rFonts w:hint="eastAsia" w:ascii="宋体" w:hAnsi="宋体"/>
                <w:szCs w:val="21"/>
                <w:highlight w:val="none"/>
              </w:rPr>
              <w:t>本项目不设比选保证金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19</w:t>
            </w:r>
          </w:p>
        </w:tc>
        <w:tc>
          <w:tcPr>
            <w:tcW w:w="1732" w:type="dxa"/>
            <w:vAlign w:val="center"/>
          </w:tcPr>
          <w:p>
            <w:pPr>
              <w:spacing w:line="240" w:lineRule="exact"/>
              <w:jc w:val="left"/>
              <w:rPr>
                <w:rFonts w:ascii="宋体"/>
                <w:szCs w:val="21"/>
                <w:highlight w:val="none"/>
              </w:rPr>
            </w:pPr>
            <w:r>
              <w:rPr>
                <w:rFonts w:hint="eastAsia" w:ascii="宋体" w:hAnsi="宋体"/>
                <w:szCs w:val="21"/>
                <w:highlight w:val="none"/>
              </w:rPr>
              <w:t>履约保证金</w:t>
            </w:r>
          </w:p>
        </w:tc>
        <w:tc>
          <w:tcPr>
            <w:tcW w:w="7074" w:type="dxa"/>
            <w:vAlign w:val="center"/>
          </w:tcPr>
          <w:p>
            <w:pPr>
              <w:spacing w:line="240" w:lineRule="exact"/>
              <w:jc w:val="left"/>
              <w:rPr>
                <w:rFonts w:ascii="宋体"/>
                <w:szCs w:val="21"/>
                <w:highlight w:val="none"/>
              </w:rPr>
            </w:pPr>
            <w:r>
              <w:rPr>
                <w:rFonts w:hint="eastAsia" w:ascii="宋体" w:hAnsi="宋体"/>
                <w:szCs w:val="21"/>
                <w:highlight w:val="none"/>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20</w:t>
            </w:r>
          </w:p>
        </w:tc>
        <w:tc>
          <w:tcPr>
            <w:tcW w:w="1732" w:type="dxa"/>
            <w:vAlign w:val="center"/>
          </w:tcPr>
          <w:p>
            <w:pPr>
              <w:jc w:val="left"/>
              <w:rPr>
                <w:rFonts w:ascii="宋体" w:cs="宋体"/>
                <w:szCs w:val="21"/>
                <w:highlight w:val="none"/>
              </w:rPr>
            </w:pPr>
            <w:r>
              <w:rPr>
                <w:rFonts w:hint="eastAsia" w:ascii="宋体" w:hAnsi="宋体" w:cs="宋体"/>
                <w:szCs w:val="21"/>
                <w:highlight w:val="none"/>
              </w:rPr>
              <w:t>联系方式</w:t>
            </w:r>
          </w:p>
        </w:tc>
        <w:tc>
          <w:tcPr>
            <w:tcW w:w="7074" w:type="dxa"/>
            <w:vAlign w:val="center"/>
          </w:tcPr>
          <w:p>
            <w:pPr>
              <w:ind w:right="-82"/>
              <w:jc w:val="left"/>
              <w:rPr>
                <w:rFonts w:ascii="宋体"/>
                <w:szCs w:val="21"/>
                <w:highlight w:val="none"/>
              </w:rPr>
            </w:pPr>
            <w:r>
              <w:rPr>
                <w:rFonts w:hint="eastAsia" w:ascii="宋体" w:hAnsi="宋体"/>
                <w:szCs w:val="21"/>
                <w:highlight w:val="none"/>
              </w:rPr>
              <w:t>南宁轨道交通集团有限责任公司审计部</w:t>
            </w:r>
            <w:r>
              <w:rPr>
                <w:rFonts w:ascii="宋体" w:hAnsi="宋体"/>
                <w:szCs w:val="21"/>
                <w:highlight w:val="none"/>
              </w:rPr>
              <w:t>/</w:t>
            </w:r>
            <w:r>
              <w:rPr>
                <w:rFonts w:hint="eastAsia" w:ascii="宋体" w:hAnsi="宋体"/>
                <w:szCs w:val="21"/>
                <w:highlight w:val="none"/>
              </w:rPr>
              <w:t>监事会工作部</w:t>
            </w:r>
            <w:r>
              <w:rPr>
                <w:rFonts w:ascii="宋体" w:hAnsi="宋体"/>
                <w:szCs w:val="21"/>
                <w:highlight w:val="none"/>
              </w:rPr>
              <w:t xml:space="preserve"> </w:t>
            </w:r>
          </w:p>
          <w:p>
            <w:pPr>
              <w:ind w:right="-82"/>
              <w:jc w:val="left"/>
              <w:rPr>
                <w:rFonts w:ascii="宋体"/>
                <w:szCs w:val="21"/>
                <w:highlight w:val="none"/>
              </w:rPr>
            </w:pPr>
            <w:r>
              <w:rPr>
                <w:rFonts w:hint="eastAsia" w:ascii="宋体" w:hAnsi="宋体"/>
                <w:szCs w:val="21"/>
                <w:highlight w:val="none"/>
              </w:rPr>
              <w:t>刘工</w:t>
            </w:r>
            <w:r>
              <w:rPr>
                <w:rFonts w:ascii="宋体" w:hAnsi="宋体"/>
                <w:szCs w:val="21"/>
                <w:highlight w:val="none"/>
              </w:rPr>
              <w:t xml:space="preserve">  0771-2778951 15977769004 </w:t>
            </w:r>
          </w:p>
          <w:p>
            <w:pPr>
              <w:ind w:right="-82"/>
              <w:jc w:val="left"/>
              <w:rPr>
                <w:rFonts w:ascii="宋体" w:cs="宋体"/>
                <w:szCs w:val="21"/>
                <w:highlight w:val="none"/>
              </w:rPr>
            </w:pPr>
            <w:r>
              <w:rPr>
                <w:rFonts w:hint="eastAsia" w:ascii="宋体" w:hAnsi="宋体"/>
                <w:szCs w:val="21"/>
                <w:highlight w:val="none"/>
              </w:rPr>
              <w:t>邮箱：</w:t>
            </w:r>
            <w:r>
              <w:rPr>
                <w:rFonts w:ascii="宋体" w:hAnsi="宋体"/>
                <w:szCs w:val="21"/>
                <w:highlight w:val="none"/>
              </w:rPr>
              <w:t>nngdjtsjb@163.com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70" w:type="dxa"/>
            <w:vAlign w:val="center"/>
          </w:tcPr>
          <w:p>
            <w:pPr>
              <w:jc w:val="center"/>
              <w:rPr>
                <w:rFonts w:ascii="宋体" w:cs="宋体"/>
                <w:szCs w:val="21"/>
                <w:highlight w:val="none"/>
              </w:rPr>
            </w:pPr>
            <w:r>
              <w:rPr>
                <w:rFonts w:ascii="宋体" w:hAnsi="宋体" w:cs="宋体"/>
                <w:szCs w:val="21"/>
                <w:highlight w:val="none"/>
              </w:rPr>
              <w:t>21</w:t>
            </w:r>
          </w:p>
        </w:tc>
        <w:tc>
          <w:tcPr>
            <w:tcW w:w="1732" w:type="dxa"/>
            <w:vAlign w:val="center"/>
          </w:tcPr>
          <w:p>
            <w:pPr>
              <w:jc w:val="left"/>
              <w:rPr>
                <w:rFonts w:ascii="宋体" w:cs="宋体"/>
                <w:szCs w:val="21"/>
                <w:highlight w:val="none"/>
              </w:rPr>
            </w:pPr>
            <w:r>
              <w:rPr>
                <w:rFonts w:hint="eastAsia" w:ascii="宋体" w:hAnsi="宋体" w:cs="宋体"/>
                <w:szCs w:val="21"/>
                <w:highlight w:val="none"/>
              </w:rPr>
              <w:t>其他事项</w:t>
            </w:r>
          </w:p>
        </w:tc>
        <w:tc>
          <w:tcPr>
            <w:tcW w:w="7074" w:type="dxa"/>
            <w:vAlign w:val="center"/>
          </w:tcPr>
          <w:p>
            <w:pPr>
              <w:ind w:right="-3"/>
              <w:jc w:val="left"/>
              <w:rPr>
                <w:rFonts w:ascii="宋体" w:cs="宋体"/>
                <w:szCs w:val="21"/>
                <w:highlight w:val="none"/>
              </w:rPr>
            </w:pPr>
            <w:r>
              <w:rPr>
                <w:rFonts w:hint="eastAsia" w:ascii="宋体" w:hAnsi="宋体" w:cs="宋体"/>
                <w:b/>
                <w:szCs w:val="21"/>
                <w:highlight w:val="none"/>
              </w:rPr>
              <w:t>中选单位如放弃中选资格，则比选发起人有权将其列入不良行为记录名单、一年内禁止其参加比选发起人的任何采购活动。</w:t>
            </w:r>
          </w:p>
        </w:tc>
      </w:tr>
    </w:tbl>
    <w:p>
      <w:pPr>
        <w:rPr>
          <w:highlight w:val="none"/>
        </w:rPr>
      </w:pPr>
      <w:bookmarkStart w:id="64" w:name="_Toc471482361"/>
      <w:bookmarkStart w:id="65" w:name="_Toc16198"/>
      <w:bookmarkStart w:id="66" w:name="_Toc30162"/>
      <w:bookmarkStart w:id="67" w:name="_Toc3861"/>
      <w:bookmarkStart w:id="68" w:name="_Toc12419"/>
      <w:bookmarkStart w:id="69" w:name="_Toc28086"/>
      <w:bookmarkStart w:id="70" w:name="_Toc32363"/>
      <w:bookmarkStart w:id="71" w:name="_Toc336"/>
      <w:bookmarkStart w:id="72" w:name="_Toc20803"/>
      <w:bookmarkStart w:id="73" w:name="_Toc18983"/>
      <w:bookmarkStart w:id="74" w:name="_Toc6681"/>
      <w:bookmarkStart w:id="75" w:name="_Toc26201"/>
      <w:bookmarkStart w:id="76" w:name="_Toc461525297"/>
      <w:bookmarkStart w:id="77" w:name="_Toc12506"/>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r>
        <w:rPr>
          <w:highlight w:val="none"/>
        </w:rPr>
        <w:br w:type="page"/>
      </w:r>
    </w:p>
    <w:p>
      <w:pPr>
        <w:pStyle w:val="4"/>
        <w:spacing w:beforeLines="50" w:afterLines="50" w:line="540" w:lineRule="exact"/>
        <w:jc w:val="center"/>
        <w:rPr>
          <w:rFonts w:ascii="宋体"/>
          <w:b/>
          <w:sz w:val="21"/>
          <w:szCs w:val="21"/>
          <w:highlight w:val="none"/>
        </w:rPr>
      </w:pPr>
      <w:bookmarkStart w:id="78" w:name="_Toc18262"/>
      <w:bookmarkStart w:id="79" w:name="_Toc28512"/>
      <w:bookmarkStart w:id="80" w:name="_Toc7188"/>
      <w:bookmarkStart w:id="81" w:name="_Toc9900"/>
      <w:bookmarkStart w:id="82" w:name="_Toc17477"/>
      <w:bookmarkStart w:id="83" w:name="_Toc6713"/>
      <w:bookmarkStart w:id="84" w:name="_Toc5182"/>
      <w:bookmarkStart w:id="85" w:name="_Toc31396"/>
      <w:r>
        <w:rPr>
          <w:rFonts w:hint="eastAsia" w:ascii="宋体" w:hAnsi="宋体"/>
          <w:b/>
          <w:sz w:val="21"/>
          <w:szCs w:val="21"/>
          <w:highlight w:val="none"/>
        </w:rPr>
        <w:t>一、总则</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500" w:lineRule="exact"/>
        <w:ind w:firstLine="316" w:firstLineChars="150"/>
        <w:rPr>
          <w:rFonts w:ascii="宋体" w:cs="宋体"/>
          <w:b/>
          <w:szCs w:val="21"/>
          <w:highlight w:val="none"/>
        </w:rPr>
      </w:pPr>
      <w:bookmarkStart w:id="86" w:name="_Toc286386834"/>
      <w:bookmarkStart w:id="87" w:name="_Toc310318572"/>
      <w:bookmarkStart w:id="88" w:name="_Toc114052340"/>
      <w:bookmarkStart w:id="89" w:name="_Toc114052414"/>
      <w:r>
        <w:rPr>
          <w:rFonts w:ascii="宋体" w:hAnsi="宋体" w:cs="宋体"/>
          <w:b/>
          <w:szCs w:val="21"/>
          <w:highlight w:val="none"/>
        </w:rPr>
        <w:t>1.</w:t>
      </w:r>
      <w:r>
        <w:rPr>
          <w:rFonts w:hint="eastAsia" w:ascii="宋体" w:hAnsi="宋体" w:cs="宋体"/>
          <w:b/>
          <w:szCs w:val="21"/>
          <w:highlight w:val="none"/>
        </w:rPr>
        <w:t>项目比选说明</w:t>
      </w:r>
      <w:bookmarkEnd w:id="86"/>
      <w:bookmarkEnd w:id="87"/>
      <w:bookmarkEnd w:id="88"/>
      <w:bookmarkEnd w:id="89"/>
    </w:p>
    <w:p>
      <w:pPr>
        <w:spacing w:line="500" w:lineRule="exact"/>
        <w:ind w:firstLine="420" w:firstLineChars="200"/>
        <w:rPr>
          <w:rFonts w:ascii="宋体" w:cs="宋体"/>
          <w:szCs w:val="21"/>
          <w:highlight w:val="none"/>
        </w:rPr>
      </w:pPr>
      <w:r>
        <w:rPr>
          <w:rFonts w:ascii="宋体" w:hAnsi="宋体" w:cs="宋体"/>
          <w:szCs w:val="21"/>
          <w:highlight w:val="none"/>
        </w:rPr>
        <w:t xml:space="preserve">1.1 </w:t>
      </w:r>
      <w:r>
        <w:rPr>
          <w:rFonts w:hint="eastAsia" w:ascii="宋体" w:hAnsi="宋体" w:cs="宋体"/>
          <w:szCs w:val="21"/>
          <w:highlight w:val="none"/>
        </w:rPr>
        <w:t>项目比选的说明见比选须知前附表（以下称“前附表”）第</w:t>
      </w:r>
      <w:r>
        <w:rPr>
          <w:rFonts w:ascii="宋体" w:hAnsi="宋体" w:cs="宋体"/>
          <w:szCs w:val="21"/>
          <w:highlight w:val="none"/>
        </w:rPr>
        <w:t>1</w:t>
      </w:r>
      <w:r>
        <w:rPr>
          <w:rFonts w:hint="eastAsia" w:ascii="宋体" w:hAnsi="宋体" w:cs="宋体"/>
          <w:szCs w:val="21"/>
          <w:highlight w:val="none"/>
        </w:rPr>
        <w:t>项～第</w:t>
      </w:r>
      <w:r>
        <w:rPr>
          <w:rFonts w:ascii="宋体" w:hAnsi="宋体" w:cs="宋体"/>
          <w:szCs w:val="21"/>
          <w:highlight w:val="none"/>
        </w:rPr>
        <w:t>21</w:t>
      </w:r>
      <w:r>
        <w:rPr>
          <w:rFonts w:hint="eastAsia" w:ascii="宋体" w:hAnsi="宋体" w:cs="宋体"/>
          <w:szCs w:val="21"/>
          <w:highlight w:val="none"/>
        </w:rPr>
        <w:t>项所述。</w:t>
      </w:r>
    </w:p>
    <w:p>
      <w:pPr>
        <w:spacing w:line="500" w:lineRule="exact"/>
        <w:ind w:firstLine="420" w:firstLineChars="200"/>
        <w:rPr>
          <w:rFonts w:ascii="宋体" w:cs="宋体"/>
          <w:szCs w:val="21"/>
          <w:highlight w:val="none"/>
        </w:rPr>
      </w:pPr>
      <w:r>
        <w:rPr>
          <w:rFonts w:ascii="宋体" w:hAnsi="宋体" w:cs="宋体"/>
          <w:szCs w:val="21"/>
          <w:highlight w:val="none"/>
        </w:rPr>
        <w:t xml:space="preserve">1.2 </w:t>
      </w:r>
      <w:r>
        <w:rPr>
          <w:rFonts w:hint="eastAsia" w:ascii="宋体" w:hAnsi="宋体" w:cs="宋体"/>
          <w:szCs w:val="21"/>
          <w:highlight w:val="none"/>
        </w:rPr>
        <w:t>上述项目按照有关规定执行，现通过公开比选来择优选定服务单位。</w:t>
      </w:r>
    </w:p>
    <w:p>
      <w:pPr>
        <w:spacing w:line="500" w:lineRule="exact"/>
        <w:ind w:firstLine="422" w:firstLineChars="200"/>
        <w:rPr>
          <w:rFonts w:ascii="宋体" w:cs="宋体"/>
          <w:b/>
          <w:szCs w:val="21"/>
          <w:highlight w:val="none"/>
        </w:rPr>
      </w:pPr>
      <w:r>
        <w:rPr>
          <w:rFonts w:ascii="宋体" w:hAnsi="宋体" w:cs="宋体"/>
          <w:b/>
          <w:szCs w:val="21"/>
          <w:highlight w:val="none"/>
        </w:rPr>
        <w:t>2.</w:t>
      </w:r>
      <w:r>
        <w:rPr>
          <w:rFonts w:hint="eastAsia" w:ascii="宋体" w:hAnsi="宋体" w:cs="宋体"/>
          <w:b/>
          <w:szCs w:val="21"/>
          <w:highlight w:val="none"/>
        </w:rPr>
        <w:t>工作内容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2.1 </w:t>
      </w:r>
      <w:r>
        <w:rPr>
          <w:rFonts w:hint="eastAsia" w:ascii="宋体" w:hAnsi="宋体" w:cs="宋体"/>
          <w:szCs w:val="21"/>
          <w:highlight w:val="none"/>
        </w:rPr>
        <w:t>评价内容</w:t>
      </w:r>
    </w:p>
    <w:p>
      <w:pPr>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对南宁轨道交通集团有限责任公司</w:t>
      </w:r>
      <w:r>
        <w:rPr>
          <w:rFonts w:ascii="宋体" w:hAnsi="宋体" w:cs="宋体"/>
          <w:szCs w:val="21"/>
          <w:highlight w:val="none"/>
        </w:rPr>
        <w:t>2022</w:t>
      </w:r>
      <w:r>
        <w:rPr>
          <w:rFonts w:hint="eastAsia" w:ascii="宋体" w:hAnsi="宋体" w:cs="宋体"/>
          <w:szCs w:val="21"/>
          <w:highlight w:val="none"/>
        </w:rPr>
        <w:t>年度集团公司本部内控自评价及南宁轨道交通建设有限公司、南宁轨道交通运营有限公司、南宁轨道地产集团有限责任公司、南宁铁路枢纽投资有限公司、南宁公共交通集团有限公司、南宁市市民卡信息服务有限责任公司</w:t>
      </w:r>
      <w:r>
        <w:rPr>
          <w:rFonts w:ascii="宋体" w:hAnsi="宋体" w:cs="宋体"/>
          <w:szCs w:val="21"/>
          <w:highlight w:val="none"/>
        </w:rPr>
        <w:t>6</w:t>
      </w:r>
      <w:r>
        <w:rPr>
          <w:rFonts w:hint="eastAsia" w:ascii="宋体" w:hAnsi="宋体" w:cs="宋体"/>
          <w:szCs w:val="21"/>
          <w:highlight w:val="none"/>
        </w:rPr>
        <w:t>家重要全资、控股子公司内控监督评价。本次评价总体围绕内部环境、风险评估、控制活动、信息与沟通、内部监督等要素，对企业内部控制设计与运行情况进行全面评价。包括但不仅限于以下内容：</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）内控体系建设情况</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①内控体系是否建立健全；</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②内部管控体制机制是否完善；</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③内部管理制度体系是否完善，是否融合企业内控、风险和合规管理和相关要求；</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④内控监督评价体系是否建立完善；</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⑤风控文化建设是否到位。</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）内控体系执行情况</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①重点领域日常管控是否完整、全面控制、执行有效；</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②重要岗位授权管理和权力制衡是否合理，不相容岗位职责是否相分离；</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③重大风险防控体系是否健全完善，是否制定风险应对方案及应急预案；</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④关键风险指标是否存在异常波动。</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）内控信息化情况</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①信息系统建设是否建立健全；</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②内控信息化与业务信息系统是否有效对接，并将内控体系管控措施嵌入各类业务系统；</w:t>
      </w:r>
    </w:p>
    <w:p>
      <w:pPr>
        <w:adjustRightInd w:val="0"/>
        <w:snapToGrid w:val="0"/>
        <w:spacing w:line="500" w:lineRule="exact"/>
        <w:ind w:firstLine="525" w:firstLineChars="250"/>
        <w:textAlignment w:val="baseline"/>
        <w:rPr>
          <w:rFonts w:ascii="宋体" w:cs="宋体"/>
          <w:szCs w:val="21"/>
          <w:highlight w:val="none"/>
        </w:rPr>
      </w:pPr>
      <w:r>
        <w:rPr>
          <w:rFonts w:hint="eastAsia" w:ascii="宋体" w:hAnsi="宋体" w:cs="宋体"/>
          <w:szCs w:val="21"/>
          <w:highlight w:val="none"/>
        </w:rPr>
        <w:t>③智能监管风险预警是否固化至信息系统。</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）内控体监督评价情况</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①企业自评是否有序规范开展，客观、真实、准确揭示经营管理中存在的内控缺陷、风险和合规问题进行全面自评，形成自评报告；</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②集团是否开展重要下属单位内控体系监督评价工作；</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③是否聘请具有相应资质的社会中介机构对内控体系进行外部评价，包括对子公司可持续发展能力进行评价；</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④整改监督是否落到实处，明确内控缺陷整改责任部门、责任人和完成时限，对整改效果进行检查评价；</w:t>
      </w:r>
    </w:p>
    <w:p>
      <w:pPr>
        <w:adjustRightInd w:val="0"/>
        <w:snapToGrid w:val="0"/>
        <w:spacing w:line="500" w:lineRule="exact"/>
        <w:ind w:firstLine="420" w:firstLineChars="200"/>
        <w:textAlignment w:val="baseline"/>
        <w:rPr>
          <w:rFonts w:ascii="宋体" w:cs="宋体"/>
          <w:szCs w:val="21"/>
          <w:highlight w:val="none"/>
        </w:rPr>
      </w:pPr>
      <w:r>
        <w:rPr>
          <w:rFonts w:hint="eastAsia" w:ascii="宋体" w:hAnsi="宋体" w:cs="宋体"/>
          <w:szCs w:val="21"/>
          <w:highlight w:val="none"/>
        </w:rPr>
        <w:t>⑤是否严格执行内控体系考核机制。</w:t>
      </w:r>
    </w:p>
    <w:p>
      <w:pPr>
        <w:adjustRightInd w:val="0"/>
        <w:snapToGrid w:val="0"/>
        <w:spacing w:line="500" w:lineRule="exact"/>
        <w:ind w:firstLine="315" w:firstLineChars="150"/>
        <w:textAlignment w:val="baseline"/>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）其他需要评价的内容。</w:t>
      </w:r>
    </w:p>
    <w:p>
      <w:pPr>
        <w:pStyle w:val="2"/>
        <w:numPr>
          <w:ilvl w:val="255"/>
          <w:numId w:val="0"/>
        </w:numPr>
        <w:spacing w:after="0" w:line="500" w:lineRule="exact"/>
        <w:ind w:firstLine="420" w:firstLineChars="200"/>
        <w:rPr>
          <w:rFonts w:ascii="仿宋" w:hAnsi="仿宋" w:eastAsia="仿宋" w:cs="仿宋"/>
          <w:sz w:val="32"/>
          <w:szCs w:val="32"/>
          <w:highlight w:val="none"/>
        </w:rPr>
      </w:pPr>
      <w:r>
        <w:rPr>
          <w:rFonts w:hint="eastAsia" w:ascii="宋体" w:hAnsi="宋体" w:cs="宋体"/>
          <w:szCs w:val="21"/>
          <w:highlight w:val="none"/>
        </w:rPr>
        <w:t>①子公司可持续发展能力评价。</w:t>
      </w:r>
    </w:p>
    <w:p>
      <w:pPr>
        <w:spacing w:line="500" w:lineRule="exact"/>
        <w:ind w:firstLine="420" w:firstLineChars="200"/>
        <w:rPr>
          <w:rFonts w:ascii="宋体" w:cs="宋体"/>
          <w:szCs w:val="21"/>
          <w:highlight w:val="none"/>
        </w:rPr>
      </w:pPr>
      <w:r>
        <w:rPr>
          <w:rFonts w:ascii="宋体" w:hAnsi="宋体" w:cs="宋体"/>
          <w:szCs w:val="21"/>
          <w:highlight w:val="none"/>
        </w:rPr>
        <w:t xml:space="preserve">2.2 </w:t>
      </w:r>
      <w:r>
        <w:rPr>
          <w:rFonts w:hint="eastAsia" w:ascii="宋体" w:hAnsi="宋体" w:cs="宋体"/>
          <w:szCs w:val="21"/>
          <w:highlight w:val="none"/>
        </w:rPr>
        <w:t>评价要求及成果</w:t>
      </w:r>
    </w:p>
    <w:p>
      <w:pPr>
        <w:spacing w:line="500" w:lineRule="exact"/>
        <w:ind w:firstLine="420" w:firstLineChars="200"/>
        <w:rPr>
          <w:rFonts w:ascii="宋体" w:cs="宋体"/>
          <w:szCs w:val="21"/>
          <w:highlight w:val="none"/>
        </w:rPr>
      </w:pPr>
      <w:r>
        <w:rPr>
          <w:rFonts w:hint="eastAsia" w:ascii="宋体" w:hAnsi="宋体" w:cs="宋体"/>
          <w:szCs w:val="21"/>
          <w:highlight w:val="none"/>
        </w:rPr>
        <w:t>根据《关于加强中央企业内部控制体系建设与监督工作的实施意见》《关于贯彻落实自治区国资委关于印发加强监管企业内部控制体系建设与监督工作实施意见的通知》《企业内部控制基本规范》《企业内部控制应用指引》及其他相关法律法规开展工作，对南宁轨道交通集团有限责任公司本部及</w:t>
      </w:r>
      <w:r>
        <w:rPr>
          <w:rFonts w:ascii="宋体" w:hAnsi="宋体" w:cs="宋体"/>
          <w:szCs w:val="21"/>
          <w:highlight w:val="none"/>
        </w:rPr>
        <w:t>6</w:t>
      </w:r>
      <w:r>
        <w:rPr>
          <w:rFonts w:hint="eastAsia" w:ascii="宋体" w:hAnsi="宋体" w:cs="宋体"/>
          <w:szCs w:val="21"/>
          <w:highlight w:val="none"/>
        </w:rPr>
        <w:t>家重要全资、控股子公司</w:t>
      </w:r>
      <w:r>
        <w:rPr>
          <w:rFonts w:ascii="宋体" w:hAnsi="宋体" w:cs="宋体"/>
          <w:szCs w:val="21"/>
          <w:highlight w:val="none"/>
        </w:rPr>
        <w:t>2022</w:t>
      </w:r>
      <w:r>
        <w:rPr>
          <w:rFonts w:hint="eastAsia" w:ascii="宋体" w:hAnsi="宋体" w:cs="宋体"/>
          <w:szCs w:val="21"/>
          <w:highlight w:val="none"/>
        </w:rPr>
        <w:t>年度内部控制情况作出客观公正、实事求是的评价，单独出具</w:t>
      </w:r>
      <w:r>
        <w:rPr>
          <w:rFonts w:ascii="宋体" w:hAnsi="宋体" w:cs="宋体"/>
          <w:szCs w:val="21"/>
          <w:highlight w:val="none"/>
        </w:rPr>
        <w:t>2022</w:t>
      </w:r>
      <w:r>
        <w:rPr>
          <w:rFonts w:hint="eastAsia" w:ascii="宋体" w:hAnsi="宋体" w:cs="宋体"/>
          <w:szCs w:val="21"/>
          <w:highlight w:val="none"/>
        </w:rPr>
        <w:t>年度南宁轨道交通集团有限责任公司本部内控自评价报告及</w:t>
      </w:r>
      <w:r>
        <w:rPr>
          <w:rFonts w:ascii="宋体" w:hAnsi="宋体" w:cs="宋体"/>
          <w:szCs w:val="21"/>
          <w:highlight w:val="none"/>
        </w:rPr>
        <w:t>6</w:t>
      </w:r>
      <w:r>
        <w:rPr>
          <w:rFonts w:hint="eastAsia" w:ascii="宋体" w:hAnsi="宋体" w:cs="宋体"/>
          <w:szCs w:val="21"/>
          <w:highlight w:val="none"/>
        </w:rPr>
        <w:t>家重要全资、控股子公司内控监督评价报告，并经南宁轨道交通集团有限责任公司审批通过。</w:t>
      </w:r>
    </w:p>
    <w:p>
      <w:pPr>
        <w:spacing w:line="500" w:lineRule="exact"/>
        <w:ind w:firstLine="422" w:firstLineChars="200"/>
        <w:rPr>
          <w:rFonts w:ascii="宋体" w:cs="宋体"/>
          <w:b/>
          <w:szCs w:val="21"/>
          <w:highlight w:val="none"/>
        </w:rPr>
      </w:pPr>
      <w:r>
        <w:rPr>
          <w:rFonts w:ascii="宋体" w:hAnsi="宋体" w:cs="宋体"/>
          <w:b/>
          <w:szCs w:val="21"/>
          <w:highlight w:val="none"/>
        </w:rPr>
        <w:t>3.</w:t>
      </w:r>
      <w:r>
        <w:rPr>
          <w:rFonts w:hint="eastAsia" w:ascii="宋体" w:hAnsi="宋体" w:cs="宋体"/>
          <w:b/>
          <w:szCs w:val="21"/>
          <w:highlight w:val="none"/>
        </w:rPr>
        <w:t>资金来源</w:t>
      </w:r>
    </w:p>
    <w:p>
      <w:pPr>
        <w:spacing w:line="500" w:lineRule="exact"/>
        <w:ind w:firstLine="420" w:firstLineChars="200"/>
        <w:rPr>
          <w:rFonts w:ascii="宋体" w:cs="宋体"/>
          <w:szCs w:val="21"/>
          <w:highlight w:val="none"/>
        </w:rPr>
      </w:pPr>
      <w:r>
        <w:rPr>
          <w:rFonts w:ascii="宋体" w:hAnsi="宋体" w:cs="宋体"/>
          <w:szCs w:val="21"/>
          <w:highlight w:val="none"/>
        </w:rPr>
        <w:t xml:space="preserve">3.1 </w:t>
      </w:r>
      <w:r>
        <w:rPr>
          <w:rFonts w:hint="eastAsia" w:ascii="宋体" w:hAnsi="宋体" w:cs="宋体"/>
          <w:szCs w:val="21"/>
          <w:highlight w:val="none"/>
        </w:rPr>
        <w:t>资金来源见前附表第</w:t>
      </w:r>
      <w:r>
        <w:rPr>
          <w:rFonts w:ascii="宋体" w:hAnsi="宋体" w:cs="宋体"/>
          <w:szCs w:val="21"/>
          <w:highlight w:val="none"/>
        </w:rPr>
        <w:t>4</w:t>
      </w:r>
      <w:r>
        <w:rPr>
          <w:rFonts w:hint="eastAsia" w:ascii="宋体" w:hAnsi="宋体" w:cs="宋体"/>
          <w:szCs w:val="21"/>
          <w:highlight w:val="none"/>
        </w:rPr>
        <w:t>项所述。</w:t>
      </w:r>
    </w:p>
    <w:p>
      <w:pPr>
        <w:spacing w:line="500" w:lineRule="exact"/>
        <w:ind w:firstLine="422" w:firstLineChars="200"/>
        <w:rPr>
          <w:rFonts w:ascii="宋体" w:cs="宋体"/>
          <w:b/>
          <w:szCs w:val="21"/>
          <w:highlight w:val="none"/>
        </w:rPr>
      </w:pPr>
      <w:r>
        <w:rPr>
          <w:rFonts w:ascii="宋体" w:hAnsi="宋体" w:cs="宋体"/>
          <w:b/>
          <w:szCs w:val="21"/>
          <w:highlight w:val="none"/>
        </w:rPr>
        <w:t>4.</w:t>
      </w:r>
      <w:bookmarkStart w:id="90" w:name="_Toc310318574"/>
      <w:bookmarkStart w:id="91" w:name="_Toc114052342"/>
      <w:bookmarkStart w:id="92" w:name="_Toc114052416"/>
      <w:bookmarkStart w:id="93" w:name="_Toc286386836"/>
      <w:r>
        <w:rPr>
          <w:rFonts w:hint="eastAsia" w:ascii="宋体" w:hAnsi="宋体" w:cs="宋体"/>
          <w:b/>
          <w:szCs w:val="21"/>
          <w:highlight w:val="none"/>
        </w:rPr>
        <w:t>比选申请人资格要求</w:t>
      </w:r>
      <w:bookmarkEnd w:id="90"/>
      <w:bookmarkEnd w:id="91"/>
      <w:bookmarkEnd w:id="92"/>
      <w:bookmarkEnd w:id="93"/>
    </w:p>
    <w:p>
      <w:pPr>
        <w:spacing w:line="500" w:lineRule="exact"/>
        <w:ind w:firstLine="420" w:firstLineChars="200"/>
        <w:rPr>
          <w:rFonts w:ascii="宋体" w:cs="宋体"/>
          <w:szCs w:val="21"/>
          <w:highlight w:val="none"/>
        </w:rPr>
      </w:pPr>
      <w:r>
        <w:rPr>
          <w:rFonts w:ascii="宋体" w:hAnsi="宋体" w:cs="宋体"/>
          <w:szCs w:val="21"/>
          <w:highlight w:val="none"/>
        </w:rPr>
        <w:t xml:space="preserve">4.1 </w:t>
      </w:r>
      <w:r>
        <w:rPr>
          <w:rFonts w:hint="eastAsia" w:ascii="宋体" w:hAnsi="宋体" w:cs="宋体"/>
          <w:szCs w:val="21"/>
          <w:highlight w:val="none"/>
        </w:rPr>
        <w:t>选申请人必须具有前附表第</w:t>
      </w:r>
      <w:r>
        <w:rPr>
          <w:rFonts w:ascii="宋体" w:hAnsi="宋体" w:cs="宋体"/>
          <w:szCs w:val="21"/>
          <w:highlight w:val="none"/>
        </w:rPr>
        <w:t>9</w:t>
      </w:r>
      <w:r>
        <w:rPr>
          <w:rFonts w:hint="eastAsia" w:ascii="宋体" w:hAnsi="宋体" w:cs="宋体"/>
          <w:szCs w:val="21"/>
          <w:highlight w:val="none"/>
        </w:rPr>
        <w:t>项相应的资质及要求。</w:t>
      </w:r>
    </w:p>
    <w:p>
      <w:pPr>
        <w:spacing w:line="500" w:lineRule="exact"/>
        <w:ind w:firstLine="422" w:firstLineChars="200"/>
        <w:rPr>
          <w:rFonts w:ascii="宋体" w:cs="宋体"/>
          <w:b/>
          <w:szCs w:val="21"/>
          <w:highlight w:val="none"/>
        </w:rPr>
      </w:pPr>
      <w:r>
        <w:rPr>
          <w:rFonts w:ascii="宋体" w:hAnsi="宋体" w:cs="宋体"/>
          <w:b/>
          <w:szCs w:val="21"/>
          <w:highlight w:val="none"/>
        </w:rPr>
        <w:t>5.</w:t>
      </w:r>
      <w:bookmarkStart w:id="94" w:name="_Toc310318575"/>
      <w:bookmarkStart w:id="95" w:name="_Toc286386837"/>
      <w:bookmarkStart w:id="96" w:name="_Toc114052343"/>
      <w:bookmarkStart w:id="97" w:name="_Toc114052417"/>
      <w:r>
        <w:rPr>
          <w:rFonts w:hint="eastAsia" w:ascii="宋体" w:hAnsi="宋体" w:cs="宋体"/>
          <w:b/>
          <w:szCs w:val="21"/>
          <w:highlight w:val="none"/>
        </w:rPr>
        <w:t>申请比选费用</w:t>
      </w:r>
      <w:bookmarkEnd w:id="94"/>
      <w:bookmarkEnd w:id="95"/>
      <w:bookmarkEnd w:id="96"/>
      <w:bookmarkEnd w:id="9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5.1 </w:t>
      </w:r>
      <w:r>
        <w:rPr>
          <w:rFonts w:hint="eastAsia" w:ascii="宋体" w:hAnsi="宋体" w:cs="宋体"/>
          <w:szCs w:val="21"/>
          <w:highlight w:val="none"/>
        </w:rPr>
        <w:t>比选申请人应承担其编制文件与递交文件所涉及的一切费用。不管评比结果如何，比选人对上述费用不负任何责任。</w:t>
      </w:r>
    </w:p>
    <w:p>
      <w:pPr>
        <w:pStyle w:val="4"/>
        <w:spacing w:beforeLines="50" w:afterLines="50" w:line="500" w:lineRule="exact"/>
        <w:jc w:val="center"/>
        <w:rPr>
          <w:rFonts w:ascii="宋体"/>
          <w:b/>
          <w:sz w:val="21"/>
          <w:szCs w:val="21"/>
          <w:highlight w:val="none"/>
        </w:rPr>
      </w:pPr>
      <w:bookmarkStart w:id="98" w:name="_Toc14739"/>
      <w:bookmarkStart w:id="99" w:name="_Toc11648"/>
      <w:bookmarkStart w:id="100" w:name="_Toc4989"/>
      <w:bookmarkStart w:id="101" w:name="_Toc4734"/>
      <w:bookmarkStart w:id="102" w:name="_Toc2963"/>
      <w:bookmarkStart w:id="103" w:name="_Toc18550"/>
      <w:bookmarkStart w:id="104" w:name="_Toc20218"/>
      <w:r>
        <w:rPr>
          <w:rFonts w:hint="eastAsia" w:ascii="宋体" w:hAnsi="宋体"/>
          <w:b/>
          <w:sz w:val="21"/>
          <w:szCs w:val="21"/>
          <w:highlight w:val="none"/>
        </w:rPr>
        <w:t>二</w:t>
      </w:r>
      <w:bookmarkStart w:id="105" w:name="_Toc17323"/>
      <w:bookmarkStart w:id="106" w:name="_Toc22143"/>
      <w:bookmarkStart w:id="107" w:name="_Toc6541"/>
      <w:bookmarkStart w:id="108" w:name="_Toc17725"/>
      <w:bookmarkStart w:id="109" w:name="_Toc26141"/>
      <w:bookmarkStart w:id="110" w:name="_Toc5207"/>
      <w:bookmarkStart w:id="111" w:name="_Toc471482362"/>
      <w:bookmarkStart w:id="112" w:name="_Toc18809"/>
      <w:bookmarkStart w:id="113" w:name="_Toc3066"/>
      <w:bookmarkStart w:id="114" w:name="_Toc26124"/>
      <w:bookmarkStart w:id="115" w:name="_Toc461525298"/>
      <w:bookmarkStart w:id="116" w:name="_Toc25256"/>
      <w:bookmarkStart w:id="117" w:name="_Toc16023"/>
      <w:bookmarkStart w:id="118" w:name="_Toc8029"/>
      <w:bookmarkStart w:id="119" w:name="_Toc15439"/>
      <w:r>
        <w:rPr>
          <w:rFonts w:hint="eastAsia" w:ascii="宋体" w:hAnsi="宋体"/>
          <w:b/>
          <w:sz w:val="21"/>
          <w:szCs w:val="21"/>
          <w:highlight w:val="none"/>
        </w:rPr>
        <w:t>、比选文件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6.</w:t>
      </w:r>
      <w:bookmarkStart w:id="120" w:name="_Toc114052419"/>
      <w:bookmarkStart w:id="121" w:name="_Toc286386839"/>
      <w:bookmarkStart w:id="122" w:name="_Toc114052345"/>
      <w:bookmarkStart w:id="123" w:name="_Toc310318577"/>
      <w:r>
        <w:rPr>
          <w:rFonts w:hint="eastAsia" w:ascii="宋体" w:hAnsi="宋体" w:cs="宋体"/>
          <w:b/>
          <w:szCs w:val="21"/>
          <w:highlight w:val="none"/>
        </w:rPr>
        <w:t>比选文件的组成</w:t>
      </w:r>
      <w:bookmarkEnd w:id="120"/>
      <w:bookmarkEnd w:id="121"/>
      <w:bookmarkEnd w:id="122"/>
      <w:bookmarkEnd w:id="123"/>
    </w:p>
    <w:p>
      <w:pPr>
        <w:spacing w:line="500" w:lineRule="exact"/>
        <w:ind w:firstLine="420" w:firstLineChars="200"/>
        <w:rPr>
          <w:rFonts w:ascii="宋体" w:cs="宋体"/>
          <w:szCs w:val="21"/>
          <w:highlight w:val="none"/>
        </w:rPr>
      </w:pPr>
      <w:r>
        <w:rPr>
          <w:rFonts w:ascii="宋体" w:hAnsi="宋体" w:cs="宋体"/>
          <w:szCs w:val="21"/>
          <w:highlight w:val="none"/>
        </w:rPr>
        <w:t xml:space="preserve"> 6.1 </w:t>
      </w:r>
      <w:r>
        <w:rPr>
          <w:rFonts w:hint="eastAsia" w:ascii="宋体" w:hAnsi="宋体" w:cs="宋体"/>
          <w:szCs w:val="21"/>
          <w:highlight w:val="none"/>
        </w:rPr>
        <w:t>比选文件包括比选须知前附表、比选须知、合同条款（格式）、比选申请文件格式、评比办法。</w:t>
      </w:r>
    </w:p>
    <w:p>
      <w:pPr>
        <w:spacing w:line="500" w:lineRule="exact"/>
        <w:ind w:firstLine="422" w:firstLineChars="200"/>
        <w:rPr>
          <w:rFonts w:ascii="宋体" w:cs="宋体"/>
          <w:b/>
          <w:szCs w:val="21"/>
          <w:highlight w:val="none"/>
        </w:rPr>
      </w:pPr>
      <w:r>
        <w:rPr>
          <w:rFonts w:ascii="宋体" w:hAnsi="宋体" w:cs="宋体"/>
          <w:b/>
          <w:szCs w:val="21"/>
          <w:highlight w:val="none"/>
        </w:rPr>
        <w:t>7.</w:t>
      </w:r>
      <w:bookmarkStart w:id="124" w:name="_Toc114052346"/>
      <w:bookmarkStart w:id="125" w:name="_Toc286386840"/>
      <w:bookmarkStart w:id="126" w:name="_Toc310318578"/>
      <w:bookmarkStart w:id="127" w:name="_Toc114052420"/>
      <w:r>
        <w:rPr>
          <w:rFonts w:hint="eastAsia" w:ascii="宋体" w:hAnsi="宋体" w:cs="宋体"/>
          <w:b/>
          <w:szCs w:val="21"/>
          <w:highlight w:val="none"/>
        </w:rPr>
        <w:t>比选文件的解释</w:t>
      </w:r>
      <w:bookmarkEnd w:id="124"/>
      <w:bookmarkEnd w:id="125"/>
      <w:bookmarkEnd w:id="126"/>
      <w:bookmarkEnd w:id="127"/>
    </w:p>
    <w:p>
      <w:pPr>
        <w:spacing w:line="500" w:lineRule="exact"/>
        <w:ind w:firstLine="420" w:firstLineChars="200"/>
        <w:rPr>
          <w:rFonts w:ascii="宋体" w:cs="宋体"/>
          <w:szCs w:val="21"/>
          <w:highlight w:val="none"/>
        </w:rPr>
      </w:pPr>
      <w:r>
        <w:rPr>
          <w:rFonts w:ascii="宋体" w:hAnsi="宋体" w:cs="宋体"/>
          <w:szCs w:val="21"/>
          <w:highlight w:val="none"/>
        </w:rPr>
        <w:t xml:space="preserve">7.1 </w:t>
      </w:r>
      <w:r>
        <w:rPr>
          <w:rFonts w:hint="eastAsia" w:ascii="宋体" w:hAnsi="宋体" w:cs="宋体"/>
          <w:szCs w:val="21"/>
          <w:highlight w:val="none"/>
        </w:rPr>
        <w:t>比选申请人在获取比选文件后，若有问题需要澄清，均应在递交文件截止时间</w:t>
      </w:r>
      <w:r>
        <w:rPr>
          <w:rFonts w:ascii="宋体" w:hAnsi="宋体" w:cs="宋体"/>
          <w:szCs w:val="21"/>
          <w:highlight w:val="none"/>
        </w:rPr>
        <w:t xml:space="preserve"> 3</w:t>
      </w:r>
      <w:r>
        <w:rPr>
          <w:rFonts w:hint="eastAsia" w:ascii="宋体" w:hAnsi="宋体" w:cs="宋体"/>
          <w:szCs w:val="21"/>
          <w:highlight w:val="none"/>
        </w:rPr>
        <w:t>个工作日前的正常工作时间内，用当面递交或传真书面通知比选人，其他方式为无效。比选人将于递交文件截止时间</w:t>
      </w:r>
      <w:r>
        <w:rPr>
          <w:rFonts w:ascii="宋体" w:hAnsi="宋体" w:cs="宋体"/>
          <w:szCs w:val="21"/>
          <w:highlight w:val="none"/>
        </w:rPr>
        <w:t>2</w:t>
      </w:r>
      <w:r>
        <w:rPr>
          <w:rFonts w:hint="eastAsia" w:ascii="宋体" w:hAnsi="宋体" w:cs="宋体"/>
          <w:szCs w:val="21"/>
          <w:highlight w:val="none"/>
        </w:rPr>
        <w:t>天前以书面形式</w:t>
      </w:r>
      <w:r>
        <w:rPr>
          <w:rFonts w:ascii="宋体" w:cs="宋体"/>
          <w:szCs w:val="21"/>
          <w:highlight w:val="none"/>
        </w:rPr>
        <w:t>,</w:t>
      </w:r>
      <w:r>
        <w:rPr>
          <w:rFonts w:hint="eastAsia" w:ascii="宋体" w:hAnsi="宋体" w:cs="宋体"/>
          <w:szCs w:val="21"/>
          <w:highlight w:val="none"/>
        </w:rPr>
        <w:t>在比选人官网发布，予以答复。</w:t>
      </w:r>
    </w:p>
    <w:p>
      <w:pPr>
        <w:spacing w:line="500" w:lineRule="exact"/>
        <w:ind w:firstLine="527" w:firstLineChars="250"/>
        <w:rPr>
          <w:rFonts w:ascii="宋体" w:cs="宋体"/>
          <w:b/>
          <w:szCs w:val="21"/>
          <w:highlight w:val="none"/>
        </w:rPr>
      </w:pPr>
      <w:r>
        <w:rPr>
          <w:rFonts w:ascii="宋体" w:hAnsi="宋体" w:cs="宋体"/>
          <w:b/>
          <w:szCs w:val="21"/>
          <w:highlight w:val="none"/>
        </w:rPr>
        <w:t>8.</w:t>
      </w:r>
      <w:bookmarkStart w:id="128" w:name="_Toc114052347"/>
      <w:bookmarkStart w:id="129" w:name="_Toc114052421"/>
      <w:bookmarkStart w:id="130" w:name="_Toc286386841"/>
      <w:bookmarkStart w:id="131" w:name="_Toc310318579"/>
      <w:r>
        <w:rPr>
          <w:rFonts w:hint="eastAsia" w:ascii="宋体" w:hAnsi="宋体" w:cs="宋体"/>
          <w:b/>
          <w:szCs w:val="21"/>
          <w:highlight w:val="none"/>
        </w:rPr>
        <w:t>比选文件的修改</w:t>
      </w:r>
      <w:bookmarkEnd w:id="128"/>
      <w:bookmarkEnd w:id="129"/>
      <w:bookmarkEnd w:id="130"/>
      <w:bookmarkEnd w:id="131"/>
    </w:p>
    <w:p>
      <w:pPr>
        <w:spacing w:line="500" w:lineRule="exact"/>
        <w:ind w:firstLine="420" w:firstLineChars="200"/>
        <w:rPr>
          <w:rFonts w:ascii="宋体" w:cs="宋体"/>
          <w:szCs w:val="21"/>
          <w:highlight w:val="none"/>
        </w:rPr>
      </w:pPr>
      <w:r>
        <w:rPr>
          <w:rFonts w:ascii="宋体" w:hAnsi="宋体" w:cs="宋体"/>
          <w:szCs w:val="21"/>
          <w:highlight w:val="none"/>
        </w:rPr>
        <w:t xml:space="preserve"> 8.1 </w:t>
      </w:r>
      <w:r>
        <w:rPr>
          <w:rFonts w:hint="eastAsia" w:ascii="宋体" w:hAnsi="宋体" w:cs="宋体"/>
          <w:szCs w:val="21"/>
          <w:highlight w:val="none"/>
        </w:rPr>
        <w:t>在递交文件截止日期前</w:t>
      </w:r>
      <w:r>
        <w:rPr>
          <w:rFonts w:ascii="宋体" w:hAnsi="宋体" w:cs="宋体"/>
          <w:szCs w:val="21"/>
          <w:highlight w:val="none"/>
        </w:rPr>
        <w:t>2</w:t>
      </w:r>
      <w:r>
        <w:rPr>
          <w:rFonts w:hint="eastAsia" w:ascii="宋体" w:hAnsi="宋体" w:cs="宋体"/>
          <w:szCs w:val="21"/>
          <w:highlight w:val="none"/>
        </w:rPr>
        <w:t>天，比选人可以采用补充通知的方式修改比选文件。</w:t>
      </w:r>
    </w:p>
    <w:p>
      <w:pPr>
        <w:spacing w:line="500" w:lineRule="exact"/>
        <w:ind w:firstLine="420" w:firstLineChars="200"/>
        <w:rPr>
          <w:rFonts w:ascii="宋体" w:cs="宋体"/>
          <w:szCs w:val="21"/>
          <w:highlight w:val="none"/>
        </w:rPr>
      </w:pPr>
      <w:r>
        <w:rPr>
          <w:rFonts w:ascii="宋体" w:hAnsi="宋体" w:cs="宋体"/>
          <w:szCs w:val="21"/>
          <w:highlight w:val="none"/>
        </w:rPr>
        <w:t xml:space="preserve"> 8.2 </w:t>
      </w:r>
      <w:r>
        <w:rPr>
          <w:rFonts w:hint="eastAsia" w:ascii="宋体" w:hAnsi="宋体" w:cs="宋体"/>
          <w:szCs w:val="21"/>
          <w:highlight w:val="none"/>
        </w:rPr>
        <w:t>补充通知将以书面形式，在比选人官网发布，补充通知作为比选文件的组成部分，对比选申请人起约束作用。</w:t>
      </w:r>
    </w:p>
    <w:p>
      <w:pPr>
        <w:pStyle w:val="4"/>
        <w:tabs>
          <w:tab w:val="left" w:pos="3030"/>
        </w:tabs>
        <w:spacing w:beforeLines="50" w:afterLines="50" w:line="500" w:lineRule="exact"/>
        <w:ind w:firstLine="422" w:firstLineChars="200"/>
        <w:jc w:val="center"/>
        <w:rPr>
          <w:rFonts w:ascii="宋体"/>
          <w:b/>
          <w:sz w:val="21"/>
          <w:szCs w:val="21"/>
          <w:highlight w:val="none"/>
        </w:rPr>
      </w:pPr>
      <w:bookmarkStart w:id="132" w:name="_Toc461525299"/>
      <w:bookmarkStart w:id="133" w:name="_Toc18772"/>
      <w:bookmarkStart w:id="134" w:name="_Toc31749"/>
      <w:bookmarkStart w:id="135" w:name="_Toc6395"/>
      <w:bookmarkStart w:id="136" w:name="_Toc24574"/>
      <w:bookmarkStart w:id="137" w:name="_Toc8400"/>
      <w:bookmarkStart w:id="138" w:name="_Toc17382"/>
      <w:bookmarkStart w:id="139" w:name="_Toc10523"/>
      <w:bookmarkStart w:id="140" w:name="_Toc471482363"/>
      <w:bookmarkStart w:id="141" w:name="_Toc25820"/>
      <w:bookmarkStart w:id="142" w:name="_Toc29216"/>
      <w:bookmarkStart w:id="143" w:name="_Toc19209"/>
      <w:bookmarkStart w:id="144" w:name="_Toc16619"/>
      <w:bookmarkStart w:id="145" w:name="_Toc30617"/>
      <w:bookmarkStart w:id="146" w:name="_Toc23609"/>
      <w:bookmarkStart w:id="147" w:name="_Toc9453"/>
      <w:bookmarkStart w:id="148" w:name="_Toc32337"/>
      <w:bookmarkStart w:id="149" w:name="_Toc24005"/>
      <w:bookmarkStart w:id="150" w:name="_Toc26897"/>
      <w:bookmarkStart w:id="151" w:name="_Toc9199"/>
      <w:bookmarkStart w:id="152" w:name="_Toc9684"/>
      <w:bookmarkStart w:id="153" w:name="_Toc22084"/>
      <w:r>
        <w:rPr>
          <w:rFonts w:hint="eastAsia" w:ascii="宋体" w:hAnsi="宋体"/>
          <w:b/>
          <w:sz w:val="21"/>
          <w:szCs w:val="21"/>
          <w:highlight w:val="none"/>
        </w:rPr>
        <w:t>三、申请比选报价说明</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宋体"/>
          <w:b/>
          <w:sz w:val="21"/>
          <w:szCs w:val="21"/>
          <w:highlight w:val="none"/>
        </w:rPr>
        <w:tab/>
      </w:r>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9.</w:t>
      </w:r>
      <w:bookmarkStart w:id="154" w:name="_Toc114052349"/>
      <w:bookmarkStart w:id="155" w:name="_Toc114052423"/>
      <w:bookmarkStart w:id="156" w:name="_Toc286386843"/>
      <w:bookmarkStart w:id="157" w:name="_Toc310318581"/>
      <w:r>
        <w:rPr>
          <w:rFonts w:hint="eastAsia" w:ascii="宋体" w:hAnsi="宋体" w:cs="宋体"/>
          <w:b/>
          <w:szCs w:val="21"/>
          <w:highlight w:val="none"/>
        </w:rPr>
        <w:t>申请比选</w:t>
      </w:r>
      <w:bookmarkEnd w:id="154"/>
      <w:bookmarkEnd w:id="155"/>
      <w:bookmarkEnd w:id="156"/>
      <w:r>
        <w:rPr>
          <w:rFonts w:hint="eastAsia" w:ascii="宋体" w:hAnsi="宋体" w:cs="宋体"/>
          <w:b/>
          <w:szCs w:val="21"/>
          <w:highlight w:val="none"/>
        </w:rPr>
        <w:t>报价</w:t>
      </w:r>
      <w:bookmarkEnd w:id="157"/>
    </w:p>
    <w:p>
      <w:pPr>
        <w:spacing w:line="500" w:lineRule="exact"/>
        <w:ind w:firstLine="420" w:firstLineChars="200"/>
        <w:rPr>
          <w:rFonts w:ascii="宋体" w:cs="宋体"/>
          <w:szCs w:val="21"/>
          <w:highlight w:val="none"/>
        </w:rPr>
      </w:pPr>
      <w:r>
        <w:rPr>
          <w:rFonts w:ascii="宋体" w:hAnsi="宋体" w:cs="宋体"/>
          <w:szCs w:val="21"/>
          <w:highlight w:val="none"/>
        </w:rPr>
        <w:t xml:space="preserve"> 9.1 </w:t>
      </w:r>
      <w:r>
        <w:rPr>
          <w:rFonts w:hint="eastAsia" w:ascii="宋体" w:hAnsi="宋体" w:cs="宋体"/>
          <w:szCs w:val="21"/>
          <w:highlight w:val="none"/>
        </w:rPr>
        <w:t>申请比选报价见比选须知前附表第</w:t>
      </w:r>
      <w:r>
        <w:rPr>
          <w:rFonts w:ascii="宋体" w:hAnsi="宋体" w:cs="宋体"/>
          <w:szCs w:val="21"/>
          <w:highlight w:val="none"/>
        </w:rPr>
        <w:t>7</w:t>
      </w:r>
      <w:r>
        <w:rPr>
          <w:rFonts w:hint="eastAsia" w:ascii="宋体" w:hAnsi="宋体" w:cs="宋体"/>
          <w:szCs w:val="21"/>
          <w:highlight w:val="none"/>
        </w:rPr>
        <w:t>项所述。</w:t>
      </w:r>
    </w:p>
    <w:p>
      <w:pPr>
        <w:pStyle w:val="4"/>
        <w:spacing w:beforeLines="50" w:afterLines="50" w:line="500" w:lineRule="exact"/>
        <w:jc w:val="center"/>
        <w:rPr>
          <w:b/>
          <w:sz w:val="21"/>
          <w:szCs w:val="21"/>
          <w:highlight w:val="none"/>
        </w:rPr>
      </w:pPr>
      <w:bookmarkStart w:id="158" w:name="_Toc32390"/>
      <w:bookmarkStart w:id="159" w:name="_Toc31461"/>
      <w:bookmarkStart w:id="160" w:name="_Toc23455"/>
      <w:bookmarkStart w:id="161" w:name="_Toc17188"/>
      <w:bookmarkStart w:id="162" w:name="_Toc25487"/>
      <w:bookmarkStart w:id="163" w:name="_Toc11943"/>
      <w:bookmarkStart w:id="164" w:name="_Toc461525300"/>
      <w:bookmarkStart w:id="165" w:name="_Toc18607"/>
      <w:bookmarkStart w:id="166" w:name="_Toc23191"/>
      <w:bookmarkStart w:id="167" w:name="_Toc16264"/>
      <w:bookmarkStart w:id="168" w:name="_Toc471482364"/>
      <w:bookmarkStart w:id="169" w:name="_Toc23781"/>
      <w:bookmarkStart w:id="170" w:name="_Toc24807"/>
      <w:bookmarkStart w:id="171" w:name="_Toc9795"/>
      <w:bookmarkStart w:id="172" w:name="_Toc26723"/>
      <w:bookmarkStart w:id="173" w:name="_Toc17722"/>
      <w:bookmarkStart w:id="174" w:name="_Toc25856"/>
      <w:bookmarkStart w:id="175" w:name="_Toc2346"/>
      <w:bookmarkStart w:id="176" w:name="_Toc17259"/>
      <w:bookmarkStart w:id="177" w:name="_Toc7287"/>
      <w:bookmarkStart w:id="178" w:name="_Toc9601"/>
      <w:bookmarkStart w:id="179" w:name="_Toc5583"/>
      <w:r>
        <w:rPr>
          <w:rFonts w:hint="eastAsia"/>
          <w:b/>
          <w:sz w:val="21"/>
          <w:szCs w:val="21"/>
          <w:highlight w:val="none"/>
        </w:rPr>
        <w:t>四、比选申请文件的编制</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spacing w:line="500" w:lineRule="exact"/>
        <w:ind w:firstLine="420" w:firstLineChars="200"/>
        <w:rPr>
          <w:rFonts w:ascii="宋体" w:cs="宋体"/>
          <w:b/>
          <w:szCs w:val="21"/>
          <w:highlight w:val="none"/>
        </w:rPr>
      </w:pPr>
      <w:r>
        <w:rPr>
          <w:rFonts w:ascii="宋体" w:hAnsi="宋体" w:cs="宋体"/>
          <w:szCs w:val="21"/>
          <w:highlight w:val="none"/>
        </w:rPr>
        <w:t xml:space="preserve"> </w:t>
      </w:r>
      <w:r>
        <w:rPr>
          <w:rFonts w:ascii="宋体" w:hAnsi="宋体" w:cs="宋体"/>
          <w:b/>
          <w:szCs w:val="21"/>
          <w:highlight w:val="none"/>
        </w:rPr>
        <w:t>10.</w:t>
      </w:r>
      <w:bookmarkStart w:id="180" w:name="_Toc310318583"/>
      <w:bookmarkStart w:id="181" w:name="_Toc286386845"/>
      <w:r>
        <w:rPr>
          <w:rFonts w:hint="eastAsia" w:ascii="宋体" w:hAnsi="宋体" w:cs="宋体"/>
          <w:b/>
          <w:szCs w:val="21"/>
          <w:highlight w:val="none"/>
        </w:rPr>
        <w:t>比选申请文件编写注意事项</w:t>
      </w:r>
      <w:bookmarkEnd w:id="180"/>
      <w:bookmarkEnd w:id="181"/>
    </w:p>
    <w:p>
      <w:pPr>
        <w:spacing w:line="500" w:lineRule="exact"/>
        <w:ind w:firstLine="420" w:firstLineChars="200"/>
        <w:rPr>
          <w:rFonts w:ascii="宋体" w:cs="宋体"/>
          <w:szCs w:val="21"/>
          <w:highlight w:val="none"/>
        </w:rPr>
      </w:pPr>
      <w:r>
        <w:rPr>
          <w:rFonts w:ascii="宋体" w:hAnsi="宋体" w:cs="宋体"/>
          <w:szCs w:val="21"/>
          <w:highlight w:val="none"/>
        </w:rPr>
        <w:t xml:space="preserve"> 10.1</w:t>
      </w:r>
      <w:r>
        <w:rPr>
          <w:rFonts w:hint="eastAsia" w:ascii="宋体" w:hAnsi="宋体" w:cs="宋体"/>
          <w:szCs w:val="21"/>
          <w:highlight w:val="none"/>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500" w:lineRule="exact"/>
        <w:ind w:firstLine="420" w:firstLineChars="200"/>
        <w:rPr>
          <w:rFonts w:ascii="宋体" w:cs="宋体"/>
          <w:szCs w:val="21"/>
          <w:highlight w:val="none"/>
        </w:rPr>
      </w:pPr>
      <w:r>
        <w:rPr>
          <w:rFonts w:ascii="宋体" w:hAnsi="宋体" w:cs="宋体"/>
          <w:szCs w:val="21"/>
          <w:highlight w:val="none"/>
        </w:rPr>
        <w:t xml:space="preserve"> 10.2 </w:t>
      </w:r>
      <w:r>
        <w:rPr>
          <w:rFonts w:hint="eastAsia" w:ascii="宋体" w:hAnsi="宋体" w:cs="宋体"/>
          <w:szCs w:val="21"/>
          <w:highlight w:val="none"/>
        </w:rPr>
        <w:t>比选文件提出的实质性要求和条件是指本比选项目所涉及的最低人员配置、价格、服务及其它要求、合同条款等内容。</w:t>
      </w:r>
    </w:p>
    <w:p>
      <w:pPr>
        <w:spacing w:line="500" w:lineRule="exact"/>
        <w:ind w:firstLine="420" w:firstLineChars="200"/>
        <w:rPr>
          <w:rFonts w:ascii="宋体" w:cs="宋体"/>
          <w:szCs w:val="21"/>
          <w:highlight w:val="none"/>
        </w:rPr>
      </w:pPr>
      <w:r>
        <w:rPr>
          <w:rFonts w:ascii="宋体" w:hAnsi="宋体" w:cs="宋体"/>
          <w:szCs w:val="21"/>
          <w:highlight w:val="none"/>
        </w:rPr>
        <w:t xml:space="preserve">10.3 </w:t>
      </w:r>
      <w:r>
        <w:rPr>
          <w:rFonts w:hint="eastAsia" w:ascii="宋体" w:hAnsi="宋体" w:cs="宋体"/>
          <w:szCs w:val="21"/>
          <w:highlight w:val="none"/>
        </w:rPr>
        <w:t>比选申请人的比选申请文件所有来往函件统一使用中文</w:t>
      </w:r>
      <w:r>
        <w:rPr>
          <w:rFonts w:ascii="宋体" w:hAnsi="宋体" w:cs="宋体"/>
          <w:szCs w:val="21"/>
          <w:highlight w:val="none"/>
        </w:rPr>
        <w:t>(</w:t>
      </w:r>
      <w:r>
        <w:rPr>
          <w:rFonts w:hint="eastAsia" w:ascii="宋体" w:hAnsi="宋体" w:cs="宋体"/>
          <w:szCs w:val="21"/>
          <w:highlight w:val="none"/>
        </w:rPr>
        <w:t>特别规定除外</w:t>
      </w:r>
      <w:r>
        <w:rPr>
          <w:rFonts w:ascii="宋体" w:hAnsi="宋体" w:cs="宋体"/>
          <w:szCs w:val="21"/>
          <w:highlight w:val="none"/>
        </w:rPr>
        <w:t>)</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ascii="宋体" w:hAnsi="宋体" w:cs="宋体"/>
          <w:szCs w:val="21"/>
          <w:highlight w:val="none"/>
        </w:rPr>
        <w:t xml:space="preserve">10.4 </w:t>
      </w:r>
      <w:r>
        <w:rPr>
          <w:rFonts w:hint="eastAsia" w:ascii="宋体" w:hAnsi="宋体" w:cs="宋体"/>
          <w:szCs w:val="21"/>
          <w:highlight w:val="none"/>
        </w:rPr>
        <w:t>比选申请文件中使用的计量单位除比选文件中有特殊规定外，一律使用法定计量单位。</w:t>
      </w:r>
    </w:p>
    <w:p>
      <w:pPr>
        <w:spacing w:line="500" w:lineRule="exact"/>
        <w:ind w:firstLine="420" w:firstLineChars="200"/>
        <w:rPr>
          <w:rFonts w:ascii="宋体" w:cs="宋体"/>
          <w:szCs w:val="21"/>
          <w:highlight w:val="none"/>
        </w:rPr>
      </w:pPr>
      <w:r>
        <w:rPr>
          <w:rFonts w:ascii="宋体" w:hAnsi="宋体" w:cs="宋体"/>
          <w:szCs w:val="21"/>
          <w:highlight w:val="none"/>
        </w:rPr>
        <w:t xml:space="preserve">10.5 </w:t>
      </w:r>
      <w:r>
        <w:rPr>
          <w:rFonts w:hint="eastAsia" w:ascii="宋体" w:hAnsi="宋体" w:cs="宋体"/>
          <w:szCs w:val="21"/>
          <w:highlight w:val="none"/>
        </w:rPr>
        <w:t>比选申请文件必须装订成册，不允许以活页夹等形式封装。</w:t>
      </w:r>
    </w:p>
    <w:p>
      <w:pPr>
        <w:spacing w:line="500" w:lineRule="exact"/>
        <w:ind w:firstLine="420" w:firstLineChars="200"/>
        <w:rPr>
          <w:rFonts w:ascii="宋体" w:cs="宋体"/>
          <w:szCs w:val="21"/>
          <w:highlight w:val="none"/>
        </w:rPr>
      </w:pPr>
      <w:r>
        <w:rPr>
          <w:rFonts w:ascii="宋体" w:hAnsi="宋体" w:cs="宋体"/>
          <w:szCs w:val="21"/>
          <w:highlight w:val="none"/>
        </w:rPr>
        <w:t xml:space="preserve">10.6 </w:t>
      </w:r>
      <w:r>
        <w:rPr>
          <w:rFonts w:hint="eastAsia" w:ascii="宋体" w:hAnsi="宋体" w:cs="宋体"/>
          <w:szCs w:val="21"/>
          <w:highlight w:val="none"/>
        </w:rPr>
        <w:t>比选申请文件的所有组成部分均须加盖法人单位公章或骑缝章。</w:t>
      </w:r>
    </w:p>
    <w:p>
      <w:pPr>
        <w:spacing w:line="500" w:lineRule="exact"/>
        <w:ind w:firstLine="422" w:firstLineChars="200"/>
        <w:rPr>
          <w:rFonts w:ascii="宋体" w:cs="宋体"/>
          <w:b/>
          <w:szCs w:val="21"/>
          <w:highlight w:val="none"/>
        </w:rPr>
      </w:pPr>
      <w:bookmarkStart w:id="182" w:name="_Toc114052352"/>
      <w:bookmarkStart w:id="183" w:name="_Toc310318584"/>
      <w:bookmarkStart w:id="184" w:name="_Toc114052426"/>
      <w:bookmarkStart w:id="185" w:name="_Toc286386846"/>
      <w:r>
        <w:rPr>
          <w:rFonts w:ascii="宋体" w:hAnsi="宋体" w:cs="宋体"/>
          <w:b/>
          <w:szCs w:val="21"/>
          <w:highlight w:val="none"/>
        </w:rPr>
        <w:t>11.</w:t>
      </w:r>
      <w:r>
        <w:rPr>
          <w:rFonts w:hint="eastAsia" w:ascii="宋体" w:hAnsi="宋体" w:cs="宋体"/>
          <w:b/>
          <w:szCs w:val="21"/>
          <w:highlight w:val="none"/>
        </w:rPr>
        <w:t>比选申请文件的组成</w:t>
      </w:r>
      <w:bookmarkEnd w:id="182"/>
      <w:bookmarkEnd w:id="183"/>
      <w:bookmarkEnd w:id="184"/>
      <w:bookmarkEnd w:id="185"/>
    </w:p>
    <w:p>
      <w:pPr>
        <w:spacing w:line="500" w:lineRule="exact"/>
        <w:ind w:firstLine="420" w:firstLineChars="200"/>
        <w:rPr>
          <w:rFonts w:ascii="宋体" w:cs="宋体"/>
          <w:szCs w:val="21"/>
          <w:highlight w:val="none"/>
        </w:rPr>
      </w:pPr>
      <w:bookmarkStart w:id="186" w:name="_Toc114052354"/>
      <w:r>
        <w:rPr>
          <w:rFonts w:ascii="宋体" w:hAnsi="宋体" w:cs="宋体"/>
          <w:szCs w:val="21"/>
          <w:highlight w:val="none"/>
        </w:rPr>
        <w:t xml:space="preserve">11.1 </w:t>
      </w:r>
      <w:r>
        <w:rPr>
          <w:rFonts w:hint="eastAsia" w:ascii="宋体" w:hAnsi="宋体" w:cs="宋体"/>
          <w:szCs w:val="21"/>
          <w:highlight w:val="none"/>
        </w:rPr>
        <w:t>比选申请文件由资格审查部分、技术部分、商务部分三部分组成，详细要求与部分格式详见第三章。</w:t>
      </w:r>
    </w:p>
    <w:p>
      <w:pPr>
        <w:spacing w:line="500" w:lineRule="exact"/>
        <w:ind w:firstLine="420" w:firstLineChars="200"/>
        <w:rPr>
          <w:rFonts w:ascii="宋体" w:cs="宋体"/>
          <w:szCs w:val="21"/>
          <w:highlight w:val="none"/>
        </w:rPr>
      </w:pPr>
      <w:r>
        <w:rPr>
          <w:rFonts w:ascii="宋体" w:hAnsi="宋体" w:cs="宋体"/>
          <w:szCs w:val="21"/>
          <w:highlight w:val="none"/>
        </w:rPr>
        <w:t xml:space="preserve"> 11.2 </w:t>
      </w:r>
      <w:r>
        <w:rPr>
          <w:rFonts w:hint="eastAsia" w:ascii="宋体" w:hAnsi="宋体" w:cs="宋体"/>
          <w:szCs w:val="21"/>
          <w:highlight w:val="none"/>
        </w:rPr>
        <w:t>资格审查部分主要包括下列内容：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）诚信声明（原件）；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）法定代表人资格证明书（原件）；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）法定代表人身份证（复印件加盖法人单位公章）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）比选申请文件签署授权委托书（原件）；</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）授权代表人身份证（复印件加盖法人单位公章）</w:t>
      </w:r>
      <w:r>
        <w:rPr>
          <w:rFonts w:ascii="宋体" w:hAnsi="宋体" w:cs="宋体"/>
          <w:szCs w:val="21"/>
          <w:highlight w:val="none"/>
        </w:rPr>
        <w:t xml:space="preserve"> </w:t>
      </w:r>
      <w:r>
        <w:rPr>
          <w:rFonts w:hint="eastAsia" w:ascii="宋体" w:hAnsi="宋体" w:cs="宋体"/>
          <w:szCs w:val="21"/>
          <w:highlight w:val="none"/>
        </w:rPr>
        <w:t>；</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6</w:t>
      </w:r>
      <w:r>
        <w:rPr>
          <w:rFonts w:hint="eastAsia" w:ascii="宋体" w:hAnsi="宋体" w:cs="宋体"/>
          <w:szCs w:val="21"/>
          <w:highlight w:val="none"/>
        </w:rPr>
        <w:t>）营业执照（提供复印件加盖法人单位公章）；</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7</w:t>
      </w:r>
      <w:r>
        <w:rPr>
          <w:rFonts w:hint="eastAsia" w:ascii="宋体" w:hAnsi="宋体" w:cs="宋体"/>
          <w:szCs w:val="21"/>
          <w:highlight w:val="none"/>
        </w:rPr>
        <w:t>）会计师事务所执业证书复印件（加盖法人单位公章）；</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8</w:t>
      </w:r>
      <w:r>
        <w:rPr>
          <w:rFonts w:hint="eastAsia" w:ascii="宋体" w:hAnsi="宋体" w:cs="宋体"/>
          <w:szCs w:val="21"/>
          <w:highlight w:val="none"/>
        </w:rPr>
        <w:t>）其他。</w:t>
      </w:r>
    </w:p>
    <w:bookmarkEnd w:id="186"/>
    <w:p>
      <w:pPr>
        <w:spacing w:line="500" w:lineRule="exact"/>
        <w:ind w:firstLine="525" w:firstLineChars="250"/>
        <w:rPr>
          <w:rFonts w:ascii="宋体" w:cs="宋体"/>
          <w:szCs w:val="21"/>
          <w:highlight w:val="none"/>
        </w:rPr>
      </w:pPr>
      <w:r>
        <w:rPr>
          <w:rFonts w:ascii="宋体" w:hAnsi="宋体" w:cs="宋体"/>
          <w:szCs w:val="21"/>
          <w:highlight w:val="none"/>
        </w:rPr>
        <w:t xml:space="preserve">11.3 </w:t>
      </w:r>
      <w:r>
        <w:rPr>
          <w:rFonts w:hint="eastAsia" w:ascii="宋体" w:hAnsi="宋体" w:cs="宋体"/>
          <w:szCs w:val="21"/>
          <w:highlight w:val="none"/>
        </w:rPr>
        <w:t>技术部分主要包括下列内容：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）业绩表；</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）拟投入人员配置明细表；</w:t>
      </w:r>
      <w:r>
        <w:rPr>
          <w:rFonts w:ascii="宋体" w:hAnsi="宋体" w:cs="宋体"/>
          <w:szCs w:val="21"/>
          <w:highlight w:val="none"/>
        </w:rPr>
        <w:t xml:space="preserve"> </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）拟投入人员的相关工作业绩、资历及能力（由比选申请人自行编写）；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）服务方案（由比选申请人自行编写）；</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）其他……。</w:t>
      </w:r>
    </w:p>
    <w:p>
      <w:pPr>
        <w:spacing w:line="500" w:lineRule="exact"/>
        <w:ind w:firstLine="420" w:firstLineChars="200"/>
        <w:rPr>
          <w:rFonts w:ascii="宋体" w:cs="宋体"/>
          <w:szCs w:val="21"/>
          <w:highlight w:val="none"/>
        </w:rPr>
      </w:pPr>
      <w:r>
        <w:rPr>
          <w:rFonts w:ascii="宋体" w:hAnsi="宋体" w:cs="宋体"/>
          <w:szCs w:val="21"/>
          <w:highlight w:val="none"/>
        </w:rPr>
        <w:t xml:space="preserve"> 11.4 </w:t>
      </w:r>
      <w:r>
        <w:rPr>
          <w:rFonts w:hint="eastAsia" w:ascii="宋体" w:hAnsi="宋体" w:cs="宋体"/>
          <w:szCs w:val="21"/>
          <w:highlight w:val="none"/>
        </w:rPr>
        <w:t>商务部分主要包括下列内容：</w:t>
      </w:r>
    </w:p>
    <w:p>
      <w:pPr>
        <w:spacing w:line="500" w:lineRule="exact"/>
        <w:ind w:firstLine="420" w:firstLineChars="20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）报价表。</w:t>
      </w:r>
    </w:p>
    <w:p>
      <w:pPr>
        <w:spacing w:line="500" w:lineRule="exact"/>
        <w:ind w:firstLine="420" w:firstLineChars="200"/>
        <w:rPr>
          <w:rFonts w:ascii="宋体" w:cs="宋体"/>
          <w:szCs w:val="21"/>
          <w:highlight w:val="none"/>
        </w:rPr>
      </w:pPr>
      <w:r>
        <w:rPr>
          <w:rFonts w:ascii="宋体" w:hAnsi="宋体" w:cs="宋体"/>
          <w:szCs w:val="21"/>
          <w:highlight w:val="none"/>
        </w:rPr>
        <w:t xml:space="preserve"> 11.5 </w:t>
      </w:r>
      <w:r>
        <w:rPr>
          <w:rFonts w:hint="eastAsia" w:ascii="宋体" w:hAnsi="宋体" w:cs="宋体"/>
          <w:szCs w:val="21"/>
          <w:highlight w:val="none"/>
        </w:rPr>
        <w:t>比选申请人需按照比选人提供的比选申请文件格式和顺序另行编制比选申请文件，但表格可以按同样格式扩展。</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 12.</w:t>
      </w:r>
      <w:bookmarkStart w:id="187" w:name="_Toc114052363"/>
      <w:bookmarkStart w:id="188" w:name="_Toc310318585"/>
      <w:bookmarkStart w:id="189" w:name="_Toc114052427"/>
      <w:bookmarkStart w:id="190" w:name="_Toc286386847"/>
      <w:r>
        <w:rPr>
          <w:rFonts w:hint="eastAsia" w:ascii="宋体" w:hAnsi="宋体" w:cs="宋体"/>
          <w:b/>
          <w:szCs w:val="21"/>
          <w:highlight w:val="none"/>
        </w:rPr>
        <w:t>比选有效期</w:t>
      </w:r>
      <w:bookmarkEnd w:id="187"/>
      <w:bookmarkEnd w:id="188"/>
      <w:bookmarkEnd w:id="189"/>
      <w:bookmarkEnd w:id="190"/>
    </w:p>
    <w:p>
      <w:pPr>
        <w:spacing w:line="500" w:lineRule="exact"/>
        <w:ind w:firstLine="420" w:firstLineChars="200"/>
        <w:rPr>
          <w:rFonts w:ascii="宋体" w:cs="宋体"/>
          <w:szCs w:val="21"/>
          <w:highlight w:val="none"/>
        </w:rPr>
      </w:pPr>
      <w:r>
        <w:rPr>
          <w:rFonts w:ascii="宋体" w:hAnsi="宋体" w:cs="宋体"/>
          <w:szCs w:val="21"/>
          <w:highlight w:val="none"/>
        </w:rPr>
        <w:t xml:space="preserve"> 12.1 </w:t>
      </w:r>
      <w:r>
        <w:rPr>
          <w:rFonts w:hint="eastAsia" w:ascii="宋体" w:hAnsi="宋体" w:cs="宋体"/>
          <w:szCs w:val="21"/>
          <w:highlight w:val="none"/>
        </w:rPr>
        <w:t>比选申请文件在前附表第</w:t>
      </w:r>
      <w:r>
        <w:rPr>
          <w:rFonts w:ascii="宋体" w:hAnsi="宋体" w:cs="宋体"/>
          <w:szCs w:val="21"/>
          <w:highlight w:val="none"/>
        </w:rPr>
        <w:t>11</w:t>
      </w:r>
      <w:r>
        <w:rPr>
          <w:rFonts w:hint="eastAsia" w:ascii="宋体" w:hAnsi="宋体" w:cs="宋体"/>
          <w:szCs w:val="21"/>
          <w:highlight w:val="none"/>
        </w:rPr>
        <w:t>条规定的递交比选申请文件日期之后的</w:t>
      </w:r>
      <w:r>
        <w:rPr>
          <w:rFonts w:ascii="宋体" w:hAnsi="宋体" w:cs="宋体"/>
          <w:szCs w:val="21"/>
          <w:highlight w:val="none"/>
        </w:rPr>
        <w:t>90</w:t>
      </w:r>
      <w:r>
        <w:rPr>
          <w:rFonts w:hint="eastAsia" w:ascii="宋体" w:hAnsi="宋体" w:cs="宋体"/>
          <w:szCs w:val="21"/>
          <w:highlight w:val="none"/>
        </w:rPr>
        <w:t>天内有效。</w:t>
      </w:r>
    </w:p>
    <w:p>
      <w:pPr>
        <w:spacing w:line="500" w:lineRule="exact"/>
        <w:ind w:firstLine="422" w:firstLineChars="200"/>
        <w:rPr>
          <w:rFonts w:ascii="宋体" w:cs="宋体"/>
          <w:b/>
          <w:szCs w:val="21"/>
          <w:highlight w:val="none"/>
        </w:rPr>
      </w:pPr>
      <w:r>
        <w:rPr>
          <w:rFonts w:ascii="宋体" w:hAnsi="宋体" w:cs="宋体"/>
          <w:b/>
          <w:szCs w:val="21"/>
          <w:highlight w:val="none"/>
        </w:rPr>
        <w:t>13.</w:t>
      </w:r>
      <w:r>
        <w:rPr>
          <w:rFonts w:hint="eastAsia" w:ascii="宋体" w:hAnsi="宋体" w:cs="宋体"/>
          <w:b/>
          <w:szCs w:val="21"/>
          <w:highlight w:val="none"/>
        </w:rPr>
        <w:t>比选保证金</w:t>
      </w:r>
    </w:p>
    <w:p>
      <w:pPr>
        <w:spacing w:line="500" w:lineRule="exact"/>
        <w:ind w:firstLine="420" w:firstLineChars="200"/>
        <w:rPr>
          <w:rFonts w:asci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本项目不设比选保证金。</w:t>
      </w:r>
    </w:p>
    <w:p>
      <w:pPr>
        <w:spacing w:line="500" w:lineRule="exact"/>
        <w:ind w:firstLine="422" w:firstLineChars="200"/>
        <w:rPr>
          <w:rFonts w:ascii="宋体" w:cs="宋体"/>
          <w:b/>
          <w:szCs w:val="21"/>
          <w:highlight w:val="none"/>
        </w:rPr>
      </w:pPr>
      <w:r>
        <w:rPr>
          <w:rFonts w:ascii="宋体" w:hAnsi="宋体" w:cs="宋体"/>
          <w:b/>
          <w:szCs w:val="21"/>
          <w:highlight w:val="none"/>
        </w:rPr>
        <w:t>14.</w:t>
      </w:r>
      <w:bookmarkStart w:id="191" w:name="_Toc286386849"/>
      <w:bookmarkStart w:id="192" w:name="_Toc310318587"/>
      <w:bookmarkStart w:id="193" w:name="_Toc114052429"/>
      <w:bookmarkStart w:id="194" w:name="_Toc114052365"/>
      <w:r>
        <w:rPr>
          <w:rFonts w:hint="eastAsia" w:ascii="宋体" w:hAnsi="宋体" w:cs="宋体"/>
          <w:b/>
          <w:szCs w:val="21"/>
          <w:highlight w:val="none"/>
        </w:rPr>
        <w:t>比选答疑</w:t>
      </w:r>
      <w:bookmarkEnd w:id="191"/>
      <w:bookmarkEnd w:id="192"/>
      <w:bookmarkEnd w:id="193"/>
      <w:bookmarkEnd w:id="194"/>
    </w:p>
    <w:p>
      <w:pPr>
        <w:spacing w:line="500" w:lineRule="exact"/>
        <w:ind w:firstLine="420" w:firstLineChars="200"/>
        <w:rPr>
          <w:rFonts w:ascii="宋体" w:cs="宋体"/>
          <w:szCs w:val="21"/>
          <w:highlight w:val="none"/>
        </w:rPr>
      </w:pPr>
      <w:r>
        <w:rPr>
          <w:rFonts w:ascii="宋体" w:hAnsi="宋体" w:cs="宋体"/>
          <w:szCs w:val="21"/>
          <w:highlight w:val="none"/>
        </w:rPr>
        <w:t xml:space="preserve">14.1 </w:t>
      </w:r>
      <w:r>
        <w:rPr>
          <w:rFonts w:hint="eastAsia" w:ascii="宋体" w:hAnsi="宋体" w:cs="宋体"/>
          <w:szCs w:val="21"/>
          <w:highlight w:val="none"/>
        </w:rPr>
        <w:t>比选申请人提出的与比选有关的任何问题均应在递交文件截止时间</w:t>
      </w:r>
      <w:r>
        <w:rPr>
          <w:rFonts w:ascii="宋体" w:hAnsi="宋体" w:cs="宋体"/>
          <w:szCs w:val="21"/>
          <w:highlight w:val="none"/>
        </w:rPr>
        <w:t>3</w:t>
      </w:r>
      <w:r>
        <w:rPr>
          <w:rFonts w:hint="eastAsia" w:ascii="宋体" w:hAnsi="宋体" w:cs="宋体"/>
          <w:szCs w:val="21"/>
          <w:highlight w:val="none"/>
        </w:rPr>
        <w:t>个工作日前的正常工作时间内，用当面递交或传真书面通知比选人，其他方式为无效。比选人将以书面形式通过“比选补遗文件”的形式予以答复。</w:t>
      </w:r>
    </w:p>
    <w:p>
      <w:pPr>
        <w:spacing w:line="500" w:lineRule="exact"/>
        <w:ind w:firstLine="420" w:firstLineChars="200"/>
        <w:rPr>
          <w:rFonts w:ascii="宋体" w:cs="宋体"/>
          <w:szCs w:val="21"/>
          <w:highlight w:val="none"/>
        </w:rPr>
      </w:pPr>
      <w:r>
        <w:rPr>
          <w:rFonts w:ascii="宋体" w:hAnsi="宋体" w:cs="宋体"/>
          <w:szCs w:val="21"/>
          <w:highlight w:val="none"/>
        </w:rPr>
        <w:t xml:space="preserve">14.2 </w:t>
      </w:r>
      <w:r>
        <w:rPr>
          <w:rFonts w:hint="eastAsia" w:ascii="宋体" w:hAnsi="宋体" w:cs="宋体"/>
          <w:szCs w:val="21"/>
          <w:highlight w:val="none"/>
        </w:rPr>
        <w:t>比选补遗文件包括所有问题和答复，比选人将于递交文件截止时间</w:t>
      </w:r>
      <w:r>
        <w:rPr>
          <w:rFonts w:ascii="宋体" w:hAnsi="宋体" w:cs="宋体"/>
          <w:szCs w:val="21"/>
          <w:highlight w:val="none"/>
        </w:rPr>
        <w:t>2</w:t>
      </w:r>
      <w:r>
        <w:rPr>
          <w:rFonts w:hint="eastAsia" w:ascii="宋体" w:hAnsi="宋体" w:cs="宋体"/>
          <w:szCs w:val="21"/>
          <w:highlight w:val="none"/>
        </w:rPr>
        <w:t>天前以书面形式，在比选人官网发布，予以答复。</w:t>
      </w:r>
    </w:p>
    <w:p>
      <w:pPr>
        <w:spacing w:line="500" w:lineRule="exact"/>
        <w:ind w:firstLine="422" w:firstLineChars="200"/>
        <w:rPr>
          <w:rFonts w:ascii="宋体" w:cs="宋体"/>
          <w:b/>
          <w:szCs w:val="21"/>
          <w:highlight w:val="none"/>
        </w:rPr>
      </w:pPr>
      <w:r>
        <w:rPr>
          <w:rFonts w:ascii="宋体" w:hAnsi="宋体" w:cs="宋体"/>
          <w:b/>
          <w:szCs w:val="21"/>
          <w:highlight w:val="none"/>
        </w:rPr>
        <w:t>15.</w:t>
      </w:r>
      <w:bookmarkStart w:id="195" w:name="_Toc114052430"/>
      <w:bookmarkStart w:id="196" w:name="_Toc286386850"/>
      <w:bookmarkStart w:id="197" w:name="_Toc310318588"/>
      <w:bookmarkStart w:id="198" w:name="_Toc114052366"/>
      <w:r>
        <w:rPr>
          <w:rFonts w:hint="eastAsia" w:ascii="宋体" w:hAnsi="宋体" w:cs="宋体"/>
          <w:b/>
          <w:szCs w:val="21"/>
          <w:highlight w:val="none"/>
        </w:rPr>
        <w:t>比选申请文件的份数</w:t>
      </w:r>
      <w:bookmarkEnd w:id="195"/>
      <w:bookmarkEnd w:id="196"/>
      <w:bookmarkEnd w:id="197"/>
      <w:bookmarkEnd w:id="198"/>
      <w:r>
        <w:rPr>
          <w:rFonts w:hint="eastAsia" w:ascii="宋体" w:hAnsi="宋体" w:cs="宋体"/>
          <w:b/>
          <w:szCs w:val="21"/>
          <w:highlight w:val="none"/>
        </w:rPr>
        <w:t>和签署</w:t>
      </w:r>
    </w:p>
    <w:p>
      <w:pPr>
        <w:spacing w:line="500" w:lineRule="exact"/>
        <w:ind w:firstLine="420" w:firstLineChars="200"/>
        <w:rPr>
          <w:rFonts w:ascii="宋体" w:cs="宋体"/>
          <w:szCs w:val="21"/>
          <w:highlight w:val="none"/>
        </w:rPr>
      </w:pPr>
      <w:r>
        <w:rPr>
          <w:rFonts w:ascii="宋体" w:hAnsi="宋体" w:cs="宋体"/>
          <w:szCs w:val="21"/>
          <w:highlight w:val="none"/>
        </w:rPr>
        <w:t xml:space="preserve">15.1 </w:t>
      </w:r>
      <w:r>
        <w:rPr>
          <w:rFonts w:hint="eastAsia" w:ascii="宋体" w:hAnsi="宋体" w:cs="宋体"/>
          <w:szCs w:val="21"/>
          <w:highlight w:val="none"/>
        </w:rPr>
        <w:t>比选申请人按比选文件规定，编制一份比选申请文件“正本”和前附表第</w:t>
      </w:r>
      <w:r>
        <w:rPr>
          <w:rFonts w:ascii="宋体" w:hAnsi="宋体" w:cs="宋体"/>
          <w:szCs w:val="21"/>
          <w:highlight w:val="none"/>
        </w:rPr>
        <w:t>12</w:t>
      </w:r>
      <w:r>
        <w:rPr>
          <w:rFonts w:hint="eastAsia" w:ascii="宋体" w:hAnsi="宋体" w:cs="宋体"/>
          <w:szCs w:val="21"/>
          <w:highlight w:val="none"/>
        </w:rPr>
        <w:t>项所述份数的“副本”，并标明“比选申请文件正本”和“比选申请文件副本”。比选申请文件正本和副本如有不一致之处，以正本为准。</w:t>
      </w:r>
    </w:p>
    <w:p>
      <w:pPr>
        <w:spacing w:line="500" w:lineRule="exact"/>
        <w:ind w:firstLine="420" w:firstLineChars="200"/>
        <w:rPr>
          <w:rFonts w:ascii="宋体" w:cs="宋体"/>
          <w:szCs w:val="21"/>
          <w:highlight w:val="none"/>
        </w:rPr>
      </w:pPr>
      <w:r>
        <w:rPr>
          <w:rFonts w:ascii="宋体" w:hAnsi="宋体" w:cs="宋体"/>
          <w:szCs w:val="21"/>
          <w:highlight w:val="none"/>
        </w:rPr>
        <w:t xml:space="preserve">15.2 </w:t>
      </w:r>
      <w:r>
        <w:rPr>
          <w:rFonts w:hint="eastAsia" w:ascii="宋体" w:hAnsi="宋体" w:cs="宋体"/>
          <w:szCs w:val="21"/>
          <w:highlight w:val="none"/>
        </w:rPr>
        <w:t>比选申请文件正本与副本均应使用不能擦去的黑色墨水打印或书写，装订成册，由比选申请人法定代表人或授权委托代理人亲自签署或加盖印鉴，并加盖比选申请人单位公章。</w:t>
      </w:r>
    </w:p>
    <w:p>
      <w:pPr>
        <w:spacing w:line="500" w:lineRule="exact"/>
        <w:ind w:firstLine="420" w:firstLineChars="200"/>
        <w:rPr>
          <w:rFonts w:ascii="宋体" w:cs="宋体"/>
          <w:szCs w:val="21"/>
          <w:highlight w:val="none"/>
        </w:rPr>
      </w:pPr>
      <w:r>
        <w:rPr>
          <w:rFonts w:ascii="宋体" w:hAnsi="宋体" w:cs="宋体"/>
          <w:szCs w:val="21"/>
          <w:highlight w:val="none"/>
        </w:rPr>
        <w:t xml:space="preserve">15.3 </w:t>
      </w:r>
      <w:r>
        <w:rPr>
          <w:rFonts w:hint="eastAsia" w:ascii="宋体" w:hAnsi="宋体" w:cs="宋体"/>
          <w:szCs w:val="21"/>
          <w:highlight w:val="none"/>
        </w:rPr>
        <w:t>全套比选申请文件应无涂改和行间插字，除非这些删改是根据比选人指示进行的；或者是比选申请人造成的必须修改的错误，但修改处应由比选申请文件签字人签字证明，否则修改无效。</w:t>
      </w:r>
    </w:p>
    <w:p>
      <w:pPr>
        <w:pStyle w:val="4"/>
        <w:spacing w:beforeLines="50" w:afterLines="50" w:line="500" w:lineRule="exact"/>
        <w:jc w:val="center"/>
        <w:rPr>
          <w:b/>
          <w:sz w:val="21"/>
          <w:szCs w:val="21"/>
          <w:highlight w:val="none"/>
        </w:rPr>
      </w:pPr>
      <w:bookmarkStart w:id="199" w:name="_Toc14726"/>
      <w:bookmarkStart w:id="200" w:name="_Toc15955"/>
      <w:bookmarkStart w:id="201" w:name="_Toc17030"/>
      <w:bookmarkStart w:id="202" w:name="_Toc19276"/>
      <w:bookmarkStart w:id="203" w:name="_Toc25460"/>
      <w:bookmarkStart w:id="204" w:name="_Toc461525301"/>
      <w:bookmarkStart w:id="205" w:name="_Toc6029"/>
      <w:bookmarkStart w:id="206" w:name="_Toc23604"/>
      <w:bookmarkStart w:id="207" w:name="_Toc5900"/>
      <w:bookmarkStart w:id="208" w:name="_Toc27875"/>
      <w:bookmarkStart w:id="209" w:name="_Toc28307"/>
      <w:bookmarkStart w:id="210" w:name="_Toc32046"/>
      <w:bookmarkStart w:id="211" w:name="_Toc7811"/>
      <w:bookmarkStart w:id="212" w:name="_Toc11391"/>
      <w:bookmarkStart w:id="213" w:name="_Toc471482365"/>
      <w:bookmarkStart w:id="214" w:name="_Toc2153"/>
      <w:bookmarkStart w:id="215" w:name="_Toc23101"/>
      <w:bookmarkStart w:id="216" w:name="_Toc15430"/>
      <w:bookmarkStart w:id="217" w:name="_Toc8725"/>
      <w:bookmarkStart w:id="218" w:name="_Toc31804"/>
      <w:bookmarkStart w:id="219" w:name="_Toc16937"/>
      <w:bookmarkStart w:id="220" w:name="_Toc28652"/>
      <w:r>
        <w:rPr>
          <w:rFonts w:hint="eastAsia"/>
          <w:b/>
          <w:sz w:val="21"/>
          <w:szCs w:val="21"/>
          <w:highlight w:val="none"/>
        </w:rPr>
        <w:t>五、比选申请文件的递交</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500" w:lineRule="exact"/>
        <w:ind w:firstLine="422" w:firstLineChars="200"/>
        <w:rPr>
          <w:rFonts w:ascii="宋体" w:cs="宋体"/>
          <w:b/>
          <w:szCs w:val="21"/>
          <w:highlight w:val="none"/>
        </w:rPr>
      </w:pPr>
      <w:r>
        <w:rPr>
          <w:rFonts w:ascii="宋体" w:hAnsi="宋体" w:cs="宋体"/>
          <w:b/>
          <w:szCs w:val="21"/>
          <w:highlight w:val="none"/>
        </w:rPr>
        <w:t>16.</w:t>
      </w:r>
      <w:r>
        <w:rPr>
          <w:rFonts w:hint="eastAsia" w:ascii="宋体" w:hAnsi="宋体" w:cs="宋体"/>
          <w:b/>
          <w:szCs w:val="21"/>
          <w:highlight w:val="none"/>
        </w:rPr>
        <w:t>比选申请文件的密封与标志</w:t>
      </w:r>
    </w:p>
    <w:p>
      <w:pPr>
        <w:spacing w:line="500" w:lineRule="exact"/>
        <w:ind w:firstLine="420" w:firstLineChars="200"/>
        <w:rPr>
          <w:rFonts w:ascii="宋体" w:cs="宋体"/>
          <w:szCs w:val="21"/>
          <w:highlight w:val="none"/>
        </w:rPr>
      </w:pPr>
      <w:r>
        <w:rPr>
          <w:rFonts w:ascii="宋体" w:hAnsi="宋体" w:cs="宋体"/>
          <w:szCs w:val="21"/>
          <w:highlight w:val="none"/>
        </w:rPr>
        <w:t xml:space="preserve">16.1 </w:t>
      </w:r>
      <w:r>
        <w:rPr>
          <w:rFonts w:hint="eastAsia" w:ascii="宋体" w:hAnsi="宋体" w:cs="宋体"/>
          <w:szCs w:val="21"/>
          <w:highlight w:val="none"/>
        </w:rPr>
        <w:t>比选申请文件装订要求：比选由申请文件由资格审查部分、技术部分、商务部分合并装订。</w:t>
      </w:r>
    </w:p>
    <w:p>
      <w:pPr>
        <w:spacing w:line="500" w:lineRule="exact"/>
        <w:ind w:firstLine="420" w:firstLineChars="200"/>
        <w:rPr>
          <w:rFonts w:ascii="宋体" w:cs="宋体"/>
          <w:szCs w:val="21"/>
          <w:highlight w:val="none"/>
        </w:rPr>
      </w:pPr>
      <w:r>
        <w:rPr>
          <w:rFonts w:ascii="宋体" w:hAnsi="宋体" w:cs="宋体"/>
          <w:szCs w:val="21"/>
          <w:highlight w:val="none"/>
        </w:rPr>
        <w:t xml:space="preserve">16.2 </w:t>
      </w:r>
      <w:r>
        <w:rPr>
          <w:rFonts w:hint="eastAsia" w:ascii="宋体" w:hAnsi="宋体" w:cs="宋体"/>
          <w:szCs w:val="21"/>
          <w:highlight w:val="none"/>
        </w:rPr>
        <w:t>比选申请文件的资格审查部分、技术部分、商务部分合并装订成册，并分正、副本，其中正本一册，副本四册，</w:t>
      </w:r>
      <w:r>
        <w:rPr>
          <w:rFonts w:ascii="宋体" w:hAnsi="宋体" w:cs="宋体"/>
          <w:szCs w:val="21"/>
          <w:highlight w:val="none"/>
        </w:rPr>
        <w:t>U</w:t>
      </w:r>
      <w:r>
        <w:rPr>
          <w:rFonts w:hint="eastAsia" w:ascii="宋体" w:hAnsi="宋体" w:cs="宋体"/>
          <w:szCs w:val="21"/>
          <w:highlight w:val="none"/>
        </w:rPr>
        <w:t>盘电子版一份（内存</w:t>
      </w:r>
      <w:r>
        <w:rPr>
          <w:rFonts w:ascii="宋体" w:hAnsi="宋体" w:cs="宋体"/>
          <w:szCs w:val="21"/>
          <w:highlight w:val="none"/>
        </w:rPr>
        <w:t>office</w:t>
      </w:r>
      <w:r>
        <w:rPr>
          <w:rFonts w:hint="eastAsia" w:ascii="宋体" w:hAnsi="宋体" w:cs="宋体"/>
          <w:szCs w:val="21"/>
          <w:highlight w:val="none"/>
        </w:rPr>
        <w:t>或</w:t>
      </w:r>
      <w:r>
        <w:rPr>
          <w:rFonts w:ascii="宋体" w:hAnsi="宋体" w:cs="宋体"/>
          <w:szCs w:val="21"/>
          <w:highlight w:val="none"/>
        </w:rPr>
        <w:t>WPS</w:t>
      </w:r>
      <w:r>
        <w:rPr>
          <w:rFonts w:hint="eastAsia" w:ascii="宋体" w:hAnsi="宋体" w:cs="宋体"/>
          <w:szCs w:val="21"/>
          <w:highlight w:val="none"/>
        </w:rPr>
        <w:t>版本），密封在一个比选文件密封袋中。</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16.3 </w:t>
      </w:r>
      <w:r>
        <w:rPr>
          <w:rFonts w:hint="eastAsia" w:ascii="宋体" w:hAnsi="宋体" w:cs="宋体"/>
          <w:szCs w:val="21"/>
          <w:highlight w:val="none"/>
        </w:rPr>
        <w:t>密封袋封口处都应加盖比选申请人法人单位公章或粘贴加盖法人单位公章的密封条，若密封袋没有加盖法人单位公章或破损严重，有可能导致比选人的拒收。</w:t>
      </w:r>
    </w:p>
    <w:p>
      <w:pPr>
        <w:spacing w:line="500" w:lineRule="exact"/>
        <w:ind w:firstLine="422" w:firstLineChars="200"/>
        <w:rPr>
          <w:rFonts w:ascii="宋体" w:cs="宋体"/>
          <w:b/>
          <w:szCs w:val="21"/>
          <w:highlight w:val="none"/>
        </w:rPr>
      </w:pPr>
      <w:r>
        <w:rPr>
          <w:rFonts w:ascii="宋体" w:hAnsi="宋体" w:cs="宋体"/>
          <w:b/>
          <w:szCs w:val="21"/>
          <w:highlight w:val="none"/>
        </w:rPr>
        <w:t>17.</w:t>
      </w:r>
      <w:r>
        <w:rPr>
          <w:rFonts w:hint="eastAsia" w:ascii="宋体" w:hAnsi="宋体" w:cs="宋体"/>
          <w:b/>
          <w:szCs w:val="21"/>
          <w:highlight w:val="none"/>
        </w:rPr>
        <w:t>递交比选文件截止期</w:t>
      </w:r>
    </w:p>
    <w:p>
      <w:pPr>
        <w:spacing w:line="500" w:lineRule="exact"/>
        <w:ind w:firstLine="420" w:firstLineChars="200"/>
        <w:rPr>
          <w:rFonts w:ascii="宋体" w:cs="宋体"/>
          <w:szCs w:val="21"/>
          <w:highlight w:val="none"/>
        </w:rPr>
      </w:pPr>
      <w:r>
        <w:rPr>
          <w:rFonts w:ascii="宋体" w:hAnsi="宋体" w:cs="宋体"/>
          <w:szCs w:val="21"/>
          <w:highlight w:val="none"/>
        </w:rPr>
        <w:t xml:space="preserve">17.1 </w:t>
      </w:r>
      <w:r>
        <w:rPr>
          <w:rFonts w:hint="eastAsia" w:ascii="宋体" w:hAnsi="宋体" w:cs="宋体"/>
          <w:szCs w:val="21"/>
          <w:highlight w:val="none"/>
        </w:rPr>
        <w:t>比选申请人应在前附表第</w:t>
      </w:r>
      <w:r>
        <w:rPr>
          <w:rFonts w:ascii="宋体" w:hAnsi="宋体" w:cs="宋体"/>
          <w:szCs w:val="21"/>
          <w:highlight w:val="none"/>
        </w:rPr>
        <w:t>14</w:t>
      </w:r>
      <w:r>
        <w:rPr>
          <w:rFonts w:hint="eastAsia" w:ascii="宋体" w:hAnsi="宋体" w:cs="宋体"/>
          <w:szCs w:val="21"/>
          <w:highlight w:val="none"/>
        </w:rPr>
        <w:t>项所述规定的时间，将比选申请文件递交至前附表第</w:t>
      </w:r>
      <w:r>
        <w:rPr>
          <w:rFonts w:ascii="宋体" w:hAnsi="宋体" w:cs="宋体"/>
          <w:szCs w:val="21"/>
          <w:highlight w:val="none"/>
        </w:rPr>
        <w:t>13</w:t>
      </w:r>
      <w:r>
        <w:rPr>
          <w:rFonts w:hint="eastAsia" w:ascii="宋体" w:hAnsi="宋体" w:cs="宋体"/>
          <w:szCs w:val="21"/>
          <w:highlight w:val="none"/>
        </w:rPr>
        <w:t>项所述的单位和地址。</w:t>
      </w:r>
      <w:bookmarkStart w:id="221" w:name="_Toc29047"/>
      <w:bookmarkStart w:id="222" w:name="_Toc32687"/>
      <w:bookmarkStart w:id="223" w:name="_Toc461525302"/>
      <w:bookmarkStart w:id="224" w:name="_Toc6376"/>
      <w:bookmarkStart w:id="225" w:name="_Toc27095"/>
      <w:bookmarkStart w:id="226" w:name="_Toc30232"/>
      <w:bookmarkStart w:id="227" w:name="_Toc31139"/>
      <w:bookmarkStart w:id="228" w:name="_Toc17217"/>
      <w:bookmarkStart w:id="229" w:name="_Toc1057"/>
      <w:bookmarkStart w:id="230" w:name="_Toc20356"/>
      <w:bookmarkStart w:id="231" w:name="_Toc471482366"/>
      <w:bookmarkStart w:id="232" w:name="_Toc20601"/>
      <w:bookmarkStart w:id="233" w:name="_Toc22118"/>
      <w:bookmarkStart w:id="234" w:name="_Toc31034"/>
    </w:p>
    <w:p>
      <w:pPr>
        <w:spacing w:line="500" w:lineRule="exact"/>
        <w:ind w:firstLine="420" w:firstLineChars="200"/>
        <w:rPr>
          <w:rFonts w:ascii="宋体"/>
          <w:szCs w:val="21"/>
          <w:highlight w:val="none"/>
        </w:rPr>
      </w:pPr>
      <w:r>
        <w:rPr>
          <w:rFonts w:ascii="宋体" w:hAnsi="宋体" w:cs="宋体"/>
          <w:szCs w:val="21"/>
          <w:highlight w:val="none"/>
        </w:rPr>
        <w:t>1</w:t>
      </w:r>
      <w:r>
        <w:rPr>
          <w:rFonts w:ascii="宋体" w:hAnsi="宋体"/>
          <w:szCs w:val="21"/>
          <w:highlight w:val="none"/>
        </w:rPr>
        <w:t xml:space="preserve">7.2 </w:t>
      </w:r>
      <w:r>
        <w:rPr>
          <w:rFonts w:hint="eastAsia" w:ascii="宋体" w:hAnsi="宋体"/>
          <w:szCs w:val="21"/>
          <w:highlight w:val="none"/>
        </w:rPr>
        <w:t>比选发起人可以以补充通知方式，酌情延长递交比选申请文件的截止日期。在上述情况下，比选发起人与比选申请人在比选截止日期以前拥有的全部权力、责任和义务，将适用于延长后新的递交文件截止日期。</w:t>
      </w:r>
    </w:p>
    <w:p>
      <w:pPr>
        <w:spacing w:line="500" w:lineRule="exact"/>
        <w:ind w:firstLine="420" w:firstLineChars="200"/>
        <w:rPr>
          <w:szCs w:val="21"/>
          <w:highlight w:val="none"/>
        </w:rPr>
      </w:pPr>
      <w:r>
        <w:rPr>
          <w:rFonts w:ascii="宋体" w:hAnsi="宋体"/>
          <w:szCs w:val="21"/>
          <w:highlight w:val="none"/>
        </w:rPr>
        <w:t xml:space="preserve">17.3 </w:t>
      </w:r>
      <w:r>
        <w:rPr>
          <w:rFonts w:hint="eastAsia" w:ascii="宋体" w:hAnsi="宋体"/>
          <w:szCs w:val="21"/>
          <w:highlight w:val="none"/>
        </w:rPr>
        <w:t>凡没有以补</w:t>
      </w:r>
      <w:r>
        <w:rPr>
          <w:rFonts w:hint="eastAsia"/>
          <w:szCs w:val="21"/>
          <w:highlight w:val="none"/>
        </w:rPr>
        <w:t>充方式获得酌情延长递交文件截止日期的比选申请人，比选发起人将拒收在递交文件截止日期以后送到的比选申请文件。</w:t>
      </w:r>
    </w:p>
    <w:p>
      <w:pPr>
        <w:pStyle w:val="4"/>
        <w:spacing w:beforeLines="50" w:afterLines="50" w:line="500" w:lineRule="exact"/>
        <w:jc w:val="center"/>
        <w:rPr>
          <w:b/>
          <w:sz w:val="21"/>
          <w:szCs w:val="21"/>
          <w:highlight w:val="none"/>
        </w:rPr>
      </w:pPr>
      <w:bookmarkStart w:id="235" w:name="_Toc1268"/>
      <w:bookmarkStart w:id="236" w:name="_Toc31410"/>
      <w:bookmarkStart w:id="237" w:name="_Toc26025"/>
      <w:bookmarkStart w:id="238" w:name="_Toc26873"/>
      <w:bookmarkStart w:id="239" w:name="_Toc5184"/>
      <w:bookmarkStart w:id="240" w:name="_Toc16157"/>
      <w:bookmarkStart w:id="241" w:name="_Toc24817"/>
      <w:bookmarkStart w:id="242" w:name="_Toc13760"/>
      <w:r>
        <w:rPr>
          <w:rFonts w:hint="eastAsia"/>
          <w:b/>
          <w:sz w:val="21"/>
          <w:szCs w:val="21"/>
          <w:highlight w:val="none"/>
        </w:rPr>
        <w:t>六、</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Fonts w:hint="eastAsia"/>
          <w:b/>
          <w:sz w:val="21"/>
          <w:szCs w:val="21"/>
          <w:highlight w:val="none"/>
        </w:rPr>
        <w:t>评审</w:t>
      </w:r>
      <w:bookmarkEnd w:id="235"/>
      <w:bookmarkEnd w:id="236"/>
      <w:bookmarkEnd w:id="237"/>
      <w:bookmarkEnd w:id="238"/>
      <w:bookmarkEnd w:id="239"/>
      <w:bookmarkEnd w:id="240"/>
      <w:bookmarkEnd w:id="241"/>
      <w:bookmarkEnd w:id="242"/>
    </w:p>
    <w:p>
      <w:pPr>
        <w:tabs>
          <w:tab w:val="left" w:pos="8610"/>
        </w:tabs>
        <w:spacing w:line="500" w:lineRule="exact"/>
        <w:ind w:firstLine="422" w:firstLineChars="200"/>
        <w:rPr>
          <w:rFonts w:ascii="宋体" w:cs="宋体"/>
          <w:b/>
          <w:szCs w:val="21"/>
          <w:highlight w:val="none"/>
        </w:rPr>
      </w:pPr>
      <w:bookmarkStart w:id="243" w:name="_Toc436771484"/>
      <w:bookmarkStart w:id="244" w:name="_Toc535961531"/>
      <w:r>
        <w:rPr>
          <w:rFonts w:ascii="宋体" w:hAnsi="宋体" w:cs="宋体"/>
          <w:b/>
          <w:szCs w:val="21"/>
          <w:highlight w:val="none"/>
        </w:rPr>
        <w:t>18.</w:t>
      </w:r>
      <w:r>
        <w:rPr>
          <w:rFonts w:hint="eastAsia" w:ascii="宋体" w:hAnsi="宋体" w:cs="宋体"/>
          <w:b/>
          <w:szCs w:val="21"/>
          <w:highlight w:val="none"/>
        </w:rPr>
        <w:t>评审</w:t>
      </w:r>
      <w:bookmarkEnd w:id="243"/>
      <w:r>
        <w:rPr>
          <w:rFonts w:hint="eastAsia" w:ascii="宋体" w:hAnsi="宋体" w:cs="宋体"/>
          <w:b/>
          <w:szCs w:val="21"/>
          <w:highlight w:val="none"/>
        </w:rPr>
        <w:t>程序</w:t>
      </w:r>
      <w:bookmarkEnd w:id="244"/>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18.1 </w:t>
      </w:r>
      <w:r>
        <w:rPr>
          <w:rFonts w:hint="eastAsia" w:ascii="宋体" w:hAnsi="宋体" w:cs="宋体"/>
          <w:szCs w:val="21"/>
          <w:highlight w:val="none"/>
        </w:rPr>
        <w:t>比选发起人将于前附表第</w:t>
      </w:r>
      <w:r>
        <w:rPr>
          <w:rFonts w:ascii="宋体" w:hAnsi="宋体" w:cs="宋体"/>
          <w:szCs w:val="21"/>
          <w:highlight w:val="none"/>
        </w:rPr>
        <w:t>11</w:t>
      </w:r>
      <w:r>
        <w:rPr>
          <w:rFonts w:hint="eastAsia" w:ascii="宋体" w:hAnsi="宋体" w:cs="宋体"/>
          <w:szCs w:val="21"/>
          <w:highlight w:val="none"/>
        </w:rPr>
        <w:t>项规定的时间和地点举行评审会议，参加评审的比选申请人的法定代表人或授权委托代理人应签名报到，以证明其出席评审会议，并携带有效证明材料前往，以证实其身份。</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18.2 </w:t>
      </w:r>
      <w:r>
        <w:rPr>
          <w:rFonts w:hint="eastAsia" w:ascii="宋体" w:hAnsi="宋体" w:cs="宋体"/>
          <w:szCs w:val="21"/>
          <w:highlight w:val="none"/>
        </w:rPr>
        <w:t>本项目由南宁轨道交通集团有限责任公司相关人员组成评审小组，评审小组由</w:t>
      </w:r>
      <w:r>
        <w:rPr>
          <w:rFonts w:ascii="宋体" w:hAnsi="宋体" w:cs="宋体"/>
          <w:szCs w:val="21"/>
          <w:highlight w:val="none"/>
        </w:rPr>
        <w:t>3</w:t>
      </w:r>
      <w:r>
        <w:rPr>
          <w:rFonts w:hint="eastAsia" w:ascii="宋体" w:hAnsi="宋体" w:cs="宋体"/>
          <w:szCs w:val="21"/>
          <w:highlight w:val="none"/>
        </w:rPr>
        <w:t>人及以上单数组成，共同对比选申请文件按照评审标准的规定进行评审；由监督部门对评审过程进行全程视频监督。</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18.3 </w:t>
      </w:r>
      <w:r>
        <w:rPr>
          <w:rFonts w:hint="eastAsia" w:ascii="宋体" w:hAnsi="宋体" w:cs="宋体"/>
          <w:szCs w:val="21"/>
          <w:highlight w:val="none"/>
        </w:rPr>
        <w:t>评审小组成员应当独立、客观、公正地履行职责，遵守职业道德，对所提出的评审意见承担个人责任；评审小组成员及其他工作人员应对整个评审活动保密。</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18.4 </w:t>
      </w:r>
      <w:r>
        <w:rPr>
          <w:rFonts w:hint="eastAsia" w:ascii="宋体" w:hAnsi="宋体" w:cs="宋体"/>
          <w:szCs w:val="21"/>
          <w:highlight w:val="none"/>
        </w:rPr>
        <w:t>评审会议程序：</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）比选申请人的法定代表人或授权委托代理人应签名报到，比选人确认文件是否密封，文件外包装签署是否正确，比选申请人对结果签字确认，比选申请人退场；</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）启封比选申请文件的资格审查部分，移交评审小组进行资格审查；</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）主持人宣布审查结果，并宣读通过资格审查的比选申请人名称以及比选发起人认为需要的其他内容；</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）启封通过资格审查的比选申请文件的技术部分，移交评审小组评审；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5</w:t>
      </w:r>
      <w:r>
        <w:rPr>
          <w:rFonts w:hint="eastAsia" w:ascii="宋体" w:hAnsi="宋体" w:cs="宋体"/>
          <w:szCs w:val="21"/>
          <w:highlight w:val="none"/>
        </w:rPr>
        <w:t>）</w:t>
      </w:r>
      <w:r>
        <w:rPr>
          <w:rFonts w:hint="eastAsia" w:ascii="宋体" w:hAnsi="宋体" w:cs="宋体"/>
          <w:szCs w:val="21"/>
          <w:highlight w:val="none"/>
        </w:rPr>
        <w:t>启封通过资格审查的比选申请文件的商务部分</w:t>
      </w:r>
      <w:r>
        <w:rPr>
          <w:rFonts w:hint="eastAsia" w:ascii="宋体" w:hAnsi="宋体" w:cs="宋体"/>
          <w:szCs w:val="21"/>
          <w:highlight w:val="none"/>
        </w:rPr>
        <w:t>，移交评审小组评审；</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6</w:t>
      </w:r>
      <w:r>
        <w:rPr>
          <w:rFonts w:hint="eastAsia" w:ascii="宋体" w:hAnsi="宋体" w:cs="宋体"/>
          <w:szCs w:val="21"/>
          <w:highlight w:val="none"/>
        </w:rPr>
        <w:t>）在评审过程中工作人员做比选记录，评审小组在比选记录表上签字确认，主持人宣读比选结果；</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7</w:t>
      </w:r>
      <w:r>
        <w:rPr>
          <w:rFonts w:hint="eastAsia" w:ascii="宋体" w:hAnsi="宋体" w:cs="宋体"/>
          <w:szCs w:val="21"/>
          <w:highlight w:val="none"/>
        </w:rPr>
        <w:t>）评审结束。</w:t>
      </w:r>
    </w:p>
    <w:p>
      <w:pPr>
        <w:tabs>
          <w:tab w:val="left" w:pos="8610"/>
        </w:tabs>
        <w:spacing w:line="500" w:lineRule="exact"/>
        <w:ind w:firstLine="422" w:firstLineChars="200"/>
        <w:rPr>
          <w:rFonts w:ascii="宋体" w:cs="宋体"/>
          <w:b/>
          <w:szCs w:val="21"/>
          <w:highlight w:val="none"/>
        </w:rPr>
      </w:pPr>
      <w:bookmarkStart w:id="245" w:name="_Toc392862499"/>
      <w:bookmarkStart w:id="246" w:name="_Toc436771486"/>
      <w:bookmarkStart w:id="247" w:name="_Toc535961532"/>
      <w:r>
        <w:rPr>
          <w:rFonts w:ascii="宋体" w:hAnsi="宋体" w:cs="宋体"/>
          <w:b/>
          <w:szCs w:val="21"/>
          <w:highlight w:val="none"/>
        </w:rPr>
        <w:t>19.</w:t>
      </w:r>
      <w:r>
        <w:rPr>
          <w:rFonts w:hint="eastAsia" w:ascii="宋体" w:hAnsi="宋体" w:cs="宋体"/>
          <w:b/>
          <w:szCs w:val="21"/>
          <w:highlight w:val="none"/>
        </w:rPr>
        <w:t>评审</w:t>
      </w:r>
      <w:bookmarkEnd w:id="245"/>
      <w:bookmarkEnd w:id="246"/>
      <w:r>
        <w:rPr>
          <w:rFonts w:hint="eastAsia" w:ascii="宋体" w:hAnsi="宋体" w:cs="宋体"/>
          <w:b/>
          <w:szCs w:val="21"/>
          <w:highlight w:val="none"/>
        </w:rPr>
        <w:t>规则</w:t>
      </w:r>
      <w:bookmarkEnd w:id="247"/>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19.1 </w:t>
      </w:r>
      <w:r>
        <w:rPr>
          <w:rFonts w:hint="eastAsia" w:ascii="宋体" w:hAnsi="宋体" w:cs="宋体"/>
          <w:szCs w:val="21"/>
          <w:highlight w:val="none"/>
        </w:rPr>
        <w:t>本采购项目比选上限控制价为：人民币</w:t>
      </w:r>
      <w:r>
        <w:rPr>
          <w:rFonts w:ascii="宋体" w:hAnsi="宋体" w:cs="宋体"/>
          <w:szCs w:val="21"/>
          <w:highlight w:val="none"/>
        </w:rPr>
        <w:t xml:space="preserve"> 200,000.00</w:t>
      </w:r>
      <w:r>
        <w:rPr>
          <w:rFonts w:hint="eastAsia" w:ascii="宋体" w:hAnsi="宋体" w:cs="宋体"/>
          <w:szCs w:val="21"/>
          <w:highlight w:val="none"/>
        </w:rPr>
        <w:t>元</w:t>
      </w:r>
      <w:r>
        <w:rPr>
          <w:rFonts w:ascii="宋体" w:hAnsi="宋体" w:cs="宋体"/>
          <w:szCs w:val="21"/>
          <w:highlight w:val="none"/>
        </w:rPr>
        <w:t>(</w:t>
      </w:r>
      <w:r>
        <w:rPr>
          <w:rFonts w:hint="eastAsia" w:ascii="宋体" w:hAnsi="宋体" w:cs="宋体"/>
          <w:szCs w:val="21"/>
          <w:highlight w:val="none"/>
        </w:rPr>
        <w:t>含税</w:t>
      </w:r>
      <w:r>
        <w:rPr>
          <w:rFonts w:ascii="宋体" w:hAnsi="宋体" w:cs="宋体"/>
          <w:szCs w:val="21"/>
          <w:highlight w:val="none"/>
        </w:rPr>
        <w:t>)</w:t>
      </w:r>
      <w:r>
        <w:rPr>
          <w:rFonts w:hint="eastAsia" w:ascii="宋体" w:hAnsi="宋体" w:cs="宋体"/>
          <w:szCs w:val="21"/>
          <w:highlight w:val="none"/>
        </w:rPr>
        <w:t>，</w:t>
      </w:r>
      <w:r>
        <w:rPr>
          <w:rFonts w:ascii="宋体" w:hAnsi="宋体" w:cs="宋体"/>
          <w:szCs w:val="21"/>
          <w:highlight w:val="none"/>
        </w:rPr>
        <w:t>188,679.25</w:t>
      </w:r>
      <w:r>
        <w:rPr>
          <w:rFonts w:hint="eastAsia" w:ascii="宋体" w:hAnsi="宋体" w:cs="宋体"/>
          <w:szCs w:val="21"/>
          <w:highlight w:val="none"/>
        </w:rPr>
        <w:t>元</w:t>
      </w:r>
      <w:r>
        <w:rPr>
          <w:rFonts w:ascii="宋体" w:hAnsi="宋体" w:cs="宋体"/>
          <w:szCs w:val="21"/>
          <w:highlight w:val="none"/>
        </w:rPr>
        <w:t>(</w:t>
      </w:r>
      <w:r>
        <w:rPr>
          <w:rFonts w:hint="eastAsia" w:ascii="宋体" w:hAnsi="宋体" w:cs="宋体"/>
          <w:szCs w:val="21"/>
          <w:highlight w:val="none"/>
        </w:rPr>
        <w:t>不含税</w:t>
      </w:r>
      <w:r>
        <w:rPr>
          <w:rFonts w:ascii="宋体" w:hAnsi="宋体" w:cs="宋体"/>
          <w:szCs w:val="21"/>
          <w:highlight w:val="none"/>
        </w:rPr>
        <w:t>)</w:t>
      </w:r>
      <w:r>
        <w:rPr>
          <w:rFonts w:hint="eastAsia" w:ascii="宋体" w:hAnsi="宋体" w:cs="宋体"/>
          <w:szCs w:val="21"/>
          <w:highlight w:val="none"/>
        </w:rPr>
        <w:t>。当比选申请人报价超过上限控制价时，比选申请文件无效。</w:t>
      </w:r>
      <w:r>
        <w:rPr>
          <w:rFonts w:ascii="宋体" w:hAnsi="宋体" w:cs="宋体"/>
          <w:szCs w:val="21"/>
          <w:highlight w:val="none"/>
        </w:rPr>
        <w:t xml:space="preserve"> </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19.2 </w:t>
      </w:r>
      <w:r>
        <w:rPr>
          <w:rFonts w:hint="eastAsia" w:ascii="宋体" w:hAnsi="宋体" w:cs="宋体"/>
          <w:szCs w:val="21"/>
          <w:highlight w:val="none"/>
        </w:rPr>
        <w:t>比选申请人在评审过程中所进行的力图影响评审公正性的活动，可能导致其中选无效。</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19.3 </w:t>
      </w:r>
      <w:r>
        <w:rPr>
          <w:rFonts w:hint="eastAsia" w:ascii="宋体" w:hAnsi="宋体" w:cs="宋体"/>
          <w:szCs w:val="21"/>
          <w:highlight w:val="none"/>
        </w:rPr>
        <w:t>比选申请文件的澄清或说明：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1</w:t>
      </w:r>
      <w:r>
        <w:rPr>
          <w:rFonts w:hint="eastAsia" w:ascii="宋体" w:hAnsi="宋体" w:cs="宋体"/>
          <w:szCs w:val="21"/>
          <w:highlight w:val="none"/>
        </w:rPr>
        <w:t>）评审小组将以书面形式要求比选申请人就其比选申请文件中含义不明确、同类问题表述不一致或有明显文字错误等的内容予以澄清或说明；</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2</w:t>
      </w:r>
      <w:r>
        <w:rPr>
          <w:rFonts w:hint="eastAsia" w:ascii="宋体" w:hAnsi="宋体" w:cs="宋体"/>
          <w:szCs w:val="21"/>
          <w:highlight w:val="none"/>
        </w:rPr>
        <w:t>）比选申请人对要求澄清或说明的内容应在评审小组规定的时间内以书面形式予以澄清，该澄清或说明函应有法定代表人或其委托代理人的签名</w:t>
      </w:r>
      <w:r>
        <w:rPr>
          <w:rFonts w:hint="eastAsia"/>
          <w:highlight w:val="none"/>
        </w:rPr>
        <w:t>并盖法人单位公章</w:t>
      </w:r>
      <w:r>
        <w:rPr>
          <w:rFonts w:hint="eastAsia" w:ascii="宋体" w:hAnsi="宋体" w:cs="宋体"/>
          <w:szCs w:val="21"/>
          <w:highlight w:val="none"/>
        </w:rPr>
        <w:t>；</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3</w:t>
      </w:r>
      <w:r>
        <w:rPr>
          <w:rFonts w:hint="eastAsia" w:ascii="宋体" w:hAnsi="宋体" w:cs="宋体"/>
          <w:szCs w:val="21"/>
          <w:highlight w:val="none"/>
        </w:rPr>
        <w:t>）比选申请人的澄清或说明函作为比选申请文件的组成部分；</w:t>
      </w:r>
    </w:p>
    <w:p>
      <w:pPr>
        <w:tabs>
          <w:tab w:val="left" w:pos="8610"/>
        </w:tabs>
        <w:spacing w:line="500" w:lineRule="exact"/>
        <w:ind w:firstLine="315" w:firstLineChars="150"/>
        <w:rPr>
          <w:rFonts w:ascii="宋体" w:cs="宋体"/>
          <w:szCs w:val="21"/>
          <w:highlight w:val="none"/>
        </w:rPr>
      </w:pPr>
      <w:r>
        <w:rPr>
          <w:rFonts w:hint="eastAsia" w:ascii="宋体" w:hAnsi="宋体" w:cs="宋体"/>
          <w:szCs w:val="21"/>
          <w:highlight w:val="none"/>
        </w:rPr>
        <w:t>（</w:t>
      </w:r>
      <w:r>
        <w:rPr>
          <w:rFonts w:ascii="宋体" w:hAnsi="宋体" w:cs="宋体"/>
          <w:szCs w:val="21"/>
          <w:highlight w:val="none"/>
        </w:rPr>
        <w:t>4</w:t>
      </w:r>
      <w:r>
        <w:rPr>
          <w:rFonts w:hint="eastAsia" w:ascii="宋体" w:hAnsi="宋体" w:cs="宋体"/>
          <w:szCs w:val="21"/>
          <w:highlight w:val="none"/>
        </w:rPr>
        <w:t>）比选申请人对比选申请文件的澄清或说明不得超出比选申请文件的范围或改变比选的实质内容。</w:t>
      </w:r>
    </w:p>
    <w:p>
      <w:pPr>
        <w:tabs>
          <w:tab w:val="left" w:pos="8610"/>
        </w:tabs>
        <w:spacing w:line="500" w:lineRule="exact"/>
        <w:ind w:firstLine="422" w:firstLineChars="200"/>
        <w:rPr>
          <w:rFonts w:ascii="宋体" w:cs="宋体"/>
          <w:b/>
          <w:szCs w:val="21"/>
          <w:highlight w:val="none"/>
        </w:rPr>
      </w:pPr>
      <w:bookmarkStart w:id="248" w:name="_Toc535961533"/>
      <w:bookmarkStart w:id="249" w:name="_Toc436771487"/>
      <w:bookmarkStart w:id="250" w:name="_Toc114052375"/>
      <w:bookmarkStart w:id="251" w:name="_Toc286386859"/>
      <w:bookmarkStart w:id="252" w:name="_Toc392862500"/>
      <w:bookmarkStart w:id="253" w:name="_Toc114052439"/>
      <w:r>
        <w:rPr>
          <w:rFonts w:ascii="宋体" w:hAnsi="宋体" w:cs="宋体"/>
          <w:b/>
          <w:szCs w:val="21"/>
          <w:highlight w:val="none"/>
        </w:rPr>
        <w:t>20.</w:t>
      </w:r>
      <w:r>
        <w:rPr>
          <w:rFonts w:hint="eastAsia" w:ascii="宋体" w:hAnsi="宋体" w:cs="宋体"/>
          <w:b/>
          <w:szCs w:val="21"/>
          <w:highlight w:val="none"/>
        </w:rPr>
        <w:t>评审保密</w:t>
      </w:r>
      <w:bookmarkEnd w:id="248"/>
      <w:bookmarkEnd w:id="249"/>
      <w:bookmarkEnd w:id="250"/>
      <w:bookmarkEnd w:id="251"/>
      <w:bookmarkEnd w:id="252"/>
      <w:bookmarkEnd w:id="253"/>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20.1 </w:t>
      </w:r>
      <w:r>
        <w:rPr>
          <w:rFonts w:hint="eastAsia" w:ascii="宋体" w:hAnsi="宋体" w:cs="宋体"/>
          <w:szCs w:val="21"/>
          <w:highlight w:val="none"/>
        </w:rPr>
        <w:t>评审全过程内容和比选申请文件的评审结果，不得向比选申请人和与该过程无关的其他单位和个人泄露。</w:t>
      </w:r>
    </w:p>
    <w:p>
      <w:pPr>
        <w:tabs>
          <w:tab w:val="left" w:pos="8610"/>
        </w:tabs>
        <w:spacing w:line="500" w:lineRule="exact"/>
        <w:ind w:firstLine="420" w:firstLineChars="200"/>
        <w:rPr>
          <w:rFonts w:ascii="宋体" w:cs="宋体"/>
          <w:szCs w:val="21"/>
          <w:highlight w:val="none"/>
        </w:rPr>
      </w:pPr>
      <w:r>
        <w:rPr>
          <w:rFonts w:ascii="宋体" w:hAnsi="宋体" w:cs="宋体"/>
          <w:szCs w:val="21"/>
          <w:highlight w:val="none"/>
        </w:rPr>
        <w:t xml:space="preserve">20.2 </w:t>
      </w:r>
      <w:r>
        <w:rPr>
          <w:rFonts w:hint="eastAsia" w:ascii="宋体" w:hAnsi="宋体" w:cs="宋体"/>
          <w:szCs w:val="21"/>
          <w:highlight w:val="none"/>
        </w:rPr>
        <w:t>比选申请人对比选发起人和评审小组成员施加任何有影响的行为，都将被取消比选资格。</w:t>
      </w:r>
    </w:p>
    <w:p>
      <w:pPr>
        <w:spacing w:line="500" w:lineRule="exact"/>
        <w:ind w:firstLine="422" w:firstLineChars="200"/>
        <w:rPr>
          <w:rFonts w:ascii="宋体" w:cs="宋体"/>
          <w:b/>
          <w:szCs w:val="21"/>
          <w:highlight w:val="none"/>
        </w:rPr>
      </w:pPr>
      <w:bookmarkStart w:id="254" w:name="_Toc310318598"/>
      <w:r>
        <w:rPr>
          <w:rFonts w:ascii="宋体" w:hAnsi="宋体" w:cs="宋体"/>
          <w:b/>
          <w:szCs w:val="21"/>
          <w:highlight w:val="none"/>
        </w:rPr>
        <w:t>21.</w:t>
      </w:r>
      <w:r>
        <w:rPr>
          <w:rFonts w:hint="eastAsia" w:ascii="宋体" w:hAnsi="宋体" w:cs="宋体"/>
          <w:b/>
          <w:szCs w:val="21"/>
          <w:highlight w:val="none"/>
        </w:rPr>
        <w:t>比选申请文件评比</w:t>
      </w:r>
      <w:bookmarkEnd w:id="254"/>
      <w:r>
        <w:rPr>
          <w:rFonts w:hint="eastAsia" w:ascii="宋体" w:hAnsi="宋体" w:cs="宋体"/>
          <w:b/>
          <w:szCs w:val="21"/>
          <w:highlight w:val="none"/>
        </w:rPr>
        <w:t>相关要求</w:t>
      </w:r>
    </w:p>
    <w:p>
      <w:pPr>
        <w:spacing w:line="500" w:lineRule="exact"/>
        <w:ind w:firstLine="420" w:firstLineChars="200"/>
        <w:rPr>
          <w:rFonts w:ascii="宋体" w:cs="宋体"/>
          <w:szCs w:val="21"/>
          <w:highlight w:val="none"/>
        </w:rPr>
      </w:pPr>
      <w:r>
        <w:rPr>
          <w:rFonts w:ascii="宋体" w:hAnsi="宋体" w:cs="宋体"/>
          <w:szCs w:val="21"/>
          <w:highlight w:val="none"/>
        </w:rPr>
        <w:t xml:space="preserve">21.1 </w:t>
      </w:r>
      <w:r>
        <w:rPr>
          <w:rFonts w:hint="eastAsia" w:ascii="宋体" w:hAnsi="宋体" w:cs="宋体"/>
          <w:szCs w:val="21"/>
          <w:highlight w:val="none"/>
        </w:rPr>
        <w:t>比选申请人资格审查</w:t>
      </w:r>
    </w:p>
    <w:p>
      <w:pPr>
        <w:spacing w:line="500" w:lineRule="exact"/>
        <w:ind w:firstLine="420" w:firstLineChars="200"/>
        <w:rPr>
          <w:rFonts w:ascii="宋体" w:cs="宋体"/>
          <w:szCs w:val="21"/>
          <w:highlight w:val="none"/>
        </w:rPr>
      </w:pPr>
      <w:r>
        <w:rPr>
          <w:rFonts w:hint="eastAsia" w:ascii="宋体" w:hAnsi="宋体" w:cs="宋体"/>
          <w:szCs w:val="21"/>
          <w:highlight w:val="none"/>
        </w:rPr>
        <w:t>只有通过资格审查才能进入下一步的评比，资格审查资料有任何一项不合格者其资格审查视为不通过。</w:t>
      </w:r>
    </w:p>
    <w:p>
      <w:pPr>
        <w:spacing w:line="500" w:lineRule="exact"/>
        <w:ind w:firstLine="422" w:firstLineChars="200"/>
        <w:rPr>
          <w:rFonts w:ascii="宋体" w:cs="宋体"/>
          <w:b/>
          <w:szCs w:val="21"/>
          <w:highlight w:val="none"/>
        </w:rPr>
      </w:pPr>
      <w:r>
        <w:rPr>
          <w:rFonts w:ascii="宋体" w:hAnsi="宋体" w:cs="宋体"/>
          <w:b/>
          <w:szCs w:val="21"/>
          <w:highlight w:val="none"/>
        </w:rPr>
        <w:t xml:space="preserve">21.2 </w:t>
      </w:r>
      <w:r>
        <w:rPr>
          <w:rFonts w:hint="eastAsia" w:ascii="宋体" w:hAnsi="宋体" w:cs="宋体"/>
          <w:b/>
          <w:szCs w:val="21"/>
          <w:highlight w:val="none"/>
        </w:rPr>
        <w:t>比选申请人或其比选文件有下列情况之一者，其比选申请文件将视为无效或作废处理：</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1</w:t>
      </w:r>
      <w:r>
        <w:rPr>
          <w:rFonts w:hint="eastAsia" w:ascii="宋体" w:hAnsi="宋体" w:cs="宋体"/>
          <w:b/>
          <w:szCs w:val="21"/>
          <w:highlight w:val="none"/>
        </w:rPr>
        <w:t>）比选申请文件未按照规定的要求装订、密封和标记的；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2</w:t>
      </w:r>
      <w:r>
        <w:rPr>
          <w:rFonts w:hint="eastAsia" w:ascii="宋体" w:hAnsi="宋体" w:cs="宋体"/>
          <w:b/>
          <w:szCs w:val="21"/>
          <w:highlight w:val="none"/>
        </w:rPr>
        <w:t>）本须知第</w:t>
      </w:r>
      <w:r>
        <w:rPr>
          <w:rFonts w:ascii="宋体" w:hAnsi="宋体" w:cs="宋体"/>
          <w:b/>
          <w:szCs w:val="21"/>
          <w:highlight w:val="none"/>
        </w:rPr>
        <w:t>11</w:t>
      </w:r>
      <w:r>
        <w:rPr>
          <w:rFonts w:hint="eastAsia" w:ascii="宋体" w:hAnsi="宋体" w:cs="宋体"/>
          <w:b/>
          <w:szCs w:val="21"/>
          <w:highlight w:val="none"/>
        </w:rPr>
        <w:t>条规定的比选申请文件有关内容未按本须知第</w:t>
      </w:r>
      <w:r>
        <w:rPr>
          <w:rFonts w:ascii="宋体" w:hAnsi="宋体" w:cs="宋体"/>
          <w:b/>
          <w:szCs w:val="21"/>
          <w:highlight w:val="none"/>
        </w:rPr>
        <w:t>15</w:t>
      </w:r>
      <w:r>
        <w:rPr>
          <w:rFonts w:hint="eastAsia" w:ascii="宋体" w:hAnsi="宋体" w:cs="宋体"/>
          <w:b/>
          <w:szCs w:val="21"/>
          <w:highlight w:val="none"/>
        </w:rPr>
        <w:t>条规定加盖比选申请人公章、未经比选申请人负责人或其委托代理人签字或盖章的；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3</w:t>
      </w:r>
      <w:r>
        <w:rPr>
          <w:rFonts w:hint="eastAsia" w:ascii="宋体" w:hAnsi="宋体" w:cs="宋体"/>
          <w:b/>
          <w:szCs w:val="21"/>
          <w:highlight w:val="none"/>
        </w:rPr>
        <w:t>）不按本须知第</w:t>
      </w:r>
      <w:r>
        <w:rPr>
          <w:rFonts w:ascii="宋体" w:hAnsi="宋体" w:cs="宋体"/>
          <w:b/>
          <w:szCs w:val="21"/>
          <w:highlight w:val="none"/>
        </w:rPr>
        <w:t>11</w:t>
      </w:r>
      <w:r>
        <w:rPr>
          <w:rFonts w:hint="eastAsia" w:ascii="宋体" w:hAnsi="宋体" w:cs="宋体"/>
          <w:b/>
          <w:szCs w:val="21"/>
          <w:highlight w:val="none"/>
        </w:rPr>
        <w:t>条内容提供资料的；逾期递交比选申请文件的；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4</w:t>
      </w:r>
      <w:r>
        <w:rPr>
          <w:rFonts w:hint="eastAsia" w:ascii="宋体" w:hAnsi="宋体" w:cs="宋体"/>
          <w:b/>
          <w:szCs w:val="21"/>
          <w:highlight w:val="none"/>
        </w:rPr>
        <w:t>）比选申请文件内容不真实的；</w:t>
      </w:r>
    </w:p>
    <w:p>
      <w:pPr>
        <w:spacing w:line="500" w:lineRule="exact"/>
        <w:ind w:firstLine="310" w:firstLineChars="147"/>
        <w:rPr>
          <w:rFonts w:ascii="宋体" w:cs="宋体"/>
          <w:b/>
          <w:szCs w:val="21"/>
          <w:highlight w:val="none"/>
        </w:rPr>
      </w:pPr>
      <w:r>
        <w:rPr>
          <w:rFonts w:hint="eastAsia" w:ascii="宋体" w:hAnsi="宋体" w:cs="宋体"/>
          <w:b/>
          <w:szCs w:val="21"/>
          <w:highlight w:val="none"/>
        </w:rPr>
        <w:t>（</w:t>
      </w:r>
      <w:r>
        <w:rPr>
          <w:rFonts w:ascii="宋体" w:hAnsi="宋体" w:cs="宋体"/>
          <w:b/>
          <w:szCs w:val="21"/>
          <w:highlight w:val="none"/>
        </w:rPr>
        <w:t>5</w:t>
      </w:r>
      <w:r>
        <w:rPr>
          <w:rFonts w:hint="eastAsia" w:ascii="宋体" w:hAnsi="宋体" w:cs="宋体"/>
          <w:b/>
          <w:szCs w:val="21"/>
          <w:highlight w:val="none"/>
        </w:rPr>
        <w:t>）比选申请文件实质上没有响应比选文件的要求的；（包括以下内容：比选项目所涉及的人员配置、业绩、价格、服务内容、合同条款等）；</w:t>
      </w:r>
    </w:p>
    <w:p>
      <w:pPr>
        <w:spacing w:line="500" w:lineRule="exact"/>
        <w:ind w:firstLine="422" w:firstLineChars="200"/>
        <w:rPr>
          <w:rFonts w:ascii="宋体"/>
          <w:szCs w:val="21"/>
          <w:highlight w:val="none"/>
        </w:rPr>
      </w:pPr>
      <w:r>
        <w:rPr>
          <w:rFonts w:hint="eastAsia" w:ascii="宋体" w:hAnsi="宋体"/>
          <w:b/>
          <w:szCs w:val="21"/>
          <w:highlight w:val="none"/>
        </w:rPr>
        <w:t>（</w:t>
      </w:r>
      <w:r>
        <w:rPr>
          <w:rFonts w:ascii="宋体" w:hAnsi="宋体"/>
          <w:b/>
          <w:szCs w:val="21"/>
          <w:highlight w:val="none"/>
        </w:rPr>
        <w:t>6</w:t>
      </w:r>
      <w:r>
        <w:rPr>
          <w:rFonts w:hint="eastAsia" w:ascii="宋体" w:hAnsi="宋体"/>
          <w:b/>
          <w:szCs w:val="21"/>
          <w:highlight w:val="none"/>
        </w:rPr>
        <w:t>）比选申请人报价超过上控价的，</w:t>
      </w:r>
      <w:r>
        <w:rPr>
          <w:rFonts w:hint="eastAsia" w:ascii="宋体" w:hAnsi="宋体"/>
          <w:b/>
          <w:szCs w:val="21"/>
          <w:highlight w:val="none"/>
        </w:rPr>
        <w:t>比选申请文件作无效处理。</w:t>
      </w:r>
    </w:p>
    <w:p>
      <w:pPr>
        <w:spacing w:line="500" w:lineRule="exact"/>
        <w:ind w:firstLine="310" w:firstLineChars="147"/>
        <w:rPr>
          <w:rFonts w:ascii="宋体" w:cs="宋体"/>
          <w:b/>
          <w:szCs w:val="21"/>
          <w:highlight w:val="none"/>
        </w:rPr>
      </w:pPr>
      <w:r>
        <w:rPr>
          <w:rFonts w:ascii="宋体" w:hAnsi="宋体" w:cs="宋体"/>
          <w:b/>
          <w:szCs w:val="21"/>
          <w:highlight w:val="none"/>
        </w:rPr>
        <w:t xml:space="preserve"> </w:t>
      </w:r>
      <w:r>
        <w:rPr>
          <w:rFonts w:hint="eastAsia" w:ascii="宋体" w:hAnsi="宋体" w:cs="宋体"/>
          <w:b/>
          <w:szCs w:val="21"/>
          <w:highlight w:val="none"/>
        </w:rPr>
        <w:t>（</w:t>
      </w:r>
      <w:r>
        <w:rPr>
          <w:rFonts w:ascii="宋体" w:hAnsi="宋体" w:cs="宋体"/>
          <w:b/>
          <w:szCs w:val="21"/>
          <w:highlight w:val="none"/>
        </w:rPr>
        <w:t>7</w:t>
      </w:r>
      <w:r>
        <w:rPr>
          <w:rFonts w:hint="eastAsia" w:ascii="宋体" w:hAnsi="宋体" w:cs="宋体"/>
          <w:b/>
          <w:szCs w:val="21"/>
          <w:highlight w:val="none"/>
        </w:rPr>
        <w:t>）比选申请人不符合前附表第</w:t>
      </w:r>
      <w:r>
        <w:rPr>
          <w:rFonts w:ascii="宋体" w:hAnsi="宋体" w:cs="宋体"/>
          <w:b/>
          <w:szCs w:val="21"/>
          <w:highlight w:val="none"/>
        </w:rPr>
        <w:t>9</w:t>
      </w:r>
      <w:r>
        <w:rPr>
          <w:rFonts w:hint="eastAsia" w:ascii="宋体" w:hAnsi="宋体" w:cs="宋体"/>
          <w:b/>
          <w:szCs w:val="21"/>
          <w:highlight w:val="none"/>
        </w:rPr>
        <w:t>条所述资格要求或比选申请人符合前附表第</w:t>
      </w:r>
      <w:r>
        <w:rPr>
          <w:rFonts w:ascii="宋体" w:hAnsi="宋体" w:cs="宋体"/>
          <w:b/>
          <w:szCs w:val="21"/>
          <w:highlight w:val="none"/>
        </w:rPr>
        <w:t>9</w:t>
      </w:r>
      <w:r>
        <w:rPr>
          <w:rFonts w:hint="eastAsia" w:ascii="宋体" w:hAnsi="宋体" w:cs="宋体"/>
          <w:b/>
          <w:szCs w:val="21"/>
          <w:highlight w:val="none"/>
        </w:rPr>
        <w:t>条所述资格要求但就本比选项目分别提交两个（每个正本一份、副本四份）及以上的比选申请文件的。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21.3 </w:t>
      </w:r>
      <w:r>
        <w:rPr>
          <w:rFonts w:hint="eastAsia" w:ascii="宋体" w:hAnsi="宋体" w:cs="宋体"/>
          <w:szCs w:val="21"/>
          <w:highlight w:val="none"/>
        </w:rPr>
        <w:t>评比细则</w:t>
      </w:r>
    </w:p>
    <w:p>
      <w:pPr>
        <w:spacing w:line="500" w:lineRule="exact"/>
        <w:ind w:firstLine="420" w:firstLineChars="200"/>
        <w:rPr>
          <w:rFonts w:ascii="宋体" w:cs="宋体"/>
          <w:szCs w:val="21"/>
          <w:highlight w:val="none"/>
        </w:rPr>
      </w:pPr>
      <w:r>
        <w:rPr>
          <w:rFonts w:hint="eastAsia" w:ascii="宋体" w:hAnsi="宋体" w:cs="宋体"/>
          <w:szCs w:val="21"/>
          <w:highlight w:val="none"/>
        </w:rPr>
        <w:t>详见第四章。</w:t>
      </w:r>
    </w:p>
    <w:p>
      <w:pPr>
        <w:spacing w:line="500" w:lineRule="exact"/>
        <w:ind w:firstLine="420" w:firstLineChars="200"/>
        <w:rPr>
          <w:rFonts w:ascii="宋体" w:cs="宋体"/>
          <w:szCs w:val="21"/>
          <w:highlight w:val="none"/>
        </w:rPr>
      </w:pPr>
      <w:r>
        <w:rPr>
          <w:rFonts w:ascii="宋体" w:hAnsi="宋体" w:cs="宋体"/>
          <w:szCs w:val="21"/>
          <w:highlight w:val="none"/>
        </w:rPr>
        <w:t xml:space="preserve">21.4 </w:t>
      </w:r>
      <w:r>
        <w:rPr>
          <w:rFonts w:hint="eastAsia" w:ascii="宋体" w:hAnsi="宋体" w:cs="宋体"/>
          <w:szCs w:val="21"/>
          <w:highlight w:val="none"/>
        </w:rPr>
        <w:t>确定中选人</w:t>
      </w:r>
    </w:p>
    <w:p>
      <w:pPr>
        <w:spacing w:line="500" w:lineRule="exact"/>
        <w:ind w:firstLine="420" w:firstLineChars="200"/>
        <w:rPr>
          <w:rFonts w:ascii="宋体" w:cs="宋体"/>
          <w:szCs w:val="21"/>
          <w:highlight w:val="none"/>
        </w:rPr>
      </w:pPr>
      <w:r>
        <w:rPr>
          <w:rFonts w:hint="eastAsia" w:ascii="宋体" w:hAnsi="宋体" w:cs="宋体"/>
          <w:szCs w:val="21"/>
          <w:highlight w:val="none"/>
        </w:rPr>
        <w:t>评审小组将按照综合得分由低到高进行排序，得分最高的排名第一（当综合得分相同时</w:t>
      </w:r>
      <w:r>
        <w:rPr>
          <w:rFonts w:ascii="宋体" w:cs="宋体"/>
          <w:szCs w:val="21"/>
          <w:highlight w:val="none"/>
        </w:rPr>
        <w:t>,</w:t>
      </w:r>
      <w:r>
        <w:rPr>
          <w:rFonts w:hint="eastAsia" w:ascii="宋体" w:hAnsi="宋体" w:cs="宋体"/>
          <w:szCs w:val="21"/>
          <w:highlight w:val="none"/>
        </w:rPr>
        <w:t>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w:t>
      </w:r>
      <w:r>
        <w:rPr>
          <w:rFonts w:hint="eastAsia" w:ascii="宋体" w:hAnsi="宋体" w:cs="宋体"/>
          <w:szCs w:val="21"/>
          <w:highlight w:val="none"/>
        </w:rPr>
        <w:t>评审小组</w:t>
      </w:r>
      <w:r>
        <w:rPr>
          <w:rFonts w:hint="eastAsia" w:ascii="宋体" w:hAnsi="宋体" w:cs="宋体"/>
          <w:szCs w:val="21"/>
          <w:highlight w:val="none"/>
        </w:rPr>
        <w:t>提出的中选候选人名单排序依次确定其他中选候选人为中选人，也可以重新比选。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 </w:t>
      </w:r>
      <w:r>
        <w:rPr>
          <w:rFonts w:hint="eastAsia" w:ascii="宋体" w:hAnsi="宋体" w:cs="宋体"/>
          <w:szCs w:val="21"/>
          <w:highlight w:val="none"/>
        </w:rPr>
        <w:t>出现下列特殊情况之一，南宁轨道交通集团有限责任公司将重新组织比选：</w:t>
      </w:r>
    </w:p>
    <w:p>
      <w:pPr>
        <w:spacing w:line="500" w:lineRule="exact"/>
        <w:ind w:firstLine="420" w:firstLineChars="200"/>
        <w:rPr>
          <w:rFonts w:ascii="宋体" w:cs="宋体"/>
          <w:szCs w:val="21"/>
          <w:highlight w:val="none"/>
        </w:rPr>
      </w:pPr>
      <w:r>
        <w:rPr>
          <w:rFonts w:ascii="宋体" w:hAnsi="宋体" w:cs="宋体"/>
          <w:szCs w:val="21"/>
          <w:highlight w:val="none"/>
        </w:rPr>
        <w:t xml:space="preserve">21.5.1 </w:t>
      </w:r>
      <w:r>
        <w:rPr>
          <w:rFonts w:hint="eastAsia" w:ascii="宋体" w:hAnsi="宋体" w:cs="宋体"/>
          <w:szCs w:val="21"/>
          <w:highlight w:val="none"/>
        </w:rPr>
        <w:t>在比选申请文件递交截止时间到达时提交比选申请文件的比选申请人少于</w:t>
      </w:r>
      <w:r>
        <w:rPr>
          <w:rFonts w:ascii="宋体" w:hAnsi="宋体" w:cs="宋体"/>
          <w:szCs w:val="21"/>
          <w:highlight w:val="none"/>
        </w:rPr>
        <w:t>3</w:t>
      </w:r>
      <w:r>
        <w:rPr>
          <w:rFonts w:hint="eastAsia" w:ascii="宋体" w:hAnsi="宋体" w:cs="宋体"/>
          <w:szCs w:val="21"/>
          <w:highlight w:val="none"/>
        </w:rPr>
        <w:t>家的；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21.5.2 </w:t>
      </w:r>
      <w:r>
        <w:rPr>
          <w:rFonts w:hint="eastAsia" w:ascii="宋体" w:hAnsi="宋体" w:cs="宋体"/>
          <w:szCs w:val="21"/>
          <w:highlight w:val="none"/>
        </w:rPr>
        <w:t>在</w:t>
      </w:r>
      <w:r>
        <w:rPr>
          <w:rFonts w:hint="eastAsia" w:ascii="宋体" w:hAnsi="宋体" w:cs="宋体"/>
          <w:szCs w:val="21"/>
          <w:highlight w:val="none"/>
        </w:rPr>
        <w:t>比选申请文件有效的比选申请人不足</w:t>
      </w:r>
      <w:r>
        <w:rPr>
          <w:rFonts w:ascii="宋体" w:hAnsi="宋体" w:cs="宋体"/>
          <w:szCs w:val="21"/>
          <w:highlight w:val="none"/>
        </w:rPr>
        <w:t>2</w:t>
      </w:r>
      <w:r>
        <w:rPr>
          <w:rFonts w:hint="eastAsia" w:ascii="宋体" w:hAnsi="宋体" w:cs="宋体"/>
          <w:szCs w:val="21"/>
          <w:highlight w:val="none"/>
        </w:rPr>
        <w:t>家，且评委认为没有竞争力的；</w:t>
      </w:r>
    </w:p>
    <w:p>
      <w:pPr>
        <w:spacing w:line="500" w:lineRule="exact"/>
        <w:ind w:firstLine="420" w:firstLineChars="200"/>
        <w:rPr>
          <w:rFonts w:ascii="宋体" w:cs="宋体"/>
          <w:szCs w:val="21"/>
          <w:highlight w:val="none"/>
        </w:rPr>
      </w:pPr>
      <w:r>
        <w:rPr>
          <w:rFonts w:ascii="宋体" w:hAnsi="宋体" w:cs="宋体"/>
          <w:szCs w:val="21"/>
          <w:highlight w:val="none"/>
        </w:rPr>
        <w:t xml:space="preserve">21.5.3 </w:t>
      </w:r>
      <w:r>
        <w:rPr>
          <w:rFonts w:hint="eastAsia" w:ascii="宋体" w:hAnsi="宋体" w:cs="宋体"/>
          <w:szCs w:val="21"/>
          <w:highlight w:val="none"/>
        </w:rPr>
        <w:t>有效比选申请文件只有</w:t>
      </w:r>
      <w:r>
        <w:rPr>
          <w:rFonts w:ascii="宋体" w:hAnsi="宋体" w:cs="宋体"/>
          <w:szCs w:val="21"/>
          <w:highlight w:val="none"/>
        </w:rPr>
        <w:t>1</w:t>
      </w:r>
      <w:r>
        <w:rPr>
          <w:rFonts w:hint="eastAsia" w:ascii="宋体" w:hAnsi="宋体" w:cs="宋体"/>
          <w:szCs w:val="21"/>
          <w:highlight w:val="none"/>
        </w:rPr>
        <w:t>家或</w:t>
      </w:r>
      <w:r>
        <w:rPr>
          <w:rFonts w:ascii="宋体" w:cs="宋体"/>
          <w:szCs w:val="21"/>
          <w:highlight w:val="none"/>
        </w:rPr>
        <w:t>0</w:t>
      </w:r>
      <w:r>
        <w:rPr>
          <w:rFonts w:hint="eastAsia" w:ascii="宋体" w:hAnsi="宋体" w:cs="宋体"/>
          <w:szCs w:val="21"/>
          <w:highlight w:val="none"/>
        </w:rPr>
        <w:t>家的。</w:t>
      </w:r>
    </w:p>
    <w:p>
      <w:pPr>
        <w:spacing w:line="500" w:lineRule="exact"/>
        <w:ind w:firstLine="422" w:firstLineChars="200"/>
        <w:rPr>
          <w:rFonts w:ascii="宋体" w:cs="宋体"/>
          <w:b/>
          <w:szCs w:val="21"/>
          <w:highlight w:val="none"/>
        </w:rPr>
      </w:pPr>
      <w:bookmarkStart w:id="255" w:name="_Toc310318599"/>
      <w:bookmarkStart w:id="256" w:name="_Toc286386861"/>
      <w:bookmarkStart w:id="257" w:name="_Toc114052441"/>
      <w:bookmarkStart w:id="258" w:name="_Toc114052377"/>
      <w:r>
        <w:rPr>
          <w:rFonts w:ascii="宋体" w:hAnsi="宋体" w:cs="宋体"/>
          <w:b/>
          <w:szCs w:val="21"/>
          <w:highlight w:val="none"/>
        </w:rPr>
        <w:t>22.</w:t>
      </w:r>
      <w:r>
        <w:rPr>
          <w:rFonts w:hint="eastAsia" w:ascii="宋体" w:hAnsi="宋体" w:cs="宋体"/>
          <w:b/>
          <w:szCs w:val="21"/>
          <w:highlight w:val="none"/>
        </w:rPr>
        <w:t>评比结果公示</w:t>
      </w:r>
      <w:bookmarkEnd w:id="255"/>
      <w:bookmarkEnd w:id="256"/>
      <w:bookmarkEnd w:id="257"/>
      <w:bookmarkEnd w:id="258"/>
    </w:p>
    <w:p>
      <w:pPr>
        <w:spacing w:line="500" w:lineRule="exact"/>
        <w:ind w:firstLine="420" w:firstLineChars="200"/>
        <w:rPr>
          <w:rFonts w:ascii="宋体" w:cs="宋体"/>
          <w:szCs w:val="21"/>
          <w:highlight w:val="none"/>
        </w:rPr>
      </w:pPr>
      <w:r>
        <w:rPr>
          <w:rFonts w:ascii="宋体" w:hAnsi="宋体" w:cs="宋体"/>
          <w:szCs w:val="21"/>
          <w:highlight w:val="none"/>
        </w:rPr>
        <w:t xml:space="preserve">22.1 </w:t>
      </w:r>
      <w:r>
        <w:rPr>
          <w:rFonts w:hint="eastAsia" w:ascii="宋体" w:hAnsi="宋体" w:cs="宋体"/>
          <w:szCs w:val="21"/>
          <w:highlight w:val="none"/>
        </w:rPr>
        <w:t>在评比结束后，比选人将在南宁轨道交通集团有限责任公司官网</w:t>
      </w:r>
      <w:r>
        <w:rPr>
          <w:rFonts w:ascii="宋体" w:hAnsi="宋体" w:cs="宋体"/>
          <w:szCs w:val="21"/>
          <w:highlight w:val="none"/>
        </w:rPr>
        <w:t>(http://www.nngdjt.com/)</w:t>
      </w:r>
      <w:r>
        <w:rPr>
          <w:rFonts w:hint="eastAsia" w:ascii="宋体" w:hAnsi="宋体" w:cs="宋体"/>
          <w:szCs w:val="21"/>
          <w:highlight w:val="none"/>
        </w:rPr>
        <w:t>的招标招商中的中标信息处公示评比结果。</w:t>
      </w:r>
    </w:p>
    <w:p>
      <w:pPr>
        <w:spacing w:line="500" w:lineRule="exact"/>
        <w:ind w:firstLine="315" w:firstLineChars="150"/>
        <w:rPr>
          <w:rFonts w:ascii="宋体" w:cs="宋体"/>
          <w:szCs w:val="21"/>
          <w:highlight w:val="none"/>
        </w:rPr>
      </w:pPr>
      <w:r>
        <w:rPr>
          <w:rFonts w:ascii="宋体" w:hAnsi="宋体" w:cs="宋体"/>
          <w:szCs w:val="21"/>
          <w:highlight w:val="none"/>
        </w:rPr>
        <w:t xml:space="preserve"> 22.2 </w:t>
      </w:r>
      <w:r>
        <w:rPr>
          <w:rFonts w:hint="eastAsia" w:ascii="宋体" w:hAnsi="宋体" w:cs="宋体"/>
          <w:szCs w:val="21"/>
          <w:highlight w:val="none"/>
        </w:rPr>
        <w:t>比选申请人如对评比结果有异议，在评比结果公示</w:t>
      </w:r>
      <w:r>
        <w:rPr>
          <w:rFonts w:ascii="宋体" w:hAnsi="宋体" w:cs="宋体"/>
          <w:szCs w:val="21"/>
          <w:highlight w:val="none"/>
        </w:rPr>
        <w:t>3</w:t>
      </w:r>
      <w:r>
        <w:rPr>
          <w:rFonts w:hint="eastAsia" w:ascii="宋体" w:hAnsi="宋体" w:cs="宋体"/>
          <w:szCs w:val="21"/>
          <w:highlight w:val="none"/>
        </w:rPr>
        <w:t>天内，可以书面形式向比选人提出质疑。比选人应当在收到比选申请人的书面质疑后</w:t>
      </w:r>
      <w:r>
        <w:rPr>
          <w:rFonts w:ascii="宋体" w:hAnsi="宋体" w:cs="宋体"/>
          <w:szCs w:val="21"/>
          <w:highlight w:val="none"/>
        </w:rPr>
        <w:t>5</w:t>
      </w:r>
      <w:r>
        <w:rPr>
          <w:rFonts w:hint="eastAsia" w:ascii="宋体" w:hAnsi="宋体" w:cs="宋体"/>
          <w:szCs w:val="21"/>
          <w:highlight w:val="none"/>
        </w:rPr>
        <w:t>个工作日内做出答复，但答复的内容不得涉及商业秘密。</w:t>
      </w:r>
    </w:p>
    <w:p>
      <w:pPr>
        <w:pStyle w:val="4"/>
        <w:spacing w:beforeLines="50" w:afterLines="50" w:line="500" w:lineRule="exact"/>
        <w:jc w:val="center"/>
        <w:rPr>
          <w:b/>
          <w:sz w:val="21"/>
          <w:szCs w:val="21"/>
          <w:highlight w:val="none"/>
        </w:rPr>
      </w:pPr>
      <w:bookmarkStart w:id="259" w:name="_Toc7357"/>
      <w:bookmarkStart w:id="260" w:name="_Toc30023"/>
      <w:bookmarkStart w:id="261" w:name="_Toc19549"/>
      <w:bookmarkStart w:id="262" w:name="_Toc5074"/>
      <w:bookmarkStart w:id="263" w:name="_Toc24316"/>
      <w:bookmarkStart w:id="264" w:name="_Toc13919"/>
      <w:bookmarkStart w:id="265" w:name="_Toc18764"/>
      <w:bookmarkStart w:id="266" w:name="_Toc4943"/>
      <w:bookmarkStart w:id="267" w:name="_Toc15810"/>
      <w:bookmarkStart w:id="268" w:name="_Toc529"/>
      <w:bookmarkStart w:id="269" w:name="_Toc28390"/>
      <w:bookmarkStart w:id="270" w:name="_Toc20403"/>
      <w:bookmarkStart w:id="271" w:name="_Toc16746"/>
      <w:bookmarkStart w:id="272" w:name="_Toc8363"/>
      <w:bookmarkStart w:id="273" w:name="_Toc6141"/>
      <w:bookmarkStart w:id="274" w:name="_Toc12149"/>
      <w:bookmarkStart w:id="275" w:name="_Toc17996"/>
      <w:bookmarkStart w:id="276" w:name="_Toc16935"/>
      <w:bookmarkStart w:id="277" w:name="_Toc471482367"/>
      <w:bookmarkStart w:id="278" w:name="_Toc12010"/>
      <w:bookmarkStart w:id="279" w:name="_Toc461525303"/>
      <w:bookmarkStart w:id="280" w:name="_Toc24212"/>
      <w:r>
        <w:rPr>
          <w:rFonts w:hint="eastAsia"/>
          <w:b/>
          <w:sz w:val="21"/>
          <w:szCs w:val="21"/>
          <w:highlight w:val="none"/>
        </w:rPr>
        <w:t>七、授予合同</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spacing w:line="460" w:lineRule="exact"/>
        <w:ind w:firstLine="422" w:firstLineChars="200"/>
        <w:rPr>
          <w:rFonts w:ascii="宋体" w:cs="宋体"/>
          <w:szCs w:val="21"/>
          <w:highlight w:val="none"/>
        </w:rPr>
      </w:pPr>
      <w:r>
        <w:rPr>
          <w:rFonts w:ascii="宋体" w:hAnsi="宋体" w:cs="宋体"/>
          <w:b/>
          <w:szCs w:val="21"/>
          <w:highlight w:val="none"/>
        </w:rPr>
        <w:t>23.</w:t>
      </w:r>
      <w:r>
        <w:rPr>
          <w:rFonts w:hint="eastAsia" w:ascii="宋体" w:hAnsi="宋体" w:cs="宋体"/>
          <w:b/>
          <w:szCs w:val="21"/>
          <w:highlight w:val="none"/>
        </w:rPr>
        <w:t>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23.1 </w:t>
      </w:r>
      <w:r>
        <w:rPr>
          <w:rFonts w:hint="eastAsia" w:ascii="宋体" w:hAnsi="宋体" w:cs="宋体"/>
          <w:szCs w:val="21"/>
          <w:highlight w:val="none"/>
        </w:rPr>
        <w:t>比选人将向中选人发出中选通知书。</w:t>
      </w:r>
    </w:p>
    <w:p>
      <w:pPr>
        <w:spacing w:line="460" w:lineRule="exact"/>
        <w:ind w:firstLine="420" w:firstLineChars="200"/>
        <w:rPr>
          <w:rFonts w:ascii="宋体" w:cs="宋体"/>
          <w:szCs w:val="21"/>
          <w:highlight w:val="none"/>
        </w:rPr>
      </w:pPr>
      <w:r>
        <w:rPr>
          <w:rFonts w:ascii="宋体" w:hAnsi="宋体" w:cs="宋体"/>
          <w:szCs w:val="21"/>
          <w:highlight w:val="none"/>
        </w:rPr>
        <w:t xml:space="preserve">23.2 </w:t>
      </w:r>
      <w:r>
        <w:rPr>
          <w:rFonts w:hint="eastAsia" w:ascii="宋体" w:hAnsi="宋体" w:cs="宋体"/>
          <w:szCs w:val="21"/>
          <w:highlight w:val="none"/>
        </w:rPr>
        <w:t>比选人无义务向落选的比选申请人解释落选原因和退还比选申请文件。</w:t>
      </w:r>
    </w:p>
    <w:p>
      <w:pPr>
        <w:spacing w:line="460" w:lineRule="exact"/>
        <w:ind w:firstLine="420" w:firstLineChars="200"/>
        <w:rPr>
          <w:rFonts w:ascii="宋体" w:cs="宋体"/>
          <w:szCs w:val="21"/>
          <w:highlight w:val="none"/>
        </w:rPr>
      </w:pPr>
      <w:r>
        <w:rPr>
          <w:rFonts w:ascii="宋体" w:hAnsi="宋体" w:cs="宋体"/>
          <w:szCs w:val="21"/>
          <w:highlight w:val="none"/>
        </w:rPr>
        <w:t xml:space="preserve">23.3 </w:t>
      </w:r>
      <w:r>
        <w:rPr>
          <w:rFonts w:hint="eastAsia" w:ascii="宋体" w:hAnsi="宋体" w:cs="宋体"/>
          <w:szCs w:val="21"/>
          <w:highlight w:val="none"/>
        </w:rPr>
        <w:t>中选通知书作为合同的组成部分。</w:t>
      </w:r>
    </w:p>
    <w:p>
      <w:pPr>
        <w:spacing w:line="460" w:lineRule="exact"/>
        <w:ind w:firstLine="422" w:firstLineChars="200"/>
        <w:rPr>
          <w:rFonts w:ascii="宋体" w:cs="宋体"/>
          <w:b/>
          <w:szCs w:val="21"/>
          <w:highlight w:val="none"/>
        </w:rPr>
      </w:pPr>
      <w:r>
        <w:rPr>
          <w:rFonts w:ascii="宋体" w:hAnsi="宋体" w:cs="宋体"/>
          <w:b/>
          <w:szCs w:val="21"/>
          <w:highlight w:val="none"/>
        </w:rPr>
        <w:t>24.</w:t>
      </w:r>
      <w:r>
        <w:rPr>
          <w:rFonts w:hint="eastAsia" w:ascii="宋体" w:hAnsi="宋体" w:cs="宋体"/>
          <w:b/>
          <w:szCs w:val="21"/>
          <w:highlight w:val="none"/>
        </w:rPr>
        <w:t>合同的签署</w:t>
      </w:r>
    </w:p>
    <w:p>
      <w:pPr>
        <w:spacing w:line="460" w:lineRule="exact"/>
        <w:ind w:firstLine="420" w:firstLineChars="200"/>
        <w:rPr>
          <w:rFonts w:ascii="宋体" w:cs="宋体"/>
          <w:szCs w:val="21"/>
          <w:highlight w:val="none"/>
        </w:rPr>
      </w:pPr>
      <w:r>
        <w:rPr>
          <w:rFonts w:ascii="宋体" w:hAnsi="宋体" w:cs="宋体"/>
          <w:szCs w:val="21"/>
          <w:highlight w:val="none"/>
        </w:rPr>
        <w:t>24.1</w:t>
      </w:r>
      <w:r>
        <w:rPr>
          <w:rFonts w:hint="eastAsia" w:ascii="宋体" w:hAnsi="宋体" w:cs="宋体"/>
          <w:szCs w:val="21"/>
          <w:highlight w:val="none"/>
        </w:rPr>
        <w:t>中选人收到中选通知书后</w:t>
      </w:r>
      <w:r>
        <w:rPr>
          <w:rFonts w:ascii="宋体" w:hAnsi="宋体" w:cs="宋体"/>
          <w:szCs w:val="21"/>
          <w:highlight w:val="none"/>
        </w:rPr>
        <w:t>20</w:t>
      </w:r>
      <w:r>
        <w:rPr>
          <w:rFonts w:hint="eastAsia" w:ascii="宋体" w:hAnsi="宋体" w:cs="宋体"/>
          <w:szCs w:val="21"/>
          <w:highlight w:val="none"/>
        </w:rPr>
        <w:t>日内，中选单位法定代表人或授权代理人与</w:t>
      </w:r>
      <w:r>
        <w:rPr>
          <w:rFonts w:hint="eastAsia" w:ascii="宋体" w:hAnsi="宋体" w:cs="宋体"/>
          <w:szCs w:val="21"/>
          <w:highlight w:val="none"/>
        </w:rPr>
        <w:t>比选发起人</w:t>
      </w:r>
      <w:r>
        <w:rPr>
          <w:rFonts w:hint="eastAsia" w:ascii="宋体" w:hAnsi="宋体" w:cs="宋体"/>
          <w:szCs w:val="21"/>
          <w:highlight w:val="none"/>
        </w:rPr>
        <w:t>联系办理合同签订事宜。若逾期</w:t>
      </w:r>
      <w:r>
        <w:rPr>
          <w:rFonts w:hint="eastAsia" w:ascii="宋体" w:hAnsi="宋体" w:cs="宋体"/>
          <w:szCs w:val="21"/>
          <w:highlight w:val="none"/>
        </w:rPr>
        <w:t>比选发起人</w:t>
      </w:r>
      <w:r>
        <w:rPr>
          <w:rFonts w:hint="eastAsia" w:ascii="宋体" w:hAnsi="宋体" w:cs="宋体"/>
          <w:szCs w:val="21"/>
          <w:highlight w:val="none"/>
        </w:rPr>
        <w:t>有权取消其中选资格，并选择评审排名次之的比选申请人为本项目中选人；中选的比选申请人若因自己的原因不能履约签订合同，比选发起人将取消其中选资格并且列为不诚信单位，并在后续排名中选候选人中依次向上递补确定中选人或重新比选确定中选人。</w:t>
      </w:r>
      <w:r>
        <w:rPr>
          <w:rFonts w:ascii="楷体_GB2312" w:eastAsia="楷体_GB2312"/>
          <w:b/>
          <w:sz w:val="24"/>
          <w:highlight w:val="none"/>
        </w:rPr>
        <w:br w:type="page"/>
      </w:r>
    </w:p>
    <w:p>
      <w:pPr>
        <w:pStyle w:val="3"/>
        <w:spacing w:before="0" w:after="0" w:line="600" w:lineRule="exact"/>
        <w:rPr>
          <w:rFonts w:ascii="宋体"/>
          <w:szCs w:val="28"/>
          <w:highlight w:val="none"/>
        </w:rPr>
      </w:pPr>
      <w:bookmarkStart w:id="281" w:name="_Toc23613"/>
      <w:bookmarkStart w:id="282" w:name="_Toc3339"/>
      <w:bookmarkStart w:id="283" w:name="_Toc19761"/>
      <w:bookmarkStart w:id="284" w:name="_Toc11246"/>
      <w:bookmarkStart w:id="285" w:name="_Toc30996"/>
      <w:bookmarkStart w:id="286" w:name="_Toc7444"/>
      <w:bookmarkStart w:id="287" w:name="_Toc4447"/>
      <w:bookmarkStart w:id="288" w:name="_Toc535961544"/>
      <w:bookmarkStart w:id="289" w:name="_Toc4368"/>
      <w:bookmarkStart w:id="290" w:name="_Toc471482368"/>
      <w:bookmarkStart w:id="291" w:name="_Toc5964"/>
      <w:bookmarkStart w:id="292" w:name="_Toc21670"/>
      <w:bookmarkStart w:id="293" w:name="_Toc31070"/>
      <w:bookmarkStart w:id="294" w:name="_Toc12854"/>
      <w:bookmarkStart w:id="295" w:name="_Toc16062"/>
      <w:bookmarkStart w:id="296" w:name="_Toc4769"/>
      <w:bookmarkStart w:id="297" w:name="_Toc21358"/>
      <w:bookmarkStart w:id="298" w:name="_Toc2960"/>
      <w:bookmarkStart w:id="299" w:name="_Toc461525304"/>
      <w:bookmarkStart w:id="300" w:name="_Toc1354"/>
      <w:bookmarkStart w:id="301" w:name="_Toc7234"/>
      <w:bookmarkStart w:id="302" w:name="_Toc333307121"/>
      <w:r>
        <w:rPr>
          <w:rFonts w:hint="eastAsia" w:ascii="宋体" w:hAnsi="宋体"/>
          <w:szCs w:val="28"/>
          <w:highlight w:val="none"/>
        </w:rPr>
        <w:t>第二章</w:t>
      </w:r>
      <w:bookmarkStart w:id="303" w:name="_Toc392862509"/>
      <w:r>
        <w:rPr>
          <w:rFonts w:ascii="宋体" w:hAnsi="宋体"/>
          <w:szCs w:val="28"/>
          <w:highlight w:val="none"/>
        </w:rPr>
        <w:t xml:space="preserve"> </w:t>
      </w:r>
      <w:r>
        <w:rPr>
          <w:rFonts w:hint="eastAsia" w:ascii="宋体" w:hAnsi="宋体"/>
          <w:szCs w:val="28"/>
          <w:highlight w:val="none"/>
        </w:rPr>
        <w:t>合同条款（格式）</w:t>
      </w:r>
      <w:bookmarkEnd w:id="281"/>
      <w:bookmarkEnd w:id="282"/>
      <w:bookmarkEnd w:id="283"/>
      <w:bookmarkEnd w:id="284"/>
      <w:bookmarkEnd w:id="285"/>
      <w:bookmarkEnd w:id="286"/>
      <w:bookmarkEnd w:id="287"/>
      <w:bookmarkEnd w:id="288"/>
      <w:bookmarkEnd w:id="289"/>
    </w:p>
    <w:bookmarkEnd w:id="303"/>
    <w:p>
      <w:pPr>
        <w:widowControl/>
        <w:spacing w:line="600" w:lineRule="exact"/>
        <w:jc w:val="center"/>
        <w:rPr>
          <w:rFonts w:ascii="宋体"/>
          <w:bCs/>
          <w:sz w:val="28"/>
          <w:highlight w:val="none"/>
        </w:rPr>
      </w:pPr>
    </w:p>
    <w:p>
      <w:pPr>
        <w:widowControl/>
        <w:spacing w:line="600" w:lineRule="exact"/>
        <w:jc w:val="center"/>
        <w:rPr>
          <w:rFonts w:ascii="宋体"/>
          <w:b/>
          <w:sz w:val="44"/>
          <w:szCs w:val="44"/>
          <w:highlight w:val="none"/>
        </w:rPr>
      </w:pPr>
      <w:r>
        <w:rPr>
          <w:rFonts w:hint="eastAsia" w:ascii="宋体" w:hAnsi="宋体"/>
          <w:b/>
          <w:sz w:val="44"/>
          <w:szCs w:val="44"/>
          <w:highlight w:val="none"/>
        </w:rPr>
        <w:t>南宁轨道交通集团有限责任公司</w:t>
      </w:r>
      <w:r>
        <w:rPr>
          <w:rFonts w:ascii="宋体" w:hAnsi="宋体"/>
          <w:b/>
          <w:sz w:val="44"/>
          <w:szCs w:val="44"/>
          <w:highlight w:val="none"/>
        </w:rPr>
        <w:t>2022</w:t>
      </w:r>
      <w:r>
        <w:rPr>
          <w:rFonts w:hint="eastAsia" w:ascii="宋体" w:hAnsi="宋体"/>
          <w:b/>
          <w:sz w:val="44"/>
          <w:szCs w:val="44"/>
          <w:highlight w:val="none"/>
        </w:rPr>
        <w:t>年度</w:t>
      </w:r>
    </w:p>
    <w:p>
      <w:pPr>
        <w:widowControl/>
        <w:spacing w:line="600" w:lineRule="exact"/>
        <w:jc w:val="center"/>
        <w:rPr>
          <w:rFonts w:ascii="宋体"/>
          <w:b/>
          <w:sz w:val="44"/>
          <w:szCs w:val="44"/>
          <w:highlight w:val="none"/>
        </w:rPr>
      </w:pPr>
      <w:r>
        <w:rPr>
          <w:rFonts w:hint="eastAsia" w:ascii="宋体" w:hAnsi="宋体"/>
          <w:b/>
          <w:sz w:val="44"/>
          <w:szCs w:val="44"/>
          <w:highlight w:val="none"/>
        </w:rPr>
        <w:t>集团公司本部内控自评价及</w:t>
      </w:r>
      <w:r>
        <w:rPr>
          <w:rFonts w:ascii="宋体" w:hAnsi="宋体"/>
          <w:b/>
          <w:sz w:val="44"/>
          <w:szCs w:val="44"/>
          <w:highlight w:val="none"/>
        </w:rPr>
        <w:t>6</w:t>
      </w:r>
      <w:r>
        <w:rPr>
          <w:rFonts w:hint="eastAsia" w:ascii="宋体" w:hAnsi="宋体"/>
          <w:b/>
          <w:sz w:val="44"/>
          <w:szCs w:val="44"/>
          <w:highlight w:val="none"/>
        </w:rPr>
        <w:t>家重要全资、</w:t>
      </w:r>
    </w:p>
    <w:p>
      <w:pPr>
        <w:widowControl/>
        <w:spacing w:line="600" w:lineRule="exact"/>
        <w:jc w:val="center"/>
        <w:rPr>
          <w:rFonts w:ascii="宋体"/>
          <w:b/>
          <w:sz w:val="44"/>
          <w:szCs w:val="44"/>
          <w:highlight w:val="none"/>
        </w:rPr>
      </w:pPr>
      <w:r>
        <w:rPr>
          <w:rFonts w:hint="eastAsia" w:ascii="宋体" w:hAnsi="宋体"/>
          <w:b/>
          <w:sz w:val="44"/>
          <w:szCs w:val="44"/>
          <w:highlight w:val="none"/>
        </w:rPr>
        <w:t>控股子公司内控监督评价项目合同书</w:t>
      </w:r>
    </w:p>
    <w:p>
      <w:pPr>
        <w:spacing w:line="360" w:lineRule="auto"/>
        <w:jc w:val="center"/>
        <w:rPr>
          <w:rFonts w:ascii="宋体"/>
          <w:b/>
          <w:bCs/>
          <w:sz w:val="44"/>
          <w:highlight w:val="none"/>
        </w:rPr>
      </w:pPr>
    </w:p>
    <w:p>
      <w:pPr>
        <w:spacing w:line="360" w:lineRule="auto"/>
        <w:jc w:val="center"/>
        <w:rPr>
          <w:rFonts w:ascii="宋体"/>
          <w:b/>
          <w:bCs/>
          <w:sz w:val="44"/>
          <w:highlight w:val="none"/>
        </w:rPr>
      </w:pPr>
    </w:p>
    <w:p>
      <w:pPr>
        <w:spacing w:line="360" w:lineRule="auto"/>
        <w:ind w:firstLine="3507" w:firstLineChars="794"/>
        <w:rPr>
          <w:rFonts w:ascii="宋体"/>
          <w:b/>
          <w:bCs/>
          <w:sz w:val="44"/>
          <w:highlight w:val="none"/>
        </w:rPr>
      </w:pPr>
    </w:p>
    <w:p>
      <w:pPr>
        <w:spacing w:line="360" w:lineRule="auto"/>
        <w:ind w:firstLine="3507" w:firstLineChars="794"/>
        <w:rPr>
          <w:rFonts w:ascii="宋体"/>
          <w:b/>
          <w:bCs/>
          <w:sz w:val="44"/>
          <w:highlight w:val="none"/>
        </w:rPr>
      </w:pPr>
    </w:p>
    <w:p>
      <w:pPr>
        <w:ind w:firstLine="1995" w:firstLineChars="552"/>
        <w:rPr>
          <w:rFonts w:ascii="宋体"/>
          <w:b/>
          <w:sz w:val="36"/>
          <w:szCs w:val="36"/>
          <w:highlight w:val="none"/>
          <w:u w:val="single"/>
        </w:rPr>
      </w:pPr>
    </w:p>
    <w:p>
      <w:pPr>
        <w:ind w:firstLine="1995" w:firstLineChars="552"/>
        <w:rPr>
          <w:rFonts w:ascii="宋体"/>
          <w:b/>
          <w:sz w:val="36"/>
          <w:szCs w:val="36"/>
          <w:highlight w:val="none"/>
          <w:u w:val="single"/>
        </w:rPr>
      </w:pPr>
    </w:p>
    <w:p>
      <w:pPr>
        <w:ind w:firstLine="1995" w:firstLineChars="552"/>
        <w:rPr>
          <w:rFonts w:ascii="宋体"/>
          <w:b/>
          <w:sz w:val="36"/>
          <w:szCs w:val="36"/>
          <w:highlight w:val="none"/>
          <w:u w:val="single"/>
        </w:rPr>
      </w:pPr>
    </w:p>
    <w:p>
      <w:pPr>
        <w:tabs>
          <w:tab w:val="left" w:pos="7200"/>
        </w:tabs>
        <w:spacing w:line="360" w:lineRule="auto"/>
        <w:jc w:val="center"/>
        <w:rPr>
          <w:rFonts w:ascii="宋体"/>
          <w:b/>
          <w:sz w:val="36"/>
          <w:szCs w:val="36"/>
          <w:highlight w:val="none"/>
          <w:u w:val="single"/>
        </w:rPr>
      </w:pPr>
      <w:r>
        <w:rPr>
          <w:rFonts w:hint="eastAsia" w:ascii="宋体" w:hAnsi="宋体"/>
          <w:b/>
          <w:sz w:val="36"/>
          <w:szCs w:val="36"/>
          <w:highlight w:val="none"/>
        </w:rPr>
        <w:t>甲方：</w:t>
      </w:r>
      <w:r>
        <w:rPr>
          <w:rFonts w:hint="eastAsia" w:ascii="宋体" w:hAnsi="宋体"/>
          <w:b/>
          <w:sz w:val="36"/>
          <w:szCs w:val="36"/>
          <w:highlight w:val="none"/>
          <w:u w:val="single"/>
        </w:rPr>
        <w:t>南宁轨道交通集团有限责任公司</w:t>
      </w:r>
    </w:p>
    <w:p>
      <w:pPr>
        <w:tabs>
          <w:tab w:val="left" w:pos="7380"/>
        </w:tabs>
        <w:spacing w:line="360" w:lineRule="auto"/>
        <w:ind w:left="0" w:leftChars="0" w:firstLine="1485" w:firstLineChars="411"/>
        <w:rPr>
          <w:rFonts w:ascii="宋体"/>
          <w:b/>
          <w:sz w:val="36"/>
          <w:szCs w:val="36"/>
          <w:highlight w:val="none"/>
        </w:rPr>
      </w:pPr>
      <w:r>
        <w:rPr>
          <w:rFonts w:hint="eastAsia" w:ascii="宋体" w:hAnsi="宋体"/>
          <w:b/>
          <w:sz w:val="36"/>
          <w:szCs w:val="36"/>
          <w:highlight w:val="none"/>
        </w:rPr>
        <w:t>乙方：</w:t>
      </w:r>
      <w:r>
        <w:rPr>
          <w:rFonts w:ascii="宋体" w:hAnsi="宋体"/>
          <w:b/>
          <w:sz w:val="36"/>
          <w:szCs w:val="36"/>
          <w:highlight w:val="none"/>
        </w:rPr>
        <w:t xml:space="preserve">                             </w:t>
      </w:r>
    </w:p>
    <w:p>
      <w:pPr>
        <w:tabs>
          <w:tab w:val="left" w:pos="7380"/>
        </w:tabs>
        <w:spacing w:line="360" w:lineRule="auto"/>
        <w:ind w:firstLine="1995" w:firstLineChars="552"/>
        <w:rPr>
          <w:rFonts w:ascii="宋体"/>
          <w:b/>
          <w:sz w:val="36"/>
          <w:szCs w:val="36"/>
          <w:highlight w:val="none"/>
          <w:u w:val="single"/>
        </w:rPr>
      </w:pPr>
    </w:p>
    <w:p>
      <w:pPr>
        <w:tabs>
          <w:tab w:val="left" w:pos="7380"/>
        </w:tabs>
        <w:spacing w:line="360" w:lineRule="auto"/>
        <w:ind w:firstLine="1995" w:firstLineChars="552"/>
        <w:rPr>
          <w:rFonts w:ascii="宋体"/>
          <w:b/>
          <w:sz w:val="36"/>
          <w:szCs w:val="36"/>
          <w:highlight w:val="none"/>
          <w:u w:val="single"/>
        </w:rPr>
      </w:pPr>
    </w:p>
    <w:p>
      <w:pPr>
        <w:tabs>
          <w:tab w:val="left" w:pos="7380"/>
        </w:tabs>
        <w:spacing w:line="360" w:lineRule="auto"/>
        <w:ind w:firstLine="1995" w:firstLineChars="552"/>
        <w:rPr>
          <w:rFonts w:ascii="宋体"/>
          <w:b/>
          <w:sz w:val="36"/>
          <w:szCs w:val="36"/>
          <w:highlight w:val="none"/>
          <w:u w:val="single"/>
        </w:rPr>
      </w:pPr>
    </w:p>
    <w:p>
      <w:pPr>
        <w:tabs>
          <w:tab w:val="left" w:pos="7380"/>
        </w:tabs>
        <w:spacing w:line="360" w:lineRule="auto"/>
        <w:ind w:firstLine="1995" w:firstLineChars="552"/>
        <w:rPr>
          <w:rFonts w:ascii="宋体"/>
          <w:b/>
          <w:sz w:val="36"/>
          <w:szCs w:val="36"/>
          <w:highlight w:val="none"/>
          <w:u w:val="single"/>
        </w:rPr>
      </w:pPr>
    </w:p>
    <w:p>
      <w:pPr>
        <w:tabs>
          <w:tab w:val="left" w:pos="7380"/>
        </w:tabs>
        <w:spacing w:line="360" w:lineRule="auto"/>
        <w:ind w:firstLine="1995" w:firstLineChars="552"/>
        <w:rPr>
          <w:rFonts w:ascii="宋体"/>
          <w:b/>
          <w:sz w:val="36"/>
          <w:szCs w:val="36"/>
          <w:highlight w:val="none"/>
          <w:u w:val="single"/>
        </w:rPr>
      </w:pPr>
    </w:p>
    <w:p>
      <w:pPr>
        <w:pStyle w:val="13"/>
        <w:spacing w:line="360" w:lineRule="auto"/>
        <w:rPr>
          <w:rFonts w:hAnsi="宋体"/>
          <w:highlight w:val="none"/>
        </w:rPr>
      </w:pPr>
      <w:r>
        <w:rPr>
          <w:rFonts w:hint="eastAsia" w:hAnsi="宋体"/>
          <w:highlight w:val="none"/>
        </w:rPr>
        <w:t>合同签订地点：广西南宁市</w:t>
      </w:r>
    </w:p>
    <w:p>
      <w:pPr>
        <w:tabs>
          <w:tab w:val="left" w:pos="7380"/>
        </w:tabs>
        <w:spacing w:line="360" w:lineRule="auto"/>
        <w:rPr>
          <w:rFonts w:ascii="宋体"/>
          <w:b/>
          <w:bCs/>
          <w:sz w:val="44"/>
          <w:highlight w:val="none"/>
        </w:rPr>
      </w:pPr>
      <w:r>
        <w:rPr>
          <w:rFonts w:hint="eastAsia" w:hAnsi="宋体"/>
          <w:highlight w:val="none"/>
        </w:rPr>
        <w:t>合同签订日期：</w:t>
      </w:r>
      <w:r>
        <w:rPr>
          <w:rFonts w:hAnsi="宋体"/>
          <w:highlight w:val="none"/>
          <w:u w:val="single"/>
        </w:rPr>
        <w:t xml:space="preserve">    </w:t>
      </w:r>
      <w:r>
        <w:rPr>
          <w:rFonts w:hint="eastAsia" w:hAnsi="宋体"/>
          <w:highlight w:val="none"/>
        </w:rPr>
        <w:t>年</w:t>
      </w:r>
      <w:r>
        <w:rPr>
          <w:rFonts w:hAnsi="宋体"/>
          <w:highlight w:val="none"/>
          <w:u w:val="single"/>
        </w:rPr>
        <w:t xml:space="preserve">    </w:t>
      </w:r>
      <w:r>
        <w:rPr>
          <w:rFonts w:hint="eastAsia" w:hAnsi="宋体"/>
          <w:highlight w:val="none"/>
        </w:rPr>
        <w:t>月</w:t>
      </w:r>
      <w:r>
        <w:rPr>
          <w:rFonts w:hAnsi="宋体"/>
          <w:highlight w:val="none"/>
          <w:u w:val="single"/>
        </w:rPr>
        <w:t xml:space="preserve">    </w:t>
      </w:r>
      <w:r>
        <w:rPr>
          <w:rFonts w:hint="eastAsia" w:hAnsi="宋体"/>
          <w:highlight w:val="none"/>
        </w:rPr>
        <w:t>日</w:t>
      </w:r>
    </w:p>
    <w:bookmarkEnd w:id="290"/>
    <w:bookmarkEnd w:id="291"/>
    <w:bookmarkEnd w:id="292"/>
    <w:bookmarkEnd w:id="293"/>
    <w:bookmarkEnd w:id="294"/>
    <w:bookmarkEnd w:id="295"/>
    <w:bookmarkEnd w:id="296"/>
    <w:bookmarkEnd w:id="297"/>
    <w:bookmarkEnd w:id="298"/>
    <w:bookmarkEnd w:id="299"/>
    <w:bookmarkEnd w:id="300"/>
    <w:p>
      <w:pPr>
        <w:spacing w:line="520" w:lineRule="exact"/>
        <w:rPr>
          <w:rFonts w:ascii="仿宋_GB2312" w:hAnsi="宋体" w:eastAsia="仿宋_GB2312"/>
          <w:sz w:val="28"/>
          <w:szCs w:val="28"/>
          <w:highlight w:val="none"/>
        </w:rPr>
      </w:pPr>
    </w:p>
    <w:p>
      <w:pPr>
        <w:widowControl/>
        <w:jc w:val="center"/>
        <w:rPr>
          <w:b/>
          <w:sz w:val="44"/>
          <w:szCs w:val="44"/>
          <w:highlight w:val="none"/>
        </w:rPr>
      </w:pPr>
    </w:p>
    <w:p>
      <w:pPr>
        <w:widowControl/>
        <w:spacing w:line="600" w:lineRule="exact"/>
        <w:jc w:val="center"/>
        <w:rPr>
          <w:rFonts w:ascii="宋体"/>
          <w:b/>
          <w:sz w:val="36"/>
          <w:szCs w:val="36"/>
          <w:highlight w:val="none"/>
        </w:rPr>
      </w:pPr>
      <w:r>
        <w:rPr>
          <w:rFonts w:hint="eastAsia" w:ascii="宋体" w:hAnsi="宋体"/>
          <w:b/>
          <w:sz w:val="36"/>
          <w:szCs w:val="36"/>
          <w:highlight w:val="none"/>
        </w:rPr>
        <w:t>南宁轨道交通集团有限责任公司</w:t>
      </w:r>
      <w:r>
        <w:rPr>
          <w:rFonts w:ascii="宋体" w:hAnsi="宋体"/>
          <w:b/>
          <w:sz w:val="36"/>
          <w:szCs w:val="36"/>
          <w:highlight w:val="none"/>
        </w:rPr>
        <w:t>2022</w:t>
      </w:r>
      <w:r>
        <w:rPr>
          <w:rFonts w:hint="eastAsia" w:ascii="宋体" w:hAnsi="宋体"/>
          <w:b/>
          <w:sz w:val="36"/>
          <w:szCs w:val="36"/>
          <w:highlight w:val="none"/>
        </w:rPr>
        <w:t>年度</w:t>
      </w:r>
    </w:p>
    <w:p>
      <w:pPr>
        <w:widowControl/>
        <w:spacing w:line="600" w:lineRule="exact"/>
        <w:jc w:val="center"/>
        <w:rPr>
          <w:rFonts w:ascii="宋体"/>
          <w:b/>
          <w:sz w:val="36"/>
          <w:szCs w:val="36"/>
          <w:highlight w:val="none"/>
        </w:rPr>
      </w:pPr>
      <w:r>
        <w:rPr>
          <w:rFonts w:hint="eastAsia" w:ascii="宋体" w:hAnsi="宋体"/>
          <w:b/>
          <w:sz w:val="36"/>
          <w:szCs w:val="36"/>
          <w:highlight w:val="none"/>
        </w:rPr>
        <w:t>集团公司本部内控自评价及</w:t>
      </w:r>
      <w:r>
        <w:rPr>
          <w:rFonts w:ascii="宋体" w:hAnsi="宋体"/>
          <w:b/>
          <w:sz w:val="36"/>
          <w:szCs w:val="36"/>
          <w:highlight w:val="none"/>
        </w:rPr>
        <w:t>6</w:t>
      </w:r>
      <w:r>
        <w:rPr>
          <w:rFonts w:hint="eastAsia" w:ascii="宋体" w:hAnsi="宋体"/>
          <w:b/>
          <w:sz w:val="36"/>
          <w:szCs w:val="36"/>
          <w:highlight w:val="none"/>
        </w:rPr>
        <w:t>家重要全资、</w:t>
      </w:r>
    </w:p>
    <w:p>
      <w:pPr>
        <w:widowControl/>
        <w:spacing w:line="600" w:lineRule="exact"/>
        <w:jc w:val="center"/>
        <w:rPr>
          <w:rFonts w:ascii="宋体"/>
          <w:b/>
          <w:sz w:val="36"/>
          <w:szCs w:val="36"/>
          <w:highlight w:val="none"/>
        </w:rPr>
      </w:pPr>
      <w:r>
        <w:rPr>
          <w:rFonts w:hint="eastAsia" w:ascii="宋体" w:hAnsi="宋体"/>
          <w:b/>
          <w:sz w:val="36"/>
          <w:szCs w:val="36"/>
          <w:highlight w:val="none"/>
        </w:rPr>
        <w:t>控股子公司内控监督评价项目合同书</w:t>
      </w:r>
    </w:p>
    <w:p>
      <w:pPr>
        <w:spacing w:line="520" w:lineRule="exact"/>
        <w:rPr>
          <w:rFonts w:ascii="仿宋_GB2312" w:hAnsi="宋体" w:eastAsia="仿宋_GB2312"/>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甲</w:t>
      </w:r>
      <w:r>
        <w:rPr>
          <w:rFonts w:ascii="宋体" w:hAnsi="宋体"/>
          <w:sz w:val="28"/>
          <w:szCs w:val="28"/>
          <w:highlight w:val="none"/>
        </w:rPr>
        <w:t xml:space="preserve">    </w:t>
      </w:r>
      <w:r>
        <w:rPr>
          <w:rFonts w:hint="eastAsia" w:ascii="宋体" w:hAnsi="宋体"/>
          <w:sz w:val="28"/>
          <w:szCs w:val="28"/>
          <w:highlight w:val="none"/>
        </w:rPr>
        <w:t>方：南宁轨道交通集团有限责任公司</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址：南宁市青秀区云景路</w:t>
      </w:r>
      <w:r>
        <w:rPr>
          <w:rFonts w:ascii="宋体" w:hAnsi="宋体"/>
          <w:sz w:val="28"/>
          <w:szCs w:val="28"/>
          <w:highlight w:val="none"/>
        </w:rPr>
        <w:t>69</w:t>
      </w:r>
      <w:r>
        <w:rPr>
          <w:rFonts w:hint="eastAsia" w:ascii="宋体" w:hAnsi="宋体"/>
          <w:sz w:val="28"/>
          <w:szCs w:val="28"/>
          <w:highlight w:val="none"/>
        </w:rPr>
        <w:t>号</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rPr>
          <w:rFonts w:ascii="宋体"/>
          <w:sz w:val="28"/>
          <w:szCs w:val="28"/>
          <w:highlight w:val="none"/>
        </w:rPr>
      </w:pPr>
      <w:r>
        <w:rPr>
          <w:rFonts w:hint="eastAsia" w:ascii="宋体" w:hAnsi="宋体"/>
          <w:sz w:val="28"/>
          <w:szCs w:val="28"/>
          <w:highlight w:val="none"/>
        </w:rPr>
        <w:t>乙</w:t>
      </w:r>
      <w:r>
        <w:rPr>
          <w:rFonts w:ascii="宋体" w:hAnsi="宋体"/>
          <w:sz w:val="28"/>
          <w:szCs w:val="28"/>
          <w:highlight w:val="none"/>
        </w:rPr>
        <w:t xml:space="preserve">    </w:t>
      </w:r>
      <w:r>
        <w:rPr>
          <w:rFonts w:hint="eastAsia" w:ascii="宋体" w:hAnsi="宋体"/>
          <w:sz w:val="28"/>
          <w:szCs w:val="28"/>
          <w:highlight w:val="none"/>
        </w:rPr>
        <w:t>方：</w:t>
      </w:r>
    </w:p>
    <w:p>
      <w:pPr>
        <w:spacing w:line="540" w:lineRule="exact"/>
        <w:rPr>
          <w:rFonts w:ascii="宋体"/>
          <w:sz w:val="28"/>
          <w:szCs w:val="28"/>
          <w:highlight w:val="none"/>
        </w:rPr>
      </w:pPr>
      <w:r>
        <w:rPr>
          <w:rFonts w:hint="eastAsia" w:ascii="宋体" w:hAnsi="宋体"/>
          <w:sz w:val="28"/>
          <w:szCs w:val="28"/>
          <w:highlight w:val="none"/>
        </w:rPr>
        <w:t>地</w:t>
      </w:r>
      <w:r>
        <w:rPr>
          <w:rFonts w:ascii="宋体" w:hAnsi="宋体"/>
          <w:sz w:val="28"/>
          <w:szCs w:val="28"/>
          <w:highlight w:val="none"/>
        </w:rPr>
        <w:t xml:space="preserve">    </w:t>
      </w:r>
      <w:r>
        <w:rPr>
          <w:rFonts w:hint="eastAsia" w:ascii="宋体" w:hAnsi="宋体"/>
          <w:sz w:val="28"/>
          <w:szCs w:val="28"/>
          <w:highlight w:val="none"/>
        </w:rPr>
        <w:t>址：</w:t>
      </w:r>
    </w:p>
    <w:p>
      <w:pPr>
        <w:spacing w:line="540" w:lineRule="exact"/>
        <w:rPr>
          <w:rFonts w:ascii="宋体"/>
          <w:sz w:val="28"/>
          <w:szCs w:val="28"/>
          <w:highlight w:val="none"/>
        </w:rPr>
      </w:pPr>
      <w:r>
        <w:rPr>
          <w:rFonts w:hint="eastAsia" w:ascii="宋体" w:hAnsi="宋体"/>
          <w:sz w:val="28"/>
          <w:szCs w:val="28"/>
          <w:highlight w:val="none"/>
        </w:rPr>
        <w:t>联系方式：</w:t>
      </w:r>
    </w:p>
    <w:p>
      <w:pPr>
        <w:spacing w:line="540" w:lineRule="exact"/>
        <w:rPr>
          <w:rFonts w:ascii="宋体"/>
          <w:sz w:val="28"/>
          <w:szCs w:val="28"/>
          <w:highlight w:val="none"/>
        </w:rPr>
      </w:pPr>
    </w:p>
    <w:p>
      <w:pPr>
        <w:spacing w:line="540" w:lineRule="exact"/>
        <w:ind w:firstLine="560" w:firstLineChars="200"/>
        <w:rPr>
          <w:rFonts w:ascii="宋体"/>
          <w:sz w:val="28"/>
          <w:szCs w:val="28"/>
          <w:highlight w:val="none"/>
        </w:rPr>
      </w:pPr>
      <w:r>
        <w:rPr>
          <w:rFonts w:hint="eastAsia" w:ascii="宋体" w:hAnsi="宋体"/>
          <w:sz w:val="28"/>
          <w:szCs w:val="28"/>
          <w:highlight w:val="none"/>
        </w:rPr>
        <w:t>甲方因业务发展需要，通过公开比选确定乙方中选</w:t>
      </w:r>
      <w:r>
        <w:rPr>
          <w:rFonts w:hint="eastAsia" w:ascii="宋体" w:hAnsi="宋体"/>
          <w:sz w:val="28"/>
          <w:szCs w:val="28"/>
          <w:highlight w:val="none"/>
          <w:u w:val="single"/>
        </w:rPr>
        <w:t>南宁轨道交通集团有限责任公司</w:t>
      </w:r>
      <w:r>
        <w:rPr>
          <w:rFonts w:ascii="宋体" w:hAnsi="宋体"/>
          <w:sz w:val="28"/>
          <w:szCs w:val="28"/>
          <w:highlight w:val="none"/>
          <w:u w:val="single"/>
        </w:rPr>
        <w:t>2022</w:t>
      </w:r>
      <w:r>
        <w:rPr>
          <w:rFonts w:hint="eastAsia" w:ascii="宋体" w:hAnsi="宋体"/>
          <w:sz w:val="28"/>
          <w:szCs w:val="28"/>
          <w:highlight w:val="none"/>
          <w:u w:val="single"/>
        </w:rPr>
        <w:t>年度集团公司本部内控自评价及</w:t>
      </w:r>
      <w:r>
        <w:rPr>
          <w:rFonts w:ascii="宋体" w:hAnsi="宋体"/>
          <w:sz w:val="28"/>
          <w:szCs w:val="28"/>
          <w:highlight w:val="none"/>
          <w:u w:val="single"/>
        </w:rPr>
        <w:t>6</w:t>
      </w:r>
      <w:r>
        <w:rPr>
          <w:rFonts w:hint="eastAsia" w:ascii="宋体" w:hAnsi="宋体"/>
          <w:sz w:val="28"/>
          <w:szCs w:val="28"/>
          <w:highlight w:val="none"/>
          <w:u w:val="single"/>
        </w:rPr>
        <w:t>家重要全资、控股子公司内控监督评价项目</w:t>
      </w:r>
      <w:r>
        <w:rPr>
          <w:rFonts w:hint="eastAsia" w:ascii="宋体" w:hAnsi="宋体"/>
          <w:sz w:val="28"/>
          <w:szCs w:val="28"/>
          <w:highlight w:val="none"/>
        </w:rPr>
        <w:t>，经双方平等友好协商，达成如下协议：</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一、合同文件的优先次序</w:t>
      </w:r>
    </w:p>
    <w:p>
      <w:pPr>
        <w:spacing w:line="540" w:lineRule="exact"/>
        <w:ind w:firstLine="420" w:firstLineChars="150"/>
        <w:rPr>
          <w:rFonts w:ascii="宋体"/>
          <w:sz w:val="28"/>
          <w:szCs w:val="28"/>
          <w:highlight w:val="none"/>
        </w:rPr>
      </w:pPr>
      <w:r>
        <w:rPr>
          <w:rFonts w:hint="eastAsia" w:ascii="宋体" w:hAnsi="宋体"/>
          <w:sz w:val="28"/>
          <w:szCs w:val="28"/>
          <w:highlight w:val="none"/>
        </w:rPr>
        <w:t>（一）下列文件一起构成合同文件</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）合同协议书及各种合同附件（含比选评审期间和合同谈判过程中的澄清文件和补充资料）；</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）中选通知书；</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3</w:t>
      </w:r>
      <w:r>
        <w:rPr>
          <w:rFonts w:hint="eastAsia" w:ascii="宋体" w:hAnsi="宋体"/>
          <w:sz w:val="28"/>
          <w:szCs w:val="28"/>
          <w:highlight w:val="none"/>
        </w:rPr>
        <w:t>）比选申请文件及比选申请函；</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4</w:t>
      </w:r>
      <w:r>
        <w:rPr>
          <w:rFonts w:hint="eastAsia" w:ascii="宋体" w:hAnsi="宋体"/>
          <w:sz w:val="28"/>
          <w:szCs w:val="28"/>
          <w:highlight w:val="none"/>
        </w:rPr>
        <w:t>）比选文件；</w:t>
      </w:r>
    </w:p>
    <w:p>
      <w:pPr>
        <w:spacing w:line="540" w:lineRule="exact"/>
        <w:ind w:firstLine="420" w:firstLineChars="150"/>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5</w:t>
      </w:r>
      <w:r>
        <w:rPr>
          <w:rFonts w:hint="eastAsia" w:ascii="宋体" w:hAnsi="宋体"/>
          <w:sz w:val="28"/>
          <w:szCs w:val="28"/>
          <w:highlight w:val="none"/>
        </w:rPr>
        <w:t>）其他合同文件。</w:t>
      </w:r>
    </w:p>
    <w:p>
      <w:pPr>
        <w:spacing w:line="540" w:lineRule="exact"/>
        <w:ind w:firstLine="420" w:firstLineChars="150"/>
        <w:rPr>
          <w:rFonts w:ascii="宋体"/>
          <w:sz w:val="28"/>
          <w:szCs w:val="28"/>
          <w:highlight w:val="none"/>
        </w:rPr>
      </w:pPr>
      <w:r>
        <w:rPr>
          <w:rFonts w:hint="eastAsia" w:ascii="宋体" w:hAnsi="宋体"/>
          <w:sz w:val="28"/>
          <w:szCs w:val="28"/>
          <w:highlight w:val="none"/>
        </w:rPr>
        <w:t>（二）上述文件互相补充和解释，如有不明确或不一致之处，以上述次序在先者为准；同一次序的文件以时间在后的为准。</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二、评审内容和要求</w:t>
      </w:r>
    </w:p>
    <w:p>
      <w:pPr>
        <w:spacing w:line="540" w:lineRule="exact"/>
        <w:ind w:firstLine="420" w:firstLineChars="150"/>
        <w:rPr>
          <w:rFonts w:ascii="宋体"/>
          <w:sz w:val="28"/>
          <w:szCs w:val="28"/>
          <w:highlight w:val="none"/>
        </w:rPr>
      </w:pPr>
      <w:r>
        <w:rPr>
          <w:rFonts w:hint="eastAsia" w:ascii="宋体" w:hAnsi="宋体"/>
          <w:sz w:val="28"/>
          <w:szCs w:val="28"/>
          <w:highlight w:val="none"/>
        </w:rPr>
        <w:t>（一）评审内容</w:t>
      </w:r>
    </w:p>
    <w:p>
      <w:pPr>
        <w:snapToGrid w:val="0"/>
        <w:spacing w:line="540" w:lineRule="exact"/>
        <w:ind w:firstLine="560" w:firstLineChars="200"/>
        <w:textAlignment w:val="baseline"/>
        <w:rPr>
          <w:rFonts w:ascii="宋体" w:cs="仿宋"/>
          <w:sz w:val="28"/>
          <w:szCs w:val="28"/>
          <w:highlight w:val="none"/>
        </w:rPr>
      </w:pPr>
      <w:r>
        <w:rPr>
          <w:rFonts w:hint="eastAsia" w:ascii="宋体" w:hAnsi="宋体" w:cs="仿宋"/>
          <w:sz w:val="28"/>
          <w:szCs w:val="28"/>
          <w:highlight w:val="none"/>
        </w:rPr>
        <w:t>对南宁轨道交通集团有限责任公司</w:t>
      </w:r>
      <w:r>
        <w:rPr>
          <w:rFonts w:ascii="宋体" w:hAnsi="宋体" w:cs="仿宋"/>
          <w:sz w:val="28"/>
          <w:szCs w:val="28"/>
          <w:highlight w:val="none"/>
        </w:rPr>
        <w:t>2022</w:t>
      </w:r>
      <w:r>
        <w:rPr>
          <w:rFonts w:hint="eastAsia" w:ascii="宋体" w:hAnsi="宋体" w:cs="仿宋"/>
          <w:sz w:val="28"/>
          <w:szCs w:val="28"/>
          <w:highlight w:val="none"/>
        </w:rPr>
        <w:t>年度集团公司本部内控自评价及南宁轨道交通建设有限公司、南宁轨道交通运营有限公司、南宁轨道地产集团有限责任公司、南宁铁路枢纽投资有限公司、南宁公共交通集团有限公司、南宁市市民卡信息服务有限责任公司</w:t>
      </w:r>
      <w:r>
        <w:rPr>
          <w:rFonts w:ascii="宋体" w:hAnsi="宋体" w:cs="仿宋"/>
          <w:sz w:val="28"/>
          <w:szCs w:val="28"/>
          <w:highlight w:val="none"/>
        </w:rPr>
        <w:t>6</w:t>
      </w:r>
      <w:r>
        <w:rPr>
          <w:rFonts w:hint="eastAsia" w:ascii="宋体" w:hAnsi="宋体" w:cs="仿宋"/>
          <w:sz w:val="28"/>
          <w:szCs w:val="28"/>
          <w:highlight w:val="none"/>
        </w:rPr>
        <w:t>家重要全资、控股子公司内控监督评价。本次评价总体围绕内部环境、风险评估、控制活动、信息与沟通、内部监督等要素，对企业内部控制设计与运行情况进行全面评价。包括但不仅限于以下内容：</w:t>
      </w:r>
    </w:p>
    <w:p>
      <w:pPr>
        <w:adjustRightInd w:val="0"/>
        <w:snapToGrid w:val="0"/>
        <w:spacing w:line="540" w:lineRule="exact"/>
        <w:ind w:firstLine="560" w:firstLineChars="200"/>
        <w:textAlignment w:val="baseline"/>
        <w:rPr>
          <w:rFonts w:ascii="宋体" w:cs="仿宋"/>
          <w:sz w:val="28"/>
          <w:szCs w:val="28"/>
          <w:highlight w:val="none"/>
        </w:rPr>
      </w:pPr>
      <w:r>
        <w:rPr>
          <w:rFonts w:ascii="宋体" w:hAnsi="宋体" w:cs="仿宋"/>
          <w:sz w:val="28"/>
          <w:szCs w:val="28"/>
          <w:highlight w:val="none"/>
        </w:rPr>
        <w:t>1.</w:t>
      </w:r>
      <w:r>
        <w:rPr>
          <w:rFonts w:hint="eastAsia" w:ascii="宋体" w:hAnsi="宋体" w:cs="仿宋"/>
          <w:sz w:val="28"/>
          <w:szCs w:val="28"/>
          <w:highlight w:val="none"/>
        </w:rPr>
        <w:t>内控体系建设情况</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）内控体系是否建立健全；</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）内部管控体制机制是否完善；</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）内部管理制度体系是否完善，是否融合企业内控、风险和合规管理和相关要求；</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）内控监督评价体系是否建立完善；</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）风控文化建设是否到位。</w:t>
      </w:r>
    </w:p>
    <w:p>
      <w:pPr>
        <w:adjustRightInd w:val="0"/>
        <w:snapToGrid w:val="0"/>
        <w:spacing w:line="540" w:lineRule="exact"/>
        <w:ind w:firstLine="560" w:firstLineChars="200"/>
        <w:textAlignment w:val="baseline"/>
        <w:rPr>
          <w:rFonts w:ascii="宋体" w:cs="仿宋"/>
          <w:sz w:val="28"/>
          <w:szCs w:val="28"/>
          <w:highlight w:val="none"/>
        </w:rPr>
      </w:pPr>
      <w:r>
        <w:rPr>
          <w:rFonts w:ascii="宋体" w:hAnsi="宋体" w:cs="仿宋"/>
          <w:sz w:val="28"/>
          <w:szCs w:val="28"/>
          <w:highlight w:val="none"/>
        </w:rPr>
        <w:t>2.</w:t>
      </w:r>
      <w:r>
        <w:rPr>
          <w:rFonts w:hint="eastAsia" w:ascii="宋体" w:hAnsi="宋体" w:cs="仿宋"/>
          <w:sz w:val="28"/>
          <w:szCs w:val="28"/>
          <w:highlight w:val="none"/>
        </w:rPr>
        <w:t>内控体系执行情况</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）重点领域日常管控是否完整、全面控制、执行有效；</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）重要岗位授权管理和权力制衡是否合理，不相容岗位职责是否相分离；</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）重大风险防控体系是否健全完善，是否制定风险应对方案及应急预案。</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）关键风险指标是否存在异常波动。</w:t>
      </w:r>
    </w:p>
    <w:p>
      <w:pPr>
        <w:adjustRightInd w:val="0"/>
        <w:snapToGrid w:val="0"/>
        <w:spacing w:line="540" w:lineRule="exact"/>
        <w:ind w:firstLine="560" w:firstLineChars="200"/>
        <w:textAlignment w:val="baseline"/>
        <w:rPr>
          <w:rFonts w:ascii="宋体" w:cs="仿宋"/>
          <w:sz w:val="28"/>
          <w:szCs w:val="28"/>
          <w:highlight w:val="none"/>
        </w:rPr>
      </w:pPr>
      <w:r>
        <w:rPr>
          <w:rFonts w:ascii="宋体" w:hAnsi="宋体" w:cs="仿宋"/>
          <w:sz w:val="28"/>
          <w:szCs w:val="28"/>
          <w:highlight w:val="none"/>
        </w:rPr>
        <w:t>3.</w:t>
      </w:r>
      <w:r>
        <w:rPr>
          <w:rFonts w:hint="eastAsia" w:ascii="宋体" w:hAnsi="宋体" w:cs="仿宋"/>
          <w:sz w:val="28"/>
          <w:szCs w:val="28"/>
          <w:highlight w:val="none"/>
        </w:rPr>
        <w:t>内控信息化情况</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）信息系统建设是否建立健全；</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）内控信息化与业务信息系统是否有效对接，并将内控体系管控措施嵌入各类业务系统；</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）智能监管风险预警是否固化至信息系统。</w:t>
      </w:r>
    </w:p>
    <w:p>
      <w:pPr>
        <w:adjustRightInd w:val="0"/>
        <w:snapToGrid w:val="0"/>
        <w:spacing w:line="540" w:lineRule="exact"/>
        <w:ind w:firstLine="560" w:firstLineChars="200"/>
        <w:textAlignment w:val="baseline"/>
        <w:rPr>
          <w:rFonts w:ascii="宋体" w:cs="仿宋"/>
          <w:sz w:val="28"/>
          <w:szCs w:val="28"/>
          <w:highlight w:val="none"/>
        </w:rPr>
      </w:pPr>
      <w:r>
        <w:rPr>
          <w:rFonts w:ascii="宋体" w:hAnsi="宋体" w:cs="仿宋"/>
          <w:sz w:val="28"/>
          <w:szCs w:val="28"/>
          <w:highlight w:val="none"/>
        </w:rPr>
        <w:t>4.</w:t>
      </w:r>
      <w:r>
        <w:rPr>
          <w:rFonts w:hint="eastAsia" w:ascii="宋体" w:hAnsi="宋体" w:cs="仿宋"/>
          <w:sz w:val="28"/>
          <w:szCs w:val="28"/>
          <w:highlight w:val="none"/>
        </w:rPr>
        <w:t>内控体监督评价情况</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）企业自评是否有序规范开展，客观、真实、准确揭示经营管理中存在的内控缺陷、风险和合规问题进行全面自评，形成自评报告；</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2</w:t>
      </w:r>
      <w:r>
        <w:rPr>
          <w:rFonts w:hint="eastAsia" w:ascii="宋体" w:hAnsi="宋体" w:cs="仿宋"/>
          <w:sz w:val="28"/>
          <w:szCs w:val="28"/>
          <w:highlight w:val="none"/>
        </w:rPr>
        <w:t>）集团是否开展重要下属单位内控体系监督评价工作；</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3</w:t>
      </w:r>
      <w:r>
        <w:rPr>
          <w:rFonts w:hint="eastAsia" w:ascii="宋体" w:hAnsi="宋体" w:cs="仿宋"/>
          <w:sz w:val="28"/>
          <w:szCs w:val="28"/>
          <w:highlight w:val="none"/>
        </w:rPr>
        <w:t>）是否聘请具有相应资质的社会中介机构对内控体系进行外部评价，包括对子公司可持续发展能力进行评价；</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4</w:t>
      </w:r>
      <w:r>
        <w:rPr>
          <w:rFonts w:hint="eastAsia" w:ascii="宋体" w:hAnsi="宋体" w:cs="仿宋"/>
          <w:sz w:val="28"/>
          <w:szCs w:val="28"/>
          <w:highlight w:val="none"/>
        </w:rPr>
        <w:t>）整改监督是否落到实处，明确内控缺陷整改责任部门、责任人和完成时限，对整改效果进行检查评价；</w:t>
      </w:r>
    </w:p>
    <w:p>
      <w:pPr>
        <w:adjustRightInd w:val="0"/>
        <w:snapToGrid w:val="0"/>
        <w:spacing w:line="540" w:lineRule="exact"/>
        <w:ind w:firstLine="420" w:firstLineChars="150"/>
        <w:textAlignment w:val="baseline"/>
        <w:rPr>
          <w:rFonts w:ascii="宋体" w:cs="仿宋"/>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5</w:t>
      </w:r>
      <w:r>
        <w:rPr>
          <w:rFonts w:hint="eastAsia" w:ascii="宋体" w:hAnsi="宋体" w:cs="仿宋"/>
          <w:sz w:val="28"/>
          <w:szCs w:val="28"/>
          <w:highlight w:val="none"/>
        </w:rPr>
        <w:t>）是否严格执行内控体系考核机制。</w:t>
      </w:r>
    </w:p>
    <w:p>
      <w:pPr>
        <w:adjustRightInd w:val="0"/>
        <w:snapToGrid w:val="0"/>
        <w:spacing w:line="540" w:lineRule="exact"/>
        <w:ind w:firstLine="560" w:firstLineChars="200"/>
        <w:textAlignment w:val="baseline"/>
        <w:rPr>
          <w:rFonts w:ascii="宋体" w:cs="仿宋"/>
          <w:sz w:val="28"/>
          <w:szCs w:val="28"/>
          <w:highlight w:val="none"/>
        </w:rPr>
      </w:pPr>
      <w:r>
        <w:rPr>
          <w:rFonts w:ascii="宋体" w:hAnsi="宋体" w:cs="仿宋"/>
          <w:sz w:val="28"/>
          <w:szCs w:val="28"/>
          <w:highlight w:val="none"/>
        </w:rPr>
        <w:t>5.</w:t>
      </w:r>
      <w:r>
        <w:rPr>
          <w:rFonts w:hint="eastAsia" w:ascii="宋体" w:hAnsi="宋体" w:cs="仿宋"/>
          <w:sz w:val="28"/>
          <w:szCs w:val="28"/>
          <w:highlight w:val="none"/>
        </w:rPr>
        <w:t>其他需要评价的内容。</w:t>
      </w:r>
    </w:p>
    <w:p>
      <w:pPr>
        <w:spacing w:line="540" w:lineRule="exact"/>
        <w:ind w:firstLine="420" w:firstLineChars="150"/>
        <w:rPr>
          <w:rFonts w:ascii="宋体"/>
          <w:sz w:val="28"/>
          <w:szCs w:val="28"/>
          <w:highlight w:val="none"/>
        </w:rPr>
      </w:pPr>
      <w:r>
        <w:rPr>
          <w:rFonts w:hint="eastAsia" w:ascii="宋体" w:hAnsi="宋体" w:cs="仿宋"/>
          <w:sz w:val="28"/>
          <w:szCs w:val="28"/>
          <w:highlight w:val="none"/>
        </w:rPr>
        <w:t>（</w:t>
      </w:r>
      <w:r>
        <w:rPr>
          <w:rFonts w:ascii="宋体" w:hAnsi="宋体" w:cs="仿宋"/>
          <w:sz w:val="28"/>
          <w:szCs w:val="28"/>
          <w:highlight w:val="none"/>
        </w:rPr>
        <w:t>1</w:t>
      </w:r>
      <w:r>
        <w:rPr>
          <w:rFonts w:hint="eastAsia" w:ascii="宋体" w:hAnsi="宋体" w:cs="仿宋"/>
          <w:sz w:val="28"/>
          <w:szCs w:val="28"/>
          <w:highlight w:val="none"/>
        </w:rPr>
        <w:t>）子公司可持续发展能力评价</w:t>
      </w:r>
    </w:p>
    <w:p>
      <w:pPr>
        <w:widowControl/>
        <w:spacing w:line="540" w:lineRule="exact"/>
        <w:ind w:firstLine="420" w:firstLineChars="150"/>
        <w:jc w:val="left"/>
        <w:rPr>
          <w:rFonts w:ascii="宋体"/>
          <w:sz w:val="28"/>
          <w:szCs w:val="28"/>
          <w:highlight w:val="none"/>
        </w:rPr>
      </w:pPr>
      <w:r>
        <w:rPr>
          <w:rFonts w:hint="eastAsia" w:ascii="宋体" w:hAnsi="宋体"/>
          <w:sz w:val="28"/>
          <w:szCs w:val="28"/>
          <w:highlight w:val="none"/>
        </w:rPr>
        <w:t>（二）</w:t>
      </w:r>
      <w:r>
        <w:rPr>
          <w:rFonts w:hint="eastAsia" w:ascii="宋体" w:hAnsi="宋体"/>
          <w:sz w:val="28"/>
          <w:szCs w:val="28"/>
          <w:highlight w:val="none"/>
        </w:rPr>
        <w:t>评价对象、范围和基准日</w:t>
      </w:r>
    </w:p>
    <w:p>
      <w:pPr>
        <w:widowControl/>
        <w:spacing w:line="540" w:lineRule="exact"/>
        <w:ind w:firstLine="420" w:firstLineChars="150"/>
        <w:jc w:val="left"/>
        <w:rPr>
          <w:rFonts w:ascii="宋体"/>
          <w:sz w:val="28"/>
          <w:szCs w:val="28"/>
          <w:highlight w:val="none"/>
        </w:rPr>
      </w:pPr>
      <w:r>
        <w:rPr>
          <w:rFonts w:hint="eastAsia" w:ascii="宋体" w:hAnsi="宋体"/>
          <w:sz w:val="28"/>
          <w:szCs w:val="28"/>
          <w:highlight w:val="none"/>
        </w:rPr>
        <w:t>评价对象：南宁轨道交通集团有限责任公司、南宁轨道交通建设有限公司、南宁轨道交通运营有限公司、南宁轨道地产集团有限责任公司、南宁铁路枢纽投资有限公司、南宁公共交通集团有限公司、南宁市市民卡信息服务有限责任公司共</w:t>
      </w:r>
      <w:r>
        <w:rPr>
          <w:rFonts w:ascii="宋体" w:hAnsi="宋体"/>
          <w:sz w:val="28"/>
          <w:szCs w:val="28"/>
          <w:highlight w:val="none"/>
        </w:rPr>
        <w:t>7</w:t>
      </w:r>
      <w:r>
        <w:rPr>
          <w:rFonts w:hint="eastAsia" w:ascii="宋体" w:hAnsi="宋体"/>
          <w:sz w:val="28"/>
          <w:szCs w:val="28"/>
          <w:highlight w:val="none"/>
        </w:rPr>
        <w:t>家公司。</w:t>
      </w:r>
    </w:p>
    <w:p>
      <w:pPr>
        <w:widowControl/>
        <w:spacing w:line="540" w:lineRule="exact"/>
        <w:ind w:firstLine="420" w:firstLineChars="150"/>
        <w:jc w:val="left"/>
        <w:rPr>
          <w:rFonts w:ascii="宋体"/>
          <w:sz w:val="28"/>
          <w:szCs w:val="28"/>
          <w:highlight w:val="none"/>
        </w:rPr>
      </w:pPr>
      <w:r>
        <w:rPr>
          <w:rFonts w:hint="eastAsia" w:ascii="宋体" w:hAnsi="宋体"/>
          <w:sz w:val="28"/>
          <w:szCs w:val="28"/>
          <w:highlight w:val="none"/>
        </w:rPr>
        <w:t>评价范围：包括财务报告和非财务报告相关的内部控制设计与运行的有效性情况。</w:t>
      </w:r>
    </w:p>
    <w:p>
      <w:pPr>
        <w:widowControl/>
        <w:spacing w:line="540" w:lineRule="exact"/>
        <w:ind w:firstLine="420" w:firstLineChars="150"/>
        <w:jc w:val="left"/>
        <w:rPr>
          <w:rFonts w:ascii="宋体"/>
          <w:sz w:val="28"/>
          <w:szCs w:val="28"/>
          <w:highlight w:val="none"/>
        </w:rPr>
      </w:pPr>
      <w:r>
        <w:rPr>
          <w:rFonts w:hint="eastAsia" w:ascii="宋体" w:hAnsi="宋体"/>
          <w:sz w:val="28"/>
          <w:szCs w:val="28"/>
          <w:highlight w:val="none"/>
        </w:rPr>
        <w:t>评价基准日：</w:t>
      </w:r>
      <w:r>
        <w:rPr>
          <w:rFonts w:ascii="宋体" w:hAnsi="宋体"/>
          <w:sz w:val="28"/>
          <w:szCs w:val="28"/>
          <w:highlight w:val="none"/>
        </w:rPr>
        <w:t>2022</w:t>
      </w:r>
      <w:r>
        <w:rPr>
          <w:rFonts w:hint="eastAsia" w:ascii="宋体" w:hAnsi="宋体"/>
          <w:sz w:val="28"/>
          <w:szCs w:val="28"/>
          <w:highlight w:val="none"/>
        </w:rPr>
        <w:t>年</w:t>
      </w:r>
      <w:r>
        <w:rPr>
          <w:rFonts w:ascii="宋体" w:hAnsi="宋体"/>
          <w:sz w:val="28"/>
          <w:szCs w:val="28"/>
          <w:highlight w:val="none"/>
        </w:rPr>
        <w:t>12</w:t>
      </w:r>
      <w:r>
        <w:rPr>
          <w:rFonts w:hint="eastAsia" w:ascii="宋体" w:hAnsi="宋体"/>
          <w:sz w:val="28"/>
          <w:szCs w:val="28"/>
          <w:highlight w:val="none"/>
        </w:rPr>
        <w:t>月</w:t>
      </w:r>
      <w:r>
        <w:rPr>
          <w:rFonts w:ascii="宋体" w:hAnsi="宋体"/>
          <w:sz w:val="28"/>
          <w:szCs w:val="28"/>
          <w:highlight w:val="none"/>
        </w:rPr>
        <w:t>31</w:t>
      </w:r>
      <w:r>
        <w:rPr>
          <w:rFonts w:hint="eastAsia" w:ascii="宋体" w:hAnsi="宋体"/>
          <w:sz w:val="28"/>
          <w:szCs w:val="28"/>
          <w:highlight w:val="none"/>
        </w:rPr>
        <w:t>日作为本次年度内部控制评价报告的基准日。</w:t>
      </w:r>
    </w:p>
    <w:p>
      <w:pPr>
        <w:spacing w:line="540" w:lineRule="exact"/>
        <w:ind w:firstLine="420" w:firstLineChars="150"/>
        <w:rPr>
          <w:rFonts w:ascii="宋体"/>
          <w:sz w:val="28"/>
          <w:szCs w:val="28"/>
          <w:highlight w:val="none"/>
        </w:rPr>
      </w:pPr>
      <w:r>
        <w:rPr>
          <w:rFonts w:hint="eastAsia" w:ascii="宋体" w:hAnsi="宋体"/>
          <w:sz w:val="28"/>
          <w:szCs w:val="28"/>
          <w:highlight w:val="none"/>
        </w:rPr>
        <w:t>（三）评审要求及成果</w:t>
      </w:r>
    </w:p>
    <w:p>
      <w:pPr>
        <w:spacing w:line="540" w:lineRule="exact"/>
        <w:ind w:firstLine="560" w:firstLineChars="200"/>
        <w:rPr>
          <w:rFonts w:ascii="宋体"/>
          <w:sz w:val="28"/>
          <w:szCs w:val="28"/>
          <w:highlight w:val="none"/>
        </w:rPr>
      </w:pPr>
      <w:r>
        <w:rPr>
          <w:rFonts w:hint="eastAsia" w:ascii="宋体" w:hAnsi="宋体"/>
          <w:sz w:val="28"/>
          <w:szCs w:val="28"/>
          <w:highlight w:val="none"/>
        </w:rPr>
        <w:t>根据《关于加强中央企业内部控制体系建设与监督工作的实施意见》《关于贯彻落实自治区国资委关于印发加强监管企业内部控制体系建设与监督工作实施意见的通知》《企业内部控制基本规范》《企业内部控制应用指引》及其他相关法律法规开展工作，对南宁轨道交通集团有限责任公司集团公司本部及</w:t>
      </w:r>
      <w:r>
        <w:rPr>
          <w:rFonts w:ascii="宋体" w:hAnsi="宋体"/>
          <w:sz w:val="28"/>
          <w:szCs w:val="28"/>
          <w:highlight w:val="none"/>
        </w:rPr>
        <w:t>6</w:t>
      </w:r>
      <w:r>
        <w:rPr>
          <w:rFonts w:hint="eastAsia" w:ascii="宋体" w:hAnsi="宋体"/>
          <w:sz w:val="28"/>
          <w:szCs w:val="28"/>
          <w:highlight w:val="none"/>
        </w:rPr>
        <w:t>家重要全资、控股子公司</w:t>
      </w:r>
      <w:r>
        <w:rPr>
          <w:rFonts w:ascii="宋体" w:hAnsi="宋体"/>
          <w:sz w:val="28"/>
          <w:szCs w:val="28"/>
          <w:highlight w:val="none"/>
        </w:rPr>
        <w:t>2022</w:t>
      </w:r>
      <w:r>
        <w:rPr>
          <w:rFonts w:hint="eastAsia" w:ascii="宋体" w:hAnsi="宋体"/>
          <w:sz w:val="28"/>
          <w:szCs w:val="28"/>
          <w:highlight w:val="none"/>
        </w:rPr>
        <w:t>年度内部控制情况作出客观公正、实事求是的评价，单独出具</w:t>
      </w:r>
      <w:r>
        <w:rPr>
          <w:rFonts w:ascii="宋体" w:hAnsi="宋体"/>
          <w:sz w:val="28"/>
          <w:szCs w:val="28"/>
          <w:highlight w:val="none"/>
        </w:rPr>
        <w:t>2022</w:t>
      </w:r>
      <w:r>
        <w:rPr>
          <w:rFonts w:hint="eastAsia" w:ascii="宋体" w:hAnsi="宋体"/>
          <w:sz w:val="28"/>
          <w:szCs w:val="28"/>
          <w:highlight w:val="none"/>
        </w:rPr>
        <w:t>年度南宁轨道交通集团有限责任公司本部内控自评价报告及</w:t>
      </w:r>
      <w:r>
        <w:rPr>
          <w:rFonts w:ascii="宋体" w:hAnsi="宋体"/>
          <w:sz w:val="28"/>
          <w:szCs w:val="28"/>
          <w:highlight w:val="none"/>
        </w:rPr>
        <w:t>6</w:t>
      </w:r>
      <w:r>
        <w:rPr>
          <w:rFonts w:hint="eastAsia" w:ascii="宋体" w:hAnsi="宋体"/>
          <w:sz w:val="28"/>
          <w:szCs w:val="28"/>
          <w:highlight w:val="none"/>
        </w:rPr>
        <w:t>家重要全资、控股子公司内控监督评价报告并经南宁轨道交通集团有限责任公司审批通过。</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三、乙方权利义务</w:t>
      </w:r>
    </w:p>
    <w:p>
      <w:pPr>
        <w:spacing w:line="540" w:lineRule="exact"/>
        <w:ind w:firstLine="420" w:firstLineChars="150"/>
        <w:rPr>
          <w:rFonts w:ascii="宋体"/>
          <w:b/>
          <w:sz w:val="28"/>
          <w:szCs w:val="28"/>
          <w:highlight w:val="none"/>
        </w:rPr>
      </w:pPr>
      <w:r>
        <w:rPr>
          <w:rFonts w:hint="eastAsia" w:ascii="宋体" w:hAnsi="宋体"/>
          <w:sz w:val="28"/>
          <w:szCs w:val="28"/>
          <w:highlight w:val="none"/>
        </w:rPr>
        <w:t>（一）乙方应按照《中华人民共和国审计法》《中华人民共和国注册会计师法》《中国注册会计师执业准则》《企业内部控制基本规范》《企业内部控制应用指引》等法律法规的要求，对被评价单位提供的内部控制材料及其他有关资料，实施必要的评价工作程序，在约定时间内单独出具</w:t>
      </w:r>
      <w:r>
        <w:rPr>
          <w:rFonts w:ascii="宋体" w:hAnsi="宋体"/>
          <w:sz w:val="28"/>
          <w:szCs w:val="28"/>
          <w:highlight w:val="none"/>
        </w:rPr>
        <w:t>2022</w:t>
      </w:r>
      <w:r>
        <w:rPr>
          <w:rFonts w:hint="eastAsia" w:ascii="宋体" w:hAnsi="宋体"/>
          <w:sz w:val="28"/>
          <w:szCs w:val="28"/>
          <w:highlight w:val="none"/>
        </w:rPr>
        <w:t>年度南宁轨道交通集团有限责任公司本部内控自评价报告及</w:t>
      </w:r>
      <w:r>
        <w:rPr>
          <w:rFonts w:ascii="宋体" w:hAnsi="宋体"/>
          <w:sz w:val="28"/>
          <w:szCs w:val="28"/>
          <w:highlight w:val="none"/>
        </w:rPr>
        <w:t>6</w:t>
      </w:r>
      <w:r>
        <w:rPr>
          <w:rFonts w:hint="eastAsia" w:ascii="宋体" w:hAnsi="宋体"/>
          <w:sz w:val="28"/>
          <w:szCs w:val="28"/>
          <w:highlight w:val="none"/>
        </w:rPr>
        <w:t>家重要全资、控股子公司内控监督评价报告各</w:t>
      </w:r>
      <w:r>
        <w:rPr>
          <w:rFonts w:hint="eastAsia" w:ascii="宋体" w:hAnsi="宋体"/>
          <w:b/>
          <w:sz w:val="28"/>
          <w:szCs w:val="28"/>
          <w:highlight w:val="none"/>
          <w:u w:val="single"/>
        </w:rPr>
        <w:t>一式</w:t>
      </w:r>
      <w:r>
        <w:rPr>
          <w:rFonts w:ascii="宋体" w:hAnsi="宋体"/>
          <w:b/>
          <w:sz w:val="28"/>
          <w:szCs w:val="28"/>
          <w:highlight w:val="none"/>
          <w:u w:val="single"/>
        </w:rPr>
        <w:t>5</w:t>
      </w:r>
      <w:r>
        <w:rPr>
          <w:rFonts w:hint="eastAsia" w:ascii="宋体" w:hAnsi="宋体"/>
          <w:b/>
          <w:sz w:val="28"/>
          <w:szCs w:val="28"/>
          <w:highlight w:val="none"/>
          <w:u w:val="single"/>
        </w:rPr>
        <w:t>份</w:t>
      </w:r>
      <w:r>
        <w:rPr>
          <w:rFonts w:hint="eastAsia" w:ascii="宋体" w:hAnsi="宋体"/>
          <w:sz w:val="28"/>
          <w:szCs w:val="28"/>
          <w:highlight w:val="none"/>
        </w:rPr>
        <w:t>，评价报告格式和内容要符合相关规定要求；乙方应当保证评价报告的真实性、合法性、准确性，由于评价报告不真实、不合法、不完整或不符合相关规定要求导致甲方受到损失的，乙方应当承担赔偿责任。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（二）乙方对在执行业务过程中知悉的商业秘密负有保密义务。除法律另有规定者外，未经甲方及被评价单位书面同意，乙方不得将相关资料和信息对外公开或泄露给第三方。</w:t>
      </w:r>
    </w:p>
    <w:p>
      <w:pPr>
        <w:spacing w:line="540" w:lineRule="exact"/>
        <w:ind w:firstLine="420" w:firstLineChars="150"/>
        <w:rPr>
          <w:rFonts w:ascii="宋体"/>
          <w:sz w:val="28"/>
          <w:szCs w:val="28"/>
          <w:highlight w:val="none"/>
        </w:rPr>
      </w:pPr>
      <w:r>
        <w:rPr>
          <w:rFonts w:hint="eastAsia" w:ascii="宋体" w:hAnsi="宋体"/>
          <w:sz w:val="28"/>
          <w:szCs w:val="28"/>
          <w:highlight w:val="none"/>
        </w:rPr>
        <w:t>（三）乙方应在本合同签订</w:t>
      </w:r>
      <w:r>
        <w:rPr>
          <w:rFonts w:ascii="宋体" w:hAnsi="宋体"/>
          <w:b/>
          <w:sz w:val="28"/>
          <w:szCs w:val="28"/>
          <w:highlight w:val="none"/>
          <w:u w:val="single"/>
        </w:rPr>
        <w:t xml:space="preserve"> 3</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内向甲方提交需要提供的资料清单，否则由此造成的工作延误的责任由乙方承担。</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应按照要求指派足够具有相应业务资格的评价人员负责本次评价业务，明确评价人员名单，并将评价人员名单及人员资质等资料作为报告附件，确保按约定时间和质量完成评价工作并出具评价报告，不得转让或转包本合同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（五）评价过程中乙方参与召开不少于以下会议，评前沟通会议、评中沟通会议、评价撤点会议、评价征求意见沟通会。</w:t>
      </w:r>
    </w:p>
    <w:p>
      <w:pPr>
        <w:spacing w:line="540" w:lineRule="exact"/>
        <w:ind w:firstLine="420" w:firstLineChars="150"/>
        <w:rPr>
          <w:rFonts w:ascii="宋体"/>
          <w:sz w:val="28"/>
          <w:szCs w:val="28"/>
          <w:highlight w:val="none"/>
        </w:rPr>
      </w:pPr>
      <w:r>
        <w:rPr>
          <w:rFonts w:hint="eastAsia" w:ascii="宋体" w:hAnsi="宋体"/>
          <w:sz w:val="28"/>
          <w:szCs w:val="28"/>
          <w:highlight w:val="none"/>
        </w:rPr>
        <w:t>（六）如因乙方原因导致出具的评价报告不合格的，乙方应当负责修正直至合格为止，由此导致评价工作延误的责任由乙方承担。</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四、甲方权利义务</w:t>
      </w:r>
    </w:p>
    <w:p>
      <w:pPr>
        <w:spacing w:line="540" w:lineRule="exact"/>
        <w:ind w:firstLine="420" w:firstLineChars="150"/>
        <w:rPr>
          <w:rFonts w:ascii="宋体"/>
          <w:sz w:val="28"/>
          <w:szCs w:val="28"/>
          <w:highlight w:val="none"/>
        </w:rPr>
      </w:pPr>
      <w:r>
        <w:rPr>
          <w:rFonts w:hint="eastAsia" w:ascii="宋体" w:hAnsi="宋体"/>
          <w:sz w:val="28"/>
          <w:szCs w:val="28"/>
          <w:highlight w:val="none"/>
        </w:rPr>
        <w:t>（一）甲方应对乙方开展业务工作协调相关各方给予充分的合作，提供必要的条件，并按乙方的要求，协调相关各方提供业务所需的公司章程、制度汇编目录、内控手册目录以及其他在执业过程中所需要查看的各种文件资料，有权监督、指正乙方的工作。</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（二）乙方认为需要发函向有关部门询证时，甲方应当提供便利。</w:t>
      </w:r>
    </w:p>
    <w:p>
      <w:pPr>
        <w:spacing w:line="540" w:lineRule="exact"/>
        <w:ind w:firstLine="562" w:firstLineChars="200"/>
        <w:rPr>
          <w:rFonts w:ascii="宋体"/>
          <w:b/>
          <w:bCs/>
          <w:sz w:val="28"/>
          <w:szCs w:val="28"/>
          <w:highlight w:val="none"/>
        </w:rPr>
      </w:pPr>
      <w:r>
        <w:rPr>
          <w:rFonts w:hint="eastAsia" w:ascii="宋体" w:hAnsi="宋体"/>
          <w:b/>
          <w:bCs/>
          <w:sz w:val="28"/>
          <w:szCs w:val="28"/>
          <w:highlight w:val="none"/>
        </w:rPr>
        <w:t>五、工期进度要求</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（一）本合同生效之日起</w:t>
      </w:r>
      <w:r>
        <w:rPr>
          <w:rFonts w:ascii="宋体" w:hAnsi="宋体"/>
          <w:b/>
          <w:sz w:val="28"/>
          <w:szCs w:val="28"/>
          <w:highlight w:val="none"/>
          <w:u w:val="single"/>
        </w:rPr>
        <w:t xml:space="preserve"> 2</w:t>
      </w:r>
      <w:r>
        <w:rPr>
          <w:rFonts w:hint="eastAsia" w:ascii="宋体" w:hAnsi="宋体"/>
          <w:b/>
          <w:sz w:val="28"/>
          <w:szCs w:val="28"/>
          <w:highlight w:val="none"/>
          <w:u w:val="single"/>
        </w:rPr>
        <w:t>个工作日内</w:t>
      </w:r>
      <w:r>
        <w:rPr>
          <w:rFonts w:ascii="宋体" w:hAnsi="宋体"/>
          <w:b/>
          <w:sz w:val="28"/>
          <w:szCs w:val="28"/>
          <w:highlight w:val="none"/>
          <w:u w:val="single"/>
        </w:rPr>
        <w:t xml:space="preserve"> </w:t>
      </w:r>
      <w:r>
        <w:rPr>
          <w:rFonts w:hint="eastAsia" w:ascii="宋体" w:hAnsi="宋体"/>
          <w:sz w:val="28"/>
          <w:szCs w:val="28"/>
          <w:highlight w:val="none"/>
        </w:rPr>
        <w:t>，评价项目组进场评价。</w:t>
      </w:r>
    </w:p>
    <w:p>
      <w:pPr>
        <w:tabs>
          <w:tab w:val="left" w:pos="720"/>
        </w:tabs>
        <w:spacing w:line="540" w:lineRule="exact"/>
        <w:ind w:firstLine="420" w:firstLineChars="150"/>
        <w:rPr>
          <w:rFonts w:ascii="宋体"/>
          <w:sz w:val="28"/>
          <w:szCs w:val="28"/>
          <w:highlight w:val="none"/>
        </w:rPr>
      </w:pPr>
      <w:r>
        <w:rPr>
          <w:rFonts w:hint="eastAsia" w:ascii="宋体" w:hAnsi="宋体"/>
          <w:sz w:val="28"/>
          <w:szCs w:val="28"/>
          <w:highlight w:val="none"/>
        </w:rPr>
        <w:t>（二）乙方评价项目组进场评价之日起</w:t>
      </w:r>
      <w:r>
        <w:rPr>
          <w:rFonts w:ascii="宋体" w:hAnsi="宋体"/>
          <w:sz w:val="28"/>
          <w:szCs w:val="28"/>
          <w:highlight w:val="none"/>
          <w:u w:val="single"/>
        </w:rPr>
        <w:t xml:space="preserve"> </w:t>
      </w:r>
      <w:r>
        <w:rPr>
          <w:rFonts w:ascii="宋体" w:hAnsi="宋体"/>
          <w:b/>
          <w:sz w:val="28"/>
          <w:szCs w:val="28"/>
          <w:highlight w:val="none"/>
          <w:u w:val="single"/>
        </w:rPr>
        <w:t>25</w:t>
      </w:r>
      <w:r>
        <w:rPr>
          <w:rFonts w:hint="eastAsia" w:ascii="宋体" w:hAnsi="宋体"/>
          <w:b/>
          <w:sz w:val="28"/>
          <w:szCs w:val="28"/>
          <w:highlight w:val="none"/>
          <w:u w:val="single"/>
        </w:rPr>
        <w:t>个工作日</w:t>
      </w:r>
      <w:r>
        <w:rPr>
          <w:rFonts w:ascii="宋体" w:hAnsi="宋体"/>
          <w:b/>
          <w:sz w:val="28"/>
          <w:szCs w:val="28"/>
          <w:highlight w:val="none"/>
          <w:u w:val="single"/>
        </w:rPr>
        <w:t xml:space="preserve"> </w:t>
      </w:r>
      <w:r>
        <w:rPr>
          <w:rFonts w:hint="eastAsia" w:ascii="宋体" w:hAnsi="宋体"/>
          <w:sz w:val="28"/>
          <w:szCs w:val="28"/>
          <w:highlight w:val="none"/>
        </w:rPr>
        <w:t>内出具评价报告初稿，征询甲方的意见，并根据甲方的意见进行修订或补充，经甲方审批通过后</w:t>
      </w:r>
      <w:r>
        <w:rPr>
          <w:rFonts w:ascii="宋体" w:hAnsi="宋体"/>
          <w:sz w:val="28"/>
          <w:szCs w:val="28"/>
          <w:highlight w:val="none"/>
          <w:u w:val="single"/>
        </w:rPr>
        <w:t xml:space="preserve"> </w:t>
      </w:r>
      <w:r>
        <w:rPr>
          <w:rFonts w:ascii="宋体" w:hAnsi="宋体"/>
          <w:b/>
          <w:bCs/>
          <w:sz w:val="28"/>
          <w:szCs w:val="28"/>
          <w:highlight w:val="none"/>
          <w:u w:val="single"/>
        </w:rPr>
        <w:t>3</w:t>
      </w:r>
      <w:r>
        <w:rPr>
          <w:rFonts w:hint="eastAsia" w:ascii="宋体" w:hAnsi="宋体"/>
          <w:b/>
          <w:bCs/>
          <w:sz w:val="28"/>
          <w:szCs w:val="28"/>
          <w:highlight w:val="none"/>
          <w:u w:val="single"/>
        </w:rPr>
        <w:t>个工作日</w:t>
      </w:r>
      <w:r>
        <w:rPr>
          <w:rFonts w:ascii="宋体" w:hAnsi="宋体"/>
          <w:b/>
          <w:bCs/>
          <w:sz w:val="28"/>
          <w:szCs w:val="28"/>
          <w:highlight w:val="none"/>
          <w:u w:val="single"/>
        </w:rPr>
        <w:t xml:space="preserve"> </w:t>
      </w:r>
      <w:r>
        <w:rPr>
          <w:rFonts w:hint="eastAsia" w:ascii="宋体" w:hAnsi="宋体"/>
          <w:sz w:val="28"/>
          <w:szCs w:val="28"/>
          <w:highlight w:val="none"/>
        </w:rPr>
        <w:t>内单独出具南宁轨道交通集团有限责任公司</w:t>
      </w:r>
      <w:r>
        <w:rPr>
          <w:rFonts w:ascii="宋体" w:hAnsi="宋体"/>
          <w:sz w:val="28"/>
          <w:szCs w:val="28"/>
          <w:highlight w:val="none"/>
        </w:rPr>
        <w:t>2022</w:t>
      </w:r>
      <w:r>
        <w:rPr>
          <w:rFonts w:hint="eastAsia" w:ascii="宋体" w:hAnsi="宋体"/>
          <w:sz w:val="28"/>
          <w:szCs w:val="28"/>
          <w:highlight w:val="none"/>
        </w:rPr>
        <w:t>年度集团公司本部内控自评价正式评价报告及</w:t>
      </w:r>
      <w:r>
        <w:rPr>
          <w:rFonts w:ascii="宋体" w:hAnsi="宋体"/>
          <w:sz w:val="28"/>
          <w:szCs w:val="28"/>
          <w:highlight w:val="none"/>
        </w:rPr>
        <w:t>6</w:t>
      </w:r>
      <w:r>
        <w:rPr>
          <w:rFonts w:hint="eastAsia" w:ascii="宋体" w:hAnsi="宋体"/>
          <w:sz w:val="28"/>
          <w:szCs w:val="28"/>
          <w:highlight w:val="none"/>
        </w:rPr>
        <w:t>家重要全资、控股子公司内控监督评价正式评价报告各</w:t>
      </w:r>
      <w:r>
        <w:rPr>
          <w:rFonts w:ascii="宋体" w:hAnsi="宋体"/>
          <w:sz w:val="28"/>
          <w:szCs w:val="28"/>
          <w:highlight w:val="none"/>
          <w:u w:val="single"/>
        </w:rPr>
        <w:t xml:space="preserve"> </w:t>
      </w:r>
      <w:r>
        <w:rPr>
          <w:rFonts w:hint="eastAsia" w:ascii="宋体" w:hAnsi="宋体"/>
          <w:b/>
          <w:sz w:val="28"/>
          <w:szCs w:val="28"/>
          <w:highlight w:val="none"/>
          <w:u w:val="single"/>
        </w:rPr>
        <w:t>一式</w:t>
      </w:r>
      <w:r>
        <w:rPr>
          <w:rFonts w:ascii="宋体" w:hAnsi="宋体"/>
          <w:b/>
          <w:sz w:val="28"/>
          <w:szCs w:val="28"/>
          <w:highlight w:val="none"/>
          <w:u w:val="single"/>
        </w:rPr>
        <w:t xml:space="preserve"> 5 </w:t>
      </w:r>
      <w:r>
        <w:rPr>
          <w:rFonts w:hint="eastAsia" w:ascii="宋体" w:hAnsi="宋体"/>
          <w:b/>
          <w:sz w:val="28"/>
          <w:szCs w:val="28"/>
          <w:highlight w:val="none"/>
          <w:u w:val="single"/>
        </w:rPr>
        <w:t>份</w:t>
      </w:r>
      <w:r>
        <w:rPr>
          <w:rFonts w:ascii="宋体" w:hAnsi="宋体"/>
          <w:b/>
          <w:sz w:val="28"/>
          <w:szCs w:val="28"/>
          <w:highlight w:val="none"/>
          <w:u w:val="single"/>
        </w:rPr>
        <w:t xml:space="preserve"> </w:t>
      </w:r>
      <w:r>
        <w:rPr>
          <w:rFonts w:hint="eastAsia" w:ascii="宋体" w:hAnsi="宋体"/>
          <w:sz w:val="28"/>
          <w:szCs w:val="28"/>
          <w:highlight w:val="none"/>
        </w:rPr>
        <w:t>和电子文档、扫描文档各一份。</w:t>
      </w:r>
    </w:p>
    <w:p>
      <w:pPr>
        <w:tabs>
          <w:tab w:val="left" w:pos="720"/>
        </w:tabs>
        <w:spacing w:line="540" w:lineRule="exact"/>
        <w:ind w:firstLine="562" w:firstLineChars="200"/>
        <w:rPr>
          <w:rFonts w:ascii="宋体"/>
          <w:b/>
          <w:sz w:val="28"/>
          <w:szCs w:val="28"/>
          <w:highlight w:val="none"/>
        </w:rPr>
      </w:pPr>
      <w:r>
        <w:rPr>
          <w:rFonts w:hint="eastAsia" w:ascii="宋体" w:hAnsi="宋体"/>
          <w:b/>
          <w:sz w:val="28"/>
          <w:szCs w:val="28"/>
          <w:highlight w:val="none"/>
        </w:rPr>
        <w:t>六、评价费用金额及支付</w:t>
      </w:r>
    </w:p>
    <w:p>
      <w:pPr>
        <w:spacing w:line="540" w:lineRule="exact"/>
        <w:ind w:firstLine="551" w:firstLineChars="197"/>
        <w:rPr>
          <w:rFonts w:ascii="宋体"/>
          <w:sz w:val="28"/>
          <w:szCs w:val="28"/>
          <w:highlight w:val="none"/>
        </w:rPr>
      </w:pPr>
      <w:r>
        <w:rPr>
          <w:rFonts w:hint="eastAsia" w:ascii="宋体" w:hAnsi="宋体"/>
          <w:sz w:val="28"/>
          <w:szCs w:val="28"/>
          <w:highlight w:val="none"/>
        </w:rPr>
        <w:t>本次评价业务的收费实行固定总价包干的原则，评价费用为人民币：不含税</w:t>
      </w:r>
      <w:r>
        <w:rPr>
          <w:rFonts w:ascii="宋体" w:hAnsi="宋体"/>
          <w:sz w:val="28"/>
          <w:szCs w:val="28"/>
          <w:highlight w:val="none"/>
          <w:u w:val="single"/>
        </w:rPr>
        <w:t xml:space="preserve">         </w:t>
      </w:r>
      <w:r>
        <w:rPr>
          <w:rFonts w:hint="eastAsia" w:ascii="宋体" w:hAnsi="宋体"/>
          <w:sz w:val="28"/>
          <w:szCs w:val="28"/>
          <w:highlight w:val="none"/>
        </w:rPr>
        <w:t>元，税率</w:t>
      </w:r>
      <w:r>
        <w:rPr>
          <w:rFonts w:ascii="宋体" w:hAnsi="宋体"/>
          <w:sz w:val="28"/>
          <w:szCs w:val="28"/>
          <w:highlight w:val="none"/>
        </w:rPr>
        <w:t xml:space="preserve"> </w:t>
      </w:r>
      <w:r>
        <w:rPr>
          <w:rFonts w:ascii="宋体" w:hAnsi="宋体"/>
          <w:sz w:val="28"/>
          <w:szCs w:val="28"/>
          <w:highlight w:val="none"/>
          <w:u w:val="single"/>
        </w:rPr>
        <w:t xml:space="preserve">      </w:t>
      </w:r>
      <w:r>
        <w:rPr>
          <w:rFonts w:hint="eastAsia" w:ascii="宋体" w:hAnsi="宋体"/>
          <w:sz w:val="28"/>
          <w:szCs w:val="28"/>
          <w:highlight w:val="none"/>
        </w:rPr>
        <w:t>，价税合计</w:t>
      </w:r>
      <w:r>
        <w:rPr>
          <w:rFonts w:ascii="宋体" w:hAnsi="宋体"/>
          <w:sz w:val="28"/>
          <w:szCs w:val="28"/>
          <w:highlight w:val="none"/>
          <w:u w:val="single"/>
        </w:rPr>
        <w:t xml:space="preserve">       </w:t>
      </w:r>
      <w:r>
        <w:rPr>
          <w:rFonts w:hint="eastAsia" w:ascii="宋体" w:hAnsi="宋体"/>
          <w:sz w:val="28"/>
          <w:szCs w:val="28"/>
          <w:highlight w:val="none"/>
        </w:rPr>
        <w:t>元。评价费用由</w:t>
      </w:r>
      <w:r>
        <w:rPr>
          <w:rFonts w:hint="eastAsia" w:ascii="宋体" w:hAnsi="宋体"/>
          <w:sz w:val="28"/>
          <w:szCs w:val="28"/>
          <w:highlight w:val="none"/>
          <w:u w:val="single"/>
        </w:rPr>
        <w:t>甲方</w:t>
      </w:r>
      <w:r>
        <w:rPr>
          <w:rFonts w:hint="eastAsia" w:ascii="宋体" w:hAnsi="宋体"/>
          <w:sz w:val="28"/>
          <w:szCs w:val="28"/>
          <w:highlight w:val="none"/>
        </w:rPr>
        <w:t>支付，自乙方出具评价报告（正式版），经</w:t>
      </w:r>
      <w:r>
        <w:rPr>
          <w:rFonts w:ascii="宋体" w:hAnsi="宋体"/>
          <w:sz w:val="28"/>
          <w:szCs w:val="28"/>
          <w:highlight w:val="none"/>
          <w:u w:val="single"/>
        </w:rPr>
        <w:t xml:space="preserve"> </w:t>
      </w:r>
      <w:r>
        <w:rPr>
          <w:rFonts w:hint="eastAsia" w:ascii="宋体" w:hAnsi="宋体"/>
          <w:sz w:val="28"/>
          <w:szCs w:val="28"/>
          <w:highlight w:val="none"/>
          <w:u w:val="single"/>
        </w:rPr>
        <w:t>甲方</w:t>
      </w:r>
      <w:r>
        <w:rPr>
          <w:rFonts w:ascii="宋体" w:hAnsi="宋体"/>
          <w:sz w:val="28"/>
          <w:szCs w:val="28"/>
          <w:highlight w:val="none"/>
          <w:u w:val="single"/>
        </w:rPr>
        <w:t xml:space="preserve"> </w:t>
      </w:r>
      <w:r>
        <w:rPr>
          <w:rFonts w:hint="eastAsia" w:ascii="宋体" w:hAnsi="宋体"/>
          <w:sz w:val="28"/>
          <w:szCs w:val="28"/>
          <w:highlight w:val="none"/>
        </w:rPr>
        <w:t>审批通过后</w:t>
      </w:r>
      <w:r>
        <w:rPr>
          <w:rFonts w:ascii="宋体" w:hAnsi="宋体"/>
          <w:sz w:val="28"/>
          <w:szCs w:val="28"/>
          <w:highlight w:val="none"/>
        </w:rPr>
        <w:t>30</w:t>
      </w:r>
      <w:r>
        <w:rPr>
          <w:rFonts w:hint="eastAsia" w:ascii="宋体" w:hAnsi="宋体"/>
          <w:sz w:val="28"/>
          <w:szCs w:val="28"/>
          <w:highlight w:val="none"/>
        </w:rPr>
        <w:t>个工作日内，完成计量结算手续并提供合法等额增值税专用发票后</w:t>
      </w:r>
      <w:r>
        <w:rPr>
          <w:rFonts w:ascii="宋体" w:hAnsi="宋体"/>
          <w:sz w:val="28"/>
          <w:szCs w:val="28"/>
          <w:highlight w:val="none"/>
        </w:rPr>
        <w:t>20</w:t>
      </w:r>
      <w:r>
        <w:rPr>
          <w:rFonts w:hint="eastAsia" w:ascii="宋体" w:hAnsi="宋体"/>
          <w:sz w:val="28"/>
          <w:szCs w:val="28"/>
          <w:highlight w:val="none"/>
        </w:rPr>
        <w:t>个工作日内一次性支付结算款。如乙方未足额提供增值税专用发票的，甲方有权顺延付款时间直至乙方补足发票之日止再起算付款时间。</w:t>
      </w:r>
    </w:p>
    <w:p>
      <w:pPr>
        <w:spacing w:line="540" w:lineRule="exact"/>
        <w:ind w:firstLine="551" w:firstLineChars="196"/>
        <w:rPr>
          <w:rFonts w:ascii="宋体"/>
          <w:sz w:val="28"/>
          <w:szCs w:val="28"/>
          <w:highlight w:val="none"/>
        </w:rPr>
      </w:pPr>
      <w:r>
        <w:rPr>
          <w:rFonts w:hint="eastAsia" w:ascii="宋体" w:hAnsi="宋体"/>
          <w:b/>
          <w:bCs/>
          <w:sz w:val="28"/>
          <w:szCs w:val="28"/>
          <w:highlight w:val="none"/>
        </w:rPr>
        <w:t>上述费用包括了评价费用以及评价过程中发生其他所有费用（包括但不限于税费、交通费、食宿费、差旅费等），除此之外，乙方不得向甲方或被评价单位另行收取任何费用</w:t>
      </w:r>
      <w:r>
        <w:rPr>
          <w:rFonts w:hint="eastAsia" w:ascii="宋体" w:hAnsi="宋体"/>
          <w:sz w:val="28"/>
          <w:szCs w:val="28"/>
          <w:highlight w:val="none"/>
        </w:rPr>
        <w:t>。</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七、违约责任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（一）本合同正式签订生效后，任何一方不履行或不完全履行本合同约定条款的，即构成违约。任何一方违约不履行本合同，违约方应向守约方支付由于违约造成的一切损失。</w:t>
      </w:r>
    </w:p>
    <w:p>
      <w:pPr>
        <w:spacing w:line="540" w:lineRule="exact"/>
        <w:ind w:firstLine="420" w:firstLineChars="150"/>
        <w:rPr>
          <w:rFonts w:ascii="宋体"/>
          <w:sz w:val="28"/>
          <w:szCs w:val="28"/>
          <w:highlight w:val="none"/>
        </w:rPr>
      </w:pPr>
      <w:r>
        <w:rPr>
          <w:rFonts w:hint="eastAsia" w:ascii="宋体" w:hAnsi="宋体"/>
          <w:sz w:val="28"/>
          <w:szCs w:val="28"/>
          <w:highlight w:val="none"/>
        </w:rPr>
        <w:t>（二）如乙方不能按照本合同约定履行义务的，甲方有权直接解除合同，剩余评价费用不予支付。甲方有权视情形要求乙方退回已支付的全部或部分评价费用，给甲方造成其他损失的，乙方还应进行赔偿。若乙方延期交付评价报告初稿或正式版，甲方有权按照评价费用总额的千分之三</w:t>
      </w:r>
      <w:r>
        <w:rPr>
          <w:rFonts w:ascii="宋体" w:hAnsi="宋体"/>
          <w:sz w:val="28"/>
          <w:szCs w:val="28"/>
          <w:highlight w:val="none"/>
        </w:rPr>
        <w:t>/</w:t>
      </w:r>
      <w:r>
        <w:rPr>
          <w:rFonts w:hint="eastAsia" w:ascii="宋体" w:hAnsi="宋体"/>
          <w:sz w:val="28"/>
          <w:szCs w:val="28"/>
          <w:highlight w:val="none"/>
        </w:rPr>
        <w:t>每日</w:t>
      </w:r>
      <w:r>
        <w:rPr>
          <w:rFonts w:ascii="宋体" w:hAnsi="宋体"/>
          <w:sz w:val="28"/>
          <w:szCs w:val="28"/>
          <w:highlight w:val="none"/>
        </w:rPr>
        <w:t>*</w:t>
      </w:r>
      <w:r>
        <w:rPr>
          <w:rFonts w:hint="eastAsia" w:ascii="宋体" w:hAnsi="宋体"/>
          <w:sz w:val="28"/>
          <w:szCs w:val="28"/>
          <w:highlight w:val="none"/>
        </w:rPr>
        <w:t>（延期天数）向乙方收取违约金。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（三）甲方无故逾期办理合同款支付手续的，甲方应按逾期付款总额每日万分之五向乙方支付违约金。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（四）乙方不履行保密条款、过失或故意泄露其知悉的甲方保密事项或在擅自合同约定的工作内容之外使用甲方保密事项从而甲方造成损失的，乙方应承担相应的赔偿责任。</w:t>
      </w:r>
    </w:p>
    <w:p>
      <w:pPr>
        <w:spacing w:line="540" w:lineRule="exact"/>
        <w:ind w:firstLine="420" w:firstLineChars="150"/>
        <w:rPr>
          <w:rFonts w:ascii="宋体"/>
          <w:sz w:val="28"/>
          <w:szCs w:val="28"/>
          <w:highlight w:val="none"/>
        </w:rPr>
      </w:pPr>
      <w:r>
        <w:rPr>
          <w:rFonts w:hint="eastAsia" w:ascii="宋体" w:hAnsi="宋体"/>
          <w:sz w:val="28"/>
          <w:szCs w:val="28"/>
          <w:highlight w:val="none"/>
        </w:rPr>
        <w:t>（五）在本合同内确定的现场负责人原则上不予更换，若要更换需经得甲方同意，未经甲方同意而更换的，甲方可终止合同。现场负责人进驻评价现场工作时间不得少于</w:t>
      </w:r>
      <w:r>
        <w:rPr>
          <w:rFonts w:ascii="宋体" w:hAnsi="宋体"/>
          <w:sz w:val="28"/>
          <w:szCs w:val="28"/>
          <w:highlight w:val="none"/>
        </w:rPr>
        <w:t>10</w:t>
      </w:r>
      <w:r>
        <w:rPr>
          <w:rFonts w:hint="eastAsia" w:ascii="宋体" w:hAnsi="宋体"/>
          <w:sz w:val="28"/>
          <w:szCs w:val="28"/>
          <w:highlight w:val="none"/>
        </w:rPr>
        <w:t>个工作日，否则视为乙方违约，并处以</w:t>
      </w:r>
      <w:r>
        <w:rPr>
          <w:rFonts w:ascii="宋体" w:hAnsi="宋体"/>
          <w:sz w:val="28"/>
          <w:szCs w:val="28"/>
          <w:highlight w:val="none"/>
        </w:rPr>
        <w:t>5000</w:t>
      </w:r>
      <w:r>
        <w:rPr>
          <w:rFonts w:hint="eastAsia" w:ascii="宋体" w:hAnsi="宋体"/>
          <w:sz w:val="28"/>
          <w:szCs w:val="28"/>
          <w:highlight w:val="none"/>
        </w:rPr>
        <w:t>元的违约金。</w:t>
      </w:r>
    </w:p>
    <w:p>
      <w:pPr>
        <w:spacing w:line="540" w:lineRule="exact"/>
        <w:ind w:firstLine="420" w:firstLineChars="150"/>
        <w:rPr>
          <w:rFonts w:ascii="宋体"/>
          <w:sz w:val="28"/>
          <w:szCs w:val="28"/>
          <w:highlight w:val="none"/>
        </w:rPr>
      </w:pPr>
      <w:r>
        <w:rPr>
          <w:rFonts w:hint="eastAsia" w:ascii="宋体" w:hAnsi="宋体"/>
          <w:sz w:val="28"/>
          <w:szCs w:val="28"/>
          <w:highlight w:val="none"/>
        </w:rPr>
        <w:t>（六）在本合同内确定的项目团队人员不应更换，如未经甲方同意擅自更换项目团队人员的，甲方将视其违约，并处以</w:t>
      </w:r>
      <w:r>
        <w:rPr>
          <w:rFonts w:ascii="宋体" w:hAnsi="宋体"/>
          <w:sz w:val="28"/>
          <w:szCs w:val="28"/>
          <w:highlight w:val="none"/>
        </w:rPr>
        <w:t>2000</w:t>
      </w:r>
      <w:r>
        <w:rPr>
          <w:rFonts w:hint="eastAsia" w:ascii="宋体" w:hAnsi="宋体"/>
          <w:sz w:val="28"/>
          <w:szCs w:val="28"/>
          <w:highlight w:val="none"/>
        </w:rPr>
        <w:t>元</w:t>
      </w:r>
      <w:r>
        <w:rPr>
          <w:rFonts w:ascii="宋体" w:hAnsi="宋体"/>
          <w:sz w:val="28"/>
          <w:szCs w:val="28"/>
          <w:highlight w:val="none"/>
        </w:rPr>
        <w:t>/</w:t>
      </w:r>
      <w:r>
        <w:rPr>
          <w:rFonts w:hint="eastAsia" w:ascii="宋体" w:hAnsi="宋体"/>
          <w:sz w:val="28"/>
          <w:szCs w:val="28"/>
          <w:highlight w:val="none"/>
        </w:rPr>
        <w:t>人的违约金。</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八、合同有效期</w:t>
      </w:r>
    </w:p>
    <w:p>
      <w:pPr>
        <w:spacing w:line="540" w:lineRule="exact"/>
        <w:ind w:firstLine="560" w:firstLineChars="200"/>
        <w:rPr>
          <w:rFonts w:ascii="宋体"/>
          <w:sz w:val="28"/>
          <w:szCs w:val="28"/>
          <w:highlight w:val="none"/>
        </w:rPr>
      </w:pPr>
      <w:r>
        <w:rPr>
          <w:rFonts w:hint="eastAsia" w:ascii="宋体" w:hAnsi="宋体"/>
          <w:sz w:val="28"/>
          <w:szCs w:val="28"/>
          <w:highlight w:val="none"/>
        </w:rPr>
        <w:t>本合同书自甲、乙双方法定代表人或授权委托人签字或盖法人章并加盖甲、乙双方公司公章或合同专用章之日起生效，并在双方履行完毕本合同约定的所有义务后终止，但其中第九条第（二）款规定的保密义务并不因本合同终止而失效。</w:t>
      </w:r>
    </w:p>
    <w:p>
      <w:pPr>
        <w:numPr>
          <w:ilvl w:val="0"/>
          <w:numId w:val="2"/>
        </w:numPr>
        <w:spacing w:line="540" w:lineRule="exact"/>
        <w:ind w:firstLine="562" w:firstLineChars="200"/>
        <w:rPr>
          <w:rFonts w:ascii="宋体"/>
          <w:b/>
          <w:bCs/>
          <w:sz w:val="28"/>
          <w:szCs w:val="28"/>
          <w:highlight w:val="none"/>
        </w:rPr>
      </w:pPr>
      <w:r>
        <w:rPr>
          <w:rFonts w:hint="eastAsia" w:ascii="宋体" w:hAnsi="宋体"/>
          <w:b/>
          <w:bCs/>
          <w:sz w:val="28"/>
          <w:szCs w:val="28"/>
          <w:highlight w:val="none"/>
        </w:rPr>
        <w:t>保密条款</w:t>
      </w:r>
    </w:p>
    <w:p>
      <w:pPr>
        <w:spacing w:line="540" w:lineRule="exact"/>
        <w:ind w:firstLine="420" w:firstLineChars="150"/>
        <w:rPr>
          <w:rFonts w:ascii="宋体"/>
          <w:sz w:val="28"/>
          <w:szCs w:val="28"/>
          <w:highlight w:val="none"/>
        </w:rPr>
      </w:pPr>
      <w:r>
        <w:rPr>
          <w:rFonts w:hint="eastAsia" w:ascii="宋体" w:hAnsi="宋体"/>
          <w:sz w:val="28"/>
          <w:szCs w:val="28"/>
          <w:highlight w:val="none"/>
        </w:rPr>
        <w:t>（一）乙方在评价过程中发现评价对象或其所属单位在财务报告和非财务报告相关的内部控制设计与运行上有重大缺陷，有导致产生重大弊端的可能，应及时将有关情况通报甲方。</w:t>
      </w:r>
    </w:p>
    <w:p>
      <w:pPr>
        <w:spacing w:line="540" w:lineRule="exact"/>
        <w:ind w:firstLine="420" w:firstLineChars="150"/>
        <w:rPr>
          <w:rFonts w:ascii="宋体"/>
          <w:sz w:val="28"/>
          <w:szCs w:val="28"/>
          <w:highlight w:val="none"/>
        </w:rPr>
      </w:pPr>
      <w:r>
        <w:rPr>
          <w:rFonts w:hint="eastAsia" w:ascii="宋体" w:hAnsi="宋体"/>
          <w:sz w:val="28"/>
          <w:szCs w:val="28"/>
          <w:highlight w:val="none"/>
        </w:rPr>
        <w:t>（二）乙方对工作中知悉的商业秘密保密，不得将所获得的有关资料和文件用于与委托事项无关的活动。本义务在委托事项结束后，仍然有效。保密承诺书作为本合同的附件。</w:t>
      </w:r>
    </w:p>
    <w:p>
      <w:pPr>
        <w:spacing w:line="540" w:lineRule="exact"/>
        <w:ind w:firstLine="562" w:firstLineChars="200"/>
        <w:rPr>
          <w:rFonts w:ascii="宋体"/>
          <w:b/>
          <w:sz w:val="28"/>
          <w:szCs w:val="28"/>
          <w:highlight w:val="none"/>
        </w:rPr>
      </w:pPr>
      <w:r>
        <w:rPr>
          <w:rFonts w:hint="eastAsia" w:ascii="宋体" w:hAnsi="宋体"/>
          <w:b/>
          <w:sz w:val="28"/>
          <w:szCs w:val="28"/>
          <w:highlight w:val="none"/>
        </w:rPr>
        <w:t>十、争议解决</w:t>
      </w:r>
    </w:p>
    <w:p>
      <w:pPr>
        <w:spacing w:line="540" w:lineRule="exact"/>
        <w:ind w:firstLine="560"/>
        <w:rPr>
          <w:rFonts w:ascii="宋体"/>
          <w:bCs/>
          <w:sz w:val="28"/>
          <w:szCs w:val="28"/>
          <w:highlight w:val="none"/>
        </w:rPr>
      </w:pPr>
      <w:r>
        <w:rPr>
          <w:rFonts w:hint="eastAsia" w:ascii="宋体" w:hAnsi="宋体"/>
          <w:bCs/>
          <w:sz w:val="28"/>
          <w:szCs w:val="28"/>
          <w:highlight w:val="none"/>
        </w:rPr>
        <w:t>在本</w:t>
      </w:r>
      <w:r>
        <w:rPr>
          <w:rFonts w:hint="eastAsia" w:ascii="宋体" w:hAnsi="宋体"/>
          <w:sz w:val="28"/>
          <w:szCs w:val="28"/>
          <w:highlight w:val="none"/>
        </w:rPr>
        <w:t>合同</w:t>
      </w:r>
      <w:r>
        <w:rPr>
          <w:rFonts w:hint="eastAsia" w:ascii="宋体" w:hAnsi="宋体"/>
          <w:bCs/>
          <w:sz w:val="28"/>
          <w:szCs w:val="28"/>
          <w:highlight w:val="none"/>
        </w:rPr>
        <w:t>履行过程中发生争议的，应首先友好协商解决，协商不成的，任何一方有权向本</w:t>
      </w:r>
      <w:r>
        <w:rPr>
          <w:rFonts w:hint="eastAsia" w:ascii="宋体" w:hAnsi="宋体"/>
          <w:sz w:val="28"/>
          <w:szCs w:val="28"/>
          <w:highlight w:val="none"/>
        </w:rPr>
        <w:t>合同</w:t>
      </w:r>
      <w:r>
        <w:rPr>
          <w:rFonts w:hint="eastAsia" w:ascii="宋体" w:hAnsi="宋体"/>
          <w:bCs/>
          <w:sz w:val="28"/>
          <w:szCs w:val="28"/>
          <w:highlight w:val="none"/>
        </w:rPr>
        <w:t>甲方营业执照上记载的经营地址所在地有管辖权的人民法院提起诉讼。</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十一、本</w:t>
      </w:r>
      <w:r>
        <w:rPr>
          <w:rFonts w:hint="eastAsia" w:ascii="宋体" w:hAnsi="宋体"/>
          <w:sz w:val="28"/>
          <w:szCs w:val="28"/>
          <w:highlight w:val="none"/>
        </w:rPr>
        <w:t>合同</w:t>
      </w:r>
      <w:r>
        <w:rPr>
          <w:rFonts w:hint="eastAsia" w:ascii="宋体" w:hAnsi="宋体"/>
          <w:bCs/>
          <w:sz w:val="28"/>
          <w:szCs w:val="28"/>
          <w:highlight w:val="none"/>
        </w:rPr>
        <w:t>书未尽事宜，经双方共同协商，签订补充协议。补充协议与本</w:t>
      </w:r>
      <w:r>
        <w:rPr>
          <w:rFonts w:hint="eastAsia" w:ascii="宋体" w:hAnsi="宋体"/>
          <w:sz w:val="28"/>
          <w:szCs w:val="28"/>
          <w:highlight w:val="none"/>
        </w:rPr>
        <w:t>合同</w:t>
      </w:r>
      <w:r>
        <w:rPr>
          <w:rFonts w:hint="eastAsia" w:ascii="宋体" w:hAnsi="宋体"/>
          <w:bCs/>
          <w:sz w:val="28"/>
          <w:szCs w:val="28"/>
          <w:highlight w:val="none"/>
        </w:rPr>
        <w:t>书具有同等法律效力。</w:t>
      </w:r>
    </w:p>
    <w:p>
      <w:pPr>
        <w:spacing w:line="540" w:lineRule="exact"/>
        <w:ind w:firstLine="560" w:firstLineChars="200"/>
        <w:rPr>
          <w:rFonts w:ascii="宋体"/>
          <w:bCs/>
          <w:sz w:val="28"/>
          <w:szCs w:val="28"/>
          <w:highlight w:val="none"/>
        </w:rPr>
      </w:pPr>
      <w:r>
        <w:rPr>
          <w:rFonts w:hint="eastAsia" w:ascii="宋体" w:hAnsi="宋体"/>
          <w:bCs/>
          <w:sz w:val="28"/>
          <w:szCs w:val="28"/>
          <w:highlight w:val="none"/>
        </w:rPr>
        <w:t>十二、本</w:t>
      </w:r>
      <w:r>
        <w:rPr>
          <w:rFonts w:hint="eastAsia" w:ascii="宋体" w:hAnsi="宋体"/>
          <w:sz w:val="28"/>
          <w:szCs w:val="28"/>
          <w:highlight w:val="none"/>
        </w:rPr>
        <w:t>合同</w:t>
      </w:r>
      <w:r>
        <w:rPr>
          <w:rFonts w:hint="eastAsia" w:ascii="宋体" w:hAnsi="宋体"/>
          <w:bCs/>
          <w:sz w:val="28"/>
          <w:szCs w:val="28"/>
          <w:highlight w:val="none"/>
        </w:rPr>
        <w:t>书一式</w:t>
      </w:r>
      <w:r>
        <w:rPr>
          <w:rFonts w:ascii="宋体" w:hAnsi="宋体"/>
          <w:b/>
          <w:bCs/>
          <w:sz w:val="28"/>
          <w:szCs w:val="28"/>
          <w:highlight w:val="none"/>
          <w:u w:val="single"/>
        </w:rPr>
        <w:t xml:space="preserve">  </w:t>
      </w:r>
      <w:r>
        <w:rPr>
          <w:rFonts w:ascii="宋体" w:hAnsi="宋体"/>
          <w:bCs/>
          <w:sz w:val="28"/>
          <w:szCs w:val="28"/>
          <w:highlight w:val="none"/>
          <w:u w:val="single"/>
        </w:rPr>
        <w:t>8</w:t>
      </w:r>
      <w:r>
        <w:rPr>
          <w:rFonts w:ascii="宋体" w:hAnsi="宋体"/>
          <w:b/>
          <w:bCs/>
          <w:sz w:val="28"/>
          <w:szCs w:val="28"/>
          <w:highlight w:val="none"/>
          <w:u w:val="single"/>
        </w:rPr>
        <w:t xml:space="preserve">  </w:t>
      </w:r>
      <w:r>
        <w:rPr>
          <w:rFonts w:hint="eastAsia" w:ascii="宋体" w:hAnsi="宋体"/>
          <w:bCs/>
          <w:sz w:val="28"/>
          <w:szCs w:val="28"/>
          <w:highlight w:val="none"/>
        </w:rPr>
        <w:t>份，甲方执</w:t>
      </w:r>
      <w:r>
        <w:rPr>
          <w:rFonts w:ascii="宋体" w:hAnsi="宋体"/>
          <w:bCs/>
          <w:sz w:val="28"/>
          <w:szCs w:val="28"/>
          <w:highlight w:val="none"/>
          <w:u w:val="single"/>
        </w:rPr>
        <w:t xml:space="preserve"> 6 </w:t>
      </w:r>
      <w:r>
        <w:rPr>
          <w:rFonts w:hint="eastAsia" w:ascii="宋体" w:hAnsi="宋体"/>
          <w:bCs/>
          <w:sz w:val="28"/>
          <w:szCs w:val="28"/>
          <w:highlight w:val="none"/>
        </w:rPr>
        <w:t>份，乙方执</w:t>
      </w:r>
      <w:r>
        <w:rPr>
          <w:rFonts w:ascii="宋体" w:hAnsi="宋体"/>
          <w:b/>
          <w:bCs/>
          <w:sz w:val="28"/>
          <w:szCs w:val="28"/>
          <w:highlight w:val="none"/>
          <w:u w:val="single"/>
        </w:rPr>
        <w:t xml:space="preserve"> 2 </w:t>
      </w:r>
      <w:r>
        <w:rPr>
          <w:rFonts w:hint="eastAsia" w:ascii="宋体" w:hAnsi="宋体"/>
          <w:bCs/>
          <w:sz w:val="28"/>
          <w:szCs w:val="28"/>
          <w:highlight w:val="none"/>
        </w:rPr>
        <w:t>份，并具有同等法律效力。</w:t>
      </w:r>
    </w:p>
    <w:p>
      <w:pPr>
        <w:spacing w:line="540" w:lineRule="exact"/>
        <w:ind w:firstLine="560" w:firstLineChars="200"/>
        <w:rPr>
          <w:rFonts w:ascii="宋体"/>
          <w:sz w:val="28"/>
          <w:szCs w:val="28"/>
          <w:highlight w:val="none"/>
        </w:rPr>
      </w:pPr>
      <w:r>
        <w:rPr>
          <w:rFonts w:hint="eastAsia" w:ascii="宋体" w:hAnsi="宋体"/>
          <w:sz w:val="28"/>
          <w:szCs w:val="28"/>
          <w:highlight w:val="none"/>
        </w:rPr>
        <w:t>十三、各方在本合同中预留的电话和地址为有效通讯方式。任何一方不得拒收其他的邮件，一方按其他的通讯地址寄出的文件信函，在交寄后第三天即视为对方实际收到，一方改变通讯地址的，最晚应当在变更通讯地址前三日书面告知对方，否则其他方按原通讯地址寄出的文件、信函仍视为有效送达，由此造成的一切不利后果由改变地址的一方承担。</w:t>
      </w:r>
    </w:p>
    <w:p>
      <w:pPr>
        <w:spacing w:line="540" w:lineRule="exact"/>
        <w:ind w:firstLine="560" w:firstLineChars="200"/>
        <w:rPr>
          <w:rFonts w:ascii="宋体"/>
          <w:sz w:val="28"/>
          <w:szCs w:val="28"/>
          <w:highlight w:val="none"/>
        </w:rPr>
      </w:pPr>
      <w:r>
        <w:rPr>
          <w:rFonts w:hint="eastAsia" w:ascii="宋体" w:hAnsi="宋体"/>
          <w:sz w:val="28"/>
          <w:szCs w:val="28"/>
          <w:highlight w:val="none"/>
        </w:rPr>
        <w:t>附件：保密承诺书</w:t>
      </w:r>
    </w:p>
    <w:p>
      <w:pPr>
        <w:spacing w:line="540" w:lineRule="exact"/>
        <w:rPr>
          <w:rFonts w:ascii="宋体"/>
          <w:sz w:val="28"/>
          <w:szCs w:val="28"/>
          <w:highlight w:val="none"/>
        </w:rPr>
      </w:pPr>
      <w:r>
        <w:rPr>
          <w:rFonts w:ascii="宋体"/>
          <w:sz w:val="28"/>
          <w:szCs w:val="28"/>
          <w:highlight w:val="none"/>
        </w:rPr>
        <w:br w:type="page"/>
      </w:r>
    </w:p>
    <w:p>
      <w:pPr>
        <w:pStyle w:val="2"/>
        <w:spacing w:after="0" w:line="540" w:lineRule="exact"/>
        <w:rPr>
          <w:rFonts w:ascii="宋体"/>
          <w:sz w:val="28"/>
          <w:szCs w:val="28"/>
          <w:highlight w:val="none"/>
        </w:rPr>
      </w:pPr>
      <w:r>
        <w:rPr>
          <w:rFonts w:hint="eastAsia" w:ascii="宋体" w:hAnsi="宋体"/>
          <w:sz w:val="28"/>
          <w:szCs w:val="28"/>
          <w:highlight w:val="none"/>
        </w:rPr>
        <w:t>（本页无正文）</w:t>
      </w:r>
    </w:p>
    <w:p>
      <w:pPr>
        <w:pStyle w:val="2"/>
        <w:spacing w:after="0" w:line="540" w:lineRule="exact"/>
        <w:rPr>
          <w:rFonts w:ascii="宋体"/>
          <w:sz w:val="28"/>
          <w:szCs w:val="28"/>
          <w:highlight w:val="none"/>
        </w:rPr>
      </w:pPr>
    </w:p>
    <w:p>
      <w:pPr>
        <w:spacing w:line="540" w:lineRule="exact"/>
        <w:ind w:firstLine="420" w:firstLineChars="150"/>
        <w:rPr>
          <w:rFonts w:ascii="宋体"/>
          <w:sz w:val="28"/>
          <w:szCs w:val="28"/>
          <w:highlight w:val="none"/>
        </w:rPr>
      </w:pPr>
      <w:r>
        <w:rPr>
          <w:rFonts w:hint="eastAsia" w:ascii="宋体" w:hAnsi="宋体"/>
          <w:sz w:val="28"/>
          <w:szCs w:val="28"/>
          <w:highlight w:val="none"/>
        </w:rPr>
        <w:t>甲方：南宁轨道交通集团有限责任公司</w:t>
      </w:r>
    </w:p>
    <w:p>
      <w:pPr>
        <w:spacing w:line="540" w:lineRule="exact"/>
        <w:ind w:firstLine="420" w:firstLineChars="150"/>
        <w:rPr>
          <w:rFonts w:ascii="宋体"/>
          <w:sz w:val="28"/>
          <w:szCs w:val="28"/>
          <w:highlight w:val="none"/>
        </w:rPr>
      </w:pPr>
      <w:r>
        <w:rPr>
          <w:rFonts w:hint="eastAsia" w:ascii="宋体" w:hAnsi="宋体"/>
          <w:sz w:val="28"/>
          <w:szCs w:val="28"/>
          <w:highlight w:val="none"/>
        </w:rPr>
        <w:t>法定代表人或委托代理人：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联系人：</w:t>
      </w:r>
    </w:p>
    <w:p>
      <w:pPr>
        <w:spacing w:line="540" w:lineRule="exact"/>
        <w:ind w:firstLine="420" w:firstLineChars="15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通讯地址：广西南宁市云景路</w:t>
      </w:r>
      <w:r>
        <w:rPr>
          <w:rFonts w:ascii="宋体" w:hAnsi="宋体"/>
          <w:sz w:val="28"/>
          <w:szCs w:val="28"/>
          <w:highlight w:val="none"/>
        </w:rPr>
        <w:t>69</w:t>
      </w:r>
      <w:r>
        <w:rPr>
          <w:rFonts w:hint="eastAsia" w:ascii="宋体" w:hAnsi="宋体"/>
          <w:sz w:val="28"/>
          <w:szCs w:val="28"/>
          <w:highlight w:val="none"/>
        </w:rPr>
        <w:t>号</w:t>
      </w:r>
    </w:p>
    <w:p>
      <w:pPr>
        <w:widowControl/>
        <w:spacing w:line="540" w:lineRule="exact"/>
        <w:ind w:firstLine="420" w:firstLineChars="15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widowControl/>
        <w:spacing w:line="540" w:lineRule="exact"/>
        <w:ind w:firstLine="420" w:firstLineChars="150"/>
        <w:rPr>
          <w:rFonts w:ascii="宋体" w:hAnsi="宋体"/>
          <w:sz w:val="28"/>
          <w:szCs w:val="28"/>
          <w:highlight w:val="none"/>
        </w:rPr>
      </w:pPr>
      <w:r>
        <w:rPr>
          <w:rFonts w:hint="eastAsia" w:ascii="宋体" w:hAnsi="宋体"/>
          <w:sz w:val="28"/>
          <w:szCs w:val="28"/>
          <w:highlight w:val="none"/>
        </w:rPr>
        <w:t>纳税人识别号：</w:t>
      </w:r>
      <w:r>
        <w:rPr>
          <w:rFonts w:ascii="宋体" w:hAnsi="宋体"/>
          <w:sz w:val="28"/>
          <w:szCs w:val="28"/>
          <w:highlight w:val="none"/>
        </w:rPr>
        <w:t>914501006821248433</w:t>
      </w:r>
    </w:p>
    <w:p>
      <w:pPr>
        <w:spacing w:line="540" w:lineRule="exact"/>
        <w:ind w:firstLine="420" w:firstLineChars="150"/>
        <w:rPr>
          <w:rFonts w:ascii="宋体" w:hAnsi="宋体"/>
          <w:sz w:val="28"/>
          <w:szCs w:val="28"/>
          <w:highlight w:val="none"/>
        </w:rPr>
      </w:pPr>
      <w:r>
        <w:rPr>
          <w:rFonts w:hint="eastAsia" w:ascii="宋体" w:hAnsi="宋体"/>
          <w:sz w:val="28"/>
          <w:szCs w:val="28"/>
          <w:highlight w:val="none"/>
        </w:rPr>
        <w:t>开户行及账号：建行南宁市朝阳支行营业</w:t>
      </w:r>
      <w:r>
        <w:rPr>
          <w:rFonts w:ascii="宋体" w:hAnsi="宋体"/>
          <w:sz w:val="28"/>
          <w:szCs w:val="28"/>
          <w:highlight w:val="none"/>
        </w:rPr>
        <w:t>45001604473059116688</w:t>
      </w:r>
    </w:p>
    <w:p>
      <w:pPr>
        <w:spacing w:line="540" w:lineRule="exact"/>
        <w:rPr>
          <w:rFonts w:ascii="宋体"/>
          <w:sz w:val="28"/>
          <w:szCs w:val="28"/>
          <w:highlight w:val="none"/>
        </w:rPr>
      </w:pPr>
    </w:p>
    <w:p>
      <w:pPr>
        <w:spacing w:line="540" w:lineRule="exact"/>
        <w:ind w:firstLine="480"/>
        <w:rPr>
          <w:rFonts w:ascii="宋体"/>
          <w:sz w:val="28"/>
          <w:szCs w:val="28"/>
          <w:highlight w:val="none"/>
        </w:rPr>
      </w:pPr>
    </w:p>
    <w:p>
      <w:pPr>
        <w:spacing w:line="540" w:lineRule="exact"/>
        <w:ind w:firstLine="480"/>
        <w:rPr>
          <w:rFonts w:ascii="宋体"/>
          <w:sz w:val="28"/>
          <w:szCs w:val="28"/>
          <w:highlight w:val="none"/>
        </w:rPr>
      </w:pPr>
      <w:r>
        <w:rPr>
          <w:rFonts w:hint="eastAsia" w:ascii="宋体" w:hAnsi="宋体"/>
          <w:sz w:val="28"/>
          <w:szCs w:val="28"/>
          <w:highlight w:val="none"/>
        </w:rPr>
        <w:t>乙方：</w:t>
      </w:r>
    </w:p>
    <w:p>
      <w:pPr>
        <w:spacing w:line="540" w:lineRule="exact"/>
        <w:ind w:firstLine="480"/>
        <w:rPr>
          <w:rFonts w:ascii="宋体"/>
          <w:sz w:val="28"/>
          <w:szCs w:val="28"/>
          <w:highlight w:val="none"/>
        </w:rPr>
      </w:pPr>
      <w:r>
        <w:rPr>
          <w:rFonts w:hint="eastAsia" w:ascii="宋体" w:hAnsi="宋体"/>
          <w:sz w:val="28"/>
          <w:szCs w:val="28"/>
          <w:highlight w:val="none"/>
        </w:rPr>
        <w:t>法定代表人（负责人）或委托代理人：</w:t>
      </w:r>
    </w:p>
    <w:p>
      <w:pPr>
        <w:spacing w:line="540" w:lineRule="exact"/>
        <w:ind w:firstLine="480"/>
        <w:rPr>
          <w:rFonts w:ascii="宋体"/>
          <w:sz w:val="28"/>
          <w:szCs w:val="28"/>
          <w:highlight w:val="none"/>
        </w:rPr>
      </w:pPr>
      <w:r>
        <w:rPr>
          <w:rFonts w:hint="eastAsia" w:ascii="宋体" w:hAnsi="宋体"/>
          <w:sz w:val="28"/>
          <w:szCs w:val="28"/>
          <w:highlight w:val="none"/>
        </w:rPr>
        <w:t>联系人：</w:t>
      </w:r>
    </w:p>
    <w:p>
      <w:pPr>
        <w:spacing w:line="540" w:lineRule="exact"/>
        <w:ind w:firstLine="480"/>
        <w:rPr>
          <w:rFonts w:ascii="宋体"/>
          <w:sz w:val="28"/>
          <w:szCs w:val="28"/>
          <w:highlight w:val="none"/>
        </w:rPr>
      </w:pPr>
      <w:r>
        <w:rPr>
          <w:rFonts w:hint="eastAsia" w:ascii="宋体" w:hAnsi="宋体"/>
          <w:sz w:val="28"/>
          <w:szCs w:val="28"/>
          <w:highlight w:val="none"/>
        </w:rPr>
        <w:t>联系电话：</w:t>
      </w:r>
      <w:r>
        <w:rPr>
          <w:rFonts w:ascii="宋体" w:hAnsi="宋体"/>
          <w:sz w:val="28"/>
          <w:szCs w:val="28"/>
          <w:highlight w:val="none"/>
        </w:rPr>
        <w:t xml:space="preserve">                  </w:t>
      </w:r>
      <w:r>
        <w:rPr>
          <w:rFonts w:hint="eastAsia" w:ascii="宋体" w:hAnsi="宋体"/>
          <w:sz w:val="28"/>
          <w:szCs w:val="28"/>
          <w:highlight w:val="none"/>
        </w:rPr>
        <w:t>电子邮件：</w:t>
      </w:r>
    </w:p>
    <w:p>
      <w:pPr>
        <w:spacing w:line="540" w:lineRule="exact"/>
        <w:ind w:firstLine="480"/>
        <w:rPr>
          <w:rFonts w:ascii="宋体"/>
          <w:sz w:val="28"/>
          <w:szCs w:val="28"/>
          <w:highlight w:val="none"/>
        </w:rPr>
      </w:pPr>
      <w:r>
        <w:rPr>
          <w:rFonts w:hint="eastAsia" w:ascii="宋体" w:hAnsi="宋体"/>
          <w:sz w:val="28"/>
          <w:szCs w:val="28"/>
          <w:highlight w:val="none"/>
        </w:rPr>
        <w:t>通讯地址：</w:t>
      </w:r>
    </w:p>
    <w:p>
      <w:pPr>
        <w:spacing w:line="540" w:lineRule="exact"/>
        <w:ind w:firstLine="480"/>
        <w:rPr>
          <w:rFonts w:ascii="宋体"/>
          <w:sz w:val="28"/>
          <w:szCs w:val="28"/>
          <w:highlight w:val="none"/>
        </w:rPr>
      </w:pPr>
      <w:r>
        <w:rPr>
          <w:rFonts w:hint="eastAsia" w:ascii="宋体" w:hAnsi="宋体"/>
          <w:sz w:val="28"/>
          <w:szCs w:val="28"/>
          <w:highlight w:val="none"/>
        </w:rPr>
        <w:t>时间：</w:t>
      </w: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spacing w:line="540" w:lineRule="exact"/>
        <w:ind w:firstLine="480"/>
        <w:rPr>
          <w:rFonts w:ascii="宋体"/>
          <w:sz w:val="28"/>
          <w:szCs w:val="28"/>
          <w:highlight w:val="none"/>
        </w:rPr>
      </w:pPr>
      <w:r>
        <w:rPr>
          <w:rFonts w:hint="eastAsia" w:ascii="宋体" w:hAnsi="宋体"/>
          <w:sz w:val="28"/>
          <w:szCs w:val="28"/>
          <w:highlight w:val="none"/>
        </w:rPr>
        <w:t>纳税人识别号：</w:t>
      </w:r>
    </w:p>
    <w:p>
      <w:pPr>
        <w:spacing w:line="540" w:lineRule="exact"/>
        <w:ind w:firstLine="480"/>
        <w:rPr>
          <w:rFonts w:ascii="仿宋_GB2312" w:hAnsi="宋体" w:eastAsia="仿宋_GB2312"/>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sz w:val="28"/>
          <w:szCs w:val="28"/>
          <w:highlight w:val="none"/>
        </w:rPr>
        <w:t>开户行及账号：</w:t>
      </w:r>
    </w:p>
    <w:p>
      <w:pPr>
        <w:widowControl/>
        <w:spacing w:line="480" w:lineRule="exact"/>
        <w:ind w:right="420"/>
        <w:jc w:val="left"/>
        <w:rPr>
          <w:rFonts w:ascii="仿宋_GB2312" w:hAnsi="宋体" w:eastAsia="仿宋_GB2312"/>
          <w:sz w:val="28"/>
          <w:szCs w:val="28"/>
          <w:highlight w:val="none"/>
        </w:rPr>
      </w:pPr>
      <w:r>
        <w:rPr>
          <w:rFonts w:hint="eastAsia" w:ascii="仿宋_GB2312" w:hAnsi="宋体" w:eastAsia="仿宋_GB2312"/>
          <w:sz w:val="28"/>
          <w:szCs w:val="28"/>
          <w:highlight w:val="none"/>
        </w:rPr>
        <w:t>附件：</w:t>
      </w:r>
      <w:r>
        <w:rPr>
          <w:rFonts w:ascii="仿宋_GB2312" w:hAnsi="宋体" w:eastAsia="仿宋_GB2312"/>
          <w:sz w:val="28"/>
          <w:szCs w:val="28"/>
          <w:highlight w:val="none"/>
        </w:rPr>
        <w:t xml:space="preserve">  </w:t>
      </w:r>
    </w:p>
    <w:p>
      <w:pPr>
        <w:widowControl/>
        <w:spacing w:line="600" w:lineRule="exact"/>
        <w:jc w:val="center"/>
        <w:rPr>
          <w:rFonts w:ascii="宋体"/>
          <w:b/>
          <w:bCs/>
          <w:sz w:val="36"/>
          <w:szCs w:val="36"/>
          <w:highlight w:val="none"/>
        </w:rPr>
      </w:pPr>
      <w:r>
        <w:rPr>
          <w:rFonts w:hint="eastAsia" w:ascii="宋体" w:hAnsi="宋体"/>
          <w:b/>
          <w:bCs/>
          <w:sz w:val="36"/>
          <w:szCs w:val="36"/>
          <w:highlight w:val="none"/>
        </w:rPr>
        <w:t>保密承诺书</w:t>
      </w:r>
    </w:p>
    <w:p>
      <w:pPr>
        <w:widowControl/>
        <w:spacing w:line="500" w:lineRule="exact"/>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致：南宁轨道交通集团有限责任公司</w:t>
      </w:r>
    </w:p>
    <w:p>
      <w:pPr>
        <w:widowControl/>
        <w:spacing w:line="500" w:lineRule="exact"/>
        <w:ind w:firstLine="560" w:firstLineChars="200"/>
        <w:jc w:val="left"/>
        <w:rPr>
          <w:rFonts w:ascii="仿宋" w:hAnsi="仿宋" w:eastAsia="仿宋"/>
          <w:sz w:val="28"/>
          <w:szCs w:val="28"/>
          <w:highlight w:val="none"/>
        </w:rPr>
      </w:pPr>
      <w:r>
        <w:rPr>
          <w:rFonts w:hint="eastAsia" w:ascii="仿宋" w:hAnsi="仿宋" w:eastAsia="仿宋"/>
          <w:sz w:val="28"/>
          <w:szCs w:val="28"/>
          <w:highlight w:val="none"/>
        </w:rPr>
        <w:t>我方在实施贵方项目评价工作期间，就保密事宜做出如下承诺：</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我方理解贵方的保密信息。贵方拥有的不为公众所知悉、能为他人带来经济利益或其他利益、具有实用性的信息等均属商业秘密和秘密信息；包括但不限于贵我双方正在或将要签订的合同信息、合同履行、我方提供评价服务时所接触到的涉及贵方经营管理等事项的信息。</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我方自知悉贵方的保密信息之日起，依照法律法规规定及有关约定承担保密义务。</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sz w:val="28"/>
          <w:szCs w:val="28"/>
          <w:highlight w:val="none"/>
        </w:rPr>
        <w:t>未经贵方同意，我方不擅自保存与贵方保密信息有关的任何物品、资料，也不私自进行复制、交流或者转移。</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5.</w:t>
      </w:r>
      <w:r>
        <w:rPr>
          <w:rFonts w:hint="eastAsia" w:ascii="仿宋" w:hAnsi="仿宋" w:eastAsia="仿宋"/>
          <w:sz w:val="28"/>
          <w:szCs w:val="28"/>
          <w:highlight w:val="none"/>
        </w:rPr>
        <w:t>我方不会擅自使用任何属于第三方的保密信息，且保证此类信息不会侵犯任何第三方的知识产权及其它权益。若我方违反本规定而导致贵方遭受第三方的侵权指控时，我方承担法律责任。</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sz w:val="28"/>
          <w:szCs w:val="28"/>
          <w:highlight w:val="none"/>
        </w:rPr>
        <w:t>若我方发现贵方的保密信息可能被泄露或已经被泄露时，会及时通知贵方，并采取有效措施防止保密信息进一步泄露。</w:t>
      </w:r>
    </w:p>
    <w:p>
      <w:pPr>
        <w:widowControl/>
        <w:spacing w:line="500" w:lineRule="exact"/>
        <w:ind w:firstLine="560" w:firstLineChars="200"/>
        <w:jc w:val="left"/>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无论何种原因导致合同未签订或合同结束，我方均按照本合同约定对接触、知悉的保密信息承担保密义务，该保密义务直至这些保密信息由贵方公开或已实际公开时止。</w:t>
      </w:r>
    </w:p>
    <w:p>
      <w:pPr>
        <w:widowControl/>
        <w:spacing w:line="500" w:lineRule="exact"/>
        <w:ind w:firstLine="560" w:firstLineChars="200"/>
        <w:jc w:val="left"/>
        <w:rPr>
          <w:rFonts w:ascii="仿宋" w:hAnsi="仿宋" w:eastAsia="仿宋"/>
          <w:sz w:val="24"/>
          <w:highlight w:val="none"/>
        </w:rPr>
      </w:pPr>
      <w:r>
        <w:rPr>
          <w:rFonts w:hint="eastAsia" w:ascii="仿宋" w:hAnsi="仿宋" w:eastAsia="仿宋"/>
          <w:sz w:val="28"/>
          <w:szCs w:val="28"/>
          <w:highlight w:val="none"/>
        </w:rPr>
        <w:t>乙方：（公章）　</w:t>
      </w:r>
      <w:r>
        <w:rPr>
          <w:rFonts w:ascii="仿宋" w:hAnsi="宋体" w:eastAsia="仿宋"/>
          <w:sz w:val="28"/>
          <w:szCs w:val="28"/>
          <w:highlight w:val="none"/>
        </w:rPr>
        <w:t>   </w:t>
      </w:r>
      <w:r>
        <w:rPr>
          <w:rFonts w:ascii="仿宋" w:hAnsi="仿宋" w:eastAsia="仿宋"/>
          <w:sz w:val="28"/>
          <w:szCs w:val="28"/>
          <w:highlight w:val="none"/>
        </w:rPr>
        <w:t xml:space="preserve">                   </w:t>
      </w:r>
      <w:r>
        <w:rPr>
          <w:rFonts w:ascii="仿宋" w:hAnsi="宋体" w:eastAsia="仿宋"/>
          <w:sz w:val="28"/>
          <w:szCs w:val="28"/>
          <w:highlight w:val="none"/>
        </w:rPr>
        <w:t> </w:t>
      </w: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pStyle w:val="3"/>
        <w:numPr>
          <w:ilvl w:val="0"/>
          <w:numId w:val="3"/>
        </w:numPr>
        <w:spacing w:before="0" w:after="0" w:line="540" w:lineRule="exact"/>
        <w:rPr>
          <w:rFonts w:ascii="宋体" w:cs="宋体"/>
          <w:szCs w:val="28"/>
          <w:highlight w:val="none"/>
        </w:rPr>
      </w:pPr>
      <w:bookmarkStart w:id="304" w:name="_Toc29471"/>
      <w:bookmarkStart w:id="305" w:name="_Toc23661"/>
      <w:bookmarkStart w:id="306" w:name="_Toc32280"/>
      <w:bookmarkStart w:id="307" w:name="_Toc27378"/>
      <w:bookmarkStart w:id="308" w:name="_Toc20710"/>
      <w:bookmarkStart w:id="309" w:name="_Toc6779"/>
      <w:bookmarkStart w:id="310" w:name="_Toc30239"/>
      <w:bookmarkStart w:id="311" w:name="_Toc16386"/>
      <w:bookmarkStart w:id="312" w:name="_Toc15172"/>
      <w:bookmarkStart w:id="313" w:name="_Toc471482369"/>
      <w:bookmarkStart w:id="314" w:name="_Toc461525321"/>
      <w:bookmarkStart w:id="315" w:name="_Toc24668"/>
      <w:bookmarkStart w:id="316" w:name="_Toc26692"/>
      <w:bookmarkStart w:id="317" w:name="_Toc1897"/>
      <w:r>
        <w:rPr>
          <w:rFonts w:ascii="宋体" w:hAnsi="宋体" w:cs="宋体"/>
          <w:szCs w:val="28"/>
          <w:highlight w:val="none"/>
        </w:rPr>
        <w:t xml:space="preserve"> </w:t>
      </w:r>
      <w:bookmarkStart w:id="318" w:name="_Toc28616"/>
      <w:bookmarkStart w:id="319" w:name="_Toc21863"/>
      <w:bookmarkStart w:id="320" w:name="_Toc3086"/>
      <w:bookmarkStart w:id="321" w:name="_Toc12974"/>
      <w:bookmarkStart w:id="322" w:name="_Toc15480"/>
      <w:bookmarkStart w:id="323" w:name="_Toc2650"/>
      <w:bookmarkStart w:id="324" w:name="_Toc30463"/>
      <w:r>
        <w:rPr>
          <w:rFonts w:hint="eastAsia" w:ascii="宋体" w:hAnsi="宋体" w:cs="宋体"/>
          <w:szCs w:val="28"/>
          <w:highlight w:val="none"/>
        </w:rPr>
        <w:t>比选</w:t>
      </w:r>
      <w:bookmarkEnd w:id="301"/>
      <w:bookmarkEnd w:id="302"/>
      <w:r>
        <w:rPr>
          <w:rFonts w:hint="eastAsia" w:ascii="宋体" w:hAnsi="宋体" w:cs="宋体"/>
          <w:szCs w:val="28"/>
          <w:highlight w:val="none"/>
        </w:rPr>
        <w:t>申请文件（格式）</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Toc114052391"/>
    </w:p>
    <w:p>
      <w:pPr>
        <w:jc w:val="center"/>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26" w:name="_Toc16428"/>
      <w:bookmarkStart w:id="327" w:name="_Toc461525322"/>
      <w:bookmarkStart w:id="328" w:name="_Toc6045"/>
      <w:bookmarkStart w:id="329" w:name="_Toc10669"/>
      <w:bookmarkStart w:id="330" w:name="_Toc24727"/>
      <w:bookmarkStart w:id="331" w:name="_Toc22529"/>
      <w:bookmarkStart w:id="332" w:name="_Toc31417"/>
      <w:bookmarkStart w:id="333" w:name="_Toc12677"/>
      <w:bookmarkStart w:id="334" w:name="_Toc18503"/>
      <w:r>
        <w:rPr>
          <w:rFonts w:hint="eastAsia"/>
          <w:b w:val="0"/>
          <w:bCs w:val="0"/>
          <w:sz w:val="28"/>
          <w:szCs w:val="28"/>
          <w:highlight w:val="none"/>
        </w:rPr>
        <w:t>资格审查部分</w:t>
      </w:r>
      <w:bookmarkEnd w:id="326"/>
      <w:bookmarkEnd w:id="327"/>
      <w:bookmarkEnd w:id="328"/>
      <w:bookmarkEnd w:id="329"/>
      <w:bookmarkEnd w:id="330"/>
      <w:bookmarkEnd w:id="331"/>
      <w:bookmarkEnd w:id="332"/>
      <w:bookmarkEnd w:id="333"/>
      <w:bookmarkEnd w:id="334"/>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w:t>
      </w:r>
      <w:bookmarkEnd w:id="325"/>
      <w:r>
        <w:rPr>
          <w:rFonts w:hint="eastAsia" w:ascii="宋体" w:hAnsi="宋体" w:cs="宋体"/>
          <w:sz w:val="28"/>
          <w:szCs w:val="28"/>
          <w:highlight w:val="none"/>
        </w:rPr>
        <w:t>请</w:t>
      </w:r>
      <w:bookmarkStart w:id="335" w:name="_Toc114052392"/>
      <w:r>
        <w:rPr>
          <w:rFonts w:hint="eastAsia" w:ascii="宋体" w:hAnsi="宋体" w:cs="宋体"/>
          <w:sz w:val="28"/>
          <w:szCs w:val="28"/>
          <w:highlight w:val="none"/>
        </w:rPr>
        <w:t>人：</w:t>
      </w:r>
      <w:bookmarkEnd w:id="335"/>
      <w:r>
        <w:rPr>
          <w:rFonts w:hint="eastAsia" w:ascii="宋体" w:hAnsi="宋体" w:cs="宋体"/>
          <w:sz w:val="28"/>
          <w:szCs w:val="28"/>
          <w:highlight w:val="none"/>
        </w:rPr>
        <w:t>（加盖法人单位公章）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w:t>
      </w:r>
      <w:bookmarkStart w:id="336" w:name="_Toc333307122"/>
      <w:r>
        <w:rPr>
          <w:rFonts w:hint="eastAsia" w:ascii="宋体" w:hAnsi="宋体" w:cs="宋体"/>
          <w:sz w:val="28"/>
          <w:szCs w:val="28"/>
          <w:highlight w:val="none"/>
        </w:rPr>
        <w:t>理人</w:t>
      </w:r>
      <w:bookmarkEnd w:id="336"/>
      <w:r>
        <w:rPr>
          <w:rFonts w:hint="eastAsia" w:ascii="宋体" w:hAnsi="宋体" w:cs="宋体"/>
          <w:sz w:val="28"/>
          <w:szCs w:val="28"/>
          <w:highlight w:val="none"/>
        </w:rPr>
        <w:t>：（签字）</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ind w:right="753" w:firstLine="1260" w:firstLineChars="450"/>
        <w:jc w:val="left"/>
        <w:rPr>
          <w:rFonts w:ascii="宋体" w:cs="宋体"/>
          <w:sz w:val="28"/>
          <w:szCs w:val="28"/>
          <w:highlight w:val="none"/>
        </w:rPr>
      </w:pPr>
    </w:p>
    <w:p>
      <w:pPr>
        <w:pStyle w:val="13"/>
        <w:rPr>
          <w:highlight w:val="none"/>
        </w:rPr>
      </w:pPr>
      <w:bookmarkStart w:id="337" w:name="_Toc461525323"/>
      <w:bookmarkStart w:id="338" w:name="_Toc7849"/>
    </w:p>
    <w:p>
      <w:pPr>
        <w:pStyle w:val="4"/>
        <w:jc w:val="center"/>
        <w:rPr>
          <w:b/>
          <w:highlight w:val="none"/>
        </w:rPr>
      </w:pPr>
      <w:bookmarkStart w:id="339" w:name="_Toc30961"/>
      <w:bookmarkStart w:id="340" w:name="_Toc25559"/>
      <w:bookmarkStart w:id="341" w:name="_Toc7031"/>
      <w:bookmarkStart w:id="342" w:name="_Toc28967"/>
      <w:bookmarkStart w:id="343" w:name="_Toc12836"/>
      <w:bookmarkStart w:id="344" w:name="_Toc889"/>
      <w:bookmarkStart w:id="345" w:name="_Toc7514"/>
      <w:bookmarkStart w:id="346" w:name="_Toc30348"/>
      <w:bookmarkStart w:id="347" w:name="_Toc1883"/>
      <w:bookmarkStart w:id="348" w:name="_Toc24695"/>
      <w:bookmarkStart w:id="349" w:name="_Toc31765"/>
      <w:bookmarkStart w:id="350" w:name="_Toc29495"/>
      <w:bookmarkStart w:id="351" w:name="_Toc471482370"/>
      <w:bookmarkStart w:id="352" w:name="_Toc17090"/>
      <w:bookmarkStart w:id="353" w:name="_Toc16376"/>
      <w:bookmarkStart w:id="354" w:name="_Toc13042"/>
      <w:bookmarkStart w:id="355" w:name="_Toc16191"/>
      <w:r>
        <w:rPr>
          <w:rFonts w:hint="eastAsia"/>
          <w:b/>
          <w:highlight w:val="none"/>
        </w:rPr>
        <w:t>一、资格审查文件目录</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numPr>
          <w:ilvl w:val="0"/>
          <w:numId w:val="4"/>
        </w:numPr>
        <w:tabs>
          <w:tab w:val="left" w:pos="826"/>
        </w:tabs>
        <w:spacing w:line="560" w:lineRule="exact"/>
        <w:rPr>
          <w:rFonts w:ascii="宋体"/>
          <w:kern w:val="0"/>
          <w:sz w:val="24"/>
          <w:highlight w:val="none"/>
        </w:rPr>
      </w:pPr>
      <w:r>
        <w:rPr>
          <w:rFonts w:hint="eastAsia" w:ascii="宋体" w:hAnsi="宋体"/>
          <w:kern w:val="0"/>
          <w:sz w:val="24"/>
          <w:highlight w:val="none"/>
        </w:rPr>
        <w:t>诚信声明（原件）</w:t>
      </w:r>
    </w:p>
    <w:p>
      <w:pPr>
        <w:numPr>
          <w:ilvl w:val="0"/>
          <w:numId w:val="4"/>
        </w:numPr>
        <w:tabs>
          <w:tab w:val="left" w:pos="826"/>
        </w:tabs>
        <w:spacing w:line="560" w:lineRule="exact"/>
        <w:rPr>
          <w:rFonts w:ascii="宋体"/>
          <w:sz w:val="24"/>
          <w:highlight w:val="none"/>
        </w:rPr>
      </w:pPr>
      <w:r>
        <w:rPr>
          <w:rFonts w:hint="eastAsia" w:ascii="宋体" w:hAnsi="宋体"/>
          <w:sz w:val="24"/>
          <w:highlight w:val="none"/>
        </w:rPr>
        <w:t>法定代表人资格证明书（原件）</w:t>
      </w:r>
    </w:p>
    <w:p>
      <w:pPr>
        <w:numPr>
          <w:ilvl w:val="0"/>
          <w:numId w:val="4"/>
        </w:numPr>
        <w:tabs>
          <w:tab w:val="left" w:pos="826"/>
        </w:tabs>
        <w:spacing w:line="560" w:lineRule="exact"/>
        <w:rPr>
          <w:rFonts w:ascii="宋体"/>
          <w:sz w:val="24"/>
          <w:highlight w:val="none"/>
        </w:rPr>
      </w:pPr>
      <w:r>
        <w:rPr>
          <w:rFonts w:hint="eastAsia" w:ascii="宋体" w:hAnsi="宋体"/>
          <w:sz w:val="24"/>
          <w:highlight w:val="none"/>
        </w:rPr>
        <w:t>法定代表人身份证明文件（提供复印件</w:t>
      </w:r>
      <w:r>
        <w:rPr>
          <w:rFonts w:hint="eastAsia" w:ascii="宋体" w:hAnsi="宋体"/>
          <w:kern w:val="0"/>
          <w:sz w:val="24"/>
          <w:highlight w:val="none"/>
        </w:rPr>
        <w:t>加盖法人单位公章</w:t>
      </w:r>
      <w:r>
        <w:rPr>
          <w:rFonts w:hint="eastAsia" w:ascii="宋体" w:hAnsi="宋体"/>
          <w:sz w:val="24"/>
          <w:highlight w:val="none"/>
        </w:rPr>
        <w:t>）</w:t>
      </w:r>
    </w:p>
    <w:p>
      <w:pPr>
        <w:numPr>
          <w:ilvl w:val="0"/>
          <w:numId w:val="4"/>
        </w:numPr>
        <w:tabs>
          <w:tab w:val="left" w:pos="826"/>
        </w:tabs>
        <w:spacing w:line="560" w:lineRule="exact"/>
        <w:rPr>
          <w:rFonts w:ascii="宋体"/>
          <w:kern w:val="0"/>
          <w:sz w:val="24"/>
          <w:highlight w:val="none"/>
        </w:rPr>
      </w:pPr>
      <w:r>
        <w:rPr>
          <w:rFonts w:hint="eastAsia" w:ascii="宋体" w:hAnsi="宋体"/>
          <w:kern w:val="0"/>
          <w:sz w:val="24"/>
          <w:highlight w:val="none"/>
        </w:rPr>
        <w:t>比选申请文件签署授权委托书（原件）</w:t>
      </w:r>
    </w:p>
    <w:p>
      <w:pPr>
        <w:numPr>
          <w:ilvl w:val="0"/>
          <w:numId w:val="4"/>
        </w:numPr>
        <w:tabs>
          <w:tab w:val="left" w:pos="826"/>
        </w:tabs>
        <w:spacing w:line="560" w:lineRule="exact"/>
        <w:rPr>
          <w:rFonts w:ascii="宋体"/>
          <w:kern w:val="0"/>
          <w:sz w:val="24"/>
          <w:highlight w:val="none"/>
        </w:rPr>
      </w:pPr>
      <w:r>
        <w:rPr>
          <w:rFonts w:hint="eastAsia" w:ascii="宋体" w:hAnsi="宋体"/>
          <w:kern w:val="0"/>
          <w:sz w:val="24"/>
          <w:highlight w:val="none"/>
        </w:rPr>
        <w:t>授权代理人身份证明文件（提供复印件加盖法人单位公章）</w:t>
      </w:r>
    </w:p>
    <w:p>
      <w:pPr>
        <w:numPr>
          <w:ilvl w:val="0"/>
          <w:numId w:val="4"/>
        </w:numPr>
        <w:tabs>
          <w:tab w:val="left" w:pos="826"/>
        </w:tabs>
        <w:spacing w:line="560" w:lineRule="exact"/>
        <w:rPr>
          <w:rFonts w:ascii="宋体"/>
          <w:kern w:val="0"/>
          <w:sz w:val="24"/>
          <w:highlight w:val="none"/>
        </w:rPr>
      </w:pPr>
      <w:r>
        <w:rPr>
          <w:rFonts w:hint="eastAsia" w:ascii="宋体" w:hAnsi="宋体"/>
          <w:kern w:val="0"/>
          <w:sz w:val="24"/>
          <w:highlight w:val="none"/>
        </w:rPr>
        <w:t>会计师事务所执业证书（提供复印件加盖法人单位公章）</w:t>
      </w:r>
    </w:p>
    <w:p>
      <w:pPr>
        <w:ind w:right="753"/>
        <w:jc w:val="left"/>
        <w:rPr>
          <w:rFonts w:ascii="宋体" w:cs="宋体"/>
          <w:sz w:val="24"/>
          <w:highlight w:val="none"/>
        </w:rPr>
      </w:pPr>
    </w:p>
    <w:p>
      <w:pPr>
        <w:ind w:right="-21" w:firstLine="360" w:firstLineChars="150"/>
        <w:jc w:val="left"/>
        <w:rPr>
          <w:rFonts w:ascii="宋体" w:cs="宋体"/>
          <w:sz w:val="24"/>
          <w:highlight w:val="none"/>
        </w:rPr>
      </w:pPr>
      <w:r>
        <w:rPr>
          <w:rFonts w:hint="eastAsia" w:ascii="宋体" w:hAnsi="宋体" w:cs="宋体"/>
          <w:sz w:val="24"/>
          <w:highlight w:val="none"/>
        </w:rPr>
        <w:t>备注：以上材料均需加盖单位公章，并按照目录顺序编排，标注页码</w:t>
      </w:r>
    </w:p>
    <w:p>
      <w:pPr>
        <w:jc w:val="left"/>
        <w:rPr>
          <w:rFonts w:ascii="宋体" w:cs="宋体"/>
          <w:sz w:val="24"/>
          <w:highlight w:val="none"/>
        </w:rPr>
      </w:pPr>
    </w:p>
    <w:p>
      <w:pPr>
        <w:jc w:val="left"/>
        <w:rPr>
          <w:rFonts w:ascii="宋体" w:cs="宋体"/>
          <w:szCs w:val="28"/>
          <w:highlight w:val="none"/>
        </w:rPr>
      </w:pPr>
    </w:p>
    <w:p>
      <w:pPr>
        <w:jc w:val="left"/>
        <w:rPr>
          <w:rFonts w:ascii="宋体" w:cs="宋体"/>
          <w:szCs w:val="28"/>
          <w:highlight w:val="none"/>
        </w:rPr>
      </w:pPr>
    </w:p>
    <w:p>
      <w:pPr>
        <w:spacing w:line="560" w:lineRule="exact"/>
        <w:ind w:firstLine="420" w:firstLineChars="200"/>
        <w:jc w:val="center"/>
        <w:rPr>
          <w:rFonts w:ascii="宋体"/>
          <w:b/>
          <w:bCs/>
          <w:sz w:val="28"/>
          <w:szCs w:val="28"/>
          <w:highlight w:val="none"/>
        </w:rPr>
      </w:pPr>
      <w:bookmarkStart w:id="356" w:name="_Toc27423"/>
      <w:bookmarkStart w:id="357" w:name="_Toc461525324"/>
      <w:bookmarkStart w:id="358" w:name="_Toc1582"/>
      <w:r>
        <w:rPr>
          <w:highlight w:val="none"/>
        </w:rPr>
        <w:br w:type="page"/>
      </w:r>
      <w:bookmarkEnd w:id="356"/>
      <w:bookmarkEnd w:id="357"/>
      <w:bookmarkEnd w:id="358"/>
      <w:bookmarkStart w:id="359" w:name="_Toc461525329"/>
      <w:bookmarkStart w:id="360" w:name="_Toc24466"/>
      <w:bookmarkStart w:id="361" w:name="_Toc15465"/>
      <w:bookmarkStart w:id="362" w:name="_Toc30157"/>
      <w:bookmarkStart w:id="363" w:name="_Toc32325"/>
      <w:bookmarkStart w:id="364" w:name="_Toc15071"/>
      <w:bookmarkStart w:id="365" w:name="_Toc29655"/>
      <w:bookmarkStart w:id="366" w:name="_Toc18804"/>
      <w:bookmarkStart w:id="367" w:name="_Toc26924"/>
      <w:bookmarkStart w:id="368" w:name="_Toc14714"/>
      <w:bookmarkStart w:id="369" w:name="_Toc29347"/>
      <w:bookmarkStart w:id="370" w:name="_Toc17531"/>
      <w:r>
        <w:rPr>
          <w:rFonts w:ascii="宋体" w:hAnsi="宋体"/>
          <w:b/>
          <w:bCs/>
          <w:sz w:val="28"/>
          <w:szCs w:val="28"/>
          <w:highlight w:val="none"/>
        </w:rPr>
        <w:t>1.</w:t>
      </w:r>
      <w:r>
        <w:rPr>
          <w:rFonts w:hint="eastAsia" w:ascii="宋体" w:hAnsi="宋体"/>
          <w:b/>
          <w:bCs/>
          <w:sz w:val="28"/>
          <w:szCs w:val="28"/>
          <w:highlight w:val="none"/>
        </w:rPr>
        <w:t>诚信声明</w:t>
      </w:r>
    </w:p>
    <w:p>
      <w:pPr>
        <w:spacing w:line="560" w:lineRule="exact"/>
        <w:ind w:firstLine="420" w:firstLineChars="200"/>
        <w:rPr>
          <w:rFonts w:ascii="宋体"/>
          <w:highlight w:val="none"/>
        </w:rPr>
      </w:pPr>
    </w:p>
    <w:p>
      <w:pPr>
        <w:spacing w:line="540" w:lineRule="exact"/>
        <w:ind w:firstLine="470" w:firstLineChars="196"/>
        <w:rPr>
          <w:rFonts w:ascii="宋体"/>
          <w:sz w:val="24"/>
          <w:highlight w:val="none"/>
        </w:rPr>
      </w:pPr>
      <w:r>
        <w:rPr>
          <w:rFonts w:hint="eastAsia" w:ascii="宋体" w:hAnsi="宋体"/>
          <w:sz w:val="24"/>
          <w:highlight w:val="none"/>
        </w:rPr>
        <w:t>本人</w:t>
      </w:r>
      <w:r>
        <w:rPr>
          <w:rFonts w:ascii="宋体" w:hAnsi="宋体"/>
          <w:sz w:val="24"/>
          <w:highlight w:val="none"/>
        </w:rPr>
        <w:t xml:space="preserve">       </w:t>
      </w:r>
      <w:r>
        <w:rPr>
          <w:rFonts w:hint="eastAsia" w:ascii="宋体" w:hAnsi="宋体"/>
          <w:sz w:val="24"/>
          <w:highlight w:val="none"/>
        </w:rPr>
        <w:t>（法定代表人、身份证号码</w:t>
      </w:r>
      <w:r>
        <w:rPr>
          <w:rFonts w:ascii="宋体" w:hAnsi="宋体"/>
          <w:sz w:val="24"/>
          <w:highlight w:val="none"/>
        </w:rPr>
        <w:t xml:space="preserve">              </w:t>
      </w:r>
      <w:r>
        <w:rPr>
          <w:rFonts w:hint="eastAsia" w:ascii="宋体" w:hAnsi="宋体"/>
          <w:sz w:val="24"/>
          <w:highlight w:val="none"/>
        </w:rPr>
        <w:t>）郑重声明：</w:t>
      </w:r>
    </w:p>
    <w:p>
      <w:pPr>
        <w:spacing w:line="540" w:lineRule="exact"/>
        <w:ind w:firstLine="470" w:firstLineChars="196"/>
        <w:rPr>
          <w:rFonts w:ascii="宋体"/>
          <w:sz w:val="24"/>
          <w:highlight w:val="none"/>
        </w:rPr>
      </w:pPr>
      <w:r>
        <w:rPr>
          <w:rFonts w:ascii="宋体" w:hAnsi="宋体"/>
          <w:sz w:val="24"/>
          <w:highlight w:val="none"/>
        </w:rPr>
        <w:t>1.</w:t>
      </w:r>
      <w:r>
        <w:rPr>
          <w:rFonts w:hint="eastAsia" w:ascii="宋体" w:hAnsi="宋体"/>
          <w:sz w:val="24"/>
          <w:highlight w:val="none"/>
        </w:rPr>
        <w:t>本企业参加</w:t>
      </w:r>
      <w:r>
        <w:rPr>
          <w:rFonts w:ascii="宋体" w:hAnsi="宋体"/>
          <w:sz w:val="24"/>
          <w:highlight w:val="none"/>
          <w:u w:val="single"/>
        </w:rPr>
        <w:t xml:space="preserve">                   </w:t>
      </w:r>
      <w:r>
        <w:rPr>
          <w:rFonts w:ascii="宋体" w:hAnsi="宋体"/>
          <w:b/>
          <w:sz w:val="24"/>
          <w:highlight w:val="none"/>
          <w:u w:val="single"/>
        </w:rPr>
        <w:t xml:space="preserve">  </w:t>
      </w:r>
      <w:r>
        <w:rPr>
          <w:rFonts w:hint="eastAsia" w:ascii="宋体" w:hAnsi="宋体"/>
          <w:sz w:val="24"/>
          <w:highlight w:val="none"/>
        </w:rPr>
        <w:t>项目比选活动所提交的所有资料、填写数据及所包含的附件资料内容是真实的、合法的、有效的；</w:t>
      </w:r>
    </w:p>
    <w:p>
      <w:pPr>
        <w:spacing w:line="540" w:lineRule="exact"/>
        <w:ind w:firstLine="470" w:firstLineChars="196"/>
        <w:rPr>
          <w:rFonts w:ascii="宋体"/>
          <w:sz w:val="24"/>
          <w:highlight w:val="none"/>
        </w:rPr>
      </w:pPr>
      <w:r>
        <w:rPr>
          <w:rFonts w:ascii="宋体" w:hAnsi="宋体"/>
          <w:sz w:val="24"/>
          <w:highlight w:val="none"/>
        </w:rPr>
        <w:t>2.</w:t>
      </w:r>
      <w:r>
        <w:rPr>
          <w:rFonts w:hint="eastAsia" w:ascii="宋体" w:hAnsi="宋体"/>
          <w:sz w:val="24"/>
          <w:highlight w:val="none"/>
        </w:rPr>
        <w:t>本企业未被国家、广西壮族自治区、南宁市相关行政主管部门通报停止投标活动，无犯罪行贿记录；</w:t>
      </w:r>
    </w:p>
    <w:p>
      <w:pPr>
        <w:spacing w:line="540" w:lineRule="exact"/>
        <w:ind w:firstLine="470" w:firstLineChars="196"/>
        <w:rPr>
          <w:rFonts w:ascii="宋体"/>
          <w:sz w:val="24"/>
          <w:highlight w:val="none"/>
        </w:rPr>
      </w:pPr>
      <w:r>
        <w:rPr>
          <w:rFonts w:ascii="宋体" w:hAnsi="宋体"/>
          <w:sz w:val="24"/>
          <w:highlight w:val="none"/>
        </w:rPr>
        <w:t>3.</w:t>
      </w:r>
      <w:r>
        <w:rPr>
          <w:rFonts w:hint="eastAsia" w:ascii="宋体" w:hAnsi="宋体"/>
          <w:sz w:val="24"/>
          <w:highlight w:val="none"/>
        </w:rPr>
        <w:t>同时，我方在此所作的声明也是真实有效的，并愿意对在比选过程中有关部门的调查结果承担责任；</w:t>
      </w:r>
    </w:p>
    <w:p>
      <w:pPr>
        <w:spacing w:line="540" w:lineRule="exact"/>
        <w:ind w:firstLine="470" w:firstLineChars="196"/>
        <w:rPr>
          <w:rFonts w:ascii="宋体"/>
          <w:sz w:val="24"/>
          <w:highlight w:val="none"/>
        </w:rPr>
      </w:pPr>
      <w:r>
        <w:rPr>
          <w:rFonts w:ascii="宋体" w:hAnsi="宋体"/>
          <w:sz w:val="24"/>
          <w:highlight w:val="none"/>
        </w:rPr>
        <w:t>4.</w:t>
      </w:r>
      <w:r>
        <w:rPr>
          <w:rFonts w:hint="eastAsia" w:ascii="宋体" w:hAnsi="宋体"/>
          <w:sz w:val="24"/>
          <w:highlight w:val="none"/>
        </w:rPr>
        <w:t>本企业提交的所有比选申请资料如有不实，愿接受相关部门依据有关法律法规给予的处罚。</w:t>
      </w:r>
    </w:p>
    <w:p>
      <w:pPr>
        <w:spacing w:line="540" w:lineRule="exact"/>
        <w:ind w:firstLine="470" w:firstLineChars="196"/>
        <w:rPr>
          <w:rFonts w:ascii="宋体"/>
          <w:sz w:val="24"/>
          <w:highlight w:val="none"/>
        </w:rPr>
      </w:pPr>
      <w:r>
        <w:rPr>
          <w:rFonts w:ascii="宋体" w:hAnsi="宋体"/>
          <w:sz w:val="24"/>
          <w:highlight w:val="none"/>
        </w:rPr>
        <w:t>5.</w:t>
      </w:r>
      <w:r>
        <w:rPr>
          <w:rFonts w:hint="eastAsia" w:ascii="宋体" w:hAnsi="宋体"/>
          <w:sz w:val="24"/>
          <w:highlight w:val="none"/>
        </w:rPr>
        <w:t>本企业提供的服务不存在知识产权或专利纠纷，保证甲方能正常使用本企业所提供的服务。</w:t>
      </w:r>
    </w:p>
    <w:p>
      <w:pPr>
        <w:spacing w:line="540" w:lineRule="exact"/>
        <w:ind w:firstLine="470" w:firstLineChars="196"/>
        <w:rPr>
          <w:rFonts w:ascii="宋体"/>
          <w:sz w:val="24"/>
          <w:highlight w:val="none"/>
        </w:rPr>
      </w:pPr>
      <w:r>
        <w:rPr>
          <w:rFonts w:ascii="宋体" w:hAnsi="宋体"/>
          <w:sz w:val="24"/>
          <w:highlight w:val="none"/>
        </w:rPr>
        <w:t>6.</w:t>
      </w:r>
      <w:r>
        <w:rPr>
          <w:rFonts w:hint="eastAsia" w:ascii="宋体" w:hAnsi="宋体"/>
          <w:sz w:val="24"/>
          <w:highlight w:val="none"/>
        </w:rPr>
        <w:t>其他……</w:t>
      </w:r>
    </w:p>
    <w:p>
      <w:pPr>
        <w:spacing w:line="360" w:lineRule="auto"/>
        <w:ind w:firstLine="470" w:firstLineChars="196"/>
        <w:rPr>
          <w:rFonts w:ascii="宋体"/>
          <w:sz w:val="24"/>
          <w:highlight w:val="none"/>
        </w:rPr>
      </w:pPr>
    </w:p>
    <w:p>
      <w:pPr>
        <w:spacing w:line="360" w:lineRule="auto"/>
        <w:ind w:firstLine="470" w:firstLineChars="196"/>
        <w:rPr>
          <w:rFonts w:ascii="宋体"/>
          <w:sz w:val="24"/>
          <w:highlight w:val="none"/>
        </w:rPr>
      </w:pPr>
    </w:p>
    <w:p>
      <w:pPr>
        <w:spacing w:line="360" w:lineRule="auto"/>
        <w:rPr>
          <w:rFonts w:ascii="宋体" w:cs="宋体"/>
          <w:sz w:val="24"/>
          <w:highlight w:val="none"/>
        </w:rPr>
      </w:pPr>
    </w:p>
    <w:p>
      <w:pPr>
        <w:spacing w:line="360" w:lineRule="auto"/>
        <w:rPr>
          <w:rFonts w:ascii="宋体" w:cs="宋体"/>
          <w:sz w:val="24"/>
          <w:highlight w:val="none"/>
        </w:rPr>
      </w:pPr>
      <w:r>
        <w:rPr>
          <w:rFonts w:hint="eastAsia" w:ascii="宋体" w:hAnsi="宋体" w:cs="宋体"/>
          <w:sz w:val="24"/>
          <w:highlight w:val="none"/>
        </w:rPr>
        <w:t>比选申请人：（加盖法人单位公章）</w:t>
      </w:r>
    </w:p>
    <w:p>
      <w:pPr>
        <w:spacing w:line="360" w:lineRule="auto"/>
        <w:ind w:firstLine="470" w:firstLineChars="196"/>
        <w:rPr>
          <w:rFonts w:ascii="宋体"/>
          <w:sz w:val="24"/>
          <w:highlight w:val="none"/>
        </w:rPr>
      </w:pPr>
    </w:p>
    <w:p>
      <w:pPr>
        <w:spacing w:line="360" w:lineRule="auto"/>
        <w:rPr>
          <w:rFonts w:ascii="宋体"/>
          <w:sz w:val="24"/>
          <w:highlight w:val="none"/>
        </w:rPr>
      </w:pPr>
      <w:r>
        <w:rPr>
          <w:rFonts w:hint="eastAsia" w:ascii="宋体" w:hAnsi="宋体" w:cs="宋体"/>
          <w:sz w:val="24"/>
          <w:highlight w:val="none"/>
        </w:rPr>
        <w:t>法定代表人（负责人）或委托代理人</w:t>
      </w:r>
      <w:r>
        <w:rPr>
          <w:rFonts w:hint="eastAsia" w:ascii="宋体" w:hAnsi="宋体"/>
          <w:sz w:val="24"/>
          <w:highlight w:val="none"/>
        </w:rPr>
        <w:t>：（签字）</w:t>
      </w:r>
    </w:p>
    <w:p>
      <w:pPr>
        <w:spacing w:line="360" w:lineRule="auto"/>
        <w:ind w:firstLine="470" w:firstLineChars="196"/>
        <w:rPr>
          <w:rFonts w:ascii="宋体"/>
          <w:sz w:val="24"/>
          <w:highlight w:val="none"/>
        </w:rPr>
      </w:pPr>
    </w:p>
    <w:p>
      <w:pPr>
        <w:spacing w:line="360" w:lineRule="auto"/>
        <w:rPr>
          <w:rFonts w:ascii="宋体" w:cs="宋体"/>
          <w:sz w:val="24"/>
          <w:highlight w:val="none"/>
        </w:rPr>
      </w:pPr>
      <w:bookmarkStart w:id="610" w:name="_GoBack"/>
      <w:r>
        <w:rPr>
          <w:rFonts w:hint="eastAsia" w:ascii="宋体" w:hAnsi="宋体" w:cs="宋体"/>
          <w:sz w:val="24"/>
          <w:highlight w:val="none"/>
        </w:rPr>
        <w:t>日期</w:t>
      </w:r>
      <w:bookmarkEnd w:id="610"/>
      <w:r>
        <w:rPr>
          <w:rFonts w:hint="eastAsia" w:ascii="宋体" w:hAnsi="宋体" w:cs="宋体"/>
          <w:sz w:val="24"/>
          <w:highlight w:val="none"/>
        </w:rPr>
        <w:t>：　　年</w:t>
      </w:r>
      <w:r>
        <w:rPr>
          <w:rFonts w:ascii="宋体" w:hAnsi="宋体" w:cs="宋体"/>
          <w:sz w:val="24"/>
          <w:highlight w:val="none"/>
        </w:rPr>
        <w:t xml:space="preserve">   </w:t>
      </w:r>
      <w:r>
        <w:rPr>
          <w:rFonts w:hint="eastAsia" w:ascii="宋体" w:hAnsi="宋体" w:cs="宋体"/>
          <w:sz w:val="24"/>
          <w:highlight w:val="none"/>
        </w:rPr>
        <w:t>月</w:t>
      </w:r>
      <w:r>
        <w:rPr>
          <w:rFonts w:ascii="宋体" w:hAnsi="宋体" w:cs="宋体"/>
          <w:sz w:val="24"/>
          <w:highlight w:val="none"/>
        </w:rPr>
        <w:t xml:space="preserve">    </w:t>
      </w:r>
      <w:r>
        <w:rPr>
          <w:rFonts w:hint="eastAsia" w:ascii="宋体" w:hAnsi="宋体" w:cs="宋体"/>
          <w:sz w:val="24"/>
          <w:highlight w:val="none"/>
        </w:rPr>
        <w:t>日</w:t>
      </w: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p>
      <w:pPr>
        <w:spacing w:line="360" w:lineRule="auto"/>
        <w:ind w:firstLine="470" w:firstLineChars="196"/>
        <w:rPr>
          <w:sz w:val="24"/>
          <w:highlight w:val="none"/>
        </w:rPr>
      </w:pPr>
    </w:p>
    <w:bookmarkEnd w:id="359"/>
    <w:bookmarkEnd w:id="360"/>
    <w:bookmarkEnd w:id="361"/>
    <w:bookmarkEnd w:id="362"/>
    <w:bookmarkEnd w:id="363"/>
    <w:bookmarkEnd w:id="364"/>
    <w:bookmarkEnd w:id="365"/>
    <w:bookmarkEnd w:id="366"/>
    <w:bookmarkEnd w:id="367"/>
    <w:bookmarkEnd w:id="368"/>
    <w:bookmarkEnd w:id="369"/>
    <w:bookmarkEnd w:id="370"/>
    <w:p>
      <w:pPr>
        <w:jc w:val="center"/>
        <w:rPr>
          <w:rFonts w:ascii="宋体"/>
          <w:b/>
          <w:kern w:val="0"/>
          <w:sz w:val="28"/>
          <w:szCs w:val="28"/>
          <w:highlight w:val="none"/>
        </w:rPr>
      </w:pPr>
      <w:bookmarkStart w:id="371" w:name="_Toc28436"/>
      <w:bookmarkStart w:id="372" w:name="_Toc7760"/>
      <w:bookmarkStart w:id="373" w:name="_Toc6606"/>
      <w:bookmarkStart w:id="374" w:name="_Toc19937"/>
      <w:bookmarkStart w:id="375" w:name="_Toc25670"/>
      <w:bookmarkStart w:id="376" w:name="_Toc750"/>
      <w:bookmarkStart w:id="377" w:name="_Toc16756"/>
      <w:bookmarkStart w:id="378" w:name="_Toc32075"/>
      <w:bookmarkStart w:id="379" w:name="_Toc3498"/>
      <w:r>
        <w:rPr>
          <w:rFonts w:ascii="宋体" w:hAnsi="宋体"/>
          <w:b/>
          <w:kern w:val="0"/>
          <w:sz w:val="28"/>
          <w:szCs w:val="28"/>
          <w:highlight w:val="none"/>
        </w:rPr>
        <w:t>2.</w:t>
      </w:r>
      <w:r>
        <w:rPr>
          <w:rFonts w:hint="eastAsia" w:ascii="宋体" w:hAnsi="宋体"/>
          <w:b/>
          <w:kern w:val="0"/>
          <w:sz w:val="28"/>
          <w:szCs w:val="28"/>
          <w:highlight w:val="none"/>
        </w:rPr>
        <w:t>法定代表人资格证明书</w:t>
      </w:r>
    </w:p>
    <w:p>
      <w:pPr>
        <w:rPr>
          <w:rFonts w:ascii="宋体"/>
          <w:b/>
          <w:sz w:val="36"/>
          <w:highlight w:val="none"/>
        </w:rPr>
      </w:pPr>
    </w:p>
    <w:p>
      <w:pPr>
        <w:rPr>
          <w:rFonts w:ascii="宋体"/>
          <w:b/>
          <w:highlight w:val="none"/>
        </w:rPr>
      </w:pPr>
    </w:p>
    <w:p>
      <w:pPr>
        <w:spacing w:line="360" w:lineRule="auto"/>
        <w:ind w:firstLine="612"/>
        <w:rPr>
          <w:rFonts w:ascii="宋体"/>
          <w:sz w:val="24"/>
          <w:highlight w:val="none"/>
        </w:rPr>
      </w:pPr>
      <w:r>
        <w:rPr>
          <w:rFonts w:hint="eastAsia" w:ascii="宋体" w:hAnsi="宋体"/>
          <w:sz w:val="24"/>
          <w:highlight w:val="none"/>
        </w:rPr>
        <w:t>单位名称：</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2"/>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单位性质：</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地</w:t>
      </w:r>
      <w:r>
        <w:rPr>
          <w:rFonts w:ascii="宋体" w:hAnsi="宋体"/>
          <w:sz w:val="24"/>
          <w:highlight w:val="none"/>
        </w:rPr>
        <w:t xml:space="preserve">    </w:t>
      </w:r>
      <w:r>
        <w:rPr>
          <w:rFonts w:hint="eastAsia" w:ascii="宋体" w:hAnsi="宋体"/>
          <w:sz w:val="24"/>
          <w:highlight w:val="none"/>
        </w:rPr>
        <w:t>址：</w:t>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成立时间：</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经营期限：</w:t>
      </w:r>
      <w:r>
        <w:rPr>
          <w:rFonts w:ascii="宋体"/>
          <w:sz w:val="24"/>
          <w:highlight w:val="none"/>
          <w:u w:val="single"/>
        </w:rPr>
        <w:tab/>
      </w:r>
      <w:r>
        <w:rPr>
          <w:rFonts w:ascii="宋体" w:hAnsi="宋体"/>
          <w:sz w:val="24"/>
          <w:highlight w:val="none"/>
          <w:u w:val="single"/>
        </w:rPr>
        <w:t xml:space="preserve">       </w:t>
      </w:r>
      <w:r>
        <w:rPr>
          <w:rFonts w:ascii="宋体" w:hAns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u w:val="single"/>
        </w:rPr>
      </w:pPr>
      <w:r>
        <w:rPr>
          <w:rFonts w:hint="eastAsia" w:ascii="宋体" w:hAnsi="宋体"/>
          <w:sz w:val="24"/>
          <w:highlight w:val="none"/>
        </w:rPr>
        <w:t>姓</w:t>
      </w:r>
      <w:r>
        <w:rPr>
          <w:rFonts w:ascii="宋体" w:hAnsi="宋体"/>
          <w:sz w:val="24"/>
          <w:highlight w:val="none"/>
        </w:rPr>
        <w:t xml:space="preserve">    </w:t>
      </w:r>
      <w:r>
        <w:rPr>
          <w:rFonts w:hint="eastAsia" w:ascii="宋体" w:hAnsi="宋体"/>
          <w:sz w:val="24"/>
          <w:highlight w:val="none"/>
        </w:rPr>
        <w:t>名：</w:t>
      </w:r>
      <w:r>
        <w:rPr>
          <w:rFonts w:ascii="宋体" w:hAnsi="宋体"/>
          <w:sz w:val="24"/>
          <w:highlight w:val="none"/>
        </w:rPr>
        <w:t xml:space="preserve">  </w:t>
      </w:r>
      <w:r>
        <w:rPr>
          <w:rFonts w:hint="eastAsia" w:ascii="宋体" w:hAnsi="宋体"/>
          <w:sz w:val="24"/>
          <w:highlight w:val="none"/>
        </w:rPr>
        <w:t>性</w:t>
      </w:r>
      <w:r>
        <w:rPr>
          <w:rFonts w:ascii="宋体" w:hAnsi="宋体"/>
          <w:sz w:val="24"/>
          <w:highlight w:val="none"/>
        </w:rPr>
        <w:t xml:space="preserve">   </w:t>
      </w:r>
      <w:r>
        <w:rPr>
          <w:rFonts w:hint="eastAsia" w:ascii="宋体" w:hAnsi="宋体"/>
          <w:sz w:val="24"/>
          <w:highlight w:val="none"/>
        </w:rPr>
        <w:t>别：</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龄：</w:t>
      </w:r>
      <w:r>
        <w:rPr>
          <w:rFonts w:ascii="宋体" w:hAnsi="宋体"/>
          <w:sz w:val="24"/>
          <w:highlight w:val="none"/>
        </w:rPr>
        <w:t xml:space="preserve">   </w:t>
      </w:r>
      <w:r>
        <w:rPr>
          <w:rFonts w:hint="eastAsia" w:ascii="宋体" w:hAnsi="宋体"/>
          <w:sz w:val="24"/>
          <w:highlight w:val="none"/>
        </w:rPr>
        <w:t>职务：</w:t>
      </w:r>
      <w:r>
        <w:rPr>
          <w:rFonts w:ascii="宋体"/>
          <w:sz w:val="24"/>
          <w:highlight w:val="none"/>
          <w:u w:val="single"/>
        </w:rPr>
        <w:tab/>
      </w:r>
      <w:r>
        <w:rPr>
          <w:rFonts w:ascii="宋体"/>
          <w:sz w:val="24"/>
          <w:highlight w:val="none"/>
          <w:u w:val="single"/>
        </w:rPr>
        <w:tab/>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系</w:t>
      </w:r>
      <w:r>
        <w:rPr>
          <w:rFonts w:ascii="宋体" w:hAnsi="宋体"/>
          <w:sz w:val="24"/>
          <w:highlight w:val="none"/>
          <w:u w:val="single"/>
        </w:rPr>
        <w:t xml:space="preserve">          </w:t>
      </w:r>
      <w:r>
        <w:rPr>
          <w:rFonts w:hint="eastAsia" w:ascii="宋体" w:hAnsi="宋体"/>
          <w:sz w:val="24"/>
          <w:highlight w:val="none"/>
          <w:u w:val="single"/>
        </w:rPr>
        <w:t>（比选申请人单位名称）</w:t>
      </w:r>
      <w:r>
        <w:rPr>
          <w:rFonts w:ascii="宋体" w:hAnsi="宋体"/>
          <w:sz w:val="24"/>
          <w:highlight w:val="none"/>
          <w:u w:val="single"/>
        </w:rPr>
        <w:t xml:space="preserve">         </w:t>
      </w:r>
      <w:r>
        <w:rPr>
          <w:rFonts w:hint="eastAsia" w:ascii="宋体" w:hAnsi="宋体"/>
          <w:sz w:val="24"/>
          <w:highlight w:val="none"/>
        </w:rPr>
        <w:t>的法定代表人。</w:t>
      </w:r>
    </w:p>
    <w:p>
      <w:pPr>
        <w:spacing w:line="360" w:lineRule="auto"/>
        <w:ind w:firstLine="610"/>
        <w:rPr>
          <w:rFonts w:ascii="宋体"/>
          <w:sz w:val="24"/>
          <w:highlight w:val="none"/>
        </w:rPr>
      </w:pPr>
    </w:p>
    <w:p>
      <w:pPr>
        <w:spacing w:line="360" w:lineRule="auto"/>
        <w:ind w:firstLine="610"/>
        <w:rPr>
          <w:rFonts w:ascii="宋体"/>
          <w:sz w:val="24"/>
          <w:highlight w:val="none"/>
        </w:rPr>
      </w:pPr>
      <w:r>
        <w:rPr>
          <w:rFonts w:hint="eastAsia" w:ascii="宋体" w:hAnsi="宋体"/>
          <w:sz w:val="24"/>
          <w:highlight w:val="none"/>
        </w:rPr>
        <w:t>特此证明。</w:t>
      </w:r>
    </w:p>
    <w:p>
      <w:pPr>
        <w:tabs>
          <w:tab w:val="left" w:pos="720"/>
          <w:tab w:val="left" w:pos="900"/>
        </w:tabs>
        <w:spacing w:line="360" w:lineRule="auto"/>
        <w:rPr>
          <w:rFonts w:ascii="宋体"/>
          <w:sz w:val="24"/>
          <w:highlight w:val="none"/>
        </w:rPr>
      </w:pPr>
    </w:p>
    <w:p>
      <w:pPr>
        <w:tabs>
          <w:tab w:val="left" w:pos="720"/>
          <w:tab w:val="left" w:pos="900"/>
        </w:tabs>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比选申请人：</w:t>
      </w:r>
      <w:r>
        <w:rPr>
          <w:rFonts w:ascii="宋体" w:hAnsi="宋体"/>
          <w:sz w:val="24"/>
          <w:highlight w:val="none"/>
          <w:u w:val="single"/>
        </w:rPr>
        <w:t xml:space="preserve">     </w:t>
      </w:r>
      <w:r>
        <w:rPr>
          <w:rFonts w:hint="eastAsia" w:ascii="宋体" w:hAnsi="宋体"/>
          <w:sz w:val="24"/>
          <w:highlight w:val="none"/>
          <w:u w:val="single"/>
        </w:rPr>
        <w:t>（加盖法人单位公章）</w:t>
      </w:r>
      <w:r>
        <w:rPr>
          <w:rFonts w:ascii="宋体" w:hAnsi="宋体"/>
          <w:sz w:val="24"/>
          <w:highlight w:val="none"/>
          <w:u w:val="single"/>
        </w:rPr>
        <w:t xml:space="preserve">    </w:t>
      </w:r>
    </w:p>
    <w:p>
      <w:pPr>
        <w:spacing w:line="360" w:lineRule="auto"/>
        <w:jc w:val="center"/>
        <w:rPr>
          <w:rFonts w:ascii="宋体"/>
          <w:sz w:val="24"/>
          <w:highlight w:val="none"/>
        </w:rPr>
      </w:pPr>
      <w:r>
        <w:rPr>
          <w:rFonts w:ascii="宋体" w:hAnsi="宋体"/>
          <w:sz w:val="24"/>
          <w:highlight w:val="none"/>
        </w:rPr>
        <w:t xml:space="preserve">                                  </w:t>
      </w:r>
      <w:r>
        <w:rPr>
          <w:rFonts w:hint="eastAsia" w:ascii="宋体" w:hAnsi="宋体"/>
          <w:sz w:val="24"/>
          <w:highlight w:val="none"/>
        </w:rPr>
        <w:t>日</w:t>
      </w:r>
      <w:r>
        <w:rPr>
          <w:rFonts w:ascii="宋体" w:hAnsi="宋体"/>
          <w:sz w:val="24"/>
          <w:highlight w:val="none"/>
        </w:rPr>
        <w:t xml:space="preserve">  </w:t>
      </w:r>
      <w:r>
        <w:rPr>
          <w:rFonts w:hint="eastAsia" w:ascii="宋体" w:hAnsi="宋体"/>
          <w:sz w:val="24"/>
          <w:highlight w:val="none"/>
        </w:rPr>
        <w:t>期：</w:t>
      </w:r>
      <w:r>
        <w:rPr>
          <w:rFonts w:ascii="宋体" w:hAnsi="宋体"/>
          <w:sz w:val="24"/>
          <w:highlight w:val="none"/>
        </w:rPr>
        <w:t xml:space="preserve"> </w:t>
      </w:r>
      <w:r>
        <w:rPr>
          <w:rFonts w:hint="eastAsia" w:ascii="宋体" w:hAnsi="宋体"/>
          <w:sz w:val="24"/>
          <w:highlight w:val="none"/>
        </w:rPr>
        <w:t>年</w:t>
      </w:r>
      <w:r>
        <w:rPr>
          <w:rFonts w:ascii="宋体" w:hAnsi="宋体"/>
          <w:sz w:val="24"/>
          <w:highlight w:val="none"/>
        </w:rPr>
        <w:t xml:space="preserve">  </w:t>
      </w:r>
      <w:r>
        <w:rPr>
          <w:rFonts w:hint="eastAsia" w:ascii="宋体" w:hAnsi="宋体"/>
          <w:sz w:val="24"/>
          <w:highlight w:val="none"/>
        </w:rPr>
        <w:t>月</w:t>
      </w:r>
      <w:r>
        <w:rPr>
          <w:rFonts w:ascii="宋体" w:hAnsi="宋体"/>
          <w:sz w:val="24"/>
          <w:highlight w:val="none"/>
        </w:rPr>
        <w:t xml:space="preserve">   </w:t>
      </w:r>
      <w:r>
        <w:rPr>
          <w:rFonts w:hint="eastAsia" w:ascii="宋体" w:hAnsi="宋体"/>
          <w:sz w:val="24"/>
          <w:highlight w:val="none"/>
        </w:rPr>
        <w:t>日</w:t>
      </w:r>
    </w:p>
    <w:p>
      <w:pPr>
        <w:spacing w:line="600" w:lineRule="exact"/>
        <w:jc w:val="center"/>
        <w:rPr>
          <w:sz w:val="28"/>
          <w:szCs w:val="28"/>
          <w:highlight w:val="none"/>
        </w:rPr>
      </w:pPr>
      <w:r>
        <w:rPr>
          <w:rFonts w:ascii="楷体_GB2312" w:eastAsia="楷体_GB2312"/>
          <w:b/>
          <w:sz w:val="24"/>
          <w:highlight w:val="none"/>
        </w:rPr>
        <w:br w:type="page"/>
      </w:r>
      <w:bookmarkEnd w:id="371"/>
      <w:bookmarkEnd w:id="372"/>
      <w:bookmarkEnd w:id="373"/>
      <w:bookmarkEnd w:id="374"/>
      <w:bookmarkEnd w:id="375"/>
      <w:bookmarkEnd w:id="376"/>
      <w:bookmarkEnd w:id="377"/>
      <w:bookmarkEnd w:id="378"/>
      <w:bookmarkEnd w:id="379"/>
      <w:r>
        <w:rPr>
          <w:rFonts w:ascii="宋体" w:hAnsi="宋体"/>
          <w:b/>
          <w:kern w:val="0"/>
          <w:sz w:val="28"/>
          <w:szCs w:val="28"/>
          <w:highlight w:val="none"/>
        </w:rPr>
        <w:t>3.</w:t>
      </w:r>
      <w:r>
        <w:rPr>
          <w:rFonts w:hint="eastAsia" w:ascii="宋体" w:hAnsi="宋体"/>
          <w:b/>
          <w:kern w:val="0"/>
          <w:sz w:val="28"/>
          <w:szCs w:val="28"/>
          <w:highlight w:val="none"/>
        </w:rPr>
        <w:t>法定代表人身份证明文件（提供复印件加盖法人单位公章）</w:t>
      </w:r>
    </w:p>
    <w:p>
      <w:pPr>
        <w:rPr>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4.</w:t>
      </w:r>
      <w:r>
        <w:rPr>
          <w:rFonts w:hint="eastAsia" w:ascii="宋体" w:hAnsi="宋体"/>
          <w:b/>
          <w:kern w:val="0"/>
          <w:sz w:val="28"/>
          <w:szCs w:val="28"/>
          <w:highlight w:val="none"/>
        </w:rPr>
        <w:t>授权委托书</w:t>
      </w:r>
    </w:p>
    <w:p>
      <w:pPr>
        <w:spacing w:line="480" w:lineRule="auto"/>
        <w:jc w:val="center"/>
        <w:rPr>
          <w:rFonts w:ascii="楷体_GB2312" w:eastAsia="楷体_GB2312"/>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本授权委托书声明：我</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系</w:t>
      </w:r>
      <w:r>
        <w:rPr>
          <w:rFonts w:hint="eastAsia" w:ascii="宋体" w:hAnsi="宋体"/>
          <w:kern w:val="0"/>
          <w:sz w:val="24"/>
          <w:highlight w:val="none"/>
          <w:u w:val="single"/>
        </w:rPr>
        <w:t>（比选申请人名称）</w:t>
      </w:r>
      <w:r>
        <w:rPr>
          <w:rFonts w:hint="eastAsia" w:ascii="宋体" w:hAnsi="宋体"/>
          <w:kern w:val="0"/>
          <w:sz w:val="24"/>
          <w:highlight w:val="none"/>
        </w:rPr>
        <w:t>的法定代表人，现授权委托</w:t>
      </w:r>
      <w:r>
        <w:rPr>
          <w:rFonts w:ascii="宋体" w:hAnsi="宋体"/>
          <w:kern w:val="0"/>
          <w:sz w:val="24"/>
          <w:highlight w:val="none"/>
          <w:u w:val="single"/>
        </w:rPr>
        <w:t>(</w:t>
      </w:r>
      <w:r>
        <w:rPr>
          <w:rFonts w:hint="eastAsia" w:ascii="宋体" w:hAnsi="宋体"/>
          <w:kern w:val="0"/>
          <w:sz w:val="24"/>
          <w:highlight w:val="none"/>
          <w:u w:val="single"/>
        </w:rPr>
        <w:t>比选申请人名称</w:t>
      </w:r>
      <w:r>
        <w:rPr>
          <w:rFonts w:ascii="宋体" w:hAnsi="宋体"/>
          <w:kern w:val="0"/>
          <w:sz w:val="24"/>
          <w:highlight w:val="none"/>
          <w:u w:val="single"/>
        </w:rPr>
        <w:t xml:space="preserve">)        </w:t>
      </w:r>
      <w:r>
        <w:rPr>
          <w:rFonts w:hint="eastAsia" w:ascii="宋体" w:hAnsi="宋体"/>
          <w:kern w:val="0"/>
          <w:sz w:val="24"/>
          <w:highlight w:val="none"/>
        </w:rPr>
        <w:t>的</w:t>
      </w:r>
      <w:r>
        <w:rPr>
          <w:rFonts w:ascii="宋体" w:hAnsi="宋体"/>
          <w:kern w:val="0"/>
          <w:sz w:val="24"/>
          <w:highlight w:val="none"/>
          <w:u w:val="single"/>
        </w:rPr>
        <w:t xml:space="preserve">   </w:t>
      </w:r>
      <w:r>
        <w:rPr>
          <w:rFonts w:hint="eastAsia" w:ascii="宋体" w:hAnsi="宋体"/>
          <w:kern w:val="0"/>
          <w:sz w:val="24"/>
          <w:highlight w:val="none"/>
          <w:u w:val="single"/>
        </w:rPr>
        <w:t>（姓名）</w:t>
      </w:r>
      <w:r>
        <w:rPr>
          <w:rFonts w:ascii="宋体" w:hAnsi="宋体"/>
          <w:kern w:val="0"/>
          <w:sz w:val="24"/>
          <w:highlight w:val="none"/>
          <w:u w:val="single"/>
        </w:rPr>
        <w:t xml:space="preserve">  </w:t>
      </w:r>
      <w:r>
        <w:rPr>
          <w:rFonts w:hint="eastAsia" w:ascii="宋体" w:hAnsi="宋体"/>
          <w:kern w:val="0"/>
          <w:sz w:val="24"/>
          <w:highlight w:val="none"/>
        </w:rPr>
        <w:t>为我公司代理人，以本公司名义参加项目比选活动。代理人在评审、合同过程中所签署的一切文件和处理与之有关的一切事务，我均予以确认。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代理人无转委托权。特此委托。</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代理人：</w:t>
      </w:r>
      <w:r>
        <w:rPr>
          <w:rFonts w:ascii="宋体" w:hAnsi="宋体"/>
          <w:kern w:val="0"/>
          <w:sz w:val="24"/>
          <w:highlight w:val="none"/>
        </w:rPr>
        <w:t xml:space="preserve">    </w:t>
      </w:r>
      <w:r>
        <w:rPr>
          <w:rFonts w:hint="eastAsia" w:ascii="宋体" w:hAnsi="宋体"/>
          <w:kern w:val="0"/>
          <w:sz w:val="24"/>
          <w:highlight w:val="none"/>
        </w:rPr>
        <w:t>性别：</w:t>
      </w:r>
      <w:r>
        <w:rPr>
          <w:rFonts w:ascii="宋体" w:hAnsi="宋体"/>
          <w:kern w:val="0"/>
          <w:sz w:val="24"/>
          <w:highlight w:val="none"/>
        </w:rPr>
        <w:t xml:space="preserve">     </w:t>
      </w:r>
      <w:r>
        <w:rPr>
          <w:rFonts w:hint="eastAsia" w:ascii="宋体" w:hAnsi="宋体"/>
          <w:kern w:val="0"/>
          <w:sz w:val="24"/>
          <w:highlight w:val="none"/>
        </w:rPr>
        <w:t>年龄：</w:t>
      </w: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单位：</w:t>
      </w:r>
      <w:r>
        <w:rPr>
          <w:rFonts w:ascii="宋体" w:hAnsi="宋体"/>
          <w:kern w:val="0"/>
          <w:sz w:val="24"/>
          <w:highlight w:val="none"/>
        </w:rPr>
        <w:t xml:space="preserve">      </w:t>
      </w:r>
      <w:r>
        <w:rPr>
          <w:rFonts w:hint="eastAsia" w:ascii="宋体" w:hAnsi="宋体"/>
          <w:kern w:val="0"/>
          <w:sz w:val="24"/>
          <w:highlight w:val="none"/>
        </w:rPr>
        <w:t>部门：</w:t>
      </w:r>
      <w:r>
        <w:rPr>
          <w:rFonts w:ascii="宋体" w:hAnsi="宋体"/>
          <w:kern w:val="0"/>
          <w:sz w:val="24"/>
          <w:highlight w:val="none"/>
        </w:rPr>
        <w:t xml:space="preserve">     </w:t>
      </w:r>
      <w:r>
        <w:rPr>
          <w:rFonts w:hint="eastAsia" w:ascii="宋体" w:hAnsi="宋体"/>
          <w:kern w:val="0"/>
          <w:sz w:val="24"/>
          <w:highlight w:val="none"/>
        </w:rPr>
        <w:t>职务：</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比选申请人：（</w:t>
      </w:r>
      <w:r>
        <w:rPr>
          <w:rFonts w:ascii="宋体" w:hAnsi="宋体"/>
          <w:kern w:val="0"/>
          <w:sz w:val="24"/>
          <w:highlight w:val="none"/>
        </w:rPr>
        <w:t xml:space="preserve"> </w:t>
      </w:r>
      <w:r>
        <w:rPr>
          <w:rFonts w:hint="eastAsia" w:ascii="宋体" w:hAnsi="宋体"/>
          <w:kern w:val="0"/>
          <w:sz w:val="24"/>
          <w:highlight w:val="none"/>
        </w:rPr>
        <w:t>加盖法人单位公章）</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法定代表人（负责人）：（签字）</w:t>
      </w:r>
    </w:p>
    <w:p>
      <w:pPr>
        <w:autoSpaceDE w:val="0"/>
        <w:autoSpaceDN w:val="0"/>
        <w:adjustRightInd w:val="0"/>
        <w:spacing w:line="480" w:lineRule="auto"/>
        <w:ind w:firstLine="614" w:firstLineChars="256"/>
        <w:rPr>
          <w:rFonts w:ascii="宋体"/>
          <w:kern w:val="0"/>
          <w:sz w:val="24"/>
          <w:highlight w:val="none"/>
        </w:rPr>
      </w:pPr>
    </w:p>
    <w:p>
      <w:pPr>
        <w:autoSpaceDE w:val="0"/>
        <w:autoSpaceDN w:val="0"/>
        <w:adjustRightInd w:val="0"/>
        <w:spacing w:line="480" w:lineRule="auto"/>
        <w:ind w:firstLine="614" w:firstLineChars="256"/>
        <w:rPr>
          <w:rFonts w:ascii="宋体"/>
          <w:kern w:val="0"/>
          <w:sz w:val="24"/>
          <w:highlight w:val="none"/>
        </w:rPr>
      </w:pPr>
      <w:r>
        <w:rPr>
          <w:rFonts w:hint="eastAsia" w:ascii="宋体" w:hAnsi="宋体"/>
          <w:kern w:val="0"/>
          <w:sz w:val="24"/>
          <w:highlight w:val="none"/>
        </w:rPr>
        <w:t>日期：</w:t>
      </w:r>
      <w:r>
        <w:rPr>
          <w:rFonts w:ascii="宋体" w:hAnsi="宋体"/>
          <w:kern w:val="0"/>
          <w:sz w:val="24"/>
          <w:highlight w:val="none"/>
        </w:rPr>
        <w:t xml:space="preserve">   </w:t>
      </w:r>
      <w:r>
        <w:rPr>
          <w:rFonts w:hint="eastAsia" w:ascii="宋体" w:hAnsi="宋体"/>
          <w:kern w:val="0"/>
          <w:sz w:val="24"/>
          <w:highlight w:val="none"/>
        </w:rPr>
        <w:t>年</w:t>
      </w:r>
      <w:r>
        <w:rPr>
          <w:rFonts w:ascii="宋体" w:hAnsi="宋体"/>
          <w:kern w:val="0"/>
          <w:sz w:val="24"/>
          <w:highlight w:val="none"/>
        </w:rPr>
        <w:t xml:space="preserve">   </w:t>
      </w:r>
      <w:r>
        <w:rPr>
          <w:rFonts w:hint="eastAsia" w:ascii="宋体" w:hAnsi="宋体"/>
          <w:kern w:val="0"/>
          <w:sz w:val="24"/>
          <w:highlight w:val="none"/>
        </w:rPr>
        <w:t>月</w:t>
      </w:r>
      <w:r>
        <w:rPr>
          <w:rFonts w:ascii="宋体" w:hAnsi="宋体"/>
          <w:kern w:val="0"/>
          <w:sz w:val="24"/>
          <w:highlight w:val="none"/>
        </w:rPr>
        <w:t xml:space="preserve">   </w:t>
      </w:r>
      <w:r>
        <w:rPr>
          <w:rFonts w:hint="eastAsia" w:ascii="宋体" w:hAnsi="宋体"/>
          <w:kern w:val="0"/>
          <w:sz w:val="24"/>
          <w:highlight w:val="none"/>
        </w:rPr>
        <w:t>日</w:t>
      </w:r>
    </w:p>
    <w:p>
      <w:pPr>
        <w:autoSpaceDE w:val="0"/>
        <w:autoSpaceDN w:val="0"/>
        <w:adjustRightInd w:val="0"/>
        <w:spacing w:line="600" w:lineRule="exact"/>
        <w:jc w:val="center"/>
        <w:rPr>
          <w:rStyle w:val="31"/>
          <w:szCs w:val="28"/>
          <w:highlight w:val="none"/>
        </w:rPr>
      </w:pPr>
      <w:r>
        <w:rPr>
          <w:rFonts w:ascii="宋体"/>
          <w:kern w:val="0"/>
          <w:sz w:val="24"/>
          <w:highlight w:val="none"/>
        </w:rPr>
        <w:br w:type="page"/>
      </w:r>
      <w:bookmarkStart w:id="380" w:name="_Toc2475"/>
      <w:bookmarkStart w:id="381" w:name="_Toc18479"/>
      <w:bookmarkStart w:id="382" w:name="_Toc11434"/>
      <w:bookmarkStart w:id="383" w:name="_Toc29504"/>
      <w:bookmarkStart w:id="384" w:name="_Toc26749"/>
      <w:bookmarkStart w:id="385" w:name="_Toc30136"/>
      <w:bookmarkStart w:id="386" w:name="_Toc1509"/>
      <w:bookmarkStart w:id="387" w:name="_Toc880"/>
      <w:r>
        <w:rPr>
          <w:rFonts w:ascii="宋体" w:hAnsi="宋体"/>
          <w:b/>
          <w:kern w:val="0"/>
          <w:sz w:val="28"/>
          <w:szCs w:val="28"/>
          <w:highlight w:val="none"/>
        </w:rPr>
        <w:t>5.</w:t>
      </w:r>
      <w:r>
        <w:rPr>
          <w:rFonts w:hint="eastAsia" w:ascii="宋体" w:hAnsi="宋体"/>
          <w:b/>
          <w:kern w:val="0"/>
          <w:sz w:val="28"/>
          <w:szCs w:val="28"/>
          <w:highlight w:val="none"/>
        </w:rPr>
        <w:t>授权代理人身份证明文件（提供复印件加盖法人单位公章）</w:t>
      </w:r>
    </w:p>
    <w:bookmarkEnd w:id="380"/>
    <w:bookmarkEnd w:id="381"/>
    <w:bookmarkEnd w:id="382"/>
    <w:bookmarkEnd w:id="383"/>
    <w:bookmarkEnd w:id="384"/>
    <w:bookmarkEnd w:id="385"/>
    <w:bookmarkEnd w:id="386"/>
    <w:bookmarkEnd w:id="387"/>
    <w:p>
      <w:pPr>
        <w:spacing w:line="600" w:lineRule="exact"/>
        <w:jc w:val="center"/>
        <w:rPr>
          <w:rFonts w:ascii="宋体" w:cs="宋体"/>
          <w:sz w:val="28"/>
          <w:szCs w:val="28"/>
          <w:highlight w:val="none"/>
        </w:rPr>
      </w:pPr>
    </w:p>
    <w:p>
      <w:pPr>
        <w:spacing w:line="600" w:lineRule="exact"/>
        <w:jc w:val="center"/>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480" w:lineRule="auto"/>
        <w:jc w:val="center"/>
        <w:rPr>
          <w:rFonts w:ascii="宋体"/>
          <w:b/>
          <w:kern w:val="0"/>
          <w:sz w:val="28"/>
          <w:szCs w:val="28"/>
          <w:highlight w:val="none"/>
        </w:rPr>
      </w:pPr>
      <w:r>
        <w:rPr>
          <w:rFonts w:ascii="宋体" w:hAnsi="宋体"/>
          <w:b/>
          <w:kern w:val="0"/>
          <w:sz w:val="28"/>
          <w:szCs w:val="28"/>
          <w:highlight w:val="none"/>
        </w:rPr>
        <w:t>6.</w:t>
      </w:r>
      <w:r>
        <w:rPr>
          <w:rFonts w:hint="eastAsia" w:ascii="宋体" w:hAnsi="宋体"/>
          <w:b/>
          <w:kern w:val="0"/>
          <w:sz w:val="28"/>
          <w:szCs w:val="28"/>
          <w:highlight w:val="none"/>
        </w:rPr>
        <w:t>会计师事务所执业证书复印件（加盖法人单位公章）</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autoSpaceDE w:val="0"/>
        <w:autoSpaceDN w:val="0"/>
        <w:adjustRightInd w:val="0"/>
        <w:spacing w:line="600" w:lineRule="exact"/>
        <w:ind w:firstLine="1265" w:firstLineChars="450"/>
        <w:jc w:val="left"/>
        <w:rPr>
          <w:rFonts w:ascii="宋体"/>
          <w:b/>
          <w:kern w:val="0"/>
          <w:sz w:val="28"/>
          <w:szCs w:val="28"/>
          <w:highlight w:val="none"/>
        </w:rPr>
      </w:pPr>
      <w:r>
        <w:rPr>
          <w:rFonts w:ascii="宋体" w:hAnsi="宋体"/>
          <w:b/>
          <w:kern w:val="0"/>
          <w:sz w:val="28"/>
          <w:szCs w:val="28"/>
          <w:highlight w:val="none"/>
        </w:rPr>
        <w:t>7.</w:t>
      </w:r>
      <w:r>
        <w:rPr>
          <w:rFonts w:hint="eastAsia" w:ascii="宋体" w:hAnsi="宋体"/>
          <w:b/>
          <w:kern w:val="0"/>
          <w:sz w:val="28"/>
          <w:szCs w:val="28"/>
          <w:highlight w:val="none"/>
        </w:rPr>
        <w:t>其他</w:t>
      </w:r>
      <w:r>
        <w:rPr>
          <w:rFonts w:hint="eastAsia" w:ascii="宋体"/>
          <w:b/>
          <w:kern w:val="0"/>
          <w:sz w:val="28"/>
          <w:szCs w:val="28"/>
          <w:highlight w:val="none"/>
        </w:rPr>
        <w:t>……</w:t>
      </w:r>
    </w:p>
    <w:p>
      <w:pPr>
        <w:widowControl/>
        <w:jc w:val="left"/>
        <w:rPr>
          <w:rFonts w:ascii="宋体"/>
          <w:i/>
          <w:kern w:val="0"/>
          <w:sz w:val="28"/>
          <w:szCs w:val="28"/>
          <w:highlight w:val="none"/>
        </w:rPr>
      </w:pPr>
      <w:r>
        <w:rPr>
          <w:rFonts w:ascii="宋体"/>
          <w:i/>
          <w:kern w:val="0"/>
          <w:sz w:val="28"/>
          <w:szCs w:val="28"/>
          <w:highlight w:val="none"/>
        </w:rPr>
        <w:br w:type="page"/>
      </w:r>
    </w:p>
    <w:p>
      <w:pPr>
        <w:ind w:right="753"/>
        <w:jc w:val="center"/>
        <w:rPr>
          <w:rFonts w:ascii="宋体" w:cs="宋体"/>
          <w:sz w:val="28"/>
          <w:szCs w:val="28"/>
          <w:highlight w:val="none"/>
        </w:rPr>
      </w:pPr>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jc w:val="center"/>
        <w:rPr>
          <w:rFonts w:ascii="宋体" w:cs="宋体"/>
          <w:szCs w:val="28"/>
          <w:highlight w:val="none"/>
        </w:rPr>
      </w:pPr>
    </w:p>
    <w:p>
      <w:pPr>
        <w:jc w:val="center"/>
        <w:rPr>
          <w:rFonts w:ascii="宋体" w:cs="宋体"/>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b w:val="0"/>
          <w:bCs w:val="0"/>
          <w:sz w:val="28"/>
          <w:szCs w:val="28"/>
          <w:highlight w:val="none"/>
        </w:rPr>
      </w:pPr>
      <w:bookmarkStart w:id="388" w:name="_Toc23149"/>
      <w:bookmarkStart w:id="389" w:name="_Toc144"/>
      <w:bookmarkStart w:id="390" w:name="_Toc461525334"/>
      <w:bookmarkStart w:id="391" w:name="_Toc4828"/>
      <w:bookmarkStart w:id="392" w:name="_Toc16451"/>
      <w:bookmarkStart w:id="393" w:name="_Toc25575"/>
      <w:bookmarkStart w:id="394" w:name="_Toc10507"/>
      <w:bookmarkStart w:id="395" w:name="_Toc124"/>
      <w:bookmarkStart w:id="396" w:name="_Toc31069"/>
      <w:bookmarkStart w:id="397" w:name="_Toc18631"/>
      <w:r>
        <w:rPr>
          <w:rFonts w:hint="eastAsia"/>
          <w:b w:val="0"/>
          <w:bCs w:val="0"/>
          <w:sz w:val="28"/>
          <w:szCs w:val="28"/>
          <w:highlight w:val="none"/>
        </w:rPr>
        <w:t>技术部分</w:t>
      </w:r>
      <w:bookmarkEnd w:id="388"/>
      <w:bookmarkEnd w:id="389"/>
      <w:bookmarkEnd w:id="390"/>
      <w:bookmarkEnd w:id="391"/>
      <w:bookmarkEnd w:id="392"/>
      <w:bookmarkEnd w:id="393"/>
      <w:bookmarkEnd w:id="394"/>
      <w:bookmarkEnd w:id="395"/>
      <w:bookmarkEnd w:id="396"/>
      <w:bookmarkEnd w:id="397"/>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比选申请人：（盖法人单位公章）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r>
        <w:rPr>
          <w:rFonts w:hint="eastAsia" w:ascii="宋体" w:hAnsi="宋体" w:cs="宋体"/>
          <w:sz w:val="28"/>
          <w:szCs w:val="28"/>
          <w:highlight w:val="none"/>
        </w:rPr>
        <w:t>月</w:t>
      </w:r>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pStyle w:val="4"/>
        <w:rPr>
          <w:rFonts w:ascii="宋体" w:cs="宋体"/>
          <w:kern w:val="2"/>
          <w:szCs w:val="28"/>
          <w:highlight w:val="none"/>
        </w:rPr>
      </w:pPr>
      <w:bookmarkStart w:id="398" w:name="_Toc26769"/>
      <w:bookmarkStart w:id="399" w:name="_Toc21144"/>
      <w:bookmarkStart w:id="400" w:name="_Toc1986"/>
      <w:bookmarkStart w:id="401" w:name="_Toc31521"/>
      <w:bookmarkStart w:id="402" w:name="_Toc32510"/>
      <w:bookmarkStart w:id="403" w:name="_Toc31582"/>
      <w:bookmarkStart w:id="404" w:name="_Toc471482371"/>
      <w:bookmarkStart w:id="405" w:name="_Toc23508"/>
      <w:bookmarkStart w:id="406" w:name="_Toc29536"/>
      <w:bookmarkStart w:id="407" w:name="_Toc9379"/>
    </w:p>
    <w:p>
      <w:pPr>
        <w:rPr>
          <w:highlight w:val="none"/>
        </w:rPr>
      </w:pPr>
    </w:p>
    <w:p>
      <w:pPr>
        <w:pStyle w:val="4"/>
        <w:jc w:val="center"/>
        <w:rPr>
          <w:b/>
          <w:highlight w:val="none"/>
        </w:rPr>
      </w:pPr>
      <w:bookmarkStart w:id="408" w:name="_Toc31102"/>
      <w:bookmarkStart w:id="409" w:name="_Toc11499"/>
      <w:bookmarkStart w:id="410" w:name="_Toc4323"/>
      <w:bookmarkStart w:id="411" w:name="_Toc32476"/>
      <w:bookmarkStart w:id="412" w:name="_Toc29703"/>
      <w:bookmarkStart w:id="413" w:name="_Toc22366"/>
      <w:bookmarkStart w:id="414" w:name="_Toc30597"/>
      <w:bookmarkStart w:id="415" w:name="_Toc3401"/>
      <w:r>
        <w:rPr>
          <w:rFonts w:hint="eastAsia"/>
          <w:b/>
          <w:highlight w:val="none"/>
        </w:rPr>
        <w:t>二、技术部分材料目录</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spacing w:line="540" w:lineRule="exact"/>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业绩表；</w:t>
      </w:r>
    </w:p>
    <w:p>
      <w:pPr>
        <w:spacing w:line="540" w:lineRule="exac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拟投入人员的相关工作业绩、资历及能力（由比选申请人自行编写）；</w:t>
      </w:r>
    </w:p>
    <w:p>
      <w:pPr>
        <w:spacing w:line="540" w:lineRule="exact"/>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服务方案（由比选申请人自行编写）。</w:t>
      </w:r>
    </w:p>
    <w:p>
      <w:pPr>
        <w:ind w:right="753"/>
        <w:jc w:val="left"/>
        <w:rPr>
          <w:rFonts w:ascii="宋体" w:cs="宋体"/>
          <w:sz w:val="28"/>
          <w:szCs w:val="28"/>
          <w:highlight w:val="none"/>
        </w:rPr>
      </w:pPr>
    </w:p>
    <w:p>
      <w:pPr>
        <w:ind w:right="753"/>
        <w:jc w:val="lef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备注：以上材料均需加盖法人单位公章，并按照目录顺序编排，标注页码</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spacing w:before="0" w:afterLines="50" w:line="600" w:lineRule="exact"/>
        <w:jc w:val="center"/>
        <w:rPr>
          <w:rFonts w:ascii="宋体"/>
          <w:b/>
          <w:highlight w:val="none"/>
        </w:rPr>
      </w:pPr>
      <w:bookmarkStart w:id="416" w:name="_Toc6881"/>
      <w:bookmarkStart w:id="417" w:name="_Toc24439"/>
      <w:bookmarkStart w:id="418" w:name="_Toc7527"/>
      <w:bookmarkStart w:id="419" w:name="_Toc10356"/>
      <w:bookmarkStart w:id="420" w:name="_Toc19216"/>
      <w:bookmarkStart w:id="421" w:name="_Toc25382"/>
      <w:bookmarkStart w:id="422" w:name="_Toc9604"/>
      <w:bookmarkStart w:id="423" w:name="_Toc32624"/>
      <w:bookmarkStart w:id="424" w:name="_Toc6862"/>
      <w:bookmarkStart w:id="425" w:name="_Toc30501"/>
      <w:bookmarkStart w:id="426" w:name="_Toc461525332"/>
      <w:bookmarkStart w:id="427" w:name="_Toc19445"/>
      <w:bookmarkStart w:id="428" w:name="_Toc31867"/>
      <w:r>
        <w:rPr>
          <w:rFonts w:ascii="宋体" w:hAnsi="宋体"/>
          <w:b/>
          <w:highlight w:val="none"/>
        </w:rPr>
        <w:t>1.</w:t>
      </w:r>
      <w:r>
        <w:rPr>
          <w:rFonts w:hint="eastAsia" w:ascii="宋体" w:hAnsi="宋体"/>
          <w:b/>
          <w:highlight w:val="none"/>
        </w:rPr>
        <w:t>业绩表</w:t>
      </w:r>
      <w:bookmarkEnd w:id="416"/>
      <w:bookmarkEnd w:id="417"/>
      <w:bookmarkEnd w:id="418"/>
      <w:bookmarkEnd w:id="419"/>
      <w:bookmarkEnd w:id="420"/>
      <w:bookmarkEnd w:id="421"/>
      <w:bookmarkEnd w:id="422"/>
      <w:bookmarkEnd w:id="423"/>
    </w:p>
    <w:tbl>
      <w:tblPr>
        <w:tblStyle w:val="25"/>
        <w:tblW w:w="10060" w:type="dxa"/>
        <w:jc w:val="center"/>
        <w:tblLayout w:type="fixed"/>
        <w:tblCellMar>
          <w:top w:w="0" w:type="dxa"/>
          <w:left w:w="108" w:type="dxa"/>
          <w:bottom w:w="0" w:type="dxa"/>
          <w:right w:w="108" w:type="dxa"/>
        </w:tblCellMar>
      </w:tblPr>
      <w:tblGrid>
        <w:gridCol w:w="5"/>
        <w:gridCol w:w="704"/>
        <w:gridCol w:w="2834"/>
        <w:gridCol w:w="3044"/>
        <w:gridCol w:w="2125"/>
        <w:gridCol w:w="1348"/>
      </w:tblGrid>
      <w:tr>
        <w:tblPrEx>
          <w:tblCellMar>
            <w:top w:w="0" w:type="dxa"/>
            <w:left w:w="108" w:type="dxa"/>
            <w:bottom w:w="0" w:type="dxa"/>
            <w:right w:w="108" w:type="dxa"/>
          </w:tblCellMar>
        </w:tblPrEx>
        <w:trPr>
          <w:trHeight w:val="450" w:hRule="atLeast"/>
          <w:jc w:val="center"/>
        </w:trPr>
        <w:tc>
          <w:tcPr>
            <w:tcW w:w="70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序号</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合同对方名称</w:t>
            </w:r>
          </w:p>
        </w:tc>
        <w:tc>
          <w:tcPr>
            <w:tcW w:w="304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评价内容</w:t>
            </w:r>
          </w:p>
        </w:tc>
        <w:tc>
          <w:tcPr>
            <w:tcW w:w="2126"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业绩类型</w:t>
            </w:r>
          </w:p>
        </w:tc>
        <w:tc>
          <w:tcPr>
            <w:tcW w:w="13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合同签订时间</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trHeight w:val="450" w:hRule="atLeast"/>
          <w:jc w:val="center"/>
        </w:trPr>
        <w:tc>
          <w:tcPr>
            <w:tcW w:w="704" w:type="dxa"/>
            <w:gridSpan w:val="2"/>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r>
        <w:tblPrEx>
          <w:tblCellMar>
            <w:top w:w="0" w:type="dxa"/>
            <w:left w:w="108" w:type="dxa"/>
            <w:bottom w:w="0" w:type="dxa"/>
            <w:right w:w="108" w:type="dxa"/>
          </w:tblCellMar>
        </w:tblPrEx>
        <w:trPr>
          <w:gridBefore w:val="1"/>
          <w:wBefore w:w="5" w:type="dxa"/>
          <w:trHeight w:val="450" w:hRule="atLeast"/>
          <w:jc w:val="center"/>
        </w:trPr>
        <w:tc>
          <w:tcPr>
            <w:tcW w:w="704"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highlight w:val="none"/>
              </w:rPr>
            </w:pPr>
          </w:p>
        </w:tc>
        <w:tc>
          <w:tcPr>
            <w:tcW w:w="2835"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c>
          <w:tcPr>
            <w:tcW w:w="3046" w:type="dxa"/>
            <w:tcBorders>
              <w:top w:val="nil"/>
              <w:left w:val="nil"/>
              <w:bottom w:val="single" w:color="auto" w:sz="4" w:space="0"/>
              <w:right w:val="single" w:color="auto" w:sz="4" w:space="0"/>
            </w:tcBorders>
            <w:vAlign w:val="center"/>
          </w:tcPr>
          <w:p>
            <w:pPr>
              <w:widowControl/>
              <w:jc w:val="left"/>
              <w:rPr>
                <w:rFonts w:ascii="宋体" w:cs="宋体"/>
                <w:kern w:val="0"/>
                <w:sz w:val="24"/>
                <w:highlight w:val="none"/>
              </w:rPr>
            </w:pPr>
          </w:p>
        </w:tc>
        <w:tc>
          <w:tcPr>
            <w:tcW w:w="2126" w:type="dxa"/>
            <w:tcBorders>
              <w:top w:val="nil"/>
              <w:left w:val="nil"/>
              <w:bottom w:val="single" w:color="auto" w:sz="4" w:space="0"/>
              <w:right w:val="single" w:color="auto" w:sz="4" w:space="0"/>
            </w:tcBorders>
          </w:tcPr>
          <w:p>
            <w:pPr>
              <w:widowControl/>
              <w:jc w:val="left"/>
              <w:rPr>
                <w:rFonts w:ascii="宋体" w:cs="宋体"/>
                <w:kern w:val="0"/>
                <w:sz w:val="24"/>
                <w:highlight w:val="none"/>
              </w:rPr>
            </w:pPr>
          </w:p>
        </w:tc>
        <w:tc>
          <w:tcPr>
            <w:tcW w:w="1349"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4"/>
                <w:highlight w:val="none"/>
              </w:rPr>
            </w:pPr>
            <w:r>
              <w:rPr>
                <w:rFonts w:hint="eastAsia" w:ascii="宋体" w:hAnsi="宋体" w:cs="宋体"/>
                <w:kern w:val="0"/>
                <w:sz w:val="24"/>
                <w:highlight w:val="none"/>
              </w:rPr>
              <w:t>　</w:t>
            </w:r>
          </w:p>
        </w:tc>
      </w:tr>
    </w:tbl>
    <w:p>
      <w:pPr>
        <w:spacing w:line="480" w:lineRule="exact"/>
        <w:ind w:left="31680" w:hanging="480" w:hangingChars="200"/>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w:t>
      </w:r>
    </w:p>
    <w:p>
      <w:pPr>
        <w:spacing w:line="480" w:lineRule="exact"/>
        <w:ind w:left="479" w:leftChars="228"/>
        <w:rPr>
          <w:rFonts w:ascii="宋体"/>
          <w:sz w:val="24"/>
          <w:szCs w:val="28"/>
          <w:highlight w:val="none"/>
        </w:rPr>
      </w:pPr>
      <w:r>
        <w:rPr>
          <w:rFonts w:ascii="宋体" w:hAnsi="宋体"/>
          <w:sz w:val="24"/>
          <w:highlight w:val="none"/>
        </w:rPr>
        <w:t>2.</w:t>
      </w:r>
      <w:r>
        <w:rPr>
          <w:rFonts w:hint="eastAsia" w:ascii="宋体" w:hAnsi="宋体"/>
          <w:sz w:val="24"/>
          <w:highlight w:val="none"/>
        </w:rPr>
        <w:t>此表须附相应合同复印件（必须体现</w:t>
      </w:r>
      <w:r>
        <w:rPr>
          <w:rFonts w:hint="eastAsia" w:ascii="宋体" w:hAnsi="宋体" w:cs="宋体"/>
          <w:kern w:val="0"/>
          <w:sz w:val="24"/>
          <w:highlight w:val="none"/>
        </w:rPr>
        <w:t>合同对方名称及签订时间，涉及商业秘密的内容可以隐去</w:t>
      </w:r>
      <w:r>
        <w:rPr>
          <w:rFonts w:hint="eastAsia" w:ascii="宋体" w:hAnsi="宋体"/>
          <w:sz w:val="24"/>
          <w:highlight w:val="none"/>
        </w:rPr>
        <w:t>）</w:t>
      </w:r>
      <w:r>
        <w:rPr>
          <w:rFonts w:hint="eastAsia" w:ascii="宋体" w:hAnsi="宋体"/>
          <w:sz w:val="24"/>
          <w:szCs w:val="28"/>
          <w:highlight w:val="none"/>
        </w:rPr>
        <w:t>证明材料</w:t>
      </w:r>
      <w:r>
        <w:rPr>
          <w:rFonts w:hint="eastAsia" w:ascii="宋体" w:hAnsi="宋体"/>
          <w:sz w:val="24"/>
          <w:highlight w:val="none"/>
        </w:rPr>
        <w:t>。</w:t>
      </w:r>
      <w:r>
        <w:rPr>
          <w:rFonts w:hint="eastAsia" w:ascii="宋体" w:hAnsi="宋体"/>
          <w:sz w:val="24"/>
          <w:szCs w:val="28"/>
          <w:highlight w:val="none"/>
        </w:rPr>
        <w:t>未附证明材料的项目视为无效。</w:t>
      </w:r>
    </w:p>
    <w:p>
      <w:pPr>
        <w:spacing w:line="480" w:lineRule="exac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ind w:right="-21"/>
        <w:jc w:val="left"/>
        <w:rPr>
          <w:rFonts w:ascii="宋体" w:cs="宋体"/>
          <w:sz w:val="28"/>
          <w:szCs w:val="28"/>
          <w:highlight w:val="none"/>
        </w:rPr>
      </w:pPr>
    </w:p>
    <w:p>
      <w:pPr>
        <w:pStyle w:val="5"/>
        <w:spacing w:before="0" w:afterLines="50" w:line="600" w:lineRule="exact"/>
        <w:jc w:val="center"/>
        <w:rPr>
          <w:rFonts w:ascii="宋体"/>
          <w:b/>
          <w:highlight w:val="none"/>
        </w:rPr>
      </w:pPr>
      <w:bookmarkStart w:id="429" w:name="_Toc27864"/>
      <w:bookmarkStart w:id="430" w:name="_Toc14359"/>
      <w:bookmarkStart w:id="431" w:name="_Toc30796"/>
      <w:bookmarkStart w:id="432" w:name="_Toc24135"/>
      <w:bookmarkStart w:id="433" w:name="_Toc21426"/>
      <w:bookmarkStart w:id="434" w:name="_Toc5471"/>
      <w:bookmarkStart w:id="435" w:name="_Toc12801"/>
      <w:bookmarkStart w:id="436" w:name="_Toc28309"/>
      <w:r>
        <w:rPr>
          <w:rFonts w:ascii="宋体" w:hAnsi="宋体"/>
          <w:b/>
          <w:highlight w:val="none"/>
        </w:rPr>
        <w:t>2.</w:t>
      </w:r>
      <w:r>
        <w:rPr>
          <w:rFonts w:hint="eastAsia" w:ascii="宋体" w:hAnsi="宋体"/>
          <w:b/>
          <w:highlight w:val="none"/>
        </w:rPr>
        <w:t>拟投入人员配置明细表</w:t>
      </w:r>
      <w:bookmarkEnd w:id="429"/>
      <w:bookmarkEnd w:id="430"/>
      <w:bookmarkEnd w:id="431"/>
      <w:bookmarkEnd w:id="432"/>
      <w:bookmarkEnd w:id="433"/>
      <w:bookmarkEnd w:id="434"/>
      <w:bookmarkEnd w:id="435"/>
      <w:bookmarkEnd w:id="436"/>
    </w:p>
    <w:tbl>
      <w:tblPr>
        <w:tblStyle w:val="2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92"/>
        <w:gridCol w:w="992"/>
        <w:gridCol w:w="1134"/>
        <w:gridCol w:w="70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姓名</w:t>
            </w:r>
          </w:p>
        </w:tc>
        <w:tc>
          <w:tcPr>
            <w:tcW w:w="850"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年龄</w:t>
            </w:r>
          </w:p>
        </w:tc>
        <w:tc>
          <w:tcPr>
            <w:tcW w:w="851"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性别</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学历</w:t>
            </w:r>
          </w:p>
        </w:tc>
        <w:tc>
          <w:tcPr>
            <w:tcW w:w="992"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专业</w:t>
            </w:r>
          </w:p>
        </w:tc>
        <w:tc>
          <w:tcPr>
            <w:tcW w:w="1134"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资格证</w:t>
            </w:r>
          </w:p>
        </w:tc>
        <w:tc>
          <w:tcPr>
            <w:tcW w:w="709"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执业年限</w:t>
            </w:r>
          </w:p>
        </w:tc>
        <w:tc>
          <w:tcPr>
            <w:tcW w:w="2126" w:type="dxa"/>
            <w:vAlign w:val="center"/>
          </w:tcPr>
          <w:p>
            <w:pPr>
              <w:pStyle w:val="10"/>
              <w:spacing w:line="400" w:lineRule="exact"/>
              <w:ind w:left="0" w:leftChars="0"/>
              <w:jc w:val="center"/>
              <w:rPr>
                <w:rFonts w:ascii="宋体"/>
                <w:szCs w:val="21"/>
                <w:highlight w:val="none"/>
              </w:rPr>
            </w:pPr>
            <w:r>
              <w:rPr>
                <w:rFonts w:hint="eastAsia" w:ascii="宋体" w:hAnsi="宋体"/>
                <w:szCs w:val="21"/>
                <w:highlight w:val="none"/>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850" w:type="dxa"/>
          </w:tcPr>
          <w:p>
            <w:pPr>
              <w:pStyle w:val="10"/>
              <w:spacing w:line="400" w:lineRule="exact"/>
              <w:ind w:left="0" w:leftChars="0"/>
              <w:rPr>
                <w:rFonts w:ascii="宋体"/>
                <w:szCs w:val="21"/>
                <w:highlight w:val="none"/>
              </w:rPr>
            </w:pPr>
          </w:p>
        </w:tc>
        <w:tc>
          <w:tcPr>
            <w:tcW w:w="851"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992" w:type="dxa"/>
          </w:tcPr>
          <w:p>
            <w:pPr>
              <w:pStyle w:val="10"/>
              <w:spacing w:line="400" w:lineRule="exact"/>
              <w:ind w:left="0" w:leftChars="0"/>
              <w:rPr>
                <w:rFonts w:ascii="宋体"/>
                <w:szCs w:val="21"/>
                <w:highlight w:val="none"/>
              </w:rPr>
            </w:pPr>
          </w:p>
        </w:tc>
        <w:tc>
          <w:tcPr>
            <w:tcW w:w="1134" w:type="dxa"/>
          </w:tcPr>
          <w:p>
            <w:pPr>
              <w:pStyle w:val="10"/>
              <w:spacing w:line="400" w:lineRule="exact"/>
              <w:ind w:left="0" w:leftChars="0"/>
              <w:rPr>
                <w:rFonts w:ascii="宋体"/>
                <w:szCs w:val="21"/>
                <w:highlight w:val="none"/>
              </w:rPr>
            </w:pPr>
          </w:p>
        </w:tc>
        <w:tc>
          <w:tcPr>
            <w:tcW w:w="709"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rPr>
          <w:rFonts w:ascii="宋体"/>
          <w:sz w:val="24"/>
          <w:highlight w:val="none"/>
        </w:rPr>
      </w:pPr>
      <w:r>
        <w:rPr>
          <w:rFonts w:hint="eastAsia" w:ascii="宋体" w:hAnsi="宋体"/>
          <w:sz w:val="24"/>
          <w:highlight w:val="none"/>
        </w:rPr>
        <w:t>注：</w:t>
      </w:r>
      <w:r>
        <w:rPr>
          <w:rFonts w:ascii="宋体" w:hAnsi="宋体"/>
          <w:sz w:val="24"/>
          <w:highlight w:val="none"/>
        </w:rPr>
        <w:t>1.</w:t>
      </w:r>
      <w:r>
        <w:rPr>
          <w:rFonts w:hint="eastAsia" w:ascii="宋体" w:hAnsi="宋体"/>
          <w:sz w:val="24"/>
          <w:highlight w:val="none"/>
        </w:rPr>
        <w:t>此表须附执业资格证书复印件等证明材料。</w:t>
      </w:r>
    </w:p>
    <w:p>
      <w:pPr>
        <w:spacing w:line="480" w:lineRule="exact"/>
        <w:ind w:left="479" w:leftChars="228"/>
        <w:rPr>
          <w:rFonts w:ascii="宋体"/>
          <w:sz w:val="24"/>
          <w:highlight w:val="none"/>
        </w:rPr>
      </w:pPr>
      <w:r>
        <w:rPr>
          <w:rFonts w:ascii="宋体" w:hAnsi="宋体"/>
          <w:sz w:val="24"/>
          <w:highlight w:val="none"/>
        </w:rPr>
        <w:t>2</w:t>
      </w:r>
      <w:r>
        <w:rPr>
          <w:rFonts w:ascii="宋体"/>
          <w:sz w:val="24"/>
          <w:highlight w:val="none"/>
        </w:rPr>
        <w:t>.</w:t>
      </w:r>
      <w:r>
        <w:rPr>
          <w:rFonts w:hint="eastAsia" w:ascii="宋体" w:hAnsi="宋体"/>
          <w:sz w:val="24"/>
          <w:highlight w:val="none"/>
          <w:u w:val="single"/>
        </w:rPr>
        <w:t>此表拟定的项目现场负责人原则上不予更换</w:t>
      </w:r>
      <w:r>
        <w:rPr>
          <w:rFonts w:ascii="宋体"/>
          <w:sz w:val="24"/>
          <w:highlight w:val="none"/>
          <w:u w:val="single"/>
        </w:rPr>
        <w:t>,</w:t>
      </w:r>
      <w:r>
        <w:rPr>
          <w:rFonts w:hint="eastAsia" w:ascii="宋体" w:hAnsi="宋体"/>
          <w:sz w:val="24"/>
          <w:highlight w:val="none"/>
          <w:u w:val="single"/>
        </w:rPr>
        <w:t>若要更换需经甲方同意，未经甲方同意而更换的，甲方可终止合同。</w:t>
      </w:r>
    </w:p>
    <w:p>
      <w:pPr>
        <w:spacing w:line="480" w:lineRule="exact"/>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rFonts w:ascii="宋体" w:cs="宋体"/>
          <w:sz w:val="28"/>
          <w:szCs w:val="28"/>
          <w:highlight w:val="none"/>
        </w:rPr>
      </w:pPr>
    </w:p>
    <w:p>
      <w:pPr>
        <w:rPr>
          <w:highlight w:val="none"/>
        </w:rPr>
      </w:pPr>
    </w:p>
    <w:p>
      <w:pPr>
        <w:rPr>
          <w:highlight w:val="none"/>
        </w:rPr>
      </w:pPr>
    </w:p>
    <w:p>
      <w:pPr>
        <w:rPr>
          <w:highlight w:val="none"/>
        </w:rPr>
      </w:pPr>
    </w:p>
    <w:p>
      <w:pPr>
        <w:rPr>
          <w:highlight w:val="none"/>
        </w:rPr>
      </w:pPr>
    </w:p>
    <w:bookmarkEnd w:id="424"/>
    <w:bookmarkEnd w:id="425"/>
    <w:bookmarkEnd w:id="426"/>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pStyle w:val="5"/>
        <w:spacing w:before="0" w:afterLines="50" w:line="600" w:lineRule="exact"/>
        <w:jc w:val="center"/>
        <w:rPr>
          <w:rFonts w:ascii="宋体"/>
          <w:b/>
          <w:highlight w:val="none"/>
        </w:rPr>
      </w:pPr>
      <w:r>
        <w:rPr>
          <w:rFonts w:ascii="宋体" w:hAnsi="宋体"/>
          <w:b/>
          <w:highlight w:val="none"/>
        </w:rPr>
        <w:t>3.</w:t>
      </w:r>
      <w:r>
        <w:rPr>
          <w:rFonts w:hint="eastAsia" w:ascii="宋体" w:hAnsi="宋体"/>
          <w:b/>
          <w:highlight w:val="none"/>
        </w:rPr>
        <w:t>拟投入人员的相关工作业绩、资历及能力</w:t>
      </w:r>
    </w:p>
    <w:tbl>
      <w:tblPr>
        <w:tblStyle w:val="25"/>
        <w:tblW w:w="10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93"/>
        <w:gridCol w:w="1701"/>
        <w:gridCol w:w="1020"/>
        <w:gridCol w:w="2126"/>
        <w:gridCol w:w="113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59"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序号</w:t>
            </w:r>
          </w:p>
        </w:tc>
        <w:tc>
          <w:tcPr>
            <w:tcW w:w="993"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姓名</w:t>
            </w:r>
          </w:p>
        </w:tc>
        <w:tc>
          <w:tcPr>
            <w:tcW w:w="1701"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工作职责分工</w:t>
            </w:r>
          </w:p>
        </w:tc>
        <w:tc>
          <w:tcPr>
            <w:tcW w:w="1020"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工作业绩数量</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评价内容</w:t>
            </w:r>
          </w:p>
        </w:tc>
        <w:tc>
          <w:tcPr>
            <w:tcW w:w="113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业绩类型</w:t>
            </w:r>
          </w:p>
        </w:tc>
        <w:tc>
          <w:tcPr>
            <w:tcW w:w="2126" w:type="dxa"/>
            <w:vAlign w:val="center"/>
          </w:tcPr>
          <w:p>
            <w:pPr>
              <w:pStyle w:val="10"/>
              <w:spacing w:line="340" w:lineRule="exact"/>
              <w:ind w:left="0" w:leftChars="0"/>
              <w:jc w:val="center"/>
              <w:rPr>
                <w:rFonts w:ascii="宋体"/>
                <w:szCs w:val="21"/>
                <w:highlight w:val="none"/>
              </w:rPr>
            </w:pPr>
            <w:r>
              <w:rPr>
                <w:rFonts w:hint="eastAsia" w:ascii="宋体" w:hAnsi="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after="0" w:line="400" w:lineRule="exact"/>
              <w:ind w:left="0" w:leftChars="0"/>
              <w:rPr>
                <w:rFonts w:ascii="宋体"/>
                <w:szCs w:val="21"/>
                <w:highlight w:val="none"/>
              </w:rPr>
            </w:pPr>
            <w:r>
              <w:rPr>
                <w:rFonts w:hint="eastAsia" w:ascii="宋体" w:hAnsi="宋体"/>
                <w:szCs w:val="21"/>
                <w:highlight w:val="none"/>
              </w:rPr>
              <w:t>提供个人履历（含会计师事务所评价工作年限、经验证明）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959" w:type="dxa"/>
          </w:tcPr>
          <w:p>
            <w:pPr>
              <w:pStyle w:val="10"/>
              <w:spacing w:line="400" w:lineRule="exact"/>
              <w:ind w:left="0" w:leftChars="0"/>
              <w:rPr>
                <w:rFonts w:ascii="宋体"/>
                <w:szCs w:val="21"/>
                <w:highlight w:val="none"/>
              </w:rPr>
            </w:pPr>
          </w:p>
        </w:tc>
        <w:tc>
          <w:tcPr>
            <w:tcW w:w="993" w:type="dxa"/>
          </w:tcPr>
          <w:p>
            <w:pPr>
              <w:pStyle w:val="10"/>
              <w:spacing w:line="400" w:lineRule="exact"/>
              <w:ind w:left="0" w:leftChars="0"/>
              <w:rPr>
                <w:rFonts w:ascii="宋体"/>
                <w:szCs w:val="21"/>
                <w:highlight w:val="none"/>
              </w:rPr>
            </w:pPr>
          </w:p>
        </w:tc>
        <w:tc>
          <w:tcPr>
            <w:tcW w:w="1701" w:type="dxa"/>
          </w:tcPr>
          <w:p>
            <w:pPr>
              <w:pStyle w:val="10"/>
              <w:spacing w:line="400" w:lineRule="exact"/>
              <w:ind w:left="0" w:leftChars="0"/>
              <w:rPr>
                <w:rFonts w:ascii="宋体"/>
                <w:szCs w:val="21"/>
                <w:highlight w:val="none"/>
              </w:rPr>
            </w:pPr>
          </w:p>
        </w:tc>
        <w:tc>
          <w:tcPr>
            <w:tcW w:w="1020"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c>
          <w:tcPr>
            <w:tcW w:w="1136" w:type="dxa"/>
          </w:tcPr>
          <w:p>
            <w:pPr>
              <w:pStyle w:val="10"/>
              <w:spacing w:line="400" w:lineRule="exact"/>
              <w:ind w:left="0" w:leftChars="0"/>
              <w:rPr>
                <w:rFonts w:ascii="宋体"/>
                <w:szCs w:val="21"/>
                <w:highlight w:val="none"/>
              </w:rPr>
            </w:pPr>
          </w:p>
        </w:tc>
        <w:tc>
          <w:tcPr>
            <w:tcW w:w="2126" w:type="dxa"/>
          </w:tcPr>
          <w:p>
            <w:pPr>
              <w:pStyle w:val="10"/>
              <w:spacing w:line="400" w:lineRule="exact"/>
              <w:ind w:left="0" w:leftChars="0"/>
              <w:rPr>
                <w:rFonts w:ascii="宋体"/>
                <w:szCs w:val="21"/>
                <w:highlight w:val="none"/>
              </w:rPr>
            </w:pPr>
          </w:p>
        </w:tc>
      </w:tr>
    </w:tbl>
    <w:p>
      <w:pPr>
        <w:spacing w:line="480" w:lineRule="exact"/>
        <w:ind w:left="31680" w:hanging="480" w:hangingChars="200"/>
        <w:rPr>
          <w:rFonts w:ascii="宋体"/>
          <w:sz w:val="24"/>
          <w:highlight w:val="none"/>
        </w:rPr>
      </w:pPr>
      <w:r>
        <w:rPr>
          <w:rFonts w:hint="eastAsia" w:ascii="宋体" w:hAnsi="宋体"/>
          <w:sz w:val="24"/>
          <w:highlight w:val="none"/>
        </w:rPr>
        <w:t>注：此表业绩是指</w:t>
      </w:r>
      <w:r>
        <w:rPr>
          <w:rFonts w:ascii="宋体" w:hAnsi="宋体"/>
          <w:sz w:val="24"/>
          <w:highlight w:val="none"/>
        </w:rPr>
        <w:t>2018</w:t>
      </w:r>
      <w:r>
        <w:rPr>
          <w:rFonts w:hint="eastAsia" w:ascii="宋体" w:hAnsi="宋体"/>
          <w:sz w:val="24"/>
          <w:highlight w:val="none"/>
        </w:rPr>
        <w:t>年</w:t>
      </w:r>
      <w:r>
        <w:rPr>
          <w:rFonts w:ascii="宋体" w:hAnsi="宋体"/>
          <w:sz w:val="24"/>
          <w:highlight w:val="none"/>
        </w:rPr>
        <w:t>1</w:t>
      </w:r>
      <w:r>
        <w:rPr>
          <w:rFonts w:hint="eastAsia" w:ascii="宋体" w:hAnsi="宋体"/>
          <w:sz w:val="24"/>
          <w:highlight w:val="none"/>
        </w:rPr>
        <w:t>月</w:t>
      </w:r>
      <w:r>
        <w:rPr>
          <w:rFonts w:ascii="宋体" w:hAnsi="宋体"/>
          <w:sz w:val="24"/>
          <w:highlight w:val="none"/>
        </w:rPr>
        <w:t>1</w:t>
      </w:r>
      <w:r>
        <w:rPr>
          <w:rFonts w:hint="eastAsia" w:ascii="宋体" w:hAnsi="宋体"/>
          <w:sz w:val="24"/>
          <w:highlight w:val="none"/>
        </w:rPr>
        <w:t>日至今，与本项目相关或相近的服务经验（参照评分细则），须附工作业绩的评价报告名称内容及签字页等证明材料。</w:t>
      </w:r>
    </w:p>
    <w:p>
      <w:pPr>
        <w:spacing w:line="480" w:lineRule="exact"/>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pStyle w:val="5"/>
        <w:spacing w:line="600" w:lineRule="exact"/>
        <w:jc w:val="center"/>
        <w:rPr>
          <w:rFonts w:ascii="宋体"/>
          <w:b/>
          <w:highlight w:val="none"/>
        </w:rPr>
      </w:pPr>
      <w:bookmarkStart w:id="437" w:name="_Toc17903"/>
      <w:bookmarkStart w:id="438" w:name="_Toc30924"/>
      <w:bookmarkStart w:id="439" w:name="_Toc21725"/>
      <w:bookmarkStart w:id="440" w:name="_Toc17896"/>
      <w:bookmarkStart w:id="441" w:name="_Toc5051"/>
      <w:bookmarkStart w:id="442" w:name="_Toc29269"/>
      <w:bookmarkStart w:id="443" w:name="_Toc597"/>
      <w:bookmarkStart w:id="444" w:name="_Toc28584"/>
      <w:r>
        <w:rPr>
          <w:rFonts w:ascii="宋体" w:hAnsi="宋体"/>
          <w:b/>
          <w:highlight w:val="none"/>
        </w:rPr>
        <w:t>4.</w:t>
      </w:r>
      <w:r>
        <w:rPr>
          <w:rFonts w:hint="eastAsia" w:ascii="宋体" w:hAnsi="宋体"/>
          <w:b/>
          <w:highlight w:val="none"/>
        </w:rPr>
        <w:t>服务方案（由比选申请人自行编写）</w:t>
      </w:r>
      <w:bookmarkEnd w:id="437"/>
      <w:bookmarkEnd w:id="438"/>
      <w:bookmarkEnd w:id="439"/>
      <w:bookmarkEnd w:id="440"/>
      <w:bookmarkEnd w:id="441"/>
      <w:bookmarkEnd w:id="442"/>
      <w:bookmarkEnd w:id="443"/>
      <w:bookmarkEnd w:id="444"/>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备注：主要从服务态度、质量控制、进度控制等方面进行阐述。该服务方案将作为合同的附件。</w:t>
      </w: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ind w:firstLine="420" w:firstLineChars="150"/>
        <w:rPr>
          <w:rFonts w:ascii="宋体" w:cs="宋体"/>
          <w:sz w:val="28"/>
          <w:szCs w:val="28"/>
          <w:highlight w:val="none"/>
        </w:rPr>
      </w:pPr>
    </w:p>
    <w:p>
      <w:pPr>
        <w:widowControl/>
        <w:jc w:val="left"/>
        <w:rPr>
          <w:rFonts w:ascii="宋体" w:cs="宋体"/>
          <w:sz w:val="28"/>
          <w:szCs w:val="28"/>
          <w:highlight w:val="none"/>
        </w:rPr>
      </w:pPr>
      <w:r>
        <w:rPr>
          <w:rFonts w:ascii="宋体" w:cs="宋体"/>
          <w:sz w:val="28"/>
          <w:szCs w:val="28"/>
          <w:highlight w:val="none"/>
        </w:rPr>
        <w:br w:type="page"/>
      </w:r>
    </w:p>
    <w:p>
      <w:pPr>
        <w:spacing w:line="600" w:lineRule="exact"/>
        <w:ind w:firstLine="1265" w:firstLineChars="450"/>
        <w:jc w:val="left"/>
        <w:rPr>
          <w:rFonts w:ascii="宋体" w:cs="宋体"/>
          <w:b/>
          <w:sz w:val="28"/>
          <w:szCs w:val="28"/>
          <w:highlight w:val="none"/>
        </w:rPr>
      </w:pPr>
      <w:r>
        <w:rPr>
          <w:rFonts w:ascii="宋体" w:hAnsi="宋体" w:cs="宋体"/>
          <w:b/>
          <w:sz w:val="28"/>
          <w:szCs w:val="28"/>
          <w:highlight w:val="none"/>
        </w:rPr>
        <w:t>5.</w:t>
      </w:r>
      <w:r>
        <w:rPr>
          <w:rFonts w:hint="eastAsia" w:ascii="宋体" w:hAnsi="宋体" w:cs="宋体"/>
          <w:b/>
          <w:sz w:val="28"/>
          <w:szCs w:val="28"/>
          <w:highlight w:val="none"/>
        </w:rPr>
        <w:t>其他</w:t>
      </w:r>
      <w:r>
        <w:rPr>
          <w:rFonts w:hint="eastAsia" w:ascii="宋体" w:cs="宋体"/>
          <w:b/>
          <w:sz w:val="28"/>
          <w:szCs w:val="28"/>
          <w:highlight w:val="none"/>
        </w:rPr>
        <w:t>……</w:t>
      </w:r>
    </w:p>
    <w:p>
      <w:pPr>
        <w:widowControl/>
        <w:jc w:val="left"/>
        <w:rPr>
          <w:rFonts w:ascii="宋体" w:cs="宋体"/>
          <w:i/>
          <w:sz w:val="28"/>
          <w:szCs w:val="28"/>
          <w:highlight w:val="none"/>
        </w:rPr>
      </w:pPr>
      <w:r>
        <w:rPr>
          <w:rFonts w:ascii="宋体" w:cs="宋体"/>
          <w:i/>
          <w:sz w:val="28"/>
          <w:szCs w:val="28"/>
          <w:highlight w:val="none"/>
        </w:rPr>
        <w:br w:type="page"/>
      </w:r>
    </w:p>
    <w:p>
      <w:pPr>
        <w:ind w:right="753"/>
        <w:jc w:val="center"/>
        <w:rPr>
          <w:rFonts w:ascii="宋体" w:cs="宋体"/>
          <w:sz w:val="28"/>
          <w:szCs w:val="28"/>
          <w:highlight w:val="none"/>
        </w:rPr>
      </w:pPr>
      <w:bookmarkStart w:id="445" w:name="_Toc5462"/>
      <w:bookmarkStart w:id="446" w:name="_Toc25435"/>
      <w:bookmarkStart w:id="447" w:name="_Toc12434"/>
      <w:bookmarkStart w:id="448" w:name="_Toc24947"/>
      <w:bookmarkStart w:id="449" w:name="_Toc27920"/>
      <w:bookmarkStart w:id="450" w:name="_Toc26103"/>
      <w:bookmarkStart w:id="451" w:name="_Toc15155"/>
      <w:bookmarkStart w:id="452" w:name="_Toc9617"/>
      <w:r>
        <w:rPr>
          <w:rFonts w:hint="eastAsia" w:ascii="宋体" w:hAnsi="宋体" w:cs="宋体"/>
          <w:sz w:val="28"/>
          <w:szCs w:val="28"/>
          <w:highlight w:val="none"/>
        </w:rPr>
        <w:t>（封面格式）</w:t>
      </w:r>
    </w:p>
    <w:p>
      <w:pPr>
        <w:ind w:right="753"/>
        <w:jc w:val="left"/>
        <w:rPr>
          <w:rFonts w:ascii="宋体" w:cs="宋体"/>
          <w:szCs w:val="28"/>
          <w:highlight w:val="none"/>
        </w:rPr>
      </w:pPr>
    </w:p>
    <w:p>
      <w:pPr>
        <w:ind w:right="753"/>
        <w:jc w:val="left"/>
        <w:rPr>
          <w:rFonts w:ascii="宋体" w:cs="宋体"/>
          <w:szCs w:val="28"/>
          <w:highlight w:val="none"/>
        </w:rPr>
      </w:pPr>
    </w:p>
    <w:p>
      <w:pPr>
        <w:ind w:right="753"/>
        <w:jc w:val="center"/>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项目比选申请文件</w:t>
      </w:r>
    </w:p>
    <w:p>
      <w:pPr>
        <w:pStyle w:val="24"/>
        <w:jc w:val="center"/>
        <w:rPr>
          <w:highlight w:val="none"/>
        </w:rPr>
      </w:pPr>
      <w:bookmarkStart w:id="453" w:name="_Toc10925"/>
      <w:bookmarkStart w:id="454" w:name="_Toc21287"/>
      <w:bookmarkStart w:id="455" w:name="_Toc461525327"/>
      <w:bookmarkStart w:id="456" w:name="_Toc3587"/>
      <w:bookmarkStart w:id="457" w:name="_Toc15573"/>
      <w:bookmarkStart w:id="458" w:name="_Toc27059"/>
      <w:bookmarkStart w:id="459" w:name="_Toc3278"/>
      <w:bookmarkStart w:id="460" w:name="_Toc196"/>
      <w:bookmarkStart w:id="461" w:name="_Toc20460"/>
      <w:r>
        <w:rPr>
          <w:rFonts w:hint="eastAsia"/>
          <w:b w:val="0"/>
          <w:bCs w:val="0"/>
          <w:sz w:val="28"/>
          <w:szCs w:val="28"/>
          <w:highlight w:val="none"/>
        </w:rPr>
        <w:t>商务部分</w:t>
      </w:r>
      <w:bookmarkEnd w:id="453"/>
      <w:bookmarkEnd w:id="454"/>
      <w:bookmarkEnd w:id="455"/>
      <w:bookmarkEnd w:id="456"/>
      <w:bookmarkEnd w:id="457"/>
      <w:bookmarkEnd w:id="458"/>
      <w:bookmarkEnd w:id="459"/>
      <w:bookmarkEnd w:id="460"/>
      <w:bookmarkEnd w:id="461"/>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r>
        <w:rPr>
          <w:rFonts w:hint="eastAsia" w:ascii="宋体" w:hAnsi="宋体" w:cs="宋体"/>
          <w:sz w:val="28"/>
          <w:szCs w:val="28"/>
          <w:highlight w:val="none"/>
        </w:rPr>
        <w:t>比选申请人：（加盖法人单位章）</w:t>
      </w:r>
    </w:p>
    <w:p>
      <w:pPr>
        <w:ind w:right="753"/>
        <w:jc w:val="left"/>
        <w:rPr>
          <w:rFonts w:ascii="宋体" w:cs="宋体"/>
          <w:sz w:val="28"/>
          <w:szCs w:val="28"/>
          <w:highlight w:val="none"/>
        </w:rPr>
      </w:pPr>
      <w:r>
        <w:rPr>
          <w:rFonts w:hint="eastAsia" w:ascii="宋体" w:hAnsi="宋体" w:cs="宋体"/>
          <w:sz w:val="28"/>
          <w:szCs w:val="28"/>
          <w:highlight w:val="none"/>
        </w:rPr>
        <w:t>法定代表人（负责人）或委托代理人：（签字）</w:t>
      </w:r>
    </w:p>
    <w:p>
      <w:pPr>
        <w:ind w:right="753"/>
        <w:jc w:val="left"/>
        <w:rPr>
          <w:rFonts w:ascii="宋体" w:cs="宋体"/>
          <w:sz w:val="28"/>
          <w:szCs w:val="28"/>
          <w:highlight w:val="none"/>
        </w:rPr>
      </w:pPr>
      <w:bookmarkStart w:id="462" w:name="_Toc333307134"/>
    </w:p>
    <w:p>
      <w:pPr>
        <w:ind w:right="753"/>
        <w:jc w:val="left"/>
        <w:rPr>
          <w:rFonts w:ascii="宋体" w:cs="宋体"/>
          <w:sz w:val="28"/>
          <w:szCs w:val="28"/>
          <w:highlight w:val="none"/>
        </w:rPr>
      </w:pPr>
    </w:p>
    <w:p>
      <w:pPr>
        <w:ind w:right="753"/>
        <w:jc w:val="lef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年</w:t>
      </w:r>
      <w:r>
        <w:rPr>
          <w:rFonts w:ascii="宋体" w:hAnsi="宋体" w:cs="宋体"/>
          <w:sz w:val="28"/>
          <w:szCs w:val="28"/>
          <w:highlight w:val="none"/>
        </w:rPr>
        <w:t xml:space="preserve">    </w:t>
      </w:r>
      <w:bookmarkEnd w:id="462"/>
      <w:r>
        <w:rPr>
          <w:rFonts w:hint="eastAsia" w:ascii="宋体" w:hAnsi="宋体" w:cs="宋体"/>
          <w:sz w:val="28"/>
          <w:szCs w:val="28"/>
          <w:highlight w:val="none"/>
        </w:rPr>
        <w:t>月</w:t>
      </w:r>
      <w:bookmarkStart w:id="463" w:name="_Toc333307135"/>
      <w:r>
        <w:rPr>
          <w:rFonts w:ascii="宋体" w:hAnsi="宋体" w:cs="宋体"/>
          <w:sz w:val="28"/>
          <w:szCs w:val="28"/>
          <w:highlight w:val="none"/>
        </w:rPr>
        <w:t xml:space="preserve">    </w:t>
      </w:r>
      <w:r>
        <w:rPr>
          <w:rFonts w:hint="eastAsia" w:ascii="宋体" w:hAnsi="宋体" w:cs="宋体"/>
          <w:sz w:val="28"/>
          <w:szCs w:val="28"/>
          <w:highlight w:val="none"/>
        </w:rPr>
        <w:t>日</w:t>
      </w: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4"/>
        <w:spacing w:before="0" w:after="0" w:line="600" w:lineRule="exact"/>
        <w:jc w:val="center"/>
        <w:rPr>
          <w:rFonts w:ascii="宋体" w:cs="宋体"/>
          <w:kern w:val="2"/>
          <w:szCs w:val="28"/>
          <w:highlight w:val="none"/>
        </w:rPr>
      </w:pPr>
      <w:bookmarkStart w:id="464" w:name="_Toc24408"/>
      <w:bookmarkStart w:id="465" w:name="_Toc5616"/>
      <w:bookmarkStart w:id="466" w:name="_Toc7127"/>
      <w:bookmarkStart w:id="467" w:name="_Toc21835"/>
      <w:bookmarkStart w:id="468" w:name="_Toc257"/>
      <w:bookmarkStart w:id="469" w:name="_Toc17346"/>
      <w:bookmarkStart w:id="470" w:name="_Toc2010"/>
      <w:bookmarkStart w:id="471" w:name="_Toc471482372"/>
      <w:bookmarkStart w:id="472" w:name="_Toc24524"/>
      <w:bookmarkStart w:id="473" w:name="_Toc4901"/>
      <w:bookmarkStart w:id="474" w:name="_Toc30879"/>
      <w:bookmarkStart w:id="475" w:name="_Toc16542"/>
      <w:bookmarkStart w:id="476" w:name="_Toc461525328"/>
      <w:bookmarkStart w:id="477" w:name="_Toc11015"/>
    </w:p>
    <w:p>
      <w:pPr>
        <w:rPr>
          <w:highlight w:val="none"/>
        </w:rPr>
      </w:pPr>
    </w:p>
    <w:p>
      <w:pPr>
        <w:pStyle w:val="4"/>
        <w:spacing w:before="0" w:after="0" w:line="600" w:lineRule="exact"/>
        <w:jc w:val="center"/>
        <w:rPr>
          <w:b/>
          <w:highlight w:val="none"/>
        </w:rPr>
      </w:pPr>
      <w:bookmarkStart w:id="478" w:name="_Toc21708"/>
      <w:bookmarkStart w:id="479" w:name="_Toc9809"/>
      <w:bookmarkStart w:id="480" w:name="_Toc8407"/>
      <w:bookmarkStart w:id="481" w:name="_Toc5984"/>
      <w:bookmarkStart w:id="482" w:name="_Toc32531"/>
      <w:bookmarkStart w:id="483" w:name="_Toc25672"/>
      <w:bookmarkStart w:id="484" w:name="_Toc12276"/>
      <w:r>
        <w:rPr>
          <w:rFonts w:hint="eastAsia"/>
          <w:b/>
          <w:highlight w:val="none"/>
        </w:rPr>
        <w:t>三、商务部分材料目录</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63"/>
    <w:p>
      <w:pPr>
        <w:spacing w:line="540" w:lineRule="exact"/>
        <w:jc w:val="center"/>
        <w:rPr>
          <w:rFonts w:ascii="宋体" w:cs="宋体"/>
          <w:b/>
          <w:sz w:val="28"/>
          <w:szCs w:val="28"/>
          <w:highlight w:val="none"/>
        </w:rPr>
      </w:pPr>
      <w:r>
        <w:rPr>
          <w:rFonts w:ascii="宋体" w:hAnsi="宋体" w:cs="宋体"/>
          <w:b/>
          <w:sz w:val="28"/>
          <w:szCs w:val="28"/>
          <w:highlight w:val="none"/>
        </w:rPr>
        <w:t>1.</w:t>
      </w:r>
      <w:r>
        <w:rPr>
          <w:rFonts w:hint="eastAsia" w:ascii="宋体" w:hAnsi="宋体" w:cs="宋体"/>
          <w:b/>
          <w:sz w:val="28"/>
          <w:szCs w:val="28"/>
          <w:highlight w:val="none"/>
        </w:rPr>
        <w:t>报价表</w:t>
      </w:r>
    </w:p>
    <w:p>
      <w:pPr>
        <w:spacing w:line="540" w:lineRule="exact"/>
        <w:rPr>
          <w:rFonts w:ascii="宋体" w:cs="宋体"/>
          <w:sz w:val="28"/>
          <w:szCs w:val="28"/>
          <w:highlight w:val="none"/>
        </w:rPr>
      </w:pPr>
    </w:p>
    <w:p>
      <w:pPr>
        <w:spacing w:line="540" w:lineRule="exact"/>
        <w:rPr>
          <w:rFonts w:ascii="宋体" w:cs="宋体"/>
          <w:sz w:val="28"/>
          <w:szCs w:val="28"/>
          <w:highlight w:val="none"/>
        </w:rPr>
      </w:pPr>
      <w:r>
        <w:rPr>
          <w:rFonts w:hint="eastAsia" w:ascii="宋体" w:hAnsi="宋体" w:cs="宋体"/>
          <w:sz w:val="28"/>
          <w:szCs w:val="28"/>
          <w:highlight w:val="none"/>
        </w:rPr>
        <w:t>备注：以上材料均需加盖法人单位公章，并按照目录顺序编排，标注页码。</w:t>
      </w:r>
    </w:p>
    <w:p>
      <w:pPr>
        <w:spacing w:line="540" w:lineRule="exac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ind w:right="753"/>
        <w:jc w:val="left"/>
        <w:rPr>
          <w:rFonts w:ascii="宋体" w:cs="宋体"/>
          <w:sz w:val="28"/>
          <w:szCs w:val="28"/>
          <w:highlight w:val="none"/>
        </w:rPr>
      </w:pPr>
    </w:p>
    <w:p>
      <w:pPr>
        <w:pStyle w:val="5"/>
        <w:rPr>
          <w:highlight w:val="none"/>
        </w:rPr>
      </w:pPr>
      <w:bookmarkStart w:id="485" w:name="_Toc26609"/>
      <w:bookmarkStart w:id="486" w:name="_Toc1148"/>
      <w:bookmarkStart w:id="487" w:name="_Toc3569"/>
      <w:bookmarkStart w:id="488" w:name="_Toc29844"/>
      <w:bookmarkStart w:id="489" w:name="_Toc25896"/>
      <w:bookmarkStart w:id="490" w:name="_Toc25214"/>
      <w:bookmarkStart w:id="491" w:name="_Toc20415"/>
      <w:bookmarkStart w:id="492" w:name="_Toc9748"/>
      <w:bookmarkStart w:id="493" w:name="_Toc6408"/>
      <w:bookmarkStart w:id="494" w:name="_Toc461525330"/>
      <w:bookmarkStart w:id="495" w:name="_Toc29457"/>
      <w:bookmarkStart w:id="496" w:name="_Toc17958"/>
      <w:r>
        <w:rPr>
          <w:highlight w:val="none"/>
        </w:rPr>
        <w:t>1.</w:t>
      </w:r>
      <w:r>
        <w:rPr>
          <w:rFonts w:hint="eastAsia"/>
          <w:highlight w:val="none"/>
        </w:rPr>
        <w:t>报价表</w:t>
      </w:r>
      <w:bookmarkEnd w:id="485"/>
      <w:bookmarkEnd w:id="486"/>
      <w:r>
        <w:rPr>
          <w:rFonts w:hint="eastAsia"/>
          <w:highlight w:val="none"/>
        </w:rPr>
        <w:t>（格式）</w:t>
      </w:r>
      <w:bookmarkEnd w:id="487"/>
      <w:bookmarkEnd w:id="488"/>
      <w:bookmarkEnd w:id="489"/>
      <w:bookmarkEnd w:id="490"/>
      <w:bookmarkEnd w:id="491"/>
      <w:bookmarkEnd w:id="492"/>
      <w:bookmarkEnd w:id="493"/>
      <w:bookmarkEnd w:id="494"/>
      <w:bookmarkEnd w:id="495"/>
      <w:bookmarkEnd w:id="496"/>
    </w:p>
    <w:tbl>
      <w:tblPr>
        <w:tblStyle w:val="25"/>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772"/>
        <w:gridCol w:w="1559"/>
        <w:gridCol w:w="31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051" w:type="dxa"/>
            <w:vAlign w:val="center"/>
          </w:tcPr>
          <w:p>
            <w:pPr>
              <w:jc w:val="center"/>
              <w:rPr>
                <w:rFonts w:ascii="宋体" w:cs="宋体"/>
                <w:szCs w:val="21"/>
                <w:highlight w:val="none"/>
              </w:rPr>
            </w:pPr>
            <w:r>
              <w:rPr>
                <w:rFonts w:hint="eastAsia" w:ascii="宋体" w:hAnsi="宋体" w:cs="宋体"/>
                <w:szCs w:val="21"/>
                <w:highlight w:val="none"/>
              </w:rPr>
              <w:t>序号</w:t>
            </w:r>
          </w:p>
        </w:tc>
        <w:tc>
          <w:tcPr>
            <w:tcW w:w="2772" w:type="dxa"/>
            <w:vAlign w:val="center"/>
          </w:tcPr>
          <w:p>
            <w:pPr>
              <w:jc w:val="center"/>
              <w:rPr>
                <w:rFonts w:ascii="宋体" w:cs="宋体"/>
                <w:szCs w:val="21"/>
                <w:highlight w:val="none"/>
              </w:rPr>
            </w:pPr>
            <w:r>
              <w:rPr>
                <w:rFonts w:hint="eastAsia" w:ascii="宋体" w:hAnsi="宋体" w:cs="宋体"/>
                <w:szCs w:val="21"/>
                <w:highlight w:val="none"/>
              </w:rPr>
              <w:t>服务内容</w:t>
            </w:r>
          </w:p>
        </w:tc>
        <w:tc>
          <w:tcPr>
            <w:tcW w:w="1559" w:type="dxa"/>
            <w:vAlign w:val="center"/>
          </w:tcPr>
          <w:p>
            <w:pPr>
              <w:jc w:val="center"/>
              <w:rPr>
                <w:rFonts w:ascii="宋体" w:cs="宋体"/>
                <w:szCs w:val="21"/>
                <w:highlight w:val="none"/>
              </w:rPr>
            </w:pPr>
            <w:r>
              <w:rPr>
                <w:rFonts w:hint="eastAsia" w:ascii="宋体" w:hAnsi="宋体" w:cs="宋体"/>
                <w:szCs w:val="21"/>
                <w:highlight w:val="none"/>
              </w:rPr>
              <w:t>服务期限</w:t>
            </w:r>
          </w:p>
        </w:tc>
        <w:tc>
          <w:tcPr>
            <w:tcW w:w="3118" w:type="dxa"/>
            <w:vAlign w:val="center"/>
          </w:tcPr>
          <w:p>
            <w:pPr>
              <w:jc w:val="center"/>
              <w:rPr>
                <w:rFonts w:ascii="宋体" w:cs="宋体"/>
                <w:szCs w:val="21"/>
                <w:highlight w:val="none"/>
              </w:rPr>
            </w:pPr>
            <w:r>
              <w:rPr>
                <w:rFonts w:hint="eastAsia" w:ascii="宋体" w:hAnsi="宋体" w:cs="宋体"/>
                <w:szCs w:val="21"/>
                <w:highlight w:val="none"/>
              </w:rPr>
              <w:t>报价</w:t>
            </w:r>
            <w:r>
              <w:rPr>
                <w:rFonts w:ascii="宋体" w:hAnsi="宋体" w:cs="宋体"/>
                <w:szCs w:val="21"/>
                <w:highlight w:val="none"/>
              </w:rPr>
              <w:t xml:space="preserve">  </w:t>
            </w:r>
          </w:p>
        </w:tc>
        <w:tc>
          <w:tcPr>
            <w:tcW w:w="1417" w:type="dxa"/>
          </w:tcPr>
          <w:p>
            <w:pPr>
              <w:jc w:val="center"/>
              <w:rPr>
                <w:rFonts w:ascii="宋体" w:cs="宋体"/>
                <w:szCs w:val="21"/>
                <w:highlight w:val="none"/>
              </w:rPr>
            </w:pPr>
            <w:r>
              <w:rPr>
                <w:rFonts w:hint="eastAsia" w:ascii="宋体" w:hAnsi="宋体" w:cs="宋体"/>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jc w:val="center"/>
        </w:trPr>
        <w:tc>
          <w:tcPr>
            <w:tcW w:w="1051" w:type="dxa"/>
            <w:vAlign w:val="center"/>
          </w:tcPr>
          <w:p>
            <w:pPr>
              <w:jc w:val="center"/>
              <w:rPr>
                <w:rFonts w:ascii="宋体" w:cs="宋体"/>
                <w:szCs w:val="21"/>
                <w:highlight w:val="none"/>
              </w:rPr>
            </w:pPr>
            <w:r>
              <w:rPr>
                <w:rFonts w:ascii="宋体" w:hAnsi="宋体" w:cs="宋体"/>
                <w:szCs w:val="21"/>
                <w:highlight w:val="none"/>
              </w:rPr>
              <w:t>1</w:t>
            </w:r>
          </w:p>
        </w:tc>
        <w:tc>
          <w:tcPr>
            <w:tcW w:w="2772" w:type="dxa"/>
            <w:vAlign w:val="center"/>
          </w:tcPr>
          <w:p>
            <w:pPr>
              <w:jc w:val="left"/>
              <w:rPr>
                <w:rFonts w:ascii="宋体" w:cs="宋体"/>
                <w:szCs w:val="21"/>
                <w:highlight w:val="none"/>
              </w:rPr>
            </w:pPr>
            <w:r>
              <w:rPr>
                <w:rFonts w:hint="eastAsia" w:ascii="宋体" w:hAnsi="宋体" w:cs="宋体"/>
                <w:szCs w:val="21"/>
                <w:highlight w:val="none"/>
              </w:rPr>
              <w:t>南宁轨道交通集团有限责任公司</w:t>
            </w:r>
            <w:r>
              <w:rPr>
                <w:rFonts w:ascii="宋体" w:hAnsi="宋体" w:cs="宋体"/>
                <w:szCs w:val="21"/>
                <w:highlight w:val="none"/>
              </w:rPr>
              <w:t>2022</w:t>
            </w:r>
            <w:r>
              <w:rPr>
                <w:rFonts w:hint="eastAsia" w:ascii="宋体" w:hAnsi="宋体" w:cs="宋体"/>
                <w:szCs w:val="21"/>
                <w:highlight w:val="none"/>
              </w:rPr>
              <w:t>年度集团公司本部内控自评价及</w:t>
            </w:r>
            <w:r>
              <w:rPr>
                <w:rFonts w:ascii="宋体" w:hAnsi="宋体" w:cs="宋体"/>
                <w:szCs w:val="21"/>
                <w:highlight w:val="none"/>
              </w:rPr>
              <w:t>6</w:t>
            </w:r>
            <w:r>
              <w:rPr>
                <w:rFonts w:hint="eastAsia" w:ascii="宋体" w:hAnsi="宋体" w:cs="宋体"/>
                <w:szCs w:val="21"/>
                <w:highlight w:val="none"/>
              </w:rPr>
              <w:t>家重要全资、控股子公司内控监督评价项目</w:t>
            </w:r>
          </w:p>
        </w:tc>
        <w:tc>
          <w:tcPr>
            <w:tcW w:w="1559" w:type="dxa"/>
            <w:vAlign w:val="center"/>
          </w:tcPr>
          <w:p>
            <w:pPr>
              <w:jc w:val="center"/>
              <w:rPr>
                <w:rFonts w:ascii="宋体" w:cs="宋体"/>
                <w:szCs w:val="21"/>
                <w:highlight w:val="none"/>
              </w:rPr>
            </w:pPr>
          </w:p>
        </w:tc>
        <w:tc>
          <w:tcPr>
            <w:tcW w:w="3118" w:type="dxa"/>
            <w:vAlign w:val="center"/>
          </w:tcPr>
          <w:p>
            <w:pPr>
              <w:rPr>
                <w:rFonts w:ascii="宋体" w:cs="宋体"/>
                <w:szCs w:val="21"/>
                <w:highlight w:val="none"/>
              </w:rPr>
            </w:pPr>
            <w:r>
              <w:rPr>
                <w:rFonts w:hint="eastAsia" w:ascii="宋体" w:hAnsi="宋体" w:cs="宋体"/>
                <w:szCs w:val="21"/>
                <w:highlight w:val="none"/>
              </w:rPr>
              <w:t>不含税：</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税率（</w:t>
            </w:r>
            <w:r>
              <w:rPr>
                <w:rFonts w:ascii="宋体" w:hAnsi="宋体" w:cs="宋体"/>
                <w:szCs w:val="21"/>
                <w:highlight w:val="none"/>
              </w:rPr>
              <w:t xml:space="preserve">   %</w:t>
            </w:r>
            <w:r>
              <w:rPr>
                <w:rFonts w:hint="eastAsia" w:ascii="宋体" w:hAnsi="宋体" w:cs="宋体"/>
                <w:szCs w:val="21"/>
                <w:highlight w:val="none"/>
              </w:rPr>
              <w:t>）</w:t>
            </w:r>
          </w:p>
          <w:p>
            <w:pPr>
              <w:rPr>
                <w:rFonts w:ascii="宋体" w:cs="宋体"/>
                <w:szCs w:val="21"/>
                <w:highlight w:val="none"/>
              </w:rPr>
            </w:pPr>
          </w:p>
          <w:p>
            <w:pPr>
              <w:rPr>
                <w:rFonts w:ascii="宋体" w:cs="宋体"/>
                <w:szCs w:val="21"/>
                <w:highlight w:val="none"/>
              </w:rPr>
            </w:pPr>
            <w:r>
              <w:rPr>
                <w:rFonts w:hint="eastAsia" w:ascii="宋体" w:hAnsi="宋体" w:cs="宋体"/>
                <w:szCs w:val="21"/>
                <w:highlight w:val="none"/>
              </w:rPr>
              <w:t>价税合计：</w:t>
            </w:r>
          </w:p>
        </w:tc>
        <w:tc>
          <w:tcPr>
            <w:tcW w:w="1417" w:type="dxa"/>
          </w:tcPr>
          <w:p>
            <w:pPr>
              <w:rPr>
                <w:rFonts w:ascii="宋体" w:cs="宋体"/>
                <w:szCs w:val="21"/>
                <w:highlight w:val="none"/>
              </w:rPr>
            </w:pPr>
          </w:p>
        </w:tc>
      </w:tr>
    </w:tbl>
    <w:p>
      <w:pPr>
        <w:spacing w:line="480" w:lineRule="exact"/>
        <w:ind w:left="31680" w:hanging="560" w:hangingChars="200"/>
        <w:rPr>
          <w:rFonts w:ascii="宋体" w:cs="宋体"/>
          <w:sz w:val="28"/>
          <w:szCs w:val="28"/>
          <w:highlight w:val="none"/>
        </w:rPr>
      </w:pPr>
      <w:r>
        <w:rPr>
          <w:rFonts w:hint="eastAsia" w:ascii="宋体" w:hAnsi="宋体" w:cs="宋体"/>
          <w:sz w:val="28"/>
          <w:szCs w:val="28"/>
          <w:highlight w:val="none"/>
        </w:rPr>
        <w:t>注：</w:t>
      </w:r>
      <w:r>
        <w:rPr>
          <w:rFonts w:ascii="宋体" w:hAnsi="宋体" w:cs="宋体"/>
          <w:sz w:val="28"/>
          <w:szCs w:val="28"/>
          <w:highlight w:val="none"/>
        </w:rPr>
        <w:t>1.</w:t>
      </w:r>
      <w:r>
        <w:rPr>
          <w:rFonts w:hint="eastAsia" w:ascii="宋体" w:hAnsi="宋体" w:cs="宋体"/>
          <w:sz w:val="28"/>
          <w:szCs w:val="28"/>
          <w:highlight w:val="none"/>
        </w:rPr>
        <w:t>本表根据需要可扩展。未按照本比选报价表的格式及要求填写比选报价表的，将视为不满足比选文件要求，从而导致该比选申请人竞选无效。</w:t>
      </w:r>
    </w:p>
    <w:p>
      <w:pPr>
        <w:spacing w:line="480" w:lineRule="exact"/>
        <w:ind w:firstLine="560" w:firstLineChars="200"/>
        <w:rPr>
          <w:rFonts w:ascii="宋体" w:cs="宋体"/>
          <w:sz w:val="28"/>
          <w:szCs w:val="28"/>
          <w:highlight w:val="none"/>
          <w:u w:val="single"/>
        </w:rPr>
      </w:pPr>
      <w:r>
        <w:rPr>
          <w:rFonts w:ascii="宋体" w:hAnsi="宋体" w:cs="宋体"/>
          <w:sz w:val="28"/>
          <w:szCs w:val="28"/>
          <w:highlight w:val="none"/>
          <w:u w:val="single"/>
        </w:rPr>
        <w:t>2</w:t>
      </w:r>
      <w:r>
        <w:rPr>
          <w:rFonts w:ascii="宋体" w:cs="宋体"/>
          <w:sz w:val="28"/>
          <w:szCs w:val="28"/>
          <w:highlight w:val="none"/>
          <w:u w:val="single"/>
        </w:rPr>
        <w:t>.</w:t>
      </w:r>
      <w:r>
        <w:rPr>
          <w:rFonts w:hint="eastAsia" w:ascii="宋体" w:hAnsi="宋体" w:cs="宋体"/>
          <w:sz w:val="28"/>
          <w:szCs w:val="28"/>
          <w:highlight w:val="none"/>
          <w:u w:val="single"/>
        </w:rPr>
        <w:t>以本表中不含税报价作为评审基准价以及评分的确定依据。</w:t>
      </w:r>
    </w:p>
    <w:p>
      <w:pPr>
        <w:spacing w:line="480" w:lineRule="exact"/>
        <w:rPr>
          <w:rFonts w:ascii="宋体" w:cs="宋体"/>
          <w:sz w:val="28"/>
          <w:szCs w:val="28"/>
          <w:highlight w:val="none"/>
        </w:rPr>
      </w:pPr>
    </w:p>
    <w:p>
      <w:pPr>
        <w:spacing w:line="480" w:lineRule="exact"/>
        <w:rPr>
          <w:rFonts w:ascii="宋体" w:cs="宋体"/>
          <w:sz w:val="28"/>
          <w:szCs w:val="28"/>
          <w:highlight w:val="none"/>
        </w:rPr>
      </w:pPr>
      <w:r>
        <w:rPr>
          <w:rFonts w:hint="eastAsia" w:ascii="宋体" w:hAnsi="宋体" w:cs="宋体"/>
          <w:sz w:val="28"/>
          <w:szCs w:val="28"/>
          <w:highlight w:val="none"/>
        </w:rPr>
        <w:t>比选申请人：（加盖法人单位公章）</w:t>
      </w:r>
      <w:r>
        <w:rPr>
          <w:rFonts w:ascii="宋体" w:hAnsi="宋体" w:cs="宋体"/>
          <w:sz w:val="28"/>
          <w:szCs w:val="28"/>
          <w:highlight w:val="none"/>
        </w:rPr>
        <w:t xml:space="preserve">                                </w:t>
      </w:r>
    </w:p>
    <w:p>
      <w:pPr>
        <w:spacing w:line="480" w:lineRule="exact"/>
        <w:rPr>
          <w:rFonts w:ascii="宋体" w:cs="宋体"/>
          <w:sz w:val="28"/>
          <w:szCs w:val="28"/>
          <w:highlight w:val="none"/>
        </w:rPr>
      </w:pPr>
      <w:r>
        <w:rPr>
          <w:rFonts w:hint="eastAsia" w:ascii="宋体" w:hAnsi="宋体" w:cs="宋体"/>
          <w:sz w:val="28"/>
          <w:szCs w:val="28"/>
          <w:highlight w:val="none"/>
        </w:rPr>
        <w:t>法定代表人（负责人）或其委托代理人（签字）：</w:t>
      </w:r>
      <w:r>
        <w:rPr>
          <w:rFonts w:ascii="宋体" w:hAnsi="宋体" w:cs="宋体"/>
          <w:sz w:val="28"/>
          <w:szCs w:val="28"/>
          <w:highlight w:val="none"/>
        </w:rPr>
        <w:t xml:space="preserve"> </w:t>
      </w: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spacing w:line="480" w:lineRule="exact"/>
        <w:rPr>
          <w:rFonts w:ascii="宋体" w:cs="宋体"/>
          <w:sz w:val="28"/>
          <w:szCs w:val="28"/>
          <w:highlight w:val="none"/>
        </w:rPr>
      </w:pPr>
    </w:p>
    <w:p>
      <w:pPr>
        <w:jc w:val="center"/>
        <w:rPr>
          <w:rFonts w:ascii="宋体" w:cs="宋体"/>
          <w:sz w:val="28"/>
          <w:szCs w:val="28"/>
          <w:highlight w:val="none"/>
        </w:rPr>
      </w:pPr>
    </w:p>
    <w:bookmarkEnd w:id="427"/>
    <w:bookmarkEnd w:id="428"/>
    <w:bookmarkEnd w:id="445"/>
    <w:bookmarkEnd w:id="446"/>
    <w:bookmarkEnd w:id="447"/>
    <w:bookmarkEnd w:id="448"/>
    <w:bookmarkEnd w:id="449"/>
    <w:bookmarkEnd w:id="450"/>
    <w:bookmarkEnd w:id="451"/>
    <w:bookmarkEnd w:id="452"/>
    <w:p>
      <w:pPr>
        <w:pStyle w:val="3"/>
        <w:spacing w:before="0" w:after="0" w:line="600" w:lineRule="exact"/>
        <w:rPr>
          <w:rFonts w:ascii="宋体" w:cs="宋体"/>
          <w:b w:val="0"/>
          <w:kern w:val="2"/>
          <w:szCs w:val="28"/>
          <w:highlight w:val="none"/>
        </w:rPr>
      </w:pPr>
      <w:bookmarkStart w:id="497" w:name="_Toc471482373"/>
      <w:bookmarkStart w:id="498" w:name="_Toc2193"/>
    </w:p>
    <w:p>
      <w:pPr>
        <w:rPr>
          <w:highlight w:val="none"/>
        </w:rPr>
      </w:pPr>
    </w:p>
    <w:p>
      <w:pPr>
        <w:pStyle w:val="2"/>
        <w:rPr>
          <w:highlight w:val="none"/>
        </w:rPr>
      </w:pPr>
    </w:p>
    <w:p>
      <w:pPr>
        <w:pStyle w:val="2"/>
        <w:rPr>
          <w:highlight w:val="none"/>
        </w:rPr>
      </w:pPr>
    </w:p>
    <w:p>
      <w:pPr>
        <w:pStyle w:val="2"/>
        <w:rPr>
          <w:highlight w:val="none"/>
        </w:rPr>
      </w:pPr>
    </w:p>
    <w:p>
      <w:pPr>
        <w:pStyle w:val="3"/>
        <w:spacing w:before="0" w:after="0" w:line="600" w:lineRule="exact"/>
        <w:jc w:val="both"/>
        <w:rPr>
          <w:b w:val="0"/>
          <w:kern w:val="2"/>
          <w:sz w:val="21"/>
          <w:szCs w:val="24"/>
          <w:highlight w:val="none"/>
        </w:rPr>
      </w:pPr>
    </w:p>
    <w:p>
      <w:pPr>
        <w:rPr>
          <w:highlight w:val="none"/>
        </w:rPr>
      </w:pPr>
    </w:p>
    <w:p>
      <w:pPr>
        <w:pStyle w:val="3"/>
        <w:spacing w:before="0" w:after="0" w:line="600" w:lineRule="exact"/>
        <w:rPr>
          <w:highlight w:val="none"/>
        </w:rPr>
      </w:pPr>
      <w:bookmarkStart w:id="499" w:name="_Toc7086"/>
      <w:bookmarkStart w:id="500" w:name="_Toc30863"/>
      <w:bookmarkStart w:id="501" w:name="_Toc7168"/>
      <w:bookmarkStart w:id="502" w:name="_Toc3272"/>
      <w:bookmarkStart w:id="503" w:name="_Toc8240"/>
      <w:bookmarkStart w:id="504" w:name="_Toc23786"/>
      <w:bookmarkStart w:id="505" w:name="_Toc29161"/>
      <w:r>
        <w:rPr>
          <w:rFonts w:hint="eastAsia"/>
          <w:highlight w:val="none"/>
        </w:rPr>
        <w:t>第四章</w:t>
      </w:r>
      <w:r>
        <w:rPr>
          <w:highlight w:val="none"/>
        </w:rPr>
        <w:t xml:space="preserve"> </w:t>
      </w:r>
      <w:r>
        <w:rPr>
          <w:rFonts w:hint="eastAsia"/>
          <w:highlight w:val="none"/>
        </w:rPr>
        <w:t>评比办法</w:t>
      </w:r>
      <w:bookmarkEnd w:id="497"/>
      <w:bookmarkEnd w:id="498"/>
      <w:bookmarkEnd w:id="499"/>
      <w:bookmarkEnd w:id="500"/>
      <w:bookmarkEnd w:id="501"/>
      <w:bookmarkEnd w:id="502"/>
      <w:bookmarkEnd w:id="503"/>
      <w:bookmarkEnd w:id="504"/>
      <w:bookmarkEnd w:id="505"/>
    </w:p>
    <w:p>
      <w:pPr>
        <w:pStyle w:val="4"/>
        <w:spacing w:before="0" w:after="0" w:line="540" w:lineRule="exact"/>
        <w:rPr>
          <w:highlight w:val="none"/>
        </w:rPr>
      </w:pPr>
      <w:bookmarkStart w:id="506" w:name="_Toc10015"/>
      <w:bookmarkStart w:id="507" w:name="_Toc2996"/>
      <w:bookmarkStart w:id="508" w:name="_Toc31412"/>
      <w:bookmarkStart w:id="509" w:name="_Toc18215"/>
      <w:bookmarkStart w:id="510" w:name="_Toc16236"/>
      <w:bookmarkStart w:id="511" w:name="_Toc2433"/>
      <w:bookmarkStart w:id="512" w:name="_Toc7201"/>
      <w:bookmarkStart w:id="513" w:name="_Toc3898"/>
      <w:bookmarkStart w:id="514" w:name="_Toc17031"/>
      <w:bookmarkStart w:id="515" w:name="_Toc28938"/>
      <w:bookmarkStart w:id="516" w:name="_Toc471482374"/>
    </w:p>
    <w:p>
      <w:pPr>
        <w:pStyle w:val="4"/>
        <w:spacing w:before="0" w:after="0" w:line="540" w:lineRule="exact"/>
        <w:rPr>
          <w:b/>
          <w:highlight w:val="none"/>
        </w:rPr>
      </w:pPr>
      <w:bookmarkStart w:id="517" w:name="_Toc24016"/>
      <w:bookmarkStart w:id="518" w:name="_Toc25326"/>
      <w:bookmarkStart w:id="519" w:name="_Toc13092"/>
      <w:bookmarkStart w:id="520" w:name="_Toc11093"/>
      <w:bookmarkStart w:id="521" w:name="_Toc3261"/>
      <w:bookmarkStart w:id="522" w:name="_Toc6298"/>
      <w:bookmarkStart w:id="523" w:name="_Toc21341"/>
      <w:r>
        <w:rPr>
          <w:rFonts w:hint="eastAsia"/>
          <w:b/>
          <w:highlight w:val="none"/>
        </w:rPr>
        <w:t>一、综合评分办法</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spacing w:line="540" w:lineRule="exact"/>
        <w:ind w:firstLine="560" w:firstLineChars="200"/>
        <w:rPr>
          <w:rFonts w:ascii="宋体" w:cs="宋体"/>
          <w:sz w:val="28"/>
          <w:szCs w:val="28"/>
          <w:highlight w:val="none"/>
        </w:rPr>
      </w:pPr>
      <w:r>
        <w:rPr>
          <w:rFonts w:hint="eastAsia" w:ascii="宋体" w:hAnsi="宋体" w:cs="宋体"/>
          <w:sz w:val="28"/>
          <w:szCs w:val="28"/>
          <w:highlight w:val="none"/>
        </w:rPr>
        <w:t>评审小组</w:t>
      </w:r>
      <w:r>
        <w:rPr>
          <w:rFonts w:hint="eastAsia" w:ascii="宋体" w:hAnsi="宋体" w:cs="宋体"/>
          <w:sz w:val="28"/>
          <w:szCs w:val="28"/>
          <w:highlight w:val="none"/>
        </w:rPr>
        <w:t>首先对比选申请人进行资格审查，</w:t>
      </w:r>
      <w:r>
        <w:rPr>
          <w:rFonts w:hint="eastAsia" w:ascii="宋体" w:hAnsi="宋体" w:cs="宋体"/>
          <w:sz w:val="28"/>
          <w:szCs w:val="28"/>
          <w:highlight w:val="none"/>
        </w:rPr>
        <w:t>评审小组</w:t>
      </w:r>
      <w:r>
        <w:rPr>
          <w:rFonts w:hint="eastAsia" w:ascii="宋体" w:hAnsi="宋体" w:cs="宋体"/>
          <w:sz w:val="28"/>
          <w:szCs w:val="28"/>
          <w:highlight w:val="none"/>
        </w:rPr>
        <w:t>对通过资格审查的比选申请人按相应的评分细则对技术部分、商务部分各自进行打分后进行汇总，比选申请人的最终得分是</w:t>
      </w:r>
      <w:r>
        <w:rPr>
          <w:rFonts w:hint="eastAsia" w:ascii="宋体" w:hAnsi="宋体" w:cs="宋体"/>
          <w:sz w:val="28"/>
          <w:szCs w:val="28"/>
          <w:highlight w:val="none"/>
        </w:rPr>
        <w:t>评审小组</w:t>
      </w:r>
      <w:r>
        <w:rPr>
          <w:rFonts w:hint="eastAsia" w:ascii="宋体" w:hAnsi="宋体" w:cs="宋体"/>
          <w:sz w:val="28"/>
          <w:szCs w:val="28"/>
          <w:highlight w:val="none"/>
        </w:rPr>
        <w:t>每一位成员综合得分计算出来的算术平均值。</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资格评审：对比选申请人的资格条件、比选申请文件的完整性和有效性、比选申请文件的有效期等方面进行审查。通过资格评审的比选申请文件进入技术、商务评审。</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技术、商务评审：由</w:t>
      </w:r>
      <w:r>
        <w:rPr>
          <w:rFonts w:hint="eastAsia" w:ascii="宋体" w:hAnsi="宋体" w:cs="宋体"/>
          <w:sz w:val="28"/>
          <w:szCs w:val="28"/>
          <w:highlight w:val="none"/>
        </w:rPr>
        <w:t>评审小组</w:t>
      </w:r>
      <w:r>
        <w:rPr>
          <w:rFonts w:hint="eastAsia" w:ascii="宋体" w:hAnsi="宋体" w:cs="宋体"/>
          <w:sz w:val="28"/>
          <w:szCs w:val="28"/>
          <w:highlight w:val="none"/>
        </w:rPr>
        <w:t>按照比选文件的要求，对照比选申请文件的应答进行比较，并对各比选申请文件的技术、商务内容进行评审，且技术部分、商务部分由</w:t>
      </w:r>
      <w:r>
        <w:rPr>
          <w:rFonts w:hint="eastAsia" w:ascii="宋体" w:hAnsi="宋体" w:cs="宋体"/>
          <w:sz w:val="28"/>
          <w:szCs w:val="28"/>
          <w:highlight w:val="none"/>
        </w:rPr>
        <w:t>评审小组</w:t>
      </w:r>
      <w:r>
        <w:rPr>
          <w:rFonts w:hint="eastAsia" w:ascii="宋体" w:hAnsi="宋体" w:cs="宋体"/>
          <w:sz w:val="28"/>
          <w:szCs w:val="28"/>
          <w:highlight w:val="none"/>
        </w:rPr>
        <w:t>讨论定档后进行打分。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如比选申请文件中有含义不明确，对同类问题表达不一致，或有明显的文字、数字计算错误的，</w:t>
      </w:r>
      <w:r>
        <w:rPr>
          <w:rFonts w:hint="eastAsia" w:ascii="宋体" w:hAnsi="宋体" w:cs="宋体"/>
          <w:sz w:val="28"/>
          <w:szCs w:val="28"/>
          <w:highlight w:val="none"/>
        </w:rPr>
        <w:t>评审小组</w:t>
      </w:r>
      <w:r>
        <w:rPr>
          <w:rFonts w:hint="eastAsia" w:ascii="宋体" w:hAnsi="宋体" w:cs="宋体"/>
          <w:sz w:val="28"/>
          <w:szCs w:val="28"/>
          <w:highlight w:val="none"/>
        </w:rPr>
        <w:t>可要求比选申请人进行必要的澄清、说明或补正，并详细记录，但不得改变比选申请文件的实质内容。</w:t>
      </w:r>
      <w:r>
        <w:rPr>
          <w:rFonts w:hint="eastAsia" w:ascii="宋体" w:hAnsi="宋体" w:cs="宋体"/>
          <w:sz w:val="28"/>
          <w:szCs w:val="28"/>
          <w:highlight w:val="none"/>
        </w:rPr>
        <w:t>评审小组</w:t>
      </w:r>
      <w:r>
        <w:rPr>
          <w:rFonts w:hint="eastAsia" w:ascii="宋体" w:hAnsi="宋体" w:cs="宋体"/>
          <w:sz w:val="28"/>
          <w:szCs w:val="28"/>
          <w:highlight w:val="none"/>
        </w:rPr>
        <w:t>对比选申请人提交的澄清、说明或补正有疑问的，可以要求比选申请人进一步澄清、说明或补正，直至满足</w:t>
      </w:r>
      <w:r>
        <w:rPr>
          <w:rFonts w:hint="eastAsia" w:ascii="宋体" w:hAnsi="宋体" w:cs="宋体"/>
          <w:sz w:val="28"/>
          <w:szCs w:val="28"/>
          <w:highlight w:val="none"/>
        </w:rPr>
        <w:t>评审小组</w:t>
      </w:r>
      <w:r>
        <w:rPr>
          <w:rFonts w:hint="eastAsia" w:ascii="宋体" w:hAnsi="宋体" w:cs="宋体"/>
          <w:sz w:val="28"/>
          <w:szCs w:val="28"/>
          <w:highlight w:val="none"/>
        </w:rPr>
        <w:t>的要求。如比选申请人拒绝接受澄清、说明或补正，该报价做无效报价处理。</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）如果数字表示的金额和用文字表示的金额不一致时，应以文字表示的金额为准；</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）当单价与数量的乘积与合价不一致时，以合价为准，并调整单价；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）当合价与报价总价不一致时，以报价总价为准，调整相关合价；</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）评审期间，</w:t>
      </w:r>
      <w:r>
        <w:rPr>
          <w:rFonts w:hint="eastAsia" w:ascii="宋体" w:hAnsi="宋体" w:cs="宋体"/>
          <w:sz w:val="28"/>
          <w:szCs w:val="28"/>
          <w:highlight w:val="none"/>
        </w:rPr>
        <w:t>评审小组</w:t>
      </w:r>
      <w:r>
        <w:rPr>
          <w:rFonts w:hint="eastAsia" w:ascii="宋体" w:hAnsi="宋体" w:cs="宋体"/>
          <w:sz w:val="28"/>
          <w:szCs w:val="28"/>
          <w:highlight w:val="none"/>
        </w:rPr>
        <w:t>不接受任何比选申请人主动提出的对报价及单价、合价的调整；</w:t>
      </w:r>
    </w:p>
    <w:p>
      <w:pPr>
        <w:spacing w:line="540" w:lineRule="exact"/>
        <w:ind w:firstLine="420" w:firstLineChars="150"/>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）其它未尽事宜，由</w:t>
      </w:r>
      <w:r>
        <w:rPr>
          <w:rFonts w:hint="eastAsia" w:ascii="宋体" w:hAnsi="宋体" w:cs="宋体"/>
          <w:sz w:val="28"/>
          <w:szCs w:val="28"/>
          <w:highlight w:val="none"/>
        </w:rPr>
        <w:t>评审小组</w:t>
      </w:r>
      <w:r>
        <w:rPr>
          <w:rFonts w:hint="eastAsia" w:ascii="宋体" w:hAnsi="宋体" w:cs="宋体"/>
          <w:sz w:val="28"/>
          <w:szCs w:val="28"/>
          <w:highlight w:val="none"/>
        </w:rPr>
        <w:t>审议确定</w:t>
      </w:r>
      <w:r>
        <w:rPr>
          <w:rFonts w:ascii="宋体" w:hAnsi="宋体" w:cs="宋体"/>
          <w:sz w:val="28"/>
          <w:szCs w:val="28"/>
          <w:highlight w:val="none"/>
        </w:rPr>
        <w:t>(</w:t>
      </w:r>
      <w:r>
        <w:rPr>
          <w:rFonts w:hint="eastAsia" w:ascii="宋体" w:hAnsi="宋体" w:cs="宋体"/>
          <w:sz w:val="28"/>
          <w:szCs w:val="28"/>
          <w:highlight w:val="none"/>
        </w:rPr>
        <w:t>如意见不一致时，以记名方式投票确定</w:t>
      </w:r>
      <w:r>
        <w:rPr>
          <w:rFonts w:ascii="宋体" w:hAnsi="宋体" w:cs="宋体"/>
          <w:sz w:val="28"/>
          <w:szCs w:val="28"/>
          <w:highlight w:val="none"/>
        </w:rPr>
        <w:t>)</w:t>
      </w:r>
      <w:r>
        <w:rPr>
          <w:rFonts w:hint="eastAsia" w:ascii="宋体" w:hAnsi="宋体" w:cs="宋体"/>
          <w:sz w:val="28"/>
          <w:szCs w:val="28"/>
          <w:highlight w:val="none"/>
        </w:rPr>
        <w:t>。</w:t>
      </w:r>
    </w:p>
    <w:p>
      <w:pPr>
        <w:spacing w:line="540" w:lineRule="exact"/>
        <w:ind w:firstLine="560" w:firstLineChars="200"/>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在评审过程中，</w:t>
      </w:r>
      <w:r>
        <w:rPr>
          <w:rFonts w:hint="eastAsia" w:ascii="宋体" w:hAnsi="宋体" w:cs="宋体"/>
          <w:sz w:val="28"/>
          <w:szCs w:val="28"/>
          <w:highlight w:val="none"/>
        </w:rPr>
        <w:t>评审小组</w:t>
      </w:r>
      <w:r>
        <w:rPr>
          <w:rFonts w:hint="eastAsia" w:ascii="宋体" w:hAnsi="宋体" w:cs="宋体"/>
          <w:sz w:val="28"/>
          <w:szCs w:val="28"/>
          <w:highlight w:val="none"/>
        </w:rPr>
        <w:t>发现投标人的报价明显低于其他投标报价，使得其投标报价可能低于其成本的，应当要求该比选申请人做出书面说明并提供相关证明材料。比选申请人不能合理说明或者不能提供相关证明材料的，由</w:t>
      </w:r>
      <w:r>
        <w:rPr>
          <w:rFonts w:hint="eastAsia" w:ascii="宋体" w:hAnsi="宋体" w:cs="宋体"/>
          <w:sz w:val="28"/>
          <w:szCs w:val="28"/>
          <w:highlight w:val="none"/>
        </w:rPr>
        <w:t>评审小组</w:t>
      </w:r>
      <w:r>
        <w:rPr>
          <w:rFonts w:hint="eastAsia" w:ascii="宋体" w:hAnsi="宋体" w:cs="宋体"/>
          <w:sz w:val="28"/>
          <w:szCs w:val="28"/>
          <w:highlight w:val="none"/>
        </w:rPr>
        <w:t>认定该比选申请人以低于成本报价，报价不合理，其比选申请文件作无效处理。</w:t>
      </w:r>
    </w:p>
    <w:p>
      <w:pPr>
        <w:pStyle w:val="4"/>
        <w:spacing w:before="0" w:after="0" w:line="540" w:lineRule="exact"/>
        <w:rPr>
          <w:b/>
          <w:highlight w:val="none"/>
        </w:rPr>
      </w:pPr>
      <w:bookmarkStart w:id="524" w:name="_Toc7245"/>
      <w:bookmarkStart w:id="525" w:name="_Toc26214"/>
      <w:bookmarkStart w:id="526" w:name="_Toc471482375"/>
      <w:bookmarkStart w:id="527" w:name="_Toc29182"/>
      <w:bookmarkStart w:id="528" w:name="_Toc5190"/>
      <w:bookmarkStart w:id="529" w:name="_Toc5576"/>
      <w:bookmarkStart w:id="530" w:name="_Toc29031"/>
      <w:bookmarkStart w:id="531" w:name="_Toc14568"/>
      <w:bookmarkStart w:id="532" w:name="_Toc5579"/>
      <w:bookmarkStart w:id="533" w:name="_Toc7740"/>
      <w:bookmarkStart w:id="534" w:name="_Toc18543"/>
      <w:bookmarkStart w:id="535" w:name="_Toc17260"/>
      <w:bookmarkStart w:id="536" w:name="_Toc30979"/>
      <w:bookmarkStart w:id="537" w:name="_Toc14401"/>
      <w:bookmarkStart w:id="538" w:name="_Toc20237"/>
      <w:bookmarkStart w:id="539" w:name="_Toc9093"/>
      <w:bookmarkStart w:id="540" w:name="_Toc15054"/>
      <w:bookmarkStart w:id="541" w:name="_Toc32565"/>
      <w:r>
        <w:rPr>
          <w:rFonts w:hint="eastAsia"/>
          <w:b/>
          <w:highlight w:val="none"/>
        </w:rPr>
        <w:t>二、总分计算公式</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总分即比选申请人评分综合得分，其计算公式：</w:t>
      </w:r>
    </w:p>
    <w:p>
      <w:pPr>
        <w:spacing w:line="540" w:lineRule="exact"/>
        <w:rPr>
          <w:rFonts w:ascii="宋体" w:cs="宋体"/>
          <w:sz w:val="28"/>
          <w:szCs w:val="28"/>
          <w:highlight w:val="none"/>
        </w:rPr>
      </w:pPr>
      <w:r>
        <w:rPr>
          <w:rFonts w:ascii="宋体" w:hAnsi="宋体" w:cs="宋体"/>
          <w:sz w:val="28"/>
          <w:szCs w:val="28"/>
          <w:highlight w:val="none"/>
        </w:rPr>
        <w:t xml:space="preserve">    </w:t>
      </w:r>
      <w:r>
        <w:rPr>
          <w:rFonts w:hint="eastAsia" w:ascii="宋体" w:hAnsi="宋体" w:cs="宋体"/>
          <w:sz w:val="28"/>
          <w:szCs w:val="28"/>
          <w:highlight w:val="none"/>
        </w:rPr>
        <w:t>总分＝商务部分得分</w:t>
      </w:r>
      <w:r>
        <w:rPr>
          <w:rFonts w:ascii="宋体" w:hAnsi="宋体" w:cs="宋体"/>
          <w:sz w:val="28"/>
          <w:szCs w:val="28"/>
          <w:highlight w:val="none"/>
        </w:rPr>
        <w:t>+</w:t>
      </w:r>
      <w:r>
        <w:rPr>
          <w:rFonts w:hint="eastAsia" w:ascii="宋体" w:hAnsi="宋体" w:cs="宋体"/>
          <w:sz w:val="28"/>
          <w:szCs w:val="28"/>
          <w:highlight w:val="none"/>
        </w:rPr>
        <w:t>技术部分得分</w:t>
      </w:r>
    </w:p>
    <w:p>
      <w:pPr>
        <w:spacing w:line="480" w:lineRule="exact"/>
        <w:ind w:firstLine="560"/>
        <w:rPr>
          <w:rFonts w:ascii="宋体" w:cs="宋体"/>
          <w:sz w:val="28"/>
          <w:szCs w:val="28"/>
          <w:highlight w:val="none"/>
        </w:rPr>
      </w:pPr>
      <w:r>
        <w:rPr>
          <w:rFonts w:hint="eastAsia" w:ascii="宋体" w:hAnsi="宋体" w:cs="宋体"/>
          <w:sz w:val="28"/>
          <w:szCs w:val="28"/>
          <w:highlight w:val="none"/>
        </w:rPr>
        <w:t>注：各项指标的分数计算四舍五入，取小数点后两位。</w:t>
      </w:r>
    </w:p>
    <w:p>
      <w:pPr>
        <w:pStyle w:val="4"/>
        <w:spacing w:before="0" w:after="0" w:line="480" w:lineRule="exact"/>
        <w:rPr>
          <w:b/>
          <w:highlight w:val="none"/>
        </w:rPr>
      </w:pPr>
      <w:bookmarkStart w:id="542" w:name="_Toc2613"/>
      <w:bookmarkStart w:id="543" w:name="_Toc18027"/>
      <w:bookmarkStart w:id="544" w:name="_Toc9696"/>
      <w:bookmarkStart w:id="545" w:name="_Toc31078"/>
      <w:bookmarkStart w:id="546" w:name="_Toc2727"/>
      <w:bookmarkStart w:id="547" w:name="_Toc26842"/>
      <w:bookmarkStart w:id="548" w:name="_Toc471482376"/>
      <w:bookmarkStart w:id="549" w:name="_Toc23358"/>
      <w:bookmarkStart w:id="550" w:name="_Toc2553"/>
      <w:bookmarkStart w:id="551" w:name="_Toc2392"/>
      <w:bookmarkStart w:id="552" w:name="_Toc13406"/>
      <w:bookmarkStart w:id="553" w:name="_Toc28207"/>
      <w:bookmarkStart w:id="554" w:name="_Toc10906"/>
      <w:bookmarkStart w:id="555" w:name="_Toc32296"/>
      <w:bookmarkStart w:id="556" w:name="_Toc5094"/>
      <w:bookmarkStart w:id="557" w:name="_Toc10918"/>
      <w:bookmarkStart w:id="558" w:name="_Toc15930"/>
      <w:bookmarkStart w:id="559" w:name="_Toc25894"/>
      <w:r>
        <w:rPr>
          <w:rFonts w:hint="eastAsia"/>
          <w:b/>
          <w:highlight w:val="none"/>
        </w:rPr>
        <w:t>三、评分细则</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13"/>
        <w:spacing w:line="480" w:lineRule="exact"/>
        <w:rPr>
          <w:sz w:val="28"/>
          <w:szCs w:val="28"/>
          <w:highlight w:val="none"/>
        </w:rPr>
      </w:pPr>
      <w:bookmarkStart w:id="560" w:name="_Toc18752"/>
      <w:bookmarkStart w:id="561" w:name="_Toc1358"/>
      <w:bookmarkStart w:id="562" w:name="_Toc15382"/>
      <w:r>
        <w:rPr>
          <w:sz w:val="28"/>
          <w:szCs w:val="28"/>
          <w:highlight w:val="none"/>
        </w:rPr>
        <w:t>1.</w:t>
      </w:r>
      <w:r>
        <w:rPr>
          <w:rFonts w:hint="eastAsia"/>
          <w:sz w:val="28"/>
          <w:szCs w:val="28"/>
          <w:highlight w:val="none"/>
        </w:rPr>
        <w:t>商务部分评分细则（满分</w:t>
      </w:r>
      <w:r>
        <w:rPr>
          <w:sz w:val="28"/>
          <w:szCs w:val="28"/>
          <w:highlight w:val="none"/>
        </w:rPr>
        <w:t>20</w:t>
      </w:r>
      <w:r>
        <w:rPr>
          <w:rFonts w:hint="eastAsia"/>
          <w:sz w:val="28"/>
          <w:szCs w:val="28"/>
          <w:highlight w:val="none"/>
        </w:rPr>
        <w:t>分）</w:t>
      </w:r>
      <w:bookmarkEnd w:id="560"/>
      <w:bookmarkEnd w:id="561"/>
      <w:bookmarkEnd w:id="562"/>
    </w:p>
    <w:tbl>
      <w:tblPr>
        <w:tblStyle w:val="2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kern w:val="0"/>
                <w:sz w:val="24"/>
                <w:highlight w:val="none"/>
              </w:rPr>
            </w:pPr>
            <w:r>
              <w:rPr>
                <w:rFonts w:hint="eastAsia" w:ascii="宋体" w:hAnsi="宋体" w:cs="宋体"/>
                <w:kern w:val="0"/>
                <w:sz w:val="24"/>
                <w:highlight w:val="none"/>
              </w:rPr>
              <w:t>序号</w:t>
            </w:r>
          </w:p>
        </w:tc>
        <w:tc>
          <w:tcPr>
            <w:tcW w:w="3260" w:type="dxa"/>
            <w:vAlign w:val="center"/>
          </w:tcPr>
          <w:p>
            <w:pPr>
              <w:jc w:val="center"/>
              <w:rPr>
                <w:rFonts w:ascii="宋体" w:cs="宋体"/>
                <w:sz w:val="24"/>
                <w:highlight w:val="none"/>
              </w:rPr>
            </w:pPr>
            <w:r>
              <w:rPr>
                <w:rFonts w:hint="eastAsia" w:ascii="宋体" w:hAnsi="宋体" w:cs="宋体"/>
                <w:kern w:val="0"/>
                <w:sz w:val="24"/>
                <w:highlight w:val="none"/>
              </w:rPr>
              <w:t>评分因素</w:t>
            </w:r>
          </w:p>
        </w:tc>
        <w:tc>
          <w:tcPr>
            <w:tcW w:w="5358" w:type="dxa"/>
            <w:vAlign w:val="center"/>
          </w:tcPr>
          <w:p>
            <w:pPr>
              <w:jc w:val="center"/>
              <w:rPr>
                <w:rFonts w:ascii="宋体" w:cs="宋体"/>
                <w:sz w:val="24"/>
                <w:highlight w:val="none"/>
              </w:rPr>
            </w:pPr>
            <w:r>
              <w:rPr>
                <w:rFonts w:hint="eastAsia" w:ascii="宋体" w:hAnsi="宋体" w:cs="宋体"/>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cs="宋体"/>
                <w:sz w:val="24"/>
                <w:highlight w:val="none"/>
              </w:rPr>
            </w:pPr>
            <w:r>
              <w:rPr>
                <w:rFonts w:ascii="宋体" w:hAnsi="宋体" w:cs="宋体"/>
                <w:kern w:val="0"/>
                <w:sz w:val="24"/>
                <w:highlight w:val="none"/>
              </w:rPr>
              <w:t>1</w:t>
            </w:r>
          </w:p>
        </w:tc>
        <w:tc>
          <w:tcPr>
            <w:tcW w:w="3260" w:type="dxa"/>
            <w:vAlign w:val="center"/>
          </w:tcPr>
          <w:p>
            <w:pPr>
              <w:jc w:val="center"/>
              <w:rPr>
                <w:rFonts w:ascii="宋体" w:cs="宋体"/>
                <w:kern w:val="0"/>
                <w:sz w:val="24"/>
                <w:highlight w:val="none"/>
              </w:rPr>
            </w:pPr>
            <w:r>
              <w:rPr>
                <w:rFonts w:hint="eastAsia" w:ascii="宋体" w:hAnsi="宋体" w:cs="宋体"/>
                <w:kern w:val="0"/>
                <w:sz w:val="24"/>
                <w:highlight w:val="none"/>
              </w:rPr>
              <w:t>本项目报价评分</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20</w:t>
            </w:r>
            <w:r>
              <w:rPr>
                <w:rFonts w:hint="eastAsia" w:ascii="宋体" w:hAnsi="宋体" w:cs="宋体"/>
                <w:kern w:val="0"/>
                <w:sz w:val="24"/>
                <w:highlight w:val="none"/>
              </w:rPr>
              <w:t>分）</w:t>
            </w:r>
          </w:p>
        </w:tc>
        <w:tc>
          <w:tcPr>
            <w:tcW w:w="5358" w:type="dxa"/>
            <w:vAlign w:val="center"/>
          </w:tcPr>
          <w:p>
            <w:pPr>
              <w:ind w:firstLine="482" w:firstLineChars="200"/>
              <w:jc w:val="left"/>
              <w:rPr>
                <w:rFonts w:ascii="宋体"/>
                <w:b/>
                <w:kern w:val="0"/>
                <w:sz w:val="24"/>
                <w:highlight w:val="none"/>
              </w:rPr>
            </w:pPr>
            <w:r>
              <w:rPr>
                <w:rFonts w:hint="eastAsia" w:ascii="宋体" w:hAnsi="宋体"/>
                <w:b/>
                <w:kern w:val="0"/>
                <w:sz w:val="24"/>
                <w:highlight w:val="none"/>
              </w:rPr>
              <w:t>比选申请人价格大于上控价时比选申请文件作无效处理。</w:t>
            </w:r>
          </w:p>
          <w:p>
            <w:pPr>
              <w:ind w:firstLine="480" w:firstLineChars="200"/>
              <w:jc w:val="left"/>
              <w:rPr>
                <w:rFonts w:ascii="宋体"/>
                <w:sz w:val="24"/>
                <w:highlight w:val="none"/>
              </w:rPr>
            </w:pPr>
            <w:r>
              <w:rPr>
                <w:rFonts w:hint="eastAsia" w:ascii="宋体" w:hAnsi="宋体"/>
                <w:kern w:val="0"/>
                <w:sz w:val="24"/>
                <w:highlight w:val="none"/>
              </w:rPr>
              <w:t>当比选申请人价格小于或者等于上控价时，资格审查合格的有效报价投标人在</w:t>
            </w:r>
            <w:r>
              <w:rPr>
                <w:rFonts w:ascii="宋体" w:hAnsi="宋体"/>
                <w:kern w:val="0"/>
                <w:sz w:val="24"/>
                <w:highlight w:val="none"/>
              </w:rPr>
              <w:t>5</w:t>
            </w:r>
            <w:r>
              <w:rPr>
                <w:rFonts w:hint="eastAsia" w:ascii="宋体" w:hAnsi="宋体"/>
                <w:kern w:val="0"/>
                <w:sz w:val="24"/>
                <w:highlight w:val="none"/>
              </w:rPr>
              <w:t>家以上（不含</w:t>
            </w:r>
            <w:r>
              <w:rPr>
                <w:rFonts w:ascii="宋体" w:hAnsi="宋体"/>
                <w:kern w:val="0"/>
                <w:sz w:val="24"/>
                <w:highlight w:val="none"/>
              </w:rPr>
              <w:t>5</w:t>
            </w:r>
            <w:r>
              <w:rPr>
                <w:rFonts w:hint="eastAsia" w:ascii="宋体" w:hAnsi="宋体"/>
                <w:kern w:val="0"/>
                <w:sz w:val="24"/>
                <w:highlight w:val="none"/>
              </w:rPr>
              <w:t>家）的，将去掉最高和最低有效报价后，取有效报价的算术平均值作</w:t>
            </w:r>
            <w:r>
              <w:rPr>
                <w:rFonts w:hint="eastAsia" w:ascii="宋体" w:hAnsi="宋体"/>
                <w:sz w:val="24"/>
                <w:highlight w:val="none"/>
              </w:rPr>
              <w:t>为评审基准价；资格审查合格的投标人在</w:t>
            </w:r>
            <w:r>
              <w:rPr>
                <w:rFonts w:ascii="宋体" w:hAnsi="宋体"/>
                <w:sz w:val="24"/>
                <w:highlight w:val="none"/>
              </w:rPr>
              <w:t>5</w:t>
            </w:r>
            <w:r>
              <w:rPr>
                <w:rFonts w:hint="eastAsia" w:ascii="宋体" w:hAnsi="宋体"/>
                <w:sz w:val="24"/>
                <w:highlight w:val="none"/>
              </w:rPr>
              <w:t>家以下（含</w:t>
            </w:r>
            <w:r>
              <w:rPr>
                <w:rFonts w:ascii="宋体" w:hAnsi="宋体"/>
                <w:sz w:val="24"/>
                <w:highlight w:val="none"/>
              </w:rPr>
              <w:t>5</w:t>
            </w:r>
            <w:r>
              <w:rPr>
                <w:rFonts w:hint="eastAsia" w:ascii="宋体" w:hAnsi="宋体"/>
                <w:sz w:val="24"/>
                <w:highlight w:val="none"/>
              </w:rPr>
              <w:t>家）的，</w:t>
            </w:r>
            <w:r>
              <w:rPr>
                <w:rFonts w:hint="eastAsia" w:ascii="宋体" w:hAnsi="宋体"/>
                <w:kern w:val="0"/>
                <w:sz w:val="24"/>
                <w:highlight w:val="none"/>
              </w:rPr>
              <w:t>取有效报价的算术平均值作</w:t>
            </w:r>
            <w:r>
              <w:rPr>
                <w:rFonts w:hint="eastAsia" w:ascii="宋体" w:hAnsi="宋体"/>
                <w:sz w:val="24"/>
                <w:highlight w:val="none"/>
              </w:rPr>
              <w:t>为评审基准价。</w:t>
            </w:r>
            <w:r>
              <w:rPr>
                <w:rFonts w:ascii="宋体" w:hAnsi="宋体"/>
                <w:sz w:val="24"/>
                <w:highlight w:val="none"/>
              </w:rPr>
              <w:t xml:space="preserve"> </w:t>
            </w:r>
          </w:p>
          <w:p>
            <w:pPr>
              <w:ind w:firstLine="480" w:firstLineChars="200"/>
              <w:jc w:val="left"/>
              <w:rPr>
                <w:rFonts w:ascii="宋体"/>
                <w:sz w:val="24"/>
                <w:highlight w:val="none"/>
              </w:rPr>
            </w:pPr>
            <w:r>
              <w:rPr>
                <w:rFonts w:hint="eastAsia" w:ascii="宋体" w:hAnsi="宋体"/>
                <w:sz w:val="24"/>
                <w:highlight w:val="none"/>
              </w:rPr>
              <w:t>评审时以经评审的基准价为最高分，采用内插法计算，投标人报价每高于基准价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1</w:t>
            </w:r>
            <w:r>
              <w:rPr>
                <w:rFonts w:hint="eastAsia" w:ascii="宋体" w:hAnsi="宋体"/>
                <w:sz w:val="24"/>
                <w:highlight w:val="none"/>
              </w:rPr>
              <w:t>分</w:t>
            </w:r>
            <w:r>
              <w:rPr>
                <w:rFonts w:hint="eastAsia" w:ascii="宋体" w:hAnsi="宋体"/>
                <w:sz w:val="24"/>
                <w:highlight w:val="none"/>
              </w:rPr>
              <w:t>，每低于基准价</w:t>
            </w:r>
            <w:r>
              <w:rPr>
                <w:rFonts w:ascii="宋体" w:hAnsi="宋体"/>
                <w:sz w:val="24"/>
                <w:highlight w:val="none"/>
              </w:rPr>
              <w:t>1</w:t>
            </w:r>
            <w:r>
              <w:rPr>
                <w:rFonts w:hint="eastAsia" w:ascii="宋体" w:hAnsi="宋体"/>
                <w:sz w:val="24"/>
                <w:highlight w:val="none"/>
              </w:rPr>
              <w:t>％的扣</w:t>
            </w:r>
            <w:r>
              <w:rPr>
                <w:rFonts w:ascii="宋体" w:hAnsi="宋体"/>
                <w:sz w:val="24"/>
                <w:highlight w:val="none"/>
              </w:rPr>
              <w:t>0.5</w:t>
            </w:r>
            <w:r>
              <w:rPr>
                <w:rFonts w:hint="eastAsia" w:ascii="宋体" w:hAnsi="宋体"/>
                <w:sz w:val="24"/>
                <w:highlight w:val="none"/>
              </w:rPr>
              <w:t>分，扣完即止。</w:t>
            </w:r>
          </w:p>
        </w:tc>
      </w:tr>
    </w:tbl>
    <w:p>
      <w:pPr>
        <w:spacing w:line="500" w:lineRule="exact"/>
        <w:jc w:val="left"/>
        <w:rPr>
          <w:rFonts w:ascii="宋体" w:cs="宋体"/>
          <w:sz w:val="28"/>
          <w:szCs w:val="28"/>
          <w:highlight w:val="none"/>
          <w:u w:val="single"/>
        </w:rPr>
      </w:pPr>
      <w:r>
        <w:rPr>
          <w:rFonts w:hint="eastAsia" w:ascii="宋体" w:hAnsi="宋体" w:cs="宋体"/>
          <w:sz w:val="28"/>
          <w:szCs w:val="28"/>
          <w:highlight w:val="none"/>
          <w:u w:val="single"/>
        </w:rPr>
        <w:t>注：</w:t>
      </w:r>
      <w:r>
        <w:rPr>
          <w:rFonts w:ascii="宋体" w:hAnsi="宋体" w:cs="宋体"/>
          <w:sz w:val="28"/>
          <w:szCs w:val="28"/>
          <w:highlight w:val="none"/>
          <w:u w:val="single"/>
        </w:rPr>
        <w:t>1.</w:t>
      </w:r>
      <w:r>
        <w:rPr>
          <w:rFonts w:hint="eastAsia" w:ascii="仿宋_GB2312" w:hAnsi="宋体" w:eastAsia="仿宋_GB2312"/>
          <w:kern w:val="0"/>
          <w:sz w:val="28"/>
          <w:szCs w:val="28"/>
          <w:highlight w:val="none"/>
          <w:u w:val="single"/>
        </w:rPr>
        <w:t>按四舍五入取小数点后两位。</w:t>
      </w:r>
    </w:p>
    <w:p>
      <w:pPr>
        <w:spacing w:line="500" w:lineRule="exact"/>
        <w:ind w:firstLine="560" w:firstLineChars="200"/>
        <w:jc w:val="left"/>
        <w:rPr>
          <w:rFonts w:ascii="宋体" w:cs="宋体"/>
          <w:sz w:val="28"/>
          <w:szCs w:val="28"/>
          <w:highlight w:val="none"/>
          <w:u w:val="single"/>
        </w:rPr>
      </w:pPr>
      <w:r>
        <w:rPr>
          <w:rFonts w:ascii="宋体" w:hAnsi="宋体" w:cs="宋体"/>
          <w:sz w:val="28"/>
          <w:szCs w:val="28"/>
          <w:highlight w:val="none"/>
          <w:u w:val="single"/>
        </w:rPr>
        <w:t>2.</w:t>
      </w:r>
      <w:r>
        <w:rPr>
          <w:rFonts w:hint="eastAsia" w:ascii="宋体" w:hAnsi="宋体" w:cs="宋体"/>
          <w:sz w:val="28"/>
          <w:szCs w:val="28"/>
          <w:highlight w:val="none"/>
          <w:u w:val="single"/>
        </w:rPr>
        <w:t>以不含税报价作为评审基准价以及评分的确定依据。</w:t>
      </w:r>
    </w:p>
    <w:p>
      <w:pPr>
        <w:jc w:val="left"/>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技术部分评分细则（满分</w:t>
      </w:r>
      <w:r>
        <w:rPr>
          <w:rFonts w:ascii="宋体" w:hAnsi="宋体" w:cs="宋体"/>
          <w:sz w:val="28"/>
          <w:szCs w:val="28"/>
          <w:highlight w:val="none"/>
        </w:rPr>
        <w:t>80</w:t>
      </w:r>
      <w:r>
        <w:rPr>
          <w:rFonts w:hint="eastAsia" w:ascii="宋体" w:hAnsi="宋体" w:cs="宋体"/>
          <w:sz w:val="28"/>
          <w:szCs w:val="28"/>
          <w:highlight w:val="none"/>
        </w:rPr>
        <w:t>分）</w:t>
      </w:r>
    </w:p>
    <w:tbl>
      <w:tblPr>
        <w:tblStyle w:val="25"/>
        <w:tblW w:w="9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71"/>
        <w:gridCol w:w="4819"/>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jc w:val="center"/>
              <w:rPr>
                <w:rFonts w:ascii="宋体" w:cs="宋体"/>
                <w:sz w:val="24"/>
                <w:highlight w:val="none"/>
              </w:rPr>
            </w:pPr>
            <w:r>
              <w:rPr>
                <w:rFonts w:hint="eastAsia" w:ascii="宋体" w:hAnsi="宋体" w:cs="宋体"/>
                <w:sz w:val="24"/>
                <w:highlight w:val="none"/>
              </w:rPr>
              <w:t>序号</w:t>
            </w:r>
          </w:p>
        </w:tc>
        <w:tc>
          <w:tcPr>
            <w:tcW w:w="1871" w:type="dxa"/>
            <w:vAlign w:val="center"/>
          </w:tcPr>
          <w:p>
            <w:pPr>
              <w:jc w:val="center"/>
              <w:rPr>
                <w:rFonts w:ascii="宋体" w:cs="宋体"/>
                <w:sz w:val="24"/>
                <w:highlight w:val="none"/>
              </w:rPr>
            </w:pPr>
            <w:r>
              <w:rPr>
                <w:rFonts w:hint="eastAsia" w:ascii="宋体" w:hAnsi="宋体" w:cs="宋体"/>
                <w:sz w:val="24"/>
                <w:highlight w:val="none"/>
              </w:rPr>
              <w:t>评分因素</w:t>
            </w:r>
          </w:p>
        </w:tc>
        <w:tc>
          <w:tcPr>
            <w:tcW w:w="6775" w:type="dxa"/>
            <w:gridSpan w:val="2"/>
            <w:vAlign w:val="center"/>
          </w:tcPr>
          <w:p>
            <w:pPr>
              <w:jc w:val="center"/>
              <w:rPr>
                <w:rFonts w:ascii="宋体" w:cs="宋体"/>
                <w:sz w:val="24"/>
                <w:highlight w:val="none"/>
              </w:rPr>
            </w:pPr>
            <w:r>
              <w:rPr>
                <w:rFonts w:hint="eastAsia" w:ascii="宋体" w:hAnsi="宋体" w:cs="宋体"/>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ascii="宋体" w:cs="宋体"/>
                <w:kern w:val="0"/>
                <w:sz w:val="24"/>
                <w:highlight w:val="none"/>
              </w:rPr>
            </w:pPr>
            <w:r>
              <w:rPr>
                <w:rFonts w:ascii="宋体" w:hAnsi="宋体" w:cs="宋体"/>
                <w:kern w:val="0"/>
                <w:sz w:val="24"/>
                <w:highlight w:val="none"/>
              </w:rPr>
              <w:t>1</w:t>
            </w:r>
          </w:p>
        </w:tc>
        <w:tc>
          <w:tcPr>
            <w:tcW w:w="1871" w:type="dxa"/>
            <w:vAlign w:val="center"/>
          </w:tcPr>
          <w:p>
            <w:pPr>
              <w:jc w:val="center"/>
              <w:rPr>
                <w:rFonts w:ascii="宋体" w:cs="宋体"/>
                <w:kern w:val="0"/>
                <w:sz w:val="24"/>
                <w:highlight w:val="none"/>
              </w:rPr>
            </w:pPr>
            <w:r>
              <w:rPr>
                <w:rFonts w:hint="eastAsia" w:ascii="宋体" w:hAnsi="宋体" w:cs="宋体"/>
                <w:kern w:val="0"/>
                <w:sz w:val="24"/>
                <w:highlight w:val="none"/>
              </w:rPr>
              <w:t>业绩表</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 xml:space="preserve"> 2</w:t>
            </w:r>
            <w:r>
              <w:rPr>
                <w:rFonts w:ascii="宋体" w:cs="宋体"/>
                <w:kern w:val="0"/>
                <w:sz w:val="24"/>
                <w:highlight w:val="none"/>
              </w:rPr>
              <w:t>0</w:t>
            </w:r>
            <w:r>
              <w:rPr>
                <w:rFonts w:hint="eastAsia" w:ascii="宋体" w:hAnsi="宋体" w:cs="宋体"/>
                <w:kern w:val="0"/>
                <w:sz w:val="24"/>
                <w:highlight w:val="none"/>
              </w:rPr>
              <w:t>分）</w:t>
            </w:r>
          </w:p>
        </w:tc>
        <w:tc>
          <w:tcPr>
            <w:tcW w:w="6775" w:type="dxa"/>
            <w:gridSpan w:val="2"/>
            <w:vAlign w:val="center"/>
          </w:tcPr>
          <w:p>
            <w:pPr>
              <w:jc w:val="left"/>
              <w:rPr>
                <w:rFonts w:ascii="宋体" w:cs="宋体"/>
                <w:sz w:val="24"/>
                <w:highlight w:val="none"/>
              </w:rPr>
            </w:pPr>
            <w:r>
              <w:rPr>
                <w:rFonts w:ascii="宋体" w:hAnsi="宋体" w:cs="宋体"/>
                <w:sz w:val="24"/>
                <w:highlight w:val="none"/>
                <w:u w:val="single"/>
              </w:rPr>
              <w:t>2018</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日至今，对与本项目相关或相近的服务经验，以提供合同复印件（体现合同对方名称</w:t>
            </w:r>
            <w:r>
              <w:rPr>
                <w:rFonts w:ascii="宋体" w:hAnsi="宋体" w:cs="宋体"/>
                <w:sz w:val="24"/>
                <w:highlight w:val="none"/>
              </w:rPr>
              <w:t>/</w:t>
            </w:r>
            <w:r>
              <w:rPr>
                <w:rFonts w:hint="eastAsia" w:ascii="宋体" w:hAnsi="宋体" w:cs="宋体"/>
                <w:sz w:val="24"/>
                <w:highlight w:val="none"/>
              </w:rPr>
              <w:t>签订时间</w:t>
            </w:r>
            <w:r>
              <w:rPr>
                <w:rFonts w:ascii="宋体" w:hAnsi="宋体" w:cs="宋体"/>
                <w:sz w:val="24"/>
                <w:highlight w:val="none"/>
              </w:rPr>
              <w:t>/</w:t>
            </w:r>
            <w:r>
              <w:rPr>
                <w:rFonts w:hint="eastAsia" w:ascii="宋体" w:hAnsi="宋体" w:cs="宋体"/>
                <w:sz w:val="24"/>
                <w:highlight w:val="none"/>
              </w:rPr>
              <w:t>评价内容，涉及商业秘密的内容可以隐去）证明材料为准。不附评价内容或内容要求不明确的不算业绩，该项分值最高为</w:t>
            </w:r>
            <w:r>
              <w:rPr>
                <w:rFonts w:ascii="宋体" w:hAnsi="宋体" w:cs="宋体"/>
                <w:sz w:val="24"/>
                <w:highlight w:val="none"/>
              </w:rPr>
              <w:t>20</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相关或相近的服务经验定义为：企业内部控制评价的业绩，每个业绩</w:t>
            </w:r>
            <w:r>
              <w:rPr>
                <w:rFonts w:ascii="宋体" w:hAnsi="宋体" w:cs="宋体"/>
                <w:sz w:val="24"/>
                <w:highlight w:val="none"/>
              </w:rPr>
              <w:t>4</w:t>
            </w:r>
            <w:r>
              <w:rPr>
                <w:rFonts w:hint="eastAsia" w:ascii="宋体" w:hAnsi="宋体" w:cs="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2</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拟投入人员的相关工作业绩、资历及能力</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30</w:t>
            </w:r>
            <w:r>
              <w:rPr>
                <w:rFonts w:hint="eastAsia" w:ascii="宋体" w:hAnsi="宋体" w:cs="宋体"/>
                <w:kern w:val="0"/>
                <w:sz w:val="24"/>
                <w:highlight w:val="none"/>
              </w:rPr>
              <w:t>分）</w:t>
            </w:r>
          </w:p>
        </w:tc>
        <w:tc>
          <w:tcPr>
            <w:tcW w:w="4819" w:type="dxa"/>
            <w:vAlign w:val="center"/>
          </w:tcPr>
          <w:p>
            <w:pPr>
              <w:jc w:val="left"/>
              <w:rPr>
                <w:rFonts w:ascii="宋体" w:cs="宋体"/>
                <w:sz w:val="24"/>
                <w:highlight w:val="none"/>
              </w:rPr>
            </w:pPr>
            <w:r>
              <w:rPr>
                <w:rFonts w:hint="eastAsia"/>
                <w:sz w:val="24"/>
                <w:highlight w:val="none"/>
              </w:rPr>
              <w:t>项</w:t>
            </w:r>
            <w:r>
              <w:rPr>
                <w:rFonts w:hint="eastAsia" w:ascii="宋体" w:hAnsi="宋体"/>
                <w:sz w:val="24"/>
                <w:highlight w:val="none"/>
              </w:rPr>
              <w:t>目现场负责人</w:t>
            </w:r>
            <w:r>
              <w:rPr>
                <w:rFonts w:hint="eastAsia" w:ascii="宋体" w:hAnsi="宋体"/>
                <w:sz w:val="24"/>
                <w:highlight w:val="none"/>
                <w:u w:val="single"/>
              </w:rPr>
              <w:t>（项目现场负责人不予更换，否则终止合同）</w:t>
            </w:r>
            <w:r>
              <w:rPr>
                <w:rFonts w:hint="eastAsia" w:ascii="宋体" w:hAnsi="宋体"/>
                <w:sz w:val="24"/>
                <w:highlight w:val="none"/>
              </w:rPr>
              <w:t>持有注册会计师执业证书并具有</w:t>
            </w:r>
            <w:r>
              <w:rPr>
                <w:rFonts w:ascii="宋体" w:hAnsi="宋体"/>
                <w:sz w:val="24"/>
                <w:highlight w:val="none"/>
                <w:u w:val="single"/>
              </w:rPr>
              <w:t xml:space="preserve">  8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  16  </w:t>
            </w:r>
            <w:r>
              <w:rPr>
                <w:rFonts w:hint="eastAsia" w:ascii="宋体" w:hAnsi="宋体"/>
                <w:sz w:val="24"/>
                <w:highlight w:val="none"/>
              </w:rPr>
              <w:t>分；持有注册会计师执业证书并具有</w:t>
            </w:r>
            <w:r>
              <w:rPr>
                <w:rFonts w:ascii="宋体" w:hAnsi="宋体"/>
                <w:sz w:val="24"/>
                <w:highlight w:val="none"/>
                <w:u w:val="single"/>
              </w:rPr>
              <w:t xml:space="preserve">   5   </w:t>
            </w:r>
            <w:r>
              <w:rPr>
                <w:rFonts w:hint="eastAsia" w:ascii="宋体" w:hAnsi="宋体"/>
                <w:sz w:val="24"/>
                <w:highlight w:val="none"/>
              </w:rPr>
              <w:t>年（含）以上会计师事务所注册会计师执业工作经验得</w:t>
            </w:r>
            <w:r>
              <w:rPr>
                <w:rFonts w:ascii="宋体" w:hAnsi="宋体"/>
                <w:sz w:val="24"/>
                <w:highlight w:val="none"/>
                <w:u w:val="single"/>
              </w:rPr>
              <w:t xml:space="preserve">8 </w:t>
            </w:r>
            <w:r>
              <w:rPr>
                <w:rFonts w:hint="eastAsia" w:ascii="宋体" w:hAnsi="宋体"/>
                <w:sz w:val="24"/>
                <w:highlight w:val="none"/>
              </w:rPr>
              <w:t>分；其他为</w:t>
            </w:r>
            <w:r>
              <w:rPr>
                <w:rFonts w:ascii="宋体" w:hAnsi="宋体"/>
                <w:sz w:val="24"/>
                <w:highlight w:val="none"/>
              </w:rPr>
              <w:t>0</w:t>
            </w:r>
            <w:r>
              <w:rPr>
                <w:rFonts w:hint="eastAsia" w:ascii="宋体" w:hAnsi="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16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sz w:val="24"/>
                <w:highlight w:val="none"/>
              </w:rPr>
            </w:pPr>
            <w:r>
              <w:rPr>
                <w:rFonts w:hint="eastAsia" w:ascii="宋体" w:hAnsi="宋体" w:cs="宋体"/>
                <w:sz w:val="24"/>
                <w:highlight w:val="none"/>
              </w:rPr>
              <w:t>派到本项目现场负责人有本项目相关或相近的服务经验（</w:t>
            </w:r>
            <w:r>
              <w:rPr>
                <w:rFonts w:ascii="宋体" w:hAnsi="宋体"/>
                <w:sz w:val="24"/>
                <w:highlight w:val="none"/>
                <w:u w:val="single"/>
              </w:rPr>
              <w:t xml:space="preserve"> 2018  </w:t>
            </w:r>
            <w:r>
              <w:rPr>
                <w:rFonts w:hint="eastAsia" w:ascii="宋体" w:hAnsi="宋体" w:cs="宋体"/>
                <w:sz w:val="24"/>
                <w:highlight w:val="none"/>
              </w:rPr>
              <w:t>年</w:t>
            </w:r>
            <w:r>
              <w:rPr>
                <w:rFonts w:ascii="宋体" w:hAnsi="宋体" w:cs="宋体"/>
                <w:sz w:val="24"/>
                <w:highlight w:val="none"/>
              </w:rPr>
              <w:t>1</w:t>
            </w:r>
            <w:r>
              <w:rPr>
                <w:rFonts w:hint="eastAsia" w:ascii="宋体" w:hAnsi="宋体" w:cs="宋体"/>
                <w:sz w:val="24"/>
                <w:highlight w:val="none"/>
              </w:rPr>
              <w:t>月</w:t>
            </w:r>
            <w:r>
              <w:rPr>
                <w:rFonts w:ascii="宋体" w:hAnsi="宋体" w:cs="宋体"/>
                <w:sz w:val="24"/>
                <w:highlight w:val="none"/>
              </w:rPr>
              <w:t>1</w:t>
            </w:r>
            <w:r>
              <w:rPr>
                <w:rFonts w:hint="eastAsia" w:ascii="宋体" w:hAnsi="宋体" w:cs="宋体"/>
                <w:sz w:val="24"/>
                <w:highlight w:val="none"/>
              </w:rPr>
              <w:t>日至今），要求附上评价报告名称内容及签字页，否则不算业绩分，该项分值最高为</w:t>
            </w:r>
            <w:r>
              <w:rPr>
                <w:rFonts w:ascii="宋体" w:hAnsi="宋体"/>
                <w:sz w:val="24"/>
                <w:highlight w:val="none"/>
                <w:u w:val="single"/>
              </w:rPr>
              <w:t xml:space="preserve"> </w:t>
            </w:r>
            <w:r>
              <w:rPr>
                <w:rFonts w:ascii="宋体" w:hAnsi="宋体"/>
                <w:sz w:val="24"/>
                <w:highlight w:val="none"/>
                <w:u w:val="single"/>
              </w:rPr>
              <w:t xml:space="preserve"> 8  </w:t>
            </w:r>
            <w:r>
              <w:rPr>
                <w:rFonts w:hint="eastAsia" w:ascii="宋体" w:hAnsi="宋体" w:cs="宋体"/>
                <w:sz w:val="24"/>
                <w:highlight w:val="none"/>
              </w:rPr>
              <w:t>分。</w:t>
            </w:r>
            <w:r>
              <w:rPr>
                <w:rFonts w:ascii="宋体" w:hAnsi="宋体" w:cs="宋体"/>
                <w:sz w:val="24"/>
                <w:highlight w:val="none"/>
              </w:rPr>
              <w:t>(</w:t>
            </w:r>
            <w:r>
              <w:rPr>
                <w:rFonts w:hint="eastAsia" w:ascii="宋体" w:hAnsi="宋体" w:cs="宋体"/>
                <w:sz w:val="24"/>
                <w:highlight w:val="none"/>
              </w:rPr>
              <w:t>相关或相近的服务经验定义为</w:t>
            </w:r>
            <w:r>
              <w:rPr>
                <w:rFonts w:ascii="宋体" w:hAnsi="宋体" w:cs="宋体"/>
                <w:sz w:val="24"/>
                <w:highlight w:val="none"/>
              </w:rPr>
              <w:t>:)</w:t>
            </w:r>
            <w:r>
              <w:rPr>
                <w:rFonts w:hint="eastAsia" w:ascii="宋体" w:hAnsi="宋体" w:cs="宋体"/>
                <w:sz w:val="24"/>
                <w:highlight w:val="none"/>
              </w:rPr>
              <w:t>企业内部控制评价的业绩，每个业绩</w:t>
            </w:r>
            <w:r>
              <w:rPr>
                <w:rFonts w:ascii="宋体" w:hAnsi="宋体" w:cs="宋体"/>
                <w:sz w:val="24"/>
                <w:highlight w:val="none"/>
              </w:rPr>
              <w:t>4</w:t>
            </w:r>
            <w:r>
              <w:rPr>
                <w:rFonts w:hint="eastAsia" w:ascii="宋体" w:hAnsi="宋体" w:cs="宋体"/>
                <w:sz w:val="24"/>
                <w:highlight w:val="none"/>
              </w:rPr>
              <w:t>分</w:t>
            </w:r>
            <w:r>
              <w:rPr>
                <w:rFonts w:hint="eastAsia" w:ascii="宋体" w:hAnsi="宋体" w:cs="宋体"/>
                <w:sz w:val="24"/>
                <w:highlight w:val="none"/>
              </w:rPr>
              <w:t>。</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8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left"/>
              <w:rPr>
                <w:rFonts w:ascii="宋体" w:cs="宋体"/>
                <w:sz w:val="24"/>
                <w:highlight w:val="none"/>
              </w:rPr>
            </w:pPr>
            <w:r>
              <w:rPr>
                <w:rFonts w:hint="eastAsia" w:ascii="宋体" w:hAnsi="宋体" w:cs="宋体"/>
                <w:sz w:val="24"/>
                <w:highlight w:val="none"/>
              </w:rPr>
              <w:t>派到每个子项目的团队成员由</w:t>
            </w:r>
            <w:r>
              <w:rPr>
                <w:rFonts w:ascii="宋体" w:hAnsi="宋体"/>
                <w:sz w:val="24"/>
                <w:highlight w:val="none"/>
                <w:u w:val="single"/>
              </w:rPr>
              <w:t xml:space="preserve"> 3 </w:t>
            </w:r>
            <w:r>
              <w:rPr>
                <w:rFonts w:hint="eastAsia" w:ascii="宋体" w:hAnsi="宋体" w:cs="宋体"/>
                <w:sz w:val="24"/>
                <w:highlight w:val="none"/>
              </w:rPr>
              <w:t>人及以上正式员工组成的得分，其他为</w:t>
            </w:r>
            <w:r>
              <w:rPr>
                <w:rFonts w:ascii="宋体" w:hAnsi="宋体" w:cs="宋体"/>
                <w:sz w:val="24"/>
                <w:highlight w:val="none"/>
              </w:rPr>
              <w:t>0</w:t>
            </w:r>
            <w:r>
              <w:rPr>
                <w:rFonts w:hint="eastAsia" w:ascii="宋体" w:hAnsi="宋体" w:cs="宋体"/>
                <w:sz w:val="24"/>
                <w:highlight w:val="none"/>
              </w:rPr>
              <w:t>分。</w:t>
            </w:r>
          </w:p>
        </w:tc>
        <w:tc>
          <w:tcPr>
            <w:tcW w:w="1956" w:type="dxa"/>
            <w:vAlign w:val="center"/>
          </w:tcPr>
          <w:p>
            <w:pPr>
              <w:jc w:val="center"/>
              <w:rPr>
                <w:rFonts w:ascii="宋体" w:cs="宋体"/>
                <w:kern w:val="0"/>
                <w:sz w:val="24"/>
                <w:highlight w:val="none"/>
              </w:rPr>
            </w:pPr>
            <w:r>
              <w:rPr>
                <w:rFonts w:hint="eastAsia" w:ascii="宋体" w:hAnsi="宋体" w:cs="宋体"/>
                <w:kern w:val="0"/>
                <w:sz w:val="24"/>
                <w:highlight w:val="none"/>
              </w:rPr>
              <w:t>满分为</w:t>
            </w:r>
            <w:r>
              <w:rPr>
                <w:rFonts w:ascii="宋体" w:hAnsi="宋体" w:cs="宋体"/>
                <w:kern w:val="0"/>
                <w:sz w:val="24"/>
                <w:highlight w:val="none"/>
                <w:u w:val="single"/>
              </w:rPr>
              <w:t xml:space="preserve"> 6 </w:t>
            </w:r>
            <w:r>
              <w:rPr>
                <w:rFonts w:hint="eastAsia" w:ascii="宋体" w:hAns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restart"/>
            <w:vAlign w:val="center"/>
          </w:tcPr>
          <w:p>
            <w:pPr>
              <w:jc w:val="center"/>
              <w:rPr>
                <w:rFonts w:ascii="宋体" w:cs="宋体"/>
                <w:kern w:val="0"/>
                <w:sz w:val="24"/>
                <w:highlight w:val="none"/>
              </w:rPr>
            </w:pPr>
            <w:r>
              <w:rPr>
                <w:rFonts w:ascii="宋体" w:hAnsi="宋体" w:cs="宋体"/>
                <w:kern w:val="0"/>
                <w:sz w:val="24"/>
                <w:highlight w:val="none"/>
              </w:rPr>
              <w:t>3</w:t>
            </w:r>
          </w:p>
        </w:tc>
        <w:tc>
          <w:tcPr>
            <w:tcW w:w="1871" w:type="dxa"/>
            <w:vMerge w:val="restart"/>
            <w:vAlign w:val="center"/>
          </w:tcPr>
          <w:p>
            <w:pPr>
              <w:jc w:val="center"/>
              <w:rPr>
                <w:rFonts w:ascii="宋体" w:cs="宋体"/>
                <w:kern w:val="0"/>
                <w:sz w:val="24"/>
                <w:highlight w:val="none"/>
              </w:rPr>
            </w:pPr>
            <w:r>
              <w:rPr>
                <w:rFonts w:hint="eastAsia" w:ascii="宋体" w:hAnsi="宋体" w:cs="宋体"/>
                <w:kern w:val="0"/>
                <w:sz w:val="24"/>
                <w:highlight w:val="none"/>
              </w:rPr>
              <w:t>服务方案</w:t>
            </w:r>
          </w:p>
          <w:p>
            <w:pPr>
              <w:jc w:val="center"/>
              <w:rPr>
                <w:rFonts w:ascii="宋体" w:cs="宋体"/>
                <w:kern w:val="0"/>
                <w:sz w:val="24"/>
                <w:highlight w:val="none"/>
              </w:rPr>
            </w:pPr>
            <w:r>
              <w:rPr>
                <w:rFonts w:hint="eastAsia" w:ascii="宋体" w:hAnsi="宋体" w:cs="宋体"/>
                <w:kern w:val="0"/>
                <w:sz w:val="24"/>
                <w:highlight w:val="none"/>
              </w:rPr>
              <w:t>（满分</w:t>
            </w:r>
            <w:r>
              <w:rPr>
                <w:rFonts w:ascii="宋体" w:hAnsi="宋体" w:cs="宋体"/>
                <w:kern w:val="0"/>
                <w:sz w:val="24"/>
                <w:highlight w:val="none"/>
              </w:rPr>
              <w:t>30</w:t>
            </w:r>
            <w:r>
              <w:rPr>
                <w:rFonts w:hint="eastAsia" w:ascii="宋体" w:hAnsi="宋体" w:cs="宋体"/>
                <w:kern w:val="0"/>
                <w:sz w:val="24"/>
                <w:highlight w:val="none"/>
              </w:rPr>
              <w:t>分）</w:t>
            </w:r>
          </w:p>
          <w:p>
            <w:pPr>
              <w:jc w:val="center"/>
              <w:rPr>
                <w:rFonts w:ascii="宋体" w:cs="宋体"/>
                <w:kern w:val="0"/>
                <w:sz w:val="24"/>
                <w:highlight w:val="none"/>
              </w:rPr>
            </w:pPr>
            <w:r>
              <w:rPr>
                <w:rFonts w:hint="eastAsia" w:ascii="宋体" w:hAnsi="宋体" w:cs="宋体"/>
                <w:kern w:val="0"/>
                <w:sz w:val="24"/>
                <w:highlight w:val="none"/>
              </w:rPr>
              <w:t>（主要从服务态度、质量控制措施、进度控制措施等方面进行阐述。）</w:t>
            </w: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一般</w:t>
            </w:r>
          </w:p>
        </w:tc>
        <w:tc>
          <w:tcPr>
            <w:tcW w:w="1956" w:type="dxa"/>
            <w:vAlign w:val="center"/>
          </w:tcPr>
          <w:p>
            <w:pPr>
              <w:jc w:val="center"/>
              <w:rPr>
                <w:rFonts w:ascii="宋体" w:cs="宋体"/>
                <w:kern w:val="0"/>
                <w:sz w:val="24"/>
                <w:highlight w:val="none"/>
              </w:rPr>
            </w:pPr>
            <w:r>
              <w:rPr>
                <w:rFonts w:ascii="宋体" w:cs="宋体"/>
                <w:kern w:val="0"/>
                <w:sz w:val="24"/>
                <w:highlight w:val="none"/>
              </w:rPr>
              <w:t>0</w:t>
            </w:r>
            <w:r>
              <w:rPr>
                <w:rFonts w:hint="eastAsia"/>
                <w:highlight w:val="none"/>
              </w:rPr>
              <w:t>≤</w:t>
            </w:r>
            <w:r>
              <w:rPr>
                <w:rFonts w:ascii="宋体" w:hAnsi="宋体" w:cs="宋体"/>
                <w:kern w:val="0"/>
                <w:sz w:val="24"/>
                <w:highlight w:val="none"/>
              </w:rPr>
              <w:t>m</w:t>
            </w:r>
            <w:r>
              <w:rPr>
                <w:rFonts w:hint="eastAsia" w:ascii="宋体" w:hAnsi="宋体" w:cs="宋体"/>
                <w:kern w:val="0"/>
                <w:sz w:val="24"/>
                <w:highlight w:val="none"/>
              </w:rPr>
              <w:t>≦</w:t>
            </w:r>
            <w:r>
              <w:rPr>
                <w:rFonts w:ascii="宋体" w:hAnsi="宋体" w:cs="宋体"/>
                <w:kern w:val="0"/>
                <w:sz w:val="24"/>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良好</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18</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9" w:type="dxa"/>
            <w:vMerge w:val="continue"/>
            <w:vAlign w:val="center"/>
          </w:tcPr>
          <w:p>
            <w:pPr>
              <w:jc w:val="center"/>
              <w:rPr>
                <w:rFonts w:ascii="宋体" w:cs="宋体"/>
                <w:kern w:val="0"/>
                <w:sz w:val="24"/>
                <w:highlight w:val="none"/>
              </w:rPr>
            </w:pPr>
          </w:p>
        </w:tc>
        <w:tc>
          <w:tcPr>
            <w:tcW w:w="1871" w:type="dxa"/>
            <w:vMerge w:val="continue"/>
            <w:vAlign w:val="center"/>
          </w:tcPr>
          <w:p>
            <w:pPr>
              <w:jc w:val="center"/>
              <w:rPr>
                <w:rFonts w:ascii="宋体" w:cs="宋体"/>
                <w:kern w:val="0"/>
                <w:sz w:val="24"/>
                <w:highlight w:val="none"/>
              </w:rPr>
            </w:pPr>
          </w:p>
        </w:tc>
        <w:tc>
          <w:tcPr>
            <w:tcW w:w="4819" w:type="dxa"/>
            <w:vAlign w:val="center"/>
          </w:tcPr>
          <w:p>
            <w:pPr>
              <w:jc w:val="center"/>
              <w:rPr>
                <w:rFonts w:ascii="宋体" w:cs="宋体"/>
                <w:kern w:val="0"/>
                <w:sz w:val="24"/>
                <w:highlight w:val="none"/>
              </w:rPr>
            </w:pPr>
            <w:r>
              <w:rPr>
                <w:rFonts w:hint="eastAsia" w:ascii="宋体" w:hAnsi="宋体" w:cs="宋体"/>
                <w:kern w:val="0"/>
                <w:sz w:val="24"/>
                <w:highlight w:val="none"/>
              </w:rPr>
              <w:t>优秀</w:t>
            </w:r>
          </w:p>
        </w:tc>
        <w:tc>
          <w:tcPr>
            <w:tcW w:w="1956" w:type="dxa"/>
            <w:vAlign w:val="center"/>
          </w:tcPr>
          <w:p>
            <w:pPr>
              <w:jc w:val="center"/>
              <w:rPr>
                <w:rFonts w:ascii="宋体" w:cs="宋体"/>
                <w:kern w:val="0"/>
                <w:sz w:val="24"/>
                <w:highlight w:val="none"/>
              </w:rPr>
            </w:pPr>
            <w:r>
              <w:rPr>
                <w:rFonts w:ascii="宋体" w:hAnsi="宋体" w:cs="宋体"/>
                <w:kern w:val="0"/>
                <w:sz w:val="24"/>
                <w:highlight w:val="none"/>
              </w:rPr>
              <w:t>24</w:t>
            </w:r>
            <w:r>
              <w:rPr>
                <w:rFonts w:hint="eastAsia" w:ascii="宋体" w:hAnsi="宋体" w:cs="宋体"/>
                <w:kern w:val="0"/>
                <w:sz w:val="24"/>
                <w:highlight w:val="none"/>
              </w:rPr>
              <w:t>＜</w:t>
            </w:r>
            <w:r>
              <w:rPr>
                <w:rFonts w:ascii="宋体" w:hAnsi="宋体" w:cs="宋体"/>
                <w:kern w:val="0"/>
                <w:sz w:val="24"/>
                <w:highlight w:val="none"/>
              </w:rPr>
              <w:t>m</w:t>
            </w:r>
            <w:r>
              <w:rPr>
                <w:rFonts w:hint="eastAsia"/>
                <w:highlight w:val="none"/>
              </w:rPr>
              <w:t>≤</w:t>
            </w:r>
            <w:r>
              <w:rPr>
                <w:rFonts w:ascii="宋体" w:hAnsi="宋体" w:cs="宋体"/>
                <w:kern w:val="0"/>
                <w:sz w:val="24"/>
                <w:highlight w:val="none"/>
              </w:rPr>
              <w:t>30</w:t>
            </w:r>
          </w:p>
        </w:tc>
      </w:tr>
    </w:tbl>
    <w:p>
      <w:pPr>
        <w:pStyle w:val="4"/>
        <w:spacing w:before="0" w:after="0" w:line="480" w:lineRule="exact"/>
        <w:rPr>
          <w:rFonts w:ascii="宋体" w:cs="仿宋"/>
          <w:szCs w:val="28"/>
          <w:highlight w:val="none"/>
        </w:rPr>
      </w:pPr>
      <w:bookmarkStart w:id="563" w:name="_Toc27525"/>
      <w:bookmarkStart w:id="564" w:name="_Toc19395"/>
      <w:bookmarkStart w:id="565" w:name="_Toc32657"/>
      <w:bookmarkStart w:id="566" w:name="_Toc32310"/>
      <w:bookmarkStart w:id="567" w:name="_Toc14432"/>
      <w:bookmarkStart w:id="568" w:name="_Toc19365"/>
      <w:bookmarkStart w:id="569" w:name="_Toc471482377"/>
      <w:bookmarkStart w:id="570" w:name="_Toc27375"/>
      <w:bookmarkStart w:id="571" w:name="_Toc19593"/>
      <w:bookmarkStart w:id="572" w:name="_Toc13854"/>
      <w:bookmarkStart w:id="573" w:name="_Toc22367"/>
      <w:bookmarkStart w:id="574" w:name="_Toc15663"/>
      <w:bookmarkStart w:id="575" w:name="_Toc24296"/>
      <w:bookmarkStart w:id="576" w:name="_Toc7198"/>
      <w:bookmarkStart w:id="577" w:name="_Toc21685"/>
      <w:bookmarkStart w:id="578" w:name="_Toc17415"/>
      <w:bookmarkStart w:id="579" w:name="_Toc10183"/>
      <w:bookmarkStart w:id="580" w:name="_Toc28185"/>
      <w:r>
        <w:rPr>
          <w:rFonts w:hint="eastAsia" w:ascii="宋体" w:hAnsi="宋体" w:cs="仿宋"/>
          <w:szCs w:val="28"/>
          <w:highlight w:val="none"/>
        </w:rPr>
        <w:t>四、中选标准</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spacing w:line="480" w:lineRule="exact"/>
        <w:ind w:firstLine="560" w:firstLineChars="200"/>
        <w:rPr>
          <w:rFonts w:ascii="宋体" w:cs="仿宋"/>
          <w:sz w:val="28"/>
          <w:szCs w:val="28"/>
          <w:highlight w:val="none"/>
        </w:rPr>
      </w:pPr>
      <w:r>
        <w:rPr>
          <w:rFonts w:hint="eastAsia" w:ascii="宋体" w:hAnsi="宋体" w:cs="仿宋"/>
          <w:sz w:val="28"/>
          <w:szCs w:val="28"/>
          <w:highlight w:val="none"/>
        </w:rPr>
        <w:t>评审小组</w:t>
      </w:r>
      <w:r>
        <w:rPr>
          <w:rFonts w:hint="eastAsia" w:ascii="宋体" w:hAnsi="宋体" w:cs="仿宋"/>
          <w:sz w:val="28"/>
          <w:szCs w:val="28"/>
          <w:highlight w:val="none"/>
        </w:rPr>
        <w:t>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w:t>
      </w:r>
      <w:r>
        <w:rPr>
          <w:rFonts w:hint="eastAsia" w:ascii="宋体" w:hAnsi="宋体" w:cs="仿宋"/>
          <w:sz w:val="28"/>
          <w:szCs w:val="28"/>
          <w:highlight w:val="none"/>
        </w:rPr>
        <w:t>评审小组</w:t>
      </w:r>
      <w:r>
        <w:rPr>
          <w:rFonts w:hint="eastAsia" w:ascii="宋体" w:hAnsi="宋体" w:cs="仿宋"/>
          <w:sz w:val="28"/>
          <w:szCs w:val="28"/>
          <w:highlight w:val="none"/>
        </w:rPr>
        <w:t>提出的中选候选人名单排序依次确定其他中选候选人为中选人，也可以重新比选。</w:t>
      </w:r>
    </w:p>
    <w:p>
      <w:pPr>
        <w:pStyle w:val="13"/>
        <w:pageBreakBefore/>
        <w:widowControl/>
        <w:adjustRightInd/>
        <w:snapToGrid w:val="0"/>
        <w:spacing w:line="600" w:lineRule="exact"/>
        <w:jc w:val="center"/>
        <w:outlineLvl w:val="0"/>
        <w:rPr>
          <w:rStyle w:val="56"/>
          <w:rFonts w:ascii="宋体" w:hAnsi="宋体" w:eastAsia="宋体" w:cs="方正小标宋简体"/>
          <w:bCs/>
          <w:sz w:val="28"/>
          <w:szCs w:val="28"/>
          <w:highlight w:val="none"/>
        </w:rPr>
      </w:pPr>
      <w:bookmarkStart w:id="581" w:name="_Toc30897"/>
      <w:bookmarkStart w:id="582" w:name="_Toc13941"/>
      <w:bookmarkStart w:id="583" w:name="_Toc25061"/>
      <w:bookmarkStart w:id="584" w:name="_Toc12695"/>
      <w:bookmarkStart w:id="585" w:name="_Toc21321"/>
      <w:bookmarkStart w:id="586" w:name="_Toc28135"/>
      <w:bookmarkStart w:id="587" w:name="_Toc5010"/>
      <w:bookmarkStart w:id="588" w:name="_Toc328"/>
      <w:bookmarkStart w:id="589" w:name="_Toc12314"/>
      <w:bookmarkStart w:id="590" w:name="_Toc14566"/>
      <w:bookmarkStart w:id="591" w:name="_Toc18668"/>
      <w:bookmarkStart w:id="592" w:name="_Toc26468"/>
      <w:bookmarkStart w:id="593" w:name="_Toc8402"/>
      <w:bookmarkStart w:id="594" w:name="_Toc15858"/>
      <w:bookmarkStart w:id="595" w:name="_Toc31681"/>
      <w:bookmarkStart w:id="596" w:name="_Toc20298"/>
      <w:bookmarkStart w:id="597" w:name="_Toc6337"/>
      <w:bookmarkStart w:id="598" w:name="_Toc1144"/>
      <w:bookmarkStart w:id="599" w:name="_Toc16754"/>
      <w:bookmarkStart w:id="600" w:name="_Toc26446"/>
      <w:bookmarkStart w:id="601" w:name="_Toc14659"/>
      <w:bookmarkStart w:id="602" w:name="_Toc6454"/>
      <w:bookmarkStart w:id="603" w:name="_Toc28535"/>
      <w:bookmarkStart w:id="604" w:name="_Toc100643475"/>
      <w:bookmarkStart w:id="605" w:name="_Toc492478835"/>
      <w:bookmarkStart w:id="606" w:name="_Toc26741"/>
      <w:bookmarkStart w:id="607" w:name="_Toc26409"/>
      <w:bookmarkStart w:id="608" w:name="_Toc9597"/>
      <w:r>
        <w:rPr>
          <w:rStyle w:val="56"/>
          <w:rFonts w:hint="eastAsia" w:ascii="宋体" w:hAnsi="宋体" w:eastAsia="宋体" w:cs="方正小标宋简体"/>
          <w:bCs/>
          <w:sz w:val="28"/>
          <w:szCs w:val="28"/>
          <w:highlight w:val="none"/>
        </w:rPr>
        <w:t>第五章</w:t>
      </w:r>
      <w:r>
        <w:rPr>
          <w:rStyle w:val="56"/>
          <w:rFonts w:ascii="宋体" w:hAnsi="宋体" w:eastAsia="宋体" w:cs="方正小标宋简体"/>
          <w:bCs/>
          <w:sz w:val="28"/>
          <w:szCs w:val="28"/>
          <w:highlight w:val="none"/>
        </w:rPr>
        <w:t xml:space="preserve"> </w:t>
      </w:r>
      <w:r>
        <w:rPr>
          <w:rStyle w:val="56"/>
          <w:rFonts w:hint="eastAsia" w:ascii="宋体" w:hAnsi="宋体" w:eastAsia="宋体" w:cs="方正小标宋简体"/>
          <w:bCs/>
          <w:sz w:val="28"/>
          <w:szCs w:val="28"/>
          <w:highlight w:val="none"/>
        </w:rPr>
        <w:t>用户需求书</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numPr>
          <w:ilvl w:val="255"/>
          <w:numId w:val="0"/>
        </w:numPr>
        <w:snapToGrid w:val="0"/>
        <w:spacing w:line="240" w:lineRule="auto"/>
        <w:jc w:val="center"/>
        <w:textAlignment w:val="baseline"/>
        <w:rPr>
          <w:rFonts w:ascii="宋体" w:cs="仿宋"/>
          <w:b/>
          <w:color w:val="000000"/>
          <w:kern w:val="58"/>
          <w:sz w:val="18"/>
          <w:szCs w:val="18"/>
          <w:highlight w:val="none"/>
        </w:rPr>
      </w:pPr>
      <w:bookmarkStart w:id="609" w:name="_Toc72762753"/>
    </w:p>
    <w:p>
      <w:pPr>
        <w:widowControl/>
        <w:numPr>
          <w:ilvl w:val="255"/>
          <w:numId w:val="0"/>
        </w:numPr>
        <w:snapToGrid w:val="0"/>
        <w:spacing w:line="500" w:lineRule="exact"/>
        <w:ind w:firstLine="560" w:firstLineChars="200"/>
        <w:textAlignment w:val="baseline"/>
        <w:rPr>
          <w:rFonts w:ascii="仿宋" w:hAnsi="仿宋" w:eastAsia="仿宋" w:cs="仿宋"/>
          <w:b/>
          <w:color w:val="000000"/>
          <w:kern w:val="58"/>
          <w:sz w:val="28"/>
          <w:szCs w:val="28"/>
          <w:highlight w:val="none"/>
        </w:rPr>
      </w:pPr>
      <w:r>
        <w:rPr>
          <w:rFonts w:hint="eastAsia" w:ascii="黑体" w:hAnsi="黑体" w:eastAsia="黑体" w:cs="黑体"/>
          <w:bCs/>
          <w:color w:val="000000"/>
          <w:kern w:val="58"/>
          <w:sz w:val="28"/>
          <w:szCs w:val="28"/>
          <w:highlight w:val="none"/>
        </w:rPr>
        <w:t>一、技术需求及数量表</w:t>
      </w:r>
      <w:bookmarkEnd w:id="609"/>
    </w:p>
    <w:p>
      <w:pPr>
        <w:snapToGrid w:val="0"/>
        <w:spacing w:line="500" w:lineRule="exact"/>
        <w:ind w:firstLine="560" w:firstLineChars="20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（一）评价目标</w:t>
      </w:r>
    </w:p>
    <w:p>
      <w:pPr>
        <w:adjustRightInd w:val="0"/>
        <w:snapToGrid w:val="0"/>
        <w:spacing w:line="500" w:lineRule="exact"/>
        <w:ind w:firstLine="560" w:firstLineChars="2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根据《关于加强中央企业内部控制体系建设与监督工作的实施意见》《关于贯彻落实自治区国资委关于印发加强监管企业内部控制体系建设与监督工作实施意见的通知》《企业内部控制基本规范》《企业内部控制应用指引》及其他相关法律法规开展工作，对南宁轨道交通集团有限责任公司本部及</w:t>
      </w:r>
      <w:r>
        <w:rPr>
          <w:rFonts w:ascii="仿宋" w:hAnsi="仿宋" w:eastAsia="仿宋" w:cs="仿宋"/>
          <w:sz w:val="28"/>
          <w:szCs w:val="28"/>
          <w:highlight w:val="none"/>
        </w:rPr>
        <w:t>6</w:t>
      </w:r>
      <w:r>
        <w:rPr>
          <w:rFonts w:hint="eastAsia" w:ascii="仿宋" w:hAnsi="仿宋" w:eastAsia="仿宋" w:cs="仿宋"/>
          <w:sz w:val="28"/>
          <w:szCs w:val="28"/>
          <w:highlight w:val="none"/>
        </w:rPr>
        <w:t>家重要全资、控股子公司</w:t>
      </w:r>
      <w:r>
        <w:rPr>
          <w:rFonts w:ascii="仿宋" w:hAnsi="仿宋" w:eastAsia="仿宋" w:cs="仿宋"/>
          <w:sz w:val="28"/>
          <w:szCs w:val="28"/>
          <w:highlight w:val="none"/>
        </w:rPr>
        <w:t>2022</w:t>
      </w:r>
      <w:r>
        <w:rPr>
          <w:rFonts w:hint="eastAsia" w:ascii="仿宋" w:hAnsi="仿宋" w:eastAsia="仿宋" w:cs="仿宋"/>
          <w:sz w:val="28"/>
          <w:szCs w:val="28"/>
          <w:highlight w:val="none"/>
        </w:rPr>
        <w:t>年度内部控制情况作出客观公正、实事求是的评价，单独出具</w:t>
      </w:r>
      <w:r>
        <w:rPr>
          <w:rFonts w:ascii="仿宋" w:hAnsi="仿宋" w:eastAsia="仿宋" w:cs="仿宋"/>
          <w:sz w:val="28"/>
          <w:szCs w:val="28"/>
          <w:highlight w:val="none"/>
        </w:rPr>
        <w:t>2022</w:t>
      </w:r>
      <w:r>
        <w:rPr>
          <w:rFonts w:hint="eastAsia" w:ascii="仿宋" w:hAnsi="仿宋" w:eastAsia="仿宋" w:cs="仿宋"/>
          <w:sz w:val="28"/>
          <w:szCs w:val="28"/>
          <w:highlight w:val="none"/>
        </w:rPr>
        <w:t>年度南宁轨道交通集团有限责任公司本部内控自评价报告及南宁轨道交通建设有限公司、南宁轨道交通运营有限公司、南宁轨道地产集团有限责任公司、南宁铁路枢纽投资有限公司、南宁公共交通集团有限公司、南宁市市民卡信息服务有限责任公司</w:t>
      </w:r>
      <w:r>
        <w:rPr>
          <w:rFonts w:ascii="仿宋" w:hAnsi="仿宋" w:eastAsia="仿宋" w:cs="仿宋"/>
          <w:sz w:val="28"/>
          <w:szCs w:val="28"/>
          <w:highlight w:val="none"/>
        </w:rPr>
        <w:t>6</w:t>
      </w:r>
      <w:r>
        <w:rPr>
          <w:rFonts w:hint="eastAsia" w:ascii="仿宋" w:hAnsi="仿宋" w:eastAsia="仿宋" w:cs="仿宋"/>
          <w:sz w:val="28"/>
          <w:szCs w:val="28"/>
          <w:highlight w:val="none"/>
        </w:rPr>
        <w:t>家重要全资、控股子公司内控监督评价报告，并经南宁轨道交通集团有限责任公司审批通过。评价重点主要包括但不仅限于以下内容：</w:t>
      </w:r>
    </w:p>
    <w:p>
      <w:pPr>
        <w:adjustRightInd w:val="0"/>
        <w:snapToGrid w:val="0"/>
        <w:spacing w:line="500" w:lineRule="exact"/>
        <w:ind w:firstLine="562" w:firstLineChars="200"/>
        <w:textAlignment w:val="baseline"/>
        <w:rPr>
          <w:rFonts w:ascii="仿宋" w:hAnsi="仿宋" w:eastAsia="仿宋" w:cs="仿宋"/>
          <w:b/>
          <w:bCs/>
          <w:sz w:val="28"/>
          <w:szCs w:val="28"/>
          <w:highlight w:val="none"/>
        </w:rPr>
      </w:pPr>
      <w:r>
        <w:rPr>
          <w:rFonts w:ascii="仿宋" w:hAnsi="仿宋" w:eastAsia="仿宋" w:cs="仿宋"/>
          <w:b/>
          <w:bCs/>
          <w:sz w:val="28"/>
          <w:szCs w:val="28"/>
          <w:highlight w:val="none"/>
        </w:rPr>
        <w:t>1.</w:t>
      </w:r>
      <w:r>
        <w:rPr>
          <w:rFonts w:hint="eastAsia" w:ascii="仿宋" w:hAnsi="仿宋" w:eastAsia="仿宋" w:cs="仿宋"/>
          <w:b/>
          <w:bCs/>
          <w:sz w:val="28"/>
          <w:szCs w:val="28"/>
          <w:highlight w:val="none"/>
        </w:rPr>
        <w:t>内控体系建设情况</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1</w:t>
      </w:r>
      <w:r>
        <w:rPr>
          <w:rFonts w:hint="eastAsia" w:ascii="仿宋" w:hAnsi="仿宋" w:eastAsia="仿宋" w:cs="仿宋"/>
          <w:sz w:val="28"/>
          <w:szCs w:val="28"/>
          <w:highlight w:val="none"/>
        </w:rPr>
        <w:t>）内控体系是否建立健全；</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2</w:t>
      </w:r>
      <w:r>
        <w:rPr>
          <w:rFonts w:hint="eastAsia" w:ascii="仿宋" w:hAnsi="仿宋" w:eastAsia="仿宋" w:cs="仿宋"/>
          <w:sz w:val="28"/>
          <w:szCs w:val="28"/>
          <w:highlight w:val="none"/>
        </w:rPr>
        <w:t>）内部管控体制机制是否完善；</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3</w:t>
      </w:r>
      <w:r>
        <w:rPr>
          <w:rFonts w:hint="eastAsia" w:ascii="仿宋" w:hAnsi="仿宋" w:eastAsia="仿宋" w:cs="仿宋"/>
          <w:sz w:val="28"/>
          <w:szCs w:val="28"/>
          <w:highlight w:val="none"/>
        </w:rPr>
        <w:t>）内部管理制度体系是否完善，是否融合企业内控、风险和合规管理和相关要求；</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4</w:t>
      </w:r>
      <w:r>
        <w:rPr>
          <w:rFonts w:hint="eastAsia" w:ascii="仿宋" w:hAnsi="仿宋" w:eastAsia="仿宋" w:cs="仿宋"/>
          <w:sz w:val="28"/>
          <w:szCs w:val="28"/>
          <w:highlight w:val="none"/>
        </w:rPr>
        <w:t>）内控监督评价体系是否建立完善；</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5</w:t>
      </w:r>
      <w:r>
        <w:rPr>
          <w:rFonts w:hint="eastAsia" w:ascii="仿宋" w:hAnsi="仿宋" w:eastAsia="仿宋" w:cs="仿宋"/>
          <w:sz w:val="28"/>
          <w:szCs w:val="28"/>
          <w:highlight w:val="none"/>
        </w:rPr>
        <w:t>）风控文化建设是否到位。</w:t>
      </w:r>
    </w:p>
    <w:p>
      <w:pPr>
        <w:numPr>
          <w:ilvl w:val="255"/>
          <w:numId w:val="0"/>
        </w:numPr>
        <w:adjustRightInd w:val="0"/>
        <w:snapToGrid w:val="0"/>
        <w:spacing w:line="500" w:lineRule="exact"/>
        <w:ind w:firstLine="562" w:firstLineChars="200"/>
        <w:textAlignment w:val="baseline"/>
        <w:rPr>
          <w:rFonts w:ascii="仿宋" w:hAnsi="仿宋" w:eastAsia="仿宋" w:cs="仿宋"/>
          <w:b/>
          <w:bCs/>
          <w:sz w:val="28"/>
          <w:szCs w:val="28"/>
          <w:highlight w:val="none"/>
        </w:rPr>
      </w:pPr>
      <w:r>
        <w:rPr>
          <w:rFonts w:ascii="仿宋" w:hAnsi="仿宋" w:eastAsia="仿宋" w:cs="仿宋"/>
          <w:b/>
          <w:bCs/>
          <w:sz w:val="28"/>
          <w:szCs w:val="28"/>
          <w:highlight w:val="none"/>
        </w:rPr>
        <w:t>2.</w:t>
      </w:r>
      <w:r>
        <w:rPr>
          <w:rFonts w:hint="eastAsia" w:ascii="仿宋" w:hAnsi="仿宋" w:eastAsia="仿宋" w:cs="仿宋"/>
          <w:b/>
          <w:bCs/>
          <w:sz w:val="28"/>
          <w:szCs w:val="28"/>
          <w:highlight w:val="none"/>
        </w:rPr>
        <w:t>内控体系执行情况</w:t>
      </w:r>
    </w:p>
    <w:p>
      <w:pPr>
        <w:numPr>
          <w:ilvl w:val="255"/>
          <w:numId w:val="0"/>
        </w:num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1</w:t>
      </w:r>
      <w:r>
        <w:rPr>
          <w:rFonts w:hint="eastAsia" w:ascii="仿宋" w:hAnsi="仿宋" w:eastAsia="仿宋" w:cs="仿宋"/>
          <w:sz w:val="28"/>
          <w:szCs w:val="28"/>
          <w:highlight w:val="none"/>
        </w:rPr>
        <w:t>）重点领域日常管控是否完整、全面控制、执行有效；</w:t>
      </w:r>
    </w:p>
    <w:p>
      <w:pPr>
        <w:numPr>
          <w:ilvl w:val="255"/>
          <w:numId w:val="0"/>
        </w:num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2</w:t>
      </w:r>
      <w:r>
        <w:rPr>
          <w:rFonts w:hint="eastAsia" w:ascii="仿宋" w:hAnsi="仿宋" w:eastAsia="仿宋" w:cs="仿宋"/>
          <w:sz w:val="28"/>
          <w:szCs w:val="28"/>
          <w:highlight w:val="none"/>
        </w:rPr>
        <w:t>）重要岗位授权管理和权力制衡是否合理，不相容岗位职责是否相分离；</w:t>
      </w:r>
    </w:p>
    <w:p>
      <w:pPr>
        <w:numPr>
          <w:ilvl w:val="255"/>
          <w:numId w:val="0"/>
        </w:numPr>
        <w:adjustRightInd w:val="0"/>
        <w:snapToGrid w:val="0"/>
        <w:spacing w:line="500" w:lineRule="exact"/>
        <w:ind w:firstLine="280" w:firstLineChars="10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3</w:t>
      </w:r>
      <w:r>
        <w:rPr>
          <w:rFonts w:hint="eastAsia" w:ascii="仿宋" w:hAnsi="仿宋" w:eastAsia="仿宋" w:cs="仿宋"/>
          <w:sz w:val="28"/>
          <w:szCs w:val="28"/>
          <w:highlight w:val="none"/>
        </w:rPr>
        <w:t>）重大风险防控体系是否健全完善，是否制定风险应对方案及应急预案；</w:t>
      </w:r>
    </w:p>
    <w:p>
      <w:pPr>
        <w:numPr>
          <w:ilvl w:val="255"/>
          <w:numId w:val="0"/>
        </w:num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4</w:t>
      </w:r>
      <w:r>
        <w:rPr>
          <w:rFonts w:hint="eastAsia" w:ascii="仿宋" w:hAnsi="仿宋" w:eastAsia="仿宋" w:cs="仿宋"/>
          <w:sz w:val="28"/>
          <w:szCs w:val="28"/>
          <w:highlight w:val="none"/>
        </w:rPr>
        <w:t>）关键风险指标是否存在异常波动。</w:t>
      </w:r>
    </w:p>
    <w:p>
      <w:pPr>
        <w:adjustRightInd w:val="0"/>
        <w:snapToGrid w:val="0"/>
        <w:spacing w:line="500" w:lineRule="exact"/>
        <w:ind w:firstLine="562" w:firstLineChars="200"/>
        <w:textAlignment w:val="baseline"/>
        <w:rPr>
          <w:rFonts w:ascii="仿宋" w:hAnsi="仿宋" w:eastAsia="仿宋" w:cs="仿宋"/>
          <w:b/>
          <w:bCs/>
          <w:sz w:val="28"/>
          <w:szCs w:val="28"/>
          <w:highlight w:val="none"/>
        </w:rPr>
      </w:pPr>
      <w:r>
        <w:rPr>
          <w:rFonts w:ascii="仿宋" w:hAnsi="仿宋" w:eastAsia="仿宋" w:cs="仿宋"/>
          <w:b/>
          <w:bCs/>
          <w:sz w:val="28"/>
          <w:szCs w:val="28"/>
          <w:highlight w:val="none"/>
        </w:rPr>
        <w:t>3.</w:t>
      </w:r>
      <w:r>
        <w:rPr>
          <w:rFonts w:hint="eastAsia" w:ascii="仿宋" w:hAnsi="仿宋" w:eastAsia="仿宋" w:cs="仿宋"/>
          <w:b/>
          <w:bCs/>
          <w:sz w:val="28"/>
          <w:szCs w:val="28"/>
          <w:highlight w:val="none"/>
        </w:rPr>
        <w:t>内控信息化情况</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1</w:t>
      </w:r>
      <w:r>
        <w:rPr>
          <w:rFonts w:hint="eastAsia" w:ascii="仿宋" w:hAnsi="仿宋" w:eastAsia="仿宋" w:cs="仿宋"/>
          <w:sz w:val="28"/>
          <w:szCs w:val="28"/>
          <w:highlight w:val="none"/>
        </w:rPr>
        <w:t>）信息系统建设是否建立健全；</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2</w:t>
      </w:r>
      <w:r>
        <w:rPr>
          <w:rFonts w:hint="eastAsia" w:ascii="仿宋" w:hAnsi="仿宋" w:eastAsia="仿宋" w:cs="仿宋"/>
          <w:sz w:val="28"/>
          <w:szCs w:val="28"/>
          <w:highlight w:val="none"/>
        </w:rPr>
        <w:t>）内控信息化与业务信息系统是否有效对接，并将内控体系管控措施嵌入各类业务系统；</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3</w:t>
      </w:r>
      <w:r>
        <w:rPr>
          <w:rFonts w:hint="eastAsia" w:ascii="仿宋" w:hAnsi="仿宋" w:eastAsia="仿宋" w:cs="仿宋"/>
          <w:sz w:val="28"/>
          <w:szCs w:val="28"/>
          <w:highlight w:val="none"/>
        </w:rPr>
        <w:t>）智能监管风险预警是否固化至信息系统。</w:t>
      </w:r>
    </w:p>
    <w:p>
      <w:pPr>
        <w:adjustRightInd w:val="0"/>
        <w:snapToGrid w:val="0"/>
        <w:spacing w:line="500" w:lineRule="exact"/>
        <w:ind w:firstLine="562" w:firstLineChars="200"/>
        <w:textAlignment w:val="baseline"/>
        <w:rPr>
          <w:rFonts w:ascii="仿宋" w:hAnsi="仿宋" w:eastAsia="仿宋" w:cs="仿宋"/>
          <w:b/>
          <w:bCs/>
          <w:sz w:val="28"/>
          <w:szCs w:val="28"/>
          <w:highlight w:val="none"/>
        </w:rPr>
      </w:pPr>
      <w:r>
        <w:rPr>
          <w:rFonts w:ascii="仿宋" w:hAnsi="仿宋" w:eastAsia="仿宋" w:cs="仿宋"/>
          <w:b/>
          <w:bCs/>
          <w:sz w:val="28"/>
          <w:szCs w:val="28"/>
          <w:highlight w:val="none"/>
        </w:rPr>
        <w:t>4.</w:t>
      </w:r>
      <w:r>
        <w:rPr>
          <w:rFonts w:hint="eastAsia" w:ascii="仿宋" w:hAnsi="仿宋" w:eastAsia="仿宋" w:cs="仿宋"/>
          <w:b/>
          <w:bCs/>
          <w:sz w:val="28"/>
          <w:szCs w:val="28"/>
          <w:highlight w:val="none"/>
        </w:rPr>
        <w:t>内控体监督评价情况</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1</w:t>
      </w:r>
      <w:r>
        <w:rPr>
          <w:rFonts w:hint="eastAsia" w:ascii="仿宋" w:hAnsi="仿宋" w:eastAsia="仿宋" w:cs="仿宋"/>
          <w:sz w:val="28"/>
          <w:szCs w:val="28"/>
          <w:highlight w:val="none"/>
        </w:rPr>
        <w:t>）企业自评是否有序规范开展，客观、真实、准确揭示经营管理中存在的内控缺陷、风险和合规问题进行全面自评，形成自评报告；</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2</w:t>
      </w:r>
      <w:r>
        <w:rPr>
          <w:rFonts w:hint="eastAsia" w:ascii="仿宋" w:hAnsi="仿宋" w:eastAsia="仿宋" w:cs="仿宋"/>
          <w:sz w:val="28"/>
          <w:szCs w:val="28"/>
          <w:highlight w:val="none"/>
        </w:rPr>
        <w:t>）集团是否开展重要下属单位内控体系监督评价工作；</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3</w:t>
      </w:r>
      <w:r>
        <w:rPr>
          <w:rFonts w:hint="eastAsia" w:ascii="仿宋" w:hAnsi="仿宋" w:eastAsia="仿宋" w:cs="仿宋"/>
          <w:sz w:val="28"/>
          <w:szCs w:val="28"/>
          <w:highlight w:val="none"/>
        </w:rPr>
        <w:t>）是否聘请具有相应资质的社会中介机构对内控体系进行外部评价，包括对子公司可持续发展能力进行评价；</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4</w:t>
      </w:r>
      <w:r>
        <w:rPr>
          <w:rFonts w:hint="eastAsia" w:ascii="仿宋" w:hAnsi="仿宋" w:eastAsia="仿宋" w:cs="仿宋"/>
          <w:sz w:val="28"/>
          <w:szCs w:val="28"/>
          <w:highlight w:val="none"/>
        </w:rPr>
        <w:t>）整改监督是否落到实处，明确内控缺陷整改责任部门、责任人和完成时限，对整改效果进行检查评价；</w:t>
      </w:r>
    </w:p>
    <w:p>
      <w:p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5</w:t>
      </w:r>
      <w:r>
        <w:rPr>
          <w:rFonts w:hint="eastAsia" w:ascii="仿宋" w:hAnsi="仿宋" w:eastAsia="仿宋" w:cs="仿宋"/>
          <w:sz w:val="28"/>
          <w:szCs w:val="28"/>
          <w:highlight w:val="none"/>
        </w:rPr>
        <w:t>）是否严格执行内控体系考核机制。</w:t>
      </w:r>
    </w:p>
    <w:p>
      <w:pPr>
        <w:adjustRightInd w:val="0"/>
        <w:snapToGrid w:val="0"/>
        <w:spacing w:line="500" w:lineRule="exact"/>
        <w:ind w:firstLine="562" w:firstLineChars="200"/>
        <w:textAlignment w:val="baseline"/>
        <w:rPr>
          <w:rFonts w:ascii="仿宋" w:hAnsi="仿宋" w:eastAsia="仿宋" w:cs="仿宋"/>
          <w:b/>
          <w:bCs/>
          <w:sz w:val="28"/>
          <w:szCs w:val="28"/>
          <w:highlight w:val="none"/>
        </w:rPr>
      </w:pPr>
      <w:r>
        <w:rPr>
          <w:rFonts w:ascii="仿宋" w:hAnsi="仿宋" w:eastAsia="仿宋" w:cs="仿宋"/>
          <w:b/>
          <w:bCs/>
          <w:sz w:val="28"/>
          <w:szCs w:val="28"/>
          <w:highlight w:val="none"/>
        </w:rPr>
        <w:t>5.</w:t>
      </w:r>
      <w:r>
        <w:rPr>
          <w:rFonts w:hint="eastAsia" w:ascii="仿宋" w:hAnsi="仿宋" w:eastAsia="仿宋" w:cs="仿宋"/>
          <w:b/>
          <w:bCs/>
          <w:sz w:val="28"/>
          <w:szCs w:val="28"/>
          <w:highlight w:val="none"/>
        </w:rPr>
        <w:t>其他需要评价的内容。</w:t>
      </w:r>
    </w:p>
    <w:p>
      <w:pPr>
        <w:numPr>
          <w:ilvl w:val="255"/>
          <w:numId w:val="0"/>
        </w:numPr>
        <w:adjustRightInd w:val="0"/>
        <w:snapToGrid w:val="0"/>
        <w:spacing w:line="500" w:lineRule="exact"/>
        <w:ind w:firstLine="420" w:firstLineChars="150"/>
        <w:textAlignment w:val="baseline"/>
        <w:rPr>
          <w:rFonts w:ascii="仿宋" w:hAnsi="仿宋" w:eastAsia="仿宋" w:cs="仿宋"/>
          <w:sz w:val="28"/>
          <w:szCs w:val="28"/>
          <w:highlight w:val="none"/>
        </w:rPr>
      </w:pPr>
      <w:r>
        <w:rPr>
          <w:rFonts w:hint="eastAsia" w:ascii="仿宋" w:hAnsi="仿宋" w:eastAsia="仿宋" w:cs="仿宋"/>
          <w:sz w:val="28"/>
          <w:szCs w:val="28"/>
          <w:highlight w:val="none"/>
        </w:rPr>
        <w:t>（</w:t>
      </w:r>
      <w:r>
        <w:rPr>
          <w:rFonts w:ascii="仿宋" w:hAnsi="仿宋" w:eastAsia="仿宋" w:cs="仿宋"/>
          <w:sz w:val="28"/>
          <w:szCs w:val="28"/>
          <w:highlight w:val="none"/>
        </w:rPr>
        <w:t>1</w:t>
      </w:r>
      <w:r>
        <w:rPr>
          <w:rFonts w:hint="eastAsia" w:ascii="仿宋" w:hAnsi="仿宋" w:eastAsia="仿宋" w:cs="仿宋"/>
          <w:sz w:val="28"/>
          <w:szCs w:val="28"/>
          <w:highlight w:val="none"/>
        </w:rPr>
        <w:t>）子公司可持续发展能力评价。</w:t>
      </w:r>
    </w:p>
    <w:p>
      <w:pPr>
        <w:snapToGrid w:val="0"/>
        <w:spacing w:line="500" w:lineRule="exact"/>
        <w:ind w:firstLine="420" w:firstLineChars="150"/>
        <w:textAlignment w:val="baseline"/>
        <w:rPr>
          <w:rFonts w:ascii="楷体" w:hAnsi="楷体" w:eastAsia="楷体" w:cs="楷体"/>
          <w:sz w:val="28"/>
          <w:szCs w:val="28"/>
          <w:highlight w:val="none"/>
        </w:rPr>
      </w:pPr>
      <w:r>
        <w:rPr>
          <w:rFonts w:hint="eastAsia" w:ascii="楷体" w:hAnsi="楷体" w:eastAsia="楷体" w:cs="楷体"/>
          <w:sz w:val="28"/>
          <w:szCs w:val="28"/>
          <w:highlight w:val="none"/>
        </w:rPr>
        <w:t>（二）评价对象、范围和基准日</w:t>
      </w:r>
    </w:p>
    <w:p>
      <w:pPr>
        <w:snapToGrid w:val="0"/>
        <w:spacing w:line="500" w:lineRule="exact"/>
        <w:ind w:firstLine="562" w:firstLineChars="200"/>
        <w:textAlignment w:val="baseline"/>
        <w:rPr>
          <w:rFonts w:ascii="仿宋" w:hAnsi="仿宋" w:eastAsia="仿宋" w:cs="仿宋"/>
          <w:sz w:val="28"/>
          <w:szCs w:val="28"/>
          <w:highlight w:val="none"/>
        </w:rPr>
      </w:pPr>
      <w:r>
        <w:rPr>
          <w:rFonts w:hint="eastAsia" w:ascii="仿宋" w:hAnsi="仿宋" w:eastAsia="仿宋" w:cs="仿宋"/>
          <w:b/>
          <w:bCs/>
          <w:sz w:val="28"/>
          <w:szCs w:val="28"/>
          <w:highlight w:val="none"/>
        </w:rPr>
        <w:t>评价对象：</w:t>
      </w:r>
      <w:r>
        <w:rPr>
          <w:rFonts w:hint="eastAsia" w:ascii="仿宋" w:hAnsi="仿宋" w:eastAsia="仿宋" w:cs="仿宋"/>
          <w:sz w:val="28"/>
          <w:szCs w:val="28"/>
          <w:highlight w:val="none"/>
        </w:rPr>
        <w:t>南宁轨道交通集团有限责任公司、南宁轨道交通建设有限公司、南宁轨道交通运营有限公司、南宁轨道地产集团有限责任公司、南宁铁路枢纽投资有限公司、南宁公共交通集团有限公司、南宁市市民卡信息服务有限责任公司共</w:t>
      </w:r>
      <w:r>
        <w:rPr>
          <w:rFonts w:ascii="仿宋" w:hAnsi="仿宋" w:eastAsia="仿宋" w:cs="仿宋"/>
          <w:sz w:val="28"/>
          <w:szCs w:val="28"/>
          <w:highlight w:val="none"/>
        </w:rPr>
        <w:t>7</w:t>
      </w:r>
      <w:r>
        <w:rPr>
          <w:rFonts w:hint="eastAsia" w:ascii="仿宋" w:hAnsi="仿宋" w:eastAsia="仿宋" w:cs="仿宋"/>
          <w:sz w:val="28"/>
          <w:szCs w:val="28"/>
          <w:highlight w:val="none"/>
        </w:rPr>
        <w:t>家公司。</w:t>
      </w:r>
    </w:p>
    <w:p>
      <w:pPr>
        <w:snapToGrid w:val="0"/>
        <w:spacing w:line="500" w:lineRule="exact"/>
        <w:ind w:firstLine="562" w:firstLineChars="200"/>
        <w:textAlignment w:val="baseline"/>
        <w:rPr>
          <w:rFonts w:ascii="仿宋" w:hAnsi="仿宋" w:eastAsia="仿宋" w:cs="仿宋"/>
          <w:sz w:val="28"/>
          <w:szCs w:val="28"/>
          <w:highlight w:val="none"/>
        </w:rPr>
      </w:pPr>
      <w:r>
        <w:rPr>
          <w:rFonts w:hint="eastAsia" w:ascii="仿宋" w:hAnsi="仿宋" w:eastAsia="仿宋" w:cs="仿宋"/>
          <w:b/>
          <w:bCs/>
          <w:sz w:val="28"/>
          <w:szCs w:val="28"/>
          <w:highlight w:val="none"/>
        </w:rPr>
        <w:t>评价范围：</w:t>
      </w:r>
      <w:r>
        <w:rPr>
          <w:rFonts w:hint="eastAsia" w:ascii="仿宋" w:hAnsi="仿宋" w:eastAsia="仿宋" w:cs="仿宋"/>
          <w:sz w:val="28"/>
          <w:szCs w:val="28"/>
          <w:highlight w:val="none"/>
        </w:rPr>
        <w:t>包括财务报告和非财务报告相关的内部控制设计与运行的有效性情况。</w:t>
      </w:r>
    </w:p>
    <w:p>
      <w:pPr>
        <w:snapToGrid w:val="0"/>
        <w:spacing w:line="500" w:lineRule="exact"/>
        <w:ind w:firstLine="562" w:firstLineChars="200"/>
        <w:textAlignment w:val="baseline"/>
        <w:rPr>
          <w:rFonts w:ascii="仿宋" w:hAnsi="仿宋" w:eastAsia="仿宋" w:cs="仿宋"/>
          <w:sz w:val="28"/>
          <w:szCs w:val="28"/>
          <w:highlight w:val="none"/>
        </w:rPr>
      </w:pPr>
      <w:r>
        <w:rPr>
          <w:rFonts w:hint="eastAsia" w:ascii="仿宋" w:hAnsi="仿宋" w:eastAsia="仿宋" w:cs="仿宋"/>
          <w:b/>
          <w:bCs/>
          <w:sz w:val="28"/>
          <w:szCs w:val="28"/>
          <w:highlight w:val="none"/>
        </w:rPr>
        <w:t>评价基准日：</w:t>
      </w:r>
      <w:r>
        <w:rPr>
          <w:rFonts w:ascii="仿宋" w:hAnsi="仿宋" w:eastAsia="仿宋" w:cs="仿宋"/>
          <w:sz w:val="28"/>
          <w:szCs w:val="28"/>
          <w:highlight w:val="none"/>
        </w:rPr>
        <w:t>2022</w:t>
      </w:r>
      <w:r>
        <w:rPr>
          <w:rFonts w:hint="eastAsia" w:ascii="仿宋" w:hAnsi="仿宋" w:eastAsia="仿宋" w:cs="仿宋"/>
          <w:sz w:val="28"/>
          <w:szCs w:val="28"/>
          <w:highlight w:val="none"/>
        </w:rPr>
        <w:t>年</w:t>
      </w:r>
      <w:r>
        <w:rPr>
          <w:rFonts w:ascii="仿宋" w:hAnsi="仿宋" w:eastAsia="仿宋" w:cs="仿宋"/>
          <w:sz w:val="28"/>
          <w:szCs w:val="28"/>
          <w:highlight w:val="none"/>
        </w:rPr>
        <w:t>12</w:t>
      </w:r>
      <w:r>
        <w:rPr>
          <w:rFonts w:hint="eastAsia" w:ascii="仿宋" w:hAnsi="仿宋" w:eastAsia="仿宋" w:cs="仿宋"/>
          <w:sz w:val="28"/>
          <w:szCs w:val="28"/>
          <w:highlight w:val="none"/>
        </w:rPr>
        <w:t>月</w:t>
      </w:r>
      <w:r>
        <w:rPr>
          <w:rFonts w:ascii="仿宋" w:hAnsi="仿宋" w:eastAsia="仿宋" w:cs="仿宋"/>
          <w:sz w:val="28"/>
          <w:szCs w:val="28"/>
          <w:highlight w:val="none"/>
        </w:rPr>
        <w:t>31</w:t>
      </w:r>
      <w:r>
        <w:rPr>
          <w:rFonts w:hint="eastAsia" w:ascii="仿宋" w:hAnsi="仿宋" w:eastAsia="仿宋" w:cs="仿宋"/>
          <w:sz w:val="28"/>
          <w:szCs w:val="28"/>
          <w:highlight w:val="none"/>
        </w:rPr>
        <w:t>日作为本次年度内部控制评价报告的基准日。</w:t>
      </w: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00004FF" w:usb2="00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2.4pt;width:23.3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17</w:t>
                </w:r>
                <w:r>
                  <w:rPr>
                    <w:sz w:val="18"/>
                  </w:rPr>
                  <w:fldChar w:fldCharType="end"/>
                </w:r>
                <w:r>
                  <w:rPr>
                    <w:rFonts w:hint="eastAsia"/>
                    <w:sz w:val="18"/>
                  </w:rPr>
                  <w:t>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文本框5" o:spid="_x0000_s4098" o:spt="202" type="#_x0000_t202" style="position:absolute;left:0pt;margin-top:0pt;height:12.4pt;width:33.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第</w:t>
                </w:r>
                <w:r>
                  <w:rPr>
                    <w:sz w:val="18"/>
                  </w:rPr>
                  <w:fldChar w:fldCharType="begin"/>
                </w:r>
                <w:r>
                  <w:rPr>
                    <w:sz w:val="18"/>
                  </w:rPr>
                  <w:instrText xml:space="preserve"> PAGE  \* MERGEFORMAT </w:instrText>
                </w:r>
                <w:r>
                  <w:rPr>
                    <w:sz w:val="18"/>
                  </w:rPr>
                  <w:fldChar w:fldCharType="separate"/>
                </w:r>
                <w:r>
                  <w:t>41</w:t>
                </w:r>
                <w:r>
                  <w:rPr>
                    <w:sz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1715C"/>
    <w:multiLevelType w:val="singleLevel"/>
    <w:tmpl w:val="8B31715C"/>
    <w:lvl w:ilvl="0" w:tentative="0">
      <w:start w:val="1"/>
      <w:numFmt w:val="chineseCounting"/>
      <w:suff w:val="nothing"/>
      <w:lvlText w:val="%1、"/>
      <w:lvlJc w:val="left"/>
      <w:rPr>
        <w:rFonts w:hint="eastAsia" w:cs="Times New Roman"/>
      </w:rPr>
    </w:lvl>
  </w:abstractNum>
  <w:abstractNum w:abstractNumId="1">
    <w:nsid w:val="28C8FEF5"/>
    <w:multiLevelType w:val="singleLevel"/>
    <w:tmpl w:val="28C8FEF5"/>
    <w:lvl w:ilvl="0" w:tentative="0">
      <w:start w:val="9"/>
      <w:numFmt w:val="chineseCounting"/>
      <w:suff w:val="nothing"/>
      <w:lvlText w:val="%1、"/>
      <w:lvlJc w:val="left"/>
      <w:rPr>
        <w:rFonts w:hint="eastAsia" w:cs="Times New Roman"/>
      </w:rPr>
    </w:lvl>
  </w:abstractNum>
  <w:abstractNum w:abstractNumId="2">
    <w:nsid w:val="52ABEA66"/>
    <w:multiLevelType w:val="singleLevel"/>
    <w:tmpl w:val="52ABEA66"/>
    <w:lvl w:ilvl="0" w:tentative="0">
      <w:start w:val="3"/>
      <w:numFmt w:val="chineseCounting"/>
      <w:suff w:val="space"/>
      <w:lvlText w:val="第%1章"/>
      <w:lvlJc w:val="left"/>
      <w:rPr>
        <w:rFonts w:cs="Times New Roman"/>
      </w:rPr>
    </w:lvl>
  </w:abstractNum>
  <w:abstractNum w:abstractNumId="3">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rPr>
        <w:rFonts w:cs="Times New Roman"/>
      </w:rPr>
    </w:lvl>
    <w:lvl w:ilvl="2" w:tentative="0">
      <w:start w:val="1"/>
      <w:numFmt w:val="lowerRoman"/>
      <w:lvlText w:val="%3."/>
      <w:lvlJc w:val="right"/>
      <w:pPr>
        <w:ind w:left="1686" w:hanging="420"/>
      </w:pPr>
      <w:rPr>
        <w:rFonts w:cs="Times New Roman"/>
      </w:rPr>
    </w:lvl>
    <w:lvl w:ilvl="3" w:tentative="0">
      <w:start w:val="1"/>
      <w:numFmt w:val="decimal"/>
      <w:lvlText w:val="%4."/>
      <w:lvlJc w:val="left"/>
      <w:pPr>
        <w:ind w:left="2106" w:hanging="420"/>
      </w:pPr>
      <w:rPr>
        <w:rFonts w:cs="Times New Roman"/>
      </w:rPr>
    </w:lvl>
    <w:lvl w:ilvl="4" w:tentative="0">
      <w:start w:val="1"/>
      <w:numFmt w:val="lowerLetter"/>
      <w:lvlText w:val="%5)"/>
      <w:lvlJc w:val="left"/>
      <w:pPr>
        <w:ind w:left="2526" w:hanging="420"/>
      </w:pPr>
      <w:rPr>
        <w:rFonts w:cs="Times New Roman"/>
      </w:rPr>
    </w:lvl>
    <w:lvl w:ilvl="5" w:tentative="0">
      <w:start w:val="1"/>
      <w:numFmt w:val="lowerRoman"/>
      <w:lvlText w:val="%6."/>
      <w:lvlJc w:val="right"/>
      <w:pPr>
        <w:ind w:left="2946" w:hanging="420"/>
      </w:pPr>
      <w:rPr>
        <w:rFonts w:cs="Times New Roman"/>
      </w:rPr>
    </w:lvl>
    <w:lvl w:ilvl="6" w:tentative="0">
      <w:start w:val="1"/>
      <w:numFmt w:val="decimal"/>
      <w:lvlText w:val="%7."/>
      <w:lvlJc w:val="left"/>
      <w:pPr>
        <w:ind w:left="3366" w:hanging="420"/>
      </w:pPr>
      <w:rPr>
        <w:rFonts w:cs="Times New Roman"/>
      </w:rPr>
    </w:lvl>
    <w:lvl w:ilvl="7" w:tentative="0">
      <w:start w:val="1"/>
      <w:numFmt w:val="lowerLetter"/>
      <w:lvlText w:val="%8)"/>
      <w:lvlJc w:val="left"/>
      <w:pPr>
        <w:ind w:left="3786" w:hanging="420"/>
      </w:pPr>
      <w:rPr>
        <w:rFonts w:cs="Times New Roman"/>
      </w:rPr>
    </w:lvl>
    <w:lvl w:ilvl="8" w:tentative="0">
      <w:start w:val="1"/>
      <w:numFmt w:val="lowerRoman"/>
      <w:lvlText w:val="%9."/>
      <w:lvlJc w:val="right"/>
      <w:pPr>
        <w:ind w:left="4206"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M5ZGY3ZTY2MWU4OWQwMjdkNmRhZDA5OTA0YTA4ZWMifQ=="/>
    <w:docVar w:name="KSO_WPS_MARK_KEY" w:val="fb463319-963e-4835-b8a1-aa9826869839"/>
  </w:docVars>
  <w:rsids>
    <w:rsidRoot w:val="00172A27"/>
    <w:rsid w:val="00002B51"/>
    <w:rsid w:val="00004008"/>
    <w:rsid w:val="00004A25"/>
    <w:rsid w:val="00004D1D"/>
    <w:rsid w:val="00006245"/>
    <w:rsid w:val="00006C07"/>
    <w:rsid w:val="00006E49"/>
    <w:rsid w:val="00007092"/>
    <w:rsid w:val="00007885"/>
    <w:rsid w:val="00010DF1"/>
    <w:rsid w:val="00011A3B"/>
    <w:rsid w:val="00011A63"/>
    <w:rsid w:val="000121F0"/>
    <w:rsid w:val="000133ED"/>
    <w:rsid w:val="00013699"/>
    <w:rsid w:val="00013C92"/>
    <w:rsid w:val="000152A8"/>
    <w:rsid w:val="000158C4"/>
    <w:rsid w:val="00015BF7"/>
    <w:rsid w:val="00016D41"/>
    <w:rsid w:val="00016E1C"/>
    <w:rsid w:val="00017A1B"/>
    <w:rsid w:val="0002218A"/>
    <w:rsid w:val="000246E0"/>
    <w:rsid w:val="0002500A"/>
    <w:rsid w:val="00025256"/>
    <w:rsid w:val="000254A0"/>
    <w:rsid w:val="0002675F"/>
    <w:rsid w:val="00026993"/>
    <w:rsid w:val="00026FFC"/>
    <w:rsid w:val="00027E27"/>
    <w:rsid w:val="000318D8"/>
    <w:rsid w:val="00037691"/>
    <w:rsid w:val="000414D1"/>
    <w:rsid w:val="00042228"/>
    <w:rsid w:val="0004665C"/>
    <w:rsid w:val="00047299"/>
    <w:rsid w:val="000473D4"/>
    <w:rsid w:val="00047F27"/>
    <w:rsid w:val="00050E7F"/>
    <w:rsid w:val="00052B63"/>
    <w:rsid w:val="00054F81"/>
    <w:rsid w:val="0005651D"/>
    <w:rsid w:val="00057BDC"/>
    <w:rsid w:val="00062107"/>
    <w:rsid w:val="0007095D"/>
    <w:rsid w:val="000721B2"/>
    <w:rsid w:val="00072A19"/>
    <w:rsid w:val="0007429E"/>
    <w:rsid w:val="000765B5"/>
    <w:rsid w:val="00076DF2"/>
    <w:rsid w:val="00081999"/>
    <w:rsid w:val="00083154"/>
    <w:rsid w:val="0008406D"/>
    <w:rsid w:val="000843B4"/>
    <w:rsid w:val="00084B2A"/>
    <w:rsid w:val="000871E2"/>
    <w:rsid w:val="00090EC8"/>
    <w:rsid w:val="00091253"/>
    <w:rsid w:val="00094668"/>
    <w:rsid w:val="000971C8"/>
    <w:rsid w:val="000A4B9C"/>
    <w:rsid w:val="000A5B69"/>
    <w:rsid w:val="000A6250"/>
    <w:rsid w:val="000B0BA3"/>
    <w:rsid w:val="000B1064"/>
    <w:rsid w:val="000B1107"/>
    <w:rsid w:val="000B2862"/>
    <w:rsid w:val="000B39B7"/>
    <w:rsid w:val="000B6659"/>
    <w:rsid w:val="000B7BBC"/>
    <w:rsid w:val="000C2B82"/>
    <w:rsid w:val="000C488A"/>
    <w:rsid w:val="000C4E33"/>
    <w:rsid w:val="000C69D0"/>
    <w:rsid w:val="000C69DD"/>
    <w:rsid w:val="000D0354"/>
    <w:rsid w:val="000D58F6"/>
    <w:rsid w:val="000D5C3F"/>
    <w:rsid w:val="000D5E8D"/>
    <w:rsid w:val="000D5FD2"/>
    <w:rsid w:val="000D67D8"/>
    <w:rsid w:val="000D7E70"/>
    <w:rsid w:val="000E03A8"/>
    <w:rsid w:val="000E11C7"/>
    <w:rsid w:val="000E3A4D"/>
    <w:rsid w:val="000E3EF7"/>
    <w:rsid w:val="000E5816"/>
    <w:rsid w:val="000E59C4"/>
    <w:rsid w:val="000E6869"/>
    <w:rsid w:val="000F032E"/>
    <w:rsid w:val="000F0956"/>
    <w:rsid w:val="000F1C10"/>
    <w:rsid w:val="000F2D03"/>
    <w:rsid w:val="000F36DC"/>
    <w:rsid w:val="000F4134"/>
    <w:rsid w:val="000F453A"/>
    <w:rsid w:val="000F5090"/>
    <w:rsid w:val="000F5CAA"/>
    <w:rsid w:val="00100558"/>
    <w:rsid w:val="00100DB4"/>
    <w:rsid w:val="00100DD8"/>
    <w:rsid w:val="001014A5"/>
    <w:rsid w:val="00104022"/>
    <w:rsid w:val="00104172"/>
    <w:rsid w:val="00104382"/>
    <w:rsid w:val="00104A6A"/>
    <w:rsid w:val="00106405"/>
    <w:rsid w:val="00107C43"/>
    <w:rsid w:val="00111B38"/>
    <w:rsid w:val="00111C5D"/>
    <w:rsid w:val="00111EE3"/>
    <w:rsid w:val="001144D2"/>
    <w:rsid w:val="0011630A"/>
    <w:rsid w:val="00117DCA"/>
    <w:rsid w:val="001202B5"/>
    <w:rsid w:val="00124D07"/>
    <w:rsid w:val="00125175"/>
    <w:rsid w:val="001255FC"/>
    <w:rsid w:val="00125FC1"/>
    <w:rsid w:val="00126543"/>
    <w:rsid w:val="00127D4A"/>
    <w:rsid w:val="001330C5"/>
    <w:rsid w:val="001332EA"/>
    <w:rsid w:val="00135714"/>
    <w:rsid w:val="00135E2A"/>
    <w:rsid w:val="001365C6"/>
    <w:rsid w:val="00137E71"/>
    <w:rsid w:val="001413BC"/>
    <w:rsid w:val="0014338D"/>
    <w:rsid w:val="0014456C"/>
    <w:rsid w:val="001449DE"/>
    <w:rsid w:val="00150488"/>
    <w:rsid w:val="00153375"/>
    <w:rsid w:val="00153BCB"/>
    <w:rsid w:val="00154126"/>
    <w:rsid w:val="00154909"/>
    <w:rsid w:val="00155A9D"/>
    <w:rsid w:val="00157582"/>
    <w:rsid w:val="0015794B"/>
    <w:rsid w:val="0016414A"/>
    <w:rsid w:val="001662B3"/>
    <w:rsid w:val="001662F2"/>
    <w:rsid w:val="001663DA"/>
    <w:rsid w:val="00170EBD"/>
    <w:rsid w:val="001713FC"/>
    <w:rsid w:val="001717CC"/>
    <w:rsid w:val="00172A27"/>
    <w:rsid w:val="00176048"/>
    <w:rsid w:val="00177BAE"/>
    <w:rsid w:val="00180195"/>
    <w:rsid w:val="0018182F"/>
    <w:rsid w:val="00187C7B"/>
    <w:rsid w:val="00190FB9"/>
    <w:rsid w:val="00191030"/>
    <w:rsid w:val="0019366E"/>
    <w:rsid w:val="00194BAE"/>
    <w:rsid w:val="00196765"/>
    <w:rsid w:val="001A01E7"/>
    <w:rsid w:val="001A5DA1"/>
    <w:rsid w:val="001A7092"/>
    <w:rsid w:val="001A74F7"/>
    <w:rsid w:val="001A7FCC"/>
    <w:rsid w:val="001B0A62"/>
    <w:rsid w:val="001B0FDD"/>
    <w:rsid w:val="001B1E3E"/>
    <w:rsid w:val="001B7505"/>
    <w:rsid w:val="001B7E76"/>
    <w:rsid w:val="001C499E"/>
    <w:rsid w:val="001C4EF7"/>
    <w:rsid w:val="001C54B8"/>
    <w:rsid w:val="001C5BB9"/>
    <w:rsid w:val="001D3F0A"/>
    <w:rsid w:val="001D54D7"/>
    <w:rsid w:val="001D7F3C"/>
    <w:rsid w:val="001E04F0"/>
    <w:rsid w:val="001E07E2"/>
    <w:rsid w:val="001E086F"/>
    <w:rsid w:val="001E3135"/>
    <w:rsid w:val="001E3877"/>
    <w:rsid w:val="001E3FCC"/>
    <w:rsid w:val="001E56AB"/>
    <w:rsid w:val="001E6897"/>
    <w:rsid w:val="001E6FA6"/>
    <w:rsid w:val="001E7BFE"/>
    <w:rsid w:val="001F0714"/>
    <w:rsid w:val="001F10DD"/>
    <w:rsid w:val="001F16A1"/>
    <w:rsid w:val="001F35F6"/>
    <w:rsid w:val="001F3870"/>
    <w:rsid w:val="001F4BDB"/>
    <w:rsid w:val="001F5D48"/>
    <w:rsid w:val="001F701C"/>
    <w:rsid w:val="0020071F"/>
    <w:rsid w:val="00200760"/>
    <w:rsid w:val="00200936"/>
    <w:rsid w:val="00203566"/>
    <w:rsid w:val="00204B8B"/>
    <w:rsid w:val="002055AA"/>
    <w:rsid w:val="00205A6E"/>
    <w:rsid w:val="00207C93"/>
    <w:rsid w:val="00210672"/>
    <w:rsid w:val="002115C2"/>
    <w:rsid w:val="00212D27"/>
    <w:rsid w:val="002134A1"/>
    <w:rsid w:val="0021374F"/>
    <w:rsid w:val="00214422"/>
    <w:rsid w:val="00217254"/>
    <w:rsid w:val="00217C6B"/>
    <w:rsid w:val="00217DD1"/>
    <w:rsid w:val="00220974"/>
    <w:rsid w:val="00220C52"/>
    <w:rsid w:val="0022139E"/>
    <w:rsid w:val="002230F2"/>
    <w:rsid w:val="00225ADC"/>
    <w:rsid w:val="00225B9E"/>
    <w:rsid w:val="002267BB"/>
    <w:rsid w:val="00227BD1"/>
    <w:rsid w:val="00227EA2"/>
    <w:rsid w:val="0023123F"/>
    <w:rsid w:val="00233044"/>
    <w:rsid w:val="00234C00"/>
    <w:rsid w:val="00237C61"/>
    <w:rsid w:val="0024165C"/>
    <w:rsid w:val="00241BF1"/>
    <w:rsid w:val="0024220F"/>
    <w:rsid w:val="002422EC"/>
    <w:rsid w:val="00242EA9"/>
    <w:rsid w:val="002459DE"/>
    <w:rsid w:val="002470C0"/>
    <w:rsid w:val="002472A7"/>
    <w:rsid w:val="00247729"/>
    <w:rsid w:val="00250437"/>
    <w:rsid w:val="002528A0"/>
    <w:rsid w:val="002536AF"/>
    <w:rsid w:val="00254C9E"/>
    <w:rsid w:val="00262DFF"/>
    <w:rsid w:val="00263316"/>
    <w:rsid w:val="00263451"/>
    <w:rsid w:val="00263EEA"/>
    <w:rsid w:val="002651B0"/>
    <w:rsid w:val="002658DA"/>
    <w:rsid w:val="0026672D"/>
    <w:rsid w:val="00270C77"/>
    <w:rsid w:val="00271F3E"/>
    <w:rsid w:val="0027349F"/>
    <w:rsid w:val="002742AA"/>
    <w:rsid w:val="00275CC8"/>
    <w:rsid w:val="00276ECA"/>
    <w:rsid w:val="00280012"/>
    <w:rsid w:val="00282402"/>
    <w:rsid w:val="00282FAF"/>
    <w:rsid w:val="00283FCC"/>
    <w:rsid w:val="002843C7"/>
    <w:rsid w:val="002866C4"/>
    <w:rsid w:val="00291FEC"/>
    <w:rsid w:val="00293368"/>
    <w:rsid w:val="0029350D"/>
    <w:rsid w:val="00294554"/>
    <w:rsid w:val="0029680C"/>
    <w:rsid w:val="00296D4F"/>
    <w:rsid w:val="002979D7"/>
    <w:rsid w:val="002A05FA"/>
    <w:rsid w:val="002A0884"/>
    <w:rsid w:val="002A26D4"/>
    <w:rsid w:val="002A2901"/>
    <w:rsid w:val="002A5A1A"/>
    <w:rsid w:val="002A7554"/>
    <w:rsid w:val="002A75C4"/>
    <w:rsid w:val="002A7A98"/>
    <w:rsid w:val="002B05FF"/>
    <w:rsid w:val="002B51AA"/>
    <w:rsid w:val="002B5539"/>
    <w:rsid w:val="002B5664"/>
    <w:rsid w:val="002B710B"/>
    <w:rsid w:val="002B74C3"/>
    <w:rsid w:val="002C1563"/>
    <w:rsid w:val="002C254F"/>
    <w:rsid w:val="002C3F22"/>
    <w:rsid w:val="002C4464"/>
    <w:rsid w:val="002C44B1"/>
    <w:rsid w:val="002C4B45"/>
    <w:rsid w:val="002C5102"/>
    <w:rsid w:val="002C552D"/>
    <w:rsid w:val="002C57EF"/>
    <w:rsid w:val="002C61BE"/>
    <w:rsid w:val="002C7300"/>
    <w:rsid w:val="002D06CA"/>
    <w:rsid w:val="002D09F6"/>
    <w:rsid w:val="002D16C9"/>
    <w:rsid w:val="002D1B87"/>
    <w:rsid w:val="002D2471"/>
    <w:rsid w:val="002D2C24"/>
    <w:rsid w:val="002D3A09"/>
    <w:rsid w:val="002D5CD5"/>
    <w:rsid w:val="002D65F7"/>
    <w:rsid w:val="002E05BD"/>
    <w:rsid w:val="002E0B24"/>
    <w:rsid w:val="002E0BCC"/>
    <w:rsid w:val="002E10D0"/>
    <w:rsid w:val="002E41B0"/>
    <w:rsid w:val="002E47C6"/>
    <w:rsid w:val="002E4D62"/>
    <w:rsid w:val="002E6443"/>
    <w:rsid w:val="002E6D50"/>
    <w:rsid w:val="002E6F39"/>
    <w:rsid w:val="002F1056"/>
    <w:rsid w:val="002F1449"/>
    <w:rsid w:val="002F4DBA"/>
    <w:rsid w:val="002F6707"/>
    <w:rsid w:val="00300C77"/>
    <w:rsid w:val="00301494"/>
    <w:rsid w:val="003020C2"/>
    <w:rsid w:val="00302D33"/>
    <w:rsid w:val="003031F8"/>
    <w:rsid w:val="003033FE"/>
    <w:rsid w:val="00304405"/>
    <w:rsid w:val="00304AC6"/>
    <w:rsid w:val="00306511"/>
    <w:rsid w:val="003067AD"/>
    <w:rsid w:val="00307333"/>
    <w:rsid w:val="003110D9"/>
    <w:rsid w:val="003117D9"/>
    <w:rsid w:val="00311BC7"/>
    <w:rsid w:val="0031513B"/>
    <w:rsid w:val="003208C7"/>
    <w:rsid w:val="0032184E"/>
    <w:rsid w:val="00321F90"/>
    <w:rsid w:val="00326138"/>
    <w:rsid w:val="00330B76"/>
    <w:rsid w:val="00331802"/>
    <w:rsid w:val="00331EB2"/>
    <w:rsid w:val="00334F8D"/>
    <w:rsid w:val="00337398"/>
    <w:rsid w:val="00337566"/>
    <w:rsid w:val="0033784C"/>
    <w:rsid w:val="0034058C"/>
    <w:rsid w:val="00341C6C"/>
    <w:rsid w:val="00343658"/>
    <w:rsid w:val="00344C38"/>
    <w:rsid w:val="00344EA4"/>
    <w:rsid w:val="00345496"/>
    <w:rsid w:val="0034733B"/>
    <w:rsid w:val="00350501"/>
    <w:rsid w:val="003507ED"/>
    <w:rsid w:val="0035191D"/>
    <w:rsid w:val="00352F24"/>
    <w:rsid w:val="00355333"/>
    <w:rsid w:val="00355ADB"/>
    <w:rsid w:val="0036247E"/>
    <w:rsid w:val="00362B06"/>
    <w:rsid w:val="00364F8E"/>
    <w:rsid w:val="003657B7"/>
    <w:rsid w:val="00365A1A"/>
    <w:rsid w:val="003746B0"/>
    <w:rsid w:val="00374814"/>
    <w:rsid w:val="00376F95"/>
    <w:rsid w:val="003803D4"/>
    <w:rsid w:val="0038052C"/>
    <w:rsid w:val="00381A61"/>
    <w:rsid w:val="0038264F"/>
    <w:rsid w:val="0038312E"/>
    <w:rsid w:val="003842F0"/>
    <w:rsid w:val="003853DF"/>
    <w:rsid w:val="003863C4"/>
    <w:rsid w:val="00387605"/>
    <w:rsid w:val="003878E6"/>
    <w:rsid w:val="00387B3C"/>
    <w:rsid w:val="00387F20"/>
    <w:rsid w:val="00387FBC"/>
    <w:rsid w:val="00392166"/>
    <w:rsid w:val="00393E7F"/>
    <w:rsid w:val="00393FC8"/>
    <w:rsid w:val="00394F55"/>
    <w:rsid w:val="003954D2"/>
    <w:rsid w:val="00397194"/>
    <w:rsid w:val="003A430C"/>
    <w:rsid w:val="003A4DE9"/>
    <w:rsid w:val="003A6A4D"/>
    <w:rsid w:val="003A7735"/>
    <w:rsid w:val="003B1B29"/>
    <w:rsid w:val="003B2094"/>
    <w:rsid w:val="003B427D"/>
    <w:rsid w:val="003B4A82"/>
    <w:rsid w:val="003B6F49"/>
    <w:rsid w:val="003B7D31"/>
    <w:rsid w:val="003C02CA"/>
    <w:rsid w:val="003C1763"/>
    <w:rsid w:val="003C4311"/>
    <w:rsid w:val="003C766A"/>
    <w:rsid w:val="003C7972"/>
    <w:rsid w:val="003C7C92"/>
    <w:rsid w:val="003C7F0E"/>
    <w:rsid w:val="003D011C"/>
    <w:rsid w:val="003D162C"/>
    <w:rsid w:val="003D27B8"/>
    <w:rsid w:val="003D33D6"/>
    <w:rsid w:val="003D3CD0"/>
    <w:rsid w:val="003D5D3B"/>
    <w:rsid w:val="003D6E24"/>
    <w:rsid w:val="003E27D1"/>
    <w:rsid w:val="003E3E70"/>
    <w:rsid w:val="003E3E74"/>
    <w:rsid w:val="003E510F"/>
    <w:rsid w:val="003E52EC"/>
    <w:rsid w:val="003E55BC"/>
    <w:rsid w:val="003E6D8E"/>
    <w:rsid w:val="003F2167"/>
    <w:rsid w:val="003F3584"/>
    <w:rsid w:val="003F52A4"/>
    <w:rsid w:val="003F5B13"/>
    <w:rsid w:val="003F5E76"/>
    <w:rsid w:val="003F6C46"/>
    <w:rsid w:val="004017C8"/>
    <w:rsid w:val="0040307D"/>
    <w:rsid w:val="004031ED"/>
    <w:rsid w:val="0040386D"/>
    <w:rsid w:val="00405BCC"/>
    <w:rsid w:val="0040627C"/>
    <w:rsid w:val="00410B70"/>
    <w:rsid w:val="0041753C"/>
    <w:rsid w:val="00417A21"/>
    <w:rsid w:val="00417DB0"/>
    <w:rsid w:val="004218F8"/>
    <w:rsid w:val="00423131"/>
    <w:rsid w:val="004251A5"/>
    <w:rsid w:val="0042526B"/>
    <w:rsid w:val="00430979"/>
    <w:rsid w:val="00430B52"/>
    <w:rsid w:val="004334BA"/>
    <w:rsid w:val="00434578"/>
    <w:rsid w:val="00435970"/>
    <w:rsid w:val="0043626D"/>
    <w:rsid w:val="0043640E"/>
    <w:rsid w:val="00437045"/>
    <w:rsid w:val="00442786"/>
    <w:rsid w:val="004444FC"/>
    <w:rsid w:val="004476AA"/>
    <w:rsid w:val="0045021E"/>
    <w:rsid w:val="00450B15"/>
    <w:rsid w:val="00450FEE"/>
    <w:rsid w:val="00452227"/>
    <w:rsid w:val="00452AD2"/>
    <w:rsid w:val="0045560B"/>
    <w:rsid w:val="00455AC3"/>
    <w:rsid w:val="00457035"/>
    <w:rsid w:val="0046006F"/>
    <w:rsid w:val="00460F9E"/>
    <w:rsid w:val="00460FDC"/>
    <w:rsid w:val="00461356"/>
    <w:rsid w:val="00462355"/>
    <w:rsid w:val="00462B7F"/>
    <w:rsid w:val="004635EE"/>
    <w:rsid w:val="004638BB"/>
    <w:rsid w:val="00463D99"/>
    <w:rsid w:val="004651BB"/>
    <w:rsid w:val="0046549A"/>
    <w:rsid w:val="004715C3"/>
    <w:rsid w:val="004737FA"/>
    <w:rsid w:val="00474728"/>
    <w:rsid w:val="004748BA"/>
    <w:rsid w:val="00474A64"/>
    <w:rsid w:val="00475158"/>
    <w:rsid w:val="00475E22"/>
    <w:rsid w:val="004763C9"/>
    <w:rsid w:val="0047642C"/>
    <w:rsid w:val="00476779"/>
    <w:rsid w:val="004807F0"/>
    <w:rsid w:val="00481247"/>
    <w:rsid w:val="004820A1"/>
    <w:rsid w:val="004820CB"/>
    <w:rsid w:val="00482717"/>
    <w:rsid w:val="00482F02"/>
    <w:rsid w:val="00483CBB"/>
    <w:rsid w:val="004850E6"/>
    <w:rsid w:val="004868D1"/>
    <w:rsid w:val="00487EC6"/>
    <w:rsid w:val="00490B21"/>
    <w:rsid w:val="0049328C"/>
    <w:rsid w:val="00494717"/>
    <w:rsid w:val="004A0744"/>
    <w:rsid w:val="004A310F"/>
    <w:rsid w:val="004A6C34"/>
    <w:rsid w:val="004B331D"/>
    <w:rsid w:val="004B48F1"/>
    <w:rsid w:val="004B494F"/>
    <w:rsid w:val="004B4F24"/>
    <w:rsid w:val="004B5660"/>
    <w:rsid w:val="004B7F0E"/>
    <w:rsid w:val="004C5AC1"/>
    <w:rsid w:val="004D1C27"/>
    <w:rsid w:val="004D3130"/>
    <w:rsid w:val="004D3145"/>
    <w:rsid w:val="004D42A9"/>
    <w:rsid w:val="004D5312"/>
    <w:rsid w:val="004E1506"/>
    <w:rsid w:val="004E31A6"/>
    <w:rsid w:val="004E3306"/>
    <w:rsid w:val="004E3429"/>
    <w:rsid w:val="004E3788"/>
    <w:rsid w:val="004E3A93"/>
    <w:rsid w:val="004E6C6E"/>
    <w:rsid w:val="004F0CD4"/>
    <w:rsid w:val="004F2D28"/>
    <w:rsid w:val="004F34AC"/>
    <w:rsid w:val="004F3BC3"/>
    <w:rsid w:val="004F4C1F"/>
    <w:rsid w:val="004F660A"/>
    <w:rsid w:val="004F6677"/>
    <w:rsid w:val="004F782F"/>
    <w:rsid w:val="004F7FAC"/>
    <w:rsid w:val="00500FEC"/>
    <w:rsid w:val="00501978"/>
    <w:rsid w:val="00502D40"/>
    <w:rsid w:val="00504C65"/>
    <w:rsid w:val="005065E5"/>
    <w:rsid w:val="005107C6"/>
    <w:rsid w:val="00511213"/>
    <w:rsid w:val="00511364"/>
    <w:rsid w:val="0051600C"/>
    <w:rsid w:val="005205E4"/>
    <w:rsid w:val="00520A84"/>
    <w:rsid w:val="00520B2C"/>
    <w:rsid w:val="00520EF5"/>
    <w:rsid w:val="0052179A"/>
    <w:rsid w:val="00521903"/>
    <w:rsid w:val="00521DA4"/>
    <w:rsid w:val="0052204A"/>
    <w:rsid w:val="0052268A"/>
    <w:rsid w:val="005233B9"/>
    <w:rsid w:val="00523976"/>
    <w:rsid w:val="00523DB7"/>
    <w:rsid w:val="0052471F"/>
    <w:rsid w:val="005247AB"/>
    <w:rsid w:val="00524974"/>
    <w:rsid w:val="00524FF5"/>
    <w:rsid w:val="005263F8"/>
    <w:rsid w:val="0052767A"/>
    <w:rsid w:val="00527B03"/>
    <w:rsid w:val="00531853"/>
    <w:rsid w:val="00531F0E"/>
    <w:rsid w:val="005328E2"/>
    <w:rsid w:val="0053315A"/>
    <w:rsid w:val="0053358D"/>
    <w:rsid w:val="005340B2"/>
    <w:rsid w:val="00534718"/>
    <w:rsid w:val="00535E21"/>
    <w:rsid w:val="005364BD"/>
    <w:rsid w:val="00536A5A"/>
    <w:rsid w:val="00536E3A"/>
    <w:rsid w:val="005376ED"/>
    <w:rsid w:val="00545C2A"/>
    <w:rsid w:val="00546EFD"/>
    <w:rsid w:val="005503C0"/>
    <w:rsid w:val="00551DD2"/>
    <w:rsid w:val="0055217D"/>
    <w:rsid w:val="00552270"/>
    <w:rsid w:val="00553DD4"/>
    <w:rsid w:val="00555E5B"/>
    <w:rsid w:val="00560FA9"/>
    <w:rsid w:val="005613F7"/>
    <w:rsid w:val="00561FE2"/>
    <w:rsid w:val="005622A4"/>
    <w:rsid w:val="00562ABA"/>
    <w:rsid w:val="00562EAB"/>
    <w:rsid w:val="00563FB5"/>
    <w:rsid w:val="00564227"/>
    <w:rsid w:val="00565FF0"/>
    <w:rsid w:val="00566670"/>
    <w:rsid w:val="005676C8"/>
    <w:rsid w:val="0057008C"/>
    <w:rsid w:val="00572644"/>
    <w:rsid w:val="00573FA2"/>
    <w:rsid w:val="00575606"/>
    <w:rsid w:val="00580760"/>
    <w:rsid w:val="005809CB"/>
    <w:rsid w:val="00584540"/>
    <w:rsid w:val="00585C0E"/>
    <w:rsid w:val="005875A2"/>
    <w:rsid w:val="00591346"/>
    <w:rsid w:val="00591B2E"/>
    <w:rsid w:val="00592AF0"/>
    <w:rsid w:val="00593BB5"/>
    <w:rsid w:val="00596B87"/>
    <w:rsid w:val="0059783D"/>
    <w:rsid w:val="005A059C"/>
    <w:rsid w:val="005A0E7A"/>
    <w:rsid w:val="005A28C9"/>
    <w:rsid w:val="005A47F9"/>
    <w:rsid w:val="005A619E"/>
    <w:rsid w:val="005A6664"/>
    <w:rsid w:val="005B0AB7"/>
    <w:rsid w:val="005B11E5"/>
    <w:rsid w:val="005B14EB"/>
    <w:rsid w:val="005B14F2"/>
    <w:rsid w:val="005B3DF5"/>
    <w:rsid w:val="005B54F2"/>
    <w:rsid w:val="005B5526"/>
    <w:rsid w:val="005B64D9"/>
    <w:rsid w:val="005B652B"/>
    <w:rsid w:val="005B6F50"/>
    <w:rsid w:val="005B798C"/>
    <w:rsid w:val="005B7AF7"/>
    <w:rsid w:val="005C1763"/>
    <w:rsid w:val="005C1BC8"/>
    <w:rsid w:val="005C1C3F"/>
    <w:rsid w:val="005C4241"/>
    <w:rsid w:val="005C5233"/>
    <w:rsid w:val="005C629B"/>
    <w:rsid w:val="005C7DD0"/>
    <w:rsid w:val="005D12B6"/>
    <w:rsid w:val="005D2EE0"/>
    <w:rsid w:val="005D4AA7"/>
    <w:rsid w:val="005D610E"/>
    <w:rsid w:val="005D6203"/>
    <w:rsid w:val="005D67DE"/>
    <w:rsid w:val="005E0625"/>
    <w:rsid w:val="005E11C9"/>
    <w:rsid w:val="005E181C"/>
    <w:rsid w:val="005E30F0"/>
    <w:rsid w:val="005E3167"/>
    <w:rsid w:val="005E3C6C"/>
    <w:rsid w:val="005E4417"/>
    <w:rsid w:val="005E58A7"/>
    <w:rsid w:val="005E771F"/>
    <w:rsid w:val="005F0B89"/>
    <w:rsid w:val="005F0C00"/>
    <w:rsid w:val="005F3985"/>
    <w:rsid w:val="005F39F5"/>
    <w:rsid w:val="005F5682"/>
    <w:rsid w:val="005F61DA"/>
    <w:rsid w:val="005F648A"/>
    <w:rsid w:val="005F6C66"/>
    <w:rsid w:val="006008C7"/>
    <w:rsid w:val="00603374"/>
    <w:rsid w:val="00603A49"/>
    <w:rsid w:val="006049AB"/>
    <w:rsid w:val="006051E7"/>
    <w:rsid w:val="00606295"/>
    <w:rsid w:val="006066CA"/>
    <w:rsid w:val="00607D40"/>
    <w:rsid w:val="00610A30"/>
    <w:rsid w:val="00612B65"/>
    <w:rsid w:val="00613EC0"/>
    <w:rsid w:val="006144E3"/>
    <w:rsid w:val="00614654"/>
    <w:rsid w:val="0061502C"/>
    <w:rsid w:val="006159B4"/>
    <w:rsid w:val="006175FC"/>
    <w:rsid w:val="00617C40"/>
    <w:rsid w:val="006210C2"/>
    <w:rsid w:val="006235ED"/>
    <w:rsid w:val="00624490"/>
    <w:rsid w:val="0062657D"/>
    <w:rsid w:val="006319C5"/>
    <w:rsid w:val="0063331F"/>
    <w:rsid w:val="006335CD"/>
    <w:rsid w:val="00636000"/>
    <w:rsid w:val="00636A59"/>
    <w:rsid w:val="00637A2B"/>
    <w:rsid w:val="006400D4"/>
    <w:rsid w:val="00642AF7"/>
    <w:rsid w:val="00642D62"/>
    <w:rsid w:val="00643D34"/>
    <w:rsid w:val="00644AFE"/>
    <w:rsid w:val="00645680"/>
    <w:rsid w:val="00647AD4"/>
    <w:rsid w:val="006503EA"/>
    <w:rsid w:val="00651393"/>
    <w:rsid w:val="00651C7F"/>
    <w:rsid w:val="00652FD2"/>
    <w:rsid w:val="00653E9B"/>
    <w:rsid w:val="00654370"/>
    <w:rsid w:val="006559DE"/>
    <w:rsid w:val="00656234"/>
    <w:rsid w:val="00656C32"/>
    <w:rsid w:val="00656F19"/>
    <w:rsid w:val="006575BA"/>
    <w:rsid w:val="00657B19"/>
    <w:rsid w:val="006606FC"/>
    <w:rsid w:val="00662D72"/>
    <w:rsid w:val="00662DEB"/>
    <w:rsid w:val="006639E9"/>
    <w:rsid w:val="00664FA6"/>
    <w:rsid w:val="00666898"/>
    <w:rsid w:val="00670C0F"/>
    <w:rsid w:val="00671723"/>
    <w:rsid w:val="00672608"/>
    <w:rsid w:val="006730D5"/>
    <w:rsid w:val="00673458"/>
    <w:rsid w:val="00674162"/>
    <w:rsid w:val="00674A93"/>
    <w:rsid w:val="00676A54"/>
    <w:rsid w:val="00677603"/>
    <w:rsid w:val="006777EA"/>
    <w:rsid w:val="00677AE0"/>
    <w:rsid w:val="0068193F"/>
    <w:rsid w:val="00681B94"/>
    <w:rsid w:val="00681BB8"/>
    <w:rsid w:val="00681C07"/>
    <w:rsid w:val="00682AF5"/>
    <w:rsid w:val="0068602D"/>
    <w:rsid w:val="006874C9"/>
    <w:rsid w:val="0068796D"/>
    <w:rsid w:val="00690198"/>
    <w:rsid w:val="00690253"/>
    <w:rsid w:val="006907B4"/>
    <w:rsid w:val="00692714"/>
    <w:rsid w:val="006942C0"/>
    <w:rsid w:val="00694527"/>
    <w:rsid w:val="00694561"/>
    <w:rsid w:val="00694D8E"/>
    <w:rsid w:val="00696999"/>
    <w:rsid w:val="00696B4F"/>
    <w:rsid w:val="00696CD5"/>
    <w:rsid w:val="006A0FE4"/>
    <w:rsid w:val="006A2417"/>
    <w:rsid w:val="006A2AD8"/>
    <w:rsid w:val="006A3FF6"/>
    <w:rsid w:val="006A5709"/>
    <w:rsid w:val="006A6C7D"/>
    <w:rsid w:val="006A6D27"/>
    <w:rsid w:val="006A6E4A"/>
    <w:rsid w:val="006B16DE"/>
    <w:rsid w:val="006B49FD"/>
    <w:rsid w:val="006B5BE2"/>
    <w:rsid w:val="006B6579"/>
    <w:rsid w:val="006B6C08"/>
    <w:rsid w:val="006B7746"/>
    <w:rsid w:val="006C0098"/>
    <w:rsid w:val="006C02BD"/>
    <w:rsid w:val="006C094B"/>
    <w:rsid w:val="006C0E34"/>
    <w:rsid w:val="006C6482"/>
    <w:rsid w:val="006D36A8"/>
    <w:rsid w:val="006D36AA"/>
    <w:rsid w:val="006D38FB"/>
    <w:rsid w:val="006D41DD"/>
    <w:rsid w:val="006D4A24"/>
    <w:rsid w:val="006D61E6"/>
    <w:rsid w:val="006D62C5"/>
    <w:rsid w:val="006D68F2"/>
    <w:rsid w:val="006D73F0"/>
    <w:rsid w:val="006E052D"/>
    <w:rsid w:val="006E0D8D"/>
    <w:rsid w:val="006E1592"/>
    <w:rsid w:val="006E1EF1"/>
    <w:rsid w:val="006E5019"/>
    <w:rsid w:val="006E7797"/>
    <w:rsid w:val="006E78D1"/>
    <w:rsid w:val="006F2492"/>
    <w:rsid w:val="006F2782"/>
    <w:rsid w:val="006F2C1F"/>
    <w:rsid w:val="006F34D0"/>
    <w:rsid w:val="006F4155"/>
    <w:rsid w:val="006F4D37"/>
    <w:rsid w:val="006F505E"/>
    <w:rsid w:val="006F5482"/>
    <w:rsid w:val="006F63EB"/>
    <w:rsid w:val="006F7940"/>
    <w:rsid w:val="00700116"/>
    <w:rsid w:val="00700F73"/>
    <w:rsid w:val="00701580"/>
    <w:rsid w:val="00701CC3"/>
    <w:rsid w:val="00702856"/>
    <w:rsid w:val="00702E3F"/>
    <w:rsid w:val="007031AF"/>
    <w:rsid w:val="00703456"/>
    <w:rsid w:val="00703842"/>
    <w:rsid w:val="00703BBC"/>
    <w:rsid w:val="00703D15"/>
    <w:rsid w:val="0070596A"/>
    <w:rsid w:val="007060B5"/>
    <w:rsid w:val="007062DA"/>
    <w:rsid w:val="007063A5"/>
    <w:rsid w:val="00706C79"/>
    <w:rsid w:val="00706E71"/>
    <w:rsid w:val="00710093"/>
    <w:rsid w:val="00711148"/>
    <w:rsid w:val="00711185"/>
    <w:rsid w:val="00711F3C"/>
    <w:rsid w:val="00713068"/>
    <w:rsid w:val="0071383F"/>
    <w:rsid w:val="00714029"/>
    <w:rsid w:val="00714401"/>
    <w:rsid w:val="00716480"/>
    <w:rsid w:val="00720B8A"/>
    <w:rsid w:val="00720E98"/>
    <w:rsid w:val="007210A5"/>
    <w:rsid w:val="007230CD"/>
    <w:rsid w:val="0072378D"/>
    <w:rsid w:val="00724E11"/>
    <w:rsid w:val="007257AE"/>
    <w:rsid w:val="007300B9"/>
    <w:rsid w:val="00730D40"/>
    <w:rsid w:val="007310C7"/>
    <w:rsid w:val="0073318F"/>
    <w:rsid w:val="007337F6"/>
    <w:rsid w:val="00735747"/>
    <w:rsid w:val="00741229"/>
    <w:rsid w:val="00742890"/>
    <w:rsid w:val="007432C4"/>
    <w:rsid w:val="00743B6C"/>
    <w:rsid w:val="00743FDD"/>
    <w:rsid w:val="00744A70"/>
    <w:rsid w:val="0074508E"/>
    <w:rsid w:val="007511BB"/>
    <w:rsid w:val="00751C62"/>
    <w:rsid w:val="007536A1"/>
    <w:rsid w:val="00753C29"/>
    <w:rsid w:val="00753FFB"/>
    <w:rsid w:val="00761C4D"/>
    <w:rsid w:val="007666EF"/>
    <w:rsid w:val="00766EE3"/>
    <w:rsid w:val="0077030B"/>
    <w:rsid w:val="00770B78"/>
    <w:rsid w:val="007716C9"/>
    <w:rsid w:val="00772492"/>
    <w:rsid w:val="0077288A"/>
    <w:rsid w:val="00772F9C"/>
    <w:rsid w:val="0077410B"/>
    <w:rsid w:val="0077550F"/>
    <w:rsid w:val="00780E9E"/>
    <w:rsid w:val="007818D3"/>
    <w:rsid w:val="00784805"/>
    <w:rsid w:val="00785936"/>
    <w:rsid w:val="00785FC2"/>
    <w:rsid w:val="00787F88"/>
    <w:rsid w:val="00787FA1"/>
    <w:rsid w:val="007916B0"/>
    <w:rsid w:val="00791D50"/>
    <w:rsid w:val="007939B8"/>
    <w:rsid w:val="00795C21"/>
    <w:rsid w:val="00796AE4"/>
    <w:rsid w:val="00797853"/>
    <w:rsid w:val="007A34C0"/>
    <w:rsid w:val="007A542B"/>
    <w:rsid w:val="007A6451"/>
    <w:rsid w:val="007A6A6C"/>
    <w:rsid w:val="007A7416"/>
    <w:rsid w:val="007A7652"/>
    <w:rsid w:val="007B02BE"/>
    <w:rsid w:val="007B182E"/>
    <w:rsid w:val="007B2280"/>
    <w:rsid w:val="007B2684"/>
    <w:rsid w:val="007B6363"/>
    <w:rsid w:val="007B73E1"/>
    <w:rsid w:val="007C1A40"/>
    <w:rsid w:val="007C2055"/>
    <w:rsid w:val="007C22C0"/>
    <w:rsid w:val="007C516C"/>
    <w:rsid w:val="007C5741"/>
    <w:rsid w:val="007C738D"/>
    <w:rsid w:val="007D1501"/>
    <w:rsid w:val="007D1932"/>
    <w:rsid w:val="007D32B0"/>
    <w:rsid w:val="007D40B3"/>
    <w:rsid w:val="007D40FB"/>
    <w:rsid w:val="007D4FFE"/>
    <w:rsid w:val="007E1344"/>
    <w:rsid w:val="007E1350"/>
    <w:rsid w:val="007E252F"/>
    <w:rsid w:val="007E33FA"/>
    <w:rsid w:val="007E3448"/>
    <w:rsid w:val="007E5F74"/>
    <w:rsid w:val="007E6518"/>
    <w:rsid w:val="007E7A17"/>
    <w:rsid w:val="007F2463"/>
    <w:rsid w:val="007F26E2"/>
    <w:rsid w:val="007F2BD5"/>
    <w:rsid w:val="007F2D6D"/>
    <w:rsid w:val="007F2E38"/>
    <w:rsid w:val="007F6031"/>
    <w:rsid w:val="007F6096"/>
    <w:rsid w:val="0080034E"/>
    <w:rsid w:val="00800A22"/>
    <w:rsid w:val="008055BB"/>
    <w:rsid w:val="0080641C"/>
    <w:rsid w:val="00806743"/>
    <w:rsid w:val="00807671"/>
    <w:rsid w:val="00807D9C"/>
    <w:rsid w:val="00811D8C"/>
    <w:rsid w:val="00816FC4"/>
    <w:rsid w:val="00817879"/>
    <w:rsid w:val="008206E1"/>
    <w:rsid w:val="00820C0E"/>
    <w:rsid w:val="00821BA4"/>
    <w:rsid w:val="00825269"/>
    <w:rsid w:val="00827179"/>
    <w:rsid w:val="00827A4B"/>
    <w:rsid w:val="00827DB5"/>
    <w:rsid w:val="00831C1E"/>
    <w:rsid w:val="0083249F"/>
    <w:rsid w:val="008332FB"/>
    <w:rsid w:val="00834BCC"/>
    <w:rsid w:val="008353D7"/>
    <w:rsid w:val="00835478"/>
    <w:rsid w:val="00836174"/>
    <w:rsid w:val="00836556"/>
    <w:rsid w:val="00836871"/>
    <w:rsid w:val="0084084E"/>
    <w:rsid w:val="008410F3"/>
    <w:rsid w:val="00844617"/>
    <w:rsid w:val="00845004"/>
    <w:rsid w:val="008457F9"/>
    <w:rsid w:val="00846762"/>
    <w:rsid w:val="00850667"/>
    <w:rsid w:val="008510DD"/>
    <w:rsid w:val="00854C44"/>
    <w:rsid w:val="008563C0"/>
    <w:rsid w:val="00857F6A"/>
    <w:rsid w:val="008607B0"/>
    <w:rsid w:val="00862772"/>
    <w:rsid w:val="008635F2"/>
    <w:rsid w:val="008646EA"/>
    <w:rsid w:val="00864F39"/>
    <w:rsid w:val="00870E5A"/>
    <w:rsid w:val="00872827"/>
    <w:rsid w:val="0087313E"/>
    <w:rsid w:val="00877E85"/>
    <w:rsid w:val="008805E8"/>
    <w:rsid w:val="00882F8B"/>
    <w:rsid w:val="008834ED"/>
    <w:rsid w:val="00883718"/>
    <w:rsid w:val="00886E35"/>
    <w:rsid w:val="00892886"/>
    <w:rsid w:val="00893618"/>
    <w:rsid w:val="00894324"/>
    <w:rsid w:val="0089679A"/>
    <w:rsid w:val="008969C1"/>
    <w:rsid w:val="00897DC4"/>
    <w:rsid w:val="008A0ABA"/>
    <w:rsid w:val="008A0E4B"/>
    <w:rsid w:val="008A2B13"/>
    <w:rsid w:val="008A372E"/>
    <w:rsid w:val="008A4515"/>
    <w:rsid w:val="008A4698"/>
    <w:rsid w:val="008A7A6C"/>
    <w:rsid w:val="008A7DE9"/>
    <w:rsid w:val="008B0C09"/>
    <w:rsid w:val="008B1E80"/>
    <w:rsid w:val="008B3868"/>
    <w:rsid w:val="008B3B20"/>
    <w:rsid w:val="008B51AB"/>
    <w:rsid w:val="008B6658"/>
    <w:rsid w:val="008B7FA5"/>
    <w:rsid w:val="008C1D3B"/>
    <w:rsid w:val="008C24EB"/>
    <w:rsid w:val="008C2790"/>
    <w:rsid w:val="008C3EDE"/>
    <w:rsid w:val="008C524B"/>
    <w:rsid w:val="008C577B"/>
    <w:rsid w:val="008C5A01"/>
    <w:rsid w:val="008C66A8"/>
    <w:rsid w:val="008D0B52"/>
    <w:rsid w:val="008D17E1"/>
    <w:rsid w:val="008D373D"/>
    <w:rsid w:val="008D38B8"/>
    <w:rsid w:val="008D54C1"/>
    <w:rsid w:val="008D569C"/>
    <w:rsid w:val="008D63CB"/>
    <w:rsid w:val="008D656C"/>
    <w:rsid w:val="008D7BB8"/>
    <w:rsid w:val="008E09CE"/>
    <w:rsid w:val="008E09EA"/>
    <w:rsid w:val="008E172F"/>
    <w:rsid w:val="008E436C"/>
    <w:rsid w:val="008E7D03"/>
    <w:rsid w:val="008F4978"/>
    <w:rsid w:val="008F4C7F"/>
    <w:rsid w:val="008F4EE0"/>
    <w:rsid w:val="008F5F3D"/>
    <w:rsid w:val="008F6C78"/>
    <w:rsid w:val="008F6DDD"/>
    <w:rsid w:val="008F6FE6"/>
    <w:rsid w:val="008F7CE8"/>
    <w:rsid w:val="00900D3F"/>
    <w:rsid w:val="00901FB3"/>
    <w:rsid w:val="00903E67"/>
    <w:rsid w:val="00903F1E"/>
    <w:rsid w:val="0090560B"/>
    <w:rsid w:val="00905D49"/>
    <w:rsid w:val="009064FF"/>
    <w:rsid w:val="0090660E"/>
    <w:rsid w:val="009067DC"/>
    <w:rsid w:val="009108C5"/>
    <w:rsid w:val="00910B5D"/>
    <w:rsid w:val="009110B9"/>
    <w:rsid w:val="0091410D"/>
    <w:rsid w:val="00915BDE"/>
    <w:rsid w:val="00920052"/>
    <w:rsid w:val="0092125A"/>
    <w:rsid w:val="00922051"/>
    <w:rsid w:val="00923522"/>
    <w:rsid w:val="0092381E"/>
    <w:rsid w:val="00923DEA"/>
    <w:rsid w:val="00925008"/>
    <w:rsid w:val="00925374"/>
    <w:rsid w:val="00925B65"/>
    <w:rsid w:val="0092648E"/>
    <w:rsid w:val="00926A62"/>
    <w:rsid w:val="0092735A"/>
    <w:rsid w:val="00927E6C"/>
    <w:rsid w:val="00931680"/>
    <w:rsid w:val="00933863"/>
    <w:rsid w:val="00937DDE"/>
    <w:rsid w:val="009429D4"/>
    <w:rsid w:val="00943377"/>
    <w:rsid w:val="00943701"/>
    <w:rsid w:val="00944FB5"/>
    <w:rsid w:val="00947030"/>
    <w:rsid w:val="00947099"/>
    <w:rsid w:val="009472A5"/>
    <w:rsid w:val="009475F3"/>
    <w:rsid w:val="00947974"/>
    <w:rsid w:val="0095191D"/>
    <w:rsid w:val="00952656"/>
    <w:rsid w:val="00952CAE"/>
    <w:rsid w:val="009534F2"/>
    <w:rsid w:val="00954C30"/>
    <w:rsid w:val="00956A89"/>
    <w:rsid w:val="00957780"/>
    <w:rsid w:val="0096317C"/>
    <w:rsid w:val="0096538C"/>
    <w:rsid w:val="00965D26"/>
    <w:rsid w:val="00965EF2"/>
    <w:rsid w:val="009660FE"/>
    <w:rsid w:val="009662B5"/>
    <w:rsid w:val="009665A3"/>
    <w:rsid w:val="00966EC0"/>
    <w:rsid w:val="00967B5B"/>
    <w:rsid w:val="00970B9C"/>
    <w:rsid w:val="00971836"/>
    <w:rsid w:val="00972036"/>
    <w:rsid w:val="00973407"/>
    <w:rsid w:val="00973AC7"/>
    <w:rsid w:val="0097492D"/>
    <w:rsid w:val="0097497A"/>
    <w:rsid w:val="00975C9C"/>
    <w:rsid w:val="00976405"/>
    <w:rsid w:val="00977E6E"/>
    <w:rsid w:val="00981420"/>
    <w:rsid w:val="00981480"/>
    <w:rsid w:val="009822C4"/>
    <w:rsid w:val="00983375"/>
    <w:rsid w:val="00984C52"/>
    <w:rsid w:val="00985417"/>
    <w:rsid w:val="009907F3"/>
    <w:rsid w:val="00990889"/>
    <w:rsid w:val="00990997"/>
    <w:rsid w:val="00991722"/>
    <w:rsid w:val="00991B0C"/>
    <w:rsid w:val="00991BCE"/>
    <w:rsid w:val="00992F4F"/>
    <w:rsid w:val="00993FC8"/>
    <w:rsid w:val="00994276"/>
    <w:rsid w:val="00994C6F"/>
    <w:rsid w:val="00995434"/>
    <w:rsid w:val="00996294"/>
    <w:rsid w:val="009963A8"/>
    <w:rsid w:val="009A0088"/>
    <w:rsid w:val="009A0D31"/>
    <w:rsid w:val="009A166A"/>
    <w:rsid w:val="009A1BEB"/>
    <w:rsid w:val="009A1CF8"/>
    <w:rsid w:val="009A1E0A"/>
    <w:rsid w:val="009A287B"/>
    <w:rsid w:val="009A66F0"/>
    <w:rsid w:val="009A6C58"/>
    <w:rsid w:val="009A7422"/>
    <w:rsid w:val="009B089A"/>
    <w:rsid w:val="009B2C73"/>
    <w:rsid w:val="009B33E9"/>
    <w:rsid w:val="009B34B6"/>
    <w:rsid w:val="009B4307"/>
    <w:rsid w:val="009B528F"/>
    <w:rsid w:val="009C00F7"/>
    <w:rsid w:val="009C0879"/>
    <w:rsid w:val="009C14E9"/>
    <w:rsid w:val="009C186F"/>
    <w:rsid w:val="009C1E69"/>
    <w:rsid w:val="009C2A59"/>
    <w:rsid w:val="009C2EFC"/>
    <w:rsid w:val="009C2FFD"/>
    <w:rsid w:val="009C3D96"/>
    <w:rsid w:val="009C6307"/>
    <w:rsid w:val="009C668E"/>
    <w:rsid w:val="009C6B00"/>
    <w:rsid w:val="009C71BB"/>
    <w:rsid w:val="009C7B2B"/>
    <w:rsid w:val="009D0FD9"/>
    <w:rsid w:val="009D3277"/>
    <w:rsid w:val="009D3BD0"/>
    <w:rsid w:val="009D513C"/>
    <w:rsid w:val="009E0520"/>
    <w:rsid w:val="009E2C75"/>
    <w:rsid w:val="009E4832"/>
    <w:rsid w:val="009E570F"/>
    <w:rsid w:val="009E6FB5"/>
    <w:rsid w:val="009F029C"/>
    <w:rsid w:val="009F0627"/>
    <w:rsid w:val="009F1157"/>
    <w:rsid w:val="009F1510"/>
    <w:rsid w:val="009F1541"/>
    <w:rsid w:val="009F1A57"/>
    <w:rsid w:val="009F34C2"/>
    <w:rsid w:val="009F40CE"/>
    <w:rsid w:val="009F4345"/>
    <w:rsid w:val="009F4E41"/>
    <w:rsid w:val="00A0015F"/>
    <w:rsid w:val="00A0020F"/>
    <w:rsid w:val="00A00C70"/>
    <w:rsid w:val="00A0108B"/>
    <w:rsid w:val="00A01CE2"/>
    <w:rsid w:val="00A02ED0"/>
    <w:rsid w:val="00A02F87"/>
    <w:rsid w:val="00A03BB4"/>
    <w:rsid w:val="00A046F3"/>
    <w:rsid w:val="00A047C5"/>
    <w:rsid w:val="00A1056E"/>
    <w:rsid w:val="00A119B9"/>
    <w:rsid w:val="00A1249B"/>
    <w:rsid w:val="00A12A60"/>
    <w:rsid w:val="00A1614B"/>
    <w:rsid w:val="00A1660A"/>
    <w:rsid w:val="00A2066A"/>
    <w:rsid w:val="00A21227"/>
    <w:rsid w:val="00A21392"/>
    <w:rsid w:val="00A22C8A"/>
    <w:rsid w:val="00A23221"/>
    <w:rsid w:val="00A252DF"/>
    <w:rsid w:val="00A26E79"/>
    <w:rsid w:val="00A31A45"/>
    <w:rsid w:val="00A31DE0"/>
    <w:rsid w:val="00A32002"/>
    <w:rsid w:val="00A32508"/>
    <w:rsid w:val="00A351A0"/>
    <w:rsid w:val="00A3568F"/>
    <w:rsid w:val="00A36A96"/>
    <w:rsid w:val="00A36D92"/>
    <w:rsid w:val="00A377CD"/>
    <w:rsid w:val="00A379BD"/>
    <w:rsid w:val="00A37D27"/>
    <w:rsid w:val="00A4270E"/>
    <w:rsid w:val="00A44AD2"/>
    <w:rsid w:val="00A4561E"/>
    <w:rsid w:val="00A4573B"/>
    <w:rsid w:val="00A46EA5"/>
    <w:rsid w:val="00A479FB"/>
    <w:rsid w:val="00A518B0"/>
    <w:rsid w:val="00A52877"/>
    <w:rsid w:val="00A537FC"/>
    <w:rsid w:val="00A561E8"/>
    <w:rsid w:val="00A56842"/>
    <w:rsid w:val="00A616C5"/>
    <w:rsid w:val="00A61CA3"/>
    <w:rsid w:val="00A63017"/>
    <w:rsid w:val="00A64448"/>
    <w:rsid w:val="00A654AD"/>
    <w:rsid w:val="00A674F2"/>
    <w:rsid w:val="00A71652"/>
    <w:rsid w:val="00A71675"/>
    <w:rsid w:val="00A73818"/>
    <w:rsid w:val="00A73CA7"/>
    <w:rsid w:val="00A7427D"/>
    <w:rsid w:val="00A74F6E"/>
    <w:rsid w:val="00A75B4C"/>
    <w:rsid w:val="00A76476"/>
    <w:rsid w:val="00A76CED"/>
    <w:rsid w:val="00A77692"/>
    <w:rsid w:val="00A77A7F"/>
    <w:rsid w:val="00A80840"/>
    <w:rsid w:val="00A8085C"/>
    <w:rsid w:val="00A827FE"/>
    <w:rsid w:val="00A8562F"/>
    <w:rsid w:val="00A90AD2"/>
    <w:rsid w:val="00A920A8"/>
    <w:rsid w:val="00A92252"/>
    <w:rsid w:val="00A93494"/>
    <w:rsid w:val="00A93EE1"/>
    <w:rsid w:val="00A93F70"/>
    <w:rsid w:val="00A9405C"/>
    <w:rsid w:val="00A9418A"/>
    <w:rsid w:val="00A941D2"/>
    <w:rsid w:val="00A953B2"/>
    <w:rsid w:val="00A96F71"/>
    <w:rsid w:val="00A9730D"/>
    <w:rsid w:val="00AA318E"/>
    <w:rsid w:val="00AA517C"/>
    <w:rsid w:val="00AA7731"/>
    <w:rsid w:val="00AB0368"/>
    <w:rsid w:val="00AB265D"/>
    <w:rsid w:val="00AB409A"/>
    <w:rsid w:val="00AB43E0"/>
    <w:rsid w:val="00AB5A0C"/>
    <w:rsid w:val="00AB5DF9"/>
    <w:rsid w:val="00AB78A7"/>
    <w:rsid w:val="00AC1EB9"/>
    <w:rsid w:val="00AC5AED"/>
    <w:rsid w:val="00AD1F56"/>
    <w:rsid w:val="00AD3BE5"/>
    <w:rsid w:val="00AD3EEE"/>
    <w:rsid w:val="00AD4DAF"/>
    <w:rsid w:val="00AD4DCB"/>
    <w:rsid w:val="00AD5CC4"/>
    <w:rsid w:val="00AD6ADB"/>
    <w:rsid w:val="00AE0161"/>
    <w:rsid w:val="00AE1498"/>
    <w:rsid w:val="00AE37CB"/>
    <w:rsid w:val="00AE4DCD"/>
    <w:rsid w:val="00AE6F43"/>
    <w:rsid w:val="00AE6FCF"/>
    <w:rsid w:val="00AE7C08"/>
    <w:rsid w:val="00AF0E19"/>
    <w:rsid w:val="00AF0EC6"/>
    <w:rsid w:val="00AF1E1B"/>
    <w:rsid w:val="00AF1FEC"/>
    <w:rsid w:val="00AF2299"/>
    <w:rsid w:val="00AF33C1"/>
    <w:rsid w:val="00AF3484"/>
    <w:rsid w:val="00AF421E"/>
    <w:rsid w:val="00AF4972"/>
    <w:rsid w:val="00AF49CD"/>
    <w:rsid w:val="00AF688A"/>
    <w:rsid w:val="00B008BD"/>
    <w:rsid w:val="00B00AD9"/>
    <w:rsid w:val="00B00B67"/>
    <w:rsid w:val="00B00BC1"/>
    <w:rsid w:val="00B0126B"/>
    <w:rsid w:val="00B01CA7"/>
    <w:rsid w:val="00B023E0"/>
    <w:rsid w:val="00B03FD4"/>
    <w:rsid w:val="00B0496F"/>
    <w:rsid w:val="00B05395"/>
    <w:rsid w:val="00B059BC"/>
    <w:rsid w:val="00B05C87"/>
    <w:rsid w:val="00B062A1"/>
    <w:rsid w:val="00B0772F"/>
    <w:rsid w:val="00B10140"/>
    <w:rsid w:val="00B10715"/>
    <w:rsid w:val="00B117C6"/>
    <w:rsid w:val="00B11EC3"/>
    <w:rsid w:val="00B12216"/>
    <w:rsid w:val="00B13899"/>
    <w:rsid w:val="00B13DFF"/>
    <w:rsid w:val="00B1458C"/>
    <w:rsid w:val="00B1739A"/>
    <w:rsid w:val="00B1756D"/>
    <w:rsid w:val="00B177A2"/>
    <w:rsid w:val="00B22E21"/>
    <w:rsid w:val="00B23644"/>
    <w:rsid w:val="00B25D75"/>
    <w:rsid w:val="00B25DB5"/>
    <w:rsid w:val="00B26CD5"/>
    <w:rsid w:val="00B301AB"/>
    <w:rsid w:val="00B34D7D"/>
    <w:rsid w:val="00B34F16"/>
    <w:rsid w:val="00B3542A"/>
    <w:rsid w:val="00B35D8E"/>
    <w:rsid w:val="00B36DC9"/>
    <w:rsid w:val="00B402E5"/>
    <w:rsid w:val="00B41E48"/>
    <w:rsid w:val="00B43223"/>
    <w:rsid w:val="00B443BB"/>
    <w:rsid w:val="00B467CB"/>
    <w:rsid w:val="00B469E5"/>
    <w:rsid w:val="00B478FE"/>
    <w:rsid w:val="00B51185"/>
    <w:rsid w:val="00B540C3"/>
    <w:rsid w:val="00B54FAB"/>
    <w:rsid w:val="00B5621D"/>
    <w:rsid w:val="00B6060D"/>
    <w:rsid w:val="00B62EA7"/>
    <w:rsid w:val="00B636B2"/>
    <w:rsid w:val="00B63F4B"/>
    <w:rsid w:val="00B67CD5"/>
    <w:rsid w:val="00B72C7C"/>
    <w:rsid w:val="00B733C2"/>
    <w:rsid w:val="00B738A1"/>
    <w:rsid w:val="00B75321"/>
    <w:rsid w:val="00B75665"/>
    <w:rsid w:val="00B75BC8"/>
    <w:rsid w:val="00B7608E"/>
    <w:rsid w:val="00B809B9"/>
    <w:rsid w:val="00B809CD"/>
    <w:rsid w:val="00B81B6C"/>
    <w:rsid w:val="00B826DA"/>
    <w:rsid w:val="00B82A3E"/>
    <w:rsid w:val="00B83FE9"/>
    <w:rsid w:val="00B84823"/>
    <w:rsid w:val="00B853E5"/>
    <w:rsid w:val="00B856A9"/>
    <w:rsid w:val="00B861BA"/>
    <w:rsid w:val="00B865F9"/>
    <w:rsid w:val="00B87317"/>
    <w:rsid w:val="00B87A6D"/>
    <w:rsid w:val="00B91279"/>
    <w:rsid w:val="00B91D02"/>
    <w:rsid w:val="00B929C6"/>
    <w:rsid w:val="00B938F2"/>
    <w:rsid w:val="00B95263"/>
    <w:rsid w:val="00B96A90"/>
    <w:rsid w:val="00B97878"/>
    <w:rsid w:val="00BA2E15"/>
    <w:rsid w:val="00BA38E7"/>
    <w:rsid w:val="00BA47CC"/>
    <w:rsid w:val="00BA4898"/>
    <w:rsid w:val="00BA5D4B"/>
    <w:rsid w:val="00BA6CC9"/>
    <w:rsid w:val="00BB1563"/>
    <w:rsid w:val="00BB1AC1"/>
    <w:rsid w:val="00BB1CE9"/>
    <w:rsid w:val="00BB2B71"/>
    <w:rsid w:val="00BB3953"/>
    <w:rsid w:val="00BB560E"/>
    <w:rsid w:val="00BB7658"/>
    <w:rsid w:val="00BC1D80"/>
    <w:rsid w:val="00BC1EA5"/>
    <w:rsid w:val="00BC1F5B"/>
    <w:rsid w:val="00BC2FE1"/>
    <w:rsid w:val="00BC31E1"/>
    <w:rsid w:val="00BC3915"/>
    <w:rsid w:val="00BC39BA"/>
    <w:rsid w:val="00BC560D"/>
    <w:rsid w:val="00BC5A13"/>
    <w:rsid w:val="00BC5C52"/>
    <w:rsid w:val="00BC6036"/>
    <w:rsid w:val="00BC63F1"/>
    <w:rsid w:val="00BC6E26"/>
    <w:rsid w:val="00BC72DB"/>
    <w:rsid w:val="00BD02E3"/>
    <w:rsid w:val="00BD0CA4"/>
    <w:rsid w:val="00BD39DA"/>
    <w:rsid w:val="00BD5C71"/>
    <w:rsid w:val="00BE0066"/>
    <w:rsid w:val="00BE0E6E"/>
    <w:rsid w:val="00BE144B"/>
    <w:rsid w:val="00BE316C"/>
    <w:rsid w:val="00BE4617"/>
    <w:rsid w:val="00BE56E6"/>
    <w:rsid w:val="00BE680E"/>
    <w:rsid w:val="00BE7AB5"/>
    <w:rsid w:val="00BF0B16"/>
    <w:rsid w:val="00BF1068"/>
    <w:rsid w:val="00BF2461"/>
    <w:rsid w:val="00BF27B6"/>
    <w:rsid w:val="00BF5A24"/>
    <w:rsid w:val="00BF6FFF"/>
    <w:rsid w:val="00BF7C00"/>
    <w:rsid w:val="00BF7CED"/>
    <w:rsid w:val="00C00BD1"/>
    <w:rsid w:val="00C00C48"/>
    <w:rsid w:val="00C017DA"/>
    <w:rsid w:val="00C018D4"/>
    <w:rsid w:val="00C031DA"/>
    <w:rsid w:val="00C042A7"/>
    <w:rsid w:val="00C042C9"/>
    <w:rsid w:val="00C054B0"/>
    <w:rsid w:val="00C100E2"/>
    <w:rsid w:val="00C10E75"/>
    <w:rsid w:val="00C11249"/>
    <w:rsid w:val="00C11DE8"/>
    <w:rsid w:val="00C12369"/>
    <w:rsid w:val="00C12947"/>
    <w:rsid w:val="00C14E0E"/>
    <w:rsid w:val="00C150A0"/>
    <w:rsid w:val="00C1532D"/>
    <w:rsid w:val="00C210A5"/>
    <w:rsid w:val="00C224F7"/>
    <w:rsid w:val="00C22A46"/>
    <w:rsid w:val="00C22CB7"/>
    <w:rsid w:val="00C237AC"/>
    <w:rsid w:val="00C2430B"/>
    <w:rsid w:val="00C26EC8"/>
    <w:rsid w:val="00C3009A"/>
    <w:rsid w:val="00C3171E"/>
    <w:rsid w:val="00C329B4"/>
    <w:rsid w:val="00C34718"/>
    <w:rsid w:val="00C349EA"/>
    <w:rsid w:val="00C358EC"/>
    <w:rsid w:val="00C36607"/>
    <w:rsid w:val="00C3691B"/>
    <w:rsid w:val="00C408D9"/>
    <w:rsid w:val="00C410D2"/>
    <w:rsid w:val="00C414F9"/>
    <w:rsid w:val="00C41DAB"/>
    <w:rsid w:val="00C421E1"/>
    <w:rsid w:val="00C42771"/>
    <w:rsid w:val="00C42931"/>
    <w:rsid w:val="00C43B58"/>
    <w:rsid w:val="00C506B5"/>
    <w:rsid w:val="00C50E3A"/>
    <w:rsid w:val="00C51FBF"/>
    <w:rsid w:val="00C53358"/>
    <w:rsid w:val="00C5515A"/>
    <w:rsid w:val="00C55206"/>
    <w:rsid w:val="00C56208"/>
    <w:rsid w:val="00C61094"/>
    <w:rsid w:val="00C61725"/>
    <w:rsid w:val="00C62EBC"/>
    <w:rsid w:val="00C6389C"/>
    <w:rsid w:val="00C64FE4"/>
    <w:rsid w:val="00C65BF3"/>
    <w:rsid w:val="00C720E1"/>
    <w:rsid w:val="00C73F1F"/>
    <w:rsid w:val="00C75272"/>
    <w:rsid w:val="00C829AF"/>
    <w:rsid w:val="00C82F90"/>
    <w:rsid w:val="00C8416C"/>
    <w:rsid w:val="00C84694"/>
    <w:rsid w:val="00C8578D"/>
    <w:rsid w:val="00C8784A"/>
    <w:rsid w:val="00C90686"/>
    <w:rsid w:val="00C907FB"/>
    <w:rsid w:val="00C909E6"/>
    <w:rsid w:val="00C92E47"/>
    <w:rsid w:val="00C932B5"/>
    <w:rsid w:val="00C93313"/>
    <w:rsid w:val="00C94958"/>
    <w:rsid w:val="00C978E3"/>
    <w:rsid w:val="00C97915"/>
    <w:rsid w:val="00C97BCD"/>
    <w:rsid w:val="00CA0A3D"/>
    <w:rsid w:val="00CA1ED9"/>
    <w:rsid w:val="00CA3E2F"/>
    <w:rsid w:val="00CA3EBF"/>
    <w:rsid w:val="00CA3EF9"/>
    <w:rsid w:val="00CA73C4"/>
    <w:rsid w:val="00CA75AC"/>
    <w:rsid w:val="00CB0506"/>
    <w:rsid w:val="00CB0AC7"/>
    <w:rsid w:val="00CB0E24"/>
    <w:rsid w:val="00CB2297"/>
    <w:rsid w:val="00CB2CA6"/>
    <w:rsid w:val="00CB57CE"/>
    <w:rsid w:val="00CB5C1E"/>
    <w:rsid w:val="00CB616E"/>
    <w:rsid w:val="00CB6194"/>
    <w:rsid w:val="00CB737A"/>
    <w:rsid w:val="00CC102B"/>
    <w:rsid w:val="00CC2381"/>
    <w:rsid w:val="00CC2A60"/>
    <w:rsid w:val="00CC3070"/>
    <w:rsid w:val="00CC3D31"/>
    <w:rsid w:val="00CC437F"/>
    <w:rsid w:val="00CC43AF"/>
    <w:rsid w:val="00CC4549"/>
    <w:rsid w:val="00CD073C"/>
    <w:rsid w:val="00CD4270"/>
    <w:rsid w:val="00CD4D69"/>
    <w:rsid w:val="00CD71E8"/>
    <w:rsid w:val="00CE0155"/>
    <w:rsid w:val="00CE0A32"/>
    <w:rsid w:val="00CE1850"/>
    <w:rsid w:val="00CE23A5"/>
    <w:rsid w:val="00CE30B1"/>
    <w:rsid w:val="00CE4F73"/>
    <w:rsid w:val="00CE5A5A"/>
    <w:rsid w:val="00CE5BDF"/>
    <w:rsid w:val="00CE5D9E"/>
    <w:rsid w:val="00CE7ECA"/>
    <w:rsid w:val="00CF00D5"/>
    <w:rsid w:val="00CF0337"/>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07337"/>
    <w:rsid w:val="00D1000B"/>
    <w:rsid w:val="00D10AA3"/>
    <w:rsid w:val="00D13079"/>
    <w:rsid w:val="00D13DCE"/>
    <w:rsid w:val="00D15248"/>
    <w:rsid w:val="00D15510"/>
    <w:rsid w:val="00D16E11"/>
    <w:rsid w:val="00D176A2"/>
    <w:rsid w:val="00D20075"/>
    <w:rsid w:val="00D23760"/>
    <w:rsid w:val="00D23AFB"/>
    <w:rsid w:val="00D23C43"/>
    <w:rsid w:val="00D24C05"/>
    <w:rsid w:val="00D25DE3"/>
    <w:rsid w:val="00D315C0"/>
    <w:rsid w:val="00D315F3"/>
    <w:rsid w:val="00D34C37"/>
    <w:rsid w:val="00D34E39"/>
    <w:rsid w:val="00D3534C"/>
    <w:rsid w:val="00D354F4"/>
    <w:rsid w:val="00D3552A"/>
    <w:rsid w:val="00D4002E"/>
    <w:rsid w:val="00D407DE"/>
    <w:rsid w:val="00D40CEC"/>
    <w:rsid w:val="00D41738"/>
    <w:rsid w:val="00D433B3"/>
    <w:rsid w:val="00D443CC"/>
    <w:rsid w:val="00D46894"/>
    <w:rsid w:val="00D507F4"/>
    <w:rsid w:val="00D52BE8"/>
    <w:rsid w:val="00D54F3B"/>
    <w:rsid w:val="00D55C10"/>
    <w:rsid w:val="00D56C31"/>
    <w:rsid w:val="00D579A2"/>
    <w:rsid w:val="00D600B3"/>
    <w:rsid w:val="00D6358F"/>
    <w:rsid w:val="00D63CC3"/>
    <w:rsid w:val="00D63E91"/>
    <w:rsid w:val="00D732E5"/>
    <w:rsid w:val="00D73B09"/>
    <w:rsid w:val="00D742E1"/>
    <w:rsid w:val="00D74463"/>
    <w:rsid w:val="00D7582F"/>
    <w:rsid w:val="00D75C7C"/>
    <w:rsid w:val="00D761F0"/>
    <w:rsid w:val="00D76A57"/>
    <w:rsid w:val="00D772DE"/>
    <w:rsid w:val="00D80198"/>
    <w:rsid w:val="00D8507B"/>
    <w:rsid w:val="00D85F8E"/>
    <w:rsid w:val="00D8652C"/>
    <w:rsid w:val="00D914A6"/>
    <w:rsid w:val="00D92C31"/>
    <w:rsid w:val="00D92FC9"/>
    <w:rsid w:val="00D9330F"/>
    <w:rsid w:val="00D93B29"/>
    <w:rsid w:val="00D944E2"/>
    <w:rsid w:val="00D950F2"/>
    <w:rsid w:val="00D971A1"/>
    <w:rsid w:val="00DA03D7"/>
    <w:rsid w:val="00DA1387"/>
    <w:rsid w:val="00DA4E23"/>
    <w:rsid w:val="00DA63B8"/>
    <w:rsid w:val="00DA6417"/>
    <w:rsid w:val="00DA6860"/>
    <w:rsid w:val="00DB0858"/>
    <w:rsid w:val="00DB0F37"/>
    <w:rsid w:val="00DB14BB"/>
    <w:rsid w:val="00DB26F2"/>
    <w:rsid w:val="00DB380C"/>
    <w:rsid w:val="00DB5C83"/>
    <w:rsid w:val="00DB5F70"/>
    <w:rsid w:val="00DB60F3"/>
    <w:rsid w:val="00DB6B5A"/>
    <w:rsid w:val="00DB7E76"/>
    <w:rsid w:val="00DC1ACB"/>
    <w:rsid w:val="00DC2510"/>
    <w:rsid w:val="00DC43C6"/>
    <w:rsid w:val="00DC59C1"/>
    <w:rsid w:val="00DC5FD4"/>
    <w:rsid w:val="00DC775F"/>
    <w:rsid w:val="00DC7921"/>
    <w:rsid w:val="00DD0A9E"/>
    <w:rsid w:val="00DD32AF"/>
    <w:rsid w:val="00DD4FE5"/>
    <w:rsid w:val="00DD5E9A"/>
    <w:rsid w:val="00DD6EE9"/>
    <w:rsid w:val="00DE1945"/>
    <w:rsid w:val="00DE49FC"/>
    <w:rsid w:val="00DE5DD6"/>
    <w:rsid w:val="00DF15FA"/>
    <w:rsid w:val="00DF2F5C"/>
    <w:rsid w:val="00DF3530"/>
    <w:rsid w:val="00DF558F"/>
    <w:rsid w:val="00DF55B1"/>
    <w:rsid w:val="00DF6274"/>
    <w:rsid w:val="00DF6D2A"/>
    <w:rsid w:val="00DF7B8A"/>
    <w:rsid w:val="00E0238B"/>
    <w:rsid w:val="00E06513"/>
    <w:rsid w:val="00E06D2A"/>
    <w:rsid w:val="00E1169E"/>
    <w:rsid w:val="00E119A2"/>
    <w:rsid w:val="00E12DE5"/>
    <w:rsid w:val="00E130DB"/>
    <w:rsid w:val="00E13D05"/>
    <w:rsid w:val="00E148B9"/>
    <w:rsid w:val="00E16FDA"/>
    <w:rsid w:val="00E20573"/>
    <w:rsid w:val="00E20A47"/>
    <w:rsid w:val="00E21DF0"/>
    <w:rsid w:val="00E2309E"/>
    <w:rsid w:val="00E23A7C"/>
    <w:rsid w:val="00E23B0B"/>
    <w:rsid w:val="00E23C4C"/>
    <w:rsid w:val="00E26491"/>
    <w:rsid w:val="00E31781"/>
    <w:rsid w:val="00E3316F"/>
    <w:rsid w:val="00E33679"/>
    <w:rsid w:val="00E34032"/>
    <w:rsid w:val="00E35197"/>
    <w:rsid w:val="00E3629C"/>
    <w:rsid w:val="00E37CB1"/>
    <w:rsid w:val="00E37EBB"/>
    <w:rsid w:val="00E41A39"/>
    <w:rsid w:val="00E439DF"/>
    <w:rsid w:val="00E44356"/>
    <w:rsid w:val="00E44DE9"/>
    <w:rsid w:val="00E464F5"/>
    <w:rsid w:val="00E51231"/>
    <w:rsid w:val="00E512B9"/>
    <w:rsid w:val="00E57433"/>
    <w:rsid w:val="00E60E29"/>
    <w:rsid w:val="00E6140A"/>
    <w:rsid w:val="00E616C9"/>
    <w:rsid w:val="00E639CA"/>
    <w:rsid w:val="00E63B7F"/>
    <w:rsid w:val="00E651B5"/>
    <w:rsid w:val="00E66CEB"/>
    <w:rsid w:val="00E67C7F"/>
    <w:rsid w:val="00E706BC"/>
    <w:rsid w:val="00E7154B"/>
    <w:rsid w:val="00E71A92"/>
    <w:rsid w:val="00E72289"/>
    <w:rsid w:val="00E7336B"/>
    <w:rsid w:val="00E73BA7"/>
    <w:rsid w:val="00E76525"/>
    <w:rsid w:val="00E770BD"/>
    <w:rsid w:val="00E77E30"/>
    <w:rsid w:val="00E80FB5"/>
    <w:rsid w:val="00E829A1"/>
    <w:rsid w:val="00E839B5"/>
    <w:rsid w:val="00E85D20"/>
    <w:rsid w:val="00E86942"/>
    <w:rsid w:val="00E90521"/>
    <w:rsid w:val="00E91556"/>
    <w:rsid w:val="00E92BD2"/>
    <w:rsid w:val="00E93428"/>
    <w:rsid w:val="00E93C5B"/>
    <w:rsid w:val="00E94D01"/>
    <w:rsid w:val="00E955BC"/>
    <w:rsid w:val="00E96EF9"/>
    <w:rsid w:val="00E9795C"/>
    <w:rsid w:val="00EA42EC"/>
    <w:rsid w:val="00EA5D5C"/>
    <w:rsid w:val="00EB2242"/>
    <w:rsid w:val="00EB37C3"/>
    <w:rsid w:val="00EB38D0"/>
    <w:rsid w:val="00EB3F04"/>
    <w:rsid w:val="00EC3092"/>
    <w:rsid w:val="00EC4BE7"/>
    <w:rsid w:val="00EC4C1B"/>
    <w:rsid w:val="00EC4EE9"/>
    <w:rsid w:val="00EC5321"/>
    <w:rsid w:val="00EC5715"/>
    <w:rsid w:val="00EC5B83"/>
    <w:rsid w:val="00EC6077"/>
    <w:rsid w:val="00EC6583"/>
    <w:rsid w:val="00EC6897"/>
    <w:rsid w:val="00EC6B9A"/>
    <w:rsid w:val="00ED1C74"/>
    <w:rsid w:val="00ED4FF9"/>
    <w:rsid w:val="00ED7CAE"/>
    <w:rsid w:val="00EE0DCE"/>
    <w:rsid w:val="00EE35C1"/>
    <w:rsid w:val="00EE3A55"/>
    <w:rsid w:val="00EE5A55"/>
    <w:rsid w:val="00EE6555"/>
    <w:rsid w:val="00EF0449"/>
    <w:rsid w:val="00EF2D7C"/>
    <w:rsid w:val="00EF3D53"/>
    <w:rsid w:val="00EF4097"/>
    <w:rsid w:val="00EF5EB2"/>
    <w:rsid w:val="00EF623F"/>
    <w:rsid w:val="00F0018D"/>
    <w:rsid w:val="00F001E2"/>
    <w:rsid w:val="00F02945"/>
    <w:rsid w:val="00F02CC2"/>
    <w:rsid w:val="00F02F82"/>
    <w:rsid w:val="00F02FB9"/>
    <w:rsid w:val="00F04785"/>
    <w:rsid w:val="00F04914"/>
    <w:rsid w:val="00F05490"/>
    <w:rsid w:val="00F054A4"/>
    <w:rsid w:val="00F06CBB"/>
    <w:rsid w:val="00F06E4E"/>
    <w:rsid w:val="00F07C7C"/>
    <w:rsid w:val="00F11D60"/>
    <w:rsid w:val="00F1278A"/>
    <w:rsid w:val="00F1651B"/>
    <w:rsid w:val="00F16792"/>
    <w:rsid w:val="00F20E6F"/>
    <w:rsid w:val="00F2284D"/>
    <w:rsid w:val="00F22B9A"/>
    <w:rsid w:val="00F22F32"/>
    <w:rsid w:val="00F23292"/>
    <w:rsid w:val="00F2373C"/>
    <w:rsid w:val="00F239D3"/>
    <w:rsid w:val="00F2523B"/>
    <w:rsid w:val="00F27D2C"/>
    <w:rsid w:val="00F30AAA"/>
    <w:rsid w:val="00F32BC2"/>
    <w:rsid w:val="00F33E38"/>
    <w:rsid w:val="00F3418D"/>
    <w:rsid w:val="00F3645E"/>
    <w:rsid w:val="00F36FB3"/>
    <w:rsid w:val="00F37420"/>
    <w:rsid w:val="00F4020C"/>
    <w:rsid w:val="00F43605"/>
    <w:rsid w:val="00F45FE2"/>
    <w:rsid w:val="00F46586"/>
    <w:rsid w:val="00F473C7"/>
    <w:rsid w:val="00F501A1"/>
    <w:rsid w:val="00F50765"/>
    <w:rsid w:val="00F52E1F"/>
    <w:rsid w:val="00F53299"/>
    <w:rsid w:val="00F53BF5"/>
    <w:rsid w:val="00F550E7"/>
    <w:rsid w:val="00F56C1B"/>
    <w:rsid w:val="00F57E0E"/>
    <w:rsid w:val="00F600EB"/>
    <w:rsid w:val="00F601A5"/>
    <w:rsid w:val="00F603C2"/>
    <w:rsid w:val="00F6186B"/>
    <w:rsid w:val="00F6275D"/>
    <w:rsid w:val="00F62CB0"/>
    <w:rsid w:val="00F62DA0"/>
    <w:rsid w:val="00F64279"/>
    <w:rsid w:val="00F65597"/>
    <w:rsid w:val="00F65661"/>
    <w:rsid w:val="00F65857"/>
    <w:rsid w:val="00F66111"/>
    <w:rsid w:val="00F66117"/>
    <w:rsid w:val="00F6656C"/>
    <w:rsid w:val="00F7348C"/>
    <w:rsid w:val="00F74418"/>
    <w:rsid w:val="00F75963"/>
    <w:rsid w:val="00F76EC6"/>
    <w:rsid w:val="00F804F1"/>
    <w:rsid w:val="00F824D0"/>
    <w:rsid w:val="00F82BBF"/>
    <w:rsid w:val="00F835EF"/>
    <w:rsid w:val="00F83772"/>
    <w:rsid w:val="00F84DB1"/>
    <w:rsid w:val="00F8599C"/>
    <w:rsid w:val="00F8691B"/>
    <w:rsid w:val="00F90798"/>
    <w:rsid w:val="00F90E6A"/>
    <w:rsid w:val="00F92349"/>
    <w:rsid w:val="00F94989"/>
    <w:rsid w:val="00F95259"/>
    <w:rsid w:val="00F96EDF"/>
    <w:rsid w:val="00FA1172"/>
    <w:rsid w:val="00FA2117"/>
    <w:rsid w:val="00FA3994"/>
    <w:rsid w:val="00FA3BF6"/>
    <w:rsid w:val="00FA3F96"/>
    <w:rsid w:val="00FA4930"/>
    <w:rsid w:val="00FA66EA"/>
    <w:rsid w:val="00FA6DD7"/>
    <w:rsid w:val="00FA749C"/>
    <w:rsid w:val="00FA7F63"/>
    <w:rsid w:val="00FB2E85"/>
    <w:rsid w:val="00FB421B"/>
    <w:rsid w:val="00FB47BD"/>
    <w:rsid w:val="00FB6CD1"/>
    <w:rsid w:val="00FC4079"/>
    <w:rsid w:val="00FC46E6"/>
    <w:rsid w:val="00FC4DA0"/>
    <w:rsid w:val="00FC5C7D"/>
    <w:rsid w:val="00FC682F"/>
    <w:rsid w:val="00FD01A4"/>
    <w:rsid w:val="00FD0ECB"/>
    <w:rsid w:val="00FD109B"/>
    <w:rsid w:val="00FD1BF5"/>
    <w:rsid w:val="00FD22A0"/>
    <w:rsid w:val="00FD252F"/>
    <w:rsid w:val="00FD30AF"/>
    <w:rsid w:val="00FD3E98"/>
    <w:rsid w:val="00FD4FBC"/>
    <w:rsid w:val="00FD5F7C"/>
    <w:rsid w:val="00FD7525"/>
    <w:rsid w:val="00FD76EE"/>
    <w:rsid w:val="00FD7729"/>
    <w:rsid w:val="00FE0059"/>
    <w:rsid w:val="00FE095E"/>
    <w:rsid w:val="00FE21F9"/>
    <w:rsid w:val="00FE2806"/>
    <w:rsid w:val="00FE30B7"/>
    <w:rsid w:val="00FE4DB8"/>
    <w:rsid w:val="00FE76A7"/>
    <w:rsid w:val="00FF00A5"/>
    <w:rsid w:val="00FF0CC3"/>
    <w:rsid w:val="00FF1968"/>
    <w:rsid w:val="00FF29F5"/>
    <w:rsid w:val="00FF36AD"/>
    <w:rsid w:val="00FF3ED2"/>
    <w:rsid w:val="00FF41B3"/>
    <w:rsid w:val="00FF47B4"/>
    <w:rsid w:val="00FF73BF"/>
    <w:rsid w:val="00FF7981"/>
    <w:rsid w:val="00FF7E0A"/>
    <w:rsid w:val="01281A93"/>
    <w:rsid w:val="0222795D"/>
    <w:rsid w:val="0273086B"/>
    <w:rsid w:val="02B33080"/>
    <w:rsid w:val="03516C2A"/>
    <w:rsid w:val="03985C7D"/>
    <w:rsid w:val="039A405D"/>
    <w:rsid w:val="03D72DE7"/>
    <w:rsid w:val="04B31573"/>
    <w:rsid w:val="05241B93"/>
    <w:rsid w:val="057712E0"/>
    <w:rsid w:val="0659602B"/>
    <w:rsid w:val="068124F2"/>
    <w:rsid w:val="080028EE"/>
    <w:rsid w:val="08D74FC5"/>
    <w:rsid w:val="08FD0388"/>
    <w:rsid w:val="09630D8D"/>
    <w:rsid w:val="09C71513"/>
    <w:rsid w:val="09D300D1"/>
    <w:rsid w:val="0A4C3E0F"/>
    <w:rsid w:val="0A8F02C9"/>
    <w:rsid w:val="0C094F89"/>
    <w:rsid w:val="0C145AEF"/>
    <w:rsid w:val="0C30025C"/>
    <w:rsid w:val="0D7B6C02"/>
    <w:rsid w:val="0EDB787F"/>
    <w:rsid w:val="0FA61452"/>
    <w:rsid w:val="0FB466B0"/>
    <w:rsid w:val="118D1C38"/>
    <w:rsid w:val="11F37030"/>
    <w:rsid w:val="12062478"/>
    <w:rsid w:val="124962F0"/>
    <w:rsid w:val="1250401C"/>
    <w:rsid w:val="132035A6"/>
    <w:rsid w:val="13270AAD"/>
    <w:rsid w:val="140E6614"/>
    <w:rsid w:val="14B552DF"/>
    <w:rsid w:val="152F2F86"/>
    <w:rsid w:val="15B80938"/>
    <w:rsid w:val="16CB6554"/>
    <w:rsid w:val="16E24139"/>
    <w:rsid w:val="170F0C33"/>
    <w:rsid w:val="17497BA2"/>
    <w:rsid w:val="175427B6"/>
    <w:rsid w:val="180B15DA"/>
    <w:rsid w:val="181D3C99"/>
    <w:rsid w:val="199B70C1"/>
    <w:rsid w:val="1A6E1B33"/>
    <w:rsid w:val="1A7600F5"/>
    <w:rsid w:val="1ACC2C07"/>
    <w:rsid w:val="1B50328A"/>
    <w:rsid w:val="1B5B21F6"/>
    <w:rsid w:val="1B896C48"/>
    <w:rsid w:val="1BBE19E0"/>
    <w:rsid w:val="1C3B44E8"/>
    <w:rsid w:val="1D157D7A"/>
    <w:rsid w:val="1D78034B"/>
    <w:rsid w:val="1DB40E63"/>
    <w:rsid w:val="1E5148EB"/>
    <w:rsid w:val="1E841815"/>
    <w:rsid w:val="1F1A0C3B"/>
    <w:rsid w:val="1F2C732E"/>
    <w:rsid w:val="1F5972B0"/>
    <w:rsid w:val="1FAA075C"/>
    <w:rsid w:val="208F6258"/>
    <w:rsid w:val="21964DFD"/>
    <w:rsid w:val="21AB2385"/>
    <w:rsid w:val="239A6560"/>
    <w:rsid w:val="23F308EE"/>
    <w:rsid w:val="245360EB"/>
    <w:rsid w:val="247513A1"/>
    <w:rsid w:val="24FC7F7D"/>
    <w:rsid w:val="2524289E"/>
    <w:rsid w:val="25344C05"/>
    <w:rsid w:val="271F1233"/>
    <w:rsid w:val="27394EB2"/>
    <w:rsid w:val="27B02A42"/>
    <w:rsid w:val="281E70EA"/>
    <w:rsid w:val="28496DC7"/>
    <w:rsid w:val="29037CEC"/>
    <w:rsid w:val="290C056A"/>
    <w:rsid w:val="290F13E3"/>
    <w:rsid w:val="29732D2A"/>
    <w:rsid w:val="297629F2"/>
    <w:rsid w:val="2B0A25F1"/>
    <w:rsid w:val="2BDC13E8"/>
    <w:rsid w:val="2C2F6C5B"/>
    <w:rsid w:val="2CD425E5"/>
    <w:rsid w:val="2D4F0F38"/>
    <w:rsid w:val="2DC74CB6"/>
    <w:rsid w:val="2E5A18B6"/>
    <w:rsid w:val="2E9928E0"/>
    <w:rsid w:val="2EAD63A8"/>
    <w:rsid w:val="2EB95886"/>
    <w:rsid w:val="2EBE6008"/>
    <w:rsid w:val="2F4803A8"/>
    <w:rsid w:val="2F9E1B21"/>
    <w:rsid w:val="2FD7696A"/>
    <w:rsid w:val="301557AF"/>
    <w:rsid w:val="30A82D39"/>
    <w:rsid w:val="31110C1F"/>
    <w:rsid w:val="31731ED1"/>
    <w:rsid w:val="32B72893"/>
    <w:rsid w:val="32D71C99"/>
    <w:rsid w:val="32FC5E04"/>
    <w:rsid w:val="3309576B"/>
    <w:rsid w:val="337B6D0E"/>
    <w:rsid w:val="33856CD3"/>
    <w:rsid w:val="33A8297E"/>
    <w:rsid w:val="34820AFC"/>
    <w:rsid w:val="34BA2147"/>
    <w:rsid w:val="36306832"/>
    <w:rsid w:val="36483135"/>
    <w:rsid w:val="373C7CDF"/>
    <w:rsid w:val="37BE7040"/>
    <w:rsid w:val="389F5823"/>
    <w:rsid w:val="38EC0857"/>
    <w:rsid w:val="39477140"/>
    <w:rsid w:val="39924D42"/>
    <w:rsid w:val="39A4566F"/>
    <w:rsid w:val="39AA33F1"/>
    <w:rsid w:val="3A0A710D"/>
    <w:rsid w:val="3A3B6F95"/>
    <w:rsid w:val="3A7114AF"/>
    <w:rsid w:val="3AB94700"/>
    <w:rsid w:val="3B5B6D71"/>
    <w:rsid w:val="3B900DC8"/>
    <w:rsid w:val="3B981772"/>
    <w:rsid w:val="3BCD4780"/>
    <w:rsid w:val="3C421154"/>
    <w:rsid w:val="3CED4FAC"/>
    <w:rsid w:val="3D593E8C"/>
    <w:rsid w:val="3DAF1262"/>
    <w:rsid w:val="3E611883"/>
    <w:rsid w:val="3F5868E2"/>
    <w:rsid w:val="3F842C17"/>
    <w:rsid w:val="3FCE3382"/>
    <w:rsid w:val="4039719F"/>
    <w:rsid w:val="40FE18D7"/>
    <w:rsid w:val="41071E4D"/>
    <w:rsid w:val="421678CB"/>
    <w:rsid w:val="42834427"/>
    <w:rsid w:val="42A61B46"/>
    <w:rsid w:val="42B53FDE"/>
    <w:rsid w:val="42DB2BF2"/>
    <w:rsid w:val="430B100B"/>
    <w:rsid w:val="43312BF2"/>
    <w:rsid w:val="43D52B21"/>
    <w:rsid w:val="440C0C76"/>
    <w:rsid w:val="44976E5A"/>
    <w:rsid w:val="45F50E41"/>
    <w:rsid w:val="46164319"/>
    <w:rsid w:val="47472A18"/>
    <w:rsid w:val="475B6207"/>
    <w:rsid w:val="476B0FBA"/>
    <w:rsid w:val="478E5F3C"/>
    <w:rsid w:val="480E2214"/>
    <w:rsid w:val="48B81E35"/>
    <w:rsid w:val="49444BDC"/>
    <w:rsid w:val="4A43105C"/>
    <w:rsid w:val="4DA44ADF"/>
    <w:rsid w:val="4DC2042B"/>
    <w:rsid w:val="4DDE719A"/>
    <w:rsid w:val="4DFB2E3E"/>
    <w:rsid w:val="4EA10878"/>
    <w:rsid w:val="4F4B516F"/>
    <w:rsid w:val="4F755271"/>
    <w:rsid w:val="4FBE7BEA"/>
    <w:rsid w:val="50D80FF9"/>
    <w:rsid w:val="51265F87"/>
    <w:rsid w:val="514D1E63"/>
    <w:rsid w:val="51596929"/>
    <w:rsid w:val="51BC507B"/>
    <w:rsid w:val="52631353"/>
    <w:rsid w:val="52AF37C9"/>
    <w:rsid w:val="53942531"/>
    <w:rsid w:val="54B924DC"/>
    <w:rsid w:val="55F42094"/>
    <w:rsid w:val="58192794"/>
    <w:rsid w:val="58985265"/>
    <w:rsid w:val="58E66F69"/>
    <w:rsid w:val="59505D9C"/>
    <w:rsid w:val="597C7653"/>
    <w:rsid w:val="59893102"/>
    <w:rsid w:val="5990205B"/>
    <w:rsid w:val="59C65937"/>
    <w:rsid w:val="59E648CF"/>
    <w:rsid w:val="5B2E163E"/>
    <w:rsid w:val="5B4F2CD5"/>
    <w:rsid w:val="5B6414CE"/>
    <w:rsid w:val="5BC32BEB"/>
    <w:rsid w:val="5BE12C55"/>
    <w:rsid w:val="5BFC3D1F"/>
    <w:rsid w:val="5C603089"/>
    <w:rsid w:val="5CA443F9"/>
    <w:rsid w:val="5CA65081"/>
    <w:rsid w:val="5CBE4A16"/>
    <w:rsid w:val="5DCB066D"/>
    <w:rsid w:val="5E52066F"/>
    <w:rsid w:val="5F8B10A0"/>
    <w:rsid w:val="5F8F47E3"/>
    <w:rsid w:val="600052D9"/>
    <w:rsid w:val="60D32977"/>
    <w:rsid w:val="613715C7"/>
    <w:rsid w:val="626266A7"/>
    <w:rsid w:val="626A3A22"/>
    <w:rsid w:val="62E32DA4"/>
    <w:rsid w:val="63E00724"/>
    <w:rsid w:val="6478698A"/>
    <w:rsid w:val="650B1736"/>
    <w:rsid w:val="652D2AF4"/>
    <w:rsid w:val="654710AE"/>
    <w:rsid w:val="65A268A9"/>
    <w:rsid w:val="65B00BC4"/>
    <w:rsid w:val="66C343CE"/>
    <w:rsid w:val="66CA20DF"/>
    <w:rsid w:val="67341C19"/>
    <w:rsid w:val="673955E1"/>
    <w:rsid w:val="67440CAB"/>
    <w:rsid w:val="678A5E57"/>
    <w:rsid w:val="67B0300C"/>
    <w:rsid w:val="68122C54"/>
    <w:rsid w:val="685C2695"/>
    <w:rsid w:val="68B14C68"/>
    <w:rsid w:val="68C61866"/>
    <w:rsid w:val="6AA33BCA"/>
    <w:rsid w:val="6B0D446E"/>
    <w:rsid w:val="6BAB4E1D"/>
    <w:rsid w:val="6BE712D3"/>
    <w:rsid w:val="6C321222"/>
    <w:rsid w:val="6C3F217F"/>
    <w:rsid w:val="6D9E1B77"/>
    <w:rsid w:val="6E1D48F0"/>
    <w:rsid w:val="6E7A1830"/>
    <w:rsid w:val="6EB54C74"/>
    <w:rsid w:val="6ECE3EA8"/>
    <w:rsid w:val="6F0C3B6A"/>
    <w:rsid w:val="700B0DBE"/>
    <w:rsid w:val="71BD2C85"/>
    <w:rsid w:val="71C02CF2"/>
    <w:rsid w:val="7257796A"/>
    <w:rsid w:val="72AD05F6"/>
    <w:rsid w:val="72DE5608"/>
    <w:rsid w:val="72F86392"/>
    <w:rsid w:val="73B94EA3"/>
    <w:rsid w:val="754014EE"/>
    <w:rsid w:val="75567A5E"/>
    <w:rsid w:val="7625040A"/>
    <w:rsid w:val="77C9622C"/>
    <w:rsid w:val="78E8647F"/>
    <w:rsid w:val="79EE5838"/>
    <w:rsid w:val="7A2C6801"/>
    <w:rsid w:val="7A2E4B0E"/>
    <w:rsid w:val="7B6859D1"/>
    <w:rsid w:val="7B8F4CDB"/>
    <w:rsid w:val="7BAA4093"/>
    <w:rsid w:val="7BD101DF"/>
    <w:rsid w:val="7C043694"/>
    <w:rsid w:val="7CC22809"/>
    <w:rsid w:val="7D844C59"/>
    <w:rsid w:val="7DA84E33"/>
    <w:rsid w:val="7DFC33EB"/>
    <w:rsid w:val="7EAA02A2"/>
    <w:rsid w:val="7F9928B6"/>
    <w:rsid w:val="7FB543BB"/>
    <w:rsid w:val="7FC6567C"/>
    <w:rsid w:val="7FFD164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nhideWhenUsed="0" w:uiPriority="99" w:semiHidden="0" w:name="toa heading"/>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semiHidden="0" w:name="Document Map"/>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9"/>
    <w:pPr>
      <w:keepNext/>
      <w:keepLines/>
      <w:spacing w:before="340" w:after="330" w:line="576" w:lineRule="auto"/>
      <w:jc w:val="center"/>
      <w:outlineLvl w:val="0"/>
    </w:pPr>
    <w:rPr>
      <w:b/>
      <w:kern w:val="44"/>
      <w:sz w:val="28"/>
      <w:szCs w:val="20"/>
    </w:rPr>
  </w:style>
  <w:style w:type="paragraph" w:styleId="4">
    <w:name w:val="heading 2"/>
    <w:basedOn w:val="1"/>
    <w:next w:val="1"/>
    <w:link w:val="30"/>
    <w:qFormat/>
    <w:uiPriority w:val="99"/>
    <w:pPr>
      <w:keepNext/>
      <w:keepLines/>
      <w:spacing w:before="260" w:after="260" w:line="413" w:lineRule="auto"/>
      <w:outlineLvl w:val="1"/>
    </w:pPr>
    <w:rPr>
      <w:rFonts w:ascii="Arial" w:hAnsi="Arial"/>
      <w:kern w:val="0"/>
      <w:sz w:val="28"/>
      <w:szCs w:val="20"/>
    </w:rPr>
  </w:style>
  <w:style w:type="paragraph" w:styleId="5">
    <w:name w:val="heading 3"/>
    <w:basedOn w:val="1"/>
    <w:next w:val="1"/>
    <w:link w:val="31"/>
    <w:qFormat/>
    <w:uiPriority w:val="99"/>
    <w:pPr>
      <w:keepNext/>
      <w:keepLines/>
      <w:spacing w:before="260" w:after="260" w:line="413" w:lineRule="auto"/>
      <w:outlineLvl w:val="2"/>
    </w:pPr>
    <w:rPr>
      <w:kern w:val="0"/>
      <w:sz w:val="28"/>
      <w:szCs w:val="20"/>
    </w:rPr>
  </w:style>
  <w:style w:type="character" w:default="1" w:styleId="26">
    <w:name w:val="Default Paragraph Font"/>
    <w:semiHidden/>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2"/>
    <w:uiPriority w:val="99"/>
    <w:pPr>
      <w:spacing w:after="120"/>
    </w:pPr>
  </w:style>
  <w:style w:type="paragraph" w:styleId="6">
    <w:name w:val="toc 7"/>
    <w:basedOn w:val="1"/>
    <w:next w:val="1"/>
    <w:qFormat/>
    <w:uiPriority w:val="99"/>
    <w:pPr>
      <w:ind w:left="2520" w:leftChars="1200"/>
    </w:pPr>
  </w:style>
  <w:style w:type="paragraph" w:styleId="7">
    <w:name w:val="Document Map"/>
    <w:basedOn w:val="1"/>
    <w:link w:val="33"/>
    <w:uiPriority w:val="99"/>
    <w:rPr>
      <w:rFonts w:ascii="宋体"/>
      <w:sz w:val="18"/>
      <w:szCs w:val="18"/>
    </w:rPr>
  </w:style>
  <w:style w:type="paragraph" w:styleId="8">
    <w:name w:val="toa heading"/>
    <w:basedOn w:val="1"/>
    <w:next w:val="1"/>
    <w:uiPriority w:val="99"/>
    <w:pPr>
      <w:spacing w:before="120"/>
    </w:pPr>
    <w:rPr>
      <w:rFonts w:ascii="Arial" w:hAnsi="Arial"/>
      <w:sz w:val="24"/>
    </w:rPr>
  </w:style>
  <w:style w:type="paragraph" w:styleId="9">
    <w:name w:val="annotation text"/>
    <w:basedOn w:val="1"/>
    <w:link w:val="34"/>
    <w:uiPriority w:val="99"/>
    <w:pPr>
      <w:jc w:val="left"/>
    </w:pPr>
    <w:rPr>
      <w:rFonts w:ascii="Calibri" w:hAnsi="Calibri"/>
      <w:szCs w:val="22"/>
    </w:rPr>
  </w:style>
  <w:style w:type="paragraph" w:styleId="10">
    <w:name w:val="Body Text Indent"/>
    <w:basedOn w:val="1"/>
    <w:link w:val="35"/>
    <w:qFormat/>
    <w:uiPriority w:val="99"/>
    <w:pPr>
      <w:spacing w:after="120"/>
      <w:ind w:left="420" w:leftChars="200"/>
    </w:pPr>
  </w:style>
  <w:style w:type="paragraph" w:styleId="11">
    <w:name w:val="toc 5"/>
    <w:basedOn w:val="1"/>
    <w:next w:val="1"/>
    <w:qFormat/>
    <w:uiPriority w:val="99"/>
    <w:pPr>
      <w:ind w:left="1680" w:leftChars="800"/>
    </w:pPr>
  </w:style>
  <w:style w:type="paragraph" w:styleId="12">
    <w:name w:val="toc 3"/>
    <w:basedOn w:val="1"/>
    <w:next w:val="1"/>
    <w:qFormat/>
    <w:uiPriority w:val="99"/>
    <w:pPr>
      <w:ind w:left="840" w:leftChars="400"/>
    </w:pPr>
  </w:style>
  <w:style w:type="paragraph" w:styleId="13">
    <w:name w:val="Plain Text"/>
    <w:basedOn w:val="1"/>
    <w:link w:val="36"/>
    <w:qFormat/>
    <w:uiPriority w:val="99"/>
    <w:pPr>
      <w:adjustRightInd w:val="0"/>
      <w:spacing w:line="312" w:lineRule="atLeast"/>
      <w:textAlignment w:val="baseline"/>
    </w:pPr>
    <w:rPr>
      <w:rFonts w:ascii="宋体" w:hAnsi="Courier New"/>
    </w:rPr>
  </w:style>
  <w:style w:type="paragraph" w:styleId="14">
    <w:name w:val="toc 8"/>
    <w:basedOn w:val="1"/>
    <w:next w:val="1"/>
    <w:qFormat/>
    <w:uiPriority w:val="99"/>
    <w:pPr>
      <w:ind w:left="2940" w:leftChars="1400"/>
    </w:pPr>
  </w:style>
  <w:style w:type="paragraph" w:styleId="15">
    <w:name w:val="Balloon Text"/>
    <w:basedOn w:val="1"/>
    <w:link w:val="37"/>
    <w:qFormat/>
    <w:uiPriority w:val="99"/>
    <w:rPr>
      <w:sz w:val="18"/>
      <w:szCs w:val="18"/>
    </w:rPr>
  </w:style>
  <w:style w:type="paragraph" w:styleId="16">
    <w:name w:val="footer"/>
    <w:basedOn w:val="1"/>
    <w:link w:val="38"/>
    <w:qFormat/>
    <w:uiPriority w:val="99"/>
    <w:pPr>
      <w:tabs>
        <w:tab w:val="center" w:pos="4153"/>
        <w:tab w:val="right" w:pos="8306"/>
      </w:tabs>
      <w:snapToGrid w:val="0"/>
      <w:jc w:val="left"/>
    </w:pPr>
    <w:rPr>
      <w:sz w:val="18"/>
    </w:rPr>
  </w:style>
  <w:style w:type="paragraph" w:styleId="17">
    <w:name w:val="header"/>
    <w:basedOn w:val="1"/>
    <w:link w:val="3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style>
  <w:style w:type="paragraph" w:styleId="19">
    <w:name w:val="toc 4"/>
    <w:basedOn w:val="1"/>
    <w:next w:val="1"/>
    <w:qFormat/>
    <w:uiPriority w:val="99"/>
    <w:pPr>
      <w:ind w:left="1260" w:leftChars="600"/>
    </w:pPr>
  </w:style>
  <w:style w:type="paragraph" w:styleId="20">
    <w:name w:val="toc 6"/>
    <w:basedOn w:val="1"/>
    <w:next w:val="1"/>
    <w:qFormat/>
    <w:uiPriority w:val="99"/>
    <w:pPr>
      <w:ind w:left="2100" w:leftChars="1000"/>
    </w:pPr>
  </w:style>
  <w:style w:type="paragraph" w:styleId="21">
    <w:name w:val="Body Text Indent 3"/>
    <w:basedOn w:val="1"/>
    <w:link w:val="40"/>
    <w:qFormat/>
    <w:uiPriority w:val="99"/>
    <w:pPr>
      <w:spacing w:after="120"/>
      <w:ind w:left="420" w:leftChars="200"/>
    </w:pPr>
    <w:rPr>
      <w:sz w:val="16"/>
      <w:szCs w:val="16"/>
    </w:rPr>
  </w:style>
  <w:style w:type="paragraph" w:styleId="22">
    <w:name w:val="toc 2"/>
    <w:basedOn w:val="1"/>
    <w:next w:val="1"/>
    <w:qFormat/>
    <w:uiPriority w:val="99"/>
    <w:pPr>
      <w:ind w:left="420" w:leftChars="200"/>
    </w:pPr>
  </w:style>
  <w:style w:type="paragraph" w:styleId="23">
    <w:name w:val="toc 9"/>
    <w:basedOn w:val="1"/>
    <w:next w:val="1"/>
    <w:qFormat/>
    <w:uiPriority w:val="99"/>
    <w:pPr>
      <w:ind w:left="3360" w:leftChars="1600"/>
    </w:pPr>
  </w:style>
  <w:style w:type="paragraph" w:styleId="24">
    <w:name w:val="annotation subject"/>
    <w:basedOn w:val="9"/>
    <w:next w:val="9"/>
    <w:link w:val="41"/>
    <w:qFormat/>
    <w:uiPriority w:val="99"/>
    <w:rPr>
      <w:rFonts w:ascii="Times New Roman" w:hAnsi="Times New Roman"/>
      <w:b/>
      <w:bCs/>
      <w:szCs w:val="24"/>
    </w:rPr>
  </w:style>
  <w:style w:type="character" w:styleId="27">
    <w:name w:val="Hyperlink"/>
    <w:basedOn w:val="26"/>
    <w:qFormat/>
    <w:uiPriority w:val="99"/>
    <w:rPr>
      <w:rFonts w:cs="Times New Roman"/>
      <w:color w:val="0000FF"/>
      <w:u w:val="single"/>
    </w:rPr>
  </w:style>
  <w:style w:type="character" w:styleId="28">
    <w:name w:val="annotation reference"/>
    <w:basedOn w:val="26"/>
    <w:qFormat/>
    <w:uiPriority w:val="99"/>
    <w:rPr>
      <w:rFonts w:cs="Times New Roman"/>
      <w:sz w:val="21"/>
    </w:rPr>
  </w:style>
  <w:style w:type="character" w:customStyle="1" w:styleId="29">
    <w:name w:val="Heading 1 Char"/>
    <w:basedOn w:val="26"/>
    <w:link w:val="3"/>
    <w:qFormat/>
    <w:locked/>
    <w:uiPriority w:val="99"/>
    <w:rPr>
      <w:rFonts w:ascii="Times New Roman" w:hAnsi="Times New Roman" w:eastAsia="宋体"/>
      <w:b/>
      <w:kern w:val="44"/>
      <w:sz w:val="20"/>
    </w:rPr>
  </w:style>
  <w:style w:type="character" w:customStyle="1" w:styleId="30">
    <w:name w:val="Heading 2 Char"/>
    <w:basedOn w:val="26"/>
    <w:link w:val="4"/>
    <w:qFormat/>
    <w:locked/>
    <w:uiPriority w:val="99"/>
    <w:rPr>
      <w:rFonts w:ascii="Arial" w:hAnsi="Arial" w:eastAsia="宋体"/>
      <w:sz w:val="20"/>
    </w:rPr>
  </w:style>
  <w:style w:type="character" w:customStyle="1" w:styleId="31">
    <w:name w:val="Heading 3 Char"/>
    <w:basedOn w:val="26"/>
    <w:link w:val="5"/>
    <w:qFormat/>
    <w:locked/>
    <w:uiPriority w:val="99"/>
    <w:rPr>
      <w:rFonts w:eastAsia="宋体"/>
      <w:sz w:val="28"/>
    </w:rPr>
  </w:style>
  <w:style w:type="character" w:customStyle="1" w:styleId="32">
    <w:name w:val="Body Text Char"/>
    <w:basedOn w:val="26"/>
    <w:link w:val="2"/>
    <w:semiHidden/>
    <w:qFormat/>
    <w:uiPriority w:val="99"/>
    <w:rPr>
      <w:szCs w:val="24"/>
    </w:rPr>
  </w:style>
  <w:style w:type="character" w:customStyle="1" w:styleId="33">
    <w:name w:val="Document Map Char"/>
    <w:basedOn w:val="26"/>
    <w:link w:val="7"/>
    <w:qFormat/>
    <w:locked/>
    <w:uiPriority w:val="99"/>
    <w:rPr>
      <w:rFonts w:ascii="宋体"/>
      <w:kern w:val="2"/>
      <w:sz w:val="18"/>
    </w:rPr>
  </w:style>
  <w:style w:type="character" w:customStyle="1" w:styleId="34">
    <w:name w:val="Comment Text Char"/>
    <w:basedOn w:val="26"/>
    <w:link w:val="9"/>
    <w:qFormat/>
    <w:locked/>
    <w:uiPriority w:val="99"/>
    <w:rPr>
      <w:rFonts w:ascii="Calibri" w:hAnsi="Calibri"/>
      <w:kern w:val="2"/>
      <w:sz w:val="22"/>
    </w:rPr>
  </w:style>
  <w:style w:type="character" w:customStyle="1" w:styleId="35">
    <w:name w:val="Body Text Indent Char"/>
    <w:basedOn w:val="26"/>
    <w:link w:val="10"/>
    <w:qFormat/>
    <w:locked/>
    <w:uiPriority w:val="99"/>
    <w:rPr>
      <w:rFonts w:cs="Times New Roman"/>
      <w:kern w:val="2"/>
      <w:sz w:val="24"/>
      <w:szCs w:val="24"/>
    </w:rPr>
  </w:style>
  <w:style w:type="character" w:customStyle="1" w:styleId="36">
    <w:name w:val="Plain Text Char"/>
    <w:basedOn w:val="26"/>
    <w:link w:val="13"/>
    <w:qFormat/>
    <w:locked/>
    <w:uiPriority w:val="99"/>
    <w:rPr>
      <w:rFonts w:ascii="宋体" w:hAnsi="Courier New"/>
      <w:kern w:val="2"/>
      <w:sz w:val="24"/>
    </w:rPr>
  </w:style>
  <w:style w:type="character" w:customStyle="1" w:styleId="37">
    <w:name w:val="Balloon Text Char"/>
    <w:basedOn w:val="26"/>
    <w:link w:val="15"/>
    <w:qFormat/>
    <w:locked/>
    <w:uiPriority w:val="99"/>
    <w:rPr>
      <w:kern w:val="2"/>
      <w:sz w:val="18"/>
    </w:rPr>
  </w:style>
  <w:style w:type="character" w:customStyle="1" w:styleId="38">
    <w:name w:val="Footer Char"/>
    <w:basedOn w:val="26"/>
    <w:link w:val="16"/>
    <w:semiHidden/>
    <w:uiPriority w:val="99"/>
    <w:rPr>
      <w:sz w:val="18"/>
      <w:szCs w:val="18"/>
    </w:rPr>
  </w:style>
  <w:style w:type="character" w:customStyle="1" w:styleId="39">
    <w:name w:val="Header Char"/>
    <w:basedOn w:val="26"/>
    <w:link w:val="17"/>
    <w:semiHidden/>
    <w:qFormat/>
    <w:uiPriority w:val="99"/>
    <w:rPr>
      <w:sz w:val="18"/>
      <w:szCs w:val="18"/>
    </w:rPr>
  </w:style>
  <w:style w:type="character" w:customStyle="1" w:styleId="40">
    <w:name w:val="Body Text Indent 3 Char"/>
    <w:basedOn w:val="26"/>
    <w:link w:val="21"/>
    <w:qFormat/>
    <w:locked/>
    <w:uiPriority w:val="99"/>
    <w:rPr>
      <w:kern w:val="2"/>
      <w:sz w:val="16"/>
    </w:rPr>
  </w:style>
  <w:style w:type="character" w:customStyle="1" w:styleId="41">
    <w:name w:val="Comment Subject Char"/>
    <w:basedOn w:val="34"/>
    <w:link w:val="24"/>
    <w:qFormat/>
    <w:locked/>
    <w:uiPriority w:val="99"/>
    <w:rPr>
      <w:rFonts w:cs="Times New Roman"/>
      <w:szCs w:val="22"/>
    </w:rPr>
  </w:style>
  <w:style w:type="character" w:customStyle="1" w:styleId="42">
    <w:name w:val="1101 Char"/>
    <w:link w:val="43"/>
    <w:qFormat/>
    <w:locked/>
    <w:uiPriority w:val="99"/>
    <w:rPr>
      <w:rFonts w:ascii="宋体" w:eastAsia="宋体"/>
      <w:kern w:val="2"/>
      <w:sz w:val="28"/>
    </w:rPr>
  </w:style>
  <w:style w:type="paragraph" w:customStyle="1" w:styleId="43">
    <w:name w:val="1101"/>
    <w:basedOn w:val="1"/>
    <w:link w:val="42"/>
    <w:qFormat/>
    <w:uiPriority w:val="99"/>
    <w:pPr>
      <w:ind w:firstLine="560" w:firstLineChars="200"/>
      <w:jc w:val="left"/>
    </w:pPr>
    <w:rPr>
      <w:rFonts w:ascii="宋体" w:hAnsi="宋体"/>
      <w:sz w:val="28"/>
      <w:szCs w:val="28"/>
    </w:rPr>
  </w:style>
  <w:style w:type="character" w:customStyle="1" w:styleId="44">
    <w:name w:val="正文文本缩进 Char"/>
    <w:basedOn w:val="26"/>
    <w:qFormat/>
    <w:uiPriority w:val="99"/>
    <w:rPr>
      <w:rFonts w:cs="Times New Roman"/>
      <w:kern w:val="2"/>
      <w:sz w:val="24"/>
      <w:szCs w:val="24"/>
    </w:rPr>
  </w:style>
  <w:style w:type="paragraph" w:customStyle="1" w:styleId="45">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6">
    <w:name w:val="纯文本1"/>
    <w:basedOn w:val="1"/>
    <w:qFormat/>
    <w:uiPriority w:val="99"/>
    <w:rPr>
      <w:rFonts w:ascii="宋体" w:hAnsi="Courier New" w:cs="黑体"/>
      <w:szCs w:val="21"/>
    </w:rPr>
  </w:style>
  <w:style w:type="paragraph" w:customStyle="1" w:styleId="47">
    <w:name w:val="ST20_2"/>
    <w:basedOn w:val="1"/>
    <w:uiPriority w:val="99"/>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8">
    <w:name w:val="款下正文"/>
    <w:basedOn w:val="1"/>
    <w:qFormat/>
    <w:uiPriority w:val="99"/>
    <w:pPr>
      <w:spacing w:beforeLines="50" w:afterLines="50" w:line="480" w:lineRule="exact"/>
      <w:ind w:firstLine="480" w:firstLineChars="200"/>
    </w:pPr>
    <w:rPr>
      <w:sz w:val="24"/>
      <w:szCs w:val="28"/>
    </w:rPr>
  </w:style>
  <w:style w:type="paragraph" w:customStyle="1" w:styleId="49">
    <w:name w:val="TOC 标题1"/>
    <w:basedOn w:val="3"/>
    <w:next w:val="1"/>
    <w:qFormat/>
    <w:uiPriority w:val="99"/>
    <w:pPr>
      <w:widowControl/>
      <w:spacing w:before="480" w:after="0" w:line="276" w:lineRule="auto"/>
      <w:jc w:val="left"/>
      <w:outlineLvl w:val="9"/>
    </w:pPr>
    <w:rPr>
      <w:rFonts w:ascii="Cambria" w:hAnsi="Cambria"/>
      <w:bCs/>
      <w:color w:val="365F91"/>
      <w:kern w:val="0"/>
      <w:szCs w:val="28"/>
    </w:rPr>
  </w:style>
  <w:style w:type="paragraph" w:customStyle="1" w:styleId="50">
    <w:name w:val="样式1"/>
    <w:basedOn w:val="3"/>
    <w:qFormat/>
    <w:uiPriority w:val="99"/>
  </w:style>
  <w:style w:type="paragraph" w:customStyle="1" w:styleId="51">
    <w:name w:val="列出段落1"/>
    <w:basedOn w:val="1"/>
    <w:qFormat/>
    <w:uiPriority w:val="99"/>
    <w:pPr>
      <w:ind w:firstLine="420" w:firstLineChars="200"/>
    </w:pPr>
    <w:rPr>
      <w:rFonts w:ascii="Calibri" w:hAnsi="Calibri"/>
      <w:szCs w:val="22"/>
    </w:rPr>
  </w:style>
  <w:style w:type="character" w:customStyle="1" w:styleId="52">
    <w:name w:val="未处理的提及1"/>
    <w:basedOn w:val="26"/>
    <w:semiHidden/>
    <w:qFormat/>
    <w:uiPriority w:val="99"/>
    <w:rPr>
      <w:rFonts w:cs="Times New Roman"/>
      <w:color w:val="808080"/>
      <w:shd w:val="clear" w:color="auto" w:fill="E6E6E6"/>
    </w:rPr>
  </w:style>
  <w:style w:type="character" w:customStyle="1" w:styleId="53">
    <w:name w:val="正文文本_"/>
    <w:basedOn w:val="26"/>
    <w:link w:val="54"/>
    <w:qFormat/>
    <w:locked/>
    <w:uiPriority w:val="99"/>
    <w:rPr>
      <w:rFonts w:ascii="MingLiU" w:hAnsi="MingLiU" w:eastAsia="MingLiU" w:cs="MingLiU"/>
      <w:sz w:val="27"/>
      <w:szCs w:val="27"/>
      <w:shd w:val="clear" w:color="auto" w:fill="FFFFFF"/>
    </w:rPr>
  </w:style>
  <w:style w:type="paragraph" w:customStyle="1" w:styleId="54">
    <w:name w:val="正文文本2"/>
    <w:basedOn w:val="1"/>
    <w:link w:val="53"/>
    <w:uiPriority w:val="99"/>
    <w:pPr>
      <w:shd w:val="clear" w:color="auto" w:fill="FFFFFF"/>
      <w:spacing w:before="1200" w:after="840" w:line="240" w:lineRule="atLeast"/>
      <w:jc w:val="right"/>
    </w:pPr>
    <w:rPr>
      <w:rFonts w:ascii="MingLiU" w:hAnsi="MingLiU" w:eastAsia="MingLiU" w:cs="MingLiU"/>
      <w:kern w:val="0"/>
      <w:sz w:val="27"/>
      <w:szCs w:val="27"/>
    </w:rPr>
  </w:style>
  <w:style w:type="paragraph" w:styleId="55">
    <w:name w:val="List Paragraph"/>
    <w:basedOn w:val="1"/>
    <w:qFormat/>
    <w:uiPriority w:val="99"/>
    <w:pPr>
      <w:ind w:firstLine="420" w:firstLineChars="200"/>
    </w:pPr>
  </w:style>
  <w:style w:type="character" w:customStyle="1" w:styleId="56">
    <w:name w:val="标题 2 Char"/>
    <w:qFormat/>
    <w:uiPriority w:val="99"/>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48</Pages>
  <Words>17042</Words>
  <Characters>17649</Characters>
  <Lines>0</Lines>
  <Paragraphs>0</Paragraphs>
  <TotalTime>2</TotalTime>
  <ScaleCrop>false</ScaleCrop>
  <LinksUpToDate>false</LinksUpToDate>
  <CharactersWithSpaces>18427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2023-01-19T03:01:00Z</dcterms:created>
  <dc:creator>jkghj</dc:creator>
  <cp:lastModifiedBy>DELL</cp:lastModifiedBy>
  <cp:lastPrinted>2021-11-12T08:32:00Z</cp:lastPrinted>
  <dcterms:modified xsi:type="dcterms:W3CDTF">2023-01-31T00:22:07Z</dcterms:modified>
  <dc:title>附件3：二号线公司比选文件</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C9108F0D9F024D3DB593E2CECFE48426</vt:lpwstr>
  </property>
</Properties>
</file>