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eastAsia="宋体"/>
          <w:color w:val="auto"/>
          <w:highlight w:val="none"/>
          <w:lang w:val="en-US" w:eastAsia="zh-CN"/>
        </w:rPr>
      </w:pPr>
    </w:p>
    <w:p>
      <w:pPr>
        <w:pStyle w:val="25"/>
        <w:spacing w:before="0"/>
        <w:ind w:left="1" w:right="0" w:firstLine="0"/>
        <w:jc w:val="center"/>
        <w:rPr>
          <w:rFonts w:hint="eastAsia" w:ascii="宋体" w:hAnsi="宋体"/>
          <w:b/>
          <w:color w:val="auto"/>
          <w:spacing w:val="-4"/>
          <w:sz w:val="44"/>
          <w:szCs w:val="44"/>
          <w:highlight w:val="none"/>
          <w:u w:val="single"/>
        </w:rPr>
      </w:pPr>
      <w:r>
        <w:rPr>
          <w:rFonts w:hint="eastAsia" w:ascii="宋体" w:hAnsi="宋体"/>
          <w:b/>
          <w:color w:val="auto"/>
          <w:spacing w:val="-4"/>
          <w:sz w:val="44"/>
          <w:szCs w:val="44"/>
          <w:highlight w:val="none"/>
          <w:u w:val="single"/>
        </w:rPr>
        <w:t>南宁轨道交通5号线导向标示标贴、安全标识</w:t>
      </w:r>
    </w:p>
    <w:p>
      <w:pPr>
        <w:pStyle w:val="25"/>
        <w:spacing w:before="0"/>
        <w:ind w:left="1" w:right="0"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u w:val="single"/>
        </w:rPr>
        <w:t>采购项目</w:t>
      </w:r>
    </w:p>
    <w:p>
      <w:pPr>
        <w:pStyle w:val="25"/>
        <w:spacing w:before="0"/>
        <w:ind w:left="0" w:right="-57" w:firstLine="0"/>
        <w:jc w:val="both"/>
        <w:rPr>
          <w:rFonts w:ascii="宋体" w:hAnsi="宋体"/>
          <w:b/>
          <w:color w:val="auto"/>
          <w:spacing w:val="-4"/>
          <w:sz w:val="44"/>
          <w:szCs w:val="44"/>
          <w:highlight w:val="none"/>
        </w:rPr>
      </w:pPr>
    </w:p>
    <w:p>
      <w:pPr>
        <w:pStyle w:val="25"/>
        <w:spacing w:before="0"/>
        <w:ind w:left="1" w:right="-57" w:firstLine="0"/>
        <w:jc w:val="center"/>
        <w:rPr>
          <w:rFonts w:hint="eastAsia" w:ascii="宋体" w:hAnsi="宋体" w:eastAsia="宋体"/>
          <w:b/>
          <w:spacing w:val="0"/>
          <w:sz w:val="72"/>
          <w:szCs w:val="72"/>
          <w:lang w:val="en-US" w:eastAsia="zh-CN"/>
        </w:rPr>
      </w:pPr>
      <w:r>
        <w:rPr>
          <w:rFonts w:hint="eastAsia" w:ascii="宋体" w:hAnsi="宋体"/>
          <w:b/>
          <w:spacing w:val="0"/>
          <w:sz w:val="72"/>
          <w:szCs w:val="72"/>
          <w:lang w:val="en-US" w:eastAsia="zh-CN"/>
        </w:rPr>
        <w:t>比选文件</w:t>
      </w:r>
    </w:p>
    <w:p>
      <w:pPr>
        <w:pStyle w:val="25"/>
        <w:spacing w:before="0"/>
        <w:ind w:left="1" w:right="-57" w:firstLine="0"/>
        <w:jc w:val="center"/>
        <w:rPr>
          <w:rFonts w:ascii="宋体" w:hAnsi="宋体"/>
          <w:b/>
          <w:color w:val="auto"/>
          <w:spacing w:val="-4"/>
          <w:sz w:val="44"/>
          <w:szCs w:val="44"/>
          <w:highlight w:val="none"/>
        </w:rPr>
      </w:pPr>
    </w:p>
    <w:p>
      <w:pPr>
        <w:pStyle w:val="25"/>
        <w:spacing w:before="0"/>
        <w:ind w:left="0" w:right="-57" w:firstLine="0"/>
        <w:jc w:val="both"/>
        <w:rPr>
          <w:rFonts w:ascii="宋体" w:hAnsi="宋体"/>
          <w:b/>
          <w:color w:val="auto"/>
          <w:spacing w:val="-4"/>
          <w:sz w:val="44"/>
          <w:szCs w:val="44"/>
          <w:highlight w:val="none"/>
        </w:rPr>
      </w:pPr>
    </w:p>
    <w:p>
      <w:pPr>
        <w:spacing w:before="0"/>
        <w:ind w:left="0" w:right="-57" w:firstLine="0"/>
        <w:rPr>
          <w:rFonts w:ascii="宋体" w:hAnsi="宋体"/>
          <w:color w:val="auto"/>
          <w:highlight w:val="none"/>
        </w:rPr>
      </w:pPr>
    </w:p>
    <w:p>
      <w:pPr>
        <w:spacing w:before="0"/>
        <w:ind w:left="1801" w:right="-57" w:hanging="180"/>
        <w:rPr>
          <w:rFonts w:hint="eastAsia" w:ascii="宋体" w:hAnsi="宋体" w:eastAsia="宋体"/>
          <w:b/>
          <w:color w:val="auto"/>
          <w:sz w:val="32"/>
          <w:szCs w:val="32"/>
          <w:highlight w:val="none"/>
          <w:u w:val="singl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ab/>
      </w:r>
      <w:r>
        <w:rPr>
          <w:rFonts w:hint="eastAsia" w:ascii="宋体" w:hAnsi="宋体"/>
          <w:b/>
          <w:color w:val="auto"/>
          <w:sz w:val="32"/>
          <w:szCs w:val="32"/>
          <w:highlight w:val="none"/>
          <w:u w:val="single"/>
        </w:rPr>
        <w:t>20220420000</w:t>
      </w:r>
      <w:r>
        <w:rPr>
          <w:rFonts w:hint="eastAsia" w:ascii="宋体" w:hAnsi="宋体"/>
          <w:b/>
          <w:color w:val="auto"/>
          <w:sz w:val="32"/>
          <w:szCs w:val="32"/>
          <w:highlight w:val="none"/>
          <w:u w:val="single"/>
          <w:lang w:val="en-US" w:eastAsia="zh-CN"/>
        </w:rPr>
        <w:t>4</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line="540" w:lineRule="exact"/>
        <w:ind w:left="0" w:right="-57" w:firstLine="0"/>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2023</w:t>
      </w:r>
      <w:bookmarkStart w:id="1178" w:name="_GoBack"/>
      <w:bookmarkEnd w:id="1178"/>
      <w:r>
        <w:rPr>
          <w:rFonts w:ascii="宋体" w:hAnsi="宋体"/>
          <w:b/>
          <w:color w:val="auto"/>
          <w:sz w:val="36"/>
          <w:szCs w:val="36"/>
          <w:highlight w:val="none"/>
        </w:rPr>
        <w:t>年</w:t>
      </w:r>
      <w:r>
        <w:rPr>
          <w:rFonts w:hint="eastAsia" w:ascii="宋体" w:hAnsi="宋体"/>
          <w:b/>
          <w:color w:val="auto"/>
          <w:sz w:val="36"/>
          <w:szCs w:val="36"/>
          <w:highlight w:val="none"/>
          <w:lang w:val="en-US" w:eastAsia="zh-CN"/>
        </w:rPr>
        <w:t>2</w:t>
      </w:r>
      <w:r>
        <w:rPr>
          <w:rFonts w:ascii="宋体" w:hAnsi="宋体"/>
          <w:b/>
          <w:color w:val="auto"/>
          <w:sz w:val="36"/>
          <w:szCs w:val="36"/>
          <w:highlight w:val="none"/>
        </w:rPr>
        <w:t>月</w:t>
      </w:r>
    </w:p>
    <w:p>
      <w:pPr>
        <w:rPr>
          <w:rFonts w:ascii="宋体" w:hAnsi="宋体"/>
          <w:b/>
          <w:color w:val="auto"/>
          <w:sz w:val="36"/>
          <w:szCs w:val="36"/>
          <w:highlight w:val="none"/>
        </w:rPr>
      </w:pPr>
      <w:r>
        <w:rPr>
          <w:rFonts w:ascii="宋体" w:hAnsi="宋体"/>
          <w:b/>
          <w:color w:val="auto"/>
          <w:sz w:val="36"/>
          <w:szCs w:val="36"/>
          <w:highlight w:val="none"/>
        </w:rPr>
        <w:br w:type="page"/>
      </w:r>
    </w:p>
    <w:p>
      <w:pPr>
        <w:spacing w:line="540" w:lineRule="exact"/>
        <w:ind w:left="0" w:right="-57" w:firstLine="0"/>
        <w:jc w:val="center"/>
        <w:rPr>
          <w:rFonts w:ascii="宋体" w:hAnsi="宋体"/>
          <w:color w:val="auto"/>
          <w:sz w:val="32"/>
          <w:szCs w:val="32"/>
          <w:highlight w:val="none"/>
        </w:rPr>
      </w:pPr>
      <w:r>
        <w:rPr>
          <w:rFonts w:hint="eastAsia" w:ascii="宋体" w:hAnsi="宋体" w:cs="宋体"/>
          <w:b/>
          <w:color w:val="auto"/>
          <w:sz w:val="36"/>
          <w:szCs w:val="36"/>
          <w:highlight w:val="none"/>
        </w:rPr>
        <w:t>使用说明</w:t>
      </w:r>
    </w:p>
    <w:p>
      <w:pPr>
        <w:tabs>
          <w:tab w:val="left" w:pos="1080"/>
        </w:tabs>
        <w:spacing w:before="0" w:after="0" w:afterAutospacing="0"/>
        <w:ind w:left="0" w:right="0" w:firstLine="424" w:firstLineChars="201"/>
        <w:rPr>
          <w:rFonts w:ascii="宋体" w:hAnsi="宋体"/>
          <w:b/>
          <w:color w:val="auto"/>
          <w:highlight w:val="none"/>
        </w:rPr>
      </w:pPr>
      <w:r>
        <w:rPr>
          <w:rFonts w:hint="eastAsia" w:ascii="宋体" w:hAnsi="宋体"/>
          <w:b/>
          <w:color w:val="auto"/>
          <w:highlight w:val="none"/>
        </w:rPr>
        <w:t>一、编写主要依据及参考</w:t>
      </w:r>
    </w:p>
    <w:p>
      <w:pPr>
        <w:spacing w:before="0" w:after="0" w:afterAutospacing="0"/>
        <w:ind w:left="0" w:right="0" w:firstLine="426"/>
        <w:rPr>
          <w:rFonts w:ascii="宋体" w:hAnsi="宋体"/>
          <w:color w:val="auto"/>
          <w:highlight w:val="none"/>
        </w:rPr>
      </w:pPr>
      <w:r>
        <w:rPr>
          <w:rFonts w:ascii="宋体" w:hAnsi="宋体"/>
          <w:color w:val="auto"/>
          <w:highlight w:val="none"/>
        </w:rPr>
        <w:t>1.</w:t>
      </w:r>
      <w:r>
        <w:rPr>
          <w:rFonts w:hint="eastAsia" w:ascii="宋体" w:hAnsi="宋体"/>
          <w:color w:val="auto"/>
          <w:highlight w:val="none"/>
        </w:rPr>
        <w:t>《运分物资货物A类招标文件范本》；</w:t>
      </w:r>
    </w:p>
    <w:p>
      <w:pPr>
        <w:spacing w:before="0" w:after="0" w:afterAutospacing="0"/>
        <w:ind w:left="0" w:right="0" w:firstLine="426"/>
        <w:rPr>
          <w:rFonts w:ascii="宋体" w:hAnsi="宋体"/>
          <w:color w:val="auto"/>
          <w:highlight w:val="none"/>
        </w:rPr>
      </w:pPr>
      <w:r>
        <w:rPr>
          <w:rFonts w:ascii="宋体" w:hAnsi="宋体"/>
          <w:color w:val="auto"/>
          <w:highlight w:val="none"/>
        </w:rPr>
        <w:t>2.</w:t>
      </w:r>
      <w:r>
        <w:rPr>
          <w:rFonts w:hint="eastAsia" w:ascii="宋体" w:hAnsi="宋体"/>
          <w:color w:val="auto"/>
          <w:highlight w:val="none"/>
        </w:rPr>
        <w:t>其他有关招标投标的法律、法规、规章。</w:t>
      </w:r>
    </w:p>
    <w:p>
      <w:pPr>
        <w:tabs>
          <w:tab w:val="left" w:pos="1080"/>
        </w:tabs>
        <w:spacing w:before="0" w:after="0" w:afterAutospacing="0"/>
        <w:ind w:left="0" w:right="0" w:firstLine="424" w:firstLineChars="201"/>
        <w:rPr>
          <w:rFonts w:ascii="宋体" w:hAnsi="宋体"/>
          <w:b/>
          <w:color w:val="auto"/>
          <w:highlight w:val="none"/>
        </w:rPr>
      </w:pPr>
      <w:r>
        <w:rPr>
          <w:rFonts w:hint="eastAsia" w:ascii="宋体" w:hAnsi="宋体"/>
          <w:b/>
          <w:color w:val="auto"/>
          <w:highlight w:val="none"/>
        </w:rPr>
        <w:t>二、适用范围</w:t>
      </w:r>
    </w:p>
    <w:p>
      <w:pPr>
        <w:tabs>
          <w:tab w:val="left" w:pos="1080"/>
        </w:tabs>
        <w:spacing w:before="0" w:after="0" w:afterAutospacing="0"/>
        <w:ind w:left="0" w:right="0" w:firstLine="424" w:firstLineChars="202"/>
        <w:rPr>
          <w:rFonts w:ascii="宋体" w:hAnsi="宋体"/>
          <w:color w:val="auto"/>
          <w:highlight w:val="none"/>
        </w:rPr>
      </w:pPr>
      <w:r>
        <w:rPr>
          <w:rFonts w:ascii="宋体" w:hAnsi="宋体"/>
          <w:color w:val="auto"/>
          <w:highlight w:val="none"/>
        </w:rPr>
        <w:t>《</w:t>
      </w:r>
      <w:r>
        <w:rPr>
          <w:rFonts w:hint="eastAsia" w:ascii="宋体" w:hAnsi="宋体"/>
          <w:color w:val="auto"/>
          <w:highlight w:val="none"/>
        </w:rPr>
        <w:t>运营物资采购比选文件范本</w:t>
      </w:r>
      <w:r>
        <w:rPr>
          <w:rFonts w:ascii="宋体" w:hAnsi="宋体"/>
          <w:color w:val="auto"/>
          <w:highlight w:val="none"/>
        </w:rPr>
        <w:t>》（</w:t>
      </w:r>
      <w:r>
        <w:rPr>
          <w:rFonts w:hint="eastAsia" w:ascii="宋体" w:hAnsi="宋体"/>
          <w:color w:val="auto"/>
          <w:highlight w:val="none"/>
        </w:rPr>
        <w:t>2022年版）</w:t>
      </w:r>
      <w:r>
        <w:rPr>
          <w:rFonts w:ascii="宋体" w:hAnsi="宋体"/>
          <w:color w:val="auto"/>
          <w:highlight w:val="none"/>
        </w:rPr>
        <w:t>，</w:t>
      </w:r>
      <w:r>
        <w:rPr>
          <w:rFonts w:hint="eastAsia" w:ascii="宋体" w:hAnsi="宋体"/>
          <w:color w:val="auto"/>
          <w:highlight w:val="none"/>
        </w:rPr>
        <w:t>运营采用公开比选的物资采购项目原则上使用本比选</w:t>
      </w:r>
      <w:r>
        <w:rPr>
          <w:rFonts w:ascii="宋体" w:hAnsi="宋体"/>
          <w:color w:val="auto"/>
          <w:highlight w:val="none"/>
        </w:rPr>
        <w:t>文件范本</w:t>
      </w:r>
      <w:r>
        <w:rPr>
          <w:rFonts w:hint="eastAsia" w:ascii="宋体" w:hAnsi="宋体"/>
          <w:color w:val="auto"/>
          <w:highlight w:val="none"/>
        </w:rPr>
        <w:t>，</w:t>
      </w:r>
      <w:r>
        <w:rPr>
          <w:rFonts w:ascii="宋体" w:hAnsi="宋体"/>
          <w:color w:val="auto"/>
          <w:highlight w:val="none"/>
        </w:rPr>
        <w:t>如不能使用</w:t>
      </w:r>
      <w:r>
        <w:rPr>
          <w:rFonts w:hint="eastAsia" w:ascii="宋体" w:hAnsi="宋体"/>
          <w:color w:val="auto"/>
          <w:highlight w:val="none"/>
        </w:rPr>
        <w:t>本</w:t>
      </w:r>
      <w:r>
        <w:rPr>
          <w:rFonts w:ascii="宋体" w:hAnsi="宋体"/>
          <w:color w:val="auto"/>
          <w:highlight w:val="none"/>
        </w:rPr>
        <w:t>范本的，需另行提供不能使用的情况说明</w:t>
      </w:r>
      <w:r>
        <w:rPr>
          <w:rFonts w:hint="eastAsia" w:ascii="宋体" w:hAnsi="宋体"/>
          <w:color w:val="auto"/>
          <w:highlight w:val="none"/>
        </w:rPr>
        <w:t>。</w:t>
      </w:r>
    </w:p>
    <w:p>
      <w:pPr>
        <w:spacing w:before="0" w:after="0" w:afterAutospacing="0"/>
        <w:ind w:left="0" w:right="0" w:firstLine="424" w:firstLineChars="201"/>
        <w:rPr>
          <w:rFonts w:ascii="宋体" w:hAnsi="宋体"/>
          <w:b/>
          <w:color w:val="auto"/>
          <w:highlight w:val="none"/>
        </w:rPr>
      </w:pPr>
      <w:r>
        <w:rPr>
          <w:rFonts w:hint="eastAsia" w:ascii="宋体" w:hAnsi="宋体"/>
          <w:b/>
          <w:color w:val="auto"/>
          <w:highlight w:val="none"/>
        </w:rPr>
        <w:t>三、编写比选文件注意事项</w:t>
      </w:r>
    </w:p>
    <w:p>
      <w:pPr>
        <w:tabs>
          <w:tab w:val="left" w:pos="10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凡在使用本比选文件范本时，对范本固定条款有修改的均须</w:t>
      </w:r>
      <w:r>
        <w:rPr>
          <w:rFonts w:ascii="宋体" w:hAnsi="宋体"/>
          <w:color w:val="auto"/>
          <w:highlight w:val="none"/>
        </w:rPr>
        <w:t>对其进行修改的内容列在“</w:t>
      </w:r>
      <w:r>
        <w:rPr>
          <w:rFonts w:hint="eastAsia" w:ascii="宋体" w:hAnsi="宋体"/>
          <w:color w:val="auto"/>
          <w:highlight w:val="none"/>
        </w:rPr>
        <w:t>比选</w:t>
      </w:r>
      <w:r>
        <w:rPr>
          <w:rFonts w:ascii="宋体" w:hAnsi="宋体"/>
          <w:color w:val="auto"/>
          <w:highlight w:val="none"/>
        </w:rPr>
        <w:t>文件条款修改表”中，同时在</w:t>
      </w:r>
      <w:r>
        <w:rPr>
          <w:rFonts w:hint="eastAsia" w:ascii="宋体" w:hAnsi="宋体"/>
          <w:color w:val="auto"/>
          <w:highlight w:val="none"/>
        </w:rPr>
        <w:t>比选</w:t>
      </w:r>
      <w:r>
        <w:rPr>
          <w:rFonts w:ascii="宋体" w:hAnsi="宋体"/>
          <w:color w:val="auto"/>
          <w:highlight w:val="none"/>
        </w:rPr>
        <w:t>文件的相应位置表述</w:t>
      </w:r>
      <w:r>
        <w:rPr>
          <w:rFonts w:hint="eastAsia" w:ascii="宋体" w:hAnsi="宋体"/>
          <w:color w:val="auto"/>
          <w:highlight w:val="none"/>
        </w:rPr>
        <w:t>，</w:t>
      </w:r>
      <w:r>
        <w:rPr>
          <w:rFonts w:ascii="宋体" w:hAnsi="宋体"/>
          <w:color w:val="auto"/>
          <w:highlight w:val="none"/>
        </w:rPr>
        <w:t>并</w:t>
      </w:r>
      <w:r>
        <w:rPr>
          <w:rFonts w:hint="eastAsia" w:ascii="宋体" w:hAnsi="宋体"/>
          <w:color w:val="auto"/>
          <w:highlight w:val="none"/>
        </w:rPr>
        <w:t>上会汇报。</w:t>
      </w:r>
    </w:p>
    <w:p>
      <w:pPr>
        <w:tabs>
          <w:tab w:val="left" w:pos="10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本范本中“【备注……】”为补充说明，编制人在编写比选文件后删除。</w:t>
      </w:r>
    </w:p>
    <w:p>
      <w:pPr>
        <w:tabs>
          <w:tab w:val="left" w:pos="1080"/>
        </w:tabs>
        <w:spacing w:before="0" w:after="0" w:afterAutospacing="0"/>
        <w:ind w:left="0" w:right="0" w:firstLine="424" w:firstLineChars="202"/>
        <w:rPr>
          <w:rFonts w:ascii="宋体" w:hAnsi="宋体"/>
          <w:color w:val="auto"/>
          <w:highlight w:val="none"/>
        </w:rPr>
      </w:pPr>
      <w:r>
        <w:rPr>
          <w:rFonts w:ascii="宋体" w:hAnsi="宋体"/>
          <w:color w:val="auto"/>
          <w:highlight w:val="none"/>
        </w:rPr>
        <w:t>以空格标示的位置，</w:t>
      </w:r>
      <w:r>
        <w:rPr>
          <w:rFonts w:hint="eastAsia" w:ascii="宋体" w:hAnsi="宋体"/>
          <w:color w:val="auto"/>
          <w:highlight w:val="none"/>
        </w:rPr>
        <w:t>根据比选</w:t>
      </w:r>
      <w:r>
        <w:rPr>
          <w:rFonts w:ascii="宋体" w:hAnsi="宋体"/>
          <w:color w:val="auto"/>
          <w:highlight w:val="none"/>
        </w:rPr>
        <w:t>项目具体特点和实际需要填写具体内容，空格后以括号标示的</w:t>
      </w:r>
      <w:r>
        <w:rPr>
          <w:rFonts w:hint="eastAsia" w:ascii="宋体" w:hAnsi="宋体"/>
          <w:color w:val="auto"/>
          <w:highlight w:val="none"/>
        </w:rPr>
        <w:t>为</w:t>
      </w:r>
      <w:r>
        <w:rPr>
          <w:rFonts w:ascii="宋体" w:hAnsi="宋体"/>
          <w:color w:val="auto"/>
          <w:highlight w:val="none"/>
        </w:rPr>
        <w:t>选择性内容，也</w:t>
      </w:r>
      <w:r>
        <w:rPr>
          <w:rFonts w:hint="eastAsia" w:ascii="宋体" w:hAnsi="宋体"/>
          <w:color w:val="auto"/>
          <w:highlight w:val="none"/>
        </w:rPr>
        <w:t>可</w:t>
      </w:r>
      <w:r>
        <w:rPr>
          <w:rFonts w:ascii="宋体" w:hAnsi="宋体"/>
          <w:color w:val="auto"/>
          <w:highlight w:val="none"/>
        </w:rPr>
        <w:t>根据提示内容填写；无需要填写的，在空格中用“／”标示。</w:t>
      </w:r>
    </w:p>
    <w:p>
      <w:pPr>
        <w:tabs>
          <w:tab w:val="left" w:pos="1080"/>
        </w:tabs>
        <w:spacing w:before="0" w:after="0" w:afterAutospacing="0"/>
        <w:ind w:left="0" w:right="0" w:firstLine="424" w:firstLineChars="201"/>
        <w:rPr>
          <w:rFonts w:ascii="宋体" w:hAnsi="宋体"/>
          <w:b/>
          <w:color w:val="auto"/>
          <w:highlight w:val="none"/>
        </w:rPr>
      </w:pPr>
      <w:r>
        <w:rPr>
          <w:rFonts w:hint="eastAsia" w:ascii="宋体" w:hAnsi="宋体"/>
          <w:b/>
          <w:color w:val="auto"/>
          <w:highlight w:val="none"/>
        </w:rPr>
        <w:t>四、控制价</w:t>
      </w:r>
    </w:p>
    <w:p>
      <w:pPr>
        <w:tabs>
          <w:tab w:val="left" w:pos="10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编制控制价时按行业的最高税率扣除税费，公布的控制价为不含税控制价。</w:t>
      </w:r>
      <w:r>
        <w:rPr>
          <w:rFonts w:ascii="宋体" w:hAnsi="宋体"/>
          <w:color w:val="auto"/>
          <w:highlight w:val="none"/>
        </w:rPr>
        <w:t>本项目采用不含税报价，在签订本项目合同时，</w:t>
      </w:r>
      <w:r>
        <w:rPr>
          <w:rFonts w:hint="eastAsia" w:ascii="宋体" w:hAnsi="宋体"/>
          <w:color w:val="auto"/>
          <w:highlight w:val="none"/>
        </w:rPr>
        <w:t>遵循国家现行税法的相关规定</w:t>
      </w:r>
      <w:r>
        <w:rPr>
          <w:rFonts w:ascii="宋体" w:hAnsi="宋体"/>
          <w:color w:val="auto"/>
          <w:highlight w:val="none"/>
        </w:rPr>
        <w:t>在中</w:t>
      </w:r>
      <w:r>
        <w:rPr>
          <w:rFonts w:hint="eastAsia" w:ascii="宋体" w:hAnsi="宋体"/>
          <w:color w:val="auto"/>
          <w:highlight w:val="none"/>
        </w:rPr>
        <w:t>选</w:t>
      </w:r>
      <w:r>
        <w:rPr>
          <w:rFonts w:ascii="宋体" w:hAnsi="宋体"/>
          <w:color w:val="auto"/>
          <w:highlight w:val="none"/>
        </w:rPr>
        <w:t>人不含税</w:t>
      </w:r>
      <w:r>
        <w:rPr>
          <w:rFonts w:hint="eastAsia" w:ascii="宋体" w:hAnsi="宋体"/>
          <w:color w:val="auto"/>
          <w:highlight w:val="none"/>
        </w:rPr>
        <w:t>单</w:t>
      </w:r>
      <w:r>
        <w:rPr>
          <w:rFonts w:ascii="宋体" w:hAnsi="宋体"/>
          <w:color w:val="auto"/>
          <w:highlight w:val="none"/>
        </w:rPr>
        <w:t>价的基础上</w:t>
      </w:r>
      <w:r>
        <w:rPr>
          <w:rFonts w:hint="eastAsia" w:ascii="宋体" w:hAnsi="宋体"/>
          <w:color w:val="auto"/>
          <w:highlight w:val="none"/>
        </w:rPr>
        <w:t>逐项</w:t>
      </w:r>
      <w:r>
        <w:rPr>
          <w:rFonts w:ascii="宋体" w:hAnsi="宋体"/>
          <w:color w:val="auto"/>
          <w:highlight w:val="none"/>
        </w:rPr>
        <w:t>增加</w:t>
      </w:r>
      <w:r>
        <w:rPr>
          <w:rFonts w:hint="eastAsia" w:ascii="宋体" w:hAnsi="宋体"/>
          <w:color w:val="auto"/>
          <w:highlight w:val="none"/>
        </w:rPr>
        <w:t>税费，并</w:t>
      </w:r>
      <w:r>
        <w:rPr>
          <w:rFonts w:ascii="宋体" w:hAnsi="宋体"/>
          <w:color w:val="auto"/>
          <w:highlight w:val="none"/>
        </w:rPr>
        <w:t>明确相应税率和税金。</w:t>
      </w:r>
      <w:r>
        <w:rPr>
          <w:rFonts w:hint="eastAsia" w:ascii="宋体" w:hAnsi="宋体"/>
          <w:color w:val="auto"/>
          <w:highlight w:val="none"/>
        </w:rPr>
        <w:t>（含税价格计算保留小数点后两位，含税合价为单价与数量的乘积，合同总价为分项合价之和。）</w:t>
      </w:r>
    </w:p>
    <w:p>
      <w:pPr>
        <w:spacing w:before="0" w:after="0" w:afterAutospacing="0"/>
        <w:ind w:left="0" w:right="0" w:firstLine="424" w:firstLineChars="201"/>
        <w:jc w:val="left"/>
        <w:rPr>
          <w:rFonts w:ascii="宋体" w:hAnsi="宋体"/>
          <w:color w:val="auto"/>
          <w:highlight w:val="none"/>
        </w:rPr>
      </w:pPr>
      <w:r>
        <w:rPr>
          <w:rFonts w:hint="eastAsia" w:ascii="宋体" w:hAnsi="宋体"/>
          <w:b/>
          <w:color w:val="auto"/>
          <w:highlight w:val="none"/>
        </w:rPr>
        <w:t>五、使用部门在签订合同前，依据本次比选文件中的用户需求书、乙方比选申请文件，按照二者较优值形成技术规格书，并经双方确认后构成本合同的有效组成部分。技术规格书的确认由我公司主办部门及技术归口管理部门负责。若中选人在定标后及合同签订前，以上述事项为借口而不履行合同签订手续及执行合同，则视作放弃中选资格。</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六、比选文件第五章“用户需求书”采用审定稿，若需求书中有需要特别注意的重点条款，应标注“★”，并在比选文件合同条款中落实相应内容。使用部门应认真梳理“★”条款， “★”条款即达到该项目的基本条件。</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七、若合同所列条款不能满足所采物资管理需求时或与所采物资特性不相符时，请使用部门应根据项目采购目的、需达到的管理效果</w:t>
      </w:r>
      <w:r>
        <w:rPr>
          <w:rFonts w:hint="eastAsia" w:ascii="宋体" w:hAnsi="宋体"/>
          <w:b/>
          <w:color w:val="auto"/>
          <w:highlight w:val="none"/>
          <w:lang w:eastAsia="zh-CN"/>
        </w:rPr>
        <w:t>，</w:t>
      </w:r>
      <w:r>
        <w:rPr>
          <w:rFonts w:hint="eastAsia" w:ascii="宋体" w:hAnsi="宋体"/>
          <w:b/>
          <w:color w:val="auto"/>
          <w:highlight w:val="none"/>
        </w:rPr>
        <w:t>适当增加与之匹配的条款。</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八、如项目有质保金相关要求，使用部门应根据项目实际情况设置质保金相关条款。</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九、使用部门在编制文件时，用户需求书若涉及商务部分，应在比选文件的资格要求和合同条款中体现，无需在用户需求书中赘述。</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十、编制比选文件原则上应遵循招投标法实施条例第三十二条规定的内容，不得以不合理的条件限制、排斥潜在比选申请人。</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十一、税金是指增值税。</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十二、项目编号的获取：由使用部门在合同管理系统</w:t>
      </w:r>
      <w:r>
        <w:rPr>
          <w:rFonts w:hint="eastAsia" w:ascii="宋体" w:hAnsi="宋体"/>
          <w:b/>
          <w:color w:val="auto"/>
          <w:highlight w:val="none"/>
          <w:lang w:eastAsia="zh-CN"/>
        </w:rPr>
        <w:t>上做</w:t>
      </w:r>
      <w:r>
        <w:rPr>
          <w:rFonts w:hint="eastAsia" w:ascii="宋体" w:hAnsi="宋体"/>
          <w:b/>
          <w:color w:val="auto"/>
          <w:highlight w:val="none"/>
        </w:rPr>
        <w:t>立项登记时获得的合同立项编号即为项目编号。</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十三、本项目服务范围、服务内容、价格构成、合同违约责任条款的处罚，可根据项目实际需求做调整和删减，但调整或删减的内容需在“比选文件范本修改对比表”中列明。</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十四、使用本范本的项目，控制价需报会审议。若涉及到资格条件、支付方式等重点内容改变的，须同时报会审议。</w:t>
      </w:r>
    </w:p>
    <w:p>
      <w:pPr>
        <w:spacing w:before="0" w:after="0" w:afterAutospacing="0"/>
        <w:ind w:left="0" w:right="0" w:firstLine="426"/>
        <w:rPr>
          <w:rFonts w:ascii="宋体" w:hAnsi="宋体"/>
          <w:b/>
          <w:color w:val="auto"/>
          <w:highlight w:val="none"/>
        </w:rPr>
      </w:pPr>
      <w:r>
        <w:rPr>
          <w:rFonts w:hint="eastAsia" w:ascii="宋体" w:hAnsi="宋体"/>
          <w:b/>
          <w:color w:val="auto"/>
          <w:highlight w:val="none"/>
        </w:rPr>
        <w:t>十五、合同条款中的第16条所述之“服务”与合同第四部分“1.1.10 服务”定义相关联，需根据项目实际情况设置服务内容。</w:t>
      </w:r>
    </w:p>
    <w:p>
      <w:pPr>
        <w:spacing w:before="0" w:after="0" w:afterAutospacing="0"/>
        <w:ind w:left="0" w:right="0" w:firstLine="113"/>
        <w:rPr>
          <w:rFonts w:ascii="宋体" w:hAnsi="宋体"/>
          <w:color w:val="auto"/>
          <w:highlight w:val="none"/>
        </w:rPr>
      </w:pPr>
    </w:p>
    <w:p>
      <w:pPr>
        <w:ind w:right="-57" w:firstLine="150"/>
        <w:jc w:val="center"/>
        <w:rPr>
          <w:rFonts w:ascii="宋体" w:hAnsi="宋体" w:cs="宋体"/>
          <w:b/>
          <w:color w:val="auto"/>
          <w:sz w:val="36"/>
          <w:szCs w:val="36"/>
          <w:highlight w:val="none"/>
        </w:rPr>
      </w:pPr>
      <w:r>
        <w:rPr>
          <w:rFonts w:hint="eastAsia" w:ascii="宋体" w:hAnsi="宋体" w:cs="宋体"/>
          <w:b/>
          <w:color w:val="auto"/>
          <w:sz w:val="36"/>
          <w:szCs w:val="36"/>
          <w:highlight w:val="none"/>
        </w:rPr>
        <w:t>比选文件范本修改对比表</w:t>
      </w:r>
    </w:p>
    <w:tbl>
      <w:tblPr>
        <w:tblStyle w:val="28"/>
        <w:tblW w:w="8522" w:type="dxa"/>
        <w:jc w:val="center"/>
        <w:tblLayout w:type="fixed"/>
        <w:tblCellMar>
          <w:top w:w="0" w:type="dxa"/>
          <w:left w:w="108" w:type="dxa"/>
          <w:bottom w:w="0" w:type="dxa"/>
          <w:right w:w="108" w:type="dxa"/>
        </w:tblCellMar>
      </w:tblPr>
      <w:tblGrid>
        <w:gridCol w:w="267"/>
        <w:gridCol w:w="921"/>
        <w:gridCol w:w="373"/>
        <w:gridCol w:w="1607"/>
        <w:gridCol w:w="391"/>
        <w:gridCol w:w="1949"/>
        <w:gridCol w:w="302"/>
        <w:gridCol w:w="2712"/>
      </w:tblGrid>
      <w:tr>
        <w:tblPrEx>
          <w:tblCellMar>
            <w:top w:w="0" w:type="dxa"/>
            <w:left w:w="108" w:type="dxa"/>
            <w:bottom w:w="0" w:type="dxa"/>
            <w:right w:w="108" w:type="dxa"/>
          </w:tblCellMar>
        </w:tblPrEx>
        <w:trPr>
          <w:trHeight w:val="462" w:hRule="atLeast"/>
          <w:jc w:val="center"/>
        </w:trPr>
        <w:tc>
          <w:tcPr>
            <w:tcW w:w="267" w:type="dxa"/>
            <w:tcBorders>
              <w:right w:val="single" w:color="auto" w:sz="12" w:space="0"/>
            </w:tcBorders>
            <w:vAlign w:val="center"/>
          </w:tcPr>
          <w:p>
            <w:pPr>
              <w:spacing w:after="120"/>
              <w:ind w:left="0" w:right="-57" w:firstLine="0"/>
              <w:rPr>
                <w:rFonts w:ascii="宋体" w:hAnsi="宋体"/>
                <w:color w:val="auto"/>
                <w:highlight w:val="none"/>
              </w:rPr>
            </w:pPr>
          </w:p>
        </w:tc>
        <w:tc>
          <w:tcPr>
            <w:tcW w:w="921" w:type="dxa"/>
            <w:tcBorders>
              <w:top w:val="single" w:color="auto" w:sz="12" w:space="0"/>
              <w:left w:val="single" w:color="auto" w:sz="12" w:space="0"/>
              <w:bottom w:val="single" w:color="auto" w:sz="12" w:space="0"/>
            </w:tcBorders>
            <w:vAlign w:val="center"/>
          </w:tcPr>
          <w:p>
            <w:pPr>
              <w:spacing w:after="120"/>
              <w:ind w:left="46" w:leftChars="22" w:right="-57" w:firstLine="0"/>
              <w:rPr>
                <w:rFonts w:ascii="宋体" w:hAnsi="宋体"/>
                <w:color w:val="auto"/>
                <w:highlight w:val="none"/>
              </w:rPr>
            </w:pPr>
            <w:r>
              <w:rPr>
                <w:rFonts w:hint="eastAsia" w:ascii="宋体" w:hAnsi="宋体"/>
                <w:color w:val="auto"/>
                <w:highlight w:val="none"/>
              </w:rPr>
              <w:t>款号</w:t>
            </w:r>
          </w:p>
        </w:tc>
        <w:tc>
          <w:tcPr>
            <w:tcW w:w="373"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1607" w:type="dxa"/>
            <w:tcBorders>
              <w:top w:val="single" w:color="auto" w:sz="12" w:space="0"/>
              <w:left w:val="single" w:color="auto" w:sz="12" w:space="0"/>
              <w:bottom w:val="single" w:color="auto" w:sz="12" w:space="0"/>
            </w:tcBorders>
            <w:vAlign w:val="center"/>
          </w:tcPr>
          <w:p>
            <w:pPr>
              <w:spacing w:after="120"/>
              <w:ind w:left="336" w:right="-57" w:firstLine="0"/>
              <w:jc w:val="center"/>
              <w:rPr>
                <w:rFonts w:ascii="宋体" w:hAnsi="宋体"/>
                <w:color w:val="auto"/>
                <w:highlight w:val="none"/>
              </w:rPr>
            </w:pPr>
            <w:r>
              <w:rPr>
                <w:rFonts w:hint="eastAsia" w:ascii="宋体" w:hAnsi="宋体"/>
                <w:color w:val="auto"/>
                <w:highlight w:val="none"/>
              </w:rPr>
              <w:t>修改类型</w:t>
            </w:r>
          </w:p>
        </w:tc>
        <w:tc>
          <w:tcPr>
            <w:tcW w:w="391"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1949" w:type="dxa"/>
            <w:tcBorders>
              <w:top w:val="single" w:color="auto" w:sz="12" w:space="0"/>
              <w:left w:val="single" w:color="auto" w:sz="12" w:space="0"/>
              <w:bottom w:val="single" w:color="auto" w:sz="12" w:space="0"/>
            </w:tcBorders>
            <w:vAlign w:val="center"/>
          </w:tcPr>
          <w:p>
            <w:pPr>
              <w:spacing w:after="120"/>
              <w:ind w:left="318" w:right="-57" w:firstLine="0"/>
              <w:jc w:val="center"/>
              <w:rPr>
                <w:rFonts w:ascii="宋体" w:hAnsi="宋体"/>
                <w:color w:val="auto"/>
                <w:highlight w:val="none"/>
              </w:rPr>
            </w:pPr>
            <w:r>
              <w:rPr>
                <w:rFonts w:hint="eastAsia" w:ascii="宋体" w:hAnsi="宋体"/>
                <w:color w:val="auto"/>
                <w:highlight w:val="none"/>
              </w:rPr>
              <w:t>原条款内容</w:t>
            </w:r>
          </w:p>
        </w:tc>
        <w:tc>
          <w:tcPr>
            <w:tcW w:w="302"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2712" w:type="dxa"/>
            <w:tcBorders>
              <w:top w:val="single" w:color="auto" w:sz="12" w:space="0"/>
              <w:bottom w:val="single" w:color="auto" w:sz="12" w:space="0"/>
              <w:right w:val="single" w:color="auto" w:sz="12" w:space="0"/>
            </w:tcBorders>
            <w:vAlign w:val="center"/>
          </w:tcPr>
          <w:p>
            <w:pPr>
              <w:spacing w:after="120"/>
              <w:ind w:left="407" w:right="-57" w:firstLine="0"/>
              <w:jc w:val="center"/>
              <w:rPr>
                <w:rFonts w:ascii="宋体" w:hAnsi="宋体"/>
                <w:color w:val="auto"/>
                <w:highlight w:val="none"/>
              </w:rPr>
            </w:pPr>
            <w:r>
              <w:rPr>
                <w:rFonts w:hint="eastAsia" w:ascii="宋体" w:hAnsi="宋体"/>
                <w:color w:val="auto"/>
                <w:highlight w:val="none"/>
              </w:rPr>
              <w:t>修改后或新增条款内容</w:t>
            </w:r>
          </w:p>
        </w:tc>
      </w:tr>
      <w:tr>
        <w:tblPrEx>
          <w:tblCellMar>
            <w:top w:w="0" w:type="dxa"/>
            <w:left w:w="108" w:type="dxa"/>
            <w:bottom w:w="0" w:type="dxa"/>
            <w:right w:w="108" w:type="dxa"/>
          </w:tblCellMar>
        </w:tblPrEx>
        <w:trPr>
          <w:jc w:val="center"/>
        </w:trPr>
        <w:tc>
          <w:tcPr>
            <w:tcW w:w="267" w:type="dxa"/>
            <w:tcBorders>
              <w:right w:val="single" w:color="auto" w:sz="12" w:space="0"/>
            </w:tcBorders>
            <w:vAlign w:val="center"/>
          </w:tcPr>
          <w:p>
            <w:pPr>
              <w:spacing w:after="120"/>
              <w:ind w:left="0" w:right="-57" w:firstLine="0"/>
              <w:rPr>
                <w:rFonts w:ascii="宋体" w:hAnsi="宋体"/>
                <w:color w:val="auto"/>
                <w:highlight w:val="none"/>
              </w:rPr>
            </w:pPr>
          </w:p>
        </w:tc>
        <w:tc>
          <w:tcPr>
            <w:tcW w:w="921" w:type="dxa"/>
            <w:tcBorders>
              <w:left w:val="single" w:color="auto" w:sz="12" w:space="0"/>
              <w:bottom w:val="single" w:color="auto" w:sz="12" w:space="0"/>
            </w:tcBorders>
            <w:vAlign w:val="center"/>
          </w:tcPr>
          <w:p>
            <w:pPr>
              <w:spacing w:after="120"/>
              <w:ind w:left="46" w:leftChars="22" w:right="-57" w:firstLine="0"/>
              <w:rPr>
                <w:rFonts w:ascii="宋体" w:hAnsi="宋体"/>
                <w:color w:val="auto"/>
                <w:highlight w:val="none"/>
              </w:rPr>
            </w:pPr>
            <w:r>
              <w:rPr>
                <w:rFonts w:hint="eastAsia" w:ascii="宋体" w:hAnsi="宋体"/>
                <w:color w:val="auto"/>
                <w:highlight w:val="none"/>
              </w:rPr>
              <w:t>……</w:t>
            </w:r>
          </w:p>
        </w:tc>
        <w:tc>
          <w:tcPr>
            <w:tcW w:w="373" w:type="dxa"/>
            <w:tcBorders>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1607" w:type="dxa"/>
            <w:tcBorders>
              <w:left w:val="single" w:color="auto" w:sz="12" w:space="0"/>
              <w:bottom w:val="single" w:color="auto" w:sz="12" w:space="0"/>
            </w:tcBorders>
            <w:vAlign w:val="center"/>
          </w:tcPr>
          <w:p>
            <w:pPr>
              <w:spacing w:after="120"/>
              <w:ind w:left="336" w:right="-57" w:firstLine="0"/>
              <w:jc w:val="center"/>
              <w:rPr>
                <w:rFonts w:ascii="宋体" w:hAnsi="宋体"/>
                <w:color w:val="auto"/>
                <w:highlight w:val="none"/>
              </w:rPr>
            </w:pPr>
            <w:r>
              <w:rPr>
                <w:rFonts w:hint="eastAsia" w:ascii="宋体" w:hAnsi="宋体"/>
                <w:color w:val="auto"/>
                <w:highlight w:val="none"/>
              </w:rPr>
              <w:t>增加</w:t>
            </w:r>
          </w:p>
        </w:tc>
        <w:tc>
          <w:tcPr>
            <w:tcW w:w="391" w:type="dxa"/>
            <w:tcBorders>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1949" w:type="dxa"/>
            <w:tcBorders>
              <w:left w:val="single" w:color="auto" w:sz="12" w:space="0"/>
              <w:bottom w:val="single" w:color="auto" w:sz="12" w:space="0"/>
            </w:tcBorders>
            <w:vAlign w:val="center"/>
          </w:tcPr>
          <w:p>
            <w:pPr>
              <w:spacing w:after="120"/>
              <w:ind w:left="318" w:right="-57" w:firstLine="0"/>
              <w:jc w:val="center"/>
              <w:rPr>
                <w:rFonts w:ascii="宋体" w:hAnsi="宋体"/>
                <w:color w:val="auto"/>
                <w:highlight w:val="none"/>
              </w:rPr>
            </w:pPr>
            <w:r>
              <w:rPr>
                <w:rFonts w:hint="eastAsia" w:ascii="宋体" w:hAnsi="宋体"/>
                <w:color w:val="auto"/>
                <w:highlight w:val="none"/>
              </w:rPr>
              <w:t>……</w:t>
            </w:r>
          </w:p>
        </w:tc>
        <w:tc>
          <w:tcPr>
            <w:tcW w:w="302" w:type="dxa"/>
            <w:tcBorders>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2712" w:type="dxa"/>
            <w:tcBorders>
              <w:bottom w:val="single" w:color="auto" w:sz="12" w:space="0"/>
              <w:right w:val="single" w:color="auto" w:sz="12" w:space="0"/>
            </w:tcBorders>
            <w:vAlign w:val="center"/>
          </w:tcPr>
          <w:p>
            <w:pPr>
              <w:spacing w:after="120"/>
              <w:ind w:left="407" w:right="-57" w:firstLine="0"/>
              <w:jc w:val="center"/>
              <w:rPr>
                <w:rFonts w:ascii="宋体" w:hAnsi="宋体"/>
                <w:color w:val="auto"/>
                <w:highlight w:val="none"/>
              </w:rPr>
            </w:pPr>
            <w:r>
              <w:rPr>
                <w:rFonts w:hint="eastAsia" w:ascii="宋体" w:hAnsi="宋体"/>
                <w:color w:val="auto"/>
                <w:highlight w:val="none"/>
              </w:rPr>
              <w:t>……</w:t>
            </w:r>
          </w:p>
        </w:tc>
      </w:tr>
      <w:tr>
        <w:tblPrEx>
          <w:tblCellMar>
            <w:top w:w="0" w:type="dxa"/>
            <w:left w:w="108" w:type="dxa"/>
            <w:bottom w:w="0" w:type="dxa"/>
            <w:right w:w="108" w:type="dxa"/>
          </w:tblCellMar>
        </w:tblPrEx>
        <w:trPr>
          <w:jc w:val="center"/>
        </w:trPr>
        <w:tc>
          <w:tcPr>
            <w:tcW w:w="267" w:type="dxa"/>
            <w:tcBorders>
              <w:right w:val="single" w:color="auto" w:sz="12" w:space="0"/>
            </w:tcBorders>
            <w:vAlign w:val="center"/>
          </w:tcPr>
          <w:p>
            <w:pPr>
              <w:spacing w:after="120"/>
              <w:ind w:left="0" w:right="-57" w:firstLine="0"/>
              <w:rPr>
                <w:rFonts w:ascii="宋体" w:hAnsi="宋体"/>
                <w:color w:val="auto"/>
                <w:highlight w:val="none"/>
              </w:rPr>
            </w:pPr>
          </w:p>
        </w:tc>
        <w:tc>
          <w:tcPr>
            <w:tcW w:w="921" w:type="dxa"/>
            <w:tcBorders>
              <w:top w:val="single" w:color="auto" w:sz="12" w:space="0"/>
              <w:left w:val="single" w:color="auto" w:sz="12" w:space="0"/>
              <w:bottom w:val="single" w:color="auto" w:sz="12" w:space="0"/>
            </w:tcBorders>
            <w:vAlign w:val="center"/>
          </w:tcPr>
          <w:p>
            <w:pPr>
              <w:spacing w:after="120"/>
              <w:ind w:left="46" w:leftChars="22" w:right="-57" w:firstLine="0"/>
              <w:rPr>
                <w:rFonts w:ascii="宋体" w:hAnsi="宋体"/>
                <w:color w:val="auto"/>
                <w:highlight w:val="none"/>
              </w:rPr>
            </w:pPr>
            <w:r>
              <w:rPr>
                <w:rFonts w:hint="eastAsia" w:ascii="宋体" w:hAnsi="宋体"/>
                <w:color w:val="auto"/>
                <w:highlight w:val="none"/>
              </w:rPr>
              <w:t>……</w:t>
            </w:r>
          </w:p>
        </w:tc>
        <w:tc>
          <w:tcPr>
            <w:tcW w:w="373"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1607" w:type="dxa"/>
            <w:tcBorders>
              <w:top w:val="single" w:color="auto" w:sz="12" w:space="0"/>
              <w:left w:val="single" w:color="auto" w:sz="12" w:space="0"/>
              <w:bottom w:val="single" w:color="auto" w:sz="12" w:space="0"/>
            </w:tcBorders>
            <w:vAlign w:val="center"/>
          </w:tcPr>
          <w:p>
            <w:pPr>
              <w:spacing w:after="120"/>
              <w:ind w:left="336" w:right="-57" w:firstLine="0"/>
              <w:jc w:val="center"/>
              <w:rPr>
                <w:rFonts w:ascii="宋体" w:hAnsi="宋体"/>
                <w:color w:val="auto"/>
                <w:highlight w:val="none"/>
              </w:rPr>
            </w:pPr>
            <w:r>
              <w:rPr>
                <w:rFonts w:hint="eastAsia" w:ascii="宋体" w:hAnsi="宋体"/>
                <w:color w:val="auto"/>
                <w:highlight w:val="none"/>
              </w:rPr>
              <w:t>修改</w:t>
            </w:r>
          </w:p>
        </w:tc>
        <w:tc>
          <w:tcPr>
            <w:tcW w:w="391"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1949" w:type="dxa"/>
            <w:tcBorders>
              <w:top w:val="single" w:color="auto" w:sz="12" w:space="0"/>
              <w:left w:val="single" w:color="auto" w:sz="12" w:space="0"/>
              <w:bottom w:val="single" w:color="auto" w:sz="12" w:space="0"/>
            </w:tcBorders>
            <w:vAlign w:val="center"/>
          </w:tcPr>
          <w:p>
            <w:pPr>
              <w:spacing w:after="120"/>
              <w:ind w:left="318" w:right="-57" w:firstLine="0"/>
              <w:jc w:val="center"/>
              <w:rPr>
                <w:rFonts w:ascii="宋体" w:hAnsi="宋体"/>
                <w:color w:val="auto"/>
                <w:highlight w:val="none"/>
              </w:rPr>
            </w:pPr>
            <w:r>
              <w:rPr>
                <w:rFonts w:hint="eastAsia" w:ascii="宋体" w:hAnsi="宋体"/>
                <w:color w:val="auto"/>
                <w:highlight w:val="none"/>
              </w:rPr>
              <w:t>……</w:t>
            </w:r>
          </w:p>
        </w:tc>
        <w:tc>
          <w:tcPr>
            <w:tcW w:w="302" w:type="dxa"/>
            <w:tcBorders>
              <w:top w:val="single" w:color="auto" w:sz="12" w:space="0"/>
              <w:bottom w:val="single" w:color="auto" w:sz="12" w:space="0"/>
              <w:right w:val="single" w:color="auto" w:sz="12" w:space="0"/>
            </w:tcBorders>
            <w:vAlign w:val="center"/>
          </w:tcPr>
          <w:p>
            <w:pPr>
              <w:spacing w:after="120"/>
              <w:ind w:left="0" w:right="-57" w:firstLine="0"/>
              <w:jc w:val="center"/>
              <w:rPr>
                <w:rFonts w:ascii="宋体" w:hAnsi="宋体"/>
                <w:color w:val="auto"/>
                <w:highlight w:val="none"/>
              </w:rPr>
            </w:pPr>
          </w:p>
        </w:tc>
        <w:tc>
          <w:tcPr>
            <w:tcW w:w="2712" w:type="dxa"/>
            <w:tcBorders>
              <w:top w:val="single" w:color="auto" w:sz="12" w:space="0"/>
              <w:bottom w:val="single" w:color="auto" w:sz="12" w:space="0"/>
              <w:right w:val="single" w:color="auto" w:sz="12" w:space="0"/>
            </w:tcBorders>
            <w:vAlign w:val="center"/>
          </w:tcPr>
          <w:p>
            <w:pPr>
              <w:spacing w:after="120"/>
              <w:ind w:left="407" w:right="-57" w:firstLine="0"/>
              <w:jc w:val="center"/>
              <w:rPr>
                <w:rFonts w:ascii="宋体" w:hAnsi="宋体"/>
                <w:color w:val="auto"/>
                <w:highlight w:val="none"/>
              </w:rPr>
            </w:pPr>
            <w:r>
              <w:rPr>
                <w:rFonts w:hint="eastAsia" w:ascii="宋体" w:hAnsi="宋体"/>
                <w:color w:val="auto"/>
                <w:highlight w:val="none"/>
              </w:rPr>
              <w:t>……</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267" w:type="dxa"/>
          <w:trHeight w:val="100" w:hRule="atLeast"/>
          <w:jc w:val="center"/>
        </w:trPr>
        <w:tc>
          <w:tcPr>
            <w:tcW w:w="1294" w:type="dxa"/>
            <w:gridSpan w:val="2"/>
            <w:tcBorders>
              <w:top w:val="single" w:color="auto" w:sz="12" w:space="0"/>
              <w:left w:val="single" w:color="auto" w:sz="12" w:space="0"/>
              <w:bottom w:val="single" w:color="auto" w:sz="12" w:space="0"/>
              <w:right w:val="single" w:color="auto" w:sz="12" w:space="0"/>
            </w:tcBorders>
          </w:tcPr>
          <w:p>
            <w:pPr>
              <w:ind w:left="0" w:right="-57" w:firstLine="0"/>
              <w:rPr>
                <w:rFonts w:ascii="宋体" w:hAnsi="宋体"/>
                <w:color w:val="auto"/>
                <w:highlight w:val="none"/>
              </w:rPr>
            </w:pPr>
            <w:r>
              <w:rPr>
                <w:rFonts w:hint="eastAsia" w:ascii="宋体" w:hAnsi="宋体"/>
                <w:color w:val="auto"/>
                <w:highlight w:val="none"/>
              </w:rPr>
              <w:t>……</w:t>
            </w:r>
          </w:p>
        </w:tc>
        <w:tc>
          <w:tcPr>
            <w:tcW w:w="1998" w:type="dxa"/>
            <w:gridSpan w:val="2"/>
            <w:tcBorders>
              <w:top w:val="single" w:color="auto" w:sz="12" w:space="0"/>
              <w:left w:val="single" w:color="auto" w:sz="12" w:space="0"/>
              <w:bottom w:val="single" w:color="auto" w:sz="12" w:space="0"/>
            </w:tcBorders>
          </w:tcPr>
          <w:p>
            <w:pPr>
              <w:ind w:left="0" w:right="-57" w:firstLine="0"/>
              <w:rPr>
                <w:rFonts w:ascii="宋体" w:hAnsi="宋体"/>
                <w:color w:val="auto"/>
                <w:highlight w:val="none"/>
              </w:rPr>
            </w:pPr>
          </w:p>
        </w:tc>
        <w:tc>
          <w:tcPr>
            <w:tcW w:w="2251" w:type="dxa"/>
            <w:gridSpan w:val="2"/>
            <w:tcBorders>
              <w:top w:val="single" w:color="auto" w:sz="12" w:space="0"/>
              <w:left w:val="single" w:color="auto" w:sz="12" w:space="0"/>
              <w:bottom w:val="single" w:color="auto" w:sz="12" w:space="0"/>
            </w:tcBorders>
          </w:tcPr>
          <w:p>
            <w:pPr>
              <w:ind w:left="0" w:right="-57" w:firstLine="0"/>
              <w:rPr>
                <w:rFonts w:ascii="宋体" w:hAnsi="宋体"/>
                <w:color w:val="auto"/>
                <w:highlight w:val="none"/>
              </w:rPr>
            </w:pPr>
          </w:p>
        </w:tc>
        <w:tc>
          <w:tcPr>
            <w:tcW w:w="2712" w:type="dxa"/>
            <w:tcBorders>
              <w:top w:val="single" w:color="auto" w:sz="12" w:space="0"/>
              <w:left w:val="single" w:color="auto" w:sz="12" w:space="0"/>
              <w:bottom w:val="single" w:color="auto" w:sz="12" w:space="0"/>
              <w:right w:val="single" w:color="auto" w:sz="12" w:space="0"/>
            </w:tcBorders>
          </w:tcPr>
          <w:p>
            <w:pPr>
              <w:ind w:left="0" w:right="-57" w:firstLine="0"/>
              <w:rPr>
                <w:rFonts w:ascii="宋体" w:hAnsi="宋体"/>
                <w:color w:val="auto"/>
                <w:highlight w:val="none"/>
              </w:rPr>
            </w:pPr>
          </w:p>
        </w:tc>
      </w:tr>
    </w:tbl>
    <w:p>
      <w:pPr>
        <w:ind w:right="-57" w:firstLine="2200"/>
        <w:rPr>
          <w:rFonts w:ascii="宋体" w:hAnsi="宋体"/>
          <w:color w:val="auto"/>
          <w:highlight w:val="none"/>
        </w:rPr>
      </w:pPr>
      <w:r>
        <w:rPr>
          <w:rFonts w:hint="eastAsia" w:ascii="宋体" w:hAnsi="宋体"/>
          <w:color w:val="auto"/>
          <w:highlight w:val="none"/>
        </w:rPr>
        <w:t>共  页     第  页</w:t>
      </w:r>
    </w:p>
    <w:p>
      <w:pPr>
        <w:spacing w:before="0"/>
        <w:ind w:right="-57" w:firstLine="0"/>
        <w:jc w:val="center"/>
        <w:rPr>
          <w:rFonts w:ascii="宋体" w:hAnsi="宋体"/>
          <w:b/>
          <w:color w:val="auto"/>
          <w:sz w:val="36"/>
          <w:szCs w:val="36"/>
          <w:highlight w:val="none"/>
        </w:rPr>
      </w:pPr>
    </w:p>
    <w:p>
      <w:pPr>
        <w:spacing w:before="0"/>
        <w:ind w:right="-57" w:firstLine="0"/>
        <w:jc w:val="center"/>
        <w:rPr>
          <w:rFonts w:ascii="宋体" w:hAnsi="宋体"/>
          <w:b/>
          <w:color w:val="auto"/>
          <w:sz w:val="36"/>
          <w:szCs w:val="36"/>
          <w:highlight w:val="none"/>
        </w:rPr>
      </w:pPr>
    </w:p>
    <w:p>
      <w:pPr>
        <w:spacing w:before="0"/>
        <w:ind w:right="-57" w:firstLine="0"/>
        <w:jc w:val="center"/>
        <w:rPr>
          <w:rFonts w:ascii="宋体" w:hAnsi="宋体"/>
          <w:b/>
          <w:color w:val="auto"/>
          <w:sz w:val="36"/>
          <w:szCs w:val="36"/>
          <w:highlight w:val="none"/>
        </w:rPr>
      </w:pPr>
    </w:p>
    <w:p>
      <w:pPr>
        <w:spacing w:before="0"/>
        <w:ind w:right="-57" w:firstLine="0"/>
        <w:jc w:val="center"/>
        <w:rPr>
          <w:rFonts w:ascii="宋体" w:hAnsi="宋体"/>
          <w:b/>
          <w:color w:val="auto"/>
          <w:sz w:val="36"/>
          <w:szCs w:val="36"/>
          <w:highlight w:val="none"/>
        </w:rPr>
      </w:pPr>
    </w:p>
    <w:p>
      <w:pPr>
        <w:spacing w:before="0"/>
        <w:ind w:right="-57" w:firstLine="0"/>
        <w:jc w:val="center"/>
        <w:rPr>
          <w:rFonts w:ascii="宋体" w:hAnsi="宋体"/>
          <w:b/>
          <w:color w:val="auto"/>
          <w:sz w:val="36"/>
          <w:szCs w:val="36"/>
          <w:highlight w:val="none"/>
        </w:rPr>
      </w:pPr>
    </w:p>
    <w:p>
      <w:pPr>
        <w:spacing w:before="0"/>
        <w:ind w:right="-57" w:firstLine="0"/>
        <w:jc w:val="center"/>
        <w:rPr>
          <w:rFonts w:ascii="宋体" w:hAnsi="宋体"/>
          <w:b/>
          <w:color w:val="auto"/>
          <w:sz w:val="36"/>
          <w:szCs w:val="36"/>
          <w:highlight w:val="none"/>
        </w:r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52"/>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zh-CN"/>
            </w:rPr>
            <w:t>录</w:t>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_Toc524 </w:instrText>
          </w:r>
          <w:r>
            <w:rPr>
              <w:rFonts w:ascii="宋体" w:hAnsi="宋体"/>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_Toc524 \h </w:instrText>
          </w:r>
          <w:r>
            <w:rPr>
              <w:color w:val="auto"/>
              <w:highlight w:val="none"/>
            </w:rPr>
            <w:fldChar w:fldCharType="separate"/>
          </w:r>
          <w:r>
            <w:rPr>
              <w:color w:val="auto"/>
              <w:highlight w:val="none"/>
            </w:rPr>
            <w:t>1</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_Toc30434 </w:instrText>
          </w:r>
          <w:r>
            <w:rPr>
              <w:rFonts w:ascii="宋体" w:hAnsi="宋体"/>
              <w:color w:val="auto"/>
              <w:highlight w:val="none"/>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_Toc30434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_Toc20620 </w:instrText>
          </w:r>
          <w:r>
            <w:rPr>
              <w:rFonts w:ascii="宋体" w:hAnsi="宋体"/>
              <w:color w:val="auto"/>
              <w:highlight w:val="none"/>
            </w:rPr>
            <w:fldChar w:fldCharType="separate"/>
          </w:r>
          <w:r>
            <w:rPr>
              <w:rFonts w:hint="eastAsia" w:ascii="宋体" w:hAnsi="宋体" w:eastAsia="宋体"/>
              <w:color w:val="auto"/>
              <w:szCs w:val="24"/>
              <w:highlight w:val="none"/>
            </w:rPr>
            <w:t>一、项目概况</w:t>
          </w:r>
          <w:r>
            <w:rPr>
              <w:color w:val="auto"/>
              <w:highlight w:val="none"/>
            </w:rPr>
            <w:tab/>
          </w:r>
          <w:r>
            <w:rPr>
              <w:color w:val="auto"/>
              <w:highlight w:val="none"/>
            </w:rPr>
            <w:fldChar w:fldCharType="begin"/>
          </w:r>
          <w:r>
            <w:rPr>
              <w:color w:val="auto"/>
              <w:highlight w:val="none"/>
            </w:rPr>
            <w:instrText xml:space="preserve"> PAGEREF _Toc20620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_Toc20541 </w:instrText>
          </w:r>
          <w:r>
            <w:rPr>
              <w:rFonts w:ascii="宋体" w:hAnsi="宋体"/>
              <w:color w:val="auto"/>
              <w:highlight w:val="none"/>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w:t>
          </w:r>
          <w:r>
            <w:rPr>
              <w:rFonts w:hint="eastAsia" w:ascii="宋体" w:hAnsi="宋体" w:eastAsia="宋体"/>
              <w:color w:val="auto"/>
              <w:szCs w:val="24"/>
              <w:highlight w:val="none"/>
            </w:rPr>
            <w:t>人资格要求</w:t>
          </w:r>
          <w:r>
            <w:rPr>
              <w:color w:val="auto"/>
              <w:highlight w:val="none"/>
            </w:rPr>
            <w:tab/>
          </w:r>
          <w:r>
            <w:rPr>
              <w:color w:val="auto"/>
              <w:highlight w:val="none"/>
            </w:rPr>
            <w:fldChar w:fldCharType="begin"/>
          </w:r>
          <w:r>
            <w:rPr>
              <w:color w:val="auto"/>
              <w:highlight w:val="none"/>
            </w:rPr>
            <w:instrText xml:space="preserve"> PAGEREF _Toc20541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_Toc19344 </w:instrText>
          </w:r>
          <w:r>
            <w:rPr>
              <w:rFonts w:ascii="宋体" w:hAnsi="宋体"/>
              <w:color w:val="auto"/>
              <w:highlight w:val="none"/>
            </w:rPr>
            <w:fldChar w:fldCharType="separate"/>
          </w:r>
          <w:r>
            <w:rPr>
              <w:rFonts w:hint="eastAsia" w:ascii="宋体" w:hAnsi="宋体" w:eastAsia="宋体"/>
              <w:color w:val="auto"/>
              <w:szCs w:val="24"/>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_Toc19344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_Toc18704 </w:instrText>
          </w:r>
          <w:r>
            <w:rPr>
              <w:rFonts w:ascii="宋体" w:hAnsi="宋体"/>
              <w:color w:val="auto"/>
              <w:highlight w:val="none"/>
            </w:rPr>
            <w:fldChar w:fldCharType="separate"/>
          </w:r>
          <w:r>
            <w:rPr>
              <w:rFonts w:hint="eastAsia" w:ascii="宋体" w:hAnsi="宋体" w:eastAsia="宋体"/>
              <w:color w:val="auto"/>
              <w:szCs w:val="24"/>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_Toc18704 \h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_Toc9751 </w:instrText>
          </w:r>
          <w:r>
            <w:rPr>
              <w:rFonts w:ascii="宋体" w:hAnsi="宋体"/>
              <w:color w:val="auto"/>
              <w:highlight w:val="none"/>
            </w:rPr>
            <w:fldChar w:fldCharType="separate"/>
          </w:r>
          <w:r>
            <w:rPr>
              <w:rFonts w:hint="eastAsia" w:ascii="宋体" w:hAnsi="宋体" w:eastAsia="宋体"/>
              <w:color w:val="auto"/>
              <w:szCs w:val="24"/>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_Toc9751 \h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_Toc25245 </w:instrText>
          </w:r>
          <w:r>
            <w:rPr>
              <w:rFonts w:ascii="宋体" w:hAnsi="宋体"/>
              <w:color w:val="auto"/>
              <w:highlight w:val="none"/>
            </w:rPr>
            <w:fldChar w:fldCharType="separate"/>
          </w:r>
          <w:r>
            <w:rPr>
              <w:rFonts w:hint="eastAsia" w:ascii="宋体" w:hAnsi="宋体" w:eastAsia="宋体"/>
              <w:color w:val="auto"/>
              <w:szCs w:val="24"/>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_Toc25245 \h </w:instrText>
          </w:r>
          <w:r>
            <w:rPr>
              <w:color w:val="auto"/>
              <w:highlight w:val="none"/>
            </w:rPr>
            <w:fldChar w:fldCharType="separate"/>
          </w:r>
          <w:r>
            <w:rPr>
              <w:color w:val="auto"/>
              <w:highlight w:val="none"/>
            </w:rPr>
            <w:t>5</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_Toc30123 </w:instrText>
          </w:r>
          <w:r>
            <w:rPr>
              <w:rFonts w:ascii="宋体" w:hAnsi="宋体"/>
              <w:color w:val="auto"/>
              <w:highlight w:val="none"/>
            </w:rPr>
            <w:fldChar w:fldCharType="separate"/>
          </w:r>
          <w:r>
            <w:rPr>
              <w:rFonts w:hint="eastAsia" w:ascii="宋体" w:hAnsi="宋体" w:eastAsia="宋体"/>
              <w:color w:val="auto"/>
              <w:szCs w:val="24"/>
              <w:highlight w:val="none"/>
            </w:rPr>
            <w:t>七、报价要求</w:t>
          </w:r>
          <w:r>
            <w:rPr>
              <w:color w:val="auto"/>
              <w:highlight w:val="none"/>
            </w:rPr>
            <w:tab/>
          </w:r>
          <w:r>
            <w:rPr>
              <w:color w:val="auto"/>
              <w:highlight w:val="none"/>
            </w:rPr>
            <w:fldChar w:fldCharType="begin"/>
          </w:r>
          <w:r>
            <w:rPr>
              <w:color w:val="auto"/>
              <w:highlight w:val="none"/>
            </w:rPr>
            <w:instrText xml:space="preserve"> PAGEREF _Toc30123 \h </w:instrText>
          </w:r>
          <w:r>
            <w:rPr>
              <w:color w:val="auto"/>
              <w:highlight w:val="none"/>
            </w:rPr>
            <w:fldChar w:fldCharType="separate"/>
          </w:r>
          <w:r>
            <w:rPr>
              <w:color w:val="auto"/>
              <w:highlight w:val="none"/>
            </w:rPr>
            <w:t>5</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_Toc22604 </w:instrText>
          </w:r>
          <w:r>
            <w:rPr>
              <w:rFonts w:ascii="宋体" w:hAnsi="宋体"/>
              <w:color w:val="auto"/>
              <w:highlight w:val="none"/>
            </w:rPr>
            <w:fldChar w:fldCharType="separate"/>
          </w:r>
          <w:r>
            <w:rPr>
              <w:rFonts w:hint="eastAsia" w:ascii="宋体" w:hAnsi="宋体" w:eastAsia="宋体"/>
              <w:color w:val="auto"/>
              <w:szCs w:val="24"/>
              <w:highlight w:val="none"/>
            </w:rPr>
            <w:t>八、评审规则</w:t>
          </w:r>
          <w:r>
            <w:rPr>
              <w:color w:val="auto"/>
              <w:highlight w:val="none"/>
            </w:rPr>
            <w:tab/>
          </w:r>
          <w:r>
            <w:rPr>
              <w:color w:val="auto"/>
              <w:highlight w:val="none"/>
            </w:rPr>
            <w:fldChar w:fldCharType="begin"/>
          </w:r>
          <w:r>
            <w:rPr>
              <w:color w:val="auto"/>
              <w:highlight w:val="none"/>
            </w:rPr>
            <w:instrText xml:space="preserve"> PAGEREF _Toc22604 \h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_Toc15353 </w:instrText>
          </w:r>
          <w:r>
            <w:rPr>
              <w:rFonts w:ascii="宋体" w:hAnsi="宋体"/>
              <w:color w:val="auto"/>
              <w:highlight w:val="none"/>
            </w:rPr>
            <w:fldChar w:fldCharType="separate"/>
          </w:r>
          <w:r>
            <w:rPr>
              <w:rFonts w:hint="eastAsia" w:ascii="宋体" w:hAnsi="宋体" w:eastAsia="宋体"/>
              <w:color w:val="auto"/>
              <w:szCs w:val="24"/>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_Toc15353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_Toc4469 </w:instrText>
          </w:r>
          <w:r>
            <w:rPr>
              <w:rFonts w:ascii="宋体" w:hAnsi="宋体"/>
              <w:color w:val="auto"/>
              <w:highlight w:val="none"/>
            </w:rPr>
            <w:fldChar w:fldCharType="separate"/>
          </w:r>
          <w:r>
            <w:rPr>
              <w:rFonts w:hint="eastAsia" w:ascii="宋体" w:hAnsi="宋体" w:eastAsia="宋体"/>
              <w:color w:val="auto"/>
              <w:szCs w:val="24"/>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_Toc4469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_Toc26090 </w:instrText>
          </w:r>
          <w:r>
            <w:rPr>
              <w:rFonts w:ascii="宋体" w:hAnsi="宋体"/>
              <w:color w:val="auto"/>
              <w:highlight w:val="none"/>
            </w:rPr>
            <w:fldChar w:fldCharType="separate"/>
          </w:r>
          <w:r>
            <w:rPr>
              <w:rFonts w:hint="eastAsia" w:ascii="宋体" w:hAnsi="宋体" w:eastAsia="宋体"/>
              <w:color w:val="auto"/>
              <w:szCs w:val="24"/>
              <w:highlight w:val="none"/>
            </w:rPr>
            <w:t>十、比选保证金</w:t>
          </w:r>
          <w:r>
            <w:rPr>
              <w:color w:val="auto"/>
              <w:highlight w:val="none"/>
            </w:rPr>
            <w:tab/>
          </w:r>
          <w:r>
            <w:rPr>
              <w:color w:val="auto"/>
              <w:highlight w:val="none"/>
            </w:rPr>
            <w:fldChar w:fldCharType="begin"/>
          </w:r>
          <w:r>
            <w:rPr>
              <w:color w:val="auto"/>
              <w:highlight w:val="none"/>
            </w:rPr>
            <w:instrText xml:space="preserve"> PAGEREF _Toc26090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_Toc9860 </w:instrText>
          </w:r>
          <w:r>
            <w:rPr>
              <w:rFonts w:ascii="宋体" w:hAnsi="宋体"/>
              <w:color w:val="auto"/>
              <w:highlight w:val="none"/>
            </w:rPr>
            <w:fldChar w:fldCharType="separate"/>
          </w:r>
          <w:r>
            <w:rPr>
              <w:rFonts w:hint="eastAsia" w:ascii="宋体" w:hAnsi="宋体" w:eastAsia="宋体"/>
              <w:color w:val="auto"/>
              <w:szCs w:val="24"/>
              <w:highlight w:val="none"/>
            </w:rPr>
            <w:t>十一、履约担保</w:t>
          </w:r>
          <w:r>
            <w:rPr>
              <w:color w:val="auto"/>
              <w:highlight w:val="none"/>
            </w:rPr>
            <w:tab/>
          </w:r>
          <w:r>
            <w:rPr>
              <w:color w:val="auto"/>
              <w:highlight w:val="none"/>
            </w:rPr>
            <w:fldChar w:fldCharType="begin"/>
          </w:r>
          <w:r>
            <w:rPr>
              <w:color w:val="auto"/>
              <w:highlight w:val="none"/>
            </w:rPr>
            <w:instrText xml:space="preserve"> PAGEREF _Toc9860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_Toc13497 </w:instrText>
          </w:r>
          <w:r>
            <w:rPr>
              <w:rFonts w:ascii="宋体" w:hAnsi="宋体"/>
              <w:color w:val="auto"/>
              <w:highlight w:val="none"/>
            </w:rPr>
            <w:fldChar w:fldCharType="separate"/>
          </w:r>
          <w:r>
            <w:rPr>
              <w:rFonts w:hint="eastAsia" w:ascii="宋体" w:hAnsi="宋体" w:eastAsia="宋体"/>
              <w:color w:val="auto"/>
              <w:szCs w:val="24"/>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_Toc13497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_Toc15424 </w:instrText>
          </w:r>
          <w:r>
            <w:rPr>
              <w:rFonts w:ascii="宋体" w:hAnsi="宋体"/>
              <w:color w:val="auto"/>
              <w:highlight w:val="none"/>
            </w:rPr>
            <w:fldChar w:fldCharType="separate"/>
          </w:r>
          <w:r>
            <w:rPr>
              <w:rFonts w:hint="eastAsia" w:hAnsi="宋体"/>
              <w:color w:val="auto"/>
              <w:szCs w:val="44"/>
              <w:highlight w:val="none"/>
            </w:rPr>
            <w:t>第三章 合同条款及格式</w:t>
          </w:r>
          <w:r>
            <w:rPr>
              <w:color w:val="auto"/>
              <w:highlight w:val="none"/>
            </w:rPr>
            <w:tab/>
          </w:r>
          <w:r>
            <w:rPr>
              <w:color w:val="auto"/>
              <w:highlight w:val="none"/>
            </w:rPr>
            <w:fldChar w:fldCharType="begin"/>
          </w:r>
          <w:r>
            <w:rPr>
              <w:color w:val="auto"/>
              <w:highlight w:val="none"/>
            </w:rPr>
            <w:instrText xml:space="preserve"> PAGEREF _Toc15424 \h </w:instrText>
          </w:r>
          <w:r>
            <w:rPr>
              <w:color w:val="auto"/>
              <w:highlight w:val="none"/>
            </w:rPr>
            <w:fldChar w:fldCharType="separate"/>
          </w:r>
          <w:r>
            <w:rPr>
              <w:color w:val="auto"/>
              <w:highlight w:val="none"/>
            </w:rPr>
            <w:t>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_Toc26790 </w:instrText>
          </w:r>
          <w:r>
            <w:rPr>
              <w:rFonts w:ascii="宋体" w:hAnsi="宋体"/>
              <w:color w:val="auto"/>
              <w:highlight w:val="none"/>
            </w:rPr>
            <w:fldChar w:fldCharType="separate"/>
          </w:r>
          <w:r>
            <w:rPr>
              <w:rFonts w:hint="eastAsia" w:ascii="宋体" w:hAnsi="宋体"/>
              <w:color w:val="auto"/>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_Toc26790 \h </w:instrText>
          </w:r>
          <w:r>
            <w:rPr>
              <w:color w:val="auto"/>
              <w:highlight w:val="none"/>
            </w:rPr>
            <w:fldChar w:fldCharType="separate"/>
          </w:r>
          <w:r>
            <w:rPr>
              <w:color w:val="auto"/>
              <w:highlight w:val="none"/>
            </w:rPr>
            <w:t>14</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_Toc20023 </w:instrText>
          </w:r>
          <w:r>
            <w:rPr>
              <w:rFonts w:ascii="宋体" w:hAnsi="宋体"/>
              <w:color w:val="auto"/>
              <w:highlight w:val="none"/>
            </w:rPr>
            <w:fldChar w:fldCharType="separate"/>
          </w:r>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r>
            <w:rPr>
              <w:color w:val="auto"/>
              <w:highlight w:val="none"/>
            </w:rPr>
            <w:tab/>
          </w:r>
          <w:r>
            <w:rPr>
              <w:color w:val="auto"/>
              <w:highlight w:val="none"/>
            </w:rPr>
            <w:fldChar w:fldCharType="begin"/>
          </w:r>
          <w:r>
            <w:rPr>
              <w:color w:val="auto"/>
              <w:highlight w:val="none"/>
            </w:rPr>
            <w:instrText xml:space="preserve"> PAGEREF _Toc20023 \h </w:instrText>
          </w:r>
          <w:r>
            <w:rPr>
              <w:color w:val="auto"/>
              <w:highlight w:val="none"/>
            </w:rPr>
            <w:fldChar w:fldCharType="separate"/>
          </w:r>
          <w:r>
            <w:rPr>
              <w:color w:val="auto"/>
              <w:highlight w:val="none"/>
            </w:rPr>
            <w:t>17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_Toc551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r>
            <w:rPr>
              <w:color w:val="auto"/>
              <w:highlight w:val="none"/>
            </w:rPr>
            <w:tab/>
          </w:r>
          <w:r>
            <w:rPr>
              <w:color w:val="auto"/>
              <w:highlight w:val="none"/>
            </w:rPr>
            <w:fldChar w:fldCharType="begin"/>
          </w:r>
          <w:r>
            <w:rPr>
              <w:color w:val="auto"/>
              <w:highlight w:val="none"/>
            </w:rPr>
            <w:instrText xml:space="preserve"> PAGEREF _Toc551 \h </w:instrText>
          </w:r>
          <w:r>
            <w:rPr>
              <w:color w:val="auto"/>
              <w:highlight w:val="none"/>
            </w:rPr>
            <w:fldChar w:fldCharType="separate"/>
          </w:r>
          <w:r>
            <w:rPr>
              <w:color w:val="auto"/>
              <w:highlight w:val="none"/>
            </w:rPr>
            <w:t>18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_Toc2463 </w:instrText>
          </w:r>
          <w:r>
            <w:rPr>
              <w:rFonts w:ascii="宋体" w:hAnsi="宋体"/>
              <w:color w:val="auto"/>
              <w:highlight w:val="none"/>
            </w:rPr>
            <w:fldChar w:fldCharType="separate"/>
          </w:r>
          <w:r>
            <w:rPr>
              <w:rFonts w:hint="eastAsia" w:ascii="宋体" w:hAnsi="宋体"/>
              <w:color w:val="auto"/>
              <w:szCs w:val="24"/>
              <w:highlight w:val="none"/>
            </w:rPr>
            <w:t>第四部分 合同条款</w:t>
          </w:r>
          <w:r>
            <w:rPr>
              <w:color w:val="auto"/>
              <w:highlight w:val="none"/>
            </w:rPr>
            <w:tab/>
          </w:r>
          <w:r>
            <w:rPr>
              <w:color w:val="auto"/>
              <w:highlight w:val="none"/>
            </w:rPr>
            <w:fldChar w:fldCharType="begin"/>
          </w:r>
          <w:r>
            <w:rPr>
              <w:color w:val="auto"/>
              <w:highlight w:val="none"/>
            </w:rPr>
            <w:instrText xml:space="preserve"> PAGEREF _Toc2463 \h </w:instrText>
          </w:r>
          <w:r>
            <w:rPr>
              <w:color w:val="auto"/>
              <w:highlight w:val="none"/>
            </w:rPr>
            <w:fldChar w:fldCharType="separate"/>
          </w:r>
          <w:r>
            <w:rPr>
              <w:color w:val="auto"/>
              <w:highlight w:val="none"/>
            </w:rPr>
            <w:t>21</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_Toc21966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r>
            <w:rPr>
              <w:color w:val="auto"/>
              <w:highlight w:val="none"/>
            </w:rPr>
            <w:tab/>
          </w:r>
          <w:r>
            <w:rPr>
              <w:color w:val="auto"/>
              <w:highlight w:val="none"/>
            </w:rPr>
            <w:fldChar w:fldCharType="begin"/>
          </w:r>
          <w:r>
            <w:rPr>
              <w:color w:val="auto"/>
              <w:highlight w:val="none"/>
            </w:rPr>
            <w:instrText xml:space="preserve"> PAGEREF _Toc21966 \h </w:instrText>
          </w:r>
          <w:r>
            <w:rPr>
              <w:color w:val="auto"/>
              <w:highlight w:val="none"/>
            </w:rPr>
            <w:fldChar w:fldCharType="separate"/>
          </w:r>
          <w:r>
            <w:rPr>
              <w:color w:val="auto"/>
              <w:highlight w:val="none"/>
            </w:rPr>
            <w:t>39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_Toc9260 </w:instrText>
          </w:r>
          <w:r>
            <w:rPr>
              <w:rFonts w:ascii="宋体" w:hAnsi="宋体"/>
              <w:color w:val="auto"/>
              <w:highlight w:val="none"/>
            </w:rPr>
            <w:fldChar w:fldCharType="separate"/>
          </w:r>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r>
            <w:rPr>
              <w:color w:val="auto"/>
              <w:highlight w:val="none"/>
            </w:rPr>
            <w:tab/>
          </w:r>
          <w:r>
            <w:rPr>
              <w:color w:val="auto"/>
              <w:highlight w:val="none"/>
            </w:rPr>
            <w:fldChar w:fldCharType="begin"/>
          </w:r>
          <w:r>
            <w:rPr>
              <w:color w:val="auto"/>
              <w:highlight w:val="none"/>
            </w:rPr>
            <w:instrText xml:space="preserve"> PAGEREF _Toc9260 \h </w:instrText>
          </w:r>
          <w:r>
            <w:rPr>
              <w:color w:val="auto"/>
              <w:highlight w:val="none"/>
            </w:rPr>
            <w:fldChar w:fldCharType="separate"/>
          </w:r>
          <w:r>
            <w:rPr>
              <w:color w:val="auto"/>
              <w:highlight w:val="none"/>
            </w:rPr>
            <w:t>40</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_Toc20543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r>
            <w:rPr>
              <w:color w:val="auto"/>
              <w:highlight w:val="none"/>
            </w:rPr>
            <w:tab/>
          </w:r>
          <w:r>
            <w:rPr>
              <w:color w:val="auto"/>
              <w:highlight w:val="none"/>
            </w:rPr>
            <w:fldChar w:fldCharType="begin"/>
          </w:r>
          <w:r>
            <w:rPr>
              <w:color w:val="auto"/>
              <w:highlight w:val="none"/>
            </w:rPr>
            <w:instrText xml:space="preserve"> PAGEREF _Toc20543 \h </w:instrText>
          </w:r>
          <w:r>
            <w:rPr>
              <w:color w:val="auto"/>
              <w:highlight w:val="none"/>
            </w:rPr>
            <w:fldChar w:fldCharType="separate"/>
          </w:r>
          <w:r>
            <w:rPr>
              <w:color w:val="auto"/>
              <w:highlight w:val="none"/>
            </w:rPr>
            <w:t>46</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_Toc13996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r>
            <w:rPr>
              <w:color w:val="auto"/>
              <w:highlight w:val="none"/>
            </w:rPr>
            <w:tab/>
          </w:r>
          <w:r>
            <w:rPr>
              <w:color w:val="auto"/>
              <w:highlight w:val="none"/>
            </w:rPr>
            <w:fldChar w:fldCharType="begin"/>
          </w:r>
          <w:r>
            <w:rPr>
              <w:color w:val="auto"/>
              <w:highlight w:val="none"/>
            </w:rPr>
            <w:instrText xml:space="preserve"> PAGEREF _Toc13996 \h </w:instrText>
          </w:r>
          <w:r>
            <w:rPr>
              <w:color w:val="auto"/>
              <w:highlight w:val="none"/>
            </w:rPr>
            <w:fldChar w:fldCharType="separate"/>
          </w:r>
          <w:r>
            <w:rPr>
              <w:color w:val="auto"/>
              <w:highlight w:val="none"/>
            </w:rPr>
            <w:t>47</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_Toc29415 </w:instrText>
          </w:r>
          <w:r>
            <w:rPr>
              <w:rFonts w:ascii="宋体" w:hAnsi="宋体"/>
              <w:color w:val="auto"/>
              <w:highlight w:val="none"/>
            </w:rPr>
            <w:fldChar w:fldCharType="separate"/>
          </w:r>
          <w:r>
            <w:rPr>
              <w:rFonts w:hint="eastAsia" w:hAnsi="宋体"/>
              <w:color w:val="auto"/>
              <w:szCs w:val="44"/>
              <w:highlight w:val="none"/>
            </w:rPr>
            <w:t>第四章 比选申请文件格式</w:t>
          </w:r>
          <w:r>
            <w:rPr>
              <w:color w:val="auto"/>
              <w:highlight w:val="none"/>
            </w:rPr>
            <w:tab/>
          </w:r>
          <w:r>
            <w:rPr>
              <w:color w:val="auto"/>
              <w:highlight w:val="none"/>
            </w:rPr>
            <w:fldChar w:fldCharType="begin"/>
          </w:r>
          <w:r>
            <w:rPr>
              <w:color w:val="auto"/>
              <w:highlight w:val="none"/>
            </w:rPr>
            <w:instrText xml:space="preserve"> PAGEREF _Toc29415 \h </w:instrText>
          </w:r>
          <w:r>
            <w:rPr>
              <w:color w:val="auto"/>
              <w:highlight w:val="none"/>
            </w:rPr>
            <w:fldChar w:fldCharType="separate"/>
          </w:r>
          <w:r>
            <w:rPr>
              <w:color w:val="auto"/>
              <w:highlight w:val="none"/>
            </w:rPr>
            <w:t>48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_Toc8549 </w:instrText>
          </w:r>
          <w:r>
            <w:rPr>
              <w:rFonts w:ascii="宋体" w:hAnsi="宋体"/>
              <w:color w:val="auto"/>
              <w:highlight w:val="none"/>
            </w:rPr>
            <w:fldChar w:fldCharType="separate"/>
          </w:r>
          <w:r>
            <w:rPr>
              <w:rFonts w:hint="eastAsia" w:ascii="Times New Roman" w:hAnsi="Times New Roman" w:eastAsia="宋体"/>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_Toc8549 \h </w:instrText>
          </w:r>
          <w:r>
            <w:rPr>
              <w:color w:val="auto"/>
              <w:highlight w:val="none"/>
            </w:rPr>
            <w:fldChar w:fldCharType="separate"/>
          </w:r>
          <w:r>
            <w:rPr>
              <w:color w:val="auto"/>
              <w:highlight w:val="none"/>
            </w:rPr>
            <w:t>51</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_Toc5968 </w:instrText>
          </w:r>
          <w:r>
            <w:rPr>
              <w:rFonts w:ascii="宋体" w:hAnsi="宋体"/>
              <w:color w:val="auto"/>
              <w:highlight w:val="none"/>
            </w:rPr>
            <w:fldChar w:fldCharType="separate"/>
          </w:r>
          <w:r>
            <w:rPr>
              <w:rFonts w:hint="eastAsia" w:ascii="Times New Roman" w:hAnsi="Times New Roman" w:eastAsia="宋体"/>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_Toc5968 \h </w:instrText>
          </w:r>
          <w:r>
            <w:rPr>
              <w:color w:val="auto"/>
              <w:highlight w:val="none"/>
            </w:rPr>
            <w:fldChar w:fldCharType="separate"/>
          </w:r>
          <w:r>
            <w:rPr>
              <w:color w:val="auto"/>
              <w:highlight w:val="none"/>
            </w:rPr>
            <w:t>52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_Toc28811 </w:instrText>
          </w:r>
          <w:r>
            <w:rPr>
              <w:rFonts w:ascii="宋体" w:hAnsi="宋体"/>
              <w:color w:val="auto"/>
              <w:highlight w:val="none"/>
            </w:rPr>
            <w:fldChar w:fldCharType="separate"/>
          </w:r>
          <w:r>
            <w:rPr>
              <w:rFonts w:hint="eastAsia" w:ascii="Times New Roman" w:hAnsi="Times New Roman" w:eastAsia="宋体"/>
              <w:color w:val="auto"/>
              <w:highlight w:val="none"/>
            </w:rPr>
            <w:t>三、比选申请报价表</w:t>
          </w:r>
          <w:r>
            <w:rPr>
              <w:color w:val="auto"/>
              <w:highlight w:val="none"/>
            </w:rPr>
            <w:tab/>
          </w:r>
          <w:r>
            <w:rPr>
              <w:color w:val="auto"/>
              <w:highlight w:val="none"/>
            </w:rPr>
            <w:fldChar w:fldCharType="begin"/>
          </w:r>
          <w:r>
            <w:rPr>
              <w:color w:val="auto"/>
              <w:highlight w:val="none"/>
            </w:rPr>
            <w:instrText xml:space="preserve"> PAGEREF _Toc28811 \h </w:instrText>
          </w:r>
          <w:r>
            <w:rPr>
              <w:color w:val="auto"/>
              <w:highlight w:val="none"/>
            </w:rPr>
            <w:fldChar w:fldCharType="separate"/>
          </w:r>
          <w:r>
            <w:rPr>
              <w:color w:val="auto"/>
              <w:highlight w:val="none"/>
            </w:rPr>
            <w:t>53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_Toc13904 </w:instrText>
          </w:r>
          <w:r>
            <w:rPr>
              <w:rFonts w:ascii="宋体" w:hAnsi="宋体"/>
              <w:color w:val="auto"/>
              <w:highlight w:val="none"/>
            </w:rPr>
            <w:fldChar w:fldCharType="separate"/>
          </w:r>
          <w:r>
            <w:rPr>
              <w:rFonts w:hint="eastAsia" w:ascii="Times New Roman" w:hAnsi="Times New Roman" w:eastAsia="宋体"/>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_Toc13904 \h </w:instrText>
          </w:r>
          <w:r>
            <w:rPr>
              <w:color w:val="auto"/>
              <w:highlight w:val="none"/>
            </w:rPr>
            <w:fldChar w:fldCharType="separate"/>
          </w:r>
          <w:r>
            <w:rPr>
              <w:color w:val="auto"/>
              <w:highlight w:val="none"/>
            </w:rPr>
            <w:t>55</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_Toc10575 </w:instrText>
          </w:r>
          <w:r>
            <w:rPr>
              <w:rFonts w:ascii="宋体" w:hAnsi="宋体"/>
              <w:color w:val="auto"/>
              <w:highlight w:val="none"/>
            </w:rPr>
            <w:fldChar w:fldCharType="separate"/>
          </w:r>
          <w:r>
            <w:rPr>
              <w:rFonts w:hint="eastAsia" w:ascii="Times New Roman" w:hAnsi="Times New Roman" w:eastAsia="宋体"/>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_Toc10575 \h </w:instrText>
          </w:r>
          <w:r>
            <w:rPr>
              <w:color w:val="auto"/>
              <w:highlight w:val="none"/>
            </w:rPr>
            <w:fldChar w:fldCharType="separate"/>
          </w:r>
          <w:r>
            <w:rPr>
              <w:color w:val="auto"/>
              <w:highlight w:val="none"/>
            </w:rPr>
            <w:t>57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_Toc6494 </w:instrText>
          </w:r>
          <w:r>
            <w:rPr>
              <w:rFonts w:ascii="宋体" w:hAnsi="宋体"/>
              <w:color w:val="auto"/>
              <w:highlight w:val="none"/>
            </w:rPr>
            <w:fldChar w:fldCharType="separate"/>
          </w:r>
          <w:r>
            <w:rPr>
              <w:rFonts w:hint="eastAsia" w:ascii="Times New Roman" w:hAnsi="Times New Roman" w:eastAsia="宋体"/>
              <w:color w:val="auto"/>
              <w:highlight w:val="none"/>
            </w:rPr>
            <w:t>六、类似项目业绩表</w:t>
          </w:r>
          <w:r>
            <w:rPr>
              <w:color w:val="auto"/>
              <w:highlight w:val="none"/>
            </w:rPr>
            <w:tab/>
          </w:r>
          <w:r>
            <w:rPr>
              <w:color w:val="auto"/>
              <w:highlight w:val="none"/>
            </w:rPr>
            <w:fldChar w:fldCharType="begin"/>
          </w:r>
          <w:r>
            <w:rPr>
              <w:color w:val="auto"/>
              <w:highlight w:val="none"/>
            </w:rPr>
            <w:instrText xml:space="preserve"> PAGEREF _Toc6494 \h </w:instrText>
          </w:r>
          <w:r>
            <w:rPr>
              <w:color w:val="auto"/>
              <w:highlight w:val="none"/>
            </w:rPr>
            <w:fldChar w:fldCharType="separate"/>
          </w:r>
          <w:r>
            <w:rPr>
              <w:color w:val="auto"/>
              <w:highlight w:val="none"/>
            </w:rPr>
            <w:t>58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_Toc27715 </w:instrText>
          </w:r>
          <w:r>
            <w:rPr>
              <w:rFonts w:ascii="宋体" w:hAnsi="宋体"/>
              <w:color w:val="auto"/>
              <w:highlight w:val="none"/>
            </w:rPr>
            <w:fldChar w:fldCharType="separate"/>
          </w:r>
          <w:r>
            <w:rPr>
              <w:rFonts w:hint="eastAsia" w:ascii="Times New Roman" w:hAnsi="Times New Roman" w:eastAsia="宋体"/>
              <w:color w:val="auto"/>
              <w:highlight w:val="none"/>
            </w:rPr>
            <w:t>七、比选响应表</w:t>
          </w:r>
          <w:r>
            <w:rPr>
              <w:color w:val="auto"/>
              <w:highlight w:val="none"/>
            </w:rPr>
            <w:tab/>
          </w:r>
          <w:r>
            <w:rPr>
              <w:color w:val="auto"/>
              <w:highlight w:val="none"/>
            </w:rPr>
            <w:fldChar w:fldCharType="begin"/>
          </w:r>
          <w:r>
            <w:rPr>
              <w:color w:val="auto"/>
              <w:highlight w:val="none"/>
            </w:rPr>
            <w:instrText xml:space="preserve"> PAGEREF _Toc27715 \h </w:instrText>
          </w:r>
          <w:r>
            <w:rPr>
              <w:color w:val="auto"/>
              <w:highlight w:val="none"/>
            </w:rPr>
            <w:fldChar w:fldCharType="separate"/>
          </w:r>
          <w:r>
            <w:rPr>
              <w:color w:val="auto"/>
              <w:highlight w:val="none"/>
            </w:rPr>
            <w:t>59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_Toc20427 </w:instrText>
          </w:r>
          <w:r>
            <w:rPr>
              <w:rFonts w:ascii="宋体" w:hAnsi="宋体"/>
              <w:color w:val="auto"/>
              <w:highlight w:val="none"/>
            </w:rPr>
            <w:fldChar w:fldCharType="separate"/>
          </w:r>
          <w:r>
            <w:rPr>
              <w:rFonts w:hint="eastAsia" w:ascii="Times New Roman" w:hAnsi="Times New Roman" w:eastAsia="宋体"/>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_Toc20427 \h </w:instrText>
          </w:r>
          <w:r>
            <w:rPr>
              <w:color w:val="auto"/>
              <w:highlight w:val="none"/>
            </w:rPr>
            <w:fldChar w:fldCharType="separate"/>
          </w:r>
          <w:r>
            <w:rPr>
              <w:color w:val="auto"/>
              <w:highlight w:val="none"/>
            </w:rPr>
            <w:t>60</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_Toc59 </w:instrText>
          </w:r>
          <w:r>
            <w:rPr>
              <w:rFonts w:ascii="宋体" w:hAnsi="宋体"/>
              <w:color w:val="auto"/>
              <w:highlight w:val="none"/>
            </w:rPr>
            <w:fldChar w:fldCharType="separate"/>
          </w:r>
          <w:r>
            <w:rPr>
              <w:rFonts w:hint="eastAsia" w:ascii="宋体" w:hAnsi="宋体" w:eastAsia="宋体"/>
              <w:color w:val="auto"/>
              <w:highlight w:val="none"/>
            </w:rPr>
            <w:t>第五章</w:t>
          </w:r>
          <w:r>
            <w:rPr>
              <w:rFonts w:hint="eastAsia" w:hAnsi="宋体"/>
              <w:color w:val="auto"/>
              <w:highlight w:val="none"/>
              <w:lang w:val="en-US" w:eastAsia="zh-CN"/>
            </w:rPr>
            <w:t xml:space="preserve"> </w:t>
          </w:r>
          <w:r>
            <w:rPr>
              <w:rFonts w:hint="eastAsia" w:ascii="宋体" w:hAnsi="宋体" w:eastAsia="宋体"/>
              <w:color w:val="auto"/>
              <w:highlight w:val="none"/>
            </w:rPr>
            <w:t>用户需求书</w:t>
          </w:r>
          <w:r>
            <w:rPr>
              <w:color w:val="auto"/>
              <w:highlight w:val="none"/>
            </w:rPr>
            <w:tab/>
          </w:r>
          <w:r>
            <w:rPr>
              <w:color w:val="auto"/>
              <w:highlight w:val="none"/>
            </w:rPr>
            <w:fldChar w:fldCharType="begin"/>
          </w:r>
          <w:r>
            <w:rPr>
              <w:color w:val="auto"/>
              <w:highlight w:val="none"/>
            </w:rPr>
            <w:instrText xml:space="preserve"> PAGEREF _Toc59 \h </w:instrText>
          </w:r>
          <w:r>
            <w:rPr>
              <w:color w:val="auto"/>
              <w:highlight w:val="none"/>
            </w:rPr>
            <w:fldChar w:fldCharType="separate"/>
          </w:r>
          <w:r>
            <w:rPr>
              <w:color w:val="auto"/>
              <w:highlight w:val="none"/>
            </w:rPr>
            <w:t>61</w:t>
          </w:r>
          <w:r>
            <w:rPr>
              <w:color w:val="auto"/>
              <w:highlight w:val="none"/>
            </w:rPr>
            <w:fldChar w:fldCharType="end"/>
          </w:r>
          <w:r>
            <w:rPr>
              <w:rFonts w:ascii="宋体" w:hAnsi="宋体"/>
              <w:color w:val="auto"/>
              <w:highlight w:val="none"/>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_Toc20164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1 项目概况</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_Toc20164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61</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_Toc1565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2 </w:t>
          </w:r>
          <w:r>
            <w:rPr>
              <w:rFonts w:hint="eastAsia" w:ascii="Times New Roman" w:hAnsi="Times New Roman" w:eastAsia="宋体" w:cs="Times New Roman"/>
              <w:color w:val="auto"/>
              <w:sz w:val="21"/>
              <w:szCs w:val="21"/>
              <w:highlight w:val="none"/>
              <w:lang w:val="en-US" w:eastAsia="zh-CN" w:bidi="ar-SA"/>
            </w:rPr>
            <w:t>项目范围</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_Toc1565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61</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_Toc15205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3 </w:t>
          </w:r>
          <w:r>
            <w:rPr>
              <w:rFonts w:hint="eastAsia" w:ascii="Times New Roman" w:hAnsi="Times New Roman" w:eastAsia="宋体" w:cs="Times New Roman"/>
              <w:color w:val="auto"/>
              <w:sz w:val="21"/>
              <w:szCs w:val="21"/>
              <w:highlight w:val="none"/>
              <w:lang w:val="en-US" w:eastAsia="zh-CN" w:bidi="ar-SA"/>
            </w:rPr>
            <w:t>项目承包方式及服务期</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_Toc15205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62</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_Toc27228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4 </w:t>
          </w:r>
          <w:r>
            <w:rPr>
              <w:rFonts w:hint="eastAsia" w:ascii="Times New Roman" w:hAnsi="Times New Roman" w:eastAsia="宋体" w:cs="Times New Roman"/>
              <w:color w:val="auto"/>
              <w:sz w:val="21"/>
              <w:szCs w:val="21"/>
              <w:highlight w:val="none"/>
              <w:lang w:val="en-US" w:eastAsia="zh-CN" w:bidi="ar-SA"/>
            </w:rPr>
            <w:t>项目技术标准、技术要求</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_Toc27228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62</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_Toc11370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5 </w:t>
          </w:r>
          <w:r>
            <w:rPr>
              <w:rFonts w:hint="eastAsia" w:ascii="Times New Roman" w:hAnsi="Times New Roman" w:eastAsia="宋体" w:cs="Times New Roman"/>
              <w:color w:val="auto"/>
              <w:sz w:val="21"/>
              <w:szCs w:val="21"/>
              <w:highlight w:val="none"/>
              <w:lang w:val="en-US" w:eastAsia="zh-CN" w:bidi="ar-SA"/>
            </w:rPr>
            <w:t>运营导向标示标贴、安全标识的操作与安装要求</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_Toc11370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68</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_Toc8776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6 </w:t>
          </w:r>
          <w:r>
            <w:rPr>
              <w:rFonts w:hint="eastAsia" w:ascii="Times New Roman" w:hAnsi="Times New Roman" w:eastAsia="宋体" w:cs="Times New Roman"/>
              <w:color w:val="auto"/>
              <w:sz w:val="21"/>
              <w:szCs w:val="21"/>
              <w:highlight w:val="none"/>
              <w:lang w:val="en-US" w:eastAsia="zh-CN" w:bidi="ar-SA"/>
            </w:rPr>
            <w:t>项目管理</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_Toc8776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73</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_Toc27363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7 </w:t>
          </w:r>
          <w:r>
            <w:rPr>
              <w:rFonts w:hint="eastAsia" w:ascii="Times New Roman" w:hAnsi="Times New Roman" w:eastAsia="宋体" w:cs="Times New Roman"/>
              <w:color w:val="auto"/>
              <w:sz w:val="21"/>
              <w:szCs w:val="21"/>
              <w:highlight w:val="none"/>
              <w:lang w:val="en-US" w:eastAsia="zh-CN" w:bidi="ar-SA"/>
            </w:rPr>
            <w:t>项目验收</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_Toc27363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77</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_Toc19370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8 </w:t>
          </w:r>
          <w:r>
            <w:rPr>
              <w:rFonts w:hint="eastAsia" w:ascii="Times New Roman" w:hAnsi="Times New Roman" w:eastAsia="宋体" w:cs="Times New Roman"/>
              <w:color w:val="auto"/>
              <w:sz w:val="21"/>
              <w:szCs w:val="21"/>
              <w:highlight w:val="none"/>
              <w:lang w:val="en-US" w:eastAsia="zh-CN" w:bidi="ar-SA"/>
            </w:rPr>
            <w:t>考核条款</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_Toc19370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78</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color w:val="auto"/>
              <w:highlight w:val="none"/>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_Toc20080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9 </w:t>
          </w:r>
          <w:r>
            <w:rPr>
              <w:rFonts w:hint="eastAsia" w:ascii="Times New Roman" w:hAnsi="Times New Roman" w:eastAsia="宋体" w:cs="Times New Roman"/>
              <w:color w:val="auto"/>
              <w:sz w:val="21"/>
              <w:szCs w:val="21"/>
              <w:highlight w:val="none"/>
              <w:lang w:val="en-US" w:eastAsia="zh-CN" w:bidi="ar-SA"/>
            </w:rPr>
            <w:t>附件</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_Toc20080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80</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_Toc9100 </w:instrText>
          </w:r>
          <w:r>
            <w:rPr>
              <w:rFonts w:ascii="宋体" w:hAnsi="宋体"/>
              <w:color w:val="auto"/>
              <w:highlight w:val="none"/>
            </w:rPr>
            <w:fldChar w:fldCharType="separate"/>
          </w:r>
          <w:r>
            <w:rPr>
              <w:rFonts w:hint="eastAsia" w:ascii="黑体" w:hAnsi="黑体" w:eastAsia="黑体" w:cs="黑体"/>
              <w:color w:val="auto"/>
              <w:szCs w:val="32"/>
              <w:highlight w:val="none"/>
            </w:rPr>
            <w:t>第六章</w:t>
          </w:r>
          <w:r>
            <w:rPr>
              <w:rFonts w:hint="eastAsia" w:ascii="黑体" w:hAnsi="黑体" w:eastAsia="黑体" w:cs="黑体"/>
              <w:color w:val="auto"/>
              <w:szCs w:val="32"/>
              <w:highlight w:val="none"/>
              <w:lang w:val="en-US" w:eastAsia="zh-CN"/>
            </w:rPr>
            <w:t xml:space="preserve"> </w:t>
          </w:r>
          <w:r>
            <w:rPr>
              <w:rFonts w:hint="eastAsia" w:ascii="黑体" w:hAnsi="黑体" w:eastAsia="黑体" w:cs="黑体"/>
              <w:color w:val="auto"/>
              <w:szCs w:val="32"/>
              <w:highlight w:val="none"/>
            </w:rPr>
            <w:t>评分办法</w:t>
          </w:r>
          <w:r>
            <w:rPr>
              <w:color w:val="auto"/>
              <w:highlight w:val="none"/>
            </w:rPr>
            <w:tab/>
          </w:r>
          <w:r>
            <w:rPr>
              <w:color w:val="auto"/>
              <w:highlight w:val="none"/>
            </w:rPr>
            <w:fldChar w:fldCharType="begin"/>
          </w:r>
          <w:r>
            <w:rPr>
              <w:color w:val="auto"/>
              <w:highlight w:val="none"/>
            </w:rPr>
            <w:instrText xml:space="preserve"> PAGEREF _Toc9100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_Toc25194 </w:instrText>
          </w:r>
          <w:r>
            <w:rPr>
              <w:rFonts w:ascii="宋体" w:hAnsi="宋体"/>
              <w:color w:val="auto"/>
              <w:highlight w:val="none"/>
            </w:rPr>
            <w:fldChar w:fldCharType="separate"/>
          </w:r>
          <w:r>
            <w:rPr>
              <w:rFonts w:hint="eastAsia" w:ascii="宋体" w:hAnsi="宋体" w:eastAsia="宋体" w:cs="宋体"/>
              <w:bCs w:val="0"/>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_Toc25194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_Toc25156 </w:instrText>
          </w:r>
          <w:r>
            <w:rPr>
              <w:rFonts w:ascii="宋体" w:hAnsi="宋体"/>
              <w:color w:val="auto"/>
              <w:highlight w:val="none"/>
            </w:rPr>
            <w:fldChar w:fldCharType="separate"/>
          </w:r>
          <w:r>
            <w:rPr>
              <w:rFonts w:hint="eastAsia" w:ascii="宋体" w:hAnsi="宋体" w:eastAsia="宋体" w:cs="宋体"/>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_Toc25156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_Toc3774 </w:instrText>
          </w:r>
          <w:r>
            <w:rPr>
              <w:rFonts w:ascii="宋体" w:hAnsi="宋体"/>
              <w:color w:val="auto"/>
              <w:highlight w:val="none"/>
            </w:rPr>
            <w:fldChar w:fldCharType="separate"/>
          </w:r>
          <w:r>
            <w:rPr>
              <w:rFonts w:hint="eastAsia" w:ascii="宋体" w:hAnsi="宋体" w:eastAsia="宋体" w:cs="宋体"/>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_Toc3774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_Toc30924 </w:instrText>
          </w:r>
          <w:r>
            <w:rPr>
              <w:rFonts w:ascii="宋体" w:hAnsi="宋体"/>
              <w:color w:val="auto"/>
              <w:highlight w:val="none"/>
            </w:rPr>
            <w:fldChar w:fldCharType="separate"/>
          </w:r>
          <w:r>
            <w:rPr>
              <w:rFonts w:hint="eastAsia" w:ascii="宋体" w:hAnsi="宋体" w:eastAsia="宋体" w:cs="宋体"/>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_Toc30924 \h </w:instrText>
          </w:r>
          <w:r>
            <w:rPr>
              <w:color w:val="auto"/>
              <w:highlight w:val="none"/>
            </w:rPr>
            <w:fldChar w:fldCharType="separate"/>
          </w:r>
          <w:r>
            <w:rPr>
              <w:color w:val="auto"/>
              <w:highlight w:val="none"/>
            </w:rPr>
            <w:t>96</w:t>
          </w:r>
          <w:r>
            <w:rPr>
              <w:color w:val="auto"/>
              <w:highlight w:val="none"/>
            </w:rPr>
            <w:fldChar w:fldCharType="end"/>
          </w:r>
          <w:r>
            <w:rPr>
              <w:rFonts w:ascii="宋体" w:hAnsi="宋体"/>
              <w:color w:val="auto"/>
              <w:highlight w:val="none"/>
            </w:rPr>
            <w:fldChar w:fldCharType="end"/>
          </w:r>
        </w:p>
        <w:p>
          <w:pPr>
            <w:pStyle w:val="18"/>
            <w:tabs>
              <w:tab w:val="right" w:leader="dot" w:pos="9069"/>
            </w:tabs>
            <w:ind w:left="705" w:leftChars="200" w:hanging="285" w:hangingChars="136"/>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_Toc19827 </w:instrText>
          </w:r>
          <w:r>
            <w:rPr>
              <w:rFonts w:ascii="宋体" w:hAnsi="宋体"/>
              <w:color w:val="auto"/>
              <w:highlight w:val="none"/>
            </w:rPr>
            <w:fldChar w:fldCharType="separate"/>
          </w:r>
          <w:r>
            <w:rPr>
              <w:rFonts w:hint="eastAsia" w:ascii="宋体" w:hAnsi="宋体" w:eastAsia="宋体" w:cs="宋体"/>
              <w:color w:val="auto"/>
              <w:szCs w:val="21"/>
              <w:highlight w:val="none"/>
            </w:rPr>
            <w:t xml:space="preserve">附表二 </w:t>
          </w:r>
          <w:r>
            <w:rPr>
              <w:rFonts w:hint="eastAsia" w:ascii="宋体" w:hAnsi="宋体" w:eastAsia="宋体" w:cs="宋体"/>
              <w:color w:val="auto"/>
              <w:szCs w:val="21"/>
              <w:highlight w:val="none"/>
              <w:lang w:eastAsia="zh-CN"/>
            </w:rPr>
            <w:t>初步</w:t>
          </w:r>
          <w:r>
            <w:rPr>
              <w:rFonts w:hint="eastAsia" w:ascii="宋体" w:hAnsi="宋体" w:eastAsia="宋体" w:cs="宋体"/>
              <w:color w:val="auto"/>
              <w:szCs w:val="21"/>
              <w:highlight w:val="none"/>
            </w:rPr>
            <w:t>评审表</w:t>
          </w:r>
          <w:r>
            <w:rPr>
              <w:color w:val="auto"/>
              <w:highlight w:val="none"/>
            </w:rPr>
            <w:tab/>
          </w:r>
          <w:r>
            <w:rPr>
              <w:color w:val="auto"/>
              <w:highlight w:val="none"/>
            </w:rPr>
            <w:fldChar w:fldCharType="begin"/>
          </w:r>
          <w:r>
            <w:rPr>
              <w:color w:val="auto"/>
              <w:highlight w:val="none"/>
            </w:rPr>
            <w:instrText xml:space="preserve"> PAGEREF _Toc19827 \h </w:instrText>
          </w:r>
          <w:r>
            <w:rPr>
              <w:color w:val="auto"/>
              <w:highlight w:val="none"/>
            </w:rPr>
            <w:fldChar w:fldCharType="separate"/>
          </w:r>
          <w:r>
            <w:rPr>
              <w:color w:val="auto"/>
              <w:highlight w:val="none"/>
            </w:rPr>
            <w:t>98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_Toc25015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样品评审表</w:t>
          </w:r>
          <w:r>
            <w:rPr>
              <w:color w:val="auto"/>
              <w:highlight w:val="none"/>
            </w:rPr>
            <w:tab/>
          </w:r>
          <w:r>
            <w:rPr>
              <w:color w:val="auto"/>
              <w:highlight w:val="none"/>
            </w:rPr>
            <w:fldChar w:fldCharType="begin"/>
          </w:r>
          <w:r>
            <w:rPr>
              <w:color w:val="auto"/>
              <w:highlight w:val="none"/>
            </w:rPr>
            <w:instrText xml:space="preserve"> PAGEREF _Toc25015 \h </w:instrText>
          </w:r>
          <w:r>
            <w:rPr>
              <w:color w:val="auto"/>
              <w:highlight w:val="none"/>
            </w:rPr>
            <w:fldChar w:fldCharType="separate"/>
          </w:r>
          <w:r>
            <w:rPr>
              <w:color w:val="auto"/>
              <w:highlight w:val="none"/>
            </w:rPr>
            <w:t>99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_Toc20020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eastAsia="zh-CN"/>
            </w:rPr>
            <w:t>四</w:t>
          </w:r>
          <w:r>
            <w:rPr>
              <w:rFonts w:hint="eastAsia" w:ascii="宋体" w:hAnsi="宋体" w:eastAsia="宋体" w:cs="宋体"/>
              <w:color w:val="auto"/>
              <w:szCs w:val="21"/>
              <w:highlight w:val="none"/>
            </w:rPr>
            <w:t xml:space="preserve"> 比选申请价格评审表</w:t>
          </w:r>
          <w:r>
            <w:rPr>
              <w:color w:val="auto"/>
              <w:highlight w:val="none"/>
            </w:rPr>
            <w:tab/>
          </w:r>
          <w:r>
            <w:rPr>
              <w:color w:val="auto"/>
              <w:highlight w:val="none"/>
            </w:rPr>
            <w:fldChar w:fldCharType="begin"/>
          </w:r>
          <w:r>
            <w:rPr>
              <w:color w:val="auto"/>
              <w:highlight w:val="none"/>
            </w:rPr>
            <w:instrText xml:space="preserve"> PAGEREF _Toc20020 \h </w:instrText>
          </w:r>
          <w:r>
            <w:rPr>
              <w:color w:val="auto"/>
              <w:highlight w:val="none"/>
            </w:rPr>
            <w:fldChar w:fldCharType="separate"/>
          </w:r>
          <w:r>
            <w:rPr>
              <w:color w:val="auto"/>
              <w:highlight w:val="none"/>
            </w:rPr>
            <w:t>101</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_Toc11534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：比选申请报价修正表</w:t>
          </w:r>
          <w:r>
            <w:rPr>
              <w:color w:val="auto"/>
              <w:highlight w:val="none"/>
            </w:rPr>
            <w:tab/>
          </w:r>
          <w:r>
            <w:rPr>
              <w:color w:val="auto"/>
              <w:highlight w:val="none"/>
            </w:rPr>
            <w:fldChar w:fldCharType="begin"/>
          </w:r>
          <w:r>
            <w:rPr>
              <w:color w:val="auto"/>
              <w:highlight w:val="none"/>
            </w:rPr>
            <w:instrText xml:space="preserve"> PAGEREF _Toc11534 \h </w:instrText>
          </w:r>
          <w:r>
            <w:rPr>
              <w:color w:val="auto"/>
              <w:highlight w:val="none"/>
            </w:rPr>
            <w:fldChar w:fldCharType="separate"/>
          </w:r>
          <w:r>
            <w:rPr>
              <w:color w:val="auto"/>
              <w:highlight w:val="none"/>
            </w:rPr>
            <w:t>102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_Toc767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val="en-US" w:eastAsia="zh-CN"/>
            </w:rPr>
            <w:t xml:space="preserve">六 </w:t>
          </w:r>
          <w:r>
            <w:rPr>
              <w:rFonts w:hint="eastAsia" w:ascii="宋体" w:hAnsi="宋体" w:eastAsia="宋体" w:cs="宋体"/>
              <w:color w:val="auto"/>
              <w:szCs w:val="21"/>
              <w:highlight w:val="none"/>
            </w:rPr>
            <w:t>比值及排名表</w:t>
          </w:r>
          <w:r>
            <w:rPr>
              <w:color w:val="auto"/>
              <w:highlight w:val="none"/>
            </w:rPr>
            <w:tab/>
          </w:r>
          <w:r>
            <w:rPr>
              <w:color w:val="auto"/>
              <w:highlight w:val="none"/>
            </w:rPr>
            <w:fldChar w:fldCharType="begin"/>
          </w:r>
          <w:r>
            <w:rPr>
              <w:color w:val="auto"/>
              <w:highlight w:val="none"/>
            </w:rPr>
            <w:instrText xml:space="preserve"> PAGEREF _Toc767 \h </w:instrText>
          </w:r>
          <w:r>
            <w:rPr>
              <w:color w:val="auto"/>
              <w:highlight w:val="none"/>
            </w:rPr>
            <w:fldChar w:fldCharType="separate"/>
          </w:r>
          <w:r>
            <w:rPr>
              <w:color w:val="auto"/>
              <w:highlight w:val="none"/>
            </w:rPr>
            <w:t>103</w:t>
          </w:r>
          <w:r>
            <w:rPr>
              <w:color w:val="auto"/>
              <w:highlight w:val="none"/>
            </w:rPr>
            <w:fldChar w:fldCharType="end"/>
          </w:r>
          <w:r>
            <w:rPr>
              <w:rFonts w:ascii="宋体" w:hAnsi="宋体"/>
              <w:color w:val="auto"/>
              <w:highlight w:val="none"/>
            </w:rPr>
            <w:fldChar w:fldCharType="end"/>
          </w:r>
        </w:p>
        <w:p>
          <w:pPr>
            <w:pStyle w:val="23"/>
            <w:tabs>
              <w:tab w:val="right" w:leader="dot" w:pos="9061"/>
            </w:tabs>
            <w:spacing w:line="240" w:lineRule="auto"/>
            <w:rPr>
              <w:rFonts w:ascii="宋体" w:hAnsi="宋体"/>
              <w:color w:val="auto"/>
              <w:highlight w:val="none"/>
            </w:rPr>
          </w:pPr>
          <w:r>
            <w:rPr>
              <w:rFonts w:ascii="宋体" w:hAnsi="宋体"/>
              <w:color w:val="auto"/>
              <w:highlight w:val="none"/>
            </w:rPr>
            <w:fldChar w:fldCharType="end"/>
          </w:r>
        </w:p>
      </w:sdtContent>
    </w:sdt>
    <w:p>
      <w:pPr>
        <w:pStyle w:val="18"/>
        <w:tabs>
          <w:tab w:val="right" w:leader="dot" w:pos="9072"/>
        </w:tabs>
        <w:spacing w:before="0" w:after="0" w:afterAutospacing="0" w:line="240" w:lineRule="auto"/>
        <w:ind w:right="-57" w:firstLine="437"/>
        <w:jc w:val="center"/>
        <w:rPr>
          <w:rFonts w:ascii="宋体" w:hAnsi="宋体"/>
          <w:color w:val="auto"/>
          <w:highlight w:val="none"/>
        </w:rPr>
      </w:pPr>
    </w:p>
    <w:p>
      <w:pPr>
        <w:pStyle w:val="2"/>
        <w:pageBreakBefore/>
        <w:ind w:right="-57" w:firstLine="0"/>
        <w:jc w:val="center"/>
        <w:outlineLvl w:val="0"/>
        <w:rPr>
          <w:rStyle w:val="45"/>
          <w:rFonts w:hint="eastAsia" w:ascii="宋体" w:hAnsi="宋体" w:eastAsia="宋体"/>
          <w:color w:val="auto"/>
          <w:highlight w:val="none"/>
        </w:rPr>
        <w:sectPr>
          <w:headerReference r:id="rId6" w:type="first"/>
          <w:footerReference r:id="rId8" w:type="first"/>
          <w:headerReference r:id="rId5" w:type="default"/>
          <w:footerReference r:id="rId7" w:type="default"/>
          <w:pgSz w:w="11905" w:h="16838"/>
          <w:pgMar w:top="1418" w:right="1418" w:bottom="1304" w:left="1418" w:header="454" w:footer="567" w:gutter="0"/>
          <w:pgNumType w:fmt="decimal"/>
          <w:cols w:space="720" w:num="1"/>
          <w:docGrid w:linePitch="312" w:charSpace="0"/>
        </w:sectPr>
      </w:pPr>
      <w:bookmarkStart w:id="0" w:name="_Toc3658"/>
      <w:bookmarkStart w:id="1" w:name="_Toc5910"/>
      <w:bookmarkStart w:id="2" w:name="_Toc492478714"/>
      <w:bookmarkStart w:id="3" w:name="_Toc481"/>
      <w:bookmarkStart w:id="4" w:name="_Toc375039061"/>
      <w:bookmarkStart w:id="5" w:name="_Toc1227"/>
      <w:bookmarkStart w:id="6" w:name="_Toc26939"/>
      <w:bookmarkStart w:id="7" w:name="_Toc26192"/>
      <w:bookmarkStart w:id="8" w:name="_Toc1363"/>
      <w:bookmarkStart w:id="9" w:name="_Toc25355"/>
      <w:bookmarkStart w:id="10" w:name="_Toc26620"/>
      <w:bookmarkStart w:id="11" w:name="_Toc17906"/>
      <w:bookmarkStart w:id="12" w:name="_Toc14762"/>
      <w:bookmarkStart w:id="13" w:name="_Toc23367"/>
      <w:bookmarkStart w:id="14" w:name="_Toc3400"/>
      <w:bookmarkStart w:id="15" w:name="_Toc30647"/>
      <w:bookmarkStart w:id="16" w:name="_Toc23476"/>
      <w:bookmarkStart w:id="17" w:name="_Toc15211"/>
      <w:bookmarkStart w:id="18" w:name="_Toc237"/>
    </w:p>
    <w:p>
      <w:pPr>
        <w:pStyle w:val="2"/>
        <w:pageBreakBefore/>
        <w:ind w:right="-57" w:firstLine="0"/>
        <w:jc w:val="center"/>
        <w:outlineLvl w:val="0"/>
        <w:rPr>
          <w:rStyle w:val="45"/>
          <w:rFonts w:ascii="宋体" w:hAnsi="宋体" w:eastAsia="宋体"/>
          <w:color w:val="auto"/>
          <w:highlight w:val="none"/>
        </w:rPr>
      </w:pPr>
      <w:bookmarkStart w:id="19" w:name="_Toc29702"/>
      <w:bookmarkStart w:id="20" w:name="_Toc524"/>
      <w:bookmarkStart w:id="21" w:name="_Toc4916"/>
      <w:bookmarkStart w:id="22" w:name="_Toc29140"/>
      <w:r>
        <w:rPr>
          <w:rStyle w:val="45"/>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8"/>
          <w:szCs w:val="28"/>
          <w:highlight w:val="none"/>
          <w:u w:val="single"/>
        </w:rPr>
        <w:t>南宁轨道交通5号线导向标示标贴、安全标识</w:t>
      </w:r>
      <w:r>
        <w:rPr>
          <w:rFonts w:hint="eastAsia" w:ascii="宋体" w:hAnsi="宋体"/>
          <w:b/>
          <w:color w:val="auto"/>
          <w:sz w:val="28"/>
          <w:szCs w:val="28"/>
          <w:highlight w:val="none"/>
        </w:rPr>
        <w:t>采购项目比选公告</w:t>
      </w:r>
    </w:p>
    <w:p>
      <w:pPr>
        <w:spacing w:before="0" w:after="0" w:afterAutospacing="0"/>
        <w:ind w:left="0" w:right="0" w:firstLine="422" w:firstLineChars="200"/>
        <w:rPr>
          <w:rFonts w:ascii="宋体" w:hAnsi="宋体"/>
          <w:b/>
          <w:color w:val="auto"/>
          <w:highlight w:val="none"/>
        </w:rPr>
      </w:pPr>
      <w:bookmarkStart w:id="23" w:name="OLE_LINK4"/>
      <w:bookmarkEnd w:id="23"/>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南宁轨道交通5号线导向标示标贴、安全标识采购项目</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202204200004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南宁轨道交通5号线导向标示标贴、安全标识采购项目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上限控制价：人民币</w:t>
      </w:r>
      <w:r>
        <w:rPr>
          <w:rFonts w:hint="eastAsia" w:ascii="宋体" w:hAnsi="宋体"/>
          <w:color w:val="auto"/>
          <w:highlight w:val="none"/>
          <w:u w:val="single"/>
          <w:lang w:val="en-US" w:eastAsia="zh-CN"/>
        </w:rPr>
        <w:t>301000元（不含税）</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交货期：合</w:t>
      </w:r>
      <w:r>
        <w:rPr>
          <w:rFonts w:hint="eastAsia" w:ascii="宋体" w:hAnsi="宋体"/>
          <w:color w:val="auto"/>
          <w:highlight w:val="none"/>
          <w:u w:val="single"/>
        </w:rPr>
        <w:t>同签订后，</w:t>
      </w:r>
      <w:r>
        <w:rPr>
          <w:rFonts w:hint="eastAsia" w:ascii="宋体" w:hAnsi="宋体"/>
          <w:color w:val="auto"/>
          <w:highlight w:val="none"/>
          <w:u w:val="single"/>
          <w:lang w:eastAsia="zh-CN"/>
        </w:rPr>
        <w:t>在</w:t>
      </w:r>
      <w:r>
        <w:rPr>
          <w:rFonts w:hint="eastAsia" w:ascii="宋体" w:hAnsi="宋体"/>
          <w:color w:val="auto"/>
          <w:highlight w:val="none"/>
          <w:u w:val="single"/>
        </w:rPr>
        <w:t>货物交货通知书发出之日起</w:t>
      </w:r>
      <w:r>
        <w:rPr>
          <w:rFonts w:hint="eastAsia" w:ascii="宋体" w:hAnsi="宋体"/>
          <w:color w:val="auto"/>
          <w:highlight w:val="none"/>
          <w:u w:val="single"/>
          <w:lang w:val="en-US" w:eastAsia="zh-CN"/>
        </w:rPr>
        <w:t>3</w:t>
      </w:r>
      <w:r>
        <w:rPr>
          <w:rFonts w:hint="eastAsia" w:ascii="宋体" w:hAnsi="宋体"/>
          <w:color w:val="auto"/>
          <w:highlight w:val="none"/>
          <w:u w:val="single"/>
        </w:rPr>
        <w:t>0天内交货并完成安装，以交货通知发出起算。</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w:t>
      </w:r>
      <w:r>
        <w:rPr>
          <w:rFonts w:hint="eastAsia" w:ascii="宋体" w:hAnsi="宋体"/>
          <w:color w:val="auto"/>
          <w:kern w:val="2"/>
          <w:highlight w:val="none"/>
        </w:rPr>
        <w:t>综合基地1座（含备用OCC一座）。</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项目包含但不限于运营导向标示标贴、安全标识的整体VI设计、生产、运输、安装、验收及售后维护等工作，工程量具体详见附件1 运营导向标示标贴、安全标识采购项目技术需求及数量表，</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color w:val="auto"/>
          <w:highlight w:val="none"/>
          <w:u w:val="single"/>
        </w:rPr>
      </w:pPr>
      <w:r>
        <w:rPr>
          <w:rFonts w:hint="eastAsia" w:ascii="宋体" w:hAnsi="宋体"/>
          <w:color w:val="auto"/>
          <w:highlight w:val="none"/>
        </w:rPr>
        <w:t>3.2 资质条件：营业执照中明确经营范围有：</w:t>
      </w:r>
      <w:r>
        <w:rPr>
          <w:rFonts w:hint="eastAsia" w:ascii="宋体" w:hAnsi="宋体"/>
          <w:color w:val="auto"/>
          <w:highlight w:val="none"/>
          <w:u w:val="single"/>
        </w:rPr>
        <w:t>交通及公共管理用金属标牌制造</w:t>
      </w:r>
      <w:r>
        <w:rPr>
          <w:rFonts w:hint="eastAsia" w:ascii="宋体" w:hAnsi="宋体"/>
          <w:color w:val="auto"/>
          <w:highlight w:val="none"/>
          <w:u w:val="single"/>
          <w:lang w:val="en-US" w:eastAsia="zh-CN"/>
        </w:rPr>
        <w:t>/</w:t>
      </w:r>
      <w:r>
        <w:rPr>
          <w:rFonts w:hint="eastAsia" w:ascii="宋体" w:hAnsi="宋体"/>
          <w:color w:val="auto"/>
          <w:highlight w:val="none"/>
          <w:u w:val="single"/>
        </w:rPr>
        <w:t>交通及公共管理用标牌销售</w:t>
      </w:r>
      <w:r>
        <w:rPr>
          <w:rFonts w:hint="eastAsia" w:ascii="宋体" w:hAnsi="宋体"/>
          <w:color w:val="auto"/>
          <w:highlight w:val="none"/>
          <w:u w:val="single"/>
          <w:lang w:val="en-US" w:eastAsia="zh-CN"/>
        </w:rPr>
        <w:t>/标识标牌的设计、制作、安装</w:t>
      </w:r>
      <w:r>
        <w:rPr>
          <w:rFonts w:hint="eastAsia" w:ascii="宋体" w:hAnsi="宋体"/>
          <w:color w:val="auto"/>
          <w:highlight w:val="none"/>
          <w:u w:val="single"/>
        </w:rPr>
        <w:t>等</w:t>
      </w:r>
      <w:r>
        <w:rPr>
          <w:rFonts w:hint="eastAsia" w:ascii="宋体" w:hAnsi="宋体"/>
          <w:color w:val="auto"/>
          <w:highlight w:val="none"/>
          <w:u w:val="single"/>
          <w:lang w:val="en-US" w:eastAsia="zh-CN"/>
        </w:rPr>
        <w:t>类似</w:t>
      </w:r>
      <w:r>
        <w:rPr>
          <w:rFonts w:hint="eastAsia" w:ascii="宋体" w:hAnsi="宋体"/>
          <w:color w:val="auto"/>
          <w:highlight w:val="none"/>
          <w:u w:val="single"/>
        </w:rPr>
        <w:t>相关经营范围</w:t>
      </w:r>
      <w:r>
        <w:rPr>
          <w:rFonts w:hint="eastAsia" w:ascii="宋体" w:hAnsi="宋体"/>
          <w:color w:val="auto"/>
          <w:highlight w:val="none"/>
          <w:u w:val="single"/>
          <w:lang w:val="en-US" w:eastAsia="zh-CN"/>
        </w:rPr>
        <w:t>之一</w:t>
      </w:r>
      <w:r>
        <w:rPr>
          <w:rFonts w:hint="eastAsia" w:ascii="宋体" w:hAnsi="宋体"/>
          <w:color w:val="auto"/>
          <w:highlight w:val="none"/>
          <w:u w:val="singl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3.3业绩条件：比选申请人自</w:t>
      </w:r>
      <w:r>
        <w:rPr>
          <w:rFonts w:hint="eastAsia" w:ascii="宋体" w:hAnsi="宋体"/>
          <w:color w:val="auto"/>
          <w:highlight w:val="none"/>
          <w:u w:val="single"/>
        </w:rPr>
        <w:t>20</w:t>
      </w:r>
      <w:r>
        <w:rPr>
          <w:rFonts w:hint="eastAsia" w:ascii="宋体" w:hAnsi="宋体"/>
          <w:color w:val="auto"/>
          <w:highlight w:val="none"/>
          <w:u w:val="single"/>
          <w:lang w:val="en-US" w:eastAsia="zh-CN"/>
        </w:rPr>
        <w:t>20</w:t>
      </w:r>
      <w:r>
        <w:rPr>
          <w:rFonts w:hint="eastAsia" w:ascii="宋体" w:hAnsi="宋体"/>
          <w:color w:val="auto"/>
          <w:highlight w:val="none"/>
        </w:rPr>
        <w:t>年</w:t>
      </w:r>
      <w:r>
        <w:rPr>
          <w:rFonts w:hint="eastAsia" w:ascii="宋体" w:hAnsi="宋体"/>
          <w:color w:val="auto"/>
          <w:highlight w:val="none"/>
          <w:u w:val="single"/>
        </w:rPr>
        <w:t>1</w:t>
      </w:r>
      <w:r>
        <w:rPr>
          <w:rFonts w:hint="eastAsia" w:ascii="宋体" w:hAnsi="宋体"/>
          <w:color w:val="auto"/>
          <w:highlight w:val="none"/>
        </w:rPr>
        <w:t>月</w:t>
      </w:r>
      <w:r>
        <w:rPr>
          <w:rFonts w:hint="eastAsia" w:ascii="宋体" w:hAnsi="宋体"/>
          <w:color w:val="auto"/>
          <w:highlight w:val="none"/>
          <w:u w:val="single"/>
        </w:rPr>
        <w:t>1</w:t>
      </w:r>
      <w:r>
        <w:rPr>
          <w:rFonts w:hint="eastAsia" w:ascii="宋体" w:hAnsi="宋体"/>
          <w:color w:val="auto"/>
          <w:highlight w:val="none"/>
        </w:rPr>
        <w:t>日（备注：近3年）至截标时间前至少具有</w:t>
      </w:r>
      <w:r>
        <w:rPr>
          <w:rFonts w:hint="eastAsia" w:ascii="宋体" w:hAnsi="宋体"/>
          <w:color w:val="auto"/>
          <w:highlight w:val="none"/>
          <w:u w:val="single"/>
          <w:lang w:val="en-US" w:eastAsia="zh-CN"/>
        </w:rPr>
        <w:t>1</w:t>
      </w:r>
      <w:r>
        <w:rPr>
          <w:rFonts w:hint="eastAsia" w:ascii="宋体" w:hAnsi="宋体"/>
          <w:color w:val="auto"/>
          <w:highlight w:val="none"/>
        </w:rPr>
        <w:t>项类似业绩，类似业绩是指单项合同不少于</w:t>
      </w:r>
      <w:r>
        <w:rPr>
          <w:rFonts w:hint="eastAsia" w:ascii="宋体" w:hAnsi="宋体"/>
          <w:color w:val="auto"/>
          <w:highlight w:val="none"/>
          <w:u w:val="single"/>
          <w:lang w:val="en-US" w:eastAsia="zh-CN"/>
        </w:rPr>
        <w:t>20</w:t>
      </w:r>
      <w:r>
        <w:rPr>
          <w:rFonts w:hint="eastAsia" w:ascii="宋体" w:hAnsi="宋体"/>
          <w:color w:val="auto"/>
          <w:highlight w:val="none"/>
          <w:u w:val="single"/>
        </w:rPr>
        <w:t>万</w:t>
      </w:r>
      <w:r>
        <w:rPr>
          <w:rFonts w:hint="eastAsia" w:ascii="宋体" w:hAnsi="宋体"/>
          <w:color w:val="auto"/>
          <w:highlight w:val="none"/>
        </w:rPr>
        <w:t>元的</w:t>
      </w:r>
      <w:r>
        <w:rPr>
          <w:rFonts w:hint="eastAsia" w:ascii="宋体" w:hAnsi="宋体"/>
          <w:color w:val="auto"/>
          <w:highlight w:val="none"/>
          <w:u w:val="single"/>
        </w:rPr>
        <w:t>标识标贴项目</w:t>
      </w:r>
      <w:r>
        <w:rPr>
          <w:rFonts w:hint="eastAsia" w:ascii="宋体" w:hAnsi="宋体"/>
          <w:color w:val="auto"/>
          <w:highlight w:val="none"/>
        </w:rPr>
        <w:t>业绩。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2023</w:t>
      </w:r>
      <w:r>
        <w:rPr>
          <w:rFonts w:hint="eastAsia" w:ascii="宋体" w:hAnsi="宋体"/>
          <w:color w:val="auto"/>
          <w:highlight w:val="none"/>
          <w:u w:val="none"/>
          <w:lang w:val="en-US" w:eastAsia="zh-CN"/>
        </w:rPr>
        <w:t>年</w:t>
      </w:r>
      <w:r>
        <w:rPr>
          <w:rFonts w:hint="eastAsia" w:ascii="宋体" w:hAnsi="宋体"/>
          <w:color w:val="auto"/>
          <w:highlight w:val="none"/>
          <w:u w:val="single"/>
          <w:lang w:val="en-US" w:eastAsia="zh-CN"/>
        </w:rPr>
        <w:t>03</w:t>
      </w:r>
      <w:r>
        <w:rPr>
          <w:rFonts w:hint="eastAsia" w:ascii="宋体" w:hAnsi="宋体"/>
          <w:color w:val="auto"/>
          <w:highlight w:val="none"/>
          <w:u w:val="none"/>
          <w:lang w:val="en-US" w:eastAsia="zh-CN"/>
        </w:rPr>
        <w:t>月</w:t>
      </w:r>
      <w:r>
        <w:rPr>
          <w:rFonts w:hint="eastAsia" w:ascii="宋体" w:hAnsi="宋体"/>
          <w:color w:val="auto"/>
          <w:highlight w:val="none"/>
          <w:u w:val="single"/>
          <w:lang w:val="en-US" w:eastAsia="zh-CN"/>
        </w:rPr>
        <w:t>15</w:t>
      </w:r>
      <w:r>
        <w:rPr>
          <w:rFonts w:hint="eastAsia" w:ascii="宋体" w:hAnsi="宋体"/>
          <w:color w:val="auto"/>
          <w:highlight w:val="none"/>
          <w:u w:val="none"/>
          <w:lang w:val="en-US" w:eastAsia="zh-CN"/>
        </w:rPr>
        <w:t>日</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00</w:t>
      </w:r>
      <w:r>
        <w:rPr>
          <w:rFonts w:hint="eastAsia" w:ascii="宋体" w:hAnsi="宋体"/>
          <w:color w:val="auto"/>
          <w:highlight w:val="none"/>
          <w:u w:val="none"/>
          <w:lang w:val="en-US" w:eastAsia="zh-CN"/>
        </w:rPr>
        <w:t>分至</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30</w:t>
      </w:r>
      <w:r>
        <w:rPr>
          <w:rFonts w:hint="eastAsia" w:ascii="宋体" w:hAnsi="宋体"/>
          <w:color w:val="auto"/>
          <w:highlight w:val="none"/>
          <w:u w:val="none"/>
          <w:lang w:val="en-US" w:eastAsia="zh-CN"/>
        </w:rPr>
        <w:t>分止（北京时间）递交，递交地点在</w:t>
      </w:r>
      <w:r>
        <w:rPr>
          <w:rFonts w:hint="eastAsia" w:ascii="宋体" w:hAnsi="宋体"/>
          <w:color w:val="auto"/>
          <w:highlight w:val="none"/>
          <w:u w:val="single"/>
          <w:lang w:val="en-US" w:eastAsia="zh-CN"/>
        </w:rPr>
        <w:t>广西南宁市青秀区云景路83号南宁轨道交通运营有限公司屯里车辆段综合楼205会议室</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 人：南宁轨道交通</w:t>
      </w:r>
      <w:r>
        <w:rPr>
          <w:rFonts w:hint="eastAsia" w:ascii="宋体" w:hAnsi="宋体"/>
          <w:color w:val="auto"/>
          <w:highlight w:val="none"/>
          <w:lang w:val="en-US" w:eastAsia="zh-CN"/>
        </w:rPr>
        <w:t>运营有限</w:t>
      </w:r>
      <w:r>
        <w:rPr>
          <w:rFonts w:hint="eastAsia" w:ascii="宋体" w:hAnsi="宋体"/>
          <w:color w:val="auto"/>
          <w:highlight w:val="none"/>
        </w:rPr>
        <w:t xml:space="preserve">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rPr>
        <w:t>(</w:t>
      </w:r>
      <w:r>
        <w:rPr>
          <w:rFonts w:hint="eastAsia" w:ascii="宋体" w:hAnsi="宋体"/>
          <w:color w:val="auto"/>
          <w:highlight w:val="none"/>
          <w:u w:val="single"/>
          <w:lang w:val="en-US" w:eastAsia="zh-CN"/>
        </w:rPr>
        <w:t>覃艳媚</w:t>
      </w:r>
      <w:r>
        <w:rPr>
          <w:rFonts w:hint="eastAsia" w:ascii="宋体" w:hAnsi="宋体"/>
          <w:color w:val="auto"/>
          <w:highlight w:val="none"/>
          <w:u w:val="single"/>
        </w:rPr>
        <w:t>、</w:t>
      </w:r>
      <w:r>
        <w:rPr>
          <w:rFonts w:hint="eastAsia" w:ascii="宋体" w:hAnsi="宋体"/>
          <w:color w:val="auto"/>
          <w:highlight w:val="none"/>
          <w:u w:val="single"/>
          <w:lang w:val="en-US" w:eastAsia="zh-CN"/>
        </w:rPr>
        <w:t>黄琛琦</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话：0771</w:t>
      </w:r>
      <w:r>
        <w:rPr>
          <w:rFonts w:hint="eastAsia" w:ascii="宋体" w:hAnsi="宋体"/>
          <w:color w:val="auto"/>
          <w:highlight w:val="none"/>
          <w:lang w:val="en-US" w:eastAsia="zh-CN"/>
        </w:rPr>
        <w:t>-</w:t>
      </w:r>
      <w:r>
        <w:rPr>
          <w:rFonts w:hint="eastAsia" w:ascii="宋体" w:hAnsi="宋体"/>
          <w:color w:val="auto"/>
          <w:highlight w:val="none"/>
        </w:rPr>
        <w:t>2</w:t>
      </w:r>
      <w:r>
        <w:rPr>
          <w:rFonts w:hint="eastAsia" w:ascii="宋体" w:hAnsi="宋体"/>
          <w:color w:val="auto"/>
          <w:highlight w:val="none"/>
          <w:lang w:val="en-US" w:eastAsia="zh-CN"/>
        </w:rPr>
        <w:t>227033</w:t>
      </w:r>
      <w:r>
        <w:rPr>
          <w:rFonts w:hint="eastAsia" w:ascii="宋体" w:hAnsi="宋体"/>
          <w:color w:val="auto"/>
          <w:highlight w:val="none"/>
        </w:rPr>
        <w:t>/0771</w:t>
      </w:r>
      <w:r>
        <w:rPr>
          <w:rFonts w:hint="eastAsia" w:ascii="宋体" w:hAnsi="宋体"/>
          <w:color w:val="auto"/>
          <w:highlight w:val="none"/>
          <w:lang w:val="en-US" w:eastAsia="zh-CN"/>
        </w:rPr>
        <w:t>-</w:t>
      </w:r>
      <w:r>
        <w:rPr>
          <w:rFonts w:hint="eastAsia" w:ascii="宋体" w:hAnsi="宋体"/>
          <w:color w:val="auto"/>
          <w:highlight w:val="none"/>
        </w:rPr>
        <w:t>2778962</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纪检监察室举报电话</w:t>
      </w:r>
      <w:r>
        <w:rPr>
          <w:rFonts w:hint="eastAsia" w:ascii="宋体" w:hAnsi="宋体"/>
          <w:color w:val="auto"/>
          <w:highlight w:val="none"/>
          <w:u w:val="none"/>
          <w:lang w:val="en-US" w:eastAsia="zh-CN"/>
        </w:rPr>
        <w:t>：</w:t>
      </w:r>
      <w:r>
        <w:rPr>
          <w:rFonts w:hint="eastAsia" w:ascii="宋体" w:hAnsi="宋体"/>
          <w:color w:val="auto"/>
          <w:highlight w:val="none"/>
          <w:lang w:val="en-US" w:eastAsia="zh-CN"/>
        </w:rPr>
        <w:t>0771-2778084</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5"/>
          <w:rFonts w:ascii="宋体" w:hAnsi="宋体" w:eastAsia="宋体"/>
          <w:color w:val="auto"/>
          <w:highlight w:val="none"/>
        </w:rPr>
      </w:pPr>
      <w:bookmarkStart w:id="24" w:name="_Toc322528192"/>
      <w:bookmarkEnd w:id="24"/>
      <w:bookmarkStart w:id="25" w:name="_Toc512357502"/>
      <w:bookmarkStart w:id="26" w:name="_Toc30950"/>
      <w:bookmarkStart w:id="27" w:name="_Toc18454"/>
      <w:bookmarkStart w:id="28" w:name="_Toc1230"/>
      <w:bookmarkStart w:id="29" w:name="_Toc12635"/>
      <w:bookmarkStart w:id="30" w:name="_Toc24390"/>
      <w:bookmarkStart w:id="31" w:name="_Toc30725"/>
      <w:bookmarkStart w:id="32" w:name="_Toc29836"/>
      <w:bookmarkStart w:id="33" w:name="_Toc17594"/>
      <w:bookmarkStart w:id="34" w:name="_Toc30883"/>
      <w:bookmarkStart w:id="35" w:name="_Toc24972"/>
      <w:bookmarkStart w:id="36" w:name="_Toc3495"/>
      <w:bookmarkStart w:id="37" w:name="_Toc30434"/>
      <w:bookmarkStart w:id="38" w:name="_Toc5923"/>
      <w:bookmarkStart w:id="39" w:name="_Toc32402"/>
      <w:bookmarkStart w:id="40" w:name="_Toc22273"/>
      <w:bookmarkStart w:id="41" w:name="_Toc15976"/>
      <w:bookmarkStart w:id="42" w:name="_Toc17735"/>
      <w:bookmarkStart w:id="43" w:name="_Toc17240"/>
      <w:bookmarkStart w:id="44" w:name="_Toc21830"/>
      <w:bookmarkStart w:id="45" w:name="_Toc15101"/>
      <w:bookmarkStart w:id="46" w:name="_Toc20201"/>
      <w:r>
        <w:rPr>
          <w:rStyle w:val="45"/>
          <w:rFonts w:hint="eastAsia" w:ascii="宋体" w:hAnsi="宋体" w:eastAsia="宋体"/>
          <w:color w:val="auto"/>
          <w:highlight w:val="none"/>
        </w:rPr>
        <w:t>第二章</w:t>
      </w:r>
      <w:bookmarkEnd w:id="25"/>
      <w:r>
        <w:rPr>
          <w:rStyle w:val="45"/>
          <w:rFonts w:hint="eastAsia" w:ascii="宋体" w:hAnsi="宋体" w:eastAsia="宋体"/>
          <w:color w:val="auto"/>
          <w:highlight w:val="none"/>
        </w:rPr>
        <w:t>比选申请须知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5"/>
        <w:spacing w:after="0" w:afterAutospacing="0" w:line="360" w:lineRule="auto"/>
        <w:ind w:left="468" w:leftChars="200" w:right="0" w:hanging="48" w:hangingChars="20"/>
        <w:rPr>
          <w:rFonts w:ascii="宋体" w:hAnsi="宋体" w:eastAsia="宋体"/>
          <w:color w:val="auto"/>
          <w:sz w:val="24"/>
          <w:szCs w:val="24"/>
          <w:highlight w:val="none"/>
        </w:rPr>
      </w:pPr>
      <w:bookmarkStart w:id="47" w:name="_Toc322528193"/>
      <w:bookmarkEnd w:id="47"/>
      <w:bookmarkStart w:id="48" w:name="_Toc22708"/>
      <w:bookmarkStart w:id="49" w:name="_Toc26263"/>
      <w:bookmarkStart w:id="50" w:name="_Toc24365"/>
      <w:bookmarkStart w:id="51" w:name="_Toc20620"/>
      <w:r>
        <w:rPr>
          <w:rFonts w:hint="eastAsia" w:ascii="宋体" w:hAnsi="宋体" w:eastAsia="宋体"/>
          <w:color w:val="auto"/>
          <w:sz w:val="24"/>
          <w:szCs w:val="24"/>
          <w:highlight w:val="none"/>
        </w:rPr>
        <w:t>一、项目概况</w:t>
      </w:r>
      <w:bookmarkEnd w:id="48"/>
      <w:bookmarkEnd w:id="49"/>
      <w:bookmarkEnd w:id="50"/>
      <w:bookmarkEnd w:id="51"/>
    </w:p>
    <w:p>
      <w:pPr>
        <w:spacing w:before="0" w:after="0" w:afterAutospacing="0"/>
        <w:ind w:left="0" w:right="0" w:firstLine="420" w:firstLineChars="200"/>
        <w:rPr>
          <w:rFonts w:hint="eastAsia"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202204200004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南宁轨道交通5号线导向标示标贴、安全标识采购项目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上限控制价：人民币</w:t>
      </w:r>
      <w:r>
        <w:rPr>
          <w:rFonts w:hint="eastAsia" w:ascii="宋体" w:hAnsi="宋体"/>
          <w:color w:val="auto"/>
          <w:highlight w:val="none"/>
          <w:lang w:val="en-US" w:eastAsia="zh-CN"/>
        </w:rPr>
        <w:t>301000元</w:t>
      </w:r>
      <w:r>
        <w:rPr>
          <w:rFonts w:hint="eastAsia" w:ascii="宋体" w:hAnsi="宋体"/>
          <w:color w:val="auto"/>
          <w:highlight w:val="none"/>
          <w:u w:val="single"/>
        </w:rPr>
        <w:t>（</w:t>
      </w:r>
      <w:r>
        <w:rPr>
          <w:rFonts w:hint="eastAsia" w:ascii="宋体" w:hAnsi="宋体"/>
          <w:color w:val="auto"/>
          <w:highlight w:val="none"/>
          <w:u w:val="single"/>
          <w:lang w:val="en-US" w:eastAsia="zh-CN"/>
        </w:rPr>
        <w:t>不含税</w:t>
      </w:r>
      <w:r>
        <w:rPr>
          <w:rFonts w:hint="eastAsia" w:ascii="宋体" w:hAnsi="宋体"/>
          <w:color w:val="auto"/>
          <w:highlight w:val="none"/>
          <w:u w:val="single"/>
        </w:rPr>
        <w:t>）</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交货期：合</w:t>
      </w:r>
      <w:r>
        <w:rPr>
          <w:rFonts w:hint="eastAsia" w:ascii="宋体" w:hAnsi="宋体"/>
          <w:color w:val="auto"/>
          <w:highlight w:val="none"/>
          <w:u w:val="single"/>
        </w:rPr>
        <w:t>同签订后，</w:t>
      </w:r>
      <w:r>
        <w:rPr>
          <w:rFonts w:hint="eastAsia" w:ascii="宋体" w:hAnsi="宋体"/>
          <w:color w:val="auto"/>
          <w:highlight w:val="none"/>
          <w:u w:val="single"/>
          <w:lang w:eastAsia="zh-CN"/>
        </w:rPr>
        <w:t>在</w:t>
      </w:r>
      <w:r>
        <w:rPr>
          <w:rFonts w:hint="eastAsia" w:ascii="宋体" w:hAnsi="宋体"/>
          <w:color w:val="auto"/>
          <w:highlight w:val="none"/>
          <w:u w:val="single"/>
        </w:rPr>
        <w:t>货物交货通知书发出之日起</w:t>
      </w:r>
      <w:r>
        <w:rPr>
          <w:rFonts w:hint="eastAsia" w:ascii="宋体" w:hAnsi="宋体"/>
          <w:color w:val="auto"/>
          <w:highlight w:val="none"/>
          <w:u w:val="single"/>
          <w:lang w:val="en-US" w:eastAsia="zh-CN"/>
        </w:rPr>
        <w:t>3</w:t>
      </w:r>
      <w:r>
        <w:rPr>
          <w:rFonts w:hint="eastAsia" w:ascii="宋体" w:hAnsi="宋体"/>
          <w:color w:val="auto"/>
          <w:highlight w:val="none"/>
          <w:u w:val="single"/>
        </w:rPr>
        <w:t>0天内交货并完成安装，以交货通知发出起算。</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u w:val="single"/>
        </w:rPr>
        <w:t>南宁轨道交通5号线（国凯大道站－金桥客运站）17个车站、那洪车辆段综合基地1座（含备用OCC一座），</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项目包含但不限于运营导向标示标贴、安全标识的整体VI设计、生产、运输、安装、验收及售后维护等工作，工程量具体详见附件1 运营导向标示标贴、安全标识采购项目技术需求及数量表，</w:t>
      </w:r>
      <w:r>
        <w:rPr>
          <w:rFonts w:hint="eastAsia" w:ascii="宋体" w:hAnsi="宋体"/>
          <w:color w:val="auto"/>
          <w:highlight w:val="none"/>
        </w:rPr>
        <w:t>具体详见用户需求书。</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52" w:name="_Toc9677"/>
      <w:bookmarkStart w:id="53" w:name="_Toc390098423"/>
      <w:bookmarkStart w:id="54" w:name="_Toc18528"/>
      <w:bookmarkStart w:id="55" w:name="_Toc19617"/>
      <w:bookmarkStart w:id="56" w:name="_Toc5160"/>
      <w:bookmarkStart w:id="57" w:name="_Toc2609"/>
      <w:bookmarkStart w:id="58" w:name="_Toc12983509"/>
      <w:bookmarkStart w:id="59" w:name="_Toc15763"/>
      <w:bookmarkStart w:id="60" w:name="_Toc16530"/>
      <w:bookmarkStart w:id="61" w:name="_Toc2986"/>
      <w:bookmarkStart w:id="62" w:name="_Toc16608"/>
      <w:bookmarkStart w:id="63" w:name="_Toc383891172"/>
      <w:bookmarkStart w:id="64" w:name="_Toc3854"/>
      <w:bookmarkStart w:id="65" w:name="_Toc6528"/>
      <w:bookmarkStart w:id="66" w:name="_Toc492478722"/>
      <w:bookmarkStart w:id="67" w:name="_Toc29160"/>
      <w:bookmarkStart w:id="68" w:name="_Toc7339"/>
      <w:bookmarkStart w:id="69" w:name="_Toc28220"/>
      <w:bookmarkStart w:id="70" w:name="_Toc16131"/>
      <w:bookmarkStart w:id="71" w:name="_Toc375039068"/>
      <w:bookmarkStart w:id="72" w:name="_Toc5487"/>
      <w:bookmarkStart w:id="73" w:name="_Toc385427797"/>
      <w:bookmarkStart w:id="74" w:name="_Toc8562"/>
      <w:bookmarkStart w:id="75" w:name="_Toc22141"/>
      <w:bookmarkStart w:id="76" w:name="_Toc12343"/>
      <w:bookmarkStart w:id="77" w:name="_Toc20541"/>
      <w:bookmarkStart w:id="78" w:name="_Toc4774"/>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hint="eastAsia" w:ascii="宋体" w:hAnsi="宋体" w:eastAsia="宋体"/>
          <w:color w:val="auto"/>
          <w:sz w:val="24"/>
          <w:szCs w:val="24"/>
          <w:highlight w:val="none"/>
        </w:rPr>
        <w:t>人资格要求</w:t>
      </w:r>
      <w:bookmarkEnd w:id="75"/>
      <w:bookmarkEnd w:id="76"/>
      <w:bookmarkEnd w:id="77"/>
      <w:bookmarkEnd w:id="78"/>
    </w:p>
    <w:p>
      <w:pPr>
        <w:spacing w:before="0" w:after="0" w:afterAutospacing="0"/>
        <w:ind w:left="0" w:right="0" w:firstLine="420" w:firstLineChars="200"/>
        <w:rPr>
          <w:rFonts w:ascii="宋体" w:hAnsi="宋体"/>
          <w:color w:val="auto"/>
          <w:highlight w:val="none"/>
        </w:rPr>
      </w:pPr>
      <w:bookmarkStart w:id="79" w:name="_Toc24557"/>
      <w:bookmarkStart w:id="80" w:name="_Toc385427801"/>
      <w:bookmarkStart w:id="81" w:name="_Toc375039072"/>
      <w:bookmarkStart w:id="82" w:name="_Toc24759"/>
      <w:bookmarkStart w:id="83" w:name="_Toc17692"/>
      <w:bookmarkStart w:id="84" w:name="_Toc17335"/>
      <w:bookmarkStart w:id="85" w:name="_Toc18679"/>
      <w:bookmarkStart w:id="86" w:name="_Toc383891176"/>
      <w:bookmarkStart w:id="87" w:name="_Toc16406"/>
      <w:bookmarkStart w:id="88" w:name="_Toc2902"/>
      <w:bookmarkStart w:id="89" w:name="_Toc25361"/>
      <w:bookmarkStart w:id="90" w:name="_Toc12983513"/>
      <w:bookmarkStart w:id="91" w:name="_Toc27913"/>
      <w:bookmarkStart w:id="92" w:name="_Toc14185"/>
      <w:bookmarkStart w:id="93" w:name="_Toc492478726"/>
      <w:bookmarkStart w:id="94" w:name="_Toc390098427"/>
      <w:bookmarkStart w:id="95" w:name="_Toc95"/>
      <w:bookmarkStart w:id="96" w:name="_Toc7604"/>
      <w:bookmarkStart w:id="97" w:name="_Toc5805"/>
      <w:bookmarkStart w:id="98" w:name="_Toc30363"/>
      <w:bookmarkStart w:id="99" w:name="_Toc28044"/>
      <w:bookmarkStart w:id="100" w:name="_Toc4718"/>
      <w:bookmarkStart w:id="101" w:name="_Toc10869"/>
      <w:r>
        <w:rPr>
          <w:rFonts w:hint="eastAsia" w:ascii="宋体" w:hAnsi="宋体"/>
          <w:color w:val="auto"/>
          <w:highlight w:val="none"/>
        </w:rPr>
        <w:t>2.1为中华人民共和国境内依法设立的法人或其他组织（若以分公司名义参与比选申请，必须出具总公司授权参与的证明。）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 资质条件：营业执照中明确经营范围有：</w:t>
      </w:r>
      <w:r>
        <w:rPr>
          <w:rFonts w:hint="eastAsia" w:ascii="宋体" w:hAnsi="宋体"/>
          <w:color w:val="auto"/>
          <w:highlight w:val="none"/>
          <w:u w:val="single"/>
        </w:rPr>
        <w:t>交通及公共管理用金属标牌制造</w:t>
      </w:r>
      <w:r>
        <w:rPr>
          <w:rFonts w:hint="eastAsia" w:ascii="宋体" w:hAnsi="宋体"/>
          <w:color w:val="auto"/>
          <w:highlight w:val="none"/>
          <w:u w:val="single"/>
          <w:lang w:val="en-US" w:eastAsia="zh-CN"/>
        </w:rPr>
        <w:t>/</w:t>
      </w:r>
      <w:r>
        <w:rPr>
          <w:rFonts w:hint="eastAsia" w:ascii="宋体" w:hAnsi="宋体"/>
          <w:color w:val="auto"/>
          <w:highlight w:val="none"/>
          <w:u w:val="single"/>
        </w:rPr>
        <w:t>交通及公共管理用标牌销售</w:t>
      </w:r>
      <w:r>
        <w:rPr>
          <w:rFonts w:hint="eastAsia" w:ascii="宋体" w:hAnsi="宋体"/>
          <w:color w:val="auto"/>
          <w:highlight w:val="none"/>
          <w:u w:val="single"/>
          <w:lang w:val="en-US" w:eastAsia="zh-CN"/>
        </w:rPr>
        <w:t>/标识标牌的设计、制作、安装</w:t>
      </w:r>
      <w:r>
        <w:rPr>
          <w:rFonts w:hint="eastAsia" w:ascii="宋体" w:hAnsi="宋体"/>
          <w:color w:val="auto"/>
          <w:highlight w:val="none"/>
          <w:u w:val="single"/>
        </w:rPr>
        <w:t>等</w:t>
      </w:r>
      <w:r>
        <w:rPr>
          <w:rFonts w:hint="eastAsia" w:ascii="宋体" w:hAnsi="宋体"/>
          <w:color w:val="auto"/>
          <w:highlight w:val="none"/>
          <w:u w:val="single"/>
          <w:lang w:val="en-US" w:eastAsia="zh-CN"/>
        </w:rPr>
        <w:t>类似</w:t>
      </w:r>
      <w:r>
        <w:rPr>
          <w:rFonts w:hint="eastAsia" w:ascii="宋体" w:hAnsi="宋体"/>
          <w:color w:val="auto"/>
          <w:highlight w:val="none"/>
          <w:u w:val="single"/>
        </w:rPr>
        <w:t>相关经营范围</w:t>
      </w:r>
      <w:r>
        <w:rPr>
          <w:rFonts w:hint="eastAsia" w:ascii="宋体" w:hAnsi="宋体"/>
          <w:color w:val="auto"/>
          <w:highlight w:val="none"/>
          <w:u w:val="single"/>
          <w:lang w:val="en-US" w:eastAsia="zh-CN"/>
        </w:rPr>
        <w:t>之一</w:t>
      </w:r>
      <w:r>
        <w:rPr>
          <w:rFonts w:hint="eastAsia" w:ascii="宋体" w:hAnsi="宋体"/>
          <w:color w:val="auto"/>
          <w:highlight w:val="none"/>
          <w:u w:val="singl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2.3业绩条件：比选申请人自</w:t>
      </w:r>
      <w:r>
        <w:rPr>
          <w:rFonts w:hint="eastAsia" w:ascii="宋体" w:hAnsi="宋体"/>
          <w:color w:val="auto"/>
          <w:highlight w:val="none"/>
          <w:u w:val="single"/>
        </w:rPr>
        <w:t>2</w:t>
      </w:r>
      <w:r>
        <w:rPr>
          <w:rFonts w:ascii="宋体" w:hAnsi="宋体"/>
          <w:color w:val="auto"/>
          <w:highlight w:val="none"/>
          <w:u w:val="single"/>
        </w:rPr>
        <w:t>0</w:t>
      </w:r>
      <w:r>
        <w:rPr>
          <w:rFonts w:hint="eastAsia" w:ascii="宋体" w:hAnsi="宋体"/>
          <w:color w:val="auto"/>
          <w:highlight w:val="none"/>
          <w:u w:val="single"/>
          <w:lang w:val="en-US" w:eastAsia="zh-CN"/>
        </w:rPr>
        <w:t>20</w:t>
      </w:r>
      <w:r>
        <w:rPr>
          <w:rFonts w:hint="eastAsia" w:ascii="宋体" w:hAnsi="宋体"/>
          <w:color w:val="auto"/>
          <w:highlight w:val="none"/>
        </w:rPr>
        <w:t>年</w:t>
      </w:r>
      <w:r>
        <w:rPr>
          <w:rFonts w:hint="eastAsia" w:ascii="宋体" w:hAnsi="宋体"/>
          <w:color w:val="auto"/>
          <w:highlight w:val="none"/>
          <w:u w:val="single"/>
        </w:rPr>
        <w:t>1</w:t>
      </w:r>
      <w:r>
        <w:rPr>
          <w:rFonts w:hint="eastAsia" w:ascii="宋体" w:hAnsi="宋体"/>
          <w:color w:val="auto"/>
          <w:highlight w:val="none"/>
        </w:rPr>
        <w:t>月</w:t>
      </w:r>
      <w:r>
        <w:rPr>
          <w:rFonts w:hint="eastAsia" w:ascii="宋体" w:hAnsi="宋体"/>
          <w:color w:val="auto"/>
          <w:highlight w:val="none"/>
          <w:u w:val="single"/>
        </w:rPr>
        <w:t>1</w:t>
      </w:r>
      <w:r>
        <w:rPr>
          <w:rFonts w:hint="eastAsia" w:ascii="宋体" w:hAnsi="宋体"/>
          <w:color w:val="auto"/>
          <w:highlight w:val="none"/>
        </w:rPr>
        <w:t>日（备注：近3年）至截标时间前至少具有</w:t>
      </w:r>
      <w:r>
        <w:rPr>
          <w:rFonts w:hint="eastAsia" w:ascii="宋体" w:hAnsi="宋体"/>
          <w:color w:val="auto"/>
          <w:highlight w:val="none"/>
          <w:u w:val="single"/>
          <w:lang w:val="en-US" w:eastAsia="zh-CN"/>
        </w:rPr>
        <w:t>1</w:t>
      </w:r>
      <w:r>
        <w:rPr>
          <w:rFonts w:hint="eastAsia" w:ascii="宋体" w:hAnsi="宋体"/>
          <w:color w:val="auto"/>
          <w:highlight w:val="none"/>
        </w:rPr>
        <w:t>项类似业绩，类似业绩是指单项合同不少于</w:t>
      </w:r>
      <w:r>
        <w:rPr>
          <w:rFonts w:hint="eastAsia" w:ascii="宋体" w:hAnsi="宋体"/>
          <w:color w:val="auto"/>
          <w:highlight w:val="none"/>
          <w:u w:val="single"/>
          <w:lang w:val="en-US" w:eastAsia="zh-CN"/>
        </w:rPr>
        <w:t>20</w:t>
      </w:r>
      <w:r>
        <w:rPr>
          <w:rFonts w:hint="eastAsia" w:ascii="宋体" w:hAnsi="宋体"/>
          <w:color w:val="auto"/>
          <w:highlight w:val="none"/>
          <w:u w:val="single"/>
        </w:rPr>
        <w:t>万元</w:t>
      </w:r>
      <w:r>
        <w:rPr>
          <w:rFonts w:hint="eastAsia" w:ascii="宋体" w:hAnsi="宋体"/>
          <w:color w:val="auto"/>
          <w:highlight w:val="none"/>
        </w:rPr>
        <w:t>的</w:t>
      </w:r>
      <w:r>
        <w:rPr>
          <w:rFonts w:hint="eastAsia" w:ascii="宋体" w:hAnsi="宋体"/>
          <w:color w:val="auto"/>
          <w:highlight w:val="none"/>
          <w:u w:val="single"/>
        </w:rPr>
        <w:t>标识标贴项目</w:t>
      </w:r>
      <w:r>
        <w:rPr>
          <w:rFonts w:hint="eastAsia" w:ascii="宋体" w:hAnsi="宋体"/>
          <w:color w:val="auto"/>
          <w:highlight w:val="none"/>
        </w:rPr>
        <w:t>业绩。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2.6本项目不接受联合体比选申请。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02" w:name="_Toc19344"/>
      <w:bookmarkStart w:id="103" w:name="_Toc24947"/>
      <w:bookmarkStart w:id="104" w:name="_Toc10943"/>
      <w:bookmarkStart w:id="105" w:name="_Toc2298"/>
      <w:r>
        <w:rPr>
          <w:rFonts w:hint="eastAsia" w:ascii="宋体" w:hAnsi="宋体" w:eastAsia="宋体"/>
          <w:color w:val="auto"/>
          <w:sz w:val="24"/>
          <w:szCs w:val="24"/>
          <w:highlight w:val="none"/>
        </w:rPr>
        <w:t>三、</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hint="eastAsia" w:ascii="宋体" w:hAnsi="宋体" w:eastAsia="宋体"/>
          <w:color w:val="auto"/>
          <w:sz w:val="24"/>
          <w:szCs w:val="24"/>
          <w:highlight w:val="none"/>
        </w:rPr>
        <w:t>比选申请文件内容</w:t>
      </w:r>
      <w:bookmarkEnd w:id="102"/>
      <w:bookmarkEnd w:id="103"/>
      <w:bookmarkEnd w:id="104"/>
      <w:bookmarkEnd w:id="10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（6）类似项目业绩表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（8）其他（如原厂授权等）</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06" w:name="_Toc4175"/>
      <w:bookmarkStart w:id="107" w:name="_Toc28089"/>
      <w:bookmarkStart w:id="108" w:name="_Toc198"/>
      <w:bookmarkStart w:id="109" w:name="_Toc18704"/>
      <w:r>
        <w:rPr>
          <w:rFonts w:hint="eastAsia" w:ascii="宋体" w:hAnsi="宋体" w:eastAsia="宋体"/>
          <w:color w:val="auto"/>
          <w:sz w:val="24"/>
          <w:szCs w:val="24"/>
          <w:highlight w:val="none"/>
        </w:rPr>
        <w:t>四、比选申请文件签字及装订要求</w:t>
      </w:r>
      <w:bookmarkEnd w:id="106"/>
      <w:bookmarkEnd w:id="107"/>
      <w:bookmarkEnd w:id="108"/>
      <w:bookmarkEnd w:id="109"/>
    </w:p>
    <w:p>
      <w:pPr>
        <w:spacing w:before="0" w:after="0" w:afterAutospacing="0"/>
        <w:ind w:left="0" w:right="0" w:firstLine="420" w:firstLineChars="200"/>
        <w:rPr>
          <w:rFonts w:ascii="宋体" w:hAnsi="宋体"/>
          <w:color w:val="auto"/>
          <w:highlight w:val="none"/>
        </w:rPr>
      </w:pPr>
      <w:bookmarkStart w:id="110" w:name="_Toc29862"/>
      <w:bookmarkStart w:id="111" w:name="_Toc2819"/>
      <w:bookmarkStart w:id="112" w:name="_Toc12456"/>
      <w:bookmarkStart w:id="113" w:name="_Toc25750600"/>
      <w:bookmarkStart w:id="114" w:name="_Toc26150"/>
      <w:bookmarkStart w:id="115" w:name="_Toc11259"/>
      <w:bookmarkStart w:id="116" w:name="_Toc20025"/>
      <w:bookmarkStart w:id="117" w:name="_Toc1733"/>
      <w:bookmarkStart w:id="118" w:name="_Toc9592"/>
      <w:bookmarkStart w:id="119" w:name="_Toc390098428"/>
      <w:bookmarkStart w:id="120" w:name="_Toc383891177"/>
      <w:bookmarkStart w:id="121" w:name="_Toc13418"/>
      <w:bookmarkStart w:id="122" w:name="_Toc23794"/>
      <w:bookmarkStart w:id="123" w:name="_Toc385427802"/>
      <w:bookmarkStart w:id="124" w:name="_Toc375039073"/>
      <w:bookmarkStart w:id="125" w:name="_Toc21673"/>
      <w:bookmarkStart w:id="126" w:name="_Toc26680"/>
      <w:bookmarkStart w:id="127" w:name="_Toc16186"/>
      <w:bookmarkStart w:id="128" w:name="_Toc12983514"/>
      <w:bookmarkStart w:id="129" w:name="_Toc18350"/>
      <w:bookmarkStart w:id="130" w:name="_Toc12074"/>
      <w:bookmarkStart w:id="131" w:name="_Toc492478727"/>
      <w:bookmarkStart w:id="132" w:name="_Toc4384"/>
      <w:bookmarkStart w:id="133" w:name="_Toc16435"/>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w:t>
      </w:r>
      <w:r>
        <w:rPr>
          <w:rFonts w:hint="eastAsia" w:ascii="宋体" w:hAnsi="宋体"/>
          <w:color w:val="auto"/>
          <w:highlight w:val="none"/>
          <w:lang w:val="en-US" w:eastAsia="zh-CN"/>
        </w:rPr>
        <w:t>审</w:t>
      </w:r>
      <w:r>
        <w:rPr>
          <w:rFonts w:hint="eastAsia" w:ascii="宋体" w:hAnsi="宋体"/>
          <w:color w:val="auto"/>
          <w:highlight w:val="none"/>
        </w:rPr>
        <w:t>差错由比选申请人</w:t>
      </w:r>
      <w:r>
        <w:rPr>
          <w:rFonts w:hint="eastAsia" w:ascii="宋体" w:hAnsi="宋体"/>
          <w:color w:val="auto"/>
          <w:highlight w:val="none"/>
          <w:lang w:eastAsia="zh-CN"/>
        </w:rPr>
        <w:t>自行</w:t>
      </w:r>
      <w:r>
        <w:rPr>
          <w:rFonts w:hint="eastAsia" w:ascii="宋体" w:hAnsi="宋体"/>
          <w:color w:val="auto"/>
          <w:highlight w:val="none"/>
        </w:rPr>
        <w:t>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w:t>
      </w:r>
      <w:r>
        <w:rPr>
          <w:rFonts w:hint="eastAsia" w:ascii="宋体" w:hAnsi="宋体"/>
          <w:color w:val="auto"/>
          <w:highlight w:val="none"/>
          <w:lang w:eastAsia="zh-CN"/>
        </w:rPr>
        <w:t>等其它</w:t>
      </w:r>
      <w:r>
        <w:rPr>
          <w:rFonts w:hint="eastAsia" w:ascii="宋体" w:hAnsi="宋体"/>
          <w:color w:val="auto"/>
          <w:highlight w:val="none"/>
        </w:rPr>
        <w:t>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w:t>
      </w:r>
      <w:r>
        <w:rPr>
          <w:rFonts w:hint="eastAsia" w:ascii="宋体" w:hAnsi="宋体"/>
          <w:color w:val="auto"/>
          <w:highlight w:val="none"/>
          <w:lang w:eastAsia="zh-CN"/>
        </w:rPr>
        <w:t>等其它</w:t>
      </w:r>
      <w:r>
        <w:rPr>
          <w:rFonts w:hint="eastAsia" w:ascii="宋体" w:hAnsi="宋体"/>
          <w:color w:val="auto"/>
          <w:highlight w:val="none"/>
        </w:rPr>
        <w:t>等其它形式均不能代替亲笔签字。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 xml:space="preserve"> 南宁轨道交通5号线导向标示标贴、安全标识采购项目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202204200004</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4" w:name="_Toc666"/>
      <w:bookmarkStart w:id="135" w:name="_Toc22906"/>
      <w:bookmarkStart w:id="136" w:name="_Toc9751"/>
      <w:bookmarkStart w:id="137" w:name="_Toc27952"/>
      <w:r>
        <w:rPr>
          <w:rFonts w:hint="eastAsia" w:ascii="宋体" w:hAnsi="宋体" w:eastAsia="宋体"/>
          <w:color w:val="auto"/>
          <w:sz w:val="24"/>
          <w:szCs w:val="24"/>
          <w:highlight w:val="none"/>
        </w:rPr>
        <w:t>五、比选申请文件的递交</w:t>
      </w:r>
      <w:bookmarkEnd w:id="134"/>
      <w:bookmarkEnd w:id="135"/>
      <w:bookmarkEnd w:id="136"/>
      <w:bookmarkEnd w:id="137"/>
    </w:p>
    <w:p>
      <w:pPr>
        <w:spacing w:before="0" w:after="0" w:afterAutospacing="0"/>
        <w:ind w:left="0" w:right="0" w:firstLine="420" w:firstLineChars="200"/>
        <w:rPr>
          <w:rFonts w:hint="eastAsia" w:ascii="宋体" w:hAnsi="宋体"/>
          <w:color w:val="auto"/>
          <w:highlight w:val="none"/>
          <w:u w:val="single"/>
        </w:rPr>
      </w:pPr>
      <w:r>
        <w:rPr>
          <w:rFonts w:hint="eastAsia" w:ascii="宋体" w:hAnsi="宋体"/>
          <w:color w:val="auto"/>
          <w:highlight w:val="none"/>
        </w:rPr>
        <w:t>5.1比选申请文件递交截止时间为</w:t>
      </w:r>
      <w:r>
        <w:rPr>
          <w:rFonts w:hint="eastAsia" w:ascii="宋体" w:hAnsi="宋体"/>
          <w:color w:val="auto"/>
          <w:highlight w:val="none"/>
          <w:u w:val="single"/>
          <w:lang w:val="en-US" w:eastAsia="zh-CN"/>
        </w:rPr>
        <w:t>2023</w:t>
      </w:r>
      <w:r>
        <w:rPr>
          <w:rFonts w:hint="eastAsia" w:ascii="宋体" w:hAnsi="宋体"/>
          <w:color w:val="auto"/>
          <w:highlight w:val="none"/>
          <w:u w:val="none"/>
          <w:lang w:val="en-US" w:eastAsia="zh-CN"/>
        </w:rPr>
        <w:t>年</w:t>
      </w:r>
      <w:r>
        <w:rPr>
          <w:rFonts w:hint="eastAsia" w:ascii="宋体" w:hAnsi="宋体"/>
          <w:color w:val="auto"/>
          <w:highlight w:val="none"/>
          <w:u w:val="single"/>
          <w:lang w:val="en-US" w:eastAsia="zh-CN"/>
        </w:rPr>
        <w:t>03</w:t>
      </w:r>
      <w:r>
        <w:rPr>
          <w:rFonts w:hint="eastAsia" w:ascii="宋体" w:hAnsi="宋体"/>
          <w:color w:val="auto"/>
          <w:highlight w:val="none"/>
          <w:u w:val="none"/>
          <w:lang w:val="en-US" w:eastAsia="zh-CN"/>
        </w:rPr>
        <w:t>月</w:t>
      </w:r>
      <w:r>
        <w:rPr>
          <w:rFonts w:hint="eastAsia" w:ascii="宋体" w:hAnsi="宋体"/>
          <w:color w:val="auto"/>
          <w:highlight w:val="none"/>
          <w:u w:val="single"/>
          <w:lang w:val="en-US" w:eastAsia="zh-CN"/>
        </w:rPr>
        <w:t>15</w:t>
      </w:r>
      <w:r>
        <w:rPr>
          <w:rFonts w:hint="eastAsia" w:ascii="宋体" w:hAnsi="宋体"/>
          <w:color w:val="auto"/>
          <w:highlight w:val="none"/>
          <w:u w:val="none"/>
          <w:lang w:val="en-US" w:eastAsia="zh-CN"/>
        </w:rPr>
        <w:t>日</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00</w:t>
      </w:r>
      <w:r>
        <w:rPr>
          <w:rFonts w:hint="eastAsia" w:ascii="宋体" w:hAnsi="宋体"/>
          <w:color w:val="auto"/>
          <w:highlight w:val="none"/>
          <w:u w:val="none"/>
          <w:lang w:val="en-US" w:eastAsia="zh-CN"/>
        </w:rPr>
        <w:t>分至</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30</w:t>
      </w:r>
      <w:r>
        <w:rPr>
          <w:rFonts w:hint="eastAsia" w:ascii="宋体" w:hAnsi="宋体"/>
          <w:color w:val="auto"/>
          <w:highlight w:val="none"/>
          <w:u w:val="none"/>
          <w:lang w:val="en-US" w:eastAsia="zh-CN"/>
        </w:rPr>
        <w:t>分止（北京时间）递交，递交地点在</w:t>
      </w:r>
      <w:r>
        <w:rPr>
          <w:rFonts w:hint="eastAsia" w:ascii="宋体" w:hAnsi="宋体"/>
          <w:color w:val="auto"/>
          <w:highlight w:val="none"/>
          <w:u w:val="single"/>
          <w:lang w:val="en-US" w:eastAsia="zh-CN"/>
        </w:rPr>
        <w:t>广西南宁市青秀区云景路83号南宁轨道交通运营有限公司屯里车辆段综合楼205会议室。</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.2样品</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.2.1样品递交方式：由</w:t>
      </w:r>
      <w:r>
        <w:rPr>
          <w:rFonts w:hint="eastAsia" w:ascii="宋体" w:hAnsi="宋体"/>
          <w:color w:val="auto"/>
          <w:highlight w:val="none"/>
          <w:lang w:eastAsia="zh-CN"/>
        </w:rPr>
        <w:t>比选申请</w:t>
      </w:r>
      <w:r>
        <w:rPr>
          <w:rFonts w:hint="eastAsia" w:ascii="宋体" w:hAnsi="宋体"/>
          <w:color w:val="auto"/>
          <w:highlight w:val="none"/>
        </w:rPr>
        <w:t>人亲自将样品送达样品递交地点，并办理样品接收登记手续，以邮寄方式（包括平邮、快递、货运物流）递交样品的将被拒绝接收，且后果自负。</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.2.2样品递交时间：</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u w:val="single"/>
          <w:lang w:val="en-US" w:eastAsia="zh-CN"/>
        </w:rPr>
        <w:t>03</w:t>
      </w:r>
      <w:r>
        <w:rPr>
          <w:rFonts w:hint="eastAsia" w:ascii="宋体" w:hAnsi="宋体"/>
          <w:color w:val="auto"/>
          <w:highlight w:val="none"/>
        </w:rPr>
        <w:t>月</w:t>
      </w:r>
      <w:r>
        <w:rPr>
          <w:rFonts w:hint="eastAsia" w:ascii="宋体" w:hAnsi="宋体"/>
          <w:color w:val="auto"/>
          <w:highlight w:val="none"/>
          <w:u w:val="single"/>
          <w:lang w:val="en-US" w:eastAsia="zh-CN"/>
        </w:rPr>
        <w:t>15</w:t>
      </w:r>
      <w:r>
        <w:rPr>
          <w:rFonts w:hint="eastAsia" w:ascii="宋体" w:hAnsi="宋体"/>
          <w:color w:val="auto"/>
          <w:highlight w:val="none"/>
        </w:rPr>
        <w:t>日北京时间</w:t>
      </w:r>
      <w:r>
        <w:rPr>
          <w:rFonts w:hint="eastAsia" w:ascii="宋体" w:hAnsi="宋体"/>
          <w:color w:val="auto"/>
          <w:highlight w:val="none"/>
          <w:lang w:val="en-US" w:eastAsia="zh-CN"/>
        </w:rPr>
        <w:t>0</w:t>
      </w:r>
      <w:r>
        <w:rPr>
          <w:rFonts w:hint="eastAsia" w:ascii="宋体" w:hAnsi="宋体"/>
          <w:color w:val="auto"/>
          <w:highlight w:val="none"/>
          <w:u w:val="single"/>
          <w:lang w:val="en-US" w:eastAsia="zh-CN"/>
        </w:rPr>
        <w:t>9</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lang w:val="en-US" w:eastAsia="zh-CN"/>
        </w:rPr>
        <w:t>分</w:t>
      </w:r>
      <w:r>
        <w:rPr>
          <w:rFonts w:hint="eastAsia" w:ascii="宋体" w:hAnsi="宋体"/>
          <w:color w:val="auto"/>
          <w:highlight w:val="none"/>
        </w:rPr>
        <w:t>至</w:t>
      </w:r>
      <w:r>
        <w:rPr>
          <w:rFonts w:hint="eastAsia" w:ascii="宋体" w:hAnsi="宋体"/>
          <w:color w:val="auto"/>
          <w:highlight w:val="none"/>
          <w:lang w:val="en-US" w:eastAsia="zh-CN"/>
        </w:rPr>
        <w:t>0</w:t>
      </w:r>
      <w:r>
        <w:rPr>
          <w:rFonts w:hint="eastAsia" w:ascii="宋体" w:hAnsi="宋体"/>
          <w:color w:val="auto"/>
          <w:highlight w:val="none"/>
          <w:u w:val="single"/>
          <w:lang w:val="en-US" w:eastAsia="zh-CN"/>
        </w:rPr>
        <w:t>9</w:t>
      </w:r>
      <w:r>
        <w:rPr>
          <w:rFonts w:hint="eastAsia" w:ascii="宋体" w:hAnsi="宋体"/>
          <w:color w:val="auto"/>
          <w:highlight w:val="none"/>
        </w:rPr>
        <w:t>时</w:t>
      </w:r>
      <w:r>
        <w:rPr>
          <w:rFonts w:hint="eastAsia" w:ascii="宋体" w:hAnsi="宋体"/>
          <w:color w:val="auto"/>
          <w:highlight w:val="none"/>
          <w:u w:val="single"/>
          <w:lang w:val="en-US" w:eastAsia="zh-CN"/>
        </w:rPr>
        <w:t>30</w:t>
      </w:r>
      <w:r>
        <w:rPr>
          <w:rFonts w:hint="eastAsia" w:ascii="宋体" w:hAnsi="宋体"/>
          <w:color w:val="auto"/>
          <w:highlight w:val="none"/>
          <w:lang w:val="en-US" w:eastAsia="zh-CN"/>
        </w:rPr>
        <w:t>分</w:t>
      </w:r>
      <w:r>
        <w:rPr>
          <w:rFonts w:hint="eastAsia" w:ascii="宋体" w:hAnsi="宋体"/>
          <w:color w:val="auto"/>
          <w:highlight w:val="none"/>
        </w:rPr>
        <w:t>止（逾期递交所造成的一切后果由</w:t>
      </w:r>
      <w:r>
        <w:rPr>
          <w:rFonts w:hint="eastAsia" w:ascii="宋体" w:hAnsi="宋体"/>
          <w:color w:val="auto"/>
          <w:highlight w:val="none"/>
          <w:lang w:val="en-US" w:eastAsia="zh-CN"/>
        </w:rPr>
        <w:t>比选申请人</w:t>
      </w:r>
      <w:r>
        <w:rPr>
          <w:rFonts w:hint="eastAsia" w:ascii="宋体" w:hAnsi="宋体"/>
          <w:color w:val="auto"/>
          <w:highlight w:val="none"/>
        </w:rPr>
        <w:t>自行承担）。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.2.3样品现场递交地点：</w:t>
      </w:r>
      <w:r>
        <w:rPr>
          <w:rFonts w:hint="eastAsia" w:ascii="宋体" w:hAnsi="宋体"/>
          <w:color w:val="auto"/>
          <w:highlight w:val="none"/>
          <w:u w:val="single"/>
          <w:lang w:val="en-US" w:eastAsia="zh-CN"/>
        </w:rPr>
        <w:t>广西南宁市青秀区云景路83号南宁轨道交通运营有限公司屯里车辆段综合楼205会议室</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.2.4样品递交程序：</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比选人</w:t>
      </w:r>
      <w:r>
        <w:rPr>
          <w:rFonts w:hint="eastAsia" w:ascii="宋体" w:hAnsi="宋体"/>
          <w:color w:val="auto"/>
          <w:highlight w:val="none"/>
        </w:rPr>
        <w:t>按</w:t>
      </w:r>
      <w:r>
        <w:rPr>
          <w:rFonts w:hint="eastAsia" w:ascii="宋体" w:hAnsi="宋体"/>
          <w:color w:val="auto"/>
          <w:highlight w:val="none"/>
          <w:lang w:eastAsia="zh-CN"/>
        </w:rPr>
        <w:t>比选申请</w:t>
      </w:r>
      <w:r>
        <w:rPr>
          <w:rFonts w:hint="eastAsia" w:ascii="宋体" w:hAnsi="宋体"/>
          <w:color w:val="auto"/>
          <w:highlight w:val="none"/>
        </w:rPr>
        <w:t>人递交样品的时间顺序对样品进行编号。</w:t>
      </w:r>
      <w:r>
        <w:rPr>
          <w:rFonts w:hint="eastAsia" w:ascii="宋体" w:hAnsi="宋体"/>
          <w:color w:val="auto"/>
          <w:highlight w:val="none"/>
          <w:lang w:eastAsia="zh-CN"/>
        </w:rPr>
        <w:t>比选</w:t>
      </w:r>
      <w:r>
        <w:rPr>
          <w:rFonts w:hint="eastAsia" w:ascii="宋体" w:hAnsi="宋体"/>
          <w:color w:val="auto"/>
          <w:highlight w:val="none"/>
        </w:rPr>
        <w:t>人委派的监督人员监督样品接收过程。</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2）样品递交截止时间后由</w:t>
      </w:r>
      <w:r>
        <w:rPr>
          <w:rFonts w:hint="eastAsia" w:ascii="宋体" w:hAnsi="宋体"/>
          <w:color w:val="auto"/>
          <w:highlight w:val="none"/>
          <w:lang w:eastAsia="zh-CN"/>
        </w:rPr>
        <w:t>比选</w:t>
      </w:r>
      <w:r>
        <w:rPr>
          <w:rFonts w:hint="eastAsia" w:ascii="宋体" w:hAnsi="宋体"/>
          <w:color w:val="auto"/>
          <w:highlight w:val="none"/>
        </w:rPr>
        <w:t>人委派的监督人员对</w:t>
      </w:r>
      <w:r>
        <w:rPr>
          <w:rFonts w:hint="eastAsia" w:ascii="宋体" w:hAnsi="宋体"/>
          <w:color w:val="auto"/>
          <w:highlight w:val="none"/>
          <w:lang w:eastAsia="zh-CN"/>
        </w:rPr>
        <w:t>比选申请</w:t>
      </w:r>
      <w:r>
        <w:rPr>
          <w:rFonts w:hint="eastAsia" w:ascii="宋体" w:hAnsi="宋体"/>
          <w:color w:val="auto"/>
          <w:highlight w:val="none"/>
        </w:rPr>
        <w:t>人样品进行随机重新编号，</w:t>
      </w:r>
      <w:r>
        <w:rPr>
          <w:rFonts w:hint="eastAsia" w:ascii="宋体" w:hAnsi="宋体"/>
          <w:color w:val="auto"/>
          <w:highlight w:val="none"/>
          <w:lang w:eastAsia="zh-CN"/>
        </w:rPr>
        <w:t>比选人</w:t>
      </w:r>
      <w:r>
        <w:rPr>
          <w:rFonts w:hint="eastAsia" w:ascii="宋体" w:hAnsi="宋体"/>
          <w:color w:val="auto"/>
          <w:highlight w:val="none"/>
        </w:rPr>
        <w:t>负责记录，监督人员对记录密封签字并保管，直至评</w:t>
      </w:r>
      <w:r>
        <w:rPr>
          <w:rFonts w:hint="eastAsia" w:ascii="宋体" w:hAnsi="宋体"/>
          <w:color w:val="auto"/>
          <w:highlight w:val="none"/>
          <w:lang w:eastAsia="zh-CN"/>
        </w:rPr>
        <w:t>审</w:t>
      </w:r>
      <w:r>
        <w:rPr>
          <w:rFonts w:hint="eastAsia" w:ascii="宋体" w:hAnsi="宋体"/>
          <w:color w:val="auto"/>
          <w:highlight w:val="none"/>
        </w:rPr>
        <w:t>委员会完成样品评审后拆封核对</w:t>
      </w:r>
      <w:r>
        <w:rPr>
          <w:rFonts w:hint="eastAsia" w:ascii="宋体" w:hAnsi="宋体"/>
          <w:color w:val="auto"/>
          <w:highlight w:val="none"/>
          <w:lang w:eastAsia="zh-CN"/>
        </w:rPr>
        <w:t>比选申请</w:t>
      </w:r>
      <w:r>
        <w:rPr>
          <w:rFonts w:hint="eastAsia" w:ascii="宋体" w:hAnsi="宋体"/>
          <w:color w:val="auto"/>
          <w:highlight w:val="none"/>
        </w:rPr>
        <w:t>人信息。</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.2.5样品清退时间：未中</w:t>
      </w:r>
      <w:r>
        <w:rPr>
          <w:rFonts w:hint="eastAsia" w:ascii="宋体" w:hAnsi="宋体"/>
          <w:color w:val="auto"/>
          <w:highlight w:val="none"/>
          <w:lang w:eastAsia="zh-CN"/>
        </w:rPr>
        <w:t>选</w:t>
      </w:r>
      <w:r>
        <w:rPr>
          <w:rFonts w:hint="eastAsia" w:ascii="宋体" w:hAnsi="宋体"/>
          <w:color w:val="auto"/>
          <w:highlight w:val="none"/>
        </w:rPr>
        <w:t>人的样品必须在中</w:t>
      </w:r>
      <w:r>
        <w:rPr>
          <w:rFonts w:hint="eastAsia" w:ascii="宋体" w:hAnsi="宋体"/>
          <w:color w:val="auto"/>
          <w:highlight w:val="none"/>
          <w:lang w:eastAsia="zh-CN"/>
        </w:rPr>
        <w:t>选</w:t>
      </w:r>
      <w:r>
        <w:rPr>
          <w:rFonts w:hint="eastAsia" w:ascii="宋体" w:hAnsi="宋体"/>
          <w:color w:val="auto"/>
          <w:highlight w:val="none"/>
        </w:rPr>
        <w:t>通知书发出后3个工作日内办理样品退回手续，逾期不办理样品退回手续的，视为放弃所有权，</w:t>
      </w:r>
      <w:r>
        <w:rPr>
          <w:rFonts w:hint="eastAsia" w:ascii="宋体" w:hAnsi="宋体"/>
          <w:color w:val="auto"/>
          <w:highlight w:val="none"/>
          <w:lang w:eastAsia="zh-CN"/>
        </w:rPr>
        <w:t>比选</w:t>
      </w:r>
      <w:r>
        <w:rPr>
          <w:rFonts w:hint="eastAsia" w:ascii="宋体" w:hAnsi="宋体"/>
          <w:color w:val="auto"/>
          <w:highlight w:val="none"/>
        </w:rPr>
        <w:t>人有权对样品作出处置，损毁、丢失责任由</w:t>
      </w:r>
      <w:r>
        <w:rPr>
          <w:rFonts w:hint="eastAsia" w:ascii="宋体" w:hAnsi="宋体"/>
          <w:color w:val="auto"/>
          <w:highlight w:val="none"/>
          <w:lang w:eastAsia="zh-CN"/>
        </w:rPr>
        <w:t>比选申请</w:t>
      </w:r>
      <w:r>
        <w:rPr>
          <w:rFonts w:hint="eastAsia" w:ascii="宋体" w:hAnsi="宋体"/>
          <w:color w:val="auto"/>
          <w:highlight w:val="none"/>
        </w:rPr>
        <w:t>人自行承担。为防冒领，领取人须出示原递交样品人身份证原件或原递交样品单位的授权书原件。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注：</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b/>
          <w:color w:val="auto"/>
          <w:highlight w:val="none"/>
        </w:rPr>
        <w:t>样品须密封完好，且外包装及标识不应出现暴露</w:t>
      </w:r>
      <w:r>
        <w:rPr>
          <w:rFonts w:hint="eastAsia" w:ascii="宋体" w:hAnsi="宋体"/>
          <w:b/>
          <w:color w:val="auto"/>
          <w:highlight w:val="none"/>
          <w:lang w:eastAsia="zh-CN"/>
        </w:rPr>
        <w:t>比选申请</w:t>
      </w:r>
      <w:r>
        <w:rPr>
          <w:rFonts w:hint="eastAsia" w:ascii="宋体" w:hAnsi="宋体"/>
          <w:b/>
          <w:color w:val="auto"/>
          <w:highlight w:val="none"/>
        </w:rPr>
        <w:t>人身份的信息，如</w:t>
      </w:r>
      <w:r>
        <w:rPr>
          <w:rFonts w:hint="eastAsia" w:ascii="宋体" w:hAnsi="宋体"/>
          <w:b/>
          <w:color w:val="auto"/>
          <w:highlight w:val="none"/>
          <w:lang w:eastAsia="zh-CN"/>
        </w:rPr>
        <w:t>比选申请</w:t>
      </w:r>
      <w:r>
        <w:rPr>
          <w:rFonts w:hint="eastAsia" w:ascii="宋体" w:hAnsi="宋体"/>
          <w:b/>
          <w:color w:val="auto"/>
          <w:highlight w:val="none"/>
        </w:rPr>
        <w:t>人名称、地址、电话、商标等。递交样品前请自觉对类似信息作密封隐藏处理。否则，该样品有可能被拒绝接收或被否决。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（2）中</w:t>
      </w:r>
      <w:r>
        <w:rPr>
          <w:rFonts w:hint="eastAsia" w:ascii="宋体" w:hAnsi="宋体"/>
          <w:color w:val="auto"/>
          <w:highlight w:val="none"/>
          <w:lang w:eastAsia="zh-CN"/>
        </w:rPr>
        <w:t>选</w:t>
      </w:r>
      <w:r>
        <w:rPr>
          <w:rFonts w:hint="eastAsia" w:ascii="宋体" w:hAnsi="宋体"/>
          <w:color w:val="auto"/>
          <w:highlight w:val="none"/>
        </w:rPr>
        <w:t>人的样品封存，并作为验收依据。</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eastAsia="zh-CN"/>
        </w:rPr>
        <w:t>比选申请</w:t>
      </w:r>
      <w:r>
        <w:rPr>
          <w:rFonts w:hint="eastAsia" w:ascii="宋体" w:hAnsi="宋体"/>
          <w:color w:val="auto"/>
          <w:highlight w:val="none"/>
        </w:rPr>
        <w:t>人不递交样品或样品不齐全的，</w:t>
      </w:r>
      <w:r>
        <w:rPr>
          <w:rFonts w:hint="eastAsia" w:ascii="宋体" w:hAnsi="宋体"/>
          <w:color w:val="auto"/>
          <w:highlight w:val="none"/>
          <w:lang w:eastAsia="zh-CN"/>
        </w:rPr>
        <w:t>比选申请</w:t>
      </w:r>
      <w:r>
        <w:rPr>
          <w:rFonts w:hint="eastAsia" w:ascii="宋体" w:hAnsi="宋体"/>
          <w:color w:val="auto"/>
          <w:highlight w:val="none"/>
        </w:rPr>
        <w:t>无效。</w:t>
      </w:r>
    </w:p>
    <w:p>
      <w:pPr>
        <w:tabs>
          <w:tab w:val="left" w:pos="1134"/>
          <w:tab w:val="left" w:pos="8364"/>
        </w:tabs>
        <w:spacing w:before="0" w:after="0" w:afterAutospacing="0"/>
        <w:ind w:left="0" w:right="0" w:firstLine="420" w:firstLineChars="200"/>
        <w:rPr>
          <w:color w:val="auto"/>
          <w:highlight w:val="none"/>
        </w:rPr>
      </w:pPr>
      <w:r>
        <w:rPr>
          <w:rFonts w:hint="eastAsia" w:ascii="宋体" w:hAnsi="宋体"/>
          <w:color w:val="auto"/>
          <w:highlight w:val="none"/>
        </w:rPr>
        <w:t>（4）样品中，可提供检测报告等相关证明材料，但证明材料不应出现暴露</w:t>
      </w:r>
      <w:r>
        <w:rPr>
          <w:rFonts w:hint="eastAsia" w:ascii="宋体" w:hAnsi="宋体"/>
          <w:color w:val="auto"/>
          <w:highlight w:val="none"/>
          <w:lang w:eastAsia="zh-CN"/>
        </w:rPr>
        <w:t>比选申请</w:t>
      </w:r>
      <w:r>
        <w:rPr>
          <w:rFonts w:hint="eastAsia" w:ascii="宋体" w:hAnsi="宋体"/>
          <w:color w:val="auto"/>
          <w:highlight w:val="none"/>
        </w:rPr>
        <w:t>人身份的信息，如</w:t>
      </w:r>
      <w:r>
        <w:rPr>
          <w:rFonts w:hint="eastAsia" w:ascii="宋体" w:hAnsi="宋体"/>
          <w:color w:val="auto"/>
          <w:highlight w:val="none"/>
          <w:lang w:eastAsia="zh-CN"/>
        </w:rPr>
        <w:t>比选申请</w:t>
      </w:r>
      <w:r>
        <w:rPr>
          <w:rFonts w:hint="eastAsia" w:ascii="宋体" w:hAnsi="宋体"/>
          <w:color w:val="auto"/>
          <w:highlight w:val="none"/>
        </w:rPr>
        <w:t>人名称、地址、电话、商标等。递交样品前请自觉对类似信息作密封隐藏处理。否则，该样品有可能被拒绝接收或被否决。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3</w:t>
      </w:r>
      <w:r>
        <w:rPr>
          <w:rFonts w:hint="eastAsia" w:ascii="宋体" w:hAnsi="宋体"/>
          <w:color w:val="auto"/>
          <w:highlight w:val="none"/>
        </w:rPr>
        <w:t>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4</w:t>
      </w:r>
      <w:r>
        <w:rPr>
          <w:rFonts w:hint="eastAsia" w:ascii="宋体" w:hAnsi="宋体"/>
          <w:color w:val="auto"/>
          <w:highlight w:val="none"/>
        </w:rPr>
        <w:t>未按本文件要求密封的比选申请文件不予受理。</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8" w:name="_Toc25245"/>
      <w:bookmarkStart w:id="139" w:name="_Toc20511"/>
      <w:bookmarkStart w:id="140" w:name="_Toc26721"/>
      <w:bookmarkStart w:id="141" w:name="_Toc2574"/>
      <w:r>
        <w:rPr>
          <w:rFonts w:hint="eastAsia" w:ascii="宋体" w:hAnsi="宋体" w:eastAsia="宋体"/>
          <w:color w:val="auto"/>
          <w:sz w:val="24"/>
          <w:szCs w:val="24"/>
          <w:highlight w:val="none"/>
        </w:rPr>
        <w:t>六、比选申请人提出问题的截止时间</w:t>
      </w:r>
      <w:bookmarkEnd w:id="138"/>
      <w:bookmarkEnd w:id="139"/>
      <w:bookmarkEnd w:id="140"/>
      <w:bookmarkEnd w:id="14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u w:val="single"/>
          <w:lang w:val="en-US" w:eastAsia="zh-CN"/>
        </w:rPr>
        <w:t>03</w:t>
      </w:r>
      <w:r>
        <w:rPr>
          <w:rFonts w:hint="eastAsia" w:ascii="宋体" w:hAnsi="宋体"/>
          <w:color w:val="auto"/>
          <w:highlight w:val="none"/>
        </w:rPr>
        <w:t>月</w:t>
      </w:r>
      <w:r>
        <w:rPr>
          <w:rFonts w:hint="eastAsia" w:ascii="宋体" w:hAnsi="宋体"/>
          <w:color w:val="auto"/>
          <w:highlight w:val="none"/>
          <w:lang w:val="en-US" w:eastAsia="zh-CN"/>
        </w:rPr>
        <w:t>0</w:t>
      </w:r>
      <w:r>
        <w:rPr>
          <w:rFonts w:hint="eastAsia" w:ascii="宋体" w:hAnsi="宋体"/>
          <w:color w:val="auto"/>
          <w:highlight w:val="none"/>
          <w:u w:val="single"/>
          <w:lang w:val="en-US" w:eastAsia="zh-CN"/>
        </w:rPr>
        <w:t>7</w:t>
      </w:r>
      <w:r>
        <w:rPr>
          <w:rFonts w:hint="eastAsia" w:ascii="宋体" w:hAnsi="宋体"/>
          <w:color w:val="auto"/>
          <w:highlight w:val="none"/>
        </w:rPr>
        <w:t>日</w:t>
      </w:r>
      <w:r>
        <w:rPr>
          <w:rFonts w:hint="eastAsia" w:ascii="宋体" w:hAnsi="宋体"/>
          <w:color w:val="auto"/>
          <w:highlight w:val="none"/>
          <w:u w:val="single"/>
          <w:lang w:val="en-US" w:eastAsia="zh-CN"/>
        </w:rPr>
        <w:t>18</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rPr>
        <w:t>分。</w:t>
      </w:r>
      <w:r>
        <w:rPr>
          <w:rFonts w:hint="eastAsia" w:ascii="宋体" w:hAnsi="宋体"/>
          <w:b/>
          <w:color w:val="auto"/>
          <w:highlight w:val="none"/>
        </w:rPr>
        <w:t>【备注：一般为比选申请文件递交截止时间前5个工作日】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w:t>
      </w:r>
      <w:r>
        <w:rPr>
          <w:rFonts w:hint="eastAsia" w:ascii="宋体" w:hAnsi="宋体"/>
          <w:color w:val="auto"/>
          <w:highlight w:val="none"/>
          <w:u w:val="single"/>
          <w:lang w:val="en-US" w:eastAsia="zh-CN"/>
        </w:rPr>
        <w:t>329525428@qq.com</w:t>
      </w:r>
      <w:r>
        <w:rPr>
          <w:rFonts w:hint="eastAsia" w:ascii="宋体" w:hAnsi="宋体"/>
          <w:color w:val="auto"/>
          <w:highlight w:val="none"/>
        </w:rPr>
        <w:t>邮箱。</w:t>
      </w:r>
      <w:r>
        <w:rPr>
          <w:rFonts w:hint="eastAsia" w:ascii="宋体" w:hAnsi="宋体"/>
          <w:b/>
          <w:color w:val="auto"/>
          <w:highlight w:val="none"/>
        </w:rPr>
        <w:t>【备注：主办部门联系人工作邮箱】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42" w:name="_Toc13079"/>
      <w:bookmarkStart w:id="143" w:name="_Toc22731"/>
      <w:bookmarkStart w:id="144" w:name="_Toc30123"/>
      <w:bookmarkStart w:id="145" w:name="_Toc30228"/>
      <w:r>
        <w:rPr>
          <w:rFonts w:hint="eastAsia" w:ascii="宋体" w:hAnsi="宋体" w:eastAsia="宋体"/>
          <w:color w:val="auto"/>
          <w:sz w:val="24"/>
          <w:szCs w:val="24"/>
          <w:highlight w:val="none"/>
        </w:rPr>
        <w:t>七、报价要求</w:t>
      </w:r>
      <w:bookmarkEnd w:id="142"/>
      <w:bookmarkEnd w:id="143"/>
      <w:bookmarkEnd w:id="144"/>
      <w:bookmarkEnd w:id="145"/>
    </w:p>
    <w:p>
      <w:pPr>
        <w:tabs>
          <w:tab w:val="left" w:pos="1134"/>
          <w:tab w:val="left" w:pos="8364"/>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7.1本项目合同价格形式采用以下方式：</w:t>
      </w:r>
      <w:r>
        <w:rPr>
          <w:rFonts w:hint="default" w:ascii="宋体" w:hAnsi="宋体"/>
          <w:b/>
          <w:color w:val="auto"/>
          <w:highlight w:val="none"/>
          <w:lang w:val="en-US"/>
        </w:rPr>
        <w:t>单价合同，暂定总价</w:t>
      </w:r>
      <w:r>
        <w:rPr>
          <w:rFonts w:hint="default" w:ascii="宋体" w:hAnsi="宋体"/>
          <w:color w:val="auto"/>
          <w:highlight w:val="none"/>
          <w:lang w:val="en-US"/>
        </w:rPr>
        <w:t>。根据实际完成的供货数量据实结算。</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本项目采用不含税报价，在签订本项目合同时，</w:t>
      </w:r>
      <w:r>
        <w:rPr>
          <w:rFonts w:hint="eastAsia"/>
          <w:color w:val="auto"/>
          <w:highlight w:val="none"/>
        </w:rPr>
        <w:t>遵循国家现行税法的相关规定</w:t>
      </w:r>
      <w:r>
        <w:rPr>
          <w:color w:val="auto"/>
          <w:highlight w:val="none"/>
        </w:rPr>
        <w:t>在中</w:t>
      </w:r>
      <w:r>
        <w:rPr>
          <w:rFonts w:hint="eastAsia"/>
          <w:color w:val="auto"/>
          <w:highlight w:val="none"/>
          <w:lang w:val="en-US" w:eastAsia="zh-CN"/>
        </w:rPr>
        <w:t>选</w:t>
      </w:r>
      <w:r>
        <w:rPr>
          <w:color w:val="auto"/>
          <w:highlight w:val="none"/>
        </w:rPr>
        <w:t>人不含税</w:t>
      </w:r>
      <w:r>
        <w:rPr>
          <w:rFonts w:hint="eastAsia"/>
          <w:color w:val="auto"/>
          <w:highlight w:val="none"/>
        </w:rPr>
        <w:t>单</w:t>
      </w:r>
      <w:r>
        <w:rPr>
          <w:color w:val="auto"/>
          <w:highlight w:val="none"/>
        </w:rPr>
        <w:t>价的基础上</w:t>
      </w:r>
      <w:r>
        <w:rPr>
          <w:rFonts w:hint="eastAsia"/>
          <w:color w:val="auto"/>
          <w:highlight w:val="none"/>
        </w:rPr>
        <w:t>逐项增加税费，并</w:t>
      </w:r>
      <w:r>
        <w:rPr>
          <w:color w:val="auto"/>
          <w:highlight w:val="none"/>
        </w:rPr>
        <w:t>明确相应税率和税金</w:t>
      </w:r>
      <w:r>
        <w:rPr>
          <w:rFonts w:hint="eastAsia"/>
          <w:color w:val="auto"/>
          <w:highlight w:val="none"/>
        </w:rPr>
        <w:t>，</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w:t>
      </w:r>
      <w:r>
        <w:rPr>
          <w:rFonts w:hint="eastAsia" w:ascii="宋体" w:hAnsi="宋体"/>
          <w:color w:val="auto"/>
          <w:highlight w:val="none"/>
          <w:lang w:val="en-US" w:eastAsia="zh-CN"/>
        </w:rPr>
        <w:t>比选申请</w:t>
      </w:r>
      <w:r>
        <w:rPr>
          <w:rFonts w:hint="eastAsia" w:ascii="宋体" w:hAnsi="宋体"/>
          <w:color w:val="auto"/>
          <w:highlight w:val="none"/>
        </w:rPr>
        <w:t>报价表，不允许打乱顺序。比选申请人应完整地填写比选文件中提供的“比选申请报价一览表”及“比选申请报价明细表”。比选申请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w:t>
      </w:r>
      <w:r>
        <w:rPr>
          <w:rFonts w:hint="eastAsia" w:ascii="宋体" w:hAnsi="宋体"/>
          <w:color w:val="auto"/>
          <w:highlight w:val="none"/>
          <w:lang w:val="en-US" w:eastAsia="zh-CN"/>
        </w:rPr>
        <w:t>审</w:t>
      </w:r>
      <w:r>
        <w:rPr>
          <w:rFonts w:hint="eastAsia" w:ascii="宋体" w:hAnsi="宋体"/>
          <w:color w:val="auto"/>
          <w:highlight w:val="none"/>
        </w:rPr>
        <w:t>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40"/>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pStyle w:val="40"/>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w:t>
      </w:r>
      <w:r>
        <w:rPr>
          <w:rFonts w:hint="eastAsia" w:ascii="宋体" w:hAnsi="宋体"/>
          <w:color w:val="auto"/>
          <w:highlight w:val="none"/>
          <w:lang w:val="en-US" w:eastAsia="zh-CN"/>
        </w:rPr>
        <w:t>比选申请</w:t>
      </w:r>
      <w:r>
        <w:rPr>
          <w:rFonts w:hint="eastAsia" w:ascii="宋体" w:hAnsi="宋体"/>
          <w:color w:val="auto"/>
          <w:highlight w:val="none"/>
        </w:rPr>
        <w:t>报价为各分项报价金额之和，</w:t>
      </w:r>
      <w:r>
        <w:rPr>
          <w:rFonts w:hint="eastAsia" w:ascii="宋体" w:hAnsi="宋体"/>
          <w:color w:val="auto"/>
          <w:highlight w:val="none"/>
          <w:lang w:val="en-US" w:eastAsia="zh-CN"/>
        </w:rPr>
        <w:t>比选申请</w:t>
      </w:r>
      <w:r>
        <w:rPr>
          <w:rFonts w:hint="eastAsia" w:ascii="宋体" w:hAnsi="宋体"/>
          <w:color w:val="auto"/>
          <w:highlight w:val="none"/>
        </w:rPr>
        <w:t>报价与各分项报价之和不一致的，应以各分项报价累计数为准，修正</w:t>
      </w:r>
      <w:r>
        <w:rPr>
          <w:rFonts w:hint="eastAsia" w:ascii="宋体" w:hAnsi="宋体"/>
          <w:color w:val="auto"/>
          <w:highlight w:val="none"/>
          <w:lang w:val="en-US" w:eastAsia="zh-CN"/>
        </w:rPr>
        <w:t>比选申请</w:t>
      </w:r>
      <w:r>
        <w:rPr>
          <w:rFonts w:hint="eastAsia" w:ascii="宋体" w:hAnsi="宋体"/>
          <w:color w:val="auto"/>
          <w:highlight w:val="none"/>
        </w:rPr>
        <w:t>报价；</w:t>
      </w:r>
    </w:p>
    <w:p>
      <w:pPr>
        <w:pStyle w:val="40"/>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按上述原则对比选申请报价进行修正。评审总价及中选价均以修正后的比选申请报价为准。如比选申请人不接受按以上规则确定的评审总价和中选价，则其比选申请将被拒绝。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46" w:name="_Toc1210"/>
      <w:bookmarkStart w:id="147" w:name="_Toc19828"/>
      <w:bookmarkStart w:id="148" w:name="_Toc22604"/>
      <w:bookmarkStart w:id="149" w:name="_Toc4040"/>
      <w:r>
        <w:rPr>
          <w:rFonts w:hint="eastAsia" w:ascii="宋体" w:hAnsi="宋体" w:eastAsia="宋体"/>
          <w:color w:val="auto"/>
          <w:sz w:val="24"/>
          <w:szCs w:val="24"/>
          <w:highlight w:val="none"/>
        </w:rPr>
        <w:t>八、评审规则</w:t>
      </w:r>
      <w:bookmarkEnd w:id="146"/>
      <w:bookmarkEnd w:id="147"/>
      <w:bookmarkEnd w:id="148"/>
      <w:bookmarkEnd w:id="1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w:t>
      </w:r>
      <w:r>
        <w:rPr>
          <w:rFonts w:hint="eastAsia" w:ascii="宋体" w:hAnsi="宋体"/>
          <w:color w:val="auto"/>
          <w:highlight w:val="none"/>
          <w:lang w:val="en-US" w:eastAsia="zh-CN"/>
        </w:rPr>
        <w:t>审</w:t>
      </w:r>
      <w:r>
        <w:rPr>
          <w:rFonts w:hint="eastAsia" w:ascii="宋体" w:hAnsi="宋体"/>
          <w:color w:val="auto"/>
          <w:highlight w:val="none"/>
        </w:rPr>
        <w:t>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0" w:firstLineChars="200"/>
        <w:rPr>
          <w:rFonts w:hint="eastAsia" w:ascii="宋体" w:hAnsi="宋体"/>
          <w:b w:val="0"/>
          <w:color w:val="auto"/>
          <w:highlight w:val="none"/>
        </w:rPr>
      </w:pPr>
      <w:r>
        <w:rPr>
          <w:rFonts w:hint="eastAsia" w:ascii="宋体" w:hAnsi="宋体"/>
          <w:b w:val="0"/>
          <w:color w:val="auto"/>
          <w:highlight w:val="none"/>
        </w:rPr>
        <w:t>对通过资格审查和初步评审的比选申请文件，进行样品评审，样品评审达到80分以上的比选申请文件才能进入价格评审，并计算出评审总价和样品评审得分的比值，按照比值由低到高的顺序提出1-3名中选候选人。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比选</w:t>
      </w:r>
      <w:r>
        <w:rPr>
          <w:rFonts w:hint="eastAsia" w:ascii="宋体" w:hAnsi="宋体"/>
          <w:color w:val="auto"/>
          <w:highlight w:val="none"/>
        </w:rPr>
        <w:t>响应表出现负偏离的。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w:t>
      </w:r>
      <w:r>
        <w:rPr>
          <w:rFonts w:hint="eastAsia" w:ascii="宋体" w:hAnsi="宋体"/>
          <w:color w:val="auto"/>
          <w:highlight w:val="none"/>
          <w:lang w:val="en-US" w:eastAsia="zh-CN"/>
        </w:rPr>
        <w:t>审</w:t>
      </w:r>
      <w:r>
        <w:rPr>
          <w:rFonts w:hint="eastAsia" w:ascii="宋体" w:hAnsi="宋体"/>
          <w:color w:val="auto"/>
          <w:highlight w:val="none"/>
        </w:rPr>
        <w:t>价超出本项目控制价的。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50" w:name="_Toc30429"/>
      <w:bookmarkStart w:id="151" w:name="_Toc18632"/>
      <w:bookmarkStart w:id="152" w:name="_Toc15353"/>
      <w:bookmarkStart w:id="153" w:name="_Toc1923"/>
      <w:r>
        <w:rPr>
          <w:rFonts w:hint="eastAsia" w:ascii="宋体" w:hAnsi="宋体" w:eastAsia="宋体"/>
          <w:color w:val="auto"/>
          <w:sz w:val="24"/>
          <w:szCs w:val="24"/>
          <w:highlight w:val="none"/>
        </w:rPr>
        <w:t>九、重新比选或不再比选</w:t>
      </w:r>
      <w:bookmarkEnd w:id="150"/>
      <w:bookmarkEnd w:id="151"/>
      <w:bookmarkEnd w:id="152"/>
      <w:bookmarkEnd w:id="153"/>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54" w:name="_Toc23346"/>
      <w:bookmarkStart w:id="155" w:name="_Toc6455"/>
      <w:bookmarkStart w:id="156" w:name="_Toc13357"/>
      <w:bookmarkStart w:id="157" w:name="_Toc4469"/>
      <w:r>
        <w:rPr>
          <w:rFonts w:hint="eastAsia" w:ascii="宋体" w:hAnsi="宋体" w:eastAsia="宋体"/>
          <w:color w:val="auto"/>
          <w:sz w:val="24"/>
          <w:szCs w:val="24"/>
          <w:highlight w:val="none"/>
        </w:rPr>
        <w:t>九、比选申请有效期</w:t>
      </w:r>
      <w:bookmarkEnd w:id="154"/>
      <w:bookmarkEnd w:id="155"/>
      <w:bookmarkEnd w:id="156"/>
      <w:bookmarkEnd w:id="15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58" w:name="_Toc26090"/>
      <w:bookmarkStart w:id="159" w:name="_Toc3807"/>
      <w:bookmarkStart w:id="160" w:name="_Toc25603"/>
      <w:bookmarkStart w:id="161" w:name="_Toc15535"/>
      <w:r>
        <w:rPr>
          <w:rFonts w:hint="eastAsia" w:ascii="宋体" w:hAnsi="宋体" w:eastAsia="宋体"/>
          <w:color w:val="auto"/>
          <w:sz w:val="24"/>
          <w:szCs w:val="24"/>
          <w:highlight w:val="none"/>
        </w:rPr>
        <w:t>十、比选保证金</w:t>
      </w:r>
      <w:bookmarkEnd w:id="158"/>
      <w:bookmarkEnd w:id="159"/>
      <w:bookmarkEnd w:id="160"/>
      <w:bookmarkEnd w:id="16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62" w:name="_Toc11893"/>
      <w:bookmarkStart w:id="163" w:name="_Toc9860"/>
      <w:bookmarkStart w:id="164" w:name="_Toc6919"/>
      <w:bookmarkStart w:id="165" w:name="_Toc29794"/>
      <w:r>
        <w:rPr>
          <w:rFonts w:hint="eastAsia" w:ascii="宋体" w:hAnsi="宋体" w:eastAsia="宋体"/>
          <w:color w:val="auto"/>
          <w:sz w:val="24"/>
          <w:szCs w:val="24"/>
          <w:highlight w:val="none"/>
        </w:rPr>
        <w:t>十一、履约担保</w:t>
      </w:r>
      <w:bookmarkEnd w:id="162"/>
      <w:bookmarkEnd w:id="163"/>
      <w:bookmarkEnd w:id="164"/>
      <w:bookmarkEnd w:id="16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11.1履约担保的金额：</w:t>
      </w:r>
      <w:r>
        <w:rPr>
          <w:rFonts w:hint="eastAsia" w:ascii="宋体" w:hAnsi="宋体"/>
          <w:color w:val="auto"/>
          <w:highlight w:val="none"/>
          <w:lang w:val="en-US" w:eastAsia="zh-CN"/>
        </w:rPr>
        <w:t>中选</w:t>
      </w:r>
      <w:r>
        <w:rPr>
          <w:rFonts w:hint="eastAsia" w:ascii="宋体" w:hAnsi="宋体"/>
          <w:color w:val="auto"/>
          <w:highlight w:val="none"/>
        </w:rPr>
        <w:t>价格的</w:t>
      </w:r>
      <w:r>
        <w:rPr>
          <w:rFonts w:ascii="宋体" w:hAnsi="宋体"/>
          <w:color w:val="auto"/>
          <w:highlight w:val="none"/>
        </w:rPr>
        <w:t>5%</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11.2履约担保的形式：转账或电汇或银行保函。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11.4递交地点：南宁市青秀区云景路</w:t>
      </w:r>
      <w:r>
        <w:rPr>
          <w:rFonts w:hint="eastAsia" w:ascii="宋体" w:hAnsi="宋体"/>
          <w:color w:val="auto"/>
          <w:highlight w:val="none"/>
          <w:lang w:eastAsia="zh-CN"/>
        </w:rPr>
        <w:t>8</w:t>
      </w:r>
      <w:r>
        <w:rPr>
          <w:rFonts w:hint="eastAsia" w:ascii="宋体" w:hAnsi="宋体"/>
          <w:color w:val="auto"/>
          <w:highlight w:val="none"/>
          <w:lang w:val="en-US" w:eastAsia="zh-CN"/>
        </w:rPr>
        <w:t>3</w:t>
      </w:r>
      <w:r>
        <w:rPr>
          <w:rFonts w:hint="eastAsia" w:ascii="宋体" w:hAnsi="宋体"/>
          <w:color w:val="auto"/>
          <w:highlight w:val="none"/>
        </w:rPr>
        <w:t>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11.6若中选人未在规定时间内足额缴纳履约担保，比选人有权取消其中选资格。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66" w:name="_Toc1448"/>
      <w:bookmarkStart w:id="167" w:name="_Toc18935"/>
      <w:bookmarkStart w:id="168" w:name="_Toc13497"/>
      <w:bookmarkStart w:id="169" w:name="_Toc16846"/>
      <w:r>
        <w:rPr>
          <w:rFonts w:hint="eastAsia" w:ascii="宋体" w:hAnsi="宋体" w:eastAsia="宋体"/>
          <w:color w:val="auto"/>
          <w:sz w:val="24"/>
          <w:szCs w:val="24"/>
          <w:highlight w:val="none"/>
        </w:rPr>
        <w:t>十二、不良信用名单条款</w:t>
      </w:r>
      <w:bookmarkEnd w:id="166"/>
      <w:bookmarkEnd w:id="167"/>
      <w:bookmarkEnd w:id="168"/>
      <w:bookmarkEnd w:id="16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color w:val="auto"/>
          <w:highlight w:val="none"/>
          <w:lang w:val="en-US" w:eastAsia="zh-CN"/>
        </w:rPr>
        <w:t>比选</w:t>
      </w:r>
      <w:r>
        <w:rPr>
          <w:rFonts w:hint="eastAsia" w:ascii="宋体" w:hAnsi="宋体"/>
          <w:color w:val="auto"/>
          <w:highlight w:val="none"/>
        </w:rPr>
        <w:t>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70"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right="-57" w:firstLine="0"/>
        <w:jc w:val="center"/>
        <w:outlineLvl w:val="0"/>
        <w:rPr>
          <w:rStyle w:val="45"/>
          <w:rFonts w:hAnsi="宋体"/>
          <w:color w:val="auto"/>
          <w:sz w:val="44"/>
          <w:szCs w:val="44"/>
          <w:highlight w:val="none"/>
        </w:rPr>
      </w:pPr>
      <w:bookmarkStart w:id="171" w:name="_Toc859"/>
      <w:bookmarkStart w:id="172" w:name="_Toc21712"/>
      <w:bookmarkStart w:id="173" w:name="_Toc14424"/>
      <w:bookmarkStart w:id="174" w:name="_Toc15424"/>
      <w:r>
        <w:rPr>
          <w:rStyle w:val="45"/>
          <w:rFonts w:hint="eastAsia" w:hAnsi="宋体"/>
          <w:color w:val="auto"/>
          <w:sz w:val="44"/>
          <w:szCs w:val="44"/>
          <w:highlight w:val="none"/>
        </w:rPr>
        <w:t>第三章 合同条款及格式</w:t>
      </w:r>
      <w:bookmarkEnd w:id="170"/>
      <w:bookmarkEnd w:id="171"/>
      <w:bookmarkEnd w:id="172"/>
      <w:bookmarkEnd w:id="173"/>
      <w:bookmarkEnd w:id="174"/>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75" w:name="_Toc286386830"/>
      <w:bookmarkStart w:id="176" w:name="_Toc114052336"/>
      <w:bookmarkStart w:id="177" w:name="_Toc114052410"/>
    </w:p>
    <w:p>
      <w:pPr>
        <w:pageBreakBefore/>
        <w:spacing w:after="120" w:afterLines="50" w:afterAutospacing="0"/>
        <w:ind w:left="1014" w:right="448" w:hanging="1014" w:hangingChars="338"/>
        <w:jc w:val="right"/>
        <w:rPr>
          <w:rFonts w:ascii="宋体" w:hAnsi="宋体"/>
          <w:color w:val="auto"/>
          <w:sz w:val="30"/>
          <w:szCs w:val="30"/>
          <w:highlight w:val="none"/>
        </w:rPr>
      </w:pPr>
    </w:p>
    <w:bookmarkEnd w:id="175"/>
    <w:bookmarkEnd w:id="176"/>
    <w:bookmarkEnd w:id="177"/>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ascii="Times New Roman" w:hAnsi="Times New Roman" w:eastAsia="宋体" w:cs="Times New Roman"/>
          <w:b/>
          <w:color w:val="auto"/>
          <w:sz w:val="44"/>
          <w:szCs w:val="44"/>
          <w:highlight w:val="none"/>
        </w:rPr>
        <w:t>南宁轨道交通5号线运营导向标示标贴、安全标识项目</w:t>
      </w:r>
      <w:r>
        <w:rPr>
          <w:rFonts w:hint="eastAsia"/>
          <w:b/>
          <w:color w:val="auto"/>
          <w:sz w:val="44"/>
          <w:szCs w:val="44"/>
          <w:highlight w:val="none"/>
        </w:rPr>
        <w:t>采购项目</w:t>
      </w:r>
    </w:p>
    <w:tbl>
      <w:tblPr>
        <w:tblStyle w:val="28"/>
        <w:tblW w:w="0" w:type="auto"/>
        <w:jc w:val="center"/>
        <w:tblLayout w:type="autofit"/>
        <w:tblCellMar>
          <w:top w:w="0" w:type="dxa"/>
          <w:left w:w="108" w:type="dxa"/>
          <w:bottom w:w="0" w:type="dxa"/>
          <w:right w:w="108" w:type="dxa"/>
        </w:tblCellMar>
      </w:tblPr>
      <w:tblGrid>
        <w:gridCol w:w="1869"/>
        <w:gridCol w:w="4761"/>
      </w:tblGrid>
      <w:tr>
        <w:tblPrEx>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hint="eastAsia"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center"/>
              <w:rPr>
                <w:rFonts w:hint="eastAsia" w:ascii="宋体" w:hAnsi="宋体"/>
                <w:color w:val="auto"/>
                <w:sz w:val="28"/>
                <w:szCs w:val="30"/>
                <w:highlight w:val="none"/>
              </w:rPr>
            </w:pPr>
            <w:r>
              <w:rPr>
                <w:rFonts w:hint="eastAsia" w:ascii="宋体" w:hAnsi="宋体" w:eastAsia="宋体"/>
                <w:color w:val="auto"/>
                <w:sz w:val="28"/>
                <w:szCs w:val="30"/>
                <w:highlight w:val="none"/>
                <w:shd w:val="clear" w:color="auto" w:fill="auto"/>
              </w:rPr>
              <w:t>202204200004</w:t>
            </w:r>
          </w:p>
        </w:tc>
      </w:tr>
      <w:tr>
        <w:tblPrEx>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bookmarkStart w:id="178" w:name="_Toc369787000"/>
      <w:bookmarkEnd w:id="178"/>
    </w:p>
    <w:p>
      <w:pPr>
        <w:pStyle w:val="23"/>
        <w:tabs>
          <w:tab w:val="right" w:leader="dot" w:pos="9069"/>
        </w:tabs>
        <w:snapToGrid w:val="0"/>
        <w:spacing w:line="240" w:lineRule="auto"/>
        <w:jc w:val="center"/>
        <w:rPr>
          <w:rFonts w:ascii="宋体" w:hAnsi="宋体"/>
          <w:b/>
          <w:bCs/>
          <w:color w:val="auto"/>
          <w:sz w:val="28"/>
          <w:szCs w:val="28"/>
          <w:highlight w:val="none"/>
        </w:rPr>
      </w:pPr>
    </w:p>
    <w:p>
      <w:pPr>
        <w:pStyle w:val="23"/>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w:t>
      </w:r>
      <w:r>
        <w:rPr>
          <w:rFonts w:hint="eastAsia"/>
          <w:b/>
          <w:bCs/>
          <w:color w:val="auto"/>
          <w:highlight w:val="none"/>
          <w:lang w:val="en-US" w:eastAsia="zh-CN"/>
        </w:rPr>
        <w:t>选</w:t>
      </w:r>
      <w:r>
        <w:rPr>
          <w:rFonts w:hint="eastAsia"/>
          <w:b/>
          <w:bCs/>
          <w:color w:val="auto"/>
          <w:highlight w:val="none"/>
        </w:rPr>
        <w:t>通知书</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w:t>
      </w:r>
      <w:r>
        <w:rPr>
          <w:rFonts w:hint="eastAsia" w:ascii="宋体" w:hAnsi="宋体"/>
          <w:color w:val="auto"/>
          <w:szCs w:val="24"/>
          <w:highlight w:val="none"/>
          <w:lang w:val="en-US" w:eastAsia="zh-CN"/>
        </w:rPr>
        <w:t>选</w:t>
      </w:r>
      <w:r>
        <w:rPr>
          <w:rFonts w:hint="eastAsia" w:ascii="宋体" w:hAnsi="宋体"/>
          <w:color w:val="auto"/>
          <w:szCs w:val="24"/>
          <w:highlight w:val="none"/>
        </w:rPr>
        <w:t>文件分项报价表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4.含税分项分线报价表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"_Toc5274" </w:instrText>
      </w:r>
      <w:r>
        <w:rPr>
          <w:color w:val="auto"/>
          <w:highlight w:val="none"/>
        </w:rPr>
        <w:fldChar w:fldCharType="separate"/>
      </w:r>
      <w:r>
        <w:rPr>
          <w:rFonts w:hint="eastAsia" w:ascii="宋体" w:hAnsi="宋体"/>
          <w:color w:val="auto"/>
          <w:szCs w:val="24"/>
          <w:highlight w:val="none"/>
        </w:rPr>
        <w:t>附件3.1 含税分项报价汇总表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"_Toc22670" </w:instrText>
      </w:r>
      <w:r>
        <w:rPr>
          <w:color w:val="auto"/>
          <w:highlight w:val="none"/>
        </w:rPr>
        <w:fldChar w:fldCharType="separate"/>
      </w:r>
      <w:r>
        <w:rPr>
          <w:rFonts w:hint="eastAsia" w:ascii="宋体" w:hAnsi="宋体"/>
          <w:color w:val="auto"/>
          <w:szCs w:val="24"/>
          <w:highlight w:val="none"/>
        </w:rPr>
        <w:t>附件3.2 含税分项分线报价表</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b/>
          <w:bCs/>
          <w:color w:val="auto"/>
          <w:szCs w:val="24"/>
          <w:highlight w:val="none"/>
        </w:rPr>
        <w:t>第四部分 合同条款</w:t>
      </w:r>
      <w:r>
        <w:rPr>
          <w:b/>
          <w:bCs/>
          <w:color w:val="auto"/>
          <w:highlight w:val="none"/>
        </w:rPr>
        <w:tab/>
      </w:r>
      <w:r>
        <w:rPr>
          <w:b/>
          <w:bCs/>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olor w:val="auto"/>
          <w:highlight w:val="none"/>
        </w:rPr>
        <w:t>3.</w:t>
      </w:r>
      <w:r>
        <w:rPr>
          <w:rFonts w:hint="eastAsia" w:ascii="宋体" w:hAnsi="宋体"/>
          <w:color w:val="auto"/>
          <w:highlight w:val="none"/>
          <w:lang w:val="en-US" w:eastAsia="zh-CN"/>
        </w:rPr>
        <w:t>来源地</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olor w:val="auto"/>
          <w:highlight w:val="none"/>
        </w:rPr>
        <w:t>4.标准</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7.</w:t>
      </w:r>
      <w:r>
        <w:rPr>
          <w:rFonts w:hint="eastAsia" w:ascii="宋体" w:hAnsi="宋体"/>
          <w:color w:val="auto"/>
          <w:highlight w:val="none"/>
          <w:lang w:val="en-US" w:eastAsia="zh-CN"/>
        </w:rPr>
        <w:t>价格</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olor w:val="auto"/>
          <w:highlight w:val="none"/>
        </w:rPr>
        <w:t>8.合同</w:t>
      </w:r>
      <w:r>
        <w:rPr>
          <w:rFonts w:hint="eastAsia" w:ascii="宋体" w:hAnsi="宋体"/>
          <w:color w:val="auto"/>
          <w:highlight w:val="none"/>
          <w:lang w:val="en-US" w:eastAsia="zh-CN"/>
        </w:rPr>
        <w:t>服务期</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olor w:val="auto"/>
          <w:highlight w:val="none"/>
        </w:rPr>
        <w:t>9.</w:t>
      </w:r>
      <w:r>
        <w:rPr>
          <w:rFonts w:hint="eastAsia" w:ascii="宋体" w:hAnsi="宋体"/>
          <w:color w:val="auto"/>
          <w:highlight w:val="none"/>
          <w:lang w:val="en-US" w:eastAsia="zh-CN"/>
        </w:rPr>
        <w:t>付款</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olor w:val="auto"/>
          <w:highlight w:val="none"/>
        </w:rPr>
        <w:t>10.</w:t>
      </w:r>
      <w:r>
        <w:rPr>
          <w:rFonts w:hint="eastAsia" w:ascii="宋体" w:hAnsi="宋体"/>
          <w:color w:val="auto"/>
          <w:highlight w:val="none"/>
          <w:lang w:val="en-US" w:eastAsia="zh-CN"/>
        </w:rPr>
        <w:t>履约担保</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olor w:val="auto"/>
          <w:highlight w:val="none"/>
        </w:rPr>
        <w:t>11.</w:t>
      </w:r>
      <w:r>
        <w:rPr>
          <w:rFonts w:hint="eastAsia" w:ascii="宋体" w:hAnsi="宋体"/>
          <w:color w:val="auto"/>
          <w:highlight w:val="none"/>
          <w:lang w:val="en-US" w:eastAsia="zh-CN"/>
        </w:rPr>
        <w:t>检验</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olor w:val="auto"/>
          <w:highlight w:val="none"/>
        </w:rPr>
        <w:t>1</w:t>
      </w:r>
      <w:r>
        <w:rPr>
          <w:rFonts w:hint="eastAsia" w:ascii="宋体" w:hAnsi="宋体"/>
          <w:color w:val="auto"/>
          <w:highlight w:val="none"/>
          <w:lang w:eastAsia="zh-CN"/>
        </w:rPr>
        <w:t>2</w:t>
      </w:r>
      <w:r>
        <w:rPr>
          <w:rFonts w:hint="eastAsia" w:ascii="宋体" w:hAnsi="宋体"/>
          <w:color w:val="auto"/>
          <w:highlight w:val="none"/>
        </w:rPr>
        <w:t>.</w:t>
      </w:r>
      <w:r>
        <w:rPr>
          <w:rFonts w:hint="eastAsia" w:ascii="宋体" w:hAnsi="宋体"/>
          <w:color w:val="auto"/>
          <w:highlight w:val="none"/>
          <w:lang w:val="en-US" w:eastAsia="zh-CN"/>
        </w:rPr>
        <w:t>包装</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olor w:val="auto"/>
          <w:highlight w:val="none"/>
        </w:rPr>
        <w:t>13.</w:t>
      </w:r>
      <w:r>
        <w:rPr>
          <w:rFonts w:hint="eastAsia" w:ascii="宋体" w:hAnsi="宋体"/>
          <w:color w:val="auto"/>
          <w:highlight w:val="none"/>
          <w:lang w:val="en-US" w:eastAsia="zh-CN"/>
        </w:rPr>
        <w:t>交货和单据</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olor w:val="auto"/>
          <w:highlight w:val="none"/>
        </w:rPr>
        <w:t>14.</w:t>
      </w:r>
      <w:r>
        <w:rPr>
          <w:rFonts w:hint="eastAsia" w:ascii="宋体" w:hAnsi="宋体"/>
          <w:color w:val="auto"/>
          <w:highlight w:val="none"/>
          <w:lang w:val="en-US" w:eastAsia="zh-CN"/>
        </w:rPr>
        <w:t>所有权和风险转移</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olor w:val="auto"/>
          <w:highlight w:val="none"/>
        </w:rPr>
        <w:t>15.</w:t>
      </w:r>
      <w:r>
        <w:rPr>
          <w:rFonts w:hint="eastAsia" w:ascii="宋体" w:hAnsi="宋体"/>
          <w:color w:val="auto"/>
          <w:highlight w:val="none"/>
          <w:lang w:val="en-US" w:eastAsia="zh-CN"/>
        </w:rPr>
        <w:t>运输</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olor w:val="auto"/>
          <w:highlight w:val="none"/>
        </w:rPr>
        <w:t>16.</w:t>
      </w:r>
      <w:r>
        <w:rPr>
          <w:rFonts w:hint="eastAsia" w:ascii="宋体" w:hAnsi="宋体"/>
          <w:color w:val="auto"/>
          <w:highlight w:val="none"/>
          <w:lang w:val="en-US" w:eastAsia="zh-CN"/>
        </w:rPr>
        <w:t>服务</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olor w:val="auto"/>
          <w:highlight w:val="none"/>
        </w:rPr>
        <w:t>17.</w:t>
      </w:r>
      <w:r>
        <w:rPr>
          <w:rFonts w:hint="eastAsia" w:ascii="宋体" w:hAnsi="宋体"/>
          <w:color w:val="auto"/>
          <w:highlight w:val="none"/>
          <w:lang w:val="en-US" w:eastAsia="zh-CN"/>
        </w:rPr>
        <w:t>保证</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olor w:val="auto"/>
          <w:highlight w:val="none"/>
        </w:rPr>
        <w:t>18.</w:t>
      </w:r>
      <w:r>
        <w:rPr>
          <w:rFonts w:hint="eastAsia" w:ascii="宋体" w:hAnsi="宋体"/>
          <w:color w:val="auto"/>
          <w:highlight w:val="none"/>
          <w:lang w:val="en-US" w:eastAsia="zh-CN"/>
        </w:rPr>
        <w:t>合同变更与修改</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olor w:val="auto"/>
          <w:highlight w:val="none"/>
        </w:rPr>
        <w:t>19.</w:t>
      </w:r>
      <w:r>
        <w:rPr>
          <w:rFonts w:hint="eastAsia" w:ascii="宋体" w:hAnsi="宋体"/>
          <w:color w:val="auto"/>
          <w:highlight w:val="none"/>
          <w:lang w:val="en-US" w:eastAsia="zh-CN"/>
        </w:rPr>
        <w:t>转让、分包和中止</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20.</w:t>
      </w:r>
      <w:r>
        <w:rPr>
          <w:rFonts w:hint="eastAsia" w:ascii="宋体" w:hAnsi="宋体"/>
          <w:color w:val="auto"/>
          <w:highlight w:val="none"/>
          <w:lang w:val="en-US" w:eastAsia="zh-CN"/>
        </w:rPr>
        <w:t>不可抗力</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21.</w:t>
      </w:r>
      <w:r>
        <w:rPr>
          <w:rFonts w:hint="eastAsia" w:ascii="宋体" w:hAnsi="宋体"/>
          <w:color w:val="auto"/>
          <w:highlight w:val="none"/>
          <w:lang w:val="en-US" w:eastAsia="zh-CN"/>
        </w:rPr>
        <w:t>乙方履约展期</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olor w:val="auto"/>
          <w:highlight w:val="none"/>
          <w:lang w:eastAsia="zh-CN"/>
        </w:rPr>
        <w:t>2</w:t>
      </w:r>
      <w:r>
        <w:rPr>
          <w:rFonts w:hint="eastAsia" w:ascii="宋体" w:hAnsi="宋体"/>
          <w:color w:val="auto"/>
          <w:highlight w:val="none"/>
        </w:rPr>
        <w:t>2.</w:t>
      </w:r>
      <w:r>
        <w:rPr>
          <w:rFonts w:hint="eastAsia" w:ascii="宋体" w:hAnsi="宋体"/>
          <w:color w:val="auto"/>
          <w:highlight w:val="none"/>
          <w:lang w:eastAsia="zh-CN"/>
        </w:rPr>
        <w:t>通知</w:t>
      </w:r>
      <w:r>
        <w:rPr>
          <w:color w:val="auto"/>
          <w:highlight w:val="none"/>
        </w:rPr>
        <w:tab/>
      </w:r>
      <w:r>
        <w:rPr>
          <w:color w:val="auto"/>
          <w:highlight w:val="none"/>
        </w:rPr>
        <w:fldChar w:fldCharType="end"/>
      </w:r>
    </w:p>
    <w:p>
      <w:pPr>
        <w:pStyle w:val="12"/>
        <w:tabs>
          <w:tab w:val="right" w:leader="dot" w:pos="9069"/>
        </w:tabs>
        <w:snapToGrid w:val="0"/>
        <w:spacing w:after="120" w:afterAutospacing="0" w:line="360" w:lineRule="auto"/>
        <w:ind w:leftChars="400" w:right="-28"/>
        <w:rPr>
          <w:rFonts w:hint="eastAsia"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合同</w:t>
      </w:r>
      <w:r>
        <w:rPr>
          <w:rFonts w:hint="eastAsia" w:ascii="宋体" w:hAnsi="宋体" w:eastAsia="宋体" w:cs="宋体"/>
          <w:color w:val="auto"/>
          <w:highlight w:val="none"/>
        </w:rPr>
        <w:fldChar w:fldCharType="end"/>
      </w:r>
      <w:r>
        <w:rPr>
          <w:rFonts w:hint="eastAsia" w:ascii="宋体" w:hAnsi="宋体" w:eastAsia="宋体" w:cs="宋体"/>
          <w:color w:val="auto"/>
          <w:highlight w:val="none"/>
          <w:lang w:val="en-US" w:eastAsia="zh-CN"/>
        </w:rPr>
        <w:t>标的</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24.开箱验收及现场保管</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25.索赔与赔偿</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26.合同终止</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27.争端的解决</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28.语言</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29.适用法律</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30.其它</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31.廉洁条款特别约定</w:t>
      </w:r>
      <w:r>
        <w:rPr>
          <w:rFonts w:hint="eastAsia" w:ascii="宋体" w:hAnsi="宋体" w:eastAsia="宋体" w:cs="宋体"/>
          <w:color w:val="auto"/>
          <w:highlight w:val="none"/>
        </w:rPr>
        <w:tab/>
      </w:r>
    </w:p>
    <w:p>
      <w:pPr>
        <w:pStyle w:val="12"/>
        <w:tabs>
          <w:tab w:val="right" w:leader="dot" w:pos="9069"/>
        </w:tabs>
        <w:snapToGrid w:val="0"/>
        <w:spacing w:after="120" w:afterAutospacing="0" w:line="360" w:lineRule="auto"/>
        <w:ind w:leftChars="400" w:right="-28"/>
        <w:rPr>
          <w:rFonts w:hint="default" w:eastAsia="宋体"/>
          <w:color w:val="auto"/>
          <w:highlight w:val="none"/>
          <w:lang w:val="en-US" w:eastAsia="zh-CN"/>
        </w:rPr>
      </w:pPr>
      <w:r>
        <w:rPr>
          <w:rFonts w:hint="eastAsia" w:ascii="宋体" w:hAnsi="宋体" w:eastAsia="宋体" w:cs="宋体"/>
          <w:b w:val="0"/>
          <w:color w:val="auto"/>
          <w:highlight w:val="none"/>
        </w:rPr>
        <w:t>32.合同生效和签约地</w:t>
      </w:r>
      <w:r>
        <w:rPr>
          <w:rFonts w:hint="eastAsia" w:ascii="宋体" w:hAnsi="宋体" w:eastAsia="宋体" w:cs="宋体"/>
          <w:color w:val="auto"/>
          <w:highlight w:val="none"/>
        </w:rPr>
        <w:tab/>
      </w:r>
    </w:p>
    <w:p>
      <w:pPr>
        <w:pStyle w:val="23"/>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"_Toc16698" </w:instrText>
      </w:r>
      <w:r>
        <w:rPr>
          <w:color w:val="auto"/>
          <w:highlight w:val="none"/>
        </w:rPr>
        <w:fldChar w:fldCharType="separate"/>
      </w:r>
      <w:r>
        <w:rPr>
          <w:rFonts w:hint="eastAsia" w:ascii="宋体" w:hAnsi="宋体"/>
          <w:color w:val="auto"/>
          <w:szCs w:val="24"/>
          <w:highlight w:val="none"/>
        </w:rPr>
        <w:t>1.履约保证金缴纳凭证（履约保函格式附后）</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rPr>
        <w:t>2.乙方营业执照或资质证书等</w:t>
      </w:r>
      <w:r>
        <w:rPr>
          <w:color w:val="auto"/>
          <w:highlight w:val="none"/>
        </w:rPr>
        <w:tab/>
      </w:r>
    </w:p>
    <w:p>
      <w:pPr>
        <w:pStyle w:val="12"/>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rPr>
        <w:t>3.乙方法人授权委托书（如有）</w:t>
      </w:r>
      <w:r>
        <w:rPr>
          <w:color w:val="auto"/>
          <w:highlight w:val="none"/>
        </w:rPr>
        <w:tab/>
      </w:r>
      <w:r>
        <w:rPr>
          <w:rFonts w:ascii="宋体" w:hAnsi="宋体"/>
          <w:color w:val="auto"/>
          <w:szCs w:val="24"/>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"_Toc28104" </w:instrText>
      </w:r>
      <w:r>
        <w:rPr>
          <w:color w:val="auto"/>
          <w:highlight w:val="none"/>
        </w:rPr>
        <w:fldChar w:fldCharType="separate"/>
      </w:r>
      <w:r>
        <w:rPr>
          <w:rFonts w:hint="eastAsia" w:ascii="宋体" w:hAnsi="宋体"/>
          <w:color w:val="auto"/>
          <w:szCs w:val="24"/>
          <w:highlight w:val="none"/>
        </w:rPr>
        <w:t>4.原厂授权证明（如有）</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"_Toc7738" </w:instrText>
      </w:r>
      <w:r>
        <w:rPr>
          <w:color w:val="auto"/>
          <w:highlight w:val="none"/>
        </w:rPr>
        <w:fldChar w:fldCharType="separate"/>
      </w:r>
      <w:r>
        <w:rPr>
          <w:rFonts w:hint="eastAsia" w:ascii="宋体" w:hAnsi="宋体"/>
          <w:color w:val="auto"/>
          <w:szCs w:val="24"/>
          <w:highlight w:val="none"/>
        </w:rPr>
        <w:t>5.供货证明格式</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"_Toc8452" </w:instrText>
      </w:r>
      <w:r>
        <w:rPr>
          <w:color w:val="auto"/>
          <w:highlight w:val="none"/>
        </w:rPr>
        <w:fldChar w:fldCharType="separate"/>
      </w:r>
      <w:r>
        <w:rPr>
          <w:rFonts w:hint="eastAsia" w:ascii="宋体" w:hAnsi="宋体"/>
          <w:color w:val="auto"/>
          <w:szCs w:val="24"/>
          <w:highlight w:val="none"/>
        </w:rPr>
        <w:t>6.交货通知格式</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szCs w:val="24"/>
          <w:highlight w:val="none"/>
        </w:rPr>
      </w:pPr>
      <w:r>
        <w:rPr>
          <w:color w:val="auto"/>
          <w:highlight w:val="none"/>
        </w:rPr>
        <w:fldChar w:fldCharType="begin"/>
      </w:r>
      <w:r>
        <w:rPr>
          <w:color w:val="auto"/>
          <w:highlight w:val="none"/>
        </w:rPr>
        <w:instrText xml:space="preserve"> HYPERLINK \l "_Toc30967" </w:instrText>
      </w:r>
      <w:r>
        <w:rPr>
          <w:color w:val="auto"/>
          <w:highlight w:val="none"/>
        </w:rPr>
        <w:fldChar w:fldCharType="separate"/>
      </w:r>
      <w:r>
        <w:rPr>
          <w:rFonts w:hint="eastAsia" w:ascii="宋体" w:hAnsi="宋体"/>
          <w:color w:val="auto"/>
          <w:szCs w:val="24"/>
          <w:highlight w:val="none"/>
        </w:rPr>
        <w:t>7.送货单格式</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Pr>
        <w:pageBreakBefore/>
        <w:spacing w:before="0"/>
        <w:ind w:right="0" w:firstLine="198"/>
        <w:jc w:val="center"/>
        <w:outlineLvl w:val="1"/>
        <w:rPr>
          <w:rFonts w:ascii="宋体" w:hAnsi="宋体"/>
          <w:color w:val="auto"/>
          <w:sz w:val="24"/>
          <w:szCs w:val="24"/>
          <w:highlight w:val="none"/>
        </w:rPr>
      </w:pPr>
      <w:bookmarkStart w:id="179" w:name="_Toc30612"/>
      <w:bookmarkStart w:id="180" w:name="_Toc26790"/>
      <w:bookmarkStart w:id="181" w:name="_Toc28976"/>
      <w:bookmarkStart w:id="182" w:name="_Toc4342"/>
      <w:bookmarkStart w:id="183" w:name="_Toc22286"/>
      <w:r>
        <w:rPr>
          <w:rFonts w:hint="eastAsia" w:ascii="宋体" w:hAnsi="宋体"/>
          <w:color w:val="auto"/>
          <w:sz w:val="24"/>
          <w:szCs w:val="24"/>
          <w:highlight w:val="none"/>
        </w:rPr>
        <w:t>第一部分 合同协议书</w:t>
      </w:r>
      <w:bookmarkEnd w:id="179"/>
      <w:bookmarkEnd w:id="180"/>
      <w:bookmarkEnd w:id="181"/>
      <w:bookmarkEnd w:id="182"/>
      <w:bookmarkEnd w:id="183"/>
    </w:p>
    <w:p>
      <w:pPr>
        <w:spacing w:before="0" w:after="0" w:afterAutospacing="0"/>
        <w:ind w:left="0" w:right="0" w:firstLine="420" w:firstLineChars="200"/>
        <w:jc w:val="left"/>
        <w:rPr>
          <w:rFonts w:hint="default" w:ascii="宋体" w:hAnsi="宋体" w:eastAsia="宋体"/>
          <w:color w:val="auto"/>
          <w:highlight w:val="none"/>
          <w:u w:val="single"/>
          <w:lang w:val="en-US" w:eastAsia="zh-CN"/>
        </w:rPr>
      </w:pPr>
      <w:r>
        <w:rPr>
          <w:rFonts w:hint="eastAsia" w:ascii="宋体" w:hAnsi="宋体"/>
          <w:color w:val="auto"/>
          <w:highlight w:val="none"/>
        </w:rPr>
        <w:t>甲方：</w:t>
      </w:r>
      <w:r>
        <w:rPr>
          <w:rFonts w:hint="eastAsia" w:ascii="宋体" w:hAnsi="宋体"/>
          <w:color w:val="auto"/>
          <w:highlight w:val="none"/>
          <w:lang w:val="en-US" w:eastAsia="zh-CN"/>
        </w:rPr>
        <w:t>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本协议由南宁轨道交通</w:t>
      </w:r>
      <w:r>
        <w:rPr>
          <w:rFonts w:hint="eastAsia" w:ascii="宋体" w:hAnsi="宋体"/>
          <w:color w:val="auto"/>
          <w:highlight w:val="none"/>
          <w:lang w:val="en-US" w:eastAsia="zh-CN"/>
        </w:rPr>
        <w:t>运营有限</w:t>
      </w:r>
      <w:r>
        <w:rPr>
          <w:rFonts w:hint="eastAsia" w:ascii="宋体" w:hAnsi="宋体"/>
          <w:color w:val="auto"/>
          <w:highlight w:val="none"/>
        </w:rPr>
        <w:t>公司（下称“甲方”或 “业主</w:t>
      </w:r>
      <w:r>
        <w:rPr>
          <w:rFonts w:ascii="宋体" w:hAnsi="宋体"/>
          <w:color w:val="auto"/>
          <w:highlight w:val="none"/>
        </w:rPr>
        <w:t>”</w:t>
      </w:r>
      <w:r>
        <w:rPr>
          <w:rFonts w:hint="eastAsia" w:ascii="宋体" w:hAnsi="宋体"/>
          <w:color w:val="auto"/>
          <w:highlight w:val="none"/>
        </w:rPr>
        <w:t>）与（下称“乙方”），双方根据</w:t>
      </w:r>
      <w:r>
        <w:rPr>
          <w:rFonts w:hint="eastAsia" w:ascii="宋体" w:hAnsi="宋体"/>
          <w:color w:val="auto"/>
          <w:highlight w:val="none"/>
          <w:u w:val="single"/>
        </w:rPr>
        <w:t>南宁轨道交通5号线运营导向标示标贴、安全标识项目</w:t>
      </w:r>
      <w:r>
        <w:rPr>
          <w:rFonts w:hint="eastAsia" w:ascii="宋体" w:hAnsi="宋体"/>
          <w:color w:val="auto"/>
          <w:highlight w:val="none"/>
        </w:rPr>
        <w:t>（项目编号</w:t>
      </w:r>
      <w:r>
        <w:rPr>
          <w:rFonts w:hint="eastAsia" w:ascii="宋体" w:hAnsi="宋体"/>
          <w:color w:val="auto"/>
          <w:highlight w:val="none"/>
          <w:u w:val="single"/>
        </w:rPr>
        <w:t>202204200004</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1.1 项目名称：</w:t>
      </w:r>
      <w:r>
        <w:rPr>
          <w:rFonts w:hint="eastAsia" w:ascii="宋体" w:hAnsi="宋体"/>
          <w:color w:val="auto"/>
          <w:highlight w:val="none"/>
          <w:u w:val="single"/>
        </w:rPr>
        <w:t>南宁轨道交通5号线运营导向标示标贴、安全标识项目</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1.2项目实施地点：</w:t>
      </w: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w:t>
      </w:r>
      <w:r>
        <w:rPr>
          <w:rFonts w:hint="eastAsia" w:ascii="宋体" w:hAnsi="宋体"/>
          <w:color w:val="auto"/>
          <w:kern w:val="2"/>
          <w:highlight w:val="none"/>
        </w:rPr>
        <w:t>综合基地1座（含备用OCC一座）。</w:t>
      </w:r>
    </w:p>
    <w:p>
      <w:pPr>
        <w:widowControl w:val="0"/>
        <w:spacing w:before="0" w:after="0" w:afterAutospacing="0"/>
        <w:ind w:left="0" w:right="0" w:firstLine="420" w:firstLineChars="200"/>
        <w:rPr>
          <w:rFonts w:hint="eastAsia" w:ascii="宋体" w:hAnsi="宋体" w:cs="Times New Roman"/>
          <w:color w:val="auto"/>
          <w:kern w:val="2"/>
          <w:highlight w:val="none"/>
        </w:rPr>
      </w:pPr>
      <w:r>
        <w:rPr>
          <w:rFonts w:hint="eastAsia" w:ascii="宋体" w:hAnsi="宋体" w:cs="Arial"/>
          <w:color w:val="auto"/>
          <w:highlight w:val="none"/>
        </w:rPr>
        <w:t>1.3项目范围：</w:t>
      </w:r>
      <w:r>
        <w:rPr>
          <w:rFonts w:hint="eastAsia" w:ascii="宋体" w:hAnsi="宋体" w:cs="Times New Roman"/>
          <w:color w:val="auto"/>
          <w:kern w:val="2"/>
          <w:highlight w:val="none"/>
        </w:rPr>
        <w:t>项目包含但不限于运营导向标示标贴、安全标识的整体VI设计、生产、运输、安装、验收及售后维护等工作，工程量具体详见附件1运营导向标示标贴、安全标识采购项目技术需求及数量表。</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rPr>
          <w:color w:val="auto"/>
          <w:highlight w:val="none"/>
        </w:rPr>
      </w:pPr>
      <w:r>
        <w:rPr>
          <w:rFonts w:hint="eastAsia"/>
          <w:color w:val="auto"/>
          <w:highlight w:val="none"/>
        </w:rPr>
        <w:t>甲方同意接受，乙方同意作为中选方并以下列第3条所述价格提供</w:t>
      </w:r>
      <w:r>
        <w:rPr>
          <w:rFonts w:hint="eastAsia"/>
          <w:color w:val="auto"/>
          <w:highlight w:val="none"/>
          <w:u w:val="single"/>
        </w:rPr>
        <w:t>（项目名称）</w:t>
      </w:r>
      <w:r>
        <w:rPr>
          <w:rFonts w:hint="eastAsia"/>
          <w:color w:val="auto"/>
          <w:highlight w:val="none"/>
        </w:rPr>
        <w:t>项下的</w:t>
      </w:r>
      <w:r>
        <w:rPr>
          <w:rFonts w:hint="eastAsia"/>
          <w:i/>
          <w:color w:val="auto"/>
          <w:highlight w:val="none"/>
          <w:u w:val="single"/>
        </w:rPr>
        <w:t xml:space="preserve">  </w:t>
      </w:r>
      <w:r>
        <w:rPr>
          <w:rFonts w:hint="eastAsia"/>
          <w:color w:val="auto"/>
          <w:highlight w:val="none"/>
          <w:u w:val="single"/>
        </w:rPr>
        <w:t>合同标的（合同标的包括有形资产、无形资产、劳务和服务、工作成果等，</w:t>
      </w:r>
      <w:r>
        <w:rPr>
          <w:rFonts w:hint="eastAsia" w:ascii="Tahoma" w:hAnsi="Tahoma" w:cs="Tahoma"/>
          <w:color w:val="auto"/>
          <w:highlight w:val="none"/>
          <w:u w:val="single"/>
        </w:rPr>
        <w:t>合同对标的的规定应当清楚明白、准确无误，对于名称、型号、规格、品种、等级、花色等都要约定得细致、准确、清楚；工作内容、完成时间等内容需描述清晰，边界明确；提供服务的具体方案清晰</w:t>
      </w:r>
      <w:r>
        <w:rPr>
          <w:i/>
          <w:color w:val="auto"/>
          <w:highlight w:val="none"/>
          <w:u w:val="single"/>
        </w:rPr>
        <w:t>)</w:t>
      </w:r>
      <w:r>
        <w:rPr>
          <w:rFonts w:hint="eastAsia"/>
          <w:color w:val="auto"/>
          <w:highlight w:val="none"/>
        </w:rPr>
        <w:t>。</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rPr>
        <w:t xml:space="preserve"> （填写） (¥  )</w:t>
      </w:r>
      <w:r>
        <w:rPr>
          <w:rFonts w:hint="eastAsia" w:ascii="宋体" w:hAnsi="宋体"/>
          <w:color w:val="auto"/>
          <w:highlight w:val="none"/>
        </w:rPr>
        <w:t>；税费人民币</w:t>
      </w:r>
      <w:r>
        <w:rPr>
          <w:rFonts w:hint="eastAsia" w:ascii="宋体" w:hAnsi="宋体"/>
          <w:color w:val="auto"/>
          <w:highlight w:val="none"/>
          <w:u w:val="single"/>
        </w:rPr>
        <w:t>（填写）(¥  )</w:t>
      </w:r>
      <w:r>
        <w:rPr>
          <w:rFonts w:hint="eastAsia" w:ascii="宋体" w:hAnsi="宋体"/>
          <w:color w:val="auto"/>
          <w:highlight w:val="none"/>
        </w:rPr>
        <w:t>；税率</w:t>
      </w:r>
      <w:r>
        <w:rPr>
          <w:rFonts w:hint="eastAsia" w:ascii="宋体" w:hAnsi="宋体"/>
          <w:color w:val="auto"/>
          <w:highlight w:val="none"/>
          <w:u w:val="single"/>
        </w:rPr>
        <w:t>（填写）%</w:t>
      </w:r>
      <w:r>
        <w:rPr>
          <w:rFonts w:hint="eastAsia" w:ascii="宋体" w:hAnsi="宋体"/>
          <w:color w:val="auto"/>
          <w:highlight w:val="none"/>
        </w:rPr>
        <w:t>；含税总价：人民币</w:t>
      </w:r>
      <w:r>
        <w:rPr>
          <w:rFonts w:hint="eastAsia" w:ascii="宋体" w:hAnsi="宋体"/>
          <w:color w:val="auto"/>
          <w:highlight w:val="none"/>
          <w:u w:val="single"/>
        </w:rPr>
        <w:t xml:space="preserve"> （填写）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在合同履约过程中，本合同税率将遵照国家现行税法执行，最终税金在结算阶段，按实际产生的税金进行核算。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其中</w:t>
      </w:r>
      <w:r>
        <w:rPr>
          <w:rFonts w:hint="eastAsia" w:ascii="宋体" w:hAnsi="宋体"/>
          <w:color w:val="auto"/>
          <w:highlight w:val="none"/>
          <w:lang w:val="en-US" w:eastAsia="zh-CN"/>
        </w:rPr>
        <w:t>5</w:t>
      </w:r>
      <w:r>
        <w:rPr>
          <w:rFonts w:hint="eastAsia" w:ascii="宋体" w:hAnsi="宋体"/>
          <w:color w:val="auto"/>
          <w:highlight w:val="none"/>
        </w:rPr>
        <w:t>号线价格：不含税价人民币</w:t>
      </w:r>
      <w:r>
        <w:rPr>
          <w:rFonts w:hint="eastAsia" w:ascii="宋体" w:hAnsi="宋体"/>
          <w:color w:val="auto"/>
          <w:highlight w:val="none"/>
          <w:u w:val="single"/>
        </w:rPr>
        <w:t xml:space="preserve"> （填写）(¥  )；</w:t>
      </w:r>
      <w:r>
        <w:rPr>
          <w:rFonts w:hint="eastAsia" w:ascii="宋体" w:hAnsi="宋体"/>
          <w:color w:val="auto"/>
          <w:highlight w:val="none"/>
        </w:rPr>
        <w:t>税费人民币</w:t>
      </w:r>
      <w:r>
        <w:rPr>
          <w:rFonts w:hint="eastAsia" w:ascii="宋体" w:hAnsi="宋体"/>
          <w:color w:val="auto"/>
          <w:highlight w:val="none"/>
          <w:u w:val="single"/>
        </w:rPr>
        <w:t xml:space="preserve"> （填写）(¥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（填写）(¥  )</w:t>
      </w:r>
      <w:r>
        <w:rPr>
          <w:rFonts w:hint="eastAsia" w:ascii="宋体" w:hAnsi="宋体"/>
          <w:color w:val="auto"/>
          <w:highlight w:val="none"/>
        </w:rPr>
        <w:t>；</w:t>
      </w:r>
      <w:r>
        <w:rPr>
          <w:rFonts w:ascii="宋体" w:hAnsi="宋体"/>
          <w:color w:val="auto"/>
          <w:highlight w:val="none"/>
        </w:rPr>
        <w:t>…………</w:t>
      </w:r>
    </w:p>
    <w:p>
      <w:pPr>
        <w:tabs>
          <w:tab w:val="left" w:pos="1134"/>
          <w:tab w:val="left" w:pos="8364"/>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（2）合同价格形式：</w:t>
      </w:r>
      <w:r>
        <w:rPr>
          <w:rFonts w:hint="eastAsia" w:ascii="宋体" w:hAnsi="宋体"/>
          <w:color w:val="auto"/>
          <w:highlight w:val="none"/>
          <w:u w:val="none"/>
          <w:lang w:val="en-US" w:eastAsia="zh-CN"/>
        </w:rPr>
        <w:t>单价合同，暂定总价</w:t>
      </w:r>
      <w:r>
        <w:rPr>
          <w:rFonts w:hint="eastAsia" w:ascii="宋体" w:hAnsi="宋体"/>
          <w:color w:val="auto"/>
          <w:highlight w:val="none"/>
        </w:rPr>
        <w:t>。</w:t>
      </w:r>
      <w:r>
        <w:rPr>
          <w:rFonts w:hint="default" w:ascii="宋体" w:hAnsi="宋体"/>
          <w:color w:val="auto"/>
          <w:highlight w:val="none"/>
          <w:lang w:val="en-US"/>
        </w:rPr>
        <w:t>根据实际完成的供货数量据实结算。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4.合同</w:t>
      </w:r>
      <w:r>
        <w:rPr>
          <w:rFonts w:hint="eastAsia" w:ascii="宋体" w:hAnsi="宋体"/>
          <w:color w:val="auto"/>
          <w:highlight w:val="none"/>
          <w:lang w:val="en-US" w:eastAsia="zh-CN"/>
        </w:rPr>
        <w:t>服务</w:t>
      </w:r>
      <w:r>
        <w:rPr>
          <w:rFonts w:hint="eastAsia" w:ascii="宋体" w:hAnsi="宋体"/>
          <w:color w:val="auto"/>
          <w:highlight w:val="none"/>
        </w:rPr>
        <w:t>期：本合同</w:t>
      </w:r>
      <w:r>
        <w:rPr>
          <w:rFonts w:hint="eastAsia" w:ascii="宋体" w:hAnsi="宋体"/>
          <w:color w:val="auto"/>
          <w:highlight w:val="none"/>
          <w:lang w:val="en-US" w:eastAsia="zh-CN"/>
        </w:rPr>
        <w:t>服务</w:t>
      </w:r>
      <w:r>
        <w:rPr>
          <w:rFonts w:hint="eastAsia" w:ascii="宋体" w:hAnsi="宋体"/>
          <w:color w:val="auto"/>
          <w:highlight w:val="none"/>
        </w:rPr>
        <w:t>期为自合同生效之日起</w:t>
      </w:r>
      <w:r>
        <w:rPr>
          <w:rFonts w:hint="eastAsia" w:ascii="宋体" w:hAnsi="宋体"/>
          <w:color w:val="auto"/>
          <w:highlight w:val="none"/>
          <w:u w:val="single"/>
          <w:lang w:eastAsia="zh-CN"/>
        </w:rPr>
        <w:t>2</w:t>
      </w:r>
      <w:r>
        <w:rPr>
          <w:rFonts w:hint="eastAsia" w:ascii="宋体" w:hAnsi="宋体"/>
          <w:color w:val="auto"/>
          <w:highlight w:val="none"/>
        </w:rPr>
        <w:t>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5</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color w:val="auto"/>
          <w:highlight w:val="none"/>
        </w:rPr>
      </w:pPr>
      <w:r>
        <w:rPr>
          <w:rFonts w:hint="eastAsia" w:ascii="宋体" w:hAnsi="宋体" w:cs="Arial"/>
          <w:color w:val="auto"/>
          <w:highlight w:val="none"/>
        </w:rPr>
        <w:t>6.</w:t>
      </w:r>
      <w:r>
        <w:rPr>
          <w:rFonts w:hint="eastAsia"/>
          <w:color w:val="auto"/>
          <w:highlight w:val="none"/>
        </w:rPr>
        <w:t xml:space="preserve"> 甲乙</w:t>
      </w:r>
      <w:r>
        <w:rPr>
          <w:color w:val="auto"/>
          <w:highlight w:val="none"/>
        </w:rPr>
        <w:t>双方依据本次</w:t>
      </w:r>
      <w:r>
        <w:rPr>
          <w:rFonts w:hint="eastAsia"/>
          <w:color w:val="auto"/>
          <w:highlight w:val="none"/>
          <w:lang w:val="en-US" w:eastAsia="zh-CN"/>
        </w:rPr>
        <w:t>比选</w:t>
      </w:r>
      <w:r>
        <w:rPr>
          <w:color w:val="auto"/>
          <w:highlight w:val="none"/>
        </w:rPr>
        <w:t>文件中的用户需求书</w:t>
      </w:r>
      <w:r>
        <w:rPr>
          <w:rFonts w:hint="eastAsia"/>
          <w:color w:val="auto"/>
          <w:highlight w:val="none"/>
        </w:rPr>
        <w:t>、乙方</w:t>
      </w:r>
      <w:r>
        <w:rPr>
          <w:rFonts w:hint="eastAsia"/>
          <w:color w:val="auto"/>
          <w:highlight w:val="none"/>
          <w:lang w:val="en-US" w:eastAsia="zh-CN"/>
        </w:rPr>
        <w:t>比选申请</w:t>
      </w:r>
      <w:r>
        <w:rPr>
          <w:rFonts w:hint="eastAsia"/>
          <w:color w:val="auto"/>
          <w:highlight w:val="none"/>
        </w:rPr>
        <w:t>文件（如技术响应表、技术文件等）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rPr>
        <w:t>。</w:t>
      </w:r>
      <w:r>
        <w:rPr>
          <w:color w:val="auto"/>
          <w:highlight w:val="none"/>
        </w:rPr>
        <w:t>并经双方</w:t>
      </w:r>
      <w:r>
        <w:rPr>
          <w:rFonts w:hint="eastAsia"/>
          <w:color w:val="auto"/>
          <w:highlight w:val="none"/>
        </w:rPr>
        <w:t>确认</w:t>
      </w:r>
      <w:r>
        <w:rPr>
          <w:color w:val="auto"/>
          <w:highlight w:val="none"/>
        </w:rPr>
        <w:t>后构成本合同的有效组成部分。在本合同执行中的</w:t>
      </w:r>
      <w:r>
        <w:rPr>
          <w:rFonts w:hint="eastAsia"/>
          <w:color w:val="auto"/>
          <w:highlight w:val="none"/>
        </w:rPr>
        <w:t>物资</w:t>
      </w:r>
      <w:r>
        <w:rPr>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8.</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olor w:val="auto"/>
          <w:highlight w:val="none"/>
          <w:u w:val="single"/>
        </w:rPr>
        <w:t>（填写）</w:t>
      </w:r>
      <w:r>
        <w:rPr>
          <w:rFonts w:hint="eastAsia" w:ascii="宋体" w:hAnsi="宋体" w:cs="Arial"/>
          <w:color w:val="auto"/>
          <w:highlight w:val="none"/>
        </w:rPr>
        <w:t xml:space="preserve">份，甲方持 </w:t>
      </w:r>
      <w:r>
        <w:rPr>
          <w:rFonts w:hint="eastAsia" w:ascii="宋体" w:hAnsi="宋体"/>
          <w:color w:val="auto"/>
          <w:highlight w:val="none"/>
          <w:u w:val="single"/>
        </w:rPr>
        <w:t>（填写）</w:t>
      </w:r>
      <w:r>
        <w:rPr>
          <w:rFonts w:hint="eastAsia" w:ascii="宋体" w:hAnsi="宋体" w:cs="Arial"/>
          <w:color w:val="auto"/>
          <w:highlight w:val="none"/>
        </w:rPr>
        <w:t>份，乙方持</w:t>
      </w:r>
      <w:r>
        <w:rPr>
          <w:rFonts w:hint="eastAsia" w:ascii="宋体" w:hAnsi="宋体"/>
          <w:color w:val="auto"/>
          <w:highlight w:val="none"/>
          <w:u w:val="single"/>
        </w:rPr>
        <w:t>（填写）</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11.本合同协议书经双方法定代表人或授权代表签字并加盖单位公章后生效。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12.</w:t>
      </w:r>
      <w:r>
        <w:rPr>
          <w:rFonts w:hint="eastAsia"/>
          <w:color w:val="auto"/>
          <w:highlight w:val="none"/>
        </w:rPr>
        <w:t xml:space="preserve"> 合同未尽事宜，双方另行签订补充协议。</w:t>
      </w:r>
    </w:p>
    <w:p>
      <w:pPr>
        <w:spacing w:before="0" w:after="0" w:afterAutospacing="0"/>
        <w:ind w:left="0" w:right="0" w:firstLine="420" w:firstLineChars="200"/>
        <w:rPr>
          <w:rFonts w:ascii="宋体" w:hAnsi="宋体" w:cs="Arial"/>
          <w:color w:val="auto"/>
          <w:highlight w:val="none"/>
        </w:rPr>
      </w:pPr>
    </w:p>
    <w:tbl>
      <w:tblPr>
        <w:tblStyle w:val="28"/>
        <w:tblW w:w="0" w:type="auto"/>
        <w:tblInd w:w="0" w:type="dxa"/>
        <w:tblLayout w:type="autofit"/>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0" w:type="auto"/>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甲方：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地址：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0" w:type="auto"/>
          </w:tcPr>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r>
        <w:tblPrEx>
          <w:tblCellMar>
            <w:top w:w="0" w:type="dxa"/>
            <w:left w:w="108" w:type="dxa"/>
            <w:bottom w:w="0" w:type="dxa"/>
            <w:right w:w="108" w:type="dxa"/>
          </w:tblCellMar>
        </w:tblPrEx>
        <w:trPr>
          <w:trHeight w:val="340" w:hRule="atLeast"/>
        </w:trPr>
        <w:tc>
          <w:tcPr>
            <w:tcW w:w="0" w:type="auto"/>
          </w:tcPr>
          <w:p>
            <w:pPr>
              <w:pStyle w:val="2"/>
              <w:spacing w:before="0" w:after="0"/>
              <w:ind w:right="0"/>
              <w:rPr>
                <w:rFonts w:hAnsi="宋体" w:cs="Courier New"/>
                <w:color w:val="auto"/>
                <w:sz w:val="21"/>
                <w:szCs w:val="21"/>
                <w:highlight w:val="none"/>
              </w:rPr>
            </w:pPr>
          </w:p>
        </w:tc>
        <w:tc>
          <w:tcPr>
            <w:tcW w:w="0" w:type="auto"/>
          </w:tcPr>
          <w:p>
            <w:pPr>
              <w:pStyle w:val="2"/>
              <w:spacing w:before="0" w:after="0"/>
              <w:ind w:left="708" w:right="0" w:hanging="707"/>
              <w:rPr>
                <w:rFonts w:hAnsi="宋体" w:cs="Courier New"/>
                <w:color w:val="auto"/>
                <w:sz w:val="21"/>
                <w:szCs w:val="21"/>
                <w:highlight w:val="none"/>
              </w:rPr>
            </w:pPr>
          </w:p>
        </w:tc>
      </w:tr>
    </w:tbl>
    <w:p>
      <w:pPr>
        <w:spacing w:before="0" w:after="0"/>
        <w:ind w:left="699" w:leftChars="333" w:right="0" w:firstLine="930" w:firstLineChars="441"/>
        <w:rPr>
          <w:rFonts w:ascii="宋体" w:hAnsi="宋体"/>
          <w:b/>
          <w:color w:val="auto"/>
          <w:highlight w:val="none"/>
        </w:rPr>
      </w:pPr>
      <w:r>
        <w:rPr>
          <w:rFonts w:hint="eastAsia" w:ascii="宋体" w:hAnsi="宋体"/>
          <w:b/>
          <w:color w:val="auto"/>
          <w:highlight w:val="none"/>
        </w:rPr>
        <w:t>签订时间：     年   月   日</w:t>
      </w: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84" w:name="_Toc29450"/>
      <w:bookmarkStart w:id="185" w:name="_Toc16982"/>
      <w:bookmarkStart w:id="186" w:name="_Toc24993"/>
      <w:bookmarkStart w:id="187" w:name="_Toc92268619"/>
      <w:bookmarkStart w:id="188" w:name="_Toc4837"/>
      <w:bookmarkStart w:id="189" w:name="_Toc20023"/>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84"/>
      <w:bookmarkEnd w:id="185"/>
      <w:bookmarkEnd w:id="186"/>
      <w:bookmarkEnd w:id="187"/>
      <w:bookmarkEnd w:id="188"/>
      <w:bookmarkEnd w:id="189"/>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pageBreakBefore/>
        <w:spacing w:before="40" w:after="40" w:line="240" w:lineRule="auto"/>
        <w:jc w:val="center"/>
        <w:rPr>
          <w:rFonts w:ascii="Times New Roman" w:hAnsi="Times New Roman" w:eastAsia="宋体"/>
          <w:color w:val="auto"/>
          <w:highlight w:val="none"/>
        </w:rPr>
      </w:pPr>
      <w:bookmarkStart w:id="190" w:name="_Toc27855"/>
      <w:bookmarkStart w:id="191" w:name="_Toc92268620"/>
      <w:bookmarkStart w:id="192" w:name="_Toc551"/>
      <w:bookmarkStart w:id="193" w:name="_Toc12606"/>
      <w:bookmarkStart w:id="194" w:name="_Toc22099"/>
      <w:bookmarkStart w:id="195" w:name="_Toc3157"/>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90"/>
      <w:bookmarkEnd w:id="191"/>
      <w:bookmarkEnd w:id="192"/>
      <w:bookmarkEnd w:id="193"/>
      <w:bookmarkEnd w:id="194"/>
      <w:bookmarkEnd w:id="195"/>
    </w:p>
    <w:p>
      <w:pPr>
        <w:pStyle w:val="55"/>
        <w:adjustRightInd/>
        <w:spacing w:before="0" w:after="0" w:line="360" w:lineRule="auto"/>
        <w:ind w:left="0" w:right="0"/>
        <w:rPr>
          <w:rFonts w:ascii="宋体" w:hAnsi="宋体"/>
          <w:color w:val="auto"/>
          <w:sz w:val="21"/>
          <w:szCs w:val="21"/>
          <w:highlight w:val="none"/>
        </w:rPr>
      </w:pPr>
    </w:p>
    <w:p>
      <w:pPr>
        <w:pStyle w:val="6"/>
        <w:rPr>
          <w:rFonts w:ascii="宋体" w:hAnsi="宋体"/>
          <w:b w:val="0"/>
          <w:color w:val="auto"/>
          <w:sz w:val="21"/>
          <w:szCs w:val="21"/>
          <w:highlight w:val="none"/>
        </w:rPr>
      </w:pPr>
      <w:bookmarkStart w:id="196" w:name="_Toc92268621"/>
      <w:r>
        <w:rPr>
          <w:rFonts w:ascii="宋体" w:hAnsi="宋体"/>
          <w:b w:val="0"/>
          <w:color w:val="auto"/>
          <w:highlight w:val="none"/>
        </w:rPr>
        <w:t>1</w:t>
      </w:r>
      <w:r>
        <w:rPr>
          <w:rFonts w:hint="eastAsia" w:ascii="宋体" w:hAnsi="宋体"/>
          <w:b w:val="0"/>
          <w:color w:val="auto"/>
          <w:highlight w:val="none"/>
        </w:rPr>
        <w:t>.税率确认函</w:t>
      </w:r>
      <w:bookmarkEnd w:id="196"/>
    </w:p>
    <w:p>
      <w:pPr>
        <w:pStyle w:val="6"/>
        <w:rPr>
          <w:rFonts w:ascii="宋体" w:hAnsi="宋体"/>
          <w:b w:val="0"/>
          <w:color w:val="auto"/>
          <w:highlight w:val="none"/>
        </w:rPr>
      </w:pPr>
      <w:bookmarkStart w:id="197" w:name="_Toc92268622"/>
      <w:r>
        <w:rPr>
          <w:rFonts w:hint="eastAsia" w:ascii="宋体" w:hAnsi="宋体"/>
          <w:b w:val="0"/>
          <w:color w:val="auto"/>
          <w:highlight w:val="none"/>
        </w:rPr>
        <w:t>2.中选文件分项报价表</w:t>
      </w:r>
      <w:bookmarkEnd w:id="197"/>
    </w:p>
    <w:p>
      <w:pPr>
        <w:pStyle w:val="6"/>
        <w:rPr>
          <w:rFonts w:ascii="宋体" w:hAnsi="宋体"/>
          <w:b w:val="0"/>
          <w:color w:val="auto"/>
          <w:highlight w:val="none"/>
        </w:rPr>
      </w:pPr>
      <w:bookmarkStart w:id="198" w:name="_Toc92268623"/>
      <w:r>
        <w:rPr>
          <w:rFonts w:hint="eastAsia" w:ascii="宋体" w:hAnsi="宋体"/>
          <w:b w:val="0"/>
          <w:color w:val="auto"/>
          <w:highlight w:val="none"/>
        </w:rPr>
        <w:t>3.含税分项报价汇总表</w:t>
      </w:r>
      <w:bookmarkEnd w:id="198"/>
    </w:p>
    <w:p>
      <w:pPr>
        <w:pStyle w:val="6"/>
        <w:rPr>
          <w:color w:val="auto"/>
          <w:highlight w:val="none"/>
        </w:rPr>
      </w:pPr>
      <w:r>
        <w:rPr>
          <w:rFonts w:hint="eastAsia" w:ascii="宋体" w:hAnsi="宋体"/>
          <w:b w:val="0"/>
          <w:color w:val="auto"/>
          <w:highlight w:val="none"/>
        </w:rPr>
        <w:t>4.含税分项分线报价表</w:t>
      </w:r>
    </w:p>
    <w:p>
      <w:pPr>
        <w:pStyle w:val="55"/>
        <w:adjustRightInd/>
        <w:spacing w:before="0" w:after="0" w:line="360" w:lineRule="auto"/>
        <w:ind w:left="0" w:right="0"/>
        <w:rPr>
          <w:rFonts w:ascii="宋体" w:hAnsi="宋体"/>
          <w:color w:val="auto"/>
          <w:sz w:val="21"/>
          <w:szCs w:val="21"/>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附件3.1 含税分项报价汇总表</w:t>
      </w: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含税分项报价汇总表</w:t>
      </w:r>
    </w:p>
    <w:p>
      <w:pPr>
        <w:spacing w:before="0" w:after="0" w:afterAutospacing="0"/>
        <w:ind w:left="0" w:right="0" w:firstLine="0"/>
        <w:rPr>
          <w:rFonts w:ascii="宋体" w:hAnsi="宋体"/>
          <w:color w:val="auto"/>
          <w:highlight w:val="none"/>
        </w:rPr>
      </w:pPr>
    </w:p>
    <w:tbl>
      <w:tblPr>
        <w:tblStyle w:val="28"/>
        <w:tblW w:w="7084" w:type="dxa"/>
        <w:jc w:val="center"/>
        <w:tblLayout w:type="fixed"/>
        <w:tblCellMar>
          <w:top w:w="0" w:type="dxa"/>
          <w:left w:w="108" w:type="dxa"/>
          <w:bottom w:w="0" w:type="dxa"/>
          <w:right w:w="108" w:type="dxa"/>
        </w:tblCellMar>
      </w:tblPr>
      <w:tblGrid>
        <w:gridCol w:w="594"/>
        <w:gridCol w:w="639"/>
        <w:gridCol w:w="639"/>
        <w:gridCol w:w="639"/>
        <w:gridCol w:w="638"/>
        <w:gridCol w:w="638"/>
        <w:gridCol w:w="669"/>
        <w:gridCol w:w="550"/>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lang w:val="en-US" w:eastAsia="zh-CN"/>
              </w:rPr>
              <w:t>5</w:t>
            </w:r>
            <w:r>
              <w:rPr>
                <w:rFonts w:hint="eastAsia" w:ascii="宋体" w:hAnsi="宋体"/>
                <w:color w:val="auto"/>
                <w:sz w:val="15"/>
                <w:szCs w:val="15"/>
                <w:highlight w:val="none"/>
              </w:rPr>
              <w:t>号线</w:t>
            </w:r>
          </w:p>
        </w:tc>
        <w:tc>
          <w:tcPr>
            <w:tcW w:w="66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不含税单价(元)</w:t>
            </w:r>
            <w:r>
              <w:rPr>
                <w:rFonts w:hint="eastAsia" w:ascii="宋体" w:hAnsi="宋体" w:eastAsia="宋体" w:cs="宋体"/>
                <w:color w:val="auto"/>
                <w:sz w:val="15"/>
                <w:szCs w:val="15"/>
                <w:highlight w:val="none"/>
              </w:rPr>
              <w:t>②</w:t>
            </w:r>
          </w:p>
        </w:tc>
        <w:tc>
          <w:tcPr>
            <w:tcW w:w="550"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不含税合价(元)</w:t>
            </w:r>
            <w:r>
              <w:rPr>
                <w:rFonts w:hint="eastAsia" w:ascii="宋体" w:hAnsi="宋体" w:eastAsia="宋体" w:cs="宋体"/>
                <w:color w:val="auto"/>
                <w:sz w:val="15"/>
                <w:szCs w:val="15"/>
                <w:highlight w:val="none"/>
              </w:rPr>
              <w:t>③</w:t>
            </w:r>
            <w:r>
              <w:rPr>
                <w:rFonts w:hint="eastAsia" w:ascii="宋体" w:hAnsi="宋体"/>
                <w:color w:val="auto"/>
                <w:sz w:val="15"/>
                <w:szCs w:val="15"/>
                <w:highlight w:val="none"/>
              </w:rPr>
              <w:t>=</w:t>
            </w:r>
            <w:r>
              <w:rPr>
                <w:rFonts w:hint="eastAsia" w:ascii="宋体" w:hAnsi="宋体" w:eastAsia="宋体" w:cs="宋体"/>
                <w:color w:val="auto"/>
                <w:sz w:val="15"/>
                <w:szCs w:val="15"/>
                <w:highlight w:val="none"/>
              </w:rPr>
              <w:t>②</w:t>
            </w:r>
            <w:r>
              <w:rPr>
                <w:rFonts w:hint="eastAsia" w:ascii="宋体" w:hAnsi="宋体"/>
                <w:color w:val="auto"/>
                <w:sz w:val="15"/>
                <w:szCs w:val="15"/>
                <w:highlight w:val="none"/>
              </w:rPr>
              <w:t>×</w:t>
            </w:r>
            <w:r>
              <w:rPr>
                <w:rFonts w:hint="eastAsia" w:ascii="宋体" w:hAnsi="宋体" w:eastAsia="宋体" w:cs="宋体"/>
                <w:color w:val="auto"/>
                <w:sz w:val="15"/>
                <w:szCs w:val="15"/>
                <w:highlight w:val="none"/>
              </w:rPr>
              <w:t>①</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color w:val="auto"/>
                <w:sz w:val="15"/>
                <w:szCs w:val="15"/>
                <w:highlight w:val="none"/>
              </w:rPr>
            </w:pPr>
            <w:r>
              <w:rPr>
                <w:rFonts w:hint="eastAsia" w:ascii="宋体" w:hAnsi="宋体"/>
                <w:color w:val="auto"/>
                <w:sz w:val="15"/>
                <w:szCs w:val="15"/>
                <w:highlight w:val="none"/>
              </w:rPr>
              <w:t>税率</w:t>
            </w:r>
            <w:r>
              <w:rPr>
                <w:rFonts w:hint="eastAsia" w:ascii="宋体" w:hAnsi="宋体" w:eastAsia="宋体" w:cs="宋体"/>
                <w:color w:val="auto"/>
                <w:sz w:val="15"/>
                <w:szCs w:val="15"/>
                <w:highlight w:val="none"/>
              </w:rPr>
              <w:t>④</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 xml:space="preserve">含税单价(元) </w:t>
            </w:r>
            <w:r>
              <w:rPr>
                <w:rFonts w:hint="eastAsia" w:ascii="宋体" w:hAnsi="宋体" w:eastAsia="宋体" w:cs="宋体"/>
                <w:color w:val="auto"/>
                <w:sz w:val="15"/>
                <w:szCs w:val="15"/>
                <w:highlight w:val="none"/>
              </w:rPr>
              <w:t>⑤</w:t>
            </w:r>
            <w:r>
              <w:rPr>
                <w:rFonts w:hint="eastAsia" w:ascii="宋体" w:hAnsi="宋体"/>
                <w:color w:val="auto"/>
                <w:sz w:val="15"/>
                <w:szCs w:val="15"/>
                <w:highlight w:val="none"/>
              </w:rPr>
              <w:t>=</w:t>
            </w:r>
            <w:r>
              <w:rPr>
                <w:rFonts w:hint="eastAsia" w:ascii="宋体" w:hAnsi="宋体" w:eastAsia="宋体" w:cs="宋体"/>
                <w:color w:val="auto"/>
                <w:sz w:val="15"/>
                <w:szCs w:val="15"/>
                <w:highlight w:val="none"/>
              </w:rPr>
              <w:t>②</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(1+</w:t>
            </w:r>
            <w:r>
              <w:rPr>
                <w:rFonts w:hint="eastAsia" w:ascii="宋体" w:hAnsi="宋体" w:eastAsia="宋体" w:cs="宋体"/>
                <w:color w:val="auto"/>
                <w:sz w:val="15"/>
                <w:szCs w:val="15"/>
                <w:highlight w:val="none"/>
              </w:rPr>
              <w:t>④</w:t>
            </w:r>
            <w:r>
              <w:rPr>
                <w:rFonts w:hint="eastAsia" w:ascii="宋体" w:hAnsi="宋体" w:cs="宋体"/>
                <w:color w:val="auto"/>
                <w:sz w:val="15"/>
                <w:szCs w:val="15"/>
                <w:highlight w:val="none"/>
                <w:lang w:val="en-US" w:eastAsia="zh-CN"/>
              </w:rPr>
              <w:t>)</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w:t>
            </w:r>
            <w:r>
              <w:rPr>
                <w:rFonts w:hint="eastAsia" w:ascii="宋体" w:hAnsi="宋体" w:eastAsia="宋体" w:cs="宋体"/>
                <w:color w:val="auto"/>
                <w:sz w:val="15"/>
                <w:szCs w:val="15"/>
                <w:highlight w:val="none"/>
              </w:rPr>
              <w:t>税合价(元)</w:t>
            </w:r>
            <w:r>
              <w:rPr>
                <w:rFonts w:hint="eastAsia" w:ascii="微软雅黑" w:hAnsi="微软雅黑" w:eastAsia="微软雅黑" w:cs="微软雅黑"/>
                <w:color w:val="auto"/>
                <w:sz w:val="15"/>
                <w:szCs w:val="15"/>
                <w:highlight w:val="none"/>
              </w:rPr>
              <w:t>⑥</w:t>
            </w:r>
            <w:r>
              <w:rPr>
                <w:rFonts w:hint="eastAsia" w:ascii="宋体" w:hAnsi="宋体" w:eastAsia="宋体" w:cs="宋体"/>
                <w:color w:val="auto"/>
                <w:sz w:val="15"/>
                <w:szCs w:val="15"/>
                <w:highlight w:val="none"/>
              </w:rPr>
              <w:t>=⑤×①</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数量①</w:t>
            </w:r>
          </w:p>
        </w:tc>
        <w:tc>
          <w:tcPr>
            <w:tcW w:w="669"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50"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1104"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号线小计</w:t>
            </w:r>
          </w:p>
          <w:p>
            <w:pPr>
              <w:ind w:left="0" w:firstLine="0"/>
              <w:jc w:val="center"/>
              <w:rPr>
                <w:rFonts w:ascii="宋体" w:hAnsi="宋体"/>
                <w:color w:val="auto"/>
                <w:sz w:val="18"/>
                <w:szCs w:val="18"/>
                <w:highlight w:val="none"/>
              </w:rPr>
            </w:pPr>
          </w:p>
        </w:tc>
        <w:tc>
          <w:tcPr>
            <w:tcW w:w="639"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p>
        </w:tc>
        <w:tc>
          <w:tcPr>
            <w:tcW w:w="6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合计</w:t>
            </w:r>
          </w:p>
          <w:p>
            <w:pPr>
              <w:jc w:val="center"/>
              <w:rPr>
                <w:color w:val="auto"/>
                <w:highlight w:val="none"/>
              </w:rPr>
            </w:pPr>
          </w:p>
        </w:tc>
        <w:tc>
          <w:tcPr>
            <w:tcW w:w="639"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rPr>
                <w:rFonts w:ascii="Times New Roman" w:hAnsi="Times New Roman" w:eastAsia="宋体" w:cs="Times New Roman"/>
                <w:color w:val="auto"/>
                <w:sz w:val="21"/>
                <w:szCs w:val="21"/>
                <w:highlight w:val="none"/>
                <w:lang w:val="en-US" w:eastAsia="zh-CN" w:bidi="ar-SA"/>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rPr>
                <w:rFonts w:ascii="Times New Roman" w:hAnsi="Times New Roman" w:eastAsia="宋体" w:cs="Times New Roman"/>
                <w:color w:val="auto"/>
                <w:sz w:val="21"/>
                <w:szCs w:val="21"/>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709" w:leftChars="0" w:right="-27" w:rightChars="0" w:hanging="709" w:firstLineChars="0"/>
              <w:jc w:val="center"/>
              <w:rPr>
                <w:rFonts w:ascii="Times New Roman" w:hAnsi="Times New Roman" w:eastAsia="宋体" w:cs="Times New Roman"/>
                <w:color w:val="auto"/>
                <w:sz w:val="21"/>
                <w:szCs w:val="21"/>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p>
        </w:tc>
        <w:tc>
          <w:tcPr>
            <w:tcW w:w="6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2"/>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2"/>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w:t>
      </w:r>
      <w:r>
        <w:rPr>
          <w:rFonts w:hint="eastAsia" w:ascii="宋体" w:hAnsi="宋体"/>
          <w:color w:val="auto"/>
          <w:highlight w:val="none"/>
          <w:lang w:val="en-US" w:eastAsia="zh-CN"/>
        </w:rPr>
        <w:t>选</w:t>
      </w:r>
      <w:r>
        <w:rPr>
          <w:rFonts w:hint="eastAsia" w:ascii="宋体" w:hAnsi="宋体"/>
          <w:color w:val="auto"/>
          <w:highlight w:val="none"/>
        </w:rPr>
        <w:t>不含税价格及乙方《税率确认函》内容补充了含税价格，其他内容按</w:t>
      </w:r>
      <w:r>
        <w:rPr>
          <w:rFonts w:hint="eastAsia" w:ascii="宋体" w:hAnsi="宋体"/>
          <w:color w:val="auto"/>
          <w:highlight w:val="none"/>
          <w:lang w:val="en-US" w:eastAsia="zh-CN"/>
        </w:rPr>
        <w:t>中选</w:t>
      </w:r>
      <w:r>
        <w:rPr>
          <w:rFonts w:hint="eastAsia" w:ascii="宋体" w:hAnsi="宋体"/>
          <w:color w:val="auto"/>
          <w:highlight w:val="none"/>
        </w:rPr>
        <w:t>人</w:t>
      </w:r>
      <w:r>
        <w:rPr>
          <w:rFonts w:hint="eastAsia" w:ascii="宋体" w:hAnsi="宋体"/>
          <w:color w:val="auto"/>
          <w:highlight w:val="none"/>
          <w:lang w:val="en-US" w:eastAsia="zh-CN"/>
        </w:rPr>
        <w:t>中选</w:t>
      </w:r>
      <w:r>
        <w:rPr>
          <w:rFonts w:hint="eastAsia" w:ascii="宋体" w:hAnsi="宋体"/>
          <w:color w:val="auto"/>
          <w:highlight w:val="none"/>
        </w:rPr>
        <w:t>文件的分项报价表执行。</w:t>
      </w:r>
    </w:p>
    <w:p>
      <w:pPr>
        <w:spacing w:before="0" w:after="0" w:afterAutospacing="0"/>
        <w:ind w:right="0" w:firstLine="0"/>
        <w:jc w:val="center"/>
        <w:rPr>
          <w:rFonts w:ascii="宋体" w:hAnsi="宋体"/>
          <w:b/>
          <w:color w:val="auto"/>
          <w:sz w:val="24"/>
          <w:szCs w:val="24"/>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附件3.2 含税分项分线报价表</w:t>
      </w:r>
    </w:p>
    <w:p>
      <w:pPr>
        <w:pStyle w:val="2"/>
        <w:rPr>
          <w:color w:val="auto"/>
          <w:highlight w:val="none"/>
        </w:rPr>
      </w:pP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含税分项分线报价表（</w:t>
      </w:r>
      <w:r>
        <w:rPr>
          <w:rFonts w:hint="eastAsia" w:ascii="宋体" w:hAnsi="宋体"/>
          <w:b/>
          <w:color w:val="auto"/>
          <w:sz w:val="24"/>
          <w:szCs w:val="24"/>
          <w:highlight w:val="none"/>
          <w:u w:val="single"/>
        </w:rPr>
        <w:t>（填写）</w:t>
      </w:r>
      <w:r>
        <w:rPr>
          <w:rFonts w:hint="eastAsia" w:ascii="宋体" w:hAnsi="宋体"/>
          <w:b/>
          <w:color w:val="auto"/>
          <w:sz w:val="24"/>
          <w:szCs w:val="24"/>
          <w:highlight w:val="none"/>
        </w:rPr>
        <w:t>号线）</w:t>
      </w:r>
    </w:p>
    <w:p>
      <w:pPr>
        <w:spacing w:before="0" w:after="0" w:afterAutospacing="0"/>
        <w:ind w:left="0" w:right="0" w:firstLine="0"/>
        <w:rPr>
          <w:rFonts w:ascii="宋体" w:hAnsi="宋体"/>
          <w:color w:val="auto"/>
          <w:highlight w:val="none"/>
        </w:rPr>
      </w:pPr>
    </w:p>
    <w:tbl>
      <w:tblPr>
        <w:tblStyle w:val="28"/>
        <w:tblW w:w="8461" w:type="dxa"/>
        <w:jc w:val="center"/>
        <w:tblLayout w:type="fixed"/>
        <w:tblCellMar>
          <w:top w:w="0" w:type="dxa"/>
          <w:left w:w="108" w:type="dxa"/>
          <w:bottom w:w="0" w:type="dxa"/>
          <w:right w:w="108" w:type="dxa"/>
        </w:tblCellMar>
      </w:tblPr>
      <w:tblGrid>
        <w:gridCol w:w="598"/>
        <w:gridCol w:w="709"/>
        <w:gridCol w:w="567"/>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货物名称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0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2996"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olor w:val="auto"/>
                <w:highlight w:val="none"/>
              </w:rPr>
            </w:pPr>
            <w:r>
              <w:rPr>
                <w:rFonts w:hint="eastAsia" w:ascii="宋体" w:hAnsi="宋体"/>
                <w:color w:val="auto"/>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1"/>
          <w:numId w:val="0"/>
        </w:num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含税价格计算保留小数点后两位，含税合价为单价与数量的乘积，合同总价为分项合价之和。</w:t>
      </w:r>
    </w:p>
    <w:p>
      <w:pPr>
        <w:numPr>
          <w:ilvl w:val="-1"/>
          <w:numId w:val="0"/>
        </w:num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本表仅依据中选不含税价格及乙方《税率确认函》内容补充了含税价格，其他内容按</w:t>
      </w:r>
      <w:r>
        <w:rPr>
          <w:rFonts w:hint="eastAsia" w:ascii="宋体" w:hAnsi="宋体"/>
          <w:color w:val="auto"/>
          <w:highlight w:val="none"/>
          <w:lang w:val="en-US" w:eastAsia="zh-CN"/>
        </w:rPr>
        <w:t>中选</w:t>
      </w:r>
      <w:r>
        <w:rPr>
          <w:rFonts w:hint="eastAsia" w:ascii="宋体" w:hAnsi="宋体"/>
          <w:color w:val="auto"/>
          <w:highlight w:val="none"/>
        </w:rPr>
        <w:t>人</w:t>
      </w:r>
      <w:r>
        <w:rPr>
          <w:rFonts w:hint="eastAsia" w:ascii="宋体" w:hAnsi="宋体"/>
          <w:color w:val="auto"/>
          <w:highlight w:val="none"/>
          <w:lang w:val="en-US" w:eastAsia="zh-CN"/>
        </w:rPr>
        <w:t>中选</w:t>
      </w:r>
      <w:r>
        <w:rPr>
          <w:rFonts w:hint="eastAsia" w:ascii="宋体" w:hAnsi="宋体"/>
          <w:color w:val="auto"/>
          <w:highlight w:val="none"/>
        </w:rPr>
        <w:t>文件的分项报价表执行。</w:t>
      </w:r>
    </w:p>
    <w:p>
      <w:pPr>
        <w:spacing w:before="0" w:after="0" w:afterAutospacing="0"/>
        <w:ind w:right="0"/>
        <w:rPr>
          <w:rFonts w:ascii="宋体" w:hAnsi="宋体"/>
          <w:color w:val="auto"/>
          <w:highlight w:val="none"/>
        </w:rPr>
      </w:pPr>
    </w:p>
    <w:p>
      <w:pPr>
        <w:spacing w:before="0" w:after="0"/>
        <w:ind w:left="699" w:leftChars="333" w:right="0" w:firstLine="930" w:firstLineChars="441"/>
        <w:rPr>
          <w:rFonts w:ascii="宋体" w:hAnsi="宋体"/>
          <w:b/>
          <w:color w:val="auto"/>
          <w:highlight w:val="none"/>
        </w:rPr>
      </w:pPr>
    </w:p>
    <w:p>
      <w:pPr>
        <w:spacing w:before="0" w:after="0"/>
        <w:ind w:left="699" w:leftChars="333" w:right="0" w:firstLine="930" w:firstLineChars="441"/>
        <w:rPr>
          <w:rFonts w:ascii="宋体" w:hAnsi="宋体"/>
          <w:b/>
          <w:color w:val="auto"/>
          <w:highlight w:val="none"/>
          <w:u w:val="single"/>
        </w:rPr>
      </w:pPr>
    </w:p>
    <w:p>
      <w:pPr>
        <w:pageBreakBefore/>
        <w:spacing w:before="0"/>
        <w:ind w:left="811" w:right="0" w:hanging="811" w:hangingChars="338"/>
        <w:jc w:val="center"/>
        <w:outlineLvl w:val="1"/>
        <w:rPr>
          <w:rFonts w:ascii="宋体" w:hAnsi="宋体"/>
          <w:color w:val="auto"/>
          <w:sz w:val="24"/>
          <w:szCs w:val="24"/>
          <w:highlight w:val="none"/>
        </w:rPr>
      </w:pPr>
      <w:bookmarkStart w:id="199" w:name="_Toc2463"/>
      <w:bookmarkStart w:id="200" w:name="_Toc14493"/>
      <w:bookmarkStart w:id="201" w:name="_Toc8540"/>
      <w:bookmarkStart w:id="202" w:name="_Toc2563"/>
      <w:bookmarkStart w:id="203" w:name="_Toc16006"/>
      <w:bookmarkStart w:id="204" w:name="_Toc28024"/>
      <w:bookmarkStart w:id="205" w:name="_Toc385427838"/>
      <w:bookmarkStart w:id="206" w:name="_Toc12256"/>
      <w:bookmarkStart w:id="207" w:name="_Toc10730"/>
      <w:bookmarkStart w:id="208" w:name="_Toc31691"/>
      <w:bookmarkStart w:id="209" w:name="_Toc15707"/>
      <w:bookmarkStart w:id="210" w:name="_Toc22880"/>
      <w:bookmarkStart w:id="211" w:name="_Toc378514952"/>
      <w:bookmarkStart w:id="212" w:name="_Toc43"/>
      <w:bookmarkStart w:id="213" w:name="_Toc370933855"/>
      <w:bookmarkStart w:id="214" w:name="_Toc18727"/>
      <w:bookmarkStart w:id="215" w:name="_Toc390098464"/>
      <w:bookmarkStart w:id="216" w:name="_Toc19920"/>
      <w:bookmarkStart w:id="217" w:name="_Toc25750635"/>
      <w:bookmarkStart w:id="218" w:name="_Toc4032"/>
      <w:bookmarkStart w:id="219" w:name="_Toc2614"/>
      <w:bookmarkStart w:id="220" w:name="_Toc6054"/>
      <w:bookmarkStart w:id="221" w:name="_Toc492478763"/>
      <w:bookmarkStart w:id="222" w:name="_Toc29932"/>
      <w:bookmarkStart w:id="223" w:name="_Toc14287"/>
      <w:bookmarkStart w:id="224" w:name="_Toc20484"/>
      <w:bookmarkStart w:id="225" w:name="_Toc12080"/>
      <w:bookmarkStart w:id="226" w:name="_Toc7961"/>
      <w:bookmarkStart w:id="227" w:name="_Toc25643"/>
      <w:r>
        <w:rPr>
          <w:rFonts w:hint="eastAsia" w:ascii="宋体" w:hAnsi="宋体"/>
          <w:color w:val="auto"/>
          <w:sz w:val="24"/>
          <w:szCs w:val="24"/>
          <w:highlight w:val="none"/>
        </w:rPr>
        <w:t>第四部分 合同条款</w:t>
      </w:r>
      <w:bookmarkEnd w:id="199"/>
      <w:bookmarkEnd w:id="200"/>
      <w:bookmarkEnd w:id="201"/>
      <w:bookmarkEnd w:id="202"/>
      <w:bookmarkEnd w:id="203"/>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“货物”系指乙方</w:t>
      </w:r>
      <w:r>
        <w:rPr>
          <w:rFonts w:hint="eastAsia" w:ascii="宋体" w:hAnsi="宋体"/>
          <w:color w:val="auto"/>
          <w:highlight w:val="none"/>
          <w:lang w:eastAsia="zh-CN"/>
        </w:rPr>
        <w:t>按照</w:t>
      </w:r>
      <w:r>
        <w:rPr>
          <w:rFonts w:hint="eastAsia" w:ascii="宋体" w:hAnsi="宋体"/>
          <w:color w:val="auto"/>
          <w:highlight w:val="none"/>
        </w:rPr>
        <w:t>合同规定向甲方提供的货物、材料、机械、仪器仪表、工具、软件、手册及其它有关资料等。</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val="en-US" w:eastAsia="zh-CN"/>
        </w:rPr>
        <w:t>乙方</w:t>
      </w:r>
      <w:r>
        <w:rPr>
          <w:rFonts w:hint="eastAsia" w:ascii="宋体" w:hAnsi="宋体"/>
          <w:color w:val="auto"/>
          <w:highlight w:val="none"/>
        </w:rPr>
        <w:t>须向</w:t>
      </w:r>
      <w:r>
        <w:rPr>
          <w:rFonts w:hint="eastAsia" w:ascii="宋体" w:hAnsi="宋体"/>
          <w:color w:val="auto"/>
          <w:highlight w:val="none"/>
          <w:lang w:val="en-US" w:eastAsia="zh-CN"/>
        </w:rPr>
        <w:t>甲方</w:t>
      </w:r>
      <w:r>
        <w:rPr>
          <w:rFonts w:hint="eastAsia" w:ascii="宋体" w:hAnsi="宋体"/>
          <w:color w:val="auto"/>
          <w:highlight w:val="none"/>
        </w:rPr>
        <w:t>提供的用于系统维护、更换、修复的零部件、材料。</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“专用工具及仪器仪表”系指乙方人须向甲方提供的用于系统维护、更换、修复的专用工具及仪器仪表。</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w:t>
      </w:r>
      <w:r>
        <w:rPr>
          <w:rFonts w:hint="eastAsia" w:ascii="宋体" w:hAnsi="宋体"/>
          <w:color w:val="auto"/>
          <w:highlight w:val="none"/>
          <w:lang w:val="en-US" w:eastAsia="zh-CN"/>
        </w:rPr>
        <w:t>比选</w:t>
      </w:r>
      <w:r>
        <w:rPr>
          <w:rFonts w:hint="eastAsia" w:ascii="宋体" w:hAnsi="宋体"/>
          <w:color w:val="auto"/>
          <w:highlight w:val="none"/>
        </w:rPr>
        <w:t>文件规定乙方须承担的与供货有关的辅助服务，包括但不限于详细设计、设计联络、设备及材料的软硬件开发与制造、深化设计、</w:t>
      </w:r>
      <w:r>
        <w:rPr>
          <w:rFonts w:hint="eastAsia" w:ascii="宋体" w:hAnsi="宋体" w:cs="Arial"/>
          <w:color w:val="auto"/>
          <w:highlight w:val="none"/>
        </w:rPr>
        <w:t>系统集成、生产监造、</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工厂测试、出厂检验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消防验收、</w:t>
      </w:r>
      <w:r>
        <w:rPr>
          <w:rFonts w:hint="eastAsia" w:ascii="宋体" w:hAnsi="宋体"/>
          <w:color w:val="auto"/>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并确保系统通过验收及按要求时间节点开通、</w:t>
      </w:r>
      <w:r>
        <w:rPr>
          <w:rFonts w:hint="eastAsia" w:ascii="宋体" w:hAnsi="宋体"/>
          <w:color w:val="auto"/>
          <w:highlight w:val="none"/>
        </w:rPr>
        <w:t>其他伴随服务和</w:t>
      </w:r>
      <w:r>
        <w:rPr>
          <w:rFonts w:hint="eastAsia" w:ascii="宋体" w:hAnsi="宋体"/>
          <w:color w:val="auto"/>
          <w:highlight w:val="none"/>
          <w:lang w:val="en-US" w:eastAsia="zh-CN"/>
        </w:rPr>
        <w:t>乙方</w:t>
      </w:r>
      <w:r>
        <w:rPr>
          <w:rFonts w:hint="eastAsia" w:ascii="宋体" w:hAnsi="宋体"/>
          <w:color w:val="auto"/>
          <w:highlight w:val="none"/>
        </w:rPr>
        <w:t>应承担</w:t>
      </w:r>
      <w:r>
        <w:rPr>
          <w:rFonts w:hint="eastAsia" w:ascii="宋体" w:hAnsi="宋体"/>
          <w:color w:val="auto"/>
          <w:highlight w:val="none"/>
          <w:lang w:eastAsia="zh-CN"/>
        </w:rPr>
        <w:t>的其它</w:t>
      </w:r>
      <w:r>
        <w:rPr>
          <w:rFonts w:hint="eastAsia" w:ascii="宋体" w:hAnsi="宋体"/>
          <w:color w:val="auto"/>
          <w:highlight w:val="none"/>
        </w:rPr>
        <w:t>义务。</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“质量保证期”指合同货物验收合格后，乙方按合同约定保证合同货物正常使用，并负责解决合同货物存在的任何质量问题的期限。</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3"/>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w:t>
      </w:r>
      <w:r>
        <w:rPr>
          <w:rFonts w:hint="eastAsia" w:ascii="宋体" w:hAnsi="宋体" w:cs="Arial"/>
          <w:b/>
          <w:color w:val="auto"/>
          <w:highlight w:val="none"/>
          <w:lang w:val="en-US" w:eastAsia="zh-CN"/>
        </w:rPr>
        <w:t>运营</w:t>
      </w:r>
      <w:r>
        <w:rPr>
          <w:rFonts w:ascii="宋体" w:hAnsi="宋体" w:cs="Arial"/>
          <w:b/>
          <w:color w:val="auto"/>
          <w:highlight w:val="none"/>
        </w:rPr>
        <w:t>有限公司），相关费用包含在乙方的合同价款中，甲方不再另行支付。中华人民共和国强制检定的工作计量器具明细目录内的仪器仪表必须出具第三方计量检定报告。</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“质保期”系指质量三包的期限。</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“保质期”系指在特定的的贮存条件下，保持品质的期限。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w:t>
      </w:r>
      <w:r>
        <w:rPr>
          <w:rFonts w:hint="eastAsia" w:ascii="宋体" w:hAnsi="宋体"/>
          <w:color w:val="auto"/>
          <w:highlight w:val="none"/>
          <w:lang w:eastAsia="zh-CN"/>
        </w:rPr>
        <w:t>及其它所有</w:t>
      </w:r>
      <w:r>
        <w:rPr>
          <w:rFonts w:hint="eastAsia" w:ascii="宋体" w:hAnsi="宋体"/>
          <w:color w:val="auto"/>
          <w:highlight w:val="none"/>
        </w:rPr>
        <w:t>用书面记录的现代通讯方法进行的通讯，包括邮件、电报、电传和传真等发送。</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2.适用性</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w:t>
      </w:r>
      <w:r>
        <w:rPr>
          <w:rFonts w:hint="eastAsia" w:ascii="宋体" w:hAnsi="宋体"/>
          <w:color w:val="auto"/>
          <w:highlight w:val="none"/>
          <w:lang w:eastAsia="zh-CN"/>
        </w:rPr>
        <w:t>其它</w:t>
      </w:r>
      <w:r>
        <w:rPr>
          <w:rFonts w:hint="eastAsia" w:ascii="宋体" w:hAnsi="宋体"/>
          <w:color w:val="auto"/>
          <w:highlight w:val="none"/>
        </w:rPr>
        <w:t>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3.来源地</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4.标准</w:t>
      </w:r>
    </w:p>
    <w:p>
      <w:pPr>
        <w:numPr>
          <w:ilvl w:val="1"/>
          <w:numId w:val="6"/>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6"/>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6"/>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5.合同文件、资料及使用</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w:t>
      </w:r>
      <w:r>
        <w:rPr>
          <w:rFonts w:hint="eastAsia" w:ascii="宋体" w:hAnsi="宋体"/>
          <w:color w:val="auto"/>
          <w:highlight w:val="none"/>
          <w:lang w:val="en-US" w:eastAsia="zh-CN"/>
        </w:rPr>
        <w:t>运营有限</w:t>
      </w:r>
      <w:r>
        <w:rPr>
          <w:rFonts w:hint="eastAsia" w:ascii="宋体" w:hAnsi="宋体"/>
          <w:color w:val="auto"/>
          <w:highlight w:val="none"/>
        </w:rPr>
        <w:t>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6.知识产权</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7.价格</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7.1在合同</w:t>
      </w:r>
      <w:r>
        <w:rPr>
          <w:rFonts w:hint="eastAsia" w:ascii="宋体" w:hAnsi="宋体"/>
          <w:color w:val="auto"/>
          <w:highlight w:val="none"/>
          <w:lang w:val="en-US" w:eastAsia="zh-CN"/>
        </w:rPr>
        <w:t>服务</w:t>
      </w:r>
      <w:r>
        <w:rPr>
          <w:rFonts w:hint="eastAsia" w:ascii="宋体" w:hAnsi="宋体"/>
          <w:color w:val="auto"/>
          <w:highlight w:val="none"/>
        </w:rPr>
        <w:t>期内综合单价（不含增值税）固定不变，乙方根据甲方每批次交货通知中要求的货物种类、数量按时供货据实结算。乙方不得以任何理由予以合同价格上浮、上调、上涨，但如属经双方协商同意变更的情况除外，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xml:space="preserve">  </w:t>
      </w:r>
      <w:r>
        <w:rPr>
          <w:rFonts w:hint="eastAsia" w:ascii="宋体" w:hAnsi="宋体"/>
          <w:color w:val="auto"/>
          <w:highlight w:val="none"/>
        </w:rPr>
        <w:t>%；不含税总金额：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其中</w:t>
      </w:r>
      <w:r>
        <w:rPr>
          <w:rFonts w:hint="eastAsia" w:ascii="宋体" w:hAnsi="宋体"/>
          <w:color w:val="auto"/>
          <w:highlight w:val="none"/>
          <w:lang w:val="en-US" w:eastAsia="zh-CN"/>
        </w:rPr>
        <w:t>5</w:t>
      </w:r>
      <w:r>
        <w:rPr>
          <w:rFonts w:hint="eastAsia" w:ascii="宋体" w:hAnsi="宋体"/>
          <w:color w:val="auto"/>
          <w:highlight w:val="none"/>
        </w:rPr>
        <w:t>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w:t>
      </w:r>
      <w:r>
        <w:rPr>
          <w:rFonts w:ascii="宋体" w:hAnsi="宋体"/>
          <w:color w:val="auto"/>
          <w:highlight w:val="none"/>
        </w:rPr>
        <w:t>…………</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8.合同</w:t>
      </w:r>
      <w:r>
        <w:rPr>
          <w:rFonts w:hint="eastAsia" w:ascii="宋体" w:hAnsi="宋体"/>
          <w:b/>
          <w:color w:val="auto"/>
          <w:highlight w:val="none"/>
          <w:lang w:val="en-US" w:eastAsia="zh-CN"/>
        </w:rPr>
        <w:t>服务</w:t>
      </w:r>
      <w:r>
        <w:rPr>
          <w:rFonts w:hint="eastAsia" w:ascii="宋体" w:hAnsi="宋体"/>
          <w:b/>
          <w:color w:val="auto"/>
          <w:highlight w:val="none"/>
        </w:rPr>
        <w:t>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本合同</w:t>
      </w:r>
      <w:r>
        <w:rPr>
          <w:rFonts w:hint="eastAsia" w:ascii="宋体" w:hAnsi="宋体" w:cs="Arial"/>
          <w:color w:val="auto"/>
          <w:highlight w:val="none"/>
          <w:lang w:val="en-US" w:eastAsia="zh-CN"/>
        </w:rPr>
        <w:t>服务</w:t>
      </w:r>
      <w:r>
        <w:rPr>
          <w:rFonts w:hint="eastAsia" w:ascii="宋体" w:hAnsi="宋体" w:cs="Arial"/>
          <w:color w:val="auto"/>
          <w:highlight w:val="none"/>
        </w:rPr>
        <w:t>期为自合同生效之日起</w:t>
      </w:r>
      <w:r>
        <w:rPr>
          <w:rFonts w:hint="eastAsia" w:ascii="宋体" w:hAnsi="宋体"/>
          <w:color w:val="auto"/>
          <w:highlight w:val="none"/>
          <w:u w:val="single"/>
          <w:lang w:eastAsia="zh-CN"/>
        </w:rPr>
        <w:t>2</w:t>
      </w:r>
      <w:r>
        <w:rPr>
          <w:rFonts w:hint="eastAsia" w:ascii="宋体" w:hAnsi="宋体" w:cs="Arial"/>
          <w:color w:val="auto"/>
          <w:highlight w:val="none"/>
        </w:rPr>
        <w:t>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9.付款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9.1甲方在收到由乙方提供的以下合格材料后4</w:t>
      </w:r>
      <w:r>
        <w:rPr>
          <w:rFonts w:ascii="宋体" w:hAnsi="宋体" w:cs="Arial"/>
          <w:color w:val="auto"/>
          <w:highlight w:val="none"/>
        </w:rPr>
        <w:t>5</w:t>
      </w:r>
      <w:r>
        <w:rPr>
          <w:rFonts w:hint="eastAsia" w:ascii="宋体" w:hAnsi="宋体" w:cs="Arial"/>
          <w:color w:val="auto"/>
          <w:highlight w:val="non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③该批次货物供货通知。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4 \* GB3 \* MERGEFORMAT </w:instrText>
      </w:r>
      <w:r>
        <w:rPr>
          <w:rFonts w:hint="eastAsia" w:ascii="宋体" w:hAnsi="宋体" w:cs="Arial"/>
          <w:color w:val="auto"/>
          <w:highlight w:val="none"/>
        </w:rPr>
        <w:fldChar w:fldCharType="separate"/>
      </w:r>
      <w:r>
        <w:rPr>
          <w:color w:val="auto"/>
          <w:highlight w:val="none"/>
        </w:rPr>
        <w:t>④</w:t>
      </w:r>
      <w:r>
        <w:rPr>
          <w:rFonts w:hint="eastAsia" w:ascii="宋体" w:hAnsi="宋体" w:cs="Arial"/>
          <w:color w:val="auto"/>
          <w:highlight w:val="none"/>
        </w:rPr>
        <w:fldChar w:fldCharType="end"/>
      </w:r>
      <w:r>
        <w:rPr>
          <w:rFonts w:hint="eastAsia" w:ascii="宋体" w:hAnsi="宋体" w:cs="Arial"/>
          <w:color w:val="auto"/>
          <w:highlight w:val="none"/>
        </w:rPr>
        <w:t>该批次货物到货验收合格证明材料。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5 \* GB3 \* MERGEFORMAT </w:instrText>
      </w:r>
      <w:r>
        <w:rPr>
          <w:rFonts w:hint="eastAsia" w:ascii="宋体" w:hAnsi="宋体" w:cs="Arial"/>
          <w:color w:val="auto"/>
          <w:highlight w:val="none"/>
        </w:rPr>
        <w:fldChar w:fldCharType="separate"/>
      </w:r>
      <w:r>
        <w:rPr>
          <w:rFonts w:hint="eastAsia" w:ascii="宋体" w:hAnsi="宋体" w:cs="Arial"/>
          <w:color w:val="auto"/>
          <w:highlight w:val="none"/>
        </w:rPr>
        <w:t>⑤</w:t>
      </w:r>
      <w:r>
        <w:rPr>
          <w:rFonts w:hint="eastAsia" w:ascii="宋体" w:hAnsi="宋体" w:cs="Arial"/>
          <w:color w:val="auto"/>
          <w:highlight w:val="none"/>
        </w:rPr>
        <w:fldChar w:fldCharType="end"/>
      </w:r>
      <w:r>
        <w:rPr>
          <w:rFonts w:hint="eastAsia" w:ascii="宋体" w:hAnsi="宋体" w:cs="Arial"/>
          <w:color w:val="auto"/>
          <w:highlight w:val="none"/>
        </w:rPr>
        <w:t>违约情况及处理证明材料（如有）。</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9.2全部货物到货并验收合格后，乙方根据甲方要求完成档案归档及合同结算经甲方审定后，甲方在收到乙方提供的以下材料后4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③结算审定资料。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④全部货物供货通知。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⑤全部货物到货验收合格证明。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②双方确认的质保服务合格证明材料。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9.4乙方在完成相应合同义务后以书面形式向甲方申请付款，同时随附注明已发货物、已</w:t>
      </w:r>
      <w:r>
        <w:rPr>
          <w:rFonts w:hint="eastAsia" w:ascii="宋体" w:hAnsi="宋体" w:cs="Arial"/>
          <w:color w:val="auto"/>
          <w:highlight w:val="none"/>
          <w:lang w:eastAsia="zh-CN"/>
        </w:rPr>
        <w:t>完成</w:t>
      </w:r>
      <w:r>
        <w:rPr>
          <w:rFonts w:hint="eastAsia" w:ascii="宋体" w:hAnsi="宋体" w:cs="Arial"/>
          <w:color w:val="auto"/>
          <w:highlight w:val="none"/>
        </w:rPr>
        <w:t>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9.5支付的货币应以人民币支付</w:t>
      </w:r>
      <w:r>
        <w:rPr>
          <w:rFonts w:hint="eastAsia" w:ascii="宋体" w:hAnsi="宋体" w:cs="Arial"/>
          <w:color w:val="auto"/>
          <w:highlight w:val="none"/>
          <w:lang w:val="en-US" w:eastAsia="zh-CN"/>
        </w:rPr>
        <w:t xml:space="preserve"> ，</w:t>
      </w:r>
      <w:r>
        <w:rPr>
          <w:rFonts w:hint="eastAsia" w:ascii="宋体" w:hAnsi="宋体" w:eastAsia="宋体" w:cs="Arial"/>
          <w:i w:val="0"/>
          <w:iCs w:val="0"/>
          <w:caps w:val="0"/>
          <w:color w:val="auto"/>
          <w:spacing w:val="0"/>
          <w:sz w:val="21"/>
          <w:szCs w:val="21"/>
          <w:highlight w:val="none"/>
          <w:shd w:val="clear" w:fill="auto"/>
        </w:rPr>
        <w:t>但不限于银行转账、汇票、国内信用证、供应链金融产品等支付形式</w:t>
      </w:r>
      <w:r>
        <w:rPr>
          <w:rFonts w:hint="eastAsia" w:ascii="宋体" w:hAnsi="宋体" w:cs="Arial"/>
          <w:color w:val="auto"/>
          <w:highlight w:val="none"/>
        </w:rPr>
        <w:t>。</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6</w:t>
      </w:r>
      <w:r>
        <w:rPr>
          <w:rFonts w:hint="eastAsia" w:ascii="宋体" w:hAnsi="宋体" w:cs="Arial"/>
          <w:color w:val="auto"/>
          <w:highlight w:val="none"/>
        </w:rPr>
        <w:t>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（3）本合同</w:t>
      </w:r>
      <w:r>
        <w:rPr>
          <w:rFonts w:hint="eastAsia" w:ascii="宋体" w:hAnsi="宋体" w:cs="Arial"/>
          <w:color w:val="auto"/>
          <w:highlight w:val="none"/>
          <w:lang w:val="en-US" w:eastAsia="zh-CN"/>
        </w:rPr>
        <w:t>服务</w:t>
      </w:r>
      <w:r>
        <w:rPr>
          <w:rFonts w:hint="eastAsia" w:ascii="宋体" w:hAnsi="宋体" w:cs="Arial"/>
          <w:color w:val="auto"/>
          <w:highlight w:val="none"/>
        </w:rPr>
        <w:t>期满或供货金额累计达到合同金额的100%（含）。</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color w:val="auto"/>
          <w:highlight w:val="none"/>
        </w:rPr>
      </w:pPr>
      <w:r>
        <w:rPr>
          <w:rFonts w:hint="eastAsia" w:ascii="宋体" w:hAnsi="宋体"/>
          <w:b/>
          <w:color w:val="auto"/>
          <w:highlight w:val="none"/>
        </w:rPr>
        <w:t>10.履约担保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10.1在合同签订前，乙方应向甲方提供履约担保，履约担保金额为中</w:t>
      </w:r>
      <w:r>
        <w:rPr>
          <w:rFonts w:hint="eastAsia" w:ascii="宋体" w:hAnsi="宋体" w:cs="Arial"/>
          <w:color w:val="auto"/>
          <w:highlight w:val="none"/>
          <w:lang w:val="en-US" w:eastAsia="zh-CN"/>
        </w:rPr>
        <w:t>选</w:t>
      </w:r>
      <w:r>
        <w:rPr>
          <w:rFonts w:hint="eastAsia" w:ascii="宋体" w:hAnsi="宋体" w:cs="Arial"/>
          <w:color w:val="auto"/>
          <w:highlight w:val="none"/>
        </w:rPr>
        <w:t>价格的5%，履约担保可以采用转账或电汇或银行保函的形式。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10.3履约担保币种应为人民币。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10.4乙方提交履约担保所产生的费用由乙方承担。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10.5如果在</w:t>
      </w:r>
      <w:r>
        <w:rPr>
          <w:rFonts w:hint="eastAsia" w:ascii="宋体" w:hAnsi="宋体" w:cs="Arial"/>
          <w:color w:val="auto"/>
          <w:highlight w:val="none"/>
          <w:lang w:val="en-US" w:eastAsia="zh-CN"/>
        </w:rPr>
        <w:t>有效</w:t>
      </w:r>
      <w:r>
        <w:rPr>
          <w:rFonts w:hint="eastAsia" w:ascii="宋体" w:hAnsi="宋体" w:cs="Arial"/>
          <w:color w:val="auto"/>
          <w:highlight w:val="none"/>
        </w:rPr>
        <w:t>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10.6履约担保在本合同全部货物验收合格之日起四十五（45）天后，根据履约期间甲方的索赔情况，将剩余履约担保款项无息退还乙方。</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11.检验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cs="Arial"/>
          <w:color w:val="auto"/>
          <w:highlight w:val="none"/>
          <w:lang w:val="en-US" w:eastAsia="zh-CN"/>
        </w:rPr>
        <w:t>运营有限</w:t>
      </w:r>
      <w:r>
        <w:rPr>
          <w:rFonts w:hint="eastAsia" w:ascii="宋体" w:hAnsi="宋体" w:cs="Arial"/>
          <w:color w:val="auto"/>
          <w:highlight w:val="none"/>
        </w:rPr>
        <w:t>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cs="Arial"/>
          <w:color w:val="auto"/>
          <w:highlight w:val="none"/>
          <w:lang w:val="en-US" w:eastAsia="zh-CN"/>
        </w:rPr>
        <w:t>运营有限</w:t>
      </w:r>
      <w:r>
        <w:rPr>
          <w:rFonts w:hint="eastAsia" w:ascii="宋体" w:hAnsi="宋体" w:cs="Arial"/>
          <w:color w:val="auto"/>
          <w:highlight w:val="none"/>
        </w:rPr>
        <w:t>公司”，检验产生的所有费用包含在项目报价中。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11.10甲方负责的部分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w:t>
      </w:r>
      <w:r>
        <w:rPr>
          <w:rFonts w:hint="eastAsia" w:ascii="宋体" w:hAnsi="宋体" w:cs="Arial"/>
          <w:color w:val="auto"/>
          <w:highlight w:val="none"/>
          <w:lang w:eastAsia="zh-CN"/>
        </w:rPr>
        <w:t>高盐分</w:t>
      </w:r>
      <w:r>
        <w:rPr>
          <w:rFonts w:hint="eastAsia" w:ascii="宋体" w:hAnsi="宋体" w:cs="Arial"/>
          <w:color w:val="auto"/>
          <w:highlight w:val="none"/>
        </w:rPr>
        <w:t>、高降水量和露天储存。单位包装箱的尺寸和重量应充分考虑远途运输中缺乏重型装卸货物的情况。包装、标记、包装内外的文件应严格按照合同条款的规定。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hint="eastAsia" w:ascii="宋体" w:hAnsi="宋体"/>
          <w:b/>
          <w:color w:val="auto"/>
          <w:highlight w:val="none"/>
        </w:rPr>
      </w:pPr>
      <w:r>
        <w:rPr>
          <w:rFonts w:hint="eastAsia" w:ascii="宋体" w:hAnsi="宋体"/>
          <w:b/>
          <w:color w:val="auto"/>
          <w:highlight w:val="none"/>
        </w:rPr>
        <w:t>13.交货和单据</w:t>
      </w:r>
    </w:p>
    <w:p>
      <w:pPr>
        <w:tabs>
          <w:tab w:val="left" w:pos="640"/>
          <w:tab w:val="left" w:pos="1843"/>
        </w:tabs>
        <w:spacing w:before="0" w:after="0" w:afterAutospacing="0"/>
        <w:ind w:left="0" w:leftChars="0" w:right="0" w:firstLine="420" w:firstLineChars="200"/>
        <w:outlineLvl w:val="2"/>
        <w:rPr>
          <w:rFonts w:hint="eastAsia" w:ascii="宋体" w:hAnsi="宋体" w:cs="Arial"/>
          <w:b w:val="0"/>
          <w:bCs w:val="0"/>
          <w:color w:val="auto"/>
          <w:szCs w:val="21"/>
          <w:highlight w:val="none"/>
          <w:lang w:val="en-US" w:eastAsia="zh-CN"/>
        </w:rPr>
      </w:pPr>
      <w:r>
        <w:rPr>
          <w:rFonts w:hint="eastAsia" w:ascii="宋体" w:hAnsi="宋体" w:cs="Arial"/>
          <w:b w:val="0"/>
          <w:bCs w:val="0"/>
          <w:color w:val="auto"/>
          <w:szCs w:val="21"/>
          <w:highlight w:val="none"/>
        </w:rPr>
        <w:t>13.1交货期：合</w:t>
      </w:r>
      <w:r>
        <w:rPr>
          <w:rFonts w:hint="eastAsia" w:ascii="宋体" w:hAnsi="宋体" w:cs="Arial"/>
          <w:b w:val="0"/>
          <w:bCs w:val="0"/>
          <w:color w:val="auto"/>
          <w:szCs w:val="21"/>
          <w:highlight w:val="none"/>
          <w:u w:val="none"/>
        </w:rPr>
        <w:t>同签订后，</w:t>
      </w:r>
      <w:r>
        <w:rPr>
          <w:rFonts w:hint="eastAsia" w:ascii="宋体" w:hAnsi="宋体" w:cs="Arial"/>
          <w:b w:val="0"/>
          <w:bCs w:val="0"/>
          <w:color w:val="auto"/>
          <w:szCs w:val="21"/>
          <w:highlight w:val="none"/>
          <w:u w:val="none"/>
          <w:lang w:eastAsia="zh-CN"/>
        </w:rPr>
        <w:t>在</w:t>
      </w:r>
      <w:r>
        <w:rPr>
          <w:rFonts w:hint="eastAsia" w:ascii="宋体" w:hAnsi="宋体" w:cs="Arial"/>
          <w:b w:val="0"/>
          <w:bCs w:val="0"/>
          <w:color w:val="auto"/>
          <w:szCs w:val="21"/>
          <w:highlight w:val="none"/>
          <w:u w:val="none"/>
        </w:rPr>
        <w:t>货物交货通知书发出之日起</w:t>
      </w:r>
      <w:r>
        <w:rPr>
          <w:rFonts w:hint="eastAsia" w:ascii="宋体" w:hAnsi="宋体" w:cs="Arial"/>
          <w:b w:val="0"/>
          <w:bCs w:val="0"/>
          <w:color w:val="auto"/>
          <w:szCs w:val="21"/>
          <w:highlight w:val="none"/>
          <w:u w:val="none"/>
          <w:lang w:val="en-US" w:eastAsia="zh-CN"/>
        </w:rPr>
        <w:t>3</w:t>
      </w:r>
      <w:r>
        <w:rPr>
          <w:rFonts w:hint="eastAsia" w:ascii="宋体" w:hAnsi="宋体" w:cs="Arial"/>
          <w:b w:val="0"/>
          <w:bCs w:val="0"/>
          <w:color w:val="auto"/>
          <w:szCs w:val="21"/>
          <w:highlight w:val="none"/>
          <w:u w:val="none"/>
        </w:rPr>
        <w:t>0天内交货并完成安装，以交货通知发出起算。</w:t>
      </w:r>
      <w:r>
        <w:rPr>
          <w:rFonts w:hint="eastAsia" w:ascii="宋体" w:hAnsi="宋体" w:cs="Arial"/>
          <w:b w:val="0"/>
          <w:bCs w:val="0"/>
          <w:color w:val="auto"/>
          <w:szCs w:val="21"/>
          <w:highlight w:val="none"/>
        </w:rPr>
        <w:t>具体详见用户需求书。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w:t>
      </w:r>
      <w:r>
        <w:rPr>
          <w:rFonts w:hint="default" w:ascii="宋体" w:hAnsi="宋体" w:cs="Arial"/>
          <w:color w:val="auto"/>
          <w:highlight w:val="none"/>
          <w:lang w:val="en-US" w:eastAsia="zh-CN"/>
        </w:rPr>
        <w:t>2</w:t>
      </w:r>
      <w:r>
        <w:rPr>
          <w:rFonts w:hint="eastAsia" w:ascii="宋体" w:hAnsi="宋体" w:cs="Arial"/>
          <w:color w:val="auto"/>
          <w:highlight w:val="none"/>
        </w:rPr>
        <w:t>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w:t>
      </w:r>
      <w:r>
        <w:rPr>
          <w:rFonts w:hint="default" w:ascii="宋体" w:hAnsi="宋体" w:cs="Arial"/>
          <w:color w:val="auto"/>
          <w:highlight w:val="none"/>
          <w:lang w:val="en-US" w:eastAsia="zh-CN"/>
        </w:rPr>
        <w:t>3</w:t>
      </w:r>
      <w:r>
        <w:rPr>
          <w:rFonts w:hint="eastAsia" w:ascii="宋体" w:hAnsi="宋体" w:cs="Arial"/>
          <w:color w:val="auto"/>
          <w:highlight w:val="none"/>
        </w:rPr>
        <w:t>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w:t>
      </w:r>
      <w:r>
        <w:rPr>
          <w:rFonts w:hint="default" w:ascii="宋体" w:hAnsi="宋体" w:cs="Arial"/>
          <w:color w:val="auto"/>
          <w:highlight w:val="none"/>
          <w:lang w:val="en-US" w:eastAsia="zh-CN"/>
        </w:rPr>
        <w:t>4</w:t>
      </w:r>
      <w:r>
        <w:rPr>
          <w:rFonts w:hint="eastAsia" w:ascii="宋体" w:hAnsi="宋体" w:cs="Arial"/>
          <w:color w:val="auto"/>
          <w:highlight w:val="none"/>
        </w:rPr>
        <w:t>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（3）合同条款第二部分1.1.10所提及的所有服务内容，但前提条件是该服务并不能免除乙方在合同</w:t>
      </w:r>
      <w:r>
        <w:rPr>
          <w:rFonts w:hint="eastAsia" w:ascii="宋体" w:hAnsi="宋体" w:cs="Arial"/>
          <w:color w:val="auto"/>
          <w:highlight w:val="none"/>
          <w:lang w:val="en-US" w:eastAsia="zh-CN"/>
        </w:rPr>
        <w:t>服务</w:t>
      </w:r>
      <w:r>
        <w:rPr>
          <w:rFonts w:hint="eastAsia" w:ascii="宋体" w:hAnsi="宋体" w:cs="Arial"/>
          <w:color w:val="auto"/>
          <w:highlight w:val="none"/>
        </w:rPr>
        <w:t>期内所承担的义务。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17.3.2如果乙方在收到通知后未按合同规定期限弥补缺陷，甲方可采取必要的补救措施，但其风险和费用将由乙方承担，甲方根据合同规定对乙方行使的</w:t>
      </w:r>
      <w:r>
        <w:rPr>
          <w:rFonts w:hint="eastAsia" w:ascii="宋体" w:hAnsi="宋体" w:cs="Arial"/>
          <w:color w:val="auto"/>
          <w:highlight w:val="none"/>
          <w:lang w:eastAsia="zh-CN"/>
        </w:rPr>
        <w:t>其它</w:t>
      </w:r>
      <w:r>
        <w:rPr>
          <w:rFonts w:hint="eastAsia" w:ascii="宋体" w:hAnsi="宋体" w:cs="Arial"/>
          <w:color w:val="auto"/>
          <w:highlight w:val="none"/>
        </w:rPr>
        <w:t>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 xml:space="preserve">.5.1.1 </w:t>
      </w:r>
      <w:r>
        <w:rPr>
          <w:rFonts w:hint="eastAsia" w:ascii="宋体" w:hAnsi="宋体"/>
          <w:b/>
          <w:color w:val="auto"/>
          <w:highlight w:val="none"/>
        </w:rPr>
        <w:t>正常质量保证期为：自验收合格之日起</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12</w:t>
      </w:r>
      <w:r>
        <w:rPr>
          <w:rFonts w:hint="eastAsia" w:ascii="宋体" w:hAnsi="宋体"/>
          <w:color w:val="auto"/>
          <w:highlight w:val="none"/>
          <w:u w:val="single"/>
        </w:rPr>
        <w:t xml:space="preserve"> </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12 </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12</w:t>
      </w:r>
      <w:r>
        <w:rPr>
          <w:rFonts w:hint="eastAsia" w:ascii="宋体" w:hAnsi="宋体"/>
          <w:color w:val="auto"/>
          <w:highlight w:val="none"/>
          <w:u w:val="single"/>
        </w:rPr>
        <w:t xml:space="preserve"> </w:t>
      </w:r>
      <w:r>
        <w:rPr>
          <w:rFonts w:hint="eastAsia" w:ascii="宋体" w:hAnsi="宋体"/>
          <w:color w:val="auto"/>
          <w:highlight w:val="none"/>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 xml:space="preserve">.5.1.5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6质量保证期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w:t>
      </w:r>
      <w:r>
        <w:rPr>
          <w:rFonts w:hint="eastAsia" w:ascii="宋体" w:hAnsi="宋体"/>
          <w:color w:val="auto"/>
          <w:highlight w:val="none"/>
          <w:lang w:eastAsia="zh-CN"/>
        </w:rPr>
        <w:t>做其它</w:t>
      </w:r>
      <w:r>
        <w:rPr>
          <w:rFonts w:hint="eastAsia" w:ascii="宋体" w:hAnsi="宋体"/>
          <w:color w:val="auto"/>
          <w:highlight w:val="none"/>
        </w:rPr>
        <w:t>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18.4.2乙方提供的货物数量；</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18.6.3.5 根据当时的市场价格计算。</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5"/>
        <w:adjustRightInd/>
        <w:spacing w:before="0" w:after="0" w:line="360" w:lineRule="auto"/>
        <w:ind w:left="0" w:right="0" w:firstLine="420" w:firstLineChars="20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19.3如乙方具有以下情形的，甲方可以中止合同履行</w:t>
      </w:r>
      <w:r>
        <w:rPr>
          <w:rFonts w:hint="eastAsia" w:ascii="宋体" w:hAnsi="宋体"/>
          <w:color w:val="auto"/>
          <w:sz w:val="21"/>
          <w:szCs w:val="21"/>
          <w:highlight w:val="none"/>
          <w:lang w:eastAsia="zh-CN"/>
        </w:rPr>
        <w:t>：</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w:t>
      </w:r>
      <w:r>
        <w:rPr>
          <w:rFonts w:hint="eastAsia" w:ascii="宋体" w:hAnsi="宋体"/>
          <w:color w:val="auto"/>
          <w:sz w:val="21"/>
          <w:szCs w:val="21"/>
          <w:highlight w:val="none"/>
          <w:lang w:eastAsia="zh-CN"/>
        </w:rPr>
        <w:t>，</w:t>
      </w:r>
      <w:r>
        <w:rPr>
          <w:rFonts w:hint="eastAsia" w:ascii="宋体" w:hAnsi="宋体"/>
          <w:color w:val="auto"/>
          <w:sz w:val="21"/>
          <w:szCs w:val="21"/>
          <w:highlight w:val="none"/>
        </w:rPr>
        <w:t>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p>
    <w:p>
      <w:pPr>
        <w:tabs>
          <w:tab w:val="left" w:pos="960"/>
        </w:tabs>
        <w:spacing w:before="0" w:after="0" w:afterAutospacing="0"/>
        <w:ind w:left="420" w:right="0" w:firstLine="0"/>
        <w:rPr>
          <w:rFonts w:ascii="宋体" w:hAnsi="宋体"/>
          <w:color w:val="auto"/>
          <w:highlight w:val="none"/>
        </w:rPr>
      </w:pPr>
      <w:r>
        <w:rPr>
          <w:rFonts w:hint="eastAsia" w:ascii="宋体" w:hAnsi="宋体"/>
          <w:color w:val="auto"/>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24.开箱验收及现场保管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w:t>
      </w:r>
      <w:r>
        <w:rPr>
          <w:rFonts w:hint="eastAsia" w:ascii="宋体" w:hAnsi="宋体"/>
          <w:color w:val="auto"/>
          <w:highlight w:val="none"/>
          <w:lang w:eastAsia="zh-CN"/>
        </w:rPr>
        <w:t>，</w:t>
      </w:r>
      <w:r>
        <w:rPr>
          <w:rFonts w:hint="eastAsia" w:ascii="宋体" w:hAnsi="宋体"/>
          <w:color w:val="auto"/>
          <w:highlight w:val="none"/>
        </w:rPr>
        <w:t>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24.2甲方将在到货后</w:t>
      </w:r>
      <w:r>
        <w:rPr>
          <w:rFonts w:hint="eastAsia" w:ascii="宋体" w:hAnsi="宋体"/>
          <w:color w:val="auto"/>
          <w:highlight w:val="none"/>
          <w:u w:val="single"/>
          <w:lang w:val="en-US" w:eastAsia="zh-CN"/>
        </w:rPr>
        <w:t xml:space="preserve"> 7</w:t>
      </w:r>
      <w:r>
        <w:rPr>
          <w:rFonts w:hint="eastAsia" w:ascii="宋体" w:hAnsi="宋体"/>
          <w:color w:val="auto"/>
          <w:highlight w:val="none"/>
        </w:rPr>
        <w:t>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24.4验收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25.2.3修理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25.2.4替换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25.2.5退货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25.4延迟违约金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5.4.1甲方不得无正当理由拒收货物、拒付货款，若未按合同规定的期限向乙方支付货款，每逾期</w:t>
      </w:r>
      <w:r>
        <w:rPr>
          <w:rFonts w:ascii="宋体" w:hAnsi="宋体"/>
          <w:color w:val="auto"/>
          <w:highlight w:val="none"/>
        </w:rPr>
        <w:t>1天甲方向乙方偿付逾期付款部分总额的</w:t>
      </w:r>
      <w:r>
        <w:rPr>
          <w:rFonts w:hint="eastAsia" w:ascii="宋体" w:hAnsi="宋体"/>
          <w:color w:val="auto"/>
          <w:highlight w:val="none"/>
        </w:rPr>
        <w:t>0.1%/天的违约金。但累计违约金总额不超过逾期付款部分总额的</w:t>
      </w:r>
      <w:r>
        <w:rPr>
          <w:rFonts w:ascii="宋体" w:hAnsi="宋体"/>
          <w:color w:val="auto"/>
          <w:highlight w:val="none"/>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25.4</w:t>
      </w:r>
      <w:r>
        <w:rPr>
          <w:rFonts w:ascii="宋体" w:hAnsi="宋体"/>
          <w:color w:val="auto"/>
          <w:highlight w:val="none"/>
        </w:rPr>
        <w:t>.2</w:t>
      </w:r>
      <w:r>
        <w:rPr>
          <w:rFonts w:hint="eastAsia" w:ascii="宋体" w:hAnsi="宋体"/>
          <w:color w:val="auto"/>
          <w:highlight w:val="none"/>
        </w:rPr>
        <w:t>鉴于甲方属地铁运营单位，对货物的使用时间及效能均有特殊要求，乙方逾期交付货物</w:t>
      </w:r>
      <w:r>
        <w:rPr>
          <w:rFonts w:ascii="宋体" w:hAnsi="宋体"/>
          <w:color w:val="auto"/>
          <w:highlight w:val="none"/>
        </w:rPr>
        <w:t>15天内（含15天），每逾期1天乙方向甲方偿付逾期交货部分总额的</w:t>
      </w:r>
      <w:r>
        <w:rPr>
          <w:rFonts w:hint="eastAsia" w:ascii="宋体" w:hAnsi="宋体"/>
          <w:color w:val="auto"/>
          <w:highlight w:val="none"/>
        </w:rPr>
        <w:t>0.1%/天违约金。逾期交货超过</w:t>
      </w:r>
      <w:r>
        <w:rPr>
          <w:rFonts w:ascii="宋体" w:hAnsi="宋体"/>
          <w:color w:val="auto"/>
          <w:highlight w:val="none"/>
        </w:rPr>
        <w:t>15天，乙方给予甲方逾期货物总价10%的赔偿，同时甲方有权选择解除合同</w:t>
      </w:r>
      <w:r>
        <w:rPr>
          <w:rFonts w:hint="eastAsia" w:ascii="宋体" w:hAnsi="宋体"/>
          <w:color w:val="auto"/>
          <w:highlight w:val="none"/>
        </w:rPr>
        <w:t>，履约保证金不予退还；甲方也有权选择合同继续履行，乙方给予甲方逾期货物总价</w:t>
      </w:r>
      <w:r>
        <w:rPr>
          <w:rFonts w:ascii="宋体" w:hAnsi="宋体"/>
          <w:color w:val="auto"/>
          <w:highlight w:val="none"/>
        </w:rPr>
        <w:t>10%的赔偿金，并且按</w:t>
      </w:r>
      <w:r>
        <w:rPr>
          <w:rFonts w:hint="eastAsia" w:ascii="宋体" w:hAnsi="宋体"/>
          <w:color w:val="auto"/>
          <w:highlight w:val="none"/>
        </w:rPr>
        <w:t>10</w:t>
      </w:r>
      <w:r>
        <w:rPr>
          <w:rFonts w:ascii="宋体" w:hAnsi="宋体"/>
          <w:color w:val="auto"/>
          <w:highlight w:val="none"/>
        </w:rPr>
        <w:t>条</w:t>
      </w:r>
      <w:r>
        <w:rPr>
          <w:rFonts w:hint="eastAsia" w:ascii="宋体" w:hAnsi="宋体"/>
          <w:color w:val="auto"/>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25.6验收时，乙方需保证交付货物满足技术需求和验收标准，否则甲方可以拒收，并要求乙方提供符合要求的货物。</w:t>
      </w:r>
    </w:p>
    <w:p>
      <w:pPr>
        <w:pStyle w:val="40"/>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25.8文件提交延误违约金</w:t>
      </w:r>
    </w:p>
    <w:p>
      <w:pPr>
        <w:pStyle w:val="40"/>
        <w:numPr>
          <w:ilvl w:val="255"/>
          <w:numId w:val="0"/>
        </w:numPr>
        <w:tabs>
          <w:tab w:val="left" w:pos="1134"/>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25.10乙方在中</w:t>
      </w:r>
      <w:r>
        <w:rPr>
          <w:rFonts w:hint="eastAsia" w:ascii="宋体" w:hAnsi="宋体"/>
          <w:color w:val="auto"/>
          <w:highlight w:val="none"/>
          <w:lang w:val="en-US" w:eastAsia="zh-CN"/>
        </w:rPr>
        <w:t>选</w:t>
      </w:r>
      <w:r>
        <w:rPr>
          <w:rFonts w:hint="eastAsia" w:ascii="宋体" w:hAnsi="宋体"/>
          <w:color w:val="auto"/>
          <w:highlight w:val="none"/>
        </w:rPr>
        <w:t>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26.合同终止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w:t>
      </w:r>
      <w:r>
        <w:rPr>
          <w:rFonts w:hint="eastAsia" w:ascii="宋体" w:hAnsi="宋体"/>
          <w:color w:val="auto"/>
          <w:sz w:val="21"/>
          <w:szCs w:val="21"/>
          <w:highlight w:val="none"/>
          <w:lang w:eastAsia="zh-CN"/>
        </w:rPr>
        <w:t>作出</w:t>
      </w:r>
      <w:r>
        <w:rPr>
          <w:rFonts w:hint="eastAsia" w:ascii="宋体" w:hAnsi="宋体"/>
          <w:color w:val="auto"/>
          <w:sz w:val="21"/>
          <w:szCs w:val="21"/>
          <w:highlight w:val="none"/>
        </w:rPr>
        <w:t>的任何修改、补充，须经双方协商达成一致意见后，签订书面协议。</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w:t>
      </w:r>
      <w:r>
        <w:rPr>
          <w:rFonts w:hint="eastAsia" w:ascii="宋体" w:hAnsi="宋体"/>
          <w:color w:val="auto"/>
          <w:highlight w:val="none"/>
          <w:lang w:val="en-US" w:eastAsia="zh-CN"/>
        </w:rPr>
        <w:t>服务</w:t>
      </w:r>
      <w:r>
        <w:rPr>
          <w:rFonts w:hint="eastAsia" w:ascii="宋体" w:hAnsi="宋体"/>
          <w:color w:val="auto"/>
          <w:highlight w:val="none"/>
        </w:rPr>
        <w:t>期满或在合同</w:t>
      </w:r>
      <w:r>
        <w:rPr>
          <w:rFonts w:hint="eastAsia" w:ascii="宋体" w:hAnsi="宋体"/>
          <w:color w:val="auto"/>
          <w:highlight w:val="none"/>
          <w:lang w:val="en-US" w:eastAsia="zh-CN"/>
        </w:rPr>
        <w:t>服务</w:t>
      </w:r>
      <w:r>
        <w:rPr>
          <w:rFonts w:hint="eastAsia" w:ascii="宋体" w:hAnsi="宋体"/>
          <w:color w:val="auto"/>
          <w:highlight w:val="none"/>
        </w:rPr>
        <w:t>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5"/>
        <w:pageBreakBefore/>
        <w:adjustRightInd/>
        <w:spacing w:before="0" w:after="0" w:line="360" w:lineRule="auto"/>
        <w:ind w:left="0" w:right="0"/>
        <w:rPr>
          <w:rFonts w:ascii="宋体" w:hAnsi="宋体"/>
          <w:color w:val="auto"/>
          <w:sz w:val="21"/>
          <w:szCs w:val="21"/>
          <w:highlight w:val="none"/>
        </w:rPr>
      </w:pPr>
      <w:bookmarkStart w:id="228" w:name="_Toc2753"/>
      <w:bookmarkStart w:id="229" w:name="_Toc21659"/>
      <w:bookmarkStart w:id="230" w:name="_Toc29249"/>
      <w:bookmarkStart w:id="231" w:name="_Toc16443"/>
      <w:bookmarkStart w:id="232" w:name="_Toc13288"/>
      <w:bookmarkStart w:id="233" w:name="_Toc27316"/>
      <w:bookmarkStart w:id="234" w:name="_Toc16716"/>
      <w:bookmarkStart w:id="235" w:name="_Toc21635"/>
      <w:bookmarkStart w:id="236" w:name="_Toc19448"/>
      <w:bookmarkStart w:id="237" w:name="_Toc6194"/>
      <w:bookmarkStart w:id="238" w:name="_Toc14997"/>
      <w:bookmarkStart w:id="239" w:name="_Toc12470"/>
      <w:bookmarkStart w:id="240" w:name="_Toc21372"/>
      <w:bookmarkStart w:id="241" w:name="_Toc5644"/>
      <w:bookmarkStart w:id="242" w:name="_Toc21033"/>
      <w:bookmarkStart w:id="243" w:name="_Toc12983548"/>
      <w:bookmarkStart w:id="244" w:name="_Toc5186"/>
      <w:bookmarkStart w:id="245" w:name="_Toc27258"/>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246" w:name="_Toc4927"/>
      <w:bookmarkStart w:id="247" w:name="_Toc21966"/>
      <w:bookmarkStart w:id="248" w:name="_Toc4944"/>
      <w:bookmarkStart w:id="249" w:name="_Toc14778"/>
      <w:bookmarkStart w:id="250" w:name="_Toc92268646"/>
      <w:bookmarkStart w:id="251" w:name="_Toc997"/>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246"/>
      <w:bookmarkEnd w:id="247"/>
      <w:bookmarkEnd w:id="248"/>
      <w:bookmarkEnd w:id="249"/>
      <w:bookmarkEnd w:id="250"/>
      <w:bookmarkEnd w:id="251"/>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bookmarkStart w:id="252" w:name="_Toc92268647"/>
      <w:bookmarkStart w:id="253" w:name="_Toc483608731"/>
      <w:bookmarkStart w:id="254" w:name="_Toc75264122"/>
      <w:bookmarkStart w:id="255" w:name="_Toc29924"/>
      <w:bookmarkStart w:id="256" w:name="_Toc72769348"/>
      <w:bookmarkStart w:id="257" w:name="_Toc498882140"/>
      <w:bookmarkStart w:id="258" w:name="_Toc14746"/>
      <w:bookmarkStart w:id="259" w:name="_Toc480908536"/>
      <w:bookmarkStart w:id="260" w:name="_Toc75963081"/>
      <w:bookmarkStart w:id="261" w:name="_Toc68674896"/>
    </w:p>
    <w:p>
      <w:pPr>
        <w:pStyle w:val="5"/>
        <w:spacing w:before="40" w:after="40" w:line="240" w:lineRule="auto"/>
        <w:jc w:val="center"/>
        <w:rPr>
          <w:rFonts w:ascii="宋体" w:hAnsi="宋体" w:eastAsia="宋体"/>
          <w:iCs/>
          <w:color w:val="auto"/>
          <w:highlight w:val="none"/>
        </w:rPr>
      </w:pPr>
      <w:bookmarkStart w:id="262" w:name="_Toc9260"/>
      <w:bookmarkStart w:id="263" w:name="_Toc6452"/>
      <w:bookmarkStart w:id="264" w:name="_Toc6397"/>
      <w:bookmarkStart w:id="265" w:name="_Toc28920"/>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ind w:firstLine="420" w:firstLineChars="200"/>
        <w:textAlignment w:val="bottom"/>
        <w:rPr>
          <w:rFonts w:ascii="宋体" w:hAnsi="宋体"/>
          <w:color w:val="auto"/>
          <w:highlight w:val="none"/>
        </w:rPr>
      </w:pPr>
    </w:p>
    <w:p>
      <w:pPr>
        <w:pStyle w:val="6"/>
        <w:rPr>
          <w:rFonts w:ascii="宋体" w:hAnsi="宋体"/>
          <w:b w:val="0"/>
          <w:color w:val="auto"/>
          <w:highlight w:val="none"/>
        </w:rPr>
      </w:pPr>
      <w:bookmarkStart w:id="266" w:name="_Toc92268648"/>
      <w:r>
        <w:rPr>
          <w:rFonts w:hint="eastAsia" w:ascii="宋体" w:hAnsi="宋体"/>
          <w:b w:val="0"/>
          <w:color w:val="auto"/>
          <w:highlight w:val="none"/>
        </w:rPr>
        <w:t>1.履约保证金缴纳凭证（履约保函格式附后）</w:t>
      </w:r>
      <w:bookmarkEnd w:id="266"/>
    </w:p>
    <w:p>
      <w:pPr>
        <w:pStyle w:val="6"/>
        <w:rPr>
          <w:rFonts w:ascii="宋体" w:hAnsi="宋体"/>
          <w:b w:val="0"/>
          <w:color w:val="auto"/>
          <w:highlight w:val="none"/>
        </w:rPr>
      </w:pPr>
      <w:bookmarkStart w:id="267" w:name="_Toc92268649"/>
      <w:r>
        <w:rPr>
          <w:rFonts w:hint="eastAsia" w:ascii="宋体" w:hAnsi="宋体"/>
          <w:b w:val="0"/>
          <w:color w:val="auto"/>
          <w:highlight w:val="none"/>
        </w:rPr>
        <w:t>2.</w:t>
      </w:r>
      <w:bookmarkEnd w:id="267"/>
      <w:r>
        <w:rPr>
          <w:rFonts w:hint="eastAsia" w:ascii="宋体" w:hAnsi="宋体"/>
          <w:b w:val="0"/>
          <w:color w:val="auto"/>
          <w:highlight w:val="none"/>
        </w:rPr>
        <w:t>乙方营业执照或资质证书等（如有）</w:t>
      </w:r>
    </w:p>
    <w:p>
      <w:pPr>
        <w:pStyle w:val="6"/>
        <w:rPr>
          <w:rFonts w:ascii="宋体" w:hAnsi="宋体"/>
          <w:b w:val="0"/>
          <w:color w:val="auto"/>
          <w:highlight w:val="none"/>
        </w:rPr>
      </w:pPr>
      <w:r>
        <w:rPr>
          <w:rFonts w:hint="eastAsia" w:ascii="宋体" w:hAnsi="宋体"/>
          <w:b w:val="0"/>
          <w:color w:val="auto"/>
          <w:highlight w:val="none"/>
        </w:rPr>
        <w:t>3.乙方法人授权委托书（如有）</w:t>
      </w:r>
    </w:p>
    <w:p>
      <w:pPr>
        <w:pStyle w:val="6"/>
        <w:rPr>
          <w:rFonts w:ascii="宋体" w:hAnsi="宋体"/>
          <w:b w:val="0"/>
          <w:color w:val="auto"/>
          <w:highlight w:val="none"/>
        </w:rPr>
      </w:pPr>
      <w:r>
        <w:rPr>
          <w:rFonts w:hint="eastAsia" w:ascii="宋体" w:hAnsi="宋体"/>
          <w:b w:val="0"/>
          <w:color w:val="auto"/>
          <w:highlight w:val="none"/>
        </w:rPr>
        <w:t>4.原厂授权证明（如有）</w:t>
      </w:r>
    </w:p>
    <w:p>
      <w:pPr>
        <w:pStyle w:val="6"/>
        <w:rPr>
          <w:rFonts w:ascii="宋体" w:hAnsi="宋体"/>
          <w:b w:val="0"/>
          <w:color w:val="auto"/>
          <w:highlight w:val="none"/>
        </w:rPr>
      </w:pPr>
      <w:bookmarkStart w:id="268" w:name="_Toc92268650"/>
      <w:r>
        <w:rPr>
          <w:rFonts w:hint="eastAsia" w:ascii="宋体" w:hAnsi="宋体"/>
          <w:b w:val="0"/>
          <w:color w:val="auto"/>
          <w:highlight w:val="none"/>
        </w:rPr>
        <w:t>5.</w:t>
      </w:r>
      <w:bookmarkEnd w:id="268"/>
      <w:r>
        <w:rPr>
          <w:rFonts w:hint="eastAsia" w:ascii="宋体" w:hAnsi="宋体"/>
          <w:b w:val="0"/>
          <w:color w:val="auto"/>
          <w:highlight w:val="none"/>
        </w:rPr>
        <w:t>供货证明格式（如有）</w:t>
      </w:r>
    </w:p>
    <w:p>
      <w:pPr>
        <w:pStyle w:val="6"/>
        <w:rPr>
          <w:rFonts w:ascii="宋体" w:hAnsi="宋体"/>
          <w:b w:val="0"/>
          <w:color w:val="auto"/>
          <w:highlight w:val="none"/>
        </w:rPr>
      </w:pPr>
      <w:bookmarkStart w:id="269" w:name="_Toc92268651"/>
      <w:r>
        <w:rPr>
          <w:rFonts w:hint="eastAsia" w:ascii="宋体" w:hAnsi="宋体"/>
          <w:b w:val="0"/>
          <w:color w:val="auto"/>
          <w:highlight w:val="none"/>
        </w:rPr>
        <w:t>6.</w:t>
      </w:r>
      <w:bookmarkEnd w:id="269"/>
      <w:r>
        <w:rPr>
          <w:rFonts w:hint="eastAsia" w:ascii="宋体" w:hAnsi="宋体"/>
          <w:b w:val="0"/>
          <w:color w:val="auto"/>
          <w:highlight w:val="none"/>
        </w:rPr>
        <w:t>交货通知格式（如有）</w:t>
      </w:r>
    </w:p>
    <w:p>
      <w:pPr>
        <w:pStyle w:val="6"/>
        <w:rPr>
          <w:rFonts w:ascii="宋体" w:hAnsi="宋体"/>
          <w:b w:val="0"/>
          <w:color w:val="auto"/>
          <w:highlight w:val="none"/>
        </w:rPr>
      </w:pPr>
      <w:r>
        <w:rPr>
          <w:rFonts w:hint="eastAsia" w:ascii="宋体" w:hAnsi="宋体"/>
          <w:b w:val="0"/>
          <w:color w:val="auto"/>
          <w:highlight w:val="none"/>
        </w:rPr>
        <w:t>7.送货单格式（如有）</w:t>
      </w:r>
    </w:p>
    <w:p>
      <w:pPr>
        <w:pStyle w:val="55"/>
        <w:adjustRightInd/>
        <w:spacing w:before="0" w:after="0" w:line="360" w:lineRule="auto"/>
        <w:ind w:left="0" w:right="0"/>
        <w:rPr>
          <w:rFonts w:ascii="宋体" w:hAnsi="宋体"/>
          <w:color w:val="auto"/>
          <w:sz w:val="21"/>
          <w:szCs w:val="21"/>
          <w:highlight w:val="none"/>
        </w:rPr>
      </w:pP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w:t>
      </w:r>
      <w:r>
        <w:rPr>
          <w:rFonts w:hint="eastAsia" w:ascii="宋体" w:hAnsi="宋体"/>
          <w:b/>
          <w:color w:val="auto"/>
          <w:sz w:val="24"/>
          <w:szCs w:val="24"/>
          <w:highlight w:val="none"/>
          <w:lang w:val="en-US" w:eastAsia="zh-CN"/>
        </w:rPr>
        <w:t>选</w:t>
      </w:r>
      <w:r>
        <w:rPr>
          <w:rFonts w:hint="eastAsia" w:ascii="宋体" w:hAnsi="宋体"/>
          <w:b/>
          <w:color w:val="auto"/>
          <w:sz w:val="24"/>
          <w:szCs w:val="24"/>
          <w:highlight w:val="none"/>
        </w:rPr>
        <w:t>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w:t>
      </w:r>
      <w:r>
        <w:rPr>
          <w:rFonts w:hint="eastAsia" w:ascii="宋体" w:hAnsi="宋体"/>
          <w:color w:val="auto"/>
          <w:highlight w:val="none"/>
          <w:lang w:val="en-US" w:eastAsia="zh-CN"/>
        </w:rPr>
        <w:t>选</w:t>
      </w:r>
      <w:r>
        <w:rPr>
          <w:rFonts w:hint="eastAsia" w:ascii="宋体" w:hAnsi="宋体"/>
          <w:color w:val="auto"/>
          <w:highlight w:val="none"/>
        </w:rPr>
        <w:t>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南宁轨道交通5号线运营导向标示标贴、安全标识采购项目 </w:t>
      </w:r>
      <w:r>
        <w:rPr>
          <w:rFonts w:hint="eastAsia" w:ascii="宋体" w:hAnsi="宋体"/>
          <w:color w:val="auto"/>
          <w:highlight w:val="none"/>
        </w:rPr>
        <w:t>以下简称“本项目”）合同（中</w:t>
      </w:r>
      <w:r>
        <w:rPr>
          <w:rFonts w:hint="eastAsia" w:ascii="宋体" w:hAnsi="宋体"/>
          <w:color w:val="auto"/>
          <w:highlight w:val="none"/>
          <w:lang w:val="en-US" w:eastAsia="zh-CN"/>
        </w:rPr>
        <w:t>选</w:t>
      </w:r>
      <w:r>
        <w:rPr>
          <w:rFonts w:hint="eastAsia" w:ascii="宋体" w:hAnsi="宋体"/>
          <w:color w:val="auto"/>
          <w:highlight w:val="none"/>
        </w:rPr>
        <w:t>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2"/>
        <w:rPr>
          <w:color w:val="auto"/>
          <w:highlight w:val="none"/>
        </w:rPr>
      </w:pPr>
    </w:p>
    <w:p>
      <w:pPr>
        <w:pStyle w:val="2"/>
        <w:rPr>
          <w:color w:val="auto"/>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w:t>
      </w:r>
      <w:r>
        <w:rPr>
          <w:rFonts w:hint="eastAsia" w:ascii="宋体" w:hAnsi="宋体"/>
          <w:b/>
          <w:color w:val="auto"/>
          <w:sz w:val="24"/>
          <w:szCs w:val="24"/>
          <w:highlight w:val="none"/>
          <w:lang w:val="en-US" w:eastAsia="zh-CN"/>
        </w:rPr>
        <w:t>选</w:t>
      </w:r>
      <w:r>
        <w:rPr>
          <w:rFonts w:hint="eastAsia" w:ascii="宋体" w:hAnsi="宋体"/>
          <w:b/>
          <w:color w:val="auto"/>
          <w:sz w:val="24"/>
          <w:szCs w:val="24"/>
          <w:highlight w:val="none"/>
        </w:rPr>
        <w:t>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w:t>
      </w:r>
      <w:r>
        <w:rPr>
          <w:rFonts w:hint="eastAsia" w:ascii="宋体" w:hAnsi="宋体"/>
          <w:color w:val="auto"/>
          <w:highlight w:val="none"/>
          <w:lang w:val="en-US" w:eastAsia="zh-CN"/>
        </w:rPr>
        <w:t>选</w:t>
      </w:r>
      <w:r>
        <w:rPr>
          <w:rFonts w:hint="eastAsia" w:ascii="宋体" w:hAnsi="宋体"/>
          <w:color w:val="auto"/>
          <w:highlight w:val="none"/>
        </w:rPr>
        <w:t>贵司</w:t>
      </w:r>
      <w:r>
        <w:rPr>
          <w:rFonts w:hint="eastAsia" w:ascii="宋体" w:hAnsi="宋体"/>
          <w:color w:val="auto"/>
          <w:highlight w:val="none"/>
          <w:lang w:val="en-US" w:eastAsia="zh-CN"/>
        </w:rPr>
        <w:t>比选</w:t>
      </w:r>
      <w:r>
        <w:rPr>
          <w:rFonts w:hint="eastAsia" w:ascii="宋体" w:hAnsi="宋体"/>
          <w:color w:val="auto"/>
          <w:highlight w:val="none"/>
        </w:rPr>
        <w:t>的</w:t>
      </w:r>
      <w:r>
        <w:rPr>
          <w:rFonts w:hint="eastAsia" w:ascii="宋体" w:hAnsi="宋体"/>
          <w:color w:val="auto"/>
          <w:highlight w:val="none"/>
          <w:u w:val="single"/>
        </w:rPr>
        <w:t xml:space="preserve"> 南宁轨道交通5号线运营导向标示标贴、安全标识采购项目</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附件6.2 供货证明格式</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w:t>
      </w:r>
      <w:r>
        <w:rPr>
          <w:rFonts w:hint="eastAsia" w:ascii="宋体" w:hAnsi="宋体"/>
          <w:color w:val="auto"/>
          <w:sz w:val="24"/>
          <w:szCs w:val="24"/>
          <w:highlight w:val="none"/>
          <w:lang w:val="en-US" w:eastAsia="zh-CN"/>
        </w:rPr>
        <w:t>运营有限</w:t>
      </w:r>
      <w:r>
        <w:rPr>
          <w:rFonts w:hint="eastAsia" w:ascii="宋体" w:hAnsi="宋体"/>
          <w:color w:val="auto"/>
          <w:sz w:val="24"/>
          <w:szCs w:val="24"/>
          <w:highlight w:val="none"/>
        </w:rPr>
        <w:t>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eastAsia="宋体"/>
          <w:color w:val="auto"/>
          <w:sz w:val="21"/>
          <w:szCs w:val="21"/>
          <w:highlight w:val="none"/>
          <w:shd w:val="clear" w:color="auto" w:fill="auto"/>
        </w:rPr>
        <w:t>南宁轨道交通5号线运营导向标示标贴、安全标识</w:t>
      </w:r>
      <w:r>
        <w:rPr>
          <w:rFonts w:hint="eastAsia" w:ascii="宋体" w:hAnsi="宋体"/>
          <w:color w:val="auto"/>
          <w:highlight w:val="none"/>
        </w:rPr>
        <w:t>采购项目（项目编号：</w:t>
      </w:r>
      <w:r>
        <w:rPr>
          <w:rFonts w:hint="eastAsia" w:ascii="宋体" w:hAnsi="宋体" w:eastAsia="宋体"/>
          <w:color w:val="auto"/>
          <w:sz w:val="21"/>
          <w:szCs w:val="21"/>
          <w:highlight w:val="none"/>
          <w:shd w:val="clear" w:color="auto" w:fill="auto"/>
        </w:rPr>
        <w:t>202204200004</w:t>
      </w:r>
      <w:r>
        <w:rPr>
          <w:rFonts w:hint="eastAsia" w:ascii="宋体" w:hAnsi="宋体"/>
          <w:color w:val="auto"/>
          <w:highlight w:val="none"/>
        </w:rPr>
        <w:t>）中，向贵方交付的以下货物为我公司生产（提供）：</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996" w:type="dxa"/>
            <w:vAlign w:val="center"/>
          </w:tcPr>
          <w:p>
            <w:pPr>
              <w:ind w:left="0" w:firstLine="0"/>
              <w:rPr>
                <w:rFonts w:ascii="宋体" w:hAnsi="宋体"/>
                <w:color w:val="auto"/>
                <w:highlight w:val="none"/>
              </w:rPr>
            </w:pPr>
            <w:r>
              <w:rPr>
                <w:rFonts w:hint="eastAsia" w:ascii="宋体" w:hAnsi="宋体"/>
                <w:color w:val="auto"/>
                <w:highlight w:val="none"/>
              </w:rPr>
              <w:t>计划</w:t>
            </w:r>
          </w:p>
        </w:tc>
        <w:tc>
          <w:tcPr>
            <w:tcW w:w="1284" w:type="dxa"/>
            <w:vAlign w:val="center"/>
          </w:tcPr>
          <w:p>
            <w:pPr>
              <w:ind w:left="0" w:firstLine="0"/>
              <w:rPr>
                <w:rFonts w:ascii="宋体" w:hAnsi="宋体"/>
                <w:color w:val="auto"/>
                <w:highlight w:val="none"/>
              </w:rPr>
            </w:pPr>
            <w:r>
              <w:rPr>
                <w:rFonts w:hint="eastAsia" w:ascii="宋体" w:hAnsi="宋体"/>
                <w:color w:val="auto"/>
                <w:highlight w:val="none"/>
              </w:rPr>
              <w:t>货物名称</w:t>
            </w:r>
          </w:p>
        </w:tc>
        <w:tc>
          <w:tcPr>
            <w:tcW w:w="1516" w:type="dxa"/>
            <w:vAlign w:val="center"/>
          </w:tcPr>
          <w:p>
            <w:pPr>
              <w:ind w:left="0" w:firstLine="0"/>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161" w:type="dxa"/>
            <w:vAlign w:val="center"/>
          </w:tcPr>
          <w:p>
            <w:pPr>
              <w:ind w:left="0" w:firstLine="0"/>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9" w:type="dxa"/>
            <w:vAlign w:val="center"/>
          </w:tcPr>
          <w:p>
            <w:pPr>
              <w:ind w:left="0" w:firstLine="0"/>
              <w:rPr>
                <w:rFonts w:ascii="宋体" w:hAnsi="宋体"/>
                <w:color w:val="auto"/>
                <w:highlight w:val="none"/>
              </w:rPr>
            </w:pPr>
            <w:r>
              <w:rPr>
                <w:rFonts w:hint="eastAsia" w:ascii="宋体" w:hAnsi="宋体"/>
                <w:color w:val="auto"/>
                <w:highlight w:val="none"/>
              </w:rPr>
              <w:t>单位</w:t>
            </w:r>
          </w:p>
        </w:tc>
        <w:tc>
          <w:tcPr>
            <w:tcW w:w="912" w:type="dxa"/>
            <w:vAlign w:val="center"/>
          </w:tcPr>
          <w:p>
            <w:pPr>
              <w:ind w:left="0" w:firstLine="0"/>
              <w:rPr>
                <w:rFonts w:ascii="宋体" w:hAnsi="宋体"/>
                <w:color w:val="auto"/>
                <w:highlight w:val="none"/>
              </w:rPr>
            </w:pPr>
            <w:r>
              <w:rPr>
                <w:rFonts w:hint="eastAsia" w:ascii="宋体" w:hAnsi="宋体"/>
                <w:color w:val="auto"/>
                <w:highlight w:val="none"/>
              </w:rPr>
              <w:t>数量</w:t>
            </w:r>
          </w:p>
        </w:tc>
        <w:tc>
          <w:tcPr>
            <w:tcW w:w="732"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bl>
    <w:p>
      <w:pPr>
        <w:pStyle w:val="2"/>
        <w:spacing w:line="240" w:lineRule="auto"/>
        <w:ind w:left="708" w:leftChars="200" w:right="-28" w:hanging="288" w:hangingChars="144"/>
        <w:rPr>
          <w:rFonts w:hAnsi="宋体"/>
          <w:color w:val="auto"/>
          <w:highlight w:val="none"/>
        </w:rPr>
      </w:pP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 xml:space="preserve">单位：（公章）                       </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地址：</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联系人：                部门及职务：</w:t>
      </w:r>
    </w:p>
    <w:p>
      <w:pPr>
        <w:spacing w:line="240" w:lineRule="auto"/>
        <w:ind w:left="722" w:leftChars="200" w:right="-28" w:hanging="302" w:hangingChars="144"/>
        <w:rPr>
          <w:rFonts w:ascii="宋体" w:hAnsi="宋体"/>
          <w:color w:val="auto"/>
          <w:highlight w:val="none"/>
        </w:rPr>
      </w:pPr>
      <w:r>
        <w:rPr>
          <w:rFonts w:hint="eastAsia" w:ascii="宋体" w:hAnsi="宋体"/>
          <w:color w:val="auto"/>
          <w:highlight w:val="none"/>
        </w:rPr>
        <w:t>联系方式:              日期：</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附件6.3 交货通知格式</w:t>
      </w:r>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2"/>
        <w:spacing w:line="240" w:lineRule="auto"/>
        <w:ind w:leftChars="200" w:right="-28" w:hanging="289" w:hangingChars="144"/>
        <w:jc w:val="center"/>
        <w:rPr>
          <w:rFonts w:hAnsi="宋体"/>
          <w:color w:val="auto"/>
          <w:highlight w:val="none"/>
        </w:rPr>
      </w:pPr>
      <w:r>
        <w:rPr>
          <w:rFonts w:hAnsi="宋体"/>
          <w:b/>
          <w:color w:val="auto"/>
          <w:kern w:val="2"/>
          <w:highlight w:val="none"/>
        </w:rPr>
        <w:t xml:space="preserve">采购项目 </w:t>
      </w:r>
      <w:r>
        <w:rPr>
          <w:rFonts w:hint="eastAsia" w:hAnsi="宋体"/>
          <w:b/>
          <w:color w:val="auto"/>
          <w:kern w:val="2"/>
          <w:highlight w:val="none"/>
        </w:rPr>
        <w:t xml:space="preserve"> </w:t>
      </w:r>
      <w:r>
        <w:rPr>
          <w:rFonts w:hAnsi="宋体"/>
          <w:b/>
          <w:color w:val="auto"/>
          <w:kern w:val="2"/>
          <w:highlight w:val="none"/>
        </w:rPr>
        <w:t xml:space="preserve">号线 第 </w:t>
      </w:r>
      <w:r>
        <w:rPr>
          <w:rFonts w:hint="eastAsia" w:hAnsi="宋体"/>
          <w:b/>
          <w:color w:val="auto"/>
          <w:kern w:val="2"/>
          <w:highlight w:val="none"/>
        </w:rPr>
        <w:t xml:space="preserve"> </w:t>
      </w:r>
      <w:r>
        <w:rPr>
          <w:rFonts w:hAnsi="宋体"/>
          <w:b/>
          <w:color w:val="auto"/>
          <w:kern w:val="2"/>
          <w:highlight w:val="none"/>
        </w:rPr>
        <w:t>批 交货通知</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161" w:type="dxa"/>
            <w:vAlign w:val="center"/>
          </w:tcPr>
          <w:p>
            <w:pPr>
              <w:spacing w:before="0" w:after="0" w:afterAutospacing="0"/>
              <w:ind w:left="0" w:right="0" w:firstLine="0"/>
              <w:jc w:val="center"/>
              <w:textAlignment w:val="center"/>
              <w:rPr>
                <w:rFonts w:ascii="宋体" w:hAnsi="宋体" w:cs="Calibri"/>
                <w:color w:val="auto"/>
                <w:highlight w:val="none"/>
              </w:rPr>
            </w:pPr>
          </w:p>
        </w:tc>
        <w:tc>
          <w:tcPr>
            <w:tcW w:w="1161" w:type="dxa"/>
            <w:vAlign w:val="center"/>
          </w:tcPr>
          <w:p>
            <w:pPr>
              <w:spacing w:before="0" w:after="0" w:afterAutospacing="0"/>
              <w:ind w:right="0"/>
              <w:jc w:val="center"/>
              <w:textAlignment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w:t>
      </w:r>
      <w:r>
        <w:rPr>
          <w:rFonts w:hint="eastAsia" w:hAnsi="宋体"/>
          <w:color w:val="auto"/>
          <w:kern w:val="2"/>
          <w:highlight w:val="none"/>
          <w:lang w:val="en-US" w:eastAsia="zh-CN"/>
        </w:rPr>
        <w:t>南宁轨道交通</w:t>
      </w:r>
      <w:r>
        <w:rPr>
          <w:rFonts w:hAnsi="宋体"/>
          <w:color w:val="auto"/>
          <w:kern w:val="2"/>
          <w:highlight w:val="none"/>
        </w:rPr>
        <w:t>运营</w:t>
      </w:r>
      <w:r>
        <w:rPr>
          <w:rFonts w:hint="eastAsia" w:hAnsi="宋体"/>
          <w:color w:val="auto"/>
          <w:kern w:val="2"/>
          <w:highlight w:val="none"/>
          <w:lang w:val="en-US" w:eastAsia="zh-CN"/>
        </w:rPr>
        <w:t>有限</w:t>
      </w:r>
      <w:r>
        <w:rPr>
          <w:rFonts w:hAnsi="宋体"/>
          <w:color w:val="auto"/>
          <w:kern w:val="2"/>
          <w:highlight w:val="none"/>
        </w:rPr>
        <w:t>公司</w:t>
      </w:r>
      <w:r>
        <w:rPr>
          <w:rFonts w:hint="eastAsia" w:hAnsi="宋体"/>
          <w:color w:val="auto"/>
          <w:kern w:val="2"/>
          <w:highlight w:val="none"/>
        </w:rPr>
        <w:t>XX</w:t>
      </w:r>
      <w:r>
        <w:rPr>
          <w:rFonts w:hAnsi="宋体"/>
          <w:color w:val="auto"/>
          <w:kern w:val="2"/>
          <w:highlight w:val="none"/>
        </w:rPr>
        <w:t>部公章后有效，送货时携带纸质版一份。</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南宁轨道交通运营</w:t>
      </w:r>
      <w:r>
        <w:rPr>
          <w:rFonts w:hint="eastAsia" w:hAnsi="宋体"/>
          <w:color w:val="auto"/>
          <w:highlight w:val="none"/>
          <w:lang w:val="en-US" w:eastAsia="zh-CN"/>
        </w:rPr>
        <w:t>有限</w:t>
      </w:r>
      <w:r>
        <w:rPr>
          <w:rFonts w:hint="eastAsia" w:hAnsi="宋体"/>
          <w:color w:val="auto"/>
          <w:highlight w:val="none"/>
        </w:rPr>
        <w:t>公司XX部</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附件6.4 送货单格式</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2"/>
        <w:spacing w:line="240" w:lineRule="auto"/>
        <w:ind w:left="2526" w:right="-28" w:hanging="6"/>
        <w:jc w:val="center"/>
        <w:rPr>
          <w:rFonts w:hAnsi="宋体"/>
          <w:color w:val="auto"/>
          <w:highlight w:val="none"/>
        </w:rPr>
      </w:pPr>
      <w:r>
        <w:rPr>
          <w:rFonts w:hint="eastAsia" w:hAnsi="宋体"/>
          <w:b/>
          <w:color w:val="auto"/>
          <w:highlight w:val="none"/>
        </w:rPr>
        <w:t xml:space="preserve"> </w:t>
      </w:r>
      <w:r>
        <w:rPr>
          <w:rFonts w:hAnsi="宋体"/>
          <w:b/>
          <w:color w:val="auto"/>
          <w:kern w:val="2"/>
          <w:highlight w:val="none"/>
        </w:rPr>
        <w:t xml:space="preserve"> 采购项目 号线 第  批 送货单</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r>
              <w:rPr>
                <w:rFonts w:hint="eastAsia" w:hAnsi="宋体"/>
                <w:color w:val="auto"/>
                <w:highlight w:val="none"/>
              </w:rPr>
              <w:t>合计</w:t>
            </w: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int="eastAsia" w:hAnsi="宋体" w:cs="Calibri"/>
          <w:color w:val="auto"/>
          <w:kern w:val="2"/>
          <w:highlight w:val="none"/>
          <w:lang w:eastAsia="zh-CN"/>
        </w:rPr>
        <w:t>“</w:t>
      </w:r>
      <w:r>
        <w:rPr>
          <w:rFonts w:hint="eastAsia" w:hAnsi="宋体"/>
          <w:color w:val="auto"/>
          <w:highlight w:val="none"/>
        </w:rPr>
        <w:t>实收数量</w:t>
      </w:r>
      <w:r>
        <w:rPr>
          <w:rFonts w:hint="eastAsia" w:hAnsi="宋体" w:cs="Calibri"/>
          <w:color w:val="auto"/>
          <w:kern w:val="2"/>
          <w:highlight w:val="none"/>
          <w:lang w:eastAsia="zh-CN"/>
        </w:rPr>
        <w:t>”</w:t>
      </w:r>
      <w:r>
        <w:rPr>
          <w:rFonts w:hint="eastAsia" w:hAnsi="宋体"/>
          <w:color w:val="auto"/>
          <w:highlight w:val="none"/>
        </w:rPr>
        <w:t>为必填项。</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2"/>
        <w:spacing w:line="240" w:lineRule="auto"/>
        <w:ind w:left="708" w:leftChars="200" w:right="-28" w:hanging="288" w:hangingChars="144"/>
        <w:rPr>
          <w:rFonts w:hAnsi="宋体"/>
          <w:color w:val="auto"/>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270" w:name="_Toc24244"/>
      <w:bookmarkStart w:id="271" w:name="_Toc13383"/>
      <w:bookmarkStart w:id="272" w:name="_Toc20543"/>
      <w:bookmarkStart w:id="273" w:name="_Toc14157"/>
      <w:bookmarkStart w:id="274" w:name="_Toc22452"/>
      <w:bookmarkStart w:id="275" w:name="_Toc92268652"/>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270"/>
      <w:bookmarkEnd w:id="271"/>
      <w:bookmarkEnd w:id="272"/>
      <w:bookmarkEnd w:id="273"/>
      <w:bookmarkEnd w:id="274"/>
      <w:bookmarkEnd w:id="275"/>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276" w:name="_Toc92268653"/>
      <w:bookmarkStart w:id="277" w:name="_Toc13996"/>
      <w:bookmarkStart w:id="278" w:name="_Toc21928"/>
      <w:bookmarkStart w:id="279" w:name="_Toc7991"/>
      <w:bookmarkStart w:id="280" w:name="_Toc20668"/>
      <w:bookmarkStart w:id="281" w:name="_Toc18562"/>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276"/>
      <w:bookmarkEnd w:id="277"/>
      <w:bookmarkEnd w:id="278"/>
      <w:bookmarkEnd w:id="279"/>
      <w:bookmarkEnd w:id="280"/>
      <w:bookmarkEnd w:id="281"/>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left="1" w:right="-57" w:firstLine="0"/>
        <w:jc w:val="center"/>
        <w:outlineLvl w:val="0"/>
        <w:rPr>
          <w:rStyle w:val="45"/>
          <w:rFonts w:hAnsi="宋体"/>
          <w:color w:val="auto"/>
          <w:sz w:val="44"/>
          <w:szCs w:val="44"/>
          <w:highlight w:val="none"/>
        </w:rPr>
      </w:pPr>
      <w:bookmarkStart w:id="282" w:name="_Toc9157"/>
      <w:bookmarkStart w:id="283" w:name="_Toc29415"/>
      <w:bookmarkStart w:id="284" w:name="_Toc8674"/>
      <w:bookmarkStart w:id="285" w:name="_Toc9016"/>
      <w:r>
        <w:rPr>
          <w:rStyle w:val="45"/>
          <w:rFonts w:hint="eastAsia" w:hAnsi="宋体"/>
          <w:color w:val="auto"/>
          <w:sz w:val="44"/>
          <w:szCs w:val="44"/>
          <w:highlight w:val="none"/>
        </w:rPr>
        <w:t>第四章 比选申请文件格式</w:t>
      </w:r>
      <w:bookmarkEnd w:id="282"/>
      <w:bookmarkEnd w:id="283"/>
      <w:bookmarkEnd w:id="284"/>
      <w:bookmarkEnd w:id="285"/>
    </w:p>
    <w:p>
      <w:pPr>
        <w:spacing w:after="120" w:afterLines="50"/>
        <w:jc w:val="center"/>
        <w:rPr>
          <w:b/>
          <w:color w:val="auto"/>
          <w:sz w:val="44"/>
          <w:szCs w:val="44"/>
          <w:highlight w:val="none"/>
        </w:rPr>
      </w:pPr>
    </w:p>
    <w:p>
      <w:pPr>
        <w:pStyle w:val="55"/>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2"/>
        <w:pageBreakBefore/>
        <w:ind w:left="0" w:right="-57" w:firstLine="0"/>
        <w:jc w:val="left"/>
        <w:rPr>
          <w:rStyle w:val="45"/>
          <w:rFonts w:ascii="宋体" w:hAnsi="宋体" w:eastAsia="宋体"/>
          <w:color w:val="auto"/>
          <w:sz w:val="21"/>
          <w:szCs w:val="21"/>
          <w:highlight w:val="none"/>
        </w:rPr>
      </w:pPr>
      <w:r>
        <w:rPr>
          <w:rFonts w:hAnsi="宋体"/>
          <w:b/>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2"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60288;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JkZonw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pc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JkZonw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45"/>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color w:val="auto"/>
          <w:sz w:val="28"/>
          <w:szCs w:val="28"/>
          <w:highlight w:val="none"/>
        </w:rPr>
      </w:pPr>
      <w:r>
        <w:rPr>
          <w:rFonts w:hint="eastAsia" w:ascii="宋体" w:hAnsi="宋体"/>
          <w:b/>
          <w:color w:val="auto"/>
          <w:spacing w:val="-4"/>
          <w:sz w:val="44"/>
          <w:szCs w:val="44"/>
          <w:highlight w:val="none"/>
          <w:u w:val="single"/>
        </w:rPr>
        <w:t>南宁轨道交通5号线运营导向标示标贴、安全标识</w:t>
      </w:r>
      <w:r>
        <w:rPr>
          <w:rFonts w:hint="eastAsia" w:ascii="宋体" w:hAnsi="宋体"/>
          <w:b/>
          <w:color w:val="auto"/>
          <w:spacing w:val="-4"/>
          <w:sz w:val="44"/>
          <w:szCs w:val="44"/>
          <w:highlight w:val="none"/>
        </w:rPr>
        <w:t>采购项目</w:t>
      </w:r>
    </w:p>
    <w:p>
      <w:pPr>
        <w:jc w:val="center"/>
        <w:rPr>
          <w:color w:val="auto"/>
          <w:sz w:val="28"/>
          <w:szCs w:val="28"/>
          <w:highlight w:val="none"/>
        </w:rPr>
      </w:pPr>
    </w:p>
    <w:p>
      <w:pPr>
        <w:jc w:val="center"/>
        <w:rPr>
          <w:color w:val="auto"/>
          <w:sz w:val="28"/>
          <w:szCs w:val="28"/>
          <w:highlight w:val="none"/>
        </w:rPr>
      </w:pPr>
    </w:p>
    <w:p>
      <w:pPr>
        <w:spacing w:before="240"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firstLine="2380" w:firstLineChars="85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default"/>
          <w:color w:val="auto"/>
          <w:sz w:val="28"/>
          <w:szCs w:val="28"/>
          <w:highlight w:val="none"/>
          <w:u w:val="none"/>
        </w:rPr>
        <w:t>（</w:t>
      </w:r>
      <w:r>
        <w:rPr>
          <w:rFonts w:hint="default" w:ascii="Times New Roman" w:hAnsi="Times New Roman" w:eastAsia="宋体"/>
          <w:color w:val="auto"/>
          <w:sz w:val="28"/>
          <w:szCs w:val="28"/>
          <w:highlight w:val="none"/>
          <w:shd w:val="clear" w:color="auto" w:fill="auto"/>
        </w:rPr>
        <w:t>202204200004</w:t>
      </w:r>
      <w:r>
        <w:rPr>
          <w:rFonts w:hint="eastAsia"/>
          <w:color w:val="auto"/>
          <w:sz w:val="28"/>
          <w:szCs w:val="28"/>
          <w:highlight w:val="none"/>
        </w:rPr>
        <w:t>）</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286" w:name="_Hlk70427841"/>
      <w:r>
        <w:rPr>
          <w:color w:val="auto"/>
          <w:sz w:val="28"/>
          <w:szCs w:val="28"/>
          <w:highlight w:val="none"/>
        </w:rPr>
        <w:t>盖公章</w:t>
      </w:r>
      <w:bookmarkEnd w:id="286"/>
      <w:r>
        <w:rPr>
          <w:color w:val="auto"/>
          <w:sz w:val="28"/>
          <w:szCs w:val="28"/>
          <w:highlight w:val="none"/>
        </w:rPr>
        <w:t>）</w:t>
      </w:r>
    </w:p>
    <w:p>
      <w:pPr>
        <w:ind w:firstLine="1400" w:firstLineChars="500"/>
        <w:rPr>
          <w:color w:val="auto"/>
          <w:sz w:val="28"/>
          <w:szCs w:val="28"/>
          <w:highlight w:val="none"/>
        </w:rPr>
      </w:pPr>
      <w:r>
        <w:rPr>
          <w:color w:val="auto"/>
          <w:sz w:val="28"/>
          <w:szCs w:val="28"/>
          <w:highlight w:val="none"/>
        </w:rPr>
        <w:t>法定代表人或其委托代理人：（签字或盖章）</w:t>
      </w:r>
    </w:p>
    <w:p>
      <w:pPr>
        <w:spacing w:before="0" w:after="0" w:afterAutospacing="0"/>
        <w:ind w:left="0" w:right="0" w:firstLine="420" w:firstLineChars="200"/>
        <w:rPr>
          <w:rFonts w:hAnsi="宋体"/>
          <w:color w:val="auto"/>
          <w:highlight w:val="none"/>
        </w:rPr>
      </w:pPr>
    </w:p>
    <w:p>
      <w:pPr>
        <w:pStyle w:val="2"/>
        <w:pageBreakBefore/>
        <w:ind w:right="-57" w:firstLine="0"/>
        <w:jc w:val="center"/>
        <w:rPr>
          <w:rStyle w:val="45"/>
          <w:rFonts w:ascii="宋体" w:hAnsi="宋体" w:eastAsia="宋体"/>
          <w:color w:val="auto"/>
          <w:highlight w:val="none"/>
        </w:rPr>
      </w:pPr>
      <w:r>
        <w:rPr>
          <w:rStyle w:val="45"/>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287" w:name="_Toc4027"/>
      <w:bookmarkStart w:id="288" w:name="_Toc12984805"/>
      <w:bookmarkStart w:id="289" w:name="_Toc21274"/>
      <w:bookmarkStart w:id="290" w:name="_Toc31624"/>
      <w:bookmarkStart w:id="291" w:name="_Toc30705"/>
      <w:bookmarkStart w:id="292" w:name="_Toc19412"/>
      <w:bookmarkStart w:id="293" w:name="_Toc22709"/>
      <w:bookmarkStart w:id="294" w:name="_Toc23261"/>
      <w:bookmarkStart w:id="295" w:name="_Toc32185"/>
      <w:bookmarkStart w:id="296" w:name="_Toc4873"/>
      <w:bookmarkStart w:id="297" w:name="_Toc12983549"/>
      <w:bookmarkStart w:id="298" w:name="_Toc16671"/>
      <w:bookmarkStart w:id="299" w:name="_Toc3396"/>
      <w:bookmarkStart w:id="300" w:name="_Toc361"/>
      <w:bookmarkStart w:id="301" w:name="_Toc31535"/>
      <w:bookmarkStart w:id="302" w:name="_Toc6941"/>
      <w:bookmarkStart w:id="303" w:name="_Toc492478802"/>
      <w:bookmarkStart w:id="304" w:name="_Toc24453"/>
      <w:bookmarkStart w:id="305" w:name="_Toc414290520"/>
      <w:bookmarkStart w:id="306" w:name="_Toc24824"/>
      <w:bookmarkStart w:id="307" w:name="_Toc25325"/>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Pr>
        <w:pStyle w:val="18"/>
        <w:rPr>
          <w:b/>
          <w:color w:val="auto"/>
          <w:highlight w:val="none"/>
          <w:lang w:val="zh-CN"/>
        </w:rPr>
      </w:pPr>
      <w:r>
        <w:rPr>
          <w:rFonts w:hint="eastAsia"/>
          <w:b/>
          <w:color w:val="auto"/>
          <w:highlight w:val="none"/>
        </w:rPr>
        <w:t>一、比选申请函</w:t>
      </w:r>
      <w:r>
        <w:rPr>
          <w:b/>
          <w:color w:val="auto"/>
          <w:highlight w:val="none"/>
        </w:rPr>
        <w:ptab w:relativeTo="margin" w:alignment="right" w:leader="dot"/>
      </w:r>
    </w:p>
    <w:p>
      <w:pPr>
        <w:pStyle w:val="18"/>
        <w:rPr>
          <w:b/>
          <w:color w:val="auto"/>
          <w:highlight w:val="none"/>
        </w:rPr>
      </w:pPr>
      <w:r>
        <w:rPr>
          <w:rFonts w:hint="eastAsia"/>
          <w:b/>
          <w:color w:val="auto"/>
          <w:highlight w:val="none"/>
        </w:rPr>
        <w:t>二、比选承诺函</w:t>
      </w:r>
      <w:r>
        <w:rPr>
          <w:b/>
          <w:color w:val="auto"/>
          <w:highlight w:val="none"/>
        </w:rPr>
        <w:ptab w:relativeTo="margin" w:alignment="right" w:leader="dot"/>
      </w:r>
    </w:p>
    <w:p>
      <w:pPr>
        <w:pStyle w:val="18"/>
        <w:rPr>
          <w:b/>
          <w:color w:val="auto"/>
          <w:highlight w:val="none"/>
        </w:rPr>
      </w:pPr>
      <w:r>
        <w:rPr>
          <w:rFonts w:hint="eastAsia"/>
          <w:b/>
          <w:color w:val="auto"/>
          <w:highlight w:val="none"/>
        </w:rPr>
        <w:t>三、比选申请报价表</w:t>
      </w:r>
      <w:r>
        <w:rPr>
          <w:b/>
          <w:color w:val="auto"/>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3.1比选申请报价一览表</w:t>
      </w:r>
      <w:r>
        <w:rPr>
          <w:rFonts w:asciiTheme="minorHAnsi" w:hAnsiTheme="minorHAnsi" w:eastAsiaTheme="minorEastAsia"/>
          <w:color w:val="auto"/>
          <w:sz w:val="22"/>
          <w:szCs w:val="22"/>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3.2比选申请报价明细表</w:t>
      </w:r>
      <w:r>
        <w:rPr>
          <w:rFonts w:asciiTheme="minorHAnsi" w:hAnsiTheme="minorHAnsi" w:eastAsiaTheme="minorEastAsia"/>
          <w:color w:val="auto"/>
          <w:sz w:val="22"/>
          <w:szCs w:val="22"/>
          <w:highlight w:val="none"/>
        </w:rPr>
        <w:ptab w:relativeTo="margin" w:alignment="right" w:leader="dot"/>
      </w:r>
    </w:p>
    <w:p>
      <w:pPr>
        <w:pStyle w:val="18"/>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3"/>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ptab w:relativeTo="margin" w:alignment="right" w:leader="dot"/>
      </w:r>
    </w:p>
    <w:p>
      <w:pPr>
        <w:pStyle w:val="18"/>
        <w:rPr>
          <w:b/>
          <w:color w:val="auto"/>
          <w:highlight w:val="none"/>
        </w:rPr>
      </w:pPr>
      <w:r>
        <w:rPr>
          <w:rFonts w:hint="eastAsia"/>
          <w:b/>
          <w:color w:val="auto"/>
          <w:highlight w:val="none"/>
        </w:rPr>
        <w:t>五、企业证照</w:t>
      </w:r>
      <w:r>
        <w:rPr>
          <w:b/>
          <w:color w:val="auto"/>
          <w:highlight w:val="none"/>
        </w:rPr>
        <w:ptab w:relativeTo="margin" w:alignment="right" w:leader="dot"/>
      </w:r>
    </w:p>
    <w:p>
      <w:pPr>
        <w:pStyle w:val="18"/>
        <w:rPr>
          <w:b/>
          <w:color w:val="auto"/>
          <w:highlight w:val="none"/>
        </w:rPr>
      </w:pPr>
      <w:r>
        <w:rPr>
          <w:rFonts w:hint="eastAsia"/>
          <w:b/>
          <w:color w:val="auto"/>
          <w:highlight w:val="none"/>
        </w:rPr>
        <w:t>六、类似项目业绩表</w:t>
      </w:r>
      <w:r>
        <w:rPr>
          <w:b/>
          <w:color w:val="auto"/>
          <w:highlight w:val="none"/>
        </w:rPr>
        <w:ptab w:relativeTo="margin" w:alignment="right" w:leader="dot"/>
      </w:r>
    </w:p>
    <w:p>
      <w:pPr>
        <w:pStyle w:val="18"/>
        <w:rPr>
          <w:b/>
          <w:color w:val="auto"/>
          <w:highlight w:val="none"/>
        </w:rPr>
      </w:pPr>
      <w:r>
        <w:rPr>
          <w:rFonts w:hint="eastAsia"/>
          <w:b/>
          <w:color w:val="auto"/>
          <w:highlight w:val="none"/>
        </w:rPr>
        <w:t>七、比选响应表</w:t>
      </w:r>
      <w:r>
        <w:rPr>
          <w:b/>
          <w:color w:val="auto"/>
          <w:highlight w:val="none"/>
        </w:rPr>
        <w:ptab w:relativeTo="margin" w:alignment="right" w:leader="dot"/>
      </w:r>
    </w:p>
    <w:p>
      <w:pPr>
        <w:pStyle w:val="18"/>
        <w:rPr>
          <w:b/>
          <w:color w:val="auto"/>
          <w:highlight w:val="none"/>
        </w:rPr>
      </w:pPr>
      <w:r>
        <w:rPr>
          <w:rFonts w:hint="eastAsia"/>
          <w:b/>
          <w:color w:val="auto"/>
          <w:highlight w:val="none"/>
        </w:rPr>
        <w:t>八、其他</w:t>
      </w:r>
      <w:r>
        <w:rPr>
          <w:b/>
          <w:color w:val="auto"/>
          <w:highlight w:val="none"/>
        </w:rPr>
        <w:ptab w:relativeTo="margin" w:alignment="right" w:leader="do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08" w:name="_Toc7460"/>
      <w:bookmarkStart w:id="309" w:name="_Toc8549"/>
      <w:bookmarkStart w:id="310" w:name="_Toc14964"/>
      <w:bookmarkStart w:id="311" w:name="_Toc24202"/>
      <w:r>
        <w:rPr>
          <w:rFonts w:hint="eastAsia" w:ascii="Times New Roman" w:hAnsi="Times New Roman" w:eastAsia="宋体"/>
          <w:color w:val="auto"/>
          <w:highlight w:val="none"/>
        </w:rPr>
        <w:t>一、比选申请函</w:t>
      </w:r>
      <w:bookmarkEnd w:id="308"/>
      <w:bookmarkEnd w:id="309"/>
      <w:bookmarkEnd w:id="310"/>
      <w:bookmarkEnd w:id="311"/>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宋体"/>
          <w:color w:val="auto"/>
          <w:highlight w:val="none"/>
          <w:u w:val="single"/>
        </w:rPr>
        <w:t>南宁轨道交通运营有限公司</w:t>
      </w:r>
    </w:p>
    <w:p>
      <w:pPr>
        <w:snapToGrid w:val="0"/>
        <w:spacing w:before="0" w:after="0" w:afterAutospacing="0"/>
        <w:ind w:left="0" w:right="0" w:firstLine="420" w:firstLineChars="200"/>
        <w:rPr>
          <w:rFonts w:hint="eastAsia" w:ascii="宋体" w:hAnsi="宋体" w:cs="Arial"/>
          <w:color w:val="auto"/>
          <w:highlight w:val="none"/>
          <w:u w:val="singl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南宁轨道交通5号线运营导向标示标贴、安全标识</w:t>
      </w:r>
      <w:r>
        <w:rPr>
          <w:rFonts w:hint="eastAsia" w:ascii="宋体" w:hAnsi="宋体" w:cs="Arial"/>
          <w:color w:val="auto"/>
          <w:highlight w:val="none"/>
          <w:u w:val="single"/>
          <w:lang w:val="en-US" w:eastAsia="zh-CN"/>
        </w:rPr>
        <w:t>采购</w:t>
      </w:r>
      <w:r>
        <w:rPr>
          <w:rFonts w:hint="eastAsia" w:ascii="宋体" w:hAnsi="宋体" w:cs="Arial"/>
          <w:color w:val="auto"/>
          <w:highlight w:val="none"/>
          <w:u w:val="single"/>
        </w:rPr>
        <w:t>项目</w:t>
      </w:r>
      <w:r>
        <w:rPr>
          <w:rFonts w:hint="eastAsia" w:asciiTheme="minorEastAsia" w:hAnsiTheme="minorEastAsia" w:eastAsiaTheme="minorEastAsia"/>
          <w:color w:val="auto"/>
          <w:highlight w:val="none"/>
        </w:rPr>
        <w:t>的比选公告（项目编号</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宋体" w:hAnsi="宋体" w:cs="Arial"/>
          <w:color w:val="auto"/>
          <w:highlight w:val="none"/>
          <w:u w:val="single"/>
        </w:rPr>
        <w:t>202204200004</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比选申请人</w:t>
      </w:r>
      <w:r>
        <w:rPr>
          <w:rFonts w:hint="eastAsia" w:asciiTheme="minorEastAsia" w:hAnsiTheme="minorEastAsia" w:eastAsiaTheme="minorEastAsia"/>
          <w:color w:val="auto"/>
          <w:highlight w:val="none"/>
        </w:rPr>
        <w:t>名称、地址）提交下述文件正本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w:t>
      </w:r>
      <w:r>
        <w:rPr>
          <w:rFonts w:hint="eastAsia" w:asciiTheme="minorEastAsia" w:hAnsiTheme="minorEastAsia" w:eastAsiaTheme="minorEastAsia"/>
          <w:color w:val="auto"/>
          <w:highlight w:val="none"/>
          <w:lang w:val="en-US" w:eastAsia="zh-CN"/>
        </w:rPr>
        <w:t>比选申请</w:t>
      </w:r>
      <w:r>
        <w:rPr>
          <w:rFonts w:hint="eastAsia" w:asciiTheme="minorEastAsia" w:hAnsiTheme="minorEastAsia" w:eastAsiaTheme="minorEastAsia"/>
          <w:color w:val="auto"/>
          <w:highlight w:val="none"/>
        </w:rPr>
        <w:t>，将赔偿贵方损失。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如果我方中选，我方将提供金额为合同总价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比选申请人</w:t>
      </w:r>
      <w:r>
        <w:rPr>
          <w:rFonts w:hint="eastAsia" w:asciiTheme="minorEastAsia" w:hAnsiTheme="minorEastAsia" w:eastAsiaTheme="minorEastAsia"/>
          <w:color w:val="auto"/>
          <w:highlight w:val="none"/>
        </w:rPr>
        <w:t>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12" w:name="_Toc4548"/>
      <w:bookmarkStart w:id="313" w:name="_Toc22150"/>
      <w:bookmarkStart w:id="314" w:name="_Toc5968"/>
      <w:bookmarkStart w:id="315" w:name="_Toc24471"/>
      <w:r>
        <w:rPr>
          <w:rFonts w:hint="eastAsia" w:ascii="Times New Roman" w:hAnsi="Times New Roman" w:eastAsia="宋体"/>
          <w:color w:val="auto"/>
          <w:highlight w:val="none"/>
        </w:rPr>
        <w:t>二、比选承诺函</w:t>
      </w:r>
      <w:bookmarkEnd w:id="312"/>
      <w:bookmarkEnd w:id="313"/>
      <w:bookmarkEnd w:id="314"/>
      <w:bookmarkEnd w:id="315"/>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ascii="宋体" w:hAnsi="宋体"/>
          <w:color w:val="auto"/>
          <w:sz w:val="18"/>
          <w:szCs w:val="18"/>
          <w:highlight w:val="none"/>
        </w:rPr>
      </w:pPr>
      <w:r>
        <w:rPr>
          <w:rFonts w:ascii="宋体" w:hAnsi="宋体"/>
          <w:color w:val="auto"/>
          <w:highlight w:val="none"/>
        </w:rPr>
        <w:t>致：</w:t>
      </w:r>
      <w:r>
        <w:rPr>
          <w:rFonts w:hint="eastAsia" w:ascii="宋体" w:hAnsi="宋体" w:cs="宋体"/>
          <w:color w:val="auto"/>
          <w:highlight w:val="none"/>
          <w:u w:val="single"/>
        </w:rPr>
        <w:t>南宁轨道交通运营有限公司</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spacing w:before="0" w:after="0" w:afterAutospacing="0" w:line="240" w:lineRule="auto"/>
        <w:ind w:left="0" w:right="0" w:firstLine="420" w:firstLineChars="200"/>
        <w:jc w:val="left"/>
        <w:rPr>
          <w:rFonts w:ascii="宋体" w:hAnsi="宋体"/>
          <w:b/>
          <w:bCs/>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w:t>
      </w:r>
      <w:r>
        <w:rPr>
          <w:rFonts w:hint="eastAsia" w:ascii="宋体" w:hAnsi="宋体"/>
          <w:b/>
          <w:bCs/>
          <w:color w:val="auto"/>
          <w:highlight w:val="none"/>
        </w:rPr>
        <w:t>被行政主管部门或业主取消比选申请资格的处罚期内，且没有处于被责令停业，财产被接管、冻结、破产状态</w:t>
      </w:r>
      <w:r>
        <w:rPr>
          <w:rFonts w:ascii="宋体" w:hAnsi="宋体"/>
          <w:b/>
          <w:bCs/>
          <w:color w:val="auto"/>
          <w:highlight w:val="none"/>
        </w:rPr>
        <w:t>；</w:t>
      </w:r>
      <w:r>
        <w:rPr>
          <w:rFonts w:hint="eastAsia" w:ascii="宋体" w:hAnsi="宋体"/>
          <w:b/>
          <w:bCs/>
          <w:color w:val="auto"/>
          <w:highlight w:val="none"/>
        </w:rPr>
        <w:t>比选申请截止时间前3年内没有骗取中选、严重违约或重大质量安全责任事故的情况。</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w:t>
      </w:r>
      <w:r>
        <w:rPr>
          <w:rFonts w:hint="eastAsia" w:ascii="宋体" w:hAnsi="宋体"/>
          <w:color w:val="auto"/>
          <w:highlight w:val="none"/>
          <w:lang w:val="en-US" w:eastAsia="zh-CN"/>
        </w:rPr>
        <w:t>选</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hint="eastAsia"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pStyle w:val="2"/>
        <w:ind w:left="708" w:leftChars="207" w:hanging="273" w:hangingChars="136"/>
        <w:rPr>
          <w:rFonts w:hint="default" w:eastAsia="宋体"/>
          <w:color w:val="auto"/>
          <w:highlight w:val="none"/>
          <w:lang w:val="en-US" w:eastAsia="zh-CN"/>
        </w:rPr>
      </w:pPr>
      <w:r>
        <w:rPr>
          <w:rFonts w:hint="eastAsia" w:hAnsi="宋体"/>
          <w:b/>
          <w:color w:val="auto"/>
          <w:highlight w:val="none"/>
          <w:lang w:val="en-US" w:eastAsia="zh-CN"/>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16" w:name="_Toc19669"/>
      <w:bookmarkStart w:id="317" w:name="_Toc22261"/>
      <w:bookmarkStart w:id="318" w:name="_Toc782"/>
      <w:bookmarkStart w:id="319" w:name="_Toc28811"/>
      <w:r>
        <w:rPr>
          <w:rFonts w:hint="eastAsia" w:ascii="Times New Roman" w:hAnsi="Times New Roman" w:eastAsia="宋体"/>
          <w:color w:val="auto"/>
          <w:highlight w:val="none"/>
        </w:rPr>
        <w:t>三、比选申请报价表</w:t>
      </w:r>
      <w:bookmarkEnd w:id="316"/>
      <w:bookmarkEnd w:id="317"/>
      <w:bookmarkEnd w:id="318"/>
      <w:bookmarkEnd w:id="319"/>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3.1比选申请报价一览表</w:t>
      </w:r>
    </w:p>
    <w:p>
      <w:pPr>
        <w:spacing w:before="0" w:after="0" w:afterAutospacing="0"/>
        <w:ind w:left="0" w:right="0" w:firstLine="420" w:firstLineChars="200"/>
        <w:rPr>
          <w:rFonts w:hAnsi="宋体"/>
          <w:color w:val="auto"/>
          <w:highlight w:val="none"/>
        </w:rPr>
      </w:pPr>
    </w:p>
    <w:tbl>
      <w:tblPr>
        <w:tblStyle w:val="2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131" w:type="dxa"/>
            <w:gridSpan w:val="2"/>
            <w:tcBorders>
              <w:bottom w:val="single" w:color="auto" w:sz="4" w:space="0"/>
            </w:tcBorders>
            <w:vAlign w:val="center"/>
          </w:tcPr>
          <w:p>
            <w:pPr>
              <w:widowControl w:val="0"/>
              <w:snapToGrid w:val="0"/>
              <w:spacing w:before="0" w:after="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5131" w:type="dxa"/>
            <w:gridSpan w:val="2"/>
            <w:tcBorders>
              <w:top w:val="single" w:color="auto" w:sz="4" w:space="0"/>
            </w:tcBorders>
            <w:vAlign w:val="center"/>
          </w:tcPr>
          <w:p>
            <w:pPr>
              <w:widowControl w:val="0"/>
              <w:snapToGrid w:val="0"/>
              <w:spacing w:before="0" w:after="0"/>
              <w:ind w:left="0" w:right="-57" w:rightChars="-27" w:firstLine="0"/>
              <w:jc w:val="left"/>
              <w:rPr>
                <w:rFonts w:ascii="宋体" w:hAnsi="宋体"/>
                <w:b/>
                <w:color w:val="auto"/>
                <w:kern w:val="2"/>
                <w:highlight w:val="none"/>
              </w:rPr>
            </w:pPr>
            <w:r>
              <w:rPr>
                <w:rFonts w:hint="eastAsia" w:ascii="宋体" w:hAnsi="宋体"/>
                <w:b/>
                <w:color w:val="auto"/>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其中</w:t>
            </w: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r>
              <w:rPr>
                <w:rFonts w:hint="eastAsia" w:ascii="宋体" w:hAnsi="宋体"/>
                <w:b/>
                <w:color w:val="auto"/>
                <w:kern w:val="2"/>
                <w:highlight w:val="none"/>
                <w:lang w:val="en-US" w:eastAsia="zh-CN"/>
              </w:rPr>
              <w:t>5</w:t>
            </w:r>
            <w:r>
              <w:rPr>
                <w:rFonts w:ascii="宋体" w:hAnsi="宋体"/>
                <w:b/>
                <w:color w:val="auto"/>
                <w:kern w:val="2"/>
                <w:highlight w:val="none"/>
              </w:rPr>
              <w:t>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6309" w:type="dxa"/>
            <w:gridSpan w:val="3"/>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交货期</w:t>
            </w:r>
          </w:p>
        </w:tc>
        <w:tc>
          <w:tcPr>
            <w:tcW w:w="6309" w:type="dxa"/>
            <w:gridSpan w:val="3"/>
            <w:vAlign w:val="center"/>
          </w:tcPr>
          <w:p>
            <w:pPr>
              <w:widowControl/>
              <w:snapToGrid/>
              <w:spacing w:before="0" w:after="0" w:afterAutospacing="0"/>
              <w:ind w:left="0" w:right="0" w:rightChars="0" w:firstLine="420" w:firstLineChars="200"/>
              <w:rPr>
                <w:rFonts w:ascii="宋体" w:hAnsi="宋体"/>
                <w:b/>
                <w:color w:val="auto"/>
                <w:kern w:val="2"/>
                <w:highlight w:val="none"/>
              </w:rPr>
            </w:pPr>
            <w:r>
              <w:rPr>
                <w:rFonts w:hint="eastAsia" w:ascii="宋体" w:hAnsi="宋体"/>
                <w:color w:val="auto"/>
                <w:highlight w:val="none"/>
              </w:rPr>
              <w:t>合</w:t>
            </w:r>
            <w:r>
              <w:rPr>
                <w:rFonts w:hint="eastAsia" w:ascii="宋体" w:hAnsi="宋体"/>
                <w:color w:val="auto"/>
                <w:highlight w:val="none"/>
                <w:u w:val="single"/>
              </w:rPr>
              <w:t>同签订后，</w:t>
            </w:r>
            <w:r>
              <w:rPr>
                <w:rFonts w:hint="eastAsia" w:ascii="宋体" w:hAnsi="宋体"/>
                <w:color w:val="auto"/>
                <w:highlight w:val="none"/>
                <w:u w:val="single"/>
                <w:lang w:eastAsia="zh-CN"/>
              </w:rPr>
              <w:t>在</w:t>
            </w:r>
            <w:r>
              <w:rPr>
                <w:rFonts w:hint="eastAsia" w:ascii="宋体" w:hAnsi="宋体"/>
                <w:color w:val="auto"/>
                <w:highlight w:val="none"/>
                <w:u w:val="single"/>
              </w:rPr>
              <w:t>货物交货通知书发出之日起</w:t>
            </w:r>
            <w:r>
              <w:rPr>
                <w:rFonts w:hint="eastAsia" w:ascii="宋体" w:hAnsi="宋体"/>
                <w:color w:val="auto"/>
                <w:highlight w:val="none"/>
                <w:u w:val="single"/>
                <w:lang w:val="en-US" w:eastAsia="zh-CN"/>
              </w:rPr>
              <w:t>3</w:t>
            </w:r>
            <w:r>
              <w:rPr>
                <w:rFonts w:hint="eastAsia" w:ascii="宋体" w:hAnsi="宋体"/>
                <w:color w:val="auto"/>
                <w:highlight w:val="none"/>
                <w:u w:val="single"/>
              </w:rPr>
              <w:t>0天内交货并完成安装，以交货通知发出起算</w:t>
            </w:r>
            <w:r>
              <w:rPr>
                <w:rFonts w:hint="eastAsia" w:ascii="宋体" w:hAnsi="宋体"/>
                <w:color w:val="auto"/>
                <w:kern w:val="2"/>
                <w:highlight w:val="none"/>
                <w:lang w:eastAsia="zh-CN"/>
              </w:rPr>
              <w:t>。</w:t>
            </w: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eastAsia="zh-CN"/>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pacing w:before="0" w:after="0" w:afterAutospacing="0"/>
        <w:ind w:left="0" w:right="0" w:firstLine="420" w:firstLineChars="200"/>
        <w:rPr>
          <w:rFonts w:hAnsi="宋体"/>
          <w:color w:val="auto"/>
          <w:highlight w:val="none"/>
        </w:rPr>
      </w:pP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单位：元</w:t>
      </w:r>
    </w:p>
    <w:tbl>
      <w:tblPr>
        <w:tblStyle w:val="28"/>
        <w:tblW w:w="4623" w:type="dxa"/>
        <w:jc w:val="center"/>
        <w:tblLayout w:type="fixed"/>
        <w:tblCellMar>
          <w:top w:w="0" w:type="dxa"/>
          <w:left w:w="108" w:type="dxa"/>
          <w:bottom w:w="0" w:type="dxa"/>
          <w:right w:w="108" w:type="dxa"/>
        </w:tblCellMar>
      </w:tblPr>
      <w:tblGrid>
        <w:gridCol w:w="486"/>
        <w:gridCol w:w="790"/>
        <w:gridCol w:w="842"/>
        <w:gridCol w:w="427"/>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序号</w:t>
            </w:r>
          </w:p>
        </w:tc>
        <w:tc>
          <w:tcPr>
            <w:tcW w:w="790" w:type="dxa"/>
            <w:vMerge w:val="restart"/>
            <w:tcBorders>
              <w:top w:val="single" w:color="auto" w:sz="12" w:space="0"/>
              <w:left w:val="nil"/>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842" w:type="dxa"/>
            <w:vMerge w:val="restart"/>
            <w:tcBorders>
              <w:top w:val="single" w:color="auto" w:sz="12" w:space="0"/>
              <w:left w:val="nil"/>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技术参数</w:t>
            </w:r>
          </w:p>
        </w:tc>
        <w:tc>
          <w:tcPr>
            <w:tcW w:w="427" w:type="dxa"/>
            <w:vMerge w:val="restart"/>
            <w:tcBorders>
              <w:top w:val="single" w:color="auto" w:sz="12" w:space="0"/>
              <w:left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lang w:val="en-US" w:eastAsia="zh-CN"/>
              </w:rPr>
              <w:t>5</w:t>
            </w:r>
            <w:r>
              <w:rPr>
                <w:rFonts w:ascii="宋体" w:hAnsi="宋体"/>
                <w:color w:val="auto"/>
                <w:sz w:val="15"/>
                <w:szCs w:val="15"/>
                <w:highlight w:val="none"/>
              </w:rPr>
              <w:t>号线</w:t>
            </w:r>
          </w:p>
        </w:tc>
        <w:tc>
          <w:tcPr>
            <w:tcW w:w="638"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w:t>
            </w:r>
            <w:r>
              <w:rPr>
                <w:rFonts w:ascii="宋体" w:hAnsi="宋体"/>
                <w:color w:val="auto"/>
                <w:sz w:val="15"/>
                <w:szCs w:val="15"/>
                <w:highlight w:val="none"/>
              </w:rPr>
              <w:t>(元)</w:t>
            </w:r>
            <w:r>
              <w:rPr>
                <w:rFonts w:hint="eastAsia" w:ascii="宋体" w:hAnsi="宋体" w:eastAsia="宋体" w:cs="宋体"/>
                <w:color w:val="auto"/>
                <w:sz w:val="15"/>
                <w:szCs w:val="15"/>
                <w:highlight w:val="none"/>
              </w:rPr>
              <w:t>②</w:t>
            </w:r>
          </w:p>
        </w:tc>
        <w:tc>
          <w:tcPr>
            <w:tcW w:w="802" w:type="dxa"/>
            <w:vMerge w:val="restart"/>
            <w:tcBorders>
              <w:top w:val="single" w:color="auto" w:sz="12" w:space="0"/>
              <w:left w:val="nil"/>
              <w:right w:val="single" w:color="auto" w:sz="12"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w:t>
            </w:r>
            <w:r>
              <w:rPr>
                <w:rFonts w:ascii="宋体" w:hAnsi="宋体"/>
                <w:color w:val="auto"/>
                <w:sz w:val="15"/>
                <w:szCs w:val="15"/>
                <w:highlight w:val="none"/>
              </w:rPr>
              <w:t>(元)</w:t>
            </w:r>
            <w:r>
              <w:rPr>
                <w:rFonts w:hint="eastAsia" w:ascii="宋体" w:hAnsi="宋体" w:eastAsia="宋体" w:cs="宋体"/>
                <w:color w:val="auto"/>
                <w:sz w:val="15"/>
                <w:szCs w:val="15"/>
                <w:highlight w:val="none"/>
              </w:rPr>
              <w:t>③</w:t>
            </w:r>
            <w:r>
              <w:rPr>
                <w:rFonts w:ascii="宋体" w:hAnsi="宋体"/>
                <w:color w:val="auto"/>
                <w:sz w:val="15"/>
                <w:szCs w:val="15"/>
                <w:highlight w:val="none"/>
              </w:rPr>
              <w:t>=</w:t>
            </w:r>
            <w:r>
              <w:rPr>
                <w:rFonts w:hint="eastAsia" w:ascii="宋体" w:hAnsi="宋体" w:eastAsia="宋体" w:cs="宋体"/>
                <w:color w:val="auto"/>
                <w:sz w:val="15"/>
                <w:szCs w:val="15"/>
                <w:highlight w:val="none"/>
              </w:rPr>
              <w:t>①</w:t>
            </w:r>
            <w:r>
              <w:rPr>
                <w:rFonts w:ascii="宋体" w:hAnsi="宋体"/>
                <w:color w:val="auto"/>
                <w:sz w:val="15"/>
                <w:szCs w:val="15"/>
                <w:highlight w:val="none"/>
              </w:rPr>
              <w:t>×</w:t>
            </w:r>
            <w:r>
              <w:rPr>
                <w:rFonts w:hint="eastAsia" w:ascii="宋体" w:hAnsi="宋体" w:eastAsia="宋体" w:cs="宋体"/>
                <w:color w:val="auto"/>
                <w:sz w:val="15"/>
                <w:szCs w:val="15"/>
                <w:highlight w:val="none"/>
              </w:rPr>
              <w:t>②</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790" w:type="dxa"/>
            <w:vMerge w:val="continue"/>
            <w:tcBorders>
              <w:left w:val="nil"/>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42" w:type="dxa"/>
            <w:vMerge w:val="continue"/>
            <w:tcBorders>
              <w:left w:val="nil"/>
              <w:bottom w:val="single" w:color="auto" w:sz="4" w:space="0"/>
              <w:right w:val="single" w:color="auto" w:sz="4" w:space="0"/>
            </w:tcBorders>
          </w:tcPr>
          <w:p>
            <w:pPr>
              <w:ind w:left="0" w:firstLine="0"/>
              <w:rPr>
                <w:rFonts w:ascii="宋体" w:hAnsi="宋体"/>
                <w:color w:val="auto"/>
                <w:sz w:val="15"/>
                <w:szCs w:val="15"/>
                <w:highlight w:val="none"/>
              </w:rPr>
            </w:pPr>
          </w:p>
        </w:tc>
        <w:tc>
          <w:tcPr>
            <w:tcW w:w="427" w:type="dxa"/>
            <w:vMerge w:val="continue"/>
            <w:tcBorders>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数量①</w:t>
            </w:r>
          </w:p>
        </w:tc>
        <w:tc>
          <w:tcPr>
            <w:tcW w:w="638"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802"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w:t>
            </w:r>
          </w:p>
        </w:tc>
        <w:tc>
          <w:tcPr>
            <w:tcW w:w="79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w:t>
            </w:r>
          </w:p>
        </w:tc>
        <w:tc>
          <w:tcPr>
            <w:tcW w:w="7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3</w:t>
            </w:r>
          </w:p>
        </w:tc>
        <w:tc>
          <w:tcPr>
            <w:tcW w:w="7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hint="default" w:ascii="宋体" w:hAnsi="宋体" w:eastAsia="宋体"/>
                <w:color w:val="auto"/>
                <w:highlight w:val="none"/>
                <w:lang w:val="en-US" w:eastAsia="zh-CN"/>
              </w:rPr>
            </w:pPr>
            <w:r>
              <w:rPr>
                <w:rFonts w:hint="eastAsia" w:ascii="宋体" w:hAnsi="宋体"/>
                <w:color w:val="auto"/>
                <w:sz w:val="18"/>
                <w:szCs w:val="18"/>
                <w:highlight w:val="none"/>
                <w:lang w:val="en-US" w:eastAsia="zh-CN"/>
              </w:rPr>
              <w:t>...</w:t>
            </w:r>
          </w:p>
        </w:tc>
        <w:tc>
          <w:tcPr>
            <w:tcW w:w="7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22" w:hRule="atLeast"/>
          <w:jc w:val="center"/>
        </w:trPr>
        <w:tc>
          <w:tcPr>
            <w:tcW w:w="2545" w:type="dxa"/>
            <w:gridSpan w:val="4"/>
            <w:tcBorders>
              <w:top w:val="single" w:color="auto" w:sz="4" w:space="0"/>
              <w:left w:val="single" w:color="auto" w:sz="12" w:space="0"/>
              <w:bottom w:val="single" w:color="auto" w:sz="4" w:space="0"/>
              <w:right w:val="single" w:color="auto" w:sz="4" w:space="0"/>
            </w:tcBorders>
            <w:vAlign w:val="center"/>
          </w:tcPr>
          <w:p>
            <w:pPr>
              <w:ind w:left="0" w:firstLine="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号线小计</w:t>
            </w: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2545" w:type="dxa"/>
            <w:gridSpan w:val="4"/>
            <w:tcBorders>
              <w:top w:val="single" w:color="auto" w:sz="4" w:space="0"/>
              <w:left w:val="single" w:color="auto" w:sz="12" w:space="0"/>
              <w:bottom w:val="single" w:color="auto" w:sz="12" w:space="0"/>
              <w:right w:val="single" w:color="auto" w:sz="4" w:space="0"/>
            </w:tcBorders>
            <w:vAlign w:val="center"/>
          </w:tcPr>
          <w:p>
            <w:pPr>
              <w:ind w:left="0" w:firstLine="0"/>
              <w:rPr>
                <w:rFonts w:hint="eastAsia" w:ascii="宋体" w:hAnsi="宋体"/>
                <w:color w:val="auto"/>
                <w:highlight w:val="none"/>
              </w:rPr>
            </w:pPr>
            <w:r>
              <w:rPr>
                <w:rFonts w:hint="eastAsia" w:ascii="宋体" w:hAnsi="宋体"/>
                <w:color w:val="auto"/>
                <w:highlight w:val="none"/>
              </w:rPr>
              <w:t>合计</w:t>
            </w:r>
          </w:p>
        </w:tc>
        <w:tc>
          <w:tcPr>
            <w:tcW w:w="638" w:type="dxa"/>
            <w:tcBorders>
              <w:top w:val="single" w:color="auto" w:sz="4" w:space="0"/>
              <w:left w:val="nil"/>
              <w:bottom w:val="single" w:color="auto" w:sz="12"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color w:val="auto"/>
                <w:highlight w:val="none"/>
              </w:rPr>
            </w:pPr>
          </w:p>
        </w:tc>
      </w:tr>
    </w:tbl>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20" w:name="_Toc22492"/>
      <w:bookmarkStart w:id="321" w:name="_Toc32633"/>
      <w:bookmarkStart w:id="322" w:name="_Toc13904"/>
      <w:bookmarkStart w:id="323" w:name="_Toc13209"/>
      <w:r>
        <w:rPr>
          <w:rFonts w:hint="eastAsia" w:ascii="Times New Roman" w:hAnsi="Times New Roman" w:eastAsia="宋体"/>
          <w:color w:val="auto"/>
          <w:highlight w:val="none"/>
        </w:rPr>
        <w:t>四、法定代表人身份证明及授权书</w:t>
      </w:r>
      <w:bookmarkEnd w:id="320"/>
      <w:bookmarkEnd w:id="321"/>
      <w:bookmarkEnd w:id="322"/>
      <w:bookmarkEnd w:id="323"/>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hint="eastAsia" w:ascii="宋体" w:hAnsi="宋体"/>
          <w:color w:val="auto"/>
          <w:highlight w:val="none"/>
          <w:lang w:val="en-US" w:eastAsia="zh-CN"/>
        </w:rPr>
        <w:t>比选申请人</w:t>
      </w:r>
      <w:r>
        <w:rPr>
          <w:rFonts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lang w:val="en-US" w:eastAsia="zh-CN"/>
        </w:rPr>
        <w:t>南宁轨道交通运营有限公司</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w:t>
      </w:r>
      <w:r>
        <w:rPr>
          <w:rFonts w:hint="eastAsia" w:ascii="宋体" w:hAnsi="宋体"/>
          <w:color w:val="auto"/>
          <w:highlight w:val="none"/>
          <w:lang w:val="en-US" w:eastAsia="zh-CN"/>
        </w:rPr>
        <w:t>项目</w:t>
      </w:r>
      <w:r>
        <w:rPr>
          <w:rFonts w:ascii="宋体" w:hAnsi="宋体"/>
          <w:color w:val="auto"/>
          <w:highlight w:val="none"/>
        </w:rPr>
        <w:t>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24" w:name="_Toc26247"/>
      <w:bookmarkStart w:id="325" w:name="_Toc8086"/>
      <w:bookmarkStart w:id="326" w:name="_Toc10575"/>
      <w:bookmarkStart w:id="327" w:name="_Toc23795"/>
      <w:r>
        <w:rPr>
          <w:rFonts w:hint="eastAsia" w:ascii="Times New Roman" w:hAnsi="Times New Roman" w:eastAsia="宋体"/>
          <w:color w:val="auto"/>
          <w:highlight w:val="none"/>
        </w:rPr>
        <w:t>五、企业证照</w:t>
      </w:r>
      <w:bookmarkEnd w:id="324"/>
      <w:bookmarkEnd w:id="325"/>
      <w:bookmarkEnd w:id="326"/>
      <w:bookmarkEnd w:id="327"/>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28" w:name="_Toc19226"/>
      <w:bookmarkStart w:id="329" w:name="_Toc6494"/>
      <w:bookmarkStart w:id="330" w:name="_Toc11380"/>
      <w:bookmarkStart w:id="331" w:name="_Toc0"/>
      <w:r>
        <w:rPr>
          <w:rFonts w:hint="eastAsia" w:ascii="Times New Roman" w:hAnsi="Times New Roman" w:eastAsia="宋体"/>
          <w:color w:val="auto"/>
          <w:highlight w:val="none"/>
        </w:rPr>
        <w:t>六、类似项目业绩表</w:t>
      </w:r>
      <w:bookmarkEnd w:id="328"/>
      <w:bookmarkEnd w:id="329"/>
      <w:bookmarkEnd w:id="330"/>
      <w:bookmarkEnd w:id="331"/>
    </w:p>
    <w:p>
      <w:pPr>
        <w:spacing w:before="0" w:after="0" w:afterAutospacing="0"/>
        <w:ind w:left="0" w:right="0" w:firstLine="420" w:firstLineChars="200"/>
        <w:rPr>
          <w:rFonts w:hAnsi="宋体"/>
          <w:color w:val="auto"/>
          <w:highlight w:val="none"/>
        </w:rPr>
      </w:pPr>
    </w:p>
    <w:tbl>
      <w:tblPr>
        <w:tblStyle w:val="28"/>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1339" w:type="dxa"/>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1352" w:type="dxa"/>
            <w:vAlign w:val="center"/>
          </w:tcPr>
          <w:p>
            <w:pPr>
              <w:ind w:left="0" w:firstLine="0"/>
              <w:jc w:val="center"/>
              <w:rPr>
                <w:rFonts w:ascii="宋体" w:hAnsi="宋体"/>
                <w:color w:val="auto"/>
                <w:highlight w:val="none"/>
              </w:rPr>
            </w:pPr>
            <w:r>
              <w:rPr>
                <w:rFonts w:hint="eastAsia" w:ascii="宋体" w:hAnsi="宋体"/>
                <w:color w:val="auto"/>
                <w:highlight w:val="none"/>
              </w:rPr>
              <w:t>合同金额</w:t>
            </w:r>
          </w:p>
        </w:tc>
        <w:tc>
          <w:tcPr>
            <w:tcW w:w="1531" w:type="dxa"/>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275" w:type="dxa"/>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163" w:type="dxa"/>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color w:val="auto"/>
                <w:highlight w:val="none"/>
              </w:rPr>
            </w:pPr>
          </w:p>
        </w:tc>
        <w:tc>
          <w:tcPr>
            <w:tcW w:w="1339"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1352" w:type="dxa"/>
          </w:tcPr>
          <w:p>
            <w:pPr>
              <w:ind w:left="0" w:firstLine="0"/>
              <w:rPr>
                <w:rFonts w:ascii="宋体" w:hAnsi="宋体"/>
                <w:color w:val="auto"/>
                <w:highlight w:val="none"/>
              </w:rPr>
            </w:pPr>
          </w:p>
        </w:tc>
        <w:tc>
          <w:tcPr>
            <w:tcW w:w="1531" w:type="dxa"/>
          </w:tcPr>
          <w:p>
            <w:pPr>
              <w:ind w:left="0" w:firstLine="0"/>
              <w:rPr>
                <w:rFonts w:ascii="宋体" w:hAnsi="宋体"/>
                <w:color w:val="auto"/>
                <w:highlight w:val="none"/>
              </w:rPr>
            </w:pPr>
          </w:p>
        </w:tc>
        <w:tc>
          <w:tcPr>
            <w:tcW w:w="1275" w:type="dxa"/>
          </w:tcPr>
          <w:p>
            <w:pPr>
              <w:ind w:left="0" w:firstLine="0"/>
              <w:rPr>
                <w:rFonts w:ascii="宋体" w:hAnsi="宋体"/>
                <w:color w:val="auto"/>
                <w:highlight w:val="none"/>
              </w:rPr>
            </w:pPr>
          </w:p>
        </w:tc>
        <w:tc>
          <w:tcPr>
            <w:tcW w:w="1163" w:type="dxa"/>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比选申请人自20</w:t>
      </w:r>
      <w:r>
        <w:rPr>
          <w:rFonts w:hint="eastAsia" w:ascii="宋体" w:hAnsi="宋体"/>
          <w:color w:val="auto"/>
          <w:highlight w:val="none"/>
          <w:u w:val="single"/>
          <w:lang w:val="en-US" w:eastAsia="zh-CN"/>
        </w:rPr>
        <w:t>20</w:t>
      </w:r>
      <w:r>
        <w:rPr>
          <w:rFonts w:hint="eastAsia" w:ascii="宋体" w:hAnsi="宋体"/>
          <w:color w:val="auto"/>
          <w:highlight w:val="none"/>
          <w:u w:val="single"/>
        </w:rPr>
        <w:t>年1月1日（备注：近3年）至截标时间前至少具有1项类似业绩，类似业绩是指单项合同不少于</w:t>
      </w:r>
      <w:r>
        <w:rPr>
          <w:rFonts w:hint="eastAsia" w:ascii="宋体" w:hAnsi="宋体"/>
          <w:color w:val="auto"/>
          <w:highlight w:val="none"/>
          <w:u w:val="single"/>
          <w:lang w:val="en-US" w:eastAsia="zh-CN"/>
        </w:rPr>
        <w:t>2</w:t>
      </w:r>
      <w:r>
        <w:rPr>
          <w:rFonts w:hint="eastAsia" w:ascii="宋体" w:hAnsi="宋体"/>
          <w:color w:val="auto"/>
          <w:highlight w:val="none"/>
          <w:u w:val="single"/>
        </w:rPr>
        <w:t>0万元的标识标贴项目业绩</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32" w:name="_Toc12431"/>
      <w:bookmarkStart w:id="333" w:name="_Toc9463"/>
      <w:bookmarkStart w:id="334" w:name="_Toc27715"/>
      <w:bookmarkStart w:id="335" w:name="_Toc20393"/>
      <w:r>
        <w:rPr>
          <w:rFonts w:hint="eastAsia" w:ascii="Times New Roman" w:hAnsi="Times New Roman" w:eastAsia="宋体"/>
          <w:color w:val="auto"/>
          <w:highlight w:val="none"/>
        </w:rPr>
        <w:t>七、比选响应表</w:t>
      </w:r>
      <w:bookmarkEnd w:id="332"/>
      <w:bookmarkEnd w:id="333"/>
      <w:bookmarkEnd w:id="334"/>
      <w:bookmarkEnd w:id="335"/>
    </w:p>
    <w:p>
      <w:pPr>
        <w:spacing w:before="0" w:after="0" w:afterAutospacing="0"/>
        <w:ind w:left="0" w:right="0" w:firstLine="420" w:firstLineChars="200"/>
        <w:rPr>
          <w:rFonts w:hAnsi="宋体"/>
          <w:color w:val="auto"/>
          <w:highlight w:val="none"/>
        </w:rPr>
      </w:pPr>
    </w:p>
    <w:tbl>
      <w:tblPr>
        <w:tblStyle w:val="28"/>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36" w:name="_Toc5196"/>
      <w:bookmarkStart w:id="337" w:name="_Toc20427"/>
      <w:bookmarkStart w:id="338" w:name="_Toc2393"/>
      <w:bookmarkStart w:id="339" w:name="_Toc14303"/>
      <w:r>
        <w:rPr>
          <w:rFonts w:hint="eastAsia" w:ascii="Times New Roman" w:hAnsi="Times New Roman" w:eastAsia="宋体"/>
          <w:color w:val="auto"/>
          <w:highlight w:val="none"/>
        </w:rPr>
        <w:t>八、其他</w:t>
      </w:r>
      <w:bookmarkEnd w:id="336"/>
      <w:bookmarkEnd w:id="337"/>
      <w:bookmarkEnd w:id="338"/>
      <w:bookmarkEnd w:id="339"/>
    </w:p>
    <w:p>
      <w:pPr>
        <w:spacing w:before="0" w:after="0" w:afterAutospacing="0"/>
        <w:ind w:left="0" w:right="0" w:firstLine="482" w:firstLineChars="200"/>
        <w:rPr>
          <w:rFonts w:hAnsi="宋体"/>
          <w:color w:val="auto"/>
          <w:highlight w:val="none"/>
        </w:rPr>
      </w:pPr>
      <w:r>
        <w:rPr>
          <w:rFonts w:hint="eastAsia" w:ascii="宋体" w:hAnsi="宋体"/>
          <w:b/>
          <w:color w:val="auto"/>
          <w:sz w:val="24"/>
          <w:szCs w:val="24"/>
          <w:highlight w:val="none"/>
        </w:rPr>
        <w:t>【如有，格式自拟】</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45"/>
          <w:rFonts w:ascii="宋体" w:hAnsi="宋体" w:eastAsia="宋体"/>
          <w:color w:val="auto"/>
          <w:highlight w:val="none"/>
        </w:rPr>
      </w:pPr>
      <w:bookmarkStart w:id="340" w:name="_Toc16754"/>
      <w:bookmarkStart w:id="341" w:name="_Toc21321"/>
      <w:bookmarkStart w:id="342" w:name="_Toc328"/>
      <w:bookmarkStart w:id="343" w:name="_Toc14566"/>
      <w:bookmarkStart w:id="344" w:name="_Toc22669"/>
      <w:bookmarkStart w:id="345" w:name="_Toc492478835"/>
      <w:bookmarkStart w:id="346" w:name="_Toc28535"/>
      <w:bookmarkStart w:id="347" w:name="_Toc28135"/>
      <w:bookmarkStart w:id="348" w:name="_Toc59"/>
      <w:bookmarkStart w:id="349" w:name="_Toc9597"/>
      <w:bookmarkStart w:id="350" w:name="_Toc6337"/>
      <w:bookmarkStart w:id="351" w:name="_Toc13941"/>
      <w:bookmarkStart w:id="352" w:name="_Toc26409"/>
      <w:bookmarkStart w:id="353" w:name="_Toc5010"/>
      <w:bookmarkStart w:id="354" w:name="_Toc25061"/>
      <w:bookmarkStart w:id="355" w:name="_Toc12695"/>
      <w:bookmarkStart w:id="356" w:name="_Toc11279"/>
      <w:bookmarkStart w:id="357" w:name="_Toc30897"/>
      <w:bookmarkStart w:id="358" w:name="_Toc20298"/>
      <w:bookmarkStart w:id="359" w:name="_Toc31681"/>
      <w:bookmarkStart w:id="360" w:name="_Toc6454"/>
      <w:bookmarkStart w:id="361" w:name="_Toc25747"/>
      <w:r>
        <w:rPr>
          <w:rStyle w:val="45"/>
          <w:rFonts w:hint="eastAsia" w:ascii="宋体" w:hAnsi="宋体" w:eastAsia="宋体"/>
          <w:color w:val="auto"/>
          <w:highlight w:val="none"/>
        </w:rPr>
        <w:t>第五章</w:t>
      </w:r>
      <w:r>
        <w:rPr>
          <w:rStyle w:val="45"/>
          <w:rFonts w:hint="eastAsia" w:hAnsi="宋体"/>
          <w:color w:val="auto"/>
          <w:highlight w:val="none"/>
          <w:lang w:val="en-US" w:eastAsia="zh-CN"/>
        </w:rPr>
        <w:t xml:space="preserve"> </w:t>
      </w:r>
      <w:r>
        <w:rPr>
          <w:rStyle w:val="45"/>
          <w:rFonts w:hint="eastAsia" w:ascii="宋体" w:hAnsi="宋体" w:eastAsia="宋体"/>
          <w:color w:val="auto"/>
          <w:highlight w:val="none"/>
        </w:rPr>
        <w:t>用户需求书</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keepNext/>
        <w:keepLines/>
        <w:widowControl w:val="0"/>
        <w:spacing w:before="0" w:after="0" w:afterAutospacing="0"/>
        <w:ind w:left="0" w:right="0" w:firstLine="0"/>
        <w:outlineLvl w:val="0"/>
        <w:rPr>
          <w:b/>
          <w:bCs/>
          <w:color w:val="auto"/>
          <w:kern w:val="44"/>
          <w:sz w:val="44"/>
          <w:szCs w:val="24"/>
          <w:highlight w:val="none"/>
        </w:rPr>
      </w:pPr>
      <w:bookmarkStart w:id="362" w:name="_Toc31181"/>
      <w:bookmarkStart w:id="363" w:name="_Toc559"/>
      <w:bookmarkStart w:id="364" w:name="_Toc6991"/>
      <w:bookmarkStart w:id="365" w:name="_Toc14153"/>
      <w:bookmarkStart w:id="366" w:name="_Toc14154"/>
      <w:bookmarkStart w:id="367" w:name="_Toc75768652"/>
      <w:bookmarkStart w:id="368" w:name="_Toc16000"/>
      <w:bookmarkStart w:id="369" w:name="_Toc6523"/>
      <w:bookmarkStart w:id="370" w:name="_Toc20164"/>
      <w:bookmarkStart w:id="371" w:name="_Toc15597"/>
      <w:bookmarkStart w:id="372" w:name="_Toc21733"/>
      <w:bookmarkStart w:id="373" w:name="_Toc8975"/>
      <w:bookmarkStart w:id="374" w:name="_Toc446593404"/>
      <w:bookmarkStart w:id="375" w:name="_Toc343236837"/>
      <w:bookmarkStart w:id="376" w:name="_Toc476304351"/>
      <w:bookmarkStart w:id="377" w:name="_Toc476303975"/>
      <w:bookmarkStart w:id="378" w:name="_Toc476303998"/>
      <w:r>
        <w:rPr>
          <w:rFonts w:hint="eastAsia"/>
          <w:b/>
          <w:bCs/>
          <w:color w:val="auto"/>
          <w:kern w:val="44"/>
          <w:sz w:val="28"/>
          <w:szCs w:val="28"/>
          <w:highlight w:val="none"/>
        </w:rPr>
        <w:t>1 项目概况</w:t>
      </w:r>
      <w:bookmarkEnd w:id="362"/>
      <w:bookmarkEnd w:id="363"/>
      <w:bookmarkEnd w:id="364"/>
      <w:bookmarkEnd w:id="365"/>
      <w:bookmarkEnd w:id="366"/>
      <w:bookmarkEnd w:id="367"/>
      <w:bookmarkEnd w:id="368"/>
      <w:bookmarkEnd w:id="369"/>
      <w:bookmarkEnd w:id="370"/>
      <w:bookmarkEnd w:id="371"/>
      <w:bookmarkEnd w:id="372"/>
      <w:bookmarkStart w:id="379" w:name="_Toc343236809"/>
      <w:bookmarkStart w:id="380" w:name="_Toc19451"/>
      <w:bookmarkStart w:id="381" w:name="_Toc446593371"/>
    </w:p>
    <w:bookmarkEnd w:id="373"/>
    <w:bookmarkEnd w:id="374"/>
    <w:bookmarkEnd w:id="375"/>
    <w:bookmarkEnd w:id="376"/>
    <w:bookmarkEnd w:id="377"/>
    <w:bookmarkEnd w:id="378"/>
    <w:bookmarkEnd w:id="379"/>
    <w:bookmarkEnd w:id="380"/>
    <w:bookmarkEnd w:id="381"/>
    <w:p>
      <w:pPr>
        <w:pStyle w:val="5"/>
        <w:rPr>
          <w:rFonts w:hint="eastAsia" w:ascii="宋体" w:hAnsi="宋体" w:eastAsia="宋体" w:cs="宋体"/>
          <w:b/>
          <w:bCs w:val="0"/>
          <w:color w:val="auto"/>
          <w:sz w:val="21"/>
          <w:highlight w:val="none"/>
        </w:rPr>
      </w:pPr>
      <w:bookmarkStart w:id="382" w:name="_Toc12492"/>
      <w:bookmarkStart w:id="383" w:name="_Toc75768653"/>
      <w:bookmarkStart w:id="384" w:name="_Toc476303994"/>
      <w:bookmarkStart w:id="385" w:name="_Toc27442"/>
      <w:bookmarkStart w:id="386" w:name="_Toc16984"/>
      <w:bookmarkStart w:id="387" w:name="_Toc21176"/>
      <w:bookmarkStart w:id="388" w:name="_Toc30964"/>
      <w:bookmarkStart w:id="389" w:name="_Toc24303"/>
      <w:bookmarkStart w:id="390" w:name="_Toc17712"/>
      <w:bookmarkStart w:id="391" w:name="_Toc31400"/>
      <w:bookmarkStart w:id="392" w:name="_Toc1073"/>
      <w:bookmarkStart w:id="393" w:name="_Toc5619"/>
      <w:bookmarkStart w:id="394" w:name="_Toc31160"/>
      <w:bookmarkStart w:id="395" w:name="_Toc6616"/>
      <w:bookmarkStart w:id="396" w:name="_Toc23219"/>
      <w:bookmarkStart w:id="397" w:name="_Toc476304347"/>
      <w:bookmarkStart w:id="398" w:name="_Toc476303971"/>
      <w:bookmarkStart w:id="399" w:name="_Toc30155"/>
      <w:bookmarkStart w:id="400" w:name="_Toc12188"/>
      <w:bookmarkStart w:id="401" w:name="_Toc11286"/>
      <w:r>
        <w:rPr>
          <w:rFonts w:hint="eastAsia" w:ascii="宋体" w:hAnsi="宋体" w:eastAsia="宋体" w:cs="宋体"/>
          <w:b/>
          <w:bCs w:val="0"/>
          <w:color w:val="auto"/>
          <w:sz w:val="21"/>
          <w:highlight w:val="none"/>
        </w:rPr>
        <w:t>1.1 工程概况</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widowControl w:val="0"/>
        <w:spacing w:before="0" w:after="0" w:afterAutospacing="0"/>
        <w:ind w:left="0" w:right="0" w:firstLine="420" w:firstLineChars="200"/>
        <w:rPr>
          <w:rFonts w:ascii="宋体" w:hAnsi="宋体" w:cs="宋体"/>
          <w:color w:val="auto"/>
          <w:kern w:val="2"/>
          <w:highlight w:val="none"/>
        </w:rPr>
      </w:pPr>
      <w:bookmarkStart w:id="402" w:name="_Toc21702"/>
      <w:bookmarkStart w:id="403" w:name="_Toc30760"/>
      <w:bookmarkStart w:id="404" w:name="_Toc343236810"/>
      <w:bookmarkStart w:id="405" w:name="_Toc29286"/>
      <w:bookmarkStart w:id="406" w:name="_Toc446593372"/>
      <w:bookmarkStart w:id="407" w:name="_Toc22812"/>
      <w:bookmarkStart w:id="408" w:name="_Toc25898"/>
      <w:bookmarkStart w:id="409" w:name="_Toc15744"/>
      <w:bookmarkStart w:id="410" w:name="_Toc14930"/>
      <w:bookmarkStart w:id="411" w:name="_Toc431"/>
      <w:r>
        <w:rPr>
          <w:rFonts w:hint="eastAsia" w:ascii="宋体" w:hAnsi="宋体" w:cs="宋体"/>
          <w:color w:val="auto"/>
          <w:kern w:val="2"/>
          <w:highlight w:val="none"/>
        </w:rPr>
        <w:t>南宁市轨道交通5号线一期工程南起国凯大道站，北至金桥客运站，线路连接江南组团、城西组团、城北组团、昆仑大道南组团。线路途经壮锦大道、明秀路、南梧路、昆仑大道；连接江南片区、江北片区、金桥客运站等主要区域，加强了城市对角线方向的直接联系，有力地支持了昆仑大道组团的发展。</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南宁市轨道交通5号线一期工程线路全长20.21km，全部为地下线，共设车站17座，其中换乘站6座，分别为那洪立交站（与4号线换乘）、五一立交站（与6号线换乘）、新秀公园站（与7号线换乘）、广西大学站（与1号线换乘）、明秀路站（与2号线换乘）、小鸡村站（与3号线换乘）</w:t>
      </w:r>
      <w:r>
        <w:rPr>
          <w:rFonts w:hint="eastAsia" w:ascii="宋体" w:hAnsi="宋体" w:cs="宋体"/>
          <w:color w:val="auto"/>
          <w:kern w:val="2"/>
          <w:highlight w:val="none"/>
          <w:lang w:eastAsia="zh-CN"/>
        </w:rPr>
        <w:t>，</w:t>
      </w:r>
      <w:r>
        <w:rPr>
          <w:rFonts w:hint="eastAsia" w:ascii="宋体" w:hAnsi="宋体" w:cs="宋体"/>
          <w:color w:val="auto"/>
          <w:kern w:val="2"/>
          <w:highlight w:val="none"/>
        </w:rPr>
        <w:t>一期工程设那洪车辆基地一座（含备用OCC一座）。</w:t>
      </w:r>
    </w:p>
    <w:p>
      <w:pPr>
        <w:pStyle w:val="5"/>
        <w:rPr>
          <w:rFonts w:hint="eastAsia" w:ascii="宋体" w:hAnsi="宋体" w:eastAsia="宋体" w:cs="宋体"/>
          <w:color w:val="auto"/>
          <w:sz w:val="21"/>
          <w:highlight w:val="none"/>
          <w:lang w:val="en-US"/>
        </w:rPr>
      </w:pPr>
      <w:bookmarkStart w:id="412" w:name="_Toc75768654"/>
      <w:bookmarkStart w:id="413" w:name="_Toc17286"/>
      <w:bookmarkStart w:id="414" w:name="_Toc124"/>
      <w:bookmarkStart w:id="415" w:name="_Toc6713"/>
      <w:bookmarkStart w:id="416" w:name="_Toc14177"/>
      <w:bookmarkStart w:id="417" w:name="_Toc26794"/>
      <w:bookmarkStart w:id="418" w:name="_Toc4586"/>
      <w:bookmarkStart w:id="419" w:name="_Toc11087"/>
      <w:bookmarkStart w:id="420" w:name="_Toc12539"/>
      <w:bookmarkStart w:id="421" w:name="_Toc340"/>
      <w:r>
        <w:rPr>
          <w:rFonts w:hint="eastAsia" w:ascii="宋体" w:hAnsi="宋体" w:eastAsia="宋体" w:cs="宋体"/>
          <w:color w:val="auto"/>
          <w:sz w:val="21"/>
          <w:highlight w:val="none"/>
        </w:rPr>
        <w:t xml:space="preserve">1.2 </w:t>
      </w:r>
      <w:bookmarkEnd w:id="402"/>
      <w:bookmarkEnd w:id="403"/>
      <w:bookmarkEnd w:id="404"/>
      <w:bookmarkEnd w:id="405"/>
      <w:bookmarkEnd w:id="406"/>
      <w:bookmarkEnd w:id="407"/>
      <w:bookmarkEnd w:id="408"/>
      <w:bookmarkEnd w:id="409"/>
      <w:bookmarkEnd w:id="410"/>
      <w:bookmarkEnd w:id="411"/>
      <w:bookmarkEnd w:id="412"/>
      <w:r>
        <w:rPr>
          <w:rFonts w:hint="eastAsia" w:ascii="宋体" w:hAnsi="宋体" w:eastAsia="宋体" w:cs="宋体"/>
          <w:color w:val="auto"/>
          <w:sz w:val="21"/>
          <w:highlight w:val="none"/>
          <w:lang w:val="en-US" w:eastAsia="zh-CN"/>
        </w:rPr>
        <w:t>范围与内容</w:t>
      </w:r>
      <w:bookmarkEnd w:id="413"/>
      <w:bookmarkEnd w:id="414"/>
      <w:bookmarkEnd w:id="415"/>
      <w:bookmarkEnd w:id="416"/>
      <w:bookmarkEnd w:id="417"/>
      <w:bookmarkEnd w:id="418"/>
      <w:bookmarkEnd w:id="419"/>
      <w:bookmarkEnd w:id="420"/>
      <w:bookmarkEnd w:id="421"/>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本项目包括</w:t>
      </w: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车辆段及</w:t>
      </w:r>
      <w:r>
        <w:rPr>
          <w:rFonts w:hint="eastAsia" w:ascii="宋体" w:hAnsi="宋体"/>
          <w:color w:val="auto"/>
          <w:kern w:val="2"/>
          <w:highlight w:val="none"/>
        </w:rPr>
        <w:t>综合基地1座（含备用OCC一座）</w:t>
      </w:r>
      <w:r>
        <w:rPr>
          <w:rFonts w:hint="eastAsia" w:ascii="宋体" w:hAnsi="宋体"/>
          <w:color w:val="auto"/>
          <w:kern w:val="2"/>
          <w:highlight w:val="none"/>
          <w:lang w:val="en-US" w:eastAsia="zh-CN"/>
        </w:rPr>
        <w:t>客运、乘务、车站多职能专业的</w:t>
      </w:r>
      <w:r>
        <w:rPr>
          <w:rFonts w:hint="eastAsia" w:ascii="宋体" w:hAnsi="宋体"/>
          <w:color w:val="auto"/>
          <w:kern w:val="2"/>
          <w:highlight w:val="none"/>
        </w:rPr>
        <w:t>运营导向标示标贴、安全标识设计生产安装。</w:t>
      </w:r>
    </w:p>
    <w:p>
      <w:pPr>
        <w:pStyle w:val="5"/>
        <w:rPr>
          <w:rFonts w:hint="eastAsia" w:ascii="宋体" w:hAnsi="宋体" w:eastAsia="宋体" w:cs="宋体"/>
          <w:color w:val="auto"/>
          <w:sz w:val="21"/>
          <w:highlight w:val="none"/>
        </w:rPr>
      </w:pPr>
      <w:bookmarkStart w:id="422" w:name="_Toc5782"/>
      <w:bookmarkStart w:id="423" w:name="_Toc18904"/>
      <w:bookmarkStart w:id="424" w:name="_Toc30838"/>
      <w:bookmarkStart w:id="425" w:name="_Toc18277"/>
      <w:bookmarkStart w:id="426" w:name="_Toc11304"/>
      <w:bookmarkStart w:id="427" w:name="_Toc28229"/>
      <w:bookmarkStart w:id="428" w:name="_Toc1553"/>
      <w:bookmarkStart w:id="429" w:name="_Toc23214"/>
      <w:bookmarkStart w:id="430" w:name="_Toc16940"/>
      <w:bookmarkStart w:id="431" w:name="_Toc26599"/>
      <w:bookmarkStart w:id="432" w:name="_Toc10208"/>
      <w:bookmarkStart w:id="433" w:name="_Toc1013"/>
      <w:bookmarkStart w:id="434" w:name="_Toc10567"/>
      <w:bookmarkStart w:id="435" w:name="_Toc16181"/>
      <w:bookmarkStart w:id="436" w:name="_Toc13580"/>
      <w:bookmarkStart w:id="437" w:name="_Toc75768655"/>
      <w:r>
        <w:rPr>
          <w:rFonts w:hint="eastAsia" w:ascii="宋体" w:hAnsi="宋体" w:eastAsia="宋体" w:cs="宋体"/>
          <w:color w:val="auto"/>
          <w:sz w:val="21"/>
          <w:highlight w:val="none"/>
        </w:rPr>
        <w:t xml:space="preserve">1.3 </w:t>
      </w:r>
      <w:bookmarkStart w:id="438" w:name="_Toc14986"/>
      <w:bookmarkStart w:id="439" w:name="_Toc8507_WPSOffice_Level2"/>
      <w:r>
        <w:rPr>
          <w:rFonts w:hint="eastAsia" w:ascii="宋体" w:hAnsi="宋体" w:eastAsia="宋体" w:cs="宋体"/>
          <w:color w:val="auto"/>
          <w:sz w:val="21"/>
          <w:highlight w:val="none"/>
        </w:rPr>
        <w:t>招标方与投标方</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widowControl w:val="0"/>
        <w:spacing w:before="0" w:after="0" w:afterAutospacing="0"/>
        <w:ind w:left="0" w:right="0" w:firstLine="630" w:firstLineChars="300"/>
        <w:rPr>
          <w:rFonts w:ascii="宋体" w:hAnsi="宋体" w:cs="宋体"/>
          <w:color w:val="auto"/>
          <w:kern w:val="2"/>
          <w:highlight w:val="none"/>
        </w:rPr>
      </w:pPr>
      <w:r>
        <w:rPr>
          <w:rFonts w:hint="eastAsia" w:ascii="宋体" w:hAnsi="宋体" w:cs="宋体"/>
          <w:color w:val="auto"/>
          <w:kern w:val="2"/>
          <w:highlight w:val="none"/>
        </w:rPr>
        <w:t>招标方：南宁轨道交通运营有限公司。</w:t>
      </w:r>
    </w:p>
    <w:p>
      <w:pPr>
        <w:widowControl w:val="0"/>
        <w:autoSpaceDE w:val="0"/>
        <w:autoSpaceDN w:val="0"/>
        <w:spacing w:before="0" w:after="0" w:afterAutospacing="0"/>
        <w:ind w:left="0" w:right="0" w:firstLine="630" w:firstLineChars="300"/>
        <w:jc w:val="left"/>
        <w:rPr>
          <w:rFonts w:ascii="宋体" w:hAnsi="宋体" w:cs="宋体"/>
          <w:color w:val="auto"/>
          <w:kern w:val="2"/>
          <w:highlight w:val="none"/>
        </w:rPr>
      </w:pPr>
      <w:r>
        <w:rPr>
          <w:rFonts w:hint="eastAsia" w:ascii="宋体" w:hAnsi="宋体" w:cs="宋体"/>
          <w:color w:val="auto"/>
          <w:kern w:val="2"/>
          <w:highlight w:val="none"/>
        </w:rPr>
        <w:t>投标方：本项目</w:t>
      </w:r>
      <w:r>
        <w:rPr>
          <w:rFonts w:hint="eastAsia" w:ascii="宋体" w:hAnsi="宋体" w:cs="宋体"/>
          <w:color w:val="auto"/>
          <w:kern w:val="2"/>
          <w:highlight w:val="none"/>
          <w:lang w:val="en-US" w:eastAsia="zh-CN"/>
        </w:rPr>
        <w:t>投</w:t>
      </w:r>
      <w:r>
        <w:rPr>
          <w:rFonts w:hint="eastAsia" w:ascii="宋体" w:hAnsi="宋体" w:cs="宋体"/>
          <w:color w:val="auto"/>
          <w:kern w:val="2"/>
          <w:highlight w:val="none"/>
        </w:rPr>
        <w:t>标单位。</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440" w:name="_Toc4426"/>
      <w:bookmarkStart w:id="441" w:name="_Toc26278"/>
      <w:bookmarkStart w:id="442" w:name="_Toc5700"/>
      <w:bookmarkStart w:id="443" w:name="_Toc8516"/>
      <w:bookmarkStart w:id="444" w:name="_Toc75768656"/>
      <w:bookmarkStart w:id="445" w:name="_Toc23482"/>
      <w:bookmarkStart w:id="446" w:name="_Toc2261"/>
      <w:bookmarkStart w:id="447" w:name="_Toc609"/>
      <w:bookmarkStart w:id="448" w:name="_Toc5965"/>
      <w:bookmarkStart w:id="449" w:name="_Toc17813"/>
      <w:r>
        <w:rPr>
          <w:rFonts w:hint="eastAsia" w:ascii="黑体" w:hAnsi="黑体" w:eastAsia="黑体" w:cs="黑体"/>
          <w:color w:val="auto"/>
          <w:sz w:val="24"/>
          <w:szCs w:val="24"/>
          <w:highlight w:val="none"/>
        </w:rPr>
        <w:t xml:space="preserve"> </w:t>
      </w:r>
      <w:bookmarkStart w:id="450" w:name="_Toc4486"/>
      <w:bookmarkStart w:id="451" w:name="_Toc24846"/>
      <w:bookmarkStart w:id="452" w:name="_Toc9377"/>
      <w:bookmarkStart w:id="453" w:name="_Toc13291"/>
      <w:bookmarkStart w:id="454" w:name="_Toc7482"/>
      <w:bookmarkStart w:id="455" w:name="_Toc1565"/>
      <w:r>
        <w:rPr>
          <w:rFonts w:hint="eastAsia" w:ascii="黑体" w:hAnsi="黑体" w:eastAsia="黑体" w:cs="黑体"/>
          <w:color w:val="auto"/>
          <w:sz w:val="24"/>
          <w:szCs w:val="24"/>
          <w:highlight w:val="none"/>
        </w:rPr>
        <w:t>项目范围</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5"/>
        <w:rPr>
          <w:rFonts w:hint="eastAsia" w:ascii="宋体" w:hAnsi="宋体" w:eastAsia="宋体" w:cs="宋体"/>
          <w:color w:val="auto"/>
          <w:sz w:val="21"/>
          <w:highlight w:val="none"/>
        </w:rPr>
      </w:pPr>
      <w:bookmarkStart w:id="456" w:name="_Toc18282"/>
      <w:bookmarkStart w:id="457" w:name="_Toc17701"/>
      <w:bookmarkStart w:id="458" w:name="_Toc29598"/>
      <w:bookmarkStart w:id="459" w:name="_Toc32577"/>
      <w:bookmarkStart w:id="460" w:name="_Toc29202"/>
      <w:bookmarkStart w:id="461" w:name="_Toc28691"/>
      <w:bookmarkStart w:id="462" w:name="_Toc6142"/>
      <w:bookmarkStart w:id="463" w:name="_Toc3405"/>
      <w:bookmarkStart w:id="464" w:name="_Toc29927"/>
      <w:bookmarkStart w:id="465" w:name="_Toc13518"/>
      <w:bookmarkStart w:id="466" w:name="_Toc24372"/>
      <w:bookmarkStart w:id="467" w:name="_Toc17358"/>
      <w:bookmarkStart w:id="468" w:name="_Toc14252"/>
      <w:bookmarkStart w:id="469" w:name="_Toc3801"/>
      <w:bookmarkStart w:id="470" w:name="_Toc75768657"/>
      <w:bookmarkStart w:id="471" w:name="_Toc6652"/>
      <w:bookmarkStart w:id="472" w:name="_Toc16745"/>
      <w:r>
        <w:rPr>
          <w:rFonts w:hint="eastAsia" w:ascii="宋体" w:hAnsi="宋体" w:eastAsia="宋体" w:cs="宋体"/>
          <w:color w:val="auto"/>
          <w:sz w:val="21"/>
          <w:highlight w:val="none"/>
        </w:rPr>
        <w:t>2.1 项目名称</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widowControl w:val="0"/>
        <w:autoSpaceDE w:val="0"/>
        <w:autoSpaceDN w:val="0"/>
        <w:spacing w:after="0" w:afterAutospacing="0"/>
        <w:ind w:left="0" w:right="0" w:firstLine="420" w:firstLineChars="200"/>
        <w:jc w:val="left"/>
        <w:rPr>
          <w:rFonts w:hint="eastAsia" w:ascii="宋体" w:hAnsi="宋体" w:eastAsia="宋体" w:cs="宋体"/>
          <w:color w:val="auto"/>
          <w:sz w:val="21"/>
          <w:highlight w:val="none"/>
        </w:rPr>
      </w:pPr>
      <w:r>
        <w:rPr>
          <w:rFonts w:hint="eastAsia" w:ascii="宋体" w:hAnsi="宋体"/>
          <w:color w:val="auto"/>
          <w:kern w:val="2"/>
          <w:highlight w:val="none"/>
        </w:rPr>
        <w:t>南宁轨道交通5号线导向标示标贴、安全标识采购项目</w:t>
      </w:r>
      <w:bookmarkStart w:id="473" w:name="_Toc5068"/>
      <w:bookmarkStart w:id="474" w:name="_Toc16588"/>
      <w:bookmarkStart w:id="475" w:name="_Toc16134"/>
      <w:bookmarkStart w:id="476" w:name="_Toc23"/>
      <w:bookmarkStart w:id="477" w:name="_Toc20707"/>
      <w:bookmarkStart w:id="478" w:name="_Toc2160"/>
      <w:bookmarkStart w:id="479" w:name="_Toc28473"/>
      <w:bookmarkStart w:id="480" w:name="_Toc75768658"/>
      <w:bookmarkStart w:id="481" w:name="_Toc1866"/>
      <w:bookmarkStart w:id="482" w:name="_Toc20719"/>
      <w:bookmarkStart w:id="483" w:name="_Toc13974"/>
      <w:bookmarkStart w:id="484" w:name="_Toc21238"/>
    </w:p>
    <w:p>
      <w:pPr>
        <w:pStyle w:val="5"/>
        <w:rPr>
          <w:rFonts w:hint="eastAsia" w:ascii="宋体" w:hAnsi="宋体" w:eastAsia="宋体" w:cs="宋体"/>
          <w:color w:val="auto"/>
          <w:sz w:val="21"/>
          <w:highlight w:val="none"/>
        </w:rPr>
      </w:pPr>
      <w:bookmarkStart w:id="485" w:name="_Toc31874"/>
      <w:bookmarkStart w:id="486" w:name="_Toc23205"/>
      <w:bookmarkStart w:id="487" w:name="_Toc19395"/>
      <w:r>
        <w:rPr>
          <w:rFonts w:hint="eastAsia" w:ascii="宋体" w:hAnsi="宋体" w:eastAsia="宋体" w:cs="宋体"/>
          <w:color w:val="auto"/>
          <w:sz w:val="21"/>
          <w:highlight w:val="none"/>
        </w:rPr>
        <w:t>2.2 项目范围</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widowControl w:val="0"/>
        <w:spacing w:before="0" w:after="0" w:afterAutospacing="0"/>
        <w:ind w:left="0" w:right="0" w:firstLine="420" w:firstLineChars="200"/>
        <w:rPr>
          <w:rFonts w:ascii="宋体" w:hAnsi="宋体" w:cs="宋体"/>
          <w:b/>
          <w:bCs/>
          <w:color w:val="auto"/>
          <w:kern w:val="2"/>
          <w:highlight w:val="none"/>
        </w:rPr>
      </w:pPr>
      <w:r>
        <w:rPr>
          <w:rFonts w:hint="eastAsia" w:ascii="宋体" w:hAnsi="宋体" w:cs="宋体"/>
          <w:color w:val="auto"/>
          <w:kern w:val="2"/>
          <w:highlight w:val="none"/>
        </w:rPr>
        <w:t>项目包含但不限于运营导向标示标贴、安全标识的整体V</w:t>
      </w:r>
      <w:r>
        <w:rPr>
          <w:rFonts w:ascii="宋体" w:hAnsi="宋体" w:cs="宋体"/>
          <w:color w:val="auto"/>
          <w:kern w:val="2"/>
          <w:highlight w:val="none"/>
        </w:rPr>
        <w:t>I</w:t>
      </w:r>
      <w:r>
        <w:rPr>
          <w:rFonts w:hint="eastAsia" w:ascii="宋体" w:hAnsi="宋体" w:cs="宋体"/>
          <w:color w:val="auto"/>
          <w:kern w:val="2"/>
          <w:highlight w:val="none"/>
        </w:rPr>
        <w:t>设计、生产、运输、安装、验收及售后维护等工作，工程量具体详见附件</w:t>
      </w:r>
      <w:r>
        <w:rPr>
          <w:rFonts w:ascii="宋体" w:hAnsi="宋体" w:cs="宋体"/>
          <w:color w:val="auto"/>
          <w:kern w:val="2"/>
          <w:highlight w:val="none"/>
        </w:rPr>
        <w:t>1</w:t>
      </w:r>
      <w:r>
        <w:rPr>
          <w:rFonts w:hint="eastAsia" w:ascii="宋体" w:hAnsi="宋体" w:cs="宋体"/>
          <w:color w:val="auto"/>
          <w:kern w:val="2"/>
          <w:highlight w:val="none"/>
        </w:rPr>
        <w:t>运营导向标示标贴、安全标识采购项目技术需求及数量表。</w:t>
      </w:r>
    </w:p>
    <w:p>
      <w:pPr>
        <w:pStyle w:val="5"/>
        <w:rPr>
          <w:rFonts w:hint="eastAsia" w:ascii="宋体" w:hAnsi="宋体" w:eastAsia="宋体" w:cs="宋体"/>
          <w:color w:val="auto"/>
          <w:sz w:val="21"/>
          <w:highlight w:val="none"/>
        </w:rPr>
      </w:pPr>
      <w:bookmarkStart w:id="488" w:name="_Toc18993"/>
      <w:bookmarkStart w:id="489" w:name="_Toc17737"/>
      <w:bookmarkStart w:id="490" w:name="_Toc32481"/>
      <w:bookmarkStart w:id="491" w:name="_Toc1701"/>
      <w:bookmarkStart w:id="492" w:name="_Toc5414"/>
      <w:bookmarkStart w:id="493" w:name="_Toc21760"/>
      <w:bookmarkStart w:id="494" w:name="_Toc22567"/>
      <w:bookmarkStart w:id="495" w:name="_Toc10098"/>
      <w:bookmarkStart w:id="496" w:name="_Toc2101"/>
      <w:bookmarkStart w:id="497" w:name="_Toc2089"/>
      <w:bookmarkStart w:id="498" w:name="_Toc75768659"/>
      <w:bookmarkStart w:id="499" w:name="_Toc25226"/>
      <w:bookmarkStart w:id="500" w:name="_Toc20214"/>
      <w:bookmarkStart w:id="501" w:name="_Toc6850"/>
      <w:bookmarkStart w:id="502" w:name="_Toc2371"/>
      <w:bookmarkStart w:id="503" w:name="_Toc1684"/>
      <w:r>
        <w:rPr>
          <w:rFonts w:hint="eastAsia" w:ascii="宋体" w:hAnsi="宋体" w:eastAsia="宋体" w:cs="宋体"/>
          <w:color w:val="auto"/>
          <w:sz w:val="21"/>
          <w:highlight w:val="none"/>
        </w:rPr>
        <w:t>2.3 项目地点</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w:t>
      </w:r>
      <w:r>
        <w:rPr>
          <w:rFonts w:hint="eastAsia" w:ascii="宋体" w:hAnsi="宋体"/>
          <w:color w:val="auto"/>
          <w:kern w:val="2"/>
          <w:highlight w:val="none"/>
        </w:rPr>
        <w:t>综合基地1座（含备用OCC一座）。</w:t>
      </w:r>
    </w:p>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504" w:name="_Toc29474"/>
      <w:bookmarkStart w:id="505" w:name="_Toc457"/>
      <w:bookmarkStart w:id="506" w:name="_Toc18486"/>
      <w:r>
        <w:rPr>
          <w:rFonts w:hint="eastAsia" w:ascii="黑体" w:hAnsi="黑体" w:eastAsia="黑体" w:cs="黑体"/>
          <w:color w:val="auto"/>
          <w:sz w:val="24"/>
          <w:szCs w:val="40"/>
          <w:highlight w:val="none"/>
          <w:lang w:val="en-US" w:eastAsia="zh-CN"/>
        </w:rPr>
        <w:t xml:space="preserve"> </w:t>
      </w:r>
      <w:bookmarkStart w:id="507" w:name="_Toc18490"/>
      <w:bookmarkStart w:id="508" w:name="_Toc5895"/>
      <w:bookmarkStart w:id="509" w:name="_Toc3706"/>
      <w:bookmarkStart w:id="510" w:name="_Toc5831"/>
      <w:bookmarkStart w:id="511" w:name="_Toc16418"/>
      <w:bookmarkStart w:id="512" w:name="_Toc15205"/>
      <w:r>
        <w:rPr>
          <w:rFonts w:hint="eastAsia" w:ascii="黑体" w:hAnsi="黑体" w:eastAsia="黑体" w:cs="黑体"/>
          <w:color w:val="auto"/>
          <w:sz w:val="24"/>
          <w:szCs w:val="40"/>
          <w:highlight w:val="none"/>
        </w:rPr>
        <w:t>项目承包方式及服务期</w:t>
      </w:r>
      <w:bookmarkEnd w:id="504"/>
      <w:bookmarkEnd w:id="505"/>
      <w:bookmarkEnd w:id="506"/>
      <w:bookmarkEnd w:id="507"/>
      <w:bookmarkEnd w:id="508"/>
      <w:bookmarkEnd w:id="509"/>
      <w:bookmarkEnd w:id="510"/>
      <w:bookmarkEnd w:id="511"/>
      <w:bookmarkEnd w:id="512"/>
    </w:p>
    <w:p>
      <w:pPr>
        <w:pStyle w:val="5"/>
        <w:rPr>
          <w:rFonts w:hint="eastAsia" w:ascii="宋体" w:hAnsi="宋体" w:eastAsia="宋体" w:cs="宋体"/>
          <w:color w:val="auto"/>
          <w:sz w:val="21"/>
          <w:highlight w:val="none"/>
        </w:rPr>
      </w:pPr>
      <w:bookmarkStart w:id="513" w:name="_Toc16656"/>
      <w:bookmarkStart w:id="514" w:name="_Toc12265"/>
      <w:bookmarkStart w:id="515" w:name="_Toc1185"/>
      <w:bookmarkStart w:id="516" w:name="_Toc90"/>
      <w:bookmarkStart w:id="517" w:name="_Toc3981"/>
      <w:bookmarkStart w:id="518" w:name="_Toc20342"/>
      <w:bookmarkStart w:id="519" w:name="_Toc2760"/>
      <w:bookmarkStart w:id="520" w:name="_Toc20908"/>
      <w:bookmarkStart w:id="521" w:name="_Toc15133"/>
      <w:bookmarkStart w:id="522" w:name="_Toc2852"/>
      <w:bookmarkStart w:id="523" w:name="_Toc75768660"/>
      <w:bookmarkStart w:id="524" w:name="_Toc27233"/>
      <w:bookmarkStart w:id="525" w:name="_Toc17977"/>
      <w:bookmarkStart w:id="526" w:name="_Toc11113"/>
      <w:bookmarkStart w:id="527" w:name="_Toc23605"/>
      <w:bookmarkStart w:id="528" w:name="_Toc1756"/>
      <w:bookmarkStart w:id="529" w:name="_Toc1103"/>
      <w:r>
        <w:rPr>
          <w:rFonts w:hint="eastAsia" w:ascii="宋体" w:hAnsi="宋体" w:eastAsia="宋体" w:cs="宋体"/>
          <w:color w:val="auto"/>
          <w:sz w:val="21"/>
          <w:highlight w:val="none"/>
        </w:rPr>
        <w:t>3.1项目分包</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本项目不允许联合体投标，不允许任何形式的转包或分包。</w:t>
      </w:r>
    </w:p>
    <w:p>
      <w:pPr>
        <w:pStyle w:val="5"/>
        <w:rPr>
          <w:rFonts w:hint="eastAsia" w:ascii="宋体" w:hAnsi="宋体" w:eastAsia="宋体" w:cs="宋体"/>
          <w:color w:val="auto"/>
          <w:sz w:val="21"/>
          <w:highlight w:val="none"/>
        </w:rPr>
      </w:pPr>
      <w:bookmarkStart w:id="530" w:name="_Toc20015"/>
      <w:bookmarkStart w:id="531" w:name="_Toc1231"/>
      <w:bookmarkStart w:id="532" w:name="_Toc21455"/>
      <w:bookmarkStart w:id="533" w:name="_Toc75768661"/>
      <w:bookmarkStart w:id="534" w:name="_Toc18694"/>
      <w:bookmarkStart w:id="535" w:name="_Toc25099"/>
      <w:bookmarkStart w:id="536" w:name="_Toc20148"/>
      <w:bookmarkStart w:id="537" w:name="_Toc28804"/>
      <w:bookmarkStart w:id="538" w:name="_Toc21173"/>
      <w:bookmarkStart w:id="539" w:name="_Toc14103"/>
      <w:bookmarkStart w:id="540" w:name="_Toc28148"/>
      <w:bookmarkStart w:id="541" w:name="_Toc27761"/>
      <w:bookmarkStart w:id="542" w:name="_Toc17604"/>
      <w:bookmarkStart w:id="543" w:name="_Toc3256"/>
      <w:bookmarkStart w:id="544" w:name="_Toc25186"/>
      <w:bookmarkStart w:id="545" w:name="_Toc5163"/>
      <w:bookmarkStart w:id="546" w:name="_Toc15124"/>
      <w:bookmarkStart w:id="547" w:name="_Toc4537"/>
      <w:r>
        <w:rPr>
          <w:rFonts w:hint="eastAsia" w:ascii="宋体" w:hAnsi="宋体" w:eastAsia="宋体" w:cs="宋体"/>
          <w:color w:val="auto"/>
          <w:sz w:val="21"/>
          <w:highlight w:val="none"/>
        </w:rPr>
        <w:t>3.2计划服务期</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bookmarkEnd w:id="547"/>
    <w:p>
      <w:pPr>
        <w:widowControl w:val="0"/>
        <w:spacing w:before="0" w:after="0" w:afterAutospacing="0"/>
        <w:ind w:left="0" w:right="0" w:firstLine="411" w:firstLineChars="196"/>
        <w:rPr>
          <w:rFonts w:hint="default" w:ascii="宋体" w:hAnsi="宋体" w:eastAsia="宋体"/>
          <w:color w:val="auto"/>
          <w:kern w:val="2"/>
          <w:highlight w:val="none"/>
          <w:lang w:val="en-US" w:eastAsia="zh-CN"/>
        </w:rPr>
      </w:pPr>
      <w:r>
        <w:rPr>
          <w:rFonts w:hint="eastAsia" w:ascii="宋体" w:hAnsi="宋体"/>
          <w:color w:val="auto"/>
          <w:kern w:val="2"/>
          <w:highlight w:val="none"/>
          <w:lang w:val="en-US" w:eastAsia="zh-CN"/>
        </w:rPr>
        <w:t>服务期限：</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w:t>
      </w:r>
      <w:r>
        <w:rPr>
          <w:rFonts w:hint="eastAsia" w:ascii="宋体"/>
          <w:color w:val="auto"/>
          <w:kern w:val="2"/>
          <w:highlight w:val="none"/>
          <w:lang w:val="en-US" w:eastAsia="zh-CN"/>
        </w:rPr>
        <w:t>服务期自合同生效之日起，往后推算2年（24个月）。</w:t>
      </w:r>
    </w:p>
    <w:p>
      <w:pPr>
        <w:widowControl/>
        <w:spacing w:before="0" w:after="0" w:afterAutospacing="0"/>
        <w:ind w:left="0" w:right="0" w:firstLine="420" w:firstLineChars="200"/>
        <w:rPr>
          <w:rFonts w:hint="eastAsia" w:ascii="宋体" w:hAnsi="宋体"/>
          <w:color w:val="auto"/>
          <w:kern w:val="2"/>
          <w:highlight w:val="none"/>
          <w:u w:val="none"/>
          <w:lang w:eastAsia="zh-CN"/>
        </w:rPr>
      </w:pPr>
      <w:r>
        <w:rPr>
          <w:rFonts w:hint="eastAsia" w:ascii="宋体" w:hAnsi="宋体"/>
          <w:color w:val="auto"/>
          <w:kern w:val="2"/>
          <w:highlight w:val="none"/>
          <w:lang w:val="en-US" w:eastAsia="zh-CN"/>
        </w:rPr>
        <w:t>交货期限：</w:t>
      </w:r>
      <w:r>
        <w:rPr>
          <w:rFonts w:hint="eastAsia" w:ascii="宋体" w:hAnsi="宋体"/>
          <w:color w:val="auto"/>
          <w:highlight w:val="none"/>
          <w:u w:val="none"/>
        </w:rPr>
        <w:t>合同签订后，</w:t>
      </w:r>
      <w:r>
        <w:rPr>
          <w:rFonts w:hint="eastAsia" w:ascii="宋体" w:hAnsi="宋体"/>
          <w:color w:val="auto"/>
          <w:highlight w:val="none"/>
          <w:u w:val="none"/>
          <w:lang w:eastAsia="zh-CN"/>
        </w:rPr>
        <w:t>在</w:t>
      </w:r>
      <w:r>
        <w:rPr>
          <w:rFonts w:hint="eastAsia" w:ascii="宋体" w:hAnsi="宋体"/>
          <w:color w:val="auto"/>
          <w:highlight w:val="none"/>
          <w:u w:val="none"/>
        </w:rPr>
        <w:t>货物交货通知书发出之日起</w:t>
      </w:r>
      <w:r>
        <w:rPr>
          <w:rFonts w:hint="eastAsia" w:ascii="宋体" w:hAnsi="宋体"/>
          <w:color w:val="auto"/>
          <w:highlight w:val="none"/>
          <w:u w:val="none"/>
          <w:lang w:val="en-US" w:eastAsia="zh-CN"/>
        </w:rPr>
        <w:t>3</w:t>
      </w:r>
      <w:r>
        <w:rPr>
          <w:rFonts w:hint="eastAsia" w:ascii="宋体" w:hAnsi="宋体"/>
          <w:color w:val="auto"/>
          <w:highlight w:val="none"/>
          <w:u w:val="none"/>
        </w:rPr>
        <w:t>0天内交货并完成安装，以交货通知发出起算</w:t>
      </w:r>
      <w:r>
        <w:rPr>
          <w:rFonts w:hint="eastAsia" w:ascii="宋体" w:hAnsi="宋体"/>
          <w:color w:val="auto"/>
          <w:kern w:val="2"/>
          <w:highlight w:val="none"/>
          <w:u w:val="none"/>
          <w:lang w:eastAsia="zh-CN"/>
        </w:rPr>
        <w:t>。</w:t>
      </w:r>
    </w:p>
    <w:p>
      <w:pPr>
        <w:widowControl w:val="0"/>
        <w:spacing w:before="0" w:after="0" w:afterAutospacing="0"/>
        <w:ind w:left="0" w:right="0" w:firstLine="411" w:firstLineChars="196"/>
        <w:rPr>
          <w:rFonts w:ascii="宋体" w:hAnsi="宋体"/>
          <w:color w:val="auto"/>
          <w:kern w:val="2"/>
          <w:highlight w:val="none"/>
        </w:rPr>
      </w:pPr>
      <w:r>
        <w:rPr>
          <w:rFonts w:hint="eastAsia" w:ascii="宋体" w:hAnsi="宋体"/>
          <w:color w:val="auto"/>
          <w:kern w:val="2"/>
          <w:highlight w:val="none"/>
          <w:lang w:val="en-US" w:eastAsia="zh-CN"/>
        </w:rPr>
        <w:t>质保期限：</w:t>
      </w:r>
      <w:r>
        <w:rPr>
          <w:rFonts w:hint="eastAsia" w:ascii="宋体" w:hAnsi="宋体"/>
          <w:color w:val="auto"/>
          <w:kern w:val="2"/>
          <w:highlight w:val="none"/>
          <w:shd w:val="clear" w:color="auto" w:fill="FFFFFF"/>
        </w:rPr>
        <w:t>质保期为项目通过验收双方签字确认之日起，往后推算1年（12个月）。质保期内安装单位接到通知后应及时响应，应在5天内完成标识的维护更换，原则上为产品出现翘边、翘角、褪色、腐蚀、破裂、内容出现错误等甲方认为影响运营服务质量时通知乙方进行更换，以招标方、中标方双方告知对方的形式，包括电话、电子邮件、微信、QQ、书面通知等，具体时间以招标方出现标贴需要更换通知等为准。</w:t>
      </w:r>
    </w:p>
    <w:p>
      <w:pPr>
        <w:pStyle w:val="5"/>
        <w:rPr>
          <w:rFonts w:hint="eastAsia" w:ascii="宋体" w:hAnsi="宋体" w:eastAsia="宋体" w:cs="宋体"/>
          <w:color w:val="auto"/>
          <w:sz w:val="21"/>
          <w:highlight w:val="none"/>
        </w:rPr>
      </w:pPr>
      <w:bookmarkStart w:id="548" w:name="_Toc696"/>
      <w:bookmarkStart w:id="549" w:name="_Toc6081"/>
      <w:bookmarkStart w:id="550" w:name="_Toc8935"/>
      <w:bookmarkStart w:id="551" w:name="_Toc75768662"/>
      <w:bookmarkStart w:id="552" w:name="_Toc6353"/>
      <w:bookmarkStart w:id="553" w:name="_Toc13087"/>
      <w:bookmarkStart w:id="554" w:name="_Toc14880"/>
      <w:bookmarkStart w:id="555" w:name="_Toc6883"/>
      <w:bookmarkStart w:id="556" w:name="_Toc26280"/>
      <w:bookmarkStart w:id="557" w:name="_Toc21540"/>
      <w:bookmarkStart w:id="558" w:name="_Toc17921"/>
      <w:bookmarkStart w:id="559" w:name="_Toc6979"/>
      <w:bookmarkStart w:id="560" w:name="_Toc11701"/>
      <w:bookmarkStart w:id="561" w:name="_Toc799"/>
      <w:bookmarkStart w:id="562" w:name="_Toc13575"/>
      <w:bookmarkStart w:id="563" w:name="_Toc25780"/>
      <w:bookmarkStart w:id="564" w:name="_Toc21385"/>
      <w:r>
        <w:rPr>
          <w:rFonts w:hint="eastAsia" w:ascii="宋体" w:hAnsi="宋体" w:eastAsia="宋体" w:cs="宋体"/>
          <w:color w:val="auto"/>
          <w:sz w:val="21"/>
          <w:highlight w:val="none"/>
        </w:rPr>
        <w:t>3.3项目前期准备</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投标方应提前与招标方进行沟通</w:t>
      </w:r>
      <w:r>
        <w:rPr>
          <w:rFonts w:hint="eastAsia" w:ascii="宋体"/>
          <w:color w:val="auto"/>
          <w:kern w:val="2"/>
          <w:highlight w:val="none"/>
        </w:rPr>
        <w:t>运营导向标示标贴、安全标识的</w:t>
      </w:r>
      <w:r>
        <w:rPr>
          <w:rFonts w:hint="eastAsia"/>
          <w:color w:val="auto"/>
          <w:kern w:val="2"/>
          <w:highlight w:val="none"/>
        </w:rPr>
        <w:t>设计、材质、制作工艺、安装位置、施工工艺等相关事宜。提前进入现场对标识标贴、安全标识产品安装位置和条件进行勘察及核测，按现场勘测的数据对运营导向标示标贴、安全标识进行优化设计，拟定详细的项目设计方案，避免影响南宁轨道交通5号线整体运营服务计划。</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投标方须派具备相关专业资质的设计人员，根据招标方的要求及时进行配合并解决施工过程中与设计有关的问题。设计需按招标方VI识别系统设计要求进行设计，待招标方人员确认设计稿后，方可按照图纸进行打样、生产。</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565" w:name="_Toc476303972"/>
      <w:bookmarkStart w:id="566" w:name="_Toc28244"/>
      <w:bookmarkStart w:id="567" w:name="_Toc476303995"/>
      <w:bookmarkStart w:id="568" w:name="_Toc476304348"/>
      <w:bookmarkStart w:id="569" w:name="_Toc343236812"/>
      <w:bookmarkStart w:id="570" w:name="_Toc446593373"/>
      <w:bookmarkStart w:id="571" w:name="_Toc75768663"/>
      <w:bookmarkStart w:id="572" w:name="_Toc20931"/>
      <w:bookmarkStart w:id="573" w:name="_Toc23027"/>
      <w:bookmarkStart w:id="574" w:name="_Toc22891"/>
      <w:bookmarkStart w:id="575" w:name="_Toc15829"/>
      <w:bookmarkStart w:id="576" w:name="_Toc1041"/>
      <w:bookmarkStart w:id="577" w:name="_Toc8424"/>
      <w:bookmarkStart w:id="578" w:name="_Toc3880"/>
      <w:bookmarkStart w:id="579" w:name="_Toc31170"/>
      <w:bookmarkStart w:id="580" w:name="_Toc27743"/>
      <w:bookmarkStart w:id="581" w:name="_Toc7079"/>
      <w:r>
        <w:rPr>
          <w:rFonts w:hint="eastAsia" w:ascii="黑体" w:hAnsi="黑体" w:eastAsia="黑体" w:cs="黑体"/>
          <w:color w:val="auto"/>
          <w:sz w:val="24"/>
          <w:szCs w:val="24"/>
          <w:highlight w:val="none"/>
        </w:rPr>
        <w:t xml:space="preserve"> </w:t>
      </w:r>
      <w:bookmarkEnd w:id="565"/>
      <w:bookmarkEnd w:id="566"/>
      <w:bookmarkEnd w:id="567"/>
      <w:bookmarkEnd w:id="568"/>
      <w:bookmarkEnd w:id="569"/>
      <w:bookmarkEnd w:id="570"/>
      <w:bookmarkStart w:id="582" w:name="_Toc11512"/>
      <w:bookmarkStart w:id="583" w:name="_Toc26143"/>
      <w:bookmarkStart w:id="584" w:name="_Toc27228"/>
      <w:bookmarkStart w:id="585" w:name="_Toc15800"/>
      <w:bookmarkStart w:id="586" w:name="_Toc6061"/>
      <w:bookmarkStart w:id="587" w:name="_Toc7605"/>
      <w:r>
        <w:rPr>
          <w:rFonts w:hint="eastAsia" w:ascii="黑体" w:hAnsi="黑体" w:eastAsia="黑体" w:cs="黑体"/>
          <w:color w:val="auto"/>
          <w:sz w:val="24"/>
          <w:szCs w:val="24"/>
          <w:highlight w:val="none"/>
        </w:rPr>
        <w:t>项目技术标准、技术要求</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5"/>
        <w:rPr>
          <w:rFonts w:hint="eastAsia" w:ascii="宋体" w:hAnsi="宋体" w:eastAsia="宋体" w:cs="宋体"/>
          <w:color w:val="auto"/>
          <w:sz w:val="21"/>
          <w:highlight w:val="none"/>
        </w:rPr>
      </w:pPr>
      <w:bookmarkStart w:id="588" w:name="_Toc21823"/>
      <w:bookmarkStart w:id="589" w:name="_Toc6032"/>
      <w:bookmarkStart w:id="590" w:name="_Toc14086"/>
      <w:bookmarkStart w:id="591" w:name="_Toc26888"/>
      <w:bookmarkStart w:id="592" w:name="_Toc23568"/>
      <w:bookmarkStart w:id="593" w:name="_Toc10452"/>
      <w:bookmarkStart w:id="594" w:name="_Toc6091"/>
      <w:bookmarkStart w:id="595" w:name="_Toc21096"/>
      <w:bookmarkStart w:id="596" w:name="_Toc391"/>
      <w:bookmarkStart w:id="597" w:name="_Toc446593374"/>
      <w:bookmarkStart w:id="598" w:name="_Toc1375"/>
      <w:bookmarkStart w:id="599" w:name="_Toc343236813"/>
      <w:r>
        <w:rPr>
          <w:rFonts w:hint="eastAsia" w:ascii="宋体" w:hAnsi="宋体" w:eastAsia="宋体" w:cs="宋体"/>
          <w:color w:val="auto"/>
          <w:sz w:val="21"/>
          <w:highlight w:val="none"/>
        </w:rPr>
        <w:t xml:space="preserve">4.1 </w:t>
      </w:r>
      <w:bookmarkStart w:id="600" w:name="_Toc19956"/>
      <w:bookmarkStart w:id="601" w:name="_Toc29253"/>
      <w:bookmarkStart w:id="602" w:name="_Toc28900"/>
      <w:bookmarkStart w:id="603" w:name="_Toc24652"/>
      <w:bookmarkStart w:id="604" w:name="_Toc29543"/>
      <w:bookmarkStart w:id="605" w:name="_Toc75768664"/>
      <w:bookmarkStart w:id="606" w:name="_Toc12121"/>
      <w:bookmarkStart w:id="607" w:name="_Toc12110"/>
      <w:r>
        <w:rPr>
          <w:rFonts w:hint="eastAsia" w:ascii="宋体" w:hAnsi="宋体" w:eastAsia="宋体" w:cs="宋体"/>
          <w:color w:val="auto"/>
          <w:sz w:val="21"/>
          <w:highlight w:val="none"/>
        </w:rPr>
        <w:t>标准适用原则</w:t>
      </w:r>
      <w:bookmarkEnd w:id="588"/>
      <w:bookmarkEnd w:id="589"/>
      <w:bookmarkEnd w:id="590"/>
      <w:bookmarkEnd w:id="591"/>
      <w:bookmarkEnd w:id="592"/>
      <w:bookmarkEnd w:id="593"/>
      <w:bookmarkEnd w:id="594"/>
      <w:bookmarkEnd w:id="595"/>
      <w:bookmarkEnd w:id="596"/>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1.本项目须满足各类国家及行业标准，包括但不限于国家相关标准、轨道交通行业通用和专用标准、自治区及南宁市轨道交通相关标准等。</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2.本项目须满足招标方单位的相关标准或要求：</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（1）招标方单位的企业标准；</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（2）招标方单位的规章制度；</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（3）招标方单位的各种会议纪要、决议、通知等；</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（4）招标方制定的设备检修规程、设备操作指南、故障处理指南、工作手册、规章制度等；</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（5）以上均未涉及的，由招标方与投标方共同商定。</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3.本项目采用的各类标准或要求，如有最新版本，则按新版本执行，同一权威等级取标准高者。</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4.广西区、南宁市有关规程、规定及要求，未尽部分符合国家现行的有关标准和规范，且当上述标准的内容与其他文件或具体条款描述矛盾时，按较高要求执行。</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5.本工程（项目）所用产品的设计、制造、安装、安全至少满足下列标准、规范及相关引用标准和规范。如果有新的标准，则按照新的标准执行，投标方不能因此要求增加任何费用。</w:t>
      </w:r>
    </w:p>
    <w:p>
      <w:pPr>
        <w:pStyle w:val="5"/>
        <w:rPr>
          <w:rFonts w:hint="eastAsia" w:ascii="宋体" w:hAnsi="宋体" w:eastAsia="宋体" w:cs="宋体"/>
          <w:color w:val="auto"/>
          <w:sz w:val="21"/>
          <w:highlight w:val="none"/>
        </w:rPr>
      </w:pPr>
      <w:bookmarkStart w:id="608" w:name="_Toc28181"/>
      <w:bookmarkStart w:id="609" w:name="_Toc28254"/>
      <w:bookmarkStart w:id="610" w:name="_Toc13043"/>
      <w:bookmarkStart w:id="611" w:name="_Toc18305"/>
      <w:bookmarkStart w:id="612" w:name="_Toc26972"/>
      <w:bookmarkStart w:id="613" w:name="_Toc12950"/>
      <w:bookmarkStart w:id="614" w:name="_Toc23355"/>
      <w:bookmarkStart w:id="615" w:name="_Toc28223"/>
      <w:bookmarkStart w:id="616" w:name="_Toc713"/>
      <w:r>
        <w:rPr>
          <w:rFonts w:hint="eastAsia" w:ascii="宋体" w:hAnsi="宋体" w:eastAsia="宋体" w:cs="宋体"/>
          <w:color w:val="auto"/>
          <w:sz w:val="21"/>
          <w:highlight w:val="none"/>
        </w:rPr>
        <w:t>4.2 国家技术标准及行业规范</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现场使用材料的各项技术指标应符合但不只限于下列国家规范、标准与要求，如有最新版本，按新版本执行，同时遵循南宁轨道交通集团文件《轨道交通VI手册》和《南宁轨道交通线网线路识别色规划及标准化应用手册》要求。</w:t>
      </w:r>
    </w:p>
    <w:p>
      <w:pPr>
        <w:pStyle w:val="6"/>
        <w:rPr>
          <w:rFonts w:hint="eastAsia" w:ascii="宋体" w:hAnsi="宋体" w:cs="宋体"/>
          <w:b w:val="0"/>
          <w:bCs/>
          <w:color w:val="auto"/>
          <w:sz w:val="21"/>
          <w:highlight w:val="none"/>
        </w:rPr>
      </w:pPr>
      <w:bookmarkStart w:id="617" w:name="_Toc75768665"/>
      <w:r>
        <w:rPr>
          <w:rFonts w:hint="eastAsia" w:ascii="宋体" w:hAnsi="宋体" w:cs="宋体"/>
          <w:b w:val="0"/>
          <w:bCs/>
          <w:color w:val="auto"/>
          <w:sz w:val="21"/>
          <w:highlight w:val="none"/>
        </w:rPr>
        <w:t>4.2.1 金属材料</w:t>
      </w:r>
      <w:bookmarkEnd w:id="597"/>
      <w:bookmarkEnd w:id="598"/>
      <w:bookmarkEnd w:id="599"/>
      <w:bookmarkEnd w:id="617"/>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3280</w:t>
      </w:r>
      <w:r>
        <w:rPr>
          <w:rFonts w:ascii="宋体" w:hAnsi="宋体"/>
          <w:color w:val="auto"/>
          <w:kern w:val="2"/>
          <w:highlight w:val="none"/>
        </w:rPr>
        <w:t>—</w:t>
      </w:r>
      <w:r>
        <w:rPr>
          <w:rFonts w:hint="eastAsia" w:ascii="宋体" w:hAnsi="宋体"/>
          <w:color w:val="auto"/>
          <w:kern w:val="2"/>
          <w:highlight w:val="none"/>
        </w:rPr>
        <w:t>2015</w:t>
      </w:r>
      <w:r>
        <w:rPr>
          <w:rFonts w:ascii="宋体" w:hAnsi="宋体"/>
          <w:color w:val="auto"/>
          <w:kern w:val="2"/>
          <w:highlight w:val="none"/>
        </w:rPr>
        <w:t>《</w:t>
      </w:r>
      <w:r>
        <w:rPr>
          <w:rFonts w:hint="eastAsia" w:ascii="宋体" w:hAnsi="宋体"/>
          <w:color w:val="auto"/>
          <w:kern w:val="2"/>
          <w:highlight w:val="none"/>
        </w:rPr>
        <w:t>不锈钢冷轧钢板和钢带</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3880.1-2012《一般工业用铝及铝合金板、带材 第1部分：一般要求》</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w:t>
      </w:r>
      <w:r>
        <w:rPr>
          <w:rFonts w:hint="eastAsia" w:ascii="宋体" w:hAnsi="宋体"/>
          <w:color w:val="auto"/>
          <w:kern w:val="2"/>
          <w:highlight w:val="none"/>
        </w:rPr>
        <w:t xml:space="preserve"> </w:t>
      </w:r>
      <w:r>
        <w:rPr>
          <w:rFonts w:ascii="宋体" w:hAnsi="宋体"/>
          <w:color w:val="auto"/>
          <w:kern w:val="2"/>
          <w:highlight w:val="none"/>
        </w:rPr>
        <w:t>5237</w:t>
      </w:r>
      <w:r>
        <w:rPr>
          <w:rFonts w:hint="eastAsia" w:ascii="宋体" w:hAnsi="宋体"/>
          <w:color w:val="auto"/>
          <w:kern w:val="2"/>
          <w:highlight w:val="none"/>
        </w:rPr>
        <w:t>.1</w:t>
      </w:r>
      <w:r>
        <w:rPr>
          <w:rFonts w:ascii="宋体" w:hAnsi="宋体"/>
          <w:color w:val="auto"/>
          <w:kern w:val="2"/>
          <w:highlight w:val="none"/>
        </w:rPr>
        <w:t>—</w:t>
      </w:r>
      <w:r>
        <w:rPr>
          <w:rFonts w:hint="eastAsia" w:ascii="宋体" w:hAnsi="宋体"/>
          <w:color w:val="auto"/>
          <w:kern w:val="2"/>
          <w:highlight w:val="none"/>
        </w:rPr>
        <w:t>2017</w:t>
      </w:r>
      <w:r>
        <w:rPr>
          <w:rFonts w:ascii="宋体" w:hAnsi="宋体"/>
          <w:color w:val="auto"/>
          <w:kern w:val="2"/>
          <w:highlight w:val="none"/>
        </w:rPr>
        <w:t>《铝合金建筑型材</w:t>
      </w:r>
      <w:r>
        <w:rPr>
          <w:rFonts w:hint="eastAsia" w:ascii="宋体" w:hAnsi="宋体"/>
          <w:color w:val="auto"/>
          <w:kern w:val="2"/>
          <w:highlight w:val="none"/>
        </w:rPr>
        <w:t>　第1部分：基材</w:t>
      </w:r>
      <w:r>
        <w:rPr>
          <w:rFonts w:ascii="宋体" w:hAnsi="宋体"/>
          <w:color w:val="auto"/>
          <w:kern w:val="2"/>
          <w:highlight w:val="none"/>
        </w:rPr>
        <w:t>》</w:t>
      </w:r>
      <w:bookmarkStart w:id="618" w:name="_Toc343236814"/>
      <w:bookmarkStart w:id="619" w:name="_Toc446593375"/>
      <w:bookmarkStart w:id="620" w:name="_Toc22167"/>
    </w:p>
    <w:p>
      <w:pPr>
        <w:pStyle w:val="6"/>
        <w:rPr>
          <w:rFonts w:hint="default" w:ascii="宋体" w:hAnsi="宋体" w:eastAsia="宋体" w:cs="宋体"/>
          <w:b w:val="0"/>
          <w:bCs/>
          <w:color w:val="auto"/>
          <w:sz w:val="21"/>
          <w:highlight w:val="none"/>
          <w:lang w:val="en-US" w:eastAsia="zh-CN"/>
        </w:rPr>
      </w:pPr>
      <w:bookmarkStart w:id="621" w:name="_Toc75768666"/>
      <w:r>
        <w:rPr>
          <w:rFonts w:hint="eastAsia" w:ascii="宋体" w:hAnsi="宋体" w:cs="宋体"/>
          <w:b w:val="0"/>
          <w:bCs/>
          <w:color w:val="auto"/>
          <w:sz w:val="21"/>
          <w:highlight w:val="none"/>
        </w:rPr>
        <w:t>4.2.2 PET聚酯膜、聚碳酸酯板、PC</w:t>
      </w:r>
      <w:bookmarkEnd w:id="618"/>
      <w:r>
        <w:rPr>
          <w:rFonts w:hint="eastAsia" w:ascii="宋体" w:hAnsi="宋体" w:cs="宋体"/>
          <w:b w:val="0"/>
          <w:bCs/>
          <w:color w:val="auto"/>
          <w:sz w:val="21"/>
          <w:highlight w:val="none"/>
        </w:rPr>
        <w:t>板</w:t>
      </w:r>
      <w:bookmarkEnd w:id="619"/>
      <w:bookmarkEnd w:id="620"/>
      <w:r>
        <w:rPr>
          <w:rFonts w:hint="eastAsia" w:ascii="宋体" w:hAnsi="宋体" w:cs="宋体"/>
          <w:b w:val="0"/>
          <w:bCs/>
          <w:color w:val="auto"/>
          <w:sz w:val="21"/>
          <w:highlight w:val="none"/>
        </w:rPr>
        <w:t>、不干胶贴膜</w:t>
      </w:r>
      <w:bookmarkEnd w:id="621"/>
      <w:r>
        <w:rPr>
          <w:rFonts w:hint="eastAsia" w:ascii="宋体" w:hAnsi="宋体" w:cs="宋体"/>
          <w:b w:val="0"/>
          <w:bCs/>
          <w:color w:val="auto"/>
          <w:sz w:val="21"/>
          <w:highlight w:val="none"/>
          <w:lang w:eastAsia="zh-CN"/>
        </w:rPr>
        <w:t>、</w:t>
      </w:r>
      <w:r>
        <w:rPr>
          <w:rFonts w:hint="eastAsia" w:ascii="宋体" w:hAnsi="宋体" w:cs="宋体"/>
          <w:b w:val="0"/>
          <w:bCs/>
          <w:color w:val="auto"/>
          <w:sz w:val="21"/>
          <w:highlight w:val="none"/>
          <w:lang w:val="en-US" w:eastAsia="zh-CN"/>
        </w:rPr>
        <w:t>铜版纸</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8624—</w:t>
      </w:r>
      <w:r>
        <w:rPr>
          <w:rFonts w:hint="eastAsia" w:ascii="宋体" w:hAnsi="宋体"/>
          <w:color w:val="auto"/>
          <w:kern w:val="2"/>
          <w:highlight w:val="none"/>
        </w:rPr>
        <w:t>2012</w:t>
      </w:r>
      <w:r>
        <w:rPr>
          <w:rFonts w:ascii="宋体" w:hAnsi="宋体"/>
          <w:color w:val="auto"/>
          <w:kern w:val="2"/>
          <w:highlight w:val="none"/>
        </w:rPr>
        <w:t>《建筑材料</w:t>
      </w:r>
      <w:r>
        <w:rPr>
          <w:rFonts w:hint="eastAsia" w:ascii="宋体" w:hAnsi="宋体"/>
          <w:color w:val="auto"/>
          <w:kern w:val="2"/>
          <w:highlight w:val="none"/>
        </w:rPr>
        <w:t>及制品</w:t>
      </w:r>
      <w:r>
        <w:rPr>
          <w:rFonts w:ascii="宋体" w:hAnsi="宋体"/>
          <w:color w:val="auto"/>
          <w:kern w:val="2"/>
          <w:highlight w:val="none"/>
        </w:rPr>
        <w:t>燃烧性能分级》</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2410—2008《透明塑料透光率和雾度的测定》</w:t>
      </w:r>
      <w:bookmarkStart w:id="622" w:name="_Toc343236816"/>
      <w:bookmarkStart w:id="623" w:name="_Toc446593376"/>
      <w:bookmarkStart w:id="624" w:name="_Toc10007"/>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2411—2008</w:t>
      </w:r>
      <w:r>
        <w:rPr>
          <w:rFonts w:hint="eastAsia" w:ascii="宋体" w:hAnsi="宋体"/>
          <w:color w:val="auto"/>
          <w:kern w:val="2"/>
          <w:highlight w:val="none"/>
        </w:rPr>
        <w:t>《</w:t>
      </w:r>
      <w:r>
        <w:rPr>
          <w:rFonts w:ascii="宋体" w:hAnsi="宋体"/>
          <w:color w:val="auto"/>
          <w:kern w:val="2"/>
          <w:highlight w:val="none"/>
        </w:rPr>
        <w:t>塑料和硬橡胶使用硬度计测定压痕硬度（邵氏硬度）</w:t>
      </w:r>
      <w:r>
        <w:rPr>
          <w:rFonts w:hint="eastAsia"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2792-2014《胶粘带剥离强度的测试方法》</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10125-2012</w:t>
      </w:r>
      <w:r>
        <w:rPr>
          <w:rFonts w:hint="eastAsia" w:ascii="宋体" w:hAnsi="宋体"/>
          <w:color w:val="auto"/>
          <w:kern w:val="2"/>
          <w:highlight w:val="none"/>
        </w:rPr>
        <w:t>《</w:t>
      </w:r>
      <w:r>
        <w:rPr>
          <w:rFonts w:ascii="宋体" w:hAnsi="宋体"/>
          <w:color w:val="auto"/>
          <w:kern w:val="2"/>
          <w:highlight w:val="none"/>
        </w:rPr>
        <w:t>人造气氛腐蚀试验盐雾试验</w:t>
      </w:r>
      <w:r>
        <w:rPr>
          <w:rFonts w:hint="eastAsia" w:ascii="宋体" w:hAnsi="宋体"/>
          <w:color w:val="auto"/>
          <w:kern w:val="2"/>
          <w:highlight w:val="none"/>
        </w:rPr>
        <w:t>》</w:t>
      </w:r>
    </w:p>
    <w:p>
      <w:pPr>
        <w:widowControl w:val="0"/>
        <w:spacing w:before="0" w:after="0" w:afterAutospacing="0"/>
        <w:ind w:left="0" w:right="0" w:firstLine="420" w:firstLineChars="200"/>
        <w:rPr>
          <w:rFonts w:hint="eastAsia" w:ascii="宋体" w:hAnsi="宋体"/>
          <w:color w:val="auto"/>
          <w:kern w:val="2"/>
          <w:highlight w:val="none"/>
        </w:rPr>
      </w:pPr>
      <w:r>
        <w:rPr>
          <w:rFonts w:hint="eastAsia" w:ascii="宋体" w:hAnsi="宋体"/>
          <w:color w:val="auto"/>
          <w:kern w:val="2"/>
          <w:highlight w:val="none"/>
        </w:rPr>
        <w:t>GB/T 15596-1995《塑料暴露于玻璃下日光或自然气候或人工光后颜色和性能变化的测定》</w:t>
      </w:r>
    </w:p>
    <w:p>
      <w:pPr>
        <w:pStyle w:val="6"/>
        <w:rPr>
          <w:rFonts w:hint="eastAsia" w:ascii="宋体" w:hAnsi="宋体" w:cs="宋体"/>
          <w:b w:val="0"/>
          <w:bCs/>
          <w:color w:val="auto"/>
          <w:sz w:val="21"/>
          <w:highlight w:val="none"/>
        </w:rPr>
      </w:pPr>
      <w:bookmarkStart w:id="625" w:name="_Toc75768667"/>
      <w:r>
        <w:rPr>
          <w:rFonts w:hint="eastAsia" w:ascii="宋体" w:hAnsi="宋体" w:cs="宋体"/>
          <w:b w:val="0"/>
          <w:bCs/>
          <w:color w:val="auto"/>
          <w:sz w:val="21"/>
          <w:highlight w:val="none"/>
        </w:rPr>
        <w:t>4.2.3 图形符号</w:t>
      </w:r>
      <w:bookmarkEnd w:id="622"/>
      <w:bookmarkEnd w:id="623"/>
      <w:bookmarkEnd w:id="624"/>
      <w:bookmarkEnd w:id="625"/>
    </w:p>
    <w:p>
      <w:pPr>
        <w:widowControl w:val="0"/>
        <w:spacing w:before="0" w:after="0" w:afterAutospacing="0"/>
        <w:ind w:left="0" w:right="0" w:firstLine="420" w:firstLineChars="200"/>
        <w:rPr>
          <w:rFonts w:ascii="宋体" w:hAnsi="宋体"/>
          <w:color w:val="auto"/>
          <w:kern w:val="2"/>
          <w:highlight w:val="none"/>
        </w:rPr>
      </w:pPr>
      <w:bookmarkStart w:id="626" w:name="_Toc343236817"/>
      <w:bookmarkStart w:id="627" w:name="_Toc446593377"/>
      <w:bookmarkStart w:id="628" w:name="_Toc5006"/>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50157—2013《地铁设计规范》</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.1</w:t>
      </w:r>
      <w:r>
        <w:rPr>
          <w:rFonts w:ascii="宋体" w:hAnsi="宋体"/>
          <w:color w:val="auto"/>
          <w:kern w:val="2"/>
          <w:highlight w:val="none"/>
        </w:rPr>
        <w:t>—20</w:t>
      </w:r>
      <w:r>
        <w:rPr>
          <w:rFonts w:hint="eastAsia" w:ascii="宋体" w:hAnsi="宋体"/>
          <w:color w:val="auto"/>
          <w:kern w:val="2"/>
          <w:highlight w:val="none"/>
        </w:rPr>
        <w:t>13</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w:t>
      </w:r>
      <w:r>
        <w:rPr>
          <w:rFonts w:hint="eastAsia" w:ascii="宋体" w:hAnsi="宋体"/>
          <w:color w:val="auto"/>
          <w:kern w:val="2"/>
          <w:highlight w:val="none"/>
        </w:rPr>
        <w:t>志　第1部分：安全标志和安全标记的设计原则</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.2</w:t>
      </w:r>
      <w:r>
        <w:rPr>
          <w:rFonts w:ascii="宋体" w:hAnsi="宋体"/>
          <w:color w:val="auto"/>
          <w:kern w:val="2"/>
          <w:highlight w:val="none"/>
        </w:rPr>
        <w:t>—200</w:t>
      </w:r>
      <w:r>
        <w:rPr>
          <w:rFonts w:hint="eastAsia" w:ascii="宋体" w:hAnsi="宋体"/>
          <w:color w:val="auto"/>
          <w:kern w:val="2"/>
          <w:highlight w:val="none"/>
        </w:rPr>
        <w:t>8</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w:t>
      </w:r>
      <w:r>
        <w:rPr>
          <w:rFonts w:hint="eastAsia" w:ascii="宋体" w:hAnsi="宋体"/>
          <w:color w:val="auto"/>
          <w:kern w:val="2"/>
          <w:highlight w:val="none"/>
        </w:rPr>
        <w:t>志　第2部分：产品安全标签的设计原则</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.3</w:t>
      </w:r>
      <w:r>
        <w:rPr>
          <w:rFonts w:ascii="宋体" w:hAnsi="宋体"/>
          <w:color w:val="auto"/>
          <w:kern w:val="2"/>
          <w:highlight w:val="none"/>
        </w:rPr>
        <w:t>—20</w:t>
      </w:r>
      <w:r>
        <w:rPr>
          <w:rFonts w:hint="eastAsia" w:ascii="宋体" w:hAnsi="宋体"/>
          <w:color w:val="auto"/>
          <w:kern w:val="2"/>
          <w:highlight w:val="none"/>
        </w:rPr>
        <w:t>10</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w:t>
      </w:r>
      <w:r>
        <w:rPr>
          <w:rFonts w:hint="eastAsia" w:ascii="宋体" w:hAnsi="宋体"/>
          <w:color w:val="auto"/>
          <w:kern w:val="2"/>
          <w:highlight w:val="none"/>
        </w:rPr>
        <w:t>志　第3部分：安全标志用图形符号设计原则</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.4</w:t>
      </w:r>
      <w:r>
        <w:rPr>
          <w:rFonts w:ascii="宋体" w:hAnsi="宋体"/>
          <w:color w:val="auto"/>
          <w:kern w:val="2"/>
          <w:highlight w:val="none"/>
        </w:rPr>
        <w:t>—20</w:t>
      </w:r>
      <w:r>
        <w:rPr>
          <w:rFonts w:hint="eastAsia" w:ascii="宋体" w:hAnsi="宋体"/>
          <w:color w:val="auto"/>
          <w:kern w:val="2"/>
          <w:highlight w:val="none"/>
        </w:rPr>
        <w:t>10《</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安全色和安全标志</w:t>
      </w:r>
      <w:r>
        <w:rPr>
          <w:rFonts w:hint="eastAsia" w:ascii="宋体" w:hAnsi="宋体"/>
          <w:color w:val="auto"/>
          <w:kern w:val="2"/>
          <w:highlight w:val="none"/>
        </w:rPr>
        <w:t>　</w:t>
      </w:r>
      <w:r>
        <w:rPr>
          <w:rFonts w:ascii="宋体" w:hAnsi="宋体"/>
          <w:color w:val="auto"/>
          <w:kern w:val="2"/>
          <w:highlight w:val="none"/>
        </w:rPr>
        <w:t>第4部分：安全标志材料的色度属性和光度属性</w:t>
      </w:r>
      <w:r>
        <w:rPr>
          <w:rFonts w:hint="eastAsia"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2893.5-2020《图形符号　安全色和安全标志　第5部分：安全标志使用原则与要求》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2894-2008《安全标志及其使用导则》</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w:t>
      </w:r>
      <w:r>
        <w:rPr>
          <w:rFonts w:hint="eastAsia" w:ascii="宋体" w:hAnsi="宋体"/>
          <w:color w:val="auto"/>
          <w:kern w:val="2"/>
          <w:highlight w:val="none"/>
        </w:rPr>
        <w:t xml:space="preserve"> </w:t>
      </w:r>
      <w:r>
        <w:rPr>
          <w:rFonts w:ascii="宋体" w:hAnsi="宋体"/>
          <w:color w:val="auto"/>
          <w:kern w:val="2"/>
          <w:highlight w:val="none"/>
        </w:rPr>
        <w:t>15565</w:t>
      </w:r>
      <w:r>
        <w:rPr>
          <w:rFonts w:hint="eastAsia" w:ascii="宋体" w:hAnsi="宋体"/>
          <w:color w:val="auto"/>
          <w:kern w:val="2"/>
          <w:highlight w:val="none"/>
        </w:rPr>
        <w:t>.2</w:t>
      </w:r>
      <w:r>
        <w:rPr>
          <w:rFonts w:ascii="宋体" w:hAnsi="宋体"/>
          <w:color w:val="auto"/>
          <w:kern w:val="2"/>
          <w:highlight w:val="none"/>
        </w:rPr>
        <w:t>—</w:t>
      </w:r>
      <w:r>
        <w:rPr>
          <w:rFonts w:hint="eastAsia" w:ascii="宋体" w:hAnsi="宋体"/>
          <w:color w:val="auto"/>
          <w:kern w:val="2"/>
          <w:highlight w:val="none"/>
        </w:rPr>
        <w:t>2008《</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术语</w:t>
      </w:r>
      <w:r>
        <w:rPr>
          <w:rFonts w:hint="eastAsia" w:ascii="宋体" w:hAnsi="宋体"/>
          <w:color w:val="auto"/>
          <w:kern w:val="2"/>
          <w:highlight w:val="none"/>
        </w:rPr>
        <w:t>　</w:t>
      </w:r>
      <w:r>
        <w:rPr>
          <w:rFonts w:ascii="宋体" w:hAnsi="宋体"/>
          <w:color w:val="auto"/>
          <w:kern w:val="2"/>
          <w:highlight w:val="none"/>
        </w:rPr>
        <w:t>第2部分：标志及导向系统</w:t>
      </w:r>
      <w:r>
        <w:rPr>
          <w:rFonts w:hint="eastAsia"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18574-2008《城市轨道交通客运服务标志》</w:t>
      </w:r>
    </w:p>
    <w:p>
      <w:pPr>
        <w:pStyle w:val="6"/>
        <w:rPr>
          <w:rFonts w:hint="eastAsia" w:ascii="宋体" w:hAnsi="宋体" w:cs="宋体"/>
          <w:b w:val="0"/>
          <w:bCs/>
          <w:color w:val="auto"/>
          <w:sz w:val="21"/>
          <w:highlight w:val="none"/>
        </w:rPr>
      </w:pPr>
      <w:bookmarkStart w:id="629" w:name="_Toc75768668"/>
      <w:r>
        <w:rPr>
          <w:rFonts w:hint="eastAsia" w:ascii="宋体" w:hAnsi="宋体" w:cs="宋体"/>
          <w:b w:val="0"/>
          <w:bCs/>
          <w:color w:val="auto"/>
          <w:sz w:val="21"/>
          <w:highlight w:val="none"/>
        </w:rPr>
        <w:t>4.2.4 安全</w:t>
      </w:r>
      <w:bookmarkEnd w:id="626"/>
      <w:bookmarkEnd w:id="627"/>
      <w:bookmarkEnd w:id="628"/>
      <w:bookmarkEnd w:id="629"/>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2893—</w:t>
      </w:r>
      <w:r>
        <w:rPr>
          <w:rFonts w:hint="eastAsia" w:ascii="宋体" w:hAnsi="宋体"/>
          <w:color w:val="auto"/>
          <w:kern w:val="2"/>
          <w:highlight w:val="none"/>
        </w:rPr>
        <w:t>2008《安全色》</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 8624-2012《建筑材料及制品燃烧性能分级》</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13495</w:t>
      </w:r>
      <w:r>
        <w:rPr>
          <w:rFonts w:hint="eastAsia" w:ascii="宋体" w:hAnsi="宋体"/>
          <w:color w:val="auto"/>
          <w:kern w:val="2"/>
          <w:highlight w:val="none"/>
        </w:rPr>
        <w:t>.1</w:t>
      </w:r>
      <w:r>
        <w:rPr>
          <w:rFonts w:ascii="宋体" w:hAnsi="宋体"/>
          <w:color w:val="auto"/>
          <w:kern w:val="2"/>
          <w:highlight w:val="none"/>
        </w:rPr>
        <w:t>—</w:t>
      </w:r>
      <w:r>
        <w:rPr>
          <w:rFonts w:hint="eastAsia" w:ascii="宋体" w:hAnsi="宋体"/>
          <w:color w:val="auto"/>
          <w:kern w:val="2"/>
          <w:highlight w:val="none"/>
        </w:rPr>
        <w:t>2015《消防安全标志　第一部分：标志》</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15630—1995</w:t>
      </w:r>
      <w:r>
        <w:rPr>
          <w:rFonts w:hint="eastAsia" w:ascii="宋体" w:hAnsi="宋体"/>
          <w:color w:val="auto"/>
          <w:kern w:val="2"/>
          <w:highlight w:val="none"/>
        </w:rPr>
        <w:t>《消防安全标志设置要求》</w:t>
      </w:r>
      <w:bookmarkStart w:id="630" w:name="_Toc446593379"/>
      <w:bookmarkStart w:id="631" w:name="_Toc23144"/>
      <w:bookmarkStart w:id="632" w:name="_Toc476303996"/>
      <w:bookmarkStart w:id="633" w:name="_Toc343236819"/>
      <w:bookmarkStart w:id="634" w:name="_Toc476303973"/>
      <w:bookmarkStart w:id="635" w:name="_Toc476304349"/>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 17945—2010《消防应急照明和疏散指示系统》</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GB 50016-2018《建筑设计防火规范（2018版）》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s="宋体"/>
          <w:color w:val="auto"/>
          <w:kern w:val="2"/>
          <w:highlight w:val="none"/>
        </w:rPr>
        <w:t>CJT 387-2012《城市轨道交通设备房标识》</w:t>
      </w:r>
    </w:p>
    <w:p>
      <w:pPr>
        <w:pStyle w:val="6"/>
        <w:rPr>
          <w:rFonts w:hint="eastAsia" w:ascii="宋体" w:hAnsi="宋体" w:eastAsia="宋体" w:cs="宋体"/>
          <w:b w:val="0"/>
          <w:bCs/>
          <w:color w:val="auto"/>
          <w:sz w:val="21"/>
          <w:highlight w:val="none"/>
          <w:lang w:eastAsia="zh-CN"/>
        </w:rPr>
      </w:pPr>
      <w:bookmarkStart w:id="636" w:name="_Toc75768669"/>
      <w:r>
        <w:rPr>
          <w:rFonts w:hint="eastAsia" w:ascii="宋体" w:hAnsi="宋体" w:eastAsia="宋体" w:cs="宋体"/>
          <w:b w:val="0"/>
          <w:bCs/>
          <w:color w:val="auto"/>
          <w:sz w:val="21"/>
          <w:highlight w:val="none"/>
        </w:rPr>
        <w:t>4.2.5 相关规程</w:t>
      </w:r>
      <w:r>
        <w:rPr>
          <w:rFonts w:hint="eastAsia" w:ascii="宋体" w:hAnsi="宋体" w:eastAsia="宋体" w:cs="宋体"/>
          <w:b w:val="0"/>
          <w:bCs/>
          <w:color w:val="auto"/>
          <w:sz w:val="21"/>
          <w:highlight w:val="none"/>
          <w:lang w:eastAsia="zh-CN"/>
        </w:rPr>
        <w:t>（公司内相关制度）</w:t>
      </w:r>
    </w:p>
    <w:p>
      <w:pPr>
        <w:ind w:left="707" w:leftChars="100" w:hanging="497" w:hangingChars="237"/>
        <w:rPr>
          <w:rFonts w:hint="eastAsia"/>
          <w:color w:val="auto"/>
          <w:kern w:val="2"/>
          <w:highlight w:val="none"/>
        </w:rPr>
      </w:pPr>
      <w:r>
        <w:rPr>
          <w:rFonts w:hint="eastAsia"/>
          <w:color w:val="auto"/>
          <w:kern w:val="2"/>
          <w:highlight w:val="none"/>
        </w:rPr>
        <w:t>《轨道交通VI手册》</w:t>
      </w:r>
    </w:p>
    <w:p>
      <w:pPr>
        <w:ind w:left="707" w:leftChars="100" w:hanging="497" w:hangingChars="237"/>
        <w:rPr>
          <w:rFonts w:hint="default"/>
          <w:color w:val="auto"/>
          <w:highlight w:val="none"/>
          <w:lang w:eastAsia="zh-CN"/>
        </w:rPr>
      </w:pPr>
      <w:r>
        <w:rPr>
          <w:rFonts w:hint="eastAsia"/>
          <w:color w:val="auto"/>
          <w:kern w:val="2"/>
          <w:highlight w:val="none"/>
        </w:rPr>
        <w:t>《南宁轨道交通线网线路识别色规划及标准化应用手册》</w:t>
      </w:r>
    </w:p>
    <w:p>
      <w:pPr>
        <w:pStyle w:val="6"/>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lang w:val="en-US" w:eastAsia="zh-CN"/>
        </w:rPr>
        <w:t>4.2.6</w:t>
      </w:r>
      <w:r>
        <w:rPr>
          <w:rFonts w:hint="eastAsia" w:ascii="宋体" w:hAnsi="宋体" w:eastAsia="宋体" w:cs="宋体"/>
          <w:b w:val="0"/>
          <w:bCs/>
          <w:color w:val="auto"/>
          <w:sz w:val="21"/>
          <w:highlight w:val="none"/>
        </w:rPr>
        <w:t>其他标准</w:t>
      </w:r>
      <w:bookmarkEnd w:id="636"/>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广西壮族自治区、南宁市有关规程、规定及要求，未尽部分应符合国家现行的有关标准和规范；且当上述标准的内容与其他文件或具体条款描述矛盾时，按较高要求执行。</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相关标准及本合同未作明确规定的内容，应参照企业及以上标准执行。</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项目所涉及的标识材料需同时符合相关消防和环保的标准要求。</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本项目现场产品的设计、制造、安装、安全至少满足上述标准、规范及相关引用标准和规范。如果有新的标准，则按照新的标准执行，投标方不能因此而要求增加任何费用。</w:t>
      </w:r>
    </w:p>
    <w:p>
      <w:pPr>
        <w:widowControl w:val="0"/>
        <w:spacing w:before="0" w:after="0" w:afterAutospacing="0"/>
        <w:ind w:left="0" w:right="0" w:firstLine="420" w:firstLineChars="200"/>
        <w:rPr>
          <w:color w:val="auto"/>
          <w:highlight w:val="none"/>
        </w:rPr>
      </w:pPr>
    </w:p>
    <w:p>
      <w:pPr>
        <w:pStyle w:val="5"/>
        <w:rPr>
          <w:rFonts w:hint="eastAsia" w:ascii="宋体" w:hAnsi="宋体" w:eastAsia="宋体" w:cs="宋体"/>
          <w:color w:val="auto"/>
          <w:sz w:val="21"/>
          <w:highlight w:val="none"/>
        </w:rPr>
      </w:pPr>
      <w:bookmarkStart w:id="637" w:name="_Toc75768671"/>
      <w:bookmarkStart w:id="638" w:name="_Toc16119"/>
      <w:bookmarkStart w:id="639" w:name="_Toc2873"/>
      <w:bookmarkStart w:id="640" w:name="_Toc14478"/>
      <w:bookmarkStart w:id="641" w:name="_Toc27789"/>
      <w:bookmarkStart w:id="642" w:name="_Toc31760"/>
      <w:bookmarkStart w:id="643" w:name="_Toc26028"/>
      <w:bookmarkStart w:id="644" w:name="_Toc15802"/>
      <w:bookmarkStart w:id="645" w:name="_Toc16650"/>
      <w:bookmarkStart w:id="646" w:name="_Toc20742"/>
      <w:bookmarkStart w:id="647" w:name="_Toc26103"/>
      <w:bookmarkStart w:id="648" w:name="_Toc471"/>
      <w:bookmarkStart w:id="649" w:name="_Toc5578"/>
      <w:bookmarkStart w:id="650" w:name="_Toc27197"/>
      <w:bookmarkStart w:id="651" w:name="_Toc17962"/>
      <w:bookmarkStart w:id="652" w:name="_Toc16150"/>
      <w:bookmarkStart w:id="653" w:name="_Toc27312"/>
      <w:r>
        <w:rPr>
          <w:rFonts w:hint="eastAsia" w:ascii="宋体" w:hAnsi="宋体" w:eastAsia="宋体" w:cs="宋体"/>
          <w:color w:val="auto"/>
          <w:sz w:val="21"/>
          <w:highlight w:val="none"/>
        </w:rPr>
        <w:t>4.3 运营导向标示标贴、安全标识产品</w:t>
      </w:r>
      <w:bookmarkEnd w:id="630"/>
      <w:bookmarkEnd w:id="631"/>
      <w:bookmarkEnd w:id="632"/>
      <w:bookmarkEnd w:id="633"/>
      <w:bookmarkEnd w:id="634"/>
      <w:bookmarkEnd w:id="635"/>
      <w:bookmarkStart w:id="654" w:name="_Toc343236820"/>
      <w:bookmarkStart w:id="655" w:name="_Toc446593380"/>
      <w:bookmarkStart w:id="656" w:name="_Toc21340"/>
      <w:r>
        <w:rPr>
          <w:rFonts w:hint="eastAsia" w:ascii="宋体" w:hAnsi="宋体" w:eastAsia="宋体" w:cs="宋体"/>
          <w:color w:val="auto"/>
          <w:sz w:val="21"/>
          <w:highlight w:val="none"/>
        </w:rPr>
        <w:t>材料技术性能总体要求</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bookmarkEnd w:id="654"/>
    <w:bookmarkEnd w:id="655"/>
    <w:bookmarkEnd w:id="656"/>
    <w:p>
      <w:pPr>
        <w:widowControl w:val="0"/>
        <w:spacing w:before="0" w:after="0" w:afterAutospacing="0"/>
        <w:ind w:left="0" w:right="0" w:firstLine="420" w:firstLineChars="200"/>
        <w:rPr>
          <w:rFonts w:ascii="宋体"/>
          <w:b w:val="0"/>
          <w:bCs/>
          <w:color w:val="auto"/>
          <w:kern w:val="2"/>
          <w:szCs w:val="22"/>
          <w:highlight w:val="none"/>
        </w:rPr>
      </w:pPr>
      <w:r>
        <w:rPr>
          <w:rFonts w:hint="eastAsia" w:ascii="宋体"/>
          <w:b w:val="0"/>
          <w:bCs/>
          <w:color w:val="auto"/>
          <w:kern w:val="2"/>
          <w:szCs w:val="22"/>
          <w:highlight w:val="none"/>
        </w:rPr>
        <w:t>（具体技术参数见附件1：运营导向标示标贴、安全标识采购项目技术需求及数量表）</w:t>
      </w:r>
    </w:p>
    <w:p>
      <w:pPr>
        <w:pStyle w:val="6"/>
        <w:rPr>
          <w:rFonts w:hint="eastAsia" w:ascii="宋体" w:hAnsi="宋体" w:cs="宋体"/>
          <w:b w:val="0"/>
          <w:bCs/>
          <w:color w:val="auto"/>
          <w:sz w:val="21"/>
          <w:highlight w:val="none"/>
        </w:rPr>
      </w:pPr>
      <w:r>
        <w:rPr>
          <w:rFonts w:hint="eastAsia" w:ascii="宋体" w:hAnsi="宋体" w:cs="宋体"/>
          <w:b w:val="0"/>
          <w:bCs/>
          <w:color w:val="auto"/>
          <w:sz w:val="21"/>
          <w:highlight w:val="none"/>
        </w:rPr>
        <w:t>4.3.1材料要求</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830"/>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20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材   料</w:t>
            </w:r>
          </w:p>
        </w:tc>
        <w:tc>
          <w:tcPr>
            <w:tcW w:w="2830"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要   求</w:t>
            </w:r>
          </w:p>
        </w:tc>
        <w:tc>
          <w:tcPr>
            <w:tcW w:w="4175"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不锈钢</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室内SUS304</w:t>
            </w:r>
            <w:r>
              <w:rPr>
                <w:rFonts w:hint="eastAsia" w:ascii="宋体" w:hAnsi="宋体"/>
                <w:color w:val="auto"/>
                <w:kern w:val="2"/>
                <w:highlight w:val="none"/>
              </w:rPr>
              <w:t>#</w:t>
            </w:r>
            <w:r>
              <w:rPr>
                <w:rFonts w:ascii="宋体" w:hAnsi="宋体"/>
                <w:color w:val="auto"/>
                <w:kern w:val="2"/>
                <w:highlight w:val="none"/>
              </w:rPr>
              <w:t>室</w:t>
            </w:r>
            <w:r>
              <w:rPr>
                <w:rFonts w:hint="eastAsia" w:ascii="宋体" w:hAnsi="宋体"/>
                <w:color w:val="auto"/>
                <w:kern w:val="2"/>
                <w:highlight w:val="none"/>
              </w:rPr>
              <w:t>外</w:t>
            </w:r>
            <w:r>
              <w:rPr>
                <w:rFonts w:ascii="宋体" w:hAnsi="宋体"/>
                <w:color w:val="auto"/>
                <w:kern w:val="2"/>
                <w:highlight w:val="none"/>
              </w:rPr>
              <w:t>SUS316</w:t>
            </w:r>
            <w:r>
              <w:rPr>
                <w:rFonts w:hint="eastAsia" w:ascii="宋体" w:hAnsi="宋体"/>
                <w:color w:val="auto"/>
                <w:kern w:val="2"/>
                <w:highlight w:val="none"/>
              </w:rPr>
              <w:t>#</w:t>
            </w:r>
            <w:r>
              <w:rPr>
                <w:rFonts w:ascii="宋体" w:hAnsi="宋体"/>
                <w:color w:val="auto"/>
                <w:kern w:val="2"/>
                <w:highlight w:val="none"/>
              </w:rPr>
              <w:t>表面拉丝处理</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具有良好的耐蚀性、耐热性、低温强度和机械性能</w:t>
            </w:r>
            <w:r>
              <w:rPr>
                <w:rFonts w:hint="eastAsia" w:ascii="宋体" w:hAnsi="宋体"/>
                <w:color w:val="auto"/>
                <w:kern w:val="2"/>
                <w:highlight w:val="none"/>
              </w:rPr>
              <w:t>，</w:t>
            </w:r>
            <w:r>
              <w:rPr>
                <w:rFonts w:ascii="宋体" w:hAnsi="宋体"/>
                <w:color w:val="auto"/>
                <w:kern w:val="2"/>
                <w:highlight w:val="none"/>
              </w:rPr>
              <w:t>冲压弯曲等热加工性好</w:t>
            </w:r>
            <w:r>
              <w:rPr>
                <w:rFonts w:hint="eastAsia" w:ascii="宋体" w:hAnsi="宋体"/>
                <w:color w:val="auto"/>
                <w:kern w:val="2"/>
                <w:highlight w:val="none"/>
              </w:rPr>
              <w:t>，</w:t>
            </w:r>
            <w:r>
              <w:rPr>
                <w:rFonts w:ascii="宋体" w:hAnsi="宋体"/>
                <w:color w:val="auto"/>
                <w:kern w:val="2"/>
                <w:highlight w:val="none"/>
              </w:rPr>
              <w:t>无热处理硬化现象</w:t>
            </w:r>
            <w:r>
              <w:rPr>
                <w:rFonts w:hint="eastAsia" w:ascii="宋体" w:hAnsi="宋体"/>
                <w:color w:val="auto"/>
                <w:kern w:val="2"/>
                <w:highlight w:val="none"/>
              </w:rPr>
              <w:t>，</w:t>
            </w:r>
            <w:r>
              <w:rPr>
                <w:rFonts w:ascii="宋体" w:hAnsi="宋体"/>
                <w:color w:val="auto"/>
                <w:kern w:val="2"/>
                <w:highlight w:val="none"/>
              </w:rPr>
              <w:t>无磁性。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铝板</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B</w:t>
            </w:r>
            <w:r>
              <w:rPr>
                <w:rFonts w:ascii="宋体" w:hAnsi="宋体"/>
                <w:color w:val="auto"/>
                <w:kern w:val="2"/>
                <w:highlight w:val="none"/>
              </w:rPr>
              <w:t>505</w:t>
            </w:r>
            <w:r>
              <w:rPr>
                <w:rFonts w:hint="eastAsia" w:ascii="宋体" w:hAnsi="宋体"/>
                <w:color w:val="auto"/>
                <w:kern w:val="2"/>
                <w:highlight w:val="none"/>
              </w:rPr>
              <w:t>2，</w:t>
            </w:r>
            <w:r>
              <w:rPr>
                <w:rFonts w:ascii="宋体" w:hAnsi="宋体"/>
                <w:color w:val="auto"/>
                <w:kern w:val="2"/>
                <w:highlight w:val="none"/>
              </w:rPr>
              <w:t>符合GB/T 3880.1-201</w:t>
            </w:r>
            <w:r>
              <w:rPr>
                <w:rFonts w:hint="eastAsia" w:ascii="宋体" w:hAnsi="宋体"/>
                <w:color w:val="auto"/>
                <w:kern w:val="2"/>
                <w:highlight w:val="none"/>
              </w:rPr>
              <w:t>2的</w:t>
            </w:r>
            <w:r>
              <w:rPr>
                <w:rFonts w:ascii="宋体" w:hAnsi="宋体"/>
                <w:color w:val="auto"/>
                <w:kern w:val="2"/>
                <w:highlight w:val="none"/>
              </w:rPr>
              <w:t>规定（</w:t>
            </w:r>
            <w:r>
              <w:rPr>
                <w:rFonts w:hint="eastAsia" w:ascii="宋体" w:hAnsi="宋体"/>
                <w:color w:val="auto"/>
                <w:kern w:val="2"/>
                <w:highlight w:val="none"/>
              </w:rPr>
              <w:t>技术需求及数量表</w:t>
            </w:r>
            <w:r>
              <w:rPr>
                <w:rFonts w:ascii="宋体" w:hAnsi="宋体"/>
                <w:color w:val="auto"/>
                <w:kern w:val="2"/>
                <w:highlight w:val="none"/>
              </w:rPr>
              <w:t>）</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耐腐蚀性</w:t>
            </w:r>
            <w:r>
              <w:rPr>
                <w:rFonts w:hint="eastAsia" w:ascii="宋体" w:hAnsi="宋体"/>
                <w:color w:val="auto"/>
                <w:kern w:val="2"/>
                <w:highlight w:val="none"/>
              </w:rPr>
              <w:t>能</w:t>
            </w:r>
            <w:r>
              <w:rPr>
                <w:rFonts w:ascii="宋体" w:hAnsi="宋体"/>
                <w:color w:val="auto"/>
                <w:kern w:val="2"/>
                <w:highlight w:val="none"/>
              </w:rPr>
              <w:t>高，良好的焊接性和导电性</w:t>
            </w:r>
            <w:r>
              <w:rPr>
                <w:rFonts w:hint="eastAsia" w:ascii="宋体" w:hAnsi="宋体"/>
                <w:color w:val="auto"/>
                <w:kern w:val="2"/>
                <w:highlight w:val="none"/>
              </w:rPr>
              <w:t>，</w:t>
            </w:r>
            <w:r>
              <w:rPr>
                <w:rFonts w:ascii="宋体" w:hAnsi="宋体"/>
                <w:color w:val="auto"/>
                <w:kern w:val="2"/>
                <w:highlight w:val="none"/>
              </w:rPr>
              <w:t>抗拉强度高，延伸率高</w:t>
            </w:r>
            <w:r>
              <w:rPr>
                <w:rFonts w:hint="eastAsia" w:ascii="宋体" w:hAnsi="宋体"/>
                <w:color w:val="auto"/>
                <w:kern w:val="2"/>
                <w:highlight w:val="none"/>
              </w:rPr>
              <w:t>，镁的含量为3~5%。</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PC（聚碳酸酯）板内衬材料</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采用</w:t>
            </w:r>
            <w:r>
              <w:rPr>
                <w:rFonts w:hint="eastAsia" w:ascii="宋体" w:hAnsi="宋体"/>
                <w:color w:val="auto"/>
                <w:kern w:val="2"/>
                <w:highlight w:val="none"/>
              </w:rPr>
              <w:t>燃烧性能</w:t>
            </w:r>
            <w:r>
              <w:rPr>
                <w:rFonts w:ascii="宋体" w:hAnsi="宋体"/>
                <w:color w:val="auto"/>
                <w:kern w:val="2"/>
                <w:highlight w:val="none"/>
              </w:rPr>
              <w:t>B—</w:t>
            </w:r>
            <w:r>
              <w:rPr>
                <w:rFonts w:hint="eastAsia" w:ascii="宋体" w:hAnsi="宋体"/>
                <w:color w:val="auto"/>
                <w:kern w:val="2"/>
                <w:highlight w:val="none"/>
              </w:rPr>
              <w:t>s2，d0.t1</w:t>
            </w:r>
            <w:r>
              <w:rPr>
                <w:rFonts w:ascii="宋体" w:hAnsi="宋体"/>
                <w:color w:val="auto"/>
                <w:kern w:val="2"/>
                <w:highlight w:val="none"/>
              </w:rPr>
              <w:t>级</w:t>
            </w:r>
            <w:r>
              <w:rPr>
                <w:rFonts w:hint="eastAsia" w:ascii="宋体" w:hAnsi="宋体"/>
                <w:color w:val="auto"/>
                <w:kern w:val="2"/>
                <w:highlight w:val="none"/>
              </w:rPr>
              <w:t>的国内外知名品牌原材料，3mm厚</w:t>
            </w:r>
            <w:r>
              <w:rPr>
                <w:rFonts w:ascii="宋体" w:hAnsi="宋体"/>
                <w:color w:val="auto"/>
                <w:kern w:val="2"/>
                <w:highlight w:val="none"/>
              </w:rPr>
              <w:t>透明</w:t>
            </w:r>
            <w:r>
              <w:rPr>
                <w:rFonts w:hint="eastAsia" w:ascii="宋体" w:hAnsi="宋体"/>
                <w:color w:val="auto"/>
                <w:kern w:val="2"/>
                <w:highlight w:val="none"/>
              </w:rPr>
              <w:t>板</w:t>
            </w:r>
            <w:r>
              <w:rPr>
                <w:rFonts w:ascii="宋体" w:hAnsi="宋体"/>
                <w:color w:val="auto"/>
                <w:kern w:val="2"/>
                <w:highlight w:val="none"/>
              </w:rPr>
              <w:t>透光率</w:t>
            </w:r>
            <w:r>
              <w:rPr>
                <w:rFonts w:hint="eastAsia" w:ascii="宋体" w:hAnsi="宋体"/>
                <w:color w:val="auto"/>
                <w:kern w:val="2"/>
                <w:highlight w:val="none"/>
              </w:rPr>
              <w:t>≥</w:t>
            </w:r>
            <w:r>
              <w:rPr>
                <w:rFonts w:ascii="宋体" w:hAnsi="宋体"/>
                <w:color w:val="auto"/>
                <w:kern w:val="2"/>
                <w:highlight w:val="none"/>
              </w:rPr>
              <w:t>88％</w:t>
            </w:r>
            <w:r>
              <w:rPr>
                <w:rFonts w:hint="eastAsia" w:ascii="宋体" w:hAnsi="宋体"/>
                <w:color w:val="auto"/>
                <w:kern w:val="2"/>
                <w:highlight w:val="none"/>
              </w:rPr>
              <w:t>，3mm厚</w:t>
            </w:r>
            <w:r>
              <w:rPr>
                <w:rFonts w:ascii="宋体" w:hAnsi="宋体"/>
                <w:color w:val="auto"/>
                <w:kern w:val="2"/>
                <w:highlight w:val="none"/>
              </w:rPr>
              <w:t>乳白</w:t>
            </w:r>
            <w:r>
              <w:rPr>
                <w:rFonts w:hint="eastAsia" w:ascii="宋体" w:hAnsi="宋体"/>
                <w:color w:val="auto"/>
                <w:kern w:val="2"/>
                <w:highlight w:val="none"/>
              </w:rPr>
              <w:t>板</w:t>
            </w:r>
            <w:r>
              <w:rPr>
                <w:rFonts w:ascii="宋体" w:hAnsi="宋体"/>
                <w:color w:val="auto"/>
                <w:kern w:val="2"/>
                <w:highlight w:val="none"/>
              </w:rPr>
              <w:t>透光率不低于</w:t>
            </w:r>
            <w:r>
              <w:rPr>
                <w:rFonts w:hint="eastAsia" w:ascii="宋体" w:hAnsi="宋体"/>
                <w:color w:val="auto"/>
                <w:kern w:val="2"/>
                <w:highlight w:val="none"/>
              </w:rPr>
              <w:t>50</w:t>
            </w:r>
            <w:r>
              <w:rPr>
                <w:rFonts w:ascii="宋体" w:hAnsi="宋体"/>
                <w:color w:val="auto"/>
                <w:kern w:val="2"/>
                <w:highlight w:val="none"/>
              </w:rPr>
              <w:t>％</w:t>
            </w:r>
            <w:r>
              <w:rPr>
                <w:rFonts w:hint="eastAsia" w:ascii="宋体" w:hAnsi="宋体"/>
                <w:color w:val="auto"/>
                <w:kern w:val="2"/>
                <w:highlight w:val="none"/>
              </w:rPr>
              <w:t>，正常使用状态下3.2mm厚附有U.V保护层PC板3年内黄变指数（△Y.I.）不超过2，透光率损失不超过4%，热变形温度≥130℃，抗拉强度≥55MPa，室外及半室外安装点位上标识产品所使用的PC板须带U.V防护层。</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透光率高，应用范围广、耐候性好，抗冲击韧性好，无火滴、无毒气，施工安装简便，不易断裂，而且可直接冷弯，施工简便</w:t>
            </w:r>
            <w:r>
              <w:rPr>
                <w:rFonts w:hint="eastAsia" w:ascii="宋体" w:hAnsi="宋体"/>
                <w:color w:val="auto"/>
                <w:kern w:val="2"/>
                <w:highlight w:val="none"/>
              </w:rPr>
              <w:t>，</w:t>
            </w:r>
            <w:r>
              <w:rPr>
                <w:rFonts w:ascii="宋体" w:hAnsi="宋体"/>
                <w:color w:val="auto"/>
                <w:kern w:val="2"/>
                <w:highlight w:val="none"/>
              </w:rPr>
              <w:t>加工性能良好</w:t>
            </w:r>
            <w:r>
              <w:rPr>
                <w:rFonts w:hint="eastAsia" w:ascii="宋体" w:hAnsi="宋体"/>
                <w:color w:val="auto"/>
                <w:kern w:val="2"/>
                <w:highlight w:val="none"/>
              </w:rPr>
              <w:t>，装配时，有UV防护层的面需朝向光源</w:t>
            </w:r>
            <w:r>
              <w:rPr>
                <w:rFonts w:ascii="宋体" w:hAnsi="宋体"/>
                <w:color w:val="auto"/>
                <w:kern w:val="2"/>
                <w:highlight w:val="none"/>
              </w:rPr>
              <w:t>。</w:t>
            </w:r>
            <w:r>
              <w:rPr>
                <w:rFonts w:hint="eastAsia" w:ascii="宋体" w:hAnsi="宋体"/>
                <w:color w:val="auto"/>
                <w:kern w:val="2"/>
                <w:highlight w:val="none"/>
              </w:rPr>
              <w:t>（透光率的测定检验报告在验收阶段提供）。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地贴膜</w:t>
            </w:r>
          </w:p>
          <w:p>
            <w:pPr>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（背胶）</w:t>
            </w:r>
          </w:p>
        </w:tc>
        <w:tc>
          <w:tcPr>
            <w:tcW w:w="283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olor w:val="auto"/>
                <w:kern w:val="2"/>
                <w:highlight w:val="none"/>
              </w:rPr>
            </w:pPr>
            <w:r>
              <w:rPr>
                <w:rFonts w:ascii="宋体" w:hAnsi="宋体"/>
                <w:color w:val="auto"/>
                <w:kern w:val="2"/>
                <w:highlight w:val="none"/>
              </w:rPr>
              <w:t>表面保护膜</w:t>
            </w:r>
            <w:r>
              <w:rPr>
                <w:rFonts w:hint="eastAsia" w:ascii="宋体" w:hAnsi="宋体"/>
                <w:color w:val="auto"/>
                <w:kern w:val="2"/>
                <w:highlight w:val="none"/>
              </w:rPr>
              <w:t>；</w:t>
            </w:r>
            <w:r>
              <w:rPr>
                <w:rFonts w:ascii="宋体" w:hAnsi="宋体"/>
                <w:color w:val="auto"/>
                <w:kern w:val="2"/>
                <w:highlight w:val="none"/>
              </w:rPr>
              <w:t>1440DPI高精度喷绘</w:t>
            </w:r>
            <w:r>
              <w:rPr>
                <w:rFonts w:hint="eastAsia" w:ascii="宋体" w:hAnsi="宋体"/>
                <w:color w:val="auto"/>
                <w:kern w:val="2"/>
                <w:highlight w:val="none"/>
              </w:rPr>
              <w:t>；质保</w:t>
            </w:r>
            <w:r>
              <w:rPr>
                <w:rFonts w:ascii="宋体" w:hAnsi="宋体"/>
                <w:color w:val="auto"/>
                <w:kern w:val="2"/>
                <w:highlight w:val="none"/>
              </w:rPr>
              <w:t>期内画面不起泡、不露白底、不褪色、不翘边</w:t>
            </w:r>
            <w:r>
              <w:rPr>
                <w:rFonts w:hint="eastAsia" w:ascii="宋体" w:hAnsi="宋体"/>
                <w:color w:val="auto"/>
                <w:kern w:val="2"/>
                <w:highlight w:val="none"/>
              </w:rPr>
              <w:t>；</w:t>
            </w:r>
          </w:p>
          <w:p>
            <w:p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参考品牌：贝迪、3M、麦可贴</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一、粘贴类地贴膜；贴附于人流多的客流大站地面。</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二、标识符合RoHS环保要求，不含卤素；</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三、工作温度能达到-40℃至125℃，符合VTM-0阻燃等级；</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四、地贴膜类标识产品所使用的膜材料须进行第三方防滑性试验；</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五、在验收阶段须提供以下任一条款证明材料：</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1、RoHS检测报告、对应的阻燃等级证明、防滑性试验报告认证文件复印件以及与制造商供货意向证明；</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2、RoHS检测报告、对应的阻燃等级证明、防滑性试验报告认证文件复印件以及与制造商历史交易证明；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PET聚酯膜材料（膜材料）</w:t>
            </w:r>
          </w:p>
        </w:tc>
        <w:tc>
          <w:tcPr>
            <w:tcW w:w="2830" w:type="dxa"/>
            <w:tcBorders>
              <w:top w:val="single" w:color="auto" w:sz="4" w:space="0"/>
              <w:left w:val="nil"/>
              <w:bottom w:val="single" w:color="auto" w:sz="4" w:space="0"/>
              <w:right w:val="single" w:color="auto" w:sz="4" w:space="0"/>
            </w:tcBorders>
            <w:vAlign w:val="center"/>
          </w:tcPr>
          <w:p>
            <w:pPr>
              <w:widowControl w:val="0"/>
              <w:numPr>
                <w:ilvl w:val="0"/>
                <w:numId w:val="9"/>
              </w:num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铝板材质（室外及半室外安装点位）类标识产品所使用的PET聚酯膜材料须采用防紫外线耐久PET聚酯膜材料（不接受复合覆膜材料），材料须符合环保标准；</w:t>
            </w:r>
          </w:p>
          <w:p>
            <w:pPr>
              <w:widowControl w:val="0"/>
              <w:numPr>
                <w:ilvl w:val="0"/>
                <w:numId w:val="9"/>
              </w:num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亚克力材质标识产品（室内安装点位）所使用的PET聚酯膜材料须采用阻燃性聚酯PET膜材料（不接受复合材料）；</w:t>
            </w:r>
          </w:p>
          <w:p>
            <w:pPr>
              <w:widowControl w:val="0"/>
              <w:numPr>
                <w:ilvl w:val="0"/>
                <w:numId w:val="9"/>
              </w:num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参考品牌：贝迪、3M、麦可贴</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一、防紫外线耐久PET聚酯膜材料要求须符合以下技术参数要求：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铝板材质标识产品（室外及半室外安装点位）表面PET膜材料须做 GB/T15596-1995 、ASTM-G155等国内外认可抗紫外线测试；</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二、阻燃性聚酯PET膜材料要求须符合以下技术参数要求：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亚克力材质标识产品（室内安装点位）所使用的PET聚酯膜材料工作温度能达到-40℃至125℃，符合VTM-0阻燃等级；</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三、为保证PET膜材料产品适量、不易翘边翘角，需通过GB/T2792、ASTM D1000等国内外认可的粘性剥离测试，测试结果贴附不锈钢24小时候剥离力需大于74N/100mm；</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四、材料综合性能（设计位置、样式、名称字体）须符合国标GB2894 -2008安全使用要求。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五、材料须符合环境保护RoHS认证标准的无氯的环保要求；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六、在验收阶段须提供以下任一证明材料：</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1、RoHS检测报告、阻燃性聚酯PET膜材料对应的阻燃等级证明、抗紫外线测试、粘性剥离测试认证文件复印件以及与制造商供货意向证明；</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2、RoHS检测报告、阻燃性聚酯PET膜材料对应的阻燃等级证明、抗紫外线测试、粘性剥离测试认证文件复印件以及与制造商历史交易证明；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亚克力板</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olor w:val="auto"/>
                <w:kern w:val="2"/>
                <w:highlight w:val="none"/>
              </w:rPr>
            </w:pPr>
            <w:r>
              <w:rPr>
                <w:rFonts w:ascii="宋体" w:hAnsi="宋体"/>
                <w:color w:val="auto"/>
                <w:kern w:val="2"/>
                <w:highlight w:val="none"/>
              </w:rPr>
              <w:t>1mm -3mm厚</w:t>
            </w:r>
            <w:r>
              <w:rPr>
                <w:rFonts w:hint="eastAsia" w:ascii="宋体" w:hAnsi="宋体"/>
                <w:color w:val="auto"/>
                <w:kern w:val="2"/>
                <w:highlight w:val="none"/>
              </w:rPr>
              <w:t>;</w:t>
            </w:r>
            <w:r>
              <w:rPr>
                <w:rFonts w:ascii="宋体" w:hAnsi="宋体"/>
                <w:color w:val="auto"/>
                <w:kern w:val="2"/>
                <w:highlight w:val="none"/>
              </w:rPr>
              <w:t>表面保护膜</w:t>
            </w:r>
            <w:r>
              <w:rPr>
                <w:rFonts w:hint="eastAsia" w:ascii="宋体" w:hAnsi="宋体"/>
                <w:color w:val="auto"/>
                <w:kern w:val="2"/>
                <w:highlight w:val="none"/>
              </w:rPr>
              <w:t>;</w:t>
            </w:r>
            <w:r>
              <w:rPr>
                <w:rFonts w:ascii="宋体" w:hAnsi="宋体"/>
                <w:color w:val="auto"/>
                <w:kern w:val="2"/>
                <w:highlight w:val="none"/>
              </w:rPr>
              <w:t>丝印</w:t>
            </w:r>
            <w:r>
              <w:rPr>
                <w:rFonts w:hint="eastAsia" w:ascii="宋体" w:hAnsi="宋体"/>
                <w:color w:val="auto"/>
                <w:kern w:val="2"/>
                <w:highlight w:val="none"/>
              </w:rPr>
              <w:t>;</w:t>
            </w:r>
            <w:r>
              <w:rPr>
                <w:rFonts w:ascii="宋体" w:hAnsi="宋体"/>
                <w:color w:val="auto"/>
                <w:kern w:val="2"/>
                <w:highlight w:val="none"/>
              </w:rPr>
              <w:t xml:space="preserve"> 3年以上内画面不褪色、不脱落，板材不变形</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标识牌</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采用密封整体结构，在正常使用过程中不变形，现场操作不得因构件磨损产生阻碍。与吊顶、墙面、地面的连接，要求保证结构强度，安全可靠。</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bl>
    <w:p>
      <w:pPr>
        <w:widowControl w:val="0"/>
        <w:spacing w:before="0" w:after="0" w:afterAutospacing="0" w:line="240" w:lineRule="auto"/>
        <w:ind w:left="0" w:right="0" w:firstLine="0"/>
        <w:rPr>
          <w:rFonts w:ascii="宋体"/>
          <w:b/>
          <w:color w:val="auto"/>
          <w:kern w:val="2"/>
          <w:szCs w:val="22"/>
          <w:highlight w:val="none"/>
        </w:rPr>
      </w:pPr>
    </w:p>
    <w:p>
      <w:pPr>
        <w:pStyle w:val="6"/>
        <w:rPr>
          <w:rFonts w:hint="eastAsia" w:ascii="宋体" w:hAnsi="宋体" w:cs="宋体"/>
          <w:b w:val="0"/>
          <w:bCs/>
          <w:color w:val="auto"/>
          <w:sz w:val="21"/>
          <w:highlight w:val="none"/>
        </w:rPr>
      </w:pPr>
      <w:r>
        <w:rPr>
          <w:rFonts w:hint="eastAsia" w:ascii="宋体" w:hAnsi="宋体" w:cs="宋体"/>
          <w:b w:val="0"/>
          <w:bCs/>
          <w:color w:val="auto"/>
          <w:sz w:val="21"/>
          <w:highlight w:val="none"/>
        </w:rPr>
        <w:t>4.3.2技术要求</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不锈钢表面</w:t>
            </w:r>
            <w:r>
              <w:rPr>
                <w:rFonts w:hint="eastAsia" w:ascii="宋体" w:hAnsi="宋体"/>
                <w:color w:val="auto"/>
                <w:kern w:val="2"/>
                <w:highlight w:val="none"/>
              </w:rPr>
              <w:t>涂层</w:t>
            </w:r>
          </w:p>
        </w:tc>
        <w:tc>
          <w:tcPr>
            <w:tcW w:w="7011" w:type="dxa"/>
            <w:tcBorders>
              <w:top w:val="single" w:color="auto" w:sz="4" w:space="0"/>
              <w:left w:val="nil"/>
              <w:bottom w:val="single" w:color="auto" w:sz="4" w:space="0"/>
              <w:right w:val="single" w:color="auto" w:sz="4" w:space="0"/>
            </w:tcBorders>
            <w:shd w:val="clear" w:color="auto" w:fill="FFFFFF"/>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除特别指明外，非本色部分采用无机防火不黏涂层处理</w:t>
            </w:r>
            <w:r>
              <w:rPr>
                <w:color w:val="auto"/>
                <w:kern w:val="2"/>
                <w:highlight w:val="none"/>
              </w:rPr>
              <w:t>，表面涂层厚度为</w:t>
            </w:r>
            <w:r>
              <w:rPr>
                <w:rFonts w:hint="eastAsia" w:ascii="宋体" w:hAnsi="宋体"/>
                <w:color w:val="auto"/>
                <w:kern w:val="2"/>
                <w:highlight w:val="none"/>
              </w:rPr>
              <w:t>25</w:t>
            </w:r>
            <w:r>
              <w:rPr>
                <w:color w:val="auto"/>
                <w:kern w:val="2"/>
                <w:highlight w:val="none"/>
              </w:rPr>
              <w:t>～</w:t>
            </w:r>
            <w:r>
              <w:rPr>
                <w:rFonts w:hint="eastAsia" w:ascii="宋体" w:hAnsi="宋体"/>
                <w:color w:val="auto"/>
                <w:kern w:val="2"/>
                <w:highlight w:val="none"/>
              </w:rPr>
              <w:t>45</w:t>
            </w:r>
            <w:r>
              <w:rPr>
                <w:color w:val="auto"/>
                <w:kern w:val="2"/>
                <w:highlight w:val="none"/>
              </w:rPr>
              <w:t>µm</w:t>
            </w:r>
            <w:r>
              <w:rPr>
                <w:rFonts w:ascii="宋体" w:hAnsi="宋体"/>
                <w:color w:val="auto"/>
                <w:kern w:val="2"/>
                <w:highlight w:val="none"/>
              </w:rPr>
              <w:t>。要求涂层平滑、均匀，无皱纹、流痕、鼓泡、气泡、脱落等缺陷。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铝型材、铝板表面处理</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外</w:t>
            </w:r>
            <w:r>
              <w:rPr>
                <w:color w:val="auto"/>
                <w:kern w:val="2"/>
                <w:highlight w:val="none"/>
              </w:rPr>
              <w:t>表面</w:t>
            </w:r>
            <w:r>
              <w:rPr>
                <w:rFonts w:hint="eastAsia" w:ascii="宋体" w:hAnsi="宋体"/>
                <w:color w:val="auto"/>
                <w:kern w:val="2"/>
                <w:highlight w:val="none"/>
              </w:rPr>
              <w:t>无机防火不黏</w:t>
            </w:r>
            <w:r>
              <w:rPr>
                <w:color w:val="auto"/>
                <w:kern w:val="2"/>
                <w:highlight w:val="none"/>
              </w:rPr>
              <w:t>涂层</w:t>
            </w:r>
            <w:r>
              <w:rPr>
                <w:rFonts w:hint="eastAsia" w:ascii="宋体" w:hAnsi="宋体"/>
                <w:color w:val="auto"/>
                <w:kern w:val="2"/>
                <w:highlight w:val="none"/>
              </w:rPr>
              <w:t>处理，</w:t>
            </w:r>
            <w:r>
              <w:rPr>
                <w:color w:val="auto"/>
                <w:kern w:val="2"/>
                <w:highlight w:val="none"/>
              </w:rPr>
              <w:t>厚度为</w:t>
            </w:r>
            <w:r>
              <w:rPr>
                <w:rFonts w:hint="eastAsia" w:ascii="宋体" w:hAnsi="宋体"/>
                <w:color w:val="auto"/>
                <w:kern w:val="2"/>
                <w:highlight w:val="none"/>
              </w:rPr>
              <w:t>25</w:t>
            </w:r>
            <w:r>
              <w:rPr>
                <w:color w:val="auto"/>
                <w:kern w:val="2"/>
                <w:highlight w:val="none"/>
              </w:rPr>
              <w:t>～</w:t>
            </w:r>
            <w:r>
              <w:rPr>
                <w:rFonts w:hint="eastAsia" w:ascii="宋体" w:hAnsi="宋体"/>
                <w:color w:val="auto"/>
                <w:kern w:val="2"/>
                <w:highlight w:val="none"/>
              </w:rPr>
              <w:t>45</w:t>
            </w:r>
            <w:r>
              <w:rPr>
                <w:color w:val="auto"/>
                <w:kern w:val="2"/>
                <w:highlight w:val="none"/>
              </w:rPr>
              <w:t>µm</w:t>
            </w:r>
            <w:r>
              <w:rPr>
                <w:rFonts w:ascii="宋体" w:hAnsi="宋体"/>
                <w:color w:val="auto"/>
                <w:kern w:val="2"/>
                <w:highlight w:val="none"/>
              </w:rPr>
              <w:t>，要求涂层平滑、均匀，无皱纹、流痕、鼓泡、气泡、脱落等缺陷。颜色和色差要求</w:t>
            </w:r>
            <w:r>
              <w:rPr>
                <w:color w:val="auto"/>
                <w:kern w:val="2"/>
                <w:highlight w:val="none"/>
              </w:rPr>
              <w:t>ΔE</w:t>
            </w:r>
            <w:r>
              <w:rPr>
                <w:color w:val="auto"/>
                <w:kern w:val="2"/>
                <w:highlight w:val="none"/>
                <w:vertAlign w:val="subscript"/>
              </w:rPr>
              <w:t xml:space="preserve"> a</w:t>
            </w:r>
            <w:r>
              <w:rPr>
                <w:rFonts w:hint="eastAsia" w:ascii="宋体" w:hAnsi="宋体"/>
                <w:color w:val="auto"/>
                <w:kern w:val="2"/>
                <w:highlight w:val="none"/>
                <w:vertAlign w:val="subscript"/>
              </w:rPr>
              <w:t>×</w:t>
            </w:r>
            <w:r>
              <w:rPr>
                <w:color w:val="auto"/>
                <w:kern w:val="2"/>
                <w:highlight w:val="none"/>
                <w:vertAlign w:val="subscript"/>
              </w:rPr>
              <w:t>b</w:t>
            </w:r>
            <w:r>
              <w:rPr>
                <w:rFonts w:hint="eastAsia" w:ascii="宋体" w:hAnsi="宋体"/>
                <w:color w:val="auto"/>
                <w:kern w:val="2"/>
                <w:highlight w:val="none"/>
              </w:rPr>
              <w:t>≤</w:t>
            </w:r>
            <w:r>
              <w:rPr>
                <w:color w:val="auto"/>
                <w:kern w:val="2"/>
                <w:highlight w:val="none"/>
              </w:rPr>
              <w:t>1.5</w:t>
            </w:r>
            <w:r>
              <w:rPr>
                <w:rFonts w:ascii="宋体" w:hAnsi="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涂饰</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外部可见金属表面采用无机防火阻燃不黏涂层处理，涂层厚度25～45微米。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rFonts w:hint="eastAsia" w:ascii="宋体" w:hAnsi="宋体"/>
                <w:color w:val="auto"/>
                <w:kern w:val="2"/>
                <w:highlight w:val="none"/>
              </w:rPr>
              <w:t>标识牌面板</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采用彩色丝网印刷部分时，必须使用合适的丝印机</w:t>
            </w:r>
            <w:r>
              <w:rPr>
                <w:rFonts w:hint="eastAsia" w:ascii="宋体" w:hAnsi="宋体"/>
                <w:color w:val="auto"/>
                <w:kern w:val="2"/>
                <w:highlight w:val="none"/>
              </w:rPr>
              <w:t>和油墨</w:t>
            </w:r>
            <w:r>
              <w:rPr>
                <w:color w:val="auto"/>
                <w:kern w:val="2"/>
                <w:highlight w:val="none"/>
              </w:rPr>
              <w:t>，以保证</w:t>
            </w:r>
            <w:r>
              <w:rPr>
                <w:rFonts w:hint="eastAsia" w:ascii="宋体" w:hAnsi="宋体"/>
                <w:color w:val="auto"/>
                <w:kern w:val="2"/>
                <w:highlight w:val="none"/>
              </w:rPr>
              <w:t>可靠附着及抗</w:t>
            </w:r>
            <w:r>
              <w:rPr>
                <w:rFonts w:hint="eastAsia" w:ascii="宋体" w:hAnsi="宋体"/>
                <w:color w:val="auto"/>
                <w:kern w:val="2"/>
                <w:highlight w:val="none"/>
                <w:lang w:eastAsia="zh-CN"/>
              </w:rPr>
              <w:t>褪色</w:t>
            </w:r>
            <w:r>
              <w:rPr>
                <w:rFonts w:hint="eastAsia" w:ascii="宋体" w:hAnsi="宋体"/>
                <w:color w:val="auto"/>
                <w:kern w:val="2"/>
                <w:highlight w:val="none"/>
              </w:rPr>
              <w:t>的</w:t>
            </w:r>
            <w:r>
              <w:rPr>
                <w:color w:val="auto"/>
                <w:kern w:val="2"/>
                <w:highlight w:val="none"/>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防锈</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熔融镀锌（HDZ55</w:t>
            </w:r>
            <w:r>
              <w:rPr>
                <w:rFonts w:ascii="宋体" w:hAnsi="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rFonts w:hint="eastAsia" w:ascii="宋体" w:hAnsi="宋体"/>
                <w:color w:val="auto"/>
                <w:kern w:val="2"/>
                <w:highlight w:val="none"/>
              </w:rPr>
              <w:t>站外标识产品表面涂层</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需采用无机不黏涂层处理，以达到优异的不粘效果，确保各类小广告无法涂写和张贴上去。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标识牌配件要求</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吊挂件外形要平整、棱角清晰，切口无毛刺和变形。镀锌层</w:t>
            </w:r>
            <w:r>
              <w:rPr>
                <w:rFonts w:hint="eastAsia" w:ascii="宋体" w:hAnsi="宋体"/>
                <w:color w:val="auto"/>
                <w:kern w:val="2"/>
                <w:highlight w:val="none"/>
              </w:rPr>
              <w:t>没</w:t>
            </w:r>
            <w:r>
              <w:rPr>
                <w:color w:val="auto"/>
                <w:kern w:val="2"/>
                <w:highlight w:val="none"/>
              </w:rPr>
              <w:t>有起皮、起瘤、脱落、腐蚀、损伤黑斑、麻点等缺陷。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标识</w:t>
            </w:r>
            <w:r>
              <w:rPr>
                <w:rFonts w:hint="eastAsia" w:ascii="宋体" w:hAnsi="宋体"/>
                <w:color w:val="auto"/>
                <w:kern w:val="2"/>
                <w:highlight w:val="none"/>
              </w:rPr>
              <w:t>产品</w:t>
            </w:r>
            <w:r>
              <w:rPr>
                <w:color w:val="auto"/>
                <w:kern w:val="2"/>
                <w:highlight w:val="none"/>
              </w:rPr>
              <w:t>内部</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根据需要设置增光膜、反光膜、匀光膜。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彩色丝印</w:t>
            </w:r>
          </w:p>
        </w:tc>
        <w:tc>
          <w:tcPr>
            <w:tcW w:w="7011" w:type="dxa"/>
            <w:tcBorders>
              <w:top w:val="single" w:color="auto" w:sz="4" w:space="0"/>
              <w:left w:val="nil"/>
              <w:bottom w:val="single" w:color="auto" w:sz="4" w:space="0"/>
              <w:right w:val="single" w:color="auto" w:sz="4" w:space="0"/>
            </w:tcBorders>
            <w:shd w:val="clear" w:color="auto" w:fill="FFFFFF"/>
          </w:tcPr>
          <w:p>
            <w:pPr>
              <w:widowControl w:val="0"/>
              <w:spacing w:before="0" w:after="0" w:afterAutospacing="0" w:line="240" w:lineRule="auto"/>
              <w:ind w:left="0" w:right="0" w:firstLine="0"/>
              <w:rPr>
                <w:color w:val="auto"/>
                <w:kern w:val="2"/>
                <w:highlight w:val="none"/>
              </w:rPr>
            </w:pPr>
            <w:r>
              <w:rPr>
                <w:color w:val="auto"/>
                <w:kern w:val="2"/>
                <w:highlight w:val="none"/>
              </w:rPr>
              <w:t>油墨具有耐久性及耐化学品性；色彩鲜艳准确，附着率强；涂层厚度均匀，无缺陷。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燃烧性能</w:t>
            </w:r>
          </w:p>
        </w:tc>
        <w:tc>
          <w:tcPr>
            <w:tcW w:w="7011" w:type="dxa"/>
            <w:tcBorders>
              <w:top w:val="single" w:color="auto" w:sz="4" w:space="0"/>
              <w:left w:val="nil"/>
              <w:bottom w:val="single" w:color="auto" w:sz="4" w:space="0"/>
              <w:right w:val="single" w:color="auto" w:sz="4" w:space="0"/>
            </w:tcBorders>
            <w:shd w:val="clear" w:color="auto" w:fill="FFFFFF"/>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阻燃性聚酯标识，网纹丙烯酸背胶，粘附能力好；底纸，背胶网纹避免气泡；符合RoHS环保要求，不含</w:t>
            </w:r>
            <w:r>
              <w:rPr>
                <w:rFonts w:hint="eastAsia" w:ascii="宋体" w:hAnsi="宋体"/>
                <w:color w:val="auto"/>
                <w:kern w:val="2"/>
                <w:highlight w:val="none"/>
                <w:lang w:eastAsia="zh-CN"/>
              </w:rPr>
              <w:t>有害物质</w:t>
            </w:r>
            <w:r>
              <w:rPr>
                <w:rFonts w:hint="eastAsia" w:ascii="宋体" w:hAnsi="宋体"/>
                <w:color w:val="auto"/>
                <w:kern w:val="2"/>
                <w:highlight w:val="none"/>
              </w:rPr>
              <w:t>，在验收阶段须提供RoHS相关认证文件复印件。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绝缘材料及外包材料</w:t>
            </w:r>
          </w:p>
        </w:tc>
        <w:tc>
          <w:tcPr>
            <w:tcW w:w="7011"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采用国家优质绝缘材料，低烟、低毒、防火花、阻燃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投标时需提供样品</w:t>
            </w:r>
          </w:p>
        </w:tc>
        <w:tc>
          <w:tcPr>
            <w:tcW w:w="7011" w:type="dxa"/>
            <w:tcBorders>
              <w:top w:val="single" w:color="auto" w:sz="4" w:space="0"/>
              <w:left w:val="nil"/>
              <w:bottom w:val="single" w:color="auto" w:sz="4" w:space="0"/>
              <w:right w:val="single" w:color="auto" w:sz="4" w:space="0"/>
            </w:tcBorders>
            <w:shd w:val="clear" w:color="auto" w:fill="FFFFFF"/>
            <w:vAlign w:val="center"/>
          </w:tcPr>
          <w:p>
            <w:pPr>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①样品规格：按需求清单表格PET聚酯膜材料（膜材料）材质项号5“画布（出入口周边信息）”、</w:t>
            </w:r>
            <w:r>
              <w:rPr>
                <w:rFonts w:hint="eastAsia" w:ascii="宋体" w:hAnsi="宋体"/>
                <w:color w:val="auto"/>
                <w:kern w:val="2"/>
                <w:highlight w:val="none"/>
                <w:lang w:bidi="ar"/>
              </w:rPr>
              <w:t>地贴膜</w:t>
            </w:r>
            <w:r>
              <w:rPr>
                <w:rFonts w:hint="eastAsia" w:ascii="宋体" w:hAnsi="宋体"/>
                <w:color w:val="auto"/>
                <w:kern w:val="2"/>
                <w:highlight w:val="none"/>
                <w:lang w:eastAsia="zh-CN" w:bidi="ar"/>
              </w:rPr>
              <w:t>材质</w:t>
            </w:r>
            <w:r>
              <w:rPr>
                <w:rFonts w:hint="eastAsia" w:ascii="宋体" w:hAnsi="宋体"/>
                <w:color w:val="auto"/>
                <w:kern w:val="2"/>
                <w:highlight w:val="none"/>
              </w:rPr>
              <w:t>项号</w:t>
            </w:r>
            <w:r>
              <w:rPr>
                <w:rFonts w:hint="eastAsia" w:ascii="宋体" w:hAnsi="宋体"/>
                <w:color w:val="auto"/>
                <w:kern w:val="2"/>
                <w:highlight w:val="none"/>
                <w:lang w:val="en-US" w:eastAsia="zh-CN"/>
              </w:rPr>
              <w:t>20</w:t>
            </w:r>
            <w:r>
              <w:rPr>
                <w:rFonts w:hint="eastAsia" w:ascii="宋体" w:hAnsi="宋体"/>
                <w:color w:val="auto"/>
                <w:kern w:val="2"/>
                <w:highlight w:val="none"/>
              </w:rPr>
              <w:t>“安检候检区”、</w:t>
            </w:r>
            <w:r>
              <w:rPr>
                <w:rFonts w:hint="eastAsia" w:ascii="宋体" w:hAnsi="宋体"/>
                <w:color w:val="auto"/>
                <w:kern w:val="2"/>
                <w:highlight w:val="none"/>
                <w:lang w:bidi="ar"/>
              </w:rPr>
              <w:t>地贴膜</w:t>
            </w:r>
            <w:r>
              <w:rPr>
                <w:rFonts w:hint="eastAsia" w:ascii="宋体" w:hAnsi="宋体"/>
                <w:color w:val="auto"/>
                <w:kern w:val="2"/>
                <w:highlight w:val="none"/>
              </w:rPr>
              <w:t>材质项号</w:t>
            </w:r>
            <w:r>
              <w:rPr>
                <w:rFonts w:hint="eastAsia" w:ascii="宋体" w:hAnsi="宋体"/>
                <w:color w:val="auto"/>
                <w:kern w:val="2"/>
                <w:highlight w:val="none"/>
                <w:lang w:val="en-US" w:eastAsia="zh-CN"/>
              </w:rPr>
              <w:t>27</w:t>
            </w:r>
            <w:r>
              <w:rPr>
                <w:rFonts w:hint="eastAsia" w:ascii="宋体" w:hAnsi="宋体"/>
                <w:color w:val="auto"/>
                <w:kern w:val="2"/>
                <w:highlight w:val="none"/>
              </w:rPr>
              <w:t>“换乘类地贴”、</w:t>
            </w:r>
            <w:r>
              <w:rPr>
                <w:rFonts w:hint="eastAsia" w:ascii="宋体" w:hAnsi="宋体"/>
                <w:color w:val="auto"/>
                <w:kern w:val="2"/>
                <w:highlight w:val="none"/>
                <w:lang w:bidi="ar"/>
              </w:rPr>
              <w:t>地贴膜</w:t>
            </w:r>
            <w:r>
              <w:rPr>
                <w:rFonts w:hint="eastAsia" w:ascii="宋体" w:hAnsi="宋体"/>
                <w:color w:val="auto"/>
                <w:kern w:val="2"/>
                <w:highlight w:val="none"/>
              </w:rPr>
              <w:t>材质项号</w:t>
            </w:r>
            <w:r>
              <w:rPr>
                <w:rFonts w:hint="eastAsia" w:ascii="宋体" w:hAnsi="宋体"/>
                <w:color w:val="auto"/>
                <w:kern w:val="2"/>
                <w:highlight w:val="none"/>
                <w:lang w:val="en-US" w:eastAsia="zh-CN"/>
              </w:rPr>
              <w:t>34</w:t>
            </w:r>
            <w:r>
              <w:rPr>
                <w:rFonts w:hint="eastAsia" w:ascii="宋体" w:hAnsi="宋体"/>
                <w:color w:val="auto"/>
                <w:kern w:val="2"/>
                <w:highlight w:val="none"/>
              </w:rPr>
              <w:t>“登乘列车指引”地贴”、</w:t>
            </w:r>
            <w:r>
              <w:rPr>
                <w:rFonts w:hint="eastAsia" w:ascii="宋体" w:hAnsi="宋体"/>
                <w:color w:val="auto"/>
                <w:kern w:val="2"/>
                <w:highlight w:val="none"/>
                <w:lang w:val="en-US" w:eastAsia="zh-CN" w:bidi="ar"/>
              </w:rPr>
              <w:t>PVC</w:t>
            </w:r>
            <w:r>
              <w:rPr>
                <w:rFonts w:hint="eastAsia" w:ascii="宋体" w:hAnsi="宋体"/>
                <w:color w:val="auto"/>
                <w:kern w:val="2"/>
                <w:highlight w:val="none"/>
              </w:rPr>
              <w:t>材质项号</w:t>
            </w:r>
            <w:r>
              <w:rPr>
                <w:rFonts w:hint="eastAsia" w:ascii="宋体" w:hAnsi="宋体"/>
                <w:color w:val="auto"/>
                <w:kern w:val="2"/>
                <w:highlight w:val="none"/>
                <w:lang w:val="en-US" w:eastAsia="zh-CN"/>
              </w:rPr>
              <w:t>63</w:t>
            </w:r>
            <w:r>
              <w:rPr>
                <w:rFonts w:hint="eastAsia" w:ascii="宋体" w:hAnsi="宋体"/>
                <w:color w:val="auto"/>
                <w:kern w:val="2"/>
                <w:highlight w:val="none"/>
              </w:rPr>
              <w:t>“手举牌”标识要求提供样品。</w:t>
            </w:r>
          </w:p>
          <w:p>
            <w:pPr>
              <w:widowControl w:val="0"/>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②样品数量：各类样品各提供一份，共5份样品。</w:t>
            </w:r>
          </w:p>
          <w:p>
            <w:pPr>
              <w:widowControl w:val="0"/>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③样品图样：另附。</w:t>
            </w:r>
          </w:p>
          <w:p>
            <w:pPr>
              <w:tabs>
                <w:tab w:val="left" w:pos="1134"/>
                <w:tab w:val="left" w:pos="8364"/>
              </w:tabs>
              <w:spacing w:before="0" w:after="0" w:afterAutospacing="0"/>
              <w:ind w:left="0" w:right="0" w:firstLine="0"/>
              <w:rPr>
                <w:rFonts w:ascii="宋体" w:hAnsi="宋体"/>
                <w:color w:val="auto"/>
                <w:highlight w:val="none"/>
              </w:rPr>
            </w:pPr>
            <w:r>
              <w:rPr>
                <w:rFonts w:hint="eastAsia" w:ascii="宋体" w:hAnsi="宋体"/>
                <w:color w:val="auto"/>
                <w:kern w:val="2"/>
                <w:highlight w:val="none"/>
              </w:rPr>
              <w:t>④递交方式和递交要求：</w:t>
            </w:r>
            <w:r>
              <w:rPr>
                <w:rFonts w:hint="eastAsia" w:ascii="宋体" w:hAnsi="宋体"/>
                <w:color w:val="auto"/>
                <w:highlight w:val="none"/>
              </w:rPr>
              <w:t>样品递交方式：由投标人亲自将样品送达样品递交地点，并办理样品接收登记手续，以邮寄方式（包括平邮、快递、货运物流）递交样品的将被拒绝接收，且后果自负。</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样品现场递交地点：</w:t>
            </w:r>
            <w:r>
              <w:rPr>
                <w:rFonts w:hint="eastAsia" w:ascii="宋体" w:hAnsi="宋体"/>
                <w:color w:val="auto"/>
                <w:highlight w:val="none"/>
                <w:lang w:val="en-US" w:eastAsia="zh-CN"/>
              </w:rPr>
              <w:t>详见比选文件</w:t>
            </w:r>
            <w:r>
              <w:rPr>
                <w:rFonts w:hint="eastAsia" w:ascii="宋体" w:hAnsi="宋体"/>
                <w:color w:val="auto"/>
                <w:highlight w:val="none"/>
              </w:rPr>
              <w:t>。</w:t>
            </w:r>
          </w:p>
          <w:p>
            <w:pPr>
              <w:widowControl w:val="0"/>
              <w:spacing w:before="0" w:after="0" w:afterAutospacing="0" w:line="240" w:lineRule="auto"/>
              <w:ind w:left="0" w:right="0" w:firstLine="0"/>
              <w:jc w:val="left"/>
              <w:rPr>
                <w:rFonts w:ascii="宋体" w:hAnsi="宋体"/>
                <w:color w:val="auto"/>
                <w:kern w:val="2"/>
                <w:highlight w:val="none"/>
              </w:rPr>
            </w:pPr>
          </w:p>
        </w:tc>
      </w:tr>
    </w:tbl>
    <w:p>
      <w:pPr>
        <w:widowControl w:val="0"/>
        <w:spacing w:before="0" w:after="0" w:afterAutospacing="0" w:line="240" w:lineRule="auto"/>
        <w:ind w:left="0" w:right="0" w:firstLine="0"/>
        <w:rPr>
          <w:rFonts w:ascii="宋体"/>
          <w:b/>
          <w:color w:val="auto"/>
          <w:kern w:val="2"/>
          <w:szCs w:val="22"/>
          <w:highlight w:val="none"/>
        </w:rPr>
      </w:pPr>
    </w:p>
    <w:p>
      <w:pPr>
        <w:pStyle w:val="6"/>
        <w:rPr>
          <w:rFonts w:hint="eastAsia" w:ascii="宋体" w:hAnsi="宋体" w:cs="宋体"/>
          <w:b w:val="0"/>
          <w:bCs/>
          <w:color w:val="auto"/>
          <w:sz w:val="21"/>
          <w:highlight w:val="none"/>
        </w:rPr>
      </w:pPr>
      <w:r>
        <w:rPr>
          <w:rFonts w:hint="eastAsia" w:ascii="宋体" w:hAnsi="宋体" w:cs="宋体"/>
          <w:b w:val="0"/>
          <w:bCs/>
          <w:color w:val="auto"/>
          <w:sz w:val="21"/>
          <w:highlight w:val="none"/>
        </w:rPr>
        <w:t>4.3.3尺寸要求</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829" w:type="dxa"/>
            <w:vMerge w:val="restart"/>
            <w:tcBorders>
              <w:top w:val="single" w:color="auto" w:sz="4" w:space="0"/>
              <w:left w:val="single" w:color="auto" w:sz="4" w:space="0"/>
              <w:right w:val="single" w:color="auto" w:sz="4" w:space="0"/>
            </w:tcBorders>
            <w:shd w:val="clear" w:color="auto" w:fill="FFFFFF"/>
            <w:vAlign w:val="center"/>
          </w:tcPr>
          <w:p>
            <w:pPr>
              <w:spacing w:before="0" w:after="0" w:afterAutospacing="0" w:line="240" w:lineRule="auto"/>
              <w:ind w:left="0" w:right="0" w:firstLine="0"/>
              <w:jc w:val="center"/>
              <w:rPr>
                <w:color w:val="auto"/>
                <w:kern w:val="2"/>
                <w:highlight w:val="none"/>
              </w:rPr>
            </w:pPr>
            <w:r>
              <w:rPr>
                <w:rFonts w:hint="eastAsia" w:ascii="宋体" w:hAnsi="宋体" w:cs="宋体"/>
                <w:color w:val="auto"/>
                <w:highlight w:val="none"/>
              </w:rPr>
              <w:t>运营导向标示标贴、安全标识产品总体尺寸要求</w:t>
            </w:r>
          </w:p>
        </w:tc>
        <w:tc>
          <w:tcPr>
            <w:tcW w:w="5109"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rPr>
                <w:color w:val="auto"/>
                <w:kern w:val="2"/>
                <w:highlight w:val="none"/>
              </w:rPr>
            </w:pPr>
            <w:r>
              <w:rPr>
                <w:color w:val="auto"/>
                <w:kern w:val="2"/>
                <w:highlight w:val="none"/>
              </w:rPr>
              <w:t>面板平整度：</w:t>
            </w:r>
            <w:r>
              <w:rPr>
                <w:rFonts w:hint="eastAsia" w:ascii="宋体" w:hAnsi="宋体"/>
                <w:color w:val="auto"/>
                <w:kern w:val="2"/>
                <w:highlight w:val="none"/>
              </w:rPr>
              <w:t>≤</w:t>
            </w:r>
            <w:r>
              <w:rPr>
                <w:color w:val="auto"/>
                <w:kern w:val="2"/>
                <w:highlight w:val="none"/>
              </w:rPr>
              <w:t>±</w:t>
            </w:r>
            <w:r>
              <w:rPr>
                <w:rFonts w:hint="eastAsia" w:ascii="宋体" w:hAnsi="宋体"/>
                <w:color w:val="auto"/>
                <w:kern w:val="2"/>
                <w:highlight w:val="none"/>
              </w:rPr>
              <w:t>3</w:t>
            </w:r>
            <w:r>
              <w:rPr>
                <w:color w:val="auto"/>
                <w:kern w:val="2"/>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9" w:type="dxa"/>
            <w:vMerge w:val="continue"/>
            <w:tcBorders>
              <w:left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5109"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color w:val="auto"/>
                <w:kern w:val="2"/>
                <w:highlight w:val="none"/>
              </w:rPr>
            </w:pPr>
            <w:r>
              <w:rPr>
                <w:color w:val="auto"/>
                <w:kern w:val="2"/>
                <w:highlight w:val="none"/>
              </w:rPr>
              <w:t>外框角度：</w:t>
            </w:r>
            <w:r>
              <w:rPr>
                <w:rFonts w:hint="eastAsia" w:ascii="宋体" w:hAnsi="宋体"/>
                <w:color w:val="auto"/>
                <w:kern w:val="2"/>
                <w:highlight w:val="none"/>
              </w:rPr>
              <w:t>≤</w:t>
            </w:r>
            <w:r>
              <w:rPr>
                <w:color w:val="auto"/>
                <w:kern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9" w:type="dxa"/>
            <w:vMerge w:val="continue"/>
            <w:tcBorders>
              <w:left w:val="single" w:color="auto" w:sz="4" w:space="0"/>
              <w:right w:val="single" w:color="auto" w:sz="4" w:space="0"/>
            </w:tcBorders>
            <w:vAlign w:val="center"/>
          </w:tcPr>
          <w:p>
            <w:pPr>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color w:val="auto"/>
                <w:kern w:val="2"/>
                <w:highlight w:val="none"/>
              </w:rPr>
            </w:pPr>
            <w:r>
              <w:rPr>
                <w:rFonts w:hint="eastAsia" w:ascii="宋体" w:hAnsi="宋体" w:cs="宋体"/>
                <w:color w:val="auto"/>
                <w:highlight w:val="none"/>
              </w:rPr>
              <w:t>宽</w:t>
            </w:r>
            <w:r>
              <w:rPr>
                <w:color w:val="auto"/>
                <w:kern w:val="2"/>
                <w:highlight w:val="none"/>
              </w:rPr>
              <w:t>偏差</w:t>
            </w:r>
            <w:r>
              <w:rPr>
                <w:rFonts w:hint="eastAsia" w:ascii="宋体" w:hAnsi="宋体" w:cs="宋体"/>
                <w:color w:val="auto"/>
                <w:highlight w:val="none"/>
              </w:rPr>
              <w:t>≤</w:t>
            </w:r>
            <w:r>
              <w:rPr>
                <w:color w:val="auto"/>
                <w:kern w:val="2"/>
                <w:highlight w:val="none"/>
              </w:rPr>
              <w:t>±</w:t>
            </w:r>
            <w:r>
              <w:rPr>
                <w:rFonts w:hint="eastAsia"/>
                <w:color w:val="auto"/>
                <w:kern w:val="2"/>
                <w:highlight w:val="none"/>
              </w:rPr>
              <w:t>2</w:t>
            </w:r>
            <w:r>
              <w:rPr>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9" w:type="dxa"/>
            <w:vMerge w:val="continue"/>
            <w:tcBorders>
              <w:left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s="宋体"/>
                <w:color w:val="auto"/>
                <w:highlight w:val="none"/>
              </w:rPr>
              <w:t>高</w:t>
            </w:r>
            <w:r>
              <w:rPr>
                <w:color w:val="auto"/>
                <w:kern w:val="2"/>
                <w:highlight w:val="none"/>
              </w:rPr>
              <w:t>偏差</w:t>
            </w:r>
            <w:r>
              <w:rPr>
                <w:rFonts w:hint="eastAsia" w:ascii="宋体" w:hAnsi="宋体" w:cs="宋体"/>
                <w:color w:val="auto"/>
                <w:highlight w:val="none"/>
              </w:rPr>
              <w:t>≤</w:t>
            </w:r>
            <w:r>
              <w:rPr>
                <w:color w:val="auto"/>
                <w:kern w:val="2"/>
                <w:highlight w:val="none"/>
              </w:rPr>
              <w:t>±</w:t>
            </w:r>
            <w:r>
              <w:rPr>
                <w:rFonts w:hint="eastAsia"/>
                <w:color w:val="auto"/>
                <w:kern w:val="2"/>
                <w:highlight w:val="none"/>
              </w:rPr>
              <w:t>2</w:t>
            </w:r>
            <w:r>
              <w:rPr>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9" w:type="dxa"/>
            <w:vMerge w:val="continue"/>
            <w:tcBorders>
              <w:left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长偏差≤</w:t>
            </w:r>
            <w:r>
              <w:rPr>
                <w:color w:val="auto"/>
                <w:kern w:val="2"/>
                <w:highlight w:val="none"/>
              </w:rPr>
              <w:t>±</w:t>
            </w:r>
            <w:r>
              <w:rPr>
                <w:rFonts w:hint="eastAsia"/>
                <w:color w:val="auto"/>
                <w:kern w:val="2"/>
                <w:highlight w:val="none"/>
              </w:rPr>
              <w:t>2</w:t>
            </w:r>
            <w:r>
              <w:rPr>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9"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s="宋体"/>
                <w:color w:val="auto"/>
                <w:highlight w:val="none"/>
              </w:rPr>
              <w:t>厚</w:t>
            </w:r>
            <w:r>
              <w:rPr>
                <w:color w:val="auto"/>
                <w:kern w:val="2"/>
                <w:highlight w:val="none"/>
              </w:rPr>
              <w:t>偏差</w:t>
            </w:r>
            <w:r>
              <w:rPr>
                <w:rFonts w:hint="eastAsia" w:ascii="宋体" w:hAnsi="宋体" w:cs="宋体"/>
                <w:color w:val="auto"/>
                <w:highlight w:val="none"/>
              </w:rPr>
              <w:t>≤</w:t>
            </w:r>
            <w:r>
              <w:rPr>
                <w:color w:val="auto"/>
                <w:highlight w:val="none"/>
              </w:rPr>
              <w:t>0.05mm</w:t>
            </w:r>
          </w:p>
        </w:tc>
      </w:tr>
    </w:tbl>
    <w:p>
      <w:pPr>
        <w:widowControl w:val="0"/>
        <w:spacing w:before="0" w:after="0" w:afterAutospacing="0"/>
        <w:ind w:left="0" w:right="0" w:firstLine="0"/>
        <w:jc w:val="left"/>
        <w:rPr>
          <w:snapToGrid w:val="0"/>
          <w:color w:val="auto"/>
          <w:kern w:val="2"/>
          <w:highlight w:val="none"/>
        </w:rPr>
      </w:pPr>
    </w:p>
    <w:p>
      <w:pPr>
        <w:pStyle w:val="5"/>
        <w:rPr>
          <w:rFonts w:hint="eastAsia" w:ascii="宋体" w:hAnsi="宋体" w:eastAsia="宋体" w:cs="宋体"/>
          <w:color w:val="auto"/>
          <w:sz w:val="21"/>
          <w:highlight w:val="none"/>
        </w:rPr>
      </w:pPr>
      <w:bookmarkStart w:id="657" w:name="_Toc4614"/>
      <w:bookmarkStart w:id="658" w:name="_Toc25743"/>
      <w:bookmarkStart w:id="659" w:name="_Toc26057"/>
      <w:bookmarkStart w:id="660" w:name="_Toc10671"/>
      <w:bookmarkStart w:id="661" w:name="_Toc22590"/>
      <w:bookmarkStart w:id="662" w:name="_Toc15277"/>
      <w:bookmarkStart w:id="663" w:name="_Toc22702"/>
      <w:bookmarkStart w:id="664" w:name="_Toc75768672"/>
      <w:bookmarkStart w:id="665" w:name="_Toc14940"/>
      <w:bookmarkStart w:id="666" w:name="_Toc24619"/>
      <w:bookmarkStart w:id="667" w:name="_Toc27771"/>
      <w:bookmarkStart w:id="668" w:name="_Toc5742"/>
      <w:bookmarkStart w:id="669" w:name="_Toc2832"/>
      <w:bookmarkStart w:id="670" w:name="_Toc21132"/>
      <w:bookmarkStart w:id="671" w:name="_Toc28092"/>
      <w:bookmarkStart w:id="672" w:name="_Toc4811"/>
      <w:r>
        <w:rPr>
          <w:rFonts w:hint="eastAsia" w:ascii="宋体" w:hAnsi="宋体" w:eastAsia="宋体" w:cs="宋体"/>
          <w:color w:val="auto"/>
          <w:sz w:val="21"/>
          <w:highlight w:val="none"/>
        </w:rPr>
        <w:t>4.4 知识产权</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（1）投标方为实施本合同而向招标方提供的任何设计、产品、资料、物件及服务引起的知识产权纠纷，由投标方承担由此引起的一切法律和经济上的责任。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投标方保证依据本合同站提供的任何设计、产品、资料、物件及服务均不构成对第三方合法权益的侵犯，包括但不限于知识产权。即招标方在中国使用投标方提供的产品、产品的任何一部分，资料或服务时，免受第三方提出的侵犯其专利权、商标权、工业设计权和其他知识产权的起诉。</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投标方为实施本合同及其缺陷修补，需使用第三人专利，专有技术、技术秘密、商业秘密、著作权、商标权等知识产权的，在签订合同时，应向招标方说明知识产权的权利人，名称等权利状况，相应知识产权使用费由投标方负责支付。</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（4）在投标方履行合同过程中，需增加使用第三人专利、专有技术、技术秘密、商业秘密、著作权、商标权等知识产权的，投标方应取得招标方同意，站使用的知识产权应支付的费用由投标方承担。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因投标方提供的任何产品、资料、物件及服务引起的知识产权纠纷，由投标方负责与第三人交涉、参加诉讼、进行辩护，并承担由此引起的一切法律和经济上的责任。上述纠纷包括但不限于因投标方拥有或者有权许可的知识产权存在瑕疵导致产品瑕疵引起的索赔、诉讼或损失，因上述知识产权未在中国申请知识产权保护或海关备案而引起的侵权纠纷。</w:t>
      </w:r>
    </w:p>
    <w:p>
      <w:pPr>
        <w:widowControl w:val="0"/>
        <w:spacing w:before="0" w:after="0" w:afterAutospacing="0"/>
        <w:ind w:left="0" w:right="0" w:firstLine="315" w:firstLineChars="150"/>
        <w:jc w:val="left"/>
        <w:rPr>
          <w:rFonts w:ascii="宋体" w:hAnsi="宋体"/>
          <w:color w:val="auto"/>
          <w:kern w:val="2"/>
          <w:highlight w:val="none"/>
        </w:rPr>
      </w:pPr>
      <w:r>
        <w:rPr>
          <w:rFonts w:hint="eastAsia" w:ascii="宋体" w:hAnsi="宋体"/>
          <w:color w:val="auto"/>
          <w:kern w:val="2"/>
          <w:highlight w:val="none"/>
        </w:rPr>
        <w:t>（6）如投标方拒绝或怠于履行上述义务的，招标方有权解除合同。招标方被第三方起诉或以其他方式追究责任，投标方应赔偿因招标方被第三方索赔站引起的一切损失，包括但不限于招标方站支付的侵权损害赔偿费、律师费、诉讼费、仲裁费、办案差旅费等因应诉、沟通协调站发的一切费用。</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673" w:name="_Toc75768673"/>
      <w:bookmarkStart w:id="674" w:name="_Toc23509"/>
      <w:bookmarkStart w:id="675" w:name="_Toc26289"/>
      <w:bookmarkStart w:id="676" w:name="_Toc29429"/>
      <w:bookmarkStart w:id="677" w:name="_Toc16826"/>
      <w:bookmarkStart w:id="678" w:name="_Toc29091"/>
      <w:bookmarkStart w:id="679" w:name="_Toc29322"/>
      <w:bookmarkStart w:id="680" w:name="_Toc30921"/>
      <w:bookmarkStart w:id="681" w:name="_Toc25932"/>
      <w:bookmarkStart w:id="682" w:name="_Toc26684"/>
      <w:bookmarkStart w:id="683" w:name="_Toc15592"/>
      <w:r>
        <w:rPr>
          <w:rFonts w:hint="eastAsia" w:ascii="黑体" w:hAnsi="黑体" w:eastAsia="黑体" w:cs="黑体"/>
          <w:color w:val="auto"/>
          <w:sz w:val="24"/>
          <w:szCs w:val="24"/>
          <w:highlight w:val="none"/>
        </w:rPr>
        <w:t xml:space="preserve"> </w:t>
      </w:r>
      <w:bookmarkStart w:id="684" w:name="_Toc8356"/>
      <w:bookmarkStart w:id="685" w:name="_Toc16750"/>
      <w:bookmarkStart w:id="686" w:name="_Toc6598"/>
      <w:bookmarkStart w:id="687" w:name="_Toc24037"/>
      <w:bookmarkStart w:id="688" w:name="_Toc11370"/>
      <w:bookmarkStart w:id="689" w:name="_Toc18174"/>
      <w:r>
        <w:rPr>
          <w:rFonts w:hint="eastAsia" w:ascii="黑体" w:hAnsi="黑体" w:eastAsia="黑体" w:cs="黑体"/>
          <w:color w:val="auto"/>
          <w:sz w:val="24"/>
          <w:szCs w:val="24"/>
          <w:highlight w:val="none"/>
        </w:rPr>
        <w:t>运营导向标示标贴、安全标识的操作与安装要求</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widowControl w:val="0"/>
        <w:spacing w:before="0" w:after="0" w:afterAutospacing="0"/>
        <w:ind w:left="0" w:right="0" w:firstLine="420" w:firstLineChars="200"/>
        <w:rPr>
          <w:color w:val="auto"/>
          <w:kern w:val="2"/>
          <w:highlight w:val="none"/>
        </w:rPr>
      </w:pPr>
      <w:r>
        <w:rPr>
          <w:rFonts w:hint="eastAsia"/>
          <w:color w:val="auto"/>
          <w:kern w:val="2"/>
          <w:highlight w:val="none"/>
        </w:rPr>
        <w:t>投标方在运营导向标示标贴产品安装过程中需提供满足安装要求的设备、工具、材料、辅助材料及施工工艺。安装施工中原则上不允许进行电气焊等动火操作，若在特殊情况下必须进行此项操作，需根据招标方的规定准备好相关施工的方案、措施等资料提前申请，经相关部门核批后方可进行。若意外造成其它相关方损害的需进行修复及赔偿。</w:t>
      </w:r>
    </w:p>
    <w:p>
      <w:pPr>
        <w:pStyle w:val="5"/>
        <w:rPr>
          <w:rFonts w:hint="eastAsia" w:ascii="宋体" w:hAnsi="宋体" w:eastAsia="宋体" w:cs="宋体"/>
          <w:color w:val="auto"/>
          <w:sz w:val="21"/>
          <w:highlight w:val="none"/>
        </w:rPr>
      </w:pPr>
      <w:bookmarkStart w:id="690" w:name="_Toc27279"/>
      <w:bookmarkStart w:id="691" w:name="_Toc15234"/>
      <w:bookmarkStart w:id="692" w:name="_Toc31198"/>
      <w:bookmarkStart w:id="693" w:name="_Toc27837"/>
      <w:bookmarkStart w:id="694" w:name="_Toc1181"/>
      <w:bookmarkStart w:id="695" w:name="_Toc32027"/>
      <w:bookmarkStart w:id="696" w:name="_Toc28647"/>
      <w:bookmarkStart w:id="697" w:name="_Toc14562"/>
      <w:bookmarkStart w:id="698" w:name="_Toc9606"/>
      <w:bookmarkStart w:id="699" w:name="_Toc75768674"/>
      <w:bookmarkStart w:id="700" w:name="_Toc2162"/>
      <w:bookmarkStart w:id="701" w:name="_Toc20232"/>
      <w:bookmarkStart w:id="702" w:name="_Toc31296"/>
      <w:bookmarkStart w:id="703" w:name="_Toc3160"/>
      <w:bookmarkStart w:id="704" w:name="_Toc16964"/>
      <w:bookmarkStart w:id="705" w:name="_Toc22729"/>
      <w:bookmarkStart w:id="706" w:name="_Toc15028"/>
      <w:r>
        <w:rPr>
          <w:rFonts w:hint="eastAsia" w:ascii="宋体" w:hAnsi="宋体" w:eastAsia="宋体" w:cs="宋体"/>
          <w:color w:val="auto"/>
          <w:sz w:val="21"/>
          <w:highlight w:val="none"/>
        </w:rPr>
        <w:t>5.1 安装操作要求</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（1）保护：</w:t>
      </w:r>
      <w:r>
        <w:rPr>
          <w:rFonts w:ascii="宋体" w:hAnsi="宋体"/>
          <w:color w:val="auto"/>
          <w:kern w:val="2"/>
          <w:highlight w:val="none"/>
        </w:rPr>
        <w:t>在安装过程中对</w:t>
      </w:r>
      <w:r>
        <w:rPr>
          <w:rFonts w:hint="eastAsia" w:ascii="宋体" w:hAnsi="宋体"/>
          <w:color w:val="auto"/>
          <w:kern w:val="2"/>
          <w:highlight w:val="none"/>
        </w:rPr>
        <w:t>现场</w:t>
      </w:r>
      <w:r>
        <w:rPr>
          <w:rFonts w:ascii="宋体" w:hAnsi="宋体"/>
          <w:color w:val="auto"/>
          <w:kern w:val="2"/>
          <w:highlight w:val="none"/>
        </w:rPr>
        <w:t>完工后裸露可见的表面进行保护。</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（2）清洁：</w:t>
      </w:r>
      <w:r>
        <w:rPr>
          <w:rFonts w:ascii="宋体" w:hAnsi="宋体"/>
          <w:color w:val="auto"/>
          <w:kern w:val="2"/>
          <w:highlight w:val="none"/>
        </w:rPr>
        <w:t>除去</w:t>
      </w:r>
      <w:r>
        <w:rPr>
          <w:rFonts w:hint="eastAsia" w:ascii="宋体" w:hAnsi="宋体"/>
          <w:color w:val="auto"/>
          <w:kern w:val="2"/>
          <w:highlight w:val="none"/>
        </w:rPr>
        <w:t>现场</w:t>
      </w:r>
      <w:r>
        <w:rPr>
          <w:rFonts w:ascii="宋体" w:hAnsi="宋体"/>
          <w:color w:val="auto"/>
          <w:kern w:val="2"/>
          <w:highlight w:val="none"/>
        </w:rPr>
        <w:t>在完工后</w:t>
      </w:r>
      <w:r>
        <w:rPr>
          <w:rFonts w:hint="eastAsia" w:ascii="宋体" w:hAnsi="宋体"/>
          <w:color w:val="auto"/>
          <w:kern w:val="2"/>
          <w:highlight w:val="none"/>
        </w:rPr>
        <w:t>留有的建筑垃圾，清洁标识周边污染区域。</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（3）</w:t>
      </w:r>
      <w:r>
        <w:rPr>
          <w:rFonts w:ascii="Cambria" w:hAnsi="Cambria"/>
          <w:bCs/>
          <w:color w:val="auto"/>
          <w:kern w:val="2"/>
          <w:highlight w:val="none"/>
        </w:rPr>
        <w:t>粘贴</w:t>
      </w:r>
      <w:r>
        <w:rPr>
          <w:rFonts w:hint="eastAsia" w:ascii="Cambria" w:hAnsi="Cambria"/>
          <w:bCs/>
          <w:color w:val="auto"/>
          <w:kern w:val="2"/>
          <w:highlight w:val="none"/>
        </w:rPr>
        <w:t>：</w:t>
      </w:r>
      <w:r>
        <w:rPr>
          <w:rFonts w:ascii="宋体" w:hAnsi="宋体"/>
          <w:color w:val="auto"/>
          <w:kern w:val="2"/>
          <w:highlight w:val="none"/>
        </w:rPr>
        <w:t>清洁金属表面的油污，用机械或化学方法进行表面处理以增加附着力，使用环保结构胶</w:t>
      </w:r>
      <w:r>
        <w:rPr>
          <w:rFonts w:hint="eastAsia" w:ascii="宋体" w:hAnsi="宋体"/>
          <w:color w:val="auto"/>
          <w:kern w:val="2"/>
          <w:highlight w:val="none"/>
        </w:rPr>
        <w:t>贴合黏合剂</w:t>
      </w:r>
      <w:r>
        <w:rPr>
          <w:rFonts w:ascii="宋体" w:hAnsi="宋体"/>
          <w:color w:val="auto"/>
          <w:kern w:val="2"/>
          <w:highlight w:val="none"/>
        </w:rPr>
        <w:t>，在加压的情况下进行成型粘合，其结构胶的特性要求如下：</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①</w:t>
      </w:r>
      <w:r>
        <w:rPr>
          <w:rFonts w:ascii="宋体" w:hAnsi="宋体"/>
          <w:color w:val="auto"/>
          <w:kern w:val="2"/>
          <w:highlight w:val="none"/>
        </w:rPr>
        <w:t>室温固化的建筑结构</w:t>
      </w:r>
      <w:r>
        <w:rPr>
          <w:rFonts w:hint="eastAsia" w:ascii="宋体" w:hAnsi="宋体"/>
          <w:color w:val="auto"/>
          <w:kern w:val="2"/>
          <w:highlight w:val="none"/>
        </w:rPr>
        <w:t>黏合剂</w:t>
      </w:r>
      <w:r>
        <w:rPr>
          <w:rFonts w:ascii="宋体" w:hAnsi="宋体"/>
          <w:color w:val="auto"/>
          <w:kern w:val="2"/>
          <w:highlight w:val="none"/>
        </w:rPr>
        <w:t>，在室温下快速固化；</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②</w:t>
      </w:r>
      <w:r>
        <w:rPr>
          <w:rFonts w:ascii="宋体" w:hAnsi="宋体"/>
          <w:color w:val="auto"/>
          <w:kern w:val="2"/>
          <w:highlight w:val="none"/>
        </w:rPr>
        <w:t>最小剥离强度</w:t>
      </w:r>
      <w:r>
        <w:rPr>
          <w:rFonts w:hint="eastAsia" w:ascii="宋体" w:hAnsi="宋体"/>
          <w:color w:val="auto"/>
          <w:kern w:val="2"/>
          <w:highlight w:val="none"/>
        </w:rPr>
        <w:t>：</w:t>
      </w:r>
      <w:r>
        <w:rPr>
          <w:color w:val="auto"/>
          <w:kern w:val="2"/>
          <w:highlight w:val="none"/>
        </w:rPr>
        <w:t>9.1kg/25mm</w:t>
      </w:r>
      <w:r>
        <w:rPr>
          <w:color w:val="auto"/>
          <w:kern w:val="2"/>
          <w:highlight w:val="none"/>
          <w:vertAlign w:val="superscript"/>
        </w:rPr>
        <w:t xml:space="preserve"> </w:t>
      </w:r>
      <w:r>
        <w:rPr>
          <w:rFonts w:ascii="宋体" w:hAnsi="宋体"/>
          <w:color w:val="auto"/>
          <w:kern w:val="2"/>
          <w:highlight w:val="none"/>
        </w:rPr>
        <w:t>；</w:t>
      </w:r>
    </w:p>
    <w:p>
      <w:pPr>
        <w:widowControl w:val="0"/>
        <w:spacing w:before="0" w:after="0" w:afterAutospacing="0"/>
        <w:ind w:left="0" w:right="0" w:firstLine="0"/>
        <w:rPr>
          <w:color w:val="auto"/>
          <w:kern w:val="2"/>
          <w:highlight w:val="none"/>
          <w:vertAlign w:val="superscript"/>
        </w:rPr>
      </w:pPr>
      <w:r>
        <w:rPr>
          <w:rFonts w:hint="eastAsia" w:ascii="宋体" w:hAnsi="宋体"/>
          <w:color w:val="auto"/>
          <w:kern w:val="2"/>
          <w:highlight w:val="none"/>
        </w:rPr>
        <w:t>③</w:t>
      </w:r>
      <w:r>
        <w:rPr>
          <w:rFonts w:ascii="宋体" w:hAnsi="宋体"/>
          <w:color w:val="auto"/>
          <w:kern w:val="2"/>
          <w:highlight w:val="none"/>
        </w:rPr>
        <w:t>最小抗拉强度</w:t>
      </w:r>
      <w:r>
        <w:rPr>
          <w:rFonts w:hint="eastAsia" w:ascii="宋体" w:hAnsi="宋体"/>
          <w:color w:val="auto"/>
          <w:kern w:val="2"/>
          <w:highlight w:val="none"/>
        </w:rPr>
        <w:t>：</w:t>
      </w:r>
      <w:r>
        <w:rPr>
          <w:color w:val="auto"/>
          <w:kern w:val="2"/>
          <w:highlight w:val="none"/>
        </w:rPr>
        <w:t>45.4kg/625mm</w:t>
      </w:r>
      <w:r>
        <w:rPr>
          <w:color w:val="auto"/>
          <w:kern w:val="2"/>
          <w:highlight w:val="none"/>
          <w:vertAlign w:val="superscript"/>
        </w:rPr>
        <w:t>2</w:t>
      </w:r>
      <w:r>
        <w:rPr>
          <w:rFonts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④</w:t>
      </w:r>
      <w:r>
        <w:rPr>
          <w:rFonts w:ascii="宋体" w:hAnsi="宋体"/>
          <w:color w:val="auto"/>
          <w:kern w:val="2"/>
          <w:highlight w:val="none"/>
        </w:rPr>
        <w:t>最小抗剪强度</w:t>
      </w:r>
      <w:r>
        <w:rPr>
          <w:rFonts w:hint="eastAsia"/>
          <w:color w:val="auto"/>
          <w:kern w:val="2"/>
          <w:highlight w:val="none"/>
        </w:rPr>
        <w:t>：</w:t>
      </w:r>
      <w:r>
        <w:rPr>
          <w:color w:val="auto"/>
          <w:kern w:val="2"/>
          <w:highlight w:val="none"/>
        </w:rPr>
        <w:t>27.2kg/625mm</w:t>
      </w:r>
      <w:r>
        <w:rPr>
          <w:color w:val="auto"/>
          <w:kern w:val="2"/>
          <w:highlight w:val="none"/>
          <w:vertAlign w:val="superscript"/>
        </w:rPr>
        <w:t>2</w:t>
      </w:r>
      <w:r>
        <w:rPr>
          <w:color w:val="auto"/>
          <w:kern w:val="2"/>
          <w:highlight w:val="none"/>
        </w:rPr>
        <w:t xml:space="preserve"> </w:t>
      </w:r>
      <w:r>
        <w:rPr>
          <w:rFonts w:hint="eastAsia"/>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⑤</w:t>
      </w:r>
      <w:r>
        <w:rPr>
          <w:rFonts w:ascii="宋体" w:hAnsi="宋体"/>
          <w:color w:val="auto"/>
          <w:kern w:val="2"/>
          <w:highlight w:val="none"/>
        </w:rPr>
        <w:t>最小温度值</w:t>
      </w:r>
      <w:r>
        <w:rPr>
          <w:color w:val="auto"/>
          <w:kern w:val="2"/>
          <w:highlight w:val="none"/>
        </w:rPr>
        <w:t>100℃</w:t>
      </w:r>
      <w:r>
        <w:rPr>
          <w:rFonts w:ascii="宋体" w:hAnsi="宋体"/>
          <w:color w:val="auto"/>
          <w:kern w:val="2"/>
          <w:highlight w:val="none"/>
        </w:rPr>
        <w:t>（铝板或</w:t>
      </w:r>
      <w:r>
        <w:rPr>
          <w:rFonts w:hint="eastAsia" w:ascii="宋体" w:hAnsi="宋体"/>
          <w:color w:val="auto"/>
          <w:kern w:val="2"/>
          <w:highlight w:val="none"/>
        </w:rPr>
        <w:t>不锈钢</w:t>
      </w:r>
      <w:r>
        <w:rPr>
          <w:rFonts w:ascii="宋体" w:hAnsi="宋体"/>
          <w:color w:val="auto"/>
          <w:kern w:val="2"/>
          <w:highlight w:val="none"/>
        </w:rPr>
        <w:t>为基材）</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⑥</w:t>
      </w:r>
      <w:r>
        <w:rPr>
          <w:rFonts w:ascii="宋体" w:hAnsi="宋体"/>
          <w:color w:val="auto"/>
          <w:kern w:val="2"/>
          <w:highlight w:val="none"/>
        </w:rPr>
        <w:t>抵抗紫外线</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⑦</w:t>
      </w:r>
      <w:r>
        <w:rPr>
          <w:rFonts w:ascii="宋体" w:hAnsi="宋体"/>
          <w:color w:val="auto"/>
          <w:kern w:val="2"/>
          <w:highlight w:val="none"/>
        </w:rPr>
        <w:t>抗老化，人工加速老化</w:t>
      </w:r>
      <w:r>
        <w:rPr>
          <w:color w:val="auto"/>
          <w:kern w:val="2"/>
          <w:highlight w:val="none"/>
        </w:rPr>
        <w:t>5000</w:t>
      </w:r>
      <w:r>
        <w:rPr>
          <w:rFonts w:ascii="宋体" w:hAnsi="宋体"/>
          <w:color w:val="auto"/>
          <w:kern w:val="2"/>
          <w:highlight w:val="none"/>
        </w:rPr>
        <w:t>小时，无变化</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⑧</w:t>
      </w:r>
      <w:r>
        <w:rPr>
          <w:rFonts w:ascii="宋体" w:hAnsi="宋体"/>
          <w:color w:val="auto"/>
          <w:kern w:val="2"/>
          <w:highlight w:val="none"/>
        </w:rPr>
        <w:t>可在</w:t>
      </w:r>
      <w:r>
        <w:rPr>
          <w:rFonts w:hint="eastAsia" w:ascii="宋体" w:hAnsi="宋体"/>
          <w:color w:val="auto"/>
          <w:kern w:val="2"/>
          <w:highlight w:val="none"/>
        </w:rPr>
        <w:t>－</w:t>
      </w:r>
      <w:r>
        <w:rPr>
          <w:color w:val="auto"/>
          <w:kern w:val="2"/>
          <w:highlight w:val="none"/>
        </w:rPr>
        <w:t>5℃</w:t>
      </w:r>
      <w:r>
        <w:rPr>
          <w:rFonts w:hint="eastAsia"/>
          <w:color w:val="auto"/>
          <w:kern w:val="2"/>
          <w:highlight w:val="none"/>
        </w:rPr>
        <w:t>～</w:t>
      </w:r>
      <w:r>
        <w:rPr>
          <w:color w:val="auto"/>
          <w:kern w:val="2"/>
          <w:highlight w:val="none"/>
        </w:rPr>
        <w:t>45℃</w:t>
      </w:r>
      <w:r>
        <w:rPr>
          <w:rFonts w:ascii="宋体" w:hAnsi="宋体"/>
          <w:color w:val="auto"/>
          <w:kern w:val="2"/>
          <w:highlight w:val="none"/>
        </w:rPr>
        <w:t>的条件下进行施工，亦可带水作业，施工简便工艺性能好</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⑨</w:t>
      </w:r>
      <w:r>
        <w:rPr>
          <w:rFonts w:ascii="宋体" w:hAnsi="宋体"/>
          <w:color w:val="auto"/>
          <w:kern w:val="2"/>
          <w:highlight w:val="none"/>
        </w:rPr>
        <w:t>粘接对象广泛，可粘接各种石材、大理石</w:t>
      </w:r>
      <w:r>
        <w:rPr>
          <w:rFonts w:hint="eastAsia" w:ascii="宋体" w:hAnsi="宋体"/>
          <w:color w:val="auto"/>
          <w:kern w:val="2"/>
          <w:highlight w:val="none"/>
        </w:rPr>
        <w:t>、</w:t>
      </w:r>
      <w:r>
        <w:rPr>
          <w:rFonts w:ascii="宋体" w:hAnsi="宋体"/>
          <w:color w:val="auto"/>
          <w:kern w:val="2"/>
          <w:highlight w:val="none"/>
        </w:rPr>
        <w:t>砼、金属等</w:t>
      </w:r>
      <w:r>
        <w:rPr>
          <w:rFonts w:hint="eastAsia" w:ascii="宋体" w:hAnsi="宋体"/>
          <w:color w:val="auto"/>
          <w:kern w:val="2"/>
          <w:highlight w:val="none"/>
        </w:rPr>
        <w:t>，</w:t>
      </w:r>
      <w:r>
        <w:rPr>
          <w:color w:val="auto"/>
          <w:kern w:val="2"/>
          <w:highlight w:val="none"/>
        </w:rPr>
        <w:t xml:space="preserve"> </w:t>
      </w:r>
      <w:r>
        <w:rPr>
          <w:rFonts w:ascii="宋体" w:hAnsi="宋体"/>
          <w:color w:val="auto"/>
          <w:kern w:val="2"/>
          <w:highlight w:val="none"/>
        </w:rPr>
        <w:t>具有对建筑结构承载快、粘接力强、抗拔拉力大的优良性能</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⑩</w:t>
      </w:r>
      <w:r>
        <w:rPr>
          <w:rFonts w:ascii="宋体" w:hAnsi="宋体"/>
          <w:color w:val="auto"/>
          <w:kern w:val="2"/>
          <w:highlight w:val="none"/>
        </w:rPr>
        <w:t>耐水、耐介质，耐老化性能优良，密封、防潮性好；</w:t>
      </w:r>
    </w:p>
    <w:p>
      <w:pPr>
        <w:widowControl w:val="0"/>
        <w:spacing w:before="0" w:after="0" w:afterAutospacing="0"/>
        <w:ind w:left="0" w:right="0" w:firstLine="0"/>
        <w:rPr>
          <w:rFonts w:ascii="宋体" w:hAnsi="宋体"/>
          <w:color w:val="auto"/>
          <w:kern w:val="2"/>
          <w:highlight w:val="none"/>
        </w:rPr>
      </w:pPr>
      <w:r>
        <w:rPr>
          <w:rFonts w:hint="eastAsia" w:ascii="宋体" w:hAnsi="宋体"/>
          <w:color w:val="auto"/>
          <w:kern w:val="2"/>
          <w:highlight w:val="none"/>
        </w:rPr>
        <w:t>⑪</w:t>
      </w:r>
      <w:r>
        <w:rPr>
          <w:rFonts w:ascii="宋体" w:hAnsi="宋体"/>
          <w:color w:val="auto"/>
          <w:kern w:val="2"/>
          <w:highlight w:val="none"/>
        </w:rPr>
        <w:t>保证</w:t>
      </w:r>
      <w:r>
        <w:rPr>
          <w:rFonts w:hint="eastAsia" w:ascii="宋体" w:hAnsi="宋体"/>
          <w:color w:val="auto"/>
          <w:kern w:val="2"/>
          <w:highlight w:val="none"/>
        </w:rPr>
        <w:t>现场</w:t>
      </w:r>
      <w:r>
        <w:rPr>
          <w:rFonts w:ascii="宋体" w:hAnsi="宋体"/>
          <w:color w:val="auto"/>
          <w:kern w:val="2"/>
          <w:highlight w:val="none"/>
        </w:rPr>
        <w:t>安装好的</w:t>
      </w:r>
      <w:r>
        <w:rPr>
          <w:rFonts w:hint="eastAsia" w:ascii="宋体" w:hAnsi="宋体"/>
          <w:color w:val="auto"/>
          <w:kern w:val="2"/>
          <w:highlight w:val="none"/>
        </w:rPr>
        <w:t>标识标贴</w:t>
      </w:r>
      <w:r>
        <w:rPr>
          <w:rFonts w:ascii="宋体" w:hAnsi="宋体"/>
          <w:color w:val="auto"/>
          <w:kern w:val="2"/>
          <w:highlight w:val="none"/>
        </w:rPr>
        <w:t>结构必须合格无损坏；安装后</w:t>
      </w:r>
      <w:r>
        <w:rPr>
          <w:rFonts w:hint="eastAsia" w:ascii="宋体" w:hAnsi="宋体"/>
          <w:color w:val="auto"/>
          <w:kern w:val="2"/>
          <w:highlight w:val="none"/>
        </w:rPr>
        <w:t>现场标识标贴</w:t>
      </w:r>
      <w:r>
        <w:rPr>
          <w:rFonts w:ascii="宋体" w:hAnsi="宋体"/>
          <w:color w:val="auto"/>
          <w:kern w:val="2"/>
          <w:highlight w:val="none"/>
        </w:rPr>
        <w:t>应提供</w:t>
      </w:r>
      <w:r>
        <w:rPr>
          <w:rFonts w:hint="eastAsia" w:ascii="宋体" w:hAnsi="宋体"/>
          <w:color w:val="auto"/>
          <w:kern w:val="2"/>
          <w:highlight w:val="none"/>
        </w:rPr>
        <w:t>维护保养</w:t>
      </w:r>
      <w:r>
        <w:rPr>
          <w:rFonts w:ascii="宋体" w:hAnsi="宋体"/>
          <w:color w:val="auto"/>
          <w:kern w:val="2"/>
          <w:highlight w:val="none"/>
        </w:rPr>
        <w:t>措施</w:t>
      </w:r>
      <w:r>
        <w:rPr>
          <w:rFonts w:hint="eastAsia" w:ascii="宋体" w:hAnsi="宋体"/>
          <w:color w:val="auto"/>
          <w:kern w:val="2"/>
          <w:highlight w:val="none"/>
        </w:rPr>
        <w:t>。</w:t>
      </w:r>
    </w:p>
    <w:p>
      <w:pPr>
        <w:widowControl w:val="0"/>
        <w:spacing w:before="0" w:after="0" w:afterAutospacing="0"/>
        <w:ind w:left="0" w:right="0" w:firstLine="105" w:firstLineChars="50"/>
        <w:rPr>
          <w:rFonts w:ascii="宋体" w:hAnsi="宋体"/>
          <w:color w:val="auto"/>
          <w:kern w:val="2"/>
          <w:highlight w:val="none"/>
        </w:rPr>
      </w:pPr>
      <w:r>
        <w:rPr>
          <w:rFonts w:hint="eastAsia" w:ascii="宋体" w:hAnsi="宋体"/>
          <w:color w:val="auto"/>
          <w:kern w:val="2"/>
          <w:highlight w:val="none"/>
        </w:rPr>
        <w:t>（4）孔洞：孔洞的开孔按设计图纸的要求，各孔的中心距的偏差符合有关规定，版面的平整度必须符合设计要求，周边金属没有变形，并且边缘整齐，舞起皮，无缺角、污垢等；完成安装后，需按设计要求对孔洞进行密封修复处理。</w:t>
      </w:r>
    </w:p>
    <w:p>
      <w:pPr>
        <w:widowControl w:val="0"/>
        <w:spacing w:before="0" w:after="0" w:afterAutospacing="0"/>
        <w:ind w:left="0" w:right="0" w:firstLine="105" w:firstLineChars="50"/>
        <w:rPr>
          <w:rFonts w:ascii="宋体" w:hAnsi="宋体"/>
          <w:color w:val="auto"/>
          <w:kern w:val="2"/>
          <w:highlight w:val="none"/>
        </w:rPr>
      </w:pPr>
      <w:r>
        <w:rPr>
          <w:rFonts w:hint="eastAsia" w:ascii="宋体" w:hAnsi="宋体"/>
          <w:color w:val="auto"/>
          <w:kern w:val="2"/>
          <w:highlight w:val="none"/>
        </w:rPr>
        <w:t>（5）机械接合点：紧固情况下无可见地缝；</w:t>
      </w:r>
    </w:p>
    <w:p>
      <w:pPr>
        <w:widowControl w:val="0"/>
        <w:spacing w:before="0" w:after="0" w:afterAutospacing="0"/>
        <w:ind w:left="0" w:right="0" w:firstLine="105" w:firstLineChars="50"/>
        <w:rPr>
          <w:rFonts w:ascii="宋体" w:hAnsi="宋体"/>
          <w:color w:val="auto"/>
          <w:kern w:val="2"/>
          <w:highlight w:val="none"/>
        </w:rPr>
      </w:pPr>
      <w:r>
        <w:rPr>
          <w:rFonts w:hint="eastAsia" w:ascii="宋体" w:hAnsi="宋体"/>
          <w:color w:val="auto"/>
          <w:kern w:val="2"/>
          <w:highlight w:val="none"/>
        </w:rPr>
        <w:t>（6）构件的连接在以下情况中采用埋头螺丝：螺栓在构件紧固后明显可见（突出的螺栓不会影响活动部分的移动），构件与基础相连接的机械接合点（包括连接面、楔子和紧固件）；</w:t>
      </w:r>
    </w:p>
    <w:p>
      <w:pPr>
        <w:widowControl w:val="0"/>
        <w:spacing w:before="0" w:after="0" w:afterAutospacing="0"/>
        <w:ind w:left="0" w:right="0" w:firstLine="105" w:firstLineChars="50"/>
        <w:rPr>
          <w:color w:val="auto"/>
          <w:kern w:val="2"/>
          <w:highlight w:val="none"/>
        </w:rPr>
      </w:pPr>
      <w:r>
        <w:rPr>
          <w:rFonts w:hint="eastAsia" w:ascii="宋体" w:hAnsi="宋体"/>
          <w:color w:val="auto"/>
          <w:kern w:val="2"/>
          <w:highlight w:val="none"/>
        </w:rPr>
        <w:t>（7）清理：清理因本项目站产生的废料、垃圾，并将废物整齐地堆放于招标方指定同意的工地现场内，并负责及时清走一切包装材料的木箱、纸和有关杂物。</w:t>
      </w:r>
    </w:p>
    <w:p>
      <w:pPr>
        <w:pStyle w:val="5"/>
        <w:rPr>
          <w:rFonts w:hint="eastAsia" w:ascii="宋体" w:hAnsi="宋体" w:eastAsia="宋体" w:cs="宋体"/>
          <w:color w:val="auto"/>
          <w:sz w:val="21"/>
          <w:highlight w:val="none"/>
        </w:rPr>
      </w:pPr>
      <w:bookmarkStart w:id="707" w:name="_Toc15641"/>
      <w:bookmarkStart w:id="708" w:name="_Toc15825"/>
      <w:bookmarkStart w:id="709" w:name="_Toc10936"/>
      <w:bookmarkStart w:id="710" w:name="_Toc11836"/>
      <w:bookmarkStart w:id="711" w:name="_Toc22960"/>
      <w:bookmarkStart w:id="712" w:name="_Toc15168"/>
      <w:bookmarkStart w:id="713" w:name="_Toc75768675"/>
      <w:bookmarkStart w:id="714" w:name="_Toc13152"/>
      <w:bookmarkStart w:id="715" w:name="_Toc4748"/>
      <w:bookmarkStart w:id="716" w:name="_Toc18337"/>
      <w:bookmarkStart w:id="717" w:name="_Toc11663"/>
      <w:bookmarkStart w:id="718" w:name="_Toc31342"/>
      <w:bookmarkStart w:id="719" w:name="_Toc1151"/>
      <w:bookmarkStart w:id="720" w:name="_Toc5218"/>
      <w:bookmarkStart w:id="721" w:name="_Toc1940"/>
      <w:bookmarkStart w:id="722" w:name="_Toc27460"/>
      <w:r>
        <w:rPr>
          <w:rFonts w:hint="eastAsia" w:ascii="宋体" w:hAnsi="宋体" w:eastAsia="宋体" w:cs="宋体"/>
          <w:color w:val="auto"/>
          <w:sz w:val="21"/>
          <w:highlight w:val="none"/>
        </w:rPr>
        <w:t>5.2安装技术要求</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6"/>
        <w:rPr>
          <w:rFonts w:hint="eastAsia" w:ascii="宋体" w:hAnsi="宋体" w:cs="宋体"/>
          <w:b w:val="0"/>
          <w:bCs/>
          <w:color w:val="auto"/>
          <w:sz w:val="21"/>
          <w:highlight w:val="none"/>
        </w:rPr>
      </w:pPr>
      <w:bookmarkStart w:id="723" w:name="_Toc75768676"/>
      <w:r>
        <w:rPr>
          <w:rFonts w:hint="eastAsia" w:ascii="宋体" w:hAnsi="宋体" w:cs="宋体"/>
          <w:b w:val="0"/>
          <w:bCs/>
          <w:color w:val="auto"/>
          <w:sz w:val="21"/>
          <w:highlight w:val="none"/>
        </w:rPr>
        <w:t>5.2.1 总体要求</w:t>
      </w:r>
      <w:bookmarkEnd w:id="723"/>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标识牌安装无歪斜，保证与水平面垂直，与地面连接牢固，应抗震、抗挤压。</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安全标志牌的安装顺序严格遵守《安全标志及其使用导则（GB2894-2008）》第9.5条规定：多个安全标志牌在一起设置时，应按警告、禁止、指令、提示类型的顺序，先左后右、先上后下的排列，建议先分类，逆序粘贴。</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投标方负责设计预埋架结构细节，通过计算确认尺寸及位置，并在设计师确认安装位置适合后，方可安装标识牌。</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牌体安装过程中如与现场实际情况有冲突需要调整，应先通知招标方，由招标方与各工种协调后确定。户外牌体必须结合现场实际情况定位，并与招标方协商确定。</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上述投标方站供货物从生产地至产品安装地运输过程的各个环节，以及现场进行安装、调试，履行义务并担保此等产品符合项目规范和图纸指定的要求，其中不但包括指定或规定的产品、主要材料和组件，而且无论此等配件有否在本用户需求书中详细提及，均须包括在本项目范围内。</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投标方有责任视察现场，并细阅图纸及项目规范务求完全掌握安装项目的领域范围。此外投标方还须负责属于本项目施工相关的事项如相关专业协作作业、环境清理，市容维护等工作。</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本用户需求书中技术规范若出现矛盾，则以最高要求标准执行。</w:t>
      </w:r>
    </w:p>
    <w:p>
      <w:pPr>
        <w:pStyle w:val="6"/>
        <w:rPr>
          <w:rFonts w:hint="eastAsia" w:ascii="宋体" w:hAnsi="宋体" w:eastAsia="宋体" w:cs="宋体"/>
          <w:b w:val="0"/>
          <w:bCs/>
          <w:color w:val="auto"/>
          <w:sz w:val="21"/>
          <w:highlight w:val="none"/>
        </w:rPr>
      </w:pPr>
      <w:bookmarkStart w:id="724" w:name="_Toc75768677"/>
      <w:r>
        <w:rPr>
          <w:rFonts w:hint="eastAsia" w:ascii="宋体" w:hAnsi="宋体" w:eastAsia="宋体" w:cs="宋体"/>
          <w:b w:val="0"/>
          <w:bCs/>
          <w:color w:val="auto"/>
          <w:sz w:val="21"/>
          <w:highlight w:val="none"/>
        </w:rPr>
        <w:t>5.2.2分项说明</w:t>
      </w:r>
      <w:bookmarkEnd w:id="724"/>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 xml:space="preserve">（1）吊挂式：标识牌底部距地面装饰完成面高度不小于2500mm，与墙面最小距离宜为100mm（可根据实际情况进行调整）。吊装于吊顶上方，与吊顶内预留的预埋件稳固连接。悬挂杆尽量穿插于天花材料的空隙，避免开孔，如有冲突，需经过招标方确认后实施。标识牌吊杆穿过吊顶板的，投标方须做现场度量，确定开孔的准确位置和尺寸，经设计确认后提供装修施工单位。吊架与标识牌吊杆接合部分，包括接合的水平标高须获得设计师确认。牌体不能出现扭曲歪斜。 </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（2）落地式：牌体与地面结构预埋件稳固连接，标识边角不应有造成危险的可能。投标方在地面上确定标识牌位置，需经过招标方确认后实施。</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（3）嵌入式：标识牌距地暂定700mm（最终尺寸须结合装饰墙面砖尺寸及对应方案确定），要求与装修墙面板材缝对齐。投标方在墙面上确定标识牌位置，需经过招标方确认后实施。</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（4）贴附式：</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A类：运营时刻牌底部距地1300mm，站台层线路图底部距离地面550mm（可根据实际情况进行调整），另有说明除外，以上标识牌体与装修墙面板材缝对齐或与板材居中。如果附着物为圆形或弧形，应保证标识的弧度与附着物弧度保持一致。</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B类：粘贴于玻璃、铝板、瓷砖等面上。</w:t>
      </w:r>
    </w:p>
    <w:p>
      <w:pPr>
        <w:widowControl w:val="0"/>
        <w:spacing w:before="0" w:after="0" w:afterAutospacing="0"/>
        <w:ind w:left="0" w:right="0" w:firstLine="420" w:firstLineChars="200"/>
        <w:jc w:val="left"/>
        <w:rPr>
          <w:rFonts w:ascii="宋体" w:hAnsi="宋体"/>
          <w:b/>
          <w:color w:val="auto"/>
          <w:kern w:val="2"/>
          <w:highlight w:val="none"/>
        </w:rPr>
      </w:pPr>
      <w:r>
        <w:rPr>
          <w:rFonts w:hint="eastAsia" w:ascii="宋体" w:hAnsi="宋体"/>
          <w:color w:val="auto"/>
          <w:kern w:val="2"/>
          <w:highlight w:val="none"/>
        </w:rPr>
        <w:t>同类设置要求：2个同类标识牌并排放置时，间距为200mm（可根据实际情况进行调整，另有说明除外）。</w:t>
      </w:r>
    </w:p>
    <w:p>
      <w:pPr>
        <w:pStyle w:val="5"/>
        <w:rPr>
          <w:rFonts w:hint="eastAsia" w:ascii="宋体" w:hAnsi="宋体" w:eastAsia="宋体" w:cs="宋体"/>
          <w:color w:val="auto"/>
          <w:sz w:val="21"/>
          <w:highlight w:val="none"/>
        </w:rPr>
      </w:pPr>
      <w:bookmarkStart w:id="725" w:name="_Toc19671"/>
      <w:bookmarkStart w:id="726" w:name="_Toc1265"/>
      <w:bookmarkStart w:id="727" w:name="_Toc14262"/>
      <w:bookmarkStart w:id="728" w:name="_Toc75768678"/>
      <w:bookmarkStart w:id="729" w:name="_Toc2685"/>
      <w:bookmarkStart w:id="730" w:name="_Toc18112"/>
      <w:bookmarkStart w:id="731" w:name="_Toc3631"/>
      <w:bookmarkStart w:id="732" w:name="_Toc3607"/>
      <w:bookmarkStart w:id="733" w:name="_Toc11033"/>
      <w:bookmarkStart w:id="734" w:name="_Toc3142"/>
      <w:bookmarkStart w:id="735" w:name="_Toc20554"/>
      <w:bookmarkStart w:id="736" w:name="_Toc17757"/>
      <w:bookmarkStart w:id="737" w:name="_Toc15836"/>
      <w:bookmarkStart w:id="738" w:name="_Toc24875"/>
      <w:bookmarkStart w:id="739" w:name="_Toc23696"/>
      <w:bookmarkStart w:id="740" w:name="_Toc16522"/>
      <w:bookmarkStart w:id="741" w:name="_Toc28156"/>
      <w:r>
        <w:rPr>
          <w:rFonts w:hint="eastAsia" w:ascii="宋体" w:hAnsi="宋体" w:eastAsia="宋体" w:cs="宋体"/>
          <w:color w:val="auto"/>
          <w:sz w:val="21"/>
          <w:highlight w:val="none"/>
        </w:rPr>
        <w:t>5.3 安装进场要求</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（1）严格遵守执行国家、地方、行业的相关法律、法规、规范、规程、标准及招标方规章制度等各项管理制度和规定。</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（2）严格遵守合同协议，组织足够力量的技术人员、安装人员完成日常工作。</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（3）对组织架构定岗、定员。队伍人员素质、专业技术满足各项要求，并保证参与作业的人员相对稳定。</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（4）严格按照招标方管理模式即招标方审核通过的安装计划和安装方案组织实施。</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（5）人员组织到位，包括项目经理、设计人员、施工人员及相关的管理人员，现场人员通过招标方政审审核备案。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（6）项目部的架构建立，包括项目部、技术、材料、安全等管理组织，驻点安排情况，项目架构经招标方审核备案。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（7）投标方人员完成自己公司及招标方公司的三级安全教育。</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（8）与招标方签订安全协议，按要求缴纳保证金。</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9）现场安装作业的施工人员要遵守招标方的企业标准《运营分公司施工管理规定》等相关施工管理规定，并必须按照施工规范、方案和各项安全操作规程进行作业。全体人员必须持证上岗，投标方项目相关人员通过招标方相关考试，包括施工负责人考试及三级安全教育考试等，考试标准与招标方标准同步，并取得施工负责人资质。</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（10）投标方人员须在合同执行之日前完成有关证件的取证工作，并提交现场人员的证件复印件（有效期内），并按照招标方要求对相关证件进行复审。</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（11）合同期内相关人员原则上不许替换，更换</w:t>
      </w:r>
      <w:bookmarkStart w:id="742" w:name="OLE_LINK8"/>
      <w:r>
        <w:rPr>
          <w:rFonts w:hint="eastAsia" w:ascii="宋体" w:hAnsi="宋体"/>
          <w:color w:val="auto"/>
          <w:kern w:val="2"/>
          <w:highlight w:val="none"/>
        </w:rPr>
        <w:t>相关</w:t>
      </w:r>
      <w:bookmarkEnd w:id="742"/>
      <w:r>
        <w:rPr>
          <w:rFonts w:hint="eastAsia" w:ascii="宋体" w:hAnsi="宋体"/>
          <w:color w:val="auto"/>
          <w:kern w:val="2"/>
          <w:highlight w:val="none"/>
        </w:rPr>
        <w:t>人员必须书面通知招标方并提交有关人员资料，必须确保替换人员的资历、经验不低于原来被替换的人员，并提供相关内部或送外的培训书面证明，并由招标方组织资料审核。</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12）投标方应合理安排员工的年假休假时间，严禁出现集中休假影响正常人员配置的情况，对于员工的事假及病假，投标方应合理调配人员进行替岗，保证正常人员配置，投标方项目负责人的休假需提前上报招标方。</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（13）投标方上班时间和排班模式必须符合招标方的相应班制要求，并满足7*24小时更换响应，具体更换响应时间须严格以招标方最新规定的售后服务承诺时间为准。</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14）招标方向投标方提供的任何文件，包括规格书、手册、图纸只供投标方履行本合同使用，不因文件的提供而改变这些文件的知识产权和专利权。且现场移交的材料均被视为保密资料，在合同结束时需返还招标方。现场下发至投标方的材料，仅被用于它站规定的用途，如无招标方同意，投标方不能擅自使用或向任何第三方透露，否则投标方将承担由此泄密行为给招标方造成的一切损失。</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（15）投标方建立的现场工作表格、现场工作记录及工作站需资料（除规章制度外）的现场权归招标方现场，投标方应无条件地接受招标方检查，配合招标方审查，并根据招标方需要随时提交招标方。</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16）投标方应遵守国家和地方有关安全生产的法律法规和招标方的有关安全生产的规章制度，严格按安全标准组织安装作业，并随时接受招标方和行业安全检查人员依法实施的监督检查，采取必要的安全防护措施，消除事故隐患。由于投标方安全措施不力造成事故的责任和因此发生的费用及招标方损失，由投标方全部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（17）投标方内部应建立完整有效的管理方案，包括但不限于以下要求：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①人员管理制度：投标方应对管理项目作出具体响应，包括但不限于考勤管理、内部调动管理、自查自纠制度、员工奖惩管理等方案。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②安全管理制度：投标方应对安全管理方案作出具体响应，包括但不限于安全组织架构、安全培训、安全物品使用与管理、劳动防护用品配置与检测等方案。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③物资管理制度：投标方为了响应合同技术部分要求，应对涉及的物资、仪器、工器具等相关的配置与管理方案作出具体响应，包括但不限于相应的登记、领用、归还、盘点、仓储等制度。</w:t>
      </w:r>
    </w:p>
    <w:p>
      <w:pPr>
        <w:pStyle w:val="5"/>
        <w:rPr>
          <w:rFonts w:hint="eastAsia" w:ascii="宋体" w:hAnsi="宋体" w:eastAsia="宋体" w:cs="宋体"/>
          <w:color w:val="auto"/>
          <w:sz w:val="21"/>
          <w:highlight w:val="none"/>
        </w:rPr>
      </w:pPr>
      <w:bookmarkStart w:id="743" w:name="_Toc7579"/>
      <w:bookmarkStart w:id="744" w:name="_Toc22079"/>
      <w:bookmarkStart w:id="745" w:name="_Toc75768679"/>
      <w:bookmarkStart w:id="746" w:name="_Toc25906"/>
      <w:bookmarkStart w:id="747" w:name="_Toc14312"/>
      <w:bookmarkStart w:id="748" w:name="_Toc31741"/>
      <w:bookmarkStart w:id="749" w:name="_Toc16365"/>
      <w:bookmarkStart w:id="750" w:name="_Toc690"/>
      <w:bookmarkStart w:id="751" w:name="_Toc25031"/>
      <w:bookmarkStart w:id="752" w:name="_Toc1521"/>
      <w:bookmarkStart w:id="753" w:name="_Toc27068"/>
      <w:bookmarkStart w:id="754" w:name="_Toc23531"/>
      <w:bookmarkStart w:id="755" w:name="_Toc21824"/>
      <w:bookmarkStart w:id="756" w:name="_Toc7947"/>
      <w:bookmarkStart w:id="757" w:name="_Toc18056"/>
      <w:bookmarkStart w:id="758" w:name="_Toc6755"/>
      <w:bookmarkStart w:id="759" w:name="_Toc5693"/>
      <w:r>
        <w:rPr>
          <w:rFonts w:hint="eastAsia" w:ascii="宋体" w:hAnsi="宋体" w:eastAsia="宋体" w:cs="宋体"/>
          <w:color w:val="auto"/>
          <w:sz w:val="21"/>
          <w:highlight w:val="none"/>
        </w:rPr>
        <w:t>5.4 安装作业要求</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现场安装作业的施工人员要遵守南宁轨道交通运营有限公司的企业标准《运营分公司施工管理规定》施工管理规定，并必须按照施工规范、方案和各项安全操作规程进行作业。委外单位安装项目部人员必须持证上岗，投标方施工负责人上岗前必须经过招标方的安全培训，并取得招标方颁发的《施工负责人证》。</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投标方必须牢固树立“安全第一、预防为主”的思想，严格按照招标方《运营分公司设备委外维修施工组织管理办法》、《运营分公司施工管理规定》、《运营分公司作业通用安全实施守则》等文件的要求进行施工及安装作业，掌握、严守招标方制定的相关安全生产规章制度、员工通用安全守则、行车组织规则及员工安全守则等各项规章制度。</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投标方必须服从招标方的管理，按照招标方的相关要求进行施工，确保按质、按量地完成工作；对于招标方认为确需紧急处理的标识标贴，投标方应该按照“无条件、即时性、高效性”的原则处理完成，并确保不影响南宁轨道交通运营服务的正常进行。在紧急情况下，因投标方未及时响应招标方要求，招标方保留另行处理的权力，因此造成的费用由投标方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投标方人员必须通过招标方施工负责人考试认证，才可以作为施工负责人，在车控室进行请销点登记，开展施工作业（不需要招标方配合），整个施工作业过程的安全卡控由投标方完全负责（若有招标方要求参与施工作业，则需要在招标方的监控下进行作业，但整个施工作业过程的安全卡控仍由投标方完全负责）。</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对于招标方规定必须申报施工作业令（或委外作业任务书）的作业项目，投标方必须按照招标方相关进场作业的规定申报施工作业令（或委外作业任务书），持施工作业令（或委外作业任务书）进行请点作业后，方可进场作业，在作业后必须办理相关销点手续并确认现场出清后方可撤离现场；对于招标方规定需要办理特种作业手续（如站/库内烧焊、切割作业等）方可进行的作业，投标方应该按照要求办理特种作业施工许可证，严禁违规操作；对于施工作业令（或委外作业任务书）要求其它部门配合方可进行的作业，投标方应严格按照施工作业令（或委外作业任务书）执行，在没有设施站属部门人员配合（或授权使用）的情况下，严禁动用其它部门站辖设施。</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特种作业人员（如金属焊接切割、低压电工、压力容器操作、登高等作业），必须持有政府等相关部门颁发的特种作业操作证方可上岗作业，并按照相关要求佩戴配套的防护劳保用品进行作业。严禁无证或不按照要求佩戴证件、防护、劳保用品人员上岗作业。为维护我司的社会形象，作业人员在作业期间严禁穿戴奇装异服，必须穿着工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7）投标方站安排的日常安装维护人员必须配备相应的通讯工具和设备，并且遵守招标方相关规定，保持通讯工具24小时畅通（如遇特殊情况招标方调度将直接和投标方安装人员联系），投标方应无条件地接受招标方调度的生产命令，并及时组织人员对相关设备设施进行修复，不得以任何理由拒绝接听招标方调度的电话。</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8）投标方应对本方人员进行文明生产教育，当投标方人员发现招标方要求存在差异时，应及时地向相关负责人员反映，寻求解决；投标方作业人员不得与任何人员进行争执（包括现场监控人员、车站（场段）工作人员、设备房使用部门人员），更不准在地铁运营期间同相关人员或乘客吵闹。</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9）投标方应该严格按照“安全第一、预防为主”的思想，不断地加强员工的安全生产教育，将安全生产贯彻到日常的工作中；对于招标方要求参加的安全生产会议，投标方应该认真地组织相关人员参加；对于招标方颁布的安全生产规定，投标方应不折不扣的执行；对于因投标方不按照相关安全规定进行作业站引发的损失、事故，投标方负全部责任，并赔偿招标方全部损失。</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（10）投标方在安装过程中站发生的事故，投标方应本着“诚实、合作、及时”的思想及时通知招标方，配合招标方做好事故的调查和分析工作，不得隐瞒或推卸责任。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11）为确保地铁的正常、安全运行，现场影响地铁正常运行的作业必须在当日作业结束前30分钟做好场地清理，施工负责人必须做好当日安全清理检查。进入地铁作业现场，施工负责人必须做好当日人员、工器具作业前及作业结束后的清点、拍照工作。</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12）为确保地铁设备设施的正常运行，在安装过程中需要对既有设备设施进行成品保护，必须采取有效措施防止安装对相关设备设施产生不利影响。如可采用彩条布、防水材料遮盖易受影响的设备设施，以免烟尘、泥浆、水等对设备设施产生影响等。</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（13）安装过程中涉及其他专业重要设备设施的，由设备设施站属专业提供配合并负责恢复，配合过程中因投标方站导致的直接及间接经济损失由投标方承担。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14）投标方应该严格执行招标方要求的“三不动、三不离”原则，即未联系登记好不动，对性能、状态不清楚的设备设施不动，对正在使用中的未经授权的设备设施不动；检修完，不复查试验好不离开，影响正常使用的设备设施未修好不离开，发现设备设施异响，不查明原因不离开。</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（15）与本安装项目相关的接口专业作业需要投标方配合时，投标方须无条件配合。</w:t>
      </w:r>
    </w:p>
    <w:p>
      <w:pPr>
        <w:widowControl w:val="0"/>
        <w:spacing w:before="0" w:after="0" w:afterAutospacing="0"/>
        <w:ind w:left="0" w:right="0" w:firstLine="420" w:firstLineChars="200"/>
        <w:rPr>
          <w:color w:val="auto"/>
          <w:kern w:val="2"/>
          <w:szCs w:val="22"/>
          <w:highlight w:val="none"/>
        </w:rPr>
      </w:pPr>
      <w:r>
        <w:rPr>
          <w:rFonts w:hint="eastAsia" w:ascii="宋体" w:hAnsi="宋体"/>
          <w:color w:val="auto"/>
          <w:kern w:val="2"/>
          <w:highlight w:val="none"/>
        </w:rPr>
        <w:t>（16）施工前要由负责人员向施工人员进行技术交底及安全要求交底，未经教育者不得进入施工现场，凡参加安全技术交底的人员要履行签字手续，并保存资料。项目中安排专职安全检查，对安全技术措施的执行情况，进行监督检查，并做好记录。对违反质量安全要求者，应及时上报并依据制度进行处罚。</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760" w:name="_Toc75768680"/>
      <w:bookmarkStart w:id="761" w:name="_Toc13925"/>
      <w:bookmarkStart w:id="762" w:name="_Toc7746"/>
      <w:bookmarkStart w:id="763" w:name="_Toc23335"/>
      <w:bookmarkStart w:id="764" w:name="_Toc11835"/>
      <w:bookmarkStart w:id="765" w:name="_Toc11016"/>
      <w:bookmarkStart w:id="766" w:name="_Toc25777"/>
      <w:bookmarkStart w:id="767" w:name="_Toc5648"/>
      <w:bookmarkStart w:id="768" w:name="_Toc20224"/>
      <w:bookmarkStart w:id="769" w:name="_Toc11581"/>
      <w:bookmarkStart w:id="770" w:name="_Toc21543"/>
      <w:r>
        <w:rPr>
          <w:rFonts w:hint="eastAsia" w:ascii="黑体" w:hAnsi="黑体" w:eastAsia="黑体" w:cs="黑体"/>
          <w:color w:val="auto"/>
          <w:sz w:val="24"/>
          <w:szCs w:val="24"/>
          <w:highlight w:val="none"/>
        </w:rPr>
        <w:t xml:space="preserve"> </w:t>
      </w:r>
      <w:bookmarkStart w:id="771" w:name="_Toc25314"/>
      <w:bookmarkStart w:id="772" w:name="_Toc23174"/>
      <w:bookmarkStart w:id="773" w:name="_Toc15593"/>
      <w:bookmarkStart w:id="774" w:name="_Toc19727"/>
      <w:bookmarkStart w:id="775" w:name="_Toc23513"/>
      <w:bookmarkStart w:id="776" w:name="_Toc8776"/>
      <w:r>
        <w:rPr>
          <w:rFonts w:hint="eastAsia" w:ascii="黑体" w:hAnsi="黑体" w:eastAsia="黑体" w:cs="黑体"/>
          <w:color w:val="auto"/>
          <w:sz w:val="24"/>
          <w:szCs w:val="24"/>
          <w:highlight w:val="none"/>
        </w:rPr>
        <w:t>项目管理</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5"/>
        <w:rPr>
          <w:rFonts w:hint="eastAsia" w:ascii="宋体" w:hAnsi="宋体" w:eastAsia="宋体" w:cs="宋体"/>
          <w:color w:val="auto"/>
          <w:sz w:val="21"/>
          <w:highlight w:val="none"/>
        </w:rPr>
      </w:pPr>
      <w:bookmarkStart w:id="777" w:name="_Toc1802"/>
      <w:bookmarkStart w:id="778" w:name="_Toc32724"/>
      <w:bookmarkStart w:id="779" w:name="_Toc13586"/>
      <w:bookmarkStart w:id="780" w:name="_Toc11605"/>
      <w:bookmarkStart w:id="781" w:name="_Toc3375"/>
      <w:bookmarkStart w:id="782" w:name="_Toc29396"/>
      <w:bookmarkStart w:id="783" w:name="_Toc27050"/>
      <w:bookmarkStart w:id="784" w:name="_Toc9970"/>
      <w:bookmarkStart w:id="785" w:name="_Toc75768681"/>
      <w:bookmarkStart w:id="786" w:name="_Toc29637"/>
      <w:bookmarkStart w:id="787" w:name="_Toc30487"/>
      <w:bookmarkStart w:id="788" w:name="_Toc505"/>
      <w:bookmarkStart w:id="789" w:name="_Toc9824"/>
      <w:bookmarkStart w:id="790" w:name="_Toc17164"/>
      <w:bookmarkStart w:id="791" w:name="_Toc3453"/>
      <w:bookmarkStart w:id="792" w:name="_Toc8946"/>
      <w:r>
        <w:rPr>
          <w:rFonts w:hint="eastAsia" w:ascii="宋体" w:hAnsi="宋体" w:eastAsia="宋体" w:cs="宋体"/>
          <w:color w:val="auto"/>
          <w:sz w:val="21"/>
          <w:highlight w:val="none"/>
        </w:rPr>
        <w:t>6.1 投标方资质及项目人员配置要求</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6"/>
        <w:rPr>
          <w:rFonts w:hint="eastAsia" w:ascii="宋体" w:hAnsi="宋体" w:cs="宋体"/>
          <w:b w:val="0"/>
          <w:bCs/>
          <w:color w:val="auto"/>
          <w:sz w:val="21"/>
          <w:highlight w:val="none"/>
        </w:rPr>
      </w:pPr>
      <w:bookmarkStart w:id="793" w:name="_Toc75768682"/>
      <w:r>
        <w:rPr>
          <w:rFonts w:hint="eastAsia" w:ascii="宋体" w:hAnsi="宋体" w:cs="宋体"/>
          <w:b w:val="0"/>
          <w:bCs/>
          <w:color w:val="auto"/>
          <w:sz w:val="21"/>
          <w:highlight w:val="none"/>
        </w:rPr>
        <w:t>6.1.1投标方资质要求，详见招标公告要求。</w:t>
      </w:r>
      <w:bookmarkEnd w:id="793"/>
    </w:p>
    <w:p>
      <w:pPr>
        <w:pStyle w:val="6"/>
        <w:rPr>
          <w:rFonts w:hint="eastAsia" w:ascii="宋体" w:hAnsi="宋体" w:cs="宋体"/>
          <w:b w:val="0"/>
          <w:bCs/>
          <w:color w:val="auto"/>
          <w:sz w:val="21"/>
          <w:highlight w:val="none"/>
        </w:rPr>
      </w:pPr>
      <w:bookmarkStart w:id="794" w:name="_Toc75768683"/>
      <w:r>
        <w:rPr>
          <w:rFonts w:hint="eastAsia" w:ascii="宋体" w:hAnsi="宋体" w:cs="宋体"/>
          <w:b w:val="0"/>
          <w:bCs/>
          <w:color w:val="auto"/>
          <w:sz w:val="21"/>
          <w:highlight w:val="none"/>
        </w:rPr>
        <w:t>6.1.2项目人员资质要求</w:t>
      </w:r>
      <w:bookmarkEnd w:id="794"/>
    </w:p>
    <w:p>
      <w:pPr>
        <w:widowControl w:val="0"/>
        <w:spacing w:before="0" w:after="0" w:afterAutospacing="0"/>
        <w:ind w:left="0" w:right="0" w:firstLine="0"/>
        <w:rPr>
          <w:rFonts w:ascii="宋体" w:hAnsi="宋体"/>
          <w:b/>
          <w:bCs/>
          <w:color w:val="auto"/>
          <w:kern w:val="2"/>
          <w:highlight w:val="none"/>
        </w:rPr>
      </w:pPr>
      <w:r>
        <w:rPr>
          <w:rFonts w:hint="eastAsia" w:ascii="宋体" w:hAnsi="宋体"/>
          <w:b/>
          <w:bCs/>
          <w:color w:val="auto"/>
          <w:kern w:val="2"/>
          <w:highlight w:val="none"/>
        </w:rPr>
        <w:t>必须承诺至少包括1名项目经理、</w:t>
      </w:r>
      <w:r>
        <w:rPr>
          <w:rFonts w:hint="eastAsia"/>
          <w:b/>
          <w:bCs/>
          <w:color w:val="auto"/>
          <w:kern w:val="2"/>
          <w:highlight w:val="none"/>
        </w:rPr>
        <w:t>2</w:t>
      </w:r>
      <w:r>
        <w:rPr>
          <w:rFonts w:hint="eastAsia" w:ascii="宋体" w:hAnsi="宋体"/>
          <w:b/>
          <w:bCs/>
          <w:color w:val="auto"/>
          <w:kern w:val="2"/>
          <w:highlight w:val="none"/>
        </w:rPr>
        <w:t>名设计人员、</w:t>
      </w:r>
      <w:r>
        <w:rPr>
          <w:rFonts w:hint="eastAsia" w:ascii="宋体" w:hAnsi="宋体"/>
          <w:b/>
          <w:bCs/>
          <w:color w:val="auto"/>
          <w:kern w:val="2"/>
          <w:highlight w:val="none"/>
          <w:lang w:val="en-US" w:eastAsia="zh-CN"/>
        </w:rPr>
        <w:t>5</w:t>
      </w:r>
      <w:r>
        <w:rPr>
          <w:rFonts w:hint="eastAsia" w:ascii="宋体" w:hAnsi="宋体"/>
          <w:b/>
          <w:bCs/>
          <w:color w:val="auto"/>
          <w:kern w:val="2"/>
          <w:highlight w:val="none"/>
        </w:rPr>
        <w:t>名施工人员，1名售后服务人员及</w:t>
      </w:r>
      <w:r>
        <w:rPr>
          <w:rFonts w:hint="eastAsia" w:ascii="宋体" w:hAnsi="宋体"/>
          <w:b/>
          <w:bCs/>
          <w:color w:val="auto"/>
          <w:kern w:val="2"/>
          <w:highlight w:val="none"/>
          <w:lang w:val="en-US" w:eastAsia="zh-CN"/>
        </w:rPr>
        <w:t>2</w:t>
      </w:r>
      <w:r>
        <w:rPr>
          <w:rFonts w:hint="eastAsia" w:ascii="宋体" w:hAnsi="宋体"/>
          <w:b/>
          <w:bCs/>
          <w:color w:val="auto"/>
          <w:kern w:val="2"/>
          <w:highlight w:val="none"/>
        </w:rPr>
        <w:t>名售后维护人员（售后维护人员需常驻南宁市）。</w:t>
      </w:r>
    </w:p>
    <w:p>
      <w:pPr>
        <w:widowControl w:val="0"/>
        <w:spacing w:before="0" w:after="0" w:afterAutospacing="0"/>
        <w:ind w:left="0" w:right="0" w:firstLine="0"/>
        <w:rPr>
          <w:color w:val="auto"/>
          <w:kern w:val="2"/>
          <w:szCs w:val="22"/>
          <w:highlight w:val="none"/>
        </w:rPr>
      </w:pPr>
      <w:r>
        <w:rPr>
          <w:rFonts w:hint="eastAsia"/>
          <w:color w:val="auto"/>
          <w:kern w:val="2"/>
          <w:szCs w:val="22"/>
          <w:highlight w:val="none"/>
        </w:rPr>
        <w:t>项目经理资质要求：</w:t>
      </w:r>
    </w:p>
    <w:p>
      <w:pPr>
        <w:widowControl w:val="0"/>
        <w:spacing w:before="0" w:after="0" w:afterAutospacing="0"/>
        <w:ind w:left="0" w:right="0" w:firstLine="0"/>
        <w:rPr>
          <w:rFonts w:ascii="宋体" w:hAnsi="宋体"/>
          <w:color w:val="auto"/>
          <w:kern w:val="2"/>
          <w:highlight w:val="none"/>
        </w:rPr>
      </w:pPr>
      <w:r>
        <w:rPr>
          <w:rFonts w:hint="eastAsia" w:ascii="宋体" w:hAnsi="宋体"/>
          <w:color w:val="auto"/>
          <w:kern w:val="2"/>
          <w:highlight w:val="none"/>
        </w:rPr>
        <w:t xml:space="preserve">  </w:t>
      </w:r>
      <w:r>
        <w:rPr>
          <w:rFonts w:ascii="宋体" w:hAnsi="宋体"/>
          <w:color w:val="auto"/>
          <w:kern w:val="2"/>
          <w:highlight w:val="none"/>
        </w:rPr>
        <w:t xml:space="preserve">  </w:t>
      </w:r>
      <w:r>
        <w:rPr>
          <w:rFonts w:hint="eastAsia" w:ascii="宋体" w:hAnsi="宋体"/>
          <w:color w:val="auto"/>
          <w:kern w:val="2"/>
          <w:highlight w:val="none"/>
        </w:rPr>
        <w:t>（</w:t>
      </w:r>
      <w:r>
        <w:rPr>
          <w:rFonts w:ascii="宋体" w:hAnsi="宋体"/>
          <w:color w:val="auto"/>
          <w:kern w:val="2"/>
          <w:highlight w:val="none"/>
        </w:rPr>
        <w:t>1</w:t>
      </w:r>
      <w:r>
        <w:rPr>
          <w:rFonts w:hint="eastAsia" w:ascii="宋体" w:hAnsi="宋体"/>
          <w:color w:val="auto"/>
          <w:kern w:val="2"/>
          <w:highlight w:val="none"/>
        </w:rPr>
        <w:t>）身体健康证明，无不宜从事电业作业的疾病。</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（2）充分了解招标方生产管理体制架构、生产调度模式、日常运行管理和抢修抢险模式。</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（3）三年以上的标识标贴制作、安装的技术和管理工作经历。</w:t>
      </w:r>
    </w:p>
    <w:p>
      <w:pPr>
        <w:widowControl w:val="0"/>
        <w:spacing w:before="0" w:after="0" w:afterAutospacing="0"/>
        <w:ind w:left="0" w:right="0" w:firstLine="0"/>
        <w:rPr>
          <w:color w:val="auto"/>
          <w:kern w:val="2"/>
          <w:highlight w:val="none"/>
        </w:rPr>
      </w:pPr>
      <w:r>
        <w:rPr>
          <w:rFonts w:hint="eastAsia"/>
          <w:color w:val="auto"/>
          <w:kern w:val="2"/>
          <w:highlight w:val="none"/>
        </w:rPr>
        <w:t>设计人员资质要求：</w:t>
      </w:r>
    </w:p>
    <w:p>
      <w:pPr>
        <w:widowControl w:val="0"/>
        <w:spacing w:before="0" w:after="0" w:afterAutospacing="0"/>
        <w:ind w:left="0" w:right="0" w:firstLine="0"/>
        <w:rPr>
          <w:rFonts w:ascii="宋体" w:hAnsi="宋体"/>
          <w:color w:val="auto"/>
          <w:kern w:val="2"/>
          <w:highlight w:val="none"/>
        </w:rPr>
      </w:pPr>
      <w:r>
        <w:rPr>
          <w:rFonts w:hint="eastAsia"/>
          <w:color w:val="auto"/>
          <w:kern w:val="2"/>
          <w:highlight w:val="none"/>
        </w:rPr>
        <w:t xml:space="preserve">    </w:t>
      </w:r>
      <w:r>
        <w:rPr>
          <w:rFonts w:hint="eastAsia" w:ascii="宋体" w:hAnsi="宋体"/>
          <w:color w:val="auto"/>
          <w:kern w:val="2"/>
          <w:highlight w:val="none"/>
        </w:rPr>
        <w:t>（1）身体健康证明。</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（2）有二年及以上专业设计、制作或安装的资历。</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（3）具有中级及以上设计师职称。（需出具相关的资格证书）</w:t>
      </w:r>
    </w:p>
    <w:p>
      <w:pPr>
        <w:widowControl w:val="0"/>
        <w:spacing w:before="0" w:after="0" w:afterAutospacing="0"/>
        <w:ind w:left="0" w:right="0" w:firstLine="0"/>
        <w:rPr>
          <w:color w:val="auto"/>
          <w:kern w:val="2"/>
          <w:szCs w:val="22"/>
          <w:highlight w:val="none"/>
        </w:rPr>
      </w:pPr>
      <w:r>
        <w:rPr>
          <w:rFonts w:hint="eastAsia"/>
          <w:color w:val="auto"/>
          <w:kern w:val="2"/>
          <w:szCs w:val="22"/>
          <w:highlight w:val="none"/>
        </w:rPr>
        <w:t>施工人员配置要求：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（1）身体健康证明，无不宜从事电业作业的疾病。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（2）抢修情况下施工人员在40分钟赶到现场。</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（3）管理人员配置：不得少于</w:t>
      </w:r>
      <w:r>
        <w:rPr>
          <w:rFonts w:hint="eastAsia" w:ascii="宋体" w:hAnsi="宋体"/>
          <w:color w:val="auto"/>
          <w:kern w:val="2"/>
          <w:highlight w:val="none"/>
          <w:lang w:val="en-US" w:eastAsia="zh-CN"/>
        </w:rPr>
        <w:t>1</w:t>
      </w:r>
      <w:r>
        <w:rPr>
          <w:rFonts w:hint="eastAsia" w:ascii="宋体" w:hAnsi="宋体"/>
          <w:color w:val="auto"/>
          <w:kern w:val="2"/>
          <w:highlight w:val="none"/>
        </w:rPr>
        <w:t>人。</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投标方必须确保施工人员对设备的熟悉程度与人员的相对稳定性，在合同的签订中必须附有施工人员明细表，如有人员流动需及时对明细表进行变更，每月8日前向招标方报告。投标方的人员流动情况不得大于10%。</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（5）应确保运营保驾到位，接到故障报修及时到场配合抢修人员处理故障。突发应急抢修及抢险人员不少于2人。</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（6）质保期内至少保留</w:t>
      </w:r>
      <w:r>
        <w:rPr>
          <w:rFonts w:hint="eastAsia" w:ascii="宋体" w:hAnsi="宋体"/>
          <w:color w:val="auto"/>
          <w:kern w:val="2"/>
          <w:highlight w:val="none"/>
          <w:lang w:val="en-US" w:eastAsia="zh-CN"/>
        </w:rPr>
        <w:t>2</w:t>
      </w:r>
      <w:r>
        <w:rPr>
          <w:rFonts w:hint="eastAsia" w:ascii="宋体" w:hAnsi="宋体"/>
          <w:color w:val="auto"/>
          <w:kern w:val="2"/>
          <w:highlight w:val="none"/>
        </w:rPr>
        <w:t>名施工人员，保障项目后期标识标贴的维护。</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（7）以上配置为人员配置最低标准，投标方可根据实际维护情况增加人员配置数量。</w:t>
      </w:r>
    </w:p>
    <w:p>
      <w:pPr>
        <w:pStyle w:val="5"/>
        <w:rPr>
          <w:rFonts w:hint="eastAsia" w:ascii="宋体" w:hAnsi="宋体" w:eastAsia="宋体" w:cs="宋体"/>
          <w:color w:val="auto"/>
          <w:sz w:val="21"/>
          <w:highlight w:val="none"/>
        </w:rPr>
      </w:pPr>
      <w:bookmarkStart w:id="795" w:name="_Toc27963"/>
      <w:bookmarkStart w:id="796" w:name="_Toc13817"/>
      <w:bookmarkStart w:id="797" w:name="_Toc32258"/>
      <w:bookmarkStart w:id="798" w:name="_Toc5142"/>
      <w:bookmarkStart w:id="799" w:name="_Toc17638"/>
      <w:bookmarkStart w:id="800" w:name="_Toc17254"/>
      <w:bookmarkStart w:id="801" w:name="_Toc27956"/>
      <w:bookmarkStart w:id="802" w:name="_Toc8134"/>
      <w:bookmarkStart w:id="803" w:name="_Toc757"/>
      <w:bookmarkStart w:id="804" w:name="_Toc14531"/>
      <w:bookmarkStart w:id="805" w:name="_Toc30095"/>
      <w:bookmarkStart w:id="806" w:name="_Toc12449"/>
      <w:bookmarkStart w:id="807" w:name="_Toc75768684"/>
      <w:r>
        <w:rPr>
          <w:rFonts w:hint="eastAsia" w:ascii="宋体" w:hAnsi="宋体" w:eastAsia="宋体" w:cs="宋体"/>
          <w:color w:val="auto"/>
          <w:sz w:val="21"/>
          <w:highlight w:val="none"/>
        </w:rPr>
        <w:t>6.2安全管理要求</w:t>
      </w:r>
      <w:bookmarkEnd w:id="795"/>
      <w:bookmarkEnd w:id="796"/>
      <w:bookmarkEnd w:id="797"/>
      <w:bookmarkEnd w:id="798"/>
      <w:bookmarkEnd w:id="799"/>
      <w:bookmarkEnd w:id="800"/>
      <w:bookmarkEnd w:id="801"/>
      <w:bookmarkEnd w:id="802"/>
      <w:bookmarkEnd w:id="803"/>
      <w:bookmarkEnd w:id="804"/>
      <w:bookmarkEnd w:id="805"/>
      <w:bookmarkEnd w:id="806"/>
      <w:bookmarkEnd w:id="807"/>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（1）</w:t>
      </w:r>
      <w:r>
        <w:rPr>
          <w:rFonts w:ascii="宋体" w:hAnsi="宋体"/>
          <w:color w:val="auto"/>
          <w:kern w:val="2"/>
          <w:highlight w:val="none"/>
        </w:rPr>
        <w:t>提供</w:t>
      </w:r>
      <w:r>
        <w:rPr>
          <w:rFonts w:hint="eastAsia" w:ascii="宋体" w:hAnsi="宋体"/>
          <w:color w:val="auto"/>
          <w:kern w:val="2"/>
          <w:highlight w:val="none"/>
        </w:rPr>
        <w:t>符合招标方</w:t>
      </w:r>
      <w:r>
        <w:rPr>
          <w:rFonts w:ascii="宋体" w:hAnsi="宋体"/>
          <w:color w:val="auto"/>
          <w:kern w:val="2"/>
          <w:highlight w:val="none"/>
        </w:rPr>
        <w:t>要求技术标准的</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5号线运营导向标示标贴、安全标识采购项目的</w:t>
      </w:r>
      <w:r>
        <w:rPr>
          <w:rFonts w:hint="eastAsia" w:ascii="宋体" w:hAnsi="宋体"/>
          <w:color w:val="auto"/>
          <w:kern w:val="2"/>
          <w:highlight w:val="none"/>
        </w:rPr>
        <w:t>产品</w:t>
      </w:r>
      <w:r>
        <w:rPr>
          <w:rFonts w:ascii="宋体" w:hAnsi="宋体"/>
          <w:color w:val="auto"/>
          <w:kern w:val="2"/>
          <w:highlight w:val="none"/>
        </w:rPr>
        <w:t>，按</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5号线运营导向标示标贴、安全标识采购项目工</w:t>
      </w:r>
      <w:r>
        <w:rPr>
          <w:rFonts w:ascii="宋体" w:hAnsi="宋体"/>
          <w:color w:val="auto"/>
          <w:kern w:val="2"/>
          <w:highlight w:val="none"/>
        </w:rPr>
        <w:t>程</w:t>
      </w:r>
      <w:r>
        <w:rPr>
          <w:rFonts w:hint="eastAsia" w:ascii="宋体" w:hAnsi="宋体"/>
          <w:color w:val="auto"/>
          <w:kern w:val="2"/>
          <w:highlight w:val="none"/>
        </w:rPr>
        <w:t>要求安装到位</w:t>
      </w:r>
      <w:r>
        <w:rPr>
          <w:rFonts w:ascii="宋体" w:hAnsi="宋体"/>
          <w:color w:val="auto"/>
          <w:kern w:val="2"/>
          <w:highlight w:val="none"/>
        </w:rPr>
        <w:t>，并确保产品及货物的质量符合设计技术要求；</w:t>
      </w:r>
      <w:r>
        <w:rPr>
          <w:rFonts w:hint="eastAsia" w:ascii="宋体" w:hAnsi="宋体"/>
          <w:color w:val="auto"/>
          <w:kern w:val="2"/>
          <w:highlight w:val="none"/>
        </w:rPr>
        <w:t>进场安装作业时必须签订安全施工协议。</w:t>
      </w:r>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（2）投标方</w:t>
      </w:r>
      <w:r>
        <w:rPr>
          <w:rFonts w:ascii="宋体" w:hAnsi="宋体"/>
          <w:color w:val="auto"/>
          <w:kern w:val="2"/>
          <w:highlight w:val="none"/>
        </w:rPr>
        <w:t>在</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5号线运营导向标示标贴、安全标识采购项目设计</w:t>
      </w:r>
      <w:r>
        <w:rPr>
          <w:rFonts w:hint="eastAsia" w:ascii="宋体" w:hAnsi="宋体"/>
          <w:color w:val="auto"/>
          <w:kern w:val="2"/>
          <w:highlight w:val="none"/>
        </w:rPr>
        <w:t>制作安装中</w:t>
      </w:r>
      <w:r>
        <w:rPr>
          <w:rFonts w:ascii="宋体" w:hAnsi="宋体"/>
          <w:color w:val="auto"/>
          <w:kern w:val="2"/>
          <w:highlight w:val="none"/>
        </w:rPr>
        <w:t>必须服从</w:t>
      </w:r>
      <w:r>
        <w:rPr>
          <w:rFonts w:hint="eastAsia" w:ascii="宋体" w:hAnsi="宋体"/>
          <w:color w:val="auto"/>
          <w:kern w:val="2"/>
          <w:highlight w:val="none"/>
        </w:rPr>
        <w:t>招标方</w:t>
      </w:r>
      <w:r>
        <w:rPr>
          <w:rFonts w:ascii="宋体" w:hAnsi="宋体"/>
          <w:color w:val="auto"/>
          <w:kern w:val="2"/>
          <w:highlight w:val="none"/>
        </w:rPr>
        <w:t>的专职</w:t>
      </w:r>
      <w:r>
        <w:rPr>
          <w:rFonts w:hint="eastAsia" w:ascii="宋体" w:hAnsi="宋体"/>
          <w:color w:val="auto"/>
          <w:kern w:val="2"/>
          <w:highlight w:val="none"/>
        </w:rPr>
        <w:t>管理</w:t>
      </w:r>
      <w:r>
        <w:rPr>
          <w:rFonts w:ascii="宋体" w:hAnsi="宋体"/>
          <w:color w:val="auto"/>
          <w:kern w:val="2"/>
          <w:highlight w:val="none"/>
        </w:rPr>
        <w:t>人员的管理</w:t>
      </w:r>
      <w:r>
        <w:rPr>
          <w:rFonts w:hint="eastAsia" w:ascii="宋体" w:hAnsi="宋体"/>
          <w:color w:val="auto"/>
          <w:kern w:val="2"/>
          <w:highlight w:val="none"/>
        </w:rPr>
        <w:t>、</w:t>
      </w:r>
      <w:r>
        <w:rPr>
          <w:rFonts w:ascii="宋体" w:hAnsi="宋体"/>
          <w:color w:val="auto"/>
          <w:kern w:val="2"/>
          <w:highlight w:val="none"/>
        </w:rPr>
        <w:t>指挥；</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（3）投标方必须</w:t>
      </w:r>
      <w:r>
        <w:rPr>
          <w:rFonts w:ascii="宋体" w:hAnsi="宋体"/>
          <w:color w:val="auto"/>
          <w:kern w:val="2"/>
          <w:highlight w:val="none"/>
        </w:rPr>
        <w:t>对供应</w:t>
      </w:r>
      <w:r>
        <w:rPr>
          <w:rFonts w:hint="eastAsia" w:ascii="宋体" w:hAnsi="宋体"/>
          <w:color w:val="auto"/>
          <w:kern w:val="2"/>
          <w:highlight w:val="none"/>
        </w:rPr>
        <w:t>的货物、使用的</w:t>
      </w:r>
      <w:r>
        <w:rPr>
          <w:rFonts w:ascii="宋体" w:hAnsi="宋体"/>
          <w:color w:val="auto"/>
          <w:kern w:val="2"/>
          <w:highlight w:val="none"/>
        </w:rPr>
        <w:t>车辆及相应的运输吊装等</w:t>
      </w:r>
      <w:r>
        <w:rPr>
          <w:rFonts w:hint="eastAsia" w:ascii="宋体" w:hAnsi="宋体"/>
          <w:color w:val="auto"/>
          <w:kern w:val="2"/>
          <w:highlight w:val="none"/>
        </w:rPr>
        <w:t>现场</w:t>
      </w:r>
      <w:r>
        <w:rPr>
          <w:rFonts w:ascii="宋体" w:hAnsi="宋体"/>
          <w:color w:val="auto"/>
          <w:kern w:val="2"/>
          <w:highlight w:val="none"/>
        </w:rPr>
        <w:t>作业的安全负责。</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投标方应在招标方属地管理单位的管理下，建立适合本项目的独立的安全保卫、文明施工等制度，确保本项目人员、材料、设备的安全；应对本项目施工区域内的安全、保卫、成品保护等工程负责，应及时清理本项目产生的废料、垃圾。</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（5）投标方应服从招标方有关本项目的质量、进度、工序、文明施工、安全等方面的管理，完善相关资料，并应积极配合其它专业施工方协调施工。</w:t>
      </w:r>
    </w:p>
    <w:p>
      <w:pPr>
        <w:widowControl w:val="0"/>
        <w:spacing w:before="0" w:after="0" w:afterAutospacing="0"/>
        <w:ind w:left="0" w:right="0" w:firstLine="420" w:firstLineChars="200"/>
        <w:rPr>
          <w:rStyle w:val="34"/>
          <w:color w:val="auto"/>
          <w:highlight w:val="none"/>
        </w:rPr>
      </w:pPr>
      <w:r>
        <w:rPr>
          <w:rFonts w:hint="eastAsia" w:ascii="宋体" w:hAnsi="宋体"/>
          <w:color w:val="auto"/>
          <w:kern w:val="2"/>
          <w:highlight w:val="none"/>
        </w:rPr>
        <w:t>（6）现场施工人员和管理人员要熟悉掌握消防设备的性能和使用方法，不得乱动消防器材。遵守劳动纪律，服从安全人员的指挥，严禁在施工场地睡觉、嬉戏。施工现场杜绝火种，严禁烟火（吸烟）。</w:t>
      </w:r>
    </w:p>
    <w:p>
      <w:pPr>
        <w:widowControl w:val="0"/>
        <w:spacing w:before="0" w:after="0" w:afterAutospacing="0" w:line="240" w:lineRule="auto"/>
        <w:ind w:left="0" w:right="0" w:firstLine="420" w:firstLineChars="20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lang w:val="en-US" w:eastAsia="zh-CN"/>
        </w:rPr>
        <w:t>（7</w:t>
      </w:r>
      <w:r>
        <w:rPr>
          <w:rFonts w:hint="eastAsia" w:ascii="宋体" w:hAnsi="宋体" w:eastAsia="宋体" w:cs="Times New Roman"/>
          <w:color w:val="auto"/>
          <w:kern w:val="2"/>
          <w:szCs w:val="21"/>
          <w:highlight w:val="none"/>
          <w:lang w:eastAsia="zh-CN"/>
        </w:rPr>
        <w:t>）</w:t>
      </w:r>
      <w:r>
        <w:rPr>
          <w:rFonts w:hint="eastAsia" w:ascii="宋体" w:hAnsi="宋体"/>
          <w:color w:val="auto"/>
          <w:kern w:val="2"/>
          <w:highlight w:val="none"/>
        </w:rPr>
        <w:t>现场施工人员和管理人员</w:t>
      </w:r>
      <w:r>
        <w:rPr>
          <w:rFonts w:hint="eastAsia" w:ascii="宋体" w:hAnsi="宋体"/>
          <w:color w:val="auto"/>
          <w:kern w:val="2"/>
          <w:highlight w:val="none"/>
          <w:lang w:val="en-US" w:eastAsia="zh-CN"/>
        </w:rPr>
        <w:t>应</w:t>
      </w:r>
      <w:r>
        <w:rPr>
          <w:rFonts w:hint="eastAsia" w:ascii="宋体" w:hAnsi="宋体" w:eastAsia="宋体" w:cs="Times New Roman"/>
          <w:color w:val="auto"/>
          <w:kern w:val="2"/>
          <w:szCs w:val="21"/>
          <w:highlight w:val="none"/>
        </w:rPr>
        <w:t>身体健康</w:t>
      </w:r>
      <w:r>
        <w:rPr>
          <w:rFonts w:hint="eastAsia" w:ascii="宋体" w:hAnsi="宋体" w:eastAsia="宋体" w:cs="Times New Roman"/>
          <w:color w:val="auto"/>
          <w:kern w:val="2"/>
          <w:szCs w:val="21"/>
          <w:highlight w:val="none"/>
          <w:lang w:eastAsia="zh-CN"/>
        </w:rPr>
        <w:t>，</w:t>
      </w:r>
      <w:r>
        <w:rPr>
          <w:rFonts w:hint="eastAsia" w:ascii="宋体" w:hAnsi="宋体" w:eastAsia="宋体" w:cs="Times New Roman"/>
          <w:color w:val="auto"/>
          <w:kern w:val="2"/>
          <w:szCs w:val="21"/>
          <w:highlight w:val="none"/>
          <w:lang w:val="en-US" w:eastAsia="zh-CN"/>
        </w:rPr>
        <w:t>佩戴口罩，配合车站、场段疫情防控要求</w:t>
      </w:r>
      <w:r>
        <w:rPr>
          <w:rFonts w:hint="eastAsia" w:ascii="宋体" w:hAnsi="宋体" w:eastAsia="宋体" w:cs="Times New Roman"/>
          <w:color w:val="auto"/>
          <w:kern w:val="2"/>
          <w:szCs w:val="21"/>
          <w:highlight w:val="none"/>
        </w:rPr>
        <w:t>。</w:t>
      </w:r>
    </w:p>
    <w:p>
      <w:pPr>
        <w:pStyle w:val="2"/>
        <w:rPr>
          <w:color w:val="auto"/>
          <w:highlight w:val="none"/>
        </w:rPr>
      </w:pPr>
    </w:p>
    <w:p>
      <w:pPr>
        <w:pStyle w:val="5"/>
        <w:rPr>
          <w:rFonts w:hint="eastAsia" w:ascii="宋体" w:hAnsi="宋体" w:eastAsia="宋体" w:cs="宋体"/>
          <w:color w:val="auto"/>
          <w:sz w:val="21"/>
          <w:highlight w:val="none"/>
        </w:rPr>
      </w:pPr>
      <w:bookmarkStart w:id="808" w:name="_Toc75768685"/>
      <w:bookmarkStart w:id="809" w:name="_Toc14673"/>
      <w:bookmarkStart w:id="810" w:name="_Toc24685"/>
      <w:bookmarkStart w:id="811" w:name="_Toc24141"/>
      <w:bookmarkStart w:id="812" w:name="_Toc16930"/>
      <w:bookmarkStart w:id="813" w:name="_Toc10408"/>
      <w:bookmarkStart w:id="814" w:name="_Toc23873"/>
      <w:bookmarkStart w:id="815" w:name="_Toc28235"/>
      <w:bookmarkStart w:id="816" w:name="_Toc13957"/>
      <w:bookmarkStart w:id="817" w:name="_Toc7776"/>
      <w:bookmarkStart w:id="818" w:name="_Toc6012"/>
      <w:bookmarkStart w:id="819" w:name="_Toc16204"/>
      <w:bookmarkStart w:id="820" w:name="_Toc3450"/>
      <w:bookmarkStart w:id="821" w:name="_Toc7223"/>
      <w:bookmarkStart w:id="822" w:name="_Toc25974"/>
      <w:bookmarkStart w:id="823" w:name="_Toc13277"/>
      <w:bookmarkStart w:id="824" w:name="_Toc8255"/>
      <w:bookmarkStart w:id="825" w:name="_Toc37258074"/>
      <w:bookmarkStart w:id="826" w:name="_Toc476316367"/>
      <w:r>
        <w:rPr>
          <w:rFonts w:hint="eastAsia" w:ascii="宋体" w:hAnsi="宋体" w:eastAsia="宋体" w:cs="宋体"/>
          <w:color w:val="auto"/>
          <w:sz w:val="21"/>
          <w:highlight w:val="none"/>
        </w:rPr>
        <w:t>6.3质量管理要求</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投标方应具有完善的质量管理体系认证证书，保证按招标方认可的质量保护程序进行施工及提供相应资质的专职人员进行及完成现场招标方及有关政府部门或单位要求的质量控制工作，包括提供有关经认可的报告及资料。</w:t>
      </w:r>
      <w:r>
        <w:rPr>
          <w:rFonts w:ascii="宋体" w:hAnsi="宋体"/>
          <w:color w:val="auto"/>
          <w:kern w:val="2"/>
          <w:highlight w:val="none"/>
        </w:rPr>
        <w:t>标识</w:t>
      </w:r>
      <w:r>
        <w:rPr>
          <w:rFonts w:hint="eastAsia" w:ascii="宋体" w:hAnsi="宋体"/>
          <w:color w:val="auto"/>
          <w:kern w:val="2"/>
          <w:highlight w:val="none"/>
        </w:rPr>
        <w:t>标贴</w:t>
      </w:r>
      <w:r>
        <w:rPr>
          <w:rFonts w:ascii="宋体" w:hAnsi="宋体"/>
          <w:color w:val="auto"/>
          <w:kern w:val="2"/>
          <w:highlight w:val="none"/>
        </w:rPr>
        <w:t>产品</w:t>
      </w:r>
      <w:r>
        <w:rPr>
          <w:rFonts w:hint="eastAsia" w:ascii="宋体" w:hAnsi="宋体"/>
          <w:color w:val="auto"/>
          <w:kern w:val="2"/>
          <w:highlight w:val="none"/>
        </w:rPr>
        <w:t>设计、</w:t>
      </w:r>
      <w:r>
        <w:rPr>
          <w:rFonts w:ascii="宋体" w:hAnsi="宋体"/>
          <w:color w:val="auto"/>
          <w:kern w:val="2"/>
          <w:highlight w:val="none"/>
        </w:rPr>
        <w:t>制造</w:t>
      </w:r>
      <w:r>
        <w:rPr>
          <w:rFonts w:hint="eastAsia" w:ascii="宋体" w:hAnsi="宋体"/>
          <w:color w:val="auto"/>
          <w:kern w:val="2"/>
          <w:highlight w:val="none"/>
        </w:rPr>
        <w:t>、安装</w:t>
      </w:r>
      <w:r>
        <w:rPr>
          <w:rFonts w:ascii="宋体" w:hAnsi="宋体"/>
          <w:color w:val="auto"/>
          <w:kern w:val="2"/>
          <w:highlight w:val="none"/>
        </w:rPr>
        <w:t>全过程均应纳入质保体系。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w:t>
      </w:r>
      <w:r>
        <w:rPr>
          <w:rFonts w:ascii="宋体" w:hAnsi="宋体"/>
          <w:color w:val="auto"/>
          <w:kern w:val="2"/>
          <w:highlight w:val="none"/>
        </w:rPr>
        <w:t>在本</w:t>
      </w:r>
      <w:r>
        <w:rPr>
          <w:rFonts w:hint="eastAsia" w:ascii="宋体" w:hAnsi="宋体"/>
          <w:color w:val="auto"/>
          <w:kern w:val="2"/>
          <w:highlight w:val="none"/>
        </w:rPr>
        <w:t>项目</w:t>
      </w:r>
      <w:r>
        <w:rPr>
          <w:rFonts w:ascii="宋体" w:hAnsi="宋体"/>
          <w:color w:val="auto"/>
          <w:kern w:val="2"/>
          <w:highlight w:val="none"/>
        </w:rPr>
        <w:t>执行期，</w:t>
      </w:r>
      <w:r>
        <w:rPr>
          <w:rFonts w:hint="eastAsia" w:ascii="宋体" w:hAnsi="宋体"/>
          <w:color w:val="auto"/>
          <w:kern w:val="2"/>
          <w:highlight w:val="none"/>
        </w:rPr>
        <w:t>招标方</w:t>
      </w:r>
      <w:r>
        <w:rPr>
          <w:rFonts w:ascii="宋体" w:hAnsi="宋体"/>
          <w:color w:val="auto"/>
          <w:kern w:val="2"/>
          <w:highlight w:val="none"/>
        </w:rPr>
        <w:t>可随时检查质保体系中的任一环节。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（3）运营导向标示标贴产品的质量需符合国家、行业有关质量标准，生产时应提供并注明产品制作材质。</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（4）运营导向标示标贴产品生产制作必须严格按照提报预计划表中的技术要求和本需求书中的技术要求，不明确或存在异议的及时联系招标方，以达成统一意见。</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（5）投标方保证合同项下提供的全部产品必须是全新的并且没有设计、材料及工艺上的缺陷，完全符合产品材料技术</w:t>
      </w:r>
      <w:r>
        <w:rPr>
          <w:rFonts w:ascii="宋体" w:hAnsi="宋体"/>
          <w:color w:val="auto"/>
          <w:kern w:val="2"/>
          <w:highlight w:val="none"/>
        </w:rPr>
        <w:t>要求</w:t>
      </w:r>
      <w:r>
        <w:rPr>
          <w:rFonts w:hint="eastAsia" w:ascii="宋体" w:hAnsi="宋体"/>
          <w:color w:val="auto"/>
          <w:kern w:val="2"/>
          <w:highlight w:val="none"/>
        </w:rPr>
        <w:t>规定的质量、规格和性能的要求和符合质量标准，如属于进口产品，需有相关产品质量合格证明或合法渠道证明，且需提供中文说明书和相关资料并提供检验和验收方法、步骤及内容。严禁提供假冒伪劣产品，一经发现，招标方有权解除本合同，并按违约或欺诈行为追究责任。现场标识标贴产品的原材料，需采用国内外知名品牌，并向招标方提供产品的购销合同或采购协议等证明资料。如不能提供上述资料，招标方有权单方面解除合同，已发生的实际费用由承包商自行承担，如因此给招标方造成损失的，承包商还应承担赔偿责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投标方的项目负责人应参加有关的项目协调会。投标方自行负责标识标贴的运输、仓储、保管。运输过程中必须对标识产品妥善保护，以防止因受到潮湿、污染、温度变化、阳光照射、作业行为、碰撞以及其它原因造成</w:t>
      </w:r>
      <w:r>
        <w:rPr>
          <w:rFonts w:hint="eastAsia" w:ascii="宋体"/>
          <w:color w:val="auto"/>
          <w:kern w:val="2"/>
          <w:highlight w:val="none"/>
        </w:rPr>
        <w:t>运营导向标示标贴、安全标识</w:t>
      </w:r>
      <w:r>
        <w:rPr>
          <w:rFonts w:hint="eastAsia" w:ascii="宋体" w:hAnsi="宋体"/>
          <w:color w:val="auto"/>
          <w:kern w:val="2"/>
          <w:highlight w:val="none"/>
        </w:rPr>
        <w:t>产品损坏而影响质量。</w:t>
      </w:r>
    </w:p>
    <w:p>
      <w:pPr>
        <w:pStyle w:val="5"/>
        <w:rPr>
          <w:rFonts w:hint="eastAsia" w:ascii="宋体" w:hAnsi="宋体" w:eastAsia="宋体" w:cs="宋体"/>
          <w:color w:val="auto"/>
          <w:sz w:val="21"/>
          <w:highlight w:val="none"/>
        </w:rPr>
      </w:pPr>
      <w:bookmarkStart w:id="827" w:name="_Toc75768686"/>
      <w:bookmarkStart w:id="828" w:name="_Toc3887"/>
      <w:bookmarkStart w:id="829" w:name="_Toc1836"/>
      <w:bookmarkStart w:id="830" w:name="_Toc12338"/>
      <w:bookmarkStart w:id="831" w:name="_Toc17020"/>
      <w:bookmarkStart w:id="832" w:name="_Toc6856"/>
      <w:bookmarkStart w:id="833" w:name="_Toc26867"/>
      <w:bookmarkStart w:id="834" w:name="_Toc5798"/>
      <w:bookmarkStart w:id="835" w:name="_Toc16604"/>
      <w:bookmarkStart w:id="836" w:name="_Toc21723"/>
      <w:bookmarkStart w:id="837" w:name="_Toc21988"/>
      <w:bookmarkStart w:id="838" w:name="_Toc2103"/>
      <w:bookmarkStart w:id="839" w:name="_Toc4891"/>
      <w:bookmarkStart w:id="840" w:name="_Toc6231"/>
      <w:bookmarkStart w:id="841" w:name="_Toc32656"/>
      <w:bookmarkStart w:id="842" w:name="_Toc16849"/>
      <w:bookmarkStart w:id="843" w:name="_Toc29367"/>
      <w:r>
        <w:rPr>
          <w:rFonts w:hint="eastAsia" w:ascii="宋体" w:hAnsi="宋体" w:eastAsia="宋体" w:cs="宋体"/>
          <w:color w:val="auto"/>
          <w:sz w:val="21"/>
          <w:highlight w:val="none"/>
        </w:rPr>
        <w:t>6.4 施工管理要求</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6"/>
        <w:rPr>
          <w:rFonts w:hint="eastAsia" w:ascii="宋体" w:hAnsi="宋体" w:cs="宋体"/>
          <w:b w:val="0"/>
          <w:bCs/>
          <w:color w:val="auto"/>
          <w:sz w:val="21"/>
          <w:highlight w:val="none"/>
        </w:rPr>
      </w:pPr>
      <w:bookmarkStart w:id="844" w:name="_Toc75768687"/>
      <w:r>
        <w:rPr>
          <w:rFonts w:hint="eastAsia" w:ascii="宋体" w:hAnsi="宋体" w:cs="宋体"/>
          <w:b w:val="0"/>
          <w:bCs/>
          <w:color w:val="auto"/>
          <w:sz w:val="21"/>
          <w:highlight w:val="none"/>
        </w:rPr>
        <w:t>6.4.1项目计划及进度</w:t>
      </w:r>
      <w:bookmarkEnd w:id="84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（1）编制详细的</w:t>
      </w:r>
      <w:r>
        <w:rPr>
          <w:rFonts w:hint="eastAsia" w:ascii="宋体" w:hAnsi="宋体" w:cs="仿宋"/>
          <w:color w:val="auto"/>
          <w:kern w:val="2"/>
          <w:highlight w:val="none"/>
        </w:rPr>
        <w:t>施工组织设计，包括：组织框架、巡检管理、运输计划、施工管理、施工组织、安装计划、施工器具的运用、施工风险控制、施工进度计划、保障</w:t>
      </w:r>
      <w:r>
        <w:rPr>
          <w:rFonts w:hint="eastAsia" w:ascii="宋体" w:hAnsi="宋体"/>
          <w:color w:val="auto"/>
          <w:kern w:val="2"/>
          <w:highlight w:val="none"/>
        </w:rPr>
        <w:t>措施</w:t>
      </w:r>
      <w:r>
        <w:rPr>
          <w:rFonts w:hint="eastAsia" w:ascii="宋体" w:hAnsi="宋体" w:cs="仿宋"/>
          <w:color w:val="auto"/>
          <w:kern w:val="2"/>
          <w:highlight w:val="none"/>
        </w:rPr>
        <w:t>等内容，</w:t>
      </w:r>
      <w:r>
        <w:rPr>
          <w:rFonts w:hint="eastAsia" w:ascii="宋体" w:hAnsi="宋体"/>
          <w:color w:val="auto"/>
          <w:kern w:val="2"/>
          <w:highlight w:val="none"/>
        </w:rPr>
        <w:t>执行情况须结合计划对在未能满足计划进度的情况下每日做出调整，必要时加配足够的专业安装施工人员及相关的施工防护和器具，做好相应的预案，以保证整体项目服务在原定计划完成日之前保质保量地完成。</w:t>
      </w:r>
    </w:p>
    <w:p>
      <w:pPr>
        <w:widowControl w:val="0"/>
        <w:spacing w:before="0" w:after="0" w:afterAutospacing="0"/>
        <w:ind w:left="0" w:right="0" w:firstLine="411" w:firstLineChars="196"/>
        <w:rPr>
          <w:rFonts w:ascii="宋体" w:hAnsi="宋体"/>
          <w:color w:val="auto"/>
          <w:kern w:val="2"/>
          <w:highlight w:val="none"/>
        </w:rPr>
      </w:pPr>
      <w:r>
        <w:rPr>
          <w:rFonts w:hint="eastAsia" w:ascii="宋体" w:hAnsi="宋体"/>
          <w:color w:val="auto"/>
          <w:kern w:val="2"/>
          <w:highlight w:val="none"/>
        </w:rPr>
        <w:t>（2）南宁轨道交通</w:t>
      </w:r>
      <w:r>
        <w:rPr>
          <w:rFonts w:hint="eastAsia" w:ascii="宋体"/>
          <w:color w:val="auto"/>
          <w:kern w:val="2"/>
          <w:highlight w:val="none"/>
        </w:rPr>
        <w:t>5号线运营导向标示标贴、安全标识采购项目的产品要求在</w:t>
      </w:r>
      <w:r>
        <w:rPr>
          <w:rFonts w:hint="eastAsia" w:ascii="宋体" w:hAnsi="宋体"/>
          <w:color w:val="auto"/>
          <w:kern w:val="2"/>
          <w:highlight w:val="none"/>
        </w:rPr>
        <w:t>招标方提出需求后</w:t>
      </w:r>
      <w:r>
        <w:rPr>
          <w:rFonts w:hint="eastAsia" w:ascii="宋体" w:hAnsi="宋体"/>
          <w:color w:val="auto"/>
          <w:kern w:val="2"/>
          <w:highlight w:val="none"/>
          <w:lang w:val="en-US" w:eastAsia="zh-CN"/>
        </w:rPr>
        <w:t>3</w:t>
      </w:r>
      <w:r>
        <w:rPr>
          <w:rFonts w:hint="eastAsia" w:ascii="宋体" w:hAnsi="宋体"/>
          <w:color w:val="auto"/>
          <w:kern w:val="2"/>
          <w:highlight w:val="none"/>
        </w:rPr>
        <w:t>0天内制作安装完成。</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产品制作和安装完成进度（具体见下表）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864"/>
        <w:gridCol w:w="992"/>
        <w:gridCol w:w="1134"/>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54" w:type="dxa"/>
            <w:vMerge w:val="restart"/>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运营导向标示标贴、安全标识产品</w:t>
            </w:r>
          </w:p>
        </w:tc>
        <w:tc>
          <w:tcPr>
            <w:tcW w:w="86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分项</w:t>
            </w:r>
          </w:p>
        </w:tc>
        <w:tc>
          <w:tcPr>
            <w:tcW w:w="992"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设计</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加工制作</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安装</w:t>
            </w:r>
          </w:p>
        </w:tc>
        <w:tc>
          <w:tcPr>
            <w:tcW w:w="2268"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提出需求至投入制作安装完成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54" w:type="dxa"/>
            <w:vMerge w:val="continue"/>
          </w:tcPr>
          <w:p>
            <w:pPr>
              <w:widowControl w:val="0"/>
              <w:spacing w:before="0" w:after="0" w:afterAutospacing="0" w:line="240" w:lineRule="auto"/>
              <w:ind w:left="0" w:right="0" w:firstLine="0"/>
              <w:rPr>
                <w:color w:val="auto"/>
                <w:kern w:val="2"/>
                <w:highlight w:val="none"/>
              </w:rPr>
            </w:pPr>
          </w:p>
        </w:tc>
        <w:tc>
          <w:tcPr>
            <w:tcW w:w="86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时间</w:t>
            </w:r>
          </w:p>
        </w:tc>
        <w:tc>
          <w:tcPr>
            <w:tcW w:w="992"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5天</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1</w:t>
            </w:r>
            <w:r>
              <w:rPr>
                <w:rFonts w:hint="eastAsia"/>
                <w:color w:val="auto"/>
                <w:kern w:val="2"/>
                <w:highlight w:val="none"/>
                <w:lang w:val="en-US" w:eastAsia="zh-CN"/>
              </w:rPr>
              <w:t>0</w:t>
            </w:r>
            <w:r>
              <w:rPr>
                <w:rFonts w:hint="eastAsia"/>
                <w:color w:val="auto"/>
                <w:kern w:val="2"/>
                <w:highlight w:val="none"/>
              </w:rPr>
              <w:t>天</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lang w:val="en-US" w:eastAsia="zh-CN"/>
              </w:rPr>
              <w:t>15</w:t>
            </w:r>
            <w:r>
              <w:rPr>
                <w:rFonts w:hint="eastAsia"/>
                <w:color w:val="auto"/>
                <w:kern w:val="2"/>
                <w:highlight w:val="none"/>
              </w:rPr>
              <w:t>天</w:t>
            </w:r>
          </w:p>
        </w:tc>
        <w:tc>
          <w:tcPr>
            <w:tcW w:w="2268"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lang w:val="en-US" w:eastAsia="zh-CN"/>
              </w:rPr>
              <w:t>30</w:t>
            </w:r>
            <w:r>
              <w:rPr>
                <w:rFonts w:hint="eastAsia"/>
                <w:color w:val="auto"/>
                <w:kern w:val="2"/>
                <w:highlight w:val="none"/>
              </w:rPr>
              <w:t>天</w:t>
            </w:r>
          </w:p>
        </w:tc>
      </w:tr>
    </w:tbl>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（3）对于需及时调试的产品应根据现场施工的实际情况进行安排，并确保调试通过；对于已完成安装的产品及时做好成品保护，以免由此导致产品损坏而出现误期。</w:t>
      </w:r>
    </w:p>
    <w:p>
      <w:pPr>
        <w:pStyle w:val="6"/>
        <w:rPr>
          <w:rFonts w:hint="eastAsia" w:ascii="宋体" w:hAnsi="宋体" w:cs="宋体"/>
          <w:b w:val="0"/>
          <w:bCs/>
          <w:color w:val="auto"/>
          <w:sz w:val="21"/>
          <w:highlight w:val="none"/>
        </w:rPr>
      </w:pPr>
      <w:bookmarkStart w:id="845" w:name="_Toc75768688"/>
      <w:r>
        <w:rPr>
          <w:rFonts w:hint="eastAsia" w:ascii="宋体" w:hAnsi="宋体" w:cs="宋体"/>
          <w:b w:val="0"/>
          <w:bCs/>
          <w:color w:val="auto"/>
          <w:sz w:val="21"/>
          <w:highlight w:val="none"/>
        </w:rPr>
        <w:t>6.4.2包装及发货文件</w:t>
      </w:r>
      <w:bookmarkEnd w:id="845"/>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（1）</w:t>
      </w:r>
      <w:r>
        <w:rPr>
          <w:rFonts w:ascii="宋体" w:hAnsi="宋体"/>
          <w:color w:val="auto"/>
          <w:kern w:val="2"/>
          <w:highlight w:val="none"/>
        </w:rPr>
        <w:t>包装材料：</w:t>
      </w:r>
      <w:r>
        <w:rPr>
          <w:rFonts w:hint="eastAsia" w:ascii="宋体" w:hAnsi="宋体"/>
          <w:color w:val="auto"/>
          <w:kern w:val="2"/>
          <w:highlight w:val="none"/>
        </w:rPr>
        <w:t>包装站采用的材料要求质量可靠，要确保包装物在货物运至现场后及时安装，存放过程中不影响产品的外观及使用性能。</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（2）</w:t>
      </w:r>
      <w:r>
        <w:rPr>
          <w:rFonts w:ascii="宋体" w:hAnsi="宋体"/>
          <w:color w:val="auto"/>
          <w:kern w:val="2"/>
          <w:highlight w:val="none"/>
        </w:rPr>
        <w:t>每批材料应随货物附发货文件</w:t>
      </w:r>
      <w:r>
        <w:rPr>
          <w:color w:val="auto"/>
          <w:kern w:val="2"/>
          <w:highlight w:val="none"/>
        </w:rPr>
        <w:t>2</w:t>
      </w:r>
      <w:r>
        <w:rPr>
          <w:rFonts w:ascii="宋体" w:hAnsi="宋体"/>
          <w:color w:val="auto"/>
          <w:kern w:val="2"/>
          <w:highlight w:val="none"/>
        </w:rPr>
        <w:t>份，</w:t>
      </w:r>
      <w:r>
        <w:rPr>
          <w:rFonts w:hint="eastAsia" w:ascii="宋体" w:hAnsi="宋体"/>
          <w:color w:val="auto"/>
          <w:kern w:val="2"/>
          <w:highlight w:val="none"/>
        </w:rPr>
        <w:t>且发货文件需做防水处理，以避免雨水或潮气而使文字信息模糊不可辨识，</w:t>
      </w:r>
      <w:r>
        <w:rPr>
          <w:rFonts w:ascii="宋体" w:hAnsi="宋体"/>
          <w:color w:val="auto"/>
          <w:kern w:val="2"/>
          <w:highlight w:val="none"/>
        </w:rPr>
        <w:t>发货文件应包括以下内容：</w:t>
      </w:r>
    </w:p>
    <w:p>
      <w:pPr>
        <w:widowControl w:val="0"/>
        <w:numPr>
          <w:ilvl w:val="0"/>
          <w:numId w:val="10"/>
        </w:numPr>
        <w:spacing w:before="0" w:after="0" w:afterAutospacing="0" w:line="240" w:lineRule="auto"/>
        <w:ind w:left="0" w:right="0" w:firstLine="142"/>
        <w:rPr>
          <w:color w:val="auto"/>
          <w:kern w:val="2"/>
          <w:highlight w:val="none"/>
        </w:rPr>
      </w:pPr>
      <w:r>
        <w:rPr>
          <w:rFonts w:hint="eastAsia" w:ascii="宋体" w:hAnsi="宋体"/>
          <w:color w:val="auto"/>
          <w:kern w:val="2"/>
          <w:highlight w:val="none"/>
        </w:rPr>
        <w:t>项目</w:t>
      </w:r>
      <w:r>
        <w:rPr>
          <w:rFonts w:ascii="宋体" w:hAnsi="宋体"/>
          <w:color w:val="auto"/>
          <w:kern w:val="2"/>
          <w:highlight w:val="none"/>
        </w:rPr>
        <w:t>采购编号</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收货人</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货物名称</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安装</w:t>
      </w:r>
      <w:r>
        <w:rPr>
          <w:rFonts w:hint="eastAsia" w:ascii="宋体" w:hAnsi="宋体"/>
          <w:color w:val="auto"/>
          <w:kern w:val="2"/>
          <w:highlight w:val="none"/>
        </w:rPr>
        <w:t>地点</w:t>
      </w:r>
      <w:r>
        <w:rPr>
          <w:rFonts w:ascii="宋体" w:hAnsi="宋体"/>
          <w:color w:val="auto"/>
          <w:kern w:val="2"/>
          <w:highlight w:val="none"/>
        </w:rPr>
        <w:t>及使用部位</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hint="eastAsia" w:ascii="宋体" w:hAnsi="宋体"/>
          <w:color w:val="auto"/>
          <w:kern w:val="2"/>
          <w:highlight w:val="none"/>
        </w:rPr>
        <w:t>标识标贴的</w:t>
      </w:r>
      <w:r>
        <w:rPr>
          <w:rFonts w:ascii="宋体" w:hAnsi="宋体"/>
          <w:color w:val="auto"/>
          <w:kern w:val="2"/>
          <w:highlight w:val="none"/>
        </w:rPr>
        <w:t>规格及编号</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装箱编号/总箱数</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毛重/净重（kg）</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尺寸（长×宽×高）</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（3）包装时要考虑产品的重心，为确保运输安全，须让质心处于含包装件后整个物品的下部。</w:t>
      </w:r>
    </w:p>
    <w:p>
      <w:pPr>
        <w:pStyle w:val="6"/>
        <w:rPr>
          <w:rFonts w:hint="eastAsia" w:ascii="宋体" w:hAnsi="宋体" w:cs="宋体"/>
          <w:b w:val="0"/>
          <w:bCs/>
          <w:color w:val="auto"/>
          <w:sz w:val="21"/>
          <w:highlight w:val="none"/>
        </w:rPr>
      </w:pPr>
      <w:bookmarkStart w:id="846" w:name="_Toc75768689"/>
      <w:r>
        <w:rPr>
          <w:rFonts w:hint="eastAsia" w:ascii="宋体" w:hAnsi="宋体" w:cs="宋体"/>
          <w:b w:val="0"/>
          <w:bCs/>
          <w:color w:val="auto"/>
          <w:sz w:val="21"/>
          <w:highlight w:val="none"/>
        </w:rPr>
        <w:t>6.4.3发货与运输</w:t>
      </w:r>
      <w:bookmarkEnd w:id="846"/>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投标方必须根据项目实际进度供货发货，投标方的项目负责人应参加与有关的项目协调会，以决定最合理的供货周期。</w:t>
      </w:r>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投标方自行负责标识标贴的运输、仓储、保管。运输过程中必须对标识产品妥善保护，以防止因受到潮湿、污染、温度变化、阳光照射、作业行为、碰撞以及其它原因造成标识标贴损坏而影响质量。</w:t>
      </w:r>
    </w:p>
    <w:p>
      <w:pPr>
        <w:pStyle w:val="6"/>
        <w:rPr>
          <w:rFonts w:hint="eastAsia" w:ascii="宋体" w:hAnsi="宋体" w:cs="宋体"/>
          <w:b w:val="0"/>
          <w:bCs/>
          <w:color w:val="auto"/>
          <w:sz w:val="21"/>
          <w:highlight w:val="none"/>
        </w:rPr>
      </w:pPr>
      <w:bookmarkStart w:id="847" w:name="_Toc75768690"/>
      <w:r>
        <w:rPr>
          <w:rFonts w:hint="eastAsia" w:ascii="宋体" w:hAnsi="宋体" w:cs="宋体"/>
          <w:b w:val="0"/>
          <w:bCs/>
          <w:color w:val="auto"/>
          <w:sz w:val="21"/>
          <w:highlight w:val="none"/>
        </w:rPr>
        <w:t>6.4.4技术文件及技术图纸</w:t>
      </w:r>
      <w:bookmarkEnd w:id="847"/>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（1）投标方</w:t>
      </w:r>
      <w:r>
        <w:rPr>
          <w:rFonts w:ascii="宋体" w:hAnsi="宋体"/>
          <w:color w:val="auto"/>
          <w:kern w:val="2"/>
          <w:highlight w:val="none"/>
        </w:rPr>
        <w:t>应在不同阶段将执行合同</w:t>
      </w:r>
      <w:r>
        <w:rPr>
          <w:rFonts w:hint="eastAsia" w:ascii="宋体" w:hAnsi="宋体"/>
          <w:color w:val="auto"/>
          <w:kern w:val="2"/>
          <w:highlight w:val="none"/>
        </w:rPr>
        <w:t>所</w:t>
      </w:r>
      <w:r>
        <w:rPr>
          <w:rFonts w:ascii="宋体" w:hAnsi="宋体"/>
          <w:color w:val="auto"/>
          <w:kern w:val="2"/>
          <w:highlight w:val="none"/>
        </w:rPr>
        <w:t>需要的技术文件提交</w:t>
      </w:r>
      <w:r>
        <w:rPr>
          <w:rFonts w:hint="eastAsia" w:ascii="宋体" w:hAnsi="宋体"/>
          <w:color w:val="auto"/>
          <w:kern w:val="2"/>
          <w:highlight w:val="none"/>
        </w:rPr>
        <w:t>招标方</w:t>
      </w:r>
      <w:r>
        <w:rPr>
          <w:rFonts w:ascii="宋体" w:hAnsi="宋体"/>
          <w:color w:val="auto"/>
          <w:kern w:val="2"/>
          <w:highlight w:val="none"/>
        </w:rPr>
        <w:t>审查。</w:t>
      </w:r>
      <w:r>
        <w:rPr>
          <w:rFonts w:hint="eastAsia" w:ascii="宋体" w:hAnsi="宋体"/>
          <w:color w:val="auto"/>
          <w:kern w:val="2"/>
          <w:highlight w:val="none"/>
        </w:rPr>
        <w:t>招标方</w:t>
      </w:r>
      <w:r>
        <w:rPr>
          <w:rFonts w:ascii="宋体" w:hAnsi="宋体"/>
          <w:color w:val="auto"/>
          <w:kern w:val="2"/>
          <w:highlight w:val="none"/>
        </w:rPr>
        <w:t>需要</w:t>
      </w:r>
      <w:r>
        <w:rPr>
          <w:rFonts w:hint="eastAsia" w:ascii="宋体" w:hAnsi="宋体"/>
          <w:color w:val="auto"/>
          <w:kern w:val="2"/>
          <w:highlight w:val="none"/>
        </w:rPr>
        <w:t>投标方</w:t>
      </w:r>
      <w:r>
        <w:rPr>
          <w:rFonts w:ascii="宋体" w:hAnsi="宋体"/>
          <w:color w:val="auto"/>
          <w:kern w:val="2"/>
          <w:highlight w:val="none"/>
        </w:rPr>
        <w:t>提供的技术文件包括但不限于下表内容：</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26"/>
        <w:gridCol w:w="496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序号</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名称</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主要内容</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1</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主要原材料采购文件</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主要原材料名称、产地、规格型号等</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2</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执行标准</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rFonts w:hint="eastAsia" w:ascii="宋体" w:hAnsi="宋体"/>
                <w:color w:val="auto"/>
                <w:kern w:val="2"/>
                <w:highlight w:val="none"/>
              </w:rPr>
              <w:t>企业</w:t>
            </w:r>
            <w:r>
              <w:rPr>
                <w:color w:val="auto"/>
                <w:kern w:val="2"/>
                <w:highlight w:val="none"/>
              </w:rPr>
              <w:t>标准</w:t>
            </w:r>
            <w:r>
              <w:rPr>
                <w:rFonts w:hint="eastAsia" w:ascii="宋体" w:hAnsi="宋体"/>
                <w:color w:val="auto"/>
                <w:kern w:val="2"/>
                <w:highlight w:val="none"/>
              </w:rPr>
              <w:t>或</w:t>
            </w:r>
            <w:r>
              <w:rPr>
                <w:color w:val="auto"/>
                <w:kern w:val="2"/>
                <w:highlight w:val="none"/>
              </w:rPr>
              <w:t>国家标准或国际标准等</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785" w:type="dxa"/>
            <w:vMerge w:val="restart"/>
            <w:tcBorders>
              <w:top w:val="nil"/>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3</w:t>
            </w:r>
          </w:p>
        </w:tc>
        <w:tc>
          <w:tcPr>
            <w:tcW w:w="2126" w:type="dxa"/>
            <w:vMerge w:val="restart"/>
            <w:tcBorders>
              <w:top w:val="nil"/>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检验文件</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工厂、出厂检验大纲</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785"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2126" w:type="dxa"/>
            <w:vMerge w:val="continue"/>
            <w:tcBorders>
              <w:top w:val="nil"/>
              <w:left w:val="nil"/>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货物和/</w:t>
            </w:r>
            <w:r>
              <w:rPr>
                <w:rFonts w:ascii="宋体" w:hAnsi="宋体"/>
                <w:color w:val="auto"/>
                <w:kern w:val="2"/>
                <w:highlight w:val="none"/>
              </w:rPr>
              <w:t>或重要原材料检验报告、记录</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785"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2126" w:type="dxa"/>
            <w:vMerge w:val="continue"/>
            <w:tcBorders>
              <w:top w:val="nil"/>
              <w:left w:val="nil"/>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货物和/</w:t>
            </w:r>
            <w:r>
              <w:rPr>
                <w:rFonts w:ascii="宋体" w:hAnsi="宋体"/>
                <w:color w:val="auto"/>
                <w:kern w:val="2"/>
                <w:highlight w:val="none"/>
              </w:rPr>
              <w:t>或重要原材料合格证</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4</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完工资料</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记录合同货物的加工、检验、验收等主要资料</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5</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包装与标识</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装卸及转运要求</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6</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工艺和质控文件</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包括货物制造、材料和外购件采购与检验程序、质控文件等</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工厂审查</w:t>
            </w:r>
          </w:p>
        </w:tc>
      </w:tr>
    </w:tbl>
    <w:p>
      <w:pPr>
        <w:pStyle w:val="5"/>
        <w:rPr>
          <w:rFonts w:hint="eastAsia" w:ascii="宋体" w:hAnsi="宋体" w:eastAsia="宋体" w:cs="宋体"/>
          <w:color w:val="auto"/>
          <w:sz w:val="21"/>
          <w:highlight w:val="none"/>
        </w:rPr>
      </w:pPr>
      <w:bookmarkStart w:id="848" w:name="_Toc29070"/>
      <w:bookmarkStart w:id="849" w:name="_Toc75768691"/>
      <w:bookmarkStart w:id="850" w:name="_Toc27196"/>
      <w:bookmarkStart w:id="851" w:name="_Toc21129"/>
      <w:bookmarkStart w:id="852" w:name="_Toc13384"/>
      <w:bookmarkStart w:id="853" w:name="_Toc28276"/>
      <w:bookmarkStart w:id="854" w:name="_Toc9607"/>
      <w:bookmarkStart w:id="855" w:name="_Toc21352"/>
      <w:bookmarkStart w:id="856" w:name="_Toc29293"/>
      <w:bookmarkStart w:id="857" w:name="_Toc4006"/>
      <w:bookmarkStart w:id="858" w:name="_Toc12986"/>
      <w:bookmarkStart w:id="859" w:name="_Toc17185"/>
      <w:bookmarkStart w:id="860" w:name="_Toc31693"/>
      <w:bookmarkStart w:id="861" w:name="_Toc21929"/>
      <w:r>
        <w:rPr>
          <w:rFonts w:hint="eastAsia" w:ascii="宋体" w:hAnsi="宋体" w:eastAsia="宋体" w:cs="宋体"/>
          <w:color w:val="auto"/>
          <w:sz w:val="21"/>
          <w:highlight w:val="none"/>
        </w:rPr>
        <w:t>6.5 设计及设计联络</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投标方在投标文件中应提交在工程现场进行的详细计划（包括与招标方、属地管理单位的技术交底工作），供招标方批准，设计及技术联络会费用应计入投标总价。</w:t>
      </w:r>
    </w:p>
    <w:p>
      <w:pPr>
        <w:pStyle w:val="6"/>
        <w:rPr>
          <w:rFonts w:hint="eastAsia" w:ascii="宋体" w:hAnsi="宋体" w:cs="宋体"/>
          <w:b w:val="0"/>
          <w:bCs/>
          <w:color w:val="auto"/>
          <w:sz w:val="21"/>
          <w:highlight w:val="none"/>
        </w:rPr>
      </w:pPr>
      <w:bookmarkStart w:id="862" w:name="_Toc75768692"/>
      <w:r>
        <w:rPr>
          <w:rFonts w:hint="eastAsia" w:ascii="宋体" w:hAnsi="宋体" w:cs="宋体"/>
          <w:b w:val="0"/>
          <w:bCs/>
          <w:color w:val="auto"/>
          <w:sz w:val="21"/>
          <w:highlight w:val="none"/>
        </w:rPr>
        <w:t>6.5.1深化设计要求</w:t>
      </w:r>
      <w:bookmarkEnd w:id="862"/>
    </w:p>
    <w:p>
      <w:pPr>
        <w:widowControl w:val="0"/>
        <w:spacing w:before="0" w:after="0" w:afterAutospacing="0"/>
        <w:ind w:left="0" w:right="0" w:firstLine="463" w:firstLineChars="193"/>
        <w:rPr>
          <w:rFonts w:ascii="宋体" w:hAnsi="宋体" w:cs="仿宋"/>
          <w:color w:val="auto"/>
          <w:kern w:val="2"/>
          <w:highlight w:val="none"/>
        </w:rPr>
      </w:pPr>
      <w:r>
        <w:rPr>
          <w:rFonts w:hint="eastAsia" w:ascii="宋体" w:hAnsi="宋体" w:cs="仿宋"/>
          <w:color w:val="auto"/>
          <w:kern w:val="2"/>
          <w:sz w:val="24"/>
          <w:szCs w:val="24"/>
          <w:highlight w:val="none"/>
        </w:rPr>
        <w:t>（</w:t>
      </w:r>
      <w:r>
        <w:rPr>
          <w:rFonts w:hint="eastAsia" w:ascii="宋体" w:hAnsi="宋体" w:cs="仿宋"/>
          <w:color w:val="auto"/>
          <w:kern w:val="2"/>
          <w:highlight w:val="none"/>
        </w:rPr>
        <w:t>1）招标方提供的图纸或参考图样是指导性质的图纸，显示外观和功能的基本要求，及标识标牌的工程范围。投标方应充分考虑到在设计、制作、安装中现场的技术性问题，进行深化设计，使各标识标牌最终能满足招标方及各使用单位的各类设备的功能需要和操作方便。标识标牌工程深化设计的构造效果应便于维护和清洁。一切为完善招标方要求的深化设计站发生的费用都包括在总价内。</w:t>
      </w:r>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2）投标方须委派有二年以上专业经验的标识标牌设计、安装施工工程师至现场负责对现场情况与图纸差异进行核对复测，以便及时与招标方管理人员进行协商，对图纸节点及各细部处理作出修改和确定，修改须经招标方管理人员同意，投标方对由此引起的任何修改不得以任何理由要求追加费用。</w:t>
      </w:r>
    </w:p>
    <w:p>
      <w:pPr>
        <w:widowControl w:val="0"/>
        <w:spacing w:before="0" w:after="0" w:afterAutospacing="0"/>
        <w:ind w:left="0" w:right="0" w:firstLine="405" w:firstLineChars="193"/>
        <w:rPr>
          <w:rFonts w:ascii="宋体" w:hAnsi="宋体"/>
          <w:color w:val="auto"/>
          <w:kern w:val="2"/>
          <w:highlight w:val="none"/>
        </w:rPr>
      </w:pPr>
      <w:r>
        <w:rPr>
          <w:rFonts w:hint="eastAsia" w:ascii="宋体" w:hAnsi="宋体" w:cs="仿宋"/>
          <w:color w:val="auto"/>
          <w:kern w:val="2"/>
          <w:highlight w:val="none"/>
        </w:rPr>
        <w:t>（3）</w:t>
      </w:r>
      <w:r>
        <w:rPr>
          <w:rFonts w:hint="eastAsia" w:ascii="宋体" w:hAnsi="宋体"/>
          <w:color w:val="auto"/>
          <w:kern w:val="2"/>
          <w:highlight w:val="none"/>
        </w:rPr>
        <w:t>本用户需求书中要求提供深化设计的运营导向标示标贴（见《</w:t>
      </w:r>
      <w:r>
        <w:rPr>
          <w:rFonts w:hint="eastAsia"/>
          <w:color w:val="auto"/>
          <w:kern w:val="2"/>
          <w:highlight w:val="none"/>
        </w:rPr>
        <w:t>南宁地铁5号线运营导向标示标贴、安全标识技术要求及数量表</w:t>
      </w:r>
      <w:r>
        <w:rPr>
          <w:rFonts w:hint="eastAsia" w:ascii="宋体" w:hAnsi="宋体"/>
          <w:color w:val="auto"/>
          <w:kern w:val="2"/>
          <w:highlight w:val="none"/>
        </w:rPr>
        <w:t>》），投标方需在投标文件中按要求应答。深化设计图需明确表达版面信息、尺寸、表面工艺、材质及提供制作结构设计详图。</w:t>
      </w:r>
    </w:p>
    <w:p>
      <w:pPr>
        <w:widowControl w:val="0"/>
        <w:spacing w:before="0" w:after="0" w:afterAutospacing="0"/>
        <w:ind w:left="0" w:right="0" w:firstLine="405" w:firstLineChars="193"/>
        <w:rPr>
          <w:rFonts w:ascii="宋体" w:hAnsi="宋体"/>
          <w:color w:val="auto"/>
          <w:kern w:val="2"/>
          <w:highlight w:val="none"/>
        </w:rPr>
      </w:pPr>
      <w:r>
        <w:rPr>
          <w:rFonts w:hint="eastAsia" w:ascii="宋体" w:hAnsi="宋体"/>
          <w:color w:val="auto"/>
          <w:kern w:val="2"/>
          <w:highlight w:val="none"/>
        </w:rPr>
        <w:t>（4）除不能更改的地铁规范安全警示标识外，其余服务类标识标贴应考虑设计符合线路特色样式。</w:t>
      </w:r>
    </w:p>
    <w:p>
      <w:pPr>
        <w:pStyle w:val="6"/>
        <w:rPr>
          <w:rFonts w:hint="eastAsia" w:ascii="宋体" w:hAnsi="宋体" w:cs="宋体"/>
          <w:b w:val="0"/>
          <w:bCs/>
          <w:color w:val="auto"/>
          <w:sz w:val="21"/>
          <w:highlight w:val="none"/>
        </w:rPr>
      </w:pPr>
      <w:bookmarkStart w:id="863" w:name="_Toc75768693"/>
      <w:r>
        <w:rPr>
          <w:rFonts w:hint="eastAsia" w:ascii="宋体" w:hAnsi="宋体" w:cs="宋体"/>
          <w:b w:val="0"/>
          <w:bCs/>
          <w:color w:val="auto"/>
          <w:sz w:val="21"/>
          <w:highlight w:val="none"/>
        </w:rPr>
        <w:t>6.5.2设计联络会</w:t>
      </w:r>
      <w:bookmarkEnd w:id="863"/>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1）标识标牌安装涉及的相关系统设备种类、型号、颜色、品牌、内部结构分割和关联到的预留口、安装、结点收口处理等，在设计图纸中未详细说明的部分，将通过招标方式不定期召开的与设计以及相关系统安装单位的设计联络会，来及时交流有关获得的最新信息，并进一步及时作出相关的变更要求、深化设计。</w:t>
      </w:r>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2）投标方必须无条件及时派员参加设计联络会，因此发生的费用应包括在总价内。任何除外形尺寸、数量、主材选择以外的任何变化都不能作为投标方增加价格、延迟工期的理由，投标方应充分考虑方案进行调整潜在的可能性。</w:t>
      </w:r>
    </w:p>
    <w:p>
      <w:pPr>
        <w:pStyle w:val="5"/>
        <w:rPr>
          <w:rFonts w:hint="eastAsia" w:ascii="宋体" w:hAnsi="宋体" w:eastAsia="宋体" w:cs="宋体"/>
          <w:color w:val="auto"/>
          <w:sz w:val="21"/>
          <w:highlight w:val="none"/>
        </w:rPr>
      </w:pPr>
      <w:bookmarkStart w:id="864" w:name="_Toc32448"/>
      <w:bookmarkStart w:id="865" w:name="_Toc10204"/>
      <w:bookmarkStart w:id="866" w:name="_Toc5822"/>
      <w:bookmarkStart w:id="867" w:name="_Toc30154"/>
      <w:bookmarkStart w:id="868" w:name="_Toc8173"/>
      <w:bookmarkStart w:id="869" w:name="_Toc28004"/>
      <w:bookmarkStart w:id="870" w:name="_Toc20426"/>
      <w:bookmarkStart w:id="871" w:name="_Toc8823"/>
      <w:bookmarkStart w:id="872" w:name="_Toc15917"/>
      <w:bookmarkStart w:id="873" w:name="_Toc7011"/>
      <w:bookmarkStart w:id="874" w:name="_Toc3644"/>
      <w:bookmarkStart w:id="875" w:name="_Toc8497"/>
      <w:bookmarkStart w:id="876" w:name="_Toc795"/>
      <w:bookmarkStart w:id="877" w:name="_Toc75768694"/>
      <w:bookmarkStart w:id="878" w:name="_Toc11810"/>
      <w:bookmarkStart w:id="879" w:name="_Toc21149"/>
      <w:bookmarkStart w:id="880" w:name="_Toc8430"/>
      <w:r>
        <w:rPr>
          <w:rFonts w:hint="eastAsia" w:ascii="宋体" w:hAnsi="宋体" w:eastAsia="宋体" w:cs="宋体"/>
          <w:color w:val="auto"/>
          <w:sz w:val="21"/>
          <w:highlight w:val="none"/>
        </w:rPr>
        <w:t>6.6 成品保护及响应要求</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6"/>
        <w:rPr>
          <w:rFonts w:hint="eastAsia" w:ascii="宋体" w:hAnsi="宋体" w:cs="宋体"/>
          <w:b w:val="0"/>
          <w:bCs/>
          <w:color w:val="auto"/>
          <w:sz w:val="21"/>
          <w:highlight w:val="none"/>
        </w:rPr>
      </w:pPr>
      <w:bookmarkStart w:id="881" w:name="_Toc75768695"/>
      <w:r>
        <w:rPr>
          <w:rFonts w:hint="eastAsia" w:ascii="宋体" w:hAnsi="宋体" w:cs="宋体"/>
          <w:b w:val="0"/>
          <w:bCs/>
          <w:color w:val="auto"/>
          <w:sz w:val="21"/>
          <w:highlight w:val="none"/>
        </w:rPr>
        <w:t>6.6.1 成品保护</w:t>
      </w:r>
      <w:bookmarkEnd w:id="881"/>
    </w:p>
    <w:p>
      <w:pPr>
        <w:widowControl w:val="0"/>
        <w:spacing w:before="0" w:after="0" w:afterAutospacing="0"/>
        <w:ind w:left="0" w:right="0" w:firstLine="420" w:firstLineChars="200"/>
        <w:rPr>
          <w:rFonts w:ascii="宋体" w:hAnsi="宋体" w:cs="仿宋"/>
          <w:color w:val="auto"/>
          <w:kern w:val="2"/>
          <w:highlight w:val="none"/>
        </w:rPr>
      </w:pPr>
      <w:r>
        <w:rPr>
          <w:rFonts w:hint="eastAsia" w:ascii="宋体" w:hAnsi="宋体" w:cs="仿宋"/>
          <w:color w:val="auto"/>
          <w:kern w:val="2"/>
          <w:highlight w:val="none"/>
        </w:rPr>
        <w:t>（1）在工程施工和标识标贴安装过程中，投标方应做好提供产品的产品保护以及相应措施。投标方不得损坏土建结构和已装修完毕的墙面、地面、其他已安装的产品和系统，由此引起的替换或修补费用由投标方承担。</w:t>
      </w:r>
    </w:p>
    <w:p>
      <w:pPr>
        <w:widowControl w:val="0"/>
        <w:spacing w:before="0" w:after="0" w:afterAutospacing="0"/>
        <w:ind w:left="0" w:right="0" w:firstLine="420"/>
        <w:rPr>
          <w:rFonts w:ascii="宋体" w:hAnsi="宋体" w:cs="仿宋"/>
          <w:color w:val="auto"/>
          <w:kern w:val="2"/>
          <w:highlight w:val="none"/>
        </w:rPr>
      </w:pPr>
      <w:r>
        <w:rPr>
          <w:rFonts w:hint="eastAsia" w:ascii="宋体" w:hAnsi="宋体" w:cs="仿宋"/>
          <w:color w:val="auto"/>
          <w:kern w:val="2"/>
          <w:highlight w:val="none"/>
        </w:rPr>
        <w:t>（2）成品保护需要的工作设施、工作照明、防护、安装脚手、围栏、警告标志和守护人员等由投标方负责。</w:t>
      </w:r>
    </w:p>
    <w:p>
      <w:pPr>
        <w:pStyle w:val="6"/>
        <w:rPr>
          <w:rFonts w:hint="eastAsia" w:ascii="宋体" w:hAnsi="宋体" w:cs="宋体"/>
          <w:b w:val="0"/>
          <w:bCs/>
          <w:color w:val="auto"/>
          <w:sz w:val="21"/>
          <w:highlight w:val="none"/>
        </w:rPr>
      </w:pPr>
      <w:bookmarkStart w:id="882" w:name="_Toc75768696"/>
      <w:r>
        <w:rPr>
          <w:rFonts w:hint="eastAsia" w:ascii="宋体" w:hAnsi="宋体" w:cs="宋体"/>
          <w:b w:val="0"/>
          <w:bCs/>
          <w:color w:val="auto"/>
          <w:sz w:val="21"/>
          <w:highlight w:val="none"/>
        </w:rPr>
        <w:t>6.6.2 响应要求</w:t>
      </w:r>
      <w:bookmarkEnd w:id="882"/>
    </w:p>
    <w:p>
      <w:pPr>
        <w:widowControl w:val="0"/>
        <w:spacing w:before="0" w:after="0" w:afterAutospacing="0"/>
        <w:ind w:left="0" w:right="0" w:firstLine="420"/>
        <w:rPr>
          <w:rFonts w:ascii="宋体" w:hAnsi="宋体" w:cs="仿宋"/>
          <w:color w:val="auto"/>
          <w:kern w:val="2"/>
          <w:highlight w:val="none"/>
        </w:rPr>
      </w:pPr>
      <w:r>
        <w:rPr>
          <w:rFonts w:hint="eastAsia" w:ascii="宋体" w:hAnsi="宋体" w:cs="仿宋"/>
          <w:color w:val="auto"/>
          <w:kern w:val="2"/>
          <w:highlight w:val="none"/>
        </w:rPr>
        <w:t>投标方</w:t>
      </w:r>
      <w:r>
        <w:rPr>
          <w:rFonts w:ascii="宋体" w:hAnsi="宋体" w:cs="仿宋"/>
          <w:color w:val="auto"/>
          <w:kern w:val="2"/>
          <w:highlight w:val="none"/>
        </w:rPr>
        <w:t>严格按照</w:t>
      </w:r>
      <w:r>
        <w:rPr>
          <w:rFonts w:hint="eastAsia" w:ascii="宋体" w:hAnsi="宋体" w:cs="仿宋"/>
          <w:color w:val="auto"/>
          <w:kern w:val="2"/>
          <w:highlight w:val="none"/>
        </w:rPr>
        <w:t>招标方</w:t>
      </w:r>
      <w:r>
        <w:rPr>
          <w:rFonts w:ascii="宋体" w:hAnsi="宋体" w:cs="仿宋"/>
          <w:color w:val="auto"/>
          <w:kern w:val="2"/>
          <w:highlight w:val="none"/>
        </w:rPr>
        <w:t>要求在规定的响应时间完成导向</w:t>
      </w:r>
      <w:r>
        <w:rPr>
          <w:rFonts w:hint="eastAsia" w:ascii="宋体" w:hAnsi="宋体" w:cs="仿宋"/>
          <w:color w:val="auto"/>
          <w:kern w:val="2"/>
          <w:highlight w:val="none"/>
        </w:rPr>
        <w:t>标识</w:t>
      </w:r>
      <w:r>
        <w:rPr>
          <w:rFonts w:ascii="宋体" w:hAnsi="宋体" w:cs="仿宋"/>
          <w:color w:val="auto"/>
          <w:kern w:val="2"/>
          <w:highlight w:val="none"/>
        </w:rPr>
        <w:t>设计、制作、安装，但特殊情况下</w:t>
      </w:r>
      <w:r>
        <w:rPr>
          <w:rFonts w:hint="eastAsia" w:ascii="宋体" w:hAnsi="宋体" w:cs="仿宋"/>
          <w:color w:val="auto"/>
          <w:kern w:val="2"/>
          <w:highlight w:val="none"/>
        </w:rPr>
        <w:t>招标方</w:t>
      </w:r>
      <w:r>
        <w:rPr>
          <w:rFonts w:ascii="宋体" w:hAnsi="宋体" w:cs="仿宋"/>
          <w:color w:val="auto"/>
          <w:kern w:val="2"/>
          <w:highlight w:val="none"/>
        </w:rPr>
        <w:t>有迎检、验收等重要任务时，</w:t>
      </w:r>
      <w:r>
        <w:rPr>
          <w:rFonts w:hint="eastAsia" w:ascii="宋体" w:hAnsi="宋体" w:cs="仿宋"/>
          <w:color w:val="auto"/>
          <w:kern w:val="2"/>
          <w:highlight w:val="none"/>
        </w:rPr>
        <w:t>投标方</w:t>
      </w:r>
      <w:r>
        <w:rPr>
          <w:rFonts w:ascii="宋体" w:hAnsi="宋体" w:cs="仿宋"/>
          <w:color w:val="auto"/>
          <w:kern w:val="2"/>
          <w:highlight w:val="none"/>
        </w:rPr>
        <w:t>应积极配合</w:t>
      </w:r>
      <w:r>
        <w:rPr>
          <w:rFonts w:hint="eastAsia" w:ascii="宋体" w:hAnsi="宋体" w:cs="仿宋"/>
          <w:color w:val="auto"/>
          <w:kern w:val="2"/>
          <w:highlight w:val="none"/>
        </w:rPr>
        <w:t>招标方</w:t>
      </w:r>
      <w:r>
        <w:rPr>
          <w:rFonts w:ascii="宋体" w:hAnsi="宋体" w:cs="仿宋"/>
          <w:color w:val="auto"/>
          <w:kern w:val="2"/>
          <w:highlight w:val="none"/>
        </w:rPr>
        <w:t>工作。根据</w:t>
      </w:r>
      <w:r>
        <w:rPr>
          <w:rFonts w:hint="eastAsia" w:ascii="宋体" w:hAnsi="宋体" w:cs="仿宋"/>
          <w:color w:val="auto"/>
          <w:kern w:val="2"/>
          <w:highlight w:val="none"/>
        </w:rPr>
        <w:t>招标方</w:t>
      </w:r>
      <w:r>
        <w:rPr>
          <w:rFonts w:ascii="宋体" w:hAnsi="宋体" w:cs="仿宋"/>
          <w:color w:val="auto"/>
          <w:kern w:val="2"/>
          <w:highlight w:val="none"/>
        </w:rPr>
        <w:t>要求分为“紧急”和“特别紧急”两个响应等级响应</w:t>
      </w:r>
      <w:r>
        <w:rPr>
          <w:rFonts w:hint="eastAsia" w:ascii="宋体" w:hAnsi="宋体" w:cs="仿宋"/>
          <w:color w:val="auto"/>
          <w:kern w:val="2"/>
          <w:highlight w:val="none"/>
        </w:rPr>
        <w:t>招标方</w:t>
      </w:r>
      <w:r>
        <w:rPr>
          <w:rFonts w:ascii="宋体" w:hAnsi="宋体" w:cs="仿宋"/>
          <w:color w:val="auto"/>
          <w:kern w:val="2"/>
          <w:highlight w:val="none"/>
        </w:rPr>
        <w:t>。“紧急”响应等级，响应时间为</w:t>
      </w:r>
      <w:r>
        <w:rPr>
          <w:rFonts w:hint="eastAsia" w:ascii="宋体" w:hAnsi="宋体" w:cs="仿宋"/>
          <w:color w:val="auto"/>
          <w:kern w:val="2"/>
          <w:highlight w:val="none"/>
        </w:rPr>
        <w:t>60分钟</w:t>
      </w:r>
      <w:r>
        <w:rPr>
          <w:rFonts w:ascii="宋体" w:hAnsi="宋体" w:cs="仿宋"/>
          <w:color w:val="auto"/>
          <w:kern w:val="2"/>
          <w:highlight w:val="none"/>
        </w:rPr>
        <w:t>；“特别紧急”响应等级，响应时间为</w:t>
      </w:r>
      <w:r>
        <w:rPr>
          <w:rFonts w:hint="eastAsia" w:ascii="宋体" w:hAnsi="宋体" w:cs="仿宋"/>
          <w:color w:val="auto"/>
          <w:kern w:val="2"/>
          <w:highlight w:val="none"/>
        </w:rPr>
        <w:t>40分钟。</w:t>
      </w:r>
    </w:p>
    <w:bookmarkEnd w:id="826"/>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883" w:name="_TOC_250002"/>
      <w:bookmarkEnd w:id="883"/>
      <w:bookmarkStart w:id="884" w:name="_Toc5069"/>
      <w:bookmarkStart w:id="885" w:name="_Toc22327"/>
      <w:bookmarkStart w:id="886" w:name="_Toc16625"/>
      <w:bookmarkStart w:id="887" w:name="_Toc5666"/>
      <w:bookmarkStart w:id="888" w:name="_Toc13812"/>
      <w:bookmarkStart w:id="889" w:name="_Toc28998"/>
      <w:bookmarkStart w:id="890" w:name="_Toc24408"/>
      <w:bookmarkStart w:id="891" w:name="_Toc75768697"/>
      <w:bookmarkStart w:id="892" w:name="_Toc3267"/>
      <w:bookmarkStart w:id="893" w:name="_Toc8001"/>
      <w:bookmarkStart w:id="894" w:name="_Toc6631"/>
      <w:r>
        <w:rPr>
          <w:rFonts w:hint="eastAsia" w:ascii="黑体" w:hAnsi="黑体" w:eastAsia="黑体" w:cs="黑体"/>
          <w:color w:val="auto"/>
          <w:sz w:val="24"/>
          <w:szCs w:val="40"/>
          <w:highlight w:val="none"/>
        </w:rPr>
        <w:t xml:space="preserve"> </w:t>
      </w:r>
      <w:bookmarkStart w:id="895" w:name="_Toc11452"/>
      <w:bookmarkStart w:id="896" w:name="_Toc27363"/>
      <w:bookmarkStart w:id="897" w:name="_Toc10284"/>
      <w:bookmarkStart w:id="898" w:name="_Toc16821"/>
      <w:bookmarkStart w:id="899" w:name="_Toc10833"/>
      <w:bookmarkStart w:id="900" w:name="_Toc32197"/>
      <w:r>
        <w:rPr>
          <w:rFonts w:hint="eastAsia" w:ascii="黑体" w:hAnsi="黑体" w:eastAsia="黑体" w:cs="黑体"/>
          <w:color w:val="auto"/>
          <w:sz w:val="24"/>
          <w:szCs w:val="40"/>
          <w:highlight w:val="none"/>
        </w:rPr>
        <w:t>项目验收</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主要检验投标方提供产品及材料的质量，检验及测试标准以本需求书技术要求内容为准。</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验收内容包括外观、色泽、涂层厚度、板材厚度、发光标识的亮度、产品结构、装配质量合理性、整体使用性能等。</w:t>
      </w:r>
    </w:p>
    <w:p>
      <w:pPr>
        <w:pStyle w:val="5"/>
        <w:rPr>
          <w:rFonts w:hint="eastAsia" w:ascii="宋体" w:hAnsi="宋体" w:eastAsia="宋体" w:cs="宋体"/>
          <w:b/>
          <w:bCs w:val="0"/>
          <w:color w:val="auto"/>
          <w:sz w:val="21"/>
          <w:szCs w:val="15"/>
          <w:highlight w:val="none"/>
        </w:rPr>
      </w:pPr>
      <w:bookmarkStart w:id="901" w:name="_Toc24272"/>
      <w:bookmarkStart w:id="902" w:name="_Toc11355"/>
      <w:bookmarkStart w:id="903" w:name="_Toc32395"/>
      <w:bookmarkStart w:id="904" w:name="_Toc4078"/>
      <w:bookmarkStart w:id="905" w:name="_Toc17069"/>
      <w:bookmarkStart w:id="906" w:name="_Toc10841"/>
      <w:bookmarkStart w:id="907" w:name="_Toc10989"/>
      <w:bookmarkStart w:id="908" w:name="_Toc30201"/>
      <w:bookmarkStart w:id="909" w:name="_Toc75768698"/>
      <w:bookmarkStart w:id="910" w:name="_Toc2962"/>
      <w:bookmarkStart w:id="911" w:name="_Toc10124"/>
      <w:bookmarkStart w:id="912" w:name="_Toc1055"/>
      <w:r>
        <w:rPr>
          <w:rFonts w:hint="eastAsia" w:ascii="宋体" w:hAnsi="宋体" w:eastAsia="宋体" w:cs="宋体"/>
          <w:b/>
          <w:bCs w:val="0"/>
          <w:color w:val="auto"/>
          <w:sz w:val="21"/>
          <w:szCs w:val="15"/>
          <w:highlight w:val="none"/>
        </w:rPr>
        <w:t>7.1 验收标准</w:t>
      </w:r>
      <w:bookmarkEnd w:id="901"/>
      <w:bookmarkEnd w:id="902"/>
      <w:bookmarkEnd w:id="903"/>
      <w:bookmarkEnd w:id="904"/>
      <w:bookmarkEnd w:id="905"/>
      <w:bookmarkEnd w:id="906"/>
      <w:bookmarkEnd w:id="907"/>
      <w:bookmarkEnd w:id="908"/>
      <w:bookmarkEnd w:id="909"/>
      <w:bookmarkEnd w:id="910"/>
      <w:bookmarkEnd w:id="911"/>
      <w:bookmarkEnd w:id="912"/>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（1）标识内容、尺寸、材料、数量、VI图形设计与用户需求书及其附件一致。</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）标识图像精细、色彩逼真，剪裁整齐。</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3</w:t>
      </w:r>
      <w:r>
        <w:rPr>
          <w:rFonts w:hint="eastAsia" w:ascii="宋体" w:hAnsi="宋体"/>
          <w:color w:val="auto"/>
          <w:kern w:val="2"/>
          <w:highlight w:val="none"/>
        </w:rPr>
        <w:t>）材料、标识制作符合技术要求，经验收人签字同意。</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4</w:t>
      </w:r>
      <w:r>
        <w:rPr>
          <w:rFonts w:hint="eastAsia" w:ascii="宋体" w:hAnsi="宋体"/>
          <w:color w:val="auto"/>
          <w:kern w:val="2"/>
          <w:highlight w:val="none"/>
        </w:rPr>
        <w:t>）安装、清理现场符合标准、要求，经验收人签字同意。</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5</w:t>
      </w:r>
      <w:r>
        <w:rPr>
          <w:rFonts w:hint="eastAsia" w:ascii="宋体" w:hAnsi="宋体"/>
          <w:color w:val="auto"/>
          <w:kern w:val="2"/>
          <w:highlight w:val="none"/>
        </w:rPr>
        <w:t>）有关设备设施保持完好复原。</w:t>
      </w:r>
    </w:p>
    <w:p>
      <w:pPr>
        <w:pStyle w:val="5"/>
        <w:rPr>
          <w:rFonts w:hint="eastAsia" w:ascii="宋体" w:hAnsi="宋体" w:eastAsia="宋体" w:cs="宋体"/>
          <w:color w:val="auto"/>
          <w:sz w:val="21"/>
          <w:highlight w:val="none"/>
        </w:rPr>
      </w:pPr>
      <w:bookmarkStart w:id="913" w:name="_Toc20191"/>
      <w:bookmarkStart w:id="914" w:name="_Toc2783"/>
      <w:bookmarkStart w:id="915" w:name="_Toc6638"/>
      <w:bookmarkStart w:id="916" w:name="_Toc390"/>
      <w:bookmarkStart w:id="917" w:name="_Toc30571"/>
      <w:bookmarkStart w:id="918" w:name="_Toc75768699"/>
      <w:bookmarkStart w:id="919" w:name="_Toc29968"/>
      <w:bookmarkStart w:id="920" w:name="_Toc9933"/>
      <w:bookmarkStart w:id="921" w:name="_Toc16776"/>
      <w:bookmarkStart w:id="922" w:name="_Toc9361"/>
      <w:bookmarkStart w:id="923" w:name="_Toc32722"/>
      <w:bookmarkStart w:id="924" w:name="_Toc5236"/>
      <w:r>
        <w:rPr>
          <w:rFonts w:hint="eastAsia" w:ascii="宋体" w:hAnsi="宋体" w:eastAsia="宋体" w:cs="宋体"/>
          <w:color w:val="auto"/>
          <w:sz w:val="21"/>
          <w:highlight w:val="none"/>
        </w:rPr>
        <w:t>7.2 验收资料</w:t>
      </w:r>
      <w:bookmarkEnd w:id="913"/>
      <w:bookmarkEnd w:id="914"/>
      <w:bookmarkEnd w:id="915"/>
      <w:bookmarkEnd w:id="916"/>
      <w:bookmarkEnd w:id="917"/>
      <w:bookmarkEnd w:id="918"/>
      <w:bookmarkEnd w:id="919"/>
      <w:bookmarkEnd w:id="920"/>
      <w:bookmarkEnd w:id="921"/>
      <w:bookmarkEnd w:id="922"/>
      <w:bookmarkEnd w:id="923"/>
      <w:bookmarkEnd w:id="92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提交的文件及资料须包括（但不限于）：设计/制作/施工图纸（经招标方验收人签字同意的设计图电子档和纸质档）、样品、质量检验报告、其它资料（包括产品合格证明、保修卡、质保证明、使用说明、安装手册及维护手册）等。</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）采购清单。</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3</w:t>
      </w:r>
      <w:r>
        <w:rPr>
          <w:rFonts w:hint="eastAsia" w:ascii="宋体" w:hAnsi="宋体"/>
          <w:color w:val="auto"/>
          <w:kern w:val="2"/>
          <w:highlight w:val="none"/>
        </w:rPr>
        <w:t>）实际安装内容、数量的</w:t>
      </w:r>
      <w:r>
        <w:rPr>
          <w:rFonts w:hint="eastAsia" w:ascii="宋体" w:hAnsi="宋体"/>
          <w:color w:val="auto"/>
          <w:kern w:val="2"/>
          <w:highlight w:val="none"/>
          <w:lang w:eastAsia="zh-CN"/>
        </w:rPr>
        <w:t>记录</w:t>
      </w:r>
      <w:r>
        <w:rPr>
          <w:rFonts w:hint="eastAsia" w:ascii="宋体" w:hAnsi="宋体"/>
          <w:color w:val="auto"/>
          <w:kern w:val="2"/>
          <w:highlight w:val="none"/>
        </w:rPr>
        <w:t>（含电子档）。</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（4）第三方检测报告</w:t>
      </w:r>
    </w:p>
    <w:p>
      <w:pPr>
        <w:pStyle w:val="5"/>
        <w:rPr>
          <w:rFonts w:hint="eastAsia" w:ascii="宋体" w:hAnsi="宋体" w:eastAsia="宋体" w:cs="宋体"/>
          <w:color w:val="auto"/>
          <w:sz w:val="21"/>
          <w:highlight w:val="none"/>
        </w:rPr>
      </w:pPr>
      <w:bookmarkStart w:id="925" w:name="_Toc9517"/>
      <w:bookmarkStart w:id="926" w:name="_Toc12830"/>
      <w:bookmarkStart w:id="927" w:name="_Toc18418"/>
      <w:bookmarkStart w:id="928" w:name="_Toc589"/>
      <w:bookmarkStart w:id="929" w:name="_Toc2552"/>
      <w:bookmarkStart w:id="930" w:name="_Toc75768700"/>
      <w:bookmarkStart w:id="931" w:name="_Toc32190"/>
      <w:bookmarkStart w:id="932" w:name="_Toc32349"/>
      <w:bookmarkStart w:id="933" w:name="_Toc20995"/>
      <w:bookmarkStart w:id="934" w:name="_Toc31392"/>
      <w:bookmarkStart w:id="935" w:name="_Toc29338"/>
      <w:bookmarkStart w:id="936" w:name="_Toc32068"/>
      <w:bookmarkStart w:id="937" w:name="_Toc11187"/>
      <w:bookmarkStart w:id="938" w:name="_Toc22578"/>
      <w:bookmarkStart w:id="939" w:name="_Toc24355"/>
      <w:bookmarkStart w:id="940" w:name="_Toc3379"/>
      <w:bookmarkStart w:id="941" w:name="_Toc24934"/>
      <w:r>
        <w:rPr>
          <w:rFonts w:hint="eastAsia" w:ascii="宋体" w:hAnsi="宋体" w:eastAsia="宋体" w:cs="宋体"/>
          <w:color w:val="auto"/>
          <w:sz w:val="21"/>
          <w:highlight w:val="none"/>
        </w:rPr>
        <w:t>7.3样品验收</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（1）在标识标贴批量制作前，投标方需根据设计图做现场标识产品采样安装试挂，样品根据图纸进行1:1制作，并按招标方意见进行调整，直至确认。</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在现场标识标贴产品出货安装前，投标方应向招标方报送其详细的技术资料及实物样品，获得批准后方可批量生产。并应同时提供该产品/材料的质量证明、产地/来源证明及招标方认为有必要制定的抽样品质检测报告（需第三方检测报告的必须提供第三方检测报告）。</w:t>
      </w:r>
    </w:p>
    <w:p>
      <w:pPr>
        <w:pStyle w:val="5"/>
        <w:rPr>
          <w:rFonts w:hint="eastAsia" w:ascii="宋体" w:hAnsi="宋体" w:eastAsia="宋体" w:cs="宋体"/>
          <w:color w:val="auto"/>
          <w:sz w:val="21"/>
          <w:highlight w:val="none"/>
        </w:rPr>
      </w:pPr>
      <w:bookmarkStart w:id="942" w:name="_Toc668"/>
      <w:bookmarkStart w:id="943" w:name="_Toc13852"/>
      <w:bookmarkStart w:id="944" w:name="_Toc27550"/>
      <w:bookmarkStart w:id="945" w:name="_Toc11195"/>
      <w:bookmarkStart w:id="946" w:name="_Toc2087"/>
      <w:bookmarkStart w:id="947" w:name="_Toc18284"/>
      <w:bookmarkStart w:id="948" w:name="_Toc4307"/>
      <w:bookmarkStart w:id="949" w:name="_Toc16576"/>
      <w:bookmarkStart w:id="950" w:name="_Toc8341"/>
      <w:bookmarkStart w:id="951" w:name="_Toc21407"/>
      <w:bookmarkStart w:id="952" w:name="_Toc24414"/>
      <w:bookmarkStart w:id="953" w:name="_Toc75768701"/>
      <w:bookmarkStart w:id="954" w:name="_Toc31080"/>
      <w:r>
        <w:rPr>
          <w:rFonts w:hint="eastAsia" w:ascii="宋体" w:hAnsi="宋体" w:eastAsia="宋体" w:cs="宋体"/>
          <w:color w:val="auto"/>
          <w:sz w:val="21"/>
          <w:highlight w:val="none"/>
        </w:rPr>
        <w:t>7.4现场验收（开箱验收）</w:t>
      </w:r>
      <w:bookmarkEnd w:id="942"/>
      <w:bookmarkEnd w:id="943"/>
      <w:bookmarkEnd w:id="944"/>
      <w:bookmarkEnd w:id="945"/>
      <w:bookmarkEnd w:id="946"/>
      <w:bookmarkEnd w:id="947"/>
      <w:bookmarkEnd w:id="948"/>
      <w:bookmarkEnd w:id="949"/>
      <w:bookmarkEnd w:id="950"/>
      <w:bookmarkEnd w:id="951"/>
      <w:bookmarkEnd w:id="952"/>
      <w:bookmarkEnd w:id="953"/>
      <w:bookmarkEnd w:id="95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（1）标识标贴批量到货后，双方约定时间进行现场开箱验收，双方对本批次产品外观、内容、尺寸、数量、材质进行检验。符合要求后经验收人签字确认。</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（2）产品外观、内容、尺寸、数量、材质不符合要求的，招标方不给予接收。</w:t>
      </w:r>
    </w:p>
    <w:p>
      <w:pPr>
        <w:pStyle w:val="5"/>
        <w:rPr>
          <w:rFonts w:hint="eastAsia" w:ascii="宋体" w:hAnsi="宋体" w:eastAsia="宋体" w:cs="宋体"/>
          <w:color w:val="auto"/>
          <w:sz w:val="21"/>
          <w:highlight w:val="none"/>
        </w:rPr>
      </w:pPr>
      <w:bookmarkStart w:id="955" w:name="_Toc14062"/>
      <w:bookmarkStart w:id="956" w:name="_Toc23906"/>
      <w:bookmarkStart w:id="957" w:name="_Toc29013"/>
      <w:bookmarkStart w:id="958" w:name="_Toc23834"/>
      <w:bookmarkStart w:id="959" w:name="_Toc7889"/>
      <w:bookmarkStart w:id="960" w:name="_Toc27711"/>
      <w:bookmarkStart w:id="961" w:name="_Toc2679"/>
      <w:bookmarkStart w:id="962" w:name="_Toc2766"/>
      <w:bookmarkStart w:id="963" w:name="_Toc9294"/>
      <w:bookmarkStart w:id="964" w:name="_Toc27303"/>
      <w:bookmarkStart w:id="965" w:name="_Toc28145"/>
      <w:bookmarkStart w:id="966" w:name="_Toc9167"/>
      <w:bookmarkStart w:id="967" w:name="_Toc75768702"/>
      <w:bookmarkStart w:id="968" w:name="_Toc26023"/>
      <w:bookmarkStart w:id="969" w:name="_Toc2282"/>
      <w:bookmarkStart w:id="970" w:name="_Toc7459"/>
      <w:r>
        <w:rPr>
          <w:rFonts w:hint="eastAsia" w:ascii="宋体" w:hAnsi="宋体" w:eastAsia="宋体" w:cs="宋体"/>
          <w:color w:val="auto"/>
          <w:sz w:val="21"/>
          <w:highlight w:val="none"/>
        </w:rPr>
        <w:t>7.5竣工检验</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（1）检验主要内容：</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1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①</w:t>
      </w:r>
      <w:r>
        <w:rPr>
          <w:rFonts w:hint="eastAsia" w:ascii="宋体" w:hAnsi="宋体" w:cs="宋体"/>
          <w:color w:val="auto"/>
          <w:kern w:val="2"/>
          <w:highlight w:val="none"/>
        </w:rPr>
        <w:fldChar w:fldCharType="end"/>
      </w:r>
      <w:r>
        <w:rPr>
          <w:rFonts w:hint="eastAsia" w:ascii="宋体" w:hAnsi="宋体" w:cs="宋体"/>
          <w:color w:val="auto"/>
          <w:kern w:val="2"/>
          <w:highlight w:val="none"/>
        </w:rPr>
        <w:t>外观平整度与结构检查。</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2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②</w:t>
      </w:r>
      <w:r>
        <w:rPr>
          <w:rFonts w:hint="eastAsia" w:ascii="宋体" w:hAnsi="宋体" w:cs="宋体"/>
          <w:color w:val="auto"/>
          <w:kern w:val="2"/>
          <w:highlight w:val="none"/>
        </w:rPr>
        <w:fldChar w:fldCharType="end"/>
      </w:r>
      <w:r>
        <w:rPr>
          <w:rFonts w:hint="eastAsia" w:ascii="宋体" w:hAnsi="宋体" w:cs="宋体"/>
          <w:color w:val="auto"/>
          <w:kern w:val="2"/>
          <w:highlight w:val="none"/>
        </w:rPr>
        <w:t>整体性能（包括安全装置检查）检查</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3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③</w:t>
      </w:r>
      <w:r>
        <w:rPr>
          <w:rFonts w:hint="eastAsia" w:ascii="宋体" w:hAnsi="宋体" w:cs="宋体"/>
          <w:color w:val="auto"/>
          <w:kern w:val="2"/>
          <w:highlight w:val="none"/>
        </w:rPr>
        <w:fldChar w:fldCharType="end"/>
      </w:r>
      <w:r>
        <w:rPr>
          <w:rFonts w:hint="eastAsia" w:ascii="宋体" w:hAnsi="宋体" w:cs="宋体"/>
          <w:color w:val="auto"/>
          <w:kern w:val="2"/>
          <w:highlight w:val="none"/>
        </w:rPr>
        <w:t>产品色泽</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4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④</w:t>
      </w:r>
      <w:r>
        <w:rPr>
          <w:rFonts w:hint="eastAsia" w:ascii="宋体" w:hAnsi="宋体" w:cs="宋体"/>
          <w:color w:val="auto"/>
          <w:kern w:val="2"/>
          <w:highlight w:val="none"/>
        </w:rPr>
        <w:fldChar w:fldCharType="end"/>
      </w:r>
      <w:r>
        <w:rPr>
          <w:rFonts w:hint="eastAsia" w:ascii="宋体" w:hAnsi="宋体" w:cs="宋体"/>
          <w:color w:val="auto"/>
          <w:kern w:val="2"/>
          <w:highlight w:val="none"/>
        </w:rPr>
        <w:t>涂层厚度及洁净度</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5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⑤</w:t>
      </w:r>
      <w:r>
        <w:rPr>
          <w:rFonts w:hint="eastAsia" w:ascii="宋体" w:hAnsi="宋体" w:cs="宋体"/>
          <w:color w:val="auto"/>
          <w:kern w:val="2"/>
          <w:highlight w:val="none"/>
        </w:rPr>
        <w:fldChar w:fldCharType="end"/>
      </w:r>
      <w:r>
        <w:rPr>
          <w:rFonts w:hint="eastAsia" w:ascii="宋体" w:hAnsi="宋体" w:cs="宋体"/>
          <w:color w:val="auto"/>
          <w:kern w:val="2"/>
          <w:highlight w:val="none"/>
        </w:rPr>
        <w:t>板材厚度</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6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⑥</w:t>
      </w:r>
      <w:r>
        <w:rPr>
          <w:rFonts w:hint="eastAsia" w:ascii="宋体" w:hAnsi="宋体" w:cs="宋体"/>
          <w:color w:val="auto"/>
          <w:kern w:val="2"/>
          <w:highlight w:val="none"/>
        </w:rPr>
        <w:fldChar w:fldCharType="end"/>
      </w:r>
      <w:r>
        <w:rPr>
          <w:rFonts w:hint="eastAsia" w:ascii="宋体" w:hAnsi="宋体" w:cs="宋体"/>
          <w:color w:val="auto"/>
          <w:kern w:val="2"/>
          <w:highlight w:val="none"/>
        </w:rPr>
        <w:t>发光标识的亮度</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7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⑦</w:t>
      </w:r>
      <w:r>
        <w:rPr>
          <w:rFonts w:hint="eastAsia" w:ascii="宋体" w:hAnsi="宋体" w:cs="宋体"/>
          <w:color w:val="auto"/>
          <w:kern w:val="2"/>
          <w:highlight w:val="none"/>
        </w:rPr>
        <w:fldChar w:fldCharType="end"/>
      </w:r>
      <w:r>
        <w:rPr>
          <w:rFonts w:hint="eastAsia" w:ascii="宋体" w:hAnsi="宋体" w:cs="宋体"/>
          <w:color w:val="auto"/>
          <w:kern w:val="2"/>
          <w:highlight w:val="none"/>
        </w:rPr>
        <w:t>装配质量及合理性等。</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（2）投标方应根据检验及技术参数要求的项目准备好所需的测量仪器、记录卡、表单等，在检验前一个月提供招标方确认。</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（3）检验时应有专业人员进行检验操作和记录。</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（4）检验合格的记录需整理成报告，双方共同签名，原则上一式二份，双方各执一份，并作为付款依据。</w:t>
      </w:r>
    </w:p>
    <w:p>
      <w:pPr>
        <w:widowControl w:val="0"/>
        <w:spacing w:before="0" w:after="0" w:afterAutospacing="0"/>
        <w:ind w:left="0" w:right="0" w:firstLine="420" w:firstLineChars="200"/>
        <w:rPr>
          <w:rFonts w:ascii="宋体" w:hAnsi="宋体"/>
          <w:b/>
          <w:bCs/>
          <w:color w:val="auto"/>
          <w:kern w:val="2"/>
          <w:sz w:val="24"/>
          <w:szCs w:val="24"/>
          <w:highlight w:val="none"/>
        </w:rPr>
      </w:pPr>
      <w:r>
        <w:rPr>
          <w:rFonts w:hint="eastAsia" w:ascii="宋体" w:hAnsi="宋体"/>
          <w:color w:val="auto"/>
          <w:kern w:val="2"/>
          <w:highlight w:val="none"/>
        </w:rPr>
        <w:t>（5）导向标识安装完成后，凡规定需政府有关部门检验的，所需费用由投标方承担。</w:t>
      </w:r>
    </w:p>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971" w:name="_Toc12752"/>
      <w:bookmarkStart w:id="972" w:name="_Toc14498"/>
      <w:bookmarkStart w:id="973" w:name="_Toc24010"/>
      <w:bookmarkStart w:id="974" w:name="_Toc3145"/>
      <w:bookmarkStart w:id="975" w:name="_Toc236"/>
      <w:bookmarkStart w:id="976" w:name="_Toc19733"/>
      <w:bookmarkStart w:id="977" w:name="_Toc17512"/>
      <w:bookmarkStart w:id="978" w:name="_Toc24129"/>
      <w:bookmarkStart w:id="979" w:name="_Toc75768703"/>
      <w:bookmarkStart w:id="980" w:name="_Toc3711"/>
      <w:bookmarkStart w:id="981" w:name="_Toc15564"/>
      <w:r>
        <w:rPr>
          <w:rFonts w:hint="eastAsia" w:ascii="黑体" w:hAnsi="黑体" w:eastAsia="黑体" w:cs="黑体"/>
          <w:color w:val="auto"/>
          <w:sz w:val="24"/>
          <w:szCs w:val="40"/>
          <w:highlight w:val="none"/>
        </w:rPr>
        <w:t xml:space="preserve"> </w:t>
      </w:r>
      <w:bookmarkStart w:id="982" w:name="_Toc26831"/>
      <w:bookmarkStart w:id="983" w:name="_Toc1359"/>
      <w:bookmarkStart w:id="984" w:name="_Toc12018"/>
      <w:bookmarkStart w:id="985" w:name="_Toc19984"/>
      <w:bookmarkStart w:id="986" w:name="_Toc20030"/>
      <w:bookmarkStart w:id="987" w:name="_Toc19370"/>
      <w:r>
        <w:rPr>
          <w:rFonts w:hint="eastAsia" w:ascii="黑体" w:hAnsi="黑体" w:eastAsia="黑体" w:cs="黑体"/>
          <w:color w:val="auto"/>
          <w:sz w:val="24"/>
          <w:szCs w:val="40"/>
          <w:highlight w:val="none"/>
        </w:rPr>
        <w:t>考核条款</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5"/>
        <w:rPr>
          <w:rFonts w:hint="eastAsia" w:ascii="宋体" w:hAnsi="宋体" w:eastAsia="宋体" w:cs="宋体"/>
          <w:color w:val="auto"/>
          <w:sz w:val="21"/>
          <w:szCs w:val="21"/>
          <w:highlight w:val="none"/>
        </w:rPr>
      </w:pPr>
      <w:bookmarkStart w:id="988" w:name="_Toc1617"/>
      <w:bookmarkStart w:id="989" w:name="_Toc18711"/>
      <w:bookmarkStart w:id="990" w:name="_Toc11686"/>
      <w:bookmarkStart w:id="991" w:name="_Toc14667"/>
      <w:bookmarkStart w:id="992" w:name="_Toc10054"/>
      <w:bookmarkStart w:id="993" w:name="_Toc1492"/>
      <w:bookmarkStart w:id="994" w:name="_Toc14637"/>
      <w:bookmarkStart w:id="995" w:name="_Toc19425"/>
      <w:bookmarkStart w:id="996" w:name="_Toc75768704"/>
      <w:bookmarkStart w:id="997" w:name="_Toc7954"/>
      <w:bookmarkStart w:id="998" w:name="_Toc19682"/>
      <w:bookmarkStart w:id="999" w:name="_Toc11566"/>
      <w:bookmarkStart w:id="1000" w:name="_Toc7327"/>
      <w:bookmarkStart w:id="1001" w:name="_Toc12985"/>
      <w:bookmarkStart w:id="1002" w:name="_Toc32747"/>
      <w:bookmarkStart w:id="1003" w:name="_Toc18892"/>
      <w:bookmarkStart w:id="1004" w:name="_Toc15163"/>
      <w:r>
        <w:rPr>
          <w:rFonts w:hint="eastAsia" w:ascii="宋体" w:hAnsi="宋体" w:eastAsia="宋体" w:cs="宋体"/>
          <w:color w:val="auto"/>
          <w:sz w:val="21"/>
          <w:szCs w:val="21"/>
          <w:highlight w:val="none"/>
        </w:rPr>
        <w:t>8.1 投标方的工作要求</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（1）投标方应严格遵守安全工作制度，对施工期内的各类标识标贴安全工作全面负责。作业人员应持证上岗，且具有一定的工作经验和技能。</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遵守招标方项目规章制度，并自觉接受检查监督。严格按已确认的管理办法进行管理，接受招标方对标识标贴质量及管理等方面的监督和检查，若发现有不符合有关规定或未全面响应有关招标文件、相关合同内容的，由招标方发出整改通知，限期及时整改。</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（3）负责保护好项目范围内的设施、设备的完好，如在施工中造成设施设备损坏，则承担全部损失赔偿责任。</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（4）投标方至车站（场段）安装新标识标贴时，需向属地单位申请作业点。安装完成后需车站（场段）签字确认。</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（5）施工人员工作认真负责，不做与本岗位无关的事情。</w:t>
      </w:r>
    </w:p>
    <w:p>
      <w:pPr>
        <w:pStyle w:val="5"/>
        <w:rPr>
          <w:rFonts w:hint="eastAsia" w:ascii="宋体" w:hAnsi="宋体" w:eastAsia="宋体" w:cs="宋体"/>
          <w:color w:val="auto"/>
          <w:sz w:val="21"/>
          <w:highlight w:val="none"/>
        </w:rPr>
      </w:pPr>
      <w:bookmarkStart w:id="1005" w:name="_Toc19740"/>
      <w:bookmarkStart w:id="1006" w:name="_Toc6149"/>
      <w:bookmarkStart w:id="1007" w:name="_Toc11944"/>
      <w:bookmarkStart w:id="1008" w:name="_Toc21396"/>
      <w:bookmarkStart w:id="1009" w:name="_Toc23408"/>
      <w:bookmarkStart w:id="1010" w:name="_Toc26691"/>
      <w:bookmarkStart w:id="1011" w:name="_Toc27121"/>
      <w:bookmarkStart w:id="1012" w:name="_Toc22130"/>
      <w:bookmarkStart w:id="1013" w:name="_Toc30113"/>
      <w:bookmarkStart w:id="1014" w:name="_Toc31175"/>
      <w:bookmarkStart w:id="1015" w:name="_Toc24641"/>
      <w:bookmarkStart w:id="1016" w:name="_Toc26682"/>
      <w:bookmarkStart w:id="1017" w:name="_Toc9566"/>
      <w:bookmarkStart w:id="1018" w:name="_Toc20387"/>
      <w:bookmarkStart w:id="1019" w:name="_Toc75768705"/>
      <w:bookmarkStart w:id="1020" w:name="_Toc21332"/>
      <w:r>
        <w:rPr>
          <w:rFonts w:hint="eastAsia" w:ascii="宋体" w:hAnsi="宋体" w:eastAsia="宋体" w:cs="宋体"/>
          <w:color w:val="auto"/>
          <w:sz w:val="21"/>
          <w:highlight w:val="none"/>
        </w:rPr>
        <w:t>8.2 考核细则</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（1）未执行招标方的管理规定，达不到招标方管理要求，根据情节轻重，除按照招标方对委外单位管理办法进行考核外，还应对照下表进行考核。</w:t>
      </w:r>
    </w:p>
    <w:tbl>
      <w:tblPr>
        <w:tblStyle w:val="28"/>
        <w:tblW w:w="9126" w:type="dxa"/>
        <w:tblInd w:w="93" w:type="dxa"/>
        <w:tblLayout w:type="fixed"/>
        <w:tblCellMar>
          <w:top w:w="0" w:type="dxa"/>
          <w:left w:w="108" w:type="dxa"/>
          <w:bottom w:w="0" w:type="dxa"/>
          <w:right w:w="108" w:type="dxa"/>
        </w:tblCellMar>
      </w:tblPr>
      <w:tblGrid>
        <w:gridCol w:w="724"/>
        <w:gridCol w:w="4214"/>
        <w:gridCol w:w="1061"/>
        <w:gridCol w:w="3127"/>
      </w:tblGrid>
      <w:tr>
        <w:tblPrEx>
          <w:tblCellMar>
            <w:top w:w="0" w:type="dxa"/>
            <w:left w:w="108" w:type="dxa"/>
            <w:bottom w:w="0" w:type="dxa"/>
            <w:right w:w="108" w:type="dxa"/>
          </w:tblCellMar>
        </w:tblPrEx>
        <w:trPr>
          <w:trHeight w:val="468" w:hRule="atLeast"/>
        </w:trPr>
        <w:tc>
          <w:tcPr>
            <w:tcW w:w="4938" w:type="dxa"/>
            <w:gridSpan w:val="2"/>
            <w:vMerge w:val="restart"/>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考核项</w:t>
            </w:r>
          </w:p>
        </w:tc>
        <w:tc>
          <w:tcPr>
            <w:tcW w:w="1061" w:type="dxa"/>
            <w:vMerge w:val="restart"/>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考核周期</w:t>
            </w:r>
          </w:p>
        </w:tc>
        <w:tc>
          <w:tcPr>
            <w:tcW w:w="3127" w:type="dxa"/>
            <w:vMerge w:val="restart"/>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考核办法</w:t>
            </w:r>
          </w:p>
        </w:tc>
      </w:tr>
      <w:tr>
        <w:tblPrEx>
          <w:tblCellMar>
            <w:top w:w="0" w:type="dxa"/>
            <w:left w:w="108" w:type="dxa"/>
            <w:bottom w:w="0" w:type="dxa"/>
            <w:right w:w="108" w:type="dxa"/>
          </w:tblCellMar>
        </w:tblPrEx>
        <w:trPr>
          <w:trHeight w:val="233" w:hRule="atLeast"/>
        </w:trPr>
        <w:tc>
          <w:tcPr>
            <w:tcW w:w="4938" w:type="dxa"/>
            <w:gridSpan w:val="2"/>
            <w:vMerge w:val="continue"/>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b/>
                <w:bCs/>
                <w:color w:val="auto"/>
                <w:sz w:val="18"/>
                <w:szCs w:val="18"/>
                <w:highlight w:val="none"/>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b/>
                <w:bCs/>
                <w:color w:val="auto"/>
                <w:sz w:val="18"/>
                <w:szCs w:val="18"/>
                <w:highlight w:val="none"/>
              </w:rPr>
            </w:pPr>
          </w:p>
        </w:tc>
        <w:tc>
          <w:tcPr>
            <w:tcW w:w="3127" w:type="dxa"/>
            <w:vMerge w:val="continue"/>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b/>
                <w:bCs/>
                <w:color w:val="auto"/>
                <w:sz w:val="18"/>
                <w:szCs w:val="18"/>
                <w:highlight w:val="none"/>
              </w:rPr>
            </w:pPr>
          </w:p>
        </w:tc>
      </w:tr>
      <w:tr>
        <w:tblPrEx>
          <w:tblCellMar>
            <w:top w:w="0" w:type="dxa"/>
            <w:left w:w="108" w:type="dxa"/>
            <w:bottom w:w="0" w:type="dxa"/>
            <w:right w:w="108" w:type="dxa"/>
          </w:tblCellMar>
        </w:tblPrEx>
        <w:trPr>
          <w:trHeight w:val="480" w:hRule="atLeast"/>
        </w:trPr>
        <w:tc>
          <w:tcPr>
            <w:tcW w:w="724" w:type="dxa"/>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 xml:space="preserve">投标方如无正当理由在合同规定的响应时间内无法完成运营导向标示标贴、安全标识的设计、制作、安装 </w:t>
            </w:r>
          </w:p>
        </w:tc>
        <w:tc>
          <w:tcPr>
            <w:tcW w:w="1061" w:type="dxa"/>
            <w:tcBorders>
              <w:top w:val="nil"/>
              <w:left w:val="nil"/>
              <w:bottom w:val="single" w:color="000000" w:sz="8" w:space="0"/>
              <w:right w:val="single" w:color="auto"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nil"/>
              <w:left w:val="nil"/>
              <w:bottom w:val="single" w:color="auto" w:sz="8" w:space="0"/>
              <w:right w:val="single" w:color="auto"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每延迟一天应按 1000 元/天向招标方支付违约金。</w:t>
            </w:r>
          </w:p>
        </w:tc>
      </w:tr>
      <w:tr>
        <w:tblPrEx>
          <w:tblCellMar>
            <w:top w:w="0" w:type="dxa"/>
            <w:left w:w="108" w:type="dxa"/>
            <w:bottom w:w="0" w:type="dxa"/>
            <w:right w:w="108" w:type="dxa"/>
          </w:tblCellMar>
        </w:tblPrEx>
        <w:trPr>
          <w:trHeight w:val="285"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由于投标方原因造成标识标贴信息错误</w:t>
            </w:r>
          </w:p>
        </w:tc>
        <w:tc>
          <w:tcPr>
            <w:tcW w:w="1061" w:type="dxa"/>
            <w:tcBorders>
              <w:top w:val="nil"/>
              <w:left w:val="nil"/>
              <w:bottom w:val="single" w:color="000000" w:sz="8" w:space="0"/>
              <w:right w:val="single" w:color="auto"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nil"/>
              <w:left w:val="nil"/>
              <w:bottom w:val="single" w:color="auto" w:sz="4" w:space="0"/>
              <w:right w:val="single" w:color="auto"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 100 元/次*幅支付违约金。</w:t>
            </w:r>
          </w:p>
        </w:tc>
      </w:tr>
      <w:tr>
        <w:tblPrEx>
          <w:tblCellMar>
            <w:top w:w="0" w:type="dxa"/>
            <w:left w:w="108" w:type="dxa"/>
            <w:bottom w:w="0" w:type="dxa"/>
            <w:right w:w="108" w:type="dxa"/>
          </w:tblCellMar>
        </w:tblPrEx>
        <w:trPr>
          <w:trHeight w:val="690"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投标方制作、安装导向标识标牌不符合约定要求，在规定期限内未能完成整改</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按照2000 元/次支付违约金</w:t>
            </w:r>
          </w:p>
        </w:tc>
      </w:tr>
      <w:tr>
        <w:tblPrEx>
          <w:tblCellMar>
            <w:top w:w="0" w:type="dxa"/>
            <w:left w:w="108" w:type="dxa"/>
            <w:bottom w:w="0" w:type="dxa"/>
            <w:right w:w="108" w:type="dxa"/>
          </w:tblCellMar>
        </w:tblPrEx>
        <w:trPr>
          <w:trHeight w:val="465"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投标方施工过程中，因人员态度恶劣，发生纠纷</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按照1000 元/次支付违约金</w:t>
            </w:r>
          </w:p>
        </w:tc>
      </w:tr>
      <w:tr>
        <w:tblPrEx>
          <w:tblCellMar>
            <w:top w:w="0" w:type="dxa"/>
            <w:left w:w="108" w:type="dxa"/>
            <w:bottom w:w="0" w:type="dxa"/>
            <w:right w:w="108" w:type="dxa"/>
          </w:tblCellMar>
        </w:tblPrEx>
        <w:trPr>
          <w:trHeight w:val="285"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违背招标方相关安全、施工、请销点等管理规定</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 1000 元/次支付违约金。</w:t>
            </w:r>
          </w:p>
        </w:tc>
      </w:tr>
      <w:tr>
        <w:tblPrEx>
          <w:tblCellMar>
            <w:top w:w="0" w:type="dxa"/>
            <w:left w:w="108" w:type="dxa"/>
            <w:bottom w:w="0" w:type="dxa"/>
            <w:right w:w="108" w:type="dxa"/>
          </w:tblCellMar>
        </w:tblPrEx>
        <w:trPr>
          <w:trHeight w:val="285" w:hRule="atLeast"/>
        </w:trPr>
        <w:tc>
          <w:tcPr>
            <w:tcW w:w="724" w:type="dxa"/>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投标方未经招标方同意任意更换相关负责人</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 2000 元/次支付违约金。</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4214" w:type="dxa"/>
            <w:vMerge w:val="restart"/>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质保期内，合同内标识标贴因投标方日常巡检不到位、维护不及时，造成人员受伤的情况</w:t>
            </w:r>
          </w:p>
        </w:tc>
        <w:tc>
          <w:tcPr>
            <w:tcW w:w="1061" w:type="dxa"/>
            <w:vMerge w:val="restart"/>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每月</w:t>
            </w:r>
          </w:p>
        </w:tc>
        <w:tc>
          <w:tcPr>
            <w:tcW w:w="3127" w:type="dxa"/>
            <w:tcBorders>
              <w:top w:val="single" w:color="auto" w:sz="4" w:space="0"/>
              <w:left w:val="nil"/>
              <w:bottom w:val="nil"/>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1、未造成后果，考核2000元/次；</w:t>
            </w:r>
          </w:p>
        </w:tc>
      </w:tr>
      <w:tr>
        <w:tblPrEx>
          <w:tblCellMar>
            <w:top w:w="0" w:type="dxa"/>
            <w:left w:w="108" w:type="dxa"/>
            <w:bottom w:w="0" w:type="dxa"/>
            <w:right w:w="108" w:type="dxa"/>
          </w:tblCellMar>
        </w:tblPrEx>
        <w:trPr>
          <w:trHeight w:val="450" w:hRule="atLeast"/>
        </w:trPr>
        <w:tc>
          <w:tcPr>
            <w:tcW w:w="72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421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1061"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3127" w:type="dxa"/>
            <w:tcBorders>
              <w:top w:val="nil"/>
              <w:left w:val="nil"/>
              <w:bottom w:val="nil"/>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2、造成招标方受到上级单位考核，考核5000元/次；</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421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1061"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3127" w:type="dxa"/>
            <w:tcBorders>
              <w:top w:val="nil"/>
              <w:left w:val="nil"/>
              <w:bottom w:val="nil"/>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3、造成有效乘客投诉，考核5000元/次；</w:t>
            </w:r>
          </w:p>
        </w:tc>
      </w:tr>
      <w:tr>
        <w:tblPrEx>
          <w:tblCellMar>
            <w:top w:w="0" w:type="dxa"/>
            <w:left w:w="108" w:type="dxa"/>
            <w:bottom w:w="0" w:type="dxa"/>
            <w:right w:w="108" w:type="dxa"/>
          </w:tblCellMar>
        </w:tblPrEx>
        <w:trPr>
          <w:trHeight w:val="465" w:hRule="atLeast"/>
        </w:trPr>
        <w:tc>
          <w:tcPr>
            <w:tcW w:w="72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4214" w:type="dxa"/>
            <w:vMerge w:val="continue"/>
            <w:tcBorders>
              <w:top w:val="nil"/>
              <w:left w:val="single" w:color="000000" w:sz="8" w:space="0"/>
              <w:bottom w:val="single" w:color="auto" w:sz="4"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1061" w:type="dxa"/>
            <w:vMerge w:val="continue"/>
            <w:tcBorders>
              <w:top w:val="nil"/>
              <w:left w:val="single" w:color="000000" w:sz="8" w:space="0"/>
              <w:bottom w:val="single" w:color="auto" w:sz="4"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3127" w:type="dxa"/>
            <w:tcBorders>
              <w:top w:val="nil"/>
              <w:left w:val="nil"/>
              <w:bottom w:val="single" w:color="auto" w:sz="4"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4、造成媒体曝光，考核100000元/次，同时招标方有权终止合同。</w:t>
            </w:r>
          </w:p>
        </w:tc>
      </w:tr>
      <w:tr>
        <w:tblPrEx>
          <w:tblCellMar>
            <w:top w:w="0" w:type="dxa"/>
            <w:left w:w="108" w:type="dxa"/>
            <w:bottom w:w="0" w:type="dxa"/>
            <w:right w:w="108" w:type="dxa"/>
          </w:tblCellMar>
        </w:tblPrEx>
        <w:trPr>
          <w:trHeight w:val="660" w:hRule="atLeast"/>
        </w:trPr>
        <w:tc>
          <w:tcPr>
            <w:tcW w:w="724" w:type="dxa"/>
            <w:vMerge w:val="restart"/>
            <w:tcBorders>
              <w:top w:val="nil"/>
              <w:left w:val="single" w:color="000000" w:sz="8" w:space="0"/>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8402"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8.1 投标方违规施工，发生被地铁公安、消防支队等监督执法部门开具行政处罚的事件，造成招标方形象受损，处以考核20000元/次。</w:t>
            </w:r>
          </w:p>
        </w:tc>
      </w:tr>
      <w:tr>
        <w:tblPrEx>
          <w:tblCellMar>
            <w:top w:w="0" w:type="dxa"/>
            <w:left w:w="108" w:type="dxa"/>
            <w:bottom w:w="0" w:type="dxa"/>
            <w:right w:w="108" w:type="dxa"/>
          </w:tblCellMar>
        </w:tblPrEx>
        <w:trPr>
          <w:trHeight w:val="645" w:hRule="atLeast"/>
        </w:trPr>
        <w:tc>
          <w:tcPr>
            <w:tcW w:w="724" w:type="dxa"/>
            <w:vMerge w:val="continue"/>
            <w:tcBorders>
              <w:top w:val="nil"/>
              <w:left w:val="single" w:color="000000" w:sz="8" w:space="0"/>
              <w:bottom w:val="single" w:color="000000" w:sz="8"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8402"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8.2 投标方原因，在招标方管辖车站（场段）发生重大刑事、治安等案件，造成招标方形象受损，处以考核50000元/次，同时招标方有权终止合同。</w:t>
            </w:r>
          </w:p>
        </w:tc>
      </w:tr>
      <w:tr>
        <w:tblPrEx>
          <w:tblCellMar>
            <w:top w:w="0" w:type="dxa"/>
            <w:left w:w="108" w:type="dxa"/>
            <w:bottom w:w="0" w:type="dxa"/>
            <w:right w:w="108" w:type="dxa"/>
          </w:tblCellMar>
        </w:tblPrEx>
        <w:trPr>
          <w:trHeight w:val="585" w:hRule="atLeast"/>
        </w:trPr>
        <w:tc>
          <w:tcPr>
            <w:tcW w:w="724" w:type="dxa"/>
            <w:vMerge w:val="continue"/>
            <w:tcBorders>
              <w:top w:val="nil"/>
              <w:left w:val="single" w:color="000000" w:sz="8" w:space="0"/>
              <w:bottom w:val="single" w:color="000000" w:sz="8"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8402"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8.3 投标方原因，发生火灾事故，除赔偿损失外，处以考核50000元/次，同时招标方有权终止合同。</w:t>
            </w:r>
          </w:p>
        </w:tc>
      </w:tr>
      <w:tr>
        <w:tblPrEx>
          <w:tblCellMar>
            <w:top w:w="0" w:type="dxa"/>
            <w:left w:w="108" w:type="dxa"/>
            <w:bottom w:w="0" w:type="dxa"/>
            <w:right w:w="108" w:type="dxa"/>
          </w:tblCellMar>
        </w:tblPrEx>
        <w:trPr>
          <w:trHeight w:val="285" w:hRule="atLeast"/>
        </w:trPr>
        <w:tc>
          <w:tcPr>
            <w:tcW w:w="9126" w:type="dxa"/>
            <w:gridSpan w:val="4"/>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如投标方违规事项适用于上述多条考核条款的，招标方有权依据考核力度较大项进行考核</w:t>
            </w:r>
          </w:p>
        </w:tc>
      </w:tr>
    </w:tbl>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）招标方主办部门每月对投标方考核，考核结果通过邮件、传真等方式通知投标方。投标方收到本</w:t>
      </w:r>
      <w:r>
        <w:rPr>
          <w:rFonts w:ascii="宋体" w:hAnsi="宋体"/>
          <w:color w:val="auto"/>
          <w:kern w:val="2"/>
          <w:highlight w:val="none"/>
        </w:rPr>
        <w:t>通知</w:t>
      </w:r>
      <w:r>
        <w:rPr>
          <w:rFonts w:hint="eastAsia" w:ascii="宋体" w:hAnsi="宋体"/>
          <w:color w:val="auto"/>
          <w:kern w:val="2"/>
          <w:highlight w:val="none"/>
        </w:rPr>
        <w:t>后</w:t>
      </w:r>
      <w:r>
        <w:rPr>
          <w:rFonts w:ascii="宋体" w:hAnsi="宋体"/>
          <w:color w:val="auto"/>
          <w:kern w:val="2"/>
          <w:highlight w:val="none"/>
        </w:rPr>
        <w:t>2</w:t>
      </w:r>
      <w:r>
        <w:rPr>
          <w:rFonts w:hint="eastAsia" w:ascii="宋体" w:hAnsi="宋体"/>
          <w:color w:val="auto"/>
          <w:kern w:val="2"/>
          <w:highlight w:val="none"/>
        </w:rPr>
        <w:t>个工作日内，在本通知上填</w:t>
      </w:r>
      <w:r>
        <w:rPr>
          <w:rFonts w:ascii="宋体" w:hAnsi="宋体"/>
          <w:color w:val="auto"/>
          <w:kern w:val="2"/>
          <w:highlight w:val="none"/>
        </w:rPr>
        <w:t>写申诉</w:t>
      </w:r>
      <w:r>
        <w:rPr>
          <w:rFonts w:hint="eastAsia" w:ascii="宋体" w:hAnsi="宋体"/>
          <w:color w:val="auto"/>
          <w:kern w:val="2"/>
          <w:highlight w:val="none"/>
        </w:rPr>
        <w:t>意见向招标方</w:t>
      </w:r>
      <w:r>
        <w:rPr>
          <w:rFonts w:ascii="宋体" w:hAnsi="宋体"/>
          <w:color w:val="auto"/>
          <w:kern w:val="2"/>
          <w:highlight w:val="none"/>
        </w:rPr>
        <w:t>主办</w:t>
      </w:r>
      <w:r>
        <w:rPr>
          <w:rFonts w:hint="eastAsia" w:ascii="宋体" w:hAnsi="宋体"/>
          <w:color w:val="auto"/>
          <w:kern w:val="2"/>
          <w:highlight w:val="none"/>
        </w:rPr>
        <w:t>部门提出申诉，否则视为接受违约处理意见</w:t>
      </w:r>
      <w:r>
        <w:rPr>
          <w:rFonts w:ascii="宋体" w:hAnsi="宋体"/>
          <w:color w:val="auto"/>
          <w:kern w:val="2"/>
          <w:highlight w:val="none"/>
        </w:rPr>
        <w:t>，</w:t>
      </w:r>
      <w:r>
        <w:rPr>
          <w:rFonts w:hint="eastAsia" w:ascii="宋体" w:hAnsi="宋体"/>
          <w:color w:val="auto"/>
          <w:kern w:val="2"/>
          <w:highlight w:val="none"/>
        </w:rPr>
        <w:t>招标方</w:t>
      </w:r>
      <w:r>
        <w:rPr>
          <w:rFonts w:ascii="宋体" w:hAnsi="宋体"/>
          <w:color w:val="auto"/>
          <w:kern w:val="2"/>
          <w:highlight w:val="none"/>
        </w:rPr>
        <w:t>主办</w:t>
      </w:r>
      <w:r>
        <w:rPr>
          <w:rFonts w:hint="eastAsia" w:ascii="宋体" w:hAnsi="宋体"/>
          <w:color w:val="auto"/>
          <w:kern w:val="2"/>
          <w:highlight w:val="none"/>
        </w:rPr>
        <w:t>部门在收到</w:t>
      </w:r>
      <w:r>
        <w:rPr>
          <w:rFonts w:ascii="宋体" w:hAnsi="宋体"/>
          <w:color w:val="auto"/>
          <w:kern w:val="2"/>
          <w:highlight w:val="none"/>
        </w:rPr>
        <w:t>申诉意见</w:t>
      </w:r>
      <w:r>
        <w:rPr>
          <w:rFonts w:hint="eastAsia" w:ascii="宋体" w:hAnsi="宋体"/>
          <w:color w:val="auto"/>
          <w:kern w:val="2"/>
          <w:highlight w:val="none"/>
        </w:rPr>
        <w:t>后须在5个工作日</w:t>
      </w:r>
      <w:r>
        <w:rPr>
          <w:rFonts w:ascii="宋体" w:hAnsi="宋体"/>
          <w:color w:val="auto"/>
          <w:kern w:val="2"/>
          <w:highlight w:val="none"/>
        </w:rPr>
        <w:t>给</w:t>
      </w:r>
      <w:r>
        <w:rPr>
          <w:rFonts w:hint="eastAsia" w:ascii="宋体" w:hAnsi="宋体"/>
          <w:color w:val="auto"/>
          <w:kern w:val="2"/>
          <w:highlight w:val="none"/>
        </w:rPr>
        <w:t>予回复。</w:t>
      </w:r>
    </w:p>
    <w:p>
      <w:pPr>
        <w:widowControl w:val="0"/>
        <w:spacing w:before="0" w:after="0" w:afterAutospacing="0"/>
        <w:ind w:left="0" w:right="0" w:firstLine="420" w:firstLineChars="200"/>
        <w:rPr>
          <w:rFonts w:ascii="宋体" w:hAnsi="宋体"/>
          <w:color w:val="auto"/>
          <w:kern w:val="2"/>
          <w:szCs w:val="22"/>
          <w:highlight w:val="none"/>
        </w:rPr>
      </w:pPr>
      <w:r>
        <w:rPr>
          <w:rFonts w:hint="eastAsia" w:ascii="宋体" w:hAnsi="宋体"/>
          <w:color w:val="auto"/>
          <w:kern w:val="2"/>
          <w:highlight w:val="none"/>
        </w:rPr>
        <w:t>（3）招标方根据投标方考核情况，在当期支付款中扣除投标方违约金。</w:t>
      </w:r>
    </w:p>
    <w:p>
      <w:pPr>
        <w:widowControl w:val="0"/>
        <w:spacing w:before="0" w:after="0" w:afterAutospacing="0" w:line="240" w:lineRule="auto"/>
        <w:ind w:left="0" w:right="0" w:firstLine="420" w:firstLineChars="200"/>
        <w:rPr>
          <w:rFonts w:ascii="宋体" w:hAnsi="宋体"/>
          <w:color w:val="auto"/>
          <w:kern w:val="2"/>
          <w:szCs w:val="22"/>
          <w:highlight w:val="none"/>
        </w:rPr>
      </w:pPr>
    </w:p>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1021" w:name="_Toc8705"/>
      <w:bookmarkStart w:id="1022" w:name="_Toc2822"/>
      <w:bookmarkStart w:id="1023" w:name="_Toc5476"/>
      <w:bookmarkStart w:id="1024" w:name="_Toc10441"/>
      <w:bookmarkStart w:id="1025" w:name="_Toc20080"/>
      <w:bookmarkStart w:id="1026" w:name="_Toc12867"/>
      <w:bookmarkStart w:id="1027" w:name="_Toc26323"/>
      <w:bookmarkStart w:id="1028" w:name="_Toc20125"/>
      <w:bookmarkStart w:id="1029" w:name="_Toc17285"/>
      <w:bookmarkStart w:id="1030" w:name="_Toc30011"/>
      <w:bookmarkStart w:id="1031" w:name="_Toc3728"/>
      <w:bookmarkStart w:id="1032" w:name="_Toc5473"/>
      <w:bookmarkStart w:id="1033" w:name="_Toc12311"/>
      <w:bookmarkStart w:id="1034" w:name="_Toc14021"/>
      <w:bookmarkStart w:id="1035" w:name="_Toc48665536"/>
      <w:bookmarkStart w:id="1036" w:name="_Toc2684"/>
      <w:bookmarkStart w:id="1037" w:name="_Toc28345"/>
      <w:bookmarkStart w:id="1038" w:name="_Toc74923144"/>
      <w:bookmarkStart w:id="1039" w:name="_Toc75429176"/>
      <w:r>
        <w:rPr>
          <w:rFonts w:hint="eastAsia" w:ascii="黑体" w:hAnsi="黑体" w:eastAsia="黑体" w:cs="黑体"/>
          <w:color w:val="auto"/>
          <w:sz w:val="24"/>
          <w:szCs w:val="40"/>
          <w:highlight w:val="none"/>
        </w:rPr>
        <w:t>附件</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widowControl w:val="0"/>
        <w:spacing w:before="0" w:after="0" w:afterAutospacing="0" w:line="240" w:lineRule="auto"/>
        <w:ind w:left="0" w:right="0" w:firstLine="420" w:firstLineChars="200"/>
        <w:rPr>
          <w:rFonts w:ascii="宋体" w:hAnsi="宋体"/>
          <w:b/>
          <w:bCs/>
          <w:color w:val="auto"/>
          <w:kern w:val="2"/>
          <w:szCs w:val="22"/>
          <w:highlight w:val="none"/>
        </w:rPr>
      </w:pPr>
      <w:r>
        <w:rPr>
          <w:rFonts w:hint="eastAsia" w:ascii="宋体" w:hAnsi="宋体"/>
          <w:color w:val="auto"/>
          <w:kern w:val="2"/>
          <w:szCs w:val="22"/>
          <w:highlight w:val="none"/>
        </w:rPr>
        <w:t>附件1：</w:t>
      </w:r>
      <w:r>
        <w:rPr>
          <w:rFonts w:hint="eastAsia"/>
          <w:color w:val="auto"/>
          <w:kern w:val="2"/>
          <w:highlight w:val="none"/>
        </w:rPr>
        <w:t>运营导向标示标贴、安全标识采购项目技术需求及数量表</w:t>
      </w:r>
    </w:p>
    <w:p>
      <w:pPr>
        <w:spacing w:before="0" w:after="0" w:afterAutospacing="0"/>
        <w:ind w:left="0" w:right="0" w:firstLine="420" w:firstLineChars="200"/>
        <w:rPr>
          <w:rFonts w:hint="eastAsia" w:ascii="宋体" w:hAnsi="宋体"/>
          <w:color w:val="auto"/>
          <w:kern w:val="2"/>
          <w:szCs w:val="22"/>
          <w:highlight w:val="none"/>
        </w:rPr>
      </w:pPr>
      <w:r>
        <w:rPr>
          <w:rFonts w:hint="eastAsia" w:ascii="宋体" w:hAnsi="宋体"/>
          <w:color w:val="auto"/>
          <w:kern w:val="2"/>
          <w:szCs w:val="22"/>
          <w:highlight w:val="none"/>
        </w:rPr>
        <w:t>附件2</w:t>
      </w:r>
      <w:bookmarkStart w:id="1040" w:name="OLE_LINK10"/>
      <w:r>
        <w:rPr>
          <w:rFonts w:hint="eastAsia" w:ascii="宋体" w:hAnsi="宋体"/>
          <w:color w:val="auto"/>
          <w:kern w:val="2"/>
          <w:szCs w:val="22"/>
          <w:highlight w:val="none"/>
        </w:rPr>
        <w:t>：合同违约处罚理通知单</w:t>
      </w:r>
      <w:bookmarkEnd w:id="1040"/>
    </w:p>
    <w:p>
      <w:pPr>
        <w:pStyle w:val="5"/>
        <w:ind w:left="0" w:leftChars="0" w:firstLine="420" w:firstLineChars="200"/>
        <w:rPr>
          <w:rFonts w:hint="eastAsia" w:ascii="宋体" w:hAnsi="宋体" w:eastAsia="宋体" w:cs="Times New Roman"/>
          <w:b w:val="0"/>
          <w:color w:val="auto"/>
          <w:kern w:val="2"/>
          <w:sz w:val="21"/>
          <w:szCs w:val="22"/>
          <w:highlight w:val="none"/>
        </w:rPr>
      </w:pPr>
      <w:bookmarkStart w:id="1041" w:name="_Toc14200"/>
      <w:bookmarkStart w:id="1042" w:name="_Toc2221"/>
      <w:bookmarkStart w:id="1043" w:name="_Toc18414"/>
      <w:r>
        <w:rPr>
          <w:rFonts w:hint="eastAsia" w:ascii="宋体" w:hAnsi="宋体" w:eastAsia="宋体" w:cs="Times New Roman"/>
          <w:b w:val="0"/>
          <w:color w:val="auto"/>
          <w:kern w:val="2"/>
          <w:sz w:val="21"/>
          <w:szCs w:val="22"/>
          <w:highlight w:val="none"/>
        </w:rPr>
        <w:t xml:space="preserve">附件3 </w:t>
      </w:r>
      <w:r>
        <w:rPr>
          <w:rFonts w:hint="eastAsia" w:ascii="宋体" w:hAnsi="宋体" w:eastAsia="宋体" w:cs="Times New Roman"/>
          <w:b w:val="0"/>
          <w:color w:val="auto"/>
          <w:kern w:val="2"/>
          <w:sz w:val="21"/>
          <w:szCs w:val="22"/>
          <w:highlight w:val="none"/>
          <w:lang w:eastAsia="zh-CN"/>
        </w:rPr>
        <w:t>：</w:t>
      </w:r>
      <w:r>
        <w:rPr>
          <w:rFonts w:hint="eastAsia" w:ascii="宋体" w:hAnsi="宋体" w:eastAsia="宋体" w:cs="Times New Roman"/>
          <w:b w:val="0"/>
          <w:color w:val="auto"/>
          <w:kern w:val="2"/>
          <w:sz w:val="21"/>
          <w:szCs w:val="22"/>
          <w:highlight w:val="none"/>
        </w:rPr>
        <w:t>样品图样</w:t>
      </w:r>
      <w:bookmarkEnd w:id="1041"/>
      <w:bookmarkEnd w:id="1042"/>
      <w:bookmarkEnd w:id="1043"/>
    </w:p>
    <w:p>
      <w:pPr>
        <w:pStyle w:val="2"/>
        <w:rPr>
          <w:color w:val="auto"/>
          <w:highlight w:val="none"/>
        </w:rPr>
      </w:pPr>
    </w:p>
    <w:p>
      <w:pPr>
        <w:spacing w:before="0" w:after="0" w:afterAutospacing="0" w:line="240" w:lineRule="auto"/>
        <w:ind w:left="0" w:right="0" w:firstLine="0"/>
        <w:jc w:val="left"/>
        <w:rPr>
          <w:color w:val="auto"/>
          <w:highlight w:val="none"/>
        </w:rPr>
      </w:pPr>
      <w:r>
        <w:rPr>
          <w:color w:val="auto"/>
          <w:highlight w:val="none"/>
        </w:rPr>
        <w:br w:type="page"/>
      </w:r>
    </w:p>
    <w:p>
      <w:pPr>
        <w:pStyle w:val="5"/>
        <w:rPr>
          <w:rFonts w:hint="eastAsia" w:ascii="宋体" w:hAnsi="宋体" w:eastAsia="宋体" w:cs="宋体"/>
          <w:color w:val="auto"/>
          <w:sz w:val="21"/>
          <w:szCs w:val="21"/>
          <w:highlight w:val="none"/>
        </w:rPr>
      </w:pPr>
      <w:bookmarkStart w:id="1044" w:name="_Toc25769"/>
      <w:bookmarkStart w:id="1045" w:name="_Toc5304"/>
      <w:bookmarkStart w:id="1046" w:name="_Toc4764"/>
      <w:bookmarkStart w:id="1047" w:name="_Toc5361"/>
      <w:bookmarkStart w:id="1048" w:name="_Toc17123"/>
      <w:bookmarkStart w:id="1049" w:name="_Toc32728"/>
      <w:bookmarkStart w:id="1050" w:name="_Toc25412"/>
      <w:bookmarkStart w:id="1051" w:name="_Toc24167"/>
      <w:bookmarkStart w:id="1052" w:name="_Toc25773"/>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南宁地铁5号线运营导向标示标贴、安全标识技术</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求及数量表</w:t>
      </w:r>
      <w:bookmarkEnd w:id="1044"/>
      <w:bookmarkEnd w:id="1045"/>
      <w:bookmarkEnd w:id="1046"/>
      <w:bookmarkEnd w:id="1047"/>
      <w:bookmarkEnd w:id="1048"/>
      <w:bookmarkEnd w:id="1049"/>
      <w:bookmarkEnd w:id="1050"/>
      <w:bookmarkEnd w:id="1051"/>
      <w:bookmarkEnd w:id="1052"/>
    </w:p>
    <w:p>
      <w:pPr>
        <w:numPr>
          <w:ilvl w:val="1"/>
          <w:numId w:val="0"/>
        </w:numPr>
        <w:tabs>
          <w:tab w:val="left" w:pos="0"/>
        </w:tabs>
        <w:spacing w:before="0" w:afterAutospacing="0" w:line="240" w:lineRule="auto"/>
        <w:ind w:right="0"/>
        <w:rPr>
          <w:color w:val="auto"/>
          <w:highlight w:val="none"/>
        </w:rPr>
      </w:pPr>
    </w:p>
    <w:tbl>
      <w:tblPr>
        <w:tblStyle w:val="28"/>
        <w:tblW w:w="9371" w:type="dxa"/>
        <w:tblInd w:w="93" w:type="dxa"/>
        <w:tblLayout w:type="fixed"/>
        <w:tblCellMar>
          <w:top w:w="0" w:type="dxa"/>
          <w:left w:w="108" w:type="dxa"/>
          <w:bottom w:w="0" w:type="dxa"/>
          <w:right w:w="108" w:type="dxa"/>
        </w:tblCellMar>
      </w:tblPr>
      <w:tblGrid>
        <w:gridCol w:w="620"/>
        <w:gridCol w:w="1356"/>
        <w:gridCol w:w="1784"/>
        <w:gridCol w:w="4343"/>
        <w:gridCol w:w="559"/>
        <w:gridCol w:w="709"/>
      </w:tblGrid>
      <w:tr>
        <w:tblPrEx>
          <w:tblCellMar>
            <w:top w:w="0" w:type="dxa"/>
            <w:left w:w="108" w:type="dxa"/>
            <w:bottom w:w="0" w:type="dxa"/>
            <w:right w:w="108" w:type="dxa"/>
          </w:tblCellMar>
        </w:tblPrEx>
        <w:trPr>
          <w:trHeight w:val="90"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rPr>
                <w:rFonts w:ascii="宋体" w:hAnsi="宋体" w:cs="宋体"/>
                <w:b/>
                <w:bCs/>
                <w:color w:val="auto"/>
                <w:sz w:val="15"/>
                <w:szCs w:val="15"/>
                <w:highlight w:val="none"/>
              </w:rPr>
            </w:pPr>
            <w:bookmarkStart w:id="1053" w:name="OLE_LINK1"/>
            <w:r>
              <w:rPr>
                <w:rFonts w:hint="eastAsia" w:ascii="宋体" w:hAnsi="宋体" w:cs="宋体"/>
                <w:b/>
                <w:bCs/>
                <w:color w:val="auto"/>
                <w:sz w:val="15"/>
                <w:szCs w:val="15"/>
                <w:highlight w:val="none"/>
              </w:rPr>
              <w:t>序号</w:t>
            </w:r>
          </w:p>
        </w:tc>
        <w:tc>
          <w:tcPr>
            <w:tcW w:w="1356"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物资名称</w:t>
            </w:r>
          </w:p>
        </w:tc>
        <w:tc>
          <w:tcPr>
            <w:tcW w:w="178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规格型号</w:t>
            </w:r>
          </w:p>
        </w:tc>
        <w:tc>
          <w:tcPr>
            <w:tcW w:w="434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参数</w:t>
            </w:r>
          </w:p>
        </w:tc>
        <w:tc>
          <w:tcPr>
            <w:tcW w:w="55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单位</w:t>
            </w:r>
          </w:p>
        </w:tc>
        <w:tc>
          <w:tcPr>
            <w:tcW w:w="70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数量</w:t>
            </w:r>
          </w:p>
        </w:tc>
      </w:tr>
      <w:tr>
        <w:tblPrEx>
          <w:tblCellMar>
            <w:top w:w="0" w:type="dxa"/>
            <w:left w:w="108" w:type="dxa"/>
            <w:bottom w:w="0" w:type="dxa"/>
            <w:right w:w="108" w:type="dxa"/>
          </w:tblCellMar>
        </w:tblPrEx>
        <w:trPr>
          <w:trHeight w:val="132" w:hRule="atLeast"/>
        </w:trPr>
        <w:tc>
          <w:tcPr>
            <w:tcW w:w="9371" w:type="dxa"/>
            <w:gridSpan w:val="6"/>
            <w:tcBorders>
              <w:top w:val="nil"/>
              <w:left w:val="single" w:color="auto" w:sz="4" w:space="0"/>
              <w:bottom w:val="single" w:color="auto" w:sz="4" w:space="0"/>
              <w:right w:val="single" w:color="auto" w:sz="4" w:space="0"/>
            </w:tcBorders>
            <w:shd w:val="clear" w:color="000000" w:fill="F4B084"/>
            <w:noWrap/>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PET聚酯膜材料（膜材料）</w:t>
            </w:r>
          </w:p>
        </w:tc>
      </w:tr>
      <w:tr>
        <w:tblPrEx>
          <w:tblCellMar>
            <w:top w:w="0" w:type="dxa"/>
            <w:left w:w="108" w:type="dxa"/>
            <w:bottom w:w="0" w:type="dxa"/>
            <w:right w:w="108" w:type="dxa"/>
          </w:tblCellMar>
        </w:tblPrEx>
        <w:trPr>
          <w:trHeight w:val="490"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1</w:t>
            </w:r>
          </w:p>
        </w:tc>
        <w:tc>
          <w:tcPr>
            <w:tcW w:w="1356"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画布（公告栏）</w:t>
            </w:r>
          </w:p>
        </w:tc>
        <w:tc>
          <w:tcPr>
            <w:tcW w:w="178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3030*1230mm(宽*高)</w:t>
            </w:r>
          </w:p>
        </w:tc>
        <w:tc>
          <w:tcPr>
            <w:tcW w:w="434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102</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画布（站厅综合资讯）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3030*1230mm(宽*高)</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45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画布(票务信息)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1300*930mm(宽*高)</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78</w:t>
            </w:r>
          </w:p>
        </w:tc>
      </w:tr>
      <w:tr>
        <w:tblPrEx>
          <w:tblCellMar>
            <w:top w:w="0" w:type="dxa"/>
            <w:left w:w="108" w:type="dxa"/>
            <w:bottom w:w="0" w:type="dxa"/>
            <w:right w:w="108" w:type="dxa"/>
          </w:tblCellMar>
        </w:tblPrEx>
        <w:trPr>
          <w:trHeight w:val="86"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4</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画布(站台综合信息)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1300*930mm(宽*高)</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5</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画布（出入口周边信息）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1300*930mm(宽*高)</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70</w:t>
            </w:r>
          </w:p>
        </w:tc>
      </w:tr>
      <w:tr>
        <w:tblPrEx>
          <w:tblCellMar>
            <w:top w:w="0" w:type="dxa"/>
            <w:left w:w="108" w:type="dxa"/>
            <w:bottom w:w="0" w:type="dxa"/>
            <w:right w:w="108" w:type="dxa"/>
          </w:tblCellMar>
        </w:tblPrEx>
        <w:trPr>
          <w:trHeight w:val="58"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jc w:val="center"/>
              <w:textAlignment w:val="center"/>
              <w:rPr>
                <w:rFonts w:ascii="宋体" w:hAnsi="宋体" w:cs="宋体"/>
                <w:color w:val="auto"/>
                <w:sz w:val="15"/>
                <w:szCs w:val="15"/>
                <w:highlight w:val="none"/>
              </w:rPr>
            </w:pPr>
            <w:r>
              <w:rPr>
                <w:rFonts w:hint="eastAsia" w:ascii="宋体" w:hAnsi="宋体" w:cs="宋体"/>
                <w:b/>
                <w:bCs/>
                <w:color w:val="auto"/>
                <w:sz w:val="15"/>
                <w:szCs w:val="15"/>
                <w:highlight w:val="none"/>
              </w:rPr>
              <w:t>铝板材质</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6</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7</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8</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1800*300*16.5mm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9</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2400*300*16.5mm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90"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10</w:t>
            </w:r>
          </w:p>
        </w:tc>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hAnsi="宋体"/>
                <w:color w:val="auto"/>
                <w:sz w:val="15"/>
                <w:szCs w:val="15"/>
                <w:highlight w:val="none"/>
                <w:lang w:bidi="ar"/>
              </w:rPr>
            </w:pPr>
            <w:r>
              <w:rPr>
                <w:rFonts w:hint="eastAsia" w:ascii="宋体" w:hAnsi="宋体" w:cs="宋体"/>
                <w:color w:val="auto"/>
                <w:sz w:val="15"/>
                <w:szCs w:val="15"/>
                <w:highlight w:val="none"/>
                <w:lang w:bidi="ar"/>
              </w:rPr>
              <w:t>3000*300*16.5mm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90"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11</w:t>
            </w:r>
          </w:p>
        </w:tc>
        <w:tc>
          <w:tcPr>
            <w:tcW w:w="1356"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楼道及室内禁止停放电动车及充电标识</w:t>
            </w:r>
          </w:p>
        </w:tc>
        <w:tc>
          <w:tcPr>
            <w:tcW w:w="178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禁止攀登</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90"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禁止翻越</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14</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禁止进入牌</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136</w:t>
            </w:r>
          </w:p>
        </w:tc>
      </w:tr>
      <w:tr>
        <w:tblPrEx>
          <w:tblCellMar>
            <w:top w:w="0" w:type="dxa"/>
            <w:left w:w="108" w:type="dxa"/>
            <w:bottom w:w="0" w:type="dxa"/>
            <w:right w:w="108" w:type="dxa"/>
          </w:tblCellMar>
        </w:tblPrEx>
        <w:trPr>
          <w:trHeight w:val="90"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b/>
                <w:bCs/>
                <w:color w:val="auto"/>
                <w:sz w:val="15"/>
                <w:szCs w:val="15"/>
                <w:highlight w:val="none"/>
                <w:lang w:bidi="ar"/>
              </w:rPr>
              <w:t>地贴膜材质</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w:t>
            </w:r>
            <w:r>
              <w:rPr>
                <w:rFonts w:hint="eastAsia" w:ascii="宋体" w:hAnsi="宋体" w:cs="宋体"/>
                <w:color w:val="auto"/>
                <w:sz w:val="15"/>
                <w:szCs w:val="15"/>
                <w:highlight w:val="none"/>
                <w:lang w:val="en-US" w:eastAsia="zh-CN" w:bidi="ar"/>
              </w:rPr>
              <w:t>5</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“小心台阶”标识</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3000*100mm（长*宽）具体以现场测量为准</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16</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“验票黄线”标识</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800*100mm(长*宽)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17</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屏蔽门前“小心空隙”标识</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2000*100mm（长*宽）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36</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18</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请勿在此滞留</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1500*350mm（长*宽）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36</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19</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“扶梯</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紧急停机按钮”</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350*150mm（长*宽）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19</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20</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安检候检区</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1200*350mm（长*宽）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36</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21</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排队引导线</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1200*100mm（长*宽）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75</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排队候车线（长800mm）</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800mm*200mm（长*宽）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 PVC 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排队候车线（短500mm）</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500mm*125mm（长*宽）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 PVC 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76"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24</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（出入口）首末班车告示牌</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550mm*400mm（长*宽）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3M覆地贴膜+UV喷绘+耐磨斜纹膜+16个透明亚克力插盒+16套PVC数字牌</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14</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25</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扶梯温馨提示牌</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550mm*400mm（长*宽）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3M覆地贴膜+UV喷绘+耐磨斜纹膜</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9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26</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引导类地贴</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1500*1200mm（长*宽）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27</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换乘类地贴</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2400*2400mm（长*宽）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28</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“合建口地贴”标识</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5000*600mm（长*宽）</w:t>
            </w:r>
          </w:p>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具体以现场测量为准</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29</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地贴（纸币清点区）</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30</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地贴（票区）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31</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地贴（点币点票区）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391"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地贴（备品备件区）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地贴（钱箱交接区）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34</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“登乘列车指引”地贴</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9</w:t>
            </w:r>
            <w:r>
              <w:rPr>
                <w:rFonts w:hint="eastAsia" w:ascii="宋体" w:hAnsi="宋体" w:cs="宋体"/>
                <w:color w:val="auto"/>
                <w:sz w:val="15"/>
                <w:szCs w:val="15"/>
                <w:highlight w:val="none"/>
                <w:lang w:bidi="ar"/>
              </w:rPr>
              <w:t>00mm*</w:t>
            </w:r>
            <w:r>
              <w:rPr>
                <w:rFonts w:hint="eastAsia" w:ascii="宋体" w:hAnsi="宋体" w:cs="宋体"/>
                <w:color w:val="auto"/>
                <w:sz w:val="15"/>
                <w:szCs w:val="15"/>
                <w:highlight w:val="none"/>
                <w:lang w:val="en-US" w:eastAsia="zh-CN" w:bidi="ar"/>
              </w:rPr>
              <w:t>6</w:t>
            </w:r>
            <w:r>
              <w:rPr>
                <w:rFonts w:hint="eastAsia" w:ascii="宋体" w:hAnsi="宋体" w:cs="宋体"/>
                <w:color w:val="auto"/>
                <w:sz w:val="15"/>
                <w:szCs w:val="15"/>
                <w:highlight w:val="none"/>
                <w:lang w:bidi="ar"/>
              </w:rPr>
              <w:t>00mm（长*宽）(按实际尺寸制作）</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3M覆地贴膜+UV喷绘+耐磨斜纹膜</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35</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爱心候车区地贴</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1200*350mm(长*宽)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36</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引导类墙贴</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1200mm*800mm（宽*高），以现场实际尺寸为准</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1.材料：自粘性PVC覆地面画面保护防滑膜标识，丙烯酸背胶；2.印刷方式：丝网印刷3.材料防滑性：干式状态防滑性实验测试结果≥115、湿式状态≥23 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37</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地贴（现金区）</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50*150mm（长*宽）</w:t>
            </w:r>
          </w:p>
        </w:tc>
        <w:tc>
          <w:tcPr>
            <w:tcW w:w="4343" w:type="dxa"/>
            <w:tcBorders>
              <w:top w:val="nil"/>
              <w:left w:val="nil"/>
              <w:bottom w:val="single" w:color="auto" w:sz="4" w:space="0"/>
              <w:right w:val="single" w:color="auto" w:sz="4" w:space="0"/>
            </w:tcBorders>
            <w:vAlign w:val="center"/>
          </w:tcPr>
          <w:p>
            <w:pPr>
              <w:numPr>
                <w:ilvl w:val="0"/>
                <w:numId w:val="11"/>
              </w:num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材料：自粘性PVC覆地面画面保护防滑膜标识，丙烯酸背胶；2.印刷方式：丝网印刷</w:t>
            </w:r>
          </w:p>
          <w:p>
            <w:pPr>
              <w:numPr>
                <w:ilvl w:val="-1"/>
                <w:numId w:val="0"/>
              </w:num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 xml:space="preserve">3.材料防滑性：干式状态防滑性实验测试结果≥115、湿式状态≥23 </w:t>
            </w:r>
          </w:p>
          <w:p>
            <w:pPr>
              <w:numPr>
                <w:ilvl w:val="-1"/>
                <w:numId w:val="0"/>
              </w:num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b/>
                <w:bCs/>
                <w:color w:val="auto"/>
                <w:sz w:val="15"/>
                <w:szCs w:val="15"/>
                <w:highlight w:val="none"/>
              </w:rPr>
              <w:t>304#不锈钢材质</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38</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L 型不锈钢指示牌</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画面外框600 mm *900mm*1mm（宽*高*厚）</w:t>
            </w:r>
          </w:p>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内框550 mm *850mm*1mm（宽*高*厚）</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材质：304＃不锈钢，颜色：不锈钢本色，L 型脚支架。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85</w:t>
            </w:r>
          </w:p>
        </w:tc>
      </w:tr>
      <w:tr>
        <w:tblPrEx>
          <w:tblCellMar>
            <w:top w:w="0" w:type="dxa"/>
            <w:left w:w="108" w:type="dxa"/>
            <w:bottom w:w="0" w:type="dxa"/>
            <w:right w:w="108" w:type="dxa"/>
          </w:tblCellMar>
        </w:tblPrEx>
        <w:trPr>
          <w:trHeight w:val="137"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PVC材质</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39</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地微“禁止停车”温馨提示</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A3尺寸，横向</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PVC+反光膜+丝印+3M背胶，倒圆角，防晒防水户外使用</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块</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163</w:t>
            </w:r>
          </w:p>
        </w:tc>
      </w:tr>
      <w:tr>
        <w:tblPrEx>
          <w:tblCellMar>
            <w:top w:w="0" w:type="dxa"/>
            <w:left w:w="108" w:type="dxa"/>
            <w:bottom w:w="0" w:type="dxa"/>
            <w:right w:w="108" w:type="dxa"/>
          </w:tblCellMar>
        </w:tblPrEx>
        <w:trPr>
          <w:trHeight w:val="58"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40</w:t>
            </w:r>
          </w:p>
        </w:tc>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出入口首末班车时间数字标识</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55</w:t>
            </w:r>
            <w:r>
              <w:rPr>
                <w:rFonts w:hint="eastAsia" w:ascii="宋体" w:hAnsi="宋体" w:cs="宋体"/>
                <w:color w:val="auto"/>
                <w:sz w:val="15"/>
                <w:szCs w:val="15"/>
                <w:highlight w:val="none"/>
                <w:lang w:bidi="ar"/>
              </w:rPr>
              <w:t>mm×</w:t>
            </w:r>
            <w:r>
              <w:rPr>
                <w:rFonts w:hint="eastAsia" w:ascii="宋体" w:hAnsi="宋体" w:cs="宋体"/>
                <w:color w:val="auto"/>
                <w:sz w:val="15"/>
                <w:szCs w:val="15"/>
                <w:highlight w:val="none"/>
                <w:lang w:val="en-US" w:eastAsia="zh-CN" w:bidi="ar"/>
              </w:rPr>
              <w:t>40</w:t>
            </w:r>
            <w:r>
              <w:rPr>
                <w:rFonts w:hint="eastAsia" w:ascii="宋体" w:hAnsi="宋体" w:cs="宋体"/>
                <w:color w:val="auto"/>
                <w:sz w:val="15"/>
                <w:szCs w:val="15"/>
                <w:highlight w:val="none"/>
                <w:lang w:bidi="ar"/>
              </w:rPr>
              <w:t>mm(长*宽)</w:t>
            </w:r>
          </w:p>
        </w:tc>
        <w:tc>
          <w:tcPr>
            <w:tcW w:w="43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PVC+丝印</w:t>
            </w:r>
          </w:p>
        </w:tc>
        <w:tc>
          <w:tcPr>
            <w:tcW w:w="55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块</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41</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军人依法优先标识</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280mm*130mm(长*宽)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42</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洗手间节约用纸标识</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rPr>
            </w:pPr>
            <w:r>
              <w:rPr>
                <w:rFonts w:hint="eastAsia" w:ascii="宋体" w:hAnsi="宋体" w:eastAsia="宋体" w:cs="宋体"/>
                <w:i w:val="0"/>
                <w:iCs w:val="0"/>
                <w:caps w:val="0"/>
                <w:color w:val="auto"/>
                <w:spacing w:val="0"/>
                <w:sz w:val="15"/>
                <w:szCs w:val="15"/>
                <w:highlight w:val="none"/>
                <w:shd w:val="clear"/>
                <w:lang w:bidi="ar"/>
              </w:rPr>
              <w:t>50cm</w:t>
            </w:r>
            <w:r>
              <w:rPr>
                <w:rFonts w:hint="eastAsia" w:ascii="宋体" w:hAnsi="宋体" w:cs="宋体"/>
                <w:i w:val="0"/>
                <w:iCs w:val="0"/>
                <w:caps w:val="0"/>
                <w:color w:val="auto"/>
                <w:spacing w:val="0"/>
                <w:sz w:val="15"/>
                <w:szCs w:val="15"/>
                <w:highlight w:val="none"/>
                <w:shd w:val="clear"/>
                <w:lang w:eastAsia="zh-CN" w:bidi="ar"/>
              </w:rPr>
              <w:t>*</w:t>
            </w:r>
            <w:r>
              <w:rPr>
                <w:rFonts w:hint="eastAsia" w:ascii="宋体" w:hAnsi="宋体" w:eastAsia="宋体" w:cs="宋体"/>
                <w:i w:val="0"/>
                <w:iCs w:val="0"/>
                <w:caps w:val="0"/>
                <w:color w:val="auto"/>
                <w:spacing w:val="0"/>
                <w:sz w:val="15"/>
                <w:szCs w:val="15"/>
                <w:highlight w:val="none"/>
                <w:shd w:val="clear"/>
                <w:lang w:bidi="ar"/>
              </w:rPr>
              <w:t>23.5cm</w:t>
            </w:r>
            <w:r>
              <w:rPr>
                <w:rFonts w:hint="eastAsia" w:ascii="宋体" w:hAnsi="宋体" w:cs="宋体"/>
                <w:color w:val="auto"/>
                <w:sz w:val="15"/>
                <w:szCs w:val="15"/>
                <w:highlight w:val="none"/>
                <w:lang w:bidi="ar"/>
              </w:rPr>
              <w:t>(长*宽)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57</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43</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免费证件登记处</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280mm*130mm(长*宽)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44</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屏蔽门编号及车门编号图</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rPr>
            </w:pPr>
            <w:r>
              <w:rPr>
                <w:rFonts w:hint="eastAsia" w:ascii="宋体" w:hAnsi="宋体" w:eastAsia="宋体" w:cs="宋体"/>
                <w:i w:val="0"/>
                <w:iCs w:val="0"/>
                <w:caps w:val="0"/>
                <w:color w:val="auto"/>
                <w:spacing w:val="0"/>
                <w:sz w:val="15"/>
                <w:szCs w:val="15"/>
                <w:highlight w:val="none"/>
                <w:shd w:val="clear"/>
                <w:lang w:bidi="ar"/>
              </w:rPr>
              <w:t>50cm</w:t>
            </w:r>
            <w:r>
              <w:rPr>
                <w:rFonts w:hint="eastAsia" w:ascii="宋体" w:hAnsi="宋体" w:cs="宋体"/>
                <w:i w:val="0"/>
                <w:iCs w:val="0"/>
                <w:caps w:val="0"/>
                <w:color w:val="auto"/>
                <w:spacing w:val="0"/>
                <w:sz w:val="15"/>
                <w:szCs w:val="15"/>
                <w:highlight w:val="none"/>
                <w:shd w:val="clear"/>
                <w:lang w:eastAsia="zh-CN" w:bidi="ar"/>
              </w:rPr>
              <w:t>*</w:t>
            </w:r>
            <w:r>
              <w:rPr>
                <w:rFonts w:hint="eastAsia" w:ascii="宋体" w:hAnsi="宋体" w:eastAsia="宋体" w:cs="宋体"/>
                <w:i w:val="0"/>
                <w:iCs w:val="0"/>
                <w:caps w:val="0"/>
                <w:color w:val="auto"/>
                <w:spacing w:val="0"/>
                <w:sz w:val="15"/>
                <w:szCs w:val="15"/>
                <w:highlight w:val="none"/>
                <w:shd w:val="clear"/>
                <w:lang w:bidi="ar"/>
              </w:rPr>
              <w:t>23.5cm</w:t>
            </w:r>
            <w:r>
              <w:rPr>
                <w:rFonts w:hint="eastAsia" w:ascii="宋体" w:hAnsi="宋体" w:cs="宋体"/>
                <w:color w:val="auto"/>
                <w:sz w:val="15"/>
                <w:szCs w:val="15"/>
                <w:highlight w:val="none"/>
                <w:lang w:bidi="ar"/>
              </w:rPr>
              <w:t>(长*宽)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490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45</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“电梯内部按钮”标识</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60mm*30mm*1.2mm（宽*高*厚）</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1.2mm厚PVC+丝印+背胶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套</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123</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46</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安检绿色通道吊挂牌</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1500*300mm（长*宽）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10mm厚白色PVC密实型+双面喷绘+不锈钢铁链安装，根据现场环境设计</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47</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垂梯警示标识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350*100</w:t>
            </w:r>
            <w:r>
              <w:rPr>
                <w:rFonts w:hint="eastAsia" w:ascii="宋体" w:hAnsi="宋体" w:cs="宋体"/>
                <w:color w:val="auto"/>
                <w:sz w:val="15"/>
                <w:szCs w:val="15"/>
                <w:highlight w:val="none"/>
                <w:lang w:val="en-US" w:eastAsia="zh-CN"/>
              </w:rPr>
              <w:t>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PVC+丝印+3M透明背胶，双面印刷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48</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禁止吸烟标识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200</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150</w:t>
            </w:r>
            <w:r>
              <w:rPr>
                <w:rFonts w:hint="eastAsia" w:ascii="宋体" w:hAnsi="宋体" w:cs="宋体"/>
                <w:color w:val="auto"/>
                <w:sz w:val="15"/>
                <w:szCs w:val="15"/>
                <w:highlight w:val="none"/>
                <w:lang w:bidi="ar"/>
              </w:rPr>
              <w:t>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PVC+反光膜+丝印+3M背胶，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49</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严禁烟火标识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200</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150</w:t>
            </w:r>
            <w:r>
              <w:rPr>
                <w:rFonts w:hint="eastAsia" w:ascii="宋体" w:hAnsi="宋体" w:cs="宋体"/>
                <w:color w:val="auto"/>
                <w:sz w:val="15"/>
                <w:szCs w:val="15"/>
                <w:highlight w:val="none"/>
                <w:lang w:bidi="ar"/>
              </w:rPr>
              <w:t>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PVC+反光膜+丝印+3M背胶，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消火栓使用指南</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30</w:t>
            </w:r>
            <w:r>
              <w:rPr>
                <w:rFonts w:hint="eastAsia" w:ascii="宋体" w:hAnsi="宋体" w:cs="宋体"/>
                <w:color w:val="auto"/>
                <w:sz w:val="15"/>
                <w:szCs w:val="15"/>
                <w:highlight w:val="none"/>
                <w:lang w:bidi="ar"/>
              </w:rPr>
              <w:t>0*</w:t>
            </w:r>
            <w:r>
              <w:rPr>
                <w:rFonts w:hint="eastAsia" w:ascii="宋体" w:hAnsi="宋体" w:cs="宋体"/>
                <w:color w:val="auto"/>
                <w:sz w:val="15"/>
                <w:szCs w:val="15"/>
                <w:highlight w:val="none"/>
                <w:lang w:val="en-US" w:eastAsia="zh-CN" w:bidi="ar"/>
              </w:rPr>
              <w:t>22</w:t>
            </w:r>
            <w:r>
              <w:rPr>
                <w:rFonts w:hint="eastAsia" w:ascii="宋体" w:hAnsi="宋体" w:cs="宋体"/>
                <w:color w:val="auto"/>
                <w:sz w:val="15"/>
                <w:szCs w:val="15"/>
                <w:highlight w:val="none"/>
                <w:lang w:bidi="ar"/>
              </w:rPr>
              <w:t>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PVC+丝印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389"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51</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设备开关分合闸指示（常合）</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50*30mm（长*宽）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52</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设备开关分合闸指示（常分）</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50*30mm（长*宽）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13</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53</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设备开关分合闸指示（切非）</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50*30mm（长*宽）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3</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54</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设备开关分合闸指示（常合）</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30*10mm（长*宽）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55</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设备开关分合闸指示（常分）</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30*10mm（长*宽）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56</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巡视周期（车站多职能日巡）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40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57</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巡视周期（车站多职能周巡）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58</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巡视周期（车站多职能双周巡）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59</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巡视周期（车站多职能月巡）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60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“登乘通道”标识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500mm*350mm*2mm（宽*高*厚）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61</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扶梯三角区“小心碰头”标识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300mm*400mm*1.5mm（宽*高*厚）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PVC+丝印+3M背胶，防晒，</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136</w:t>
            </w:r>
          </w:p>
        </w:tc>
      </w:tr>
      <w:tr>
        <w:tblPrEx>
          <w:tblCellMar>
            <w:top w:w="0" w:type="dxa"/>
            <w:left w:w="108" w:type="dxa"/>
            <w:bottom w:w="0" w:type="dxa"/>
            <w:right w:w="108" w:type="dxa"/>
          </w:tblCellMar>
        </w:tblPrEx>
        <w:trPr>
          <w:trHeight w:val="39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62</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“服务热线电话”标贴（车站）</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w:t>
            </w:r>
            <w:r>
              <w:rPr>
                <w:rFonts w:hint="eastAsia" w:ascii="宋体" w:hAnsi="宋体" w:cs="宋体"/>
                <w:color w:val="auto"/>
                <w:sz w:val="15"/>
                <w:szCs w:val="15"/>
                <w:highlight w:val="none"/>
                <w:lang w:val="en-US" w:eastAsia="zh-CN" w:bidi="ar"/>
              </w:rPr>
              <w:t>0</w:t>
            </w:r>
            <w:r>
              <w:rPr>
                <w:rFonts w:hint="eastAsia" w:ascii="宋体" w:hAnsi="宋体" w:cs="宋体"/>
                <w:color w:val="auto"/>
                <w:sz w:val="15"/>
                <w:szCs w:val="15"/>
                <w:highlight w:val="none"/>
                <w:lang w:bidi="ar"/>
              </w:rPr>
              <w:t>0mm*</w:t>
            </w:r>
            <w:r>
              <w:rPr>
                <w:rFonts w:hint="eastAsia" w:ascii="宋体" w:hAnsi="宋体" w:cs="宋体"/>
                <w:color w:val="auto"/>
                <w:sz w:val="15"/>
                <w:szCs w:val="15"/>
                <w:highlight w:val="none"/>
                <w:lang w:val="en-US" w:eastAsia="zh-CN" w:bidi="ar"/>
              </w:rPr>
              <w:t>4</w:t>
            </w:r>
            <w:r>
              <w:rPr>
                <w:rFonts w:hint="eastAsia" w:ascii="宋体" w:hAnsi="宋体" w:cs="宋体"/>
                <w:color w:val="auto"/>
                <w:sz w:val="15"/>
                <w:szCs w:val="15"/>
                <w:highlight w:val="none"/>
                <w:lang w:bidi="ar"/>
              </w:rPr>
              <w:t>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PVC+反光膜+丝印+3M背胶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21</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63</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手举牌</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left"/>
              <w:rPr>
                <w:rFonts w:hint="eastAsia" w:ascii="宋体" w:hAnsi="宋体" w:eastAsia="宋体" w:cs="宋体"/>
                <w:color w:val="auto"/>
                <w:sz w:val="15"/>
                <w:szCs w:val="15"/>
                <w:highlight w:val="none"/>
                <w:lang w:val="en-US" w:eastAsia="zh-CN" w:bidi="ar"/>
              </w:rPr>
            </w:pPr>
            <w:r>
              <w:rPr>
                <w:rFonts w:hint="eastAsia" w:ascii="宋体" w:hAnsi="宋体" w:cs="宋体"/>
                <w:i w:val="0"/>
                <w:iCs w:val="0"/>
                <w:caps w:val="0"/>
                <w:color w:val="auto"/>
                <w:spacing w:val="0"/>
                <w:sz w:val="15"/>
                <w:szCs w:val="15"/>
                <w:highlight w:val="none"/>
                <w:shd w:val="clear"/>
                <w:lang w:val="en-US" w:eastAsia="zh-CN" w:bidi="ar"/>
              </w:rPr>
              <w:t>50</w:t>
            </w:r>
            <w:r>
              <w:rPr>
                <w:rFonts w:hint="eastAsia" w:ascii="宋体" w:hAnsi="宋体" w:eastAsia="宋体" w:cs="宋体"/>
                <w:i w:val="0"/>
                <w:iCs w:val="0"/>
                <w:caps w:val="0"/>
                <w:color w:val="auto"/>
                <w:spacing w:val="0"/>
                <w:sz w:val="15"/>
                <w:szCs w:val="15"/>
                <w:highlight w:val="none"/>
                <w:shd w:val="clear"/>
                <w:lang w:bidi="ar"/>
              </w:rPr>
              <w:t>cm</w:t>
            </w:r>
            <w:r>
              <w:rPr>
                <w:rFonts w:hint="eastAsia" w:ascii="宋体" w:hAnsi="宋体" w:eastAsia="宋体" w:cs="宋体"/>
                <w:i w:val="0"/>
                <w:iCs w:val="0"/>
                <w:caps w:val="0"/>
                <w:color w:val="auto"/>
                <w:spacing w:val="0"/>
                <w:sz w:val="15"/>
                <w:szCs w:val="15"/>
                <w:highlight w:val="none"/>
                <w:shd w:val="clear"/>
                <w:lang w:val="en-US" w:eastAsia="zh-CN" w:bidi="ar"/>
              </w:rPr>
              <w:t>*</w:t>
            </w:r>
            <w:r>
              <w:rPr>
                <w:rFonts w:hint="eastAsia" w:ascii="宋体" w:hAnsi="宋体" w:cs="宋体"/>
                <w:i w:val="0"/>
                <w:iCs w:val="0"/>
                <w:caps w:val="0"/>
                <w:color w:val="auto"/>
                <w:spacing w:val="0"/>
                <w:sz w:val="15"/>
                <w:szCs w:val="15"/>
                <w:highlight w:val="none"/>
                <w:shd w:val="clear"/>
                <w:lang w:val="en-US" w:eastAsia="zh-CN" w:bidi="ar"/>
              </w:rPr>
              <w:t>15</w:t>
            </w:r>
            <w:r>
              <w:rPr>
                <w:rFonts w:hint="eastAsia" w:ascii="宋体" w:hAnsi="宋体" w:eastAsia="宋体" w:cs="宋体"/>
                <w:i w:val="0"/>
                <w:iCs w:val="0"/>
                <w:caps w:val="0"/>
                <w:color w:val="auto"/>
                <w:spacing w:val="0"/>
                <w:sz w:val="15"/>
                <w:szCs w:val="15"/>
                <w:highlight w:val="none"/>
                <w:shd w:val="clear"/>
                <w:lang w:bidi="ar"/>
              </w:rPr>
              <w:t>cm</w:t>
            </w:r>
            <w:r>
              <w:rPr>
                <w:rFonts w:hint="eastAsia" w:ascii="宋体" w:hAnsi="宋体" w:cs="宋体"/>
                <w:i w:val="0"/>
                <w:iCs w:val="0"/>
                <w:caps w:val="0"/>
                <w:color w:val="auto"/>
                <w:spacing w:val="0"/>
                <w:sz w:val="15"/>
                <w:szCs w:val="15"/>
                <w:highlight w:val="none"/>
                <w:shd w:val="clear"/>
                <w:lang w:eastAsia="zh-CN" w:bidi="ar"/>
              </w:rPr>
              <w:t>（</w:t>
            </w:r>
            <w:r>
              <w:rPr>
                <w:rFonts w:hint="eastAsia" w:ascii="宋体" w:hAnsi="宋体" w:cs="宋体"/>
                <w:color w:val="auto"/>
                <w:sz w:val="15"/>
                <w:szCs w:val="15"/>
                <w:highlight w:val="none"/>
                <w:lang w:bidi="ar"/>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PVC材质+UV印刷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88</w:t>
            </w:r>
          </w:p>
        </w:tc>
      </w:tr>
      <w:tr>
        <w:tblPrEx>
          <w:tblCellMar>
            <w:top w:w="0" w:type="dxa"/>
            <w:left w:w="108" w:type="dxa"/>
            <w:bottom w:w="0" w:type="dxa"/>
            <w:right w:w="108" w:type="dxa"/>
          </w:tblCellMar>
        </w:tblPrEx>
        <w:trPr>
          <w:trHeight w:val="170" w:hRule="atLeast"/>
        </w:trPr>
        <w:tc>
          <w:tcPr>
            <w:tcW w:w="9371" w:type="dxa"/>
            <w:gridSpan w:val="6"/>
            <w:tcBorders>
              <w:top w:val="single" w:color="000000" w:sz="4" w:space="0"/>
              <w:left w:val="single" w:color="000000" w:sz="4" w:space="0"/>
              <w:bottom w:val="single" w:color="000000" w:sz="4" w:space="0"/>
              <w:right w:val="single" w:color="000000" w:sz="4" w:space="0"/>
            </w:tcBorders>
            <w:shd w:val="clear" w:color="auto" w:fill="FABF8F" w:themeFill="accent6" w:themeFillTint="99"/>
            <w:noWrap/>
            <w:vAlign w:val="center"/>
          </w:tcPr>
          <w:p>
            <w:pPr>
              <w:jc w:val="center"/>
              <w:textAlignment w:val="center"/>
              <w:rPr>
                <w:rFonts w:ascii="宋体" w:hAnsi="宋体" w:cs="宋体"/>
                <w:b/>
                <w:bCs/>
                <w:color w:val="auto"/>
                <w:sz w:val="15"/>
                <w:szCs w:val="15"/>
                <w:highlight w:val="none"/>
                <w:lang w:bidi="ar"/>
              </w:rPr>
            </w:pPr>
            <w:r>
              <w:rPr>
                <w:rFonts w:hint="eastAsia" w:ascii="宋体" w:hAnsi="宋体" w:cs="宋体"/>
                <w:b/>
                <w:bCs/>
                <w:color w:val="auto"/>
                <w:sz w:val="15"/>
                <w:szCs w:val="15"/>
                <w:highlight w:val="none"/>
                <w:lang w:bidi="ar"/>
              </w:rPr>
              <w:t>亚克力材质</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64</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自动售票机（时效）标识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330mm*60mm*2mm（宽*高*厚）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2mm厚亚克力+丝印+背胶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9</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65</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服务监督窗栏</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ascii="宋体" w:hAnsi="宋体" w:cs="宋体"/>
                <w:color w:val="auto"/>
                <w:sz w:val="15"/>
                <w:szCs w:val="15"/>
                <w:highlight w:val="none"/>
                <w:lang w:bidi="ar"/>
              </w:rPr>
              <w:t>PC底板630x930，11个透明亚克力照片插框140x93 单位：mm</w:t>
            </w:r>
          </w:p>
        </w:tc>
        <w:tc>
          <w:tcPr>
            <w:tcW w:w="4343" w:type="dxa"/>
            <w:tcBorders>
              <w:top w:val="single" w:color="000000" w:sz="4" w:space="0"/>
              <w:left w:val="single" w:color="000000" w:sz="4" w:space="0"/>
              <w:bottom w:val="single" w:color="000000" w:sz="4" w:space="0"/>
              <w:right w:val="single" w:color="000000" w:sz="4" w:space="0"/>
            </w:tcBorders>
            <w:vAlign w:val="center"/>
          </w:tcPr>
          <w:p>
            <w:pPr>
              <w:ind w:lef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PC、亚克力+阻燃性聚酯 PET材料膜+热转印/印刷，含 11 个照片框</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3-4-4 布局</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66</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扶梯提示标语</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856*150*2mm（宽*高*厚）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白色亚克力材质+阻燃性聚酯 PET 材料膜+热转印/印刷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68</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67</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身高标尺</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100*35mm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白色亚克力材质+防紫外线耐久PET聚酯材料+热转印/印刷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68</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行车值班员桌面安全应急提示卡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A3尺寸</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白色亚克力材质+阻燃性聚酯PET 材料膜+打印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19</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6</w:t>
            </w:r>
            <w:r>
              <w:rPr>
                <w:rFonts w:hint="eastAsia" w:ascii="宋体" w:hAnsi="宋体" w:cs="宋体"/>
                <w:color w:val="auto"/>
                <w:sz w:val="15"/>
                <w:szCs w:val="15"/>
                <w:highlight w:val="none"/>
                <w:lang w:val="en-US" w:eastAsia="zh-CN" w:bidi="ar"/>
              </w:rPr>
              <w:t>9</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洗手间文明标贴</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400*300*5mm（宽*高*厚）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白色亚克力材质+防紫外线耐久PET聚酯材料+平板打印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7</w:t>
            </w:r>
            <w:r>
              <w:rPr>
                <w:rFonts w:hint="eastAsia" w:ascii="宋体" w:hAnsi="宋体" w:cs="宋体"/>
                <w:color w:val="auto"/>
                <w:sz w:val="15"/>
                <w:szCs w:val="15"/>
                <w:highlight w:val="none"/>
                <w:lang w:val="en-US" w:eastAsia="zh-CN" w:bidi="ar"/>
              </w:rPr>
              <w:t>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室内地面插座标识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100*15mm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白色亚克力材质+防紫外线耐久PET聚酯材料+打印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71</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雨伞温馨提示</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400mm*200mm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白色亚克力材质+阻燃性聚酯PET材料膜+打印，张贴类，热转印/印刷，不接受复合覆膜材料</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21</w:t>
            </w:r>
          </w:p>
        </w:tc>
      </w:tr>
      <w:tr>
        <w:tblPrEx>
          <w:tblCellMar>
            <w:top w:w="0" w:type="dxa"/>
            <w:left w:w="108" w:type="dxa"/>
            <w:bottom w:w="0" w:type="dxa"/>
            <w:right w:w="108" w:type="dxa"/>
          </w:tblCellMar>
        </w:tblPrEx>
        <w:trPr>
          <w:trHeight w:val="54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72</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乘梯须知标识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290mm*210mm*2mm（宽*高*厚）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2mm厚亚克力+丝印+背胶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w:t>
            </w:r>
          </w:p>
        </w:tc>
      </w:tr>
      <w:tr>
        <w:tblPrEx>
          <w:tblCellMar>
            <w:top w:w="0" w:type="dxa"/>
            <w:left w:w="108" w:type="dxa"/>
            <w:bottom w:w="0" w:type="dxa"/>
            <w:right w:w="108" w:type="dxa"/>
          </w:tblCellMar>
        </w:tblPrEx>
        <w:trPr>
          <w:trHeight w:val="183"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73</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墙上标识（母婴室）</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left"/>
              <w:textAlignment w:val="auto"/>
              <w:rPr>
                <w:rFonts w:hint="default" w:ascii="宋体" w:hAnsi="宋体" w:cs="宋体"/>
                <w:color w:val="auto"/>
                <w:sz w:val="15"/>
                <w:szCs w:val="15"/>
                <w:highlight w:val="none"/>
                <w:lang w:val="en-US" w:bidi="ar"/>
              </w:rPr>
            </w:pPr>
            <w:r>
              <w:rPr>
                <w:rFonts w:hint="eastAsia" w:ascii="宋体" w:hAnsi="宋体" w:eastAsia="宋体" w:cs="宋体"/>
                <w:i w:val="0"/>
                <w:iCs w:val="0"/>
                <w:color w:val="auto"/>
                <w:kern w:val="0"/>
                <w:sz w:val="15"/>
                <w:szCs w:val="15"/>
                <w:highlight w:val="none"/>
                <w:u w:val="none"/>
                <w:lang w:val="en-US" w:eastAsia="zh-CN" w:bidi="ar"/>
              </w:rPr>
              <w:t>160cm*120cm</w:t>
            </w:r>
            <w:r>
              <w:rPr>
                <w:rFonts w:ascii="宋体" w:hAnsi="宋体" w:cs="宋体"/>
                <w:color w:val="auto"/>
                <w:sz w:val="15"/>
                <w:szCs w:val="15"/>
                <w:highlight w:val="none"/>
                <w:lang w:val="en-US" w:eastAsia="zh-CN" w:bidi="ar"/>
              </w:rPr>
              <w:t>（长*宽）</w:t>
            </w:r>
            <w:r>
              <w:rPr>
                <w:rFonts w:hint="eastAsia" w:ascii="宋体" w:hAnsi="宋体" w:cs="宋体"/>
                <w:color w:val="auto"/>
                <w:sz w:val="15"/>
                <w:szCs w:val="15"/>
                <w:highlight w:val="none"/>
                <w:lang w:val="en-US" w:eastAsia="zh-CN" w:bidi="ar"/>
              </w:rPr>
              <w:t>，</w:t>
            </w:r>
            <w:r>
              <w:rPr>
                <w:rFonts w:hint="eastAsia" w:ascii="宋体" w:hAnsi="宋体" w:cs="宋体"/>
                <w:color w:val="auto"/>
                <w:sz w:val="15"/>
                <w:szCs w:val="15"/>
                <w:highlight w:val="none"/>
                <w:lang w:bidi="ar"/>
              </w:rPr>
              <w:t>以现场实际尺寸为准</w:t>
            </w:r>
          </w:p>
        </w:tc>
        <w:tc>
          <w:tcPr>
            <w:tcW w:w="43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left"/>
              <w:textAlignment w:val="auto"/>
              <w:rPr>
                <w:rFonts w:ascii="宋体" w:hAnsi="宋体" w:cs="宋体"/>
                <w:color w:val="auto"/>
                <w:sz w:val="15"/>
                <w:szCs w:val="15"/>
                <w:highlight w:val="none"/>
                <w:lang w:bidi="ar"/>
              </w:rPr>
            </w:pPr>
            <w:r>
              <w:rPr>
                <w:rFonts w:hint="eastAsia" w:ascii="宋体" w:hAnsi="宋体" w:eastAsia="宋体" w:cs="宋体"/>
                <w:i w:val="0"/>
                <w:iCs w:val="0"/>
                <w:color w:val="auto"/>
                <w:kern w:val="0"/>
                <w:sz w:val="15"/>
                <w:szCs w:val="15"/>
                <w:highlight w:val="none"/>
                <w:u w:val="none"/>
                <w:lang w:val="en-US" w:eastAsia="zh-CN" w:bidi="ar"/>
              </w:rPr>
              <w:t>10MM厚亚克力 背印UV画面约160CM*120CM，带背胶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183"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74</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线路图标识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1200*700mm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白色亚克力材质+防紫外线耐久PET聚酯材料+平板打印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205" w:hRule="atLeast"/>
        </w:trPr>
        <w:tc>
          <w:tcPr>
            <w:tcW w:w="9371" w:type="dxa"/>
            <w:gridSpan w:val="6"/>
            <w:tcBorders>
              <w:top w:val="single" w:color="000000" w:sz="4" w:space="0"/>
              <w:left w:val="single" w:color="000000" w:sz="4" w:space="0"/>
              <w:bottom w:val="single" w:color="000000" w:sz="4" w:space="0"/>
              <w:right w:val="single" w:color="000000" w:sz="4" w:space="0"/>
            </w:tcBorders>
            <w:shd w:val="clear" w:color="auto" w:fill="FABF8F" w:themeFill="accent6" w:themeFillTint="99"/>
            <w:noWrap/>
            <w:vAlign w:val="center"/>
          </w:tcPr>
          <w:p>
            <w:pPr>
              <w:jc w:val="center"/>
              <w:textAlignment w:val="center"/>
              <w:rPr>
                <w:rFonts w:ascii="宋体" w:hAnsi="宋体" w:cs="宋体"/>
                <w:color w:val="auto"/>
                <w:sz w:val="15"/>
                <w:szCs w:val="15"/>
                <w:highlight w:val="none"/>
                <w:lang w:bidi="ar"/>
              </w:rPr>
            </w:pPr>
            <w:r>
              <w:rPr>
                <w:rFonts w:hint="eastAsia" w:ascii="宋体" w:hAnsi="宋体" w:cs="宋体"/>
                <w:b/>
                <w:bCs/>
                <w:color w:val="auto"/>
                <w:sz w:val="15"/>
                <w:szCs w:val="15"/>
                <w:highlight w:val="none"/>
                <w:lang w:bidi="ar"/>
              </w:rPr>
              <w:t>小画框</w:t>
            </w:r>
          </w:p>
        </w:tc>
      </w:tr>
      <w:tr>
        <w:tblPrEx>
          <w:tblCellMar>
            <w:top w:w="0" w:type="dxa"/>
            <w:left w:w="108" w:type="dxa"/>
            <w:bottom w:w="0" w:type="dxa"/>
            <w:right w:w="108" w:type="dxa"/>
          </w:tblCellMar>
        </w:tblPrEx>
        <w:trPr>
          <w:trHeight w:val="543"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75</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“禁止携带的物品”标识（小画框海报）</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10</w:t>
            </w:r>
            <w:r>
              <w:rPr>
                <w:rFonts w:hint="eastAsia" w:ascii="宋体" w:hAnsi="宋体" w:cs="宋体"/>
                <w:color w:val="auto"/>
                <w:sz w:val="15"/>
                <w:szCs w:val="15"/>
                <w:highlight w:val="none"/>
                <w:lang w:bidi="ar"/>
              </w:rPr>
              <w:t>00*</w:t>
            </w:r>
            <w:r>
              <w:rPr>
                <w:rFonts w:hint="eastAsia" w:ascii="宋体" w:hAnsi="宋体" w:cs="宋体"/>
                <w:color w:val="auto"/>
                <w:sz w:val="15"/>
                <w:szCs w:val="15"/>
                <w:highlight w:val="none"/>
                <w:lang w:val="en-US" w:eastAsia="zh-CN" w:bidi="ar"/>
              </w:rPr>
              <w:t>6</w:t>
            </w:r>
            <w:r>
              <w:rPr>
                <w:rFonts w:hint="eastAsia" w:ascii="宋体" w:hAnsi="宋体" w:cs="宋体"/>
                <w:color w:val="auto"/>
                <w:sz w:val="15"/>
                <w:szCs w:val="15"/>
                <w:highlight w:val="none"/>
                <w:lang w:bidi="ar"/>
              </w:rPr>
              <w:t>00mm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内页：UV高清喷绘+过哑光膜</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外框：铝合金边框功能：可更换画面。</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w:t>
            </w:r>
          </w:p>
        </w:tc>
      </w:tr>
      <w:tr>
        <w:tblPrEx>
          <w:tblCellMar>
            <w:top w:w="0" w:type="dxa"/>
            <w:left w:w="108" w:type="dxa"/>
            <w:bottom w:w="0" w:type="dxa"/>
            <w:right w:w="108" w:type="dxa"/>
          </w:tblCellMar>
        </w:tblPrEx>
        <w:trPr>
          <w:trHeight w:val="844"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76</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车站展板</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铝合金弹簧框：1200*2400mm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PVC板：1190*2390mm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透明有机板：1190*2390</w:t>
            </w:r>
            <w:r>
              <w:rPr>
                <w:rFonts w:hint="eastAsia" w:ascii="宋体" w:hAnsi="宋体" w:cs="宋体"/>
                <w:color w:val="auto"/>
                <w:sz w:val="15"/>
                <w:szCs w:val="15"/>
                <w:highlight w:val="none"/>
                <w:lang w:val="en-US" w:eastAsia="zh-CN" w:bidi="ar"/>
              </w:rPr>
              <w:t>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铝框+底板+透明面板</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9371" w:type="dxa"/>
            <w:gridSpan w:val="6"/>
            <w:tcBorders>
              <w:top w:val="single" w:color="000000" w:sz="4" w:space="0"/>
              <w:left w:val="single" w:color="000000" w:sz="4" w:space="0"/>
              <w:bottom w:val="single" w:color="000000" w:sz="4" w:space="0"/>
              <w:right w:val="single" w:color="000000" w:sz="4" w:space="0"/>
            </w:tcBorders>
            <w:shd w:val="clear" w:color="auto" w:fill="FABF8F" w:themeFill="accent6" w:themeFillTint="99"/>
            <w:noWrap/>
            <w:vAlign w:val="center"/>
          </w:tcPr>
          <w:p>
            <w:pPr>
              <w:tabs>
                <w:tab w:val="left" w:pos="3759"/>
              </w:tabs>
              <w:jc w:val="center"/>
              <w:textAlignment w:val="center"/>
              <w:rPr>
                <w:rFonts w:ascii="宋体" w:hAnsi="宋体" w:cs="宋体"/>
                <w:color w:val="auto"/>
                <w:sz w:val="15"/>
                <w:szCs w:val="15"/>
                <w:highlight w:val="none"/>
                <w:lang w:bidi="ar"/>
              </w:rPr>
            </w:pPr>
            <w:r>
              <w:rPr>
                <w:rFonts w:hint="eastAsia" w:ascii="宋体" w:hAnsi="宋体" w:cs="宋体"/>
                <w:b/>
                <w:bCs/>
                <w:color w:val="auto"/>
                <w:sz w:val="15"/>
                <w:szCs w:val="15"/>
                <w:highlight w:val="none"/>
                <w:lang w:bidi="ar"/>
              </w:rPr>
              <w:t>其他</w:t>
            </w:r>
          </w:p>
        </w:tc>
      </w:tr>
      <w:tr>
        <w:tblPrEx>
          <w:tblCellMar>
            <w:top w:w="0" w:type="dxa"/>
            <w:left w:w="108" w:type="dxa"/>
            <w:bottom w:w="0" w:type="dxa"/>
            <w:right w:w="108" w:type="dxa"/>
          </w:tblCellMar>
        </w:tblPrEx>
        <w:trPr>
          <w:trHeight w:val="942"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77</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展板宣传画</w:t>
            </w:r>
          </w:p>
        </w:tc>
        <w:tc>
          <w:tcPr>
            <w:tcW w:w="1784" w:type="dxa"/>
            <w:tcBorders>
              <w:top w:val="single" w:color="000000" w:sz="4" w:space="0"/>
              <w:left w:val="single" w:color="000000" w:sz="4" w:space="0"/>
              <w:bottom w:val="single" w:color="000000" w:sz="4" w:space="0"/>
              <w:right w:val="single" w:color="000000" w:sz="4" w:space="0"/>
            </w:tcBorders>
            <w:vAlign w:val="bottom"/>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铝合金弹簧框：1200*2400mm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PVC板：1190*2390mm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透明有机板：1190*2390</w:t>
            </w:r>
            <w:r>
              <w:rPr>
                <w:rFonts w:hint="eastAsia" w:ascii="宋体" w:hAnsi="宋体" w:cs="宋体"/>
                <w:color w:val="auto"/>
                <w:sz w:val="15"/>
                <w:szCs w:val="15"/>
                <w:highlight w:val="none"/>
                <w:lang w:val="en-US" w:eastAsia="zh-CN" w:bidi="ar"/>
              </w:rPr>
              <w:t>mm</w:t>
            </w:r>
          </w:p>
        </w:tc>
        <w:tc>
          <w:tcPr>
            <w:tcW w:w="4343" w:type="dxa"/>
            <w:tcBorders>
              <w:top w:val="single" w:color="000000" w:sz="4" w:space="0"/>
              <w:left w:val="single" w:color="000000" w:sz="4" w:space="0"/>
              <w:bottom w:val="single" w:color="000000" w:sz="4" w:space="0"/>
              <w:right w:val="single" w:color="000000" w:sz="4" w:space="0"/>
            </w:tcBorders>
            <w:vAlign w:val="center"/>
          </w:tcPr>
          <w:p>
            <w:pPr>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铝框+底板+透明面板</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高精户外可移车贴</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94</w:t>
            </w:r>
          </w:p>
        </w:tc>
      </w:tr>
      <w:tr>
        <w:tblPrEx>
          <w:tblCellMar>
            <w:top w:w="0" w:type="dxa"/>
            <w:left w:w="108" w:type="dxa"/>
            <w:bottom w:w="0" w:type="dxa"/>
            <w:right w:w="108" w:type="dxa"/>
          </w:tblCellMar>
        </w:tblPrEx>
        <w:trPr>
          <w:trHeight w:val="262"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78</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乘客留言本</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B5尺寸</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50页，带封面</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本</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5</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79</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服务监督窗照片</w:t>
            </w:r>
          </w:p>
        </w:tc>
        <w:tc>
          <w:tcPr>
            <w:tcW w:w="1784" w:type="dxa"/>
            <w:tcBorders>
              <w:top w:val="single" w:color="000000" w:sz="4" w:space="0"/>
              <w:left w:val="single" w:color="000000" w:sz="4" w:space="0"/>
              <w:bottom w:val="single" w:color="000000" w:sz="4" w:space="0"/>
              <w:right w:val="single" w:color="000000" w:sz="4" w:space="0"/>
            </w:tcBorders>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85*130mm</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val="en-US" w:eastAsia="zh-CN" w:bidi="ar"/>
              </w:rPr>
              <w:t>宽*高</w:t>
            </w:r>
            <w:r>
              <w:rPr>
                <w:rFonts w:hint="eastAsia" w:ascii="宋体" w:hAnsi="宋体" w:cs="宋体"/>
                <w:color w:val="auto"/>
                <w:sz w:val="15"/>
                <w:szCs w:val="15"/>
                <w:highlight w:val="none"/>
                <w:lang w:eastAsia="zh-CN" w:bidi="ar"/>
              </w:rPr>
              <w:t>）</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相纸过塑，包含拍摄、后期设计排版、生产</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225</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袖章</w:t>
            </w:r>
          </w:p>
        </w:tc>
        <w:tc>
          <w:tcPr>
            <w:tcW w:w="1784" w:type="dxa"/>
            <w:tcBorders>
              <w:top w:val="single" w:color="000000" w:sz="4" w:space="0"/>
              <w:left w:val="single" w:color="000000" w:sz="4" w:space="0"/>
              <w:bottom w:val="single" w:color="000000" w:sz="4" w:space="0"/>
              <w:right w:val="single" w:color="000000" w:sz="4" w:space="0"/>
            </w:tcBorders>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400*15mm</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rPr>
              <w:t>长*宽</w:t>
            </w:r>
            <w:r>
              <w:rPr>
                <w:rFonts w:hint="eastAsia" w:ascii="宋体" w:hAnsi="宋体" w:cs="宋体"/>
                <w:color w:val="auto"/>
                <w:sz w:val="15"/>
                <w:szCs w:val="15"/>
                <w:highlight w:val="none"/>
                <w:lang w:eastAsia="zh-CN" w:bidi="ar"/>
              </w:rPr>
              <w:t>）</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材质：涤棉布料，带魔术贴</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81</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正在维修</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高670mm，底座长310mm，宽310mm，高50mm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方锥，雪糕筒型告示牌，pp 塑料材质，颜色：黄色  四面丝印字体、南宁轨道logo</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82</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暂停服务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高670mm，底座长310mm，宽310mm，高50mm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方锥，雪糕筒型告示牌，pp 塑料材质，颜色：黄色  四面丝印字体、南宁轨道logo</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83</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小心地滑</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高670mm，底座长310mm，宽310mm，高50mm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方锥，雪糕筒型告示牌，pp 塑料材质，颜色：黄色  四面丝印字体、南宁轨道logo</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84</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乘车指南折页</w:t>
            </w:r>
          </w:p>
        </w:tc>
        <w:tc>
          <w:tcPr>
            <w:tcW w:w="1784"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color w:val="auto"/>
                <w:sz w:val="15"/>
                <w:szCs w:val="15"/>
                <w:highlight w:val="none"/>
                <w:lang w:eastAsia="zh-CN"/>
              </w:rPr>
            </w:pPr>
            <w:r>
              <w:rPr>
                <w:rFonts w:hint="eastAsia" w:ascii="宋体" w:hAnsi="宋体" w:cs="宋体"/>
                <w:color w:val="auto"/>
                <w:sz w:val="15"/>
                <w:szCs w:val="15"/>
                <w:highlight w:val="none"/>
                <w:lang w:val="en-US" w:eastAsia="zh-CN" w:bidi="ar"/>
              </w:rPr>
              <w:t>1.</w:t>
            </w:r>
            <w:r>
              <w:rPr>
                <w:rFonts w:hint="eastAsia" w:ascii="宋体" w:hAnsi="宋体" w:eastAsia="宋体" w:cs="宋体"/>
                <w:color w:val="auto"/>
                <w:sz w:val="15"/>
                <w:szCs w:val="15"/>
                <w:highlight w:val="none"/>
              </w:rPr>
              <w:t>3折页</w:t>
            </w:r>
            <w:r>
              <w:rPr>
                <w:rFonts w:hint="eastAsia" w:ascii="宋体" w:hAnsi="宋体" w:cs="宋体"/>
                <w:color w:val="auto"/>
                <w:sz w:val="15"/>
                <w:szCs w:val="15"/>
                <w:highlight w:val="none"/>
                <w:lang w:eastAsia="zh-CN"/>
              </w:rPr>
              <w:t>：</w:t>
            </w:r>
          </w:p>
          <w:p>
            <w:pPr>
              <w:pStyle w:val="26"/>
              <w:keepNext w:val="0"/>
              <w:keepLines w:val="0"/>
              <w:widowControl/>
              <w:suppressLineNumbers w:val="0"/>
              <w:spacing w:before="0" w:beforeAutospacing="0" w:after="0" w:afterAutospacing="0" w:line="240" w:lineRule="auto"/>
              <w:ind w:left="0" w:firstLine="0"/>
              <w:jc w:val="center"/>
              <w:rPr>
                <w:rFonts w:hint="eastAsia" w:ascii="宋体" w:hAnsi="宋体" w:cs="宋体"/>
                <w:color w:val="auto"/>
                <w:sz w:val="15"/>
                <w:szCs w:val="15"/>
                <w:highlight w:val="none"/>
                <w:lang w:eastAsia="zh-CN"/>
              </w:rPr>
            </w:pPr>
            <w:r>
              <w:rPr>
                <w:rFonts w:hint="eastAsia" w:ascii="宋体" w:hAnsi="宋体" w:eastAsia="宋体" w:cs="宋体"/>
                <w:color w:val="auto"/>
                <w:sz w:val="15"/>
                <w:szCs w:val="15"/>
                <w:highlight w:val="none"/>
              </w:rPr>
              <w:t>展开300mm×210mm</w:t>
            </w:r>
            <w:r>
              <w:rPr>
                <w:rFonts w:hint="eastAsia" w:ascii="宋体" w:hAnsi="宋体" w:cs="宋体"/>
                <w:color w:val="auto"/>
                <w:sz w:val="15"/>
                <w:szCs w:val="15"/>
                <w:highlight w:val="none"/>
              </w:rPr>
              <w:br w:type="textWrapping"/>
            </w:r>
            <w:r>
              <w:rPr>
                <w:rFonts w:hint="eastAsia" w:ascii="宋体" w:hAnsi="宋体" w:eastAsia="宋体" w:cs="宋体"/>
                <w:color w:val="auto"/>
                <w:sz w:val="15"/>
                <w:szCs w:val="15"/>
                <w:highlight w:val="none"/>
              </w:rPr>
              <w:t>折后100mm×210mm</w:t>
            </w:r>
            <w:r>
              <w:rPr>
                <w:rFonts w:hint="eastAsia" w:ascii="宋体" w:hAnsi="宋体" w:cs="宋体"/>
                <w:color w:val="auto"/>
                <w:sz w:val="15"/>
                <w:szCs w:val="15"/>
                <w:highlight w:val="none"/>
              </w:rPr>
              <w:br w:type="textWrapping"/>
            </w:r>
            <w:r>
              <w:rPr>
                <w:rFonts w:hint="eastAsia" w:ascii="宋体" w:hAnsi="宋体" w:cs="宋体"/>
                <w:color w:val="auto"/>
                <w:sz w:val="15"/>
                <w:szCs w:val="15"/>
                <w:highlight w:val="none"/>
                <w:lang w:val="en-US" w:eastAsia="zh-CN" w:bidi="ar"/>
              </w:rPr>
              <w:t>2.</w:t>
            </w:r>
            <w:r>
              <w:rPr>
                <w:rFonts w:hint="eastAsia" w:ascii="宋体" w:hAnsi="宋体" w:eastAsia="宋体" w:cs="宋体"/>
                <w:color w:val="auto"/>
                <w:sz w:val="15"/>
                <w:szCs w:val="15"/>
                <w:highlight w:val="none"/>
              </w:rPr>
              <w:t>4折页</w:t>
            </w:r>
            <w:r>
              <w:rPr>
                <w:rFonts w:hint="eastAsia" w:ascii="宋体" w:hAnsi="宋体" w:cs="宋体"/>
                <w:color w:val="auto"/>
                <w:sz w:val="15"/>
                <w:szCs w:val="15"/>
                <w:highlight w:val="none"/>
                <w:lang w:eastAsia="zh-CN"/>
              </w:rPr>
              <w:t>：</w:t>
            </w:r>
          </w:p>
          <w:p>
            <w:pPr>
              <w:pStyle w:val="26"/>
              <w:keepNext w:val="0"/>
              <w:keepLines w:val="0"/>
              <w:widowControl/>
              <w:suppressLineNumbers w:val="0"/>
              <w:spacing w:before="0" w:beforeAutospacing="0" w:after="0" w:afterAutospacing="0" w:line="240" w:lineRule="auto"/>
              <w:ind w:left="0" w:firstLine="0"/>
              <w:jc w:val="center"/>
              <w:rPr>
                <w:rFonts w:hint="eastAsia" w:ascii="宋体" w:hAnsi="宋体" w:cs="宋体"/>
                <w:color w:val="auto"/>
                <w:sz w:val="15"/>
                <w:szCs w:val="15"/>
                <w:highlight w:val="none"/>
              </w:rPr>
            </w:pPr>
            <w:r>
              <w:rPr>
                <w:rFonts w:hint="eastAsia" w:ascii="宋体" w:hAnsi="宋体" w:eastAsia="宋体" w:cs="宋体"/>
                <w:color w:val="auto"/>
                <w:sz w:val="15"/>
                <w:szCs w:val="15"/>
                <w:highlight w:val="none"/>
              </w:rPr>
              <w:t>展开400mm×210mm</w:t>
            </w:r>
            <w:r>
              <w:rPr>
                <w:rFonts w:hint="eastAsia" w:ascii="宋体" w:hAnsi="宋体" w:cs="宋体"/>
                <w:color w:val="auto"/>
                <w:sz w:val="15"/>
                <w:szCs w:val="15"/>
                <w:highlight w:val="none"/>
              </w:rPr>
              <w:br w:type="textWrapping"/>
            </w:r>
            <w:r>
              <w:rPr>
                <w:rFonts w:hint="eastAsia" w:ascii="宋体" w:hAnsi="宋体" w:eastAsia="宋体" w:cs="宋体"/>
                <w:color w:val="auto"/>
                <w:sz w:val="15"/>
                <w:szCs w:val="15"/>
                <w:highlight w:val="none"/>
              </w:rPr>
              <w:t>折后100mm×210mm</w:t>
            </w:r>
          </w:p>
          <w:p>
            <w:pPr>
              <w:pStyle w:val="26"/>
              <w:spacing w:beforeAutospacing="0" w:afterAutospacing="0" w:line="240" w:lineRule="auto"/>
              <w:ind w:firstLine="450" w:firstLineChars="300"/>
              <w:jc w:val="both"/>
              <w:rPr>
                <w:rFonts w:hint="eastAsia" w:ascii="宋体" w:hAnsi="宋体" w:cs="宋体"/>
                <w:color w:val="auto"/>
                <w:sz w:val="15"/>
                <w:szCs w:val="15"/>
                <w:highlight w:val="none"/>
                <w:lang w:eastAsia="zh-CN"/>
              </w:rPr>
            </w:pPr>
            <w:r>
              <w:rPr>
                <w:rFonts w:hint="eastAsia" w:ascii="宋体" w:hAnsi="宋体" w:cs="宋体"/>
                <w:color w:val="auto"/>
                <w:sz w:val="15"/>
                <w:szCs w:val="15"/>
                <w:highlight w:val="none"/>
                <w:lang w:val="en-US" w:eastAsia="zh-CN" w:bidi="ar"/>
              </w:rPr>
              <w:t>3 .</w:t>
            </w:r>
            <w:r>
              <w:rPr>
                <w:rFonts w:hint="eastAsia" w:ascii="宋体" w:hAnsi="宋体" w:eastAsia="宋体" w:cs="宋体"/>
                <w:color w:val="auto"/>
                <w:sz w:val="15"/>
                <w:szCs w:val="15"/>
                <w:highlight w:val="none"/>
              </w:rPr>
              <w:t>5折页</w:t>
            </w:r>
            <w:r>
              <w:rPr>
                <w:rFonts w:hint="eastAsia" w:ascii="宋体" w:hAnsi="宋体" w:cs="宋体"/>
                <w:color w:val="auto"/>
                <w:sz w:val="15"/>
                <w:szCs w:val="15"/>
                <w:highlight w:val="none"/>
                <w:lang w:eastAsia="zh-CN"/>
              </w:rPr>
              <w:t>：</w:t>
            </w:r>
          </w:p>
          <w:p>
            <w:pPr>
              <w:pStyle w:val="26"/>
              <w:spacing w:beforeAutospacing="0" w:afterAutospacing="0" w:line="240" w:lineRule="auto"/>
              <w:ind w:left="0" w:leftChars="0" w:right="0" w:rightChars="0" w:firstLine="0" w:firstLineChars="0"/>
              <w:jc w:val="center"/>
              <w:rPr>
                <w:rFonts w:hint="default" w:ascii="宋体" w:hAnsi="宋体" w:eastAsia="宋体" w:cs="宋体"/>
                <w:color w:val="auto"/>
                <w:kern w:val="0"/>
                <w:sz w:val="15"/>
                <w:szCs w:val="15"/>
                <w:highlight w:val="none"/>
                <w:lang w:val="en-US" w:eastAsia="zh-CN" w:bidi="ar"/>
              </w:rPr>
            </w:pPr>
            <w:r>
              <w:rPr>
                <w:rFonts w:hint="eastAsia" w:ascii="宋体" w:hAnsi="宋体" w:eastAsia="宋体" w:cs="宋体"/>
                <w:color w:val="auto"/>
                <w:sz w:val="15"/>
                <w:szCs w:val="15"/>
                <w:highlight w:val="none"/>
              </w:rPr>
              <w:t>展开500mm×210mm</w:t>
            </w:r>
            <w:r>
              <w:rPr>
                <w:rFonts w:hint="eastAsia" w:ascii="宋体" w:hAnsi="宋体" w:cs="宋体"/>
                <w:color w:val="auto"/>
                <w:sz w:val="15"/>
                <w:szCs w:val="15"/>
                <w:highlight w:val="none"/>
              </w:rPr>
              <w:br w:type="textWrapping"/>
            </w:r>
            <w:r>
              <w:rPr>
                <w:rFonts w:hint="eastAsia" w:ascii="宋体" w:hAnsi="宋体" w:eastAsia="宋体" w:cs="宋体"/>
                <w:color w:val="auto"/>
                <w:sz w:val="15"/>
                <w:szCs w:val="15"/>
                <w:highlight w:val="none"/>
              </w:rPr>
              <w:t>折后100mm×210mm</w:t>
            </w:r>
          </w:p>
        </w:tc>
        <w:tc>
          <w:tcPr>
            <w:tcW w:w="4343" w:type="dxa"/>
            <w:tcBorders>
              <w:top w:val="single" w:color="000000" w:sz="4" w:space="0"/>
              <w:left w:val="single" w:color="000000" w:sz="4" w:space="0"/>
              <w:bottom w:val="single" w:color="000000" w:sz="4" w:space="0"/>
              <w:right w:val="single" w:color="000000" w:sz="4" w:space="0"/>
            </w:tcBorders>
            <w:vAlign w:val="center"/>
          </w:tcPr>
          <w:p>
            <w:pPr>
              <w:pStyle w:val="26"/>
              <w:ind w:left="0" w:leftChars="0" w:right="0" w:rightChars="0" w:firstLine="0" w:firstLineChars="0"/>
              <w:jc w:val="both"/>
              <w:rPr>
                <w:rFonts w:hint="default" w:ascii="宋体" w:hAnsi="宋体" w:eastAsia="宋体" w:cs="宋体"/>
                <w:color w:val="auto"/>
                <w:kern w:val="0"/>
                <w:sz w:val="15"/>
                <w:szCs w:val="15"/>
                <w:highlight w:val="none"/>
                <w:lang w:val="en-US" w:eastAsia="zh-CN" w:bidi="ar"/>
              </w:rPr>
            </w:pPr>
            <w:r>
              <w:rPr>
                <w:rFonts w:hint="eastAsia" w:ascii="宋体" w:hAnsi="宋体" w:eastAsia="宋体" w:cs="宋体"/>
                <w:color w:val="auto"/>
                <w:sz w:val="15"/>
                <w:szCs w:val="15"/>
                <w:highlight w:val="none"/>
                <w:lang w:val="en-US" w:eastAsia="zh-CN"/>
              </w:rPr>
              <w:t>彩色印</w:t>
            </w:r>
            <w:r>
              <w:rPr>
                <w:rFonts w:hint="eastAsia" w:ascii="宋体" w:hAnsi="宋体" w:eastAsia="宋体" w:cs="宋体"/>
                <w:color w:val="auto"/>
                <w:sz w:val="15"/>
                <w:szCs w:val="15"/>
                <w:highlight w:val="none"/>
              </w:rPr>
              <w:t>刷、200克</w:t>
            </w:r>
            <w:r>
              <w:rPr>
                <w:rFonts w:hint="eastAsia" w:ascii="宋体" w:hAnsi="宋体" w:cs="宋体"/>
                <w:color w:val="auto"/>
                <w:sz w:val="15"/>
                <w:szCs w:val="15"/>
                <w:highlight w:val="none"/>
                <w:lang w:eastAsia="zh-CN"/>
              </w:rPr>
              <w:t>铜版纸</w:t>
            </w:r>
            <w:r>
              <w:rPr>
                <w:rFonts w:hint="eastAsia" w:ascii="宋体" w:hAnsi="宋体" w:eastAsia="宋体" w:cs="宋体"/>
                <w:color w:val="auto"/>
                <w:sz w:val="15"/>
                <w:szCs w:val="15"/>
                <w:highlight w:val="none"/>
              </w:rPr>
              <w:t>、</w:t>
            </w:r>
            <w:r>
              <w:rPr>
                <w:rFonts w:hint="eastAsia" w:ascii="宋体" w:hAnsi="宋体" w:cs="宋体"/>
                <w:color w:val="auto"/>
                <w:sz w:val="15"/>
                <w:szCs w:val="15"/>
                <w:highlight w:val="none"/>
                <w:lang w:val="en-US" w:eastAsia="zh-CN"/>
              </w:rPr>
              <w:t>根据不同内容</w:t>
            </w:r>
            <w:r>
              <w:rPr>
                <w:rFonts w:hint="eastAsia" w:ascii="宋体" w:hAnsi="宋体" w:eastAsia="宋体" w:cs="宋体"/>
                <w:color w:val="auto"/>
                <w:sz w:val="15"/>
                <w:szCs w:val="15"/>
                <w:highlight w:val="none"/>
              </w:rPr>
              <w:t>折页、覆膜</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42000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85</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易拉宝</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80</w:t>
            </w:r>
            <w:r>
              <w:rPr>
                <w:rFonts w:hint="eastAsia" w:ascii="宋体" w:hAnsi="宋体" w:cs="宋体"/>
                <w:color w:val="auto"/>
                <w:sz w:val="15"/>
                <w:szCs w:val="15"/>
                <w:highlight w:val="none"/>
                <w:lang w:val="en-US" w:eastAsia="zh-CN" w:bidi="ar"/>
              </w:rPr>
              <w:t>0</w:t>
            </w:r>
            <w:r>
              <w:rPr>
                <w:rFonts w:hint="eastAsia" w:ascii="宋体" w:hAnsi="宋体" w:cs="宋体"/>
                <w:color w:val="auto"/>
                <w:sz w:val="15"/>
                <w:szCs w:val="15"/>
                <w:highlight w:val="none"/>
                <w:lang w:bidi="ar"/>
              </w:rPr>
              <w:t>*200</w:t>
            </w:r>
            <w:r>
              <w:rPr>
                <w:rFonts w:hint="eastAsia" w:ascii="宋体" w:hAnsi="宋体" w:cs="宋体"/>
                <w:color w:val="auto"/>
                <w:sz w:val="15"/>
                <w:szCs w:val="15"/>
                <w:highlight w:val="none"/>
                <w:lang w:val="en-US" w:eastAsia="zh-CN" w:bidi="ar"/>
              </w:rPr>
              <w:t>0m</w:t>
            </w:r>
            <w:r>
              <w:rPr>
                <w:rFonts w:hint="eastAsia" w:ascii="宋体" w:hAnsi="宋体" w:cs="宋体"/>
                <w:color w:val="auto"/>
                <w:sz w:val="15"/>
                <w:szCs w:val="15"/>
                <w:highlight w:val="none"/>
                <w:lang w:bidi="ar"/>
              </w:rPr>
              <w:t>m</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val="en-US" w:eastAsia="zh-CN" w:bidi="ar"/>
              </w:rPr>
              <w:t>宽*高</w:t>
            </w:r>
            <w:r>
              <w:rPr>
                <w:rFonts w:hint="eastAsia" w:ascii="宋体" w:hAnsi="宋体" w:cs="宋体"/>
                <w:color w:val="auto"/>
                <w:sz w:val="15"/>
                <w:szCs w:val="15"/>
                <w:highlight w:val="none"/>
                <w:lang w:eastAsia="zh-CN" w:bidi="ar"/>
              </w:rPr>
              <w:t>）</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加厚铝合金易拉宝</w:t>
            </w:r>
            <w:r>
              <w:rPr>
                <w:rFonts w:hint="eastAsia" w:ascii="宋体" w:hAnsi="宋体" w:cs="宋体"/>
                <w:color w:val="auto"/>
                <w:sz w:val="15"/>
                <w:szCs w:val="15"/>
                <w:highlight w:val="none"/>
                <w:lang w:val="en-US" w:eastAsia="zh-CN" w:bidi="ar"/>
              </w:rPr>
              <w:t>框架，画面材质：pvc硬片高清喷绘</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34</w:t>
            </w:r>
          </w:p>
        </w:tc>
      </w:tr>
    </w:tbl>
    <w:p>
      <w:pPr>
        <w:numPr>
          <w:ilvl w:val="1"/>
          <w:numId w:val="0"/>
        </w:numPr>
        <w:tabs>
          <w:tab w:val="left" w:pos="0"/>
        </w:tabs>
        <w:spacing w:before="0" w:afterAutospacing="0" w:line="240" w:lineRule="auto"/>
        <w:ind w:right="0"/>
        <w:rPr>
          <w:color w:val="auto"/>
          <w:sz w:val="15"/>
          <w:szCs w:val="15"/>
          <w:highlight w:val="none"/>
        </w:rPr>
      </w:pPr>
    </w:p>
    <w:bookmarkEnd w:id="1053"/>
    <w:p>
      <w:pPr>
        <w:numPr>
          <w:ilvl w:val="1"/>
          <w:numId w:val="0"/>
        </w:numPr>
        <w:tabs>
          <w:tab w:val="left" w:pos="0"/>
        </w:tabs>
        <w:spacing w:before="0" w:afterAutospacing="0" w:line="240" w:lineRule="auto"/>
        <w:ind w:right="0"/>
        <w:rPr>
          <w:color w:val="auto"/>
          <w:highlight w:val="none"/>
        </w:rPr>
        <w:sectPr>
          <w:footerReference r:id="rId9" w:type="default"/>
          <w:pgSz w:w="11905" w:h="16838"/>
          <w:pgMar w:top="1418" w:right="1418" w:bottom="1304" w:left="1418" w:header="454" w:footer="567" w:gutter="0"/>
          <w:pgNumType w:fmt="decimal" w:start="1"/>
          <w:cols w:space="720" w:num="1"/>
          <w:docGrid w:linePitch="312" w:charSpace="0"/>
        </w:sectPr>
      </w:pPr>
    </w:p>
    <w:p>
      <w:pPr>
        <w:pStyle w:val="5"/>
        <w:spacing w:line="240" w:lineRule="auto"/>
        <w:ind w:left="0" w:leftChars="0" w:firstLine="0" w:firstLineChars="0"/>
        <w:rPr>
          <w:rFonts w:hint="eastAsia" w:ascii="宋体" w:hAnsi="宋体" w:eastAsia="宋体" w:cs="宋体"/>
          <w:color w:val="auto"/>
          <w:sz w:val="21"/>
          <w:szCs w:val="21"/>
          <w:highlight w:val="none"/>
        </w:rPr>
      </w:pPr>
      <w:bookmarkStart w:id="1054" w:name="_Toc23156"/>
      <w:bookmarkStart w:id="1055" w:name="_Toc23676"/>
      <w:bookmarkStart w:id="1056" w:name="_Toc1369"/>
      <w:bookmarkStart w:id="1057" w:name="_Toc26350"/>
      <w:bookmarkStart w:id="1058" w:name="_Toc18020"/>
      <w:bookmarkStart w:id="1059" w:name="_Toc28184"/>
      <w:bookmarkStart w:id="1060" w:name="_Toc18554"/>
      <w:bookmarkStart w:id="1061" w:name="_Toc17497"/>
      <w:bookmarkStart w:id="1062" w:name="_Toc9391"/>
      <w:r>
        <w:rPr>
          <w:rFonts w:hint="eastAsia" w:ascii="宋体" w:hAnsi="宋体" w:eastAsia="宋体" w:cs="宋体"/>
          <w:color w:val="auto"/>
          <w:sz w:val="21"/>
          <w:szCs w:val="21"/>
          <w:highlight w:val="none"/>
        </w:rPr>
        <w:t>附件2</w:t>
      </w:r>
      <w:bookmarkEnd w:id="1054"/>
      <w:r>
        <w:rPr>
          <w:rFonts w:hint="eastAsia" w:ascii="宋体" w:hAnsi="宋体" w:eastAsia="宋体" w:cs="宋体"/>
          <w:color w:val="auto"/>
          <w:sz w:val="21"/>
          <w:szCs w:val="21"/>
          <w:highlight w:val="none"/>
          <w:lang w:eastAsia="zh-CN"/>
        </w:rPr>
        <w:t>：</w:t>
      </w:r>
      <w:bookmarkStart w:id="1063" w:name="_Toc27424"/>
      <w:r>
        <w:rPr>
          <w:rFonts w:hint="eastAsia" w:ascii="宋体" w:hAnsi="宋体" w:eastAsia="宋体" w:cs="宋体"/>
          <w:color w:val="auto"/>
          <w:sz w:val="21"/>
          <w:szCs w:val="21"/>
          <w:highlight w:val="none"/>
        </w:rPr>
        <w:t>合同违约处理通知单</w:t>
      </w:r>
      <w:bookmarkEnd w:id="1055"/>
      <w:bookmarkEnd w:id="1056"/>
      <w:bookmarkEnd w:id="1057"/>
      <w:bookmarkEnd w:id="1058"/>
      <w:bookmarkEnd w:id="1059"/>
      <w:bookmarkEnd w:id="1060"/>
      <w:bookmarkEnd w:id="1061"/>
      <w:bookmarkEnd w:id="1062"/>
      <w:bookmarkEnd w:id="1063"/>
    </w:p>
    <w:p>
      <w:pPr>
        <w:spacing w:before="0" w:after="0" w:afterAutospacing="0" w:line="320" w:lineRule="exact"/>
        <w:ind w:left="-136" w:leftChars="-65" w:right="0" w:firstLine="117" w:firstLineChars="49"/>
        <w:jc w:val="left"/>
        <w:rPr>
          <w:rFonts w:ascii="宋体" w:hAnsi="宋体"/>
          <w:b/>
          <w:bCs/>
          <w:color w:val="auto"/>
          <w:highlight w:val="none"/>
        </w:rPr>
      </w:pPr>
      <w:r>
        <w:rPr>
          <w:rFonts w:hint="eastAsia"/>
          <w:color w:val="auto"/>
          <w:sz w:val="24"/>
          <w:szCs w:val="24"/>
          <w:highlight w:val="none"/>
        </w:rPr>
        <w:t xml:space="preserve">       </w:t>
      </w:r>
      <w:r>
        <w:rPr>
          <w:rFonts w:hint="eastAsia"/>
          <w:b/>
          <w:color w:val="auto"/>
          <w:highlight w:val="none"/>
        </w:rPr>
        <w:t>合同名称：                         合同编号</w:t>
      </w:r>
      <w:r>
        <w:rPr>
          <w:rFonts w:hint="eastAsia"/>
          <w:color w:val="auto"/>
          <w:sz w:val="24"/>
          <w:szCs w:val="24"/>
          <w:highlight w:val="none"/>
        </w:rPr>
        <w:t xml:space="preserve">  </w:t>
      </w:r>
    </w:p>
    <w:tbl>
      <w:tblPr>
        <w:tblStyle w:val="28"/>
        <w:tblpPr w:leftFromText="180" w:rightFromText="180" w:vertAnchor="text" w:horzAnchor="margin" w:tblpXSpec="center" w:tblpY="15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835"/>
        <w:gridCol w:w="255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91" w:type="dxa"/>
            <w:tcBorders>
              <w:top w:val="thinThickSmallGap" w:color="auto" w:sz="18" w:space="0"/>
              <w:left w:val="thinThickSmallGap" w:color="auto" w:sz="18" w:space="0"/>
            </w:tcBorders>
            <w:vAlign w:val="center"/>
          </w:tcPr>
          <w:p>
            <w:pPr>
              <w:spacing w:before="0" w:after="0" w:afterAutospacing="0" w:line="320" w:lineRule="exact"/>
              <w:ind w:left="0" w:right="0" w:firstLine="0"/>
              <w:rPr>
                <w:rFonts w:ascii="宋体" w:hAnsi="宋体"/>
                <w:b/>
                <w:color w:val="auto"/>
                <w:highlight w:val="none"/>
              </w:rPr>
            </w:pPr>
            <w:r>
              <w:rPr>
                <w:rFonts w:hint="eastAsia" w:ascii="宋体" w:hAnsi="宋体"/>
                <w:b/>
                <w:color w:val="auto"/>
                <w:highlight w:val="none"/>
              </w:rPr>
              <w:t>业主单位</w:t>
            </w:r>
          </w:p>
        </w:tc>
        <w:tc>
          <w:tcPr>
            <w:tcW w:w="3835" w:type="dxa"/>
            <w:tcBorders>
              <w:top w:val="thinThickSmallGap" w:color="auto" w:sz="18" w:space="0"/>
            </w:tcBorders>
            <w:vAlign w:val="center"/>
          </w:tcPr>
          <w:p>
            <w:pPr>
              <w:spacing w:before="0" w:after="0" w:afterAutospacing="0" w:line="320" w:lineRule="exact"/>
              <w:ind w:left="0" w:right="0" w:firstLine="420" w:firstLineChars="200"/>
              <w:jc w:val="center"/>
              <w:rPr>
                <w:rFonts w:ascii="宋体" w:hAnsi="宋体"/>
                <w:b/>
                <w:color w:val="auto"/>
                <w:highlight w:val="none"/>
              </w:rPr>
            </w:pPr>
            <w:r>
              <w:rPr>
                <w:rFonts w:hint="eastAsia" w:ascii="宋体" w:hAnsi="宋体"/>
                <w:color w:val="auto"/>
                <w:highlight w:val="none"/>
              </w:rPr>
              <w:t>南宁轨道交通运营有限公司</w:t>
            </w:r>
          </w:p>
        </w:tc>
        <w:tc>
          <w:tcPr>
            <w:tcW w:w="2552" w:type="dxa"/>
            <w:tcBorders>
              <w:top w:val="thinThickSmallGap" w:color="auto" w:sz="18" w:space="0"/>
            </w:tcBorders>
            <w:vAlign w:val="center"/>
          </w:tcPr>
          <w:p>
            <w:pPr>
              <w:spacing w:before="0" w:after="0" w:afterAutospacing="0" w:line="320" w:lineRule="exact"/>
              <w:ind w:left="0" w:right="0" w:firstLine="422" w:firstLineChars="200"/>
              <w:jc w:val="center"/>
              <w:rPr>
                <w:rFonts w:ascii="宋体" w:hAnsi="宋体"/>
                <w:b/>
                <w:color w:val="auto"/>
                <w:highlight w:val="none"/>
              </w:rPr>
            </w:pPr>
            <w:r>
              <w:rPr>
                <w:rFonts w:hint="eastAsia" w:ascii="宋体" w:hAnsi="宋体"/>
                <w:b/>
                <w:color w:val="auto"/>
                <w:highlight w:val="none"/>
              </w:rPr>
              <w:t>主办部门</w:t>
            </w:r>
          </w:p>
        </w:tc>
        <w:tc>
          <w:tcPr>
            <w:tcW w:w="1744" w:type="dxa"/>
            <w:tcBorders>
              <w:top w:val="thinThickSmallGap" w:color="auto" w:sz="18" w:space="0"/>
              <w:right w:val="thickThinSmallGap" w:color="auto" w:sz="18" w:space="0"/>
            </w:tcBorders>
            <w:vAlign w:val="center"/>
          </w:tcPr>
          <w:p>
            <w:pPr>
              <w:spacing w:before="0" w:after="0" w:afterAutospacing="0" w:line="320" w:lineRule="exact"/>
              <w:ind w:left="0" w:right="0"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191" w:type="dxa"/>
            <w:tcBorders>
              <w:left w:val="thinThickSmallGap" w:color="auto" w:sz="18" w:space="0"/>
            </w:tcBorders>
            <w:vAlign w:val="center"/>
          </w:tcPr>
          <w:p>
            <w:pPr>
              <w:spacing w:before="0" w:after="0" w:afterAutospacing="0" w:line="320" w:lineRule="exact"/>
              <w:ind w:left="0" w:right="0" w:firstLine="0"/>
              <w:rPr>
                <w:rFonts w:ascii="宋体" w:hAnsi="宋体"/>
                <w:b/>
                <w:color w:val="auto"/>
                <w:highlight w:val="none"/>
              </w:rPr>
            </w:pPr>
            <w:r>
              <w:rPr>
                <w:rFonts w:hint="eastAsia" w:ascii="宋体" w:hAnsi="宋体"/>
                <w:b/>
                <w:color w:val="auto"/>
                <w:highlight w:val="none"/>
              </w:rPr>
              <w:t>承包商</w:t>
            </w:r>
          </w:p>
        </w:tc>
        <w:tc>
          <w:tcPr>
            <w:tcW w:w="3835" w:type="dxa"/>
            <w:vAlign w:val="center"/>
          </w:tcPr>
          <w:p>
            <w:pPr>
              <w:spacing w:before="0" w:after="0" w:afterAutospacing="0" w:line="320" w:lineRule="exact"/>
              <w:ind w:left="0" w:right="0" w:firstLine="420" w:firstLineChars="200"/>
              <w:jc w:val="center"/>
              <w:rPr>
                <w:rFonts w:ascii="宋体" w:hAnsi="宋体"/>
                <w:color w:val="auto"/>
                <w:highlight w:val="none"/>
              </w:rPr>
            </w:pPr>
          </w:p>
        </w:tc>
        <w:tc>
          <w:tcPr>
            <w:tcW w:w="2552" w:type="dxa"/>
            <w:vAlign w:val="center"/>
          </w:tcPr>
          <w:p>
            <w:pPr>
              <w:spacing w:before="0" w:after="0" w:afterAutospacing="0" w:line="320" w:lineRule="exact"/>
              <w:ind w:left="0" w:right="0" w:firstLine="422" w:firstLineChars="200"/>
              <w:jc w:val="center"/>
              <w:rPr>
                <w:rFonts w:ascii="宋体" w:hAnsi="宋体"/>
                <w:b/>
                <w:color w:val="auto"/>
                <w:highlight w:val="none"/>
              </w:rPr>
            </w:pPr>
            <w:r>
              <w:rPr>
                <w:rFonts w:hint="eastAsia" w:ascii="宋体" w:hAnsi="宋体"/>
                <w:b/>
                <w:color w:val="auto"/>
                <w:highlight w:val="none"/>
              </w:rPr>
              <w:t>项目经理</w:t>
            </w:r>
          </w:p>
        </w:tc>
        <w:tc>
          <w:tcPr>
            <w:tcW w:w="1744" w:type="dxa"/>
            <w:tcBorders>
              <w:right w:val="thickThinSmallGap" w:color="auto" w:sz="18" w:space="0"/>
            </w:tcBorders>
            <w:vAlign w:val="center"/>
          </w:tcPr>
          <w:p>
            <w:pPr>
              <w:spacing w:before="0" w:after="0" w:afterAutospacing="0" w:line="320" w:lineRule="exact"/>
              <w:ind w:left="0" w:right="0"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trPr>
        <w:tc>
          <w:tcPr>
            <w:tcW w:w="1191" w:type="dxa"/>
            <w:tcBorders>
              <w:top w:val="thickThinSmallGap" w:color="auto" w:sz="18" w:space="0"/>
              <w:left w:val="thinThickSmallGap" w:color="auto" w:sz="18" w:space="0"/>
              <w:bottom w:val="thinThickSmallGap" w:color="auto" w:sz="18" w:space="0"/>
            </w:tcBorders>
            <w:textDirection w:val="tbRlV"/>
            <w:vAlign w:val="center"/>
          </w:tcPr>
          <w:p>
            <w:pPr>
              <w:spacing w:before="0" w:after="0" w:afterAutospacing="0" w:line="320" w:lineRule="exact"/>
              <w:ind w:left="113" w:right="113" w:firstLine="422" w:firstLineChars="200"/>
              <w:jc w:val="center"/>
              <w:rPr>
                <w:rFonts w:ascii="宋体" w:hAnsi="宋体"/>
                <w:b/>
                <w:color w:val="auto"/>
                <w:highlight w:val="none"/>
              </w:rPr>
            </w:pPr>
            <w:r>
              <w:rPr>
                <w:rFonts w:hint="eastAsia" w:ascii="宋体" w:hAnsi="宋体"/>
                <w:b/>
                <w:color w:val="auto"/>
                <w:highlight w:val="none"/>
              </w:rPr>
              <w:t>违约情况及处理意向</w:t>
            </w:r>
          </w:p>
        </w:tc>
        <w:tc>
          <w:tcPr>
            <w:tcW w:w="8131" w:type="dxa"/>
            <w:gridSpan w:val="3"/>
            <w:tcBorders>
              <w:top w:val="thickThinSmallGap" w:color="auto" w:sz="18" w:space="0"/>
              <w:left w:val="single" w:color="auto" w:sz="4" w:space="0"/>
              <w:bottom w:val="thinThickSmallGap" w:color="auto" w:sz="18" w:space="0"/>
              <w:right w:val="thickThinSmallGap" w:color="auto" w:sz="18" w:space="0"/>
            </w:tcBorders>
          </w:tcPr>
          <w:p>
            <w:pPr>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bCs/>
                <w:color w:val="auto"/>
                <w:sz w:val="18"/>
                <w:szCs w:val="18"/>
                <w:highlight w:val="none"/>
              </w:rPr>
              <w:t>违约情况描述：</w:t>
            </w:r>
            <w:r>
              <w:rPr>
                <w:rFonts w:hint="eastAsia" w:ascii="宋体" w:hAnsi="宋体"/>
                <w:color w:val="auto"/>
                <w:sz w:val="18"/>
                <w:szCs w:val="18"/>
                <w:highlight w:val="none"/>
              </w:rPr>
              <w:t>我部XX于X年X月X日发现XX。（举例）</w:t>
            </w:r>
          </w:p>
          <w:p>
            <w:pPr>
              <w:spacing w:before="0" w:after="0" w:afterAutospacing="0" w:line="320" w:lineRule="exact"/>
              <w:ind w:left="0" w:right="0" w:firstLine="360" w:firstLineChars="200"/>
              <w:rPr>
                <w:rFonts w:ascii="宋体" w:hAnsi="宋体"/>
                <w:color w:val="auto"/>
                <w:sz w:val="18"/>
                <w:szCs w:val="18"/>
                <w:highlight w:val="none"/>
              </w:rPr>
            </w:pPr>
          </w:p>
          <w:p>
            <w:pPr>
              <w:snapToGrid w:val="0"/>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bCs/>
                <w:color w:val="auto"/>
                <w:sz w:val="18"/>
                <w:szCs w:val="18"/>
                <w:highlight w:val="none"/>
              </w:rPr>
              <w:t>合同违约条款：</w:t>
            </w:r>
            <w:r>
              <w:rPr>
                <w:rFonts w:hint="eastAsia" w:ascii="宋体" w:hAnsi="宋体"/>
                <w:color w:val="auto"/>
                <w:sz w:val="18"/>
                <w:szCs w:val="18"/>
                <w:highlight w:val="none"/>
              </w:rPr>
              <w:t>《XXX项目合同》十二条之附表第  条款：“XX”。（举例）</w:t>
            </w:r>
          </w:p>
          <w:p>
            <w:pPr>
              <w:snapToGrid w:val="0"/>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bCs/>
                <w:color w:val="auto"/>
                <w:sz w:val="18"/>
                <w:szCs w:val="18"/>
                <w:highlight w:val="none"/>
              </w:rPr>
              <w:t>违约处理意向：</w:t>
            </w:r>
            <w:r>
              <w:rPr>
                <w:rFonts w:hint="eastAsia" w:ascii="宋体" w:hAnsi="宋体"/>
                <w:color w:val="auto"/>
                <w:sz w:val="18"/>
                <w:szCs w:val="18"/>
                <w:highlight w:val="none"/>
              </w:rPr>
              <w:t>根据《XXX项目合同》中相关条例规定，决定对你司处以：1.XX；2.站罚扣款项从XX款中扣取。（举例）</w:t>
            </w:r>
          </w:p>
          <w:p>
            <w:pPr>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422" w:firstLineChars="200"/>
              <w:rPr>
                <w:rFonts w:ascii="宋体" w:hAnsi="宋体"/>
                <w:b/>
                <w:color w:val="auto"/>
                <w:highlight w:val="none"/>
              </w:rPr>
            </w:pPr>
          </w:p>
          <w:p>
            <w:pPr>
              <w:spacing w:before="0" w:after="0" w:afterAutospacing="0" w:line="320" w:lineRule="exact"/>
              <w:ind w:left="0" w:right="0" w:firstLine="420" w:firstLineChars="200"/>
              <w:rPr>
                <w:rFonts w:ascii="宋体" w:hAnsi="宋体"/>
                <w:bCs/>
                <w:color w:val="auto"/>
                <w:highlight w:val="none"/>
                <w:u w:val="single"/>
              </w:rPr>
            </w:pPr>
            <w:r>
              <w:rPr>
                <w:rFonts w:hint="eastAsia" w:ascii="宋体" w:hAnsi="宋体"/>
                <w:bCs/>
                <w:color w:val="auto"/>
                <w:highlight w:val="none"/>
              </w:rPr>
              <w:t>业主审批领导（签章）：                        时间：年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trPr>
        <w:tc>
          <w:tcPr>
            <w:tcW w:w="1191" w:type="dxa"/>
            <w:tcBorders>
              <w:top w:val="thickThinSmallGap" w:color="auto" w:sz="18" w:space="0"/>
              <w:left w:val="thinThickSmallGap" w:color="auto" w:sz="18" w:space="0"/>
              <w:bottom w:val="thinThickSmallGap" w:color="auto" w:sz="18" w:space="0"/>
            </w:tcBorders>
            <w:textDirection w:val="tbRlV"/>
            <w:vAlign w:val="center"/>
          </w:tcPr>
          <w:p>
            <w:pPr>
              <w:spacing w:before="0" w:after="0" w:afterAutospacing="0" w:line="320" w:lineRule="exact"/>
              <w:ind w:left="0" w:right="0" w:firstLine="211" w:firstLineChars="100"/>
              <w:rPr>
                <w:rFonts w:ascii="宋体" w:hAnsi="宋体"/>
                <w:b/>
                <w:color w:val="auto"/>
                <w:highlight w:val="none"/>
              </w:rPr>
            </w:pPr>
            <w:r>
              <w:rPr>
                <w:rFonts w:hint="eastAsia" w:ascii="宋体" w:hAnsi="宋体"/>
                <w:b/>
                <w:color w:val="auto"/>
                <w:highlight w:val="none"/>
              </w:rPr>
              <w:t>申诉意见</w:t>
            </w:r>
          </w:p>
        </w:tc>
        <w:tc>
          <w:tcPr>
            <w:tcW w:w="8131" w:type="dxa"/>
            <w:gridSpan w:val="3"/>
            <w:tcBorders>
              <w:top w:val="thickThinSmallGap" w:color="auto" w:sz="18" w:space="0"/>
              <w:left w:val="single" w:color="auto" w:sz="4" w:space="0"/>
              <w:bottom w:val="thinThickSmallGap" w:color="auto" w:sz="18" w:space="0"/>
              <w:right w:val="thickThinSmallGap" w:color="auto" w:sz="18" w:space="0"/>
            </w:tcBorders>
          </w:tcPr>
          <w:p>
            <w:pPr>
              <w:spacing w:before="0" w:after="0" w:afterAutospacing="0" w:line="320" w:lineRule="exact"/>
              <w:ind w:left="0" w:right="0" w:firstLine="420" w:firstLineChars="200"/>
              <w:rPr>
                <w:rFonts w:ascii="宋体" w:hAnsi="宋体"/>
                <w:bCs/>
                <w:color w:val="auto"/>
                <w:highlight w:val="none"/>
              </w:rPr>
            </w:pPr>
          </w:p>
          <w:p>
            <w:pPr>
              <w:spacing w:before="0" w:after="0" w:afterAutospacing="0" w:line="320" w:lineRule="exact"/>
              <w:ind w:left="0" w:right="0" w:firstLine="420" w:firstLineChars="200"/>
              <w:rPr>
                <w:rFonts w:ascii="宋体" w:hAnsi="宋体"/>
                <w:bCs/>
                <w:color w:val="auto"/>
                <w:highlight w:val="none"/>
              </w:rPr>
            </w:pPr>
          </w:p>
          <w:p>
            <w:pPr>
              <w:spacing w:before="0" w:after="0" w:afterAutospacing="0" w:line="320" w:lineRule="exact"/>
              <w:ind w:left="0" w:right="0" w:firstLine="420" w:firstLineChars="200"/>
              <w:rPr>
                <w:rFonts w:ascii="宋体" w:hAnsi="宋体"/>
                <w:bCs/>
                <w:color w:val="auto"/>
                <w:highlight w:val="none"/>
              </w:rPr>
            </w:pPr>
          </w:p>
          <w:p>
            <w:pPr>
              <w:spacing w:before="0" w:after="0" w:afterAutospacing="0" w:line="320" w:lineRule="exact"/>
              <w:ind w:left="0" w:right="0" w:firstLine="420" w:firstLineChars="200"/>
              <w:rPr>
                <w:rFonts w:ascii="宋体" w:hAnsi="宋体"/>
                <w:bCs/>
                <w:color w:val="auto"/>
                <w:highlight w:val="none"/>
              </w:rPr>
            </w:pPr>
            <w:r>
              <w:rPr>
                <w:rFonts w:hint="eastAsia" w:ascii="宋体" w:hAnsi="宋体"/>
                <w:bCs/>
                <w:color w:val="auto"/>
                <w:highlight w:val="none"/>
              </w:rPr>
              <w:t>承包商项目负责人（签章）：承包商：年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trPr>
        <w:tc>
          <w:tcPr>
            <w:tcW w:w="1191" w:type="dxa"/>
            <w:tcBorders>
              <w:top w:val="thinThickSmallGap" w:color="auto" w:sz="18" w:space="0"/>
              <w:left w:val="thinThickSmallGap" w:color="auto" w:sz="18" w:space="0"/>
              <w:bottom w:val="thickThinSmallGap" w:color="auto" w:sz="18" w:space="0"/>
            </w:tcBorders>
            <w:textDirection w:val="tbRlV"/>
            <w:vAlign w:val="center"/>
          </w:tcPr>
          <w:p>
            <w:pPr>
              <w:spacing w:before="0" w:after="0" w:afterAutospacing="0" w:line="320" w:lineRule="exact"/>
              <w:ind w:left="113" w:right="113" w:firstLine="422" w:firstLineChars="200"/>
              <w:jc w:val="both"/>
              <w:rPr>
                <w:rFonts w:ascii="宋体" w:hAnsi="宋体"/>
                <w:b/>
                <w:color w:val="auto"/>
                <w:highlight w:val="none"/>
              </w:rPr>
            </w:pPr>
            <w:r>
              <w:rPr>
                <w:rFonts w:hint="eastAsia" w:ascii="宋体" w:hAnsi="宋体"/>
                <w:b/>
                <w:color w:val="auto"/>
                <w:highlight w:val="none"/>
              </w:rPr>
              <w:t>违约处理决定</w:t>
            </w:r>
          </w:p>
        </w:tc>
        <w:tc>
          <w:tcPr>
            <w:tcW w:w="8131" w:type="dxa"/>
            <w:gridSpan w:val="3"/>
            <w:tcBorders>
              <w:top w:val="thinThickSmallGap" w:color="auto" w:sz="18" w:space="0"/>
              <w:left w:val="single" w:color="auto" w:sz="4" w:space="0"/>
              <w:bottom w:val="thickThinSmallGap" w:color="auto" w:sz="18" w:space="0"/>
              <w:right w:val="thickThinSmallGap" w:color="auto" w:sz="18" w:space="0"/>
            </w:tcBorders>
          </w:tcPr>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color w:val="auto"/>
                <w:sz w:val="18"/>
                <w:szCs w:val="18"/>
                <w:highlight w:val="none"/>
              </w:rPr>
              <w:t>根据《XXX项目合同》中相关条例规定，决定对你司处以：1.XX；2.站罚扣款项从XX款中扣取。（举例）</w:t>
            </w:r>
          </w:p>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420" w:firstLineChars="200"/>
              <w:jc w:val="left"/>
              <w:rPr>
                <w:rFonts w:ascii="宋体" w:hAnsi="宋体"/>
                <w:b/>
                <w:color w:val="auto"/>
                <w:highlight w:val="none"/>
              </w:rPr>
            </w:pPr>
            <w:r>
              <w:rPr>
                <w:rFonts w:hint="eastAsia" w:ascii="宋体" w:hAnsi="宋体"/>
                <w:bCs/>
                <w:color w:val="auto"/>
                <w:highlight w:val="none"/>
              </w:rPr>
              <w:t>业主审批领导（签章）：业主 年  月  日</w:t>
            </w:r>
          </w:p>
        </w:tc>
      </w:tr>
    </w:tbl>
    <w:p>
      <w:pPr>
        <w:spacing w:before="0" w:after="0" w:afterAutospacing="0" w:line="320" w:lineRule="exact"/>
        <w:ind w:left="0" w:right="-779" w:rightChars="-371" w:firstLine="422" w:firstLineChars="200"/>
        <w:rPr>
          <w:rFonts w:ascii="宋体" w:hAnsi="宋体"/>
          <w:b/>
          <w:bCs/>
          <w:color w:val="auto"/>
          <w:highlight w:val="none"/>
        </w:rPr>
      </w:pPr>
    </w:p>
    <w:p>
      <w:pPr>
        <w:spacing w:before="0" w:after="0" w:afterAutospacing="0" w:line="320" w:lineRule="exact"/>
        <w:ind w:left="0" w:right="-779" w:rightChars="-371" w:firstLine="422" w:firstLineChars="200"/>
        <w:rPr>
          <w:rFonts w:ascii="宋体" w:hAnsi="宋体"/>
          <w:b/>
          <w:bCs/>
          <w:color w:val="auto"/>
          <w:highlight w:val="none"/>
        </w:rPr>
      </w:pPr>
      <w:r>
        <w:rPr>
          <w:rFonts w:hint="eastAsia" w:ascii="宋体" w:hAnsi="宋体"/>
          <w:b/>
          <w:bCs/>
          <w:color w:val="auto"/>
          <w:highlight w:val="none"/>
        </w:rPr>
        <w:t>送达回执（2选1勾选）：</w:t>
      </w:r>
      <w:r>
        <w:rPr>
          <w:rFonts w:hint="eastAsia"/>
          <w:color w:val="auto"/>
          <w:highlight w:val="none"/>
        </w:rPr>
        <w:t>□无申诉意见        □已填申诉意见</w:t>
      </w:r>
    </w:p>
    <w:p>
      <w:pPr>
        <w:spacing w:before="0" w:after="0" w:afterAutospacing="0" w:line="320" w:lineRule="exact"/>
        <w:ind w:left="-136" w:leftChars="-65" w:right="-779" w:rightChars="-371" w:firstLine="420" w:firstLineChars="200"/>
        <w:rPr>
          <w:rFonts w:ascii="宋体" w:hAnsi="宋体"/>
          <w:b/>
          <w:bCs/>
          <w:color w:val="auto"/>
          <w:sz w:val="18"/>
          <w:szCs w:val="18"/>
          <w:highlight w:val="none"/>
        </w:rPr>
      </w:pPr>
      <w:r>
        <w:rPr>
          <w:rFonts w:hint="eastAsia" w:ascii="宋体" w:hAnsi="宋体"/>
          <w:bCs/>
          <w:color w:val="auto"/>
          <w:highlight w:val="none"/>
        </w:rPr>
        <w:t xml:space="preserve">承包商签收（签章）：                        年    月     日 </w:t>
      </w:r>
    </w:p>
    <w:p>
      <w:pPr>
        <w:spacing w:before="0" w:after="0" w:afterAutospacing="0" w:line="320" w:lineRule="exact"/>
        <w:ind w:left="408" w:leftChars="-36" w:right="-779" w:rightChars="-371" w:hanging="484" w:hangingChars="269"/>
        <w:rPr>
          <w:rFonts w:ascii="宋体" w:hAnsi="宋体"/>
          <w:color w:val="auto"/>
          <w:sz w:val="18"/>
          <w:szCs w:val="18"/>
          <w:highlight w:val="none"/>
        </w:rPr>
      </w:pPr>
      <w:r>
        <w:rPr>
          <w:rFonts w:hint="eastAsia" w:ascii="宋体" w:hAnsi="宋体"/>
          <w:color w:val="auto"/>
          <w:sz w:val="18"/>
          <w:szCs w:val="18"/>
          <w:highlight w:val="none"/>
        </w:rPr>
        <w:t>说明：</w:t>
      </w:r>
    </w:p>
    <w:p>
      <w:pPr>
        <w:spacing w:before="0" w:after="0" w:afterAutospacing="0" w:line="320" w:lineRule="exact"/>
        <w:ind w:left="0" w:right="-779" w:rightChars="-371" w:firstLine="360" w:firstLineChars="200"/>
        <w:rPr>
          <w:rFonts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.本通知单一式三份，招标方执两份，投标方执一份；招标方在合同执行过程中发现问题时填写；招标方主办部门及合同预算部各保存一份，第三份交投标方；</w:t>
      </w:r>
    </w:p>
    <w:p>
      <w:pPr>
        <w:spacing w:before="0" w:after="0" w:afterAutospacing="0" w:line="320" w:lineRule="exact"/>
        <w:ind w:left="0" w:right="-779" w:rightChars="-371" w:firstLine="360" w:firstLineChars="200"/>
        <w:rPr>
          <w:rFonts w:ascii="宋体" w:hAnsi="宋体"/>
          <w:color w:val="auto"/>
          <w:sz w:val="18"/>
          <w:szCs w:val="18"/>
          <w:highlight w:val="none"/>
        </w:rPr>
      </w:pPr>
      <w:r>
        <w:rPr>
          <w:rFonts w:hint="eastAsia" w:ascii="宋体" w:hAnsi="宋体"/>
          <w:color w:val="auto"/>
          <w:sz w:val="18"/>
          <w:szCs w:val="18"/>
          <w:highlight w:val="none"/>
        </w:rPr>
        <w:t>2.投标方若对本合同执行考核处理有意见，则须在收到本通知后2自然日内，在本通知上填写申诉意见并附上证明材料向招标方主办部门提出申诉，否则视为接受违约处理意见；招标方主办部门在收到申诉意见后须在5个工作日给予回复；</w:t>
      </w:r>
    </w:p>
    <w:p>
      <w:pPr>
        <w:spacing w:before="0" w:after="0" w:afterAutospacing="0" w:line="320" w:lineRule="exact"/>
        <w:ind w:left="0" w:right="-340" w:rightChars="-162" w:firstLine="360" w:firstLineChars="200"/>
        <w:rPr>
          <w:rFonts w:ascii="宋体" w:hAnsi="宋体"/>
          <w:color w:val="auto"/>
          <w:sz w:val="18"/>
          <w:szCs w:val="18"/>
          <w:highlight w:val="none"/>
        </w:rPr>
      </w:pPr>
      <w:r>
        <w:rPr>
          <w:rFonts w:hint="eastAsia" w:ascii="宋体" w:hAnsi="宋体"/>
          <w:color w:val="auto"/>
          <w:sz w:val="18"/>
          <w:szCs w:val="18"/>
          <w:highlight w:val="none"/>
        </w:rPr>
        <w:t>3.本通知单自送达之日起生效。</w:t>
      </w:r>
    </w:p>
    <w:p>
      <w:pPr>
        <w:spacing w:before="0" w:after="0" w:afterAutospacing="0" w:line="320" w:lineRule="exact"/>
        <w:ind w:left="0" w:right="-340" w:rightChars="-162" w:firstLine="360" w:firstLineChars="200"/>
        <w:rPr>
          <w:rFonts w:ascii="宋体" w:hAnsi="宋体"/>
          <w:color w:val="auto"/>
          <w:sz w:val="18"/>
          <w:szCs w:val="18"/>
          <w:highlight w:val="none"/>
        </w:rPr>
      </w:pPr>
      <w:r>
        <w:rPr>
          <w:rFonts w:hint="eastAsia" w:ascii="宋体" w:hAnsi="宋体"/>
          <w:color w:val="auto"/>
          <w:sz w:val="18"/>
          <w:szCs w:val="18"/>
          <w:highlight w:val="none"/>
        </w:rPr>
        <w:t>4.最终以招标方最新发布表格为准。</w:t>
      </w:r>
    </w:p>
    <w:p>
      <w:pPr>
        <w:spacing w:before="0" w:after="0" w:afterAutospacing="0" w:line="320" w:lineRule="exact"/>
        <w:ind w:left="0" w:right="0" w:firstLine="0"/>
        <w:jc w:val="left"/>
        <w:rPr>
          <w:color w:val="auto"/>
          <w:highlight w:val="none"/>
        </w:rPr>
      </w:pPr>
      <w:r>
        <w:rPr>
          <w:color w:val="auto"/>
          <w:highlight w:val="none"/>
        </w:rPr>
        <w:br w:type="page"/>
      </w:r>
    </w:p>
    <w:p>
      <w:pPr>
        <w:pStyle w:val="5"/>
        <w:rPr>
          <w:rFonts w:hint="eastAsia" w:ascii="宋体" w:hAnsi="宋体" w:eastAsia="宋体" w:cs="宋体"/>
          <w:color w:val="auto"/>
          <w:sz w:val="21"/>
          <w:szCs w:val="21"/>
          <w:highlight w:val="none"/>
        </w:rPr>
      </w:pPr>
      <w:bookmarkStart w:id="1064" w:name="_Toc13471"/>
      <w:bookmarkStart w:id="1065" w:name="_Toc32380"/>
      <w:bookmarkStart w:id="1066" w:name="_Toc29088"/>
      <w:bookmarkStart w:id="1067" w:name="_Toc30479"/>
      <w:bookmarkStart w:id="1068" w:name="_Toc12440"/>
      <w:bookmarkStart w:id="1069" w:name="_Toc6400"/>
      <w:bookmarkStart w:id="1070" w:name="_Toc21270"/>
      <w:bookmarkStart w:id="1071" w:name="_Toc18747"/>
      <w:r>
        <w:rPr>
          <w:rFonts w:hint="eastAsia" w:ascii="宋体" w:hAnsi="宋体" w:eastAsia="宋体" w:cs="宋体"/>
          <w:color w:val="auto"/>
          <w:sz w:val="21"/>
          <w:szCs w:val="21"/>
          <w:highlight w:val="none"/>
        </w:rPr>
        <w:t xml:space="preserve">附件3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样品图样</w:t>
      </w:r>
      <w:bookmarkEnd w:id="1064"/>
      <w:bookmarkEnd w:id="1065"/>
      <w:bookmarkEnd w:id="1066"/>
      <w:bookmarkEnd w:id="1067"/>
      <w:bookmarkEnd w:id="1068"/>
      <w:bookmarkEnd w:id="1069"/>
      <w:bookmarkEnd w:id="1070"/>
      <w:bookmarkEnd w:id="1071"/>
    </w:p>
    <w:p>
      <w:pPr>
        <w:pStyle w:val="2"/>
        <w:rPr>
          <w:color w:val="auto"/>
          <w:highlight w:val="none"/>
        </w:rPr>
      </w:pPr>
      <w:r>
        <w:rPr>
          <w:color w:val="auto"/>
          <w:highlight w:val="none"/>
        </w:rPr>
        <w:drawing>
          <wp:inline distT="0" distB="0" distL="114300" distR="114300">
            <wp:extent cx="5273675" cy="6975475"/>
            <wp:effectExtent l="0" t="0" r="3175" b="1587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6"/>
                    <a:srcRect t="1232"/>
                    <a:stretch>
                      <a:fillRect/>
                    </a:stretch>
                  </pic:blipFill>
                  <pic:spPr>
                    <a:xfrm>
                      <a:off x="0" y="0"/>
                      <a:ext cx="5273675" cy="6975475"/>
                    </a:xfrm>
                    <a:prstGeom prst="rect">
                      <a:avLst/>
                    </a:prstGeom>
                    <a:noFill/>
                    <a:ln>
                      <a:noFill/>
                    </a:ln>
                  </pic:spPr>
                </pic:pic>
              </a:graphicData>
            </a:graphic>
          </wp:inline>
        </w:drawing>
      </w:r>
    </w:p>
    <w:p>
      <w:pPr>
        <w:ind w:left="0" w:firstLine="0"/>
        <w:rPr>
          <w:color w:val="auto"/>
          <w:highlight w:val="none"/>
        </w:rPr>
      </w:pPr>
      <w:r>
        <w:rPr>
          <w:color w:val="auto"/>
          <w:highlight w:val="none"/>
        </w:rPr>
        <w:drawing>
          <wp:inline distT="0" distB="0" distL="114300" distR="114300">
            <wp:extent cx="5029200" cy="6981825"/>
            <wp:effectExtent l="0" t="0" r="0" b="952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7"/>
                    <a:stretch>
                      <a:fillRect/>
                    </a:stretch>
                  </pic:blipFill>
                  <pic:spPr>
                    <a:xfrm>
                      <a:off x="0" y="0"/>
                      <a:ext cx="5029200" cy="6981825"/>
                    </a:xfrm>
                    <a:prstGeom prst="rect">
                      <a:avLst/>
                    </a:prstGeom>
                    <a:noFill/>
                    <a:ln>
                      <a:noFill/>
                    </a:ln>
                  </pic:spPr>
                </pic:pic>
              </a:graphicData>
            </a:graphic>
          </wp:inline>
        </w:drawing>
      </w:r>
    </w:p>
    <w:p>
      <w:pPr>
        <w:jc w:val="center"/>
        <w:rPr>
          <w:color w:val="auto"/>
          <w:highlight w:val="none"/>
        </w:rPr>
      </w:pPr>
      <w:r>
        <w:rPr>
          <w:color w:val="auto"/>
          <w:highlight w:val="none"/>
        </w:rPr>
        <w:drawing>
          <wp:inline distT="0" distB="0" distL="114300" distR="114300">
            <wp:extent cx="4943475" cy="7143750"/>
            <wp:effectExtent l="0" t="0" r="9525"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8"/>
                    <a:stretch>
                      <a:fillRect/>
                    </a:stretch>
                  </pic:blipFill>
                  <pic:spPr>
                    <a:xfrm>
                      <a:off x="0" y="0"/>
                      <a:ext cx="4943475" cy="7143750"/>
                    </a:xfrm>
                    <a:prstGeom prst="rect">
                      <a:avLst/>
                    </a:prstGeom>
                    <a:noFill/>
                    <a:ln>
                      <a:noFill/>
                    </a:ln>
                  </pic:spPr>
                </pic:pic>
              </a:graphicData>
            </a:graphic>
          </wp:inline>
        </w:drawing>
      </w:r>
    </w:p>
    <w:p>
      <w:pPr>
        <w:pStyle w:val="2"/>
        <w:rPr>
          <w:color w:val="auto"/>
          <w:highlight w:val="none"/>
        </w:rPr>
      </w:pPr>
      <w:r>
        <w:rPr>
          <w:color w:val="auto"/>
          <w:highlight w:val="none"/>
        </w:rPr>
        <w:drawing>
          <wp:inline distT="0" distB="0" distL="114300" distR="114300">
            <wp:extent cx="5270500" cy="7555865"/>
            <wp:effectExtent l="0" t="0" r="6350" b="698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9"/>
                    <a:stretch>
                      <a:fillRect/>
                    </a:stretch>
                  </pic:blipFill>
                  <pic:spPr>
                    <a:xfrm>
                      <a:off x="0" y="0"/>
                      <a:ext cx="5270500" cy="7555865"/>
                    </a:xfrm>
                    <a:prstGeom prst="rect">
                      <a:avLst/>
                    </a:prstGeom>
                    <a:noFill/>
                    <a:ln>
                      <a:noFill/>
                    </a:ln>
                  </pic:spPr>
                </pic:pic>
              </a:graphicData>
            </a:graphic>
          </wp:inline>
        </w:drawing>
      </w:r>
    </w:p>
    <w:p>
      <w:pPr>
        <w:pStyle w:val="2"/>
        <w:rPr>
          <w:color w:val="auto"/>
          <w:highlight w:val="none"/>
        </w:rPr>
      </w:pPr>
    </w:p>
    <w:p>
      <w:pPr>
        <w:pStyle w:val="2"/>
        <w:rPr>
          <w:color w:val="auto"/>
          <w:highlight w:val="none"/>
        </w:rPr>
      </w:pPr>
    </w:p>
    <w:p>
      <w:pPr>
        <w:numPr>
          <w:ilvl w:val="1"/>
          <w:numId w:val="0"/>
        </w:numPr>
        <w:tabs>
          <w:tab w:val="left" w:pos="0"/>
        </w:tabs>
        <w:spacing w:before="0" w:afterAutospacing="0" w:line="240" w:lineRule="auto"/>
        <w:ind w:right="0"/>
        <w:rPr>
          <w:color w:val="auto"/>
          <w:highlight w:val="none"/>
        </w:rPr>
        <w:sectPr>
          <w:footerReference r:id="rId10" w:type="default"/>
          <w:pgSz w:w="11905" w:h="16838"/>
          <w:pgMar w:top="1418" w:right="1418" w:bottom="1304" w:left="1418" w:header="454" w:footer="567" w:gutter="0"/>
          <w:pgNumType w:fmt="decimal"/>
          <w:cols w:space="720" w:num="1"/>
          <w:docGrid w:linePitch="312" w:charSpace="0"/>
        </w:sectPr>
      </w:pPr>
      <w:r>
        <w:rPr>
          <w:color w:val="auto"/>
          <w:highlight w:val="none"/>
        </w:rPr>
        <w:drawing>
          <wp:inline distT="0" distB="0" distL="114300" distR="114300">
            <wp:extent cx="5521325" cy="5932805"/>
            <wp:effectExtent l="0" t="0" r="3175"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0"/>
                    <a:stretch>
                      <a:fillRect/>
                    </a:stretch>
                  </pic:blipFill>
                  <pic:spPr>
                    <a:xfrm>
                      <a:off x="0" y="0"/>
                      <a:ext cx="5521325" cy="5932805"/>
                    </a:xfrm>
                    <a:prstGeom prst="rect">
                      <a:avLst/>
                    </a:prstGeom>
                    <a:noFill/>
                    <a:ln>
                      <a:noFill/>
                    </a:ln>
                  </pic:spPr>
                </pic:pic>
              </a:graphicData>
            </a:graphic>
          </wp:inline>
        </w:drawing>
      </w:r>
    </w:p>
    <w:p>
      <w:pPr>
        <w:pStyle w:val="4"/>
        <w:pageBreakBefore/>
        <w:ind w:left="0" w:leftChars="0" w:right="-57" w:firstLine="3534" w:firstLineChars="1100"/>
        <w:jc w:val="center"/>
        <w:outlineLvl w:val="0"/>
        <w:rPr>
          <w:rFonts w:hint="eastAsia" w:ascii="黑体" w:hAnsi="黑体" w:eastAsia="黑体" w:cs="黑体"/>
          <w:color w:val="auto"/>
          <w:sz w:val="32"/>
          <w:szCs w:val="32"/>
          <w:highlight w:val="none"/>
        </w:rPr>
      </w:pPr>
      <w:bookmarkStart w:id="1072" w:name="_Toc147"/>
      <w:bookmarkStart w:id="1073" w:name="_Toc25908"/>
      <w:bookmarkStart w:id="1074" w:name="_Toc531"/>
      <w:bookmarkStart w:id="1075" w:name="_Toc5956"/>
      <w:bookmarkStart w:id="1076" w:name="_Toc14104"/>
      <w:bookmarkStart w:id="1077" w:name="_Toc21231"/>
      <w:bookmarkStart w:id="1078" w:name="_Toc75429177"/>
      <w:bookmarkStart w:id="1079" w:name="_Toc9329"/>
      <w:bookmarkStart w:id="1080" w:name="_Toc27820"/>
      <w:bookmarkStart w:id="1081" w:name="_Toc9100"/>
      <w:bookmarkStart w:id="1082" w:name="_Toc22547"/>
      <w:bookmarkStart w:id="1083" w:name="_Toc18539"/>
      <w:bookmarkStart w:id="1084" w:name="_Toc1777"/>
      <w:bookmarkStart w:id="1085" w:name="_Toc3174"/>
      <w:bookmarkStart w:id="1086" w:name="_Toc26286"/>
      <w:bookmarkStart w:id="1087" w:name="_Toc17186"/>
      <w:bookmarkStart w:id="1088" w:name="_Toc4284"/>
      <w:bookmarkStart w:id="1089" w:name="_Toc5008"/>
      <w:bookmarkStart w:id="1090" w:name="_Toc6090"/>
      <w:bookmarkStart w:id="1091" w:name="_Toc1104"/>
      <w:bookmarkStart w:id="1092" w:name="_Toc14738"/>
      <w:bookmarkStart w:id="1093" w:name="_Toc3551"/>
      <w:r>
        <w:rPr>
          <w:rFonts w:hint="eastAsia" w:ascii="黑体" w:hAnsi="黑体" w:eastAsia="黑体" w:cs="黑体"/>
          <w:color w:val="auto"/>
          <w:sz w:val="32"/>
          <w:szCs w:val="32"/>
          <w:highlight w:val="none"/>
        </w:rPr>
        <w:t>第六章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评分办法</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5"/>
        <w:spacing w:before="0" w:after="0" w:afterAutospacing="0"/>
        <w:ind w:left="762" w:leftChars="181" w:right="0" w:hanging="382" w:hangingChars="136"/>
        <w:outlineLvl w:val="1"/>
        <w:rPr>
          <w:rFonts w:hint="eastAsia" w:ascii="宋体" w:hAnsi="宋体" w:eastAsia="宋体" w:cs="宋体"/>
          <w:b/>
          <w:bCs w:val="0"/>
          <w:color w:val="auto"/>
          <w:sz w:val="28"/>
          <w:szCs w:val="28"/>
          <w:highlight w:val="none"/>
        </w:rPr>
      </w:pPr>
      <w:bookmarkStart w:id="1094" w:name="_Toc7567"/>
      <w:bookmarkStart w:id="1095" w:name="_Toc25750692"/>
      <w:bookmarkStart w:id="1096" w:name="_Toc25194"/>
      <w:bookmarkStart w:id="1097" w:name="_Toc12921"/>
      <w:bookmarkStart w:id="1098" w:name="_Toc3016"/>
      <w:bookmarkStart w:id="1099" w:name="_Toc75429178"/>
      <w:r>
        <w:rPr>
          <w:rFonts w:hint="eastAsia" w:ascii="宋体" w:hAnsi="宋体" w:eastAsia="宋体" w:cs="宋体"/>
          <w:b/>
          <w:bCs w:val="0"/>
          <w:color w:val="auto"/>
          <w:sz w:val="28"/>
          <w:szCs w:val="28"/>
          <w:highlight w:val="none"/>
        </w:rPr>
        <w:t>一、评审原则</w:t>
      </w:r>
      <w:bookmarkEnd w:id="1094"/>
      <w:bookmarkEnd w:id="1095"/>
      <w:bookmarkEnd w:id="1096"/>
      <w:bookmarkEnd w:id="1097"/>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w:t>
      </w:r>
      <w:r>
        <w:rPr>
          <w:rFonts w:hint="eastAsia" w:ascii="宋体" w:hAnsi="宋体" w:cs="Arial"/>
          <w:bCs/>
          <w:color w:val="auto"/>
          <w:highlight w:val="none"/>
          <w:lang w:val="en-US" w:eastAsia="zh-CN"/>
        </w:rPr>
        <w:t>运营有限</w:t>
      </w:r>
      <w:r>
        <w:rPr>
          <w:rFonts w:hint="eastAsia" w:ascii="宋体" w:hAnsi="宋体" w:cs="Arial"/>
          <w:bCs/>
          <w:color w:val="auto"/>
          <w:highlight w:val="none"/>
        </w:rPr>
        <w:t>公司5人及以上单数组成评审小组，对比选申请文件按评审标准进行评审；由南宁轨道交通</w:t>
      </w:r>
      <w:r>
        <w:rPr>
          <w:rFonts w:hint="eastAsia" w:ascii="宋体" w:hAnsi="宋体" w:cs="Arial"/>
          <w:bCs/>
          <w:color w:val="auto"/>
          <w:highlight w:val="none"/>
          <w:lang w:val="en-US" w:eastAsia="zh-CN"/>
        </w:rPr>
        <w:t>运营有限</w:t>
      </w:r>
      <w:r>
        <w:rPr>
          <w:rFonts w:hint="eastAsia" w:ascii="宋体" w:hAnsi="宋体" w:cs="Arial"/>
          <w:bCs/>
          <w:color w:val="auto"/>
          <w:highlight w:val="none"/>
        </w:rPr>
        <w:t>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pStyle w:val="5"/>
        <w:spacing w:before="0" w:after="0" w:afterAutospacing="0"/>
        <w:ind w:left="762" w:leftChars="181" w:right="0" w:hanging="382" w:hangingChars="136"/>
        <w:outlineLvl w:val="1"/>
        <w:rPr>
          <w:rFonts w:hint="eastAsia" w:ascii="宋体" w:hAnsi="宋体" w:eastAsia="宋体" w:cs="宋体"/>
          <w:color w:val="auto"/>
          <w:sz w:val="28"/>
          <w:szCs w:val="28"/>
          <w:highlight w:val="none"/>
        </w:rPr>
      </w:pPr>
      <w:bookmarkStart w:id="1100" w:name="_Toc25156"/>
      <w:bookmarkStart w:id="1101" w:name="_Toc25750693"/>
      <w:bookmarkStart w:id="1102" w:name="_Toc26264"/>
      <w:bookmarkStart w:id="1103" w:name="_Toc32009"/>
      <w:r>
        <w:rPr>
          <w:rFonts w:hint="eastAsia" w:ascii="宋体" w:hAnsi="宋体" w:eastAsia="宋体" w:cs="宋体"/>
          <w:color w:val="auto"/>
          <w:sz w:val="28"/>
          <w:szCs w:val="28"/>
          <w:highlight w:val="none"/>
        </w:rPr>
        <w:t>二、评定方法</w:t>
      </w:r>
      <w:bookmarkEnd w:id="1100"/>
      <w:bookmarkEnd w:id="1101"/>
      <w:bookmarkEnd w:id="1102"/>
      <w:bookmarkEnd w:id="1103"/>
    </w:p>
    <w:p>
      <w:pPr>
        <w:spacing w:before="0" w:after="0" w:afterAutospacing="0"/>
        <w:ind w:left="0" w:right="0" w:firstLine="420" w:firstLineChars="200"/>
        <w:rPr>
          <w:rFonts w:hint="default" w:ascii="宋体" w:hAnsi="宋体" w:eastAsia="宋体" w:cs="Arial"/>
          <w:color w:val="auto"/>
          <w:highlight w:val="none"/>
          <w:lang w:val="en-US" w:eastAsia="zh-CN"/>
        </w:rPr>
      </w:pPr>
      <w:r>
        <w:rPr>
          <w:rFonts w:hint="eastAsia" w:ascii="宋体" w:hAnsi="宋体" w:cs="Arial"/>
          <w:color w:val="auto"/>
          <w:highlight w:val="none"/>
        </w:rPr>
        <w:t>2.1对</w:t>
      </w:r>
      <w:r>
        <w:rPr>
          <w:rFonts w:hint="eastAsia" w:ascii="宋体" w:hAnsi="宋体" w:cs="Arial"/>
          <w:color w:val="auto"/>
          <w:highlight w:val="none"/>
          <w:lang w:eastAsia="zh-CN"/>
        </w:rPr>
        <w:t>通过</w:t>
      </w:r>
      <w:r>
        <w:rPr>
          <w:rFonts w:hint="eastAsia" w:ascii="宋体" w:hAnsi="宋体" w:cs="Arial"/>
          <w:color w:val="auto"/>
          <w:highlight w:val="none"/>
        </w:rPr>
        <w:t>资格</w:t>
      </w:r>
      <w:r>
        <w:rPr>
          <w:rFonts w:hint="eastAsia" w:ascii="宋体" w:hAnsi="宋体" w:cs="Arial"/>
          <w:color w:val="auto"/>
          <w:highlight w:val="none"/>
          <w:lang w:eastAsia="zh-CN"/>
        </w:rPr>
        <w:t>审查</w:t>
      </w:r>
      <w:r>
        <w:rPr>
          <w:rFonts w:hint="eastAsia" w:ascii="宋体" w:hAnsi="宋体" w:cs="Arial"/>
          <w:color w:val="auto"/>
          <w:highlight w:val="none"/>
        </w:rPr>
        <w:t>和</w:t>
      </w:r>
      <w:r>
        <w:rPr>
          <w:rFonts w:hint="eastAsia" w:ascii="宋体" w:hAnsi="宋体" w:cs="Arial"/>
          <w:color w:val="auto"/>
          <w:highlight w:val="none"/>
          <w:lang w:eastAsia="zh-CN"/>
        </w:rPr>
        <w:t>初步评审</w:t>
      </w:r>
      <w:r>
        <w:rPr>
          <w:rFonts w:hint="eastAsia" w:ascii="宋体" w:hAnsi="宋体" w:cs="Arial"/>
          <w:color w:val="auto"/>
          <w:highlight w:val="none"/>
        </w:rPr>
        <w:t>的比选申请文件，进行</w:t>
      </w:r>
      <w:r>
        <w:rPr>
          <w:rFonts w:hint="eastAsia" w:ascii="宋体" w:hAnsi="宋体" w:cs="Arial"/>
          <w:color w:val="auto"/>
          <w:highlight w:val="none"/>
          <w:lang w:eastAsia="zh-CN"/>
        </w:rPr>
        <w:t>样品</w:t>
      </w:r>
      <w:r>
        <w:rPr>
          <w:rFonts w:hint="eastAsia" w:ascii="宋体" w:hAnsi="宋体" w:cs="Arial"/>
          <w:color w:val="auto"/>
          <w:highlight w:val="none"/>
        </w:rPr>
        <w:t>评审</w:t>
      </w:r>
      <w:r>
        <w:rPr>
          <w:rFonts w:hint="eastAsia" w:ascii="宋体" w:hAnsi="宋体" w:cs="Arial"/>
          <w:color w:val="auto"/>
          <w:highlight w:val="none"/>
          <w:lang w:eastAsia="zh-CN"/>
        </w:rPr>
        <w:t>，样品评审达到</w:t>
      </w:r>
      <w:r>
        <w:rPr>
          <w:rFonts w:hint="eastAsia" w:ascii="宋体" w:hAnsi="宋体" w:cs="Arial"/>
          <w:color w:val="auto"/>
          <w:highlight w:val="none"/>
          <w:lang w:val="en-US" w:eastAsia="zh-CN"/>
        </w:rPr>
        <w:t>80分以上的比选申请文件才能进入价格评审。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w:t>
      </w:r>
      <w:r>
        <w:rPr>
          <w:rFonts w:hint="eastAsia" w:ascii="宋体" w:hAnsi="宋体" w:cs="Arial"/>
          <w:color w:val="auto"/>
          <w:highlight w:val="none"/>
          <w:lang w:eastAsia="zh-CN"/>
        </w:rPr>
        <w:t>文件，按照本章规定的评分标准对样品部分进行打分，并计算出评审总价和得分的比值，</w:t>
      </w:r>
      <w:r>
        <w:rPr>
          <w:rFonts w:hint="eastAsia" w:ascii="宋体" w:hAnsi="宋体" w:cs="Arial"/>
          <w:color w:val="auto"/>
          <w:highlight w:val="none"/>
        </w:rPr>
        <w:t>按照</w:t>
      </w:r>
      <w:r>
        <w:rPr>
          <w:rFonts w:hint="eastAsia" w:ascii="宋体" w:hAnsi="宋体" w:cs="Arial"/>
          <w:color w:val="auto"/>
          <w:highlight w:val="none"/>
          <w:lang w:eastAsia="zh-CN"/>
        </w:rPr>
        <w:t>比值</w:t>
      </w:r>
      <w:r>
        <w:rPr>
          <w:rFonts w:hint="eastAsia" w:ascii="宋体" w:hAnsi="宋体" w:cs="Arial"/>
          <w:color w:val="auto"/>
          <w:highlight w:val="none"/>
        </w:rPr>
        <w:t>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pStyle w:val="5"/>
        <w:spacing w:before="0" w:after="0" w:afterAutospacing="0"/>
        <w:ind w:left="762" w:leftChars="181" w:right="0" w:hanging="382" w:hangingChars="136"/>
        <w:rPr>
          <w:rFonts w:hint="eastAsia" w:ascii="宋体" w:hAnsi="宋体" w:eastAsia="宋体" w:cs="宋体"/>
          <w:color w:val="auto"/>
          <w:sz w:val="28"/>
          <w:szCs w:val="28"/>
          <w:highlight w:val="none"/>
        </w:rPr>
      </w:pPr>
      <w:bookmarkStart w:id="1104" w:name="_Toc3774"/>
      <w:r>
        <w:rPr>
          <w:rFonts w:hint="eastAsia" w:ascii="宋体" w:hAnsi="宋体" w:eastAsia="宋体" w:cs="宋体"/>
          <w:color w:val="auto"/>
          <w:sz w:val="28"/>
          <w:szCs w:val="28"/>
          <w:highlight w:val="none"/>
        </w:rPr>
        <w:t>三、评审流程</w:t>
      </w:r>
      <w:bookmarkEnd w:id="1104"/>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pStyle w:val="6"/>
        <w:spacing w:before="0" w:after="0" w:afterAutospacing="0"/>
        <w:ind w:left="719" w:leftChars="186" w:right="0" w:hanging="328" w:hangingChars="136"/>
        <w:rPr>
          <w:rFonts w:hint="eastAsia" w:ascii="宋体" w:hAnsi="宋体" w:eastAsia="宋体" w:cs="宋体"/>
          <w:color w:val="auto"/>
          <w:highlight w:val="none"/>
        </w:rPr>
      </w:pPr>
      <w:r>
        <w:rPr>
          <w:rFonts w:hint="eastAsia" w:ascii="宋体" w:hAnsi="宋体" w:eastAsia="宋体" w:cs="宋体"/>
          <w:color w:val="auto"/>
          <w:highlight w:val="none"/>
        </w:rPr>
        <w:t>3.2初步评审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lang w:eastAsia="zh-CN"/>
        </w:rPr>
        <w:t>3</w:t>
      </w:r>
      <w:r>
        <w:rPr>
          <w:rFonts w:hint="eastAsia" w:hAnsi="宋体"/>
          <w:color w:val="auto"/>
          <w:highlight w:val="none"/>
          <w:lang w:val="en-US" w:eastAsia="zh-CN"/>
        </w:rPr>
        <w:t>.2.1</w:t>
      </w:r>
      <w:r>
        <w:rPr>
          <w:rFonts w:hint="eastAsia" w:hAnsi="宋体"/>
          <w:color w:val="auto"/>
          <w:highlight w:val="none"/>
        </w:rPr>
        <w:t>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lang w:eastAsia="zh-CN"/>
        </w:rPr>
        <w:t>3</w:t>
      </w:r>
      <w:r>
        <w:rPr>
          <w:rFonts w:hint="eastAsia" w:hAnsi="宋体"/>
          <w:color w:val="auto"/>
          <w:highlight w:val="none"/>
          <w:lang w:val="en-US" w:eastAsia="zh-CN"/>
        </w:rPr>
        <w:t>.2.2</w:t>
      </w:r>
      <w:r>
        <w:rPr>
          <w:rFonts w:hint="eastAsia" w:hAnsi="宋体"/>
          <w:color w:val="auto"/>
          <w:highlight w:val="none"/>
        </w:rPr>
        <w:t>如果比选申请文件实质性不响应</w:t>
      </w:r>
      <w:r>
        <w:rPr>
          <w:rFonts w:hint="eastAsia" w:hAnsi="宋体"/>
          <w:color w:val="auto"/>
          <w:highlight w:val="none"/>
          <w:lang w:val="en-US" w:eastAsia="zh-CN"/>
        </w:rPr>
        <w:t xml:space="preserve"> </w:t>
      </w:r>
      <w:r>
        <w:rPr>
          <w:rFonts w:hint="eastAsia" w:hAnsi="宋体"/>
          <w:color w:val="auto"/>
          <w:highlight w:val="none"/>
        </w:rPr>
        <w:t>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lang w:eastAsia="zh-CN"/>
        </w:rPr>
        <w:t>3</w:t>
      </w:r>
      <w:r>
        <w:rPr>
          <w:rFonts w:hint="eastAsia" w:hAnsi="宋体"/>
          <w:color w:val="auto"/>
          <w:highlight w:val="none"/>
          <w:lang w:val="en-US" w:eastAsia="zh-CN"/>
        </w:rPr>
        <w:t>.2.3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lang w:val="en-US" w:eastAsia="zh-CN"/>
        </w:rPr>
        <w:t>初步</w:t>
      </w:r>
      <w:r>
        <w:rPr>
          <w:rFonts w:hAnsi="宋体"/>
          <w:color w:val="auto"/>
          <w:highlight w:val="none"/>
        </w:rPr>
        <w:t>评审，未通过</w:t>
      </w:r>
      <w:r>
        <w:rPr>
          <w:rFonts w:hint="eastAsia" w:hAnsi="宋体"/>
          <w:color w:val="auto"/>
          <w:highlight w:val="none"/>
          <w:lang w:eastAsia="zh-CN"/>
        </w:rPr>
        <w:t>初步</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lang w:eastAsia="zh-CN"/>
        </w:rPr>
        <w:t>初步</w:t>
      </w:r>
      <w:r>
        <w:rPr>
          <w:rFonts w:hAnsi="宋体"/>
          <w:color w:val="auto"/>
          <w:highlight w:val="none"/>
        </w:rPr>
        <w:t>评审表》。</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3.3样品评审</w:t>
      </w:r>
    </w:p>
    <w:p>
      <w:pPr>
        <w:tabs>
          <w:tab w:val="left" w:pos="851"/>
        </w:tabs>
        <w:spacing w:before="0" w:after="0" w:afterAutospacing="0"/>
        <w:ind w:left="0" w:right="0" w:firstLine="422" w:firstLineChars="200"/>
        <w:rPr>
          <w:color w:val="auto"/>
          <w:highlight w:val="none"/>
        </w:rPr>
      </w:pPr>
      <w:r>
        <w:rPr>
          <w:rFonts w:hint="eastAsia" w:hAnsi="宋体"/>
          <w:b/>
          <w:color w:val="auto"/>
          <w:highlight w:val="none"/>
        </w:rPr>
        <w:t>全体评</w:t>
      </w:r>
      <w:r>
        <w:rPr>
          <w:rFonts w:hint="eastAsia" w:hAnsi="宋体"/>
          <w:b/>
          <w:color w:val="auto"/>
          <w:highlight w:val="none"/>
          <w:lang w:eastAsia="zh-CN"/>
        </w:rPr>
        <w:t>审</w:t>
      </w:r>
      <w:r>
        <w:rPr>
          <w:rFonts w:hint="eastAsia" w:hAnsi="宋体"/>
          <w:b/>
          <w:color w:val="auto"/>
          <w:highlight w:val="none"/>
        </w:rPr>
        <w:t>委员会对通过初步评审的</w:t>
      </w:r>
      <w:r>
        <w:rPr>
          <w:rFonts w:hint="eastAsia" w:hAnsi="宋体"/>
          <w:b/>
          <w:color w:val="auto"/>
          <w:highlight w:val="none"/>
          <w:lang w:eastAsia="zh-CN"/>
        </w:rPr>
        <w:t>比选申请</w:t>
      </w:r>
      <w:r>
        <w:rPr>
          <w:rFonts w:hint="eastAsia" w:hAnsi="宋体"/>
          <w:b/>
          <w:color w:val="auto"/>
          <w:highlight w:val="none"/>
        </w:rPr>
        <w:t>人所提供的样品进行评审，取全部评委得分的平均值，得分不低于80分的</w:t>
      </w:r>
      <w:r>
        <w:rPr>
          <w:rFonts w:hint="eastAsia" w:hAnsi="宋体"/>
          <w:b/>
          <w:color w:val="auto"/>
          <w:highlight w:val="none"/>
          <w:lang w:eastAsia="zh-CN"/>
        </w:rPr>
        <w:t>比选申请</w:t>
      </w:r>
      <w:r>
        <w:rPr>
          <w:rFonts w:hint="eastAsia" w:hAnsi="宋体"/>
          <w:b/>
          <w:color w:val="auto"/>
          <w:highlight w:val="none"/>
        </w:rPr>
        <w:t>人才能进入下一阶段的价格评审。具体详见附表</w:t>
      </w:r>
      <w:r>
        <w:rPr>
          <w:rFonts w:hint="eastAsia" w:hAnsi="宋体"/>
          <w:b/>
          <w:color w:val="auto"/>
          <w:highlight w:val="none"/>
          <w:lang w:eastAsia="zh-CN"/>
        </w:rPr>
        <w:t>三</w:t>
      </w:r>
      <w:r>
        <w:rPr>
          <w:rFonts w:hint="eastAsia" w:hAnsi="宋体"/>
          <w:b/>
          <w:color w:val="auto"/>
          <w:highlight w:val="none"/>
        </w:rPr>
        <w:t>《样品评审表》。</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w:t>
      </w:r>
      <w:r>
        <w:rPr>
          <w:rFonts w:hint="eastAsia" w:hAnsi="宋体"/>
          <w:color w:val="auto"/>
          <w:highlight w:val="none"/>
          <w:lang w:val="en-US" w:eastAsia="zh-CN"/>
        </w:rPr>
        <w:t>4</w:t>
      </w:r>
      <w:r>
        <w:rPr>
          <w:rFonts w:hAnsi="宋体"/>
          <w:color w:val="auto"/>
          <w:highlight w:val="none"/>
        </w:rPr>
        <w:t>.1</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lang w:val="en-US" w:eastAsia="zh-CN"/>
        </w:rPr>
        <w:t>4</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r>
        <w:rPr>
          <w:rFonts w:hint="eastAsia" w:ascii="宋体" w:hAnsi="宋体"/>
          <w:color w:val="auto"/>
          <w:highlight w:val="none"/>
        </w:rPr>
        <w:t xml:space="preserve"> </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40"/>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pStyle w:val="40"/>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（4）</w:t>
      </w:r>
      <w:r>
        <w:rPr>
          <w:rFonts w:hint="eastAsia" w:ascii="宋体" w:hAnsi="宋体" w:eastAsia="宋体" w:cs="Times New Roman"/>
          <w:color w:val="auto"/>
          <w:sz w:val="21"/>
          <w:szCs w:val="21"/>
          <w:highlight w:val="none"/>
        </w:rPr>
        <w:t>比选申请报价为各分项报价金额之和，比选申请报价与各分项报价之和不一致的，应以各分项报价累计数为准，修正比选申请报价；</w:t>
      </w:r>
    </w:p>
    <w:p>
      <w:pPr>
        <w:pStyle w:val="40"/>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按上述原则对</w:t>
      </w:r>
      <w:r>
        <w:rPr>
          <w:rFonts w:hint="eastAsia" w:ascii="宋体" w:hAnsi="宋体"/>
          <w:color w:val="auto"/>
          <w:highlight w:val="none"/>
          <w:lang w:eastAsia="zh-CN"/>
        </w:rPr>
        <w:t>比选申请</w:t>
      </w:r>
      <w:r>
        <w:rPr>
          <w:rFonts w:hint="eastAsia" w:ascii="宋体" w:hAnsi="宋体"/>
          <w:color w:val="auto"/>
          <w:highlight w:val="none"/>
        </w:rPr>
        <w:t>报价进行修正。评</w:t>
      </w:r>
      <w:r>
        <w:rPr>
          <w:rFonts w:hint="eastAsia" w:ascii="宋体" w:hAnsi="宋体"/>
          <w:color w:val="auto"/>
          <w:highlight w:val="none"/>
          <w:lang w:eastAsia="zh-CN"/>
        </w:rPr>
        <w:t>审总价</w:t>
      </w:r>
      <w:r>
        <w:rPr>
          <w:rFonts w:hint="eastAsia" w:ascii="宋体" w:hAnsi="宋体"/>
          <w:color w:val="auto"/>
          <w:highlight w:val="none"/>
        </w:rPr>
        <w:t>及中</w:t>
      </w:r>
      <w:r>
        <w:rPr>
          <w:rFonts w:hint="eastAsia" w:ascii="宋体" w:hAnsi="宋体"/>
          <w:color w:val="auto"/>
          <w:highlight w:val="none"/>
          <w:lang w:eastAsia="zh-CN"/>
        </w:rPr>
        <w:t>选</w:t>
      </w:r>
      <w:r>
        <w:rPr>
          <w:rFonts w:hint="eastAsia" w:ascii="宋体" w:hAnsi="宋体"/>
          <w:color w:val="auto"/>
          <w:highlight w:val="none"/>
        </w:rPr>
        <w:t>价均以修正后的</w:t>
      </w:r>
      <w:r>
        <w:rPr>
          <w:rFonts w:hint="eastAsia" w:ascii="宋体" w:hAnsi="宋体"/>
          <w:color w:val="auto"/>
          <w:highlight w:val="none"/>
          <w:lang w:eastAsia="zh-CN"/>
        </w:rPr>
        <w:t>比选申请</w:t>
      </w:r>
      <w:r>
        <w:rPr>
          <w:rFonts w:hint="eastAsia" w:ascii="宋体" w:hAnsi="宋体"/>
          <w:color w:val="auto"/>
          <w:highlight w:val="none"/>
        </w:rPr>
        <w:t>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int="eastAsia" w:hAnsi="宋体"/>
          <w:color w:val="auto"/>
          <w:highlight w:val="none"/>
          <w:lang w:val="en-US" w:eastAsia="zh-CN"/>
        </w:rPr>
        <w:t>4</w:t>
      </w:r>
      <w:r>
        <w:rPr>
          <w:rFonts w:hint="eastAsia" w:hAnsi="宋体"/>
          <w:color w:val="auto"/>
          <w:highlight w:val="none"/>
        </w:rPr>
        <w:t>.3出现下列情况的将不通过价格评审：</w:t>
      </w:r>
    </w:p>
    <w:p>
      <w:pPr>
        <w:pStyle w:val="40"/>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val="0"/>
          <w:bCs/>
          <w:color w:val="auto"/>
          <w:highlight w:val="none"/>
        </w:rPr>
      </w:pPr>
      <w:r>
        <w:rPr>
          <w:rFonts w:hint="eastAsia" w:ascii="Times New Roman" w:hAnsi="宋体"/>
          <w:b w:val="0"/>
          <w:bCs w:val="0"/>
          <w:color w:val="auto"/>
          <w:highlight w:val="none"/>
        </w:rPr>
        <w:t>3.</w:t>
      </w:r>
      <w:r>
        <w:rPr>
          <w:rFonts w:hint="eastAsia" w:ascii="Times New Roman" w:hAnsi="宋体"/>
          <w:b w:val="0"/>
          <w:bCs w:val="0"/>
          <w:color w:val="auto"/>
          <w:highlight w:val="none"/>
          <w:lang w:val="en-US" w:eastAsia="zh-CN"/>
        </w:rPr>
        <w:t>4</w:t>
      </w:r>
      <w:r>
        <w:rPr>
          <w:rFonts w:hint="eastAsia" w:ascii="Times New Roman" w:hAnsi="宋体"/>
          <w:b w:val="0"/>
          <w:bCs w:val="0"/>
          <w:color w:val="auto"/>
          <w:highlight w:val="none"/>
        </w:rPr>
        <w:t>.4</w:t>
      </w:r>
      <w:r>
        <w:rPr>
          <w:rFonts w:hint="eastAsia" w:ascii="宋体" w:hAnsi="宋体"/>
          <w:b w:val="0"/>
          <w:bCs/>
          <w:color w:val="auto"/>
          <w:highlight w:val="none"/>
        </w:rPr>
        <w:t>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w:t>
      </w:r>
      <w:r>
        <w:rPr>
          <w:rFonts w:hint="eastAsia" w:ascii="宋体" w:hAnsi="宋体"/>
          <w:color w:val="auto"/>
          <w:highlight w:val="none"/>
          <w:lang w:eastAsia="zh-CN"/>
        </w:rPr>
        <w:t>四</w:t>
      </w:r>
      <w:r>
        <w:rPr>
          <w:rFonts w:hint="eastAsia" w:ascii="宋体" w:hAnsi="宋体"/>
          <w:color w:val="auto"/>
          <w:highlight w:val="none"/>
        </w:rPr>
        <w:t>）</w:t>
      </w:r>
      <w:r>
        <w:rPr>
          <w:rFonts w:hint="eastAsia" w:ascii="宋体" w:hAnsi="宋体"/>
          <w:color w:val="auto"/>
          <w:highlight w:val="none"/>
          <w:lang w:eastAsia="zh-CN"/>
        </w:rPr>
        <w:t>。</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5得分汇总</w:t>
      </w:r>
    </w:p>
    <w:p>
      <w:pPr>
        <w:spacing w:before="0" w:after="0" w:afterAutospacing="0"/>
        <w:ind w:left="0" w:right="0" w:firstLine="420" w:firstLineChars="200"/>
        <w:rPr>
          <w:color w:val="auto"/>
          <w:highlight w:val="none"/>
        </w:rPr>
      </w:pPr>
      <w:r>
        <w:rPr>
          <w:rFonts w:hint="eastAsia"/>
          <w:color w:val="auto"/>
          <w:highlight w:val="none"/>
          <w:lang w:val="en-US" w:eastAsia="zh-CN"/>
        </w:rPr>
        <w:t>3.5.1</w:t>
      </w:r>
      <w:r>
        <w:rPr>
          <w:color w:val="auto"/>
          <w:highlight w:val="none"/>
        </w:rPr>
        <w:t xml:space="preserve"> </w:t>
      </w:r>
      <w:r>
        <w:rPr>
          <w:rFonts w:hint="eastAsia"/>
          <w:color w:val="auto"/>
          <w:highlight w:val="none"/>
          <w:lang w:eastAsia="zh-CN"/>
        </w:rPr>
        <w:t>样品评审</w:t>
      </w:r>
      <w:r>
        <w:rPr>
          <w:rFonts w:hint="eastAsia"/>
          <w:color w:val="auto"/>
          <w:highlight w:val="none"/>
        </w:rPr>
        <w:t>由全体评</w:t>
      </w:r>
      <w:r>
        <w:rPr>
          <w:rFonts w:hint="eastAsia"/>
          <w:color w:val="auto"/>
          <w:highlight w:val="none"/>
          <w:lang w:eastAsia="zh-CN"/>
        </w:rPr>
        <w:t>审</w:t>
      </w:r>
      <w:r>
        <w:rPr>
          <w:rFonts w:hint="eastAsia"/>
          <w:color w:val="auto"/>
          <w:highlight w:val="none"/>
        </w:rPr>
        <w:t>委员统一打分，每一</w:t>
      </w:r>
      <w:r>
        <w:rPr>
          <w:rFonts w:hint="eastAsia" w:ascii="宋体" w:hAnsi="宋体"/>
          <w:color w:val="auto"/>
          <w:highlight w:val="none"/>
          <w:lang w:eastAsia="zh-CN"/>
        </w:rPr>
        <w:t>比选申请</w:t>
      </w:r>
      <w:r>
        <w:rPr>
          <w:rFonts w:hint="eastAsia"/>
          <w:color w:val="auto"/>
          <w:highlight w:val="none"/>
        </w:rPr>
        <w:t>人的</w:t>
      </w:r>
      <w:r>
        <w:rPr>
          <w:rFonts w:hint="eastAsia"/>
          <w:color w:val="auto"/>
          <w:highlight w:val="none"/>
          <w:lang w:eastAsia="zh-CN"/>
        </w:rPr>
        <w:t>样品评审</w:t>
      </w:r>
      <w:r>
        <w:rPr>
          <w:rFonts w:hint="eastAsia"/>
          <w:color w:val="auto"/>
          <w:highlight w:val="none"/>
        </w:rPr>
        <w:t>得分为全体评</w:t>
      </w:r>
      <w:r>
        <w:rPr>
          <w:rFonts w:hint="eastAsia"/>
          <w:color w:val="auto"/>
          <w:highlight w:val="none"/>
          <w:lang w:eastAsia="zh-CN"/>
        </w:rPr>
        <w:t>审</w:t>
      </w:r>
      <w:r>
        <w:rPr>
          <w:rFonts w:hint="eastAsia"/>
          <w:color w:val="auto"/>
          <w:highlight w:val="none"/>
        </w:rPr>
        <w:t>委员对其评分的算术平均值，保留小数点后两位；</w:t>
      </w:r>
    </w:p>
    <w:p>
      <w:pPr>
        <w:spacing w:before="0" w:after="0" w:afterAutospacing="0"/>
        <w:ind w:left="0" w:right="0" w:firstLine="420" w:firstLineChars="200"/>
        <w:rPr>
          <w:color w:val="auto"/>
          <w:highlight w:val="none"/>
        </w:rPr>
      </w:pPr>
      <w:r>
        <w:rPr>
          <w:rFonts w:hint="eastAsia"/>
          <w:color w:val="auto"/>
          <w:highlight w:val="none"/>
          <w:lang w:val="en-US" w:eastAsia="zh-CN"/>
        </w:rPr>
        <w:t>3.5.2</w:t>
      </w:r>
      <w:r>
        <w:rPr>
          <w:rFonts w:hint="eastAsia"/>
          <w:b/>
          <w:bCs/>
          <w:color w:val="auto"/>
          <w:highlight w:val="none"/>
        </w:rPr>
        <w:t xml:space="preserve">比值 ＝N/B  </w:t>
      </w:r>
    </w:p>
    <w:p>
      <w:pPr>
        <w:spacing w:before="0" w:after="0" w:afterAutospacing="0"/>
        <w:ind w:left="0" w:right="0" w:firstLine="420" w:firstLineChars="200"/>
        <w:rPr>
          <w:color w:val="auto"/>
          <w:highlight w:val="none"/>
        </w:rPr>
      </w:pPr>
      <w:r>
        <w:rPr>
          <w:rFonts w:hint="eastAsia"/>
          <w:color w:val="auto"/>
          <w:highlight w:val="none"/>
        </w:rPr>
        <w:t>N为</w:t>
      </w:r>
      <w:r>
        <w:rPr>
          <w:rFonts w:hint="eastAsia" w:ascii="宋体" w:hAnsi="宋体"/>
          <w:color w:val="auto"/>
          <w:highlight w:val="none"/>
          <w:lang w:eastAsia="zh-CN"/>
        </w:rPr>
        <w:t>比选申请</w:t>
      </w:r>
      <w:r>
        <w:rPr>
          <w:rFonts w:hint="eastAsia"/>
          <w:color w:val="auto"/>
          <w:highlight w:val="none"/>
        </w:rPr>
        <w:t>人的评</w:t>
      </w:r>
      <w:r>
        <w:rPr>
          <w:rFonts w:hint="eastAsia"/>
          <w:color w:val="auto"/>
          <w:highlight w:val="none"/>
          <w:lang w:eastAsia="zh-CN"/>
        </w:rPr>
        <w:t>审</w:t>
      </w:r>
      <w:r>
        <w:rPr>
          <w:rFonts w:hint="eastAsia"/>
          <w:color w:val="auto"/>
          <w:highlight w:val="none"/>
        </w:rPr>
        <w:t>总价（不含增值税）, N值按万元计算，保留小数点后四位，第五位四舍五入。</w:t>
      </w:r>
    </w:p>
    <w:p>
      <w:pPr>
        <w:spacing w:before="0" w:after="0" w:afterAutospacing="0"/>
        <w:ind w:left="0" w:right="0" w:firstLine="420" w:firstLineChars="200"/>
        <w:rPr>
          <w:color w:val="auto"/>
          <w:highlight w:val="none"/>
        </w:rPr>
      </w:pPr>
      <w:r>
        <w:rPr>
          <w:rFonts w:hint="eastAsia"/>
          <w:color w:val="auto"/>
          <w:highlight w:val="none"/>
        </w:rPr>
        <w:t>B为</w:t>
      </w:r>
      <w:r>
        <w:rPr>
          <w:rFonts w:hint="eastAsia"/>
          <w:color w:val="auto"/>
          <w:highlight w:val="none"/>
          <w:lang w:eastAsia="zh-CN"/>
        </w:rPr>
        <w:t>样品评审</w:t>
      </w:r>
      <w:r>
        <w:rPr>
          <w:rFonts w:hint="eastAsia"/>
          <w:color w:val="auto"/>
          <w:highlight w:val="none"/>
        </w:rPr>
        <w:t>得分。</w:t>
      </w:r>
    </w:p>
    <w:p>
      <w:pPr>
        <w:spacing w:before="0" w:after="0" w:afterAutospacing="0"/>
        <w:ind w:left="0" w:right="0" w:firstLine="420" w:firstLineChars="200"/>
        <w:rPr>
          <w:color w:val="auto"/>
          <w:highlight w:val="none"/>
        </w:rPr>
      </w:pPr>
      <w:r>
        <w:rPr>
          <w:rFonts w:hint="eastAsia"/>
          <w:color w:val="auto"/>
          <w:highlight w:val="none"/>
        </w:rPr>
        <w:t>比值</w:t>
      </w:r>
      <w:r>
        <w:rPr>
          <w:rFonts w:hint="eastAsia" w:hAnsi="宋体"/>
          <w:color w:val="auto"/>
          <w:highlight w:val="none"/>
        </w:rPr>
        <w:t>得分保留小数点后四位，第五位小数四舍五入。</w:t>
      </w:r>
    </w:p>
    <w:p>
      <w:pPr>
        <w:numPr>
          <w:ilvl w:val="255"/>
          <w:numId w:val="0"/>
        </w:numPr>
        <w:spacing w:before="0" w:after="0" w:afterAutospacing="0"/>
        <w:ind w:right="0" w:firstLine="420" w:firstLineChars="200"/>
        <w:rPr>
          <w:rFonts w:hint="eastAsia"/>
          <w:color w:val="auto"/>
          <w:highlight w:val="none"/>
          <w:lang w:val="en-US" w:eastAsia="zh-CN"/>
        </w:rPr>
      </w:pPr>
      <w:r>
        <w:rPr>
          <w:rFonts w:hint="eastAsia"/>
          <w:color w:val="auto"/>
          <w:highlight w:val="none"/>
          <w:lang w:val="en-US" w:eastAsia="zh-CN"/>
        </w:rPr>
        <w:t>3.5.3</w:t>
      </w:r>
      <w:r>
        <w:rPr>
          <w:rFonts w:hint="eastAsia"/>
          <w:color w:val="auto"/>
          <w:highlight w:val="none"/>
        </w:rPr>
        <w:t xml:space="preserve"> 评</w:t>
      </w:r>
      <w:r>
        <w:rPr>
          <w:rFonts w:hint="eastAsia"/>
          <w:color w:val="auto"/>
          <w:highlight w:val="none"/>
          <w:lang w:eastAsia="zh-CN"/>
        </w:rPr>
        <w:t>审</w:t>
      </w:r>
      <w:r>
        <w:rPr>
          <w:rFonts w:hint="eastAsia"/>
          <w:color w:val="auto"/>
          <w:highlight w:val="none"/>
        </w:rPr>
        <w:t>委员会根据比值按由低到高的顺序进行排序</w:t>
      </w:r>
      <w:r>
        <w:rPr>
          <w:rFonts w:hint="eastAsia" w:hAnsi="宋体"/>
          <w:color w:val="auto"/>
          <w:highlight w:val="none"/>
        </w:rPr>
        <w:t>，</w:t>
      </w:r>
      <w:r>
        <w:rPr>
          <w:rFonts w:hint="eastAsia"/>
          <w:color w:val="auto"/>
          <w:highlight w:val="none"/>
        </w:rPr>
        <w:t>填写《比值及排名表</w:t>
      </w:r>
      <w:r>
        <w:rPr>
          <w:rFonts w:hint="eastAsia" w:ascii="宋体" w:hAnsi="宋体"/>
          <w:color w:val="auto"/>
          <w:highlight w:val="none"/>
        </w:rPr>
        <w:t>》（见附表</w:t>
      </w:r>
      <w:r>
        <w:rPr>
          <w:rFonts w:hint="eastAsia" w:ascii="宋体" w:hAnsi="宋体"/>
          <w:color w:val="auto"/>
          <w:highlight w:val="none"/>
          <w:lang w:val="en-US" w:eastAsia="zh-CN"/>
        </w:rPr>
        <w:t>六</w:t>
      </w:r>
      <w:r>
        <w:rPr>
          <w:rFonts w:hint="eastAsia" w:ascii="宋体" w:hAnsi="宋体"/>
          <w:color w:val="auto"/>
          <w:highlight w:val="none"/>
        </w:rPr>
        <w:t>）。</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3.6</w:t>
      </w:r>
      <w:r>
        <w:rPr>
          <w:rFonts w:hint="eastAsia" w:ascii="宋体" w:hAnsi="宋体" w:eastAsia="宋体" w:cs="宋体"/>
          <w:color w:val="auto"/>
          <w:sz w:val="21"/>
          <w:szCs w:val="21"/>
          <w:highlight w:val="none"/>
        </w:rPr>
        <w:t>澄清或补正</w:t>
      </w:r>
    </w:p>
    <w:p>
      <w:pPr>
        <w:tabs>
          <w:tab w:val="left" w:pos="851"/>
          <w:tab w:val="left" w:pos="1134"/>
        </w:tabs>
        <w:spacing w:before="0" w:after="0" w:afterAutospacing="0"/>
        <w:ind w:left="420" w:right="0" w:firstLine="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.1在评审阶段，</w:t>
      </w:r>
      <w:r>
        <w:rPr>
          <w:rFonts w:hint="eastAsia" w:hAnsi="宋体"/>
          <w:color w:val="auto"/>
          <w:highlight w:val="none"/>
        </w:rPr>
        <w:t>对于非实质性偏离，</w:t>
      </w:r>
      <w:r>
        <w:rPr>
          <w:rFonts w:hint="eastAsia" w:ascii="宋体" w:hAnsi="宋体"/>
          <w:color w:val="auto"/>
          <w:highlight w:val="none"/>
        </w:rPr>
        <w:t>评审委员会认为必要时，可书面通知比选申请人要求其澄清或补正比选申请文件中的问题，或者要求其补充某些资料。对此，比选申请人不得拒绝。</w:t>
      </w:r>
    </w:p>
    <w:p>
      <w:pPr>
        <w:spacing w:before="0" w:after="0" w:afterAutospacing="0"/>
        <w:ind w:left="0" w:right="0" w:firstLine="420" w:firstLineChars="200"/>
        <w:rPr>
          <w:rFonts w:hAnsi="宋体"/>
          <w:color w:val="auto"/>
          <w:highlight w:val="none"/>
        </w:rPr>
      </w:pPr>
      <w:r>
        <w:rPr>
          <w:rFonts w:hint="eastAsia" w:hAnsi="宋体"/>
          <w:color w:val="auto"/>
          <w:highlight w:val="none"/>
        </w:rPr>
        <w:t>非实质性偏离是指</w:t>
      </w:r>
      <w:r>
        <w:rPr>
          <w:rFonts w:hint="eastAsia" w:hAnsi="宋体"/>
          <w:color w:val="auto"/>
          <w:highlight w:val="none"/>
          <w:lang w:eastAsia="zh-CN"/>
        </w:rPr>
        <w:t>比选申请</w:t>
      </w:r>
      <w:r>
        <w:rPr>
          <w:rFonts w:hint="eastAsia" w:hAnsi="宋体"/>
          <w:color w:val="auto"/>
          <w:highlight w:val="none"/>
        </w:rPr>
        <w:t>文件实质性响应</w:t>
      </w:r>
      <w:r>
        <w:rPr>
          <w:rFonts w:hint="eastAsia" w:hAnsi="宋体"/>
          <w:color w:val="auto"/>
          <w:highlight w:val="none"/>
          <w:lang w:eastAsia="zh-CN"/>
        </w:rPr>
        <w:t>比选</w:t>
      </w:r>
      <w:r>
        <w:rPr>
          <w:rFonts w:hint="eastAsia" w:hAnsi="宋体"/>
          <w:color w:val="auto"/>
          <w:highlight w:val="none"/>
        </w:rPr>
        <w:t>文件，但在部分可允许范围内存在一些不规则、不一致、不完整的内容，通过澄清、说明或者补正后这些内容不会改变</w:t>
      </w:r>
      <w:r>
        <w:rPr>
          <w:rFonts w:hint="eastAsia" w:hAnsi="宋体"/>
          <w:color w:val="auto"/>
          <w:highlight w:val="none"/>
          <w:lang w:eastAsia="zh-CN"/>
        </w:rPr>
        <w:t>比选申请</w:t>
      </w:r>
      <w:r>
        <w:rPr>
          <w:rFonts w:hint="eastAsia" w:hAnsi="宋体"/>
          <w:color w:val="auto"/>
          <w:highlight w:val="none"/>
        </w:rPr>
        <w:t>文件的实质性。以下情况属于非实质性偏离：</w:t>
      </w:r>
    </w:p>
    <w:p>
      <w:pPr>
        <w:spacing w:before="0" w:after="0" w:afterAutospacing="0"/>
        <w:ind w:left="0" w:right="0"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eastAsia="zh-CN"/>
        </w:rPr>
        <w:t>比选申请</w:t>
      </w:r>
      <w:r>
        <w:rPr>
          <w:rFonts w:hint="eastAsia" w:hAnsi="宋体"/>
          <w:color w:val="auto"/>
          <w:highlight w:val="none"/>
        </w:rPr>
        <w:t>文件文字表述的内容含义不明确；</w:t>
      </w:r>
    </w:p>
    <w:p>
      <w:pPr>
        <w:spacing w:before="0" w:after="0" w:afterAutospacing="0"/>
        <w:ind w:left="0" w:right="0" w:firstLine="420" w:firstLineChars="200"/>
        <w:rPr>
          <w:rFonts w:hAnsi="宋体"/>
          <w:color w:val="auto"/>
          <w:highlight w:val="none"/>
        </w:rPr>
      </w:pPr>
      <w:r>
        <w:rPr>
          <w:rFonts w:hint="eastAsia" w:hAnsi="宋体"/>
          <w:color w:val="auto"/>
          <w:highlight w:val="none"/>
        </w:rPr>
        <w:t>（2）同类问题表述不一致；</w:t>
      </w:r>
    </w:p>
    <w:p>
      <w:pPr>
        <w:spacing w:before="0" w:after="0" w:afterAutospacing="0"/>
        <w:ind w:left="0" w:right="0" w:firstLine="420" w:firstLineChars="200"/>
        <w:rPr>
          <w:rFonts w:hAnsi="宋体"/>
          <w:color w:val="auto"/>
          <w:highlight w:val="none"/>
        </w:rPr>
      </w:pPr>
      <w:r>
        <w:rPr>
          <w:rFonts w:hint="eastAsia" w:hAnsi="宋体"/>
          <w:color w:val="auto"/>
          <w:highlight w:val="none"/>
        </w:rPr>
        <w:t>（3）明显文字和计算错误；</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（4）评</w:t>
      </w:r>
      <w:r>
        <w:rPr>
          <w:rFonts w:hint="eastAsia" w:hAnsi="宋体"/>
          <w:color w:val="auto"/>
          <w:sz w:val="21"/>
          <w:szCs w:val="21"/>
          <w:highlight w:val="none"/>
          <w:lang w:eastAsia="zh-CN"/>
        </w:rPr>
        <w:t>审</w:t>
      </w:r>
      <w:r>
        <w:rPr>
          <w:rFonts w:hint="eastAsia" w:hAnsi="宋体"/>
          <w:color w:val="auto"/>
          <w:highlight w:val="none"/>
        </w:rPr>
        <w:t>委员会认定的其他非实质性偏离情况。</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.2</w:t>
      </w:r>
      <w:r>
        <w:rPr>
          <w:rFonts w:ascii="宋体" w:hAnsi="宋体"/>
          <w:color w:val="auto"/>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w:t>
      </w:r>
      <w:r>
        <w:rPr>
          <w:rFonts w:hint="eastAsia" w:ascii="宋体" w:hAnsi="宋体"/>
          <w:color w:val="auto"/>
          <w:highlight w:val="none"/>
          <w:lang w:val="en-US" w:eastAsia="zh-CN"/>
        </w:rPr>
        <w:t>比值</w:t>
      </w:r>
      <w:r>
        <w:rPr>
          <w:rFonts w:hint="eastAsia" w:ascii="宋体" w:hAnsi="宋体"/>
          <w:color w:val="auto"/>
          <w:highlight w:val="none"/>
        </w:rPr>
        <w:t>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w:t>
      </w:r>
      <w:r>
        <w:rPr>
          <w:rFonts w:hint="eastAsia" w:ascii="宋体" w:hAnsi="宋体"/>
          <w:color w:val="auto"/>
          <w:highlight w:val="none"/>
          <w:lang w:eastAsia="zh-CN"/>
        </w:rPr>
        <w:t>比值</w:t>
      </w:r>
      <w:r>
        <w:rPr>
          <w:rFonts w:hint="eastAsia" w:ascii="宋体" w:hAnsi="宋体"/>
          <w:color w:val="auto"/>
          <w:highlight w:val="none"/>
        </w:rPr>
        <w:t>相同的，</w:t>
      </w:r>
      <w:r>
        <w:rPr>
          <w:rFonts w:hint="eastAsia" w:ascii="宋体" w:hAnsi="宋体"/>
          <w:color w:val="auto"/>
          <w:highlight w:val="none"/>
          <w:lang w:eastAsia="zh-CN"/>
        </w:rPr>
        <w:t>样品评审得分高者排名优先；若样品评审得分仍相同的，</w:t>
      </w:r>
      <w:r>
        <w:rPr>
          <w:rFonts w:hint="eastAsia" w:ascii="宋体" w:hAnsi="宋体"/>
          <w:color w:val="auto"/>
          <w:highlight w:val="none"/>
        </w:rPr>
        <w:t>以评审委员会记名投票的方式按少数服从多数的原则决定其排名顺序。</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hint="eastAsia" w:ascii="宋体" w:hAnsi="宋体"/>
          <w:b/>
          <w:color w:val="auto"/>
          <w:highlight w:val="none"/>
        </w:rPr>
      </w:pPr>
      <w:r>
        <w:rPr>
          <w:rFonts w:hint="eastAsia" w:ascii="宋体" w:hAnsi="宋体"/>
          <w:b/>
          <w:color w:val="auto"/>
          <w:highlight w:val="none"/>
        </w:rPr>
        <w:t>（2）不符合附表二《</w:t>
      </w:r>
      <w:r>
        <w:rPr>
          <w:rFonts w:hint="eastAsia" w:ascii="宋体" w:hAnsi="宋体"/>
          <w:b/>
          <w:color w:val="auto"/>
          <w:highlight w:val="none"/>
          <w:lang w:eastAsia="zh-CN"/>
        </w:rPr>
        <w:t>初步</w:t>
      </w:r>
      <w:r>
        <w:rPr>
          <w:rFonts w:hint="eastAsia" w:ascii="宋体" w:hAnsi="宋体"/>
          <w:b/>
          <w:color w:val="auto"/>
          <w:highlight w:val="none"/>
        </w:rPr>
        <w:t>评审表》规定的；</w:t>
      </w:r>
    </w:p>
    <w:p>
      <w:pPr>
        <w:tabs>
          <w:tab w:val="left" w:pos="1276"/>
        </w:tabs>
        <w:spacing w:before="0" w:after="0" w:afterAutospacing="0"/>
        <w:ind w:left="0" w:leftChars="0" w:right="0" w:firstLine="422" w:firstLineChars="200"/>
        <w:jc w:val="left"/>
        <w:rPr>
          <w:rFonts w:hint="eastAsia" w:ascii="宋体" w:hAnsi="宋体"/>
          <w:b/>
          <w:color w:val="auto"/>
          <w:highlight w:val="none"/>
        </w:rPr>
      </w:pPr>
      <w:r>
        <w:rPr>
          <w:rFonts w:hint="eastAsia" w:ascii="宋体" w:hAnsi="宋体"/>
          <w:b/>
          <w:color w:val="auto"/>
          <w:highlight w:val="none"/>
        </w:rPr>
        <w:t>（3）样品评审得分低于80分的；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4</w:t>
      </w:r>
      <w:r>
        <w:rPr>
          <w:rFonts w:hint="eastAsia" w:ascii="宋体" w:hAnsi="宋体"/>
          <w:b/>
          <w:color w:val="auto"/>
          <w:highlight w:val="none"/>
        </w:rPr>
        <w:t>）法定代表人未按规定出具授权委托书的(采用委托代理人形式的)；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5</w:t>
      </w:r>
      <w:r>
        <w:rPr>
          <w:rFonts w:hint="eastAsia" w:ascii="宋体" w:hAnsi="宋体"/>
          <w:b/>
          <w:color w:val="auto"/>
          <w:highlight w:val="none"/>
        </w:rPr>
        <w:t>）在比选申请文件中有虚假文件和/或资料的；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6</w:t>
      </w:r>
      <w:r>
        <w:rPr>
          <w:rFonts w:hint="eastAsia" w:ascii="宋体" w:hAnsi="宋体"/>
          <w:b/>
          <w:color w:val="auto"/>
          <w:highlight w:val="none"/>
        </w:rPr>
        <w:t>）比选申请文件中附有比选人不能接受的条件；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7</w:t>
      </w:r>
      <w:r>
        <w:rPr>
          <w:rFonts w:hint="eastAsia" w:ascii="宋体" w:hAnsi="宋体"/>
          <w:b/>
          <w:color w:val="auto"/>
          <w:highlight w:val="none"/>
        </w:rPr>
        <w:t>）比选申请文件实质上不响应比选文件的要求的；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8</w:t>
      </w:r>
      <w:r>
        <w:rPr>
          <w:rFonts w:hint="eastAsia" w:ascii="宋体" w:hAnsi="宋体"/>
          <w:b/>
          <w:color w:val="auto"/>
          <w:highlight w:val="none"/>
        </w:rPr>
        <w:t xml:space="preserve">）比选申请人以经评审委员会评审认定为低于成本的报价竞标；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9</w:t>
      </w:r>
      <w:r>
        <w:rPr>
          <w:rFonts w:hint="eastAsia" w:ascii="宋体" w:hAnsi="宋体"/>
          <w:b/>
          <w:color w:val="auto"/>
          <w:highlight w:val="none"/>
        </w:rPr>
        <w:t>）比选申请人扰乱会场秩序，经劝阻仍然无理取闹的；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1</w:t>
      </w:r>
      <w:r>
        <w:rPr>
          <w:rFonts w:hint="eastAsia" w:ascii="宋体" w:hAnsi="宋体"/>
          <w:b/>
          <w:color w:val="auto"/>
          <w:highlight w:val="none"/>
          <w:lang w:val="en-US" w:eastAsia="zh-CN"/>
        </w:rPr>
        <w:t>0</w:t>
      </w:r>
      <w:r>
        <w:rPr>
          <w:rFonts w:hint="eastAsia" w:ascii="宋体" w:hAnsi="宋体"/>
          <w:b/>
          <w:color w:val="auto"/>
          <w:highlight w:val="none"/>
        </w:rPr>
        <w:t>）比选申请人未能按照评审委员会要求，对其比选申请文件进行澄清、说明和补正的；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w:t>
      </w:r>
      <w:r>
        <w:rPr>
          <w:rFonts w:hint="eastAsia" w:ascii="宋体" w:hAnsi="宋体"/>
          <w:b/>
          <w:color w:val="auto"/>
          <w:highlight w:val="none"/>
          <w:lang w:eastAsia="zh-CN"/>
        </w:rPr>
        <w:t>1</w:t>
      </w:r>
      <w:r>
        <w:rPr>
          <w:rFonts w:hint="eastAsia" w:ascii="宋体" w:hAnsi="宋体"/>
          <w:b/>
          <w:color w:val="auto"/>
          <w:highlight w:val="none"/>
        </w:rPr>
        <w:t>）比选申请人以他人的名义比选申请、串通比选申请、以行贿手段谋取中选或者以其他弄虚作假方式比选申请的。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8" w:right="1418" w:bottom="1304" w:left="1418" w:header="454" w:footer="567" w:gutter="0"/>
          <w:pgNumType w:fmt="decimal"/>
          <w:cols w:space="720" w:num="1"/>
          <w:docGrid w:linePitch="312" w:charSpace="0"/>
        </w:sectPr>
      </w:pPr>
    </w:p>
    <w:bookmarkEnd w:id="1098"/>
    <w:bookmarkEnd w:id="1099"/>
    <w:p>
      <w:pPr>
        <w:pStyle w:val="5"/>
        <w:spacing w:before="0" w:line="578" w:lineRule="auto"/>
        <w:ind w:right="0"/>
        <w:rPr>
          <w:rFonts w:hint="eastAsia" w:ascii="宋体" w:hAnsi="宋体" w:eastAsia="宋体" w:cs="宋体"/>
          <w:color w:val="auto"/>
          <w:sz w:val="21"/>
          <w:szCs w:val="21"/>
          <w:highlight w:val="none"/>
        </w:rPr>
      </w:pPr>
      <w:bookmarkStart w:id="1105" w:name="_Toc28404"/>
      <w:bookmarkStart w:id="1106" w:name="_Toc22464"/>
      <w:bookmarkStart w:id="1107" w:name="_Toc9189"/>
      <w:bookmarkStart w:id="1108" w:name="_Toc30924"/>
      <w:bookmarkStart w:id="1109" w:name="_Toc434"/>
      <w:bookmarkStart w:id="1110" w:name="_Toc31611"/>
      <w:bookmarkStart w:id="1111" w:name="_Toc18096"/>
      <w:bookmarkStart w:id="1112" w:name="_Toc15224"/>
      <w:bookmarkStart w:id="1113" w:name="_Toc19557"/>
      <w:bookmarkStart w:id="1114" w:name="_Toc15073"/>
      <w:bookmarkStart w:id="1115" w:name="_Toc414290583"/>
      <w:bookmarkStart w:id="1116" w:name="_Toc10968"/>
      <w:bookmarkStart w:id="1117" w:name="_Toc9730"/>
      <w:bookmarkStart w:id="1118" w:name="_Toc29923"/>
      <w:bookmarkStart w:id="1119" w:name="_Toc492478849"/>
      <w:bookmarkStart w:id="1120" w:name="_Toc29245"/>
      <w:bookmarkStart w:id="1121" w:name="_Toc23314"/>
      <w:bookmarkStart w:id="1122" w:name="_Toc9588"/>
      <w:bookmarkStart w:id="1123" w:name="_Toc16364"/>
      <w:bookmarkStart w:id="1124" w:name="_Toc27271"/>
      <w:r>
        <w:rPr>
          <w:rFonts w:hint="eastAsia" w:ascii="宋体" w:hAnsi="宋体" w:eastAsia="宋体" w:cs="宋体"/>
          <w:color w:val="auto"/>
          <w:sz w:val="21"/>
          <w:szCs w:val="21"/>
          <w:highlight w:val="none"/>
        </w:rPr>
        <w:t>附表一 资格审查表</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snapToGrid w:val="0"/>
        <w:spacing w:before="0" w:line="360" w:lineRule="exact"/>
        <w:ind w:left="420" w:right="240" w:firstLine="0"/>
        <w:jc w:val="center"/>
        <w:rPr>
          <w:rFonts w:ascii="宋体" w:hAnsi="宋体"/>
          <w:b/>
          <w:color w:val="auto"/>
          <w:sz w:val="28"/>
          <w:szCs w:val="28"/>
          <w:highlight w:val="none"/>
        </w:rPr>
      </w:pPr>
      <w:r>
        <w:rPr>
          <w:rFonts w:hint="eastAsia" w:ascii="宋体" w:hAnsi="宋体"/>
          <w:b/>
          <w:color w:val="auto"/>
          <w:sz w:val="28"/>
          <w:szCs w:val="28"/>
          <w:highlight w:val="none"/>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lang w:val="en-US" w:eastAsia="zh-CN"/>
              </w:rPr>
              <w:t>比选申请人</w:t>
            </w:r>
            <w:r>
              <w:rPr>
                <w:rFonts w:hint="eastAsia" w:ascii="宋体" w:hAnsi="宋体"/>
                <w:color w:val="auto"/>
                <w:highlight w:val="none"/>
              </w:rPr>
              <w:t>资格</w:t>
            </w:r>
          </w:p>
        </w:tc>
        <w:tc>
          <w:tcPr>
            <w:tcW w:w="287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比选申请人为中华人民共和国境内依法设立的法人或其他组织（若以分公司名义参与比选申请，必须出具总公司授权参与的证明。），经营范围至少包括下列范围之一：营业执照中明确经营范围有：</w:t>
            </w:r>
            <w:r>
              <w:rPr>
                <w:rFonts w:hint="eastAsia" w:ascii="宋体" w:hAnsi="宋体"/>
                <w:color w:val="auto"/>
                <w:highlight w:val="none"/>
                <w:u w:val="none"/>
              </w:rPr>
              <w:t>交通及公共管理用金属标牌制造</w:t>
            </w:r>
            <w:r>
              <w:rPr>
                <w:rFonts w:hint="eastAsia" w:ascii="宋体" w:hAnsi="宋体"/>
                <w:color w:val="auto"/>
                <w:highlight w:val="none"/>
                <w:u w:val="none"/>
                <w:lang w:val="en-US" w:eastAsia="zh-CN"/>
              </w:rPr>
              <w:t>/</w:t>
            </w:r>
            <w:r>
              <w:rPr>
                <w:rFonts w:hint="eastAsia" w:ascii="宋体" w:hAnsi="宋体"/>
                <w:color w:val="auto"/>
                <w:highlight w:val="none"/>
                <w:u w:val="none"/>
              </w:rPr>
              <w:t>交通及公共管理用标牌销售</w:t>
            </w:r>
            <w:r>
              <w:rPr>
                <w:rFonts w:hint="eastAsia" w:ascii="宋体" w:hAnsi="宋体"/>
                <w:color w:val="auto"/>
                <w:highlight w:val="none"/>
                <w:u w:val="none"/>
                <w:lang w:val="en-US" w:eastAsia="zh-CN"/>
              </w:rPr>
              <w:t>/标识标牌的设计、制作、安装</w:t>
            </w:r>
            <w:r>
              <w:rPr>
                <w:rFonts w:hint="eastAsia" w:ascii="宋体" w:hAnsi="宋体"/>
                <w:color w:val="auto"/>
                <w:highlight w:val="none"/>
                <w:u w:val="none"/>
              </w:rPr>
              <w:t>等</w:t>
            </w:r>
            <w:r>
              <w:rPr>
                <w:rFonts w:hint="eastAsia" w:ascii="宋体" w:hAnsi="宋体"/>
                <w:color w:val="auto"/>
                <w:highlight w:val="none"/>
                <w:u w:val="none"/>
                <w:lang w:val="en-US" w:eastAsia="zh-CN"/>
              </w:rPr>
              <w:t>类似</w:t>
            </w:r>
            <w:r>
              <w:rPr>
                <w:rFonts w:hint="eastAsia" w:ascii="宋体" w:hAnsi="宋体"/>
                <w:color w:val="auto"/>
                <w:highlight w:val="none"/>
                <w:u w:val="none"/>
              </w:rPr>
              <w:t>相关经营范围</w:t>
            </w:r>
            <w:r>
              <w:rPr>
                <w:rFonts w:hint="eastAsia" w:ascii="宋体" w:hAnsi="宋体"/>
                <w:color w:val="auto"/>
                <w:highlight w:val="none"/>
                <w:u w:val="none"/>
                <w:lang w:val="en-US" w:eastAsia="zh-CN"/>
              </w:rPr>
              <w:t>之一</w:t>
            </w:r>
            <w:r>
              <w:rPr>
                <w:rFonts w:hint="eastAsia" w:ascii="宋体" w:hAnsi="宋体"/>
                <w:color w:val="auto"/>
                <w:highlight w:val="none"/>
                <w:u w:val="none"/>
              </w:rPr>
              <w:t>。</w:t>
            </w:r>
          </w:p>
        </w:tc>
        <w:tc>
          <w:tcPr>
            <w:tcW w:w="1379" w:type="dxa"/>
            <w:vAlign w:val="center"/>
          </w:tcPr>
          <w:p>
            <w:pPr>
              <w:spacing w:before="0" w:after="0" w:afterAutospacing="0"/>
              <w:ind w:left="0" w:leftChars="0" w:right="0" w:rightChars="0" w:firstLine="0" w:firstLineChars="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leftChars="0" w:right="0" w:rightChars="0" w:firstLine="0" w:firstLineChars="0"/>
              <w:rPr>
                <w:rFonts w:ascii="宋体" w:hAnsi="宋体"/>
                <w:color w:val="auto"/>
                <w:highlight w:val="none"/>
              </w:rPr>
            </w:pPr>
          </w:p>
        </w:tc>
        <w:tc>
          <w:tcPr>
            <w:tcW w:w="2401" w:type="dxa"/>
            <w:vAlign w:val="center"/>
          </w:tcPr>
          <w:p>
            <w:pPr>
              <w:spacing w:before="0" w:after="0" w:afterAutospacing="0"/>
              <w:ind w:left="0" w:leftChars="0" w:right="0" w:rightChars="0" w:firstLine="0" w:firstLineChars="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65"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业绩要求</w:t>
            </w:r>
          </w:p>
        </w:tc>
        <w:tc>
          <w:tcPr>
            <w:tcW w:w="2873" w:type="dxa"/>
            <w:vAlign w:val="center"/>
          </w:tcPr>
          <w:p>
            <w:pPr>
              <w:spacing w:before="0" w:after="0" w:afterAutospacing="0"/>
              <w:ind w:left="0" w:right="0" w:firstLine="420" w:firstLineChars="200"/>
              <w:rPr>
                <w:rFonts w:hint="eastAsia" w:ascii="宋体" w:hAnsi="宋体"/>
                <w:color w:val="auto"/>
                <w:highlight w:val="none"/>
                <w:u w:val="none"/>
              </w:rPr>
            </w:pPr>
            <w:r>
              <w:rPr>
                <w:rFonts w:hint="eastAsia" w:ascii="宋体" w:hAnsi="宋体"/>
                <w:color w:val="auto"/>
                <w:highlight w:val="none"/>
                <w:u w:val="none"/>
              </w:rPr>
              <w:t>比选申请人自20</w:t>
            </w:r>
            <w:r>
              <w:rPr>
                <w:rFonts w:hint="eastAsia" w:ascii="宋体" w:hAnsi="宋体"/>
                <w:color w:val="auto"/>
                <w:highlight w:val="none"/>
                <w:u w:val="none"/>
                <w:lang w:val="en-US" w:eastAsia="zh-CN"/>
              </w:rPr>
              <w:t>20</w:t>
            </w:r>
            <w:r>
              <w:rPr>
                <w:rFonts w:hint="eastAsia" w:ascii="宋体" w:hAnsi="宋体"/>
                <w:color w:val="auto"/>
                <w:highlight w:val="none"/>
                <w:u w:val="none"/>
              </w:rPr>
              <w:t>年1月1日（备注：近3年）至截标时间前至少具有</w:t>
            </w:r>
            <w:r>
              <w:rPr>
                <w:rFonts w:hint="eastAsia" w:ascii="宋体" w:hAnsi="宋体"/>
                <w:color w:val="auto"/>
                <w:highlight w:val="none"/>
                <w:u w:val="none"/>
                <w:lang w:val="en-US" w:eastAsia="zh-CN"/>
              </w:rPr>
              <w:t>1</w:t>
            </w:r>
            <w:r>
              <w:rPr>
                <w:rFonts w:hint="eastAsia" w:ascii="宋体" w:hAnsi="宋体"/>
                <w:color w:val="auto"/>
                <w:highlight w:val="none"/>
                <w:u w:val="none"/>
              </w:rPr>
              <w:t>项类似业绩，类似业绩是指单项合同不少于</w:t>
            </w:r>
            <w:r>
              <w:rPr>
                <w:rFonts w:hint="eastAsia" w:ascii="宋体" w:hAnsi="宋体"/>
                <w:color w:val="auto"/>
                <w:highlight w:val="none"/>
                <w:u w:val="none"/>
                <w:lang w:val="en-US" w:eastAsia="zh-CN"/>
              </w:rPr>
              <w:t>20</w:t>
            </w:r>
            <w:r>
              <w:rPr>
                <w:rFonts w:hint="eastAsia" w:ascii="宋体" w:hAnsi="宋体"/>
                <w:color w:val="auto"/>
                <w:highlight w:val="none"/>
                <w:u w:val="none"/>
              </w:rPr>
              <w:t>万元的标识标贴项目业绩。</w:t>
            </w:r>
          </w:p>
          <w:p>
            <w:pPr>
              <w:spacing w:before="0" w:after="0" w:afterAutospacing="0" w:line="240" w:lineRule="auto"/>
              <w:ind w:left="0" w:right="0" w:firstLine="0"/>
              <w:rPr>
                <w:rFonts w:hint="eastAsia" w:ascii="宋体" w:hAnsi="宋体" w:eastAsia="宋体"/>
                <w:color w:val="auto"/>
                <w:highlight w:val="none"/>
                <w:lang w:eastAsia="zh-CN"/>
              </w:rPr>
            </w:pP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hAnsi="宋体"/>
                <w:color w:val="auto"/>
                <w:highlight w:val="none"/>
              </w:rPr>
              <w:t>合同文件或用户证明复印件</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提供相应的业绩证明材料：提供下述材料之一即可：①合同文件；②业主（采购方）开具的证明材料，但所提供的材料须能明确反映项目特征，复印件加盖比选申请人公章</w:t>
            </w:r>
            <w:r>
              <w:rPr>
                <w:rFonts w:hint="eastAsia" w:ascii="宋体" w:hAnsi="宋体"/>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4"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4</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承诺书</w:t>
            </w:r>
          </w:p>
        </w:tc>
        <w:tc>
          <w:tcPr>
            <w:tcW w:w="2873" w:type="dxa"/>
            <w:vAlign w:val="center"/>
          </w:tcPr>
          <w:p>
            <w:pPr>
              <w:numPr>
                <w:ilvl w:val="-1"/>
                <w:numId w:val="0"/>
              </w:numPr>
              <w:spacing w:before="0" w:after="0" w:afterAutospacing="0" w:line="240" w:lineRule="auto"/>
              <w:ind w:left="0" w:right="0" w:firstLine="0" w:firstLineChars="0"/>
              <w:rPr>
                <w:rFonts w:hint="eastAsia" w:ascii="宋体" w:hAnsi="宋体"/>
                <w:color w:val="auto"/>
                <w:highlight w:val="none"/>
              </w:rPr>
            </w:pPr>
            <w:r>
              <w:rPr>
                <w:rFonts w:hint="eastAsia" w:ascii="宋体" w:hAnsi="宋体"/>
                <w:color w:val="auto"/>
                <w:highlight w:val="none"/>
                <w:lang w:val="en-US" w:eastAsia="zh-CN"/>
              </w:rPr>
              <w:t>1.比选申请人</w:t>
            </w:r>
            <w:r>
              <w:rPr>
                <w:rFonts w:hint="eastAsia" w:ascii="宋体" w:hAnsi="宋体"/>
                <w:color w:val="auto"/>
                <w:highlight w:val="none"/>
              </w:rPr>
              <w:t>没有处于被行政主管部门或业主取消比选申请资格的处罚期内，且没有处于被责令停业，财产被接管、冻结、破产状态；比选申请截止时间前3年内没有骗取中选、严重违约或重大质量安全责任事故的情况。</w:t>
            </w:r>
          </w:p>
          <w:p>
            <w:pPr>
              <w:numPr>
                <w:ilvl w:val="-1"/>
                <w:numId w:val="0"/>
              </w:numPr>
              <w:spacing w:before="0" w:after="0" w:afterAutospacing="0" w:line="240" w:lineRule="auto"/>
              <w:ind w:left="0" w:right="0" w:firstLine="0" w:firstLineChars="0"/>
              <w:rPr>
                <w:rFonts w:hint="default" w:ascii="宋体" w:hAnsi="宋体" w:eastAsia="宋体"/>
                <w:color w:val="auto"/>
                <w:highlight w:val="none"/>
                <w:lang w:val="en-US" w:eastAsia="zh-CN"/>
              </w:rPr>
            </w:pPr>
            <w:r>
              <w:rPr>
                <w:rFonts w:hint="eastAsia" w:ascii="宋体" w:hAnsi="宋体"/>
                <w:color w:val="auto"/>
                <w:highlight w:val="none"/>
                <w:lang w:val="en-US" w:eastAsia="zh-CN"/>
              </w:rPr>
              <w:t>2.</w:t>
            </w:r>
            <w:r>
              <w:rPr>
                <w:rFonts w:hint="eastAsia" w:ascii="宋体" w:hAnsi="宋体"/>
                <w:color w:val="auto"/>
                <w:highlight w:val="none"/>
              </w:rPr>
              <w:t>单位负责人为同一人或者存在控股、管理关系的不同单位，不得参加同一标段比选申请或者未划分标段的同一比选项目比选申请。</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line="240" w:lineRule="auto"/>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5</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联合体</w:t>
            </w:r>
          </w:p>
        </w:tc>
        <w:tc>
          <w:tcPr>
            <w:tcW w:w="2873" w:type="dxa"/>
            <w:vAlign w:val="center"/>
          </w:tcPr>
          <w:p>
            <w:pPr>
              <w:spacing w:before="0" w:after="0" w:afterAutospacing="0" w:line="240" w:lineRule="auto"/>
              <w:ind w:left="0" w:righ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比选申请</w:t>
            </w:r>
            <w:r>
              <w:rPr>
                <w:rFonts w:hint="eastAsia" w:ascii="宋体" w:hAnsi="宋体"/>
                <w:color w:val="auto"/>
                <w:highlight w:val="none"/>
              </w:rPr>
              <w:t>人非联合体</w:t>
            </w:r>
            <w:r>
              <w:rPr>
                <w:rFonts w:hint="eastAsia" w:ascii="宋体" w:hAnsi="宋体"/>
                <w:color w:val="auto"/>
                <w:highlight w:val="none"/>
                <w:lang w:val="en-US" w:eastAsia="zh-CN"/>
              </w:rPr>
              <w:t>比选申请</w:t>
            </w:r>
          </w:p>
        </w:tc>
        <w:tc>
          <w:tcPr>
            <w:tcW w:w="1379" w:type="dxa"/>
            <w:vAlign w:val="center"/>
          </w:tcPr>
          <w:p>
            <w:pPr>
              <w:spacing w:before="0" w:after="0" w:afterAutospacing="0" w:line="240" w:lineRule="auto"/>
              <w:ind w:left="0" w:right="0" w:firstLine="0"/>
              <w:rPr>
                <w:rFonts w:hint="default" w:ascii="宋体" w:hAnsi="宋体" w:eastAsia="宋体"/>
                <w:color w:val="auto"/>
                <w:highlight w:val="none"/>
                <w:lang w:val="en-US" w:eastAsia="zh-CN"/>
              </w:rPr>
            </w:pPr>
            <w:r>
              <w:rPr>
                <w:rFonts w:hint="eastAsia" w:ascii="宋体" w:hAnsi="宋体"/>
                <w:color w:val="auto"/>
                <w:highlight w:val="none"/>
              </w:rPr>
              <w:t>本项目不接受联合体</w:t>
            </w:r>
            <w:r>
              <w:rPr>
                <w:rFonts w:hint="eastAsia" w:ascii="宋体" w:hAnsi="宋体"/>
                <w:color w:val="auto"/>
                <w:highlight w:val="none"/>
                <w:lang w:val="en-US" w:eastAsia="zh-CN"/>
              </w:rPr>
              <w:t>比选申请</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w:t>
      </w:r>
      <w:r>
        <w:rPr>
          <w:rFonts w:hint="eastAsia" w:ascii="宋体" w:hAnsi="宋体"/>
          <w:b/>
          <w:color w:val="auto"/>
          <w:highlight w:val="none"/>
          <w:lang w:val="en-US" w:eastAsia="zh-CN"/>
        </w:rPr>
        <w:t>比选申请</w:t>
      </w:r>
      <w:r>
        <w:rPr>
          <w:rFonts w:hint="eastAsia" w:ascii="宋体" w:hAnsi="宋体"/>
          <w:b/>
          <w:color w:val="auto"/>
          <w:highlight w:val="none"/>
        </w:rPr>
        <w:t>人如未通过上述资格审查，则作</w:t>
      </w:r>
      <w:r>
        <w:rPr>
          <w:rFonts w:hint="eastAsia" w:ascii="宋体" w:hAnsi="宋体"/>
          <w:b/>
          <w:color w:val="auto"/>
          <w:highlight w:val="none"/>
          <w:lang w:val="en-US" w:eastAsia="zh-CN"/>
        </w:rPr>
        <w:t>比选申请</w:t>
      </w:r>
      <w:r>
        <w:rPr>
          <w:rFonts w:hint="eastAsia" w:ascii="宋体" w:hAnsi="宋体"/>
          <w:b/>
          <w:color w:val="auto"/>
          <w:highlight w:val="none"/>
        </w:rPr>
        <w:t>被否决处理并不得进入下一阶段评审。</w:t>
      </w:r>
    </w:p>
    <w:p>
      <w:pPr>
        <w:pStyle w:val="4"/>
        <w:spacing w:after="0" w:line="360" w:lineRule="auto"/>
        <w:ind w:right="-57" w:firstLine="0"/>
        <w:rPr>
          <w:color w:val="auto"/>
          <w:sz w:val="24"/>
          <w:szCs w:val="24"/>
          <w:highlight w:val="none"/>
        </w:rPr>
      </w:pPr>
      <w:r>
        <w:rPr>
          <w:rFonts w:ascii="宋体" w:hAnsi="宋体"/>
          <w:color w:val="auto"/>
          <w:highlight w:val="none"/>
        </w:rPr>
        <w:br w:type="page"/>
      </w:r>
      <w:bookmarkStart w:id="1125" w:name="_Toc16918"/>
      <w:bookmarkStart w:id="1126" w:name="_Toc16287"/>
      <w:bookmarkStart w:id="1127" w:name="_Toc25750695"/>
      <w:bookmarkStart w:id="1128" w:name="_Toc19827"/>
      <w:bookmarkStart w:id="1129" w:name="_Toc26570"/>
      <w:bookmarkStart w:id="1130" w:name="_Toc75429180"/>
      <w:bookmarkStart w:id="1131" w:name="_Toc20215"/>
      <w:bookmarkStart w:id="1132" w:name="_Toc6102"/>
      <w:bookmarkStart w:id="1133" w:name="_Toc7852"/>
      <w:bookmarkStart w:id="1134" w:name="_Toc25123"/>
      <w:bookmarkStart w:id="1135" w:name="_Toc12984826"/>
      <w:bookmarkStart w:id="1136" w:name="_Toc12983557"/>
      <w:bookmarkStart w:id="1137" w:name="_Toc3409"/>
      <w:bookmarkStart w:id="1138" w:name="_Toc5737"/>
      <w:bookmarkStart w:id="1139" w:name="_Toc492478850"/>
      <w:bookmarkStart w:id="1140" w:name="_Toc22635"/>
      <w:bookmarkStart w:id="1141" w:name="_Toc9343"/>
      <w:bookmarkStart w:id="1142" w:name="_Toc5811"/>
      <w:bookmarkStart w:id="1143" w:name="_Toc6612"/>
      <w:bookmarkStart w:id="1144" w:name="_Toc31487"/>
      <w:bookmarkStart w:id="1145" w:name="_Toc8945"/>
      <w:bookmarkStart w:id="1146" w:name="_Toc15103"/>
      <w:bookmarkStart w:id="1147" w:name="_Toc1459"/>
      <w:bookmarkStart w:id="1148" w:name="_Toc29670"/>
      <w:bookmarkStart w:id="1149" w:name="_Toc19299"/>
      <w:bookmarkStart w:id="1150" w:name="_Toc191"/>
      <w:r>
        <w:rPr>
          <w:rStyle w:val="59"/>
          <w:rFonts w:hint="eastAsia" w:ascii="宋体" w:hAnsi="宋体" w:eastAsia="宋体" w:cs="宋体"/>
          <w:b/>
          <w:color w:val="auto"/>
          <w:sz w:val="21"/>
          <w:szCs w:val="21"/>
          <w:highlight w:val="none"/>
        </w:rPr>
        <w:t xml:space="preserve">附表二 </w:t>
      </w:r>
      <w:r>
        <w:rPr>
          <w:rStyle w:val="59"/>
          <w:rFonts w:hint="eastAsia" w:ascii="宋体" w:hAnsi="宋体" w:eastAsia="宋体" w:cs="宋体"/>
          <w:b/>
          <w:color w:val="auto"/>
          <w:sz w:val="21"/>
          <w:szCs w:val="21"/>
          <w:highlight w:val="none"/>
          <w:lang w:eastAsia="zh-CN"/>
        </w:rPr>
        <w:t>初步</w:t>
      </w:r>
      <w:r>
        <w:rPr>
          <w:rStyle w:val="59"/>
          <w:rFonts w:hint="eastAsia" w:ascii="宋体" w:hAnsi="宋体" w:eastAsia="宋体" w:cs="宋体"/>
          <w:b/>
          <w:color w:val="auto"/>
          <w:sz w:val="21"/>
          <w:szCs w:val="21"/>
          <w:highlight w:val="none"/>
        </w:rPr>
        <w:t>评审表</w:t>
      </w:r>
      <w:bookmarkEnd w:id="1125"/>
      <w:bookmarkEnd w:id="1126"/>
      <w:bookmarkEnd w:id="1127"/>
      <w:bookmarkEnd w:id="1128"/>
    </w:p>
    <w:p>
      <w:pPr>
        <w:spacing w:before="0"/>
        <w:ind w:right="0" w:firstLine="0"/>
        <w:jc w:val="center"/>
        <w:rPr>
          <w:b/>
          <w:color w:val="auto"/>
          <w:sz w:val="28"/>
          <w:szCs w:val="28"/>
          <w:highlight w:val="none"/>
        </w:rPr>
      </w:pPr>
      <w:r>
        <w:rPr>
          <w:rFonts w:hint="eastAsia" w:hAnsi="宋体"/>
          <w:b/>
          <w:color w:val="auto"/>
          <w:sz w:val="28"/>
          <w:szCs w:val="28"/>
          <w:highlight w:val="none"/>
          <w:lang w:eastAsia="zh-CN"/>
        </w:rPr>
        <w:t>初步</w:t>
      </w:r>
      <w:r>
        <w:rPr>
          <w:rFonts w:hAnsi="宋体"/>
          <w:b/>
          <w:color w:val="auto"/>
          <w:sz w:val="28"/>
          <w:szCs w:val="28"/>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4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比选申请文件按要求在规定的位置签字（或盖章）并加盖比选申请人单位公章的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比选申请文件的实质性内容按规定格式填写、内容齐全的（按比选文件第四章节规定格式填写的）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w:t>
            </w:r>
            <w:r>
              <w:rPr>
                <w:rFonts w:hint="eastAsia"/>
                <w:color w:val="auto"/>
                <w:highlight w:val="none"/>
                <w:lang w:eastAsia="zh-CN"/>
              </w:rPr>
              <w:t>无</w:t>
            </w:r>
            <w:r>
              <w:rPr>
                <w:rFonts w:hint="eastAsia"/>
                <w:color w:val="auto"/>
                <w:highlight w:val="none"/>
              </w:rPr>
              <w:t>虚假文件和</w:t>
            </w:r>
            <w:r>
              <w:rPr>
                <w:color w:val="auto"/>
                <w:highlight w:val="none"/>
              </w:rPr>
              <w:t>/</w:t>
            </w:r>
            <w:r>
              <w:rPr>
                <w:rFonts w:hint="eastAsia"/>
                <w:color w:val="auto"/>
                <w:highlight w:val="none"/>
              </w:rPr>
              <w:t>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w:t>
            </w:r>
            <w:r>
              <w:rPr>
                <w:rFonts w:hint="eastAsia"/>
                <w:color w:val="auto"/>
                <w:highlight w:val="none"/>
                <w:lang w:eastAsia="zh-CN"/>
              </w:rPr>
              <w:t>无</w:t>
            </w:r>
            <w:r>
              <w:rPr>
                <w:rFonts w:hint="eastAsia"/>
                <w:color w:val="auto"/>
                <w:highlight w:val="none"/>
              </w:rPr>
              <w:t>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lang w:eastAsia="zh-CN"/>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lang w:eastAsia="zh-CN"/>
              </w:rPr>
              <w:t>无</w:t>
            </w:r>
            <w:r>
              <w:rPr>
                <w:rFonts w:hint="eastAsia"/>
                <w:color w:val="auto"/>
                <w:highlight w:val="none"/>
              </w:rPr>
              <w:t>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after="0" w:afterAutospacing="0" w:line="240" w:lineRule="auto"/>
        <w:ind w:left="0" w:right="0" w:firstLine="0"/>
        <w:jc w:val="left"/>
        <w:rPr>
          <w:rStyle w:val="59"/>
          <w:rFonts w:ascii="宋体" w:hAnsi="宋体" w:eastAsia="宋体" w:cs="宋体"/>
          <w:color w:val="auto"/>
          <w:sz w:val="21"/>
          <w:szCs w:val="21"/>
          <w:highlight w:val="none"/>
        </w:rPr>
      </w:pPr>
      <w:r>
        <w:rPr>
          <w:color w:val="auto"/>
          <w:highlight w:val="none"/>
        </w:rPr>
        <w:br w:type="page"/>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Start w:id="1151" w:name="_Toc25015"/>
      <w:r>
        <w:rPr>
          <w:rStyle w:val="59"/>
          <w:rFonts w:hint="eastAsia" w:ascii="宋体" w:hAnsi="宋体" w:eastAsia="宋体" w:cs="宋体"/>
          <w:b/>
          <w:color w:val="auto"/>
          <w:sz w:val="21"/>
          <w:szCs w:val="21"/>
          <w:highlight w:val="none"/>
        </w:rPr>
        <w:t>附表</w:t>
      </w:r>
      <w:r>
        <w:rPr>
          <w:rStyle w:val="59"/>
          <w:rFonts w:hint="eastAsia" w:ascii="宋体" w:hAnsi="宋体" w:eastAsia="宋体" w:cs="宋体"/>
          <w:b/>
          <w:color w:val="auto"/>
          <w:sz w:val="21"/>
          <w:szCs w:val="21"/>
          <w:highlight w:val="none"/>
          <w:lang w:eastAsia="zh-CN"/>
        </w:rPr>
        <w:t>三</w:t>
      </w:r>
      <w:r>
        <w:rPr>
          <w:rStyle w:val="59"/>
          <w:rFonts w:hint="eastAsia" w:ascii="宋体" w:hAnsi="宋体" w:eastAsia="宋体" w:cs="宋体"/>
          <w:b/>
          <w:color w:val="auto"/>
          <w:sz w:val="21"/>
          <w:szCs w:val="21"/>
          <w:highlight w:val="none"/>
        </w:rPr>
        <w:t xml:space="preserve"> </w:t>
      </w:r>
      <w:r>
        <w:rPr>
          <w:rStyle w:val="59"/>
          <w:rFonts w:hint="eastAsia" w:ascii="宋体" w:hAnsi="宋体" w:eastAsia="宋体" w:cs="宋体"/>
          <w:b/>
          <w:color w:val="auto"/>
          <w:sz w:val="21"/>
          <w:szCs w:val="21"/>
          <w:highlight w:val="none"/>
          <w:lang w:eastAsia="zh-CN"/>
        </w:rPr>
        <w:t>：</w:t>
      </w:r>
      <w:r>
        <w:rPr>
          <w:rStyle w:val="59"/>
          <w:rFonts w:hint="eastAsia" w:ascii="宋体" w:hAnsi="宋体" w:eastAsia="宋体" w:cs="宋体"/>
          <w:b/>
          <w:color w:val="auto"/>
          <w:sz w:val="21"/>
          <w:szCs w:val="21"/>
          <w:highlight w:val="none"/>
        </w:rPr>
        <w:t>样品评审表</w:t>
      </w:r>
    </w:p>
    <w:bookmarkEnd w:id="1151"/>
    <w:p>
      <w:pPr>
        <w:spacing w:before="0" w:after="0" w:afterAutospacing="0" w:line="240" w:lineRule="auto"/>
        <w:ind w:left="0" w:right="0" w:firstLine="0"/>
        <w:jc w:val="center"/>
        <w:rPr>
          <w:color w:val="auto"/>
          <w:highlight w:val="none"/>
        </w:rPr>
      </w:pPr>
      <w:r>
        <w:rPr>
          <w:rFonts w:hint="eastAsia" w:hAnsi="宋体" w:cs="Times New Roman"/>
          <w:b/>
          <w:color w:val="auto"/>
          <w:sz w:val="28"/>
          <w:szCs w:val="28"/>
          <w:highlight w:val="none"/>
        </w:rPr>
        <w:t>样品评审表</w:t>
      </w:r>
    </w:p>
    <w:tbl>
      <w:tblPr>
        <w:tblStyle w:val="28"/>
        <w:tblW w:w="0" w:type="auto"/>
        <w:tblInd w:w="113" w:type="dxa"/>
        <w:tblLayout w:type="fixed"/>
        <w:tblCellMar>
          <w:top w:w="0" w:type="dxa"/>
          <w:left w:w="108" w:type="dxa"/>
          <w:bottom w:w="0" w:type="dxa"/>
          <w:right w:w="108" w:type="dxa"/>
        </w:tblCellMar>
      </w:tblPr>
      <w:tblGrid>
        <w:gridCol w:w="519"/>
        <w:gridCol w:w="904"/>
        <w:gridCol w:w="1834"/>
        <w:gridCol w:w="1446"/>
        <w:gridCol w:w="750"/>
        <w:gridCol w:w="6627"/>
        <w:gridCol w:w="886"/>
      </w:tblGrid>
      <w:tr>
        <w:trPr>
          <w:trHeight w:val="510" w:hRule="atLeast"/>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b/>
                <w:bCs/>
                <w:color w:val="auto"/>
                <w:highlight w:val="none"/>
              </w:rPr>
            </w:pPr>
            <w:r>
              <w:rPr>
                <w:rFonts w:hint="eastAsia" w:ascii="宋体" w:hAnsi="宋体" w:cs="宋体"/>
                <w:b/>
                <w:bCs/>
                <w:color w:val="auto"/>
                <w:highlight w:val="none"/>
              </w:rPr>
              <w:t>序号</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b/>
                <w:bCs/>
                <w:color w:val="auto"/>
                <w:highlight w:val="none"/>
              </w:rPr>
            </w:pPr>
            <w:r>
              <w:rPr>
                <w:rFonts w:hint="eastAsia" w:ascii="宋体" w:hAnsi="宋体" w:cs="宋体"/>
                <w:b/>
                <w:bCs/>
                <w:color w:val="auto"/>
                <w:highlight w:val="none"/>
              </w:rPr>
              <w:t>产品清单序号</w:t>
            </w:r>
          </w:p>
        </w:tc>
        <w:tc>
          <w:tcPr>
            <w:tcW w:w="1834" w:type="dxa"/>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样品名称</w:t>
            </w:r>
          </w:p>
        </w:tc>
        <w:tc>
          <w:tcPr>
            <w:tcW w:w="144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评审项目</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标准分</w:t>
            </w:r>
          </w:p>
        </w:tc>
        <w:tc>
          <w:tcPr>
            <w:tcW w:w="662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评分标准</w:t>
            </w:r>
          </w:p>
        </w:tc>
        <w:tc>
          <w:tcPr>
            <w:tcW w:w="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得分</w:t>
            </w:r>
          </w:p>
        </w:tc>
      </w:tr>
      <w:tr>
        <w:tblPrEx>
          <w:tblCellMar>
            <w:top w:w="0" w:type="dxa"/>
            <w:left w:w="108" w:type="dxa"/>
            <w:bottom w:w="0" w:type="dxa"/>
            <w:right w:w="108" w:type="dxa"/>
          </w:tblCellMar>
        </w:tblPrEx>
        <w:trPr>
          <w:trHeight w:val="285" w:hRule="atLeast"/>
        </w:trPr>
        <w:tc>
          <w:tcPr>
            <w:tcW w:w="1296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PET聚酯膜材料（膜材料）</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5</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画布（出入口周边信息）</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的样品，满足高度偏差≤1%，得1分；高度偏差＞1%，该项不得分；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71"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的样品，满足宽度偏差≤1%，得1分；高度偏差＞1%，该项不得分；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1296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地贴膜材质</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20</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安检候检区</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度偏差≤1%，得1分；高度偏差＞1%，该项不得分；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的样品，满足宽度偏差≤1%，得1分；高度偏差＞1%，该项不得分；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换乘类地贴</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度偏差≤1%，得1分；高度偏差＞1%，该项不得分；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的样品，满足宽度偏差≤1%，得1分；高度偏差＞1%，该项不得分；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34</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“登乘列车指引”地贴</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度偏差≤1%，得1分；高度偏差＞1%，该项不得分；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的样品，满足宽度偏差≤1%，得1分；高度偏差＞1%，该项不得分；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1296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lang w:val="en-US" w:eastAsia="zh-CN"/>
              </w:rPr>
              <w:t>PVC</w:t>
            </w:r>
            <w:r>
              <w:rPr>
                <w:rFonts w:hint="eastAsia" w:ascii="宋体" w:hAnsi="宋体" w:cs="宋体"/>
                <w:color w:val="auto"/>
                <w:highlight w:val="none"/>
              </w:rPr>
              <w:t>材质</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63</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手举牌</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度偏差≤1%，得1分；高度偏差＞1%，该项不得分；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的样品，满足宽度偏差≤1%，得1分；高度偏差＞1%，该项不得分；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470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auto"/>
                <w:highlight w:val="none"/>
              </w:rPr>
            </w:pPr>
            <w:r>
              <w:rPr>
                <w:rFonts w:hint="eastAsia" w:ascii="宋体" w:hAnsi="宋体" w:cs="宋体"/>
                <w:b/>
                <w:bCs/>
                <w:color w:val="auto"/>
                <w:highlight w:val="none"/>
              </w:rPr>
              <w:t>样品得分</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auto"/>
                <w:highlight w:val="none"/>
              </w:rPr>
            </w:pPr>
            <w:r>
              <w:rPr>
                <w:rFonts w:hint="eastAsia" w:ascii="宋体" w:hAnsi="宋体" w:cs="宋体"/>
                <w:b/>
                <w:bCs/>
                <w:color w:val="auto"/>
                <w:highlight w:val="none"/>
              </w:rPr>
              <w:t>100</w:t>
            </w:r>
          </w:p>
        </w:tc>
        <w:tc>
          <w:tcPr>
            <w:tcW w:w="6627"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　</w:t>
            </w:r>
          </w:p>
        </w:tc>
        <w:tc>
          <w:tcPr>
            <w:tcW w:w="88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　</w:t>
            </w:r>
          </w:p>
        </w:tc>
      </w:tr>
    </w:tbl>
    <w:p>
      <w:pPr>
        <w:spacing w:before="0" w:after="0" w:afterAutospacing="0" w:line="240" w:lineRule="auto"/>
        <w:ind w:left="0" w:right="0" w:firstLine="0"/>
        <w:jc w:val="left"/>
        <w:rPr>
          <w:rFonts w:ascii="宋体" w:hAnsi="宋体"/>
          <w:color w:val="auto"/>
          <w:highlight w:val="none"/>
        </w:rPr>
        <w:sectPr>
          <w:headerReference r:id="rId11" w:type="default"/>
          <w:pgSz w:w="16838" w:h="11905" w:orient="landscape"/>
          <w:pgMar w:top="1418" w:right="1418" w:bottom="1418" w:left="1418" w:header="454" w:footer="567" w:gutter="0"/>
          <w:pgNumType w:fmt="decimal"/>
          <w:cols w:space="720" w:num="1"/>
          <w:docGrid w:linePitch="319" w:charSpace="0"/>
        </w:sectPr>
      </w:pPr>
    </w:p>
    <w:p>
      <w:pPr>
        <w:spacing w:before="0"/>
        <w:ind w:right="0" w:firstLine="0"/>
        <w:jc w:val="center"/>
        <w:rPr>
          <w:rFonts w:ascii="宋体" w:hAnsi="宋体"/>
          <w:b/>
          <w:color w:val="auto"/>
          <w:sz w:val="24"/>
          <w:szCs w:val="24"/>
          <w:highlight w:val="none"/>
        </w:rPr>
      </w:pPr>
      <w:bookmarkStart w:id="1152" w:name="_Toc4223"/>
      <w:bookmarkStart w:id="1153" w:name="_Toc22594"/>
      <w:bookmarkStart w:id="1154" w:name="_Toc10414"/>
      <w:bookmarkStart w:id="1155" w:name="_Toc20211"/>
      <w:bookmarkStart w:id="1156" w:name="_Toc1480"/>
      <w:bookmarkStart w:id="1157" w:name="_Toc1145"/>
      <w:bookmarkStart w:id="1158" w:name="_Toc6932"/>
      <w:bookmarkStart w:id="1159" w:name="_Toc32725"/>
      <w:bookmarkStart w:id="1160" w:name="_Toc8803"/>
      <w:bookmarkStart w:id="1161" w:name="_Toc9220"/>
      <w:bookmarkStart w:id="1162" w:name="_Toc27431"/>
      <w:bookmarkStart w:id="1163" w:name="_Toc414290588"/>
      <w:bookmarkStart w:id="1164" w:name="_Toc11048"/>
      <w:bookmarkStart w:id="1165" w:name="_Toc21541"/>
      <w:bookmarkStart w:id="1166" w:name="_Toc22896"/>
      <w:bookmarkStart w:id="1167" w:name="_Toc6960"/>
      <w:bookmarkStart w:id="1168" w:name="_Toc24793"/>
      <w:bookmarkStart w:id="1169" w:name="_Toc492478858"/>
      <w:bookmarkStart w:id="1170" w:name="_Toc10654"/>
    </w:p>
    <w:p>
      <w:pPr>
        <w:pStyle w:val="5"/>
        <w:spacing w:before="0"/>
        <w:ind w:right="0" w:firstLine="0"/>
        <w:rPr>
          <w:rFonts w:hint="eastAsia" w:ascii="宋体" w:hAnsi="宋体" w:eastAsia="宋体" w:cs="宋体"/>
          <w:color w:val="auto"/>
          <w:sz w:val="21"/>
          <w:szCs w:val="21"/>
          <w:highlight w:val="none"/>
        </w:rPr>
      </w:pPr>
      <w:bookmarkStart w:id="1171" w:name="_Toc20020"/>
      <w:r>
        <w:rPr>
          <w:rFonts w:hint="eastAsia" w:ascii="宋体" w:hAnsi="宋体" w:eastAsia="宋体" w:cs="宋体"/>
          <w:color w:val="auto"/>
          <w:sz w:val="21"/>
          <w:szCs w:val="21"/>
          <w:highlight w:val="none"/>
        </w:rPr>
        <w:t>附表</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 xml:space="preserve"> 比选申请价格评审表</w:t>
      </w:r>
      <w:bookmarkEnd w:id="1171"/>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w:t>
            </w:r>
            <w:r>
              <w:rPr>
                <w:rFonts w:hint="eastAsia" w:ascii="宋体" w:hAnsi="宋体"/>
                <w:color w:val="auto"/>
                <w:highlight w:val="none"/>
                <w:lang w:eastAsia="zh-CN"/>
              </w:rPr>
              <w:t>总</w:t>
            </w:r>
            <w:r>
              <w:rPr>
                <w:rFonts w:hint="eastAsia" w:ascii="宋体" w:hAnsi="宋体"/>
                <w:color w:val="auto"/>
                <w:highlight w:val="none"/>
              </w:rPr>
              <w:t>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w:t>
      </w:r>
      <w:r>
        <w:rPr>
          <w:rFonts w:hint="eastAsia" w:ascii="宋体" w:hAnsi="宋体"/>
          <w:color w:val="auto"/>
          <w:highlight w:val="none"/>
          <w:lang w:eastAsia="zh-CN"/>
        </w:rPr>
        <w:t>总</w:t>
      </w:r>
      <w:r>
        <w:rPr>
          <w:rFonts w:hint="eastAsia" w:ascii="宋体" w:hAnsi="宋体"/>
          <w:color w:val="auto"/>
          <w:highlight w:val="none"/>
        </w:rPr>
        <w:t>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2.评</w:t>
      </w:r>
      <w:r>
        <w:rPr>
          <w:rFonts w:hint="eastAsia" w:ascii="宋体" w:hAnsi="宋体"/>
          <w:color w:val="auto"/>
          <w:highlight w:val="none"/>
          <w:lang w:eastAsia="zh-CN"/>
        </w:rPr>
        <w:t>审总价</w:t>
      </w:r>
      <w:r>
        <w:rPr>
          <w:rFonts w:hint="eastAsia" w:ascii="宋体" w:hAnsi="宋体"/>
          <w:color w:val="auto"/>
          <w:highlight w:val="none"/>
        </w:rPr>
        <w:t>及中</w:t>
      </w:r>
      <w:r>
        <w:rPr>
          <w:rFonts w:hint="eastAsia" w:ascii="宋体" w:hAnsi="宋体"/>
          <w:color w:val="auto"/>
          <w:highlight w:val="none"/>
          <w:lang w:eastAsia="zh-CN"/>
        </w:rPr>
        <w:t>选</w:t>
      </w:r>
      <w:r>
        <w:rPr>
          <w:rFonts w:hint="eastAsia" w:ascii="宋体" w:hAnsi="宋体"/>
          <w:color w:val="auto"/>
          <w:highlight w:val="none"/>
        </w:rPr>
        <w:t>价均以修正后价格为准。如比选申请人不接受按以上规则确定的评审总价和中选价，则其比选申请将被拒绝。</w:t>
      </w:r>
    </w:p>
    <w:p>
      <w:pPr>
        <w:spacing w:before="0" w:after="0"/>
        <w:ind w:left="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0" w:right="0" w:firstLine="0"/>
        <w:jc w:val="left"/>
        <w:rPr>
          <w:rFonts w:ascii="宋体" w:hAnsi="宋体"/>
          <w:color w:val="auto"/>
          <w:highlight w:val="none"/>
        </w:rPr>
      </w:pPr>
    </w:p>
    <w:p>
      <w:pPr>
        <w:pStyle w:val="5"/>
        <w:spacing w:before="159"/>
        <w:ind w:right="-57" w:firstLine="0"/>
        <w:jc w:val="both"/>
        <w:rPr>
          <w:rFonts w:hint="eastAsia" w:ascii="宋体" w:hAnsi="宋体" w:eastAsia="宋体" w:cs="宋体"/>
          <w:color w:val="auto"/>
          <w:sz w:val="21"/>
          <w:szCs w:val="21"/>
          <w:highlight w:val="none"/>
        </w:rPr>
      </w:pPr>
      <w:bookmarkStart w:id="1172" w:name="_Toc11534"/>
      <w:r>
        <w:rPr>
          <w:rFonts w:hint="eastAsia" w:ascii="宋体" w:hAnsi="宋体" w:eastAsia="宋体" w:cs="宋体"/>
          <w:color w:val="auto"/>
          <w:sz w:val="21"/>
          <w:szCs w:val="21"/>
          <w:highlight w:val="none"/>
        </w:rPr>
        <w:t>附表</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：比选申请报价修正表</w:t>
      </w:r>
      <w:bookmarkEnd w:id="1172"/>
    </w:p>
    <w:p>
      <w:pPr>
        <w:spacing w:before="159"/>
        <w:ind w:left="0" w:right="-57" w:firstLine="0"/>
        <w:jc w:val="center"/>
        <w:rPr>
          <w:rFonts w:hint="eastAsia" w:ascii="宋体" w:hAnsi="宋体"/>
          <w:b/>
          <w:color w:val="auto"/>
          <w:sz w:val="28"/>
          <w:szCs w:val="28"/>
          <w:highlight w:val="none"/>
        </w:rPr>
      </w:pPr>
      <w:r>
        <w:rPr>
          <w:rFonts w:hint="eastAsia" w:ascii="宋体" w:hAnsi="宋体"/>
          <w:b/>
          <w:color w:val="auto"/>
          <w:sz w:val="28"/>
          <w:szCs w:val="28"/>
          <w:highlight w:val="none"/>
        </w:rPr>
        <w:t>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w:t>
            </w:r>
            <w:r>
              <w:rPr>
                <w:rFonts w:hint="eastAsia" w:ascii="宋体" w:hAnsi="宋体"/>
                <w:b/>
                <w:color w:val="auto"/>
                <w:sz w:val="24"/>
                <w:szCs w:val="24"/>
                <w:highlight w:val="none"/>
                <w:lang w:eastAsia="zh-CN"/>
              </w:rPr>
              <w:t>4</w:t>
            </w:r>
            <w:r>
              <w:rPr>
                <w:rFonts w:hint="eastAsia" w:ascii="宋体" w:hAnsi="宋体"/>
                <w:b/>
                <w:color w:val="auto"/>
                <w:sz w:val="24"/>
                <w:szCs w:val="24"/>
                <w:highlight w:val="none"/>
              </w:rPr>
              <w:t>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outlineLvl w:val="9"/>
        <w:rPr>
          <w:rFonts w:hint="eastAsia" w:ascii="宋体" w:hAnsi="宋体"/>
          <w:b/>
          <w:color w:val="auto"/>
          <w:highlight w:val="none"/>
        </w:rPr>
      </w:pPr>
      <w:r>
        <w:rPr>
          <w:rFonts w:hint="eastAsia" w:ascii="宋体" w:hAnsi="宋体"/>
          <w:color w:val="auto"/>
          <w:highlight w:val="none"/>
        </w:rPr>
        <w:t>注：评</w:t>
      </w:r>
      <w:r>
        <w:rPr>
          <w:rFonts w:hint="eastAsia" w:ascii="宋体" w:hAnsi="宋体"/>
          <w:color w:val="auto"/>
          <w:highlight w:val="none"/>
          <w:lang w:eastAsia="zh-CN"/>
        </w:rPr>
        <w:t>审总价</w:t>
      </w:r>
      <w:r>
        <w:rPr>
          <w:rFonts w:hint="eastAsia" w:ascii="宋体" w:hAnsi="宋体"/>
          <w:color w:val="auto"/>
          <w:highlight w:val="none"/>
        </w:rPr>
        <w:t>及中</w:t>
      </w:r>
      <w:r>
        <w:rPr>
          <w:rFonts w:hint="eastAsia" w:ascii="宋体" w:hAnsi="宋体"/>
          <w:color w:val="auto"/>
          <w:highlight w:val="none"/>
          <w:lang w:eastAsia="zh-CN"/>
        </w:rPr>
        <w:t>选</w:t>
      </w:r>
      <w:r>
        <w:rPr>
          <w:rFonts w:hint="eastAsia" w:ascii="宋体" w:hAnsi="宋体"/>
          <w:color w:val="auto"/>
          <w:highlight w:val="none"/>
        </w:rPr>
        <w:t>价均以修正后价格为准。如比选申请人不接受按以上规则确定的评审总价和中选价，则其比选申请将被拒绝。</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Start w:id="1173" w:name="_Toc11272"/>
      <w:bookmarkStart w:id="1174" w:name="_Toc16833"/>
      <w:bookmarkStart w:id="1175" w:name="_Toc8023"/>
      <w:bookmarkStart w:id="1176" w:name="_Toc7101"/>
    </w:p>
    <w:p>
      <w:pPr>
        <w:pStyle w:val="5"/>
        <w:spacing w:before="0"/>
        <w:ind w:left="0" w:right="0" w:firstLine="0"/>
        <w:outlineLvl w:val="1"/>
        <w:rPr>
          <w:rFonts w:hint="eastAsia" w:ascii="宋体" w:hAnsi="宋体" w:eastAsia="宋体" w:cs="宋体"/>
          <w:color w:val="auto"/>
          <w:sz w:val="21"/>
          <w:szCs w:val="21"/>
          <w:highlight w:val="none"/>
        </w:rPr>
      </w:pPr>
      <w:bookmarkStart w:id="1177" w:name="_Toc767"/>
      <w:r>
        <w:rPr>
          <w:rFonts w:hint="eastAsia" w:ascii="宋体" w:hAnsi="宋体" w:eastAsia="宋体" w:cs="宋体"/>
          <w:color w:val="auto"/>
          <w:sz w:val="21"/>
          <w:szCs w:val="21"/>
          <w:highlight w:val="none"/>
        </w:rPr>
        <w:t>附表</w:t>
      </w:r>
      <w:r>
        <w:rPr>
          <w:rFonts w:hint="eastAsia" w:ascii="宋体" w:hAnsi="宋体" w:eastAsia="宋体" w:cs="宋体"/>
          <w:color w:val="auto"/>
          <w:sz w:val="21"/>
          <w:szCs w:val="21"/>
          <w:highlight w:val="none"/>
          <w:lang w:val="en-US" w:eastAsia="zh-CN"/>
        </w:rPr>
        <w:t xml:space="preserve">六 </w:t>
      </w:r>
      <w:r>
        <w:rPr>
          <w:rFonts w:hint="eastAsia" w:ascii="宋体" w:hAnsi="宋体" w:eastAsia="宋体" w:cs="宋体"/>
          <w:color w:val="auto"/>
          <w:sz w:val="21"/>
          <w:szCs w:val="21"/>
          <w:highlight w:val="none"/>
        </w:rPr>
        <w:t>比值及排名表</w:t>
      </w:r>
      <w:bookmarkEnd w:id="1173"/>
      <w:bookmarkEnd w:id="1174"/>
      <w:bookmarkEnd w:id="1175"/>
      <w:bookmarkEnd w:id="1176"/>
      <w:bookmarkEnd w:id="1177"/>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比值及排名表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eastAsia="zh-CN"/>
              </w:rPr>
              <w:t>比选申请</w:t>
            </w:r>
            <w:r>
              <w:rPr>
                <w:rFonts w:hint="eastAsia" w:ascii="宋体" w:hAnsi="宋体"/>
                <w:color w:val="auto"/>
                <w:highlight w:val="none"/>
              </w:rPr>
              <w:t>人名称</w:t>
            </w:r>
          </w:p>
        </w:tc>
        <w:tc>
          <w:tcPr>
            <w:tcW w:w="2268" w:type="dxa"/>
            <w:tcBorders>
              <w:left w:val="single" w:color="auto" w:sz="4" w:space="0"/>
              <w:bottom w:val="single" w:color="auto" w:sz="4" w:space="0"/>
              <w:right w:val="single" w:color="auto" w:sz="4" w:space="0"/>
            </w:tcBorders>
            <w:vAlign w:val="center"/>
          </w:tcPr>
          <w:p>
            <w:pPr>
              <w:ind w:left="0" w:firstLine="0"/>
              <w:jc w:val="center"/>
              <w:rPr>
                <w:color w:val="auto"/>
                <w:highlight w:val="none"/>
              </w:rPr>
            </w:pPr>
            <w:r>
              <w:rPr>
                <w:rFonts w:hint="eastAsia"/>
                <w:color w:val="auto"/>
                <w:highlight w:val="none"/>
              </w:rPr>
              <w:t>最终入围得分</w:t>
            </w:r>
          </w:p>
          <w:p>
            <w:pPr>
              <w:ind w:left="0" w:firstLine="0"/>
              <w:jc w:val="center"/>
              <w:rPr>
                <w:rFonts w:ascii="宋体" w:hAnsi="宋体"/>
                <w:color w:val="auto"/>
                <w:highlight w:val="none"/>
              </w:rPr>
            </w:pPr>
            <w:r>
              <w:rPr>
                <w:rFonts w:hint="eastAsia"/>
                <w:b/>
                <w:bCs/>
                <w:color w:val="auto"/>
                <w:highlight w:val="none"/>
              </w:rPr>
              <w:t xml:space="preserve">B </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w:t>
            </w:r>
            <w:r>
              <w:rPr>
                <w:rFonts w:hint="eastAsia" w:ascii="宋体" w:hAnsi="宋体"/>
                <w:color w:val="auto"/>
                <w:highlight w:val="none"/>
                <w:lang w:eastAsia="zh-CN"/>
              </w:rPr>
              <w:t>审</w:t>
            </w:r>
            <w:r>
              <w:rPr>
                <w:rFonts w:hint="eastAsia" w:ascii="宋体" w:hAnsi="宋体"/>
                <w:color w:val="auto"/>
                <w:highlight w:val="none"/>
              </w:rPr>
              <w:t>总价</w:t>
            </w:r>
          </w:p>
          <w:p>
            <w:pPr>
              <w:ind w:left="0" w:firstLine="0"/>
              <w:jc w:val="center"/>
              <w:rPr>
                <w:rFonts w:ascii="宋体" w:hAnsi="宋体"/>
                <w:color w:val="auto"/>
                <w:highlight w:val="none"/>
              </w:rPr>
            </w:pPr>
            <w:r>
              <w:rPr>
                <w:rFonts w:hint="eastAsia" w:ascii="宋体" w:hAnsi="宋体"/>
                <w:b/>
                <w:bCs/>
                <w:color w:val="auto"/>
                <w:highlight w:val="none"/>
              </w:rPr>
              <w:t>N</w:t>
            </w:r>
            <w:r>
              <w:rPr>
                <w:rFonts w:hint="eastAsia" w:ascii="宋体" w:hAnsi="宋体"/>
                <w:color w:val="auto"/>
                <w:highlight w:val="none"/>
              </w:rPr>
              <w:t>（万元）</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比值</w:t>
            </w:r>
          </w:p>
          <w:p>
            <w:pPr>
              <w:ind w:left="0" w:firstLine="0"/>
              <w:jc w:val="center"/>
              <w:rPr>
                <w:rFonts w:ascii="宋体" w:hAnsi="宋体"/>
                <w:color w:val="auto"/>
                <w:highlight w:val="none"/>
              </w:rPr>
            </w:pPr>
            <w:r>
              <w:rPr>
                <w:rFonts w:hint="eastAsia"/>
                <w:b/>
                <w:bCs/>
                <w:color w:val="auto"/>
                <w:highlight w:val="none"/>
              </w:rPr>
              <w:t>【N/B】</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Ansi="宋体"/>
          <w:color w:val="auto"/>
          <w:highlight w:val="none"/>
        </w:rPr>
        <w:t>经济评审组</w:t>
      </w:r>
      <w:r>
        <w:rPr>
          <w:rFonts w:hint="eastAsia" w:ascii="宋体" w:hAnsi="宋体"/>
          <w:color w:val="auto"/>
          <w:highlight w:val="none"/>
        </w:rPr>
        <w:t>需填写附表《</w:t>
      </w:r>
      <w:r>
        <w:rPr>
          <w:rFonts w:hint="eastAsia" w:ascii="宋体" w:hAnsi="宋体"/>
          <w:color w:val="auto"/>
          <w:highlight w:val="none"/>
          <w:lang w:eastAsia="zh-CN"/>
        </w:rPr>
        <w:t>比选申请</w:t>
      </w:r>
      <w:r>
        <w:rPr>
          <w:rFonts w:hint="eastAsia" w:ascii="宋体" w:hAnsi="宋体"/>
          <w:color w:val="auto"/>
          <w:highlight w:val="none"/>
        </w:rPr>
        <w:t>报价修正表》并由</w:t>
      </w:r>
      <w:r>
        <w:rPr>
          <w:rFonts w:hint="eastAsia" w:ascii="宋体" w:hAnsi="宋体"/>
          <w:color w:val="auto"/>
          <w:highlight w:val="none"/>
          <w:lang w:eastAsia="zh-CN"/>
        </w:rPr>
        <w:t>比选申请</w:t>
      </w:r>
      <w:r>
        <w:rPr>
          <w:rFonts w:hint="eastAsia" w:ascii="宋体" w:hAnsi="宋体"/>
          <w:color w:val="auto"/>
          <w:highlight w:val="none"/>
        </w:rPr>
        <w:t>人代表签字确认；如无修正，评</w:t>
      </w:r>
      <w:r>
        <w:rPr>
          <w:rFonts w:hint="eastAsia" w:ascii="宋体" w:hAnsi="宋体"/>
          <w:color w:val="auto"/>
          <w:highlight w:val="none"/>
          <w:lang w:eastAsia="zh-CN"/>
        </w:rPr>
        <w:t>审总</w:t>
      </w:r>
      <w:r>
        <w:rPr>
          <w:rFonts w:hint="eastAsia" w:ascii="宋体" w:hAnsi="宋体"/>
          <w:color w:val="auto"/>
          <w:highlight w:val="none"/>
        </w:rPr>
        <w:t>价=</w:t>
      </w:r>
      <w:r>
        <w:rPr>
          <w:rFonts w:hint="eastAsia" w:ascii="宋体" w:hAnsi="宋体"/>
          <w:color w:val="auto"/>
          <w:highlight w:val="none"/>
          <w:lang w:eastAsia="zh-CN"/>
        </w:rPr>
        <w:t>比选申请</w:t>
      </w:r>
      <w:r>
        <w:rPr>
          <w:rFonts w:hint="eastAsia" w:ascii="宋体" w:hAnsi="宋体"/>
          <w:color w:val="auto"/>
          <w:highlight w:val="none"/>
        </w:rPr>
        <w:t>报价。</w:t>
      </w:r>
    </w:p>
    <w:p>
      <w:pPr>
        <w:spacing w:before="0" w:after="0" w:afterAutospacing="0"/>
        <w:ind w:left="0" w:right="0" w:firstLine="420" w:firstLineChars="200"/>
        <w:jc w:val="left"/>
        <w:rPr>
          <w:rFonts w:hint="eastAsia" w:ascii="宋体" w:hAnsi="宋体" w:eastAsia="宋体"/>
          <w:b/>
          <w:color w:val="auto"/>
          <w:highlight w:val="none"/>
          <w:lang w:eastAsia="zh-CN"/>
        </w:rPr>
      </w:pPr>
      <w:r>
        <w:rPr>
          <w:rFonts w:hint="eastAsia" w:ascii="宋体" w:hAnsi="宋体"/>
          <w:color w:val="auto"/>
          <w:highlight w:val="none"/>
        </w:rPr>
        <w:t>2.评</w:t>
      </w:r>
      <w:r>
        <w:rPr>
          <w:rFonts w:hint="eastAsia" w:ascii="宋体" w:hAnsi="宋体"/>
          <w:color w:val="auto"/>
          <w:highlight w:val="none"/>
          <w:lang w:eastAsia="zh-CN"/>
        </w:rPr>
        <w:t>审</w:t>
      </w:r>
      <w:r>
        <w:rPr>
          <w:rFonts w:hint="eastAsia" w:ascii="宋体" w:hAnsi="宋体"/>
          <w:color w:val="auto"/>
          <w:highlight w:val="none"/>
        </w:rPr>
        <w:t>价格及中</w:t>
      </w:r>
      <w:r>
        <w:rPr>
          <w:rFonts w:hint="eastAsia" w:ascii="宋体" w:hAnsi="宋体"/>
          <w:color w:val="auto"/>
          <w:highlight w:val="none"/>
          <w:lang w:eastAsia="zh-CN"/>
        </w:rPr>
        <w:t>选</w:t>
      </w:r>
      <w:r>
        <w:rPr>
          <w:rFonts w:hint="eastAsia" w:ascii="宋体" w:hAnsi="宋体"/>
          <w:color w:val="auto"/>
          <w:highlight w:val="none"/>
        </w:rPr>
        <w:t>价均以修正后价格为准。如</w:t>
      </w:r>
      <w:r>
        <w:rPr>
          <w:rFonts w:hint="eastAsia" w:ascii="宋体" w:hAnsi="宋体"/>
          <w:color w:val="auto"/>
          <w:highlight w:val="none"/>
          <w:lang w:eastAsia="zh-CN"/>
        </w:rPr>
        <w:t>比选申请</w:t>
      </w:r>
      <w:r>
        <w:rPr>
          <w:rFonts w:hint="eastAsia" w:ascii="宋体" w:hAnsi="宋体"/>
          <w:color w:val="auto"/>
          <w:highlight w:val="none"/>
        </w:rPr>
        <w:t>人不接受按以上规则确定的评</w:t>
      </w:r>
      <w:r>
        <w:rPr>
          <w:rFonts w:hint="eastAsia" w:ascii="宋体" w:hAnsi="宋体"/>
          <w:color w:val="auto"/>
          <w:highlight w:val="none"/>
          <w:lang w:eastAsia="zh-CN"/>
        </w:rPr>
        <w:t>审</w:t>
      </w:r>
      <w:r>
        <w:rPr>
          <w:rFonts w:hint="eastAsia" w:ascii="宋体" w:hAnsi="宋体"/>
          <w:color w:val="auto"/>
          <w:highlight w:val="none"/>
        </w:rPr>
        <w:t>总价和中</w:t>
      </w:r>
      <w:r>
        <w:rPr>
          <w:rFonts w:hint="eastAsia" w:ascii="宋体" w:hAnsi="宋体"/>
          <w:color w:val="auto"/>
          <w:highlight w:val="none"/>
          <w:lang w:eastAsia="zh-CN"/>
        </w:rPr>
        <w:t>选</w:t>
      </w:r>
      <w:r>
        <w:rPr>
          <w:rFonts w:hint="eastAsia" w:ascii="宋体" w:hAnsi="宋体"/>
          <w:color w:val="auto"/>
          <w:highlight w:val="none"/>
        </w:rPr>
        <w:t>价，则其</w:t>
      </w:r>
      <w:r>
        <w:rPr>
          <w:rFonts w:hint="eastAsia" w:ascii="宋体" w:hAnsi="宋体"/>
          <w:color w:val="auto"/>
          <w:highlight w:val="none"/>
          <w:lang w:eastAsia="zh-CN"/>
        </w:rPr>
        <w:t>比选申请</w:t>
      </w:r>
      <w:r>
        <w:rPr>
          <w:rFonts w:hint="eastAsia" w:ascii="宋体" w:hAnsi="宋体"/>
          <w:color w:val="auto"/>
          <w:highlight w:val="none"/>
        </w:rPr>
        <w:t>将被拒</w:t>
      </w:r>
      <w:r>
        <w:rPr>
          <w:rFonts w:hint="eastAsia" w:ascii="宋体" w:hAnsi="宋体"/>
          <w:color w:val="auto"/>
          <w:highlight w:val="none"/>
          <w:lang w:val="en-US" w:eastAsia="zh-CN"/>
        </w:rPr>
        <w:t>绝</w:t>
      </w:r>
      <w:r>
        <w:rPr>
          <w:rFonts w:hint="eastAsia" w:ascii="宋体" w:hAnsi="宋体"/>
          <w:color w:val="auto"/>
          <w:highlight w:val="none"/>
          <w:lang w:eastAsia="zh-CN"/>
        </w:rPr>
        <w:t>。</w:t>
      </w:r>
    </w:p>
    <w:sectPr>
      <w:headerReference r:id="rId12" w:type="default"/>
      <w:footerReference r:id="rId13" w:type="default"/>
      <w:pgSz w:w="16838" w:h="11905" w:orient="landscape"/>
      <w:pgMar w:top="1418" w:right="1418" w:bottom="1418" w:left="1304" w:header="454" w:footer="567"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5y/Y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DnL9j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85</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Bdr>
        <w:bottom w:val="none" w:color="auto" w:sz="0" w:space="0"/>
      </w:pBdr>
      <w:ind w:left="0" w:right="343" w:firstLine="0"/>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30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57" w:firstLine="30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9FB57"/>
    <w:multiLevelType w:val="singleLevel"/>
    <w:tmpl w:val="BCC9FB57"/>
    <w:lvl w:ilvl="0" w:tentative="0">
      <w:start w:val="1"/>
      <w:numFmt w:val="decimal"/>
      <w:suff w:val="nothing"/>
      <w:lvlText w:val="%1、"/>
      <w:lvlJc w:val="left"/>
    </w:lvl>
  </w:abstractNum>
  <w:abstractNum w:abstractNumId="1">
    <w:nsid w:val="C1E27E81"/>
    <w:multiLevelType w:val="multilevel"/>
    <w:tmpl w:val="C1E27E81"/>
    <w:lvl w:ilvl="0" w:tentative="0">
      <w:start w:val="2"/>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575"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pStyle w:val="3"/>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2F000000"/>
    <w:multiLevelType w:val="multilevel"/>
    <w:tmpl w:val="2F000000"/>
    <w:lvl w:ilvl="0" w:tentative="0">
      <w:start w:val="2"/>
      <w:numFmt w:val="decimal"/>
      <w:suff w:val="nothing"/>
      <w:lvlText w:val="%1、"/>
      <w:lvlJc w:val="left"/>
      <w:rPr>
        <w:rFonts w:hint="default"/>
        <w:highlight w:val="none"/>
      </w:rPr>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5946D6C6"/>
    <w:multiLevelType w:val="singleLevel"/>
    <w:tmpl w:val="5946D6C6"/>
    <w:lvl w:ilvl="0" w:tentative="0">
      <w:start w:val="1"/>
      <w:numFmt w:val="decimal"/>
      <w:lvlText w:val="%1."/>
      <w:lvlJc w:val="left"/>
      <w:pPr>
        <w:tabs>
          <w:tab w:val="left" w:pos="312"/>
        </w:tabs>
      </w:pPr>
    </w:lvl>
  </w:abstractNum>
  <w:abstractNum w:abstractNumId="10">
    <w:nsid w:val="7EC22FAB"/>
    <w:multiLevelType w:val="multilevel"/>
    <w:tmpl w:val="7EC22FAB"/>
    <w:lvl w:ilvl="0" w:tentative="0">
      <w:start w:val="1"/>
      <w:numFmt w:val="lowerLetter"/>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2"/>
  </w:num>
  <w:num w:numId="3">
    <w:abstractNumId w:val="4"/>
  </w:num>
  <w:num w:numId="4">
    <w:abstractNumId w:val="8"/>
  </w:num>
  <w:num w:numId="5">
    <w:abstractNumId w:val="5"/>
  </w:num>
  <w:num w:numId="6">
    <w:abstractNumId w:val="6"/>
  </w:num>
  <w:num w:numId="7">
    <w:abstractNumId w:val="3"/>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ODg5MGJiMzBlNjg0NWZlZWJhODg1OWU3YmMxM2I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C4A"/>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3372"/>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0077"/>
    <w:rsid w:val="002A20A0"/>
    <w:rsid w:val="002A6D66"/>
    <w:rsid w:val="002A7A9A"/>
    <w:rsid w:val="002B1394"/>
    <w:rsid w:val="002C556E"/>
    <w:rsid w:val="002C5B0F"/>
    <w:rsid w:val="002D23D9"/>
    <w:rsid w:val="002D2720"/>
    <w:rsid w:val="002D2931"/>
    <w:rsid w:val="002D6A78"/>
    <w:rsid w:val="002D6D0E"/>
    <w:rsid w:val="002D770F"/>
    <w:rsid w:val="002E190D"/>
    <w:rsid w:val="002E6BE3"/>
    <w:rsid w:val="003044E3"/>
    <w:rsid w:val="003123CA"/>
    <w:rsid w:val="003149DC"/>
    <w:rsid w:val="003166B6"/>
    <w:rsid w:val="00316E03"/>
    <w:rsid w:val="003207F4"/>
    <w:rsid w:val="00320BB7"/>
    <w:rsid w:val="00330D78"/>
    <w:rsid w:val="003354EE"/>
    <w:rsid w:val="00337C6A"/>
    <w:rsid w:val="003464E7"/>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80BB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14E9"/>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92934"/>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1762"/>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535E"/>
    <w:rsid w:val="00826EBD"/>
    <w:rsid w:val="0083668C"/>
    <w:rsid w:val="00840E0D"/>
    <w:rsid w:val="00843C6F"/>
    <w:rsid w:val="008461E9"/>
    <w:rsid w:val="008475AA"/>
    <w:rsid w:val="00847E90"/>
    <w:rsid w:val="00853898"/>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D569A"/>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C757B"/>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CF50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4BB3"/>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B116D"/>
    <w:rsid w:val="00EC2D7B"/>
    <w:rsid w:val="00EC7653"/>
    <w:rsid w:val="00ED5241"/>
    <w:rsid w:val="00ED64CD"/>
    <w:rsid w:val="00ED7DBB"/>
    <w:rsid w:val="00EE5896"/>
    <w:rsid w:val="00EE6E83"/>
    <w:rsid w:val="00EF20F4"/>
    <w:rsid w:val="00EF2D43"/>
    <w:rsid w:val="00EF2D68"/>
    <w:rsid w:val="00EF5BD9"/>
    <w:rsid w:val="00EF6456"/>
    <w:rsid w:val="00F017B4"/>
    <w:rsid w:val="00F06631"/>
    <w:rsid w:val="00F115E5"/>
    <w:rsid w:val="00F121C0"/>
    <w:rsid w:val="00F1492D"/>
    <w:rsid w:val="00F20D56"/>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63F86"/>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1562990"/>
    <w:rsid w:val="015E5E4E"/>
    <w:rsid w:val="017E654C"/>
    <w:rsid w:val="01C0753F"/>
    <w:rsid w:val="02596A05"/>
    <w:rsid w:val="02DF1B0D"/>
    <w:rsid w:val="03595555"/>
    <w:rsid w:val="053A4F12"/>
    <w:rsid w:val="054C28AE"/>
    <w:rsid w:val="0591045E"/>
    <w:rsid w:val="06AB431A"/>
    <w:rsid w:val="071E49AF"/>
    <w:rsid w:val="08B2514D"/>
    <w:rsid w:val="08FC70AE"/>
    <w:rsid w:val="0922463B"/>
    <w:rsid w:val="0974210A"/>
    <w:rsid w:val="09ED2E9B"/>
    <w:rsid w:val="0AFF5BEB"/>
    <w:rsid w:val="0B502D31"/>
    <w:rsid w:val="0B582596"/>
    <w:rsid w:val="0D460BF6"/>
    <w:rsid w:val="0D786F20"/>
    <w:rsid w:val="0F44355D"/>
    <w:rsid w:val="0FA96326"/>
    <w:rsid w:val="10164D60"/>
    <w:rsid w:val="106612B1"/>
    <w:rsid w:val="10764538"/>
    <w:rsid w:val="110E601C"/>
    <w:rsid w:val="117619C8"/>
    <w:rsid w:val="118F65E6"/>
    <w:rsid w:val="12885E75"/>
    <w:rsid w:val="134A310C"/>
    <w:rsid w:val="13A65E8D"/>
    <w:rsid w:val="142F43C4"/>
    <w:rsid w:val="157F3A41"/>
    <w:rsid w:val="15C55B4A"/>
    <w:rsid w:val="1606090A"/>
    <w:rsid w:val="17FC2567"/>
    <w:rsid w:val="18123234"/>
    <w:rsid w:val="184245A4"/>
    <w:rsid w:val="193208CA"/>
    <w:rsid w:val="19622A13"/>
    <w:rsid w:val="19712952"/>
    <w:rsid w:val="198F7ACB"/>
    <w:rsid w:val="1A1104E0"/>
    <w:rsid w:val="1A1A1561"/>
    <w:rsid w:val="1BD417C5"/>
    <w:rsid w:val="1BD712B5"/>
    <w:rsid w:val="1C1147C7"/>
    <w:rsid w:val="1CF77E61"/>
    <w:rsid w:val="1D3C5874"/>
    <w:rsid w:val="20476A09"/>
    <w:rsid w:val="209569A9"/>
    <w:rsid w:val="229E2B2D"/>
    <w:rsid w:val="23356FED"/>
    <w:rsid w:val="256A4F48"/>
    <w:rsid w:val="256D0C2C"/>
    <w:rsid w:val="25F65F01"/>
    <w:rsid w:val="25F94A07"/>
    <w:rsid w:val="26761C90"/>
    <w:rsid w:val="26801148"/>
    <w:rsid w:val="26FE003E"/>
    <w:rsid w:val="278C73F8"/>
    <w:rsid w:val="292A6C56"/>
    <w:rsid w:val="2B326266"/>
    <w:rsid w:val="2B541520"/>
    <w:rsid w:val="2BDA4BD6"/>
    <w:rsid w:val="2D4B565F"/>
    <w:rsid w:val="2E5E2407"/>
    <w:rsid w:val="300A1801"/>
    <w:rsid w:val="30AC2409"/>
    <w:rsid w:val="31730E10"/>
    <w:rsid w:val="31CE4090"/>
    <w:rsid w:val="32A55811"/>
    <w:rsid w:val="335F44A0"/>
    <w:rsid w:val="336550B8"/>
    <w:rsid w:val="342E6182"/>
    <w:rsid w:val="369F675F"/>
    <w:rsid w:val="384A30E3"/>
    <w:rsid w:val="38E26B7F"/>
    <w:rsid w:val="3A1457FA"/>
    <w:rsid w:val="3A4805C6"/>
    <w:rsid w:val="3AEC50AC"/>
    <w:rsid w:val="3B0413F8"/>
    <w:rsid w:val="3B4C41D2"/>
    <w:rsid w:val="3B5551BA"/>
    <w:rsid w:val="3B557A38"/>
    <w:rsid w:val="3BF92BBA"/>
    <w:rsid w:val="3DD35929"/>
    <w:rsid w:val="3EC62D97"/>
    <w:rsid w:val="3F7B45C8"/>
    <w:rsid w:val="40D57DED"/>
    <w:rsid w:val="41B617E9"/>
    <w:rsid w:val="42164036"/>
    <w:rsid w:val="42703746"/>
    <w:rsid w:val="42F61CFF"/>
    <w:rsid w:val="43062FB5"/>
    <w:rsid w:val="44C70B64"/>
    <w:rsid w:val="44D61746"/>
    <w:rsid w:val="46B34549"/>
    <w:rsid w:val="472745EF"/>
    <w:rsid w:val="476D5BA3"/>
    <w:rsid w:val="48B57724"/>
    <w:rsid w:val="49425710"/>
    <w:rsid w:val="49FC7FB5"/>
    <w:rsid w:val="4A600544"/>
    <w:rsid w:val="4ABC2FEF"/>
    <w:rsid w:val="4B431F00"/>
    <w:rsid w:val="4B6978CC"/>
    <w:rsid w:val="4BDE1344"/>
    <w:rsid w:val="4C687B84"/>
    <w:rsid w:val="4CBD3A2C"/>
    <w:rsid w:val="4CF67FEB"/>
    <w:rsid w:val="4D777260"/>
    <w:rsid w:val="50203C86"/>
    <w:rsid w:val="50C3182D"/>
    <w:rsid w:val="51A32EAA"/>
    <w:rsid w:val="51DC1903"/>
    <w:rsid w:val="52A03BD4"/>
    <w:rsid w:val="552A76A3"/>
    <w:rsid w:val="556242E1"/>
    <w:rsid w:val="55A8668D"/>
    <w:rsid w:val="55CE28D5"/>
    <w:rsid w:val="567538D3"/>
    <w:rsid w:val="568E3A86"/>
    <w:rsid w:val="579E451C"/>
    <w:rsid w:val="57E9601D"/>
    <w:rsid w:val="58845D45"/>
    <w:rsid w:val="58E16CF4"/>
    <w:rsid w:val="59927FEE"/>
    <w:rsid w:val="59AE6614"/>
    <w:rsid w:val="5ABA77FD"/>
    <w:rsid w:val="5AFE1DDF"/>
    <w:rsid w:val="5B096777"/>
    <w:rsid w:val="5B1D3027"/>
    <w:rsid w:val="5BD407AD"/>
    <w:rsid w:val="5C537F09"/>
    <w:rsid w:val="5E563CE0"/>
    <w:rsid w:val="5F5B1635"/>
    <w:rsid w:val="5FFF100B"/>
    <w:rsid w:val="60341DFF"/>
    <w:rsid w:val="60E530F9"/>
    <w:rsid w:val="61F66531"/>
    <w:rsid w:val="623917E4"/>
    <w:rsid w:val="62A13FCC"/>
    <w:rsid w:val="62EF64B1"/>
    <w:rsid w:val="655A40B6"/>
    <w:rsid w:val="664F7993"/>
    <w:rsid w:val="67FA1680"/>
    <w:rsid w:val="68190258"/>
    <w:rsid w:val="68343081"/>
    <w:rsid w:val="68356B83"/>
    <w:rsid w:val="68A420F5"/>
    <w:rsid w:val="68A8338A"/>
    <w:rsid w:val="698D0E6B"/>
    <w:rsid w:val="69C935B8"/>
    <w:rsid w:val="6A4B03EB"/>
    <w:rsid w:val="6A5F40FC"/>
    <w:rsid w:val="6A715746"/>
    <w:rsid w:val="6ABC4ECB"/>
    <w:rsid w:val="6B375BD8"/>
    <w:rsid w:val="6B87197D"/>
    <w:rsid w:val="6BE4292B"/>
    <w:rsid w:val="6D602485"/>
    <w:rsid w:val="6DAC232E"/>
    <w:rsid w:val="6F014430"/>
    <w:rsid w:val="71995F66"/>
    <w:rsid w:val="71AF5789"/>
    <w:rsid w:val="721B2E1F"/>
    <w:rsid w:val="7328598A"/>
    <w:rsid w:val="737A1DC7"/>
    <w:rsid w:val="74C4183A"/>
    <w:rsid w:val="75CB024D"/>
    <w:rsid w:val="7671125F"/>
    <w:rsid w:val="77E617D9"/>
    <w:rsid w:val="79F17E38"/>
    <w:rsid w:val="7A6510DB"/>
    <w:rsid w:val="7AED2E7F"/>
    <w:rsid w:val="7CF14EA8"/>
    <w:rsid w:val="7D3134F6"/>
    <w:rsid w:val="7DAF2895"/>
    <w:rsid w:val="7E3A462D"/>
    <w:rsid w:val="7EFC18E2"/>
    <w:rsid w:val="7F7B6D92"/>
    <w:rsid w:val="7F8E044D"/>
    <w:rsid w:val="7F911D2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7"/>
    <w:qFormat/>
    <w:uiPriority w:val="9"/>
    <w:pPr>
      <w:spacing w:before="0" w:after="330" w:line="576" w:lineRule="auto"/>
      <w:outlineLvl w:val="0"/>
    </w:pPr>
    <w:rPr>
      <w:b/>
      <w:sz w:val="44"/>
      <w:szCs w:val="44"/>
    </w:rPr>
  </w:style>
  <w:style w:type="paragraph" w:styleId="5">
    <w:name w:val="heading 2"/>
    <w:basedOn w:val="1"/>
    <w:next w:val="1"/>
    <w:link w:val="59"/>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numPr>
        <w:ilvl w:val="3"/>
        <w:numId w:val="1"/>
      </w:numPr>
      <w:spacing w:beforeLines="0" w:afterLines="0" w:line="360" w:lineRule="auto"/>
      <w:ind w:left="864" w:hanging="864" w:firstLineChars="0"/>
      <w:jc w:val="left"/>
      <w:outlineLvl w:val="3"/>
    </w:pPr>
    <w:rPr>
      <w:b/>
      <w:bCs/>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37"/>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36"/>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Date"/>
    <w:basedOn w:val="1"/>
    <w:next w:val="1"/>
    <w:link w:val="38"/>
    <w:semiHidden/>
    <w:unhideWhenUsed/>
    <w:qFormat/>
    <w:uiPriority w:val="99"/>
    <w:pPr>
      <w:ind w:left="100" w:leftChars="2500"/>
    </w:p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link w:val="58"/>
    <w:qFormat/>
    <w:uiPriority w:val="99"/>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39"/>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annotation subject"/>
    <w:basedOn w:val="9"/>
    <w:next w:val="9"/>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character" w:customStyle="1" w:styleId="36">
    <w:name w:val="正文文本 字符"/>
    <w:basedOn w:val="30"/>
    <w:link w:val="10"/>
    <w:semiHidden/>
    <w:qFormat/>
    <w:uiPriority w:val="99"/>
    <w:rPr>
      <w:sz w:val="21"/>
      <w:szCs w:val="21"/>
    </w:rPr>
  </w:style>
  <w:style w:type="character" w:customStyle="1" w:styleId="37">
    <w:name w:val="纯文本 字符"/>
    <w:link w:val="2"/>
    <w:qFormat/>
    <w:locked/>
    <w:uiPriority w:val="0"/>
    <w:rPr>
      <w:rFonts w:ascii="宋体" w:hAnsi="Courier New" w:cs="宋体"/>
    </w:rPr>
  </w:style>
  <w:style w:type="character" w:customStyle="1" w:styleId="38">
    <w:name w:val="日期 字符"/>
    <w:basedOn w:val="30"/>
    <w:link w:val="14"/>
    <w:semiHidden/>
    <w:qFormat/>
    <w:uiPriority w:val="99"/>
    <w:rPr>
      <w:sz w:val="21"/>
      <w:szCs w:val="21"/>
    </w:rPr>
  </w:style>
  <w:style w:type="character" w:customStyle="1" w:styleId="39">
    <w:name w:val="正文文本缩进 3 字符"/>
    <w:basedOn w:val="30"/>
    <w:link w:val="22"/>
    <w:qFormat/>
    <w:uiPriority w:val="0"/>
    <w:rPr>
      <w:sz w:val="16"/>
      <w:szCs w:val="16"/>
    </w:rPr>
  </w:style>
  <w:style w:type="paragraph" w:styleId="40">
    <w:name w:val="List Paragraph"/>
    <w:basedOn w:val="1"/>
    <w:qFormat/>
    <w:uiPriority w:val="1"/>
    <w:pPr>
      <w:ind w:firstLine="200"/>
    </w:pPr>
    <w:rPr>
      <w:rFonts w:ascii="Calibri" w:hAnsi="Calibri"/>
    </w:rPr>
  </w:style>
  <w:style w:type="character" w:customStyle="1" w:styleId="41">
    <w:name w:val="正文文本 2 Char"/>
    <w:basedOn w:val="30"/>
    <w:qFormat/>
    <w:uiPriority w:val="0"/>
    <w:rPr>
      <w:rFonts w:ascii="Times New Roman" w:hAnsi="Times New Roman" w:eastAsia="宋体" w:cs="Times New Roman"/>
    </w:rPr>
  </w:style>
  <w:style w:type="character" w:customStyle="1" w:styleId="42">
    <w:name w:val="16"/>
    <w:basedOn w:val="30"/>
    <w:qFormat/>
    <w:uiPriority w:val="0"/>
    <w:rPr>
      <w:rFonts w:hint="default" w:ascii="Times New Roman" w:hAnsi="Times New Roman" w:cs="Times New Roman"/>
      <w:color w:val="0000FF"/>
      <w:u w:val="single"/>
    </w:rPr>
  </w:style>
  <w:style w:type="character" w:customStyle="1" w:styleId="43">
    <w:name w:val="15"/>
    <w:basedOn w:val="30"/>
    <w:qFormat/>
    <w:uiPriority w:val="0"/>
    <w:rPr>
      <w:rFonts w:hint="default" w:ascii="Times New Roman" w:hAnsi="Times New Roman" w:cs="Times New Roman"/>
      <w:color w:val="0000FF"/>
      <w:u w:val="single"/>
    </w:rPr>
  </w:style>
  <w:style w:type="character" w:customStyle="1" w:styleId="44">
    <w:name w:val="标题 3 Char"/>
    <w:qFormat/>
    <w:uiPriority w:val="0"/>
    <w:rPr>
      <w:b/>
      <w:sz w:val="24"/>
      <w:szCs w:val="24"/>
    </w:rPr>
  </w:style>
  <w:style w:type="character" w:customStyle="1" w:styleId="45">
    <w:name w:val="标题 2 Char"/>
    <w:qFormat/>
    <w:uiPriority w:val="9"/>
    <w:rPr>
      <w:rFonts w:ascii="Arial" w:hAnsi="Arial" w:eastAsia="黑体"/>
      <w:b/>
      <w:sz w:val="32"/>
      <w:szCs w:val="32"/>
    </w:rPr>
  </w:style>
  <w:style w:type="character" w:customStyle="1" w:styleId="46">
    <w:name w:val="批注框文本 Char"/>
    <w:basedOn w:val="30"/>
    <w:semiHidden/>
    <w:qFormat/>
    <w:uiPriority w:val="0"/>
    <w:rPr>
      <w:sz w:val="18"/>
      <w:szCs w:val="18"/>
    </w:rPr>
  </w:style>
  <w:style w:type="character" w:customStyle="1" w:styleId="47">
    <w:name w:val="批注文字 Char"/>
    <w:basedOn w:val="30"/>
    <w:semiHidden/>
    <w:qFormat/>
    <w:uiPriority w:val="0"/>
    <w:rPr>
      <w:sz w:val="21"/>
      <w:szCs w:val="21"/>
    </w:rPr>
  </w:style>
  <w:style w:type="character" w:customStyle="1" w:styleId="48">
    <w:name w:val="批注主题 Char"/>
    <w:basedOn w:val="47"/>
    <w:semiHidden/>
    <w:qFormat/>
    <w:uiPriority w:val="0"/>
    <w:rPr>
      <w:b/>
      <w:sz w:val="21"/>
      <w:szCs w:val="21"/>
    </w:rPr>
  </w:style>
  <w:style w:type="character" w:customStyle="1" w:styleId="49">
    <w:name w:val="文档结构图 Char"/>
    <w:basedOn w:val="30"/>
    <w:semiHidden/>
    <w:qFormat/>
    <w:uiPriority w:val="0"/>
    <w:rPr>
      <w:rFonts w:ascii="宋体"/>
      <w:sz w:val="18"/>
      <w:szCs w:val="18"/>
    </w:rPr>
  </w:style>
  <w:style w:type="character" w:customStyle="1" w:styleId="50">
    <w:name w:val="页脚 Char"/>
    <w:qFormat/>
    <w:uiPriority w:val="99"/>
    <w:rPr>
      <w:sz w:val="18"/>
      <w:szCs w:val="18"/>
    </w:rPr>
  </w:style>
  <w:style w:type="character" w:customStyle="1" w:styleId="51">
    <w:name w:val="脚注文本 Char"/>
    <w:basedOn w:val="30"/>
    <w:semiHidden/>
    <w:qFormat/>
    <w:uiPriority w:val="0"/>
    <w:rPr>
      <w:sz w:val="18"/>
      <w:szCs w:val="18"/>
    </w:rPr>
  </w:style>
  <w:style w:type="paragraph" w:customStyle="1" w:styleId="52">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paragraph" w:customStyle="1" w:styleId="54">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5">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6">
    <w:name w:val="TOC 标题2"/>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7">
    <w:name w:val="标题 1 字符"/>
    <w:link w:val="4"/>
    <w:qFormat/>
    <w:uiPriority w:val="9"/>
    <w:rPr>
      <w:b/>
      <w:sz w:val="44"/>
      <w:szCs w:val="44"/>
    </w:rPr>
  </w:style>
  <w:style w:type="character" w:customStyle="1" w:styleId="58">
    <w:name w:val="页眉 字符"/>
    <w:link w:val="17"/>
    <w:qFormat/>
    <w:uiPriority w:val="99"/>
    <w:rPr>
      <w:sz w:val="18"/>
      <w:szCs w:val="18"/>
    </w:rPr>
  </w:style>
  <w:style w:type="character" w:customStyle="1" w:styleId="59">
    <w:name w:val="标题 2 Char1"/>
    <w:link w:val="5"/>
    <w:qFormat/>
    <w:uiPriority w:val="8"/>
    <w:rPr>
      <w:rFonts w:ascii="Arial" w:hAnsi="Arial" w:eastAsia="黑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FE67C-4E9E-4B3B-9F71-F82B1961D03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109</Pages>
  <Words>60670</Words>
  <Characters>65330</Characters>
  <Lines>506</Lines>
  <Paragraphs>142</Paragraphs>
  <TotalTime>20</TotalTime>
  <ScaleCrop>false</ScaleCrop>
  <LinksUpToDate>false</LinksUpToDate>
  <CharactersWithSpaces>66589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NNRT</cp:lastModifiedBy>
  <cp:lastPrinted>2022-12-16T10:19:00Z</cp:lastPrinted>
  <dcterms:modified xsi:type="dcterms:W3CDTF">2023-02-24T10:00:39Z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4726E6A8CDC94A469142A0062707990A</vt:lpwstr>
  </property>
</Properties>
</file>