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cs="宋体"/>
          <w:b/>
          <w:bCs/>
          <w:kern w:val="0"/>
          <w:sz w:val="32"/>
          <w:szCs w:val="32"/>
          <w:u w:val="single"/>
          <w:lang w:eastAsia="zh-CN"/>
        </w:rPr>
      </w:pPr>
    </w:p>
    <w:p>
      <w:pPr>
        <w:jc w:val="center"/>
        <w:rPr>
          <w:rFonts w:hint="eastAsia" w:ascii="宋体" w:hAnsi="宋体" w:cs="宋体"/>
          <w:b/>
          <w:bCs/>
          <w:kern w:val="0"/>
          <w:sz w:val="32"/>
          <w:szCs w:val="32"/>
          <w:u w:val="single"/>
          <w:lang w:eastAsia="zh-CN"/>
        </w:rPr>
      </w:pPr>
      <w:r>
        <w:rPr>
          <w:rFonts w:hint="eastAsia" w:ascii="宋体" w:hAnsi="宋体" w:cs="宋体"/>
          <w:b/>
          <w:bCs/>
          <w:kern w:val="0"/>
          <w:sz w:val="32"/>
          <w:szCs w:val="32"/>
          <w:u w:val="single"/>
          <w:lang w:eastAsia="zh-CN"/>
        </w:rPr>
        <w:t>南宁公共交通集团有限公司法定代表人任中和原总经理离任</w:t>
      </w:r>
    </w:p>
    <w:p>
      <w:pPr>
        <w:jc w:val="center"/>
        <w:rPr>
          <w:rFonts w:hint="eastAsia" w:ascii="宋体" w:hAnsi="宋体" w:cs="宋体"/>
          <w:b/>
          <w:bCs/>
          <w:kern w:val="0"/>
          <w:sz w:val="32"/>
          <w:szCs w:val="32"/>
        </w:rPr>
      </w:pPr>
      <w:r>
        <w:rPr>
          <w:rFonts w:hint="eastAsia" w:ascii="宋体" w:hAnsi="宋体" w:cs="宋体"/>
          <w:b/>
          <w:bCs/>
          <w:kern w:val="0"/>
          <w:sz w:val="32"/>
          <w:szCs w:val="32"/>
          <w:u w:val="single"/>
          <w:lang w:eastAsia="zh-CN"/>
        </w:rPr>
        <w:t>（2017年5月至2022年12月）经济责任审计</w:t>
      </w:r>
      <w:r>
        <w:rPr>
          <w:rFonts w:hint="eastAsia" w:ascii="宋体" w:hAnsi="宋体" w:cs="宋体"/>
          <w:b/>
          <w:bCs/>
          <w:kern w:val="0"/>
          <w:sz w:val="32"/>
          <w:szCs w:val="32"/>
        </w:rPr>
        <w:t>项目比选公告</w:t>
      </w:r>
    </w:p>
    <w:p>
      <w:pPr>
        <w:spacing w:line="360" w:lineRule="auto"/>
        <w:ind w:firstLine="560" w:firstLineChars="200"/>
        <w:rPr>
          <w:rFonts w:cs="宋体"/>
          <w:sz w:val="28"/>
          <w:szCs w:val="28"/>
        </w:rPr>
      </w:pPr>
    </w:p>
    <w:p>
      <w:pPr>
        <w:spacing w:line="360" w:lineRule="auto"/>
        <w:ind w:firstLine="560" w:firstLineChars="200"/>
        <w:rPr>
          <w:rFonts w:cs="宋体"/>
          <w:sz w:val="28"/>
          <w:szCs w:val="28"/>
        </w:rPr>
      </w:pPr>
      <w:r>
        <w:rPr>
          <w:rFonts w:cs="宋体"/>
          <w:sz w:val="28"/>
          <w:szCs w:val="28"/>
        </w:rPr>
        <w:t>南宁轨道交通集团</w:t>
      </w:r>
      <w:r>
        <w:rPr>
          <w:rFonts w:hint="eastAsia" w:cs="宋体"/>
          <w:sz w:val="28"/>
          <w:szCs w:val="28"/>
        </w:rPr>
        <w:t>有限责任公司</w:t>
      </w:r>
      <w:r>
        <w:rPr>
          <w:rFonts w:cs="宋体"/>
          <w:sz w:val="28"/>
          <w:szCs w:val="28"/>
        </w:rPr>
        <w:t>需</w:t>
      </w:r>
      <w:r>
        <w:rPr>
          <w:rFonts w:hint="eastAsia" w:cs="宋体"/>
          <w:sz w:val="28"/>
          <w:szCs w:val="28"/>
          <w:u w:val="single"/>
        </w:rPr>
        <w:t>对</w:t>
      </w:r>
      <w:r>
        <w:rPr>
          <w:rFonts w:hint="eastAsia" w:cs="宋体"/>
          <w:sz w:val="28"/>
          <w:szCs w:val="28"/>
          <w:u w:val="single"/>
          <w:lang w:eastAsia="zh-CN"/>
        </w:rPr>
        <w:t>南宁公共交通集团有限公司法定代表人任中和原总经理离任（2017年5月至2022年12月）开展经济责任审计</w:t>
      </w:r>
      <w:r>
        <w:rPr>
          <w:rFonts w:cs="宋体"/>
          <w:sz w:val="28"/>
          <w:szCs w:val="28"/>
        </w:rPr>
        <w:t>，</w:t>
      </w:r>
      <w:r>
        <w:rPr>
          <w:rFonts w:hint="eastAsia" w:cs="宋体"/>
          <w:sz w:val="28"/>
          <w:szCs w:val="28"/>
        </w:rPr>
        <w:t>本次项目</w:t>
      </w:r>
      <w:r>
        <w:rPr>
          <w:rFonts w:hint="eastAsia" w:cs="宋体"/>
          <w:bCs/>
          <w:sz w:val="28"/>
          <w:szCs w:val="28"/>
        </w:rPr>
        <w:t>上限控制价为</w:t>
      </w:r>
      <w:r>
        <w:rPr>
          <w:rFonts w:hint="eastAsia" w:cs="宋体"/>
          <w:bCs/>
          <w:sz w:val="28"/>
          <w:szCs w:val="28"/>
          <w:u w:val="single"/>
          <w:lang w:val="en-US" w:eastAsia="zh-CN"/>
        </w:rPr>
        <w:t>200</w:t>
      </w:r>
      <w:r>
        <w:rPr>
          <w:rFonts w:hint="eastAsia" w:cs="宋体"/>
          <w:bCs/>
          <w:sz w:val="28"/>
          <w:szCs w:val="28"/>
          <w:u w:val="single"/>
        </w:rPr>
        <w:t xml:space="preserve">,000.00 </w:t>
      </w:r>
      <w:r>
        <w:rPr>
          <w:rFonts w:hint="eastAsia" w:cs="宋体"/>
          <w:bCs/>
          <w:sz w:val="28"/>
          <w:szCs w:val="28"/>
        </w:rPr>
        <w:t>元（含税）</w:t>
      </w:r>
      <w:r>
        <w:rPr>
          <w:rFonts w:hint="eastAsia" w:cs="宋体"/>
          <w:bCs/>
          <w:sz w:val="28"/>
          <w:szCs w:val="28"/>
          <w:lang w:eastAsia="zh-CN"/>
        </w:rPr>
        <w:t>，</w:t>
      </w:r>
      <w:r>
        <w:rPr>
          <w:rFonts w:hint="eastAsia" w:cs="宋体"/>
          <w:bCs/>
          <w:color w:val="auto"/>
          <w:sz w:val="28"/>
          <w:szCs w:val="28"/>
          <w:u w:val="single"/>
          <w:lang w:val="en-US" w:eastAsia="zh-CN"/>
        </w:rPr>
        <w:t>188,679.25</w:t>
      </w:r>
      <w:r>
        <w:rPr>
          <w:rFonts w:hint="eastAsia" w:cs="宋体"/>
          <w:bCs/>
          <w:sz w:val="28"/>
          <w:szCs w:val="28"/>
        </w:rPr>
        <w:t>元（不含税）。</w:t>
      </w:r>
      <w:r>
        <w:rPr>
          <w:rFonts w:cs="宋体"/>
          <w:sz w:val="28"/>
          <w:szCs w:val="28"/>
        </w:rPr>
        <w:t>根据本集团公司要求，现就本次</w:t>
      </w:r>
      <w:r>
        <w:rPr>
          <w:rFonts w:hint="eastAsia" w:cs="宋体"/>
          <w:sz w:val="28"/>
          <w:szCs w:val="28"/>
        </w:rPr>
        <w:t>项目进行公开比选</w:t>
      </w:r>
      <w:r>
        <w:rPr>
          <w:rFonts w:cs="宋体"/>
          <w:sz w:val="28"/>
          <w:szCs w:val="28"/>
        </w:rPr>
        <w:t>，欢迎符合条件的</w:t>
      </w:r>
      <w:r>
        <w:rPr>
          <w:rFonts w:hint="eastAsia" w:cs="宋体"/>
          <w:sz w:val="28"/>
          <w:szCs w:val="28"/>
          <w:u w:val="single"/>
        </w:rPr>
        <w:t>会计师事务所</w:t>
      </w:r>
      <w:r>
        <w:rPr>
          <w:rFonts w:cs="宋体"/>
          <w:sz w:val="28"/>
          <w:szCs w:val="28"/>
        </w:rPr>
        <w:t>参与比选。</w:t>
      </w:r>
    </w:p>
    <w:p>
      <w:pPr>
        <w:spacing w:line="360" w:lineRule="auto"/>
        <w:ind w:firstLine="562" w:firstLineChars="200"/>
        <w:outlineLvl w:val="0"/>
        <w:rPr>
          <w:rFonts w:cs="宋体"/>
          <w:b/>
          <w:sz w:val="28"/>
          <w:szCs w:val="28"/>
        </w:rPr>
      </w:pPr>
      <w:r>
        <w:rPr>
          <w:rFonts w:hint="eastAsia" w:cs="宋体"/>
          <w:b/>
          <w:sz w:val="28"/>
          <w:szCs w:val="28"/>
        </w:rPr>
        <w:t>一、项目内容</w:t>
      </w:r>
    </w:p>
    <w:p>
      <w:pPr>
        <w:spacing w:line="540" w:lineRule="exact"/>
        <w:ind w:firstLine="560" w:firstLineChars="200"/>
        <w:rPr>
          <w:rFonts w:hint="eastAsia" w:ascii="Times New Roman" w:hAnsi="Times New Roman" w:eastAsia="宋体" w:cs="宋体"/>
          <w:color w:val="FF0000"/>
          <w:sz w:val="28"/>
          <w:szCs w:val="28"/>
          <w:u w:val="single"/>
          <w:lang w:eastAsia="zh-CN"/>
        </w:rPr>
      </w:pPr>
      <w:r>
        <w:rPr>
          <w:rFonts w:hint="eastAsia" w:cs="宋体"/>
          <w:color w:val="FF0000"/>
          <w:sz w:val="28"/>
          <w:szCs w:val="28"/>
          <w:u w:val="single"/>
          <w:lang w:eastAsia="zh-CN"/>
        </w:rPr>
        <w:t>对吴江卡同志2017年5月至2022年12月任职南宁公共交通集团有限公司法定代表人履行经济责任的情况，刘国平同志2017年5月至2022年12月任职南宁公共交通集团有限公司总经理期间履行经济责任的情况开展审计</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lang w:val="en-US" w:eastAsia="zh-CN"/>
        </w:rPr>
        <w:t>包括</w:t>
      </w:r>
      <w:r>
        <w:rPr>
          <w:rFonts w:hint="eastAsia" w:cs="宋体"/>
          <w:color w:val="FF0000"/>
          <w:sz w:val="28"/>
          <w:szCs w:val="28"/>
          <w:u w:val="single"/>
          <w:lang w:val="en-US" w:eastAsia="zh-CN"/>
        </w:rPr>
        <w:t>但不仅限于</w:t>
      </w:r>
      <w:r>
        <w:rPr>
          <w:rFonts w:hint="eastAsia" w:ascii="Times New Roman" w:hAnsi="Times New Roman" w:eastAsia="宋体" w:cs="宋体"/>
          <w:color w:val="FF0000"/>
          <w:sz w:val="28"/>
          <w:szCs w:val="28"/>
          <w:u w:val="single"/>
          <w:lang w:val="zh-CN"/>
        </w:rPr>
        <w:t>贯彻执行党和国家的经济方针政策和上级决策部署情况，推动企业可持续发展情况，</w:t>
      </w:r>
      <w:r>
        <w:rPr>
          <w:rFonts w:hint="eastAsia" w:ascii="Times New Roman" w:hAnsi="Times New Roman" w:eastAsia="宋体" w:cs="宋体"/>
          <w:color w:val="FF0000"/>
          <w:sz w:val="28"/>
          <w:szCs w:val="28"/>
          <w:u w:val="single"/>
        </w:rPr>
        <w:t>国企改革三年行动落地见效情况。重点关注重点关注党的领导融入公司治理、党委前置研究事项清单制定、董事会建设情况、董事会职权落实等取得成效情况</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lang w:val="zh-CN"/>
        </w:rPr>
        <w:t>企业发展战略规划的制定、执行和</w:t>
      </w:r>
      <w:r>
        <w:rPr>
          <w:rFonts w:hint="eastAsia" w:ascii="Times New Roman" w:hAnsi="Times New Roman" w:eastAsia="宋体" w:cs="宋体"/>
          <w:color w:val="FF0000"/>
          <w:sz w:val="28"/>
          <w:szCs w:val="28"/>
          <w:u w:val="single"/>
          <w:lang w:val="en-US" w:eastAsia="zh-CN"/>
        </w:rPr>
        <w:t>实施</w:t>
      </w:r>
      <w:r>
        <w:rPr>
          <w:rFonts w:hint="eastAsia" w:ascii="Times New Roman" w:hAnsi="Times New Roman" w:eastAsia="宋体" w:cs="宋体"/>
          <w:color w:val="FF0000"/>
          <w:sz w:val="28"/>
          <w:szCs w:val="28"/>
          <w:u w:val="single"/>
          <w:lang w:val="zh-CN"/>
        </w:rPr>
        <w:t>效果情况；企业</w:t>
      </w:r>
      <w:r>
        <w:rPr>
          <w:rFonts w:hint="eastAsia" w:ascii="Times New Roman" w:hAnsi="Times New Roman" w:eastAsia="宋体" w:cs="宋体"/>
          <w:color w:val="FF0000"/>
          <w:sz w:val="28"/>
          <w:szCs w:val="28"/>
          <w:u w:val="single"/>
          <w:lang w:val="en-US"/>
        </w:rPr>
        <w:t>法人</w:t>
      </w:r>
      <w:r>
        <w:rPr>
          <w:rFonts w:hint="eastAsia" w:ascii="Times New Roman" w:hAnsi="Times New Roman" w:eastAsia="宋体" w:cs="宋体"/>
          <w:color w:val="FF0000"/>
          <w:sz w:val="28"/>
          <w:szCs w:val="28"/>
          <w:u w:val="single"/>
          <w:lang w:val="zh-CN"/>
        </w:rPr>
        <w:t>治理结构的建立、健全和运行情况；</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lang w:val="en-US" w:eastAsia="zh-CN"/>
        </w:rPr>
        <w:t>三重一大</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rPr>
        <w:t>的决策、执行和效果情况</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lang w:val="en-US" w:eastAsia="zh-CN"/>
        </w:rPr>
        <w:t>重大经济项目的投资、建设、运营管理及效益情况；</w:t>
      </w:r>
      <w:r>
        <w:rPr>
          <w:rFonts w:hint="eastAsia" w:ascii="Times New Roman" w:hAnsi="Times New Roman" w:eastAsia="宋体" w:cs="宋体"/>
          <w:color w:val="FF0000"/>
          <w:sz w:val="28"/>
          <w:szCs w:val="28"/>
          <w:u w:val="single"/>
          <w:lang w:val="zh-CN"/>
        </w:rPr>
        <w:t>内</w:t>
      </w:r>
      <w:r>
        <w:rPr>
          <w:rFonts w:hint="eastAsia" w:ascii="Times New Roman" w:hAnsi="Times New Roman" w:eastAsia="宋体" w:cs="宋体"/>
          <w:color w:val="FF0000"/>
          <w:sz w:val="28"/>
          <w:szCs w:val="28"/>
          <w:u w:val="single"/>
          <w:lang w:val="en-US" w:eastAsia="zh-CN"/>
        </w:rPr>
        <w:t>部</w:t>
      </w:r>
      <w:r>
        <w:rPr>
          <w:rFonts w:hint="eastAsia" w:ascii="Times New Roman" w:hAnsi="Times New Roman" w:eastAsia="宋体" w:cs="宋体"/>
          <w:color w:val="FF0000"/>
          <w:sz w:val="28"/>
          <w:szCs w:val="28"/>
          <w:u w:val="single"/>
          <w:lang w:val="zh-CN"/>
        </w:rPr>
        <w:t>控制</w:t>
      </w:r>
      <w:r>
        <w:rPr>
          <w:rFonts w:hint="eastAsia" w:ascii="Times New Roman" w:hAnsi="Times New Roman" w:eastAsia="宋体" w:cs="宋体"/>
          <w:color w:val="FF0000"/>
          <w:sz w:val="28"/>
          <w:szCs w:val="28"/>
          <w:u w:val="single"/>
          <w:lang w:val="en-US" w:eastAsia="zh-CN"/>
        </w:rPr>
        <w:t>和风险管理制</w:t>
      </w:r>
      <w:r>
        <w:rPr>
          <w:rFonts w:hint="eastAsia" w:ascii="Times New Roman" w:hAnsi="Times New Roman" w:eastAsia="宋体" w:cs="宋体"/>
          <w:color w:val="FF0000"/>
          <w:sz w:val="28"/>
          <w:szCs w:val="28"/>
          <w:u w:val="single"/>
          <w:lang w:val="zh-CN"/>
        </w:rPr>
        <w:t>度的制定和</w:t>
      </w:r>
      <w:r>
        <w:rPr>
          <w:rFonts w:hint="eastAsia" w:ascii="Times New Roman" w:hAnsi="Times New Roman" w:eastAsia="宋体" w:cs="宋体"/>
          <w:color w:val="FF0000"/>
          <w:sz w:val="28"/>
          <w:szCs w:val="28"/>
          <w:u w:val="single"/>
          <w:lang w:val="en-US" w:eastAsia="zh-CN"/>
        </w:rPr>
        <w:t>设计合理性，及</w:t>
      </w:r>
      <w:r>
        <w:rPr>
          <w:rFonts w:hint="eastAsia" w:ascii="Times New Roman" w:hAnsi="Times New Roman" w:eastAsia="宋体" w:cs="宋体"/>
          <w:color w:val="FF0000"/>
          <w:sz w:val="28"/>
          <w:szCs w:val="28"/>
          <w:u w:val="single"/>
          <w:lang w:val="zh-CN"/>
        </w:rPr>
        <w:t>执行</w:t>
      </w:r>
      <w:r>
        <w:rPr>
          <w:rFonts w:hint="eastAsia" w:ascii="Times New Roman" w:hAnsi="Times New Roman" w:eastAsia="宋体" w:cs="宋体"/>
          <w:color w:val="FF0000"/>
          <w:sz w:val="28"/>
          <w:szCs w:val="28"/>
          <w:u w:val="single"/>
        </w:rPr>
        <w:t>中决策、审批、运行、评价等环节的规范性、有效性，以及内控信息化建设和内控监督评价情况</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rPr>
        <w:t>企业财务的真实合法效益</w:t>
      </w:r>
      <w:r>
        <w:rPr>
          <w:rFonts w:hint="eastAsia" w:ascii="Times New Roman" w:hAnsi="Times New Roman" w:eastAsia="宋体" w:cs="宋体"/>
          <w:color w:val="FF0000"/>
          <w:sz w:val="28"/>
          <w:szCs w:val="28"/>
          <w:u w:val="single"/>
          <w:lang w:val="en-US" w:eastAsia="zh-CN"/>
        </w:rPr>
        <w:t>情况</w:t>
      </w:r>
      <w:r>
        <w:rPr>
          <w:rFonts w:hint="eastAsia" w:ascii="Times New Roman" w:hAnsi="Times New Roman" w:eastAsia="宋体" w:cs="宋体"/>
          <w:color w:val="FF0000"/>
          <w:sz w:val="28"/>
          <w:szCs w:val="28"/>
          <w:u w:val="single"/>
        </w:rPr>
        <w:t>，关注资产、负债、收入、成本费用等会计指标真实性，会计政策和会计估计变更、合并报表范围调整、差错调整、收入成本确认、减值计提等核算事项</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b w:val="0"/>
          <w:bCs w:val="0"/>
          <w:color w:val="FF0000"/>
          <w:sz w:val="28"/>
          <w:szCs w:val="28"/>
          <w:u w:val="single"/>
          <w:lang w:val="en-US" w:eastAsia="zh-CN"/>
        </w:rPr>
        <w:t>资产的管理及保值增值情况；</w:t>
      </w:r>
      <w:r>
        <w:rPr>
          <w:rFonts w:hint="eastAsia" w:ascii="Times New Roman" w:hAnsi="Times New Roman" w:eastAsia="宋体" w:cs="宋体"/>
          <w:color w:val="FF0000"/>
          <w:sz w:val="28"/>
          <w:szCs w:val="28"/>
          <w:u w:val="single"/>
          <w:lang w:val="zh-CN"/>
        </w:rPr>
        <w:t>在经济活动中落实有关党风廉政建设责任和遵守廉洁从业规定情况；</w:t>
      </w:r>
      <w:r>
        <w:rPr>
          <w:rFonts w:hint="eastAsia" w:ascii="Times New Roman" w:hAnsi="Times New Roman" w:eastAsia="宋体" w:cs="宋体"/>
          <w:color w:val="FF0000"/>
          <w:sz w:val="28"/>
          <w:szCs w:val="28"/>
          <w:u w:val="single"/>
        </w:rPr>
        <w:t>企业经营提质增效措施有效性。重点关注</w:t>
      </w:r>
      <w:r>
        <w:rPr>
          <w:rFonts w:hint="eastAsia" w:ascii="Times New Roman" w:hAnsi="Times New Roman" w:eastAsia="宋体" w:cs="宋体"/>
          <w:color w:val="FF0000"/>
          <w:sz w:val="28"/>
          <w:szCs w:val="28"/>
          <w:u w:val="single"/>
          <w:lang w:val="en-US" w:eastAsia="zh-CN"/>
        </w:rPr>
        <w:t>项目运营效率、</w:t>
      </w:r>
      <w:r>
        <w:rPr>
          <w:rFonts w:hint="eastAsia" w:ascii="Times New Roman" w:hAnsi="Times New Roman" w:eastAsia="宋体" w:cs="宋体"/>
          <w:color w:val="FF0000"/>
          <w:sz w:val="28"/>
          <w:szCs w:val="28"/>
          <w:u w:val="single"/>
        </w:rPr>
        <w:t>成本费用压控、亏损企业专项治理、“两金”压降、“两非”剥离、“两资”清理等进展情况</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rPr>
        <w:t>防范化解重大经营风险</w:t>
      </w:r>
      <w:r>
        <w:rPr>
          <w:rFonts w:hint="eastAsia" w:ascii="Times New Roman" w:hAnsi="Times New Roman" w:eastAsia="宋体" w:cs="宋体"/>
          <w:color w:val="FF0000"/>
          <w:sz w:val="28"/>
          <w:szCs w:val="28"/>
          <w:u w:val="single"/>
          <w:lang w:val="en-US" w:eastAsia="zh-CN"/>
        </w:rPr>
        <w:t>情况</w:t>
      </w:r>
      <w:r>
        <w:rPr>
          <w:rFonts w:hint="eastAsia" w:ascii="Times New Roman" w:hAnsi="Times New Roman" w:eastAsia="宋体" w:cs="宋体"/>
          <w:color w:val="FF0000"/>
          <w:sz w:val="28"/>
          <w:szCs w:val="28"/>
          <w:u w:val="single"/>
        </w:rPr>
        <w:t>。重点关注债务、投资、</w:t>
      </w:r>
      <w:r>
        <w:rPr>
          <w:rFonts w:hint="eastAsia" w:ascii="Times New Roman" w:hAnsi="Times New Roman" w:eastAsia="宋体" w:cs="宋体"/>
          <w:color w:val="FF0000"/>
          <w:sz w:val="28"/>
          <w:szCs w:val="28"/>
          <w:u w:val="single"/>
          <w:lang w:eastAsia="zh-CN"/>
        </w:rPr>
        <w:t>招标采购、</w:t>
      </w:r>
      <w:r>
        <w:rPr>
          <w:rFonts w:hint="eastAsia" w:ascii="Times New Roman" w:hAnsi="Times New Roman" w:eastAsia="宋体" w:cs="宋体"/>
          <w:color w:val="FF0000"/>
          <w:sz w:val="28"/>
          <w:szCs w:val="28"/>
          <w:u w:val="single"/>
        </w:rPr>
        <w:t>资金</w:t>
      </w:r>
      <w:r>
        <w:rPr>
          <w:rFonts w:hint="eastAsia" w:ascii="Times New Roman" w:hAnsi="Times New Roman" w:eastAsia="宋体" w:cs="宋体"/>
          <w:color w:val="FF0000"/>
          <w:sz w:val="28"/>
          <w:szCs w:val="28"/>
          <w:u w:val="single"/>
          <w:lang w:val="en-US" w:eastAsia="zh-CN"/>
        </w:rPr>
        <w:t>使用</w:t>
      </w:r>
      <w:r>
        <w:rPr>
          <w:rFonts w:hint="eastAsia" w:ascii="Times New Roman" w:hAnsi="Times New Roman" w:eastAsia="宋体" w:cs="宋体"/>
          <w:color w:val="FF0000"/>
          <w:sz w:val="28"/>
          <w:szCs w:val="28"/>
          <w:u w:val="single"/>
        </w:rPr>
        <w:t>、金融等领域的风险</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lang w:val="zh-CN"/>
        </w:rPr>
        <w:t>以往审计发现问题的整改情况。</w:t>
      </w:r>
      <w:r>
        <w:rPr>
          <w:rFonts w:hint="eastAsia" w:ascii="Times New Roman" w:hAnsi="Times New Roman" w:eastAsia="宋体" w:cs="宋体"/>
          <w:color w:val="FF0000"/>
          <w:sz w:val="28"/>
          <w:szCs w:val="28"/>
          <w:u w:val="single"/>
        </w:rPr>
        <w:t>重点关注涉及违规经营投资问题的追责问责情况，整改完成效果</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lang w:val="zh-CN"/>
        </w:rPr>
        <w:t>有关目标责任制完成情况；其他需要审计的内容。</w:t>
      </w:r>
    </w:p>
    <w:p>
      <w:pPr>
        <w:spacing w:line="360" w:lineRule="auto"/>
        <w:ind w:firstLine="562" w:firstLineChars="200"/>
        <w:outlineLvl w:val="0"/>
        <w:rPr>
          <w:rFonts w:cs="宋体"/>
          <w:b/>
          <w:sz w:val="28"/>
          <w:szCs w:val="28"/>
        </w:rPr>
      </w:pPr>
      <w:r>
        <w:rPr>
          <w:rFonts w:hint="eastAsia" w:cs="宋体"/>
          <w:b/>
          <w:sz w:val="28"/>
          <w:szCs w:val="28"/>
        </w:rPr>
        <w:t>二、比选申请人资格要求</w:t>
      </w:r>
    </w:p>
    <w:p>
      <w:pPr>
        <w:spacing w:line="360" w:lineRule="auto"/>
        <w:ind w:firstLine="560" w:firstLineChars="200"/>
        <w:rPr>
          <w:rFonts w:hint="eastAsia" w:eastAsia="宋体" w:cs="宋体"/>
          <w:sz w:val="28"/>
          <w:szCs w:val="28"/>
          <w:lang w:val="en-US" w:eastAsia="zh-CN"/>
        </w:rPr>
      </w:pPr>
      <w:r>
        <w:rPr>
          <w:rFonts w:hint="eastAsia" w:cs="宋体"/>
          <w:sz w:val="28"/>
          <w:szCs w:val="28"/>
        </w:rPr>
        <w:t>比选申请人为中华人民共和国境内依法设立的会计师事务所（若以分所名义参与比选申请，须出具总所授权书），</w:t>
      </w:r>
      <w:r>
        <w:rPr>
          <w:rFonts w:hint="eastAsia" w:cs="宋体"/>
          <w:color w:val="FF0000"/>
          <w:sz w:val="28"/>
          <w:szCs w:val="28"/>
          <w:lang w:val="en-US" w:eastAsia="zh-CN"/>
        </w:rPr>
        <w:t>持有合法有效的财政部门颁发的会计师事务所执业证书；有资格承办注册会计师业务，接受委托从事审计、鉴证业务和会计服务业务并出具审计报告</w:t>
      </w:r>
      <w:r>
        <w:rPr>
          <w:rFonts w:hint="eastAsia" w:cs="宋体"/>
          <w:color w:val="FF0000"/>
          <w:sz w:val="28"/>
          <w:szCs w:val="28"/>
          <w:u w:val="none"/>
          <w:lang w:val="en-US" w:eastAsia="zh-CN"/>
        </w:rPr>
        <w:t>；比选申请截止时间前三年内没有违法违规不良记录、没有受到行政处罚或行业处分；在</w:t>
      </w:r>
      <w:r>
        <w:rPr>
          <w:rFonts w:hint="eastAsia" w:cs="宋体"/>
          <w:color w:val="FF0000"/>
          <w:sz w:val="28"/>
          <w:szCs w:val="28"/>
          <w:lang w:val="en-US" w:eastAsia="zh-CN"/>
        </w:rPr>
        <w:t>审计期间内未承担同一企业年度财务决算审计业务。</w:t>
      </w:r>
    </w:p>
    <w:p>
      <w:pPr>
        <w:spacing w:line="360" w:lineRule="auto"/>
        <w:ind w:firstLine="562" w:firstLineChars="200"/>
        <w:outlineLvl w:val="0"/>
        <w:rPr>
          <w:rFonts w:cs="宋体"/>
          <w:b/>
          <w:sz w:val="28"/>
          <w:szCs w:val="28"/>
        </w:rPr>
      </w:pPr>
      <w:r>
        <w:rPr>
          <w:rFonts w:hint="eastAsia" w:cs="宋体"/>
          <w:b/>
          <w:sz w:val="28"/>
          <w:szCs w:val="28"/>
        </w:rPr>
        <w:t>三、比选文件的获取</w:t>
      </w:r>
    </w:p>
    <w:p>
      <w:pPr>
        <w:spacing w:line="360" w:lineRule="auto"/>
        <w:ind w:firstLine="560" w:firstLineChars="200"/>
        <w:rPr>
          <w:rFonts w:cs="宋体"/>
          <w:sz w:val="28"/>
          <w:szCs w:val="28"/>
        </w:rPr>
      </w:pPr>
      <w:r>
        <w:rPr>
          <w:rFonts w:hint="eastAsia" w:cs="宋体"/>
          <w:sz w:val="28"/>
          <w:szCs w:val="28"/>
        </w:rPr>
        <w:t>本项目不发放纸质文件，比选申请人自行在南宁轨道交通集团有限责任公司官网(</w:t>
      </w:r>
      <w:r>
        <w:rPr>
          <w:rFonts w:cs="宋体"/>
          <w:sz w:val="28"/>
          <w:szCs w:val="28"/>
        </w:rPr>
        <w:t>http://www.nngdjt.com/</w:t>
      </w:r>
      <w:r>
        <w:rPr>
          <w:rFonts w:hint="eastAsia" w:cs="宋体"/>
          <w:sz w:val="28"/>
          <w:szCs w:val="28"/>
        </w:rPr>
        <w:t>)的招标招商中的招标公告处下载比选文件（见本公告附件）。</w:t>
      </w:r>
    </w:p>
    <w:p>
      <w:pPr>
        <w:spacing w:line="360" w:lineRule="auto"/>
        <w:ind w:firstLine="562" w:firstLineChars="200"/>
        <w:outlineLvl w:val="0"/>
        <w:rPr>
          <w:rFonts w:cs="宋体"/>
          <w:b/>
          <w:sz w:val="28"/>
          <w:szCs w:val="28"/>
        </w:rPr>
      </w:pPr>
      <w:r>
        <w:rPr>
          <w:rFonts w:hint="eastAsia" w:cs="宋体"/>
          <w:b/>
          <w:sz w:val="28"/>
          <w:szCs w:val="28"/>
        </w:rPr>
        <w:t>四、比选时间、地点</w:t>
      </w:r>
    </w:p>
    <w:p>
      <w:pPr>
        <w:spacing w:line="360" w:lineRule="auto"/>
        <w:ind w:firstLine="560" w:firstLineChars="200"/>
        <w:rPr>
          <w:rFonts w:hint="default" w:eastAsia="宋体" w:cs="宋体"/>
          <w:color w:val="FF0000"/>
          <w:sz w:val="28"/>
          <w:szCs w:val="28"/>
          <w:lang w:val="en-US" w:eastAsia="zh-CN"/>
        </w:rPr>
      </w:pPr>
      <w:r>
        <w:rPr>
          <w:rFonts w:hint="eastAsia" w:cs="宋体"/>
          <w:sz w:val="28"/>
          <w:szCs w:val="28"/>
        </w:rPr>
        <w:t>1.时间：</w:t>
      </w:r>
      <w:r>
        <w:rPr>
          <w:rFonts w:hint="eastAsia" w:cs="宋体"/>
          <w:color w:val="FF0000"/>
          <w:sz w:val="28"/>
          <w:szCs w:val="28"/>
          <w:lang w:val="en-US" w:eastAsia="zh-CN"/>
        </w:rPr>
        <w:t>2023</w:t>
      </w:r>
      <w:r>
        <w:rPr>
          <w:rFonts w:hint="eastAsia" w:cs="宋体"/>
          <w:color w:val="FF0000"/>
          <w:sz w:val="28"/>
          <w:szCs w:val="28"/>
        </w:rPr>
        <w:t>年</w:t>
      </w:r>
      <w:r>
        <w:rPr>
          <w:rFonts w:hint="eastAsia" w:cs="宋体"/>
          <w:color w:val="FF0000"/>
          <w:sz w:val="28"/>
          <w:szCs w:val="28"/>
          <w:lang w:val="en-US" w:eastAsia="zh-CN"/>
        </w:rPr>
        <w:t>3</w:t>
      </w:r>
      <w:r>
        <w:rPr>
          <w:rFonts w:hint="eastAsia" w:cs="宋体"/>
          <w:color w:val="FF0000"/>
          <w:sz w:val="28"/>
          <w:szCs w:val="28"/>
        </w:rPr>
        <w:t>月</w:t>
      </w:r>
      <w:r>
        <w:rPr>
          <w:rFonts w:hint="eastAsia" w:cs="宋体"/>
          <w:color w:val="FF0000"/>
          <w:sz w:val="28"/>
          <w:szCs w:val="28"/>
          <w:lang w:val="en-US" w:eastAsia="zh-CN"/>
        </w:rPr>
        <w:t>28</w:t>
      </w:r>
      <w:r>
        <w:rPr>
          <w:rFonts w:hint="eastAsia" w:cs="宋体"/>
          <w:color w:val="FF0000"/>
          <w:sz w:val="28"/>
          <w:szCs w:val="28"/>
        </w:rPr>
        <w:t>日</w:t>
      </w:r>
      <w:r>
        <w:rPr>
          <w:rFonts w:hint="eastAsia" w:cs="宋体"/>
          <w:color w:val="FF0000"/>
          <w:sz w:val="28"/>
          <w:szCs w:val="28"/>
          <w:lang w:val="en-US" w:eastAsia="zh-CN"/>
        </w:rPr>
        <w:t>上</w:t>
      </w:r>
      <w:r>
        <w:rPr>
          <w:rFonts w:hint="eastAsia" w:cs="宋体"/>
          <w:color w:val="FF0000"/>
          <w:sz w:val="28"/>
          <w:szCs w:val="28"/>
        </w:rPr>
        <w:t>午</w:t>
      </w:r>
      <w:r>
        <w:rPr>
          <w:rFonts w:hint="eastAsia" w:cs="宋体"/>
          <w:color w:val="FF0000"/>
          <w:sz w:val="28"/>
          <w:szCs w:val="28"/>
          <w:lang w:val="en-US" w:eastAsia="zh-CN"/>
        </w:rPr>
        <w:t>09</w:t>
      </w:r>
      <w:r>
        <w:rPr>
          <w:rFonts w:hint="eastAsia" w:cs="宋体"/>
          <w:color w:val="FF0000"/>
          <w:sz w:val="28"/>
          <w:szCs w:val="28"/>
        </w:rPr>
        <w:t>:</w:t>
      </w:r>
      <w:r>
        <w:rPr>
          <w:rFonts w:hint="eastAsia" w:cs="宋体"/>
          <w:color w:val="FF0000"/>
          <w:sz w:val="28"/>
          <w:szCs w:val="28"/>
          <w:lang w:val="en-US" w:eastAsia="zh-CN"/>
        </w:rPr>
        <w:t>00</w:t>
      </w:r>
    </w:p>
    <w:p>
      <w:pPr>
        <w:spacing w:line="360" w:lineRule="auto"/>
        <w:ind w:firstLine="560" w:firstLineChars="200"/>
        <w:rPr>
          <w:rFonts w:cs="宋体"/>
          <w:color w:val="FF0000"/>
          <w:sz w:val="28"/>
          <w:szCs w:val="28"/>
        </w:rPr>
      </w:pPr>
      <w:r>
        <w:rPr>
          <w:rFonts w:hint="eastAsia" w:cs="宋体"/>
          <w:sz w:val="28"/>
          <w:szCs w:val="28"/>
        </w:rPr>
        <w:t>2.地点</w:t>
      </w:r>
      <w:r>
        <w:rPr>
          <w:rFonts w:hint="eastAsia" w:cs="宋体"/>
          <w:color w:val="FF0000"/>
          <w:sz w:val="28"/>
          <w:szCs w:val="28"/>
        </w:rPr>
        <w:t>：</w:t>
      </w:r>
      <w:r>
        <w:rPr>
          <w:rFonts w:hint="eastAsia" w:cs="宋体"/>
          <w:color w:val="FF0000"/>
          <w:sz w:val="28"/>
          <w:szCs w:val="28"/>
          <w:u w:val="single"/>
        </w:rPr>
        <w:t xml:space="preserve"> 南宁轨道交通集团A2楼104会议室 </w:t>
      </w:r>
    </w:p>
    <w:p>
      <w:pPr>
        <w:spacing w:line="360" w:lineRule="auto"/>
        <w:ind w:firstLine="562" w:firstLineChars="200"/>
        <w:outlineLvl w:val="0"/>
        <w:rPr>
          <w:rFonts w:cs="宋体"/>
          <w:b/>
          <w:sz w:val="28"/>
          <w:szCs w:val="28"/>
        </w:rPr>
      </w:pPr>
      <w:r>
        <w:rPr>
          <w:rFonts w:hint="eastAsia" w:cs="宋体"/>
          <w:b/>
          <w:sz w:val="28"/>
          <w:szCs w:val="28"/>
        </w:rPr>
        <w:t>五、比选人联系方式</w:t>
      </w:r>
    </w:p>
    <w:p>
      <w:pPr>
        <w:spacing w:line="360" w:lineRule="auto"/>
        <w:ind w:firstLine="560" w:firstLineChars="200"/>
        <w:rPr>
          <w:rFonts w:cs="宋体"/>
          <w:sz w:val="28"/>
          <w:szCs w:val="28"/>
        </w:rPr>
      </w:pPr>
      <w:r>
        <w:rPr>
          <w:rFonts w:hint="eastAsia" w:cs="宋体"/>
          <w:sz w:val="28"/>
          <w:szCs w:val="28"/>
        </w:rPr>
        <w:t>联系地址：南宁市云景路69号</w:t>
      </w:r>
    </w:p>
    <w:p>
      <w:pPr>
        <w:spacing w:line="360" w:lineRule="auto"/>
        <w:ind w:firstLine="560" w:firstLineChars="200"/>
        <w:rPr>
          <w:rFonts w:cs="宋体"/>
          <w:sz w:val="28"/>
          <w:szCs w:val="28"/>
        </w:rPr>
      </w:pPr>
      <w:r>
        <w:rPr>
          <w:rFonts w:hint="eastAsia" w:cs="宋体"/>
          <w:sz w:val="28"/>
          <w:szCs w:val="28"/>
        </w:rPr>
        <w:t>联系人：</w:t>
      </w:r>
      <w:r>
        <w:rPr>
          <w:rFonts w:hint="eastAsia" w:cs="宋体"/>
          <w:sz w:val="28"/>
          <w:szCs w:val="28"/>
          <w:u w:val="single"/>
        </w:rPr>
        <w:t xml:space="preserve"> </w:t>
      </w:r>
      <w:r>
        <w:rPr>
          <w:rFonts w:hint="eastAsia" w:cs="宋体"/>
          <w:sz w:val="28"/>
          <w:szCs w:val="28"/>
          <w:u w:val="single"/>
          <w:lang w:val="en-US" w:eastAsia="zh-CN"/>
        </w:rPr>
        <w:t>审计部覃工</w:t>
      </w:r>
      <w:r>
        <w:rPr>
          <w:rFonts w:hint="eastAsia" w:cs="宋体"/>
          <w:sz w:val="28"/>
          <w:szCs w:val="28"/>
          <w:u w:val="single"/>
        </w:rPr>
        <w:t xml:space="preserve"> </w:t>
      </w:r>
      <w:r>
        <w:rPr>
          <w:rFonts w:hint="eastAsia" w:cs="宋体"/>
          <w:sz w:val="28"/>
          <w:szCs w:val="28"/>
        </w:rPr>
        <w:t>；电话：</w:t>
      </w:r>
      <w:r>
        <w:rPr>
          <w:rFonts w:hint="eastAsia" w:cs="宋体"/>
          <w:sz w:val="28"/>
          <w:szCs w:val="28"/>
          <w:u w:val="single"/>
        </w:rPr>
        <w:t xml:space="preserve"> </w:t>
      </w:r>
      <w:r>
        <w:rPr>
          <w:rFonts w:hint="eastAsia" w:cs="宋体"/>
          <w:sz w:val="28"/>
          <w:szCs w:val="28"/>
          <w:u w:val="single"/>
          <w:lang w:val="en-US" w:eastAsia="zh-CN"/>
        </w:rPr>
        <w:t xml:space="preserve">2778524 </w:t>
      </w:r>
      <w:r>
        <w:rPr>
          <w:rFonts w:hint="eastAsia" w:cs="宋体"/>
          <w:sz w:val="28"/>
          <w:szCs w:val="28"/>
          <w:u w:val="none"/>
          <w:lang w:val="en-US" w:eastAsia="zh-CN"/>
        </w:rPr>
        <w:t xml:space="preserve"> </w:t>
      </w:r>
      <w:r>
        <w:rPr>
          <w:rFonts w:hint="eastAsia" w:cs="宋体"/>
          <w:sz w:val="28"/>
          <w:szCs w:val="28"/>
          <w:u w:val="single"/>
        </w:rPr>
        <w:t xml:space="preserve">邮箱：nngdsjb902@163.com </w:t>
      </w:r>
    </w:p>
    <w:p>
      <w:pPr>
        <w:spacing w:line="360" w:lineRule="auto"/>
        <w:ind w:firstLine="560" w:firstLineChars="200"/>
        <w:rPr>
          <w:rFonts w:hint="eastAsia" w:cs="宋体"/>
          <w:b/>
          <w:sz w:val="28"/>
          <w:szCs w:val="28"/>
          <w:u w:val="single"/>
        </w:rPr>
      </w:pPr>
      <w:r>
        <w:rPr>
          <w:rFonts w:hint="eastAsia" w:cs="宋体"/>
          <w:b w:val="0"/>
          <w:bCs/>
          <w:sz w:val="28"/>
          <w:szCs w:val="28"/>
          <w:u w:val="none"/>
        </w:rPr>
        <w:t>纪检监察电话：</w:t>
      </w:r>
      <w:r>
        <w:rPr>
          <w:rFonts w:hint="eastAsia" w:cs="宋体"/>
          <w:b w:val="0"/>
          <w:bCs/>
          <w:sz w:val="28"/>
          <w:szCs w:val="28"/>
          <w:u w:val="single"/>
        </w:rPr>
        <w:t>0771-2338659</w:t>
      </w:r>
    </w:p>
    <w:p>
      <w:pPr>
        <w:spacing w:line="360" w:lineRule="auto"/>
        <w:ind w:firstLine="562" w:firstLineChars="200"/>
        <w:rPr>
          <w:rFonts w:cs="宋体"/>
          <w:sz w:val="28"/>
          <w:szCs w:val="28"/>
        </w:rPr>
      </w:pPr>
      <w:r>
        <w:rPr>
          <w:rFonts w:hint="eastAsia" w:cs="宋体"/>
          <w:b/>
          <w:sz w:val="28"/>
          <w:szCs w:val="28"/>
        </w:rPr>
        <w:t>附件</w:t>
      </w:r>
      <w:r>
        <w:rPr>
          <w:rFonts w:hint="eastAsia" w:cs="宋体"/>
          <w:sz w:val="28"/>
          <w:szCs w:val="28"/>
        </w:rPr>
        <w:t>：</w:t>
      </w:r>
      <w:r>
        <w:rPr>
          <w:rFonts w:hint="eastAsia" w:cs="宋体"/>
          <w:bCs/>
          <w:sz w:val="28"/>
          <w:szCs w:val="28"/>
          <w:lang w:eastAsia="zh-CN"/>
        </w:rPr>
        <w:t>南宁公共交通集团有限公司法定代表人任中和原总经理离任（2017年5月至2022年12月）经济责任审计</w:t>
      </w:r>
      <w:r>
        <w:rPr>
          <w:rFonts w:hint="eastAsia" w:cs="宋体"/>
          <w:bCs/>
          <w:sz w:val="28"/>
          <w:szCs w:val="28"/>
        </w:rPr>
        <w:t>项目比选文件</w:t>
      </w:r>
    </w:p>
    <w:p>
      <w:pPr>
        <w:spacing w:after="120"/>
        <w:jc w:val="center"/>
        <w:rPr>
          <w:rFonts w:ascii="黑体" w:eastAsia="黑体"/>
          <w:sz w:val="44"/>
          <w:szCs w:val="48"/>
        </w:rPr>
      </w:pPr>
    </w:p>
    <w:p>
      <w:pPr>
        <w:spacing w:after="120"/>
        <w:jc w:val="center"/>
        <w:rPr>
          <w:rFonts w:ascii="黑体" w:eastAsia="黑体"/>
          <w:sz w:val="44"/>
          <w:szCs w:val="48"/>
        </w:rPr>
        <w:sectPr>
          <w:headerReference r:id="rId3" w:type="default"/>
          <w:footerReference r:id="rId4" w:type="default"/>
          <w:pgSz w:w="11906" w:h="16838"/>
          <w:pgMar w:top="1440" w:right="1247" w:bottom="1440" w:left="1440" w:header="851" w:footer="992" w:gutter="0"/>
          <w:pgNumType w:start="1"/>
          <w:cols w:space="720" w:num="1"/>
          <w:docGrid w:type="lines" w:linePitch="312" w:charSpace="0"/>
        </w:sectPr>
      </w:pPr>
    </w:p>
    <w:p>
      <w:pPr>
        <w:spacing w:after="120"/>
        <w:jc w:val="center"/>
        <w:rPr>
          <w:rFonts w:ascii="黑体" w:eastAsia="黑体"/>
          <w:sz w:val="44"/>
          <w:szCs w:val="48"/>
        </w:rPr>
      </w:pPr>
    </w:p>
    <w:p>
      <w:pPr>
        <w:spacing w:after="120"/>
        <w:jc w:val="center"/>
        <w:rPr>
          <w:rFonts w:hint="eastAsia" w:ascii="黑体" w:hAnsi="Times New Roman" w:eastAsia="黑体" w:cs="Times New Roman"/>
          <w:b w:val="0"/>
          <w:bCs w:val="0"/>
          <w:spacing w:val="0"/>
          <w:kern w:val="2"/>
          <w:sz w:val="44"/>
          <w:szCs w:val="48"/>
          <w:u w:val="none"/>
          <w:lang w:eastAsia="zh-CN"/>
        </w:rPr>
      </w:pPr>
      <w:r>
        <w:rPr>
          <w:rFonts w:hint="eastAsia" w:ascii="黑体" w:hAnsi="Times New Roman" w:eastAsia="黑体" w:cs="Times New Roman"/>
          <w:b w:val="0"/>
          <w:bCs w:val="0"/>
          <w:spacing w:val="0"/>
          <w:kern w:val="2"/>
          <w:sz w:val="44"/>
          <w:szCs w:val="48"/>
          <w:u w:val="none"/>
          <w:lang w:eastAsia="zh-CN"/>
        </w:rPr>
        <w:t>南宁公共交通集团有限公司法定代表人任中和</w:t>
      </w:r>
    </w:p>
    <w:p>
      <w:pPr>
        <w:spacing w:after="120"/>
        <w:jc w:val="center"/>
        <w:rPr>
          <w:rFonts w:hint="eastAsia" w:ascii="黑体" w:hAnsi="Times New Roman" w:eastAsia="黑体" w:cs="Times New Roman"/>
          <w:b w:val="0"/>
          <w:bCs w:val="0"/>
          <w:spacing w:val="-23"/>
          <w:kern w:val="2"/>
          <w:sz w:val="44"/>
          <w:szCs w:val="48"/>
          <w:u w:val="none"/>
          <w:lang w:eastAsia="zh-CN"/>
        </w:rPr>
      </w:pPr>
      <w:r>
        <w:rPr>
          <w:rFonts w:hint="eastAsia" w:ascii="黑体" w:hAnsi="Times New Roman" w:eastAsia="黑体" w:cs="Times New Roman"/>
          <w:b w:val="0"/>
          <w:bCs w:val="0"/>
          <w:spacing w:val="-23"/>
          <w:kern w:val="2"/>
          <w:sz w:val="44"/>
          <w:szCs w:val="48"/>
          <w:u w:val="none"/>
          <w:lang w:eastAsia="zh-CN"/>
        </w:rPr>
        <w:t>原总经理离任（2017年5月至2022年12月）</w:t>
      </w:r>
    </w:p>
    <w:p>
      <w:pPr>
        <w:spacing w:after="120"/>
        <w:jc w:val="center"/>
        <w:rPr>
          <w:rFonts w:eastAsia="黑体"/>
          <w:b/>
          <w:bCs/>
          <w:spacing w:val="-20"/>
          <w:sz w:val="28"/>
          <w:szCs w:val="28"/>
        </w:rPr>
      </w:pPr>
      <w:r>
        <w:rPr>
          <w:rFonts w:hint="eastAsia" w:ascii="黑体" w:hAnsi="Times New Roman" w:eastAsia="黑体" w:cs="Times New Roman"/>
          <w:b w:val="0"/>
          <w:bCs w:val="0"/>
          <w:spacing w:val="-20"/>
          <w:kern w:val="2"/>
          <w:sz w:val="44"/>
          <w:szCs w:val="48"/>
          <w:u w:val="none"/>
          <w:lang w:eastAsia="zh-CN"/>
        </w:rPr>
        <w:t>经济责任审计</w:t>
      </w:r>
      <w:r>
        <w:rPr>
          <w:rFonts w:hint="eastAsia" w:ascii="黑体" w:eastAsia="黑体"/>
          <w:spacing w:val="-20"/>
          <w:sz w:val="44"/>
          <w:szCs w:val="48"/>
        </w:rPr>
        <w:t>项目</w:t>
      </w: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比</w:t>
      </w:r>
    </w:p>
    <w:p>
      <w:pPr>
        <w:spacing w:line="480" w:lineRule="auto"/>
        <w:rPr>
          <w:rFonts w:eastAsia="黑体"/>
          <w:b/>
          <w:bCs/>
          <w:sz w:val="44"/>
          <w:szCs w:val="44"/>
        </w:rPr>
      </w:pP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选</w:t>
      </w:r>
    </w:p>
    <w:p>
      <w:pPr>
        <w:spacing w:line="480" w:lineRule="auto"/>
        <w:jc w:val="center"/>
        <w:rPr>
          <w:rFonts w:eastAsia="黑体"/>
          <w:b/>
          <w:bCs/>
          <w:sz w:val="44"/>
          <w:szCs w:val="44"/>
        </w:rPr>
      </w:pP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文</w:t>
      </w:r>
    </w:p>
    <w:p>
      <w:pPr>
        <w:jc w:val="center"/>
        <w:rPr>
          <w:rFonts w:eastAsia="黑体"/>
          <w:b/>
          <w:bCs/>
          <w:sz w:val="44"/>
          <w:szCs w:val="44"/>
        </w:rPr>
      </w:pPr>
    </w:p>
    <w:p>
      <w:pPr>
        <w:jc w:val="center"/>
        <w:rPr>
          <w:rFonts w:eastAsia="黑体"/>
          <w:b/>
          <w:bCs/>
          <w:sz w:val="44"/>
          <w:szCs w:val="44"/>
        </w:rPr>
      </w:pPr>
    </w:p>
    <w:p>
      <w:pPr>
        <w:jc w:val="center"/>
        <w:rPr>
          <w:rFonts w:eastAsia="黑体"/>
          <w:b/>
          <w:bCs/>
          <w:sz w:val="44"/>
          <w:szCs w:val="44"/>
        </w:rPr>
      </w:pPr>
      <w:r>
        <w:rPr>
          <w:rFonts w:hint="eastAsia" w:eastAsia="黑体"/>
          <w:b/>
          <w:bCs/>
          <w:sz w:val="44"/>
          <w:szCs w:val="44"/>
        </w:rPr>
        <w:t>件</w:t>
      </w:r>
    </w:p>
    <w:p>
      <w:pPr>
        <w:spacing w:line="360" w:lineRule="auto"/>
        <w:rPr>
          <w:b/>
          <w:bCs/>
          <w:sz w:val="36"/>
          <w:szCs w:val="36"/>
        </w:rPr>
      </w:pPr>
    </w:p>
    <w:p>
      <w:pPr>
        <w:spacing w:line="360" w:lineRule="auto"/>
        <w:rPr>
          <w:b/>
          <w:bCs/>
          <w:sz w:val="36"/>
          <w:szCs w:val="36"/>
        </w:rPr>
      </w:pPr>
    </w:p>
    <w:p>
      <w:pPr>
        <w:spacing w:line="360" w:lineRule="auto"/>
        <w:ind w:firstLine="1800" w:firstLineChars="498"/>
        <w:rPr>
          <w:b/>
          <w:bCs/>
          <w:sz w:val="36"/>
          <w:szCs w:val="36"/>
        </w:rPr>
      </w:pPr>
    </w:p>
    <w:p>
      <w:pPr>
        <w:spacing w:line="360" w:lineRule="auto"/>
        <w:rPr>
          <w:b/>
          <w:bCs/>
          <w:sz w:val="32"/>
          <w:szCs w:val="32"/>
        </w:rPr>
      </w:pPr>
      <w:r>
        <w:rPr>
          <w:rFonts w:hint="eastAsia"/>
          <w:b/>
          <w:bCs/>
          <w:sz w:val="32"/>
          <w:szCs w:val="32"/>
        </w:rPr>
        <w:t>比选发起人：南宁轨道交通集团有限责任公司</w:t>
      </w:r>
    </w:p>
    <w:p>
      <w:pPr>
        <w:ind w:firstLine="2551" w:firstLineChars="794"/>
        <w:jc w:val="left"/>
        <w:rPr>
          <w:rFonts w:ascii="宋体" w:hAnsi="宋体" w:cs="宋体"/>
          <w:b/>
          <w:color w:val="FF0000"/>
          <w:sz w:val="32"/>
          <w:szCs w:val="32"/>
        </w:rPr>
        <w:sectPr>
          <w:pgSz w:w="11906" w:h="16838"/>
          <w:pgMar w:top="1440" w:right="1247" w:bottom="1440" w:left="1440" w:header="851" w:footer="992" w:gutter="0"/>
          <w:pgNumType w:start="1"/>
          <w:cols w:space="720" w:num="1"/>
          <w:docGrid w:type="lines" w:linePitch="312" w:charSpace="0"/>
        </w:sectPr>
      </w:pPr>
      <w:bookmarkStart w:id="0" w:name="_Toc25905"/>
      <w:bookmarkStart w:id="1" w:name="_Toc9980"/>
      <w:bookmarkStart w:id="2" w:name="_Toc461525293"/>
      <w:bookmarkStart w:id="3" w:name="_Toc4954"/>
      <w:bookmarkStart w:id="4" w:name="_Toc27692"/>
      <w:bookmarkStart w:id="5" w:name="_Toc32122"/>
      <w:bookmarkStart w:id="6" w:name="_Toc23188"/>
      <w:bookmarkStart w:id="7" w:name="_Toc14943"/>
      <w:bookmarkStart w:id="8" w:name="_Toc18159"/>
      <w:bookmarkStart w:id="9" w:name="_Toc471482358"/>
      <w:bookmarkStart w:id="10" w:name="_Toc21106"/>
      <w:bookmarkStart w:id="11" w:name="_Toc12363"/>
      <w:r>
        <w:rPr>
          <w:rFonts w:hint="eastAsia"/>
          <w:b/>
          <w:bCs/>
          <w:color w:val="FF0000"/>
          <w:sz w:val="32"/>
          <w:szCs w:val="32"/>
          <w:lang w:val="en-US" w:eastAsia="zh-CN"/>
        </w:rPr>
        <w:t>2023</w:t>
      </w:r>
      <w:r>
        <w:rPr>
          <w:rFonts w:hint="eastAsia"/>
          <w:b/>
          <w:bCs/>
          <w:color w:val="FF0000"/>
          <w:sz w:val="32"/>
          <w:szCs w:val="32"/>
        </w:rPr>
        <w:t xml:space="preserve">年  </w:t>
      </w:r>
      <w:r>
        <w:rPr>
          <w:rFonts w:hint="eastAsia"/>
          <w:b/>
          <w:bCs/>
          <w:color w:val="FF0000"/>
          <w:sz w:val="32"/>
          <w:szCs w:val="32"/>
          <w:lang w:val="en-US" w:eastAsia="zh-CN"/>
        </w:rPr>
        <w:t>3</w:t>
      </w:r>
      <w:r>
        <w:rPr>
          <w:rFonts w:hint="eastAsia"/>
          <w:b/>
          <w:bCs/>
          <w:color w:val="FF0000"/>
          <w:sz w:val="32"/>
          <w:szCs w:val="32"/>
        </w:rPr>
        <w:t xml:space="preserve">  月  </w:t>
      </w:r>
      <w:r>
        <w:rPr>
          <w:rFonts w:hint="eastAsia"/>
          <w:b/>
          <w:bCs/>
          <w:color w:val="FF0000"/>
          <w:sz w:val="32"/>
          <w:szCs w:val="32"/>
          <w:lang w:val="en-US" w:eastAsia="zh-CN"/>
        </w:rPr>
        <w:t>20</w:t>
      </w:r>
      <w:r>
        <w:rPr>
          <w:rFonts w:hint="eastAsia"/>
          <w:b/>
          <w:bCs/>
          <w:color w:val="FF0000"/>
          <w:sz w:val="32"/>
          <w:szCs w:val="32"/>
        </w:rPr>
        <w:t xml:space="preserve">  </w:t>
      </w:r>
      <w:r>
        <w:rPr>
          <w:rFonts w:hint="eastAsia" w:ascii="宋体" w:hAnsi="宋体" w:cs="宋体"/>
          <w:b/>
          <w:color w:val="FF0000"/>
          <w:sz w:val="32"/>
          <w:szCs w:val="32"/>
        </w:rPr>
        <w:t>日</w:t>
      </w:r>
    </w:p>
    <w:p>
      <w:pPr>
        <w:pStyle w:val="3"/>
        <w:tabs>
          <w:tab w:val="right" w:leader="dot" w:pos="9219"/>
        </w:tabs>
        <w:rPr>
          <w:b w:val="0"/>
        </w:rPr>
      </w:pPr>
      <w:r>
        <w:rPr>
          <w:rFonts w:hint="eastAsia"/>
          <w:b w:val="0"/>
        </w:rPr>
        <w:t>目录</w:t>
      </w:r>
      <w:bookmarkEnd w:id="0"/>
      <w:bookmarkEnd w:id="1"/>
      <w:bookmarkEnd w:id="2"/>
      <w:bookmarkEnd w:id="3"/>
      <w:bookmarkEnd w:id="4"/>
      <w:bookmarkEnd w:id="5"/>
      <w:bookmarkEnd w:id="6"/>
      <w:bookmarkEnd w:id="7"/>
      <w:bookmarkEnd w:id="8"/>
      <w:bookmarkEnd w:id="9"/>
      <w:bookmarkEnd w:id="10"/>
      <w:bookmarkEnd w:id="11"/>
    </w:p>
    <w:p>
      <w:pPr>
        <w:pStyle w:val="18"/>
        <w:tabs>
          <w:tab w:val="right" w:leader="dot" w:pos="9209"/>
        </w:tabs>
        <w:rPr>
          <w:rFonts w:asciiTheme="minorHAnsi" w:hAnsiTheme="minorHAnsi" w:eastAsiaTheme="minorEastAsia" w:cstheme="minorBidi"/>
          <w:szCs w:val="22"/>
        </w:rPr>
      </w:pPr>
      <w:r>
        <w:rPr>
          <w:rFonts w:ascii="宋体" w:hAnsi="宋体" w:cs="宋体"/>
          <w:szCs w:val="28"/>
        </w:rPr>
        <w:fldChar w:fldCharType="begin"/>
      </w:r>
      <w:r>
        <w:rPr>
          <w:rFonts w:ascii="宋体" w:hAnsi="宋体" w:cs="宋体"/>
          <w:szCs w:val="28"/>
        </w:rPr>
        <w:instrText xml:space="preserve"> TOC \o "1-2" \h \z \u </w:instrText>
      </w:r>
      <w:r>
        <w:rPr>
          <w:rFonts w:ascii="宋体" w:hAnsi="宋体" w:cs="宋体"/>
          <w:szCs w:val="28"/>
        </w:rPr>
        <w:fldChar w:fldCharType="separate"/>
      </w:r>
      <w:r>
        <w:fldChar w:fldCharType="begin"/>
      </w:r>
      <w:r>
        <w:instrText xml:space="preserve"> HYPERLINK \l "_Toc471482358" </w:instrText>
      </w:r>
      <w:r>
        <w:fldChar w:fldCharType="separate"/>
      </w:r>
      <w:r>
        <w:rPr>
          <w:rStyle w:val="28"/>
          <w:rFonts w:hint="eastAsia"/>
          <w:color w:val="auto"/>
        </w:rPr>
        <w:t>目录</w:t>
      </w:r>
      <w:r>
        <w:tab/>
      </w:r>
      <w:r>
        <w:fldChar w:fldCharType="begin"/>
      </w:r>
      <w:r>
        <w:instrText xml:space="preserve"> PAGEREF _Toc471482358 \h </w:instrText>
      </w:r>
      <w:r>
        <w:fldChar w:fldCharType="separate"/>
      </w:r>
      <w:r>
        <w:t>1</w:t>
      </w:r>
      <w:r>
        <w:fldChar w:fldCharType="end"/>
      </w:r>
      <w:r>
        <w:fldChar w:fldCharType="end"/>
      </w:r>
    </w:p>
    <w:p>
      <w:pPr>
        <w:pStyle w:val="18"/>
        <w:tabs>
          <w:tab w:val="right" w:leader="dot" w:pos="9209"/>
        </w:tabs>
        <w:rPr>
          <w:rFonts w:asciiTheme="minorHAnsi" w:hAnsiTheme="minorHAnsi" w:eastAsiaTheme="minorEastAsia" w:cstheme="minorBidi"/>
          <w:szCs w:val="22"/>
        </w:rPr>
      </w:pPr>
      <w:r>
        <w:fldChar w:fldCharType="begin"/>
      </w:r>
      <w:r>
        <w:instrText xml:space="preserve"> HYPERLINK \l "_Toc471482359" </w:instrText>
      </w:r>
      <w:r>
        <w:fldChar w:fldCharType="separate"/>
      </w:r>
      <w:r>
        <w:rPr>
          <w:rStyle w:val="28"/>
          <w:rFonts w:hint="eastAsia" w:ascii="宋体" w:hAnsi="宋体" w:cs="宋体"/>
          <w:color w:val="auto"/>
        </w:rPr>
        <w:t>第一章</w:t>
      </w:r>
      <w:r>
        <w:rPr>
          <w:rStyle w:val="28"/>
          <w:rFonts w:hint="eastAsia" w:ascii="宋体" w:hAnsi="宋体" w:cs="宋体"/>
          <w:color w:val="auto"/>
          <w:lang w:val="en-US" w:eastAsia="zh-CN"/>
        </w:rPr>
        <w:t xml:space="preserve"> </w:t>
      </w:r>
      <w:r>
        <w:rPr>
          <w:rStyle w:val="28"/>
          <w:rFonts w:hint="eastAsia" w:ascii="宋体" w:hAnsi="宋体" w:cs="宋体"/>
          <w:color w:val="auto"/>
        </w:rPr>
        <w:t>比选须知</w:t>
      </w:r>
      <w:r>
        <w:tab/>
      </w:r>
      <w:r>
        <w:fldChar w:fldCharType="begin"/>
      </w:r>
      <w:r>
        <w:instrText xml:space="preserve"> PAGEREF _Toc471482359 \h </w:instrText>
      </w:r>
      <w:r>
        <w:fldChar w:fldCharType="separate"/>
      </w:r>
      <w:r>
        <w:t>2</w:t>
      </w:r>
      <w:r>
        <w:fldChar w:fldCharType="end"/>
      </w:r>
      <w:r>
        <w:fldChar w:fldCharType="end"/>
      </w:r>
    </w:p>
    <w:p>
      <w:pPr>
        <w:pStyle w:val="22"/>
        <w:tabs>
          <w:tab w:val="right" w:leader="dot" w:pos="9209"/>
        </w:tabs>
        <w:rPr>
          <w:rFonts w:asciiTheme="minorHAnsi" w:hAnsiTheme="minorHAnsi" w:eastAsiaTheme="minorEastAsia" w:cstheme="minorBidi"/>
          <w:szCs w:val="22"/>
        </w:rPr>
      </w:pPr>
      <w:r>
        <w:fldChar w:fldCharType="begin"/>
      </w:r>
      <w:r>
        <w:instrText xml:space="preserve"> HYPERLINK \l "_Toc471482360" </w:instrText>
      </w:r>
      <w:r>
        <w:fldChar w:fldCharType="separate"/>
      </w:r>
      <w:r>
        <w:rPr>
          <w:rStyle w:val="28"/>
          <w:rFonts w:hint="eastAsia"/>
          <w:color w:val="auto"/>
        </w:rPr>
        <w:t>前附表</w:t>
      </w:r>
      <w:r>
        <w:tab/>
      </w:r>
      <w:r>
        <w:fldChar w:fldCharType="begin"/>
      </w:r>
      <w:r>
        <w:instrText xml:space="preserve"> PAGEREF _Toc471482360 \h </w:instrText>
      </w:r>
      <w:r>
        <w:fldChar w:fldCharType="separate"/>
      </w:r>
      <w:r>
        <w:t>2</w:t>
      </w:r>
      <w:r>
        <w:fldChar w:fldCharType="end"/>
      </w:r>
      <w:r>
        <w:fldChar w:fldCharType="end"/>
      </w:r>
    </w:p>
    <w:p>
      <w:pPr>
        <w:pStyle w:val="22"/>
        <w:tabs>
          <w:tab w:val="right" w:leader="dot" w:pos="9209"/>
        </w:tabs>
        <w:rPr>
          <w:rFonts w:asciiTheme="minorHAnsi" w:hAnsiTheme="minorHAnsi" w:eastAsiaTheme="minorEastAsia" w:cstheme="minorBidi"/>
          <w:szCs w:val="22"/>
        </w:rPr>
      </w:pPr>
      <w:r>
        <w:fldChar w:fldCharType="begin"/>
      </w:r>
      <w:r>
        <w:instrText xml:space="preserve"> HYPERLINK \l "_Toc471482361" </w:instrText>
      </w:r>
      <w:r>
        <w:fldChar w:fldCharType="separate"/>
      </w:r>
      <w:r>
        <w:rPr>
          <w:rStyle w:val="28"/>
          <w:rFonts w:hint="eastAsia"/>
          <w:color w:val="auto"/>
        </w:rPr>
        <w:t>一、总则</w:t>
      </w:r>
      <w:r>
        <w:tab/>
      </w:r>
      <w:r>
        <w:fldChar w:fldCharType="begin"/>
      </w:r>
      <w:r>
        <w:instrText xml:space="preserve"> PAGEREF _Toc471482361 \h </w:instrText>
      </w:r>
      <w:r>
        <w:fldChar w:fldCharType="separate"/>
      </w:r>
      <w:r>
        <w:t>4</w:t>
      </w:r>
      <w:r>
        <w:fldChar w:fldCharType="end"/>
      </w:r>
      <w:r>
        <w:fldChar w:fldCharType="end"/>
      </w:r>
    </w:p>
    <w:p>
      <w:pPr>
        <w:pStyle w:val="22"/>
        <w:tabs>
          <w:tab w:val="right" w:leader="dot" w:pos="9209"/>
        </w:tabs>
        <w:rPr>
          <w:rFonts w:hint="eastAsia" w:eastAsia="宋体" w:asciiTheme="minorHAnsi" w:hAnsiTheme="minorHAnsi" w:cstheme="minorBidi"/>
          <w:szCs w:val="22"/>
          <w:lang w:eastAsia="zh-CN"/>
        </w:rPr>
      </w:pPr>
      <w:r>
        <w:fldChar w:fldCharType="begin"/>
      </w:r>
      <w:r>
        <w:instrText xml:space="preserve"> HYPERLINK \l "_Toc471482362" </w:instrText>
      </w:r>
      <w:r>
        <w:fldChar w:fldCharType="separate"/>
      </w:r>
      <w:r>
        <w:rPr>
          <w:rStyle w:val="28"/>
          <w:rFonts w:hint="eastAsia"/>
          <w:color w:val="auto"/>
        </w:rPr>
        <w:t>二、比选文件</w:t>
      </w:r>
      <w:r>
        <w:tab/>
      </w:r>
      <w:r>
        <w:fldChar w:fldCharType="end"/>
      </w:r>
      <w:r>
        <w:rPr>
          <w:rFonts w:hint="eastAsia"/>
          <w:lang w:val="en-US" w:eastAsia="zh-CN"/>
        </w:rPr>
        <w:t>5</w:t>
      </w:r>
    </w:p>
    <w:p>
      <w:pPr>
        <w:pStyle w:val="22"/>
        <w:tabs>
          <w:tab w:val="right" w:leader="dot" w:pos="9209"/>
        </w:tabs>
        <w:rPr>
          <w:rFonts w:asciiTheme="minorHAnsi" w:hAnsiTheme="minorHAnsi" w:eastAsiaTheme="minorEastAsia" w:cstheme="minorBidi"/>
          <w:szCs w:val="22"/>
        </w:rPr>
      </w:pPr>
      <w:r>
        <w:fldChar w:fldCharType="begin"/>
      </w:r>
      <w:r>
        <w:instrText xml:space="preserve"> HYPERLINK \l "_Toc471482363" </w:instrText>
      </w:r>
      <w:r>
        <w:fldChar w:fldCharType="separate"/>
      </w:r>
      <w:r>
        <w:rPr>
          <w:rStyle w:val="28"/>
          <w:rFonts w:hint="eastAsia"/>
          <w:color w:val="auto"/>
        </w:rPr>
        <w:t>三、申请比选报价说明</w:t>
      </w:r>
      <w:r>
        <w:tab/>
      </w:r>
      <w:r>
        <w:fldChar w:fldCharType="begin"/>
      </w:r>
      <w:r>
        <w:instrText xml:space="preserve"> PAGEREF _Toc471482363 \h </w:instrText>
      </w:r>
      <w:r>
        <w:fldChar w:fldCharType="separate"/>
      </w:r>
      <w:r>
        <w:t>5</w:t>
      </w:r>
      <w:r>
        <w:fldChar w:fldCharType="end"/>
      </w:r>
      <w:r>
        <w:fldChar w:fldCharType="end"/>
      </w:r>
    </w:p>
    <w:p>
      <w:pPr>
        <w:pStyle w:val="22"/>
        <w:tabs>
          <w:tab w:val="right" w:leader="dot" w:pos="9209"/>
        </w:tabs>
        <w:rPr>
          <w:rFonts w:hint="eastAsia" w:eastAsia="宋体" w:asciiTheme="minorHAnsi" w:hAnsiTheme="minorHAnsi" w:cstheme="minorBidi"/>
          <w:szCs w:val="22"/>
          <w:lang w:eastAsia="zh-CN"/>
        </w:rPr>
      </w:pPr>
      <w:r>
        <w:fldChar w:fldCharType="begin"/>
      </w:r>
      <w:r>
        <w:instrText xml:space="preserve"> HYPERLINK \l "_Toc471482364" </w:instrText>
      </w:r>
      <w:r>
        <w:fldChar w:fldCharType="separate"/>
      </w:r>
      <w:r>
        <w:rPr>
          <w:rStyle w:val="28"/>
          <w:rFonts w:hint="eastAsia"/>
          <w:color w:val="auto"/>
        </w:rPr>
        <w:t>四、比选申请文件的编制</w:t>
      </w:r>
      <w:r>
        <w:tab/>
      </w:r>
      <w:r>
        <w:fldChar w:fldCharType="end"/>
      </w:r>
      <w:r>
        <w:rPr>
          <w:rFonts w:hint="eastAsia"/>
          <w:lang w:val="en-US" w:eastAsia="zh-CN"/>
        </w:rPr>
        <w:t>6</w:t>
      </w:r>
    </w:p>
    <w:p>
      <w:pPr>
        <w:pStyle w:val="22"/>
        <w:tabs>
          <w:tab w:val="right" w:leader="dot" w:pos="9209"/>
        </w:tabs>
        <w:rPr>
          <w:rFonts w:hint="eastAsia" w:eastAsia="宋体" w:asciiTheme="minorHAnsi" w:hAnsiTheme="minorHAnsi" w:cstheme="minorBidi"/>
          <w:szCs w:val="22"/>
          <w:lang w:eastAsia="zh-CN"/>
        </w:rPr>
      </w:pPr>
      <w:r>
        <w:fldChar w:fldCharType="begin"/>
      </w:r>
      <w:r>
        <w:instrText xml:space="preserve"> HYPERLINK \l "_Toc471482365" </w:instrText>
      </w:r>
      <w:r>
        <w:fldChar w:fldCharType="separate"/>
      </w:r>
      <w:r>
        <w:rPr>
          <w:rStyle w:val="28"/>
          <w:rFonts w:hint="eastAsia"/>
          <w:color w:val="auto"/>
        </w:rPr>
        <w:t>五、比选申请文件的递交</w:t>
      </w:r>
      <w:r>
        <w:tab/>
      </w:r>
      <w:r>
        <w:fldChar w:fldCharType="end"/>
      </w:r>
      <w:r>
        <w:rPr>
          <w:rFonts w:hint="eastAsia"/>
          <w:lang w:val="en-US" w:eastAsia="zh-CN"/>
        </w:rPr>
        <w:t>7</w:t>
      </w:r>
    </w:p>
    <w:p>
      <w:pPr>
        <w:pStyle w:val="22"/>
        <w:tabs>
          <w:tab w:val="right" w:leader="dot" w:pos="9209"/>
        </w:tabs>
        <w:rPr>
          <w:rFonts w:hint="eastAsia" w:eastAsia="宋体" w:asciiTheme="minorHAnsi" w:hAnsiTheme="minorHAnsi" w:cstheme="minorBidi"/>
          <w:szCs w:val="22"/>
          <w:lang w:eastAsia="zh-CN"/>
        </w:rPr>
      </w:pPr>
      <w:r>
        <w:fldChar w:fldCharType="begin"/>
      </w:r>
      <w:r>
        <w:instrText xml:space="preserve"> HYPERLINK \l "_Toc471482366" </w:instrText>
      </w:r>
      <w:r>
        <w:fldChar w:fldCharType="separate"/>
      </w:r>
      <w:r>
        <w:rPr>
          <w:rStyle w:val="28"/>
          <w:rFonts w:hint="eastAsia"/>
          <w:color w:val="auto"/>
        </w:rPr>
        <w:t>六、评</w:t>
      </w:r>
      <w:r>
        <w:rPr>
          <w:rStyle w:val="28"/>
          <w:rFonts w:hint="eastAsia"/>
          <w:color w:val="auto"/>
          <w:lang w:val="en-US" w:eastAsia="zh-CN"/>
        </w:rPr>
        <w:t>审</w:t>
      </w:r>
      <w:r>
        <w:tab/>
      </w:r>
      <w:r>
        <w:fldChar w:fldCharType="end"/>
      </w:r>
      <w:r>
        <w:rPr>
          <w:rFonts w:hint="eastAsia"/>
          <w:lang w:val="en-US" w:eastAsia="zh-CN"/>
        </w:rPr>
        <w:t>7</w:t>
      </w:r>
    </w:p>
    <w:p>
      <w:pPr>
        <w:pStyle w:val="22"/>
        <w:tabs>
          <w:tab w:val="right" w:leader="dot" w:pos="9209"/>
        </w:tabs>
        <w:rPr>
          <w:rFonts w:hint="eastAsia" w:eastAsia="宋体" w:asciiTheme="minorHAnsi" w:hAnsiTheme="minorHAnsi" w:cstheme="minorBidi"/>
          <w:szCs w:val="22"/>
          <w:lang w:eastAsia="zh-CN"/>
        </w:rPr>
      </w:pPr>
      <w:r>
        <w:fldChar w:fldCharType="begin"/>
      </w:r>
      <w:r>
        <w:instrText xml:space="preserve"> HYPERLINK \l "_Toc471482367" </w:instrText>
      </w:r>
      <w:r>
        <w:fldChar w:fldCharType="separate"/>
      </w:r>
      <w:r>
        <w:rPr>
          <w:rStyle w:val="28"/>
          <w:rFonts w:hint="eastAsia"/>
          <w:color w:val="auto"/>
        </w:rPr>
        <w:t>七、授予合同</w:t>
      </w:r>
      <w:r>
        <w:tab/>
      </w:r>
      <w:r>
        <w:fldChar w:fldCharType="end"/>
      </w:r>
      <w:r>
        <w:rPr>
          <w:rFonts w:hint="eastAsia"/>
          <w:lang w:val="en-US" w:eastAsia="zh-CN"/>
        </w:rPr>
        <w:t>9</w:t>
      </w:r>
    </w:p>
    <w:p>
      <w:pPr>
        <w:pStyle w:val="18"/>
        <w:tabs>
          <w:tab w:val="right" w:leader="dot" w:pos="9209"/>
        </w:tabs>
        <w:rPr>
          <w:rFonts w:hint="default" w:eastAsia="宋体" w:asciiTheme="minorHAnsi" w:hAnsiTheme="minorHAnsi" w:cstheme="minorBidi"/>
          <w:szCs w:val="22"/>
          <w:lang w:val="en-US" w:eastAsia="zh-CN"/>
        </w:rPr>
      </w:pPr>
      <w:r>
        <w:fldChar w:fldCharType="begin"/>
      </w:r>
      <w:r>
        <w:instrText xml:space="preserve"> HYPERLINK \l "_Toc471482368" </w:instrText>
      </w:r>
      <w:r>
        <w:fldChar w:fldCharType="separate"/>
      </w:r>
      <w:r>
        <w:rPr>
          <w:rStyle w:val="28"/>
          <w:rFonts w:hint="eastAsia"/>
          <w:color w:val="auto"/>
        </w:rPr>
        <w:t>第二章</w:t>
      </w:r>
      <w:r>
        <w:rPr>
          <w:rStyle w:val="28"/>
          <w:rFonts w:hint="eastAsia"/>
          <w:color w:val="auto"/>
          <w:lang w:val="en-US" w:eastAsia="zh-CN"/>
        </w:rPr>
        <w:t xml:space="preserve"> </w:t>
      </w:r>
      <w:r>
        <w:rPr>
          <w:rStyle w:val="28"/>
          <w:rFonts w:hint="eastAsia"/>
          <w:color w:val="auto"/>
        </w:rPr>
        <w:t>合同条款</w:t>
      </w:r>
      <w:r>
        <w:tab/>
      </w:r>
      <w:r>
        <w:fldChar w:fldCharType="end"/>
      </w:r>
      <w:r>
        <w:rPr>
          <w:rFonts w:hint="eastAsia"/>
          <w:lang w:val="en-US" w:eastAsia="zh-CN"/>
        </w:rPr>
        <w:t>10</w:t>
      </w:r>
    </w:p>
    <w:p>
      <w:pPr>
        <w:pStyle w:val="18"/>
        <w:tabs>
          <w:tab w:val="right" w:leader="dot" w:pos="9209"/>
        </w:tabs>
        <w:rPr>
          <w:rFonts w:hint="eastAsia" w:eastAsia="宋体" w:asciiTheme="minorHAnsi" w:hAnsiTheme="minorHAnsi" w:cstheme="minorBidi"/>
          <w:szCs w:val="22"/>
          <w:lang w:val="en-US" w:eastAsia="zh-CN"/>
        </w:rPr>
      </w:pPr>
      <w:r>
        <w:fldChar w:fldCharType="begin"/>
      </w:r>
      <w:r>
        <w:instrText xml:space="preserve"> HYPERLINK \l "_Toc471482369" </w:instrText>
      </w:r>
      <w:r>
        <w:fldChar w:fldCharType="separate"/>
      </w:r>
      <w:r>
        <w:rPr>
          <w:rStyle w:val="28"/>
          <w:rFonts w:hint="eastAsia" w:ascii="宋体" w:hAnsi="宋体" w:cs="宋体"/>
          <w:color w:val="auto"/>
        </w:rPr>
        <w:t>第三章 比选申请文件（格式）</w:t>
      </w:r>
      <w:r>
        <w:tab/>
      </w:r>
      <w:r>
        <w:fldChar w:fldCharType="begin"/>
      </w:r>
      <w:r>
        <w:instrText xml:space="preserve"> PAGEREF _Toc471482369 \h </w:instrText>
      </w:r>
      <w:r>
        <w:fldChar w:fldCharType="separate"/>
      </w:r>
      <w:r>
        <w:t>1</w:t>
      </w:r>
      <w:r>
        <w:fldChar w:fldCharType="end"/>
      </w:r>
      <w:r>
        <w:fldChar w:fldCharType="end"/>
      </w:r>
      <w:r>
        <w:rPr>
          <w:rFonts w:hint="eastAsia"/>
          <w:lang w:val="en-US" w:eastAsia="zh-CN"/>
        </w:rPr>
        <w:t>9</w:t>
      </w:r>
    </w:p>
    <w:p>
      <w:pPr>
        <w:pStyle w:val="22"/>
        <w:tabs>
          <w:tab w:val="right" w:leader="dot" w:pos="9209"/>
        </w:tabs>
        <w:rPr>
          <w:rFonts w:hint="default" w:eastAsia="宋体" w:asciiTheme="minorHAnsi" w:hAnsiTheme="minorHAnsi" w:cstheme="minorBidi"/>
          <w:szCs w:val="22"/>
          <w:lang w:val="en-US" w:eastAsia="zh-CN"/>
        </w:rPr>
      </w:pPr>
      <w:r>
        <w:fldChar w:fldCharType="begin"/>
      </w:r>
      <w:r>
        <w:instrText xml:space="preserve"> HYPERLINK \l "_Toc471482370" </w:instrText>
      </w:r>
      <w:r>
        <w:fldChar w:fldCharType="separate"/>
      </w:r>
      <w:r>
        <w:rPr>
          <w:rStyle w:val="28"/>
          <w:rFonts w:hint="eastAsia"/>
          <w:color w:val="auto"/>
        </w:rPr>
        <w:t>一、资格审查文件目录</w:t>
      </w:r>
      <w:r>
        <w:tab/>
      </w:r>
      <w:r>
        <w:fldChar w:fldCharType="end"/>
      </w:r>
      <w:r>
        <w:rPr>
          <w:rFonts w:hint="eastAsia"/>
          <w:lang w:val="en-US" w:eastAsia="zh-CN"/>
        </w:rPr>
        <w:t>20</w:t>
      </w:r>
    </w:p>
    <w:p>
      <w:pPr>
        <w:pStyle w:val="22"/>
        <w:tabs>
          <w:tab w:val="right" w:leader="dot" w:pos="9209"/>
        </w:tabs>
        <w:rPr>
          <w:rFonts w:asciiTheme="minorHAnsi" w:hAnsiTheme="minorHAnsi" w:eastAsiaTheme="minorEastAsia" w:cstheme="minorBidi"/>
          <w:szCs w:val="22"/>
        </w:rPr>
      </w:pPr>
      <w:r>
        <w:fldChar w:fldCharType="begin"/>
      </w:r>
      <w:r>
        <w:instrText xml:space="preserve"> HYPERLINK \l "_Toc471482371" </w:instrText>
      </w:r>
      <w:r>
        <w:fldChar w:fldCharType="separate"/>
      </w:r>
      <w:r>
        <w:rPr>
          <w:rStyle w:val="28"/>
          <w:rFonts w:hint="eastAsia"/>
          <w:color w:val="auto"/>
        </w:rPr>
        <w:t>二、技术部分材料目录</w:t>
      </w:r>
      <w:r>
        <w:tab/>
      </w:r>
      <w:r>
        <w:fldChar w:fldCharType="begin"/>
      </w:r>
      <w:r>
        <w:instrText xml:space="preserve"> PAGEREF _Toc471482371 \h </w:instrText>
      </w:r>
      <w:r>
        <w:fldChar w:fldCharType="separate"/>
      </w:r>
      <w:r>
        <w:t>29</w:t>
      </w:r>
      <w:r>
        <w:fldChar w:fldCharType="end"/>
      </w:r>
      <w:r>
        <w:fldChar w:fldCharType="end"/>
      </w:r>
    </w:p>
    <w:p>
      <w:pPr>
        <w:pStyle w:val="22"/>
        <w:tabs>
          <w:tab w:val="right" w:leader="dot" w:pos="9209"/>
        </w:tabs>
        <w:rPr>
          <w:rFonts w:hint="eastAsia" w:eastAsia="宋体" w:asciiTheme="minorHAnsi" w:hAnsiTheme="minorHAnsi" w:cstheme="minorBidi"/>
          <w:szCs w:val="22"/>
          <w:lang w:val="en-US" w:eastAsia="zh-CN"/>
        </w:rPr>
      </w:pPr>
      <w:r>
        <w:fldChar w:fldCharType="begin"/>
      </w:r>
      <w:r>
        <w:instrText xml:space="preserve"> HYPERLINK \l "_Toc471482372" </w:instrText>
      </w:r>
      <w:r>
        <w:fldChar w:fldCharType="separate"/>
      </w:r>
      <w:r>
        <w:rPr>
          <w:rStyle w:val="28"/>
          <w:rFonts w:hint="eastAsia"/>
          <w:color w:val="auto"/>
        </w:rPr>
        <w:t>三、商务部分材料目录</w:t>
      </w:r>
      <w:r>
        <w:tab/>
      </w:r>
      <w:r>
        <w:fldChar w:fldCharType="begin"/>
      </w:r>
      <w:r>
        <w:instrText xml:space="preserve"> PAGEREF _Toc471482372 \h </w:instrText>
      </w:r>
      <w:r>
        <w:fldChar w:fldCharType="separate"/>
      </w:r>
      <w:r>
        <w:t>3</w:t>
      </w:r>
      <w:r>
        <w:fldChar w:fldCharType="end"/>
      </w:r>
      <w:r>
        <w:fldChar w:fldCharType="end"/>
      </w:r>
      <w:r>
        <w:rPr>
          <w:rFonts w:hint="eastAsia"/>
          <w:lang w:val="en-US" w:eastAsia="zh-CN"/>
        </w:rPr>
        <w:t>7</w:t>
      </w:r>
    </w:p>
    <w:p>
      <w:pPr>
        <w:pStyle w:val="18"/>
        <w:tabs>
          <w:tab w:val="right" w:leader="dot" w:pos="9209"/>
        </w:tabs>
        <w:rPr>
          <w:rFonts w:hint="eastAsia" w:eastAsia="宋体" w:asciiTheme="minorHAnsi" w:hAnsiTheme="minorHAnsi" w:cstheme="minorBidi"/>
          <w:szCs w:val="22"/>
          <w:lang w:eastAsia="zh-CN"/>
        </w:rPr>
      </w:pPr>
      <w:r>
        <w:fldChar w:fldCharType="begin"/>
      </w:r>
      <w:r>
        <w:instrText xml:space="preserve"> HYPERLINK \l "_Toc471482373" </w:instrText>
      </w:r>
      <w:r>
        <w:fldChar w:fldCharType="separate"/>
      </w:r>
      <w:r>
        <w:rPr>
          <w:rStyle w:val="28"/>
          <w:rFonts w:hint="eastAsia"/>
          <w:color w:val="auto"/>
        </w:rPr>
        <w:t>第四章</w:t>
      </w:r>
      <w:r>
        <w:rPr>
          <w:rStyle w:val="28"/>
          <w:rFonts w:hint="eastAsia"/>
          <w:color w:val="auto"/>
          <w:lang w:val="en-US" w:eastAsia="zh-CN"/>
        </w:rPr>
        <w:t xml:space="preserve"> </w:t>
      </w:r>
      <w:r>
        <w:rPr>
          <w:rStyle w:val="28"/>
          <w:rFonts w:hint="eastAsia"/>
          <w:color w:val="auto"/>
        </w:rPr>
        <w:t>评比办法</w:t>
      </w:r>
      <w:r>
        <w:tab/>
      </w:r>
      <w:r>
        <w:fldChar w:fldCharType="begin"/>
      </w:r>
      <w:r>
        <w:instrText xml:space="preserve"> PAGEREF _Toc471482373 \h </w:instrText>
      </w:r>
      <w:r>
        <w:fldChar w:fldCharType="separate"/>
      </w:r>
      <w:r>
        <w:t>3</w:t>
      </w:r>
      <w:r>
        <w:fldChar w:fldCharType="end"/>
      </w:r>
      <w:r>
        <w:fldChar w:fldCharType="end"/>
      </w:r>
      <w:r>
        <w:rPr>
          <w:rFonts w:hint="eastAsia"/>
          <w:lang w:val="en-US" w:eastAsia="zh-CN"/>
        </w:rPr>
        <w:t>9</w:t>
      </w:r>
    </w:p>
    <w:p>
      <w:pPr>
        <w:pStyle w:val="22"/>
        <w:tabs>
          <w:tab w:val="right" w:leader="dot" w:pos="9209"/>
        </w:tabs>
        <w:rPr>
          <w:rFonts w:hint="default" w:eastAsia="宋体" w:asciiTheme="minorHAnsi" w:hAnsiTheme="minorHAnsi" w:cstheme="minorBidi"/>
          <w:szCs w:val="22"/>
          <w:lang w:val="en-US" w:eastAsia="zh-CN"/>
        </w:rPr>
      </w:pPr>
      <w:r>
        <w:fldChar w:fldCharType="begin"/>
      </w:r>
      <w:r>
        <w:instrText xml:space="preserve"> HYPERLINK \l "_Toc471482374" </w:instrText>
      </w:r>
      <w:r>
        <w:fldChar w:fldCharType="separate"/>
      </w:r>
      <w:r>
        <w:rPr>
          <w:rStyle w:val="28"/>
          <w:rFonts w:hint="eastAsia"/>
          <w:color w:val="auto"/>
        </w:rPr>
        <w:t>一、综合评分办法</w:t>
      </w:r>
      <w:r>
        <w:tab/>
      </w:r>
      <w:r>
        <w:fldChar w:fldCharType="end"/>
      </w:r>
      <w:r>
        <w:rPr>
          <w:rFonts w:hint="eastAsia"/>
          <w:lang w:val="en-US" w:eastAsia="zh-CN"/>
        </w:rPr>
        <w:t>39</w:t>
      </w:r>
    </w:p>
    <w:p>
      <w:pPr>
        <w:pStyle w:val="22"/>
        <w:tabs>
          <w:tab w:val="right" w:leader="dot" w:pos="9209"/>
        </w:tabs>
        <w:rPr>
          <w:rFonts w:hint="default" w:eastAsia="宋体" w:asciiTheme="minorHAnsi" w:hAnsiTheme="minorHAnsi" w:cstheme="minorBidi"/>
          <w:szCs w:val="22"/>
          <w:lang w:val="en-US" w:eastAsia="zh-CN"/>
        </w:rPr>
      </w:pPr>
      <w:r>
        <w:fldChar w:fldCharType="begin"/>
      </w:r>
      <w:r>
        <w:instrText xml:space="preserve"> HYPERLINK \l "_Toc471482375" </w:instrText>
      </w:r>
      <w:r>
        <w:fldChar w:fldCharType="separate"/>
      </w:r>
      <w:r>
        <w:rPr>
          <w:rStyle w:val="28"/>
          <w:rFonts w:hint="eastAsia"/>
          <w:color w:val="auto"/>
        </w:rPr>
        <w:t>二、总分计算公式</w:t>
      </w:r>
      <w:r>
        <w:tab/>
      </w:r>
      <w:r>
        <w:fldChar w:fldCharType="end"/>
      </w:r>
      <w:r>
        <w:rPr>
          <w:rFonts w:hint="eastAsia"/>
          <w:lang w:val="en-US" w:eastAsia="zh-CN"/>
        </w:rPr>
        <w:t>40</w:t>
      </w:r>
    </w:p>
    <w:p>
      <w:pPr>
        <w:pStyle w:val="22"/>
        <w:tabs>
          <w:tab w:val="right" w:leader="dot" w:pos="9209"/>
        </w:tabs>
        <w:rPr>
          <w:rFonts w:hint="eastAsia" w:eastAsia="宋体" w:asciiTheme="minorHAnsi" w:hAnsiTheme="minorHAnsi" w:cstheme="minorBidi"/>
          <w:szCs w:val="22"/>
          <w:lang w:val="en-US" w:eastAsia="zh-CN"/>
        </w:rPr>
      </w:pPr>
      <w:r>
        <w:fldChar w:fldCharType="begin"/>
      </w:r>
      <w:r>
        <w:instrText xml:space="preserve"> HYPERLINK \l "_Toc471482376" </w:instrText>
      </w:r>
      <w:r>
        <w:fldChar w:fldCharType="separate"/>
      </w:r>
      <w:r>
        <w:rPr>
          <w:rStyle w:val="28"/>
          <w:rFonts w:hint="eastAsia"/>
          <w:color w:val="auto"/>
        </w:rPr>
        <w:t>三、评分细则</w:t>
      </w:r>
      <w:r>
        <w:tab/>
      </w:r>
      <w:r>
        <w:fldChar w:fldCharType="begin"/>
      </w:r>
      <w:r>
        <w:instrText xml:space="preserve"> PAGEREF _Toc471482376 \h </w:instrText>
      </w:r>
      <w:r>
        <w:fldChar w:fldCharType="separate"/>
      </w:r>
      <w:r>
        <w:t>4</w:t>
      </w:r>
      <w:r>
        <w:fldChar w:fldCharType="end"/>
      </w:r>
      <w:r>
        <w:fldChar w:fldCharType="end"/>
      </w:r>
      <w:r>
        <w:rPr>
          <w:rFonts w:hint="eastAsia"/>
          <w:lang w:val="en-US" w:eastAsia="zh-CN"/>
        </w:rPr>
        <w:t>1</w:t>
      </w:r>
    </w:p>
    <w:p>
      <w:pPr>
        <w:pStyle w:val="22"/>
        <w:tabs>
          <w:tab w:val="right" w:leader="dot" w:pos="9209"/>
        </w:tabs>
        <w:rPr>
          <w:rFonts w:hint="eastAsia" w:eastAsia="宋体" w:asciiTheme="minorHAnsi" w:hAnsiTheme="minorHAnsi" w:cstheme="minorBidi"/>
          <w:szCs w:val="22"/>
          <w:lang w:val="en-US" w:eastAsia="zh-CN"/>
        </w:rPr>
      </w:pPr>
      <w:r>
        <w:fldChar w:fldCharType="begin"/>
      </w:r>
      <w:r>
        <w:instrText xml:space="preserve"> HYPERLINK \l "_Toc471482377" </w:instrText>
      </w:r>
      <w:r>
        <w:fldChar w:fldCharType="separate"/>
      </w:r>
      <w:r>
        <w:rPr>
          <w:rStyle w:val="28"/>
          <w:rFonts w:hint="eastAsia"/>
          <w:color w:val="auto"/>
        </w:rPr>
        <w:t>四、中选标准</w:t>
      </w:r>
      <w:r>
        <w:tab/>
      </w:r>
      <w:r>
        <w:fldChar w:fldCharType="begin"/>
      </w:r>
      <w:r>
        <w:instrText xml:space="preserve"> PAGEREF _Toc471482377 \h </w:instrText>
      </w:r>
      <w:r>
        <w:fldChar w:fldCharType="separate"/>
      </w:r>
      <w:r>
        <w:t>4</w:t>
      </w:r>
      <w:r>
        <w:fldChar w:fldCharType="end"/>
      </w:r>
      <w:r>
        <w:fldChar w:fldCharType="end"/>
      </w:r>
      <w:r>
        <w:rPr>
          <w:rFonts w:hint="eastAsia"/>
          <w:lang w:val="en-US" w:eastAsia="zh-CN"/>
        </w:rPr>
        <w:t>2</w:t>
      </w:r>
    </w:p>
    <w:p>
      <w:pPr>
        <w:pStyle w:val="22"/>
        <w:tabs>
          <w:tab w:val="right" w:leader="dot" w:pos="9209"/>
        </w:tabs>
        <w:ind w:left="0" w:leftChars="0"/>
        <w:rPr>
          <w:rFonts w:hint="eastAsia" w:eastAsia="宋体"/>
          <w:lang w:eastAsia="zh-CN"/>
        </w:rPr>
      </w:pPr>
      <w:r>
        <w:rPr>
          <w:rFonts w:ascii="宋体" w:hAnsi="宋体" w:cs="宋体"/>
          <w:szCs w:val="28"/>
        </w:rPr>
        <w:fldChar w:fldCharType="end"/>
      </w:r>
      <w:r>
        <w:rPr>
          <w:highlight w:val="none"/>
        </w:rPr>
        <w:fldChar w:fldCharType="begin"/>
      </w:r>
      <w:r>
        <w:rPr>
          <w:highlight w:val="none"/>
        </w:rPr>
        <w:instrText xml:space="preserve"> HYPERLINK \l "_Toc15858" </w:instrText>
      </w:r>
      <w:r>
        <w:rPr>
          <w:highlight w:val="none"/>
        </w:rPr>
        <w:fldChar w:fldCharType="separate"/>
      </w:r>
      <w:r>
        <w:rPr>
          <w:rFonts w:hint="eastAsia" w:ascii="宋体" w:hAnsi="宋体" w:cs="方正小标宋简体"/>
          <w:bCs/>
          <w:szCs w:val="28"/>
          <w:highlight w:val="none"/>
        </w:rPr>
        <w:t>第五章</w:t>
      </w:r>
      <w:r>
        <w:rPr>
          <w:rFonts w:ascii="宋体" w:hAnsi="宋体" w:cs="方正小标宋简体"/>
          <w:bCs/>
          <w:szCs w:val="28"/>
          <w:highlight w:val="none"/>
        </w:rPr>
        <w:t xml:space="preserve"> </w:t>
      </w:r>
      <w:r>
        <w:rPr>
          <w:rFonts w:hint="eastAsia" w:ascii="宋体" w:hAnsi="宋体" w:cs="方正小标宋简体"/>
          <w:bCs/>
          <w:szCs w:val="28"/>
          <w:highlight w:val="none"/>
        </w:rPr>
        <w:t>用户需求书</w:t>
      </w:r>
      <w:r>
        <w:rPr>
          <w:highlight w:val="none"/>
        </w:rPr>
        <w:tab/>
      </w:r>
      <w:r>
        <w:rPr>
          <w:highlight w:val="none"/>
        </w:rPr>
        <w:fldChar w:fldCharType="begin"/>
      </w:r>
      <w:r>
        <w:rPr>
          <w:highlight w:val="none"/>
        </w:rPr>
        <w:instrText xml:space="preserve"> PAGEREF _Toc15858 \h </w:instrText>
      </w:r>
      <w:r>
        <w:rPr>
          <w:highlight w:val="none"/>
        </w:rPr>
        <w:fldChar w:fldCharType="separate"/>
      </w:r>
      <w:r>
        <w:rPr>
          <w:highlight w:val="none"/>
        </w:rPr>
        <w:t>4</w:t>
      </w:r>
      <w:r>
        <w:rPr>
          <w:highlight w:val="none"/>
        </w:rPr>
        <w:fldChar w:fldCharType="end"/>
      </w:r>
      <w:r>
        <w:rPr>
          <w:highlight w:val="none"/>
        </w:rPr>
        <w:fldChar w:fldCharType="end"/>
      </w:r>
      <w:r>
        <w:rPr>
          <w:rFonts w:hint="eastAsia"/>
          <w:highlight w:val="none"/>
          <w:lang w:val="en-US" w:eastAsia="zh-CN"/>
        </w:rPr>
        <w:t>4</w:t>
      </w:r>
    </w:p>
    <w:p>
      <w:pPr>
        <w:tabs>
          <w:tab w:val="right" w:leader="dot" w:pos="9219"/>
        </w:tabs>
        <w:jc w:val="left"/>
        <w:outlineLvl w:val="2"/>
        <w:rPr>
          <w:rFonts w:ascii="宋体" w:hAnsi="宋体" w:cs="宋体"/>
          <w:szCs w:val="28"/>
        </w:rPr>
      </w:pPr>
    </w:p>
    <w:p>
      <w:pPr>
        <w:tabs>
          <w:tab w:val="right" w:leader="dot" w:pos="9219"/>
        </w:tabs>
        <w:jc w:val="left"/>
        <w:outlineLvl w:val="2"/>
        <w:rPr>
          <w:rFonts w:ascii="宋体" w:hAnsi="宋体" w:cs="宋体"/>
          <w:szCs w:val="28"/>
        </w:rPr>
      </w:pPr>
    </w:p>
    <w:p>
      <w:pPr>
        <w:jc w:val="left"/>
        <w:rPr>
          <w:rFonts w:ascii="宋体" w:hAnsi="宋体" w:cs="宋体"/>
          <w:szCs w:val="28"/>
        </w:rPr>
      </w:pPr>
    </w:p>
    <w:p>
      <w:pPr>
        <w:jc w:val="center"/>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pStyle w:val="3"/>
        <w:rPr>
          <w:rFonts w:ascii="宋体" w:hAnsi="宋体" w:cs="宋体"/>
          <w:szCs w:val="28"/>
        </w:rPr>
      </w:pPr>
      <w:bookmarkStart w:id="12" w:name="_Toc461525294"/>
      <w:bookmarkStart w:id="13" w:name="_Toc20342"/>
      <w:bookmarkStart w:id="14" w:name="_Toc471482359"/>
      <w:bookmarkStart w:id="15" w:name="_Toc14897"/>
      <w:bookmarkStart w:id="16" w:name="_Toc32719"/>
      <w:bookmarkStart w:id="17" w:name="_Toc27762"/>
      <w:bookmarkStart w:id="18" w:name="_Toc11052"/>
      <w:bookmarkStart w:id="19" w:name="_Toc9092"/>
      <w:bookmarkStart w:id="20" w:name="_Toc32556"/>
      <w:bookmarkStart w:id="21" w:name="_Toc24752"/>
      <w:bookmarkStart w:id="22" w:name="_Toc14177"/>
      <w:bookmarkStart w:id="23" w:name="_Toc30578"/>
      <w:bookmarkStart w:id="24" w:name="_Toc12557"/>
      <w:bookmarkStart w:id="25" w:name="_Toc24235"/>
      <w:r>
        <w:rPr>
          <w:rFonts w:hint="eastAsia" w:ascii="宋体" w:hAnsi="宋体" w:cs="宋体"/>
          <w:szCs w:val="28"/>
        </w:rPr>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4"/>
        <w:jc w:val="left"/>
        <w:rPr>
          <w:sz w:val="24"/>
          <w:szCs w:val="24"/>
        </w:rPr>
      </w:pPr>
      <w:bookmarkStart w:id="26" w:name="_Toc14510"/>
      <w:bookmarkStart w:id="27" w:name="_Toc21327"/>
      <w:bookmarkStart w:id="28" w:name="_Toc461525295"/>
      <w:bookmarkStart w:id="29" w:name="_Toc2242"/>
      <w:bookmarkStart w:id="30" w:name="_Toc24239"/>
      <w:bookmarkStart w:id="31" w:name="_Toc17254"/>
      <w:bookmarkStart w:id="32" w:name="_Toc2162"/>
      <w:bookmarkStart w:id="33" w:name="_Toc471482360"/>
      <w:bookmarkStart w:id="34" w:name="_Toc11337"/>
      <w:bookmarkStart w:id="35" w:name="_Toc32591"/>
      <w:bookmarkStart w:id="36" w:name="_Toc11329"/>
      <w:bookmarkStart w:id="37" w:name="_Toc18263"/>
      <w:bookmarkStart w:id="38" w:name="_Toc31166"/>
      <w:bookmarkStart w:id="39" w:name="_Toc17641"/>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Style w:val="2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ascii="宋体" w:hAnsi="宋体" w:cs="宋体"/>
                <w:szCs w:val="21"/>
              </w:rPr>
            </w:pPr>
            <w:r>
              <w:rPr>
                <w:rFonts w:hint="eastAsia" w:ascii="宋体" w:hAnsi="宋体" w:cs="宋体"/>
                <w:szCs w:val="21"/>
              </w:rPr>
              <w:t>序号</w:t>
            </w:r>
          </w:p>
        </w:tc>
        <w:tc>
          <w:tcPr>
            <w:tcW w:w="1732" w:type="dxa"/>
            <w:vAlign w:val="center"/>
          </w:tcPr>
          <w:p>
            <w:pPr>
              <w:jc w:val="left"/>
              <w:rPr>
                <w:rFonts w:ascii="宋体" w:hAnsi="宋体" w:cs="宋体"/>
                <w:szCs w:val="21"/>
              </w:rPr>
            </w:pPr>
          </w:p>
        </w:tc>
        <w:tc>
          <w:tcPr>
            <w:tcW w:w="7074" w:type="dxa"/>
            <w:vAlign w:val="center"/>
          </w:tcPr>
          <w:p>
            <w:pPr>
              <w:jc w:val="center"/>
              <w:rPr>
                <w:rFonts w:ascii="宋体" w:hAnsi="宋体" w:cs="宋体"/>
                <w:szCs w:val="21"/>
              </w:rPr>
            </w:pPr>
            <w:r>
              <w:rPr>
                <w:rFonts w:hint="eastAsia" w:ascii="宋体" w:hAnsi="宋体" w:cs="宋体"/>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ascii="宋体" w:hAnsi="宋体" w:cs="宋体"/>
                <w:szCs w:val="21"/>
              </w:rPr>
            </w:pPr>
            <w:r>
              <w:rPr>
                <w:rFonts w:hint="eastAsia" w:ascii="宋体" w:hAnsi="宋体" w:cs="宋体"/>
                <w:szCs w:val="21"/>
              </w:rPr>
              <w:t>1</w:t>
            </w:r>
          </w:p>
        </w:tc>
        <w:tc>
          <w:tcPr>
            <w:tcW w:w="1732" w:type="dxa"/>
            <w:vAlign w:val="center"/>
          </w:tcPr>
          <w:p>
            <w:pPr>
              <w:jc w:val="left"/>
              <w:rPr>
                <w:rFonts w:ascii="宋体" w:hAnsi="宋体" w:cs="宋体"/>
                <w:szCs w:val="21"/>
              </w:rPr>
            </w:pPr>
            <w:r>
              <w:rPr>
                <w:rFonts w:hint="eastAsia" w:ascii="宋体" w:hAnsi="宋体" w:cs="宋体"/>
                <w:szCs w:val="21"/>
              </w:rPr>
              <w:t>项目名称</w:t>
            </w:r>
          </w:p>
        </w:tc>
        <w:tc>
          <w:tcPr>
            <w:tcW w:w="7074" w:type="dxa"/>
            <w:vAlign w:val="center"/>
          </w:tcPr>
          <w:p>
            <w:pPr>
              <w:ind w:right="-3"/>
              <w:jc w:val="left"/>
              <w:rPr>
                <w:rFonts w:ascii="宋体" w:hAnsi="宋体" w:cs="宋体"/>
                <w:b/>
                <w:sz w:val="28"/>
                <w:szCs w:val="21"/>
              </w:rPr>
            </w:pPr>
            <w:r>
              <w:rPr>
                <w:rFonts w:hint="eastAsia" w:ascii="宋体" w:hAnsi="宋体" w:cs="宋体"/>
                <w:szCs w:val="21"/>
                <w:u w:val="single"/>
                <w:lang w:eastAsia="zh-CN"/>
              </w:rPr>
              <w:t>南宁公共交通集团有限公司法定代表人任中和原总经理离任（2017年5月至2022年12月）经济责任审计</w:t>
            </w:r>
            <w:r>
              <w:rPr>
                <w:rFonts w:hint="eastAsia" w:ascii="宋体" w:hAnsi="宋体" w:cs="宋体"/>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szCs w:val="21"/>
              </w:rPr>
            </w:pPr>
            <w:r>
              <w:rPr>
                <w:rFonts w:hint="eastAsia" w:ascii="宋体" w:hAnsi="宋体" w:cs="宋体"/>
                <w:szCs w:val="21"/>
              </w:rPr>
              <w:t>2</w:t>
            </w:r>
          </w:p>
        </w:tc>
        <w:tc>
          <w:tcPr>
            <w:tcW w:w="1732" w:type="dxa"/>
            <w:vAlign w:val="center"/>
          </w:tcPr>
          <w:p>
            <w:pPr>
              <w:jc w:val="left"/>
              <w:rPr>
                <w:rFonts w:ascii="宋体" w:hAnsi="宋体" w:cs="宋体"/>
                <w:szCs w:val="21"/>
              </w:rPr>
            </w:pPr>
            <w:r>
              <w:rPr>
                <w:rFonts w:hint="eastAsia" w:ascii="宋体" w:hAnsi="宋体" w:cs="宋体"/>
                <w:szCs w:val="21"/>
              </w:rPr>
              <w:t>项目范围</w:t>
            </w:r>
          </w:p>
        </w:tc>
        <w:tc>
          <w:tcPr>
            <w:tcW w:w="7074" w:type="dxa"/>
          </w:tcPr>
          <w:p>
            <w:pPr>
              <w:ind w:right="-3"/>
              <w:jc w:val="left"/>
              <w:rPr>
                <w:rFonts w:ascii="宋体" w:hAnsi="宋体" w:cs="宋体"/>
                <w:szCs w:val="21"/>
              </w:rPr>
            </w:pPr>
            <w:r>
              <w:rPr>
                <w:rFonts w:hint="eastAsia" w:ascii="宋体" w:hAnsi="宋体" w:cs="宋体"/>
                <w:szCs w:val="21"/>
                <w:u w:val="single"/>
                <w:lang w:eastAsia="zh-CN"/>
              </w:rPr>
              <w:t>南宁公共交通集团有限公司法定代表人任中和原总经理离任（2017年5月至2022年12月）经济责任审计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szCs w:val="21"/>
              </w:rPr>
            </w:pPr>
            <w:r>
              <w:rPr>
                <w:rFonts w:hint="eastAsia" w:ascii="宋体" w:hAnsi="宋体" w:cs="宋体"/>
                <w:szCs w:val="21"/>
              </w:rPr>
              <w:t>3</w:t>
            </w:r>
          </w:p>
        </w:tc>
        <w:tc>
          <w:tcPr>
            <w:tcW w:w="1732" w:type="dxa"/>
            <w:vAlign w:val="center"/>
          </w:tcPr>
          <w:p>
            <w:pPr>
              <w:jc w:val="left"/>
              <w:rPr>
                <w:rFonts w:ascii="宋体" w:hAnsi="宋体" w:cs="宋体"/>
                <w:szCs w:val="21"/>
              </w:rPr>
            </w:pPr>
            <w:r>
              <w:rPr>
                <w:rFonts w:hint="eastAsia" w:ascii="宋体" w:hAnsi="宋体" w:cs="宋体"/>
                <w:szCs w:val="21"/>
              </w:rPr>
              <w:t>项目内容及成果要求</w:t>
            </w:r>
          </w:p>
        </w:tc>
        <w:tc>
          <w:tcPr>
            <w:tcW w:w="7074" w:type="dxa"/>
          </w:tcPr>
          <w:p>
            <w:pPr>
              <w:pStyle w:val="53"/>
              <w:numPr>
                <w:ilvl w:val="0"/>
                <w:numId w:val="1"/>
              </w:numPr>
              <w:ind w:firstLine="0" w:firstLineChars="0"/>
              <w:rPr>
                <w:rFonts w:hint="eastAsia" w:ascii="宋体" w:hAnsi="宋体" w:cs="宋体"/>
                <w:color w:val="auto"/>
                <w:szCs w:val="21"/>
              </w:rPr>
            </w:pPr>
            <w:r>
              <w:rPr>
                <w:rFonts w:hint="eastAsia" w:ascii="宋体" w:hAnsi="宋体" w:cs="宋体"/>
                <w:color w:val="auto"/>
                <w:szCs w:val="21"/>
              </w:rPr>
              <w:t>审计内容</w:t>
            </w:r>
          </w:p>
          <w:p>
            <w:pPr>
              <w:ind w:firstLine="420" w:firstLineChars="200"/>
              <w:rPr>
                <w:rFonts w:hint="eastAsia" w:ascii="宋体" w:hAnsi="宋体" w:cs="宋体"/>
                <w:color w:val="auto"/>
                <w:szCs w:val="21"/>
                <w:lang w:val="en-US" w:eastAsia="zh-CN"/>
              </w:rPr>
            </w:pPr>
            <w:r>
              <w:rPr>
                <w:rFonts w:hint="eastAsia" w:ascii="宋体" w:hAnsi="宋体" w:cs="宋体"/>
                <w:color w:val="auto"/>
                <w:szCs w:val="21"/>
              </w:rPr>
              <w:t>对吴江卡同志2017年5月至2022年12月任职南宁公共交通集团有限公司法定代表人履行经济责任的情况，刘国平同志2017年5月至2022年12月任职南宁公共交通集团有限公司总经理期间履行经济责任的情况开展审计，包括</w:t>
            </w:r>
            <w:r>
              <w:rPr>
                <w:rFonts w:hint="eastAsia" w:ascii="宋体" w:hAnsi="宋体" w:cs="宋体"/>
                <w:color w:val="auto"/>
                <w:szCs w:val="21"/>
                <w:lang w:val="en-US" w:eastAsia="zh-CN"/>
              </w:rPr>
              <w:t>但不限于以下内容：</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贯彻执行党和国家的经济方针政策和上级决策部署情况，推动企业可持续发展情况，国企改革三年行动落地见效情况。重点关注重点关注党的领导融入公司治理、党委前置研究事项清单制定、董事会建设情况、董事会职权落实等取得成效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企业发展战略规划的制定、执行和实施效果情况；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企业法人治理结构的建立、健全和运行情况；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“三重一大”的决策、执行和效果情况；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重大经济项目的投资、建设、运营管理及效益情况；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内部控制和风险管理制度的制定和设计合理性，及执行中决策、审批、运行、评价等环节的规范性、有效性，以及内控信息化建设和内控监督评价情况；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企业财务的真实合法效益情况，关注资产、负债、收入、成本费用等会计指标真实性，会计政策和会计估计变更、合并报表范围调整、差错调整、收入成本确认、减值计提等核算事项；</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资产的管理及保值增值情况；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在经济活动中落实有关党风廉政建设责任和遵守廉洁从业规定情况；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企业经营提质增效措施有效性。重点关注项目运营效率、成本费用压控、亏损企业专项治理、“两金”压降、“两非”剥离、“两资”清理等进展情况；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防范化解重大经营风险情况。重点关注债务、投资、招标采购、资金使用、金融等领域的风险；</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以往审计发现问题的整改情况。重点关注涉及违规经营投资问题的追责问责情况，整改完成效果；</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有关目标责任制完成情况；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其他需要审计的内容。</w:t>
            </w:r>
          </w:p>
          <w:p>
            <w:pPr>
              <w:ind w:firstLine="0" w:firstLineChars="0"/>
              <w:rPr>
                <w:rFonts w:ascii="宋体" w:hAnsi="宋体" w:cs="宋体"/>
                <w:color w:val="auto"/>
                <w:szCs w:val="21"/>
              </w:rPr>
            </w:pPr>
            <w:r>
              <w:rPr>
                <w:rFonts w:hint="eastAsia" w:ascii="宋体" w:hAnsi="宋体" w:cs="宋体"/>
                <w:color w:val="auto"/>
                <w:szCs w:val="21"/>
              </w:rPr>
              <w:t>二、审计要求及成果</w:t>
            </w:r>
          </w:p>
          <w:p>
            <w:pPr>
              <w:ind w:firstLine="420" w:firstLineChars="200"/>
              <w:rPr>
                <w:rFonts w:hint="eastAsia" w:ascii="宋体" w:hAnsi="宋体" w:eastAsia="宋体" w:cs="宋体"/>
                <w:szCs w:val="21"/>
                <w:lang w:eastAsia="zh-CN"/>
              </w:rPr>
            </w:pPr>
            <w:r>
              <w:rPr>
                <w:rFonts w:hint="eastAsia" w:ascii="宋体" w:hAnsi="宋体" w:cs="宋体"/>
                <w:szCs w:val="21"/>
                <w:lang w:val="en-US" w:eastAsia="zh-CN"/>
              </w:rPr>
              <w:t>根据</w:t>
            </w:r>
            <w:r>
              <w:rPr>
                <w:rFonts w:hint="eastAsia" w:ascii="宋体" w:hAnsi="宋体" w:cs="宋体"/>
                <w:szCs w:val="21"/>
              </w:rPr>
              <w:t>《党政</w:t>
            </w:r>
            <w:r>
              <w:rPr>
                <w:rFonts w:hint="eastAsia" w:ascii="宋体" w:hAnsi="宋体" w:cs="宋体"/>
                <w:szCs w:val="21"/>
                <w:lang w:eastAsia="zh-CN"/>
              </w:rPr>
              <w:t>主要</w:t>
            </w:r>
            <w:r>
              <w:rPr>
                <w:rFonts w:hint="eastAsia" w:ascii="宋体" w:hAnsi="宋体" w:cs="宋体"/>
                <w:szCs w:val="21"/>
                <w:lang w:val="en-US" w:eastAsia="zh-CN"/>
              </w:rPr>
              <w:t>领导</w:t>
            </w:r>
            <w:r>
              <w:rPr>
                <w:rFonts w:hint="eastAsia" w:ascii="宋体" w:hAnsi="宋体" w:cs="宋体"/>
                <w:szCs w:val="21"/>
              </w:rPr>
              <w:t>干部和国有企事业单位</w:t>
            </w:r>
            <w:r>
              <w:rPr>
                <w:rFonts w:hint="eastAsia" w:ascii="宋体" w:hAnsi="宋体" w:cs="宋体"/>
                <w:szCs w:val="21"/>
                <w:lang w:eastAsia="zh-CN"/>
              </w:rPr>
              <w:t>主要</w:t>
            </w:r>
            <w:r>
              <w:rPr>
                <w:rFonts w:hint="eastAsia" w:ascii="宋体" w:hAnsi="宋体" w:cs="宋体"/>
                <w:szCs w:val="21"/>
                <w:lang w:val="en-US" w:eastAsia="zh-CN"/>
              </w:rPr>
              <w:t>领导</w:t>
            </w:r>
            <w:r>
              <w:rPr>
                <w:rFonts w:hint="eastAsia" w:ascii="宋体" w:hAnsi="宋体" w:cs="宋体"/>
                <w:szCs w:val="21"/>
              </w:rPr>
              <w:t>人员经济责任审计规定》《第2205号内部审计具体</w:t>
            </w:r>
            <w:r>
              <w:rPr>
                <w:rFonts w:hint="eastAsia" w:ascii="宋体" w:hAnsi="宋体" w:cs="宋体"/>
                <w:szCs w:val="21"/>
                <w:lang w:val="en-US" w:eastAsia="zh-CN"/>
              </w:rPr>
              <w:t>准则——</w:t>
            </w:r>
            <w:r>
              <w:rPr>
                <w:rFonts w:hint="eastAsia" w:ascii="宋体" w:hAnsi="宋体" w:cs="宋体"/>
                <w:szCs w:val="21"/>
              </w:rPr>
              <w:t>经济责任审计》、中央审计委员会审计署</w:t>
            </w:r>
            <w:r>
              <w:rPr>
                <w:rFonts w:hint="eastAsia" w:ascii="宋体" w:hAnsi="宋体" w:cs="宋体"/>
                <w:szCs w:val="21"/>
                <w:lang w:val="en-US" w:eastAsia="zh-CN"/>
              </w:rPr>
              <w:t>关于</w:t>
            </w:r>
            <w:r>
              <w:rPr>
                <w:rFonts w:hint="eastAsia" w:ascii="宋体" w:hAnsi="宋体" w:cs="宋体"/>
                <w:szCs w:val="21"/>
              </w:rPr>
              <w:t>《进一步规范经济责任审计工作有关事项》的通知</w:t>
            </w:r>
            <w:r>
              <w:rPr>
                <w:rFonts w:hint="eastAsia" w:ascii="宋体" w:hAnsi="宋体" w:cs="宋体"/>
                <w:szCs w:val="21"/>
                <w:lang w:eastAsia="zh-CN"/>
              </w:rPr>
              <w:t>、《</w:t>
            </w:r>
            <w:r>
              <w:rPr>
                <w:rFonts w:hint="eastAsia" w:ascii="宋体" w:hAnsi="宋体" w:cs="宋体"/>
                <w:szCs w:val="21"/>
              </w:rPr>
              <w:t>南宁市人民政府国有资产监督管理委员会监管企业经济责任审计管理暂行办法</w:t>
            </w:r>
            <w:r>
              <w:rPr>
                <w:rFonts w:hint="eastAsia" w:ascii="宋体" w:hAnsi="宋体" w:cs="宋体"/>
                <w:szCs w:val="21"/>
                <w:lang w:eastAsia="zh-CN"/>
              </w:rPr>
              <w:t>》</w:t>
            </w:r>
            <w:r>
              <w:rPr>
                <w:rFonts w:hint="eastAsia" w:ascii="宋体" w:hAnsi="宋体" w:cs="宋体"/>
                <w:szCs w:val="21"/>
              </w:rPr>
              <w:t>《南宁轨道交通集团有限责任公司经济责任审计管理实施办法（试行）》及其他相关法律法规开展工作</w:t>
            </w:r>
            <w:r>
              <w:rPr>
                <w:rFonts w:hint="eastAsia" w:ascii="宋体" w:hAnsi="宋体" w:cs="宋体"/>
                <w:szCs w:val="21"/>
                <w:lang w:eastAsia="zh-CN"/>
              </w:rPr>
              <w:t>，对</w:t>
            </w:r>
            <w:r>
              <w:rPr>
                <w:rFonts w:hint="eastAsia" w:ascii="宋体" w:hAnsi="宋体" w:cs="宋体"/>
                <w:color w:val="auto"/>
                <w:szCs w:val="21"/>
              </w:rPr>
              <w:t>吴江卡同志2017年5月至2022年12月任职南宁公共交通集团有限公司法定代表人履行经济责任的情况，刘国平同志2017年5月至2022年12月任职南宁公共交通集团有限公司总经理</w:t>
            </w:r>
            <w:r>
              <w:rPr>
                <w:rFonts w:hint="eastAsia" w:ascii="宋体" w:hAnsi="宋体" w:cs="宋体"/>
                <w:color w:val="auto"/>
                <w:szCs w:val="21"/>
                <w:lang w:val="en-US" w:eastAsia="zh-CN"/>
              </w:rPr>
              <w:t>期间</w:t>
            </w:r>
            <w:r>
              <w:rPr>
                <w:rFonts w:hint="eastAsia" w:ascii="宋体" w:hAnsi="宋体" w:cs="宋体"/>
                <w:szCs w:val="21"/>
                <w:lang w:val="en-US" w:eastAsia="zh-CN"/>
              </w:rPr>
              <w:t>履行</w:t>
            </w:r>
            <w:r>
              <w:rPr>
                <w:rFonts w:hint="eastAsia" w:ascii="宋体" w:hAnsi="宋体" w:cs="宋体"/>
                <w:szCs w:val="21"/>
                <w:lang w:eastAsia="zh-CN"/>
              </w:rPr>
              <w:t>经济责任</w:t>
            </w:r>
            <w:r>
              <w:rPr>
                <w:rFonts w:hint="eastAsia" w:ascii="宋体" w:hAnsi="宋体" w:cs="宋体"/>
                <w:szCs w:val="21"/>
                <w:lang w:val="en-US" w:eastAsia="zh-CN"/>
              </w:rPr>
              <w:t>的情况</w:t>
            </w:r>
            <w:r>
              <w:rPr>
                <w:rFonts w:hint="eastAsia" w:ascii="宋体" w:hAnsi="宋体" w:cs="宋体"/>
                <w:szCs w:val="21"/>
                <w:lang w:eastAsia="zh-CN"/>
              </w:rPr>
              <w:t>作出客观公正、实事求是的评价，</w:t>
            </w:r>
            <w:r>
              <w:rPr>
                <w:rFonts w:hint="eastAsia" w:ascii="宋体" w:hAnsi="宋体" w:cs="宋体"/>
                <w:color w:val="FF0000"/>
                <w:szCs w:val="21"/>
                <w:lang w:eastAsia="zh-CN"/>
              </w:rPr>
              <w:t>出具审计报告及管理建议书并经</w:t>
            </w:r>
            <w:r>
              <w:rPr>
                <w:rFonts w:hint="eastAsia" w:ascii="宋体" w:hAnsi="宋体" w:cs="宋体"/>
                <w:color w:val="FF0000"/>
                <w:szCs w:val="21"/>
                <w:lang w:val="en-US" w:eastAsia="zh-CN"/>
              </w:rPr>
              <w:t>南宁轨道交通</w:t>
            </w:r>
            <w:r>
              <w:rPr>
                <w:rFonts w:hint="eastAsia" w:ascii="宋体" w:hAnsi="宋体" w:cs="宋体"/>
                <w:color w:val="FF0000"/>
                <w:szCs w:val="21"/>
                <w:lang w:eastAsia="zh-CN"/>
              </w:rPr>
              <w:t>集团</w:t>
            </w:r>
            <w:r>
              <w:rPr>
                <w:rFonts w:hint="eastAsia" w:ascii="宋体" w:hAnsi="宋体" w:cs="宋体"/>
                <w:color w:val="FF0000"/>
                <w:szCs w:val="21"/>
                <w:lang w:val="en-US" w:eastAsia="zh-CN"/>
              </w:rPr>
              <w:t>有限责任</w:t>
            </w:r>
            <w:r>
              <w:rPr>
                <w:rFonts w:hint="eastAsia" w:ascii="宋体" w:hAnsi="宋体" w:cs="宋体"/>
                <w:color w:val="FF0000"/>
                <w:szCs w:val="21"/>
                <w:lang w:eastAsia="zh-CN"/>
              </w:rPr>
              <w:t>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ascii="宋体" w:hAnsi="宋体" w:cs="宋体"/>
                <w:szCs w:val="21"/>
              </w:rPr>
            </w:pPr>
            <w:r>
              <w:rPr>
                <w:rFonts w:hint="eastAsia" w:ascii="宋体" w:hAnsi="宋体" w:cs="宋体"/>
                <w:szCs w:val="21"/>
              </w:rPr>
              <w:t>4</w:t>
            </w:r>
          </w:p>
        </w:tc>
        <w:tc>
          <w:tcPr>
            <w:tcW w:w="1732" w:type="dxa"/>
            <w:shd w:val="clear" w:color="auto" w:fill="FFFFFF" w:themeFill="background1"/>
            <w:vAlign w:val="center"/>
          </w:tcPr>
          <w:p>
            <w:pPr>
              <w:jc w:val="left"/>
              <w:rPr>
                <w:rFonts w:ascii="宋体" w:hAnsi="宋体" w:cs="宋体"/>
                <w:szCs w:val="21"/>
              </w:rPr>
            </w:pPr>
            <w:r>
              <w:rPr>
                <w:rFonts w:hint="eastAsia" w:ascii="宋体" w:hAnsi="宋体" w:cs="宋体"/>
                <w:szCs w:val="21"/>
              </w:rPr>
              <w:t>资金来源</w:t>
            </w:r>
          </w:p>
        </w:tc>
        <w:tc>
          <w:tcPr>
            <w:tcW w:w="7074" w:type="dxa"/>
            <w:shd w:val="clear" w:color="auto" w:fill="FFFFFF" w:themeFill="background1"/>
          </w:tcPr>
          <w:p>
            <w:pPr>
              <w:ind w:right="-3"/>
              <w:jc w:val="left"/>
              <w:rPr>
                <w:rFonts w:ascii="宋体" w:hAnsi="宋体" w:cs="宋体"/>
                <w:szCs w:val="21"/>
              </w:rPr>
            </w:pPr>
            <w:r>
              <w:rPr>
                <w:rFonts w:hint="eastAsia" w:ascii="宋体" w:hAnsi="宋体" w:cs="宋体"/>
                <w:szCs w:val="21"/>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szCs w:val="21"/>
              </w:rPr>
            </w:pPr>
            <w:r>
              <w:rPr>
                <w:rFonts w:hint="eastAsia" w:ascii="宋体" w:hAnsi="宋体" w:cs="宋体"/>
                <w:szCs w:val="21"/>
              </w:rPr>
              <w:t>5</w:t>
            </w:r>
          </w:p>
        </w:tc>
        <w:tc>
          <w:tcPr>
            <w:tcW w:w="1732" w:type="dxa"/>
            <w:vAlign w:val="center"/>
          </w:tcPr>
          <w:p>
            <w:pPr>
              <w:jc w:val="left"/>
              <w:rPr>
                <w:rFonts w:ascii="宋体" w:hAnsi="宋体" w:cs="宋体"/>
                <w:szCs w:val="21"/>
              </w:rPr>
            </w:pPr>
            <w:r>
              <w:rPr>
                <w:rFonts w:hint="eastAsia" w:ascii="宋体" w:hAnsi="宋体" w:cs="宋体"/>
                <w:szCs w:val="21"/>
              </w:rPr>
              <w:t>计费方式</w:t>
            </w:r>
          </w:p>
        </w:tc>
        <w:tc>
          <w:tcPr>
            <w:tcW w:w="7074" w:type="dxa"/>
          </w:tcPr>
          <w:p>
            <w:pPr>
              <w:ind w:right="-3"/>
              <w:jc w:val="left"/>
              <w:rPr>
                <w:rFonts w:ascii="宋体" w:hAnsi="宋体" w:cs="宋体"/>
                <w:szCs w:val="21"/>
              </w:rPr>
            </w:pPr>
            <w:r>
              <w:rPr>
                <w:rFonts w:hint="eastAsia" w:ascii="宋体" w:hAnsi="宋体" w:cs="宋体"/>
                <w:szCs w:val="21"/>
              </w:rPr>
              <w:t>采用总价包干（</w:t>
            </w:r>
            <w:r>
              <w:rPr>
                <w:rFonts w:ascii="宋体" w:hAnsi="宋体" w:cs="宋体"/>
                <w:szCs w:val="21"/>
              </w:rPr>
              <w:t>包括但不限于税费、交通费、食宿费、差旅费等）</w:t>
            </w:r>
            <w:r>
              <w:rPr>
                <w:rFonts w:hint="eastAsia" w:ascii="宋体" w:hAnsi="宋体" w:cs="宋体"/>
                <w:szCs w:val="21"/>
              </w:rPr>
              <w:t>，费用不予调整。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szCs w:val="21"/>
              </w:rPr>
            </w:pPr>
            <w:r>
              <w:rPr>
                <w:rFonts w:hint="eastAsia" w:ascii="宋体" w:hAnsi="宋体" w:cs="宋体"/>
                <w:szCs w:val="21"/>
              </w:rPr>
              <w:t>6</w:t>
            </w:r>
          </w:p>
        </w:tc>
        <w:tc>
          <w:tcPr>
            <w:tcW w:w="1732" w:type="dxa"/>
            <w:vAlign w:val="center"/>
          </w:tcPr>
          <w:p>
            <w:pPr>
              <w:jc w:val="left"/>
              <w:rPr>
                <w:rFonts w:ascii="宋体" w:hAnsi="宋体" w:cs="宋体"/>
                <w:szCs w:val="21"/>
              </w:rPr>
            </w:pPr>
            <w:r>
              <w:rPr>
                <w:rFonts w:hint="eastAsia" w:ascii="宋体" w:hAnsi="宋体" w:cs="宋体"/>
                <w:szCs w:val="21"/>
              </w:rPr>
              <w:t>上限控制价</w:t>
            </w:r>
          </w:p>
        </w:tc>
        <w:tc>
          <w:tcPr>
            <w:tcW w:w="7074" w:type="dxa"/>
            <w:vAlign w:val="center"/>
          </w:tcPr>
          <w:p>
            <w:pPr>
              <w:ind w:right="-3"/>
              <w:jc w:val="left"/>
              <w:rPr>
                <w:rFonts w:hint="eastAsia" w:ascii="宋体" w:hAnsi="宋体" w:eastAsia="宋体" w:cs="宋体"/>
                <w:szCs w:val="21"/>
                <w:lang w:eastAsia="zh-CN"/>
              </w:rPr>
            </w:pPr>
            <w:r>
              <w:rPr>
                <w:rFonts w:hint="eastAsia" w:ascii="宋体" w:hAnsi="宋体" w:cs="宋体"/>
                <w:color w:val="FF0000"/>
                <w:szCs w:val="21"/>
              </w:rPr>
              <w:t>人民币：</w:t>
            </w:r>
            <w:r>
              <w:rPr>
                <w:rFonts w:hint="eastAsia" w:ascii="宋体" w:hAnsi="宋体" w:cs="宋体"/>
                <w:color w:val="FF0000"/>
                <w:szCs w:val="21"/>
                <w:u w:val="single"/>
                <w:lang w:val="en-US" w:eastAsia="zh-CN"/>
              </w:rPr>
              <w:t>200</w:t>
            </w:r>
            <w:r>
              <w:rPr>
                <w:rFonts w:hint="eastAsia" w:ascii="宋体" w:hAnsi="宋体" w:cs="宋体"/>
                <w:color w:val="FF0000"/>
                <w:szCs w:val="21"/>
                <w:u w:val="single"/>
              </w:rPr>
              <w:t>,000.00元(含税)</w:t>
            </w:r>
            <w:r>
              <w:rPr>
                <w:rFonts w:hint="eastAsia" w:ascii="宋体" w:hAnsi="宋体" w:cs="宋体"/>
                <w:color w:val="FF0000"/>
                <w:szCs w:val="21"/>
                <w:u w:val="single"/>
                <w:lang w:eastAsia="zh-CN"/>
              </w:rPr>
              <w:t>，188,679.25</w:t>
            </w:r>
            <w:r>
              <w:rPr>
                <w:rFonts w:hint="eastAsia" w:ascii="宋体" w:hAnsi="宋体" w:cs="宋体"/>
                <w:color w:val="FF0000"/>
                <w:szCs w:val="21"/>
                <w:u w:val="single"/>
              </w:rPr>
              <w:t>元(不含税)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szCs w:val="21"/>
              </w:rPr>
            </w:pPr>
            <w:r>
              <w:rPr>
                <w:rFonts w:hint="eastAsia" w:ascii="宋体" w:hAnsi="宋体" w:cs="宋体"/>
                <w:szCs w:val="21"/>
              </w:rPr>
              <w:t>7</w:t>
            </w:r>
          </w:p>
        </w:tc>
        <w:tc>
          <w:tcPr>
            <w:tcW w:w="1732" w:type="dxa"/>
            <w:vAlign w:val="center"/>
          </w:tcPr>
          <w:p>
            <w:pPr>
              <w:jc w:val="left"/>
              <w:rPr>
                <w:rFonts w:ascii="宋体" w:hAnsi="宋体" w:cs="宋体"/>
                <w:szCs w:val="21"/>
              </w:rPr>
            </w:pPr>
            <w:r>
              <w:rPr>
                <w:rFonts w:hint="eastAsia" w:ascii="宋体" w:hAnsi="宋体" w:cs="宋体"/>
                <w:szCs w:val="21"/>
              </w:rPr>
              <w:t>报价方式</w:t>
            </w:r>
          </w:p>
        </w:tc>
        <w:tc>
          <w:tcPr>
            <w:tcW w:w="7074" w:type="dxa"/>
            <w:vAlign w:val="center"/>
          </w:tcPr>
          <w:p>
            <w:pPr>
              <w:ind w:right="-3"/>
              <w:jc w:val="left"/>
              <w:rPr>
                <w:rFonts w:ascii="宋体" w:hAnsi="宋体" w:cs="宋体"/>
                <w:szCs w:val="21"/>
              </w:rPr>
            </w:pPr>
            <w:r>
              <w:rPr>
                <w:rFonts w:hint="eastAsia" w:ascii="宋体" w:hAnsi="宋体" w:cs="宋体"/>
                <w:szCs w:val="21"/>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70" w:type="dxa"/>
            <w:vAlign w:val="center"/>
          </w:tcPr>
          <w:p>
            <w:pPr>
              <w:jc w:val="center"/>
              <w:rPr>
                <w:rFonts w:ascii="宋体" w:hAnsi="宋体" w:cs="宋体"/>
                <w:szCs w:val="21"/>
              </w:rPr>
            </w:pPr>
            <w:r>
              <w:rPr>
                <w:rFonts w:hint="eastAsia" w:ascii="宋体" w:hAnsi="宋体" w:cs="宋体"/>
                <w:szCs w:val="21"/>
              </w:rPr>
              <w:t>8</w:t>
            </w:r>
          </w:p>
        </w:tc>
        <w:tc>
          <w:tcPr>
            <w:tcW w:w="1732" w:type="dxa"/>
            <w:vAlign w:val="center"/>
          </w:tcPr>
          <w:p>
            <w:pPr>
              <w:jc w:val="left"/>
              <w:rPr>
                <w:rFonts w:ascii="宋体" w:hAnsi="宋体" w:cs="宋体"/>
                <w:color w:val="FF0000"/>
                <w:szCs w:val="21"/>
              </w:rPr>
            </w:pPr>
            <w:r>
              <w:rPr>
                <w:rFonts w:hint="eastAsia" w:ascii="宋体" w:hAnsi="宋体" w:cs="宋体"/>
                <w:szCs w:val="21"/>
              </w:rPr>
              <w:t>服务期限</w:t>
            </w:r>
          </w:p>
        </w:tc>
        <w:tc>
          <w:tcPr>
            <w:tcW w:w="7074" w:type="dxa"/>
            <w:vAlign w:val="center"/>
          </w:tcPr>
          <w:p>
            <w:pPr>
              <w:ind w:right="-3"/>
              <w:jc w:val="left"/>
              <w:rPr>
                <w:rFonts w:hint="default" w:ascii="宋体" w:hAnsi="宋体" w:eastAsia="宋体" w:cs="宋体"/>
                <w:szCs w:val="21"/>
                <w:lang w:val="en-US" w:eastAsia="zh-CN"/>
              </w:rPr>
            </w:pPr>
            <w:r>
              <w:rPr>
                <w:rFonts w:hint="eastAsia" w:ascii="宋体" w:hAnsi="宋体" w:cs="宋体"/>
                <w:color w:val="FF0000"/>
                <w:szCs w:val="21"/>
                <w:lang w:val="en-US" w:eastAsia="zh-CN"/>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ascii="宋体" w:hAnsi="宋体" w:cs="宋体"/>
                <w:szCs w:val="21"/>
              </w:rPr>
            </w:pPr>
            <w:r>
              <w:rPr>
                <w:rFonts w:hint="eastAsia" w:ascii="宋体" w:hAnsi="宋体" w:cs="宋体"/>
                <w:szCs w:val="21"/>
              </w:rPr>
              <w:t>9</w:t>
            </w:r>
          </w:p>
        </w:tc>
        <w:tc>
          <w:tcPr>
            <w:tcW w:w="1732" w:type="dxa"/>
            <w:vAlign w:val="center"/>
          </w:tcPr>
          <w:p>
            <w:pPr>
              <w:jc w:val="left"/>
              <w:rPr>
                <w:rFonts w:ascii="宋体" w:hAnsi="宋体" w:cs="宋体"/>
                <w:szCs w:val="21"/>
              </w:rPr>
            </w:pPr>
            <w:r>
              <w:rPr>
                <w:rFonts w:hint="eastAsia" w:ascii="宋体" w:hAnsi="宋体" w:cs="宋体"/>
                <w:szCs w:val="21"/>
              </w:rPr>
              <w:t>比选申请人资格要求</w:t>
            </w:r>
          </w:p>
        </w:tc>
        <w:tc>
          <w:tcPr>
            <w:tcW w:w="7074" w:type="dxa"/>
            <w:vAlign w:val="center"/>
          </w:tcPr>
          <w:p>
            <w:pPr>
              <w:ind w:right="-3"/>
              <w:jc w:val="left"/>
              <w:rPr>
                <w:rFonts w:ascii="宋体" w:hAnsi="宋体" w:cs="宋体"/>
                <w:szCs w:val="21"/>
              </w:rPr>
            </w:pPr>
            <w:r>
              <w:rPr>
                <w:rFonts w:hint="eastAsia" w:ascii="宋体" w:hAnsi="宋体" w:cs="宋体"/>
                <w:szCs w:val="21"/>
              </w:rPr>
              <w:t>1、比选申请人为中华人民共和国境内依法设立的法人或其他组织,必须持有合法有效的财政部门颁发的会计师事务所执业证书。</w:t>
            </w:r>
            <w:r>
              <w:rPr>
                <w:rFonts w:hint="eastAsia" w:ascii="宋体" w:hAnsi="宋体" w:cs="宋体"/>
                <w:szCs w:val="21"/>
                <w:highlight w:val="none"/>
              </w:rPr>
              <w:t>没有处于被行政主管部门或业主取消比选申请资格的处罚期内，且没有处于被责令停业，财产被接管、破产状态；比选申请截止时间前3年内没有骗取中选、严重违约或重大质量安全责任事故的情况。且根据市国资委《关于印发南宁市人民政府国有资产监督管理委员会监管企业经济责任审计管理暂行办法》（南国资发〔2010〕10号）的规定，会计师事务所在3年内承担同一企业年度财务决算审计业务的不得参与经济责任审计项目。</w:t>
            </w:r>
            <w:r>
              <w:rPr>
                <w:rFonts w:hint="eastAsia" w:ascii="宋体" w:hAnsi="宋体" w:cs="宋体"/>
                <w:szCs w:val="21"/>
              </w:rPr>
              <w:t>若以分支机构参与投标，必须出具总部授权参与证明。</w:t>
            </w:r>
          </w:p>
          <w:p>
            <w:pPr>
              <w:ind w:right="-3"/>
              <w:jc w:val="left"/>
              <w:rPr>
                <w:rFonts w:ascii="宋体" w:hAnsi="宋体" w:cs="宋体"/>
                <w:szCs w:val="21"/>
              </w:rPr>
            </w:pPr>
            <w:r>
              <w:rPr>
                <w:rFonts w:hint="eastAsia" w:ascii="宋体" w:hAnsi="宋体" w:cs="宋体"/>
                <w:kern w:val="0"/>
                <w:szCs w:val="21"/>
              </w:rPr>
              <w:t>2、本次比选不接受联合体报价，母、子公司只允许其中一家公司参与比选申请；同一法人代表，只接受一家参与比选申请。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970" w:type="dxa"/>
            <w:vAlign w:val="center"/>
          </w:tcPr>
          <w:p>
            <w:pPr>
              <w:jc w:val="center"/>
              <w:rPr>
                <w:rFonts w:ascii="宋体" w:hAnsi="宋体" w:cs="宋体"/>
                <w:szCs w:val="21"/>
              </w:rPr>
            </w:pPr>
            <w:r>
              <w:rPr>
                <w:rFonts w:hint="eastAsia" w:ascii="宋体" w:hAnsi="宋体" w:cs="宋体"/>
                <w:szCs w:val="21"/>
              </w:rPr>
              <w:t>10</w:t>
            </w:r>
          </w:p>
        </w:tc>
        <w:tc>
          <w:tcPr>
            <w:tcW w:w="1732" w:type="dxa"/>
            <w:vAlign w:val="center"/>
          </w:tcPr>
          <w:p>
            <w:pPr>
              <w:jc w:val="left"/>
              <w:rPr>
                <w:rFonts w:ascii="宋体" w:hAnsi="宋体" w:cs="宋体"/>
                <w:szCs w:val="21"/>
              </w:rPr>
            </w:pPr>
            <w:r>
              <w:rPr>
                <w:rFonts w:hint="eastAsia" w:ascii="宋体" w:hAnsi="宋体" w:cs="宋体"/>
                <w:szCs w:val="21"/>
              </w:rPr>
              <w:t>获取比选文件方式</w:t>
            </w:r>
          </w:p>
        </w:tc>
        <w:tc>
          <w:tcPr>
            <w:tcW w:w="7074" w:type="dxa"/>
            <w:vAlign w:val="center"/>
          </w:tcPr>
          <w:p>
            <w:pPr>
              <w:jc w:val="left"/>
              <w:rPr>
                <w:rFonts w:ascii="宋体" w:hAnsi="宋体" w:cs="宋体"/>
                <w:szCs w:val="21"/>
              </w:rPr>
            </w:pPr>
            <w:r>
              <w:rPr>
                <w:rFonts w:hint="eastAsia" w:ascii="宋体" w:hAnsi="宋体" w:cs="宋体"/>
                <w:szCs w:val="21"/>
              </w:rPr>
              <w:t>本项目实行网上发布电子版比选文件，不出售纸质比选文件。凡有意参与的潜在比选申请人，请登录南宁轨道交通集团有限责任公司官网(</w:t>
            </w:r>
            <w:r>
              <w:rPr>
                <w:rFonts w:ascii="宋体" w:hAnsi="宋体" w:cs="宋体"/>
                <w:szCs w:val="21"/>
              </w:rPr>
              <w:t>http://www.nngdjt.com/</w:t>
            </w:r>
            <w:r>
              <w:rPr>
                <w:rFonts w:hint="eastAsia" w:ascii="宋体" w:hAnsi="宋体" w:cs="宋体"/>
                <w:szCs w:val="21"/>
              </w:rPr>
              <w:t>)的招标招商中的招标公告处下载比选文件。（见本公告附件）。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70" w:type="dxa"/>
            <w:vAlign w:val="center"/>
          </w:tcPr>
          <w:p>
            <w:pPr>
              <w:jc w:val="center"/>
              <w:rPr>
                <w:rFonts w:ascii="宋体" w:hAnsi="宋体" w:cs="宋体"/>
                <w:szCs w:val="21"/>
              </w:rPr>
            </w:pPr>
            <w:r>
              <w:rPr>
                <w:rFonts w:hint="eastAsia" w:ascii="宋体" w:hAnsi="宋体" w:cs="宋体"/>
                <w:szCs w:val="21"/>
              </w:rPr>
              <w:t>11</w:t>
            </w:r>
          </w:p>
        </w:tc>
        <w:tc>
          <w:tcPr>
            <w:tcW w:w="1732" w:type="dxa"/>
            <w:vAlign w:val="center"/>
          </w:tcPr>
          <w:p>
            <w:pPr>
              <w:jc w:val="left"/>
              <w:rPr>
                <w:rFonts w:ascii="宋体" w:hAnsi="宋体" w:cs="宋体"/>
                <w:szCs w:val="21"/>
              </w:rPr>
            </w:pPr>
            <w:r>
              <w:rPr>
                <w:rFonts w:hint="eastAsia" w:ascii="宋体" w:hAnsi="宋体" w:cs="宋体"/>
                <w:szCs w:val="21"/>
              </w:rPr>
              <w:t xml:space="preserve">比选有效期 </w:t>
            </w:r>
          </w:p>
        </w:tc>
        <w:tc>
          <w:tcPr>
            <w:tcW w:w="7074" w:type="dxa"/>
            <w:vAlign w:val="center"/>
          </w:tcPr>
          <w:p>
            <w:pPr>
              <w:ind w:right="753"/>
              <w:jc w:val="left"/>
              <w:rPr>
                <w:rFonts w:ascii="宋体" w:hAnsi="宋体" w:cs="宋体"/>
                <w:szCs w:val="21"/>
              </w:rPr>
            </w:pPr>
            <w:r>
              <w:rPr>
                <w:rFonts w:hint="eastAsia" w:ascii="宋体" w:hAnsi="宋体" w:cs="宋体"/>
                <w:szCs w:val="21"/>
              </w:rPr>
              <w:t>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ascii="宋体" w:hAnsi="宋体" w:cs="宋体"/>
                <w:szCs w:val="21"/>
              </w:rPr>
            </w:pPr>
            <w:r>
              <w:rPr>
                <w:rFonts w:hint="eastAsia" w:ascii="宋体" w:hAnsi="宋体" w:cs="宋体"/>
                <w:szCs w:val="21"/>
              </w:rPr>
              <w:t>12</w:t>
            </w:r>
          </w:p>
        </w:tc>
        <w:tc>
          <w:tcPr>
            <w:tcW w:w="1732" w:type="dxa"/>
            <w:vAlign w:val="center"/>
          </w:tcPr>
          <w:p>
            <w:pPr>
              <w:jc w:val="left"/>
              <w:rPr>
                <w:rFonts w:ascii="宋体" w:hAnsi="宋体" w:cs="宋体"/>
                <w:szCs w:val="21"/>
              </w:rPr>
            </w:pPr>
            <w:r>
              <w:rPr>
                <w:rFonts w:hint="eastAsia" w:ascii="宋体" w:hAnsi="宋体" w:cs="宋体"/>
                <w:szCs w:val="21"/>
              </w:rPr>
              <w:t>比选申请文件份数</w:t>
            </w:r>
          </w:p>
        </w:tc>
        <w:tc>
          <w:tcPr>
            <w:tcW w:w="7074" w:type="dxa"/>
            <w:vAlign w:val="center"/>
          </w:tcPr>
          <w:p>
            <w:pPr>
              <w:ind w:right="753"/>
              <w:jc w:val="left"/>
              <w:rPr>
                <w:rFonts w:ascii="宋体" w:hAnsi="宋体" w:cs="宋体"/>
                <w:szCs w:val="21"/>
              </w:rPr>
            </w:pPr>
            <w:r>
              <w:rPr>
                <w:rFonts w:hint="eastAsia" w:ascii="宋体" w:hAnsi="宋体" w:cs="宋体"/>
                <w:szCs w:val="21"/>
              </w:rPr>
              <w:t>纸质版一式五份，其中正本一份、副本四份（中选后提交电子版）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70" w:type="dxa"/>
            <w:vAlign w:val="center"/>
          </w:tcPr>
          <w:p>
            <w:pPr>
              <w:jc w:val="center"/>
              <w:rPr>
                <w:rFonts w:ascii="宋体" w:hAnsi="宋体" w:cs="宋体"/>
                <w:szCs w:val="21"/>
              </w:rPr>
            </w:pPr>
            <w:r>
              <w:rPr>
                <w:rFonts w:hint="eastAsia" w:ascii="宋体" w:hAnsi="宋体" w:cs="宋体"/>
                <w:szCs w:val="21"/>
              </w:rPr>
              <w:t>13</w:t>
            </w:r>
          </w:p>
        </w:tc>
        <w:tc>
          <w:tcPr>
            <w:tcW w:w="1732" w:type="dxa"/>
            <w:vAlign w:val="center"/>
          </w:tcPr>
          <w:p>
            <w:pPr>
              <w:jc w:val="left"/>
              <w:rPr>
                <w:rFonts w:ascii="宋体" w:hAnsi="宋体" w:cs="宋体"/>
                <w:szCs w:val="21"/>
              </w:rPr>
            </w:pPr>
            <w:r>
              <w:rPr>
                <w:rFonts w:hint="eastAsia" w:ascii="宋体" w:hAnsi="宋体" w:cs="宋体"/>
                <w:szCs w:val="21"/>
              </w:rPr>
              <w:t>比选申请文件递交地址</w:t>
            </w:r>
          </w:p>
        </w:tc>
        <w:tc>
          <w:tcPr>
            <w:tcW w:w="7074" w:type="dxa"/>
            <w:vAlign w:val="center"/>
          </w:tcPr>
          <w:p>
            <w:pPr>
              <w:ind w:right="-3"/>
              <w:jc w:val="left"/>
              <w:rPr>
                <w:rFonts w:ascii="宋体" w:hAnsi="宋体" w:cs="宋体"/>
                <w:b/>
                <w:color w:val="FF0000"/>
                <w:szCs w:val="21"/>
              </w:rPr>
            </w:pPr>
            <w:r>
              <w:rPr>
                <w:rFonts w:hint="eastAsia" w:ascii="宋体" w:hAnsi="宋体" w:cs="宋体"/>
                <w:b/>
                <w:szCs w:val="21"/>
              </w:rPr>
              <w:t>地点：广西南宁市云景路69号南宁轨道交通集团有限责任公司A2栋104会议室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ascii="宋体" w:hAnsi="宋体" w:cs="宋体"/>
                <w:szCs w:val="21"/>
              </w:rPr>
            </w:pPr>
            <w:r>
              <w:rPr>
                <w:rFonts w:hint="eastAsia" w:ascii="宋体" w:hAnsi="宋体" w:cs="宋体"/>
                <w:szCs w:val="21"/>
              </w:rPr>
              <w:t>14</w:t>
            </w:r>
          </w:p>
        </w:tc>
        <w:tc>
          <w:tcPr>
            <w:tcW w:w="1732" w:type="dxa"/>
            <w:shd w:val="clear" w:color="auto" w:fill="FFFFFF" w:themeFill="background1"/>
            <w:vAlign w:val="center"/>
          </w:tcPr>
          <w:p>
            <w:pPr>
              <w:jc w:val="left"/>
              <w:rPr>
                <w:rFonts w:hint="eastAsia" w:ascii="宋体" w:hAnsi="宋体" w:eastAsia="宋体" w:cs="宋体"/>
                <w:szCs w:val="21"/>
                <w:lang w:eastAsia="zh-CN"/>
              </w:rPr>
            </w:pPr>
            <w:r>
              <w:rPr>
                <w:rFonts w:hint="eastAsia" w:ascii="宋体" w:hAnsi="宋体" w:cs="宋体"/>
                <w:szCs w:val="21"/>
              </w:rPr>
              <w:t>比选申请文件递交</w:t>
            </w:r>
            <w:r>
              <w:rPr>
                <w:rFonts w:hint="eastAsia" w:ascii="宋体" w:hAnsi="宋体" w:cs="宋体"/>
                <w:szCs w:val="21"/>
                <w:lang w:val="en-US" w:eastAsia="zh-CN"/>
              </w:rPr>
              <w:t>时间</w:t>
            </w:r>
          </w:p>
        </w:tc>
        <w:tc>
          <w:tcPr>
            <w:tcW w:w="7074" w:type="dxa"/>
            <w:shd w:val="clear" w:color="auto" w:fill="FFFFFF" w:themeFill="background1"/>
            <w:vAlign w:val="center"/>
          </w:tcPr>
          <w:p>
            <w:pPr>
              <w:ind w:right="753"/>
              <w:jc w:val="left"/>
              <w:rPr>
                <w:rFonts w:ascii="宋体" w:hAnsi="宋体" w:cs="宋体"/>
                <w:color w:val="FF0000"/>
                <w:szCs w:val="21"/>
              </w:rPr>
            </w:pPr>
            <w:r>
              <w:rPr>
                <w:rFonts w:hint="eastAsia" w:ascii="宋体" w:hAnsi="宋体" w:cs="宋体"/>
                <w:color w:val="FF0000"/>
                <w:szCs w:val="21"/>
                <w:lang w:val="en-US" w:eastAsia="zh-CN"/>
              </w:rPr>
              <w:t>2023</w:t>
            </w:r>
            <w:r>
              <w:rPr>
                <w:rFonts w:hint="eastAsia" w:ascii="宋体" w:hAnsi="宋体" w:cs="宋体"/>
                <w:color w:val="FF0000"/>
                <w:szCs w:val="21"/>
              </w:rPr>
              <w:t xml:space="preserve">年 </w:t>
            </w:r>
            <w:r>
              <w:rPr>
                <w:rFonts w:hint="eastAsia" w:ascii="宋体" w:hAnsi="宋体" w:cs="宋体"/>
                <w:color w:val="FF0000"/>
                <w:szCs w:val="21"/>
                <w:lang w:val="en-US" w:eastAsia="zh-CN"/>
              </w:rPr>
              <w:t xml:space="preserve">3 </w:t>
            </w:r>
            <w:r>
              <w:rPr>
                <w:rFonts w:hint="eastAsia" w:ascii="宋体" w:hAnsi="宋体" w:cs="宋体"/>
                <w:color w:val="FF0000"/>
                <w:szCs w:val="21"/>
              </w:rPr>
              <w:t xml:space="preserve">月 </w:t>
            </w:r>
            <w:r>
              <w:rPr>
                <w:rFonts w:hint="eastAsia" w:ascii="宋体" w:hAnsi="宋体" w:cs="宋体"/>
                <w:color w:val="FF0000"/>
                <w:szCs w:val="21"/>
                <w:lang w:val="en-US" w:eastAsia="zh-CN"/>
              </w:rPr>
              <w:t>28</w:t>
            </w:r>
            <w:r>
              <w:rPr>
                <w:rFonts w:hint="eastAsia" w:ascii="宋体" w:hAnsi="宋体" w:cs="宋体"/>
                <w:color w:val="FF0000"/>
                <w:szCs w:val="21"/>
              </w:rPr>
              <w:t xml:space="preserve"> 日上午</w:t>
            </w:r>
            <w:r>
              <w:rPr>
                <w:rFonts w:ascii="宋体" w:hAnsi="宋体" w:cs="宋体"/>
                <w:color w:val="FF0000"/>
                <w:szCs w:val="21"/>
              </w:rPr>
              <w:t>8</w:t>
            </w:r>
            <w:r>
              <w:rPr>
                <w:rFonts w:hint="eastAsia" w:ascii="宋体" w:hAnsi="宋体" w:cs="宋体"/>
                <w:color w:val="FF0000"/>
                <w:szCs w:val="21"/>
              </w:rPr>
              <w:t>:3</w:t>
            </w:r>
            <w:r>
              <w:rPr>
                <w:rFonts w:ascii="宋体" w:hAnsi="宋体" w:cs="宋体"/>
                <w:color w:val="FF0000"/>
                <w:szCs w:val="21"/>
              </w:rPr>
              <w:t>0</w:t>
            </w:r>
            <w:r>
              <w:rPr>
                <w:rFonts w:hint="eastAsia" w:ascii="宋体" w:hAnsi="宋体" w:cs="宋体"/>
                <w:color w:val="FF0000"/>
                <w:szCs w:val="21"/>
              </w:rPr>
              <w:t>-</w:t>
            </w:r>
            <w:r>
              <w:rPr>
                <w:rFonts w:ascii="宋体" w:hAnsi="宋体" w:cs="宋体"/>
                <w:color w:val="FF0000"/>
                <w:szCs w:val="21"/>
              </w:rPr>
              <w:t>9</w:t>
            </w:r>
            <w:r>
              <w:rPr>
                <w:rFonts w:hint="eastAsia" w:ascii="宋体" w:hAnsi="宋体" w:cs="宋体"/>
                <w:color w:val="FF0000"/>
                <w:szCs w:val="21"/>
              </w:rPr>
              <w:t>:</w:t>
            </w:r>
            <w:r>
              <w:rPr>
                <w:rFonts w:ascii="宋体" w:hAnsi="宋体" w:cs="宋体"/>
                <w:color w:val="FF0000"/>
                <w:szCs w:val="21"/>
              </w:rPr>
              <w:t>00</w:t>
            </w:r>
            <w:r>
              <w:rPr>
                <w:rFonts w:hint="eastAsia" w:ascii="宋体" w:hAnsi="宋体" w:cs="宋体"/>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ascii="宋体" w:hAnsi="宋体" w:cs="宋体"/>
                <w:szCs w:val="21"/>
              </w:rPr>
            </w:pPr>
            <w:r>
              <w:rPr>
                <w:rFonts w:hint="eastAsia" w:ascii="宋体" w:hAnsi="宋体" w:cs="宋体"/>
                <w:szCs w:val="21"/>
              </w:rPr>
              <w:t>15</w:t>
            </w:r>
          </w:p>
        </w:tc>
        <w:tc>
          <w:tcPr>
            <w:tcW w:w="1732" w:type="dxa"/>
            <w:shd w:val="clear" w:color="auto" w:fill="FFFFFF" w:themeFill="background1"/>
            <w:vAlign w:val="center"/>
          </w:tcPr>
          <w:p>
            <w:pPr>
              <w:jc w:val="left"/>
              <w:rPr>
                <w:rFonts w:ascii="宋体" w:hAnsi="宋体" w:cs="宋体"/>
                <w:szCs w:val="21"/>
              </w:rPr>
            </w:pPr>
            <w:r>
              <w:rPr>
                <w:rFonts w:hint="eastAsia" w:ascii="宋体" w:hAnsi="宋体" w:cs="宋体"/>
                <w:szCs w:val="21"/>
              </w:rPr>
              <w:t xml:space="preserve">比选时间、地点          </w:t>
            </w:r>
          </w:p>
        </w:tc>
        <w:tc>
          <w:tcPr>
            <w:tcW w:w="7074" w:type="dxa"/>
            <w:shd w:val="clear" w:color="auto" w:fill="FFFFFF" w:themeFill="background1"/>
            <w:vAlign w:val="center"/>
          </w:tcPr>
          <w:p>
            <w:pPr>
              <w:ind w:right="-3"/>
              <w:jc w:val="left"/>
              <w:rPr>
                <w:rFonts w:ascii="宋体" w:hAnsi="宋体" w:cs="宋体"/>
                <w:color w:val="FF0000"/>
                <w:szCs w:val="21"/>
              </w:rPr>
            </w:pPr>
            <w:r>
              <w:rPr>
                <w:rFonts w:hint="eastAsia" w:ascii="宋体" w:hAnsi="宋体" w:cs="宋体"/>
                <w:color w:val="FF0000"/>
                <w:szCs w:val="21"/>
              </w:rPr>
              <w:t>时间：</w:t>
            </w:r>
            <w:r>
              <w:rPr>
                <w:rFonts w:hint="eastAsia" w:ascii="宋体" w:hAnsi="宋体" w:cs="宋体"/>
                <w:color w:val="FF0000"/>
                <w:szCs w:val="21"/>
                <w:lang w:val="en-US" w:eastAsia="zh-CN"/>
              </w:rPr>
              <w:t>2023</w:t>
            </w:r>
            <w:r>
              <w:rPr>
                <w:rFonts w:hint="eastAsia" w:ascii="宋体" w:hAnsi="宋体" w:cs="宋体"/>
                <w:color w:val="FF0000"/>
                <w:szCs w:val="21"/>
              </w:rPr>
              <w:t xml:space="preserve">年 </w:t>
            </w:r>
            <w:r>
              <w:rPr>
                <w:rFonts w:hint="eastAsia" w:ascii="宋体" w:hAnsi="宋体" w:cs="宋体"/>
                <w:color w:val="FF0000"/>
                <w:szCs w:val="21"/>
                <w:lang w:val="en-US" w:eastAsia="zh-CN"/>
              </w:rPr>
              <w:t>3</w:t>
            </w:r>
            <w:r>
              <w:rPr>
                <w:rFonts w:hint="eastAsia" w:ascii="宋体" w:hAnsi="宋体" w:cs="宋体"/>
                <w:color w:val="FF0000"/>
                <w:szCs w:val="21"/>
              </w:rPr>
              <w:t xml:space="preserve"> 月 </w:t>
            </w:r>
            <w:r>
              <w:rPr>
                <w:rFonts w:hint="eastAsia" w:ascii="宋体" w:hAnsi="宋体" w:cs="宋体"/>
                <w:color w:val="FF0000"/>
                <w:szCs w:val="21"/>
                <w:lang w:val="en-US" w:eastAsia="zh-CN"/>
              </w:rPr>
              <w:t>28</w:t>
            </w:r>
            <w:bookmarkStart w:id="451" w:name="_GoBack"/>
            <w:bookmarkEnd w:id="451"/>
            <w:r>
              <w:rPr>
                <w:rFonts w:hint="eastAsia" w:ascii="宋体" w:hAnsi="宋体" w:cs="宋体"/>
                <w:color w:val="FF0000"/>
                <w:szCs w:val="21"/>
              </w:rPr>
              <w:t xml:space="preserve"> 日上午</w:t>
            </w:r>
            <w:r>
              <w:rPr>
                <w:rFonts w:ascii="宋体" w:hAnsi="宋体" w:cs="宋体"/>
                <w:color w:val="FF0000"/>
                <w:szCs w:val="21"/>
              </w:rPr>
              <w:t>9:00</w:t>
            </w:r>
          </w:p>
          <w:p>
            <w:pPr>
              <w:ind w:right="-3"/>
              <w:jc w:val="left"/>
              <w:rPr>
                <w:rFonts w:ascii="宋体" w:hAnsi="宋体" w:cs="宋体"/>
                <w:color w:val="FF0000"/>
                <w:szCs w:val="21"/>
              </w:rPr>
            </w:pPr>
            <w:r>
              <w:rPr>
                <w:rFonts w:hint="eastAsia" w:ascii="宋体" w:hAnsi="宋体" w:cs="宋体"/>
                <w:color w:val="FF0000"/>
                <w:szCs w:val="21"/>
              </w:rPr>
              <w:t>地点：广西南宁市云景路69号南宁轨道交通集团有限责任公司A2栋104会议室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szCs w:val="21"/>
              </w:rPr>
            </w:pPr>
            <w:r>
              <w:rPr>
                <w:rFonts w:hint="eastAsia" w:ascii="宋体" w:hAnsi="宋体" w:cs="宋体"/>
                <w:szCs w:val="21"/>
              </w:rPr>
              <w:t>16</w:t>
            </w:r>
          </w:p>
        </w:tc>
        <w:tc>
          <w:tcPr>
            <w:tcW w:w="1732" w:type="dxa"/>
            <w:vAlign w:val="center"/>
          </w:tcPr>
          <w:p>
            <w:pPr>
              <w:jc w:val="left"/>
              <w:rPr>
                <w:rFonts w:ascii="宋体" w:hAnsi="宋体" w:cs="宋体"/>
                <w:szCs w:val="21"/>
              </w:rPr>
            </w:pPr>
            <w:r>
              <w:rPr>
                <w:rFonts w:hint="eastAsia" w:ascii="宋体" w:hAnsi="宋体" w:cs="宋体"/>
                <w:szCs w:val="21"/>
              </w:rPr>
              <w:t>评比办法</w:t>
            </w:r>
          </w:p>
        </w:tc>
        <w:tc>
          <w:tcPr>
            <w:tcW w:w="7074" w:type="dxa"/>
            <w:vAlign w:val="center"/>
          </w:tcPr>
          <w:p>
            <w:pPr>
              <w:ind w:right="753"/>
              <w:jc w:val="left"/>
              <w:rPr>
                <w:rFonts w:ascii="宋体" w:hAnsi="宋体" w:cs="宋体"/>
                <w:szCs w:val="21"/>
              </w:rPr>
            </w:pPr>
            <w:r>
              <w:rPr>
                <w:rFonts w:hint="eastAsia" w:ascii="宋体" w:hAnsi="宋体" w:cs="宋体"/>
                <w:szCs w:val="21"/>
              </w:rPr>
              <w:t xml:space="preserve">综合评分办法（详见第四章）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ascii="宋体" w:hAnsi="宋体" w:cs="宋体"/>
                <w:szCs w:val="21"/>
              </w:rPr>
            </w:pPr>
            <w:r>
              <w:rPr>
                <w:rFonts w:hint="eastAsia" w:ascii="宋体" w:hAnsi="宋体" w:cs="宋体"/>
                <w:szCs w:val="21"/>
              </w:rPr>
              <w:t>17</w:t>
            </w:r>
          </w:p>
        </w:tc>
        <w:tc>
          <w:tcPr>
            <w:tcW w:w="1732" w:type="dxa"/>
            <w:vAlign w:val="center"/>
          </w:tcPr>
          <w:p>
            <w:pPr>
              <w:jc w:val="left"/>
              <w:rPr>
                <w:rFonts w:ascii="宋体" w:hAnsi="宋体" w:cs="宋体"/>
                <w:szCs w:val="21"/>
              </w:rPr>
            </w:pPr>
            <w:r>
              <w:rPr>
                <w:rFonts w:hint="eastAsia" w:ascii="宋体" w:hAnsi="宋体" w:cs="宋体"/>
                <w:szCs w:val="21"/>
              </w:rPr>
              <w:t>中选通知</w:t>
            </w:r>
          </w:p>
        </w:tc>
        <w:tc>
          <w:tcPr>
            <w:tcW w:w="7074" w:type="dxa"/>
          </w:tcPr>
          <w:p>
            <w:pPr>
              <w:ind w:right="-3"/>
              <w:jc w:val="left"/>
              <w:rPr>
                <w:rFonts w:ascii="宋体" w:hAnsi="宋体" w:cs="宋体"/>
                <w:szCs w:val="21"/>
              </w:rPr>
            </w:pPr>
            <w:r>
              <w:rPr>
                <w:rFonts w:hint="eastAsia" w:ascii="宋体" w:hAnsi="宋体" w:cs="宋体"/>
                <w:szCs w:val="21"/>
              </w:rPr>
              <w:t>比选人根据评比委员会的评比结果在比选有效期内向中选的比选申请人发出中选通知书。</w:t>
            </w:r>
          </w:p>
          <w:p>
            <w:pPr>
              <w:ind w:right="-3"/>
              <w:jc w:val="left"/>
              <w:rPr>
                <w:rFonts w:ascii="宋体" w:hAnsi="宋体" w:cs="宋体"/>
                <w:szCs w:val="21"/>
              </w:rPr>
            </w:pPr>
            <w:r>
              <w:rPr>
                <w:rFonts w:hint="eastAsia" w:ascii="宋体" w:hAnsi="宋体" w:cs="宋体"/>
                <w:szCs w:val="21"/>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70" w:type="dxa"/>
            <w:vAlign w:val="center"/>
          </w:tcPr>
          <w:p>
            <w:pPr>
              <w:jc w:val="center"/>
              <w:rPr>
                <w:rFonts w:ascii="宋体" w:hAnsi="宋体" w:cs="宋体"/>
                <w:szCs w:val="21"/>
              </w:rPr>
            </w:pPr>
            <w:r>
              <w:rPr>
                <w:rFonts w:hint="eastAsia" w:ascii="宋体" w:hAnsi="宋体" w:cs="宋体"/>
                <w:szCs w:val="21"/>
              </w:rPr>
              <w:t>18</w:t>
            </w:r>
          </w:p>
        </w:tc>
        <w:tc>
          <w:tcPr>
            <w:tcW w:w="1732" w:type="dxa"/>
            <w:vAlign w:val="center"/>
          </w:tcPr>
          <w:p>
            <w:pPr>
              <w:spacing w:line="240" w:lineRule="exact"/>
              <w:jc w:val="left"/>
              <w:rPr>
                <w:rFonts w:ascii="宋体" w:hAnsi="宋体"/>
                <w:szCs w:val="21"/>
              </w:rPr>
            </w:pPr>
            <w:r>
              <w:rPr>
                <w:rFonts w:hint="eastAsia" w:ascii="宋体" w:hAnsi="宋体"/>
                <w:szCs w:val="21"/>
              </w:rPr>
              <w:t>比选保证金</w:t>
            </w:r>
          </w:p>
        </w:tc>
        <w:tc>
          <w:tcPr>
            <w:tcW w:w="7074" w:type="dxa"/>
            <w:vAlign w:val="center"/>
          </w:tcPr>
          <w:p>
            <w:pPr>
              <w:spacing w:line="240" w:lineRule="exact"/>
              <w:rPr>
                <w:rFonts w:ascii="宋体" w:hAnsi="宋体"/>
                <w:szCs w:val="21"/>
              </w:rPr>
            </w:pPr>
            <w:r>
              <w:rPr>
                <w:rFonts w:hint="eastAsia" w:ascii="宋体" w:hAnsi="宋体"/>
                <w:szCs w:val="21"/>
              </w:rPr>
              <w:t>本项目不设比选保证金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70" w:type="dxa"/>
            <w:vAlign w:val="center"/>
          </w:tcPr>
          <w:p>
            <w:pPr>
              <w:jc w:val="center"/>
              <w:rPr>
                <w:rFonts w:ascii="宋体" w:hAnsi="宋体" w:cs="宋体"/>
                <w:szCs w:val="21"/>
              </w:rPr>
            </w:pPr>
            <w:r>
              <w:rPr>
                <w:rFonts w:hint="eastAsia" w:ascii="宋体" w:hAnsi="宋体" w:cs="宋体"/>
                <w:szCs w:val="21"/>
              </w:rPr>
              <w:t>19</w:t>
            </w:r>
          </w:p>
        </w:tc>
        <w:tc>
          <w:tcPr>
            <w:tcW w:w="1732" w:type="dxa"/>
            <w:vAlign w:val="center"/>
          </w:tcPr>
          <w:p>
            <w:pPr>
              <w:spacing w:line="240" w:lineRule="exact"/>
              <w:jc w:val="left"/>
              <w:rPr>
                <w:rFonts w:ascii="宋体" w:hAnsi="宋体"/>
                <w:szCs w:val="21"/>
              </w:rPr>
            </w:pPr>
            <w:r>
              <w:rPr>
                <w:rFonts w:hint="eastAsia" w:ascii="宋体" w:hAnsi="宋体"/>
                <w:szCs w:val="21"/>
              </w:rPr>
              <w:t>履约保证金</w:t>
            </w:r>
          </w:p>
        </w:tc>
        <w:tc>
          <w:tcPr>
            <w:tcW w:w="7074" w:type="dxa"/>
            <w:vAlign w:val="center"/>
          </w:tcPr>
          <w:p>
            <w:pPr>
              <w:spacing w:line="240" w:lineRule="exact"/>
              <w:jc w:val="left"/>
              <w:rPr>
                <w:rFonts w:ascii="宋体" w:hAnsi="宋体"/>
                <w:szCs w:val="21"/>
              </w:rPr>
            </w:pPr>
            <w:r>
              <w:rPr>
                <w:rFonts w:hint="eastAsia" w:ascii="宋体" w:hAnsi="宋体"/>
                <w:szCs w:val="21"/>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70" w:type="dxa"/>
            <w:vAlign w:val="center"/>
          </w:tcPr>
          <w:p>
            <w:pPr>
              <w:jc w:val="center"/>
              <w:rPr>
                <w:rFonts w:ascii="宋体" w:hAnsi="宋体" w:cs="宋体"/>
                <w:szCs w:val="21"/>
              </w:rPr>
            </w:pPr>
            <w:r>
              <w:rPr>
                <w:rFonts w:hint="eastAsia" w:ascii="宋体" w:hAnsi="宋体" w:cs="宋体"/>
                <w:szCs w:val="21"/>
              </w:rPr>
              <w:t>20</w:t>
            </w:r>
          </w:p>
        </w:tc>
        <w:tc>
          <w:tcPr>
            <w:tcW w:w="1732" w:type="dxa"/>
            <w:vAlign w:val="center"/>
          </w:tcPr>
          <w:p>
            <w:pPr>
              <w:jc w:val="left"/>
              <w:rPr>
                <w:rFonts w:ascii="宋体" w:hAnsi="宋体" w:cs="宋体"/>
                <w:color w:val="FF0000"/>
                <w:szCs w:val="21"/>
              </w:rPr>
            </w:pPr>
            <w:r>
              <w:rPr>
                <w:rFonts w:hint="eastAsia" w:ascii="宋体" w:hAnsi="宋体" w:cs="宋体"/>
                <w:color w:val="FF0000"/>
                <w:szCs w:val="21"/>
              </w:rPr>
              <w:t>联系方式</w:t>
            </w:r>
          </w:p>
        </w:tc>
        <w:tc>
          <w:tcPr>
            <w:tcW w:w="7074" w:type="dxa"/>
            <w:vAlign w:val="center"/>
          </w:tcPr>
          <w:p>
            <w:pPr>
              <w:ind w:right="-82"/>
              <w:jc w:val="left"/>
              <w:rPr>
                <w:rFonts w:ascii="宋体"/>
                <w:szCs w:val="21"/>
                <w:highlight w:val="none"/>
              </w:rPr>
            </w:pPr>
            <w:r>
              <w:rPr>
                <w:rFonts w:hint="eastAsia" w:ascii="宋体" w:hAnsi="宋体"/>
                <w:szCs w:val="21"/>
                <w:highlight w:val="none"/>
              </w:rPr>
              <w:t>南宁轨道交通集团有限责任公司审计部</w:t>
            </w:r>
            <w:r>
              <w:rPr>
                <w:rFonts w:ascii="宋体" w:hAnsi="宋体"/>
                <w:szCs w:val="21"/>
                <w:highlight w:val="none"/>
              </w:rPr>
              <w:t>/</w:t>
            </w:r>
            <w:r>
              <w:rPr>
                <w:rFonts w:hint="eastAsia" w:ascii="宋体" w:hAnsi="宋体"/>
                <w:szCs w:val="21"/>
                <w:highlight w:val="none"/>
              </w:rPr>
              <w:t>监事会工作部</w:t>
            </w:r>
            <w:r>
              <w:rPr>
                <w:rFonts w:ascii="宋体" w:hAnsi="宋体"/>
                <w:szCs w:val="21"/>
                <w:highlight w:val="none"/>
              </w:rPr>
              <w:t xml:space="preserve"> </w:t>
            </w:r>
          </w:p>
          <w:p>
            <w:pPr>
              <w:ind w:right="753"/>
              <w:jc w:val="left"/>
              <w:rPr>
                <w:rFonts w:hint="eastAsia" w:ascii="宋体" w:hAnsi="宋体" w:cs="宋体"/>
                <w:i w:val="0"/>
                <w:iCs w:val="0"/>
                <w:color w:val="FF0000"/>
                <w:szCs w:val="21"/>
                <w:lang w:val="en-US" w:eastAsia="zh-CN"/>
              </w:rPr>
            </w:pPr>
            <w:r>
              <w:rPr>
                <w:rFonts w:hint="eastAsia" w:ascii="宋体" w:hAnsi="宋体" w:cs="宋体"/>
                <w:i w:val="0"/>
                <w:iCs w:val="0"/>
                <w:color w:val="FF0000"/>
                <w:szCs w:val="21"/>
                <w:lang w:val="en-US" w:eastAsia="zh-CN"/>
              </w:rPr>
              <w:t xml:space="preserve">覃工 0771-2778524 </w:t>
            </w:r>
          </w:p>
          <w:p>
            <w:pPr>
              <w:ind w:right="753"/>
              <w:jc w:val="left"/>
              <w:rPr>
                <w:rFonts w:hint="default" w:ascii="宋体" w:hAnsi="宋体" w:eastAsia="宋体" w:cs="宋体"/>
                <w:color w:val="FF0000"/>
                <w:szCs w:val="21"/>
                <w:lang w:val="en-US" w:eastAsia="zh-CN"/>
              </w:rPr>
            </w:pPr>
            <w:r>
              <w:rPr>
                <w:rFonts w:hint="eastAsia" w:ascii="宋体" w:hAnsi="宋体" w:cs="宋体"/>
                <w:i w:val="0"/>
                <w:iCs w:val="0"/>
                <w:color w:val="FF0000"/>
                <w:szCs w:val="21"/>
                <w:lang w:val="en-US" w:eastAsia="zh-CN"/>
              </w:rPr>
              <w:t>邮箱：nngdsjb902@163.com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70" w:type="dxa"/>
            <w:vAlign w:val="center"/>
          </w:tcPr>
          <w:p>
            <w:pPr>
              <w:jc w:val="center"/>
              <w:rPr>
                <w:rFonts w:ascii="宋体" w:hAnsi="宋体" w:cs="宋体"/>
                <w:szCs w:val="21"/>
              </w:rPr>
            </w:pPr>
            <w:r>
              <w:rPr>
                <w:rFonts w:hint="eastAsia" w:ascii="宋体" w:hAnsi="宋体" w:cs="宋体"/>
                <w:szCs w:val="21"/>
              </w:rPr>
              <w:t>21</w:t>
            </w:r>
          </w:p>
        </w:tc>
        <w:tc>
          <w:tcPr>
            <w:tcW w:w="1732" w:type="dxa"/>
            <w:vAlign w:val="center"/>
          </w:tcPr>
          <w:p>
            <w:pPr>
              <w:jc w:val="left"/>
              <w:rPr>
                <w:rFonts w:ascii="宋体" w:hAnsi="宋体" w:cs="宋体"/>
                <w:szCs w:val="21"/>
              </w:rPr>
            </w:pPr>
            <w:r>
              <w:rPr>
                <w:rFonts w:hint="eastAsia" w:ascii="宋体" w:hAnsi="宋体" w:cs="宋体"/>
                <w:szCs w:val="21"/>
              </w:rPr>
              <w:t>其他事项</w:t>
            </w:r>
          </w:p>
        </w:tc>
        <w:tc>
          <w:tcPr>
            <w:tcW w:w="7074" w:type="dxa"/>
            <w:vAlign w:val="center"/>
          </w:tcPr>
          <w:p>
            <w:pPr>
              <w:ind w:right="-3"/>
              <w:jc w:val="left"/>
              <w:rPr>
                <w:rFonts w:ascii="宋体" w:hAnsi="宋体" w:cs="宋体"/>
                <w:color w:val="FF0000"/>
                <w:szCs w:val="21"/>
              </w:rPr>
            </w:pPr>
            <w:r>
              <w:rPr>
                <w:rFonts w:hint="eastAsia" w:ascii="宋体" w:hAnsi="宋体" w:cs="宋体"/>
                <w:b/>
                <w:szCs w:val="21"/>
              </w:rPr>
              <w:t>中选单位如放弃中选资格，则比选发起人有权将其列入不良行为记录名单、一年内禁止其参加比选发起人的任何采购活动。</w:t>
            </w:r>
          </w:p>
        </w:tc>
      </w:tr>
    </w:tbl>
    <w:p>
      <w:bookmarkStart w:id="40" w:name="_Toc28086"/>
      <w:bookmarkStart w:id="41" w:name="_Toc471482361"/>
      <w:bookmarkStart w:id="42" w:name="_Toc18983"/>
      <w:bookmarkStart w:id="43" w:name="_Toc30162"/>
      <w:bookmarkStart w:id="44" w:name="_Toc12506"/>
      <w:bookmarkStart w:id="45" w:name="_Toc20803"/>
      <w:bookmarkStart w:id="46" w:name="_Toc26201"/>
      <w:bookmarkStart w:id="47" w:name="_Toc336"/>
      <w:bookmarkStart w:id="48" w:name="_Toc3861"/>
      <w:bookmarkStart w:id="49" w:name="_Toc16198"/>
      <w:bookmarkStart w:id="50" w:name="_Toc12419"/>
      <w:bookmarkStart w:id="51" w:name="_Toc461525297"/>
      <w:bookmarkStart w:id="52" w:name="_Toc32363"/>
      <w:bookmarkStart w:id="53" w:name="_Toc6681"/>
    </w:p>
    <w:p/>
    <w:p/>
    <w:p>
      <w:pPr>
        <w:pStyle w:val="4"/>
        <w:jc w:val="center"/>
        <w:rPr>
          <w:sz w:val="21"/>
          <w:szCs w:val="21"/>
        </w:rPr>
      </w:pPr>
      <w:r>
        <w:rPr>
          <w:rFonts w:hint="eastAsia"/>
          <w:sz w:val="21"/>
          <w:szCs w:val="21"/>
        </w:rPr>
        <w:t>一、</w:t>
      </w:r>
      <w:r>
        <w:rPr>
          <w:sz w:val="21"/>
          <w:szCs w:val="21"/>
        </w:rPr>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ind w:right="753"/>
        <w:jc w:val="left"/>
        <w:rPr>
          <w:rFonts w:ascii="宋体" w:hAnsi="宋体" w:cs="宋体"/>
          <w:szCs w:val="21"/>
        </w:rPr>
      </w:pPr>
      <w:bookmarkStart w:id="54" w:name="_Toc114052340"/>
      <w:bookmarkStart w:id="55" w:name="_Toc114052414"/>
      <w:bookmarkStart w:id="56" w:name="_Toc286386834"/>
      <w:bookmarkStart w:id="57" w:name="_Toc310318572"/>
      <w:r>
        <w:rPr>
          <w:rFonts w:hint="eastAsia" w:ascii="宋体" w:hAnsi="宋体" w:cs="宋体"/>
          <w:szCs w:val="21"/>
        </w:rPr>
        <w:t xml:space="preserve">    1.项目比选说明</w:t>
      </w:r>
      <w:bookmarkEnd w:id="54"/>
      <w:bookmarkEnd w:id="55"/>
      <w:bookmarkEnd w:id="56"/>
      <w:bookmarkEnd w:id="57"/>
    </w:p>
    <w:p>
      <w:pPr>
        <w:ind w:right="-21"/>
        <w:jc w:val="left"/>
        <w:rPr>
          <w:rFonts w:ascii="宋体" w:hAnsi="宋体" w:cs="宋体"/>
          <w:szCs w:val="21"/>
        </w:rPr>
      </w:pPr>
      <w:r>
        <w:rPr>
          <w:rFonts w:hint="eastAsia" w:ascii="宋体" w:hAnsi="宋体" w:cs="宋体"/>
          <w:szCs w:val="21"/>
        </w:rPr>
        <w:t xml:space="preserve">    1.1 项目比选的说明见比选须知前附表（以下称“前附表”）第1项～第21项所述。</w:t>
      </w:r>
    </w:p>
    <w:p>
      <w:pPr>
        <w:ind w:right="5"/>
        <w:jc w:val="left"/>
        <w:rPr>
          <w:rFonts w:ascii="宋体" w:hAnsi="宋体" w:cs="宋体"/>
          <w:szCs w:val="21"/>
        </w:rPr>
      </w:pPr>
      <w:r>
        <w:rPr>
          <w:rFonts w:hint="eastAsia" w:ascii="宋体" w:hAnsi="宋体" w:cs="宋体"/>
          <w:szCs w:val="21"/>
        </w:rPr>
        <w:t xml:space="preserve">    1.2 上述项目按照有关规定执行，现通过公开比选来择优选定服务单位。</w:t>
      </w:r>
    </w:p>
    <w:p>
      <w:pPr>
        <w:ind w:right="753" w:firstLine="408"/>
        <w:jc w:val="left"/>
        <w:rPr>
          <w:rFonts w:ascii="宋体" w:hAnsi="宋体" w:cs="宋体"/>
          <w:szCs w:val="21"/>
        </w:rPr>
      </w:pPr>
      <w:r>
        <w:rPr>
          <w:rFonts w:hint="eastAsia" w:ascii="宋体" w:hAnsi="宋体" w:cs="宋体"/>
          <w:szCs w:val="21"/>
        </w:rPr>
        <w:t>2.工作内容：</w:t>
      </w:r>
    </w:p>
    <w:p>
      <w:pPr>
        <w:tabs>
          <w:tab w:val="left" w:pos="8610"/>
        </w:tabs>
        <w:ind w:right="-21" w:firstLine="420" w:firstLineChars="200"/>
        <w:jc w:val="left"/>
        <w:rPr>
          <w:rFonts w:hint="eastAsia" w:ascii="宋体" w:hAnsi="宋体" w:cs="宋体"/>
          <w:szCs w:val="21"/>
          <w:lang w:val="en-US" w:eastAsia="zh-CN"/>
        </w:rPr>
      </w:pPr>
      <w:r>
        <w:rPr>
          <w:rFonts w:hint="eastAsia" w:ascii="宋体" w:hAnsi="宋体" w:cs="宋体"/>
          <w:szCs w:val="21"/>
          <w:lang w:val="en-US" w:eastAsia="zh-CN"/>
        </w:rPr>
        <w:t>2.1</w:t>
      </w:r>
      <w:r>
        <w:rPr>
          <w:rFonts w:hint="eastAsia" w:ascii="宋体" w:hAnsi="宋体" w:cs="宋体"/>
          <w:szCs w:val="21"/>
        </w:rPr>
        <w:t>审计内容</w:t>
      </w:r>
    </w:p>
    <w:p>
      <w:pPr>
        <w:tabs>
          <w:tab w:val="left" w:pos="8610"/>
        </w:tabs>
        <w:ind w:right="-21" w:firstLine="420" w:firstLineChars="200"/>
        <w:jc w:val="left"/>
        <w:rPr>
          <w:rFonts w:hint="eastAsia" w:ascii="宋体" w:hAnsi="宋体" w:cs="宋体"/>
          <w:color w:val="auto"/>
          <w:szCs w:val="21"/>
          <w:lang w:val="en-US" w:eastAsia="zh-CN"/>
        </w:rPr>
      </w:pPr>
      <w:r>
        <w:rPr>
          <w:rFonts w:hint="eastAsia" w:ascii="宋体" w:hAnsi="宋体" w:cs="宋体"/>
          <w:szCs w:val="21"/>
        </w:rPr>
        <w:t>对吴江卡同志2017年5月至2022年12月任职南宁公共交通集团有限公司法定代表人履行经济责任的情况，刘国平同志2017年5月至2022年12月任职南宁公共交通集团有限公司总经理期间履行经济责任的情况开展审计，</w:t>
      </w:r>
      <w:r>
        <w:rPr>
          <w:rFonts w:hint="eastAsia" w:ascii="宋体" w:hAnsi="宋体" w:cs="宋体"/>
          <w:color w:val="auto"/>
          <w:szCs w:val="21"/>
        </w:rPr>
        <w:t>包括</w:t>
      </w:r>
      <w:r>
        <w:rPr>
          <w:rFonts w:hint="eastAsia" w:ascii="宋体" w:hAnsi="宋体" w:cs="宋体"/>
          <w:color w:val="auto"/>
          <w:szCs w:val="21"/>
          <w:lang w:val="en-US" w:eastAsia="zh-CN"/>
        </w:rPr>
        <w:t>但不仅限于以下内容：</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贯彻执行党和国家的经济方针政策和上级决策部署情况，推动企业可持续发展情况，国企改革三年行动落地见效情况。重点关注重点关注党的领导融入公司治理、党委前置研究事项清单制定、董事会建设情况、董事会职权落实等取得成效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企业发展战略规划的制定、执行和实施效果情况；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企业法人治理结构的建立、健全和运行情况；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“三重一大”的决策、执行和效果情况；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重大经济项目的投资、建设、运营管理及效益情况；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内部控制和风险管理制度的制定和设计合理性，及执行中决策、审批、运行、评价等环节的规范性、有效性，以及内控信息化建设和内控监督评价情况；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企业财务的真实合法效益情况，关注资产、负债、收入、成本费用等会计指标真实性，会计政策和会计估计变更、合并报表范围调整、差错调整、收入成本确认、减值计提等核算事项；</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资产的管理及保值增值情况；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在经济活动中落实有关党风廉政建设责任和遵守廉洁从业规定情况；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企业经营提质增效措施有效性。重点关注项目运营效率、成本费用压控、亏损企业专项治理、“两金”压降、“两非”剥离、“两资”清理等进展情况；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防范化解重大经营风险情况。重点关注债务、投资、招标采购、资金使用、金融等领域的风险；</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以往审计发现问题的整改情况。重点关注涉及违规经营投资问题的追责问责情况，整改完成效果；</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有关目标责任制完成情况；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其他需要审计的内容。</w:t>
      </w:r>
    </w:p>
    <w:p>
      <w:pPr>
        <w:ind w:right="753" w:firstLine="420" w:firstLineChars="200"/>
        <w:jc w:val="left"/>
        <w:rPr>
          <w:rFonts w:hint="eastAsia" w:ascii="宋体" w:hAnsi="宋体" w:cs="宋体"/>
          <w:szCs w:val="21"/>
        </w:rPr>
      </w:pPr>
      <w:r>
        <w:rPr>
          <w:rFonts w:hint="eastAsia" w:ascii="宋体" w:hAnsi="宋体" w:cs="宋体"/>
          <w:szCs w:val="21"/>
          <w:lang w:val="en-US" w:eastAsia="zh-CN"/>
        </w:rPr>
        <w:t>2.2</w:t>
      </w:r>
      <w:r>
        <w:rPr>
          <w:rFonts w:hint="eastAsia" w:ascii="宋体" w:hAnsi="宋体" w:cs="宋体"/>
          <w:szCs w:val="21"/>
        </w:rPr>
        <w:t>审计要求及成果</w:t>
      </w:r>
    </w:p>
    <w:p>
      <w:pPr>
        <w:tabs>
          <w:tab w:val="left" w:pos="8610"/>
        </w:tabs>
        <w:ind w:right="-21" w:firstLine="420" w:firstLineChars="200"/>
        <w:jc w:val="left"/>
        <w:rPr>
          <w:rFonts w:hint="eastAsia" w:ascii="宋体" w:hAnsi="宋体" w:cs="宋体"/>
          <w:szCs w:val="21"/>
        </w:rPr>
      </w:pPr>
      <w:r>
        <w:rPr>
          <w:rFonts w:hint="eastAsia" w:ascii="宋体" w:hAnsi="宋体" w:cs="宋体"/>
          <w:szCs w:val="21"/>
        </w:rPr>
        <w:t>根据《党政主要领导干部和国有企事业单位主要领导人员经济责任审计规定》《第2205号内部审计具体准则——经济责任审计》、中央审计委员会审计署关于《进一步规范经济责任审计工作有关事项》的通知、《南宁市人民政府国有资产监督管理委员会监管企业经济责任审计管理暂行办法》《南宁轨道交通集团有限责任公司经济责任审计管理实施办法（试行）》及其他相关法律法规开展工作，对吴江卡同志2017年5月至2022年12月任职南宁公共交通集团有限公司法定代表人履行经济责任的情况，刘国平同志2017年5月至2022年12月任职南宁公共交通集团有限公司总经理期间履行经济责任的情况作出客观公正、实事求是的评价，出具审计报告及管理建议书并经</w:t>
      </w:r>
      <w:r>
        <w:rPr>
          <w:rFonts w:hint="eastAsia" w:ascii="宋体" w:hAnsi="宋体" w:cs="宋体"/>
          <w:szCs w:val="21"/>
          <w:lang w:val="en-US" w:eastAsia="zh-CN"/>
        </w:rPr>
        <w:t>南宁轨道交通</w:t>
      </w:r>
      <w:r>
        <w:rPr>
          <w:rFonts w:hint="eastAsia" w:ascii="宋体" w:hAnsi="宋体" w:cs="宋体"/>
          <w:szCs w:val="21"/>
        </w:rPr>
        <w:t>集团</w:t>
      </w:r>
      <w:r>
        <w:rPr>
          <w:rFonts w:hint="eastAsia" w:ascii="宋体" w:hAnsi="宋体" w:cs="宋体"/>
          <w:szCs w:val="21"/>
          <w:lang w:val="en-US" w:eastAsia="zh-CN"/>
        </w:rPr>
        <w:t>有限责任</w:t>
      </w:r>
      <w:r>
        <w:rPr>
          <w:rFonts w:hint="eastAsia" w:ascii="宋体" w:hAnsi="宋体" w:cs="宋体"/>
          <w:szCs w:val="21"/>
        </w:rPr>
        <w:t>公司审批通过。</w:t>
      </w:r>
    </w:p>
    <w:p>
      <w:pPr>
        <w:ind w:right="753" w:firstLine="420" w:firstLineChars="200"/>
        <w:jc w:val="left"/>
        <w:rPr>
          <w:rFonts w:ascii="宋体" w:hAnsi="宋体" w:cs="宋体"/>
          <w:szCs w:val="21"/>
        </w:rPr>
      </w:pPr>
      <w:r>
        <w:rPr>
          <w:rFonts w:hint="eastAsia" w:ascii="宋体" w:hAnsi="宋体" w:cs="宋体"/>
          <w:szCs w:val="21"/>
        </w:rPr>
        <w:t>3.资金来源</w:t>
      </w:r>
    </w:p>
    <w:p>
      <w:pPr>
        <w:ind w:right="753"/>
        <w:jc w:val="left"/>
        <w:rPr>
          <w:rFonts w:ascii="宋体" w:hAnsi="宋体" w:cs="宋体"/>
          <w:szCs w:val="21"/>
        </w:rPr>
      </w:pPr>
      <w:r>
        <w:rPr>
          <w:rFonts w:hint="eastAsia" w:ascii="宋体" w:hAnsi="宋体" w:cs="宋体"/>
          <w:szCs w:val="21"/>
        </w:rPr>
        <w:t xml:space="preserve">    资金来源见前附表第4项所述。</w:t>
      </w:r>
    </w:p>
    <w:p>
      <w:pPr>
        <w:ind w:right="753"/>
        <w:jc w:val="left"/>
        <w:rPr>
          <w:rFonts w:ascii="宋体" w:hAnsi="宋体" w:cs="宋体"/>
          <w:szCs w:val="21"/>
        </w:rPr>
      </w:pPr>
      <w:r>
        <w:rPr>
          <w:rFonts w:hint="eastAsia" w:ascii="宋体" w:hAnsi="宋体" w:cs="宋体"/>
          <w:szCs w:val="21"/>
        </w:rPr>
        <w:t xml:space="preserve">    4.</w:t>
      </w:r>
      <w:bookmarkStart w:id="58" w:name="_Toc310318574"/>
      <w:bookmarkStart w:id="59" w:name="_Toc114052342"/>
      <w:bookmarkStart w:id="60" w:name="_Toc286386836"/>
      <w:bookmarkStart w:id="61" w:name="_Toc114052416"/>
      <w:r>
        <w:rPr>
          <w:rFonts w:hint="eastAsia" w:ascii="宋体" w:hAnsi="宋体" w:cs="宋体"/>
          <w:szCs w:val="21"/>
        </w:rPr>
        <w:t>比选申请人资格要求</w:t>
      </w:r>
      <w:bookmarkEnd w:id="58"/>
      <w:bookmarkEnd w:id="59"/>
      <w:bookmarkEnd w:id="60"/>
      <w:bookmarkEnd w:id="61"/>
    </w:p>
    <w:p>
      <w:pPr>
        <w:ind w:right="-21"/>
        <w:jc w:val="left"/>
        <w:rPr>
          <w:rFonts w:ascii="宋体" w:hAnsi="宋体" w:cs="宋体"/>
          <w:szCs w:val="21"/>
        </w:rPr>
      </w:pPr>
      <w:r>
        <w:rPr>
          <w:rFonts w:hint="eastAsia" w:ascii="宋体" w:hAnsi="宋体" w:cs="宋体"/>
          <w:szCs w:val="21"/>
        </w:rPr>
        <w:t xml:space="preserve">    4.1比选申请人必须具有前附表第9项相应的资质及要求。</w:t>
      </w:r>
    </w:p>
    <w:p>
      <w:pPr>
        <w:ind w:right="753"/>
        <w:jc w:val="left"/>
        <w:rPr>
          <w:rFonts w:ascii="宋体" w:hAnsi="宋体" w:cs="宋体"/>
          <w:szCs w:val="21"/>
        </w:rPr>
      </w:pPr>
      <w:r>
        <w:rPr>
          <w:rFonts w:hint="eastAsia" w:ascii="宋体" w:hAnsi="宋体" w:cs="宋体"/>
          <w:szCs w:val="21"/>
        </w:rPr>
        <w:t xml:space="preserve">    5.</w:t>
      </w:r>
      <w:bookmarkStart w:id="62" w:name="_Toc310318575"/>
      <w:bookmarkStart w:id="63" w:name="_Toc114052343"/>
      <w:bookmarkStart w:id="64" w:name="_Toc114052417"/>
      <w:bookmarkStart w:id="65" w:name="_Toc286386837"/>
      <w:r>
        <w:rPr>
          <w:rFonts w:hint="eastAsia" w:ascii="宋体" w:hAnsi="宋体" w:cs="宋体"/>
          <w:szCs w:val="21"/>
        </w:rPr>
        <w:t>申请比选费用</w:t>
      </w:r>
      <w:bookmarkEnd w:id="62"/>
      <w:bookmarkEnd w:id="63"/>
      <w:bookmarkEnd w:id="64"/>
      <w:bookmarkEnd w:id="65"/>
    </w:p>
    <w:p>
      <w:pPr>
        <w:tabs>
          <w:tab w:val="left" w:pos="8610"/>
        </w:tabs>
        <w:ind w:right="-21"/>
        <w:jc w:val="left"/>
        <w:rPr>
          <w:rFonts w:ascii="宋体" w:hAnsi="宋体" w:cs="宋体"/>
          <w:szCs w:val="21"/>
        </w:rPr>
      </w:pPr>
      <w:r>
        <w:rPr>
          <w:rFonts w:hint="eastAsia" w:ascii="宋体" w:hAnsi="宋体" w:cs="宋体"/>
          <w:szCs w:val="21"/>
        </w:rPr>
        <w:t xml:space="preserve">    5.1 比选申请人应承担其编制文件与递交文件所涉及的一切费用。不管评比结果如何，比选人对上述费用不负任何责任。</w:t>
      </w:r>
    </w:p>
    <w:p>
      <w:pPr>
        <w:pStyle w:val="4"/>
        <w:jc w:val="center"/>
        <w:rPr>
          <w:sz w:val="21"/>
          <w:szCs w:val="21"/>
        </w:rPr>
      </w:pPr>
      <w:bookmarkStart w:id="66" w:name="_Toc17725"/>
      <w:bookmarkStart w:id="67" w:name="_Toc25256"/>
      <w:bookmarkStart w:id="68" w:name="_Toc6541"/>
      <w:bookmarkStart w:id="69" w:name="_Toc3066"/>
      <w:bookmarkStart w:id="70" w:name="_Toc16023"/>
      <w:bookmarkStart w:id="71" w:name="_Toc471482362"/>
      <w:bookmarkStart w:id="72" w:name="_Toc17323"/>
      <w:bookmarkStart w:id="73" w:name="_Toc15439"/>
      <w:bookmarkStart w:id="74" w:name="_Toc18809"/>
      <w:bookmarkStart w:id="75" w:name="_Toc22143"/>
      <w:bookmarkStart w:id="76" w:name="_Toc461525298"/>
      <w:bookmarkStart w:id="77" w:name="_Toc5207"/>
      <w:bookmarkStart w:id="78" w:name="_Toc26141"/>
      <w:bookmarkStart w:id="79" w:name="_Toc8029"/>
      <w:r>
        <w:rPr>
          <w:rFonts w:hint="eastAsia"/>
          <w:sz w:val="21"/>
          <w:szCs w:val="21"/>
        </w:rPr>
        <w:t>二、</w:t>
      </w:r>
      <w:r>
        <w:rPr>
          <w:sz w:val="21"/>
          <w:szCs w:val="21"/>
        </w:rPr>
        <w:t>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ind w:right="753"/>
        <w:jc w:val="left"/>
        <w:rPr>
          <w:rFonts w:ascii="宋体" w:hAnsi="宋体" w:cs="宋体"/>
          <w:szCs w:val="21"/>
        </w:rPr>
      </w:pPr>
      <w:r>
        <w:rPr>
          <w:rFonts w:hint="eastAsia" w:ascii="宋体" w:hAnsi="宋体" w:cs="宋体"/>
          <w:szCs w:val="21"/>
        </w:rPr>
        <w:t xml:space="preserve">    6.</w:t>
      </w:r>
      <w:bookmarkStart w:id="80" w:name="_Toc310318577"/>
      <w:bookmarkStart w:id="81" w:name="_Toc286386839"/>
      <w:bookmarkStart w:id="82" w:name="_Toc114052419"/>
      <w:bookmarkStart w:id="83" w:name="_Toc114052345"/>
      <w:r>
        <w:rPr>
          <w:rFonts w:hint="eastAsia" w:ascii="宋体" w:hAnsi="宋体" w:cs="宋体"/>
          <w:szCs w:val="21"/>
        </w:rPr>
        <w:t>比选文件的组成</w:t>
      </w:r>
      <w:bookmarkEnd w:id="80"/>
      <w:bookmarkEnd w:id="81"/>
      <w:bookmarkEnd w:id="82"/>
      <w:bookmarkEnd w:id="83"/>
    </w:p>
    <w:p>
      <w:pPr>
        <w:ind w:right="-21"/>
        <w:jc w:val="left"/>
        <w:rPr>
          <w:rFonts w:ascii="宋体" w:hAnsi="宋体" w:cs="宋体"/>
          <w:szCs w:val="21"/>
        </w:rPr>
      </w:pPr>
      <w:r>
        <w:rPr>
          <w:rFonts w:hint="eastAsia" w:ascii="宋体" w:hAnsi="宋体" w:cs="宋体"/>
          <w:szCs w:val="21"/>
        </w:rPr>
        <w:t xml:space="preserve">    6.1比选文件包括比选须知前附表、比选须知、合同条款（格式）、比选申请文件格式、评比办法。</w:t>
      </w:r>
    </w:p>
    <w:p>
      <w:pPr>
        <w:ind w:right="753"/>
        <w:jc w:val="left"/>
        <w:rPr>
          <w:rFonts w:ascii="宋体" w:hAnsi="宋体" w:cs="宋体"/>
          <w:szCs w:val="21"/>
        </w:rPr>
      </w:pPr>
      <w:r>
        <w:rPr>
          <w:rFonts w:hint="eastAsia" w:ascii="宋体" w:hAnsi="宋体" w:cs="宋体"/>
          <w:szCs w:val="21"/>
        </w:rPr>
        <w:t xml:space="preserve">    7.</w:t>
      </w:r>
      <w:bookmarkStart w:id="84" w:name="_Toc310318578"/>
      <w:bookmarkStart w:id="85" w:name="_Toc286386840"/>
      <w:bookmarkStart w:id="86" w:name="_Toc114052346"/>
      <w:bookmarkStart w:id="87" w:name="_Toc114052420"/>
      <w:r>
        <w:rPr>
          <w:rFonts w:hint="eastAsia" w:ascii="宋体" w:hAnsi="宋体" w:cs="宋体"/>
          <w:szCs w:val="21"/>
        </w:rPr>
        <w:t>比选文件的解释</w:t>
      </w:r>
      <w:bookmarkEnd w:id="84"/>
      <w:bookmarkEnd w:id="85"/>
      <w:bookmarkEnd w:id="86"/>
      <w:bookmarkEnd w:id="87"/>
    </w:p>
    <w:p>
      <w:pPr>
        <w:ind w:right="-21"/>
        <w:jc w:val="left"/>
        <w:rPr>
          <w:rFonts w:ascii="宋体" w:hAnsi="宋体" w:cs="宋体"/>
          <w:szCs w:val="21"/>
        </w:rPr>
      </w:pPr>
      <w:r>
        <w:rPr>
          <w:rFonts w:hint="eastAsia" w:ascii="宋体" w:hAnsi="宋体" w:cs="宋体"/>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ind w:right="753"/>
        <w:jc w:val="left"/>
        <w:rPr>
          <w:rFonts w:ascii="宋体" w:hAnsi="宋体" w:cs="宋体"/>
          <w:szCs w:val="21"/>
        </w:rPr>
      </w:pPr>
      <w:r>
        <w:rPr>
          <w:rFonts w:hint="eastAsia" w:ascii="宋体" w:hAnsi="宋体" w:cs="宋体"/>
          <w:szCs w:val="21"/>
        </w:rPr>
        <w:t xml:space="preserve">    8.</w:t>
      </w:r>
      <w:bookmarkStart w:id="88" w:name="_Toc286386841"/>
      <w:bookmarkStart w:id="89" w:name="_Toc310318579"/>
      <w:bookmarkStart w:id="90" w:name="_Toc114052347"/>
      <w:bookmarkStart w:id="91" w:name="_Toc114052421"/>
      <w:r>
        <w:rPr>
          <w:rFonts w:hint="eastAsia" w:ascii="宋体" w:hAnsi="宋体" w:cs="宋体"/>
          <w:szCs w:val="21"/>
        </w:rPr>
        <w:t>比选文件的修改</w:t>
      </w:r>
      <w:bookmarkEnd w:id="88"/>
      <w:bookmarkEnd w:id="89"/>
      <w:bookmarkEnd w:id="90"/>
      <w:bookmarkEnd w:id="91"/>
    </w:p>
    <w:p>
      <w:pPr>
        <w:ind w:right="-21"/>
        <w:jc w:val="left"/>
        <w:rPr>
          <w:rFonts w:ascii="宋体" w:hAnsi="宋体" w:cs="宋体"/>
          <w:szCs w:val="21"/>
        </w:rPr>
      </w:pPr>
      <w:r>
        <w:rPr>
          <w:rFonts w:hint="eastAsia" w:ascii="宋体" w:hAnsi="宋体" w:cs="宋体"/>
          <w:szCs w:val="21"/>
        </w:rPr>
        <w:t xml:space="preserve">    8.1 在递交文件截止日期前2天，比选人可以采用补充通知的方式修改比选文件。</w:t>
      </w:r>
    </w:p>
    <w:p>
      <w:pPr>
        <w:ind w:right="-21"/>
        <w:jc w:val="left"/>
        <w:rPr>
          <w:rFonts w:ascii="宋体" w:hAnsi="宋体" w:cs="宋体"/>
          <w:szCs w:val="21"/>
        </w:rPr>
      </w:pPr>
      <w:r>
        <w:rPr>
          <w:rFonts w:hint="eastAsia" w:ascii="宋体" w:hAnsi="宋体" w:cs="宋体"/>
          <w:szCs w:val="21"/>
        </w:rPr>
        <w:t xml:space="preserve">    8.2 补充通知将以书面形式，在比选人官网发布，补充通知作为比选文件的组成部分，对比选申请人起约束作用。</w:t>
      </w:r>
    </w:p>
    <w:p>
      <w:pPr>
        <w:pStyle w:val="4"/>
        <w:jc w:val="center"/>
        <w:rPr>
          <w:sz w:val="21"/>
          <w:szCs w:val="21"/>
        </w:rPr>
      </w:pPr>
      <w:bookmarkStart w:id="92" w:name="_Toc8400"/>
      <w:bookmarkStart w:id="93" w:name="_Toc9684"/>
      <w:bookmarkStart w:id="94" w:name="_Toc6395"/>
      <w:bookmarkStart w:id="95" w:name="_Toc461525299"/>
      <w:bookmarkStart w:id="96" w:name="_Toc29216"/>
      <w:bookmarkStart w:id="97" w:name="_Toc24574"/>
      <w:bookmarkStart w:id="98" w:name="_Toc9453"/>
      <w:bookmarkStart w:id="99" w:name="_Toc9199"/>
      <w:bookmarkStart w:id="100" w:name="_Toc471482363"/>
      <w:bookmarkStart w:id="101" w:name="_Toc10523"/>
      <w:bookmarkStart w:id="102" w:name="_Toc30617"/>
      <w:bookmarkStart w:id="103" w:name="_Toc26897"/>
      <w:bookmarkStart w:id="104" w:name="_Toc19209"/>
      <w:bookmarkStart w:id="105" w:name="_Toc18772"/>
      <w:r>
        <w:rPr>
          <w:rFonts w:hint="eastAsia"/>
          <w:sz w:val="21"/>
          <w:szCs w:val="21"/>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ind w:right="753"/>
        <w:jc w:val="left"/>
        <w:rPr>
          <w:rFonts w:ascii="宋体" w:hAnsi="宋体" w:cs="宋体"/>
          <w:szCs w:val="21"/>
        </w:rPr>
      </w:pPr>
      <w:r>
        <w:rPr>
          <w:rFonts w:hint="eastAsia" w:ascii="宋体" w:hAnsi="宋体" w:cs="宋体"/>
          <w:szCs w:val="21"/>
        </w:rPr>
        <w:t xml:space="preserve">    9.</w:t>
      </w:r>
      <w:bookmarkStart w:id="106" w:name="_Toc114052349"/>
      <w:bookmarkStart w:id="107" w:name="_Toc114052423"/>
      <w:bookmarkStart w:id="108" w:name="_Toc286386843"/>
      <w:bookmarkStart w:id="109" w:name="_Toc310318581"/>
      <w:r>
        <w:rPr>
          <w:rFonts w:hint="eastAsia" w:ascii="宋体" w:hAnsi="宋体" w:cs="宋体"/>
          <w:szCs w:val="21"/>
        </w:rPr>
        <w:t>申请比选</w:t>
      </w:r>
      <w:bookmarkEnd w:id="106"/>
      <w:bookmarkEnd w:id="107"/>
      <w:bookmarkEnd w:id="108"/>
      <w:r>
        <w:rPr>
          <w:rFonts w:hint="eastAsia" w:ascii="宋体" w:hAnsi="宋体" w:cs="宋体"/>
          <w:szCs w:val="21"/>
        </w:rPr>
        <w:t>报价</w:t>
      </w:r>
      <w:bookmarkEnd w:id="109"/>
    </w:p>
    <w:p>
      <w:pPr>
        <w:ind w:right="753"/>
        <w:jc w:val="left"/>
        <w:rPr>
          <w:rFonts w:ascii="宋体" w:hAnsi="宋体" w:cs="宋体"/>
          <w:szCs w:val="21"/>
        </w:rPr>
      </w:pPr>
      <w:r>
        <w:rPr>
          <w:rFonts w:hint="eastAsia" w:ascii="宋体" w:hAnsi="宋体" w:cs="宋体"/>
          <w:szCs w:val="21"/>
        </w:rPr>
        <w:t xml:space="preserve">    9.1申请比选报价见比选须知前附表第7项所述。</w:t>
      </w:r>
    </w:p>
    <w:p>
      <w:pPr>
        <w:pStyle w:val="4"/>
        <w:jc w:val="center"/>
        <w:rPr>
          <w:sz w:val="21"/>
          <w:szCs w:val="21"/>
        </w:rPr>
      </w:pPr>
      <w:bookmarkStart w:id="110" w:name="_Toc11943"/>
      <w:bookmarkStart w:id="111" w:name="_Toc23191"/>
      <w:bookmarkStart w:id="112" w:name="_Toc23455"/>
      <w:bookmarkStart w:id="113" w:name="_Toc471482364"/>
      <w:bookmarkStart w:id="114" w:name="_Toc17259"/>
      <w:bookmarkStart w:id="115" w:name="_Toc31461"/>
      <w:bookmarkStart w:id="116" w:name="_Toc5583"/>
      <w:bookmarkStart w:id="117" w:name="_Toc17188"/>
      <w:bookmarkStart w:id="118" w:name="_Toc25856"/>
      <w:bookmarkStart w:id="119" w:name="_Toc2346"/>
      <w:bookmarkStart w:id="120" w:name="_Toc461525300"/>
      <w:bookmarkStart w:id="121" w:name="_Toc26723"/>
      <w:bookmarkStart w:id="122" w:name="_Toc17722"/>
      <w:bookmarkStart w:id="123" w:name="_Toc18607"/>
      <w:r>
        <w:rPr>
          <w:rFonts w:hint="eastAsia"/>
          <w:sz w:val="21"/>
          <w:szCs w:val="21"/>
        </w:rPr>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ind w:right="753"/>
        <w:jc w:val="left"/>
        <w:rPr>
          <w:rFonts w:ascii="宋体" w:hAnsi="宋体" w:cs="宋体"/>
          <w:szCs w:val="21"/>
        </w:rPr>
      </w:pPr>
      <w:r>
        <w:rPr>
          <w:rFonts w:hint="eastAsia" w:ascii="宋体" w:hAnsi="宋体" w:cs="宋体"/>
          <w:szCs w:val="21"/>
        </w:rPr>
        <w:t xml:space="preserve">    10.</w:t>
      </w:r>
      <w:bookmarkStart w:id="124" w:name="_Toc310318583"/>
      <w:bookmarkStart w:id="125" w:name="_Toc286386845"/>
      <w:r>
        <w:rPr>
          <w:rFonts w:hint="eastAsia" w:ascii="宋体" w:hAnsi="宋体" w:cs="宋体"/>
          <w:szCs w:val="21"/>
        </w:rPr>
        <w:t>比选申请文件编写注意事项</w:t>
      </w:r>
      <w:bookmarkEnd w:id="124"/>
      <w:bookmarkEnd w:id="125"/>
    </w:p>
    <w:p>
      <w:pPr>
        <w:ind w:right="-21"/>
        <w:jc w:val="left"/>
        <w:rPr>
          <w:rFonts w:ascii="宋体" w:hAnsi="宋体" w:cs="宋体"/>
          <w:szCs w:val="21"/>
        </w:rPr>
      </w:pPr>
      <w:r>
        <w:rPr>
          <w:rFonts w:hint="eastAsia" w:ascii="宋体" w:hAnsi="宋体" w:cs="宋体"/>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szCs w:val="21"/>
        </w:rPr>
      </w:pPr>
      <w:r>
        <w:rPr>
          <w:rFonts w:hint="eastAsia" w:ascii="宋体" w:hAnsi="宋体" w:cs="宋体"/>
          <w:szCs w:val="21"/>
        </w:rPr>
        <w:t xml:space="preserve">    10.2比选文件提出的实质性要求和条件是指本比选项目所涉及的最低人员配置、价格、服务及其它要求、合同条款等内容。</w:t>
      </w:r>
    </w:p>
    <w:p>
      <w:pPr>
        <w:ind w:right="-21"/>
        <w:jc w:val="left"/>
        <w:rPr>
          <w:rFonts w:ascii="宋体" w:hAnsi="宋体" w:cs="宋体"/>
          <w:szCs w:val="21"/>
        </w:rPr>
      </w:pPr>
      <w:r>
        <w:rPr>
          <w:rFonts w:hint="eastAsia" w:ascii="宋体" w:hAnsi="宋体" w:cs="宋体"/>
          <w:szCs w:val="21"/>
        </w:rPr>
        <w:t xml:space="preserve">    10.3比选申请人的比选申请文件所有来往函件统一使用中文(特别规定除外)。</w:t>
      </w:r>
    </w:p>
    <w:p>
      <w:pPr>
        <w:ind w:right="-21" w:firstLine="420"/>
        <w:jc w:val="left"/>
        <w:rPr>
          <w:rFonts w:ascii="宋体" w:hAnsi="宋体" w:cs="宋体"/>
          <w:szCs w:val="21"/>
        </w:rPr>
      </w:pPr>
      <w:r>
        <w:rPr>
          <w:rFonts w:hint="eastAsia" w:ascii="宋体" w:hAnsi="宋体" w:cs="宋体"/>
          <w:szCs w:val="21"/>
        </w:rPr>
        <w:t>10.4比选申请文件中使用的计量单位除比选文件中有特殊规定外，一律使用法定计量单位。</w:t>
      </w:r>
    </w:p>
    <w:p>
      <w:pPr>
        <w:ind w:right="-21" w:firstLine="420"/>
        <w:jc w:val="left"/>
        <w:rPr>
          <w:rFonts w:ascii="宋体" w:hAnsi="宋体" w:cs="宋体"/>
          <w:szCs w:val="21"/>
        </w:rPr>
      </w:pPr>
      <w:r>
        <w:rPr>
          <w:rFonts w:hint="eastAsia" w:ascii="宋体" w:hAnsi="宋体" w:cs="宋体"/>
          <w:szCs w:val="21"/>
        </w:rPr>
        <w:t>10.5 比选申请文件必须装订成册，不允许以活页夹等形式封装。</w:t>
      </w:r>
    </w:p>
    <w:p>
      <w:pPr>
        <w:ind w:right="-21" w:firstLine="420"/>
        <w:jc w:val="left"/>
        <w:rPr>
          <w:rFonts w:ascii="宋体" w:hAnsi="宋体" w:cs="宋体"/>
          <w:szCs w:val="21"/>
        </w:rPr>
      </w:pPr>
      <w:r>
        <w:rPr>
          <w:rFonts w:hint="eastAsia" w:ascii="宋体" w:hAnsi="宋体" w:cs="宋体"/>
          <w:szCs w:val="21"/>
        </w:rPr>
        <w:t>10.6 比选申请文件的所有组成部分均须加盖法人单位公章或骑缝章。</w:t>
      </w:r>
    </w:p>
    <w:p>
      <w:pPr>
        <w:ind w:right="753"/>
        <w:jc w:val="left"/>
        <w:rPr>
          <w:rFonts w:ascii="宋体" w:hAnsi="宋体" w:cs="宋体"/>
          <w:szCs w:val="21"/>
        </w:rPr>
      </w:pPr>
      <w:bookmarkStart w:id="126" w:name="_Toc114052352"/>
      <w:bookmarkStart w:id="127" w:name="_Toc310318584"/>
      <w:bookmarkStart w:id="128" w:name="_Toc114052426"/>
      <w:bookmarkStart w:id="129" w:name="_Toc286386846"/>
      <w:r>
        <w:rPr>
          <w:rFonts w:hint="eastAsia" w:ascii="宋体" w:hAnsi="宋体" w:cs="宋体"/>
          <w:szCs w:val="21"/>
        </w:rPr>
        <w:t xml:space="preserve">    11.比选申请文件的组成</w:t>
      </w:r>
      <w:bookmarkEnd w:id="126"/>
      <w:bookmarkEnd w:id="127"/>
      <w:bookmarkEnd w:id="128"/>
      <w:bookmarkEnd w:id="129"/>
    </w:p>
    <w:p>
      <w:pPr>
        <w:ind w:right="-21"/>
        <w:jc w:val="left"/>
        <w:rPr>
          <w:rFonts w:ascii="宋体" w:hAnsi="宋体" w:cs="宋体"/>
          <w:szCs w:val="21"/>
        </w:rPr>
      </w:pPr>
      <w:bookmarkStart w:id="130" w:name="_Toc114052354"/>
      <w:r>
        <w:rPr>
          <w:rFonts w:hint="eastAsia" w:ascii="宋体" w:hAnsi="宋体" w:cs="宋体"/>
          <w:szCs w:val="21"/>
        </w:rPr>
        <w:t xml:space="preserve">    11.1比选申请文件由资格审查部分、技术部分、商务部分三部分组成，详细要求与部分格式详见第三章。</w:t>
      </w:r>
    </w:p>
    <w:p>
      <w:pPr>
        <w:ind w:right="753"/>
        <w:jc w:val="left"/>
        <w:rPr>
          <w:rFonts w:ascii="宋体" w:hAnsi="宋体" w:cs="宋体"/>
          <w:szCs w:val="21"/>
        </w:rPr>
      </w:pPr>
      <w:r>
        <w:rPr>
          <w:rFonts w:hint="eastAsia" w:ascii="宋体" w:hAnsi="宋体" w:cs="宋体"/>
          <w:szCs w:val="21"/>
        </w:rPr>
        <w:t xml:space="preserve">    11.2资格审查部分主要包括下列内容：</w:t>
      </w:r>
    </w:p>
    <w:p>
      <w:pPr>
        <w:ind w:right="-21" w:firstLine="420" w:firstLineChars="200"/>
        <w:jc w:val="left"/>
        <w:rPr>
          <w:rFonts w:ascii="宋体" w:hAnsi="宋体" w:cs="宋体"/>
          <w:szCs w:val="21"/>
        </w:rPr>
      </w:pPr>
      <w:r>
        <w:rPr>
          <w:rFonts w:hint="eastAsia" w:ascii="宋体" w:hAnsi="宋体" w:cs="宋体"/>
          <w:szCs w:val="21"/>
        </w:rPr>
        <w:t>（1）诚信声明（原件）；</w:t>
      </w:r>
    </w:p>
    <w:p>
      <w:pPr>
        <w:ind w:right="-21" w:firstLine="420" w:firstLineChars="200"/>
        <w:jc w:val="left"/>
        <w:rPr>
          <w:rFonts w:hint="eastAsia" w:ascii="宋体" w:hAnsi="宋体" w:eastAsia="宋体" w:cs="宋体"/>
          <w:szCs w:val="21"/>
          <w:lang w:eastAsia="zh-CN"/>
        </w:rPr>
      </w:pPr>
      <w:r>
        <w:rPr>
          <w:rFonts w:hint="eastAsia" w:ascii="宋体" w:hAnsi="宋体" w:cs="宋体"/>
          <w:szCs w:val="21"/>
        </w:rPr>
        <w:t>（2）法定代表人资格证明书（原件）</w:t>
      </w:r>
      <w:r>
        <w:rPr>
          <w:rFonts w:hint="eastAsia" w:ascii="宋体" w:hAnsi="宋体" w:cs="宋体"/>
          <w:szCs w:val="21"/>
          <w:lang w:eastAsia="zh-CN"/>
        </w:rPr>
        <w:t>；</w:t>
      </w:r>
    </w:p>
    <w:p>
      <w:pPr>
        <w:ind w:right="-21" w:firstLine="420" w:firstLineChars="200"/>
        <w:jc w:val="left"/>
        <w:rPr>
          <w:rFonts w:hint="eastAsia" w:ascii="宋体" w:hAnsi="宋体" w:eastAsia="宋体" w:cs="宋体"/>
          <w:szCs w:val="21"/>
          <w:lang w:eastAsia="zh-CN"/>
        </w:rPr>
      </w:pPr>
      <w:r>
        <w:rPr>
          <w:rFonts w:hint="eastAsia" w:ascii="宋体" w:hAnsi="宋体" w:cs="宋体"/>
          <w:szCs w:val="21"/>
        </w:rPr>
        <w:t>（3）法定代表人身份证（复印件加盖单位公章）</w:t>
      </w:r>
      <w:r>
        <w:rPr>
          <w:rFonts w:hint="eastAsia" w:ascii="宋体" w:hAnsi="宋体" w:cs="宋体"/>
          <w:szCs w:val="21"/>
          <w:lang w:eastAsia="zh-CN"/>
        </w:rPr>
        <w:t>；</w:t>
      </w:r>
    </w:p>
    <w:p>
      <w:pPr>
        <w:ind w:right="-21" w:firstLine="420" w:firstLineChars="200"/>
        <w:jc w:val="left"/>
        <w:rPr>
          <w:rFonts w:ascii="宋体" w:hAnsi="宋体" w:cs="宋体"/>
          <w:szCs w:val="21"/>
        </w:rPr>
      </w:pPr>
      <w:r>
        <w:rPr>
          <w:rFonts w:hint="eastAsia" w:ascii="宋体" w:hAnsi="宋体" w:cs="宋体"/>
          <w:szCs w:val="21"/>
        </w:rPr>
        <w:t>（4）比选申请文件签署授权委托书（原件）；</w:t>
      </w:r>
    </w:p>
    <w:p>
      <w:pPr>
        <w:ind w:right="-21" w:firstLine="420" w:firstLineChars="200"/>
        <w:jc w:val="left"/>
        <w:rPr>
          <w:rFonts w:hint="eastAsia" w:ascii="宋体" w:hAnsi="宋体" w:eastAsia="宋体" w:cs="宋体"/>
          <w:szCs w:val="21"/>
          <w:lang w:eastAsia="zh-CN"/>
        </w:rPr>
      </w:pPr>
      <w:r>
        <w:rPr>
          <w:rFonts w:hint="eastAsia" w:ascii="宋体" w:hAnsi="宋体" w:cs="宋体"/>
          <w:szCs w:val="21"/>
        </w:rPr>
        <w:t>（5）授权代表人身份证（复印件加盖单位公章）</w:t>
      </w:r>
      <w:r>
        <w:rPr>
          <w:rFonts w:hint="eastAsia" w:ascii="宋体" w:hAnsi="宋体" w:cs="宋体"/>
          <w:szCs w:val="21"/>
          <w:lang w:eastAsia="zh-CN"/>
        </w:rPr>
        <w:t>；</w:t>
      </w:r>
    </w:p>
    <w:p>
      <w:pPr>
        <w:ind w:right="-21" w:firstLine="420" w:firstLineChars="200"/>
        <w:jc w:val="left"/>
        <w:rPr>
          <w:rFonts w:ascii="宋体" w:hAnsi="宋体" w:cs="宋体"/>
          <w:szCs w:val="21"/>
        </w:rPr>
      </w:pPr>
      <w:r>
        <w:rPr>
          <w:rFonts w:hint="eastAsia" w:ascii="宋体" w:hAnsi="宋体" w:cs="宋体"/>
          <w:szCs w:val="21"/>
        </w:rPr>
        <w:t xml:space="preserve">（6）会计师事务所执业证书复印件（加盖单位公章）； </w:t>
      </w:r>
    </w:p>
    <w:p>
      <w:pPr>
        <w:ind w:right="-21" w:firstLine="420" w:firstLineChars="200"/>
        <w:jc w:val="left"/>
        <w:rPr>
          <w:rFonts w:hint="eastAsia" w:ascii="宋体" w:hAnsi="宋体" w:eastAsia="宋体" w:cs="宋体"/>
          <w:szCs w:val="21"/>
          <w:lang w:eastAsia="zh-CN"/>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）其他</w:t>
      </w:r>
      <w:r>
        <w:rPr>
          <w:rFonts w:hint="eastAsia" w:ascii="宋体" w:hAnsi="宋体" w:cs="宋体"/>
          <w:szCs w:val="21"/>
          <w:lang w:eastAsia="zh-CN"/>
        </w:rPr>
        <w:t>。</w:t>
      </w:r>
    </w:p>
    <w:bookmarkEnd w:id="130"/>
    <w:p>
      <w:pPr>
        <w:ind w:right="753" w:firstLine="420" w:firstLineChars="200"/>
        <w:jc w:val="left"/>
        <w:rPr>
          <w:rFonts w:ascii="宋体" w:hAnsi="宋体" w:cs="宋体"/>
          <w:szCs w:val="21"/>
        </w:rPr>
      </w:pPr>
      <w:r>
        <w:rPr>
          <w:rFonts w:hint="eastAsia" w:ascii="宋体" w:hAnsi="宋体" w:cs="宋体"/>
          <w:szCs w:val="21"/>
        </w:rPr>
        <w:t>11.3技术部分主要包括下列内容：</w:t>
      </w:r>
    </w:p>
    <w:p>
      <w:pPr>
        <w:ind w:right="-21" w:firstLine="420" w:firstLineChars="200"/>
        <w:jc w:val="left"/>
        <w:rPr>
          <w:rFonts w:ascii="宋体" w:hAnsi="宋体" w:cs="宋体"/>
          <w:szCs w:val="21"/>
        </w:rPr>
      </w:pPr>
      <w:r>
        <w:rPr>
          <w:rFonts w:hint="eastAsia" w:ascii="宋体" w:hAnsi="宋体" w:cs="宋体"/>
          <w:szCs w:val="21"/>
        </w:rPr>
        <w:t>（1）业绩表；</w:t>
      </w:r>
    </w:p>
    <w:p>
      <w:pPr>
        <w:ind w:right="-21" w:firstLine="420" w:firstLineChars="200"/>
        <w:jc w:val="left"/>
        <w:rPr>
          <w:rFonts w:ascii="宋体" w:hAnsi="宋体" w:cs="宋体"/>
          <w:szCs w:val="21"/>
        </w:rPr>
      </w:pPr>
      <w:r>
        <w:rPr>
          <w:rFonts w:hint="eastAsia" w:ascii="宋体" w:hAnsi="宋体" w:cs="宋体"/>
          <w:szCs w:val="21"/>
        </w:rPr>
        <w:t xml:space="preserve">（2）拟投入人员配置明细表； </w:t>
      </w:r>
    </w:p>
    <w:p>
      <w:pPr>
        <w:ind w:right="-21" w:firstLine="420" w:firstLineChars="200"/>
        <w:jc w:val="left"/>
        <w:rPr>
          <w:rFonts w:ascii="宋体" w:hAnsi="宋体" w:cs="宋体"/>
          <w:szCs w:val="21"/>
        </w:rPr>
      </w:pPr>
      <w:r>
        <w:rPr>
          <w:rFonts w:hint="eastAsia" w:ascii="宋体" w:hAnsi="宋体" w:cs="宋体"/>
          <w:szCs w:val="21"/>
        </w:rPr>
        <w:t>（3）拟投入人员的相关工作业绩、资历及能力（由比选申请人自行编写）</w:t>
      </w:r>
    </w:p>
    <w:p>
      <w:pPr>
        <w:ind w:right="-21" w:firstLine="420" w:firstLineChars="200"/>
        <w:jc w:val="left"/>
        <w:rPr>
          <w:rFonts w:ascii="宋体" w:hAnsi="宋体" w:cs="宋体"/>
          <w:szCs w:val="21"/>
        </w:rPr>
      </w:pPr>
      <w:r>
        <w:rPr>
          <w:rFonts w:hint="eastAsia" w:ascii="宋体" w:hAnsi="宋体" w:cs="宋体"/>
          <w:szCs w:val="21"/>
        </w:rPr>
        <w:t>（4）服务方案（由比选申请人自行编写）</w:t>
      </w:r>
    </w:p>
    <w:p>
      <w:pPr>
        <w:ind w:right="-21" w:firstLine="420" w:firstLineChars="200"/>
        <w:jc w:val="left"/>
        <w:rPr>
          <w:rFonts w:hint="eastAsia" w:ascii="宋体" w:hAnsi="宋体" w:eastAsia="宋体" w:cs="宋体"/>
          <w:szCs w:val="21"/>
          <w:lang w:eastAsia="zh-CN"/>
        </w:rPr>
      </w:pPr>
      <w:r>
        <w:rPr>
          <w:rFonts w:hint="eastAsia" w:ascii="宋体" w:hAnsi="宋体" w:cs="宋体"/>
          <w:szCs w:val="21"/>
        </w:rPr>
        <w:t>（5）其他</w:t>
      </w:r>
      <w:r>
        <w:rPr>
          <w:rFonts w:hint="eastAsia" w:ascii="宋体" w:hAnsi="宋体" w:cs="宋体"/>
          <w:szCs w:val="21"/>
          <w:lang w:eastAsia="zh-CN"/>
        </w:rPr>
        <w:t>。</w:t>
      </w:r>
    </w:p>
    <w:p>
      <w:pPr>
        <w:ind w:right="753"/>
        <w:jc w:val="left"/>
        <w:rPr>
          <w:rFonts w:ascii="宋体" w:hAnsi="宋体" w:cs="宋体"/>
          <w:szCs w:val="21"/>
        </w:rPr>
      </w:pPr>
      <w:r>
        <w:rPr>
          <w:rFonts w:hint="eastAsia" w:ascii="宋体" w:hAnsi="宋体" w:cs="宋体"/>
          <w:szCs w:val="21"/>
        </w:rPr>
        <w:t xml:space="preserve">    11.4商务部分主要包括下列内容：</w:t>
      </w:r>
    </w:p>
    <w:p>
      <w:pPr>
        <w:ind w:right="-21" w:firstLine="420" w:firstLineChars="200"/>
        <w:jc w:val="left"/>
        <w:rPr>
          <w:rFonts w:ascii="宋体" w:hAnsi="宋体" w:cs="宋体"/>
          <w:szCs w:val="21"/>
        </w:rPr>
      </w:pPr>
      <w:r>
        <w:rPr>
          <w:rFonts w:hint="eastAsia" w:ascii="宋体" w:hAnsi="宋体" w:cs="宋体"/>
          <w:szCs w:val="21"/>
        </w:rPr>
        <w:t>（1）报价表</w:t>
      </w:r>
      <w:r>
        <w:rPr>
          <w:rFonts w:hint="eastAsia" w:ascii="宋体" w:hAnsi="宋体" w:cs="宋体"/>
          <w:szCs w:val="21"/>
          <w:lang w:eastAsia="zh-CN"/>
        </w:rPr>
        <w:t>。</w:t>
      </w:r>
    </w:p>
    <w:p>
      <w:pPr>
        <w:ind w:right="-21"/>
        <w:jc w:val="left"/>
        <w:rPr>
          <w:rFonts w:ascii="宋体" w:hAnsi="宋体" w:cs="宋体"/>
          <w:szCs w:val="21"/>
        </w:rPr>
      </w:pPr>
      <w:r>
        <w:rPr>
          <w:rFonts w:hint="eastAsia" w:ascii="宋体" w:hAnsi="宋体" w:cs="宋体"/>
          <w:szCs w:val="21"/>
        </w:rPr>
        <w:t xml:space="preserve">    11.5比选申请人需按照比选人提供的比选申请文件格式和顺序另行编制比选申请文件，但表格可以按同样格式扩展。</w:t>
      </w:r>
    </w:p>
    <w:p>
      <w:pPr>
        <w:ind w:right="753"/>
        <w:jc w:val="left"/>
        <w:rPr>
          <w:rFonts w:ascii="宋体" w:hAnsi="宋体" w:cs="宋体"/>
          <w:szCs w:val="21"/>
        </w:rPr>
      </w:pPr>
      <w:r>
        <w:rPr>
          <w:rFonts w:hint="eastAsia" w:ascii="宋体" w:hAnsi="宋体" w:cs="宋体"/>
          <w:szCs w:val="21"/>
        </w:rPr>
        <w:t xml:space="preserve">    12.</w:t>
      </w:r>
      <w:bookmarkStart w:id="131" w:name="_Toc310318585"/>
      <w:bookmarkStart w:id="132" w:name="_Toc114052427"/>
      <w:bookmarkStart w:id="133" w:name="_Toc286386847"/>
      <w:bookmarkStart w:id="134" w:name="_Toc114052363"/>
      <w:r>
        <w:rPr>
          <w:rFonts w:hint="eastAsia" w:ascii="宋体" w:hAnsi="宋体" w:cs="宋体"/>
          <w:szCs w:val="21"/>
        </w:rPr>
        <w:t>比选有效期</w:t>
      </w:r>
      <w:bookmarkEnd w:id="131"/>
      <w:bookmarkEnd w:id="132"/>
      <w:bookmarkEnd w:id="133"/>
      <w:bookmarkEnd w:id="134"/>
    </w:p>
    <w:p>
      <w:pPr>
        <w:ind w:right="-21"/>
        <w:jc w:val="left"/>
        <w:rPr>
          <w:rFonts w:ascii="宋体" w:hAnsi="宋体" w:cs="宋体"/>
          <w:szCs w:val="21"/>
        </w:rPr>
      </w:pPr>
      <w:r>
        <w:rPr>
          <w:rFonts w:hint="eastAsia" w:ascii="宋体" w:hAnsi="宋体" w:cs="宋体"/>
          <w:szCs w:val="21"/>
        </w:rPr>
        <w:t xml:space="preserve">    12.1 比选申请文件在前附表第11条规定的递交比选申请文件日期之后的90天内有效。</w:t>
      </w:r>
    </w:p>
    <w:p>
      <w:pPr>
        <w:ind w:right="753" w:firstLine="408"/>
        <w:jc w:val="left"/>
        <w:rPr>
          <w:rFonts w:ascii="宋体" w:hAnsi="宋体" w:cs="宋体"/>
          <w:szCs w:val="21"/>
        </w:rPr>
      </w:pPr>
      <w:r>
        <w:rPr>
          <w:rFonts w:hint="eastAsia" w:ascii="宋体" w:hAnsi="宋体" w:cs="宋体"/>
          <w:szCs w:val="21"/>
        </w:rPr>
        <w:t>13.比选保证金</w:t>
      </w:r>
    </w:p>
    <w:p>
      <w:pPr>
        <w:ind w:right="753" w:firstLine="408"/>
        <w:jc w:val="left"/>
        <w:rPr>
          <w:rFonts w:ascii="宋体" w:hAnsi="宋体" w:cs="宋体"/>
          <w:szCs w:val="21"/>
        </w:rPr>
      </w:pPr>
      <w:r>
        <w:rPr>
          <w:rFonts w:hint="eastAsia" w:ascii="宋体" w:hAnsi="宋体" w:cs="宋体"/>
          <w:szCs w:val="21"/>
        </w:rPr>
        <w:t>本项目不设比选保证金</w:t>
      </w:r>
    </w:p>
    <w:p>
      <w:pPr>
        <w:ind w:right="753" w:firstLine="420" w:firstLineChars="200"/>
        <w:jc w:val="left"/>
        <w:rPr>
          <w:rFonts w:ascii="宋体" w:hAnsi="宋体" w:cs="宋体"/>
          <w:szCs w:val="21"/>
        </w:rPr>
      </w:pPr>
      <w:r>
        <w:rPr>
          <w:rFonts w:hint="eastAsia" w:ascii="宋体" w:hAnsi="宋体" w:cs="宋体"/>
          <w:szCs w:val="21"/>
        </w:rPr>
        <w:t>14.</w:t>
      </w:r>
      <w:bookmarkStart w:id="135" w:name="_Toc286386849"/>
      <w:bookmarkStart w:id="136" w:name="_Toc310318587"/>
      <w:bookmarkStart w:id="137" w:name="_Toc114052429"/>
      <w:bookmarkStart w:id="138" w:name="_Toc114052365"/>
      <w:r>
        <w:rPr>
          <w:rFonts w:hint="eastAsia" w:ascii="宋体" w:hAnsi="宋体" w:cs="宋体"/>
          <w:szCs w:val="21"/>
        </w:rPr>
        <w:t>比选答疑</w:t>
      </w:r>
      <w:bookmarkEnd w:id="135"/>
      <w:bookmarkEnd w:id="136"/>
      <w:bookmarkEnd w:id="137"/>
      <w:bookmarkEnd w:id="138"/>
    </w:p>
    <w:p>
      <w:pPr>
        <w:ind w:right="-21"/>
        <w:jc w:val="left"/>
        <w:rPr>
          <w:rFonts w:ascii="宋体" w:hAnsi="宋体" w:cs="宋体"/>
          <w:szCs w:val="21"/>
        </w:rPr>
      </w:pPr>
      <w:r>
        <w:rPr>
          <w:rFonts w:hint="eastAsia" w:ascii="宋体" w:hAnsi="宋体" w:cs="宋体"/>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szCs w:val="21"/>
        </w:rPr>
      </w:pPr>
      <w:r>
        <w:rPr>
          <w:rFonts w:hint="eastAsia" w:ascii="宋体" w:hAnsi="宋体" w:cs="宋体"/>
          <w:szCs w:val="21"/>
        </w:rPr>
        <w:t xml:space="preserve">    14.2比选补遗文件包括所有问题和答复，比选人将于递交文件截止时间2天前以书面形式,在比选人官网发布，予以答复。</w:t>
      </w:r>
    </w:p>
    <w:p>
      <w:pPr>
        <w:ind w:right="753"/>
        <w:jc w:val="left"/>
        <w:rPr>
          <w:rFonts w:ascii="宋体" w:hAnsi="宋体" w:cs="宋体"/>
          <w:szCs w:val="21"/>
        </w:rPr>
      </w:pPr>
      <w:r>
        <w:rPr>
          <w:rFonts w:hint="eastAsia" w:ascii="宋体" w:hAnsi="宋体" w:cs="宋体"/>
          <w:szCs w:val="21"/>
        </w:rPr>
        <w:t xml:space="preserve">    15.</w:t>
      </w:r>
      <w:bookmarkStart w:id="139" w:name="_Toc114052430"/>
      <w:bookmarkStart w:id="140" w:name="_Toc286386850"/>
      <w:bookmarkStart w:id="141" w:name="_Toc310318588"/>
      <w:bookmarkStart w:id="142" w:name="_Toc114052366"/>
      <w:r>
        <w:rPr>
          <w:rFonts w:hint="eastAsia" w:ascii="宋体" w:hAnsi="宋体" w:cs="宋体"/>
          <w:szCs w:val="21"/>
        </w:rPr>
        <w:t>比选申请文件的份数</w:t>
      </w:r>
      <w:bookmarkEnd w:id="139"/>
      <w:bookmarkEnd w:id="140"/>
      <w:bookmarkEnd w:id="141"/>
      <w:bookmarkEnd w:id="142"/>
      <w:r>
        <w:rPr>
          <w:rFonts w:hint="eastAsia" w:ascii="宋体" w:hAnsi="宋体" w:cs="宋体"/>
          <w:szCs w:val="21"/>
        </w:rPr>
        <w:t>和签署</w:t>
      </w:r>
    </w:p>
    <w:p>
      <w:pPr>
        <w:ind w:right="-21"/>
        <w:jc w:val="left"/>
        <w:rPr>
          <w:rFonts w:ascii="宋体" w:hAnsi="宋体" w:cs="宋体"/>
          <w:szCs w:val="21"/>
        </w:rPr>
      </w:pPr>
      <w:r>
        <w:rPr>
          <w:rFonts w:hint="eastAsia" w:ascii="宋体" w:hAnsi="宋体" w:cs="宋体"/>
          <w:szCs w:val="21"/>
        </w:rPr>
        <w:t xml:space="preserve">    15.1比选申请人按比选文件规定，编制一份比选申请文件“正本”和前附表第12项所述份数的“副本”，并标明“比选申请文件正本”和“比选申请文件副本”。比选申请文件正本和副本如有不一致之处，以正本为准。</w:t>
      </w:r>
    </w:p>
    <w:p>
      <w:pPr>
        <w:ind w:right="-21"/>
        <w:jc w:val="left"/>
        <w:rPr>
          <w:rFonts w:ascii="宋体" w:hAnsi="宋体" w:cs="宋体"/>
          <w:szCs w:val="21"/>
        </w:rPr>
      </w:pPr>
      <w:r>
        <w:rPr>
          <w:rFonts w:hint="eastAsia" w:ascii="宋体" w:hAnsi="宋体" w:cs="宋体"/>
          <w:szCs w:val="21"/>
        </w:rPr>
        <w:t xml:space="preserve">    15.2比选申请文件正本与副本均应使用不能擦去的黑色墨水打印或书写，装订成册，由比选申请人法定代表人或授权委托代理人亲自签署或加盖印鉴，并加盖比选申请人单位公章。</w:t>
      </w:r>
    </w:p>
    <w:p>
      <w:pPr>
        <w:ind w:right="-21"/>
        <w:jc w:val="left"/>
        <w:rPr>
          <w:rFonts w:ascii="宋体" w:hAnsi="宋体" w:cs="宋体"/>
          <w:szCs w:val="21"/>
        </w:rPr>
      </w:pPr>
      <w:r>
        <w:rPr>
          <w:rFonts w:hint="eastAsia" w:ascii="宋体" w:hAnsi="宋体" w:cs="宋体"/>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4"/>
        <w:jc w:val="center"/>
        <w:rPr>
          <w:sz w:val="21"/>
          <w:szCs w:val="21"/>
        </w:rPr>
      </w:pPr>
      <w:bookmarkStart w:id="143" w:name="_Toc461525301"/>
      <w:bookmarkStart w:id="144" w:name="_Toc25460"/>
      <w:bookmarkStart w:id="145" w:name="_Toc2153"/>
      <w:bookmarkStart w:id="146" w:name="_Toc16937"/>
      <w:bookmarkStart w:id="147" w:name="_Toc28307"/>
      <w:bookmarkStart w:id="148" w:name="_Toc31804"/>
      <w:bookmarkStart w:id="149" w:name="_Toc23101"/>
      <w:bookmarkStart w:id="150" w:name="_Toc471482365"/>
      <w:bookmarkStart w:id="151" w:name="_Toc19276"/>
      <w:bookmarkStart w:id="152" w:name="_Toc15955"/>
      <w:bookmarkStart w:id="153" w:name="_Toc28652"/>
      <w:bookmarkStart w:id="154" w:name="_Toc11391"/>
      <w:bookmarkStart w:id="155" w:name="_Toc14726"/>
      <w:bookmarkStart w:id="156" w:name="_Toc23604"/>
      <w:r>
        <w:rPr>
          <w:rFonts w:hint="eastAsia"/>
          <w:sz w:val="21"/>
          <w:szCs w:val="21"/>
        </w:rPr>
        <w:t>五、</w:t>
      </w:r>
      <w:r>
        <w:rPr>
          <w:sz w:val="21"/>
          <w:szCs w:val="21"/>
        </w:rPr>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jc w:val="left"/>
        <w:rPr>
          <w:rFonts w:ascii="宋体" w:hAnsi="宋体" w:cs="宋体"/>
          <w:szCs w:val="21"/>
        </w:rPr>
      </w:pPr>
      <w:r>
        <w:rPr>
          <w:rFonts w:hint="eastAsia" w:ascii="宋体" w:hAnsi="宋体" w:cs="宋体"/>
          <w:szCs w:val="21"/>
        </w:rPr>
        <w:t xml:space="preserve">    16.比选申请文件的密封与标志</w:t>
      </w:r>
    </w:p>
    <w:p>
      <w:pPr>
        <w:ind w:right="-21"/>
        <w:jc w:val="left"/>
        <w:rPr>
          <w:rFonts w:ascii="宋体" w:hAnsi="宋体" w:cs="宋体"/>
          <w:szCs w:val="21"/>
        </w:rPr>
      </w:pPr>
      <w:r>
        <w:rPr>
          <w:rFonts w:hint="eastAsia" w:ascii="宋体" w:hAnsi="宋体" w:cs="宋体"/>
          <w:szCs w:val="21"/>
        </w:rPr>
        <w:t xml:space="preserve">    16.1比选申请文件装订要求：比选由请文件由资格宙查部分、技术部分、</w:t>
      </w:r>
      <w:r>
        <w:rPr>
          <w:rFonts w:hint="eastAsia" w:ascii="宋体" w:hAnsi="宋体" w:cs="宋体"/>
          <w:szCs w:val="21"/>
          <w:lang w:val="en-US" w:eastAsia="zh-CN"/>
        </w:rPr>
        <w:t>商务部分合并</w:t>
      </w:r>
      <w:r>
        <w:rPr>
          <w:rFonts w:hint="eastAsia" w:ascii="宋体" w:hAnsi="宋体" w:cs="宋体"/>
          <w:szCs w:val="21"/>
        </w:rPr>
        <w:t>装订。</w:t>
      </w:r>
    </w:p>
    <w:p>
      <w:pPr>
        <w:ind w:right="-21"/>
        <w:jc w:val="left"/>
        <w:rPr>
          <w:rFonts w:hint="eastAsia" w:ascii="宋体" w:hAnsi="宋体" w:cs="宋体"/>
          <w:szCs w:val="21"/>
        </w:rPr>
      </w:pPr>
      <w:r>
        <w:rPr>
          <w:rFonts w:hint="eastAsia" w:ascii="宋体" w:hAnsi="宋体" w:cs="宋体"/>
          <w:szCs w:val="21"/>
        </w:rPr>
        <w:t xml:space="preserve">    16.2比选申请文件的资格审查部分、技术部分、商务部分</w:t>
      </w:r>
      <w:r>
        <w:rPr>
          <w:rFonts w:hint="eastAsia" w:ascii="宋体" w:hAnsi="宋体" w:cs="宋体"/>
          <w:szCs w:val="21"/>
          <w:lang w:val="en-US" w:eastAsia="zh-CN"/>
        </w:rPr>
        <w:t>合并</w:t>
      </w:r>
      <w:r>
        <w:rPr>
          <w:rFonts w:hint="eastAsia" w:ascii="宋体" w:hAnsi="宋体" w:cs="宋体"/>
          <w:szCs w:val="21"/>
        </w:rPr>
        <w:t>装订成册，并分正、副本，其中正本一册，副本四册，密封在一个比选文件密封袋中。</w:t>
      </w:r>
    </w:p>
    <w:p>
      <w:pPr>
        <w:tabs>
          <w:tab w:val="left" w:pos="8610"/>
        </w:tabs>
        <w:ind w:right="-21"/>
        <w:jc w:val="left"/>
        <w:rPr>
          <w:rFonts w:ascii="宋体" w:hAnsi="宋体" w:cs="宋体"/>
          <w:szCs w:val="21"/>
        </w:rPr>
      </w:pPr>
      <w:r>
        <w:rPr>
          <w:rFonts w:hint="eastAsia" w:ascii="宋体" w:hAnsi="宋体" w:cs="宋体"/>
          <w:szCs w:val="21"/>
        </w:rPr>
        <w:t xml:space="preserve">    16.3密封袋封口处都应加盖比选申请人公章或粘贴加盖公章的密封条，若密封袋没有加盖公章或破损严重，有可能导致比选人的拒收。</w:t>
      </w:r>
    </w:p>
    <w:p>
      <w:pPr>
        <w:ind w:right="753" w:firstLine="420" w:firstLineChars="200"/>
        <w:jc w:val="left"/>
        <w:rPr>
          <w:rFonts w:ascii="宋体" w:hAnsi="宋体" w:cs="宋体"/>
          <w:szCs w:val="21"/>
        </w:rPr>
      </w:pPr>
      <w:r>
        <w:rPr>
          <w:rFonts w:hint="eastAsia" w:ascii="宋体" w:hAnsi="宋体" w:cs="宋体"/>
          <w:szCs w:val="21"/>
        </w:rPr>
        <w:t>17.递交比选文件截止期</w:t>
      </w:r>
    </w:p>
    <w:p>
      <w:pPr>
        <w:ind w:right="-21" w:firstLine="420"/>
        <w:jc w:val="left"/>
        <w:rPr>
          <w:rFonts w:ascii="宋体" w:hAnsi="宋体" w:cs="宋体"/>
          <w:szCs w:val="21"/>
        </w:rPr>
      </w:pPr>
      <w:r>
        <w:rPr>
          <w:rFonts w:hint="eastAsia" w:ascii="宋体" w:hAnsi="宋体" w:cs="宋体"/>
          <w:szCs w:val="21"/>
        </w:rPr>
        <w:t>17.1比选申请人应在前附表第14项所述规定的时间，将比选申请文件递交至前附表第13项所述的单位和地址。</w:t>
      </w:r>
      <w:bookmarkStart w:id="157" w:name="_Toc1057"/>
      <w:bookmarkStart w:id="158" w:name="_Toc17217"/>
      <w:bookmarkStart w:id="159" w:name="_Toc20356"/>
      <w:bookmarkStart w:id="160" w:name="_Toc461525302"/>
      <w:bookmarkStart w:id="161" w:name="_Toc6376"/>
      <w:bookmarkStart w:id="162" w:name="_Toc22118"/>
      <w:bookmarkStart w:id="163" w:name="_Toc31034"/>
      <w:bookmarkStart w:id="164" w:name="_Toc471482366"/>
      <w:bookmarkStart w:id="165" w:name="_Toc32687"/>
      <w:bookmarkStart w:id="166" w:name="_Toc29047"/>
      <w:bookmarkStart w:id="167" w:name="_Toc27095"/>
      <w:bookmarkStart w:id="168" w:name="_Toc30232"/>
      <w:bookmarkStart w:id="169" w:name="_Toc20601"/>
      <w:bookmarkStart w:id="170" w:name="_Toc31139"/>
    </w:p>
    <w:p>
      <w:pPr>
        <w:ind w:right="-21" w:firstLine="420"/>
        <w:jc w:val="left"/>
        <w:rPr>
          <w:szCs w:val="21"/>
        </w:rPr>
      </w:pPr>
      <w:r>
        <w:rPr>
          <w:rFonts w:hint="eastAsia" w:ascii="宋体" w:hAnsi="宋体" w:cs="宋体"/>
          <w:szCs w:val="21"/>
        </w:rPr>
        <w:t>1</w:t>
      </w:r>
      <w:r>
        <w:rPr>
          <w:rFonts w:hint="eastAsia"/>
          <w:szCs w:val="21"/>
        </w:rPr>
        <w:t>7.2 比选发起人可以以补充通知方式，酌情延长递交比选申请文件的截止日期。在上述情况下，比选发起人与比选申请人在比选截止日期以前拥有的全部权力、责任和义务，将适用于延长后新的递交文件截止日期。</w:t>
      </w:r>
    </w:p>
    <w:p>
      <w:pPr>
        <w:ind w:right="-21" w:firstLine="420"/>
        <w:jc w:val="left"/>
        <w:rPr>
          <w:szCs w:val="21"/>
        </w:rPr>
      </w:pPr>
      <w:r>
        <w:rPr>
          <w:rFonts w:hint="eastAsia"/>
          <w:szCs w:val="21"/>
        </w:rPr>
        <w:t>17.3 凡没有以补充方式获得酌情延长递交文件截止日期的比选申请人，比选发起人将拒收在递交文件截止日期以后送到的比选申请文件。</w:t>
      </w:r>
    </w:p>
    <w:p>
      <w:pPr>
        <w:pStyle w:val="4"/>
        <w:jc w:val="center"/>
        <w:rPr>
          <w:sz w:val="21"/>
          <w:szCs w:val="21"/>
        </w:rPr>
      </w:pPr>
      <w:r>
        <w:rPr>
          <w:rFonts w:hint="eastAsia"/>
          <w:sz w:val="21"/>
          <w:szCs w:val="21"/>
        </w:rPr>
        <w:t>六、</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Fonts w:hint="eastAsia"/>
          <w:sz w:val="21"/>
          <w:szCs w:val="21"/>
        </w:rPr>
        <w:t>评审</w:t>
      </w:r>
    </w:p>
    <w:p>
      <w:pPr>
        <w:tabs>
          <w:tab w:val="left" w:pos="8610"/>
        </w:tabs>
        <w:ind w:right="-21" w:firstLine="420" w:firstLineChars="200"/>
        <w:jc w:val="left"/>
        <w:rPr>
          <w:rFonts w:ascii="宋体" w:hAnsi="宋体" w:cs="宋体"/>
          <w:szCs w:val="21"/>
        </w:rPr>
      </w:pPr>
      <w:bookmarkStart w:id="171" w:name="_Toc436771484"/>
      <w:bookmarkStart w:id="172" w:name="_Toc535961531"/>
      <w:r>
        <w:rPr>
          <w:rFonts w:hint="eastAsia" w:ascii="宋体" w:hAnsi="宋体" w:cs="宋体"/>
          <w:szCs w:val="21"/>
        </w:rPr>
        <w:t>18. 评审</w:t>
      </w:r>
      <w:bookmarkEnd w:id="171"/>
      <w:r>
        <w:rPr>
          <w:rFonts w:hint="eastAsia" w:ascii="宋体" w:hAnsi="宋体" w:cs="宋体"/>
          <w:szCs w:val="21"/>
        </w:rPr>
        <w:t>程序</w:t>
      </w:r>
      <w:bookmarkEnd w:id="172"/>
    </w:p>
    <w:p>
      <w:pPr>
        <w:tabs>
          <w:tab w:val="left" w:pos="8610"/>
        </w:tabs>
        <w:ind w:right="-21" w:firstLine="420" w:firstLineChars="200"/>
        <w:jc w:val="left"/>
        <w:rPr>
          <w:rFonts w:ascii="宋体" w:hAnsi="宋体" w:cs="宋体"/>
          <w:szCs w:val="21"/>
        </w:rPr>
      </w:pPr>
      <w:r>
        <w:rPr>
          <w:rFonts w:hint="eastAsia" w:ascii="宋体" w:hAnsi="宋体" w:cs="宋体"/>
          <w:szCs w:val="21"/>
        </w:rPr>
        <w:t>18.1 比选发起人将于前附表第11项规定的时间和地点举行评审会议，参加评审的比选申请人的法定代表人或授权委托代理人应签名报到，以证明其出席评审会议，并携带有效证明材料前往，以证实其身份。</w:t>
      </w:r>
    </w:p>
    <w:p>
      <w:pPr>
        <w:tabs>
          <w:tab w:val="left" w:pos="8610"/>
        </w:tabs>
        <w:ind w:right="-21" w:firstLine="420" w:firstLineChars="200"/>
        <w:jc w:val="left"/>
        <w:rPr>
          <w:rFonts w:ascii="宋体" w:hAnsi="宋体" w:cs="宋体"/>
          <w:szCs w:val="21"/>
        </w:rPr>
      </w:pPr>
      <w:r>
        <w:rPr>
          <w:rFonts w:hint="eastAsia" w:ascii="宋体" w:hAnsi="宋体" w:cs="宋体"/>
          <w:szCs w:val="21"/>
        </w:rPr>
        <w:t>18.2 本项目由南宁轨道交通集团有限责任公司相关人员组成评审小组，评审小组由3人及以上单数组成，共同对比选申请文件按照评审标准的规定进行评审；由监督部门对评审过程进行全程视频监督。</w:t>
      </w:r>
    </w:p>
    <w:p>
      <w:pPr>
        <w:tabs>
          <w:tab w:val="left" w:pos="8610"/>
        </w:tabs>
        <w:ind w:right="-21" w:firstLine="420" w:firstLineChars="200"/>
        <w:jc w:val="left"/>
        <w:rPr>
          <w:rFonts w:ascii="宋体" w:hAnsi="宋体" w:cs="宋体"/>
          <w:szCs w:val="21"/>
        </w:rPr>
      </w:pPr>
      <w:r>
        <w:rPr>
          <w:rFonts w:hint="eastAsia" w:ascii="宋体" w:hAnsi="宋体" w:cs="宋体"/>
          <w:szCs w:val="21"/>
        </w:rPr>
        <w:t>18.3 评审小组成员应当独立、客观、公正的履行职责，遵守职业道德，对所提出的评审意见承担个人责任；评审小组成员及其他工作人员应对整个评审活动保密。</w:t>
      </w:r>
    </w:p>
    <w:p>
      <w:pPr>
        <w:tabs>
          <w:tab w:val="left" w:pos="8610"/>
        </w:tabs>
        <w:ind w:right="-21" w:firstLine="420" w:firstLineChars="200"/>
        <w:jc w:val="left"/>
        <w:rPr>
          <w:rFonts w:ascii="宋体" w:hAnsi="宋体" w:cs="宋体"/>
          <w:szCs w:val="21"/>
        </w:rPr>
      </w:pPr>
      <w:r>
        <w:rPr>
          <w:rFonts w:hint="eastAsia" w:ascii="宋体" w:hAnsi="宋体" w:cs="宋体"/>
          <w:szCs w:val="21"/>
        </w:rPr>
        <w:t>18.4评审会议程序：</w:t>
      </w:r>
    </w:p>
    <w:p>
      <w:pPr>
        <w:tabs>
          <w:tab w:val="left" w:pos="8610"/>
        </w:tabs>
        <w:ind w:right="-21" w:firstLine="420" w:firstLineChars="200"/>
        <w:jc w:val="left"/>
        <w:rPr>
          <w:rFonts w:ascii="宋体" w:hAnsi="宋体" w:cs="宋体"/>
          <w:szCs w:val="21"/>
        </w:rPr>
      </w:pPr>
      <w:r>
        <w:rPr>
          <w:rFonts w:hint="eastAsia" w:ascii="宋体" w:hAnsi="宋体" w:cs="宋体"/>
          <w:szCs w:val="21"/>
        </w:rPr>
        <w:t>（1）比选申请人的法定代表人或授权委托代理人应签名报到，比选人验证法定代表人资格证明书、授权委托书及有效身份证明，由主持人宣布评审会议开始，介绍到会人员；</w:t>
      </w:r>
    </w:p>
    <w:p>
      <w:pPr>
        <w:tabs>
          <w:tab w:val="left" w:pos="8610"/>
        </w:tabs>
        <w:ind w:right="-21" w:firstLine="420" w:firstLineChars="200"/>
        <w:jc w:val="left"/>
        <w:rPr>
          <w:rFonts w:ascii="宋体" w:hAnsi="宋体" w:cs="宋体"/>
          <w:szCs w:val="21"/>
        </w:rPr>
      </w:pPr>
      <w:r>
        <w:rPr>
          <w:rFonts w:hint="eastAsia" w:ascii="宋体" w:hAnsi="宋体" w:cs="宋体"/>
          <w:szCs w:val="21"/>
        </w:rPr>
        <w:t>（2）评审小组确认文件是否密封，文件外包装签署是否正确，比选申请人</w:t>
      </w:r>
      <w:r>
        <w:rPr>
          <w:rFonts w:hint="eastAsia" w:ascii="宋体" w:hAnsi="宋体" w:cs="宋体"/>
          <w:szCs w:val="21"/>
          <w:lang w:val="en-US" w:eastAsia="zh-CN"/>
        </w:rPr>
        <w:t>对</w:t>
      </w:r>
      <w:r>
        <w:rPr>
          <w:rFonts w:hint="eastAsia" w:ascii="宋体" w:hAnsi="宋体" w:cs="宋体"/>
          <w:szCs w:val="21"/>
        </w:rPr>
        <w:t>结果签字确认，比选申请人退场</w:t>
      </w:r>
      <w:r>
        <w:rPr>
          <w:rFonts w:hint="eastAsia" w:ascii="宋体" w:hAnsi="宋体" w:cs="宋体"/>
          <w:szCs w:val="21"/>
          <w:lang w:eastAsia="zh-CN"/>
        </w:rPr>
        <w:t>；</w:t>
      </w:r>
    </w:p>
    <w:p>
      <w:pPr>
        <w:tabs>
          <w:tab w:val="left" w:pos="8610"/>
        </w:tabs>
        <w:ind w:right="-21" w:firstLine="420" w:firstLineChars="200"/>
        <w:jc w:val="left"/>
        <w:rPr>
          <w:rFonts w:ascii="宋体" w:hAnsi="宋体" w:cs="宋体"/>
          <w:szCs w:val="21"/>
        </w:rPr>
      </w:pPr>
      <w:r>
        <w:rPr>
          <w:rFonts w:hint="eastAsia" w:ascii="宋体" w:hAnsi="宋体" w:cs="宋体"/>
          <w:szCs w:val="21"/>
        </w:rPr>
        <w:t>（3）启封比选申请文件的资格审查部分，移交评审小组进行资格审查</w:t>
      </w:r>
      <w:r>
        <w:rPr>
          <w:rFonts w:hint="eastAsia" w:ascii="宋体" w:hAnsi="宋体" w:cs="宋体"/>
          <w:szCs w:val="21"/>
          <w:lang w:eastAsia="zh-CN"/>
        </w:rPr>
        <w:t>；</w:t>
      </w:r>
    </w:p>
    <w:p>
      <w:pPr>
        <w:tabs>
          <w:tab w:val="left" w:pos="8610"/>
        </w:tabs>
        <w:ind w:right="-21" w:firstLine="420" w:firstLineChars="200"/>
        <w:jc w:val="left"/>
        <w:rPr>
          <w:rFonts w:ascii="宋体" w:hAnsi="宋体" w:cs="宋体"/>
          <w:szCs w:val="21"/>
        </w:rPr>
      </w:pPr>
      <w:r>
        <w:rPr>
          <w:rFonts w:hint="eastAsia" w:ascii="宋体" w:hAnsi="宋体" w:cs="宋体"/>
          <w:szCs w:val="21"/>
        </w:rPr>
        <w:t>（4）主持人宣布审查结果，并宣读通过资格审查的比选申请人名称以及比选发起人认为需要的其他内容</w:t>
      </w:r>
      <w:r>
        <w:rPr>
          <w:rFonts w:hint="eastAsia" w:ascii="宋体" w:hAnsi="宋体" w:cs="宋体"/>
          <w:szCs w:val="21"/>
          <w:lang w:eastAsia="zh-CN"/>
        </w:rPr>
        <w:t>；</w:t>
      </w:r>
    </w:p>
    <w:p>
      <w:pPr>
        <w:tabs>
          <w:tab w:val="left" w:pos="8610"/>
        </w:tabs>
        <w:ind w:right="-21" w:firstLine="420" w:firstLineChars="200"/>
        <w:jc w:val="left"/>
        <w:rPr>
          <w:rFonts w:ascii="宋体" w:hAnsi="宋体" w:cs="宋体"/>
          <w:szCs w:val="21"/>
        </w:rPr>
      </w:pPr>
      <w:r>
        <w:rPr>
          <w:rFonts w:hint="eastAsia" w:ascii="宋体" w:hAnsi="宋体" w:cs="宋体"/>
          <w:szCs w:val="21"/>
        </w:rPr>
        <w:t>（5）启封通过资格审查的比选申请文件的技术部分，移交评审小组评审</w:t>
      </w:r>
      <w:r>
        <w:rPr>
          <w:rFonts w:hint="eastAsia" w:ascii="宋体" w:hAnsi="宋体" w:cs="宋体"/>
          <w:szCs w:val="21"/>
          <w:lang w:eastAsia="zh-CN"/>
        </w:rPr>
        <w:t>；</w:t>
      </w:r>
    </w:p>
    <w:p>
      <w:pPr>
        <w:tabs>
          <w:tab w:val="left" w:pos="8610"/>
        </w:tabs>
        <w:ind w:right="-21" w:firstLine="420" w:firstLineChars="200"/>
        <w:jc w:val="left"/>
        <w:rPr>
          <w:rFonts w:ascii="宋体" w:hAnsi="宋体" w:cs="宋体"/>
          <w:szCs w:val="21"/>
        </w:rPr>
      </w:pPr>
      <w:r>
        <w:rPr>
          <w:rFonts w:hint="eastAsia" w:ascii="宋体" w:hAnsi="宋体" w:cs="宋体"/>
          <w:szCs w:val="21"/>
          <w:lang w:eastAsia="zh-CN"/>
        </w:rPr>
        <w:t>（</w:t>
      </w:r>
      <w:r>
        <w:rPr>
          <w:rFonts w:hint="eastAsia" w:ascii="宋体" w:hAnsi="宋体" w:cs="宋体"/>
          <w:szCs w:val="21"/>
        </w:rPr>
        <w:t>6</w:t>
      </w:r>
      <w:r>
        <w:rPr>
          <w:rFonts w:hint="eastAsia" w:ascii="宋体" w:hAnsi="宋体" w:cs="宋体"/>
          <w:szCs w:val="21"/>
          <w:lang w:eastAsia="zh-CN"/>
        </w:rPr>
        <w:t>）</w:t>
      </w:r>
      <w:r>
        <w:rPr>
          <w:rFonts w:hint="eastAsia" w:ascii="宋体" w:hAnsi="宋体" w:cs="宋体"/>
          <w:szCs w:val="21"/>
        </w:rPr>
        <w:t>启封比选申请文件的商务部</w:t>
      </w:r>
      <w:r>
        <w:rPr>
          <w:rFonts w:hint="eastAsia" w:ascii="宋体" w:hAnsi="宋体" w:cs="宋体"/>
          <w:szCs w:val="21"/>
          <w:lang w:val="en-US" w:eastAsia="zh-CN"/>
        </w:rPr>
        <w:t>分</w:t>
      </w:r>
      <w:r>
        <w:rPr>
          <w:rFonts w:hint="eastAsia" w:ascii="宋体" w:hAnsi="宋体" w:cs="宋体"/>
          <w:szCs w:val="21"/>
        </w:rPr>
        <w:t>，移交评审小组评审</w:t>
      </w:r>
      <w:r>
        <w:rPr>
          <w:rFonts w:hint="eastAsia" w:ascii="宋体" w:hAnsi="宋体" w:cs="宋体"/>
          <w:szCs w:val="21"/>
          <w:lang w:eastAsia="zh-CN"/>
        </w:rPr>
        <w:t>；</w:t>
      </w:r>
    </w:p>
    <w:p>
      <w:pPr>
        <w:tabs>
          <w:tab w:val="left" w:pos="8610"/>
        </w:tabs>
        <w:ind w:right="-21" w:firstLine="420" w:firstLineChars="200"/>
        <w:jc w:val="left"/>
        <w:rPr>
          <w:rFonts w:ascii="宋体" w:hAnsi="宋体" w:cs="宋体"/>
          <w:color w:val="auto"/>
          <w:szCs w:val="21"/>
        </w:rPr>
      </w:pPr>
      <w:r>
        <w:rPr>
          <w:rFonts w:hint="eastAsia" w:ascii="宋体" w:hAnsi="宋体" w:cs="宋体"/>
          <w:szCs w:val="21"/>
        </w:rPr>
        <w:t>（7）在评审过程中工作人员做比选记录，评</w:t>
      </w:r>
      <w:r>
        <w:rPr>
          <w:rFonts w:hint="eastAsia" w:ascii="宋体" w:hAnsi="宋体" w:cs="宋体"/>
          <w:color w:val="auto"/>
          <w:szCs w:val="21"/>
        </w:rPr>
        <w:t>审小组在比选记录表上签字确认，主持人宣读比选结果</w:t>
      </w:r>
      <w:r>
        <w:rPr>
          <w:rFonts w:hint="eastAsia" w:ascii="宋体" w:hAnsi="宋体" w:cs="宋体"/>
          <w:color w:val="auto"/>
          <w:szCs w:val="21"/>
          <w:lang w:eastAsia="zh-CN"/>
        </w:rPr>
        <w:t>；</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（8）评审结束。</w:t>
      </w:r>
    </w:p>
    <w:p>
      <w:pPr>
        <w:tabs>
          <w:tab w:val="left" w:pos="8610"/>
        </w:tabs>
        <w:ind w:right="-21" w:firstLine="420" w:firstLineChars="200"/>
        <w:jc w:val="left"/>
        <w:rPr>
          <w:rFonts w:ascii="宋体" w:hAnsi="宋体" w:cs="宋体"/>
          <w:color w:val="auto"/>
          <w:szCs w:val="21"/>
        </w:rPr>
      </w:pPr>
      <w:bookmarkStart w:id="173" w:name="_Toc436771486"/>
      <w:bookmarkStart w:id="174" w:name="_Toc392862499"/>
      <w:bookmarkStart w:id="175" w:name="_Toc535961532"/>
      <w:r>
        <w:rPr>
          <w:rFonts w:hint="eastAsia" w:ascii="宋体" w:hAnsi="宋体" w:cs="宋体"/>
          <w:color w:val="auto"/>
          <w:szCs w:val="21"/>
        </w:rPr>
        <w:t>19. 评审</w:t>
      </w:r>
      <w:bookmarkEnd w:id="173"/>
      <w:bookmarkEnd w:id="174"/>
      <w:r>
        <w:rPr>
          <w:rFonts w:hint="eastAsia" w:ascii="宋体" w:hAnsi="宋体" w:cs="宋体"/>
          <w:color w:val="auto"/>
          <w:szCs w:val="21"/>
        </w:rPr>
        <w:t>规则</w:t>
      </w:r>
      <w:bookmarkEnd w:id="175"/>
    </w:p>
    <w:p>
      <w:pPr>
        <w:tabs>
          <w:tab w:val="left" w:pos="8610"/>
        </w:tabs>
        <w:ind w:right="-21"/>
        <w:jc w:val="left"/>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19.1 本采购项目比选上限控制价为：人民币</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200</w:t>
      </w:r>
      <w:r>
        <w:rPr>
          <w:rFonts w:hint="eastAsia" w:ascii="宋体" w:hAnsi="宋体" w:cs="宋体"/>
          <w:color w:val="auto"/>
          <w:szCs w:val="21"/>
          <w:u w:val="single"/>
        </w:rPr>
        <w:t xml:space="preserve">,000.00  </w:t>
      </w:r>
      <w:r>
        <w:rPr>
          <w:rFonts w:hint="eastAsia" w:ascii="宋体" w:hAnsi="宋体" w:cs="宋体"/>
          <w:color w:val="auto"/>
          <w:szCs w:val="21"/>
        </w:rPr>
        <w:t>元整（含税）</w:t>
      </w:r>
      <w:r>
        <w:rPr>
          <w:rFonts w:hint="eastAsia" w:ascii="宋体" w:hAnsi="宋体" w:cs="宋体"/>
          <w:color w:val="auto"/>
          <w:szCs w:val="21"/>
          <w:lang w:val="en-US" w:eastAsia="zh-CN"/>
        </w:rPr>
        <w:t>,</w:t>
      </w:r>
      <w:r>
        <w:rPr>
          <w:rFonts w:hint="eastAsia" w:ascii="宋体" w:hAnsi="宋体" w:cs="宋体"/>
          <w:color w:val="auto"/>
          <w:szCs w:val="21"/>
          <w:u w:val="single"/>
          <w:lang w:val="en-US" w:eastAsia="zh-CN"/>
        </w:rPr>
        <w:t>188,679.25</w:t>
      </w:r>
      <w:r>
        <w:rPr>
          <w:rFonts w:hint="eastAsia" w:ascii="宋体" w:hAnsi="宋体" w:cs="宋体"/>
          <w:color w:val="auto"/>
          <w:szCs w:val="21"/>
        </w:rPr>
        <w:t xml:space="preserve">元整(不含税)。当比选申请人报价超过上限控制价时，比选申请文件无效； </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19.2 比选申请人在评审过程中所进行的力图影响评审公正性的活动，可能导致其中选无效。</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19.3 比选申请文件的澄清或说明：</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（1）评审小组将以书面形式要求比选申请人就其比选申请文件中含义不明确、同类问题表述不一致或有明显文字错误等的内容予以澄清或说明。</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（2）比选申请人对要求澄清或说明的内容应在评审小组规定的时间内以书面形式予以澄清，该澄清或说明函应有法定代表人或其委托代理人的签名或盖公章。</w:t>
      </w:r>
    </w:p>
    <w:p>
      <w:pPr>
        <w:tabs>
          <w:tab w:val="left" w:pos="8610"/>
        </w:tabs>
        <w:ind w:right="-21" w:firstLine="420" w:firstLineChars="200"/>
        <w:jc w:val="left"/>
        <w:rPr>
          <w:rFonts w:ascii="宋体" w:hAnsi="宋体" w:cs="宋体"/>
          <w:szCs w:val="21"/>
        </w:rPr>
      </w:pPr>
      <w:r>
        <w:rPr>
          <w:rFonts w:hint="eastAsia" w:ascii="宋体" w:hAnsi="宋体" w:cs="宋体"/>
          <w:szCs w:val="21"/>
        </w:rPr>
        <w:t>（3）比选申请人的澄清或说明函作为比选申请文件的组成部分。</w:t>
      </w:r>
    </w:p>
    <w:p>
      <w:pPr>
        <w:tabs>
          <w:tab w:val="left" w:pos="8610"/>
        </w:tabs>
        <w:ind w:right="-21" w:firstLine="420" w:firstLineChars="200"/>
        <w:jc w:val="left"/>
        <w:rPr>
          <w:rFonts w:hint="eastAsia" w:ascii="宋体" w:hAnsi="宋体" w:cs="宋体"/>
          <w:szCs w:val="21"/>
        </w:rPr>
      </w:pPr>
      <w:r>
        <w:rPr>
          <w:rFonts w:hint="eastAsia" w:ascii="宋体" w:hAnsi="宋体" w:cs="宋体"/>
          <w:szCs w:val="21"/>
        </w:rPr>
        <w:t>（4）比选申请人对比选申请文件的澄清或说明不得超出比选申请文件的范围或改变比选的实质内容。</w:t>
      </w:r>
    </w:p>
    <w:p>
      <w:pPr>
        <w:tabs>
          <w:tab w:val="left" w:pos="8610"/>
        </w:tabs>
        <w:snapToGrid/>
        <w:spacing w:before="0" w:after="0" w:afterAutospacing="0"/>
        <w:ind w:left="0" w:leftChars="0" w:right="-21" w:firstLine="422" w:firstLineChars="200"/>
        <w:jc w:val="left"/>
        <w:textAlignment w:val="auto"/>
        <w:rPr>
          <w:rFonts w:hint="eastAsia" w:ascii="宋体" w:hAnsi="宋体"/>
          <w:b/>
          <w:bCs/>
          <w:color w:val="FF0000"/>
        </w:rPr>
      </w:pPr>
      <w:r>
        <w:rPr>
          <w:rFonts w:hint="eastAsia" w:ascii="宋体" w:hAnsi="宋体" w:cs="宋体"/>
          <w:b/>
          <w:bCs/>
          <w:color w:val="FF0000"/>
          <w:szCs w:val="21"/>
          <w:lang w:val="en-US" w:eastAsia="zh-CN"/>
        </w:rPr>
        <w:t>19.4</w:t>
      </w:r>
      <w:r>
        <w:rPr>
          <w:rFonts w:hint="eastAsia" w:ascii="宋体" w:hAnsi="宋体"/>
          <w:b/>
          <w:bCs/>
          <w:color w:val="FF0000"/>
          <w:highlight w:val="none"/>
          <w:lang w:val="en-US" w:eastAsia="zh-CN"/>
        </w:rPr>
        <w:t xml:space="preserve"> </w:t>
      </w:r>
      <w:r>
        <w:rPr>
          <w:rFonts w:hint="eastAsia" w:ascii="宋体" w:hAnsi="宋体"/>
          <w:b/>
          <w:bCs/>
          <w:color w:val="FF0000"/>
          <w:highlight w:val="none"/>
        </w:rPr>
        <w:t>由于本比选项目与“南宁轨道交通集团有限责任公司运营、城发、地产、枢纽公司主要负责人离任经济责任审计”同时开展，评比时间顺序为：“南宁轨道交通集团有限责任公司运营、城发、地产、枢纽公司主要负责人离任经济责任审计”→“本</w:t>
      </w:r>
      <w:r>
        <w:rPr>
          <w:rFonts w:hint="eastAsia" w:ascii="宋体" w:hAnsi="宋体"/>
          <w:b/>
          <w:bCs/>
          <w:color w:val="FF0000"/>
        </w:rPr>
        <w:t>比选项目”，若比选申请人同时参与两个项目的比选，在中选前一比选项目后，可参与后一项目的比选，但不能再中选后一项目（即比选同一比选申请人只能中选一个比选项目），若前一比选项目流标，不影响后一项目的比选。</w:t>
      </w:r>
    </w:p>
    <w:p>
      <w:pPr>
        <w:tabs>
          <w:tab w:val="left" w:pos="8610"/>
        </w:tabs>
        <w:ind w:right="-21" w:firstLine="420" w:firstLineChars="200"/>
        <w:jc w:val="left"/>
        <w:rPr>
          <w:rFonts w:ascii="宋体" w:hAnsi="宋体" w:cs="宋体"/>
          <w:szCs w:val="21"/>
        </w:rPr>
      </w:pPr>
      <w:bookmarkStart w:id="176" w:name="_Toc392862500"/>
      <w:bookmarkStart w:id="177" w:name="_Toc114052375"/>
      <w:bookmarkStart w:id="178" w:name="_Toc286386859"/>
      <w:bookmarkStart w:id="179" w:name="_Toc535961533"/>
      <w:bookmarkStart w:id="180" w:name="_Toc114052439"/>
      <w:bookmarkStart w:id="181" w:name="_Toc436771487"/>
      <w:r>
        <w:rPr>
          <w:rFonts w:hint="eastAsia" w:ascii="宋体" w:hAnsi="宋体" w:cs="宋体"/>
          <w:szCs w:val="21"/>
        </w:rPr>
        <w:t>20. 评审保密</w:t>
      </w:r>
      <w:bookmarkEnd w:id="176"/>
      <w:bookmarkEnd w:id="177"/>
      <w:bookmarkEnd w:id="178"/>
      <w:bookmarkEnd w:id="179"/>
      <w:bookmarkEnd w:id="180"/>
      <w:bookmarkEnd w:id="181"/>
    </w:p>
    <w:p>
      <w:pPr>
        <w:tabs>
          <w:tab w:val="left" w:pos="8610"/>
        </w:tabs>
        <w:ind w:right="-21" w:firstLine="420" w:firstLineChars="200"/>
        <w:jc w:val="left"/>
        <w:rPr>
          <w:rFonts w:ascii="宋体" w:hAnsi="宋体" w:cs="宋体"/>
          <w:szCs w:val="21"/>
        </w:rPr>
      </w:pPr>
      <w:r>
        <w:rPr>
          <w:rFonts w:hint="eastAsia" w:ascii="宋体" w:hAnsi="宋体" w:cs="宋体"/>
          <w:szCs w:val="21"/>
        </w:rPr>
        <w:t>20.1 评审全过程内容和比选申请文件的评审结果，不得向比选申请人和与该过程无关的其他单位和个人泄露；</w:t>
      </w:r>
    </w:p>
    <w:p>
      <w:pPr>
        <w:tabs>
          <w:tab w:val="left" w:pos="8610"/>
        </w:tabs>
        <w:ind w:right="-21" w:firstLine="420" w:firstLineChars="200"/>
        <w:jc w:val="left"/>
        <w:rPr>
          <w:rFonts w:ascii="宋体" w:hAnsi="宋体" w:cs="宋体"/>
          <w:szCs w:val="21"/>
        </w:rPr>
      </w:pPr>
      <w:r>
        <w:rPr>
          <w:rFonts w:hint="eastAsia" w:ascii="宋体" w:hAnsi="宋体" w:cs="宋体"/>
          <w:szCs w:val="21"/>
        </w:rPr>
        <w:t>20.2 比选申请人对比选发起人和评审小组成员施加任何有影响的行为，都将被取消比选资格。</w:t>
      </w:r>
    </w:p>
    <w:p>
      <w:pPr>
        <w:ind w:right="753"/>
        <w:jc w:val="left"/>
        <w:rPr>
          <w:rFonts w:ascii="宋体" w:hAnsi="宋体" w:cs="宋体"/>
          <w:szCs w:val="21"/>
        </w:rPr>
      </w:pPr>
      <w:bookmarkStart w:id="182" w:name="_Toc310318598"/>
      <w:r>
        <w:rPr>
          <w:rFonts w:hint="eastAsia" w:ascii="宋体" w:hAnsi="宋体" w:cs="宋体"/>
          <w:szCs w:val="21"/>
        </w:rPr>
        <w:t xml:space="preserve"> 21.比选申请文件评比</w:t>
      </w:r>
      <w:bookmarkEnd w:id="182"/>
      <w:r>
        <w:rPr>
          <w:rFonts w:hint="eastAsia" w:ascii="宋体" w:hAnsi="宋体" w:cs="宋体"/>
          <w:szCs w:val="21"/>
        </w:rPr>
        <w:t>相关要求</w:t>
      </w:r>
    </w:p>
    <w:p>
      <w:pPr>
        <w:ind w:right="753"/>
        <w:jc w:val="left"/>
        <w:rPr>
          <w:rFonts w:ascii="宋体" w:hAnsi="宋体" w:cs="宋体"/>
          <w:szCs w:val="21"/>
        </w:rPr>
      </w:pPr>
      <w:r>
        <w:rPr>
          <w:rFonts w:hint="eastAsia" w:ascii="宋体" w:hAnsi="宋体" w:cs="宋体"/>
          <w:szCs w:val="21"/>
        </w:rPr>
        <w:t xml:space="preserve">    21.1比选申请人资格审查</w:t>
      </w:r>
    </w:p>
    <w:p>
      <w:pPr>
        <w:ind w:right="-21"/>
        <w:jc w:val="left"/>
        <w:rPr>
          <w:rFonts w:ascii="宋体" w:hAnsi="宋体" w:cs="宋体"/>
          <w:szCs w:val="21"/>
        </w:rPr>
      </w:pPr>
      <w:r>
        <w:rPr>
          <w:rFonts w:hint="eastAsia" w:ascii="宋体" w:hAnsi="宋体" w:cs="宋体"/>
          <w:szCs w:val="21"/>
        </w:rPr>
        <w:t xml:space="preserve">    只有通过资格审查才能进入下一步的评比，资格审查资料有任何一项不合格者其资格审查视为不通过。</w:t>
      </w:r>
    </w:p>
    <w:p>
      <w:pPr>
        <w:ind w:right="-21"/>
        <w:jc w:val="left"/>
        <w:rPr>
          <w:rFonts w:ascii="宋体" w:hAnsi="宋体" w:cs="宋体"/>
          <w:b/>
          <w:szCs w:val="21"/>
        </w:rPr>
      </w:pPr>
      <w:r>
        <w:rPr>
          <w:rFonts w:hint="eastAsia" w:ascii="宋体" w:hAnsi="宋体" w:cs="宋体"/>
          <w:b/>
          <w:szCs w:val="21"/>
        </w:rPr>
        <w:t xml:space="preserve">  21.2比选申请人或其比选文件有下列情况之一者，其比选申请文件将视为无效或作废处理：</w:t>
      </w:r>
    </w:p>
    <w:p>
      <w:pPr>
        <w:ind w:right="753"/>
        <w:jc w:val="left"/>
        <w:rPr>
          <w:rFonts w:ascii="宋体" w:hAnsi="宋体" w:cs="宋体"/>
          <w:b/>
          <w:szCs w:val="21"/>
        </w:rPr>
      </w:pPr>
      <w:r>
        <w:rPr>
          <w:rFonts w:hint="eastAsia" w:ascii="宋体" w:hAnsi="宋体" w:cs="宋体"/>
          <w:b/>
          <w:szCs w:val="21"/>
        </w:rPr>
        <w:t xml:space="preserve">    （</w:t>
      </w:r>
      <w:r>
        <w:rPr>
          <w:rFonts w:ascii="宋体" w:hAnsi="宋体" w:cs="宋体"/>
          <w:b/>
          <w:szCs w:val="21"/>
        </w:rPr>
        <w:t>1</w:t>
      </w:r>
      <w:r>
        <w:rPr>
          <w:rFonts w:hint="eastAsia" w:ascii="宋体" w:hAnsi="宋体" w:cs="宋体"/>
          <w:b/>
          <w:szCs w:val="21"/>
        </w:rPr>
        <w:t>）比选申请文件未按照规定的要求装订、密封和标记的；</w:t>
      </w:r>
    </w:p>
    <w:p>
      <w:pPr>
        <w:ind w:right="-21"/>
        <w:jc w:val="left"/>
        <w:rPr>
          <w:rFonts w:ascii="宋体" w:hAnsi="宋体" w:cs="宋体"/>
          <w:b/>
          <w:szCs w:val="21"/>
        </w:rPr>
      </w:pPr>
      <w:r>
        <w:rPr>
          <w:rFonts w:hint="eastAsia" w:ascii="宋体" w:hAnsi="宋体" w:cs="宋体"/>
          <w:b/>
          <w:szCs w:val="21"/>
        </w:rPr>
        <w:t xml:space="preserve">    （</w:t>
      </w:r>
      <w:r>
        <w:rPr>
          <w:rFonts w:ascii="宋体" w:hAnsi="宋体" w:cs="宋体"/>
          <w:b/>
          <w:szCs w:val="21"/>
        </w:rPr>
        <w:t>2</w:t>
      </w:r>
      <w:r>
        <w:rPr>
          <w:rFonts w:hint="eastAsia" w:ascii="宋体" w:hAnsi="宋体" w:cs="宋体"/>
          <w:b/>
          <w:szCs w:val="21"/>
        </w:rPr>
        <w:t>）本须知第11条规定的比选申请文件有关内容未按本须知第15条规定加盖比选申请人公章、未经比选申请人负责人或其委托代理人签字或盖章的；</w:t>
      </w:r>
    </w:p>
    <w:p>
      <w:pPr>
        <w:ind w:right="-21"/>
        <w:jc w:val="left"/>
        <w:rPr>
          <w:rFonts w:ascii="宋体" w:hAnsi="宋体" w:cs="宋体"/>
          <w:b/>
          <w:szCs w:val="21"/>
        </w:rPr>
      </w:pPr>
      <w:r>
        <w:rPr>
          <w:rFonts w:hint="eastAsia" w:ascii="宋体" w:hAnsi="宋体" w:cs="宋体"/>
          <w:b/>
          <w:szCs w:val="21"/>
        </w:rPr>
        <w:t xml:space="preserve">    （</w:t>
      </w:r>
      <w:r>
        <w:rPr>
          <w:rFonts w:ascii="宋体" w:hAnsi="宋体" w:cs="宋体"/>
          <w:b/>
          <w:szCs w:val="21"/>
        </w:rPr>
        <w:t>3</w:t>
      </w:r>
      <w:r>
        <w:rPr>
          <w:rFonts w:hint="eastAsia" w:ascii="宋体" w:hAnsi="宋体" w:cs="宋体"/>
          <w:b/>
          <w:szCs w:val="21"/>
        </w:rPr>
        <w:t>）不按本须知第11条内容提供资料的；逾期递交比选申请文件的；</w:t>
      </w:r>
    </w:p>
    <w:p>
      <w:pPr>
        <w:ind w:right="753"/>
        <w:jc w:val="left"/>
        <w:rPr>
          <w:rFonts w:ascii="宋体" w:hAnsi="宋体" w:cs="宋体"/>
          <w:b/>
          <w:szCs w:val="21"/>
        </w:rPr>
      </w:pPr>
      <w:r>
        <w:rPr>
          <w:rFonts w:hint="eastAsia" w:ascii="宋体" w:hAnsi="宋体" w:cs="宋体"/>
          <w:b/>
          <w:szCs w:val="21"/>
        </w:rPr>
        <w:t xml:space="preserve">    （</w:t>
      </w:r>
      <w:r>
        <w:rPr>
          <w:rFonts w:ascii="宋体" w:hAnsi="宋体" w:cs="宋体"/>
          <w:b/>
          <w:szCs w:val="21"/>
        </w:rPr>
        <w:t>4</w:t>
      </w:r>
      <w:r>
        <w:rPr>
          <w:rFonts w:hint="eastAsia" w:ascii="宋体" w:hAnsi="宋体" w:cs="宋体"/>
          <w:b/>
          <w:szCs w:val="21"/>
        </w:rPr>
        <w:t>）比选申请文件内容不真实的；</w:t>
      </w:r>
    </w:p>
    <w:p>
      <w:pPr>
        <w:ind w:right="-21" w:firstLine="422" w:firstLineChars="200"/>
        <w:jc w:val="left"/>
        <w:rPr>
          <w:rFonts w:hint="eastAsia" w:ascii="宋体" w:hAnsi="宋体" w:cs="宋体"/>
          <w:b/>
          <w:szCs w:val="21"/>
        </w:rPr>
      </w:pPr>
      <w:r>
        <w:rPr>
          <w:rFonts w:hint="eastAsia" w:ascii="宋体" w:hAnsi="宋体" w:cs="宋体"/>
          <w:b/>
          <w:szCs w:val="21"/>
        </w:rPr>
        <w:t>（5）比选申请文件实质上没有响应比选文件的要求的；（包括以下内容：比选项目所涉及的人员配置、业绩、价格、服务内容、合同条款等）</w:t>
      </w:r>
    </w:p>
    <w:p>
      <w:pPr>
        <w:ind w:right="-21" w:firstLine="413" w:firstLineChars="196"/>
        <w:jc w:val="left"/>
        <w:rPr>
          <w:rFonts w:ascii="宋体" w:hAnsi="宋体"/>
          <w:szCs w:val="21"/>
        </w:rPr>
      </w:pPr>
      <w:r>
        <w:rPr>
          <w:rFonts w:hint="eastAsia" w:ascii="宋体" w:hAnsi="宋体"/>
          <w:b/>
          <w:szCs w:val="21"/>
        </w:rPr>
        <w:t>（</w:t>
      </w:r>
      <w:r>
        <w:rPr>
          <w:rFonts w:ascii="宋体" w:hAnsi="宋体"/>
          <w:b/>
          <w:szCs w:val="21"/>
        </w:rPr>
        <w:t>6</w:t>
      </w:r>
      <w:r>
        <w:rPr>
          <w:rFonts w:hint="eastAsia" w:ascii="宋体" w:hAnsi="宋体"/>
          <w:b/>
          <w:szCs w:val="21"/>
        </w:rPr>
        <w:t>）比选申请人报价超过上控价的</w:t>
      </w:r>
      <w:r>
        <w:rPr>
          <w:rFonts w:hint="eastAsia" w:ascii="宋体" w:hAnsi="宋体"/>
          <w:b/>
          <w:szCs w:val="21"/>
          <w:lang w:eastAsia="zh-CN"/>
        </w:rPr>
        <w:t>；</w:t>
      </w:r>
    </w:p>
    <w:p>
      <w:pPr>
        <w:ind w:right="-21"/>
        <w:jc w:val="left"/>
        <w:rPr>
          <w:rFonts w:ascii="宋体" w:hAnsi="宋体" w:cs="宋体"/>
          <w:b/>
          <w:szCs w:val="21"/>
        </w:rPr>
      </w:pPr>
      <w:r>
        <w:rPr>
          <w:rFonts w:hint="eastAsia" w:ascii="宋体" w:hAnsi="宋体" w:cs="宋体"/>
          <w:b/>
          <w:szCs w:val="21"/>
        </w:rPr>
        <w:t xml:space="preserve">    （</w:t>
      </w:r>
      <w:r>
        <w:rPr>
          <w:rFonts w:ascii="宋体" w:hAnsi="宋体" w:cs="宋体"/>
          <w:b/>
          <w:szCs w:val="21"/>
        </w:rPr>
        <w:t>7</w:t>
      </w:r>
      <w:r>
        <w:rPr>
          <w:rFonts w:hint="eastAsia" w:ascii="宋体" w:hAnsi="宋体" w:cs="宋体"/>
          <w:b/>
          <w:szCs w:val="21"/>
        </w:rPr>
        <w:t>）比选申请人不符合前附表第9条所述资格要求或比选申请人符合前附表第9条所述资格要求但就本比选项目分别提交两个（每个正本一份、副本四份）及以上的比选申请文件的。</w:t>
      </w:r>
    </w:p>
    <w:p>
      <w:pPr>
        <w:ind w:right="753"/>
        <w:jc w:val="left"/>
        <w:rPr>
          <w:rFonts w:ascii="宋体" w:hAnsi="宋体" w:cs="宋体"/>
          <w:szCs w:val="21"/>
        </w:rPr>
      </w:pPr>
      <w:r>
        <w:rPr>
          <w:rFonts w:ascii="宋体" w:hAnsi="宋体" w:cs="宋体"/>
          <w:szCs w:val="21"/>
        </w:rPr>
        <w:t xml:space="preserve">    21.3评比细则</w:t>
      </w:r>
    </w:p>
    <w:p>
      <w:pPr>
        <w:ind w:right="753"/>
        <w:jc w:val="left"/>
        <w:rPr>
          <w:rFonts w:ascii="宋体" w:hAnsi="宋体" w:cs="宋体"/>
          <w:szCs w:val="21"/>
        </w:rPr>
      </w:pPr>
      <w:r>
        <w:rPr>
          <w:rFonts w:ascii="宋体" w:hAnsi="宋体" w:cs="宋体"/>
          <w:szCs w:val="21"/>
        </w:rPr>
        <w:t xml:space="preserve">    详见第四章。</w:t>
      </w:r>
    </w:p>
    <w:p>
      <w:pPr>
        <w:ind w:right="753" w:firstLine="420"/>
        <w:jc w:val="left"/>
        <w:rPr>
          <w:rFonts w:ascii="宋体" w:hAnsi="宋体" w:cs="宋体"/>
          <w:szCs w:val="21"/>
        </w:rPr>
      </w:pPr>
      <w:r>
        <w:rPr>
          <w:rFonts w:ascii="宋体" w:hAnsi="宋体" w:cs="宋体"/>
          <w:szCs w:val="21"/>
        </w:rPr>
        <w:t>21.4确定中选人</w:t>
      </w:r>
    </w:p>
    <w:p>
      <w:pPr>
        <w:ind w:right="-21" w:firstLine="420" w:firstLineChars="200"/>
        <w:jc w:val="left"/>
        <w:rPr>
          <w:rFonts w:hint="eastAsia" w:ascii="宋体" w:hAnsi="宋体" w:eastAsia="宋体" w:cs="宋体"/>
          <w:szCs w:val="21"/>
        </w:rPr>
      </w:pPr>
      <w:r>
        <w:rPr>
          <w:rFonts w:hint="eastAsia" w:ascii="宋体" w:hAnsi="宋体" w:eastAsia="宋体" w:cs="宋体"/>
          <w:szCs w:val="21"/>
        </w:rPr>
        <w:t>评审小组将按照综合得分由低到高进行排序，得分最高的排名第一（当综合得分相同时</w:t>
      </w:r>
      <w:r>
        <w:rPr>
          <w:rFonts w:hint="eastAsia" w:ascii="宋体" w:hAnsi="宋体" w:eastAsia="宋体" w:cs="宋体"/>
          <w:szCs w:val="21"/>
          <w:lang w:val="en-US" w:eastAsia="zh-CN"/>
        </w:rPr>
        <w:t>,</w:t>
      </w:r>
      <w:r>
        <w:rPr>
          <w:rFonts w:hint="eastAsia" w:ascii="宋体" w:hAnsi="宋体" w:eastAsia="宋体" w:cs="宋体"/>
          <w:szCs w:val="21"/>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pPr>
        <w:ind w:right="753" w:firstLine="420" w:firstLineChars="200"/>
        <w:jc w:val="left"/>
        <w:rPr>
          <w:rFonts w:ascii="宋体" w:hAnsi="宋体" w:cs="宋体"/>
          <w:szCs w:val="21"/>
        </w:rPr>
      </w:pPr>
      <w:r>
        <w:rPr>
          <w:rFonts w:hint="eastAsia" w:ascii="宋体" w:hAnsi="宋体" w:cs="宋体"/>
          <w:szCs w:val="21"/>
        </w:rPr>
        <w:t>21.5出现下列特殊情况之一，本公司将重新组织比选：</w:t>
      </w:r>
    </w:p>
    <w:p>
      <w:pPr>
        <w:ind w:right="-21" w:firstLine="420" w:firstLineChars="200"/>
        <w:jc w:val="left"/>
        <w:rPr>
          <w:rFonts w:ascii="宋体" w:hAnsi="宋体" w:cs="宋体"/>
          <w:szCs w:val="21"/>
        </w:rPr>
      </w:pPr>
      <w:r>
        <w:rPr>
          <w:rFonts w:hint="eastAsia" w:ascii="宋体" w:hAnsi="宋体" w:cs="宋体"/>
          <w:szCs w:val="21"/>
        </w:rPr>
        <w:t>21.5.1 在比选申请文件递交截止时间到达时提交比选申请文件的比选申请人少于3家的；</w:t>
      </w:r>
    </w:p>
    <w:p>
      <w:pPr>
        <w:ind w:right="753" w:firstLine="420" w:firstLineChars="200"/>
        <w:jc w:val="left"/>
        <w:rPr>
          <w:rFonts w:ascii="宋体" w:hAnsi="宋体" w:cs="宋体"/>
          <w:szCs w:val="21"/>
        </w:rPr>
      </w:pPr>
      <w:r>
        <w:rPr>
          <w:rFonts w:hint="eastAsia" w:ascii="宋体" w:hAnsi="宋体" w:cs="宋体"/>
          <w:szCs w:val="21"/>
        </w:rPr>
        <w:t>21.5.2 其比选申请文件有效的比选申请人不足2家，且评委认为没有竞争力的；</w:t>
      </w:r>
    </w:p>
    <w:p>
      <w:pPr>
        <w:ind w:right="753" w:firstLine="420" w:firstLineChars="200"/>
        <w:jc w:val="left"/>
        <w:rPr>
          <w:rFonts w:ascii="宋体" w:hAnsi="宋体" w:cs="宋体"/>
          <w:szCs w:val="21"/>
        </w:rPr>
      </w:pPr>
      <w:r>
        <w:rPr>
          <w:rFonts w:hint="eastAsia" w:ascii="宋体" w:hAnsi="宋体" w:cs="宋体"/>
          <w:szCs w:val="21"/>
        </w:rPr>
        <w:t>21.5.3 有效比选申请文件只有1家或0家的。</w:t>
      </w:r>
    </w:p>
    <w:p>
      <w:pPr>
        <w:ind w:right="753"/>
        <w:jc w:val="left"/>
        <w:rPr>
          <w:rFonts w:ascii="宋体" w:hAnsi="宋体" w:cs="宋体"/>
          <w:szCs w:val="21"/>
        </w:rPr>
      </w:pPr>
      <w:bookmarkStart w:id="183" w:name="_Toc114052377"/>
      <w:bookmarkStart w:id="184" w:name="_Toc114052441"/>
      <w:bookmarkStart w:id="185" w:name="_Toc286386861"/>
      <w:bookmarkStart w:id="186" w:name="_Toc310318599"/>
      <w:r>
        <w:rPr>
          <w:rFonts w:hint="eastAsia" w:ascii="宋体" w:hAnsi="宋体" w:cs="宋体"/>
          <w:szCs w:val="21"/>
        </w:rPr>
        <w:t xml:space="preserve">    22.评比结果公示</w:t>
      </w:r>
      <w:bookmarkEnd w:id="183"/>
      <w:bookmarkEnd w:id="184"/>
      <w:bookmarkEnd w:id="185"/>
      <w:bookmarkEnd w:id="186"/>
    </w:p>
    <w:p>
      <w:pPr>
        <w:ind w:right="-21"/>
        <w:jc w:val="left"/>
        <w:rPr>
          <w:rFonts w:ascii="宋体" w:hAnsi="宋体" w:cs="宋体"/>
          <w:szCs w:val="21"/>
        </w:rPr>
      </w:pPr>
      <w:r>
        <w:rPr>
          <w:rFonts w:hint="eastAsia" w:ascii="宋体" w:hAnsi="宋体" w:cs="宋体"/>
          <w:szCs w:val="21"/>
        </w:rPr>
        <w:t xml:space="preserve">    22.1在评比结束后，比选人将在南宁轨道交通集团有限责任公司官网(</w:t>
      </w:r>
      <w:r>
        <w:rPr>
          <w:rFonts w:ascii="宋体" w:hAnsi="宋体" w:cs="宋体"/>
          <w:szCs w:val="21"/>
        </w:rPr>
        <w:t>http://www.nngdjt.com/</w:t>
      </w:r>
      <w:r>
        <w:rPr>
          <w:rFonts w:hint="eastAsia" w:ascii="宋体" w:hAnsi="宋体" w:cs="宋体"/>
          <w:szCs w:val="21"/>
        </w:rPr>
        <w:t>)的招标招商中的中标信息处公示评比结果。</w:t>
      </w:r>
    </w:p>
    <w:p>
      <w:pPr>
        <w:ind w:right="-21"/>
        <w:jc w:val="left"/>
        <w:rPr>
          <w:rFonts w:ascii="宋体" w:hAnsi="宋体" w:cs="宋体"/>
          <w:szCs w:val="21"/>
        </w:rPr>
      </w:pPr>
      <w:r>
        <w:rPr>
          <w:rFonts w:hint="eastAsia" w:ascii="宋体" w:hAnsi="宋体" w:cs="宋体"/>
          <w:szCs w:val="21"/>
        </w:rPr>
        <w:t xml:space="preserve">    22.2比选申请人如对评比结果有异议，在评比结果公示3天内，可以书面形式向比选人提出质疑。比选人应当在收到比选申请人的书面质疑后5个工作日内做出答复，但答复的内容不得涉及商业秘密。</w:t>
      </w:r>
    </w:p>
    <w:p>
      <w:pPr>
        <w:pStyle w:val="4"/>
        <w:jc w:val="center"/>
        <w:rPr>
          <w:sz w:val="21"/>
          <w:szCs w:val="21"/>
        </w:rPr>
      </w:pPr>
      <w:bookmarkStart w:id="187" w:name="_Toc19549"/>
      <w:bookmarkStart w:id="188" w:name="_Toc471482367"/>
      <w:bookmarkStart w:id="189" w:name="_Toc8363"/>
      <w:bookmarkStart w:id="190" w:name="_Toc24316"/>
      <w:bookmarkStart w:id="191" w:name="_Toc24212"/>
      <w:bookmarkStart w:id="192" w:name="_Toc30023"/>
      <w:bookmarkStart w:id="193" w:name="_Toc16746"/>
      <w:bookmarkStart w:id="194" w:name="_Toc529"/>
      <w:bookmarkStart w:id="195" w:name="_Toc6141"/>
      <w:bookmarkStart w:id="196" w:name="_Toc20403"/>
      <w:bookmarkStart w:id="197" w:name="_Toc17996"/>
      <w:bookmarkStart w:id="198" w:name="_Toc461525303"/>
      <w:bookmarkStart w:id="199" w:name="_Toc16935"/>
      <w:bookmarkStart w:id="200" w:name="_Toc12010"/>
      <w:r>
        <w:rPr>
          <w:rFonts w:hint="eastAsia"/>
          <w:sz w:val="21"/>
          <w:szCs w:val="21"/>
        </w:rPr>
        <w:t>七、</w:t>
      </w:r>
      <w:r>
        <w:rPr>
          <w:sz w:val="21"/>
          <w:szCs w:val="21"/>
        </w:rPr>
        <w:t>授予合同</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ind w:right="753"/>
        <w:jc w:val="left"/>
        <w:rPr>
          <w:rFonts w:ascii="宋体" w:hAnsi="宋体" w:cs="宋体"/>
          <w:szCs w:val="21"/>
        </w:rPr>
      </w:pPr>
      <w:r>
        <w:rPr>
          <w:rFonts w:hint="eastAsia" w:ascii="宋体" w:hAnsi="宋体" w:cs="宋体"/>
          <w:szCs w:val="21"/>
        </w:rPr>
        <w:t xml:space="preserve">    23.中选通知书</w:t>
      </w:r>
    </w:p>
    <w:p>
      <w:pPr>
        <w:ind w:right="753"/>
        <w:jc w:val="left"/>
        <w:rPr>
          <w:rFonts w:ascii="宋体" w:hAnsi="宋体" w:cs="宋体"/>
          <w:szCs w:val="21"/>
        </w:rPr>
      </w:pPr>
      <w:r>
        <w:rPr>
          <w:rFonts w:hint="eastAsia" w:ascii="宋体" w:hAnsi="宋体" w:cs="宋体"/>
          <w:szCs w:val="21"/>
        </w:rPr>
        <w:t xml:space="preserve">    23.1比选人将向中选人发出中选通知书。</w:t>
      </w:r>
    </w:p>
    <w:p>
      <w:pPr>
        <w:ind w:right="-21"/>
        <w:jc w:val="left"/>
        <w:rPr>
          <w:rFonts w:ascii="宋体" w:hAnsi="宋体" w:cs="宋体"/>
          <w:szCs w:val="21"/>
        </w:rPr>
      </w:pPr>
      <w:r>
        <w:rPr>
          <w:rFonts w:hint="eastAsia" w:ascii="宋体" w:hAnsi="宋体" w:cs="宋体"/>
          <w:szCs w:val="21"/>
        </w:rPr>
        <w:t xml:space="preserve">    23.2比选人无义务向落选的比选申请人解释落选原因和退还比选申请文件。</w:t>
      </w:r>
    </w:p>
    <w:p>
      <w:pPr>
        <w:ind w:right="753"/>
        <w:jc w:val="left"/>
        <w:rPr>
          <w:rFonts w:ascii="宋体" w:hAnsi="宋体" w:cs="宋体"/>
          <w:szCs w:val="21"/>
        </w:rPr>
      </w:pPr>
      <w:r>
        <w:rPr>
          <w:rFonts w:hint="eastAsia" w:ascii="宋体" w:hAnsi="宋体" w:cs="宋体"/>
          <w:szCs w:val="21"/>
        </w:rPr>
        <w:t xml:space="preserve">    23.3中选通知书作为合同的组成部分。</w:t>
      </w:r>
    </w:p>
    <w:p>
      <w:pPr>
        <w:ind w:left="420" w:right="753"/>
        <w:jc w:val="left"/>
        <w:rPr>
          <w:rFonts w:ascii="宋体" w:hAnsi="宋体" w:cs="宋体"/>
          <w:szCs w:val="21"/>
        </w:rPr>
      </w:pPr>
      <w:r>
        <w:rPr>
          <w:rFonts w:hint="eastAsia" w:ascii="宋体" w:hAnsi="宋体" w:cs="宋体"/>
          <w:szCs w:val="21"/>
        </w:rPr>
        <w:t>24.合同的签署</w:t>
      </w:r>
    </w:p>
    <w:p>
      <w:pPr>
        <w:ind w:right="753" w:firstLine="420" w:firstLineChars="200"/>
        <w:jc w:val="left"/>
        <w:rPr>
          <w:rFonts w:ascii="宋体" w:hAnsi="宋体" w:cs="宋体"/>
          <w:szCs w:val="21"/>
        </w:rPr>
      </w:pPr>
      <w:r>
        <w:rPr>
          <w:rFonts w:hint="eastAsia" w:ascii="宋体" w:hAnsi="宋体" w:cs="宋体"/>
          <w:szCs w:val="21"/>
        </w:rPr>
        <w:t>24.1中选人收到中选通知书后20日内，中选单位法定代表人或授权代理人与</w:t>
      </w:r>
      <w:r>
        <w:rPr>
          <w:rFonts w:hint="eastAsia" w:ascii="宋体" w:hAnsi="宋体" w:cs="宋体"/>
          <w:szCs w:val="21"/>
          <w:lang w:val="en-US" w:eastAsia="zh-CN"/>
        </w:rPr>
        <w:t>比选发起人</w:t>
      </w:r>
      <w:r>
        <w:rPr>
          <w:rFonts w:hint="eastAsia" w:ascii="宋体" w:hAnsi="宋体" w:cs="宋体"/>
          <w:szCs w:val="21"/>
        </w:rPr>
        <w:t>联系办理合同签订事宜。若逾期</w:t>
      </w:r>
      <w:r>
        <w:rPr>
          <w:rFonts w:hint="eastAsia" w:ascii="宋体" w:hAnsi="宋体" w:cs="宋体"/>
          <w:szCs w:val="21"/>
          <w:lang w:val="en-US" w:eastAsia="zh-CN"/>
        </w:rPr>
        <w:t>比选发起人</w:t>
      </w:r>
      <w:r>
        <w:rPr>
          <w:rFonts w:hint="eastAsia" w:ascii="宋体" w:hAnsi="宋体" w:cs="宋体"/>
          <w:szCs w:val="21"/>
        </w:rPr>
        <w:t>有权取消其中选资格，并选择评审排名次之的比选申请人为本项目中选人；中选的比选申请人若因自己的原因不能履约签订合同，比选发起人将取消其中选资格并且列为不诚信单位，并在后续排名中选候选人中依次向上递补确定中选人或重新比选确定中选人。</w:t>
      </w:r>
      <w:r>
        <w:rPr>
          <w:rFonts w:ascii="楷体_GB2312" w:eastAsia="楷体_GB2312"/>
          <w:b/>
          <w:color w:val="000000"/>
          <w:sz w:val="24"/>
        </w:rPr>
        <w:br w:type="page"/>
      </w:r>
    </w:p>
    <w:p>
      <w:pPr>
        <w:pStyle w:val="3"/>
        <w:rPr>
          <w:szCs w:val="28"/>
        </w:rPr>
      </w:pPr>
      <w:bookmarkStart w:id="201" w:name="_Toc535961544"/>
      <w:bookmarkStart w:id="202" w:name="_Toc31070"/>
      <w:bookmarkStart w:id="203" w:name="_Toc471482368"/>
      <w:bookmarkStart w:id="204" w:name="_Toc21670"/>
      <w:bookmarkStart w:id="205" w:name="_Toc2960"/>
      <w:bookmarkStart w:id="206" w:name="_Toc1354"/>
      <w:bookmarkStart w:id="207" w:name="_Toc5964"/>
      <w:bookmarkStart w:id="208" w:name="_Toc16062"/>
      <w:bookmarkStart w:id="209" w:name="_Toc21358"/>
      <w:bookmarkStart w:id="210" w:name="_Toc4769"/>
      <w:bookmarkStart w:id="211" w:name="_Toc12854"/>
      <w:bookmarkStart w:id="212" w:name="_Toc461525304"/>
      <w:bookmarkStart w:id="213" w:name="_Toc7234"/>
      <w:bookmarkStart w:id="214" w:name="_Toc333307121"/>
      <w:r>
        <w:rPr>
          <w:rFonts w:hint="eastAsia"/>
          <w:szCs w:val="28"/>
        </w:rPr>
        <w:t xml:space="preserve">   第二章</w:t>
      </w:r>
      <w:bookmarkStart w:id="215" w:name="_Toc392862509"/>
      <w:r>
        <w:rPr>
          <w:rFonts w:hint="eastAsia"/>
          <w:szCs w:val="28"/>
        </w:rPr>
        <w:t xml:space="preserve">  合同条款（格式）</w:t>
      </w:r>
      <w:bookmarkEnd w:id="201"/>
    </w:p>
    <w:bookmarkEnd w:id="215"/>
    <w:p>
      <w:pPr>
        <w:widowControl/>
        <w:jc w:val="center"/>
        <w:rPr>
          <w:rFonts w:hint="eastAsia"/>
          <w:b/>
          <w:bCs w:val="0"/>
          <w:spacing w:val="-34"/>
          <w:sz w:val="48"/>
          <w:szCs w:val="48"/>
          <w:u w:val="none"/>
          <w:lang w:eastAsia="zh-CN"/>
        </w:rPr>
      </w:pPr>
      <w:r>
        <w:rPr>
          <w:rFonts w:hint="eastAsia"/>
          <w:b/>
          <w:sz w:val="48"/>
          <w:szCs w:val="48"/>
          <w:u w:val="none"/>
          <w:lang w:eastAsia="zh-CN"/>
        </w:rPr>
        <w:t>南宁公共交通集团有限公司法定代表人任中</w:t>
      </w:r>
      <w:r>
        <w:rPr>
          <w:rFonts w:hint="eastAsia"/>
          <w:b/>
          <w:bCs w:val="0"/>
          <w:spacing w:val="-34"/>
          <w:sz w:val="48"/>
          <w:szCs w:val="48"/>
          <w:u w:val="none"/>
          <w:lang w:eastAsia="zh-CN"/>
        </w:rPr>
        <w:t>和原总经理离任（2017年5月至2022年12月）</w:t>
      </w:r>
    </w:p>
    <w:p>
      <w:pPr>
        <w:widowControl/>
        <w:jc w:val="center"/>
        <w:rPr>
          <w:rFonts w:hint="eastAsia"/>
          <w:b/>
          <w:sz w:val="48"/>
          <w:szCs w:val="48"/>
        </w:rPr>
      </w:pPr>
      <w:r>
        <w:rPr>
          <w:rFonts w:hint="eastAsia"/>
          <w:b/>
          <w:sz w:val="48"/>
          <w:szCs w:val="48"/>
          <w:u w:val="none"/>
          <w:lang w:eastAsia="zh-CN"/>
        </w:rPr>
        <w:t>经济责任审计</w:t>
      </w:r>
      <w:r>
        <w:rPr>
          <w:rFonts w:hint="eastAsia"/>
          <w:b/>
          <w:sz w:val="48"/>
          <w:szCs w:val="48"/>
          <w:u w:val="none"/>
        </w:rPr>
        <w:t>项目</w:t>
      </w:r>
    </w:p>
    <w:tbl>
      <w:tblPr>
        <w:tblStyle w:val="26"/>
        <w:tblpPr w:leftFromText="180" w:rightFromText="180" w:vertAnchor="text" w:horzAnchor="page" w:tblpX="2742" w:tblpY="4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项目编号：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合同编号：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bl>
    <w:p>
      <w:pPr>
        <w:pStyle w:val="2"/>
      </w:pPr>
    </w:p>
    <w:p>
      <w:pPr>
        <w:spacing w:line="360" w:lineRule="auto"/>
        <w:jc w:val="center"/>
        <w:rPr>
          <w:rFonts w:ascii="宋体"/>
          <w:b/>
          <w:bCs/>
          <w:sz w:val="44"/>
        </w:rPr>
      </w:pPr>
    </w:p>
    <w:p>
      <w:pPr>
        <w:spacing w:line="360" w:lineRule="auto"/>
        <w:jc w:val="center"/>
        <w:rPr>
          <w:rFonts w:ascii="宋体"/>
          <w:b/>
          <w:bCs/>
          <w:sz w:val="44"/>
        </w:rPr>
      </w:pPr>
    </w:p>
    <w:p>
      <w:pPr>
        <w:snapToGrid w:val="0"/>
        <w:spacing w:after="312" w:afterAutospacing="0" w:line="800" w:lineRule="exact"/>
        <w:ind w:left="2443" w:right="-28" w:hanging="2443" w:hangingChars="338"/>
        <w:jc w:val="center"/>
        <w:textAlignment w:val="baseline"/>
        <w:rPr>
          <w:rFonts w:ascii="楷体_GB2312" w:eastAsia="楷体_GB2312"/>
          <w:b/>
          <w:color w:val="000000"/>
          <w:sz w:val="72"/>
          <w:szCs w:val="52"/>
        </w:rPr>
      </w:pPr>
      <w:r>
        <w:rPr>
          <w:rFonts w:hint="eastAsia"/>
          <w:b/>
          <w:color w:val="000000"/>
          <w:sz w:val="72"/>
          <w:szCs w:val="52"/>
        </w:rPr>
        <w:t>合</w:t>
      </w:r>
    </w:p>
    <w:p>
      <w:pPr>
        <w:snapToGrid w:val="0"/>
        <w:spacing w:after="312" w:afterAutospacing="0" w:line="800" w:lineRule="exact"/>
        <w:ind w:left="2443" w:right="-28" w:hanging="2443" w:hangingChars="338"/>
        <w:jc w:val="center"/>
        <w:textAlignment w:val="baseline"/>
        <w:rPr>
          <w:rFonts w:ascii="宋体" w:hAnsi="宋体"/>
          <w:b/>
          <w:color w:val="000000"/>
          <w:sz w:val="72"/>
          <w:szCs w:val="52"/>
        </w:rPr>
      </w:pPr>
      <w:r>
        <w:rPr>
          <w:rFonts w:hint="eastAsia"/>
          <w:b/>
          <w:color w:val="000000"/>
          <w:sz w:val="72"/>
          <w:szCs w:val="52"/>
        </w:rPr>
        <w:t>同</w:t>
      </w:r>
    </w:p>
    <w:p>
      <w:pPr>
        <w:snapToGrid w:val="0"/>
        <w:spacing w:after="312" w:afterAutospacing="0" w:line="800" w:lineRule="exact"/>
        <w:ind w:left="2443" w:right="-28" w:hanging="2443" w:hangingChars="338"/>
        <w:jc w:val="center"/>
        <w:textAlignment w:val="baseline"/>
        <w:rPr>
          <w:b/>
          <w:color w:val="000000"/>
          <w:sz w:val="72"/>
          <w:szCs w:val="52"/>
        </w:rPr>
      </w:pPr>
      <w:r>
        <w:rPr>
          <w:rFonts w:hint="eastAsia"/>
          <w:b/>
          <w:color w:val="000000"/>
          <w:sz w:val="72"/>
          <w:szCs w:val="52"/>
        </w:rPr>
        <w:t>书</w:t>
      </w:r>
    </w:p>
    <w:p>
      <w:pPr>
        <w:spacing w:line="360" w:lineRule="auto"/>
        <w:ind w:firstLine="0" w:firstLineChars="0"/>
        <w:jc w:val="center"/>
        <w:rPr>
          <w:rFonts w:ascii="宋体"/>
          <w:b/>
          <w:bCs/>
          <w:sz w:val="44"/>
        </w:rPr>
      </w:pPr>
      <w:r>
        <w:rPr>
          <w:rFonts w:hint="eastAsia" w:ascii="宋体" w:hAnsi="宋体"/>
          <w:b/>
          <w:color w:val="000000"/>
          <w:sz w:val="52"/>
        </w:rPr>
        <w:drawing>
          <wp:inline distT="0" distB="0" distL="114300" distR="114300">
            <wp:extent cx="1555750" cy="1729105"/>
            <wp:effectExtent l="0" t="0" r="6350" b="444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pic:cNvPicPr>
                  </pic:nvPicPr>
                  <pic:blipFill>
                    <a:blip r:embed="rId8"/>
                    <a:stretch>
                      <a:fillRect/>
                    </a:stretch>
                  </pic:blipFill>
                  <pic:spPr>
                    <a:xfrm>
                      <a:off x="0" y="0"/>
                      <a:ext cx="1555750" cy="1729105"/>
                    </a:xfrm>
                    <a:prstGeom prst="rect">
                      <a:avLst/>
                    </a:prstGeom>
                    <a:noFill/>
                    <a:ln>
                      <a:noFill/>
                    </a:ln>
                  </pic:spPr>
                </pic:pic>
              </a:graphicData>
            </a:graphic>
          </wp:inline>
        </w:drawing>
      </w:r>
    </w:p>
    <w:p>
      <w:pPr>
        <w:spacing w:line="240" w:lineRule="auto"/>
        <w:ind w:firstLine="0" w:firstLineChars="0"/>
        <w:jc w:val="left"/>
        <w:rPr>
          <w:rFonts w:ascii="宋体" w:hAnsi="宋体"/>
          <w:b w:val="0"/>
          <w:bCs/>
          <w:sz w:val="28"/>
          <w:szCs w:val="28"/>
          <w:u w:val="none"/>
        </w:rPr>
      </w:pPr>
      <w:r>
        <w:rPr>
          <w:rFonts w:hint="eastAsia" w:ascii="宋体" w:hAnsi="宋体"/>
          <w:b/>
          <w:sz w:val="28"/>
          <w:szCs w:val="28"/>
        </w:rPr>
        <w:t>甲</w:t>
      </w:r>
      <w:r>
        <w:rPr>
          <w:rFonts w:hint="eastAsia" w:ascii="宋体" w:hAnsi="宋体"/>
          <w:b/>
          <w:sz w:val="28"/>
          <w:szCs w:val="28"/>
          <w:lang w:val="en-US" w:eastAsia="zh-CN"/>
        </w:rPr>
        <w:t xml:space="preserve">    </w:t>
      </w:r>
      <w:r>
        <w:rPr>
          <w:rFonts w:hint="eastAsia" w:ascii="宋体" w:hAnsi="宋体"/>
          <w:b/>
          <w:sz w:val="28"/>
          <w:szCs w:val="28"/>
        </w:rPr>
        <w:t>方：</w:t>
      </w:r>
      <w:r>
        <w:rPr>
          <w:rFonts w:hint="eastAsia" w:ascii="宋体" w:hAnsi="宋体"/>
          <w:b w:val="0"/>
          <w:bCs/>
          <w:sz w:val="28"/>
          <w:szCs w:val="28"/>
          <w:u w:val="none"/>
        </w:rPr>
        <w:t>南宁轨道交通集团有限责任公司</w:t>
      </w:r>
    </w:p>
    <w:p>
      <w:pPr>
        <w:tabs>
          <w:tab w:val="left" w:pos="7380"/>
        </w:tabs>
        <w:spacing w:line="360" w:lineRule="auto"/>
        <w:ind w:firstLine="0" w:firstLineChars="0"/>
        <w:rPr>
          <w:rFonts w:hint="eastAsia" w:ascii="宋体" w:hAnsi="宋体"/>
          <w:b/>
          <w:sz w:val="28"/>
          <w:szCs w:val="28"/>
          <w:u w:val="single"/>
        </w:rPr>
      </w:pPr>
      <w:r>
        <w:rPr>
          <w:rFonts w:hint="eastAsia" w:ascii="宋体" w:hAnsi="宋体"/>
          <w:b/>
          <w:sz w:val="28"/>
          <w:szCs w:val="28"/>
        </w:rPr>
        <w:t>乙</w:t>
      </w:r>
      <w:r>
        <w:rPr>
          <w:rFonts w:hint="eastAsia" w:ascii="宋体" w:hAnsi="宋体"/>
          <w:b/>
          <w:sz w:val="28"/>
          <w:szCs w:val="28"/>
          <w:lang w:val="en-US" w:eastAsia="zh-CN"/>
        </w:rPr>
        <w:t xml:space="preserve">    </w:t>
      </w:r>
      <w:r>
        <w:rPr>
          <w:rFonts w:hint="eastAsia" w:ascii="宋体" w:hAnsi="宋体"/>
          <w:b/>
          <w:sz w:val="28"/>
          <w:szCs w:val="28"/>
        </w:rPr>
        <w:t>方：</w:t>
      </w:r>
      <w:r>
        <w:rPr>
          <w:rFonts w:hint="eastAsia" w:ascii="宋体" w:hAnsi="宋体"/>
          <w:b/>
          <w:sz w:val="28"/>
          <w:szCs w:val="28"/>
          <w:u w:val="none"/>
        </w:rPr>
        <w:t xml:space="preserve">                            </w:t>
      </w:r>
    </w:p>
    <w:p>
      <w:pPr>
        <w:snapToGrid w:val="0"/>
        <w:spacing w:before="0" w:after="312" w:afterAutospacing="0" w:line="400" w:lineRule="exact"/>
        <w:textAlignment w:val="baseline"/>
        <w:rPr>
          <w:rFonts w:ascii="宋体" w:hAnsi="宋体"/>
          <w:b/>
          <w:color w:val="000000"/>
          <w:sz w:val="28"/>
          <w:szCs w:val="28"/>
          <w:u w:val="none" w:color="auto"/>
        </w:rPr>
      </w:pPr>
      <w:r>
        <w:rPr>
          <w:rFonts w:hint="eastAsia" w:ascii="宋体" w:hAnsi="宋体"/>
          <w:b/>
          <w:color w:val="000000"/>
          <w:sz w:val="28"/>
          <w:szCs w:val="28"/>
          <w:u w:val="none" w:color="auto"/>
        </w:rPr>
        <w:t xml:space="preserve">签约日期：       </w:t>
      </w:r>
      <w:r>
        <w:rPr>
          <w:rFonts w:hint="eastAsia" w:ascii="宋体" w:hAnsi="宋体"/>
          <w:color w:val="000000"/>
          <w:sz w:val="28"/>
          <w:szCs w:val="28"/>
          <w:u w:val="none" w:color="auto"/>
        </w:rPr>
        <w:t>年</w:t>
      </w:r>
      <w:r>
        <w:rPr>
          <w:rFonts w:hint="eastAsia" w:ascii="宋体" w:hAnsi="宋体"/>
          <w:b/>
          <w:bCs/>
          <w:color w:val="000000"/>
          <w:sz w:val="28"/>
          <w:szCs w:val="28"/>
          <w:u w:val="none" w:color="auto"/>
        </w:rPr>
        <w:t xml:space="preserve">　 </w:t>
      </w:r>
      <w:r>
        <w:rPr>
          <w:rFonts w:hint="eastAsia" w:ascii="宋体" w:hAnsi="宋体"/>
          <w:color w:val="000000"/>
          <w:sz w:val="28"/>
          <w:szCs w:val="28"/>
          <w:u w:val="none" w:color="auto"/>
        </w:rPr>
        <w:t>　月　    日</w:t>
      </w:r>
    </w:p>
    <w:p>
      <w:pPr>
        <w:snapToGrid w:val="0"/>
        <w:spacing w:before="0" w:after="312" w:afterAutospacing="0" w:line="400" w:lineRule="exact"/>
        <w:ind w:right="-86"/>
        <w:textAlignment w:val="baseline"/>
        <w:rPr>
          <w:rFonts w:ascii="宋体" w:hAnsi="宋体"/>
          <w:b/>
          <w:bCs/>
          <w:sz w:val="28"/>
          <w:szCs w:val="28"/>
          <w:u w:val="none" w:color="auto"/>
        </w:rPr>
      </w:pPr>
      <w:r>
        <w:rPr>
          <w:rFonts w:hint="eastAsia" w:ascii="宋体" w:hAnsi="宋体"/>
          <w:b/>
          <w:color w:val="000000"/>
          <w:sz w:val="28"/>
          <w:szCs w:val="28"/>
          <w:u w:val="none" w:color="auto"/>
        </w:rPr>
        <w:t>签约</w:t>
      </w:r>
      <w:r>
        <w:rPr>
          <w:rFonts w:hint="eastAsia" w:ascii="宋体" w:hAnsi="宋体"/>
          <w:b/>
          <w:bCs/>
          <w:color w:val="000000"/>
          <w:sz w:val="28"/>
          <w:szCs w:val="28"/>
          <w:u w:val="none" w:color="auto"/>
        </w:rPr>
        <w:t>地点：</w:t>
      </w:r>
      <w:r>
        <w:rPr>
          <w:rFonts w:ascii="宋体" w:hAnsi="宋体"/>
          <w:b/>
          <w:color w:val="000000"/>
          <w:sz w:val="28"/>
          <w:szCs w:val="28"/>
          <w:u w:val="none" w:color="auto"/>
        </w:rPr>
        <w:t xml:space="preserve"> </w:t>
      </w:r>
      <w:r>
        <w:rPr>
          <w:rFonts w:hint="eastAsia" w:ascii="宋体" w:hAnsi="宋体"/>
          <w:color w:val="000000"/>
          <w:sz w:val="28"/>
          <w:szCs w:val="28"/>
          <w:u w:val="none" w:color="auto"/>
        </w:rPr>
        <w:t>广西壮族自治区南宁市</w:t>
      </w:r>
      <w:bookmarkStart w:id="216" w:name="_Toc369787000"/>
      <w:bookmarkEnd w:id="216"/>
    </w:p>
    <w:p>
      <w:pPr>
        <w:ind w:firstLine="1995" w:firstLineChars="552"/>
        <w:rPr>
          <w:rFonts w:ascii="宋体" w:hAnsi="宋体"/>
          <w:b/>
          <w:sz w:val="36"/>
          <w:szCs w:val="36"/>
          <w:u w:val="single"/>
        </w:rPr>
      </w:pPr>
    </w:p>
    <w:bookmarkEnd w:id="202"/>
    <w:bookmarkEnd w:id="203"/>
    <w:bookmarkEnd w:id="204"/>
    <w:bookmarkEnd w:id="205"/>
    <w:bookmarkEnd w:id="206"/>
    <w:bookmarkEnd w:id="207"/>
    <w:bookmarkEnd w:id="208"/>
    <w:bookmarkEnd w:id="209"/>
    <w:bookmarkEnd w:id="210"/>
    <w:bookmarkEnd w:id="211"/>
    <w:bookmarkEnd w:id="212"/>
    <w:p>
      <w:pPr>
        <w:widowControl/>
        <w:jc w:val="center"/>
        <w:rPr>
          <w:rFonts w:hint="eastAsia"/>
          <w:b/>
          <w:bCs w:val="0"/>
          <w:spacing w:val="0"/>
          <w:sz w:val="44"/>
          <w:szCs w:val="44"/>
          <w:u w:val="none"/>
          <w:lang w:eastAsia="zh-CN"/>
        </w:rPr>
      </w:pPr>
      <w:r>
        <w:rPr>
          <w:rFonts w:hint="eastAsia"/>
          <w:b/>
          <w:sz w:val="44"/>
          <w:szCs w:val="44"/>
          <w:u w:val="none"/>
          <w:lang w:eastAsia="zh-CN"/>
        </w:rPr>
        <w:t>南宁公共交通集团有限公司法定代表人任中</w:t>
      </w:r>
      <w:r>
        <w:rPr>
          <w:rFonts w:hint="eastAsia"/>
          <w:b/>
          <w:bCs w:val="0"/>
          <w:spacing w:val="0"/>
          <w:sz w:val="44"/>
          <w:szCs w:val="44"/>
          <w:u w:val="none"/>
          <w:lang w:eastAsia="zh-CN"/>
        </w:rPr>
        <w:t>和</w:t>
      </w:r>
      <w:r>
        <w:rPr>
          <w:rFonts w:hint="eastAsia"/>
          <w:b/>
          <w:bCs w:val="0"/>
          <w:spacing w:val="-20"/>
          <w:sz w:val="44"/>
          <w:szCs w:val="44"/>
          <w:u w:val="none"/>
          <w:lang w:eastAsia="zh-CN"/>
        </w:rPr>
        <w:t>原总经理离任（2017年5月至2022年12月）</w:t>
      </w:r>
    </w:p>
    <w:p>
      <w:pPr>
        <w:widowControl/>
        <w:jc w:val="center"/>
        <w:rPr>
          <w:b/>
          <w:sz w:val="44"/>
          <w:szCs w:val="44"/>
        </w:rPr>
      </w:pPr>
      <w:r>
        <w:rPr>
          <w:rFonts w:hint="eastAsia"/>
          <w:b/>
          <w:spacing w:val="0"/>
          <w:sz w:val="44"/>
          <w:szCs w:val="44"/>
          <w:u w:val="none"/>
        </w:rPr>
        <w:t>经济责任审计</w:t>
      </w:r>
      <w:r>
        <w:rPr>
          <w:rFonts w:hint="eastAsia"/>
          <w:b/>
          <w:sz w:val="44"/>
          <w:szCs w:val="44"/>
          <w:u w:val="none"/>
        </w:rPr>
        <w:t>项目</w:t>
      </w:r>
      <w:r>
        <w:rPr>
          <w:rFonts w:hint="eastAsia"/>
          <w:b/>
          <w:sz w:val="44"/>
          <w:szCs w:val="44"/>
        </w:rPr>
        <w:t>合同书</w:t>
      </w:r>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r>
        <w:rPr>
          <w:rFonts w:hint="eastAsia" w:ascii="仿宋_GB2312" w:hAnsi="宋体" w:eastAsia="仿宋_GB2312"/>
          <w:sz w:val="28"/>
          <w:szCs w:val="28"/>
        </w:rPr>
        <w:t>甲 方：南宁轨道交通集团有限责任公司</w:t>
      </w:r>
    </w:p>
    <w:p>
      <w:pPr>
        <w:spacing w:line="520" w:lineRule="exact"/>
        <w:rPr>
          <w:rFonts w:ascii="仿宋_GB2312" w:hAnsi="宋体" w:eastAsia="仿宋_GB2312"/>
          <w:sz w:val="28"/>
          <w:szCs w:val="28"/>
        </w:rPr>
      </w:pPr>
      <w:r>
        <w:rPr>
          <w:rFonts w:hint="eastAsia" w:ascii="仿宋_GB2312" w:hAnsi="宋体" w:eastAsia="仿宋_GB2312"/>
          <w:sz w:val="28"/>
          <w:szCs w:val="28"/>
        </w:rPr>
        <w:t>地  址：南宁市青秀区云景路69号</w:t>
      </w:r>
    </w:p>
    <w:p>
      <w:pPr>
        <w:spacing w:line="520" w:lineRule="exact"/>
        <w:rPr>
          <w:rFonts w:ascii="仿宋_GB2312" w:hAnsi="宋体" w:eastAsia="仿宋_GB2312"/>
          <w:sz w:val="28"/>
          <w:szCs w:val="28"/>
        </w:rPr>
      </w:pPr>
      <w:r>
        <w:rPr>
          <w:rFonts w:hint="eastAsia" w:ascii="仿宋_GB2312" w:hAnsi="宋体" w:eastAsia="仿宋_GB2312"/>
          <w:sz w:val="28"/>
          <w:szCs w:val="28"/>
        </w:rPr>
        <w:t>联系方式：</w:t>
      </w:r>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r>
        <w:rPr>
          <w:rFonts w:hint="eastAsia" w:ascii="仿宋_GB2312" w:hAnsi="宋体" w:eastAsia="仿宋_GB2312"/>
          <w:sz w:val="28"/>
          <w:szCs w:val="28"/>
        </w:rPr>
        <w:t>乙 方：</w:t>
      </w:r>
    </w:p>
    <w:p>
      <w:pPr>
        <w:spacing w:line="520" w:lineRule="exact"/>
        <w:rPr>
          <w:rFonts w:ascii="仿宋_GB2312" w:hAnsi="宋体" w:eastAsia="仿宋_GB2312"/>
          <w:sz w:val="28"/>
          <w:szCs w:val="28"/>
        </w:rPr>
      </w:pPr>
      <w:r>
        <w:rPr>
          <w:rFonts w:hint="eastAsia" w:ascii="仿宋_GB2312" w:hAnsi="宋体" w:eastAsia="仿宋_GB2312"/>
          <w:sz w:val="28"/>
          <w:szCs w:val="28"/>
        </w:rPr>
        <w:t>地  址：</w:t>
      </w:r>
    </w:p>
    <w:p>
      <w:pPr>
        <w:spacing w:line="520" w:lineRule="exact"/>
        <w:rPr>
          <w:rFonts w:ascii="仿宋_GB2312" w:hAnsi="宋体" w:eastAsia="仿宋_GB2312"/>
          <w:sz w:val="28"/>
          <w:szCs w:val="28"/>
        </w:rPr>
      </w:pPr>
      <w:r>
        <w:rPr>
          <w:rFonts w:hint="eastAsia" w:ascii="仿宋_GB2312" w:hAnsi="宋体" w:eastAsia="仿宋_GB2312"/>
          <w:sz w:val="28"/>
          <w:szCs w:val="28"/>
        </w:rPr>
        <w:t>联系方式：</w:t>
      </w:r>
    </w:p>
    <w:p>
      <w:pPr>
        <w:spacing w:line="520" w:lineRule="exact"/>
        <w:rPr>
          <w:rFonts w:ascii="仿宋_GB2312" w:hAnsi="宋体" w:eastAsia="仿宋_GB2312"/>
          <w:sz w:val="28"/>
          <w:szCs w:val="28"/>
        </w:rPr>
      </w:pPr>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甲方因业务发展需要，通过公开比选确定乙方中选</w:t>
      </w:r>
      <w:r>
        <w:rPr>
          <w:rFonts w:hint="eastAsia" w:ascii="仿宋_GB2312" w:hAnsi="宋体" w:eastAsia="仿宋_GB2312"/>
          <w:sz w:val="28"/>
          <w:szCs w:val="28"/>
          <w:u w:val="single"/>
          <w:lang w:eastAsia="zh-CN"/>
        </w:rPr>
        <w:t>南宁公共交通集团有限公司法定代表人</w:t>
      </w:r>
      <w:r>
        <w:rPr>
          <w:rFonts w:hint="eastAsia" w:ascii="仿宋_GB2312" w:hAnsi="宋体" w:eastAsia="仿宋_GB2312"/>
          <w:sz w:val="28"/>
          <w:szCs w:val="28"/>
          <w:u w:val="single"/>
          <w:lang w:val="en-US" w:eastAsia="zh-CN"/>
        </w:rPr>
        <w:t>吴江卡</w:t>
      </w:r>
      <w:r>
        <w:rPr>
          <w:rFonts w:hint="eastAsia" w:ascii="仿宋_GB2312" w:hAnsi="宋体" w:eastAsia="仿宋_GB2312"/>
          <w:sz w:val="28"/>
          <w:szCs w:val="28"/>
          <w:u w:val="single"/>
          <w:lang w:eastAsia="zh-CN"/>
        </w:rPr>
        <w:t>任中和原总经理</w:t>
      </w:r>
      <w:r>
        <w:rPr>
          <w:rFonts w:hint="eastAsia" w:ascii="仿宋_GB2312" w:hAnsi="宋体" w:eastAsia="仿宋_GB2312"/>
          <w:sz w:val="28"/>
          <w:szCs w:val="28"/>
          <w:u w:val="single"/>
          <w:lang w:val="en-US" w:eastAsia="zh-CN"/>
        </w:rPr>
        <w:t>刘国平</w:t>
      </w:r>
      <w:r>
        <w:rPr>
          <w:rFonts w:hint="eastAsia" w:ascii="仿宋_GB2312" w:hAnsi="宋体" w:eastAsia="仿宋_GB2312"/>
          <w:sz w:val="28"/>
          <w:szCs w:val="28"/>
          <w:u w:val="single"/>
          <w:lang w:eastAsia="zh-CN"/>
        </w:rPr>
        <w:t>离任（2017年5月至2022年12月）经济责任审计</w:t>
      </w:r>
      <w:r>
        <w:rPr>
          <w:rFonts w:hint="eastAsia" w:ascii="仿宋_GB2312" w:hAnsi="宋体" w:eastAsia="仿宋_GB2312"/>
          <w:sz w:val="28"/>
          <w:szCs w:val="28"/>
          <w:u w:val="single"/>
          <w:lang w:val="en-US" w:eastAsia="zh-CN"/>
        </w:rPr>
        <w:t>项目</w:t>
      </w:r>
      <w:r>
        <w:rPr>
          <w:rFonts w:hint="eastAsia" w:ascii="仿宋_GB2312" w:hAnsi="宋体" w:eastAsia="仿宋_GB2312"/>
          <w:sz w:val="28"/>
          <w:szCs w:val="28"/>
        </w:rPr>
        <w:t>，经双方平等友好协商，达成如下协议：</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一、合同文件的优先次序</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（一）下列文件一起构成合同文件</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1合同协议书及各种合同附件（含比选评审期间和合同谈判过程中的澄清文件和补充资料）；</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2中选通知书；</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3比选申请文件及比选申请函；</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4比选文件</w:t>
      </w:r>
      <w:r>
        <w:rPr>
          <w:rFonts w:hint="eastAsia" w:ascii="仿宋_GB2312" w:hAnsi="宋体" w:eastAsia="仿宋_GB2312"/>
          <w:sz w:val="28"/>
          <w:szCs w:val="28"/>
        </w:rPr>
        <w:t>；</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5</w:t>
      </w:r>
      <w:r>
        <w:rPr>
          <w:rFonts w:ascii="仿宋_GB2312" w:hAnsi="宋体" w:eastAsia="仿宋_GB2312"/>
          <w:sz w:val="28"/>
          <w:szCs w:val="28"/>
        </w:rPr>
        <w:t>其他合同文件。</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w:t>
      </w:r>
      <w:r>
        <w:rPr>
          <w:rFonts w:ascii="仿宋_GB2312" w:hAnsi="宋体" w:eastAsia="仿宋_GB2312"/>
          <w:sz w:val="28"/>
          <w:szCs w:val="28"/>
        </w:rPr>
        <w:t>上述文件互相补充和解释，如有不明确或不一致之处，以上述次序在先者为准；同一次序的文件以时间在后的为准。</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二、审计内容和要求</w:t>
      </w:r>
    </w:p>
    <w:p>
      <w:pPr>
        <w:spacing w:line="520" w:lineRule="exact"/>
        <w:ind w:firstLine="560" w:firstLineChars="200"/>
        <w:rPr>
          <w:rFonts w:hint="default" w:ascii="仿宋_GB2312" w:hAnsi="宋体" w:eastAsia="仿宋_GB2312" w:cs="Times New Roman"/>
          <w:sz w:val="28"/>
          <w:szCs w:val="28"/>
          <w:lang w:val="en-US" w:eastAsia="zh-CN"/>
        </w:rPr>
      </w:pPr>
      <w:r>
        <w:rPr>
          <w:rFonts w:hint="eastAsia" w:ascii="仿宋_GB2312" w:hAnsi="宋体" w:eastAsia="仿宋_GB2312" w:cs="Times New Roman"/>
          <w:sz w:val="28"/>
          <w:szCs w:val="28"/>
          <w:lang w:eastAsia="zh-CN"/>
        </w:rPr>
        <w:t>（</w:t>
      </w:r>
      <w:r>
        <w:rPr>
          <w:rFonts w:hint="eastAsia" w:ascii="仿宋_GB2312" w:hAnsi="宋体" w:eastAsia="仿宋_GB2312" w:cs="Times New Roman"/>
          <w:sz w:val="28"/>
          <w:szCs w:val="28"/>
          <w:lang w:val="en-US" w:eastAsia="zh-CN"/>
        </w:rPr>
        <w:t>一</w:t>
      </w:r>
      <w:r>
        <w:rPr>
          <w:rFonts w:hint="eastAsia" w:ascii="仿宋_GB2312" w:hAnsi="宋体" w:eastAsia="仿宋_GB2312" w:cs="Times New Roman"/>
          <w:sz w:val="28"/>
          <w:szCs w:val="28"/>
          <w:lang w:eastAsia="zh-CN"/>
        </w:rPr>
        <w:t>）</w:t>
      </w:r>
      <w:r>
        <w:rPr>
          <w:rFonts w:hint="eastAsia" w:ascii="仿宋_GB2312" w:hAnsi="宋体" w:eastAsia="仿宋_GB2312" w:cs="Times New Roman"/>
          <w:sz w:val="28"/>
          <w:szCs w:val="28"/>
          <w:lang w:val="en-US" w:eastAsia="zh-CN"/>
        </w:rPr>
        <w:t>审计内容</w:t>
      </w:r>
    </w:p>
    <w:p>
      <w:pPr>
        <w:spacing w:line="520" w:lineRule="exact"/>
        <w:ind w:firstLine="560" w:firstLineChars="200"/>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eastAsia="zh-CN"/>
        </w:rPr>
        <w:t>对吴江卡同志2017年5月至2022年12月任职南宁公共交通集团有限公司法定代表人履行经济责任的情况，刘国平同志2017年5月至2022年12月任职南宁公共交通集团有限公司总经理期间履行经济责任的情况开展审计，包括</w:t>
      </w:r>
      <w:r>
        <w:rPr>
          <w:rFonts w:hint="eastAsia" w:ascii="仿宋_GB2312" w:hAnsi="宋体" w:eastAsia="仿宋_GB2312" w:cs="Times New Roman"/>
          <w:sz w:val="28"/>
          <w:szCs w:val="28"/>
          <w:lang w:val="en-US" w:eastAsia="zh-CN"/>
        </w:rPr>
        <w:t>但</w:t>
      </w:r>
      <w:r>
        <w:rPr>
          <w:rFonts w:hint="eastAsia" w:ascii="仿宋_GB2312" w:hAnsi="宋体" w:eastAsia="仿宋_GB2312" w:cs="Times New Roman"/>
          <w:sz w:val="28"/>
          <w:szCs w:val="28"/>
          <w:lang w:eastAsia="zh-CN"/>
        </w:rPr>
        <w:t>不仅限于以下</w:t>
      </w:r>
      <w:r>
        <w:rPr>
          <w:rFonts w:hint="eastAsia" w:ascii="仿宋_GB2312" w:hAnsi="宋体" w:eastAsia="仿宋_GB2312" w:cs="Times New Roman"/>
          <w:sz w:val="28"/>
          <w:szCs w:val="28"/>
          <w:lang w:val="en-US" w:eastAsia="zh-CN"/>
        </w:rPr>
        <w:t>内容：</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1.</w:t>
      </w:r>
      <w:r>
        <w:rPr>
          <w:rFonts w:hint="eastAsia" w:ascii="仿宋_GB2312" w:hAnsi="宋体" w:eastAsia="仿宋_GB2312" w:cs="Times New Roman"/>
          <w:sz w:val="28"/>
          <w:szCs w:val="28"/>
          <w:lang w:eastAsia="zh-CN"/>
        </w:rPr>
        <w:t>贯彻执行党和国家的经济方针政策和上级决策部署情况，推动企业可持续发展情况，国企改革三年行动落地见效情况。重点关注重点关注党的领导融入公司治理、党委前置研究事项清单制定、董事会建设情况、董事会职权落实等取得成效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lang w:eastAsia="zh-CN"/>
        </w:rPr>
        <w:t>企业发展战略规划的制定、执行和实施效果情况；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3.</w:t>
      </w:r>
      <w:r>
        <w:rPr>
          <w:rFonts w:hint="eastAsia" w:ascii="仿宋_GB2312" w:hAnsi="宋体" w:eastAsia="仿宋_GB2312" w:cs="Times New Roman"/>
          <w:sz w:val="28"/>
          <w:szCs w:val="28"/>
          <w:lang w:eastAsia="zh-CN"/>
        </w:rPr>
        <w:t>企业法人治理结构的建立、健全和运行情况；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4.</w:t>
      </w:r>
      <w:r>
        <w:rPr>
          <w:rFonts w:hint="eastAsia" w:ascii="仿宋_GB2312" w:hAnsi="宋体" w:eastAsia="仿宋_GB2312" w:cs="Times New Roman"/>
          <w:sz w:val="28"/>
          <w:szCs w:val="28"/>
          <w:lang w:eastAsia="zh-CN"/>
        </w:rPr>
        <w:t>“三重一大”的决策、执行和效果情况；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5.</w:t>
      </w:r>
      <w:r>
        <w:rPr>
          <w:rFonts w:hint="eastAsia" w:ascii="仿宋_GB2312" w:hAnsi="宋体" w:eastAsia="仿宋_GB2312" w:cs="Times New Roman"/>
          <w:sz w:val="28"/>
          <w:szCs w:val="28"/>
          <w:lang w:eastAsia="zh-CN"/>
        </w:rPr>
        <w:t>重大经济项目的投资、建设、运营管理及效益情况；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6.</w:t>
      </w:r>
      <w:r>
        <w:rPr>
          <w:rFonts w:hint="eastAsia" w:ascii="仿宋_GB2312" w:hAnsi="宋体" w:eastAsia="仿宋_GB2312" w:cs="Times New Roman"/>
          <w:sz w:val="28"/>
          <w:szCs w:val="28"/>
          <w:lang w:eastAsia="zh-CN"/>
        </w:rPr>
        <w:t>内部控制和风险管理制度的制定和设计合理性，及执行中决策、审批、运行、评价等环节的规范性、有效性，以及内控信息化建设和内控监督评价情况；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7.</w:t>
      </w:r>
      <w:r>
        <w:rPr>
          <w:rFonts w:hint="eastAsia" w:ascii="仿宋_GB2312" w:hAnsi="宋体" w:eastAsia="仿宋_GB2312" w:cs="Times New Roman"/>
          <w:sz w:val="28"/>
          <w:szCs w:val="28"/>
          <w:lang w:eastAsia="zh-CN"/>
        </w:rPr>
        <w:t>企业财务的真实合法效益情况，关注资产、负债、收入、成本费用等会计指标真实性，会计政策和会计估计变更、合并报表范围调整、差错调整、收入成本确认、减值计提等核算事项；</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8.</w:t>
      </w:r>
      <w:r>
        <w:rPr>
          <w:rFonts w:hint="eastAsia" w:ascii="仿宋_GB2312" w:hAnsi="宋体" w:eastAsia="仿宋_GB2312" w:cs="Times New Roman"/>
          <w:sz w:val="28"/>
          <w:szCs w:val="28"/>
          <w:lang w:eastAsia="zh-CN"/>
        </w:rPr>
        <w:t>资产的管理及保值增值情况；</w:t>
      </w:r>
    </w:p>
    <w:p>
      <w:pPr>
        <w:spacing w:line="520" w:lineRule="exact"/>
        <w:ind w:firstLine="560" w:firstLineChars="200"/>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9.</w:t>
      </w:r>
      <w:r>
        <w:rPr>
          <w:rFonts w:hint="eastAsia" w:ascii="仿宋_GB2312" w:hAnsi="宋体" w:eastAsia="仿宋_GB2312" w:cs="Times New Roman"/>
          <w:sz w:val="28"/>
          <w:szCs w:val="28"/>
          <w:lang w:eastAsia="zh-CN"/>
        </w:rPr>
        <w:t>在经济活动中落实有关党风廉政建设责任和遵守廉洁从业规定情况；</w:t>
      </w:r>
      <w:r>
        <w:rPr>
          <w:rFonts w:hint="eastAsia" w:ascii="仿宋_GB2312" w:hAnsi="宋体" w:eastAsia="仿宋_GB2312" w:cs="Times New Roman"/>
          <w:sz w:val="28"/>
          <w:szCs w:val="28"/>
          <w:lang w:val="en-US" w:eastAsia="zh-CN"/>
        </w:rPr>
        <w:t xml:space="preserve">  </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10.</w:t>
      </w:r>
      <w:r>
        <w:rPr>
          <w:rFonts w:hint="eastAsia" w:ascii="仿宋_GB2312" w:hAnsi="宋体" w:eastAsia="仿宋_GB2312" w:cs="Times New Roman"/>
          <w:sz w:val="28"/>
          <w:szCs w:val="28"/>
          <w:lang w:eastAsia="zh-CN"/>
        </w:rPr>
        <w:t>企业经营提质增效措施有效性。重点关注项目运营效率、成本费用压控、亏损企业专项治理、“两金”压降、“两非”剥离、“两资”清理等进展情况；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11.</w:t>
      </w:r>
      <w:r>
        <w:rPr>
          <w:rFonts w:hint="eastAsia" w:ascii="仿宋_GB2312" w:hAnsi="宋体" w:eastAsia="仿宋_GB2312" w:cs="Times New Roman"/>
          <w:sz w:val="28"/>
          <w:szCs w:val="28"/>
          <w:lang w:eastAsia="zh-CN"/>
        </w:rPr>
        <w:t>防范化解重大经营风险情况。重点关注债务、投资、招标采购、资金使用、金融等领域的风险；</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12.</w:t>
      </w:r>
      <w:r>
        <w:rPr>
          <w:rFonts w:hint="eastAsia" w:ascii="仿宋_GB2312" w:hAnsi="宋体" w:eastAsia="仿宋_GB2312" w:cs="Times New Roman"/>
          <w:sz w:val="28"/>
          <w:szCs w:val="28"/>
          <w:lang w:eastAsia="zh-CN"/>
        </w:rPr>
        <w:t>以往审计发现问题的整改情况。重点关注涉及违规经营投资问题的追责问责情况，整改完成效果；</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13.</w:t>
      </w:r>
      <w:r>
        <w:rPr>
          <w:rFonts w:hint="eastAsia" w:ascii="仿宋_GB2312" w:hAnsi="宋体" w:eastAsia="仿宋_GB2312" w:cs="Times New Roman"/>
          <w:sz w:val="28"/>
          <w:szCs w:val="28"/>
          <w:lang w:eastAsia="zh-CN"/>
        </w:rPr>
        <w:t>有关目标责任制完成情况；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14.</w:t>
      </w:r>
      <w:r>
        <w:rPr>
          <w:rFonts w:hint="eastAsia" w:ascii="仿宋_GB2312" w:hAnsi="宋体" w:eastAsia="仿宋_GB2312" w:cs="Times New Roman"/>
          <w:sz w:val="28"/>
          <w:szCs w:val="28"/>
          <w:lang w:eastAsia="zh-CN"/>
        </w:rPr>
        <w:t>其他需要审计的内容。</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（二）审计要求及成果</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根据《党政主要领导干部和国有企事业单位主要领导人员经济责任审计规定》《第2205号内部审计具体准则——经济责任审计》、中央审计委员会审计署关于《进一步规范经济责任审计工作有关事项》的通知、《南宁市人民政府国有资产监督管理委员会监管企业经济责任审计管理暂行办法》《南宁轨道交通集团有限责任公司经济责任审计管理实施办法（试行）》及其他相关法律法规开展工作，对吴江卡同志2017年5月至2022年12月任职南宁公共交通集团有限公司法定代表人履行经济责任的情况，刘国平同志2017年5月至2022年12月任职南宁公共交通集团有限公司总经理期间履行经济责任的情况作出客观公正、实事求是的评价，出具审计报告及管理建议书并经</w:t>
      </w:r>
      <w:r>
        <w:rPr>
          <w:rFonts w:hint="eastAsia" w:ascii="仿宋_GB2312" w:hAnsi="宋体" w:eastAsia="仿宋_GB2312" w:cs="Times New Roman"/>
          <w:sz w:val="28"/>
          <w:szCs w:val="28"/>
          <w:lang w:val="en-US" w:eastAsia="zh-CN"/>
        </w:rPr>
        <w:t>南宁轨道交通</w:t>
      </w:r>
      <w:r>
        <w:rPr>
          <w:rFonts w:hint="eastAsia" w:ascii="仿宋_GB2312" w:hAnsi="宋体" w:eastAsia="仿宋_GB2312" w:cs="Times New Roman"/>
          <w:sz w:val="28"/>
          <w:szCs w:val="28"/>
          <w:lang w:eastAsia="zh-CN"/>
        </w:rPr>
        <w:t>集团</w:t>
      </w:r>
      <w:r>
        <w:rPr>
          <w:rFonts w:hint="eastAsia" w:ascii="仿宋_GB2312" w:hAnsi="宋体" w:eastAsia="仿宋_GB2312" w:cs="Times New Roman"/>
          <w:sz w:val="28"/>
          <w:szCs w:val="28"/>
          <w:lang w:val="en-US" w:eastAsia="zh-CN"/>
        </w:rPr>
        <w:t>有限责任</w:t>
      </w:r>
      <w:r>
        <w:rPr>
          <w:rFonts w:hint="eastAsia" w:ascii="仿宋_GB2312" w:hAnsi="宋体" w:eastAsia="仿宋_GB2312" w:cs="Times New Roman"/>
          <w:sz w:val="28"/>
          <w:szCs w:val="28"/>
          <w:lang w:eastAsia="zh-CN"/>
        </w:rPr>
        <w:t>公司审批通过；</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三、乙方权利义务</w:t>
      </w:r>
    </w:p>
    <w:p>
      <w:pPr>
        <w:spacing w:line="520" w:lineRule="exact"/>
        <w:ind w:firstLine="560" w:firstLineChars="200"/>
        <w:rPr>
          <w:rFonts w:ascii="仿宋_GB2312" w:hAnsi="宋体" w:eastAsia="仿宋_GB2312"/>
          <w:b/>
          <w:sz w:val="28"/>
          <w:szCs w:val="28"/>
        </w:rPr>
      </w:pPr>
      <w:r>
        <w:rPr>
          <w:rFonts w:hint="eastAsia" w:ascii="仿宋_GB2312" w:hAnsi="宋体" w:eastAsia="仿宋_GB2312"/>
          <w:sz w:val="28"/>
          <w:szCs w:val="28"/>
        </w:rPr>
        <w:t>（一）乙方应按照《中华人民共和国审计法》《中华人民共和国注册会计师法》、《中国注册会计师执业准则》等法律法规的要求，对被审计单位提供的会计报表及其他有关资料，实施必要的审计工作程序，</w:t>
      </w:r>
      <w:r>
        <w:rPr>
          <w:rFonts w:hint="eastAsia" w:ascii="仿宋_GB2312" w:hAnsi="宋体" w:eastAsia="仿宋_GB2312"/>
          <w:color w:val="FF0000"/>
          <w:sz w:val="28"/>
          <w:szCs w:val="28"/>
        </w:rPr>
        <w:t>在约定时间内</w:t>
      </w:r>
      <w:r>
        <w:rPr>
          <w:rFonts w:hint="eastAsia" w:ascii="仿宋_GB2312" w:hAnsi="宋体" w:eastAsia="仿宋_GB2312"/>
          <w:color w:val="FF0000"/>
          <w:sz w:val="28"/>
          <w:szCs w:val="28"/>
          <w:u w:val="none"/>
        </w:rPr>
        <w:t>出具</w:t>
      </w:r>
      <w:r>
        <w:rPr>
          <w:rFonts w:hint="eastAsia" w:ascii="仿宋_GB2312" w:hAnsi="宋体" w:eastAsia="仿宋_GB2312"/>
          <w:color w:val="FF0000"/>
          <w:sz w:val="28"/>
          <w:szCs w:val="28"/>
        </w:rPr>
        <w:t>真实、合法审计报告及管理建议书</w:t>
      </w:r>
      <w:r>
        <w:rPr>
          <w:rFonts w:hint="eastAsia" w:ascii="仿宋_GB2312" w:hAnsi="宋体" w:eastAsia="仿宋_GB2312"/>
          <w:sz w:val="28"/>
          <w:szCs w:val="28"/>
        </w:rPr>
        <w:t>各</w:t>
      </w:r>
      <w:r>
        <w:rPr>
          <w:rFonts w:hint="eastAsia" w:ascii="仿宋_GB2312" w:hAnsi="宋体" w:eastAsia="仿宋_GB2312"/>
          <w:b/>
          <w:sz w:val="28"/>
          <w:szCs w:val="28"/>
          <w:u w:val="single"/>
        </w:rPr>
        <w:t>一式</w:t>
      </w:r>
      <w:r>
        <w:rPr>
          <w:rFonts w:ascii="仿宋_GB2312" w:hAnsi="宋体" w:eastAsia="仿宋_GB2312"/>
          <w:b/>
          <w:sz w:val="28"/>
          <w:szCs w:val="28"/>
          <w:u w:val="single"/>
        </w:rPr>
        <w:t>5</w:t>
      </w:r>
      <w:r>
        <w:rPr>
          <w:rFonts w:hint="eastAsia" w:ascii="仿宋_GB2312" w:hAnsi="宋体" w:eastAsia="仿宋_GB2312"/>
          <w:b/>
          <w:sz w:val="28"/>
          <w:szCs w:val="28"/>
          <w:u w:val="single"/>
        </w:rPr>
        <w:t>份</w:t>
      </w:r>
      <w:r>
        <w:rPr>
          <w:rFonts w:hint="eastAsia" w:ascii="仿宋_GB2312" w:hAnsi="宋体" w:eastAsia="仿宋_GB2312"/>
          <w:sz w:val="28"/>
          <w:szCs w:val="28"/>
        </w:rPr>
        <w:t>，审计报告格式和内容要符合相关规定要求；乙方应当保证审计报告的真实性、合法性、准确性，由于审计报告不真实、不合法、不完整或不符合相关规定要求导致甲方受到损失的，乙方应当承担赔偿责任。</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（二）乙方对在执行业务过程中知悉的商业秘密负有保密义务。除法律另有规定者外，未经甲方及被审计单位书面同意，乙方不得将相关资料和信息对外公开或泄露给第三方。</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（三）乙方应在本协议签订</w:t>
      </w:r>
      <w:r>
        <w:rPr>
          <w:rFonts w:hint="eastAsia" w:ascii="仿宋_GB2312" w:hAnsi="宋体" w:eastAsia="仿宋_GB2312"/>
          <w:b/>
          <w:sz w:val="28"/>
          <w:szCs w:val="28"/>
          <w:u w:val="single"/>
        </w:rPr>
        <w:t xml:space="preserve"> 5个工作日</w:t>
      </w:r>
      <w:r>
        <w:rPr>
          <w:rFonts w:hint="eastAsia" w:ascii="仿宋_GB2312" w:hAnsi="宋体" w:eastAsia="仿宋_GB2312"/>
          <w:sz w:val="28"/>
          <w:szCs w:val="28"/>
        </w:rPr>
        <w:t>内向甲方提交需要提供的资料清单，否则由此造成的审计工作延误的责任由乙方承担。</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四）乙方应按照要求指派足够具有相应业务资格的审计人员负责本次审计业务，明确审计人员名单，并将审计人员名单及人员资质等资料作为报告附件，确保按约定时间和质量完成审计工作并出具审计报告，不得转让或转包本合同权利义务。</w:t>
      </w:r>
    </w:p>
    <w:p>
      <w:pPr>
        <w:spacing w:line="520" w:lineRule="exact"/>
        <w:ind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lang w:val="en-US" w:eastAsia="zh-CN"/>
        </w:rPr>
        <w:t>（五）</w:t>
      </w:r>
      <w:r>
        <w:rPr>
          <w:rFonts w:hint="eastAsia" w:ascii="仿宋_GB2312" w:hAnsi="宋体" w:eastAsia="仿宋_GB2312" w:cs="Times New Roman"/>
          <w:sz w:val="28"/>
          <w:szCs w:val="28"/>
        </w:rPr>
        <w:t>审计过程中乙方</w:t>
      </w:r>
      <w:r>
        <w:rPr>
          <w:rFonts w:hint="eastAsia" w:ascii="仿宋_GB2312" w:hAnsi="宋体" w:eastAsia="仿宋_GB2312" w:cs="Times New Roman"/>
          <w:sz w:val="28"/>
          <w:szCs w:val="28"/>
          <w:lang w:val="en-US" w:eastAsia="zh-CN"/>
        </w:rPr>
        <w:t>根据甲方要求，</w:t>
      </w:r>
      <w:r>
        <w:rPr>
          <w:rFonts w:hint="eastAsia" w:ascii="仿宋_GB2312" w:hAnsi="宋体" w:eastAsia="仿宋_GB2312" w:cs="Times New Roman"/>
          <w:sz w:val="28"/>
          <w:szCs w:val="28"/>
        </w:rPr>
        <w:t>参与召开不少于以下会议，审前沟通会议、审计进点会议、审中沟通会议、审计撤点会议、审计征求意见沟通会。</w:t>
      </w:r>
    </w:p>
    <w:p>
      <w:pPr>
        <w:spacing w:line="520" w:lineRule="exact"/>
        <w:ind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lang w:val="en-US" w:eastAsia="zh-CN"/>
        </w:rPr>
        <w:t>（六）</w:t>
      </w:r>
      <w:r>
        <w:rPr>
          <w:rFonts w:hint="eastAsia" w:ascii="仿宋_GB2312" w:hAnsi="宋体" w:eastAsia="仿宋_GB2312" w:cs="Times New Roman"/>
          <w:sz w:val="28"/>
          <w:szCs w:val="28"/>
        </w:rPr>
        <w:t>正式审计报告出具前，乙方向甲方提供包括但不限于完整的审计工作底稿、审计取证单等</w:t>
      </w:r>
      <w:r>
        <w:rPr>
          <w:rFonts w:hint="eastAsia" w:ascii="仿宋_GB2312" w:hAnsi="宋体" w:eastAsia="仿宋_GB2312" w:cs="Times New Roman"/>
          <w:sz w:val="28"/>
          <w:szCs w:val="28"/>
          <w:lang w:val="en-US" w:eastAsia="zh-CN"/>
        </w:rPr>
        <w:t>作</w:t>
      </w:r>
      <w:r>
        <w:rPr>
          <w:rFonts w:hint="eastAsia" w:ascii="仿宋_GB2312" w:hAnsi="宋体" w:eastAsia="仿宋_GB2312" w:cs="Times New Roman"/>
          <w:sz w:val="28"/>
          <w:szCs w:val="28"/>
        </w:rPr>
        <w:t>为审计档案。</w:t>
      </w:r>
    </w:p>
    <w:p>
      <w:pPr>
        <w:spacing w:line="520" w:lineRule="exact"/>
        <w:ind w:firstLine="560" w:firstLineChars="200"/>
        <w:rPr>
          <w:rFonts w:ascii="仿宋_GB2312" w:hAnsi="宋体" w:eastAsia="仿宋_GB2312"/>
          <w:color w:val="FF0000"/>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七</w:t>
      </w:r>
      <w:r>
        <w:rPr>
          <w:rFonts w:hint="eastAsia" w:ascii="仿宋_GB2312" w:hAnsi="宋体" w:eastAsia="仿宋_GB2312"/>
          <w:sz w:val="28"/>
          <w:szCs w:val="28"/>
        </w:rPr>
        <w:t>）如因乙方原因导致出具的审计报告不合格的，乙方应当负责修正直至合格为止，由此导致审计工作延误的责任由乙方承担。</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四、甲方权利义务</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（二）乙方认为需要发函向有关部门询证时，甲方应当提供便利。</w:t>
      </w:r>
    </w:p>
    <w:p>
      <w:pPr>
        <w:spacing w:line="52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五、工期进度要求</w:t>
      </w:r>
    </w:p>
    <w:p>
      <w:pPr>
        <w:tabs>
          <w:tab w:val="left" w:pos="720"/>
        </w:tabs>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（一）本协议生效之日起</w:t>
      </w:r>
      <w:r>
        <w:rPr>
          <w:rFonts w:hint="eastAsia" w:ascii="仿宋_GB2312" w:hAnsi="宋体" w:eastAsia="仿宋_GB2312"/>
          <w:b/>
          <w:sz w:val="28"/>
          <w:szCs w:val="28"/>
          <w:u w:val="single"/>
        </w:rPr>
        <w:t xml:space="preserve"> 15个工作日内</w:t>
      </w:r>
      <w:r>
        <w:rPr>
          <w:rFonts w:hint="eastAsia" w:ascii="仿宋_GB2312" w:hAnsi="宋体" w:eastAsia="仿宋_GB2312"/>
          <w:sz w:val="28"/>
          <w:szCs w:val="28"/>
        </w:rPr>
        <w:t>，审计项目组进场审计。</w:t>
      </w:r>
    </w:p>
    <w:p>
      <w:pPr>
        <w:tabs>
          <w:tab w:val="left" w:pos="720"/>
        </w:tabs>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（二）乙方审计项目组进场审计之日起</w:t>
      </w:r>
      <w:r>
        <w:rPr>
          <w:rFonts w:ascii="仿宋_GB2312" w:hAnsi="宋体" w:eastAsia="仿宋_GB2312"/>
          <w:b/>
          <w:sz w:val="28"/>
          <w:szCs w:val="28"/>
          <w:u w:val="single"/>
        </w:rPr>
        <w:t>3</w:t>
      </w:r>
      <w:r>
        <w:rPr>
          <w:rFonts w:hint="eastAsia" w:ascii="仿宋_GB2312" w:hAnsi="宋体" w:eastAsia="仿宋_GB2312"/>
          <w:b/>
          <w:sz w:val="28"/>
          <w:szCs w:val="28"/>
          <w:u w:val="single"/>
        </w:rPr>
        <w:t>0个工作日</w:t>
      </w:r>
      <w:r>
        <w:rPr>
          <w:rFonts w:hint="eastAsia" w:ascii="仿宋_GB2312" w:hAnsi="宋体" w:eastAsia="仿宋_GB2312"/>
          <w:sz w:val="28"/>
          <w:szCs w:val="28"/>
        </w:rPr>
        <w:t>内出具审计报告</w:t>
      </w:r>
      <w:r>
        <w:rPr>
          <w:rFonts w:hint="eastAsia" w:ascii="仿宋_GB2312" w:hAnsi="宋体" w:eastAsia="仿宋_GB2312"/>
          <w:sz w:val="28"/>
          <w:szCs w:val="28"/>
          <w:lang w:eastAsia="zh-CN"/>
        </w:rPr>
        <w:t>及管理建议</w:t>
      </w:r>
      <w:r>
        <w:rPr>
          <w:rFonts w:hint="eastAsia" w:ascii="仿宋_GB2312" w:hAnsi="宋体" w:eastAsia="仿宋_GB2312"/>
          <w:sz w:val="28"/>
          <w:szCs w:val="28"/>
          <w:lang w:val="en-US" w:eastAsia="zh-CN"/>
        </w:rPr>
        <w:t>书</w:t>
      </w:r>
      <w:r>
        <w:rPr>
          <w:rFonts w:hint="eastAsia" w:ascii="仿宋_GB2312" w:hAnsi="宋体" w:eastAsia="仿宋_GB2312"/>
          <w:sz w:val="28"/>
          <w:szCs w:val="28"/>
        </w:rPr>
        <w:t>初稿，征询甲方的意见，根据甲方的意见进行修订或补充，经甲方审批通过后</w:t>
      </w:r>
      <w:r>
        <w:rPr>
          <w:rFonts w:ascii="仿宋_GB2312" w:hAnsi="宋体" w:eastAsia="仿宋_GB2312"/>
          <w:b/>
          <w:bCs/>
          <w:sz w:val="28"/>
          <w:szCs w:val="28"/>
          <w:u w:val="single"/>
        </w:rPr>
        <w:t>10</w:t>
      </w:r>
      <w:r>
        <w:rPr>
          <w:rFonts w:hint="eastAsia" w:ascii="仿宋_GB2312" w:hAnsi="宋体" w:eastAsia="仿宋_GB2312"/>
          <w:b/>
          <w:bCs/>
          <w:sz w:val="28"/>
          <w:szCs w:val="28"/>
          <w:u w:val="single"/>
        </w:rPr>
        <w:t>个工作日</w:t>
      </w:r>
      <w:r>
        <w:rPr>
          <w:rFonts w:hint="eastAsia" w:ascii="仿宋_GB2312" w:hAnsi="宋体" w:eastAsia="仿宋_GB2312"/>
          <w:sz w:val="28"/>
          <w:szCs w:val="28"/>
        </w:rPr>
        <w:t>内出具正式审计报告</w:t>
      </w:r>
      <w:r>
        <w:rPr>
          <w:rFonts w:hint="eastAsia" w:ascii="仿宋_GB2312" w:hAnsi="宋体" w:eastAsia="仿宋_GB2312"/>
          <w:b/>
          <w:sz w:val="28"/>
          <w:szCs w:val="28"/>
          <w:u w:val="single"/>
        </w:rPr>
        <w:t>一式 5 份</w:t>
      </w:r>
      <w:r>
        <w:rPr>
          <w:rFonts w:hint="eastAsia" w:ascii="仿宋_GB2312" w:hAnsi="宋体" w:eastAsia="仿宋_GB2312"/>
          <w:sz w:val="28"/>
          <w:szCs w:val="28"/>
        </w:rPr>
        <w:t>和电子文档、扫描文档各一份。</w:t>
      </w:r>
    </w:p>
    <w:p>
      <w:pPr>
        <w:tabs>
          <w:tab w:val="left" w:pos="720"/>
        </w:tabs>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六、审计费金额及支付</w:t>
      </w:r>
    </w:p>
    <w:p>
      <w:pPr>
        <w:spacing w:line="520" w:lineRule="exact"/>
        <w:ind w:firstLine="551" w:firstLineChars="197"/>
        <w:rPr>
          <w:rFonts w:ascii="仿宋_GB2312" w:hAnsi="宋体" w:eastAsia="仿宋_GB2312"/>
          <w:color w:val="FF0000"/>
          <w:sz w:val="28"/>
          <w:szCs w:val="28"/>
        </w:rPr>
      </w:pPr>
      <w:r>
        <w:rPr>
          <w:rFonts w:hint="eastAsia" w:ascii="仿宋_GB2312" w:hAnsi="宋体" w:eastAsia="仿宋_GB2312"/>
          <w:sz w:val="28"/>
          <w:szCs w:val="28"/>
        </w:rPr>
        <w:t>本次审计业务的收费实行固定总价包干的原则，审计费为人民币：不含税</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元，税率 </w:t>
      </w:r>
      <w:r>
        <w:rPr>
          <w:rFonts w:hint="eastAsia" w:ascii="仿宋_GB2312" w:hAnsi="宋体" w:eastAsia="仿宋_GB2312"/>
          <w:sz w:val="28"/>
          <w:szCs w:val="28"/>
          <w:u w:val="single"/>
        </w:rPr>
        <w:t xml:space="preserve">      </w:t>
      </w:r>
      <w:r>
        <w:rPr>
          <w:rFonts w:hint="eastAsia" w:ascii="仿宋_GB2312" w:hAnsi="宋体" w:eastAsia="仿宋_GB2312"/>
          <w:sz w:val="28"/>
          <w:szCs w:val="28"/>
        </w:rPr>
        <w:t>，价税合计</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元。审计费用由</w:t>
      </w:r>
      <w:r>
        <w:rPr>
          <w:rFonts w:hint="eastAsia" w:ascii="仿宋_GB2312" w:hAnsi="宋体" w:eastAsia="仿宋_GB2312"/>
          <w:sz w:val="28"/>
          <w:szCs w:val="28"/>
          <w:u w:val="single"/>
        </w:rPr>
        <w:t>甲方</w:t>
      </w:r>
      <w:r>
        <w:rPr>
          <w:rFonts w:hint="eastAsia" w:ascii="仿宋_GB2312" w:hAnsi="宋体" w:eastAsia="仿宋_GB2312"/>
          <w:sz w:val="28"/>
          <w:szCs w:val="28"/>
        </w:rPr>
        <w:t>支付，自乙方出具</w:t>
      </w:r>
      <w:r>
        <w:rPr>
          <w:rFonts w:hint="eastAsia" w:ascii="仿宋_GB2312" w:hAnsi="宋体" w:eastAsia="仿宋_GB2312"/>
          <w:sz w:val="28"/>
          <w:szCs w:val="28"/>
          <w:lang w:eastAsia="zh-CN"/>
        </w:rPr>
        <w:t>审计</w:t>
      </w:r>
      <w:r>
        <w:rPr>
          <w:rFonts w:hint="eastAsia" w:ascii="仿宋_GB2312" w:hAnsi="宋体" w:eastAsia="仿宋_GB2312"/>
          <w:sz w:val="28"/>
          <w:szCs w:val="28"/>
        </w:rPr>
        <w:t>报告</w:t>
      </w:r>
      <w:r>
        <w:rPr>
          <w:rFonts w:hint="eastAsia" w:ascii="仿宋_GB2312" w:hAnsi="宋体" w:eastAsia="仿宋_GB2312"/>
          <w:sz w:val="28"/>
          <w:szCs w:val="28"/>
          <w:lang w:val="en-US" w:eastAsia="zh-CN"/>
        </w:rPr>
        <w:t>及管理建议书</w:t>
      </w:r>
      <w:r>
        <w:rPr>
          <w:rFonts w:hint="eastAsia" w:ascii="仿宋_GB2312" w:hAnsi="宋体" w:eastAsia="仿宋_GB2312"/>
          <w:sz w:val="28"/>
          <w:szCs w:val="28"/>
        </w:rPr>
        <w:t>（正式版），经</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甲方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审批通过后</w:t>
      </w:r>
      <w:r>
        <w:rPr>
          <w:rFonts w:ascii="仿宋_GB2312" w:hAnsi="宋体" w:eastAsia="仿宋_GB2312"/>
          <w:sz w:val="28"/>
          <w:szCs w:val="28"/>
        </w:rPr>
        <w:t>30</w:t>
      </w:r>
      <w:r>
        <w:rPr>
          <w:rFonts w:hint="eastAsia" w:ascii="仿宋_GB2312" w:hAnsi="宋体" w:eastAsia="仿宋_GB2312"/>
          <w:sz w:val="28"/>
          <w:szCs w:val="28"/>
        </w:rPr>
        <w:t>个工作日内，完成计量结算手续并提供</w:t>
      </w:r>
      <w:r>
        <w:rPr>
          <w:rFonts w:hint="eastAsia" w:ascii="仿宋_GB2312" w:hAnsi="宋体" w:eastAsia="仿宋_GB2312"/>
          <w:sz w:val="28"/>
          <w:szCs w:val="28"/>
          <w:lang w:val="en-US" w:eastAsia="zh-CN"/>
        </w:rPr>
        <w:t>合法等额</w:t>
      </w:r>
      <w:r>
        <w:rPr>
          <w:rFonts w:hint="eastAsia" w:ascii="仿宋_GB2312" w:hAnsi="宋体" w:eastAsia="仿宋_GB2312"/>
          <w:sz w:val="28"/>
          <w:szCs w:val="28"/>
        </w:rPr>
        <w:t>增值税专用发票后20</w:t>
      </w:r>
      <w:r>
        <w:rPr>
          <w:rFonts w:hint="eastAsia" w:ascii="仿宋_GB2312" w:hAnsi="宋体" w:eastAsia="仿宋_GB2312"/>
          <w:sz w:val="28"/>
          <w:szCs w:val="28"/>
          <w:lang w:val="en-US" w:eastAsia="zh-CN"/>
        </w:rPr>
        <w:t>个工作</w:t>
      </w:r>
      <w:r>
        <w:rPr>
          <w:rFonts w:hint="eastAsia" w:ascii="仿宋_GB2312" w:hAnsi="宋体" w:eastAsia="仿宋_GB2312"/>
          <w:sz w:val="28"/>
          <w:szCs w:val="28"/>
        </w:rPr>
        <w:t>日内一次性支付结算款。如乙方未足额提供增值税专用发票的，甲方有权顺延付款时间直至乙方补足发票之日止再起算付款时间。</w:t>
      </w:r>
    </w:p>
    <w:p>
      <w:pPr>
        <w:spacing w:line="520" w:lineRule="exact"/>
        <w:ind w:firstLine="551" w:firstLineChars="196"/>
        <w:rPr>
          <w:rFonts w:ascii="仿宋_GB2312" w:hAnsi="宋体" w:eastAsia="仿宋_GB2312"/>
          <w:sz w:val="28"/>
          <w:szCs w:val="28"/>
        </w:rPr>
      </w:pPr>
      <w:r>
        <w:rPr>
          <w:rFonts w:hint="eastAsia" w:ascii="仿宋_GB2312" w:hAnsi="宋体" w:eastAsia="仿宋_GB2312"/>
          <w:b/>
          <w:bCs/>
          <w:sz w:val="28"/>
          <w:szCs w:val="28"/>
        </w:rPr>
        <w:t>上述费用包括了审计费以及审计过程中发生其他所有费用（包括但不限于税费、交通费、食宿费、差旅费等），除此之外，乙方不得向甲方或被审计单位另行收取任何费用</w:t>
      </w:r>
      <w:r>
        <w:rPr>
          <w:rFonts w:hint="eastAsia" w:ascii="仿宋_GB2312" w:hAnsi="宋体" w:eastAsia="仿宋_GB2312"/>
          <w:sz w:val="28"/>
          <w:szCs w:val="28"/>
        </w:rPr>
        <w:t>。</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七、违约责任</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（一）本合同正式签订生效后，任何一方不履行或不完全履行本合同约定条款的，即构成违约。任何一方违约不履行本合同，违约方应向守约方支付由于违约造成的一切损失。</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（二）如乙方不能按照本合同约定履行义务的，甲方有权直接解除合同，剩余</w:t>
      </w:r>
      <w:r>
        <w:rPr>
          <w:rFonts w:hint="eastAsia" w:ascii="仿宋_GB2312" w:hAnsi="宋体" w:eastAsia="仿宋_GB2312"/>
          <w:sz w:val="28"/>
          <w:szCs w:val="28"/>
          <w:lang w:val="en-US" w:eastAsia="zh-CN"/>
        </w:rPr>
        <w:t>审计</w:t>
      </w:r>
      <w:r>
        <w:rPr>
          <w:rFonts w:hint="eastAsia" w:ascii="仿宋_GB2312" w:hAnsi="宋体" w:eastAsia="仿宋_GB2312"/>
          <w:sz w:val="28"/>
          <w:szCs w:val="28"/>
        </w:rPr>
        <w:t>费用不予支付。甲方有权视情形要求乙方退回已支付的全部或部分</w:t>
      </w:r>
      <w:r>
        <w:rPr>
          <w:rFonts w:hint="eastAsia" w:ascii="仿宋_GB2312" w:hAnsi="宋体" w:eastAsia="仿宋_GB2312"/>
          <w:sz w:val="28"/>
          <w:szCs w:val="28"/>
          <w:lang w:val="en-US" w:eastAsia="zh-CN"/>
        </w:rPr>
        <w:t>审计</w:t>
      </w:r>
      <w:r>
        <w:rPr>
          <w:rFonts w:hint="eastAsia" w:ascii="仿宋_GB2312" w:hAnsi="宋体" w:eastAsia="仿宋_GB2312"/>
          <w:sz w:val="28"/>
          <w:szCs w:val="28"/>
        </w:rPr>
        <w:t>费用，给甲方造成其他损失的，乙方还应进行赔偿。若乙方延期交付审计报告</w:t>
      </w:r>
      <w:r>
        <w:rPr>
          <w:rFonts w:hint="eastAsia" w:ascii="仿宋_GB2312" w:hAnsi="宋体" w:eastAsia="仿宋_GB2312"/>
          <w:sz w:val="28"/>
          <w:szCs w:val="28"/>
          <w:lang w:val="en-US" w:eastAsia="zh-CN"/>
        </w:rPr>
        <w:t>及管理建议书</w:t>
      </w:r>
      <w:r>
        <w:rPr>
          <w:rFonts w:hint="eastAsia" w:ascii="仿宋_GB2312" w:hAnsi="宋体" w:eastAsia="仿宋_GB2312"/>
          <w:sz w:val="28"/>
          <w:szCs w:val="28"/>
        </w:rPr>
        <w:t>初稿或正式版，甲方有权按照审计费</w:t>
      </w:r>
      <w:r>
        <w:rPr>
          <w:rFonts w:hint="eastAsia" w:ascii="仿宋_GB2312" w:hAnsi="宋体" w:eastAsia="仿宋_GB2312"/>
          <w:sz w:val="28"/>
          <w:szCs w:val="28"/>
          <w:lang w:val="en-US" w:eastAsia="zh-CN"/>
        </w:rPr>
        <w:t>用</w:t>
      </w:r>
      <w:r>
        <w:rPr>
          <w:rFonts w:hint="eastAsia" w:ascii="仿宋_GB2312" w:hAnsi="宋体" w:eastAsia="仿宋_GB2312"/>
          <w:sz w:val="28"/>
          <w:szCs w:val="28"/>
        </w:rPr>
        <w:t>总额的千分之三/每日*（延期天数）向乙方收取违约金。</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（三）甲方无故逾期办理合同款支付手续的，甲方应按逾期付款总额每日万分之五向乙方支付违约金。</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（四）乙方不履行保密条款、过失或故意泄露其知悉的甲方保密事项或在擅自协议约定的工作内容之外使用甲方保密事项从而甲方造成损失的，乙方应承担相应的赔偿责任。</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（五）在本合同内确定的现场负责人原则上不予更换，若要更换需经得甲方同意，未经甲方同意而更换的，甲方可终止合同。现场负责人进驻审计现场工作时间不得少于</w:t>
      </w:r>
      <w:r>
        <w:rPr>
          <w:rFonts w:ascii="仿宋_GB2312" w:hAnsi="宋体" w:eastAsia="仿宋_GB2312"/>
          <w:sz w:val="28"/>
          <w:szCs w:val="28"/>
        </w:rPr>
        <w:t>10</w:t>
      </w:r>
      <w:r>
        <w:rPr>
          <w:rFonts w:hint="eastAsia" w:ascii="仿宋_GB2312" w:hAnsi="宋体" w:eastAsia="仿宋_GB2312"/>
          <w:sz w:val="28"/>
          <w:szCs w:val="28"/>
        </w:rPr>
        <w:t>个工作日，否则视为乙方违约，并处以</w:t>
      </w:r>
      <w:r>
        <w:rPr>
          <w:rFonts w:ascii="仿宋_GB2312" w:hAnsi="宋体" w:eastAsia="仿宋_GB2312"/>
          <w:sz w:val="28"/>
          <w:szCs w:val="28"/>
        </w:rPr>
        <w:t>5</w:t>
      </w:r>
      <w:r>
        <w:rPr>
          <w:rFonts w:hint="eastAsia" w:ascii="仿宋_GB2312" w:hAnsi="宋体" w:eastAsia="仿宋_GB2312"/>
          <w:sz w:val="28"/>
          <w:szCs w:val="28"/>
        </w:rPr>
        <w:t>000元的违约金。</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（六）</w:t>
      </w:r>
      <w:r>
        <w:rPr>
          <w:rFonts w:ascii="仿宋_GB2312" w:hAnsi="宋体" w:eastAsia="仿宋_GB2312"/>
          <w:sz w:val="28"/>
          <w:szCs w:val="28"/>
        </w:rPr>
        <w:t>在本合同内确定的项目团队</w:t>
      </w:r>
      <w:r>
        <w:rPr>
          <w:rFonts w:hint="eastAsia" w:ascii="仿宋_GB2312" w:hAnsi="宋体" w:eastAsia="仿宋_GB2312"/>
          <w:sz w:val="28"/>
          <w:szCs w:val="28"/>
        </w:rPr>
        <w:t>人员</w:t>
      </w:r>
      <w:r>
        <w:rPr>
          <w:rFonts w:ascii="仿宋_GB2312" w:hAnsi="宋体" w:eastAsia="仿宋_GB2312"/>
          <w:sz w:val="28"/>
          <w:szCs w:val="28"/>
        </w:rPr>
        <w:t>不应更换，如未经</w:t>
      </w:r>
      <w:r>
        <w:rPr>
          <w:rFonts w:hint="eastAsia" w:ascii="仿宋_GB2312" w:hAnsi="宋体" w:eastAsia="仿宋_GB2312"/>
          <w:sz w:val="28"/>
          <w:szCs w:val="28"/>
        </w:rPr>
        <w:t>甲方</w:t>
      </w:r>
      <w:r>
        <w:rPr>
          <w:rFonts w:ascii="仿宋_GB2312" w:hAnsi="宋体" w:eastAsia="仿宋_GB2312"/>
          <w:sz w:val="28"/>
          <w:szCs w:val="28"/>
        </w:rPr>
        <w:t>同意擅自更换项目团队人员的，</w:t>
      </w:r>
      <w:r>
        <w:rPr>
          <w:rFonts w:hint="eastAsia" w:ascii="仿宋_GB2312" w:hAnsi="宋体" w:eastAsia="仿宋_GB2312"/>
          <w:sz w:val="28"/>
          <w:szCs w:val="28"/>
        </w:rPr>
        <w:t>甲方</w:t>
      </w:r>
      <w:r>
        <w:rPr>
          <w:rFonts w:ascii="仿宋_GB2312" w:hAnsi="宋体" w:eastAsia="仿宋_GB2312"/>
          <w:sz w:val="28"/>
          <w:szCs w:val="28"/>
        </w:rPr>
        <w:t>将视其违约，并处以</w:t>
      </w:r>
      <w:r>
        <w:rPr>
          <w:rFonts w:hint="eastAsia" w:ascii="仿宋_GB2312" w:hAnsi="宋体" w:eastAsia="仿宋_GB2312"/>
          <w:sz w:val="28"/>
          <w:szCs w:val="28"/>
        </w:rPr>
        <w:t>2000</w:t>
      </w:r>
      <w:r>
        <w:rPr>
          <w:rFonts w:ascii="仿宋_GB2312" w:hAnsi="宋体" w:eastAsia="仿宋_GB2312"/>
          <w:sz w:val="28"/>
          <w:szCs w:val="28"/>
        </w:rPr>
        <w:t>元/人的违约金</w:t>
      </w:r>
      <w:r>
        <w:rPr>
          <w:rFonts w:hint="eastAsia" w:ascii="仿宋_GB2312" w:hAnsi="宋体" w:eastAsia="仿宋_GB2312"/>
          <w:sz w:val="28"/>
          <w:szCs w:val="28"/>
        </w:rPr>
        <w:t>。</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八、</w:t>
      </w:r>
      <w:r>
        <w:rPr>
          <w:rFonts w:hint="eastAsia" w:ascii="仿宋_GB2312" w:hAnsi="宋体" w:eastAsia="仿宋_GB2312"/>
          <w:b/>
          <w:sz w:val="28"/>
          <w:szCs w:val="28"/>
          <w:lang w:val="en-US" w:eastAsia="zh-CN"/>
        </w:rPr>
        <w:t>合同</w:t>
      </w:r>
      <w:r>
        <w:rPr>
          <w:rFonts w:hint="eastAsia" w:ascii="仿宋_GB2312" w:hAnsi="宋体" w:eastAsia="仿宋_GB2312"/>
          <w:b/>
          <w:sz w:val="28"/>
          <w:szCs w:val="28"/>
        </w:rPr>
        <w:t>有效期</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本</w:t>
      </w:r>
      <w:r>
        <w:rPr>
          <w:rFonts w:hint="eastAsia" w:ascii="仿宋_GB2312" w:hAnsi="宋体" w:eastAsia="仿宋_GB2312"/>
          <w:sz w:val="28"/>
          <w:szCs w:val="28"/>
          <w:lang w:eastAsia="zh-CN"/>
        </w:rPr>
        <w:t>合同</w:t>
      </w:r>
      <w:r>
        <w:rPr>
          <w:rFonts w:hint="eastAsia" w:ascii="仿宋_GB2312" w:hAnsi="宋体" w:eastAsia="仿宋_GB2312"/>
          <w:sz w:val="28"/>
          <w:szCs w:val="28"/>
        </w:rPr>
        <w:t>书自</w:t>
      </w:r>
      <w:r>
        <w:rPr>
          <w:rFonts w:hint="eastAsia" w:ascii="仿宋_GB2312" w:hAnsi="宋体" w:eastAsia="仿宋_GB2312"/>
          <w:sz w:val="28"/>
          <w:szCs w:val="28"/>
          <w:lang w:eastAsia="zh-CN"/>
        </w:rPr>
        <w:t>甲、</w:t>
      </w:r>
      <w:r>
        <w:rPr>
          <w:rFonts w:hint="eastAsia" w:ascii="仿宋_GB2312" w:hAnsi="宋体" w:eastAsia="仿宋_GB2312"/>
          <w:sz w:val="28"/>
          <w:szCs w:val="28"/>
          <w:lang w:val="en-US" w:eastAsia="zh-CN"/>
        </w:rPr>
        <w:t>乙</w:t>
      </w:r>
      <w:r>
        <w:rPr>
          <w:rFonts w:hint="eastAsia" w:ascii="仿宋_GB2312" w:hAnsi="宋体" w:eastAsia="仿宋_GB2312"/>
          <w:sz w:val="28"/>
          <w:szCs w:val="28"/>
        </w:rPr>
        <w:t>双方法定代表人或授权委托人签字或盖法人章并加盖甲、乙双方公司公章或合同专用章之日起生效，并在双方履行完毕本</w:t>
      </w:r>
      <w:r>
        <w:rPr>
          <w:rFonts w:hint="eastAsia" w:ascii="仿宋_GB2312" w:hAnsi="宋体" w:eastAsia="仿宋_GB2312"/>
          <w:sz w:val="28"/>
          <w:szCs w:val="28"/>
          <w:lang w:val="en-US" w:eastAsia="zh-CN"/>
        </w:rPr>
        <w:t>合同</w:t>
      </w:r>
      <w:r>
        <w:rPr>
          <w:rFonts w:hint="eastAsia" w:ascii="仿宋_GB2312" w:hAnsi="宋体" w:eastAsia="仿宋_GB2312"/>
          <w:sz w:val="28"/>
          <w:szCs w:val="28"/>
        </w:rPr>
        <w:t>约定的所有义务后终止，但其中第九条第（二）款规定的保密义务并不因本</w:t>
      </w:r>
      <w:r>
        <w:rPr>
          <w:rFonts w:hint="eastAsia" w:ascii="仿宋_GB2312" w:hAnsi="宋体" w:eastAsia="仿宋_GB2312"/>
          <w:sz w:val="28"/>
          <w:szCs w:val="28"/>
          <w:lang w:eastAsia="zh-CN"/>
        </w:rPr>
        <w:t>合同</w:t>
      </w:r>
      <w:r>
        <w:rPr>
          <w:rFonts w:hint="eastAsia" w:ascii="仿宋_GB2312" w:hAnsi="宋体" w:eastAsia="仿宋_GB2312"/>
          <w:sz w:val="28"/>
          <w:szCs w:val="28"/>
        </w:rPr>
        <w:t>终止而失效。</w:t>
      </w:r>
    </w:p>
    <w:p>
      <w:pPr>
        <w:numPr>
          <w:ilvl w:val="0"/>
          <w:numId w:val="4"/>
        </w:numPr>
        <w:spacing w:line="52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保密条款</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（一）乙方在审计过程中发现审计对象或其所属单位在会计核算、财务管理、资产管理</w:t>
      </w:r>
      <w:r>
        <w:rPr>
          <w:rFonts w:hint="eastAsia" w:ascii="仿宋_GB2312" w:hAnsi="宋体" w:eastAsia="仿宋_GB2312"/>
          <w:sz w:val="28"/>
          <w:szCs w:val="28"/>
          <w:lang w:val="en-US" w:eastAsia="zh-CN"/>
        </w:rPr>
        <w:t>等</w:t>
      </w:r>
      <w:r>
        <w:rPr>
          <w:rFonts w:hint="eastAsia" w:ascii="仿宋_GB2312" w:hAnsi="宋体" w:eastAsia="仿宋_GB2312"/>
          <w:sz w:val="28"/>
          <w:szCs w:val="28"/>
        </w:rPr>
        <w:t>上有重大缺陷，有导致产生重大弊端的可能，应及时将有关情况通报甲方。</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（二）乙方对工作中知悉的商业秘密保密，不得将所获得的有关资料和文件用于与委托事项无关的活动。本义务在委托事项结束后，仍然有效。保密承诺书作为本合同的附件。</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十、争议解决</w:t>
      </w:r>
    </w:p>
    <w:p>
      <w:pPr>
        <w:spacing w:line="520" w:lineRule="exact"/>
        <w:ind w:right="-46" w:firstLine="560"/>
        <w:rPr>
          <w:rFonts w:ascii="仿宋_GB2312" w:hAnsi="宋体" w:eastAsia="仿宋_GB2312"/>
          <w:bCs/>
          <w:sz w:val="28"/>
          <w:szCs w:val="28"/>
        </w:rPr>
      </w:pPr>
      <w:r>
        <w:rPr>
          <w:rFonts w:hint="eastAsia" w:ascii="仿宋_GB2312" w:hAnsi="宋体" w:eastAsia="仿宋_GB2312"/>
          <w:bCs/>
          <w:sz w:val="28"/>
          <w:szCs w:val="28"/>
        </w:rPr>
        <w:t>在本协议履行过程中发生争议的，应首先友好协商解决，协商不成的，任何一方有权向本</w:t>
      </w:r>
      <w:r>
        <w:rPr>
          <w:rFonts w:hint="eastAsia" w:ascii="仿宋_GB2312" w:hAnsi="宋体" w:eastAsia="仿宋_GB2312"/>
          <w:bCs/>
          <w:sz w:val="28"/>
          <w:szCs w:val="28"/>
          <w:lang w:eastAsia="zh-CN"/>
        </w:rPr>
        <w:t>合同</w:t>
      </w:r>
      <w:r>
        <w:rPr>
          <w:rFonts w:hint="eastAsia" w:ascii="仿宋_GB2312" w:hAnsi="宋体" w:eastAsia="仿宋_GB2312"/>
          <w:bCs/>
          <w:sz w:val="28"/>
          <w:szCs w:val="28"/>
        </w:rPr>
        <w:t>甲方营业执照上记载的经营地址所在地有管辖权的人民法院提起诉讼。</w:t>
      </w:r>
    </w:p>
    <w:p>
      <w:pPr>
        <w:spacing w:line="52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十一、本</w:t>
      </w:r>
      <w:r>
        <w:rPr>
          <w:rFonts w:hint="eastAsia" w:ascii="仿宋_GB2312" w:hAnsi="宋体" w:eastAsia="仿宋_GB2312"/>
          <w:bCs/>
          <w:sz w:val="28"/>
          <w:szCs w:val="28"/>
          <w:lang w:val="en-US" w:eastAsia="zh-CN"/>
        </w:rPr>
        <w:t>合同</w:t>
      </w:r>
      <w:r>
        <w:rPr>
          <w:rFonts w:hint="eastAsia" w:ascii="仿宋_GB2312" w:hAnsi="宋体" w:eastAsia="仿宋_GB2312"/>
          <w:bCs/>
          <w:sz w:val="28"/>
          <w:szCs w:val="28"/>
        </w:rPr>
        <w:t>书未尽事宜，经双方共同协商，签订补充协议。补充协议与本</w:t>
      </w:r>
      <w:r>
        <w:rPr>
          <w:rFonts w:hint="eastAsia" w:ascii="仿宋_GB2312" w:hAnsi="宋体" w:eastAsia="仿宋_GB2312"/>
          <w:bCs/>
          <w:sz w:val="28"/>
          <w:szCs w:val="28"/>
          <w:lang w:eastAsia="zh-CN"/>
        </w:rPr>
        <w:t>合同</w:t>
      </w:r>
      <w:r>
        <w:rPr>
          <w:rFonts w:hint="eastAsia" w:ascii="仿宋_GB2312" w:hAnsi="宋体" w:eastAsia="仿宋_GB2312"/>
          <w:bCs/>
          <w:sz w:val="28"/>
          <w:szCs w:val="28"/>
        </w:rPr>
        <w:t>书具有同等法律效力。</w:t>
      </w:r>
    </w:p>
    <w:p>
      <w:pPr>
        <w:spacing w:line="52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十二、本</w:t>
      </w:r>
      <w:r>
        <w:rPr>
          <w:rFonts w:hint="eastAsia" w:ascii="仿宋_GB2312" w:hAnsi="宋体" w:eastAsia="仿宋_GB2312"/>
          <w:bCs/>
          <w:sz w:val="28"/>
          <w:szCs w:val="28"/>
          <w:lang w:eastAsia="zh-CN"/>
        </w:rPr>
        <w:t>合同</w:t>
      </w:r>
      <w:r>
        <w:rPr>
          <w:rFonts w:hint="eastAsia" w:ascii="仿宋_GB2312" w:hAnsi="宋体" w:eastAsia="仿宋_GB2312"/>
          <w:bCs/>
          <w:sz w:val="28"/>
          <w:szCs w:val="28"/>
        </w:rPr>
        <w:t>书一式</w:t>
      </w:r>
      <w:r>
        <w:rPr>
          <w:rFonts w:hint="eastAsia" w:ascii="仿宋_GB2312" w:hAnsi="宋体" w:eastAsia="仿宋_GB2312"/>
          <w:b/>
          <w:bCs/>
          <w:sz w:val="28"/>
          <w:szCs w:val="28"/>
          <w:u w:val="single"/>
        </w:rPr>
        <w:t xml:space="preserve">  </w:t>
      </w:r>
      <w:r>
        <w:rPr>
          <w:rFonts w:hint="eastAsia" w:ascii="仿宋_GB2312" w:hAnsi="宋体" w:eastAsia="仿宋_GB2312"/>
          <w:b/>
          <w:bCs/>
          <w:sz w:val="28"/>
          <w:szCs w:val="28"/>
          <w:u w:val="single"/>
          <w:lang w:val="en-US" w:eastAsia="zh-CN"/>
        </w:rPr>
        <w:t>陆</w:t>
      </w:r>
      <w:r>
        <w:rPr>
          <w:rFonts w:hint="eastAsia" w:ascii="仿宋_GB2312" w:hAnsi="宋体" w:eastAsia="仿宋_GB2312"/>
          <w:b/>
          <w:bCs/>
          <w:sz w:val="28"/>
          <w:szCs w:val="28"/>
          <w:u w:val="single"/>
        </w:rPr>
        <w:t xml:space="preserve">  </w:t>
      </w:r>
      <w:r>
        <w:rPr>
          <w:rFonts w:hint="eastAsia" w:ascii="仿宋_GB2312" w:hAnsi="宋体" w:eastAsia="仿宋_GB2312"/>
          <w:bCs/>
          <w:sz w:val="28"/>
          <w:szCs w:val="28"/>
        </w:rPr>
        <w:t>份，甲方执</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u w:val="single"/>
          <w:lang w:val="en-US" w:eastAsia="zh-CN"/>
        </w:rPr>
        <w:t>肆</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份，乙方执</w:t>
      </w:r>
      <w:r>
        <w:rPr>
          <w:rFonts w:hint="eastAsia" w:ascii="仿宋_GB2312" w:hAnsi="宋体" w:eastAsia="仿宋_GB2312"/>
          <w:b/>
          <w:bCs/>
          <w:sz w:val="28"/>
          <w:szCs w:val="28"/>
          <w:u w:val="single"/>
        </w:rPr>
        <w:t xml:space="preserve"> </w:t>
      </w:r>
      <w:r>
        <w:rPr>
          <w:rFonts w:hint="eastAsia" w:ascii="仿宋_GB2312" w:hAnsi="宋体" w:eastAsia="仿宋_GB2312"/>
          <w:b/>
          <w:bCs/>
          <w:sz w:val="28"/>
          <w:szCs w:val="28"/>
          <w:u w:val="single"/>
          <w:lang w:eastAsia="zh-CN"/>
        </w:rPr>
        <w:t>贰</w:t>
      </w:r>
      <w:r>
        <w:rPr>
          <w:rFonts w:hint="eastAsia" w:ascii="仿宋_GB2312" w:hAnsi="宋体" w:eastAsia="仿宋_GB2312"/>
          <w:b/>
          <w:bCs/>
          <w:sz w:val="28"/>
          <w:szCs w:val="28"/>
          <w:u w:val="single"/>
        </w:rPr>
        <w:t xml:space="preserve"> </w:t>
      </w:r>
      <w:r>
        <w:rPr>
          <w:rFonts w:hint="eastAsia" w:ascii="仿宋_GB2312" w:hAnsi="宋体" w:eastAsia="仿宋_GB2312"/>
          <w:bCs/>
          <w:sz w:val="28"/>
          <w:szCs w:val="28"/>
        </w:rPr>
        <w:t>份，并具有同等法律效力。</w:t>
      </w:r>
    </w:p>
    <w:p>
      <w:pPr>
        <w:spacing w:line="520" w:lineRule="exact"/>
        <w:ind w:right="-46" w:firstLine="560" w:firstLineChars="0"/>
        <w:rPr>
          <w:rFonts w:ascii="仿宋_GB2312" w:hAnsi="宋体" w:eastAsia="仿宋_GB2312"/>
          <w:sz w:val="28"/>
          <w:szCs w:val="28"/>
        </w:rPr>
      </w:pPr>
      <w:r>
        <w:rPr>
          <w:rFonts w:hint="eastAsia" w:ascii="仿宋_GB2312" w:hAnsi="宋体" w:eastAsia="仿宋_GB2312"/>
          <w:sz w:val="28"/>
          <w:szCs w:val="28"/>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20" w:lineRule="exact"/>
        <w:ind w:right="480" w:firstLine="560" w:firstLineChars="200"/>
        <w:rPr>
          <w:rFonts w:ascii="仿宋_GB2312" w:hAnsi="宋体" w:eastAsia="仿宋_GB2312"/>
          <w:sz w:val="28"/>
          <w:szCs w:val="28"/>
        </w:rPr>
      </w:pPr>
      <w:r>
        <w:rPr>
          <w:rFonts w:hint="eastAsia" w:ascii="仿宋_GB2312" w:hAnsi="宋体" w:eastAsia="仿宋_GB2312"/>
          <w:sz w:val="28"/>
          <w:szCs w:val="28"/>
        </w:rPr>
        <w:t>附件：保密承诺书</w:t>
      </w:r>
    </w:p>
    <w:p>
      <w:pPr>
        <w:spacing w:line="520" w:lineRule="exact"/>
        <w:ind w:right="480"/>
        <w:rPr>
          <w:rFonts w:ascii="宋体" w:hAnsi="宋体"/>
          <w:sz w:val="28"/>
          <w:szCs w:val="28"/>
        </w:rPr>
      </w:pP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甲方：南宁轨道交通集团有限责任公司</w:t>
      </w: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法定代表人或委托代理人：</w:t>
      </w: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联系人：</w:t>
      </w: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联系电话：                  电子邮件：</w:t>
      </w:r>
    </w:p>
    <w:p>
      <w:pPr>
        <w:spacing w:line="480" w:lineRule="exact"/>
        <w:ind w:firstLine="420" w:firstLineChars="150"/>
        <w:rPr>
          <w:rFonts w:ascii="仿宋_GB2312" w:hAnsi="宋体" w:eastAsia="仿宋_GB2312"/>
          <w:sz w:val="28"/>
          <w:szCs w:val="28"/>
        </w:rPr>
      </w:pPr>
      <w:r>
        <w:rPr>
          <w:rFonts w:hint="eastAsia" w:ascii="仿宋_GB2312" w:hAnsi="宋体" w:eastAsia="仿宋_GB2312"/>
          <w:sz w:val="28"/>
          <w:szCs w:val="28"/>
        </w:rPr>
        <w:t>通讯地址：</w:t>
      </w: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时间：     年   月   日</w:t>
      </w:r>
    </w:p>
    <w:p>
      <w:pPr>
        <w:spacing w:line="480" w:lineRule="exact"/>
        <w:ind w:right="420" w:firstLine="420" w:firstLineChars="150"/>
        <w:rPr>
          <w:rFonts w:hint="eastAsia" w:ascii="仿宋_GB2312" w:hAnsi="宋体" w:eastAsia="仿宋_GB2312"/>
          <w:sz w:val="28"/>
          <w:szCs w:val="28"/>
        </w:rPr>
      </w:pPr>
      <w:r>
        <w:rPr>
          <w:rFonts w:hint="eastAsia" w:ascii="仿宋_GB2312" w:hAnsi="宋体" w:eastAsia="仿宋_GB2312"/>
          <w:sz w:val="28"/>
          <w:szCs w:val="28"/>
        </w:rPr>
        <w:t>纳税人识别号：914501006821248433</w:t>
      </w:r>
    </w:p>
    <w:p>
      <w:pPr>
        <w:spacing w:line="480" w:lineRule="exact"/>
        <w:ind w:right="420" w:firstLine="420" w:firstLineChars="150"/>
        <w:rPr>
          <w:rFonts w:hint="eastAsia" w:ascii="仿宋_GB2312" w:hAnsi="宋体" w:eastAsia="仿宋_GB2312"/>
          <w:sz w:val="28"/>
          <w:szCs w:val="28"/>
        </w:rPr>
      </w:pPr>
      <w:r>
        <w:rPr>
          <w:rFonts w:hint="eastAsia" w:ascii="仿宋_GB2312" w:hAnsi="宋体" w:eastAsia="仿宋_GB2312"/>
          <w:sz w:val="28"/>
          <w:szCs w:val="28"/>
        </w:rPr>
        <w:t>开户行及账号：建行南宁市朝阳支行营业部45001604473059116688</w:t>
      </w:r>
    </w:p>
    <w:p>
      <w:pPr>
        <w:spacing w:line="480" w:lineRule="exact"/>
        <w:ind w:right="420"/>
        <w:rPr>
          <w:rFonts w:ascii="仿宋_GB2312" w:hAnsi="宋体" w:eastAsia="仿宋_GB2312"/>
          <w:sz w:val="28"/>
          <w:szCs w:val="28"/>
        </w:rPr>
      </w:pP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乙方：</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法定代表人（负责人）或委托代理人：</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联系人：</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联系电话：                  电子邮件：</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通讯地址：</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时间：     年   月   日</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lang w:val="en-US" w:eastAsia="zh-CN"/>
        </w:rPr>
        <w:t>纳税人识别号</w:t>
      </w:r>
      <w:r>
        <w:rPr>
          <w:rFonts w:hint="eastAsia" w:ascii="仿宋_GB2312" w:hAnsi="宋体" w:eastAsia="仿宋_GB2312"/>
          <w:sz w:val="28"/>
          <w:szCs w:val="28"/>
        </w:rPr>
        <w:t>：</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lang w:val="en-US" w:eastAsia="zh-CN"/>
        </w:rPr>
        <w:t>开户</w:t>
      </w:r>
      <w:r>
        <w:rPr>
          <w:rFonts w:hint="eastAsia" w:ascii="仿宋_GB2312" w:hAnsi="宋体" w:eastAsia="仿宋_GB2312"/>
          <w:sz w:val="28"/>
          <w:szCs w:val="28"/>
        </w:rPr>
        <w:t>行</w:t>
      </w:r>
      <w:r>
        <w:rPr>
          <w:rFonts w:hint="eastAsia" w:ascii="仿宋_GB2312" w:hAnsi="宋体" w:eastAsia="仿宋_GB2312"/>
          <w:sz w:val="28"/>
          <w:szCs w:val="28"/>
          <w:lang w:val="en-US" w:eastAsia="zh-CN"/>
        </w:rPr>
        <w:t>及</w:t>
      </w:r>
      <w:r>
        <w:rPr>
          <w:rFonts w:hint="eastAsia" w:ascii="仿宋_GB2312" w:hAnsi="宋体" w:eastAsia="仿宋_GB2312"/>
          <w:sz w:val="28"/>
          <w:szCs w:val="28"/>
        </w:rPr>
        <w:t>账号：</w:t>
      </w:r>
    </w:p>
    <w:p>
      <w:pPr>
        <w:spacing w:line="480" w:lineRule="exact"/>
        <w:ind w:firstLine="480"/>
        <w:rPr>
          <w:rFonts w:ascii="仿宋_GB2312" w:hAnsi="宋体" w:eastAsia="仿宋_GB2312"/>
          <w:sz w:val="28"/>
          <w:szCs w:val="28"/>
        </w:rPr>
        <w:sectPr>
          <w:footerReference r:id="rId5" w:type="default"/>
          <w:pgSz w:w="11906" w:h="16838"/>
          <w:pgMar w:top="1440" w:right="1247" w:bottom="1440" w:left="1440" w:header="851" w:footer="992" w:gutter="0"/>
          <w:pgNumType w:start="1"/>
          <w:cols w:space="720" w:num="1"/>
          <w:docGrid w:type="lines" w:linePitch="312" w:charSpace="0"/>
        </w:sectPr>
      </w:pPr>
    </w:p>
    <w:p>
      <w:pPr>
        <w:widowControl/>
        <w:spacing w:line="480" w:lineRule="exact"/>
        <w:ind w:right="420" w:firstLine="420" w:firstLineChars="150"/>
        <w:jc w:val="left"/>
        <w:rPr>
          <w:rFonts w:ascii="仿宋_GB2312" w:hAnsi="宋体" w:eastAsia="仿宋_GB2312"/>
          <w:sz w:val="28"/>
          <w:szCs w:val="28"/>
        </w:rPr>
      </w:pPr>
      <w:r>
        <w:rPr>
          <w:rFonts w:hint="eastAsia" w:ascii="仿宋_GB2312" w:hAnsi="宋体" w:eastAsia="仿宋_GB2312"/>
          <w:sz w:val="28"/>
          <w:szCs w:val="28"/>
        </w:rPr>
        <w:t xml:space="preserve">附件：  </w:t>
      </w:r>
    </w:p>
    <w:p>
      <w:pPr>
        <w:widowControl/>
        <w:spacing w:line="480" w:lineRule="exact"/>
        <w:ind w:right="420" w:firstLine="420" w:firstLineChars="150"/>
        <w:jc w:val="left"/>
        <w:rPr>
          <w:rFonts w:ascii="仿宋_GB2312" w:hAnsi="宋体" w:eastAsia="仿宋_GB2312"/>
          <w:sz w:val="28"/>
          <w:szCs w:val="28"/>
        </w:rPr>
      </w:pPr>
    </w:p>
    <w:p>
      <w:pPr>
        <w:widowControl/>
        <w:spacing w:line="480" w:lineRule="exact"/>
        <w:ind w:right="420" w:firstLine="3960" w:firstLineChars="1100"/>
        <w:jc w:val="left"/>
        <w:rPr>
          <w:rFonts w:hint="eastAsia" w:ascii="仿宋_GB2312" w:hAnsi="宋体" w:eastAsia="仿宋_GB2312"/>
          <w:b/>
          <w:bCs/>
          <w:sz w:val="36"/>
          <w:szCs w:val="36"/>
          <w:lang w:eastAsia="zh-CN"/>
        </w:rPr>
      </w:pPr>
      <w:r>
        <w:rPr>
          <w:rFonts w:hint="eastAsia" w:ascii="仿宋_GB2312" w:hAnsi="宋体" w:eastAsia="仿宋_GB2312"/>
          <w:b/>
          <w:bCs/>
          <w:sz w:val="36"/>
          <w:szCs w:val="36"/>
        </w:rPr>
        <w:t>保密承诺书</w:t>
      </w:r>
    </w:p>
    <w:p>
      <w:pPr>
        <w:widowControl/>
        <w:spacing w:line="480" w:lineRule="exact"/>
        <w:ind w:right="420"/>
        <w:jc w:val="left"/>
        <w:rPr>
          <w:rFonts w:hint="eastAsia" w:ascii="仿宋_GB2312" w:hAnsi="宋体" w:eastAsia="仿宋_GB2312"/>
          <w:sz w:val="28"/>
          <w:szCs w:val="28"/>
        </w:rPr>
      </w:pPr>
    </w:p>
    <w:p>
      <w:pPr>
        <w:widowControl/>
        <w:spacing w:line="480" w:lineRule="exact"/>
        <w:ind w:right="420"/>
        <w:jc w:val="left"/>
        <w:rPr>
          <w:rFonts w:hint="eastAsia" w:ascii="仿宋_GB2312" w:hAnsi="宋体" w:eastAsia="仿宋_GB2312"/>
          <w:sz w:val="28"/>
          <w:szCs w:val="28"/>
          <w:lang w:eastAsia="zh-CN"/>
        </w:rPr>
      </w:pPr>
      <w:r>
        <w:rPr>
          <w:rFonts w:hint="eastAsia" w:ascii="仿宋_GB2312" w:hAnsi="宋体" w:eastAsia="仿宋_GB2312"/>
          <w:sz w:val="28"/>
          <w:szCs w:val="28"/>
        </w:rPr>
        <w:t>致：南宁轨道交通集团有限责任公司</w:t>
      </w:r>
    </w:p>
    <w:p>
      <w:pPr>
        <w:widowControl/>
        <w:spacing w:line="480" w:lineRule="exact"/>
        <w:ind w:right="420"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rPr>
        <w:t>我方在实施贵方项目审计工作期间，就保密事宜做出如下承诺：</w:t>
      </w:r>
    </w:p>
    <w:p>
      <w:pPr>
        <w:widowControl/>
        <w:spacing w:line="480" w:lineRule="exact"/>
        <w:ind w:right="420"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rPr>
        <w:t>1)我方理解贵方的保密信息。贵方拥有的不为公众所知悉、能为他人带来经济利益或其他利益、具有实用性的信息等均属商业秘密和秘密信息；包括但不限于贵我双方正在或将要签订的合同信息、合同履行、我方提供审计服务时所接触到的涉及贵方经营管理等事项的信息。</w:t>
      </w:r>
    </w:p>
    <w:p>
      <w:pPr>
        <w:widowControl/>
        <w:spacing w:line="480" w:lineRule="exact"/>
        <w:ind w:right="420"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rPr>
        <w:t>2)我方自知悉贵方的保密信息之日起，依照法律法规规定及有关约定承担保密义务。</w:t>
      </w:r>
    </w:p>
    <w:p>
      <w:pPr>
        <w:widowControl/>
        <w:spacing w:line="480" w:lineRule="exact"/>
        <w:ind w:right="420"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rPr>
        <w:t>3)未经贵方同意，我方不擅自保存与贵方保密信息有关的任何物品、资料，也不私自进行复制、交流或者转移。</w:t>
      </w:r>
    </w:p>
    <w:p>
      <w:pPr>
        <w:widowControl/>
        <w:spacing w:line="480" w:lineRule="exact"/>
        <w:ind w:right="420"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rPr>
        <w:t>4)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widowControl/>
        <w:spacing w:line="480" w:lineRule="exact"/>
        <w:ind w:right="420"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5)我方不会擅自使用任何属于第三方的保密信息，且保证此类信息不会侵犯任何第三方的知识产权及其它权益。若我方违反本规定而导致贵方遭受第三方的侵权指控时，我方承担法律责任。</w:t>
      </w:r>
    </w:p>
    <w:p>
      <w:pPr>
        <w:widowControl/>
        <w:spacing w:line="480" w:lineRule="exact"/>
        <w:ind w:right="420"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rPr>
        <w:t>6)若我方发现贵方的保密信息可能被泄露或已经被泄露时，会及时通知贵方，并采取有效措施防止保密信息进一步泄露。</w:t>
      </w:r>
    </w:p>
    <w:p>
      <w:pPr>
        <w:widowControl/>
        <w:spacing w:line="480" w:lineRule="exact"/>
        <w:ind w:right="420"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7)无论何种原因导致合同未签订或合同结束，我方均按照本协议约定对接触、知悉的保密信息承担保密义务，该保密义务直至这些保密信息由贵方公开或已实际公开时止。</w:t>
      </w:r>
    </w:p>
    <w:p>
      <w:pPr>
        <w:widowControl/>
        <w:spacing w:line="480" w:lineRule="exact"/>
        <w:ind w:right="420"/>
        <w:jc w:val="left"/>
        <w:rPr>
          <w:rFonts w:hint="eastAsia" w:ascii="仿宋_GB2312" w:hAnsi="宋体" w:eastAsia="仿宋_GB2312"/>
          <w:sz w:val="28"/>
          <w:szCs w:val="28"/>
        </w:rPr>
      </w:pPr>
    </w:p>
    <w:p>
      <w:pPr>
        <w:widowControl/>
        <w:spacing w:line="480" w:lineRule="exact"/>
        <w:ind w:right="420"/>
        <w:jc w:val="left"/>
        <w:rPr>
          <w:sz w:val="24"/>
        </w:rPr>
      </w:pPr>
      <w:r>
        <w:rPr>
          <w:rFonts w:hint="eastAsia" w:ascii="仿宋_GB2312" w:hAnsi="宋体" w:eastAsia="仿宋_GB2312"/>
          <w:sz w:val="28"/>
          <w:szCs w:val="28"/>
        </w:rPr>
        <w:t>　乙方：（公章）　                        年  月  日</w:t>
      </w:r>
    </w:p>
    <w:p>
      <w:pPr>
        <w:pStyle w:val="3"/>
        <w:numPr>
          <w:ilvl w:val="0"/>
          <w:numId w:val="5"/>
        </w:numPr>
        <w:rPr>
          <w:rFonts w:ascii="宋体" w:hAnsi="宋体" w:cs="宋体"/>
          <w:szCs w:val="28"/>
        </w:rPr>
      </w:pPr>
      <w:bookmarkStart w:id="217" w:name="_Toc15172"/>
      <w:bookmarkStart w:id="218" w:name="_Toc26692"/>
      <w:bookmarkStart w:id="219" w:name="_Toc24668"/>
      <w:bookmarkStart w:id="220" w:name="_Toc16386"/>
      <w:bookmarkStart w:id="221" w:name="_Toc471482369"/>
      <w:bookmarkStart w:id="222" w:name="_Toc23661"/>
      <w:bookmarkStart w:id="223" w:name="_Toc461525321"/>
      <w:bookmarkStart w:id="224" w:name="_Toc29471"/>
      <w:bookmarkStart w:id="225" w:name="_Toc1897"/>
      <w:bookmarkStart w:id="226" w:name="_Toc32280"/>
      <w:bookmarkStart w:id="227" w:name="_Toc27378"/>
      <w:bookmarkStart w:id="228" w:name="_Toc6779"/>
      <w:bookmarkStart w:id="229" w:name="_Toc20710"/>
      <w:r>
        <w:rPr>
          <w:rFonts w:hint="eastAsia" w:ascii="宋体" w:hAnsi="宋体" w:cs="宋体"/>
          <w:szCs w:val="28"/>
        </w:rPr>
        <w:t>比选</w:t>
      </w:r>
      <w:bookmarkEnd w:id="213"/>
      <w:bookmarkEnd w:id="214"/>
      <w:r>
        <w:rPr>
          <w:rFonts w:hint="eastAsia" w:ascii="宋体" w:hAnsi="宋体" w:cs="宋体"/>
          <w:szCs w:val="28"/>
        </w:rPr>
        <w:t>申请文件（格式）</w:t>
      </w:r>
      <w:bookmarkEnd w:id="217"/>
      <w:bookmarkEnd w:id="218"/>
      <w:bookmarkEnd w:id="219"/>
      <w:bookmarkEnd w:id="220"/>
      <w:bookmarkEnd w:id="221"/>
      <w:bookmarkEnd w:id="222"/>
      <w:bookmarkEnd w:id="223"/>
      <w:bookmarkEnd w:id="224"/>
      <w:bookmarkEnd w:id="225"/>
      <w:bookmarkEnd w:id="226"/>
      <w:bookmarkEnd w:id="227"/>
      <w:bookmarkEnd w:id="228"/>
      <w:bookmarkEnd w:id="229"/>
      <w:bookmarkStart w:id="230" w:name="_Toc114052391"/>
    </w:p>
    <w:p>
      <w:pPr>
        <w:jc w:val="center"/>
        <w:rPr>
          <w:rFonts w:ascii="宋体" w:hAnsi="宋体" w:cs="宋体"/>
          <w:szCs w:val="28"/>
        </w:rPr>
      </w:pPr>
    </w:p>
    <w:p>
      <w:pPr>
        <w:ind w:right="753"/>
        <w:jc w:val="center"/>
        <w:rPr>
          <w:rFonts w:ascii="宋体" w:hAnsi="宋体" w:cs="宋体"/>
          <w:sz w:val="28"/>
          <w:szCs w:val="28"/>
        </w:rPr>
      </w:pPr>
      <w:r>
        <w:rPr>
          <w:rFonts w:hint="eastAsia" w:ascii="宋体" w:hAnsi="宋体" w:cs="宋体"/>
          <w:sz w:val="28"/>
          <w:szCs w:val="28"/>
        </w:rPr>
        <w:t xml:space="preserve">  （封面格式）</w:t>
      </w: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center"/>
        <w:rPr>
          <w:rFonts w:ascii="宋体" w:hAnsi="宋体" w:cs="宋体"/>
          <w:sz w:val="28"/>
          <w:szCs w:val="28"/>
        </w:rPr>
      </w:pPr>
      <w:r>
        <w:rPr>
          <w:rFonts w:hint="eastAsia" w:ascii="宋体" w:hAnsi="宋体" w:cs="宋体"/>
          <w:sz w:val="28"/>
          <w:szCs w:val="28"/>
        </w:rPr>
        <w:t xml:space="preserve">  项目比选申请文件</w:t>
      </w:r>
    </w:p>
    <w:p>
      <w:pPr>
        <w:pStyle w:val="24"/>
        <w:jc w:val="center"/>
        <w:rPr>
          <w:b w:val="0"/>
          <w:bCs w:val="0"/>
          <w:sz w:val="28"/>
          <w:szCs w:val="28"/>
        </w:rPr>
      </w:pPr>
      <w:bookmarkStart w:id="231" w:name="_Toc31417"/>
      <w:bookmarkStart w:id="232" w:name="_Toc16428"/>
      <w:bookmarkStart w:id="233" w:name="_Toc461525322"/>
      <w:bookmarkStart w:id="234" w:name="_Toc22529"/>
      <w:bookmarkStart w:id="235" w:name="_Toc10669"/>
      <w:bookmarkStart w:id="236" w:name="_Toc24727"/>
      <w:bookmarkStart w:id="237" w:name="_Toc12677"/>
      <w:bookmarkStart w:id="238" w:name="_Toc18503"/>
      <w:bookmarkStart w:id="239" w:name="_Toc6045"/>
      <w:r>
        <w:rPr>
          <w:b w:val="0"/>
          <w:bCs w:val="0"/>
          <w:sz w:val="28"/>
          <w:szCs w:val="28"/>
        </w:rPr>
        <w:t>资格审查部分</w:t>
      </w:r>
      <w:bookmarkEnd w:id="231"/>
      <w:bookmarkEnd w:id="232"/>
      <w:bookmarkEnd w:id="233"/>
      <w:bookmarkEnd w:id="234"/>
      <w:bookmarkEnd w:id="235"/>
      <w:bookmarkEnd w:id="236"/>
      <w:bookmarkEnd w:id="237"/>
      <w:bookmarkEnd w:id="238"/>
      <w:bookmarkEnd w:id="239"/>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hint="eastAsia" w:ascii="宋体" w:hAnsi="宋体" w:cs="宋体"/>
          <w:sz w:val="28"/>
          <w:szCs w:val="28"/>
        </w:rPr>
      </w:pPr>
      <w:r>
        <w:rPr>
          <w:rFonts w:hint="eastAsia" w:ascii="宋体" w:hAnsi="宋体" w:cs="宋体"/>
          <w:sz w:val="28"/>
          <w:szCs w:val="28"/>
        </w:rPr>
        <w:t>比选申</w:t>
      </w:r>
      <w:bookmarkEnd w:id="230"/>
      <w:r>
        <w:rPr>
          <w:rFonts w:hint="eastAsia" w:ascii="宋体" w:hAnsi="宋体" w:cs="宋体"/>
          <w:sz w:val="28"/>
          <w:szCs w:val="28"/>
        </w:rPr>
        <w:t>请</w:t>
      </w:r>
      <w:bookmarkStart w:id="240" w:name="_Toc114052392"/>
      <w:r>
        <w:rPr>
          <w:rFonts w:hint="eastAsia" w:ascii="宋体" w:hAnsi="宋体" w:cs="宋体"/>
          <w:sz w:val="28"/>
          <w:szCs w:val="28"/>
        </w:rPr>
        <w:t>人：</w:t>
      </w:r>
      <w:bookmarkEnd w:id="240"/>
      <w:r>
        <w:rPr>
          <w:rFonts w:hint="eastAsia" w:ascii="宋体" w:hAnsi="宋体" w:cs="宋体"/>
          <w:sz w:val="28"/>
          <w:szCs w:val="28"/>
        </w:rPr>
        <w:t>（</w:t>
      </w:r>
      <w:r>
        <w:rPr>
          <w:rFonts w:hint="eastAsia" w:ascii="宋体" w:hAnsi="宋体" w:cs="宋体"/>
          <w:sz w:val="28"/>
          <w:szCs w:val="28"/>
          <w:lang w:val="en-US" w:eastAsia="zh-CN"/>
        </w:rPr>
        <w:t>加</w:t>
      </w:r>
      <w:r>
        <w:rPr>
          <w:rFonts w:hint="eastAsia" w:ascii="宋体" w:hAnsi="宋体" w:cs="宋体"/>
          <w:sz w:val="28"/>
          <w:szCs w:val="28"/>
        </w:rPr>
        <w:t>盖</w:t>
      </w:r>
      <w:r>
        <w:rPr>
          <w:rFonts w:hint="eastAsia" w:ascii="宋体" w:hAnsi="宋体" w:cs="宋体"/>
          <w:sz w:val="28"/>
          <w:szCs w:val="28"/>
          <w:lang w:val="en-US" w:eastAsia="zh-CN"/>
        </w:rPr>
        <w:t>单位公</w:t>
      </w:r>
      <w:r>
        <w:rPr>
          <w:rFonts w:hint="eastAsia" w:ascii="宋体" w:hAnsi="宋体" w:cs="宋体"/>
          <w:sz w:val="28"/>
          <w:szCs w:val="28"/>
        </w:rPr>
        <w:t>章）</w:t>
      </w:r>
    </w:p>
    <w:p>
      <w:pPr>
        <w:ind w:right="753"/>
        <w:jc w:val="left"/>
        <w:rPr>
          <w:rFonts w:ascii="宋体" w:hAnsi="宋体" w:cs="宋体"/>
          <w:sz w:val="28"/>
          <w:szCs w:val="28"/>
        </w:rPr>
      </w:pPr>
      <w:r>
        <w:rPr>
          <w:rFonts w:hint="eastAsia" w:ascii="宋体" w:hAnsi="宋体" w:cs="宋体"/>
          <w:sz w:val="28"/>
          <w:szCs w:val="28"/>
        </w:rPr>
        <w:t>法定代表人（负责人）或委托代</w:t>
      </w:r>
      <w:bookmarkStart w:id="241" w:name="_Toc333307122"/>
      <w:r>
        <w:rPr>
          <w:rFonts w:hint="eastAsia" w:ascii="宋体" w:hAnsi="宋体" w:cs="宋体"/>
          <w:sz w:val="28"/>
          <w:szCs w:val="28"/>
        </w:rPr>
        <w:t>理人</w:t>
      </w:r>
      <w:bookmarkEnd w:id="241"/>
      <w:r>
        <w:rPr>
          <w:rFonts w:hint="eastAsia" w:ascii="宋体" w:hAnsi="宋体" w:cs="宋体"/>
          <w:sz w:val="28"/>
          <w:szCs w:val="28"/>
        </w:rPr>
        <w:t>：（签字）</w:t>
      </w:r>
    </w:p>
    <w:p>
      <w:pPr>
        <w:ind w:right="753" w:firstLine="1260" w:firstLineChars="450"/>
        <w:jc w:val="left"/>
        <w:rPr>
          <w:rFonts w:ascii="宋体" w:hAnsi="宋体" w:cs="宋体"/>
          <w:sz w:val="28"/>
          <w:szCs w:val="28"/>
        </w:rPr>
      </w:pPr>
    </w:p>
    <w:p>
      <w:pPr>
        <w:ind w:right="753" w:firstLine="1260" w:firstLineChars="450"/>
        <w:jc w:val="left"/>
        <w:rPr>
          <w:rFonts w:ascii="宋体" w:hAnsi="宋体" w:cs="宋体"/>
          <w:sz w:val="28"/>
          <w:szCs w:val="28"/>
        </w:rPr>
      </w:pPr>
      <w:r>
        <w:rPr>
          <w:rFonts w:hint="eastAsia" w:ascii="宋体" w:hAnsi="宋体" w:cs="宋体"/>
          <w:sz w:val="28"/>
          <w:szCs w:val="28"/>
        </w:rPr>
        <w:t>年    月    日</w:t>
      </w:r>
    </w:p>
    <w:p>
      <w:pPr>
        <w:ind w:right="753" w:firstLine="1260" w:firstLineChars="450"/>
        <w:jc w:val="left"/>
        <w:rPr>
          <w:rFonts w:ascii="宋体" w:hAnsi="宋体" w:cs="宋体"/>
          <w:sz w:val="28"/>
          <w:szCs w:val="28"/>
        </w:rPr>
      </w:pPr>
    </w:p>
    <w:p>
      <w:pPr>
        <w:ind w:right="753" w:firstLine="1260" w:firstLineChars="450"/>
        <w:jc w:val="left"/>
        <w:rPr>
          <w:rFonts w:ascii="宋体" w:hAnsi="宋体" w:cs="宋体"/>
          <w:sz w:val="28"/>
          <w:szCs w:val="28"/>
        </w:rPr>
      </w:pPr>
    </w:p>
    <w:p>
      <w:pPr>
        <w:ind w:right="753" w:firstLine="1260" w:firstLineChars="450"/>
        <w:jc w:val="left"/>
        <w:rPr>
          <w:rFonts w:ascii="宋体" w:hAnsi="宋体" w:cs="宋体"/>
          <w:sz w:val="28"/>
          <w:szCs w:val="28"/>
        </w:rPr>
      </w:pPr>
    </w:p>
    <w:p>
      <w:pPr>
        <w:ind w:right="753" w:firstLine="1260" w:firstLineChars="450"/>
        <w:jc w:val="left"/>
        <w:rPr>
          <w:rFonts w:ascii="宋体" w:hAnsi="宋体" w:cs="宋体"/>
          <w:sz w:val="28"/>
          <w:szCs w:val="28"/>
        </w:rPr>
      </w:pPr>
    </w:p>
    <w:p>
      <w:pPr>
        <w:pStyle w:val="13"/>
      </w:pPr>
      <w:bookmarkStart w:id="242" w:name="_Toc461525323"/>
      <w:bookmarkStart w:id="243" w:name="_Toc7849"/>
    </w:p>
    <w:p>
      <w:pPr>
        <w:pStyle w:val="4"/>
        <w:jc w:val="center"/>
      </w:pPr>
      <w:bookmarkStart w:id="244" w:name="_Toc24695"/>
      <w:bookmarkStart w:id="245" w:name="_Toc16191"/>
      <w:bookmarkStart w:id="246" w:name="_Toc28967"/>
      <w:bookmarkStart w:id="247" w:name="_Toc7031"/>
      <w:bookmarkStart w:id="248" w:name="_Toc471482370"/>
      <w:bookmarkStart w:id="249" w:name="_Toc17090"/>
      <w:bookmarkStart w:id="250" w:name="_Toc29495"/>
      <w:bookmarkStart w:id="251" w:name="_Toc13042"/>
      <w:bookmarkStart w:id="252" w:name="_Toc7514"/>
      <w:r>
        <w:rPr>
          <w:rFonts w:hint="eastAsia"/>
        </w:rPr>
        <w:t>一、资格审查文件目录</w:t>
      </w:r>
      <w:bookmarkEnd w:id="242"/>
      <w:bookmarkEnd w:id="243"/>
      <w:bookmarkEnd w:id="244"/>
      <w:bookmarkEnd w:id="245"/>
      <w:bookmarkEnd w:id="246"/>
      <w:bookmarkEnd w:id="247"/>
      <w:bookmarkEnd w:id="248"/>
      <w:bookmarkEnd w:id="249"/>
      <w:bookmarkEnd w:id="250"/>
      <w:bookmarkEnd w:id="251"/>
      <w:bookmarkEnd w:id="252"/>
    </w:p>
    <w:p>
      <w:pPr>
        <w:numPr>
          <w:ilvl w:val="0"/>
          <w:numId w:val="6"/>
        </w:numPr>
        <w:tabs>
          <w:tab w:val="left" w:pos="826"/>
        </w:tabs>
        <w:spacing w:line="560" w:lineRule="exact"/>
        <w:rPr>
          <w:rFonts w:ascii="宋体" w:hAnsi="宋体"/>
          <w:kern w:val="0"/>
          <w:sz w:val="28"/>
          <w:szCs w:val="28"/>
        </w:rPr>
      </w:pPr>
      <w:r>
        <w:rPr>
          <w:rFonts w:hint="eastAsia" w:ascii="宋体" w:hAnsi="宋体"/>
          <w:kern w:val="0"/>
          <w:sz w:val="28"/>
          <w:szCs w:val="28"/>
        </w:rPr>
        <w:t>诚信声明（原件）</w:t>
      </w:r>
    </w:p>
    <w:p>
      <w:pPr>
        <w:numPr>
          <w:ilvl w:val="0"/>
          <w:numId w:val="6"/>
        </w:numPr>
        <w:tabs>
          <w:tab w:val="left" w:pos="826"/>
        </w:tabs>
        <w:spacing w:line="560" w:lineRule="exact"/>
        <w:rPr>
          <w:rFonts w:ascii="宋体" w:hAnsi="宋体"/>
          <w:sz w:val="28"/>
          <w:szCs w:val="28"/>
        </w:rPr>
      </w:pPr>
      <w:r>
        <w:rPr>
          <w:rFonts w:hint="eastAsia" w:ascii="宋体" w:hAnsi="宋体"/>
          <w:sz w:val="28"/>
          <w:szCs w:val="28"/>
        </w:rPr>
        <w:t>法定代表人</w:t>
      </w:r>
      <w:r>
        <w:rPr>
          <w:rFonts w:hint="eastAsia" w:ascii="宋体" w:hAnsi="宋体"/>
          <w:sz w:val="28"/>
          <w:szCs w:val="28"/>
          <w:lang w:eastAsia="zh-CN"/>
        </w:rPr>
        <w:t>（</w:t>
      </w:r>
      <w:r>
        <w:rPr>
          <w:rFonts w:hint="eastAsia" w:ascii="宋体" w:hAnsi="宋体"/>
          <w:sz w:val="28"/>
          <w:szCs w:val="28"/>
          <w:lang w:val="en-US" w:eastAsia="zh-CN"/>
        </w:rPr>
        <w:t>负责人</w:t>
      </w:r>
      <w:r>
        <w:rPr>
          <w:rFonts w:hint="eastAsia" w:ascii="宋体" w:hAnsi="宋体"/>
          <w:sz w:val="28"/>
          <w:szCs w:val="28"/>
          <w:lang w:eastAsia="zh-CN"/>
        </w:rPr>
        <w:t>）</w:t>
      </w:r>
      <w:r>
        <w:rPr>
          <w:rFonts w:hint="eastAsia" w:ascii="宋体" w:hAnsi="宋体"/>
          <w:sz w:val="28"/>
          <w:szCs w:val="28"/>
        </w:rPr>
        <w:t>资格证明书（原件）</w:t>
      </w:r>
    </w:p>
    <w:p>
      <w:pPr>
        <w:numPr>
          <w:ilvl w:val="0"/>
          <w:numId w:val="6"/>
        </w:numPr>
        <w:tabs>
          <w:tab w:val="left" w:pos="826"/>
        </w:tabs>
        <w:spacing w:line="560" w:lineRule="exact"/>
        <w:rPr>
          <w:rFonts w:ascii="宋体" w:hAnsi="宋体"/>
          <w:sz w:val="28"/>
          <w:szCs w:val="28"/>
        </w:rPr>
      </w:pPr>
      <w:r>
        <w:rPr>
          <w:rFonts w:hint="eastAsia" w:ascii="宋体" w:hAnsi="宋体"/>
          <w:sz w:val="28"/>
          <w:szCs w:val="28"/>
        </w:rPr>
        <w:t>法定代表人</w:t>
      </w:r>
      <w:r>
        <w:rPr>
          <w:rFonts w:hint="eastAsia" w:ascii="宋体" w:hAnsi="宋体"/>
          <w:sz w:val="28"/>
          <w:szCs w:val="28"/>
          <w:lang w:eastAsia="zh-CN"/>
        </w:rPr>
        <w:t>（</w:t>
      </w:r>
      <w:r>
        <w:rPr>
          <w:rFonts w:hint="eastAsia" w:ascii="宋体" w:hAnsi="宋体"/>
          <w:sz w:val="28"/>
          <w:szCs w:val="28"/>
          <w:lang w:val="en-US" w:eastAsia="zh-CN"/>
        </w:rPr>
        <w:t>负责人</w:t>
      </w:r>
      <w:r>
        <w:rPr>
          <w:rFonts w:hint="eastAsia" w:ascii="宋体" w:hAnsi="宋体"/>
          <w:sz w:val="28"/>
          <w:szCs w:val="28"/>
          <w:lang w:eastAsia="zh-CN"/>
        </w:rPr>
        <w:t>）</w:t>
      </w:r>
      <w:r>
        <w:rPr>
          <w:rFonts w:hint="eastAsia" w:ascii="宋体" w:hAnsi="宋体"/>
          <w:sz w:val="28"/>
          <w:szCs w:val="28"/>
        </w:rPr>
        <w:t>身份证明文件（提供复印件</w:t>
      </w:r>
      <w:r>
        <w:rPr>
          <w:rFonts w:hint="eastAsia" w:ascii="宋体" w:hAnsi="宋体"/>
          <w:kern w:val="0"/>
          <w:sz w:val="28"/>
          <w:szCs w:val="28"/>
        </w:rPr>
        <w:t>加盖单位公章</w:t>
      </w:r>
      <w:r>
        <w:rPr>
          <w:rFonts w:hint="eastAsia" w:ascii="宋体" w:hAnsi="宋体"/>
          <w:sz w:val="28"/>
          <w:szCs w:val="28"/>
        </w:rPr>
        <w:t>）</w:t>
      </w:r>
    </w:p>
    <w:p>
      <w:pPr>
        <w:numPr>
          <w:ilvl w:val="0"/>
          <w:numId w:val="6"/>
        </w:numPr>
        <w:tabs>
          <w:tab w:val="left" w:pos="826"/>
        </w:tabs>
        <w:spacing w:line="560" w:lineRule="exact"/>
        <w:rPr>
          <w:rFonts w:ascii="宋体" w:hAnsi="宋体"/>
          <w:kern w:val="0"/>
          <w:sz w:val="28"/>
          <w:szCs w:val="28"/>
        </w:rPr>
      </w:pPr>
      <w:r>
        <w:rPr>
          <w:rFonts w:hint="eastAsia" w:ascii="宋体" w:hAnsi="宋体"/>
          <w:kern w:val="0"/>
          <w:sz w:val="28"/>
          <w:szCs w:val="28"/>
        </w:rPr>
        <w:t>比选申请文件签署授权委托书（原件）</w:t>
      </w:r>
    </w:p>
    <w:p>
      <w:pPr>
        <w:numPr>
          <w:ilvl w:val="0"/>
          <w:numId w:val="6"/>
        </w:numPr>
        <w:tabs>
          <w:tab w:val="left" w:pos="826"/>
        </w:tabs>
        <w:spacing w:line="560" w:lineRule="exact"/>
        <w:rPr>
          <w:rFonts w:ascii="宋体" w:hAnsi="宋体"/>
          <w:kern w:val="0"/>
          <w:sz w:val="28"/>
          <w:szCs w:val="28"/>
        </w:rPr>
      </w:pPr>
      <w:r>
        <w:rPr>
          <w:rFonts w:hint="eastAsia" w:ascii="宋体" w:hAnsi="宋体"/>
          <w:kern w:val="0"/>
          <w:sz w:val="28"/>
          <w:szCs w:val="28"/>
        </w:rPr>
        <w:t>授权代理人身份证明文件（提供复印件加盖单位公章）</w:t>
      </w:r>
    </w:p>
    <w:p>
      <w:pPr>
        <w:numPr>
          <w:ilvl w:val="0"/>
          <w:numId w:val="6"/>
        </w:numPr>
        <w:tabs>
          <w:tab w:val="left" w:pos="826"/>
        </w:tabs>
        <w:spacing w:line="560" w:lineRule="exact"/>
        <w:rPr>
          <w:rFonts w:ascii="宋体" w:hAnsi="宋体"/>
          <w:kern w:val="0"/>
          <w:sz w:val="28"/>
          <w:szCs w:val="28"/>
        </w:rPr>
      </w:pPr>
      <w:r>
        <w:rPr>
          <w:rFonts w:hint="eastAsia" w:ascii="宋体" w:hAnsi="宋体"/>
          <w:kern w:val="0"/>
          <w:sz w:val="28"/>
          <w:szCs w:val="28"/>
        </w:rPr>
        <w:t>会计师事务所执业证书（提供复印件加盖单位公章）</w:t>
      </w:r>
    </w:p>
    <w:p>
      <w:pPr>
        <w:ind w:right="753"/>
        <w:jc w:val="left"/>
        <w:rPr>
          <w:rFonts w:ascii="宋体" w:hAnsi="宋体" w:cs="宋体"/>
          <w:sz w:val="28"/>
          <w:szCs w:val="28"/>
        </w:rPr>
      </w:pPr>
    </w:p>
    <w:p>
      <w:pPr>
        <w:ind w:right="-21" w:firstLine="560" w:firstLineChars="200"/>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spacing w:line="560" w:lineRule="exact"/>
        <w:ind w:firstLine="420" w:firstLineChars="200"/>
        <w:jc w:val="center"/>
        <w:rPr>
          <w:rFonts w:ascii="宋体" w:hAnsi="宋体"/>
          <w:b/>
          <w:bCs/>
          <w:sz w:val="28"/>
          <w:szCs w:val="28"/>
        </w:rPr>
      </w:pPr>
      <w:bookmarkStart w:id="253" w:name="_Toc1582"/>
      <w:bookmarkStart w:id="254" w:name="_Toc461525324"/>
      <w:bookmarkStart w:id="255" w:name="_Toc27423"/>
      <w:r>
        <w:br w:type="page"/>
      </w:r>
      <w:bookmarkEnd w:id="253"/>
      <w:bookmarkEnd w:id="254"/>
      <w:bookmarkEnd w:id="255"/>
      <w:bookmarkStart w:id="256" w:name="_Toc29655"/>
      <w:bookmarkStart w:id="257" w:name="_Toc30157"/>
      <w:bookmarkStart w:id="258" w:name="_Toc14714"/>
      <w:bookmarkStart w:id="259" w:name="_Toc461525329"/>
      <w:bookmarkStart w:id="260" w:name="_Toc17531"/>
      <w:bookmarkStart w:id="261" w:name="_Toc15071"/>
      <w:bookmarkStart w:id="262" w:name="_Toc18804"/>
      <w:bookmarkStart w:id="263" w:name="_Toc32325"/>
      <w:bookmarkStart w:id="264" w:name="_Toc26924"/>
      <w:bookmarkStart w:id="265" w:name="_Toc24466"/>
      <w:bookmarkStart w:id="266" w:name="_Toc15465"/>
      <w:bookmarkStart w:id="267" w:name="_Toc29347"/>
      <w:r>
        <w:rPr>
          <w:rFonts w:hint="eastAsia" w:ascii="宋体" w:hAnsi="宋体"/>
          <w:b/>
          <w:bCs/>
          <w:sz w:val="28"/>
          <w:szCs w:val="28"/>
        </w:rPr>
        <w:t>1</w:t>
      </w:r>
      <w:r>
        <w:rPr>
          <w:rFonts w:ascii="宋体" w:hAnsi="宋体"/>
          <w:b/>
          <w:bCs/>
          <w:sz w:val="28"/>
          <w:szCs w:val="28"/>
        </w:rPr>
        <w:t>、</w:t>
      </w:r>
      <w:r>
        <w:rPr>
          <w:rFonts w:hint="eastAsia" w:ascii="宋体" w:hAnsi="宋体"/>
          <w:b/>
          <w:bCs/>
          <w:sz w:val="28"/>
          <w:szCs w:val="28"/>
        </w:rPr>
        <w:t>诚信声明</w:t>
      </w:r>
    </w:p>
    <w:p>
      <w:pPr>
        <w:spacing w:line="560" w:lineRule="exact"/>
        <w:ind w:firstLine="420" w:firstLineChars="200"/>
        <w:rPr>
          <w:rFonts w:ascii="宋体" w:hAnsi="宋体"/>
        </w:rPr>
      </w:pPr>
    </w:p>
    <w:p>
      <w:pPr>
        <w:spacing w:line="360" w:lineRule="auto"/>
        <w:ind w:firstLine="470" w:firstLineChars="196"/>
        <w:rPr>
          <w:rFonts w:ascii="宋体" w:hAnsi="宋体"/>
          <w:sz w:val="24"/>
        </w:rPr>
      </w:pPr>
      <w:r>
        <w:rPr>
          <w:rFonts w:hint="eastAsia" w:ascii="宋体" w:hAnsi="宋体"/>
          <w:sz w:val="24"/>
        </w:rPr>
        <w:t>本人       （法定代表人</w:t>
      </w:r>
      <w:r>
        <w:rPr>
          <w:rFonts w:hint="eastAsia" w:ascii="宋体" w:hAnsi="宋体"/>
          <w:sz w:val="24"/>
          <w:lang w:eastAsia="zh-CN"/>
        </w:rPr>
        <w:t>（</w:t>
      </w:r>
      <w:r>
        <w:rPr>
          <w:rFonts w:hint="eastAsia" w:ascii="宋体" w:hAnsi="宋体"/>
          <w:sz w:val="24"/>
          <w:lang w:val="en-US" w:eastAsia="zh-CN"/>
        </w:rPr>
        <w:t>负责人</w:t>
      </w:r>
      <w:r>
        <w:rPr>
          <w:rFonts w:hint="eastAsia" w:ascii="宋体" w:hAnsi="宋体"/>
          <w:sz w:val="24"/>
          <w:lang w:eastAsia="zh-CN"/>
        </w:rPr>
        <w:t>）</w:t>
      </w:r>
      <w:r>
        <w:rPr>
          <w:rFonts w:hint="eastAsia" w:ascii="宋体" w:hAnsi="宋体"/>
          <w:sz w:val="24"/>
        </w:rPr>
        <w:t>、身份证号码              ）郑重声明：</w:t>
      </w:r>
    </w:p>
    <w:p>
      <w:pPr>
        <w:spacing w:line="360" w:lineRule="auto"/>
        <w:ind w:firstLine="470" w:firstLineChars="196"/>
        <w:rPr>
          <w:rFonts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ab/>
      </w:r>
      <w:r>
        <w:rPr>
          <w:rFonts w:hint="eastAsia" w:ascii="宋体" w:hAnsi="宋体"/>
          <w:sz w:val="24"/>
        </w:rPr>
        <w:t>本企业参加</w:t>
      </w:r>
      <w:r>
        <w:rPr>
          <w:rFonts w:hint="eastAsia" w:ascii="宋体" w:hAnsi="宋体"/>
          <w:sz w:val="24"/>
          <w:u w:val="single"/>
        </w:rPr>
        <w:t xml:space="preserve">                   </w:t>
      </w:r>
      <w:r>
        <w:rPr>
          <w:rFonts w:hint="eastAsia" w:ascii="宋体" w:hAnsi="宋体"/>
          <w:b/>
          <w:sz w:val="24"/>
          <w:u w:val="single"/>
        </w:rPr>
        <w:t>审计</w:t>
      </w:r>
      <w:r>
        <w:rPr>
          <w:rFonts w:hint="eastAsia" w:ascii="宋体" w:hAnsi="宋体"/>
          <w:sz w:val="24"/>
        </w:rPr>
        <w:t>项目比选活动所提交的所有资料、填写数据及所包含的附件资料内容是真实的、合法的、有效的；</w:t>
      </w:r>
    </w:p>
    <w:p>
      <w:pPr>
        <w:spacing w:line="360" w:lineRule="auto"/>
        <w:ind w:firstLine="470" w:firstLineChars="196"/>
        <w:rPr>
          <w:rFonts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ab/>
      </w:r>
      <w:r>
        <w:rPr>
          <w:rFonts w:hint="eastAsia" w:ascii="宋体" w:hAnsi="宋体"/>
          <w:sz w:val="24"/>
        </w:rPr>
        <w:t>本企业未被国家、广西壮族自治区、南宁市相关行政主管部门通报停止投标活动，无犯罪行贿记录；</w:t>
      </w:r>
    </w:p>
    <w:p>
      <w:pPr>
        <w:spacing w:line="360" w:lineRule="auto"/>
        <w:ind w:firstLine="470" w:firstLineChars="196"/>
        <w:rPr>
          <w:rFonts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ab/>
      </w:r>
      <w:r>
        <w:rPr>
          <w:rFonts w:hint="eastAsia" w:ascii="宋体" w:hAnsi="宋体"/>
          <w:sz w:val="24"/>
        </w:rPr>
        <w:t>同时，我方在此所作的声明也是真实有效的，并愿意对在比选过程中有关部门的调查结果承担责任；</w:t>
      </w:r>
    </w:p>
    <w:p>
      <w:pPr>
        <w:spacing w:line="360" w:lineRule="auto"/>
        <w:ind w:firstLine="470" w:firstLineChars="196"/>
        <w:rPr>
          <w:rFonts w:ascii="宋体" w:hAnsi="宋体"/>
          <w:sz w:val="24"/>
        </w:rPr>
      </w:pPr>
      <w:r>
        <w:rPr>
          <w:rFonts w:hint="eastAsia" w:ascii="宋体" w:hAnsi="宋体"/>
          <w:sz w:val="24"/>
        </w:rPr>
        <w:t>4</w:t>
      </w:r>
      <w:r>
        <w:rPr>
          <w:rFonts w:hint="eastAsia" w:ascii="宋体" w:hAnsi="宋体"/>
          <w:sz w:val="24"/>
          <w:lang w:val="en-US" w:eastAsia="zh-CN"/>
        </w:rPr>
        <w:t>.</w:t>
      </w:r>
      <w:r>
        <w:rPr>
          <w:rFonts w:hint="eastAsia" w:ascii="宋体" w:hAnsi="宋体"/>
          <w:sz w:val="24"/>
        </w:rPr>
        <w:tab/>
      </w:r>
      <w:r>
        <w:rPr>
          <w:rFonts w:hint="eastAsia" w:ascii="宋体" w:hAnsi="宋体"/>
          <w:sz w:val="24"/>
        </w:rPr>
        <w:t>本企业提交的所有比选申请资料如有不实，愿接受相关部门依据有关法律法规给予的处罚。</w:t>
      </w:r>
    </w:p>
    <w:p>
      <w:pPr>
        <w:spacing w:line="360" w:lineRule="auto"/>
        <w:ind w:firstLine="470" w:firstLineChars="196"/>
        <w:rPr>
          <w:rFonts w:ascii="宋体" w:hAnsi="宋体"/>
          <w:sz w:val="24"/>
        </w:rPr>
      </w:pPr>
      <w:r>
        <w:rPr>
          <w:rFonts w:hint="eastAsia" w:ascii="宋体" w:hAnsi="宋体"/>
          <w:sz w:val="24"/>
        </w:rPr>
        <w:t>5</w:t>
      </w:r>
      <w:r>
        <w:rPr>
          <w:rFonts w:hint="eastAsia" w:ascii="宋体" w:hAnsi="宋体"/>
          <w:sz w:val="24"/>
          <w:lang w:val="en-US" w:eastAsia="zh-CN"/>
        </w:rPr>
        <w:t>.</w:t>
      </w:r>
      <w:r>
        <w:rPr>
          <w:rFonts w:hint="eastAsia" w:ascii="宋体" w:hAnsi="宋体"/>
          <w:sz w:val="24"/>
        </w:rPr>
        <w:t>本企业提供的服务不存在知识产权或专利纠纷，保证甲方能正常使用本企业所提供的服务。</w:t>
      </w:r>
    </w:p>
    <w:p>
      <w:pPr>
        <w:spacing w:line="360" w:lineRule="auto"/>
        <w:ind w:firstLine="470" w:firstLineChars="196"/>
        <w:rPr>
          <w:rFonts w:ascii="宋体" w:hAnsi="宋体"/>
          <w:i w:val="0"/>
          <w:iCs/>
          <w:sz w:val="24"/>
        </w:rPr>
      </w:pPr>
      <w:r>
        <w:rPr>
          <w:rFonts w:ascii="宋体" w:hAnsi="宋体"/>
          <w:i w:val="0"/>
          <w:iCs/>
          <w:sz w:val="24"/>
        </w:rPr>
        <w:t>6</w:t>
      </w:r>
      <w:r>
        <w:rPr>
          <w:rFonts w:hint="eastAsia" w:ascii="宋体" w:hAnsi="宋体"/>
          <w:i w:val="0"/>
          <w:iCs/>
          <w:sz w:val="24"/>
          <w:lang w:val="en-US" w:eastAsia="zh-CN"/>
        </w:rPr>
        <w:t>.</w:t>
      </w:r>
      <w:r>
        <w:rPr>
          <w:rFonts w:hint="eastAsia" w:ascii="宋体" w:hAnsi="宋体"/>
          <w:i w:val="0"/>
          <w:iCs/>
          <w:sz w:val="24"/>
        </w:rPr>
        <w:t>其他……</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0" w:firstLineChars="0"/>
        <w:rPr>
          <w:rFonts w:ascii="宋体" w:hAnsi="宋体" w:cs="宋体"/>
          <w:sz w:val="28"/>
          <w:szCs w:val="28"/>
        </w:rPr>
      </w:pPr>
      <w:r>
        <w:rPr>
          <w:rFonts w:hint="eastAsia" w:ascii="宋体" w:hAnsi="宋体" w:cs="宋体"/>
          <w:sz w:val="28"/>
          <w:szCs w:val="28"/>
        </w:rPr>
        <w:t>比选申请人</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加盖单位</w:t>
      </w:r>
      <w:r>
        <w:rPr>
          <w:rFonts w:hint="eastAsia" w:ascii="宋体" w:hAnsi="宋体" w:cs="宋体"/>
          <w:sz w:val="28"/>
          <w:szCs w:val="28"/>
        </w:rPr>
        <w:t>公章）</w:t>
      </w:r>
    </w:p>
    <w:p>
      <w:pPr>
        <w:spacing w:line="360" w:lineRule="auto"/>
        <w:ind w:firstLine="470" w:firstLineChars="196"/>
        <w:rPr>
          <w:rFonts w:ascii="宋体" w:hAnsi="宋体"/>
          <w:sz w:val="24"/>
        </w:rPr>
      </w:pPr>
    </w:p>
    <w:p>
      <w:pPr>
        <w:spacing w:line="360" w:lineRule="auto"/>
        <w:rPr>
          <w:rFonts w:ascii="宋体" w:hAnsi="宋体"/>
          <w:sz w:val="24"/>
        </w:rPr>
      </w:pPr>
      <w:r>
        <w:rPr>
          <w:rFonts w:hint="eastAsia" w:ascii="宋体" w:hAnsi="宋体" w:cs="宋体"/>
          <w:sz w:val="28"/>
          <w:szCs w:val="28"/>
        </w:rPr>
        <w:t>法定代表人（负责人）或委托代理人</w:t>
      </w:r>
      <w:r>
        <w:rPr>
          <w:rFonts w:hint="eastAsia" w:ascii="宋体" w:hAnsi="宋体"/>
          <w:sz w:val="24"/>
        </w:rPr>
        <w:t>：</w:t>
      </w:r>
      <w:r>
        <w:rPr>
          <w:rFonts w:hint="eastAsia" w:ascii="宋体" w:hAnsi="宋体"/>
          <w:sz w:val="28"/>
          <w:szCs w:val="28"/>
        </w:rPr>
        <w:t>（签字）</w:t>
      </w:r>
    </w:p>
    <w:p>
      <w:pPr>
        <w:spacing w:line="360" w:lineRule="auto"/>
        <w:ind w:firstLine="470" w:firstLineChars="196"/>
        <w:rPr>
          <w:rFonts w:ascii="宋体" w:hAnsi="宋体"/>
          <w:sz w:val="24"/>
        </w:rPr>
      </w:pPr>
    </w:p>
    <w:p>
      <w:pPr>
        <w:spacing w:line="360" w:lineRule="auto"/>
        <w:ind w:firstLine="470" w:firstLineChars="196"/>
        <w:rPr>
          <w:sz w:val="24"/>
        </w:rPr>
      </w:pPr>
      <w:r>
        <w:rPr>
          <w:rFonts w:hint="eastAsia" w:ascii="宋体" w:hAnsi="宋体"/>
          <w:sz w:val="24"/>
        </w:rPr>
        <w:t>日期：　　年   月    日</w:t>
      </w: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bookmarkEnd w:id="256"/>
    <w:bookmarkEnd w:id="257"/>
    <w:bookmarkEnd w:id="258"/>
    <w:bookmarkEnd w:id="259"/>
    <w:bookmarkEnd w:id="260"/>
    <w:bookmarkEnd w:id="261"/>
    <w:bookmarkEnd w:id="262"/>
    <w:bookmarkEnd w:id="263"/>
    <w:bookmarkEnd w:id="264"/>
    <w:bookmarkEnd w:id="265"/>
    <w:bookmarkEnd w:id="266"/>
    <w:bookmarkEnd w:id="267"/>
    <w:p>
      <w:pPr>
        <w:jc w:val="center"/>
        <w:rPr>
          <w:rFonts w:ascii="宋体" w:hAnsi="宋体"/>
          <w:b/>
          <w:kern w:val="0"/>
          <w:sz w:val="30"/>
          <w:szCs w:val="30"/>
        </w:rPr>
      </w:pPr>
      <w:bookmarkStart w:id="268" w:name="_Toc28436"/>
      <w:bookmarkStart w:id="269" w:name="_Toc16756"/>
      <w:bookmarkStart w:id="270" w:name="_Toc750"/>
      <w:bookmarkStart w:id="271" w:name="_Toc19937"/>
      <w:bookmarkStart w:id="272" w:name="_Toc25670"/>
      <w:bookmarkStart w:id="273" w:name="_Toc6606"/>
      <w:bookmarkStart w:id="274" w:name="_Toc32075"/>
      <w:bookmarkStart w:id="275" w:name="_Toc7760"/>
      <w:bookmarkStart w:id="276" w:name="_Toc3498"/>
      <w:r>
        <w:rPr>
          <w:rFonts w:hint="eastAsia" w:ascii="宋体" w:hAnsi="宋体"/>
          <w:b/>
          <w:kern w:val="0"/>
          <w:sz w:val="30"/>
          <w:szCs w:val="30"/>
        </w:rPr>
        <w:t>2、法定代表人</w:t>
      </w:r>
      <w:r>
        <w:rPr>
          <w:rFonts w:hint="eastAsia" w:ascii="宋体" w:hAnsi="宋体"/>
          <w:b/>
          <w:kern w:val="0"/>
          <w:sz w:val="30"/>
          <w:szCs w:val="30"/>
          <w:lang w:eastAsia="zh-CN"/>
        </w:rPr>
        <w:t>（</w:t>
      </w:r>
      <w:r>
        <w:rPr>
          <w:rFonts w:hint="eastAsia" w:ascii="宋体" w:hAnsi="宋体"/>
          <w:b/>
          <w:kern w:val="0"/>
          <w:sz w:val="30"/>
          <w:szCs w:val="30"/>
          <w:lang w:val="en-US" w:eastAsia="zh-CN"/>
        </w:rPr>
        <w:t>负责人</w:t>
      </w:r>
      <w:r>
        <w:rPr>
          <w:rFonts w:hint="eastAsia" w:ascii="宋体" w:hAnsi="宋体"/>
          <w:b/>
          <w:kern w:val="0"/>
          <w:sz w:val="30"/>
          <w:szCs w:val="30"/>
          <w:lang w:eastAsia="zh-CN"/>
        </w:rPr>
        <w:t>）</w:t>
      </w:r>
      <w:r>
        <w:rPr>
          <w:rFonts w:hint="eastAsia" w:ascii="宋体" w:hAnsi="宋体"/>
          <w:b/>
          <w:kern w:val="0"/>
          <w:sz w:val="30"/>
          <w:szCs w:val="30"/>
        </w:rPr>
        <w:t>资格证明书</w:t>
      </w:r>
    </w:p>
    <w:p>
      <w:pPr>
        <w:rPr>
          <w:rFonts w:ascii="宋体" w:hAnsi="宋体"/>
          <w:b/>
          <w:sz w:val="36"/>
        </w:rPr>
      </w:pPr>
    </w:p>
    <w:p>
      <w:pPr>
        <w:rPr>
          <w:rFonts w:ascii="宋体" w:hAnsi="宋体"/>
          <w:b/>
        </w:rPr>
      </w:pPr>
    </w:p>
    <w:p>
      <w:pPr>
        <w:spacing w:line="360" w:lineRule="auto"/>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2"/>
        <w:rPr>
          <w:rFonts w:ascii="宋体" w:hAnsi="宋体"/>
          <w:sz w:val="24"/>
        </w:rPr>
      </w:pPr>
    </w:p>
    <w:p>
      <w:pPr>
        <w:spacing w:line="360" w:lineRule="auto"/>
        <w:ind w:firstLine="610"/>
        <w:rPr>
          <w:rFonts w:ascii="宋体" w:hAnsi="宋体"/>
          <w:sz w:val="24"/>
          <w:u w:val="single"/>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成立时间： 年 月 日</w:t>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姓    名：  性别： 年龄： 职务：</w:t>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系</w:t>
      </w:r>
      <w:r>
        <w:rPr>
          <w:rFonts w:hint="eastAsia" w:ascii="宋体" w:hAnsi="宋体"/>
          <w:sz w:val="24"/>
          <w:u w:val="single"/>
        </w:rPr>
        <w:t xml:space="preserve">          （比选申请人单位名称）         </w:t>
      </w:r>
      <w:r>
        <w:rPr>
          <w:rFonts w:hint="eastAsia" w:ascii="宋体" w:hAnsi="宋体"/>
          <w:sz w:val="24"/>
        </w:rPr>
        <w:t>的法定代表人</w:t>
      </w:r>
      <w:r>
        <w:rPr>
          <w:rFonts w:hint="eastAsia" w:ascii="宋体" w:hAnsi="宋体"/>
          <w:sz w:val="24"/>
          <w:lang w:eastAsia="zh-CN"/>
        </w:rPr>
        <w:t>（</w:t>
      </w:r>
      <w:r>
        <w:rPr>
          <w:rFonts w:hint="eastAsia" w:ascii="宋体" w:hAnsi="宋体"/>
          <w:sz w:val="24"/>
          <w:lang w:val="en-US" w:eastAsia="zh-CN"/>
        </w:rPr>
        <w:t>负责人</w:t>
      </w:r>
      <w:r>
        <w:rPr>
          <w:rFonts w:hint="eastAsia" w:ascii="宋体" w:hAnsi="宋体"/>
          <w:sz w:val="24"/>
          <w:lang w:eastAsia="zh-CN"/>
        </w:rPr>
        <w:t>）</w:t>
      </w:r>
      <w:r>
        <w:rPr>
          <w:rFonts w:hint="eastAsia" w:ascii="宋体" w:hAnsi="宋体"/>
          <w:sz w:val="24"/>
        </w:rPr>
        <w:t>。</w:t>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特此证明。</w:t>
      </w:r>
    </w:p>
    <w:p>
      <w:pPr>
        <w:tabs>
          <w:tab w:val="left" w:pos="720"/>
          <w:tab w:val="left" w:pos="900"/>
        </w:tabs>
        <w:spacing w:line="360" w:lineRule="auto"/>
        <w:rPr>
          <w:rFonts w:ascii="宋体" w:hAnsi="宋体"/>
          <w:sz w:val="24"/>
        </w:rPr>
      </w:pPr>
    </w:p>
    <w:p>
      <w:pPr>
        <w:tabs>
          <w:tab w:val="left" w:pos="720"/>
          <w:tab w:val="left" w:pos="900"/>
        </w:tabs>
        <w:spacing w:line="360" w:lineRule="auto"/>
        <w:jc w:val="center"/>
        <w:rPr>
          <w:rFonts w:ascii="宋体" w:hAnsi="宋体"/>
          <w:sz w:val="24"/>
        </w:rPr>
      </w:pPr>
      <w:r>
        <w:rPr>
          <w:rFonts w:hint="eastAsia" w:ascii="宋体" w:hAnsi="宋体"/>
          <w:sz w:val="24"/>
        </w:rPr>
        <w:t xml:space="preserve">                           比选申请人：</w:t>
      </w:r>
      <w:r>
        <w:rPr>
          <w:rFonts w:hint="eastAsia" w:ascii="宋体" w:hAnsi="宋体"/>
          <w:sz w:val="24"/>
          <w:u w:val="single"/>
        </w:rPr>
        <w:t xml:space="preserve">     （</w:t>
      </w:r>
      <w:r>
        <w:rPr>
          <w:rFonts w:hint="eastAsia" w:ascii="宋体" w:hAnsi="宋体"/>
          <w:sz w:val="24"/>
          <w:u w:val="single"/>
          <w:lang w:val="en-US" w:eastAsia="zh-CN"/>
        </w:rPr>
        <w:t>加</w:t>
      </w:r>
      <w:r>
        <w:rPr>
          <w:rFonts w:hint="eastAsia" w:ascii="宋体" w:hAnsi="宋体"/>
          <w:sz w:val="24"/>
          <w:u w:val="single"/>
        </w:rPr>
        <w:t>盖</w:t>
      </w:r>
      <w:r>
        <w:rPr>
          <w:rFonts w:hint="eastAsia" w:ascii="宋体" w:hAnsi="宋体"/>
          <w:sz w:val="24"/>
          <w:u w:val="single"/>
          <w:lang w:val="en-US" w:eastAsia="zh-CN"/>
        </w:rPr>
        <w:t>单位</w:t>
      </w:r>
      <w:r>
        <w:rPr>
          <w:rFonts w:hint="eastAsia" w:ascii="宋体" w:hAnsi="宋体"/>
          <w:sz w:val="24"/>
          <w:u w:val="single"/>
        </w:rPr>
        <w:t xml:space="preserve">公章）    </w:t>
      </w:r>
    </w:p>
    <w:p>
      <w:pPr>
        <w:spacing w:line="360" w:lineRule="auto"/>
        <w:jc w:val="center"/>
        <w:rPr>
          <w:rFonts w:ascii="宋体" w:hAnsi="宋体"/>
          <w:sz w:val="24"/>
        </w:rPr>
      </w:pPr>
      <w:r>
        <w:rPr>
          <w:rFonts w:hint="eastAsia" w:ascii="宋体" w:hAnsi="宋体"/>
          <w:sz w:val="24"/>
        </w:rPr>
        <w:t xml:space="preserve">                                  日  期： 年  月   日</w:t>
      </w:r>
    </w:p>
    <w:p>
      <w:pPr>
        <w:jc w:val="both"/>
      </w:pPr>
      <w:r>
        <w:rPr>
          <w:rFonts w:ascii="楷体_GB2312" w:eastAsia="楷体_GB2312"/>
          <w:b/>
          <w:sz w:val="24"/>
        </w:rPr>
        <w:br w:type="page"/>
      </w:r>
      <w:bookmarkEnd w:id="268"/>
      <w:bookmarkEnd w:id="269"/>
      <w:bookmarkEnd w:id="270"/>
      <w:bookmarkEnd w:id="271"/>
      <w:bookmarkEnd w:id="272"/>
      <w:bookmarkEnd w:id="273"/>
      <w:bookmarkEnd w:id="274"/>
      <w:bookmarkEnd w:id="275"/>
      <w:bookmarkEnd w:id="276"/>
      <w:r>
        <w:rPr>
          <w:rFonts w:hint="eastAsia" w:ascii="宋体" w:hAnsi="宋体"/>
          <w:b/>
          <w:kern w:val="0"/>
          <w:sz w:val="30"/>
          <w:szCs w:val="30"/>
        </w:rPr>
        <w:t>3、法定代表人</w:t>
      </w:r>
      <w:r>
        <w:rPr>
          <w:rFonts w:hint="eastAsia" w:ascii="宋体" w:hAnsi="宋体"/>
          <w:b/>
          <w:kern w:val="0"/>
          <w:sz w:val="30"/>
          <w:szCs w:val="30"/>
          <w:lang w:eastAsia="zh-CN"/>
        </w:rPr>
        <w:t>（</w:t>
      </w:r>
      <w:r>
        <w:rPr>
          <w:rFonts w:hint="eastAsia" w:ascii="宋体" w:hAnsi="宋体"/>
          <w:b/>
          <w:kern w:val="0"/>
          <w:sz w:val="30"/>
          <w:szCs w:val="30"/>
          <w:lang w:val="en-US" w:eastAsia="zh-CN"/>
        </w:rPr>
        <w:t>负责人</w:t>
      </w:r>
      <w:r>
        <w:rPr>
          <w:rFonts w:hint="eastAsia" w:ascii="宋体" w:hAnsi="宋体"/>
          <w:b/>
          <w:kern w:val="0"/>
          <w:sz w:val="30"/>
          <w:szCs w:val="30"/>
          <w:lang w:eastAsia="zh-CN"/>
        </w:rPr>
        <w:t>）</w:t>
      </w:r>
      <w:r>
        <w:rPr>
          <w:rFonts w:hint="eastAsia" w:ascii="宋体" w:hAnsi="宋体"/>
          <w:b/>
          <w:kern w:val="0"/>
          <w:sz w:val="30"/>
          <w:szCs w:val="30"/>
        </w:rPr>
        <w:t>身份证明文件（提供复印件加盖单位公章）</w:t>
      </w:r>
    </w:p>
    <w:p/>
    <w:p/>
    <w:p/>
    <w:p/>
    <w:p/>
    <w:p/>
    <w:p/>
    <w:p/>
    <w:p/>
    <w:p/>
    <w:p/>
    <w:p/>
    <w:p/>
    <w:p/>
    <w:p/>
    <w:p/>
    <w:p/>
    <w:p/>
    <w:p/>
    <w:p/>
    <w:p/>
    <w:p/>
    <w:p/>
    <w:p/>
    <w:p/>
    <w:p/>
    <w:p/>
    <w:p/>
    <w:p/>
    <w:p/>
    <w:p/>
    <w:p/>
    <w:p/>
    <w:p/>
    <w:p/>
    <w:p/>
    <w:p/>
    <w:p/>
    <w:p/>
    <w:p/>
    <w:p/>
    <w:p/>
    <w:p>
      <w:pPr>
        <w:autoSpaceDE w:val="0"/>
        <w:autoSpaceDN w:val="0"/>
        <w:adjustRightInd w:val="0"/>
        <w:spacing w:line="480" w:lineRule="auto"/>
        <w:jc w:val="center"/>
        <w:rPr>
          <w:rFonts w:ascii="宋体" w:hAnsi="宋体"/>
          <w:b/>
          <w:kern w:val="0"/>
          <w:sz w:val="30"/>
          <w:szCs w:val="30"/>
        </w:rPr>
      </w:pPr>
      <w:r>
        <w:rPr>
          <w:rFonts w:hint="eastAsia" w:ascii="宋体" w:hAnsi="宋体"/>
          <w:b/>
          <w:kern w:val="0"/>
          <w:sz w:val="30"/>
          <w:szCs w:val="30"/>
        </w:rPr>
        <w:t>4、授权委托书</w:t>
      </w:r>
    </w:p>
    <w:p>
      <w:pPr>
        <w:spacing w:line="480" w:lineRule="auto"/>
        <w:jc w:val="center"/>
        <w:rPr>
          <w:rFonts w:ascii="楷体_GB2312" w:eastAsia="楷体_GB2312"/>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本授权委托书声明：我</w:t>
      </w:r>
      <w:r>
        <w:rPr>
          <w:rFonts w:hint="eastAsia" w:ascii="宋体" w:hAnsi="宋体"/>
          <w:kern w:val="0"/>
          <w:sz w:val="24"/>
          <w:u w:val="single"/>
        </w:rPr>
        <w:t xml:space="preserve">   （姓名）    </w:t>
      </w:r>
      <w:r>
        <w:rPr>
          <w:rFonts w:hint="eastAsia" w:ascii="宋体" w:hAnsi="宋体"/>
          <w:kern w:val="0"/>
          <w:sz w:val="24"/>
        </w:rPr>
        <w:t>系</w:t>
      </w:r>
      <w:r>
        <w:rPr>
          <w:rFonts w:hint="eastAsia" w:ascii="宋体" w:hAnsi="宋体"/>
          <w:kern w:val="0"/>
          <w:sz w:val="24"/>
          <w:u w:val="single"/>
        </w:rPr>
        <w:t>（比选申请人名称）</w:t>
      </w:r>
      <w:r>
        <w:rPr>
          <w:rFonts w:hint="eastAsia" w:ascii="宋体" w:hAnsi="宋体"/>
          <w:kern w:val="0"/>
          <w:sz w:val="24"/>
        </w:rPr>
        <w:t>的法定代表人</w:t>
      </w:r>
      <w:r>
        <w:rPr>
          <w:rFonts w:hint="eastAsia" w:ascii="宋体" w:hAnsi="宋体"/>
          <w:kern w:val="0"/>
          <w:sz w:val="24"/>
          <w:lang w:eastAsia="zh-CN"/>
        </w:rPr>
        <w:t>（</w:t>
      </w:r>
      <w:r>
        <w:rPr>
          <w:rFonts w:hint="eastAsia" w:ascii="宋体" w:hAnsi="宋体"/>
          <w:kern w:val="0"/>
          <w:sz w:val="24"/>
          <w:lang w:val="en-US" w:eastAsia="zh-CN"/>
        </w:rPr>
        <w:t>负责人</w:t>
      </w:r>
      <w:r>
        <w:rPr>
          <w:rFonts w:hint="eastAsia" w:ascii="宋体" w:hAnsi="宋体"/>
          <w:kern w:val="0"/>
          <w:sz w:val="24"/>
          <w:lang w:eastAsia="zh-CN"/>
        </w:rPr>
        <w:t>）</w:t>
      </w:r>
      <w:r>
        <w:rPr>
          <w:rFonts w:hint="eastAsia" w:ascii="宋体" w:hAnsi="宋体"/>
          <w:kern w:val="0"/>
          <w:sz w:val="24"/>
        </w:rPr>
        <w:t>，现授权委托</w:t>
      </w:r>
      <w:r>
        <w:rPr>
          <w:rFonts w:ascii="宋体" w:hAnsi="宋体"/>
          <w:kern w:val="0"/>
          <w:sz w:val="24"/>
          <w:u w:val="single"/>
        </w:rPr>
        <w:t>(</w:t>
      </w:r>
      <w:r>
        <w:rPr>
          <w:rFonts w:hint="eastAsia" w:ascii="宋体" w:hAnsi="宋体"/>
          <w:kern w:val="0"/>
          <w:sz w:val="24"/>
          <w:u w:val="single"/>
        </w:rPr>
        <w:t xml:space="preserve">比选申请人名称)        </w:t>
      </w:r>
      <w:r>
        <w:rPr>
          <w:rFonts w:hint="eastAsia" w:ascii="宋体" w:hAnsi="宋体"/>
          <w:kern w:val="0"/>
          <w:sz w:val="24"/>
        </w:rPr>
        <w:t>的</w:t>
      </w:r>
      <w:r>
        <w:rPr>
          <w:rFonts w:hint="eastAsia" w:ascii="宋体" w:hAnsi="宋体"/>
          <w:kern w:val="0"/>
          <w:sz w:val="24"/>
          <w:u w:val="single"/>
        </w:rPr>
        <w:t xml:space="preserve">   （姓名）  </w:t>
      </w:r>
      <w:r>
        <w:rPr>
          <w:rFonts w:hint="eastAsia" w:ascii="宋体" w:hAnsi="宋体"/>
          <w:kern w:val="0"/>
          <w:sz w:val="24"/>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代理人无转委托权。特此委托。</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代理人：    性别：     年龄：</w:t>
      </w: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单位：      部门：     职务：</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比选申请人：（ 加盖单位公章）</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法定代表人（负责人）：（签字）</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日期：   年   月   日</w:t>
      </w:r>
    </w:p>
    <w:p>
      <w:pPr>
        <w:autoSpaceDE w:val="0"/>
        <w:autoSpaceDN w:val="0"/>
        <w:adjustRightInd w:val="0"/>
        <w:spacing w:line="480" w:lineRule="auto"/>
        <w:jc w:val="center"/>
        <w:rPr>
          <w:rStyle w:val="36"/>
        </w:rPr>
      </w:pPr>
      <w:r>
        <w:rPr>
          <w:rFonts w:ascii="宋体" w:hAnsi="宋体"/>
          <w:kern w:val="0"/>
          <w:sz w:val="24"/>
        </w:rPr>
        <w:br w:type="page"/>
      </w:r>
      <w:bookmarkStart w:id="277" w:name="_Toc11434"/>
      <w:bookmarkStart w:id="278" w:name="_Toc18479"/>
      <w:bookmarkStart w:id="279" w:name="_Toc29504"/>
      <w:bookmarkStart w:id="280" w:name="_Toc26749"/>
      <w:bookmarkStart w:id="281" w:name="_Toc880"/>
      <w:bookmarkStart w:id="282" w:name="_Toc2475"/>
      <w:bookmarkStart w:id="283" w:name="_Toc30136"/>
      <w:bookmarkStart w:id="284" w:name="_Toc1509"/>
      <w:r>
        <w:rPr>
          <w:rFonts w:hint="eastAsia" w:ascii="宋体" w:hAnsi="宋体"/>
          <w:b/>
          <w:kern w:val="0"/>
          <w:sz w:val="30"/>
          <w:szCs w:val="30"/>
        </w:rPr>
        <w:t>5、授权代理人身份证明文件（提供复印件加盖单位公章）</w:t>
      </w:r>
    </w:p>
    <w:bookmarkEnd w:id="277"/>
    <w:bookmarkEnd w:id="278"/>
    <w:bookmarkEnd w:id="279"/>
    <w:bookmarkEnd w:id="280"/>
    <w:bookmarkEnd w:id="281"/>
    <w:bookmarkEnd w:id="282"/>
    <w:bookmarkEnd w:id="283"/>
    <w:bookmarkEnd w:id="284"/>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autoSpaceDE w:val="0"/>
        <w:autoSpaceDN w:val="0"/>
        <w:adjustRightInd w:val="0"/>
        <w:spacing w:line="480" w:lineRule="auto"/>
        <w:jc w:val="center"/>
        <w:rPr>
          <w:rFonts w:ascii="宋体" w:hAnsi="宋体"/>
          <w:b/>
          <w:kern w:val="0"/>
          <w:sz w:val="30"/>
          <w:szCs w:val="30"/>
        </w:rPr>
      </w:pPr>
      <w:r>
        <w:rPr>
          <w:rFonts w:hint="eastAsia" w:ascii="宋体" w:hAnsi="宋体"/>
          <w:b/>
          <w:kern w:val="0"/>
          <w:sz w:val="30"/>
          <w:szCs w:val="30"/>
        </w:rPr>
        <w:t>6、会计师事务所执业证书复印件（加盖单位公章）</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autoSpaceDE w:val="0"/>
        <w:autoSpaceDN w:val="0"/>
        <w:adjustRightInd w:val="0"/>
        <w:spacing w:line="480" w:lineRule="auto"/>
        <w:jc w:val="center"/>
        <w:rPr>
          <w:rFonts w:ascii="宋体" w:hAnsi="宋体"/>
          <w:b/>
          <w:kern w:val="0"/>
          <w:sz w:val="30"/>
          <w:szCs w:val="30"/>
        </w:rPr>
      </w:pPr>
      <w:r>
        <w:rPr>
          <w:rFonts w:hint="eastAsia" w:ascii="宋体" w:hAnsi="宋体"/>
          <w:b/>
          <w:kern w:val="0"/>
          <w:sz w:val="30"/>
          <w:szCs w:val="30"/>
        </w:rPr>
        <w:t>7</w:t>
      </w:r>
      <w:r>
        <w:rPr>
          <w:rFonts w:ascii="宋体" w:hAnsi="宋体"/>
          <w:b/>
          <w:kern w:val="0"/>
          <w:sz w:val="30"/>
          <w:szCs w:val="30"/>
        </w:rPr>
        <w:t>、其他……</w:t>
      </w:r>
    </w:p>
    <w:p>
      <w:pPr>
        <w:widowControl/>
        <w:jc w:val="left"/>
        <w:rPr>
          <w:rFonts w:ascii="宋体" w:hAnsi="宋体"/>
          <w:i/>
          <w:kern w:val="0"/>
          <w:sz w:val="28"/>
          <w:szCs w:val="28"/>
        </w:rPr>
      </w:pPr>
      <w:r>
        <w:rPr>
          <w:rFonts w:ascii="宋体" w:hAnsi="宋体"/>
          <w:i/>
          <w:kern w:val="0"/>
          <w:sz w:val="28"/>
          <w:szCs w:val="28"/>
        </w:rPr>
        <w:br w:type="page"/>
      </w:r>
    </w:p>
    <w:p>
      <w:pPr>
        <w:ind w:right="753"/>
        <w:jc w:val="left"/>
        <w:rPr>
          <w:rFonts w:ascii="宋体" w:hAnsi="宋体" w:cs="宋体"/>
          <w:sz w:val="28"/>
          <w:szCs w:val="28"/>
        </w:rPr>
      </w:pPr>
      <w:r>
        <w:rPr>
          <w:rFonts w:hint="eastAsia" w:ascii="宋体" w:hAnsi="宋体" w:cs="宋体"/>
          <w:sz w:val="28"/>
          <w:szCs w:val="28"/>
        </w:rPr>
        <w:t>（封面格式）</w:t>
      </w: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jc w:val="center"/>
        <w:rPr>
          <w:rFonts w:ascii="宋体" w:hAnsi="宋体" w:cs="宋体"/>
          <w:szCs w:val="28"/>
        </w:rPr>
      </w:pPr>
    </w:p>
    <w:p>
      <w:pPr>
        <w:jc w:val="center"/>
        <w:rPr>
          <w:rFonts w:ascii="宋体" w:hAnsi="宋体" w:cs="宋体"/>
          <w:szCs w:val="28"/>
        </w:rPr>
      </w:pPr>
      <w:r>
        <w:rPr>
          <w:rFonts w:hint="eastAsia" w:ascii="宋体" w:hAnsi="宋体" w:cs="宋体"/>
          <w:sz w:val="28"/>
          <w:szCs w:val="28"/>
        </w:rPr>
        <w:t xml:space="preserve"> 项目比选申请文件</w:t>
      </w:r>
    </w:p>
    <w:p>
      <w:pPr>
        <w:pStyle w:val="24"/>
        <w:jc w:val="center"/>
        <w:rPr>
          <w:b w:val="0"/>
          <w:bCs w:val="0"/>
          <w:sz w:val="28"/>
          <w:szCs w:val="28"/>
        </w:rPr>
      </w:pPr>
      <w:bookmarkStart w:id="285" w:name="_Toc31069"/>
      <w:bookmarkStart w:id="286" w:name="_Toc4828"/>
      <w:bookmarkStart w:id="287" w:name="_Toc144"/>
      <w:bookmarkStart w:id="288" w:name="_Toc25575"/>
      <w:bookmarkStart w:id="289" w:name="_Toc18631"/>
      <w:bookmarkStart w:id="290" w:name="_Toc124"/>
      <w:bookmarkStart w:id="291" w:name="_Toc10507"/>
      <w:bookmarkStart w:id="292" w:name="_Toc23149"/>
      <w:bookmarkStart w:id="293" w:name="_Toc461525334"/>
      <w:bookmarkStart w:id="294" w:name="_Toc16451"/>
      <w:r>
        <w:rPr>
          <w:rFonts w:hint="eastAsia"/>
          <w:b w:val="0"/>
          <w:bCs w:val="0"/>
          <w:sz w:val="28"/>
          <w:szCs w:val="28"/>
        </w:rPr>
        <w:t>技术部分</w:t>
      </w:r>
      <w:bookmarkEnd w:id="285"/>
      <w:bookmarkEnd w:id="286"/>
      <w:bookmarkEnd w:id="287"/>
      <w:bookmarkEnd w:id="288"/>
      <w:bookmarkEnd w:id="289"/>
      <w:bookmarkEnd w:id="290"/>
      <w:bookmarkEnd w:id="291"/>
      <w:bookmarkEnd w:id="292"/>
      <w:bookmarkEnd w:id="293"/>
      <w:bookmarkEnd w:id="294"/>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 w:val="28"/>
          <w:szCs w:val="28"/>
        </w:rPr>
      </w:pPr>
      <w:r>
        <w:rPr>
          <w:rFonts w:hint="eastAsia" w:ascii="宋体" w:hAnsi="宋体" w:cs="宋体"/>
          <w:sz w:val="28"/>
          <w:szCs w:val="28"/>
        </w:rPr>
        <w:t>比选申请人：（盖</w:t>
      </w:r>
      <w:r>
        <w:rPr>
          <w:rFonts w:hint="eastAsia" w:ascii="宋体" w:hAnsi="宋体" w:cs="宋体"/>
          <w:sz w:val="28"/>
          <w:szCs w:val="28"/>
          <w:lang w:val="en-US" w:eastAsia="zh-CN"/>
        </w:rPr>
        <w:t>单位公</w:t>
      </w:r>
      <w:r>
        <w:rPr>
          <w:rFonts w:hint="eastAsia" w:ascii="宋体" w:hAnsi="宋体" w:cs="宋体"/>
          <w:sz w:val="28"/>
          <w:szCs w:val="28"/>
        </w:rPr>
        <w:t>章）</w:t>
      </w:r>
    </w:p>
    <w:p>
      <w:pPr>
        <w:ind w:right="753"/>
        <w:jc w:val="left"/>
        <w:rPr>
          <w:rFonts w:ascii="宋体" w:hAnsi="宋体" w:cs="宋体"/>
          <w:sz w:val="28"/>
          <w:szCs w:val="28"/>
        </w:rPr>
      </w:pPr>
      <w:r>
        <w:rPr>
          <w:rFonts w:hint="eastAsia" w:ascii="宋体" w:hAnsi="宋体" w:cs="宋体"/>
          <w:sz w:val="28"/>
          <w:szCs w:val="28"/>
        </w:rPr>
        <w:t>法定代表人（负责人）或委托代理人：（签字）</w:t>
      </w: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 xml:space="preserve">      年    月    日</w:t>
      </w:r>
    </w:p>
    <w:p>
      <w:pPr>
        <w:ind w:right="753"/>
        <w:jc w:val="left"/>
        <w:rPr>
          <w:rFonts w:ascii="宋体" w:hAnsi="宋体" w:cs="宋体"/>
          <w:sz w:val="28"/>
          <w:szCs w:val="28"/>
        </w:rPr>
      </w:pPr>
    </w:p>
    <w:p>
      <w:pPr>
        <w:ind w:right="753"/>
        <w:jc w:val="left"/>
        <w:rPr>
          <w:rFonts w:ascii="宋体" w:hAnsi="宋体" w:cs="宋体"/>
          <w:sz w:val="28"/>
          <w:szCs w:val="28"/>
        </w:rPr>
      </w:pPr>
    </w:p>
    <w:p>
      <w:pPr>
        <w:pStyle w:val="4"/>
        <w:jc w:val="center"/>
        <w:rPr>
          <w:b/>
        </w:rPr>
      </w:pPr>
      <w:bookmarkStart w:id="295" w:name="_Toc32510"/>
      <w:bookmarkStart w:id="296" w:name="_Toc21144"/>
      <w:bookmarkStart w:id="297" w:name="_Toc31582"/>
      <w:bookmarkStart w:id="298" w:name="_Toc471482371"/>
      <w:bookmarkStart w:id="299" w:name="_Toc23508"/>
      <w:bookmarkStart w:id="300" w:name="_Toc9379"/>
      <w:bookmarkStart w:id="301" w:name="_Toc29536"/>
      <w:bookmarkStart w:id="302" w:name="_Toc31521"/>
      <w:bookmarkStart w:id="303" w:name="_Toc26769"/>
      <w:bookmarkStart w:id="304" w:name="_Toc1986"/>
    </w:p>
    <w:p>
      <w:pPr>
        <w:pStyle w:val="4"/>
        <w:jc w:val="center"/>
        <w:rPr>
          <w:b/>
        </w:rPr>
      </w:pPr>
      <w:r>
        <w:rPr>
          <w:rFonts w:hint="eastAsia"/>
          <w:b/>
        </w:rPr>
        <w:t>二、技术部分材料目录</w:t>
      </w:r>
      <w:bookmarkEnd w:id="295"/>
      <w:bookmarkEnd w:id="296"/>
      <w:bookmarkEnd w:id="297"/>
      <w:bookmarkEnd w:id="298"/>
      <w:bookmarkEnd w:id="299"/>
      <w:bookmarkEnd w:id="300"/>
      <w:bookmarkEnd w:id="301"/>
      <w:bookmarkEnd w:id="302"/>
      <w:bookmarkEnd w:id="303"/>
      <w:bookmarkEnd w:id="304"/>
    </w:p>
    <w:p>
      <w:pPr>
        <w:ind w:right="753" w:firstLine="420" w:firstLineChars="150"/>
        <w:jc w:val="left"/>
        <w:rPr>
          <w:rFonts w:ascii="宋体" w:hAnsi="宋体" w:cs="宋体"/>
          <w:sz w:val="28"/>
          <w:szCs w:val="28"/>
        </w:rPr>
      </w:pPr>
      <w:r>
        <w:rPr>
          <w:rFonts w:hint="eastAsia" w:ascii="宋体" w:hAnsi="宋体" w:cs="宋体"/>
          <w:sz w:val="28"/>
          <w:szCs w:val="28"/>
        </w:rPr>
        <w:t>1.业绩表；</w:t>
      </w:r>
    </w:p>
    <w:p>
      <w:pPr>
        <w:ind w:right="-21"/>
        <w:jc w:val="left"/>
        <w:rPr>
          <w:rFonts w:ascii="宋体" w:hAnsi="宋体" w:cs="宋体"/>
          <w:sz w:val="28"/>
          <w:szCs w:val="28"/>
        </w:rPr>
      </w:pPr>
      <w:r>
        <w:rPr>
          <w:rFonts w:hint="eastAsia" w:ascii="宋体" w:hAnsi="宋体" w:cs="宋体"/>
          <w:sz w:val="28"/>
          <w:szCs w:val="28"/>
        </w:rPr>
        <w:t xml:space="preserve">   2.拟投入人员的相关工作业绩、资历及能力（由比选申请人自行编写）</w:t>
      </w:r>
    </w:p>
    <w:p>
      <w:pPr>
        <w:ind w:right="-21"/>
        <w:jc w:val="left"/>
        <w:rPr>
          <w:rFonts w:ascii="宋体" w:hAnsi="宋体" w:cs="宋体"/>
          <w:sz w:val="28"/>
          <w:szCs w:val="28"/>
        </w:rPr>
      </w:pPr>
      <w:r>
        <w:rPr>
          <w:rFonts w:hint="eastAsia" w:ascii="宋体" w:hAnsi="宋体" w:cs="宋体"/>
          <w:sz w:val="28"/>
          <w:szCs w:val="28"/>
        </w:rPr>
        <w:t xml:space="preserve">   3.服务方案（由比选申请人自行编写）；</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pStyle w:val="5"/>
      </w:pPr>
      <w:bookmarkStart w:id="305" w:name="_Toc25382"/>
      <w:bookmarkStart w:id="306" w:name="_Toc9604"/>
      <w:bookmarkStart w:id="307" w:name="_Toc6881"/>
      <w:bookmarkStart w:id="308" w:name="_Toc7527"/>
      <w:bookmarkStart w:id="309" w:name="_Toc10356"/>
      <w:bookmarkStart w:id="310" w:name="_Toc19216"/>
      <w:bookmarkStart w:id="311" w:name="_Toc32624"/>
      <w:bookmarkStart w:id="312" w:name="_Toc24439"/>
      <w:bookmarkStart w:id="313" w:name="_Toc461525332"/>
      <w:bookmarkStart w:id="314" w:name="_Toc6862"/>
      <w:bookmarkStart w:id="315" w:name="_Toc30501"/>
      <w:bookmarkStart w:id="316" w:name="_Toc31867"/>
      <w:bookmarkStart w:id="317" w:name="_Toc19445"/>
      <w:r>
        <w:rPr>
          <w:rFonts w:hint="eastAsia"/>
        </w:rPr>
        <w:t>1.业绩表</w:t>
      </w:r>
      <w:bookmarkEnd w:id="305"/>
      <w:bookmarkEnd w:id="306"/>
      <w:bookmarkEnd w:id="307"/>
      <w:bookmarkEnd w:id="308"/>
      <w:bookmarkEnd w:id="309"/>
      <w:bookmarkEnd w:id="310"/>
      <w:bookmarkEnd w:id="311"/>
      <w:bookmarkEnd w:id="312"/>
    </w:p>
    <w:tbl>
      <w:tblPr>
        <w:tblStyle w:val="25"/>
        <w:tblW w:w="10060" w:type="dxa"/>
        <w:tblInd w:w="0" w:type="dxa"/>
        <w:tblLayout w:type="fixed"/>
        <w:tblCellMar>
          <w:top w:w="0" w:type="dxa"/>
          <w:left w:w="108" w:type="dxa"/>
          <w:bottom w:w="0" w:type="dxa"/>
          <w:right w:w="108" w:type="dxa"/>
        </w:tblCellMar>
      </w:tblPr>
      <w:tblGrid>
        <w:gridCol w:w="704"/>
        <w:gridCol w:w="2835"/>
        <w:gridCol w:w="3046"/>
        <w:gridCol w:w="2126"/>
        <w:gridCol w:w="1349"/>
      </w:tblGrid>
      <w:tr>
        <w:tblPrEx>
          <w:tblCellMar>
            <w:top w:w="0" w:type="dxa"/>
            <w:left w:w="108" w:type="dxa"/>
            <w:bottom w:w="0" w:type="dxa"/>
            <w:right w:w="108" w:type="dxa"/>
          </w:tblCellMar>
        </w:tblPrEx>
        <w:trPr>
          <w:trHeight w:val="45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合同对方名称</w:t>
            </w:r>
          </w:p>
        </w:tc>
        <w:tc>
          <w:tcPr>
            <w:tcW w:w="30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审计内容</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业绩类型</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合同签订时间</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ind w:firstLine="420"/>
        <w:rPr>
          <w:rFonts w:ascii="宋体" w:hAnsi="宋体"/>
          <w:sz w:val="24"/>
        </w:rPr>
      </w:pPr>
      <w:r>
        <w:rPr>
          <w:rFonts w:hint="eastAsia" w:ascii="宋体" w:hAnsi="宋体"/>
          <w:sz w:val="24"/>
        </w:rPr>
        <w:t>注：1、此表业绩是指</w:t>
      </w:r>
      <w:r>
        <w:rPr>
          <w:rFonts w:hint="eastAsia" w:ascii="宋体" w:hAnsi="宋体"/>
          <w:sz w:val="24"/>
          <w:lang w:val="en-US" w:eastAsia="zh-CN"/>
        </w:rPr>
        <w:t xml:space="preserve"> 2018  </w:t>
      </w:r>
      <w:r>
        <w:rPr>
          <w:rFonts w:hint="eastAsia" w:ascii="宋体" w:hAnsi="宋体"/>
          <w:sz w:val="24"/>
        </w:rPr>
        <w:t>年1月1日至今，与本项目相关或相近的服务经验（参照评分细则）。</w:t>
      </w:r>
    </w:p>
    <w:p>
      <w:pPr>
        <w:ind w:firstLine="480" w:firstLineChars="200"/>
        <w:rPr>
          <w:rFonts w:ascii="宋体" w:hAnsi="宋体"/>
          <w:sz w:val="24"/>
          <w:szCs w:val="28"/>
        </w:rPr>
      </w:pPr>
      <w:r>
        <w:rPr>
          <w:rFonts w:ascii="宋体" w:hAnsi="宋体"/>
          <w:sz w:val="24"/>
        </w:rPr>
        <w:t>3</w:t>
      </w:r>
      <w:r>
        <w:rPr>
          <w:rFonts w:hint="eastAsia" w:ascii="宋体" w:hAnsi="宋体"/>
          <w:sz w:val="24"/>
        </w:rPr>
        <w:t>、此表须附相应合同复印件（必须体现</w:t>
      </w:r>
      <w:r>
        <w:rPr>
          <w:rFonts w:hint="eastAsia" w:ascii="宋体" w:hAnsi="宋体" w:cs="宋体"/>
          <w:kern w:val="0"/>
          <w:sz w:val="24"/>
        </w:rPr>
        <w:t>合同对方名称及签订时间，涉及商业秘密的内容可以隐去</w:t>
      </w:r>
      <w:r>
        <w:rPr>
          <w:rFonts w:hint="eastAsia" w:ascii="宋体" w:hAnsi="宋体"/>
          <w:sz w:val="24"/>
        </w:rPr>
        <w:t>）</w:t>
      </w:r>
      <w:r>
        <w:rPr>
          <w:rFonts w:hint="eastAsia" w:ascii="宋体" w:hAnsi="宋体"/>
          <w:sz w:val="24"/>
          <w:szCs w:val="28"/>
        </w:rPr>
        <w:t>证明材料</w:t>
      </w:r>
      <w:r>
        <w:rPr>
          <w:rFonts w:hint="eastAsia" w:ascii="宋体" w:hAnsi="宋体"/>
          <w:sz w:val="24"/>
        </w:rPr>
        <w:t>。</w:t>
      </w:r>
      <w:r>
        <w:rPr>
          <w:rFonts w:hint="eastAsia" w:ascii="宋体" w:hAnsi="宋体"/>
          <w:sz w:val="24"/>
          <w:szCs w:val="28"/>
        </w:rPr>
        <w:t>未附证明材料的项目视为无效。</w:t>
      </w: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pStyle w:val="5"/>
      </w:pPr>
      <w:bookmarkStart w:id="318" w:name="_Toc28309"/>
      <w:bookmarkStart w:id="319" w:name="_Toc21426"/>
      <w:bookmarkStart w:id="320" w:name="_Toc30796"/>
      <w:bookmarkStart w:id="321" w:name="_Toc5471"/>
      <w:bookmarkStart w:id="322" w:name="_Toc24135"/>
      <w:bookmarkStart w:id="323" w:name="_Toc12801"/>
      <w:bookmarkStart w:id="324" w:name="_Toc14359"/>
      <w:bookmarkStart w:id="325" w:name="_Toc27864"/>
      <w:r>
        <w:rPr>
          <w:rFonts w:hint="eastAsia"/>
        </w:rPr>
        <w:t>2.拟投入人员配置明细表</w:t>
      </w:r>
      <w:bookmarkEnd w:id="318"/>
      <w:bookmarkEnd w:id="319"/>
      <w:bookmarkEnd w:id="320"/>
      <w:bookmarkEnd w:id="321"/>
      <w:bookmarkEnd w:id="322"/>
      <w:bookmarkEnd w:id="323"/>
      <w:bookmarkEnd w:id="324"/>
      <w:bookmarkEnd w:id="325"/>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vAlign w:val="center"/>
          </w:tcPr>
          <w:p>
            <w:pPr>
              <w:pStyle w:val="10"/>
              <w:spacing w:line="400" w:lineRule="exact"/>
              <w:ind w:left="0" w:leftChars="0"/>
              <w:jc w:val="center"/>
              <w:rPr>
                <w:rFonts w:ascii="宋体" w:hAnsi="宋体"/>
                <w:szCs w:val="21"/>
              </w:rPr>
            </w:pPr>
            <w:r>
              <w:rPr>
                <w:rFonts w:hint="eastAsia" w:ascii="宋体" w:hAnsi="宋体"/>
                <w:szCs w:val="21"/>
              </w:rPr>
              <w:t>序号</w:t>
            </w:r>
          </w:p>
        </w:tc>
        <w:tc>
          <w:tcPr>
            <w:tcW w:w="993" w:type="dxa"/>
            <w:vAlign w:val="center"/>
          </w:tcPr>
          <w:p>
            <w:pPr>
              <w:pStyle w:val="10"/>
              <w:spacing w:line="400" w:lineRule="exact"/>
              <w:ind w:left="0" w:leftChars="0"/>
              <w:jc w:val="center"/>
              <w:rPr>
                <w:rFonts w:ascii="宋体" w:hAnsi="宋体"/>
                <w:szCs w:val="21"/>
              </w:rPr>
            </w:pPr>
            <w:r>
              <w:rPr>
                <w:rFonts w:hint="eastAsia" w:ascii="宋体" w:hAnsi="宋体"/>
                <w:szCs w:val="21"/>
              </w:rPr>
              <w:t>姓名</w:t>
            </w:r>
          </w:p>
        </w:tc>
        <w:tc>
          <w:tcPr>
            <w:tcW w:w="850" w:type="dxa"/>
            <w:vAlign w:val="center"/>
          </w:tcPr>
          <w:p>
            <w:pPr>
              <w:pStyle w:val="10"/>
              <w:spacing w:line="400" w:lineRule="exact"/>
              <w:ind w:left="0" w:leftChars="0"/>
              <w:jc w:val="center"/>
              <w:rPr>
                <w:rFonts w:ascii="宋体" w:hAnsi="宋体"/>
                <w:szCs w:val="21"/>
              </w:rPr>
            </w:pPr>
            <w:r>
              <w:rPr>
                <w:rFonts w:hint="eastAsia" w:ascii="宋体" w:hAnsi="宋体"/>
                <w:szCs w:val="21"/>
              </w:rPr>
              <w:t>年龄</w:t>
            </w:r>
          </w:p>
        </w:tc>
        <w:tc>
          <w:tcPr>
            <w:tcW w:w="851" w:type="dxa"/>
            <w:vAlign w:val="center"/>
          </w:tcPr>
          <w:p>
            <w:pPr>
              <w:pStyle w:val="10"/>
              <w:spacing w:line="400" w:lineRule="exact"/>
              <w:ind w:left="0" w:leftChars="0"/>
              <w:jc w:val="center"/>
              <w:rPr>
                <w:rFonts w:ascii="宋体" w:hAnsi="宋体"/>
                <w:szCs w:val="21"/>
              </w:rPr>
            </w:pPr>
            <w:r>
              <w:rPr>
                <w:rFonts w:hint="eastAsia" w:ascii="宋体" w:hAnsi="宋体"/>
                <w:szCs w:val="21"/>
              </w:rPr>
              <w:t>性别</w:t>
            </w:r>
          </w:p>
        </w:tc>
        <w:tc>
          <w:tcPr>
            <w:tcW w:w="992" w:type="dxa"/>
            <w:vAlign w:val="center"/>
          </w:tcPr>
          <w:p>
            <w:pPr>
              <w:pStyle w:val="10"/>
              <w:spacing w:line="400" w:lineRule="exact"/>
              <w:ind w:left="0" w:leftChars="0"/>
              <w:jc w:val="center"/>
              <w:rPr>
                <w:rFonts w:ascii="宋体" w:hAnsi="宋体"/>
                <w:szCs w:val="21"/>
              </w:rPr>
            </w:pPr>
            <w:r>
              <w:rPr>
                <w:rFonts w:hint="eastAsia" w:ascii="宋体" w:hAnsi="宋体"/>
                <w:szCs w:val="21"/>
              </w:rPr>
              <w:t>学历</w:t>
            </w:r>
          </w:p>
        </w:tc>
        <w:tc>
          <w:tcPr>
            <w:tcW w:w="992" w:type="dxa"/>
            <w:vAlign w:val="center"/>
          </w:tcPr>
          <w:p>
            <w:pPr>
              <w:pStyle w:val="10"/>
              <w:spacing w:line="400" w:lineRule="exact"/>
              <w:ind w:left="0" w:leftChars="0"/>
              <w:jc w:val="center"/>
              <w:rPr>
                <w:rFonts w:ascii="宋体" w:hAnsi="宋体"/>
                <w:szCs w:val="21"/>
              </w:rPr>
            </w:pPr>
            <w:r>
              <w:rPr>
                <w:rFonts w:hint="eastAsia" w:ascii="宋体" w:hAnsi="宋体"/>
                <w:szCs w:val="21"/>
              </w:rPr>
              <w:t>专业</w:t>
            </w:r>
          </w:p>
        </w:tc>
        <w:tc>
          <w:tcPr>
            <w:tcW w:w="1134" w:type="dxa"/>
            <w:vAlign w:val="center"/>
          </w:tcPr>
          <w:p>
            <w:pPr>
              <w:pStyle w:val="10"/>
              <w:spacing w:line="400" w:lineRule="exact"/>
              <w:ind w:left="0" w:leftChars="0"/>
              <w:jc w:val="center"/>
              <w:rPr>
                <w:rFonts w:ascii="宋体" w:hAnsi="宋体"/>
                <w:szCs w:val="21"/>
              </w:rPr>
            </w:pPr>
            <w:r>
              <w:rPr>
                <w:rFonts w:hint="eastAsia" w:ascii="宋体" w:hAnsi="宋体"/>
                <w:szCs w:val="21"/>
              </w:rPr>
              <w:t>资格证</w:t>
            </w:r>
          </w:p>
        </w:tc>
        <w:tc>
          <w:tcPr>
            <w:tcW w:w="709" w:type="dxa"/>
            <w:vAlign w:val="center"/>
          </w:tcPr>
          <w:p>
            <w:pPr>
              <w:pStyle w:val="10"/>
              <w:spacing w:line="400" w:lineRule="exact"/>
              <w:ind w:left="0" w:leftChars="0"/>
              <w:jc w:val="center"/>
              <w:rPr>
                <w:rFonts w:ascii="宋体" w:hAnsi="宋体"/>
                <w:szCs w:val="21"/>
              </w:rPr>
            </w:pPr>
            <w:r>
              <w:rPr>
                <w:rFonts w:hint="eastAsia" w:ascii="宋体" w:hAnsi="宋体"/>
                <w:szCs w:val="21"/>
              </w:rPr>
              <w:t>执业年限</w:t>
            </w:r>
          </w:p>
        </w:tc>
        <w:tc>
          <w:tcPr>
            <w:tcW w:w="2126" w:type="dxa"/>
            <w:vAlign w:val="center"/>
          </w:tcPr>
          <w:p>
            <w:pPr>
              <w:pStyle w:val="10"/>
              <w:spacing w:line="400" w:lineRule="exact"/>
              <w:ind w:left="0" w:leftChars="0"/>
              <w:jc w:val="center"/>
              <w:rPr>
                <w:rFonts w:ascii="宋体" w:hAnsi="宋体"/>
                <w:szCs w:val="21"/>
              </w:rPr>
            </w:pPr>
            <w:r>
              <w:rPr>
                <w:rFonts w:hint="eastAsia" w:ascii="宋体" w:hAnsi="宋体"/>
                <w:szCs w:val="21"/>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hAnsi="宋体"/>
                <w:szCs w:val="21"/>
              </w:rPr>
            </w:pPr>
          </w:p>
        </w:tc>
        <w:tc>
          <w:tcPr>
            <w:tcW w:w="993" w:type="dxa"/>
          </w:tcPr>
          <w:p>
            <w:pPr>
              <w:pStyle w:val="10"/>
              <w:spacing w:line="400" w:lineRule="exact"/>
              <w:ind w:left="0" w:leftChars="0"/>
              <w:rPr>
                <w:rFonts w:ascii="宋体" w:hAnsi="宋体"/>
                <w:szCs w:val="21"/>
              </w:rPr>
            </w:pPr>
          </w:p>
        </w:tc>
        <w:tc>
          <w:tcPr>
            <w:tcW w:w="850" w:type="dxa"/>
          </w:tcPr>
          <w:p>
            <w:pPr>
              <w:pStyle w:val="10"/>
              <w:spacing w:line="400" w:lineRule="exact"/>
              <w:ind w:left="0" w:leftChars="0"/>
              <w:rPr>
                <w:rFonts w:ascii="宋体" w:hAnsi="宋体"/>
                <w:szCs w:val="21"/>
              </w:rPr>
            </w:pPr>
          </w:p>
        </w:tc>
        <w:tc>
          <w:tcPr>
            <w:tcW w:w="851"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1134" w:type="dxa"/>
          </w:tcPr>
          <w:p>
            <w:pPr>
              <w:pStyle w:val="10"/>
              <w:spacing w:line="400" w:lineRule="exact"/>
              <w:ind w:left="0" w:leftChars="0"/>
              <w:rPr>
                <w:rFonts w:ascii="宋体" w:hAnsi="宋体"/>
                <w:szCs w:val="21"/>
              </w:rPr>
            </w:pPr>
          </w:p>
        </w:tc>
        <w:tc>
          <w:tcPr>
            <w:tcW w:w="709"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hAnsi="宋体"/>
                <w:szCs w:val="21"/>
              </w:rPr>
            </w:pPr>
          </w:p>
        </w:tc>
        <w:tc>
          <w:tcPr>
            <w:tcW w:w="993" w:type="dxa"/>
          </w:tcPr>
          <w:p>
            <w:pPr>
              <w:pStyle w:val="10"/>
              <w:spacing w:line="400" w:lineRule="exact"/>
              <w:ind w:left="0" w:leftChars="0"/>
              <w:rPr>
                <w:rFonts w:ascii="宋体" w:hAnsi="宋体"/>
                <w:szCs w:val="21"/>
              </w:rPr>
            </w:pPr>
          </w:p>
        </w:tc>
        <w:tc>
          <w:tcPr>
            <w:tcW w:w="850" w:type="dxa"/>
          </w:tcPr>
          <w:p>
            <w:pPr>
              <w:pStyle w:val="10"/>
              <w:spacing w:line="400" w:lineRule="exact"/>
              <w:ind w:left="0" w:leftChars="0"/>
              <w:rPr>
                <w:rFonts w:ascii="宋体" w:hAnsi="宋体"/>
                <w:szCs w:val="21"/>
              </w:rPr>
            </w:pPr>
          </w:p>
        </w:tc>
        <w:tc>
          <w:tcPr>
            <w:tcW w:w="851"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1134" w:type="dxa"/>
          </w:tcPr>
          <w:p>
            <w:pPr>
              <w:pStyle w:val="10"/>
              <w:spacing w:line="400" w:lineRule="exact"/>
              <w:ind w:left="0" w:leftChars="0"/>
              <w:rPr>
                <w:rFonts w:ascii="宋体" w:hAnsi="宋体"/>
                <w:szCs w:val="21"/>
              </w:rPr>
            </w:pPr>
          </w:p>
        </w:tc>
        <w:tc>
          <w:tcPr>
            <w:tcW w:w="709"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hAnsi="宋体"/>
                <w:szCs w:val="21"/>
              </w:rPr>
            </w:pPr>
          </w:p>
        </w:tc>
        <w:tc>
          <w:tcPr>
            <w:tcW w:w="993" w:type="dxa"/>
          </w:tcPr>
          <w:p>
            <w:pPr>
              <w:pStyle w:val="10"/>
              <w:spacing w:line="400" w:lineRule="exact"/>
              <w:ind w:left="0" w:leftChars="0"/>
              <w:rPr>
                <w:rFonts w:ascii="宋体" w:hAnsi="宋体"/>
                <w:szCs w:val="21"/>
              </w:rPr>
            </w:pPr>
          </w:p>
        </w:tc>
        <w:tc>
          <w:tcPr>
            <w:tcW w:w="850" w:type="dxa"/>
          </w:tcPr>
          <w:p>
            <w:pPr>
              <w:pStyle w:val="10"/>
              <w:spacing w:line="400" w:lineRule="exact"/>
              <w:ind w:left="0" w:leftChars="0"/>
              <w:rPr>
                <w:rFonts w:ascii="宋体" w:hAnsi="宋体"/>
                <w:szCs w:val="21"/>
              </w:rPr>
            </w:pPr>
          </w:p>
        </w:tc>
        <w:tc>
          <w:tcPr>
            <w:tcW w:w="851"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1134" w:type="dxa"/>
          </w:tcPr>
          <w:p>
            <w:pPr>
              <w:pStyle w:val="10"/>
              <w:spacing w:line="400" w:lineRule="exact"/>
              <w:ind w:left="0" w:leftChars="0"/>
              <w:rPr>
                <w:rFonts w:ascii="宋体" w:hAnsi="宋体"/>
                <w:szCs w:val="21"/>
              </w:rPr>
            </w:pPr>
          </w:p>
        </w:tc>
        <w:tc>
          <w:tcPr>
            <w:tcW w:w="709"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hAnsi="宋体"/>
                <w:szCs w:val="21"/>
              </w:rPr>
            </w:pPr>
          </w:p>
        </w:tc>
        <w:tc>
          <w:tcPr>
            <w:tcW w:w="993" w:type="dxa"/>
          </w:tcPr>
          <w:p>
            <w:pPr>
              <w:pStyle w:val="10"/>
              <w:spacing w:line="400" w:lineRule="exact"/>
              <w:ind w:left="0" w:leftChars="0"/>
              <w:rPr>
                <w:rFonts w:ascii="宋体" w:hAnsi="宋体"/>
                <w:szCs w:val="21"/>
              </w:rPr>
            </w:pPr>
          </w:p>
        </w:tc>
        <w:tc>
          <w:tcPr>
            <w:tcW w:w="850" w:type="dxa"/>
          </w:tcPr>
          <w:p>
            <w:pPr>
              <w:pStyle w:val="10"/>
              <w:spacing w:line="400" w:lineRule="exact"/>
              <w:ind w:left="0" w:leftChars="0"/>
              <w:rPr>
                <w:rFonts w:ascii="宋体" w:hAnsi="宋体"/>
                <w:szCs w:val="21"/>
              </w:rPr>
            </w:pPr>
          </w:p>
        </w:tc>
        <w:tc>
          <w:tcPr>
            <w:tcW w:w="851"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1134" w:type="dxa"/>
          </w:tcPr>
          <w:p>
            <w:pPr>
              <w:pStyle w:val="10"/>
              <w:spacing w:line="400" w:lineRule="exact"/>
              <w:ind w:left="0" w:leftChars="0"/>
              <w:rPr>
                <w:rFonts w:ascii="宋体" w:hAnsi="宋体"/>
                <w:szCs w:val="21"/>
              </w:rPr>
            </w:pPr>
          </w:p>
        </w:tc>
        <w:tc>
          <w:tcPr>
            <w:tcW w:w="709"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hAnsi="宋体"/>
                <w:szCs w:val="21"/>
              </w:rPr>
            </w:pPr>
          </w:p>
        </w:tc>
        <w:tc>
          <w:tcPr>
            <w:tcW w:w="993" w:type="dxa"/>
          </w:tcPr>
          <w:p>
            <w:pPr>
              <w:pStyle w:val="10"/>
              <w:spacing w:line="400" w:lineRule="exact"/>
              <w:ind w:left="0" w:leftChars="0"/>
              <w:rPr>
                <w:rFonts w:ascii="宋体" w:hAnsi="宋体"/>
                <w:szCs w:val="21"/>
              </w:rPr>
            </w:pPr>
          </w:p>
        </w:tc>
        <w:tc>
          <w:tcPr>
            <w:tcW w:w="850" w:type="dxa"/>
          </w:tcPr>
          <w:p>
            <w:pPr>
              <w:pStyle w:val="10"/>
              <w:spacing w:line="400" w:lineRule="exact"/>
              <w:ind w:left="0" w:leftChars="0"/>
              <w:rPr>
                <w:rFonts w:ascii="宋体" w:hAnsi="宋体"/>
                <w:szCs w:val="21"/>
              </w:rPr>
            </w:pPr>
          </w:p>
        </w:tc>
        <w:tc>
          <w:tcPr>
            <w:tcW w:w="851"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1134" w:type="dxa"/>
          </w:tcPr>
          <w:p>
            <w:pPr>
              <w:pStyle w:val="10"/>
              <w:spacing w:line="400" w:lineRule="exact"/>
              <w:ind w:left="0" w:leftChars="0"/>
              <w:rPr>
                <w:rFonts w:ascii="宋体" w:hAnsi="宋体"/>
                <w:szCs w:val="21"/>
              </w:rPr>
            </w:pPr>
          </w:p>
        </w:tc>
        <w:tc>
          <w:tcPr>
            <w:tcW w:w="709"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p>
        </w:tc>
      </w:tr>
    </w:tbl>
    <w:p>
      <w:pPr>
        <w:ind w:firstLine="420"/>
        <w:rPr>
          <w:rFonts w:ascii="宋体" w:hAnsi="宋体"/>
          <w:sz w:val="24"/>
        </w:rPr>
      </w:pPr>
      <w:r>
        <w:rPr>
          <w:rFonts w:hint="eastAsia" w:ascii="宋体" w:hAnsi="宋体"/>
          <w:sz w:val="24"/>
        </w:rPr>
        <w:t>注：1、此表须附执业资格证书复印件等证明材料。</w:t>
      </w:r>
    </w:p>
    <w:p>
      <w:pPr>
        <w:ind w:left="424" w:leftChars="202" w:firstLine="424" w:firstLineChars="177"/>
        <w:rPr>
          <w:rFonts w:ascii="宋体" w:hAnsi="宋体"/>
          <w:sz w:val="24"/>
        </w:rPr>
      </w:pPr>
      <w:r>
        <w:rPr>
          <w:rFonts w:ascii="宋体" w:hAnsi="宋体"/>
          <w:sz w:val="24"/>
        </w:rPr>
        <w:t>2</w:t>
      </w:r>
      <w:r>
        <w:rPr>
          <w:rFonts w:hint="eastAsia" w:ascii="宋体" w:hAnsi="宋体"/>
          <w:sz w:val="24"/>
        </w:rPr>
        <w:t>、</w:t>
      </w:r>
      <w:r>
        <w:rPr>
          <w:rFonts w:hint="eastAsia" w:ascii="宋体" w:hAnsi="宋体"/>
          <w:sz w:val="24"/>
          <w:u w:val="single"/>
        </w:rPr>
        <w:t>此表拟定的项目现场负责人原则上不予更换,若要更换需经甲方同意，未经甲方同意而更换的，甲方可终止合同。</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
    <w:p/>
    <w:p/>
    <w:bookmarkEnd w:id="313"/>
    <w:bookmarkEnd w:id="314"/>
    <w:bookmarkEnd w:id="315"/>
    <w:p/>
    <w:p/>
    <w:p/>
    <w:p/>
    <w:p/>
    <w:p/>
    <w:p/>
    <w:p/>
    <w:p/>
    <w:p/>
    <w:p>
      <w:pPr>
        <w:pStyle w:val="5"/>
      </w:pPr>
      <w:r>
        <w:rPr>
          <w:rFonts w:hint="eastAsia"/>
        </w:rPr>
        <w:t>3.拟投入人员的相关工作业绩、资历及能力</w:t>
      </w:r>
    </w:p>
    <w:tbl>
      <w:tblPr>
        <w:tblStyle w:val="25"/>
        <w:tblW w:w="10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3"/>
        <w:gridCol w:w="1701"/>
        <w:gridCol w:w="1020"/>
        <w:gridCol w:w="2126"/>
        <w:gridCol w:w="11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59" w:type="dxa"/>
            <w:vAlign w:val="center"/>
          </w:tcPr>
          <w:p>
            <w:pPr>
              <w:pStyle w:val="10"/>
              <w:spacing w:line="400" w:lineRule="exact"/>
              <w:ind w:left="0" w:leftChars="0"/>
              <w:jc w:val="center"/>
              <w:rPr>
                <w:rFonts w:ascii="宋体" w:hAnsi="宋体"/>
                <w:szCs w:val="21"/>
              </w:rPr>
            </w:pPr>
            <w:r>
              <w:rPr>
                <w:rFonts w:hint="eastAsia" w:ascii="宋体" w:hAnsi="宋体"/>
                <w:szCs w:val="21"/>
              </w:rPr>
              <w:t>序号</w:t>
            </w:r>
          </w:p>
        </w:tc>
        <w:tc>
          <w:tcPr>
            <w:tcW w:w="993" w:type="dxa"/>
            <w:vAlign w:val="center"/>
          </w:tcPr>
          <w:p>
            <w:pPr>
              <w:pStyle w:val="10"/>
              <w:spacing w:line="400" w:lineRule="exact"/>
              <w:ind w:left="0" w:leftChars="0"/>
              <w:jc w:val="center"/>
              <w:rPr>
                <w:rFonts w:ascii="宋体" w:hAnsi="宋体"/>
                <w:szCs w:val="21"/>
              </w:rPr>
            </w:pPr>
            <w:r>
              <w:rPr>
                <w:rFonts w:hint="eastAsia" w:ascii="宋体" w:hAnsi="宋体"/>
                <w:szCs w:val="21"/>
              </w:rPr>
              <w:t>姓名</w:t>
            </w:r>
          </w:p>
        </w:tc>
        <w:tc>
          <w:tcPr>
            <w:tcW w:w="1701" w:type="dxa"/>
            <w:vAlign w:val="center"/>
          </w:tcPr>
          <w:p>
            <w:pPr>
              <w:pStyle w:val="10"/>
              <w:spacing w:line="400" w:lineRule="exact"/>
              <w:ind w:left="0" w:leftChars="0"/>
              <w:jc w:val="center"/>
              <w:rPr>
                <w:rFonts w:ascii="宋体" w:hAnsi="宋体"/>
                <w:szCs w:val="21"/>
              </w:rPr>
            </w:pPr>
            <w:r>
              <w:rPr>
                <w:rFonts w:hint="eastAsia" w:ascii="宋体" w:hAnsi="宋体"/>
                <w:szCs w:val="21"/>
              </w:rPr>
              <w:t>工作职责分工</w:t>
            </w:r>
          </w:p>
        </w:tc>
        <w:tc>
          <w:tcPr>
            <w:tcW w:w="1020" w:type="dxa"/>
            <w:vAlign w:val="center"/>
          </w:tcPr>
          <w:p>
            <w:pPr>
              <w:pStyle w:val="10"/>
              <w:spacing w:line="400" w:lineRule="exact"/>
              <w:ind w:left="0" w:leftChars="0"/>
              <w:jc w:val="center"/>
              <w:rPr>
                <w:rFonts w:ascii="宋体" w:hAnsi="宋体"/>
                <w:szCs w:val="21"/>
              </w:rPr>
            </w:pPr>
            <w:r>
              <w:rPr>
                <w:rFonts w:hint="eastAsia" w:ascii="宋体" w:hAnsi="宋体"/>
                <w:szCs w:val="21"/>
              </w:rPr>
              <w:t>工作业绩数量</w:t>
            </w:r>
          </w:p>
        </w:tc>
        <w:tc>
          <w:tcPr>
            <w:tcW w:w="2126" w:type="dxa"/>
            <w:vAlign w:val="center"/>
          </w:tcPr>
          <w:p>
            <w:pPr>
              <w:pStyle w:val="10"/>
              <w:spacing w:line="400" w:lineRule="exact"/>
              <w:ind w:left="0" w:leftChars="0"/>
              <w:jc w:val="center"/>
              <w:rPr>
                <w:rFonts w:ascii="宋体" w:hAnsi="宋体"/>
                <w:szCs w:val="21"/>
              </w:rPr>
            </w:pPr>
            <w:r>
              <w:rPr>
                <w:rFonts w:hint="eastAsia" w:ascii="宋体" w:hAnsi="宋体"/>
                <w:szCs w:val="21"/>
              </w:rPr>
              <w:t>审计内容</w:t>
            </w:r>
          </w:p>
        </w:tc>
        <w:tc>
          <w:tcPr>
            <w:tcW w:w="1136" w:type="dxa"/>
            <w:vAlign w:val="center"/>
          </w:tcPr>
          <w:p>
            <w:pPr>
              <w:pStyle w:val="10"/>
              <w:spacing w:line="400" w:lineRule="exact"/>
              <w:ind w:left="0" w:leftChars="0"/>
              <w:jc w:val="center"/>
              <w:rPr>
                <w:rFonts w:ascii="宋体" w:hAnsi="宋体"/>
                <w:szCs w:val="21"/>
              </w:rPr>
            </w:pPr>
            <w:r>
              <w:rPr>
                <w:rFonts w:hint="eastAsia" w:ascii="宋体" w:hAnsi="宋体"/>
                <w:szCs w:val="21"/>
              </w:rPr>
              <w:t>业绩类型</w:t>
            </w:r>
          </w:p>
        </w:tc>
        <w:tc>
          <w:tcPr>
            <w:tcW w:w="2126" w:type="dxa"/>
            <w:vAlign w:val="center"/>
          </w:tcPr>
          <w:p>
            <w:pPr>
              <w:pStyle w:val="10"/>
              <w:spacing w:line="400" w:lineRule="exact"/>
              <w:ind w:left="0" w:leftChars="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59" w:type="dxa"/>
          </w:tcPr>
          <w:p>
            <w:pPr>
              <w:pStyle w:val="10"/>
              <w:spacing w:line="400" w:lineRule="exact"/>
              <w:ind w:left="0" w:leftChars="0"/>
              <w:rPr>
                <w:rFonts w:ascii="宋体" w:hAnsi="宋体"/>
                <w:szCs w:val="21"/>
              </w:rPr>
            </w:pPr>
          </w:p>
        </w:tc>
        <w:tc>
          <w:tcPr>
            <w:tcW w:w="993" w:type="dxa"/>
          </w:tcPr>
          <w:p>
            <w:pPr>
              <w:pStyle w:val="10"/>
              <w:spacing w:line="400" w:lineRule="exact"/>
              <w:ind w:left="0" w:leftChars="0"/>
              <w:rPr>
                <w:rFonts w:ascii="宋体" w:hAnsi="宋体"/>
                <w:szCs w:val="21"/>
              </w:rPr>
            </w:pPr>
          </w:p>
        </w:tc>
        <w:tc>
          <w:tcPr>
            <w:tcW w:w="1701" w:type="dxa"/>
          </w:tcPr>
          <w:p>
            <w:pPr>
              <w:pStyle w:val="10"/>
              <w:spacing w:line="400" w:lineRule="exact"/>
              <w:ind w:left="0" w:leftChars="0"/>
              <w:rPr>
                <w:rFonts w:ascii="宋体" w:hAnsi="宋体"/>
                <w:szCs w:val="21"/>
              </w:rPr>
            </w:pPr>
          </w:p>
        </w:tc>
        <w:tc>
          <w:tcPr>
            <w:tcW w:w="1020"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p>
        </w:tc>
        <w:tc>
          <w:tcPr>
            <w:tcW w:w="1136"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r>
              <w:rPr>
                <w:rFonts w:hint="eastAsia" w:ascii="宋体" w:hAnsi="宋体"/>
                <w:szCs w:val="21"/>
              </w:rPr>
              <w:t>提供个人履历（含会计师事务所审计工作年限、经验证明）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59" w:type="dxa"/>
          </w:tcPr>
          <w:p>
            <w:pPr>
              <w:pStyle w:val="10"/>
              <w:spacing w:line="400" w:lineRule="exact"/>
              <w:ind w:left="0" w:leftChars="0"/>
              <w:rPr>
                <w:rFonts w:ascii="宋体" w:hAnsi="宋体"/>
                <w:color w:val="FF0000"/>
                <w:szCs w:val="21"/>
              </w:rPr>
            </w:pPr>
          </w:p>
        </w:tc>
        <w:tc>
          <w:tcPr>
            <w:tcW w:w="993" w:type="dxa"/>
          </w:tcPr>
          <w:p>
            <w:pPr>
              <w:pStyle w:val="10"/>
              <w:spacing w:line="400" w:lineRule="exact"/>
              <w:ind w:left="0" w:leftChars="0"/>
              <w:rPr>
                <w:rFonts w:ascii="宋体" w:hAnsi="宋体"/>
                <w:color w:val="FF0000"/>
                <w:szCs w:val="21"/>
              </w:rPr>
            </w:pPr>
          </w:p>
        </w:tc>
        <w:tc>
          <w:tcPr>
            <w:tcW w:w="1701" w:type="dxa"/>
          </w:tcPr>
          <w:p>
            <w:pPr>
              <w:pStyle w:val="10"/>
              <w:spacing w:line="400" w:lineRule="exact"/>
              <w:ind w:left="0" w:leftChars="0"/>
              <w:rPr>
                <w:rFonts w:ascii="宋体" w:hAnsi="宋体"/>
                <w:color w:val="FF0000"/>
                <w:szCs w:val="21"/>
              </w:rPr>
            </w:pPr>
          </w:p>
        </w:tc>
        <w:tc>
          <w:tcPr>
            <w:tcW w:w="1020"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c>
          <w:tcPr>
            <w:tcW w:w="1136"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59" w:type="dxa"/>
          </w:tcPr>
          <w:p>
            <w:pPr>
              <w:pStyle w:val="10"/>
              <w:spacing w:line="400" w:lineRule="exact"/>
              <w:ind w:left="0" w:leftChars="0"/>
              <w:rPr>
                <w:rFonts w:ascii="宋体" w:hAnsi="宋体"/>
                <w:color w:val="FF0000"/>
                <w:szCs w:val="21"/>
              </w:rPr>
            </w:pPr>
          </w:p>
        </w:tc>
        <w:tc>
          <w:tcPr>
            <w:tcW w:w="993" w:type="dxa"/>
          </w:tcPr>
          <w:p>
            <w:pPr>
              <w:pStyle w:val="10"/>
              <w:spacing w:line="400" w:lineRule="exact"/>
              <w:ind w:left="0" w:leftChars="0"/>
              <w:rPr>
                <w:rFonts w:ascii="宋体" w:hAnsi="宋体"/>
                <w:color w:val="FF0000"/>
                <w:szCs w:val="21"/>
              </w:rPr>
            </w:pPr>
          </w:p>
        </w:tc>
        <w:tc>
          <w:tcPr>
            <w:tcW w:w="1701" w:type="dxa"/>
          </w:tcPr>
          <w:p>
            <w:pPr>
              <w:pStyle w:val="10"/>
              <w:spacing w:line="400" w:lineRule="exact"/>
              <w:ind w:left="0" w:leftChars="0"/>
              <w:rPr>
                <w:rFonts w:ascii="宋体" w:hAnsi="宋体"/>
                <w:color w:val="FF0000"/>
                <w:szCs w:val="21"/>
              </w:rPr>
            </w:pPr>
          </w:p>
        </w:tc>
        <w:tc>
          <w:tcPr>
            <w:tcW w:w="1020"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c>
          <w:tcPr>
            <w:tcW w:w="1136"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59" w:type="dxa"/>
          </w:tcPr>
          <w:p>
            <w:pPr>
              <w:pStyle w:val="10"/>
              <w:spacing w:line="400" w:lineRule="exact"/>
              <w:ind w:left="0" w:leftChars="0"/>
              <w:rPr>
                <w:rFonts w:ascii="宋体" w:hAnsi="宋体"/>
                <w:color w:val="FF0000"/>
                <w:szCs w:val="21"/>
              </w:rPr>
            </w:pPr>
          </w:p>
        </w:tc>
        <w:tc>
          <w:tcPr>
            <w:tcW w:w="993" w:type="dxa"/>
          </w:tcPr>
          <w:p>
            <w:pPr>
              <w:pStyle w:val="10"/>
              <w:spacing w:line="400" w:lineRule="exact"/>
              <w:ind w:left="0" w:leftChars="0"/>
              <w:rPr>
                <w:rFonts w:ascii="宋体" w:hAnsi="宋体"/>
                <w:color w:val="FF0000"/>
                <w:szCs w:val="21"/>
              </w:rPr>
            </w:pPr>
          </w:p>
        </w:tc>
        <w:tc>
          <w:tcPr>
            <w:tcW w:w="1701" w:type="dxa"/>
          </w:tcPr>
          <w:p>
            <w:pPr>
              <w:pStyle w:val="10"/>
              <w:spacing w:line="400" w:lineRule="exact"/>
              <w:ind w:left="0" w:leftChars="0"/>
              <w:rPr>
                <w:rFonts w:ascii="宋体" w:hAnsi="宋体"/>
                <w:color w:val="FF0000"/>
                <w:szCs w:val="21"/>
              </w:rPr>
            </w:pPr>
          </w:p>
        </w:tc>
        <w:tc>
          <w:tcPr>
            <w:tcW w:w="1020"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c>
          <w:tcPr>
            <w:tcW w:w="1136"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59" w:type="dxa"/>
          </w:tcPr>
          <w:p>
            <w:pPr>
              <w:pStyle w:val="10"/>
              <w:spacing w:line="400" w:lineRule="exact"/>
              <w:ind w:left="0" w:leftChars="0"/>
              <w:rPr>
                <w:rFonts w:ascii="宋体" w:hAnsi="宋体"/>
                <w:color w:val="FF0000"/>
                <w:szCs w:val="21"/>
              </w:rPr>
            </w:pPr>
          </w:p>
        </w:tc>
        <w:tc>
          <w:tcPr>
            <w:tcW w:w="993" w:type="dxa"/>
          </w:tcPr>
          <w:p>
            <w:pPr>
              <w:pStyle w:val="10"/>
              <w:spacing w:line="400" w:lineRule="exact"/>
              <w:ind w:left="0" w:leftChars="0"/>
              <w:rPr>
                <w:rFonts w:ascii="宋体" w:hAnsi="宋体"/>
                <w:color w:val="FF0000"/>
                <w:szCs w:val="21"/>
              </w:rPr>
            </w:pPr>
          </w:p>
        </w:tc>
        <w:tc>
          <w:tcPr>
            <w:tcW w:w="1701" w:type="dxa"/>
          </w:tcPr>
          <w:p>
            <w:pPr>
              <w:pStyle w:val="10"/>
              <w:spacing w:line="400" w:lineRule="exact"/>
              <w:ind w:left="0" w:leftChars="0"/>
              <w:rPr>
                <w:rFonts w:ascii="宋体" w:hAnsi="宋体"/>
                <w:color w:val="FF0000"/>
                <w:szCs w:val="21"/>
              </w:rPr>
            </w:pPr>
          </w:p>
        </w:tc>
        <w:tc>
          <w:tcPr>
            <w:tcW w:w="1020"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c>
          <w:tcPr>
            <w:tcW w:w="1136"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r>
    </w:tbl>
    <w:p>
      <w:pPr>
        <w:ind w:left="420" w:leftChars="200"/>
        <w:rPr>
          <w:rFonts w:ascii="宋体" w:hAnsi="宋体"/>
          <w:sz w:val="24"/>
        </w:rPr>
      </w:pPr>
      <w:r>
        <w:rPr>
          <w:rFonts w:hint="eastAsia" w:ascii="宋体" w:hAnsi="宋体"/>
          <w:sz w:val="24"/>
        </w:rPr>
        <w:t>注：1、此表业绩是指</w:t>
      </w:r>
      <w:r>
        <w:rPr>
          <w:rFonts w:hint="eastAsia" w:ascii="宋体" w:hAnsi="宋体"/>
          <w:sz w:val="24"/>
          <w:lang w:val="en-US" w:eastAsia="zh-CN"/>
        </w:rPr>
        <w:t>2018</w:t>
      </w:r>
      <w:r>
        <w:rPr>
          <w:rFonts w:hint="eastAsia" w:ascii="宋体" w:hAnsi="宋体"/>
          <w:sz w:val="24"/>
        </w:rPr>
        <w:t>年1月1日至今，与本项目相关或相近的服务经验（参照评分细则），须附工作业绩的审计报告名称内容及签字页等证明材料。</w:t>
      </w: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pStyle w:val="5"/>
      </w:pPr>
      <w:bookmarkStart w:id="326" w:name="_Toc597"/>
      <w:bookmarkStart w:id="327" w:name="_Toc17896"/>
      <w:bookmarkStart w:id="328" w:name="_Toc5051"/>
      <w:bookmarkStart w:id="329" w:name="_Toc30924"/>
      <w:bookmarkStart w:id="330" w:name="_Toc28584"/>
      <w:bookmarkStart w:id="331" w:name="_Toc21725"/>
      <w:bookmarkStart w:id="332" w:name="_Toc17903"/>
      <w:bookmarkStart w:id="333" w:name="_Toc29269"/>
      <w:r>
        <w:rPr>
          <w:rFonts w:hint="eastAsia"/>
        </w:rPr>
        <w:t>4.服务方案（由比选申请人自行编写）</w:t>
      </w:r>
      <w:bookmarkEnd w:id="326"/>
      <w:bookmarkEnd w:id="327"/>
      <w:bookmarkEnd w:id="328"/>
      <w:bookmarkEnd w:id="329"/>
      <w:bookmarkEnd w:id="330"/>
      <w:bookmarkEnd w:id="331"/>
      <w:bookmarkEnd w:id="332"/>
      <w:bookmarkEnd w:id="333"/>
    </w:p>
    <w:p>
      <w:pPr>
        <w:ind w:firstLine="420" w:firstLineChars="150"/>
        <w:rPr>
          <w:rFonts w:ascii="宋体" w:hAnsi="宋体" w:cs="宋体"/>
          <w:sz w:val="28"/>
          <w:szCs w:val="28"/>
        </w:rPr>
      </w:pPr>
      <w:r>
        <w:rPr>
          <w:rFonts w:hint="eastAsia" w:ascii="宋体" w:hAnsi="宋体" w:cs="宋体"/>
          <w:sz w:val="28"/>
          <w:szCs w:val="28"/>
        </w:rPr>
        <w:t>注：主要从服务态度、质量控制、进度控制等方面进行阐述。该服务方案将作为合同的附件。</w:t>
      </w: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widowControl/>
        <w:jc w:val="left"/>
        <w:rPr>
          <w:rFonts w:ascii="宋体" w:hAnsi="宋体" w:cs="宋体"/>
          <w:sz w:val="28"/>
          <w:szCs w:val="28"/>
        </w:rPr>
      </w:pPr>
      <w:r>
        <w:rPr>
          <w:rFonts w:ascii="宋体" w:hAnsi="宋体" w:cs="宋体"/>
          <w:sz w:val="28"/>
          <w:szCs w:val="28"/>
        </w:rPr>
        <w:br w:type="page"/>
      </w:r>
    </w:p>
    <w:p>
      <w:pPr>
        <w:ind w:firstLine="420" w:firstLineChars="150"/>
        <w:rPr>
          <w:rFonts w:ascii="宋体" w:hAnsi="宋体" w:cs="宋体"/>
          <w:i w:val="0"/>
          <w:iCs/>
          <w:sz w:val="28"/>
          <w:szCs w:val="28"/>
        </w:rPr>
      </w:pPr>
      <w:r>
        <w:rPr>
          <w:rFonts w:ascii="宋体" w:hAnsi="宋体" w:cs="宋体"/>
          <w:i w:val="0"/>
          <w:iCs/>
          <w:sz w:val="28"/>
          <w:szCs w:val="28"/>
        </w:rPr>
        <w:t>5.其他……</w:t>
      </w:r>
    </w:p>
    <w:p>
      <w:pPr>
        <w:widowControl/>
        <w:jc w:val="left"/>
        <w:rPr>
          <w:rFonts w:ascii="宋体" w:hAnsi="宋体" w:cs="宋体"/>
          <w:i w:val="0"/>
          <w:iCs/>
          <w:sz w:val="28"/>
          <w:szCs w:val="28"/>
        </w:rPr>
      </w:pPr>
      <w:r>
        <w:rPr>
          <w:rFonts w:ascii="宋体" w:hAnsi="宋体" w:cs="宋体"/>
          <w:i w:val="0"/>
          <w:iCs/>
          <w:sz w:val="28"/>
          <w:szCs w:val="28"/>
        </w:rPr>
        <w:br w:type="page"/>
      </w:r>
    </w:p>
    <w:p>
      <w:pPr>
        <w:ind w:right="753"/>
        <w:jc w:val="left"/>
        <w:rPr>
          <w:rFonts w:ascii="宋体" w:hAnsi="宋体" w:cs="宋体"/>
          <w:sz w:val="28"/>
          <w:szCs w:val="28"/>
        </w:rPr>
      </w:pPr>
      <w:bookmarkStart w:id="334" w:name="_Toc12434"/>
      <w:bookmarkStart w:id="335" w:name="_Toc15155"/>
      <w:bookmarkStart w:id="336" w:name="_Toc24947"/>
      <w:bookmarkStart w:id="337" w:name="_Toc5462"/>
      <w:bookmarkStart w:id="338" w:name="_Toc27920"/>
      <w:bookmarkStart w:id="339" w:name="_Toc25435"/>
      <w:bookmarkStart w:id="340" w:name="_Toc9617"/>
      <w:bookmarkStart w:id="341" w:name="_Toc26103"/>
      <w:r>
        <w:rPr>
          <w:rFonts w:hint="eastAsia" w:ascii="宋体" w:hAnsi="宋体" w:cs="宋体"/>
          <w:sz w:val="28"/>
          <w:szCs w:val="28"/>
        </w:rPr>
        <w:t>（封面格式）</w:t>
      </w:r>
    </w:p>
    <w:p>
      <w:pPr>
        <w:ind w:right="753"/>
        <w:jc w:val="left"/>
        <w:rPr>
          <w:rFonts w:ascii="宋体" w:hAnsi="宋体" w:cs="宋体"/>
          <w:szCs w:val="28"/>
        </w:rPr>
      </w:pPr>
    </w:p>
    <w:p>
      <w:pPr>
        <w:ind w:right="753"/>
        <w:jc w:val="left"/>
        <w:rPr>
          <w:rFonts w:ascii="宋体" w:hAnsi="宋体" w:cs="宋体"/>
          <w:szCs w:val="28"/>
        </w:rPr>
      </w:pPr>
    </w:p>
    <w:p>
      <w:pPr>
        <w:ind w:right="753"/>
        <w:jc w:val="center"/>
        <w:rPr>
          <w:rFonts w:ascii="宋体" w:hAnsi="宋体" w:cs="宋体"/>
          <w:sz w:val="28"/>
          <w:szCs w:val="28"/>
        </w:rPr>
      </w:pPr>
      <w:r>
        <w:rPr>
          <w:rFonts w:hint="eastAsia" w:ascii="宋体" w:hAnsi="宋体" w:cs="宋体"/>
          <w:sz w:val="28"/>
          <w:szCs w:val="28"/>
        </w:rPr>
        <w:t xml:space="preserve"> 项目比选申请文件</w:t>
      </w:r>
    </w:p>
    <w:p>
      <w:pPr>
        <w:pStyle w:val="24"/>
        <w:jc w:val="center"/>
      </w:pPr>
      <w:bookmarkStart w:id="342" w:name="_Toc461525327"/>
      <w:bookmarkStart w:id="343" w:name="_Toc27059"/>
      <w:bookmarkStart w:id="344" w:name="_Toc196"/>
      <w:bookmarkStart w:id="345" w:name="_Toc10925"/>
      <w:bookmarkStart w:id="346" w:name="_Toc3587"/>
      <w:bookmarkStart w:id="347" w:name="_Toc21287"/>
      <w:bookmarkStart w:id="348" w:name="_Toc3278"/>
      <w:bookmarkStart w:id="349" w:name="_Toc15573"/>
      <w:bookmarkStart w:id="350" w:name="_Toc20460"/>
      <w:r>
        <w:rPr>
          <w:b w:val="0"/>
          <w:bCs w:val="0"/>
          <w:sz w:val="28"/>
          <w:szCs w:val="28"/>
        </w:rPr>
        <w:t>商务部分</w:t>
      </w:r>
      <w:bookmarkEnd w:id="342"/>
      <w:bookmarkEnd w:id="343"/>
      <w:bookmarkEnd w:id="344"/>
      <w:bookmarkEnd w:id="345"/>
      <w:bookmarkEnd w:id="346"/>
      <w:bookmarkEnd w:id="347"/>
      <w:bookmarkEnd w:id="348"/>
      <w:bookmarkEnd w:id="349"/>
      <w:bookmarkEnd w:id="350"/>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 w:val="28"/>
          <w:szCs w:val="28"/>
        </w:rPr>
      </w:pPr>
    </w:p>
    <w:p>
      <w:pPr>
        <w:ind w:right="753"/>
        <w:jc w:val="left"/>
        <w:rPr>
          <w:rFonts w:hint="eastAsia" w:ascii="宋体" w:hAnsi="宋体" w:cs="宋体"/>
          <w:sz w:val="28"/>
          <w:szCs w:val="28"/>
        </w:rPr>
      </w:pPr>
      <w:r>
        <w:rPr>
          <w:rFonts w:hint="eastAsia" w:ascii="宋体" w:hAnsi="宋体" w:cs="宋体"/>
          <w:sz w:val="28"/>
          <w:szCs w:val="28"/>
        </w:rPr>
        <w:t>比选申请人：（</w:t>
      </w:r>
      <w:r>
        <w:rPr>
          <w:rFonts w:hint="eastAsia" w:ascii="宋体" w:hAnsi="宋体" w:cs="宋体"/>
          <w:sz w:val="28"/>
          <w:szCs w:val="28"/>
          <w:lang w:val="en-US" w:eastAsia="zh-CN"/>
        </w:rPr>
        <w:t>加</w:t>
      </w:r>
      <w:r>
        <w:rPr>
          <w:rFonts w:hint="eastAsia" w:ascii="宋体" w:hAnsi="宋体" w:cs="宋体"/>
          <w:sz w:val="28"/>
          <w:szCs w:val="28"/>
        </w:rPr>
        <w:t>盖</w:t>
      </w:r>
      <w:r>
        <w:rPr>
          <w:rFonts w:hint="eastAsia" w:ascii="宋体" w:hAnsi="宋体" w:cs="宋体"/>
          <w:sz w:val="28"/>
          <w:szCs w:val="28"/>
          <w:lang w:val="en-US" w:eastAsia="zh-CN"/>
        </w:rPr>
        <w:t>单位公</w:t>
      </w:r>
      <w:r>
        <w:rPr>
          <w:rFonts w:hint="eastAsia" w:ascii="宋体" w:hAnsi="宋体" w:cs="宋体"/>
          <w:sz w:val="28"/>
          <w:szCs w:val="28"/>
        </w:rPr>
        <w:t>章）</w:t>
      </w:r>
    </w:p>
    <w:p>
      <w:pPr>
        <w:ind w:right="753"/>
        <w:jc w:val="left"/>
        <w:rPr>
          <w:rFonts w:ascii="宋体" w:hAnsi="宋体" w:cs="宋体"/>
          <w:sz w:val="28"/>
          <w:szCs w:val="28"/>
        </w:rPr>
      </w:pPr>
      <w:r>
        <w:rPr>
          <w:rFonts w:hint="eastAsia" w:ascii="宋体" w:hAnsi="宋体" w:cs="宋体"/>
          <w:sz w:val="28"/>
          <w:szCs w:val="28"/>
        </w:rPr>
        <w:t>法定代表人（负责人）或委托代理人：（签字）</w:t>
      </w:r>
    </w:p>
    <w:p>
      <w:pPr>
        <w:ind w:right="753"/>
        <w:jc w:val="left"/>
        <w:rPr>
          <w:rFonts w:ascii="宋体" w:hAnsi="宋体" w:cs="宋体"/>
          <w:sz w:val="28"/>
          <w:szCs w:val="28"/>
        </w:rPr>
      </w:pPr>
      <w:bookmarkStart w:id="351" w:name="_Toc333307134"/>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 xml:space="preserve">     年    </w:t>
      </w:r>
      <w:bookmarkEnd w:id="351"/>
      <w:r>
        <w:rPr>
          <w:rFonts w:hint="eastAsia" w:ascii="宋体" w:hAnsi="宋体" w:cs="宋体"/>
          <w:sz w:val="28"/>
          <w:szCs w:val="28"/>
        </w:rPr>
        <w:t>月</w:t>
      </w:r>
      <w:bookmarkStart w:id="352" w:name="_Toc333307135"/>
      <w:r>
        <w:rPr>
          <w:rFonts w:hint="eastAsia" w:ascii="宋体" w:hAnsi="宋体" w:cs="宋体"/>
          <w:sz w:val="28"/>
          <w:szCs w:val="28"/>
        </w:rPr>
        <w:t xml:space="preserve">    日</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pStyle w:val="4"/>
        <w:jc w:val="center"/>
        <w:rPr>
          <w:b/>
        </w:rPr>
      </w:pPr>
      <w:bookmarkStart w:id="353" w:name="_Toc16542"/>
      <w:bookmarkStart w:id="354" w:name="_Toc21835"/>
      <w:bookmarkStart w:id="355" w:name="_Toc17346"/>
      <w:bookmarkStart w:id="356" w:name="_Toc11015"/>
      <w:bookmarkStart w:id="357" w:name="_Toc24408"/>
      <w:bookmarkStart w:id="358" w:name="_Toc30879"/>
      <w:bookmarkStart w:id="359" w:name="_Toc24524"/>
      <w:bookmarkStart w:id="360" w:name="_Toc5616"/>
      <w:bookmarkStart w:id="361" w:name="_Toc471482372"/>
      <w:bookmarkStart w:id="362" w:name="_Toc4901"/>
      <w:bookmarkStart w:id="363" w:name="_Toc2010"/>
      <w:bookmarkStart w:id="364" w:name="_Toc7127"/>
      <w:bookmarkStart w:id="365" w:name="_Toc461525328"/>
      <w:r>
        <w:rPr>
          <w:rFonts w:hint="eastAsia"/>
          <w:b/>
        </w:rPr>
        <w:t>三、商务部分材料目录</w:t>
      </w:r>
      <w:bookmarkEnd w:id="353"/>
      <w:bookmarkEnd w:id="354"/>
      <w:bookmarkEnd w:id="355"/>
      <w:bookmarkEnd w:id="356"/>
      <w:bookmarkEnd w:id="357"/>
      <w:bookmarkEnd w:id="358"/>
      <w:bookmarkEnd w:id="359"/>
      <w:bookmarkEnd w:id="360"/>
      <w:bookmarkEnd w:id="361"/>
      <w:bookmarkEnd w:id="362"/>
      <w:bookmarkEnd w:id="363"/>
      <w:bookmarkEnd w:id="364"/>
      <w:bookmarkEnd w:id="365"/>
    </w:p>
    <w:bookmarkEnd w:id="352"/>
    <w:p>
      <w:pPr>
        <w:ind w:right="753"/>
        <w:jc w:val="left"/>
        <w:rPr>
          <w:rFonts w:ascii="宋体" w:hAnsi="宋体" w:cs="宋体"/>
          <w:sz w:val="28"/>
          <w:szCs w:val="28"/>
        </w:rPr>
      </w:pPr>
      <w:r>
        <w:rPr>
          <w:rFonts w:hint="eastAsia" w:ascii="宋体" w:hAnsi="宋体" w:cs="宋体"/>
          <w:sz w:val="28"/>
          <w:szCs w:val="28"/>
        </w:rPr>
        <w:t xml:space="preserve">   1.报价表；</w:t>
      </w:r>
    </w:p>
    <w:p>
      <w:pPr>
        <w:ind w:right="753"/>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pStyle w:val="5"/>
      </w:pPr>
      <w:bookmarkStart w:id="366" w:name="_Toc1148"/>
      <w:bookmarkStart w:id="367" w:name="_Toc26609"/>
      <w:bookmarkStart w:id="368" w:name="_Toc3569"/>
      <w:bookmarkStart w:id="369" w:name="_Toc17958"/>
      <w:bookmarkStart w:id="370" w:name="_Toc25896"/>
      <w:bookmarkStart w:id="371" w:name="_Toc29844"/>
      <w:bookmarkStart w:id="372" w:name="_Toc29457"/>
      <w:bookmarkStart w:id="373" w:name="_Toc6408"/>
      <w:bookmarkStart w:id="374" w:name="_Toc25214"/>
      <w:bookmarkStart w:id="375" w:name="_Toc20415"/>
      <w:bookmarkStart w:id="376" w:name="_Toc9748"/>
      <w:bookmarkStart w:id="377" w:name="_Toc461525330"/>
      <w:r>
        <w:rPr>
          <w:rFonts w:hint="eastAsia"/>
        </w:rPr>
        <w:t>1.报价表</w:t>
      </w:r>
      <w:bookmarkEnd w:id="366"/>
      <w:bookmarkEnd w:id="367"/>
      <w:r>
        <w:rPr>
          <w:rFonts w:hint="eastAsia"/>
        </w:rPr>
        <w:t>（格式）</w:t>
      </w:r>
      <w:bookmarkEnd w:id="368"/>
      <w:bookmarkEnd w:id="369"/>
      <w:bookmarkEnd w:id="370"/>
      <w:bookmarkEnd w:id="371"/>
      <w:bookmarkEnd w:id="372"/>
      <w:bookmarkEnd w:id="373"/>
      <w:bookmarkEnd w:id="374"/>
      <w:bookmarkEnd w:id="375"/>
      <w:bookmarkEnd w:id="376"/>
      <w:bookmarkEnd w:id="377"/>
    </w:p>
    <w:tbl>
      <w:tblPr>
        <w:tblStyle w:val="25"/>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72"/>
        <w:gridCol w:w="1559"/>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Align w:val="center"/>
          </w:tcPr>
          <w:p>
            <w:pPr>
              <w:jc w:val="center"/>
              <w:rPr>
                <w:rFonts w:ascii="宋体" w:hAnsi="宋体" w:cs="宋体"/>
                <w:sz w:val="28"/>
                <w:szCs w:val="28"/>
              </w:rPr>
            </w:pPr>
            <w:r>
              <w:rPr>
                <w:rFonts w:hint="eastAsia" w:ascii="宋体" w:hAnsi="宋体" w:cs="宋体"/>
                <w:sz w:val="28"/>
                <w:szCs w:val="28"/>
              </w:rPr>
              <w:t>序号</w:t>
            </w:r>
          </w:p>
        </w:tc>
        <w:tc>
          <w:tcPr>
            <w:tcW w:w="2772" w:type="dxa"/>
            <w:vAlign w:val="center"/>
          </w:tcPr>
          <w:p>
            <w:pPr>
              <w:jc w:val="center"/>
              <w:rPr>
                <w:rFonts w:ascii="宋体" w:hAnsi="宋体" w:cs="宋体"/>
                <w:sz w:val="28"/>
                <w:szCs w:val="28"/>
              </w:rPr>
            </w:pPr>
            <w:r>
              <w:rPr>
                <w:rFonts w:hint="eastAsia" w:ascii="宋体" w:hAnsi="宋体" w:cs="宋体"/>
                <w:sz w:val="28"/>
                <w:szCs w:val="28"/>
              </w:rPr>
              <w:t>服务内容</w:t>
            </w:r>
          </w:p>
        </w:tc>
        <w:tc>
          <w:tcPr>
            <w:tcW w:w="1559" w:type="dxa"/>
            <w:vAlign w:val="center"/>
          </w:tcPr>
          <w:p>
            <w:pPr>
              <w:jc w:val="center"/>
              <w:rPr>
                <w:rFonts w:ascii="宋体" w:hAnsi="宋体" w:cs="宋体"/>
                <w:sz w:val="28"/>
                <w:szCs w:val="28"/>
              </w:rPr>
            </w:pPr>
            <w:r>
              <w:rPr>
                <w:rFonts w:hint="eastAsia" w:ascii="宋体" w:hAnsi="宋体" w:cs="宋体"/>
                <w:sz w:val="28"/>
                <w:szCs w:val="28"/>
              </w:rPr>
              <w:t>服务期限</w:t>
            </w:r>
          </w:p>
        </w:tc>
        <w:tc>
          <w:tcPr>
            <w:tcW w:w="3118" w:type="dxa"/>
            <w:vAlign w:val="center"/>
          </w:tcPr>
          <w:p>
            <w:pPr>
              <w:jc w:val="center"/>
              <w:rPr>
                <w:rFonts w:ascii="宋体" w:hAnsi="宋体" w:cs="宋体"/>
                <w:sz w:val="28"/>
                <w:szCs w:val="28"/>
              </w:rPr>
            </w:pPr>
            <w:r>
              <w:rPr>
                <w:rFonts w:hint="eastAsia" w:ascii="宋体" w:hAnsi="宋体" w:cs="宋体"/>
                <w:sz w:val="28"/>
                <w:szCs w:val="28"/>
              </w:rPr>
              <w:t xml:space="preserve">报价  </w:t>
            </w:r>
          </w:p>
        </w:tc>
        <w:tc>
          <w:tcPr>
            <w:tcW w:w="1417" w:type="dxa"/>
          </w:tcPr>
          <w:p>
            <w:pPr>
              <w:jc w:val="center"/>
              <w:rPr>
                <w:rFonts w:ascii="宋体" w:hAnsi="宋体" w:cs="宋体"/>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051" w:type="dxa"/>
            <w:vAlign w:val="center"/>
          </w:tcPr>
          <w:p>
            <w:pPr>
              <w:jc w:val="center"/>
              <w:rPr>
                <w:rFonts w:ascii="宋体" w:hAnsi="宋体" w:cs="宋体"/>
                <w:sz w:val="28"/>
                <w:szCs w:val="28"/>
              </w:rPr>
            </w:pPr>
            <w:r>
              <w:rPr>
                <w:rFonts w:hint="eastAsia" w:ascii="宋体" w:hAnsi="宋体" w:cs="宋体"/>
                <w:sz w:val="28"/>
                <w:szCs w:val="28"/>
              </w:rPr>
              <w:t>1</w:t>
            </w:r>
          </w:p>
        </w:tc>
        <w:tc>
          <w:tcPr>
            <w:tcW w:w="2772" w:type="dxa"/>
            <w:vAlign w:val="center"/>
          </w:tcPr>
          <w:p>
            <w:pPr>
              <w:jc w:val="left"/>
              <w:rPr>
                <w:rFonts w:ascii="宋体" w:hAnsi="宋体" w:cs="宋体"/>
                <w:sz w:val="28"/>
                <w:szCs w:val="28"/>
              </w:rPr>
            </w:pPr>
            <w:r>
              <w:rPr>
                <w:rFonts w:hint="eastAsia" w:ascii="宋体" w:hAnsi="宋体" w:cs="宋体"/>
                <w:sz w:val="28"/>
                <w:szCs w:val="28"/>
              </w:rPr>
              <w:t>南宁公共交通集团有限公司法定代表人任中和原总经理离任（2017年5月至2022年12月）经济责任审计</w:t>
            </w:r>
          </w:p>
        </w:tc>
        <w:tc>
          <w:tcPr>
            <w:tcW w:w="1559" w:type="dxa"/>
            <w:vAlign w:val="center"/>
          </w:tcPr>
          <w:p>
            <w:pPr>
              <w:jc w:val="center"/>
              <w:rPr>
                <w:rFonts w:ascii="宋体" w:hAnsi="宋体" w:cs="宋体"/>
                <w:sz w:val="28"/>
                <w:szCs w:val="28"/>
              </w:rPr>
            </w:pPr>
          </w:p>
        </w:tc>
        <w:tc>
          <w:tcPr>
            <w:tcW w:w="3118" w:type="dxa"/>
            <w:vAlign w:val="center"/>
          </w:tcPr>
          <w:p>
            <w:pPr>
              <w:rPr>
                <w:rFonts w:ascii="宋体" w:hAnsi="宋体" w:cs="宋体"/>
                <w:sz w:val="24"/>
              </w:rPr>
            </w:pPr>
            <w:r>
              <w:rPr>
                <w:rFonts w:hint="eastAsia" w:ascii="宋体" w:hAnsi="宋体" w:cs="宋体"/>
                <w:sz w:val="24"/>
              </w:rPr>
              <w:t>不含税：</w:t>
            </w:r>
          </w:p>
          <w:p>
            <w:pPr>
              <w:rPr>
                <w:rFonts w:ascii="宋体" w:hAnsi="宋体" w:cs="宋体"/>
                <w:sz w:val="24"/>
              </w:rPr>
            </w:pPr>
          </w:p>
          <w:p>
            <w:pPr>
              <w:rPr>
                <w:rFonts w:ascii="宋体" w:hAnsi="宋体" w:cs="宋体"/>
                <w:sz w:val="24"/>
              </w:rPr>
            </w:pPr>
            <w:r>
              <w:rPr>
                <w:rFonts w:hint="eastAsia" w:ascii="宋体" w:hAnsi="宋体" w:cs="宋体"/>
                <w:sz w:val="24"/>
              </w:rPr>
              <w:t>税率（ %）</w:t>
            </w:r>
          </w:p>
          <w:p>
            <w:pPr>
              <w:rPr>
                <w:rFonts w:ascii="宋体" w:hAnsi="宋体" w:cs="宋体"/>
                <w:sz w:val="24"/>
              </w:rPr>
            </w:pPr>
          </w:p>
          <w:p>
            <w:pPr>
              <w:rPr>
                <w:rFonts w:ascii="宋体" w:hAnsi="宋体" w:cs="宋体"/>
                <w:sz w:val="24"/>
              </w:rPr>
            </w:pPr>
            <w:r>
              <w:rPr>
                <w:rFonts w:hint="eastAsia" w:ascii="宋体" w:hAnsi="宋体" w:cs="宋体"/>
                <w:sz w:val="24"/>
              </w:rPr>
              <w:t>价税合计：</w:t>
            </w:r>
          </w:p>
        </w:tc>
        <w:tc>
          <w:tcPr>
            <w:tcW w:w="1417" w:type="dxa"/>
          </w:tcPr>
          <w:p>
            <w:pPr>
              <w:rPr>
                <w:rFonts w:ascii="宋体" w:hAnsi="宋体" w:cs="宋体"/>
                <w:sz w:val="24"/>
              </w:rPr>
            </w:pPr>
          </w:p>
        </w:tc>
      </w:tr>
    </w:tbl>
    <w:p>
      <w:pPr>
        <w:jc w:val="left"/>
        <w:rPr>
          <w:rFonts w:ascii="宋体" w:hAnsi="宋体" w:cs="宋体"/>
          <w:sz w:val="28"/>
          <w:szCs w:val="28"/>
        </w:rPr>
      </w:pPr>
      <w:r>
        <w:rPr>
          <w:rFonts w:hint="eastAsia" w:ascii="宋体" w:hAnsi="宋体" w:cs="宋体"/>
          <w:sz w:val="28"/>
          <w:szCs w:val="28"/>
        </w:rPr>
        <w:t>注：1、本表根据需要可扩展。未按照本比选报价表的格式及要求填写比选报价表的，将视为不满足比选文件要求，从而导致该比选申请人竞选无效。</w:t>
      </w:r>
    </w:p>
    <w:p>
      <w:pPr>
        <w:jc w:val="left"/>
        <w:rPr>
          <w:rFonts w:ascii="宋体" w:hAnsi="宋体" w:cs="宋体"/>
          <w:sz w:val="28"/>
          <w:szCs w:val="28"/>
          <w:u w:val="single"/>
        </w:rPr>
      </w:pPr>
      <w:r>
        <w:rPr>
          <w:rFonts w:ascii="宋体" w:hAnsi="宋体" w:cs="宋体"/>
          <w:sz w:val="28"/>
          <w:szCs w:val="28"/>
          <w:u w:val="single"/>
        </w:rPr>
        <w:t>2</w:t>
      </w:r>
      <w:r>
        <w:rPr>
          <w:rFonts w:hint="eastAsia" w:ascii="宋体" w:hAnsi="宋体" w:cs="宋体"/>
          <w:sz w:val="28"/>
          <w:szCs w:val="28"/>
          <w:u w:val="single"/>
        </w:rPr>
        <w:t>、以本表中不含税报价作为评审基准价以及评分的确定依据。</w:t>
      </w:r>
    </w:p>
    <w:p>
      <w:pPr>
        <w:spacing w:line="360" w:lineRule="auto"/>
        <w:ind w:right="564" w:rightChars="269"/>
        <w:jc w:val="left"/>
        <w:rPr>
          <w:rFonts w:ascii="宋体" w:hAnsi="宋体" w:cs="宋体"/>
          <w:sz w:val="28"/>
          <w:szCs w:val="28"/>
        </w:rPr>
      </w:pPr>
    </w:p>
    <w:p>
      <w:pPr>
        <w:spacing w:line="360" w:lineRule="auto"/>
        <w:ind w:right="564" w:rightChars="269"/>
        <w:jc w:val="left"/>
        <w:rPr>
          <w:rFonts w:ascii="宋体" w:hAnsi="宋体" w:cs="宋体"/>
          <w:sz w:val="28"/>
          <w:szCs w:val="28"/>
        </w:rPr>
      </w:pPr>
      <w:r>
        <w:rPr>
          <w:rFonts w:hint="eastAsia" w:ascii="宋体" w:hAnsi="宋体" w:cs="宋体"/>
          <w:sz w:val="28"/>
          <w:szCs w:val="28"/>
        </w:rPr>
        <w:t>比选申请人（</w:t>
      </w:r>
      <w:r>
        <w:rPr>
          <w:rFonts w:hint="eastAsia" w:ascii="宋体" w:hAnsi="宋体" w:cs="宋体"/>
          <w:sz w:val="28"/>
          <w:szCs w:val="28"/>
          <w:lang w:val="en-US" w:eastAsia="zh-CN"/>
        </w:rPr>
        <w:t>加盖单位</w:t>
      </w:r>
      <w:r>
        <w:rPr>
          <w:rFonts w:hint="eastAsia" w:ascii="宋体" w:hAnsi="宋体" w:cs="宋体"/>
          <w:sz w:val="28"/>
          <w:szCs w:val="28"/>
        </w:rPr>
        <w:t xml:space="preserve">公章）                             </w:t>
      </w:r>
    </w:p>
    <w:p>
      <w:pPr>
        <w:jc w:val="left"/>
        <w:rPr>
          <w:rFonts w:ascii="宋体" w:hAnsi="宋体" w:cs="宋体"/>
          <w:sz w:val="28"/>
          <w:szCs w:val="28"/>
        </w:rPr>
      </w:pPr>
      <w:r>
        <w:rPr>
          <w:rFonts w:hint="eastAsia" w:ascii="宋体" w:hAnsi="宋体" w:cs="宋体"/>
          <w:sz w:val="28"/>
          <w:szCs w:val="28"/>
        </w:rPr>
        <w:t xml:space="preserve">法定代表人（负责人）或其委托代理人：（签字） </w:t>
      </w: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ind w:right="753"/>
        <w:jc w:val="left"/>
        <w:rPr>
          <w:rFonts w:ascii="宋体" w:hAnsi="宋体" w:cs="宋体"/>
          <w:szCs w:val="28"/>
        </w:rPr>
      </w:pPr>
    </w:p>
    <w:bookmarkEnd w:id="316"/>
    <w:bookmarkEnd w:id="317"/>
    <w:bookmarkEnd w:id="334"/>
    <w:bookmarkEnd w:id="335"/>
    <w:bookmarkEnd w:id="336"/>
    <w:bookmarkEnd w:id="337"/>
    <w:bookmarkEnd w:id="338"/>
    <w:bookmarkEnd w:id="339"/>
    <w:bookmarkEnd w:id="340"/>
    <w:bookmarkEnd w:id="341"/>
    <w:p>
      <w:pPr>
        <w:pStyle w:val="3"/>
      </w:pPr>
      <w:bookmarkStart w:id="378" w:name="_Toc471482373"/>
      <w:r>
        <w:rPr>
          <w:rFonts w:hint="eastAsia"/>
        </w:rPr>
        <w:t>第四章</w:t>
      </w:r>
      <w:r>
        <w:rPr>
          <w:rFonts w:hint="eastAsia"/>
          <w:lang w:val="en-US" w:eastAsia="zh-CN"/>
        </w:rPr>
        <w:t xml:space="preserve"> </w:t>
      </w:r>
      <w:r>
        <w:rPr>
          <w:rFonts w:hint="eastAsia"/>
        </w:rPr>
        <w:t>评比办法</w:t>
      </w:r>
      <w:bookmarkEnd w:id="378"/>
    </w:p>
    <w:p>
      <w:pPr>
        <w:pStyle w:val="4"/>
      </w:pPr>
      <w:bookmarkStart w:id="379" w:name="_Toc2996"/>
      <w:bookmarkStart w:id="380" w:name="_Toc16236"/>
      <w:bookmarkStart w:id="381" w:name="_Toc10015"/>
      <w:bookmarkStart w:id="382" w:name="_Toc471482374"/>
      <w:bookmarkStart w:id="383" w:name="_Toc2433"/>
      <w:bookmarkStart w:id="384" w:name="_Toc3898"/>
      <w:bookmarkStart w:id="385" w:name="_Toc17031"/>
      <w:bookmarkStart w:id="386" w:name="_Toc31412"/>
      <w:bookmarkStart w:id="387" w:name="_Toc28938"/>
      <w:bookmarkStart w:id="388" w:name="_Toc7201"/>
      <w:r>
        <w:rPr>
          <w:rFonts w:hint="eastAsia"/>
        </w:rPr>
        <w:t>一、综合评分办法</w:t>
      </w:r>
      <w:bookmarkEnd w:id="379"/>
      <w:bookmarkEnd w:id="380"/>
      <w:bookmarkEnd w:id="381"/>
      <w:bookmarkEnd w:id="382"/>
      <w:bookmarkEnd w:id="383"/>
      <w:bookmarkEnd w:id="384"/>
      <w:bookmarkEnd w:id="385"/>
      <w:bookmarkEnd w:id="386"/>
      <w:bookmarkEnd w:id="387"/>
      <w:bookmarkEnd w:id="388"/>
    </w:p>
    <w:p>
      <w:pPr>
        <w:ind w:right="753" w:firstLine="560" w:firstLineChars="200"/>
        <w:jc w:val="left"/>
        <w:rPr>
          <w:rFonts w:ascii="宋体" w:hAnsi="宋体" w:cs="宋体"/>
          <w:sz w:val="28"/>
          <w:szCs w:val="28"/>
        </w:rPr>
      </w:pPr>
      <w:r>
        <w:rPr>
          <w:rFonts w:hint="eastAsia" w:ascii="宋体" w:hAnsi="宋体" w:cs="宋体"/>
          <w:sz w:val="28"/>
          <w:szCs w:val="28"/>
        </w:rPr>
        <w:t>评</w:t>
      </w:r>
      <w:r>
        <w:rPr>
          <w:rFonts w:hint="eastAsia" w:ascii="宋体" w:hAnsi="宋体" w:cs="宋体"/>
          <w:sz w:val="28"/>
          <w:szCs w:val="28"/>
          <w:lang w:val="en-US" w:eastAsia="zh-CN"/>
        </w:rPr>
        <w:t>审小组</w:t>
      </w:r>
      <w:r>
        <w:rPr>
          <w:rFonts w:hint="eastAsia" w:ascii="宋体" w:hAnsi="宋体" w:cs="宋体"/>
          <w:sz w:val="28"/>
          <w:szCs w:val="28"/>
        </w:rPr>
        <w:t>首先对比选申请人进行资格审查，评</w:t>
      </w:r>
      <w:r>
        <w:rPr>
          <w:rFonts w:hint="eastAsia" w:ascii="宋体" w:hAnsi="宋体" w:cs="宋体"/>
          <w:sz w:val="28"/>
          <w:szCs w:val="28"/>
          <w:lang w:val="en-US" w:eastAsia="zh-CN"/>
        </w:rPr>
        <w:t>审小组</w:t>
      </w:r>
      <w:r>
        <w:rPr>
          <w:rFonts w:hint="eastAsia" w:ascii="宋体" w:hAnsi="宋体" w:cs="宋体"/>
          <w:sz w:val="28"/>
          <w:szCs w:val="28"/>
        </w:rPr>
        <w:t>对通过资格审查的比选申请人按相应的评分细则对技术部分、商务部分各自进行打分后进行汇总，比选申请人的最终得分是评</w:t>
      </w:r>
      <w:r>
        <w:rPr>
          <w:rFonts w:hint="eastAsia" w:ascii="宋体" w:hAnsi="宋体" w:cs="宋体"/>
          <w:sz w:val="28"/>
          <w:szCs w:val="28"/>
          <w:lang w:val="en-US" w:eastAsia="zh-CN"/>
        </w:rPr>
        <w:t>审小组</w:t>
      </w:r>
      <w:r>
        <w:rPr>
          <w:rFonts w:hint="eastAsia" w:ascii="宋体" w:hAnsi="宋体" w:cs="宋体"/>
          <w:sz w:val="28"/>
          <w:szCs w:val="28"/>
        </w:rPr>
        <w:t>每一位成员综合得分计算出来的算术平均值。</w:t>
      </w:r>
    </w:p>
    <w:p>
      <w:pPr>
        <w:ind w:right="753" w:firstLine="560" w:firstLineChars="200"/>
        <w:jc w:val="left"/>
        <w:rPr>
          <w:rFonts w:ascii="宋体" w:hAnsi="宋体" w:cs="宋体"/>
          <w:sz w:val="28"/>
          <w:szCs w:val="28"/>
        </w:rPr>
      </w:pPr>
      <w:r>
        <w:rPr>
          <w:rFonts w:hint="eastAsia" w:ascii="宋体" w:hAnsi="宋体" w:cs="宋体"/>
          <w:sz w:val="28"/>
          <w:szCs w:val="28"/>
        </w:rPr>
        <w:t>1.资格评审：对比选申请人的资格条件、比选申请文件的完整性和有效性、比选申请文件的有效期等方面进行审查。通过资格评审的比选申请文件进入技术、商务评审。</w:t>
      </w:r>
    </w:p>
    <w:p>
      <w:pPr>
        <w:ind w:right="753" w:firstLine="560" w:firstLineChars="200"/>
        <w:jc w:val="left"/>
        <w:rPr>
          <w:rFonts w:ascii="宋体" w:hAnsi="宋体" w:cs="宋体"/>
          <w:sz w:val="28"/>
          <w:szCs w:val="28"/>
        </w:rPr>
      </w:pPr>
      <w:r>
        <w:rPr>
          <w:rFonts w:hint="eastAsia" w:ascii="宋体" w:hAnsi="宋体" w:cs="宋体"/>
          <w:sz w:val="28"/>
          <w:szCs w:val="28"/>
        </w:rPr>
        <w:t>2.技术、商务评审：由评审小组按照比选文件的要求，对照比选申请文件的应答进行比较，并对各比选申请文件的技术、商务内容进行评审，且技术部分、商务部分由评审小组讨论定档后进行打分。</w:t>
      </w:r>
    </w:p>
    <w:p>
      <w:pPr>
        <w:ind w:right="753" w:firstLine="560" w:firstLineChars="200"/>
        <w:jc w:val="left"/>
        <w:rPr>
          <w:rFonts w:ascii="宋体" w:hAnsi="宋体" w:cs="宋体"/>
          <w:sz w:val="28"/>
          <w:szCs w:val="28"/>
        </w:rPr>
      </w:pPr>
      <w:r>
        <w:rPr>
          <w:rFonts w:hint="eastAsia" w:ascii="宋体" w:hAnsi="宋体" w:cs="宋体"/>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评审小组的要求。如比选申请人拒绝接受澄清、说明或补正，该报价做无效报价处理。</w:t>
      </w:r>
    </w:p>
    <w:p>
      <w:pPr>
        <w:ind w:right="753" w:firstLine="560" w:firstLineChars="200"/>
        <w:jc w:val="left"/>
        <w:rPr>
          <w:rFonts w:ascii="宋体" w:hAnsi="宋体" w:cs="宋体"/>
          <w:sz w:val="28"/>
          <w:szCs w:val="28"/>
        </w:rPr>
      </w:pPr>
      <w:r>
        <w:rPr>
          <w:rFonts w:hint="eastAsia" w:ascii="宋体" w:hAnsi="宋体" w:cs="宋体"/>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ind w:right="753" w:firstLine="560" w:firstLineChars="200"/>
        <w:jc w:val="left"/>
        <w:rPr>
          <w:rFonts w:ascii="宋体" w:hAnsi="宋体" w:cs="宋体"/>
          <w:sz w:val="28"/>
          <w:szCs w:val="28"/>
        </w:rPr>
      </w:pPr>
      <w:r>
        <w:rPr>
          <w:rFonts w:hint="eastAsia" w:ascii="宋体" w:hAnsi="宋体" w:cs="宋体"/>
          <w:sz w:val="28"/>
          <w:szCs w:val="28"/>
        </w:rPr>
        <w:t>（1）如果数字表示的金额和用文字表示的金额不一致时，应以文字表示的金额为准；</w:t>
      </w:r>
    </w:p>
    <w:p>
      <w:pPr>
        <w:ind w:right="753" w:firstLine="560" w:firstLineChars="200"/>
        <w:jc w:val="left"/>
        <w:rPr>
          <w:rFonts w:ascii="宋体" w:hAnsi="宋体" w:cs="宋体"/>
          <w:sz w:val="28"/>
          <w:szCs w:val="28"/>
        </w:rPr>
      </w:pPr>
      <w:r>
        <w:rPr>
          <w:rFonts w:hint="eastAsia" w:ascii="宋体" w:hAnsi="宋体" w:cs="宋体"/>
          <w:sz w:val="28"/>
          <w:szCs w:val="28"/>
        </w:rPr>
        <w:t>（2）当单价与数量的乘积与合价不一致时，以合价为准，并调整单价；</w:t>
      </w:r>
    </w:p>
    <w:p>
      <w:pPr>
        <w:ind w:right="753" w:firstLine="560" w:firstLineChars="200"/>
        <w:jc w:val="left"/>
        <w:rPr>
          <w:rFonts w:ascii="宋体" w:hAnsi="宋体" w:cs="宋体"/>
          <w:sz w:val="28"/>
          <w:szCs w:val="28"/>
        </w:rPr>
      </w:pPr>
      <w:r>
        <w:rPr>
          <w:rFonts w:hint="eastAsia" w:ascii="宋体" w:hAnsi="宋体" w:cs="宋体"/>
          <w:sz w:val="28"/>
          <w:szCs w:val="28"/>
        </w:rPr>
        <w:t>（3）当合价与报价总价不一致时，以报价总价为准，调整相关合价；</w:t>
      </w:r>
    </w:p>
    <w:p>
      <w:pPr>
        <w:ind w:right="753" w:firstLine="560" w:firstLineChars="200"/>
        <w:jc w:val="left"/>
        <w:rPr>
          <w:rFonts w:ascii="宋体" w:hAnsi="宋体" w:cs="宋体"/>
          <w:sz w:val="28"/>
          <w:szCs w:val="28"/>
        </w:rPr>
      </w:pPr>
      <w:r>
        <w:rPr>
          <w:rFonts w:hint="eastAsia" w:ascii="宋体" w:hAnsi="宋体" w:cs="宋体"/>
          <w:sz w:val="28"/>
          <w:szCs w:val="28"/>
        </w:rPr>
        <w:t>（4）评审期间，比选评审小组不接受任何比选申请人主动提出的对报价及单价、合价的调整；</w:t>
      </w:r>
    </w:p>
    <w:p>
      <w:pPr>
        <w:ind w:right="753" w:firstLine="560" w:firstLineChars="200"/>
        <w:jc w:val="left"/>
        <w:rPr>
          <w:rFonts w:ascii="宋体" w:hAnsi="宋体" w:cs="宋体"/>
          <w:sz w:val="28"/>
          <w:szCs w:val="28"/>
        </w:rPr>
      </w:pPr>
      <w:r>
        <w:rPr>
          <w:rFonts w:hint="eastAsia" w:ascii="宋体" w:hAnsi="宋体" w:cs="宋体"/>
          <w:sz w:val="28"/>
          <w:szCs w:val="28"/>
        </w:rPr>
        <w:t>（5）其它未尽事宜，由评审小组审议确定(如意见不一致时，以记名方式投票确定)。</w:t>
      </w:r>
    </w:p>
    <w:p>
      <w:pPr>
        <w:ind w:right="753" w:firstLine="560" w:firstLineChars="200"/>
        <w:jc w:val="left"/>
        <w:rPr>
          <w:rFonts w:ascii="宋体" w:hAnsi="宋体" w:cs="宋体"/>
          <w:sz w:val="28"/>
          <w:szCs w:val="28"/>
        </w:rPr>
      </w:pPr>
      <w:r>
        <w:rPr>
          <w:rFonts w:hint="eastAsia" w:ascii="宋体" w:hAnsi="宋体" w:cs="宋体"/>
          <w:sz w:val="28"/>
          <w:szCs w:val="28"/>
        </w:rPr>
        <w:t>5.</w:t>
      </w:r>
      <w:r>
        <w:rPr>
          <w:rFonts w:ascii="宋体" w:hAnsi="宋体" w:cs="宋体"/>
          <w:sz w:val="28"/>
          <w:szCs w:val="28"/>
        </w:rPr>
        <w:t>在评审过程中，评审</w:t>
      </w:r>
      <w:r>
        <w:rPr>
          <w:rFonts w:hint="eastAsia" w:ascii="宋体" w:hAnsi="宋体" w:cs="宋体"/>
          <w:sz w:val="28"/>
          <w:szCs w:val="28"/>
          <w:lang w:val="en-US" w:eastAsia="zh-CN"/>
        </w:rPr>
        <w:t>小组</w:t>
      </w:r>
      <w:r>
        <w:rPr>
          <w:rFonts w:ascii="宋体" w:hAnsi="宋体" w:cs="宋体"/>
          <w:sz w:val="28"/>
          <w:szCs w:val="28"/>
        </w:rPr>
        <w:t>发现投标人的报价明显低于其他投标报价，使得其投标报价可能低于其成本的，应当要求该比选申请人做出书面说明并提供相关证明材料。比选申请人不能合理说明或者不能提供相关证明材料的，由评审</w:t>
      </w:r>
      <w:r>
        <w:rPr>
          <w:rFonts w:hint="eastAsia" w:ascii="宋体" w:hAnsi="宋体" w:cs="宋体"/>
          <w:sz w:val="28"/>
          <w:szCs w:val="28"/>
          <w:lang w:val="en-US" w:eastAsia="zh-CN"/>
        </w:rPr>
        <w:t>小组</w:t>
      </w:r>
      <w:r>
        <w:rPr>
          <w:rFonts w:ascii="宋体" w:hAnsi="宋体" w:cs="宋体"/>
          <w:sz w:val="28"/>
          <w:szCs w:val="28"/>
        </w:rPr>
        <w:t>认定该比选申请人以低于成本报价，报价不合理，其比选申请文件作无效处理。</w:t>
      </w:r>
    </w:p>
    <w:p>
      <w:pPr>
        <w:pStyle w:val="4"/>
      </w:pPr>
      <w:bookmarkStart w:id="389" w:name="_Toc14401"/>
      <w:bookmarkStart w:id="390" w:name="_Toc29182"/>
      <w:bookmarkStart w:id="391" w:name="_Toc20237"/>
      <w:bookmarkStart w:id="392" w:name="_Toc471482375"/>
      <w:bookmarkStart w:id="393" w:name="_Toc15054"/>
      <w:bookmarkStart w:id="394" w:name="_Toc29031"/>
      <w:bookmarkStart w:id="395" w:name="_Toc30979"/>
      <w:bookmarkStart w:id="396" w:name="_Toc7245"/>
      <w:bookmarkStart w:id="397" w:name="_Toc5576"/>
      <w:bookmarkStart w:id="398" w:name="_Toc5579"/>
      <w:r>
        <w:rPr>
          <w:rFonts w:hint="eastAsia"/>
        </w:rPr>
        <w:t>二、总分计算公式</w:t>
      </w:r>
      <w:bookmarkEnd w:id="389"/>
      <w:bookmarkEnd w:id="390"/>
      <w:bookmarkEnd w:id="391"/>
      <w:bookmarkEnd w:id="392"/>
      <w:bookmarkEnd w:id="393"/>
      <w:bookmarkEnd w:id="394"/>
      <w:bookmarkEnd w:id="395"/>
      <w:bookmarkEnd w:id="396"/>
      <w:bookmarkEnd w:id="397"/>
      <w:bookmarkEnd w:id="398"/>
    </w:p>
    <w:p>
      <w:pPr>
        <w:ind w:right="753"/>
        <w:jc w:val="left"/>
        <w:rPr>
          <w:rFonts w:ascii="宋体" w:hAnsi="宋体" w:cs="宋体"/>
          <w:sz w:val="28"/>
          <w:szCs w:val="28"/>
        </w:rPr>
      </w:pPr>
      <w:r>
        <w:rPr>
          <w:rFonts w:hint="eastAsia" w:ascii="宋体" w:hAnsi="宋体" w:cs="宋体"/>
          <w:sz w:val="28"/>
          <w:szCs w:val="28"/>
        </w:rPr>
        <w:t xml:space="preserve">    总分即比选申请人评分综合得分，其计算公式：</w:t>
      </w:r>
    </w:p>
    <w:p>
      <w:pPr>
        <w:ind w:right="753"/>
        <w:jc w:val="left"/>
        <w:rPr>
          <w:rFonts w:ascii="宋体" w:hAnsi="宋体" w:cs="宋体"/>
          <w:sz w:val="28"/>
          <w:szCs w:val="28"/>
        </w:rPr>
      </w:pPr>
      <w:r>
        <w:rPr>
          <w:rFonts w:hint="eastAsia" w:ascii="宋体" w:hAnsi="宋体" w:cs="宋体"/>
          <w:sz w:val="28"/>
          <w:szCs w:val="28"/>
        </w:rPr>
        <w:t xml:space="preserve">    总分＝商务部分得分+技术部分得分</w:t>
      </w:r>
    </w:p>
    <w:p>
      <w:pPr>
        <w:ind w:right="753" w:firstLine="560"/>
        <w:jc w:val="left"/>
        <w:rPr>
          <w:rFonts w:ascii="宋体" w:hAnsi="宋体" w:cs="宋体"/>
          <w:sz w:val="28"/>
          <w:szCs w:val="28"/>
        </w:rPr>
      </w:pPr>
      <w:r>
        <w:rPr>
          <w:rFonts w:hint="eastAsia" w:ascii="宋体" w:hAnsi="宋体" w:cs="宋体"/>
          <w:sz w:val="28"/>
          <w:szCs w:val="28"/>
        </w:rPr>
        <w:t>注：各项指标的分数计算四舍五入，取小数点后两位。</w:t>
      </w:r>
    </w:p>
    <w:p>
      <w:pPr>
        <w:pStyle w:val="4"/>
      </w:pPr>
      <w:bookmarkStart w:id="399" w:name="_Toc9696"/>
      <w:bookmarkStart w:id="400" w:name="_Toc31078"/>
      <w:bookmarkStart w:id="401" w:name="_Toc32296"/>
      <w:bookmarkStart w:id="402" w:name="_Toc26842"/>
      <w:bookmarkStart w:id="403" w:name="_Toc18027"/>
      <w:bookmarkStart w:id="404" w:name="_Toc10918"/>
      <w:bookmarkStart w:id="405" w:name="_Toc2392"/>
      <w:bookmarkStart w:id="406" w:name="_Toc28207"/>
      <w:bookmarkStart w:id="407" w:name="_Toc13406"/>
      <w:bookmarkStart w:id="408" w:name="_Toc471482376"/>
      <w:r>
        <w:rPr>
          <w:rFonts w:hint="eastAsia"/>
        </w:rPr>
        <w:t>三、评分细则</w:t>
      </w:r>
      <w:bookmarkEnd w:id="399"/>
      <w:bookmarkEnd w:id="400"/>
      <w:bookmarkEnd w:id="401"/>
      <w:bookmarkEnd w:id="402"/>
      <w:bookmarkEnd w:id="403"/>
      <w:bookmarkEnd w:id="404"/>
      <w:bookmarkEnd w:id="405"/>
      <w:bookmarkEnd w:id="406"/>
      <w:bookmarkEnd w:id="407"/>
      <w:bookmarkEnd w:id="408"/>
    </w:p>
    <w:p>
      <w:pPr>
        <w:pStyle w:val="13"/>
        <w:rPr>
          <w:color w:val="FF0000"/>
          <w:sz w:val="28"/>
          <w:szCs w:val="28"/>
        </w:rPr>
      </w:pPr>
      <w:bookmarkStart w:id="409" w:name="_Toc18752"/>
      <w:bookmarkStart w:id="410" w:name="_Toc15382"/>
      <w:bookmarkStart w:id="411" w:name="_Toc1358"/>
      <w:r>
        <w:rPr>
          <w:rFonts w:hint="eastAsia"/>
          <w:sz w:val="28"/>
          <w:szCs w:val="28"/>
        </w:rPr>
        <w:t>1.商务部分评分细则（满分20分）</w:t>
      </w:r>
      <w:bookmarkEnd w:id="409"/>
      <w:bookmarkEnd w:id="410"/>
      <w:bookmarkEnd w:id="411"/>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kern w:val="0"/>
                <w:sz w:val="24"/>
              </w:rPr>
            </w:pPr>
            <w:r>
              <w:rPr>
                <w:rFonts w:hint="eastAsia" w:ascii="宋体" w:hAnsi="宋体" w:cs="宋体"/>
                <w:kern w:val="0"/>
                <w:sz w:val="24"/>
              </w:rPr>
              <w:t>序号</w:t>
            </w:r>
          </w:p>
        </w:tc>
        <w:tc>
          <w:tcPr>
            <w:tcW w:w="3260" w:type="dxa"/>
            <w:vAlign w:val="center"/>
          </w:tcPr>
          <w:p>
            <w:pPr>
              <w:jc w:val="center"/>
              <w:rPr>
                <w:rFonts w:ascii="宋体" w:hAnsi="宋体" w:cs="宋体"/>
                <w:sz w:val="24"/>
              </w:rPr>
            </w:pPr>
            <w:r>
              <w:rPr>
                <w:rFonts w:hint="eastAsia" w:ascii="宋体" w:hAnsi="宋体" w:cs="宋体"/>
                <w:kern w:val="0"/>
                <w:sz w:val="24"/>
              </w:rPr>
              <w:t>评分因素</w:t>
            </w:r>
          </w:p>
        </w:tc>
        <w:tc>
          <w:tcPr>
            <w:tcW w:w="5358" w:type="dxa"/>
            <w:vAlign w:val="center"/>
          </w:tcPr>
          <w:p>
            <w:pPr>
              <w:jc w:val="center"/>
              <w:rPr>
                <w:rFonts w:ascii="宋体" w:hAnsi="宋体" w:cs="宋体"/>
                <w:sz w:val="24"/>
              </w:rPr>
            </w:pPr>
            <w:r>
              <w:rPr>
                <w:rFonts w:hint="eastAsia" w:ascii="宋体" w:hAnsi="宋体" w:cs="宋体"/>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sz w:val="24"/>
              </w:rPr>
            </w:pPr>
            <w:r>
              <w:rPr>
                <w:rFonts w:hint="eastAsia" w:ascii="宋体" w:hAnsi="宋体" w:cs="宋体"/>
                <w:kern w:val="0"/>
                <w:sz w:val="24"/>
              </w:rPr>
              <w:t>1</w:t>
            </w:r>
          </w:p>
        </w:tc>
        <w:tc>
          <w:tcPr>
            <w:tcW w:w="3260" w:type="dxa"/>
            <w:vAlign w:val="center"/>
          </w:tcPr>
          <w:p>
            <w:pPr>
              <w:jc w:val="center"/>
              <w:rPr>
                <w:rFonts w:ascii="宋体" w:hAnsi="宋体" w:cs="宋体"/>
                <w:kern w:val="0"/>
                <w:sz w:val="24"/>
              </w:rPr>
            </w:pPr>
            <w:r>
              <w:rPr>
                <w:rFonts w:hint="eastAsia" w:ascii="宋体" w:hAnsi="宋体" w:cs="宋体"/>
                <w:kern w:val="0"/>
                <w:sz w:val="24"/>
              </w:rPr>
              <w:t>本项目报价评分</w:t>
            </w:r>
          </w:p>
          <w:p>
            <w:pPr>
              <w:jc w:val="center"/>
              <w:rPr>
                <w:rFonts w:ascii="宋体" w:hAnsi="宋体" w:cs="宋体"/>
                <w:kern w:val="0"/>
                <w:sz w:val="24"/>
              </w:rPr>
            </w:pPr>
            <w:r>
              <w:rPr>
                <w:rFonts w:hint="eastAsia" w:ascii="宋体" w:hAnsi="宋体" w:cs="宋体"/>
                <w:kern w:val="0"/>
                <w:sz w:val="24"/>
              </w:rPr>
              <w:t>（满分20分）</w:t>
            </w:r>
          </w:p>
        </w:tc>
        <w:tc>
          <w:tcPr>
            <w:tcW w:w="5358" w:type="dxa"/>
            <w:vAlign w:val="center"/>
          </w:tcPr>
          <w:p>
            <w:pPr>
              <w:ind w:firstLine="480" w:firstLineChars="200"/>
              <w:jc w:val="left"/>
              <w:rPr>
                <w:rFonts w:ascii="宋体" w:hAnsi="宋体"/>
                <w:b/>
                <w:kern w:val="0"/>
                <w:sz w:val="24"/>
              </w:rPr>
            </w:pPr>
            <w:r>
              <w:rPr>
                <w:rFonts w:ascii="宋体" w:hAnsi="宋体"/>
                <w:b/>
                <w:kern w:val="0"/>
                <w:sz w:val="24"/>
              </w:rPr>
              <w:t>比选申请人价格大于上控价时比选申请文件作无效处理</w:t>
            </w:r>
            <w:r>
              <w:rPr>
                <w:rFonts w:hint="eastAsia" w:ascii="宋体" w:hAnsi="宋体"/>
                <w:b/>
                <w:kern w:val="0"/>
                <w:sz w:val="24"/>
              </w:rPr>
              <w:t>。</w:t>
            </w:r>
          </w:p>
          <w:p>
            <w:pPr>
              <w:ind w:firstLine="480" w:firstLineChars="200"/>
              <w:jc w:val="left"/>
              <w:rPr>
                <w:rFonts w:ascii="宋体" w:hAnsi="宋体"/>
                <w:sz w:val="24"/>
              </w:rPr>
            </w:pPr>
            <w:r>
              <w:rPr>
                <w:rFonts w:hint="eastAsia" w:ascii="宋体" w:hAnsi="宋体"/>
                <w:kern w:val="0"/>
                <w:sz w:val="24"/>
              </w:rPr>
              <w:t>当比选申请人价格小于或者等于上控价时，资格审查合格的有效报价投标人在5家以上（不含5家）的，将去掉最高和最低有效报价后，取有效报价的算术平均值作</w:t>
            </w:r>
            <w:r>
              <w:rPr>
                <w:rFonts w:hint="eastAsia" w:ascii="宋体" w:hAnsi="宋体"/>
                <w:sz w:val="24"/>
              </w:rPr>
              <w:t>为评审基准价；资格审查合格的投标人在5家以下（含5家）的，</w:t>
            </w:r>
            <w:r>
              <w:rPr>
                <w:rFonts w:hint="eastAsia" w:ascii="宋体" w:hAnsi="宋体"/>
                <w:kern w:val="0"/>
                <w:sz w:val="24"/>
              </w:rPr>
              <w:t>取有效报价的算术平均值作</w:t>
            </w:r>
            <w:r>
              <w:rPr>
                <w:rFonts w:hint="eastAsia" w:ascii="宋体" w:hAnsi="宋体"/>
                <w:sz w:val="24"/>
              </w:rPr>
              <w:t xml:space="preserve">为评审基准价。 </w:t>
            </w:r>
          </w:p>
          <w:p>
            <w:pPr>
              <w:ind w:firstLine="480" w:firstLineChars="200"/>
              <w:jc w:val="left"/>
              <w:rPr>
                <w:rFonts w:ascii="宋体" w:hAnsi="宋体"/>
                <w:sz w:val="24"/>
              </w:rPr>
            </w:pPr>
            <w:r>
              <w:rPr>
                <w:rFonts w:hint="eastAsia" w:ascii="宋体" w:hAnsi="宋体"/>
                <w:sz w:val="24"/>
              </w:rPr>
              <w:t>评审时以经评审的基准价为最高分，采用内插法计算，投标人报价每高于基准价1％的扣0.5分，每低于基准价1％的扣0.3分，扣完即止。</w:t>
            </w:r>
          </w:p>
        </w:tc>
      </w:tr>
    </w:tbl>
    <w:p>
      <w:pPr>
        <w:jc w:val="left"/>
        <w:rPr>
          <w:rFonts w:ascii="宋体" w:hAnsi="宋体" w:cs="宋体"/>
          <w:sz w:val="28"/>
          <w:szCs w:val="28"/>
          <w:u w:val="single"/>
        </w:rPr>
      </w:pPr>
      <w:r>
        <w:rPr>
          <w:rFonts w:hint="eastAsia" w:ascii="宋体" w:hAnsi="宋体" w:cs="宋体"/>
          <w:sz w:val="28"/>
          <w:szCs w:val="28"/>
          <w:u w:val="single"/>
        </w:rPr>
        <w:t>注：1、</w:t>
      </w:r>
      <w:r>
        <w:rPr>
          <w:rFonts w:hint="eastAsia" w:ascii="仿宋_GB2312" w:hAnsi="宋体" w:eastAsia="仿宋_GB2312"/>
          <w:color w:val="000000"/>
          <w:kern w:val="0"/>
          <w:sz w:val="28"/>
          <w:szCs w:val="28"/>
        </w:rPr>
        <w:t>按四舍五入取小数点后两位。</w:t>
      </w:r>
    </w:p>
    <w:p>
      <w:pPr>
        <w:ind w:firstLine="560" w:firstLineChars="200"/>
        <w:jc w:val="left"/>
        <w:rPr>
          <w:rFonts w:ascii="宋体" w:hAnsi="宋体" w:cs="宋体"/>
          <w:sz w:val="28"/>
          <w:szCs w:val="28"/>
          <w:u w:val="single"/>
        </w:rPr>
      </w:pPr>
      <w:r>
        <w:rPr>
          <w:rFonts w:hint="eastAsia" w:ascii="宋体" w:hAnsi="宋体" w:cs="宋体"/>
          <w:sz w:val="28"/>
          <w:szCs w:val="28"/>
          <w:u w:val="single"/>
        </w:rPr>
        <w:t>2、以不含税报价作为评审基准价以及评分的确定依据。</w:t>
      </w:r>
    </w:p>
    <w:p>
      <w:pPr>
        <w:jc w:val="left"/>
        <w:rPr>
          <w:rFonts w:ascii="宋体" w:hAnsi="宋体" w:cs="宋体"/>
          <w:sz w:val="28"/>
          <w:szCs w:val="28"/>
        </w:rPr>
      </w:pPr>
      <w:r>
        <w:rPr>
          <w:rFonts w:hint="eastAsia" w:ascii="宋体" w:hAnsi="宋体" w:cs="宋体"/>
          <w:sz w:val="28"/>
          <w:szCs w:val="28"/>
        </w:rPr>
        <w:t>2.技术部分评分细则（满分80分）</w:t>
      </w:r>
    </w:p>
    <w:tbl>
      <w:tblPr>
        <w:tblStyle w:val="25"/>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7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hAnsi="宋体" w:cs="宋体"/>
                <w:sz w:val="24"/>
              </w:rPr>
            </w:pPr>
            <w:r>
              <w:rPr>
                <w:rFonts w:hint="eastAsia" w:ascii="宋体" w:hAnsi="宋体" w:cs="宋体"/>
                <w:sz w:val="24"/>
              </w:rPr>
              <w:t>序号</w:t>
            </w:r>
          </w:p>
        </w:tc>
        <w:tc>
          <w:tcPr>
            <w:tcW w:w="1871" w:type="dxa"/>
            <w:vAlign w:val="center"/>
          </w:tcPr>
          <w:p>
            <w:pPr>
              <w:jc w:val="center"/>
              <w:rPr>
                <w:rFonts w:ascii="宋体" w:hAnsi="宋体" w:cs="宋体"/>
                <w:sz w:val="24"/>
              </w:rPr>
            </w:pPr>
            <w:r>
              <w:rPr>
                <w:rFonts w:hint="eastAsia" w:ascii="宋体" w:hAnsi="宋体" w:cs="宋体"/>
                <w:sz w:val="24"/>
              </w:rPr>
              <w:t>评分因素</w:t>
            </w:r>
          </w:p>
        </w:tc>
        <w:tc>
          <w:tcPr>
            <w:tcW w:w="6775" w:type="dxa"/>
            <w:gridSpan w:val="2"/>
            <w:vAlign w:val="center"/>
          </w:tcPr>
          <w:p>
            <w:pPr>
              <w:jc w:val="center"/>
              <w:rPr>
                <w:rFonts w:ascii="宋体" w:hAnsi="宋体" w:cs="宋体"/>
                <w:sz w:val="24"/>
              </w:rPr>
            </w:pPr>
            <w:r>
              <w:rPr>
                <w:rFonts w:hint="eastAsia" w:ascii="宋体" w:hAnsi="宋体" w:cs="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hAnsi="宋体" w:cs="宋体"/>
                <w:kern w:val="0"/>
                <w:sz w:val="24"/>
              </w:rPr>
            </w:pPr>
            <w:r>
              <w:rPr>
                <w:rFonts w:hint="eastAsia" w:ascii="宋体" w:hAnsi="宋体" w:cs="宋体"/>
                <w:kern w:val="0"/>
                <w:sz w:val="24"/>
              </w:rPr>
              <w:t>1</w:t>
            </w:r>
          </w:p>
        </w:tc>
        <w:tc>
          <w:tcPr>
            <w:tcW w:w="1871" w:type="dxa"/>
            <w:vAlign w:val="center"/>
          </w:tcPr>
          <w:p>
            <w:pPr>
              <w:jc w:val="center"/>
              <w:rPr>
                <w:rFonts w:ascii="宋体" w:hAnsi="宋体" w:cs="宋体"/>
                <w:kern w:val="0"/>
                <w:sz w:val="24"/>
              </w:rPr>
            </w:pPr>
            <w:r>
              <w:rPr>
                <w:rFonts w:hint="eastAsia" w:ascii="宋体" w:hAnsi="宋体" w:cs="宋体"/>
                <w:kern w:val="0"/>
                <w:sz w:val="24"/>
              </w:rPr>
              <w:t xml:space="preserve">业绩表（满分 </w:t>
            </w:r>
            <w:r>
              <w:rPr>
                <w:rFonts w:hint="eastAsia" w:ascii="宋体" w:hAnsi="宋体" w:cs="宋体"/>
                <w:kern w:val="0"/>
                <w:sz w:val="24"/>
                <w:lang w:val="en-US" w:eastAsia="zh-CN"/>
              </w:rPr>
              <w:t>20</w:t>
            </w:r>
            <w:r>
              <w:rPr>
                <w:rFonts w:hint="eastAsia" w:ascii="宋体" w:hAnsi="宋体" w:cs="宋体"/>
                <w:kern w:val="0"/>
                <w:sz w:val="24"/>
              </w:rPr>
              <w:t>分）</w:t>
            </w:r>
          </w:p>
        </w:tc>
        <w:tc>
          <w:tcPr>
            <w:tcW w:w="6775" w:type="dxa"/>
            <w:gridSpan w:val="2"/>
            <w:vAlign w:val="center"/>
          </w:tcPr>
          <w:p>
            <w:pPr>
              <w:jc w:val="left"/>
              <w:rPr>
                <w:rFonts w:hint="default" w:ascii="宋体" w:hAnsi="宋体" w:cs="宋体"/>
                <w:sz w:val="24"/>
                <w:lang w:val="en-US"/>
              </w:rPr>
            </w:pPr>
            <w:r>
              <w:rPr>
                <w:rFonts w:hint="eastAsia" w:ascii="宋体" w:hAnsi="宋体" w:cs="宋体"/>
                <w:color w:val="FF0000"/>
                <w:sz w:val="24"/>
                <w:u w:val="single"/>
                <w:lang w:val="en-US" w:eastAsia="zh-CN"/>
              </w:rPr>
              <w:t>2018</w:t>
            </w:r>
            <w:r>
              <w:rPr>
                <w:rFonts w:hint="eastAsia" w:ascii="宋体" w:hAnsi="宋体" w:cs="宋体"/>
                <w:color w:val="FF0000"/>
                <w:sz w:val="24"/>
              </w:rPr>
              <w:t>年1月1日至今</w:t>
            </w:r>
            <w:r>
              <w:rPr>
                <w:rFonts w:hint="eastAsia" w:ascii="宋体" w:hAnsi="宋体" w:cs="宋体"/>
                <w:sz w:val="24"/>
              </w:rPr>
              <w:t>，对与本项目相关或相近的服务经验，以提供合同复印件（体现合同对方名称/签订时间/审计内容，涉及到商业秘密的内容可以隐去）证明材料为准。不附审计内容或内容要求不明确的不算业绩，该项分值最高为</w:t>
            </w:r>
            <w:r>
              <w:rPr>
                <w:rFonts w:hint="eastAsia" w:ascii="宋体" w:hAnsi="宋体" w:cs="宋体"/>
                <w:sz w:val="24"/>
                <w:lang w:val="en-US" w:eastAsia="zh-CN"/>
              </w:rPr>
              <w:t>2</w:t>
            </w:r>
            <w:r>
              <w:rPr>
                <w:rFonts w:ascii="宋体" w:hAnsi="宋体" w:cs="宋体"/>
                <w:sz w:val="24"/>
              </w:rPr>
              <w:t>0</w:t>
            </w:r>
            <w:r>
              <w:rPr>
                <w:rFonts w:hint="eastAsia" w:ascii="宋体" w:hAnsi="宋体" w:cs="宋体"/>
                <w:sz w:val="24"/>
              </w:rPr>
              <w:t>分。(</w:t>
            </w:r>
            <w:r>
              <w:rPr>
                <w:rFonts w:hint="eastAsia" w:ascii="宋体" w:hAnsi="宋体" w:cs="宋体"/>
                <w:color w:val="FF0000"/>
                <w:sz w:val="24"/>
              </w:rPr>
              <w:t>相关或相近的服务经验定义为:</w:t>
            </w:r>
            <w:r>
              <w:rPr>
                <w:rFonts w:hint="eastAsia" w:ascii="宋体" w:hAnsi="宋体" w:cs="宋体"/>
                <w:color w:val="auto"/>
                <w:sz w:val="24"/>
                <w:lang w:val="en-US" w:eastAsia="zh-CN"/>
              </w:rPr>
              <w:t>国有企业主要负责人经济责任审计</w:t>
            </w:r>
            <w:r>
              <w:rPr>
                <w:rFonts w:hint="eastAsia" w:ascii="宋体" w:hAnsi="宋体" w:cs="宋体"/>
                <w:color w:val="auto"/>
                <w:sz w:val="24"/>
              </w:rPr>
              <w:t>，每个</w:t>
            </w:r>
            <w:r>
              <w:rPr>
                <w:rFonts w:hint="eastAsia" w:ascii="宋体" w:hAnsi="宋体" w:cs="宋体"/>
                <w:color w:val="auto"/>
                <w:sz w:val="24"/>
                <w:lang w:val="en-US" w:eastAsia="zh-CN"/>
              </w:rPr>
              <w:t>业绩4分。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959" w:type="dxa"/>
            <w:vMerge w:val="restart"/>
            <w:vAlign w:val="center"/>
          </w:tcPr>
          <w:p>
            <w:pPr>
              <w:jc w:val="center"/>
              <w:rPr>
                <w:rFonts w:ascii="宋体" w:hAnsi="宋体" w:cs="宋体"/>
                <w:kern w:val="0"/>
                <w:sz w:val="24"/>
              </w:rPr>
            </w:pPr>
            <w:r>
              <w:rPr>
                <w:rFonts w:hint="eastAsia" w:ascii="宋体" w:hAnsi="宋体" w:cs="宋体"/>
                <w:kern w:val="0"/>
                <w:sz w:val="24"/>
              </w:rPr>
              <w:t>2</w:t>
            </w:r>
          </w:p>
        </w:tc>
        <w:tc>
          <w:tcPr>
            <w:tcW w:w="1871" w:type="dxa"/>
            <w:vMerge w:val="restart"/>
            <w:vAlign w:val="center"/>
          </w:tcPr>
          <w:p>
            <w:pPr>
              <w:jc w:val="center"/>
              <w:rPr>
                <w:rFonts w:ascii="宋体" w:hAnsi="宋体" w:cs="宋体"/>
                <w:kern w:val="0"/>
                <w:sz w:val="24"/>
              </w:rPr>
            </w:pPr>
            <w:r>
              <w:rPr>
                <w:rFonts w:hint="eastAsia" w:ascii="宋体" w:hAnsi="宋体" w:cs="宋体"/>
                <w:kern w:val="0"/>
                <w:sz w:val="24"/>
              </w:rPr>
              <w:t>拟投入人员的相关工作业绩、资历及能力（满分</w:t>
            </w:r>
            <w:r>
              <w:rPr>
                <w:rFonts w:hint="eastAsia" w:ascii="宋体" w:hAnsi="宋体" w:cs="宋体"/>
                <w:kern w:val="0"/>
                <w:sz w:val="24"/>
                <w:lang w:val="en-US" w:eastAsia="zh-CN"/>
              </w:rPr>
              <w:t>30</w:t>
            </w:r>
            <w:r>
              <w:rPr>
                <w:rFonts w:hint="eastAsia" w:ascii="宋体" w:hAnsi="宋体" w:cs="宋体"/>
                <w:kern w:val="0"/>
                <w:sz w:val="24"/>
              </w:rPr>
              <w:t>分）</w:t>
            </w:r>
          </w:p>
        </w:tc>
        <w:tc>
          <w:tcPr>
            <w:tcW w:w="4819" w:type="dxa"/>
            <w:vAlign w:val="center"/>
          </w:tcPr>
          <w:p>
            <w:pPr>
              <w:jc w:val="left"/>
              <w:rPr>
                <w:rFonts w:ascii="宋体" w:hAnsi="宋体" w:cs="宋体"/>
                <w:sz w:val="24"/>
              </w:rPr>
            </w:pPr>
            <w:r>
              <w:rPr>
                <w:sz w:val="24"/>
              </w:rPr>
              <w:t>项目现场负责人</w:t>
            </w:r>
            <w:r>
              <w:rPr>
                <w:rFonts w:hint="eastAsia"/>
                <w:sz w:val="24"/>
                <w:u w:val="single"/>
              </w:rPr>
              <w:t>（项目现场</w:t>
            </w:r>
            <w:r>
              <w:rPr>
                <w:sz w:val="24"/>
                <w:u w:val="single"/>
              </w:rPr>
              <w:t>负责人不予更换</w:t>
            </w:r>
            <w:r>
              <w:rPr>
                <w:rFonts w:hint="eastAsia"/>
                <w:sz w:val="24"/>
                <w:u w:val="single"/>
              </w:rPr>
              <w:t>，</w:t>
            </w:r>
            <w:r>
              <w:rPr>
                <w:color w:val="auto"/>
                <w:sz w:val="24"/>
                <w:u w:val="single"/>
              </w:rPr>
              <w:t>否则终止合同</w:t>
            </w:r>
            <w:r>
              <w:rPr>
                <w:rFonts w:hint="eastAsia"/>
                <w:color w:val="auto"/>
                <w:sz w:val="24"/>
                <w:u w:val="single"/>
              </w:rPr>
              <w:t>）</w:t>
            </w:r>
            <w:r>
              <w:rPr>
                <w:rFonts w:hint="eastAsia"/>
                <w:color w:val="auto"/>
                <w:sz w:val="24"/>
              </w:rPr>
              <w:t>持有注册会计师执业证书并具有</w:t>
            </w:r>
            <w:r>
              <w:rPr>
                <w:rFonts w:hint="eastAsia"/>
                <w:color w:val="auto"/>
                <w:sz w:val="24"/>
                <w:u w:val="single"/>
              </w:rPr>
              <w:t xml:space="preserve">  </w:t>
            </w:r>
            <w:r>
              <w:rPr>
                <w:rFonts w:hint="eastAsia"/>
                <w:color w:val="auto"/>
                <w:sz w:val="24"/>
                <w:u w:val="single"/>
                <w:lang w:val="en-US" w:eastAsia="zh-CN"/>
              </w:rPr>
              <w:t>8</w:t>
            </w:r>
            <w:r>
              <w:rPr>
                <w:rFonts w:hint="eastAsia"/>
                <w:color w:val="auto"/>
                <w:sz w:val="24"/>
                <w:u w:val="single"/>
              </w:rPr>
              <w:t xml:space="preserve">   </w:t>
            </w:r>
            <w:r>
              <w:rPr>
                <w:rFonts w:hint="eastAsia"/>
                <w:color w:val="auto"/>
                <w:sz w:val="24"/>
              </w:rPr>
              <w:t>年（含）以上会计师事务所注册会计师审计执业工作经验得</w:t>
            </w:r>
            <w:r>
              <w:rPr>
                <w:rFonts w:hint="eastAsia"/>
                <w:color w:val="auto"/>
                <w:sz w:val="24"/>
                <w:u w:val="single"/>
              </w:rPr>
              <w:t xml:space="preserve">  </w:t>
            </w:r>
            <w:r>
              <w:rPr>
                <w:rFonts w:hint="eastAsia"/>
                <w:color w:val="auto"/>
                <w:sz w:val="24"/>
                <w:u w:val="single"/>
                <w:lang w:val="en-US" w:eastAsia="zh-CN"/>
              </w:rPr>
              <w:t>16</w:t>
            </w:r>
            <w:r>
              <w:rPr>
                <w:rFonts w:hint="eastAsia"/>
                <w:color w:val="auto"/>
                <w:sz w:val="24"/>
                <w:u w:val="single"/>
              </w:rPr>
              <w:t xml:space="preserve">  </w:t>
            </w:r>
            <w:r>
              <w:rPr>
                <w:rFonts w:hint="eastAsia"/>
                <w:color w:val="auto"/>
                <w:sz w:val="24"/>
              </w:rPr>
              <w:t>分；持有注册会计师执业证书并具有</w:t>
            </w:r>
            <w:r>
              <w:rPr>
                <w:rFonts w:hint="eastAsia"/>
                <w:color w:val="auto"/>
                <w:sz w:val="24"/>
                <w:u w:val="single"/>
              </w:rPr>
              <w:t xml:space="preserve">  </w:t>
            </w:r>
            <w:r>
              <w:rPr>
                <w:rFonts w:hint="eastAsia"/>
                <w:color w:val="auto"/>
                <w:sz w:val="24"/>
                <w:u w:val="single"/>
                <w:lang w:val="en-US" w:eastAsia="zh-CN"/>
              </w:rPr>
              <w:t>5</w:t>
            </w:r>
            <w:r>
              <w:rPr>
                <w:rFonts w:hint="eastAsia"/>
                <w:color w:val="auto"/>
                <w:sz w:val="24"/>
                <w:u w:val="single"/>
              </w:rPr>
              <w:t xml:space="preserve">   </w:t>
            </w:r>
            <w:r>
              <w:rPr>
                <w:rFonts w:hint="eastAsia"/>
                <w:color w:val="auto"/>
                <w:sz w:val="24"/>
              </w:rPr>
              <w:t>年（含）以上会计师事务所注册会计师审计</w:t>
            </w:r>
            <w:r>
              <w:rPr>
                <w:rFonts w:hint="eastAsia"/>
                <w:color w:val="auto"/>
                <w:sz w:val="24"/>
                <w:lang w:val="en-US" w:eastAsia="zh-CN"/>
              </w:rPr>
              <w:t>执业</w:t>
            </w:r>
            <w:r>
              <w:rPr>
                <w:rFonts w:hint="eastAsia"/>
                <w:color w:val="auto"/>
                <w:sz w:val="24"/>
              </w:rPr>
              <w:t>工作经验得</w:t>
            </w:r>
            <w:r>
              <w:rPr>
                <w:rFonts w:hint="eastAsia"/>
                <w:color w:val="auto"/>
                <w:sz w:val="24"/>
                <w:u w:val="single"/>
              </w:rPr>
              <w:t xml:space="preserve">  </w:t>
            </w:r>
            <w:r>
              <w:rPr>
                <w:rFonts w:hint="eastAsia"/>
                <w:color w:val="auto"/>
                <w:sz w:val="24"/>
                <w:u w:val="single"/>
                <w:lang w:val="en-US" w:eastAsia="zh-CN"/>
              </w:rPr>
              <w:t>8</w:t>
            </w:r>
            <w:r>
              <w:rPr>
                <w:rFonts w:hint="eastAsia"/>
                <w:color w:val="auto"/>
                <w:sz w:val="24"/>
                <w:u w:val="single"/>
              </w:rPr>
              <w:t xml:space="preserve">  </w:t>
            </w:r>
            <w:r>
              <w:rPr>
                <w:rFonts w:hint="eastAsia"/>
                <w:color w:val="auto"/>
                <w:sz w:val="24"/>
              </w:rPr>
              <w:t>分；其</w:t>
            </w:r>
            <w:r>
              <w:rPr>
                <w:rFonts w:hint="eastAsia"/>
                <w:sz w:val="24"/>
              </w:rPr>
              <w:t>他为0分。</w:t>
            </w:r>
          </w:p>
        </w:tc>
        <w:tc>
          <w:tcPr>
            <w:tcW w:w="1956" w:type="dxa"/>
            <w:vAlign w:val="center"/>
          </w:tcPr>
          <w:p>
            <w:pPr>
              <w:jc w:val="center"/>
              <w:rPr>
                <w:rFonts w:hint="eastAsia" w:ascii="宋体" w:hAnsi="宋体" w:cs="宋体"/>
                <w:color w:val="FF0000"/>
                <w:kern w:val="0"/>
                <w:sz w:val="24"/>
                <w:u w:val="none"/>
              </w:rPr>
            </w:pPr>
          </w:p>
          <w:p>
            <w:pPr>
              <w:jc w:val="center"/>
              <w:rPr>
                <w:rFonts w:ascii="宋体" w:hAnsi="宋体" w:cs="宋体"/>
                <w:color w:val="FF0000"/>
                <w:kern w:val="0"/>
                <w:sz w:val="24"/>
              </w:rPr>
            </w:pPr>
            <w:r>
              <w:rPr>
                <w:rFonts w:hint="eastAsia" w:ascii="宋体" w:hAnsi="宋体" w:cs="宋体"/>
                <w:color w:val="FF0000"/>
                <w:kern w:val="0"/>
                <w:sz w:val="24"/>
              </w:rPr>
              <w:t>满</w:t>
            </w:r>
            <w:r>
              <w:rPr>
                <w:rFonts w:hint="eastAsia" w:ascii="宋体" w:hAnsi="宋体" w:cs="宋体"/>
                <w:color w:val="FF0000"/>
                <w:kern w:val="0"/>
                <w:sz w:val="24"/>
                <w:u w:val="none"/>
              </w:rPr>
              <w:t xml:space="preserve">分为 </w:t>
            </w:r>
            <w:r>
              <w:rPr>
                <w:rFonts w:hint="eastAsia" w:ascii="宋体" w:hAnsi="宋体" w:cs="宋体"/>
                <w:color w:val="FF0000"/>
                <w:kern w:val="0"/>
                <w:sz w:val="24"/>
                <w:u w:val="none"/>
                <w:lang w:val="en-US" w:eastAsia="zh-CN"/>
              </w:rPr>
              <w:t>16</w:t>
            </w:r>
            <w:r>
              <w:rPr>
                <w:rFonts w:hint="eastAsia" w:ascii="宋体" w:hAnsi="宋体" w:cs="宋体"/>
                <w:color w:val="FF0000"/>
                <w:kern w:val="0"/>
                <w:sz w:val="24"/>
                <w:u w:val="none"/>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continue"/>
            <w:vAlign w:val="center"/>
          </w:tcPr>
          <w:p>
            <w:pPr>
              <w:jc w:val="center"/>
              <w:rPr>
                <w:rFonts w:ascii="宋体" w:hAnsi="宋体" w:cs="宋体"/>
                <w:kern w:val="0"/>
                <w:sz w:val="24"/>
              </w:rPr>
            </w:pPr>
          </w:p>
        </w:tc>
        <w:tc>
          <w:tcPr>
            <w:tcW w:w="1871" w:type="dxa"/>
            <w:vMerge w:val="continue"/>
            <w:vAlign w:val="center"/>
          </w:tcPr>
          <w:p>
            <w:pPr>
              <w:jc w:val="center"/>
              <w:rPr>
                <w:rFonts w:ascii="宋体" w:hAnsi="宋体" w:cs="宋体"/>
                <w:kern w:val="0"/>
                <w:sz w:val="24"/>
              </w:rPr>
            </w:pPr>
          </w:p>
        </w:tc>
        <w:tc>
          <w:tcPr>
            <w:tcW w:w="4819" w:type="dxa"/>
            <w:vAlign w:val="center"/>
          </w:tcPr>
          <w:p>
            <w:pPr>
              <w:jc w:val="left"/>
              <w:rPr>
                <w:rFonts w:hint="eastAsia" w:eastAsia="宋体"/>
                <w:sz w:val="24"/>
                <w:lang w:eastAsia="zh-CN"/>
              </w:rPr>
            </w:pPr>
            <w:r>
              <w:rPr>
                <w:rFonts w:hint="eastAsia" w:ascii="宋体" w:hAnsi="宋体" w:cs="宋体"/>
                <w:color w:val="auto"/>
                <w:sz w:val="24"/>
              </w:rPr>
              <w:t>派到本项目</w:t>
            </w:r>
            <w:r>
              <w:rPr>
                <w:rFonts w:hint="eastAsia" w:ascii="宋体" w:hAnsi="宋体" w:cs="宋体"/>
                <w:sz w:val="24"/>
              </w:rPr>
              <w:t>现场负责人有本项目相关或相近的服务经验（</w:t>
            </w:r>
            <w:r>
              <w:rPr>
                <w:rFonts w:hint="eastAsia"/>
                <w:sz w:val="24"/>
                <w:u w:val="single"/>
              </w:rPr>
              <w:t xml:space="preserve"> </w:t>
            </w:r>
            <w:r>
              <w:rPr>
                <w:rFonts w:hint="eastAsia"/>
                <w:sz w:val="24"/>
                <w:u w:val="single"/>
                <w:lang w:val="en-US" w:eastAsia="zh-CN"/>
              </w:rPr>
              <w:t>2018</w:t>
            </w:r>
            <w:r>
              <w:rPr>
                <w:rFonts w:hint="eastAsia"/>
                <w:sz w:val="24"/>
                <w:u w:val="single"/>
              </w:rPr>
              <w:t xml:space="preserve">  </w:t>
            </w:r>
            <w:r>
              <w:rPr>
                <w:rFonts w:hint="eastAsia" w:ascii="宋体" w:hAnsi="宋体" w:cs="宋体"/>
                <w:sz w:val="24"/>
              </w:rPr>
              <w:t>年1月1日至今），要求附上审计报告名称内容及签字页，否则不算业绩分，该项分值最高为</w:t>
            </w:r>
            <w:r>
              <w:rPr>
                <w:rFonts w:hint="eastAsia"/>
                <w:sz w:val="24"/>
                <w:u w:val="single"/>
              </w:rPr>
              <w:t xml:space="preserve">  </w:t>
            </w:r>
            <w:r>
              <w:rPr>
                <w:rFonts w:hint="eastAsia"/>
                <w:sz w:val="24"/>
                <w:u w:val="single"/>
                <w:lang w:val="en-US" w:eastAsia="zh-CN"/>
              </w:rPr>
              <w:t>8</w:t>
            </w:r>
            <w:r>
              <w:rPr>
                <w:rFonts w:hint="eastAsia"/>
                <w:sz w:val="24"/>
                <w:u w:val="single"/>
              </w:rPr>
              <w:t xml:space="preserve">  </w:t>
            </w:r>
            <w:r>
              <w:rPr>
                <w:rFonts w:hint="eastAsia" w:ascii="宋体" w:hAnsi="宋体" w:cs="宋体"/>
                <w:sz w:val="24"/>
              </w:rPr>
              <w:t>分。(相关或相近的服务经验定义为:)</w:t>
            </w:r>
            <w:r>
              <w:rPr>
                <w:rFonts w:hint="eastAsia" w:ascii="宋体" w:hAnsi="宋体" w:cs="宋体"/>
                <w:color w:val="auto"/>
                <w:sz w:val="24"/>
                <w:lang w:val="en-US" w:eastAsia="zh-CN"/>
              </w:rPr>
              <w:t>国有企业主要负责人经济责任审计</w:t>
            </w:r>
            <w:r>
              <w:rPr>
                <w:rFonts w:hint="eastAsia" w:ascii="宋体" w:hAnsi="宋体" w:cs="宋体"/>
                <w:sz w:val="24"/>
              </w:rPr>
              <w:t>，每个业绩</w:t>
            </w:r>
            <w:r>
              <w:rPr>
                <w:rFonts w:hint="eastAsia" w:ascii="宋体" w:hAnsi="宋体" w:cs="宋体"/>
                <w:sz w:val="24"/>
                <w:lang w:val="en-US" w:eastAsia="zh-CN"/>
              </w:rPr>
              <w:t>2</w:t>
            </w:r>
            <w:r>
              <w:rPr>
                <w:rFonts w:hint="eastAsia" w:ascii="宋体" w:hAnsi="宋体" w:cs="宋体"/>
                <w:sz w:val="24"/>
              </w:rPr>
              <w:t>分</w:t>
            </w:r>
            <w:r>
              <w:rPr>
                <w:rFonts w:hint="eastAsia" w:ascii="宋体" w:hAnsi="宋体" w:cs="宋体"/>
                <w:sz w:val="24"/>
                <w:lang w:eastAsia="zh-CN"/>
              </w:rPr>
              <w:t>。</w:t>
            </w:r>
          </w:p>
        </w:tc>
        <w:tc>
          <w:tcPr>
            <w:tcW w:w="1956" w:type="dxa"/>
            <w:vAlign w:val="center"/>
          </w:tcPr>
          <w:p>
            <w:pPr>
              <w:jc w:val="center"/>
              <w:rPr>
                <w:rFonts w:ascii="宋体" w:hAnsi="宋体" w:cs="宋体"/>
                <w:color w:val="FF0000"/>
                <w:kern w:val="0"/>
                <w:sz w:val="24"/>
              </w:rPr>
            </w:pPr>
            <w:r>
              <w:rPr>
                <w:rFonts w:hint="eastAsia" w:ascii="宋体" w:hAnsi="宋体" w:cs="宋体"/>
                <w:color w:val="FF0000"/>
                <w:kern w:val="0"/>
                <w:sz w:val="24"/>
              </w:rPr>
              <w:t xml:space="preserve">满分为 </w:t>
            </w:r>
            <w:r>
              <w:rPr>
                <w:rFonts w:hint="eastAsia" w:ascii="宋体" w:hAnsi="宋体" w:cs="宋体"/>
                <w:color w:val="FF0000"/>
                <w:kern w:val="0"/>
                <w:sz w:val="24"/>
                <w:lang w:val="en-US" w:eastAsia="zh-CN"/>
              </w:rPr>
              <w:t>8</w:t>
            </w:r>
            <w:r>
              <w:rPr>
                <w:rFonts w:hint="eastAsia" w:ascii="宋体" w:hAnsi="宋体" w:cs="宋体"/>
                <w:color w:val="FF0000"/>
                <w:kern w:val="0"/>
                <w:sz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hAnsi="宋体" w:cs="宋体"/>
                <w:kern w:val="0"/>
                <w:sz w:val="24"/>
              </w:rPr>
            </w:pPr>
          </w:p>
        </w:tc>
        <w:tc>
          <w:tcPr>
            <w:tcW w:w="1871" w:type="dxa"/>
            <w:vMerge w:val="continue"/>
            <w:vAlign w:val="center"/>
          </w:tcPr>
          <w:p>
            <w:pPr>
              <w:jc w:val="center"/>
              <w:rPr>
                <w:rFonts w:ascii="宋体" w:hAnsi="宋体" w:cs="宋体"/>
                <w:kern w:val="0"/>
                <w:sz w:val="24"/>
              </w:rPr>
            </w:pPr>
          </w:p>
        </w:tc>
        <w:tc>
          <w:tcPr>
            <w:tcW w:w="4819" w:type="dxa"/>
            <w:vAlign w:val="center"/>
          </w:tcPr>
          <w:p>
            <w:pPr>
              <w:jc w:val="left"/>
              <w:rPr>
                <w:rFonts w:ascii="宋体" w:hAnsi="宋体" w:cs="宋体"/>
                <w:sz w:val="24"/>
              </w:rPr>
            </w:pPr>
            <w:r>
              <w:rPr>
                <w:rFonts w:hint="eastAsia" w:ascii="宋体" w:hAnsi="宋体" w:cs="宋体"/>
                <w:color w:val="auto"/>
                <w:sz w:val="24"/>
              </w:rPr>
              <w:t>派到</w:t>
            </w:r>
            <w:r>
              <w:rPr>
                <w:rFonts w:hint="eastAsia" w:ascii="宋体" w:hAnsi="宋体" w:cs="宋体"/>
                <w:color w:val="auto"/>
                <w:sz w:val="24"/>
                <w:lang w:val="en-US" w:eastAsia="zh-CN"/>
              </w:rPr>
              <w:t>每个子项目</w:t>
            </w:r>
            <w:r>
              <w:rPr>
                <w:rFonts w:hint="eastAsia" w:ascii="宋体" w:hAnsi="宋体" w:cs="宋体"/>
                <w:color w:val="auto"/>
                <w:sz w:val="24"/>
              </w:rPr>
              <w:t>的团</w:t>
            </w:r>
            <w:r>
              <w:rPr>
                <w:rFonts w:hint="eastAsia" w:ascii="宋体" w:hAnsi="宋体" w:cs="宋体"/>
                <w:sz w:val="24"/>
              </w:rPr>
              <w:t>队</w:t>
            </w:r>
            <w:r>
              <w:rPr>
                <w:rFonts w:hint="eastAsia" w:ascii="宋体" w:hAnsi="宋体" w:cs="宋体"/>
                <w:sz w:val="24"/>
                <w:lang w:val="en-US" w:eastAsia="zh-CN"/>
              </w:rPr>
              <w:t>成员由</w:t>
            </w:r>
            <w:r>
              <w:rPr>
                <w:rFonts w:hint="eastAsia"/>
                <w:sz w:val="24"/>
                <w:u w:val="single"/>
              </w:rPr>
              <w:t xml:space="preserve"> </w:t>
            </w:r>
            <w:r>
              <w:rPr>
                <w:rFonts w:hint="eastAsia"/>
                <w:sz w:val="24"/>
                <w:u w:val="single"/>
                <w:lang w:val="en-US" w:eastAsia="zh-CN"/>
              </w:rPr>
              <w:t>3</w:t>
            </w:r>
            <w:r>
              <w:rPr>
                <w:rFonts w:hint="eastAsia"/>
                <w:sz w:val="24"/>
                <w:u w:val="single"/>
              </w:rPr>
              <w:t xml:space="preserve"> </w:t>
            </w:r>
            <w:r>
              <w:rPr>
                <w:rFonts w:hint="eastAsia" w:ascii="宋体" w:hAnsi="宋体" w:cs="宋体"/>
                <w:sz w:val="24"/>
              </w:rPr>
              <w:t>人及</w:t>
            </w:r>
            <w:r>
              <w:rPr>
                <w:rFonts w:hint="eastAsia" w:ascii="宋体" w:hAnsi="宋体" w:cs="宋体"/>
                <w:color w:val="FF0000"/>
                <w:sz w:val="24"/>
              </w:rPr>
              <w:t>以上</w:t>
            </w:r>
            <w:r>
              <w:rPr>
                <w:rFonts w:hint="eastAsia" w:ascii="宋体" w:hAnsi="宋体" w:cs="宋体"/>
                <w:color w:val="FF0000"/>
                <w:sz w:val="24"/>
                <w:lang w:val="en-US" w:eastAsia="zh-CN"/>
              </w:rPr>
              <w:t>正式员工组成</w:t>
            </w:r>
            <w:r>
              <w:rPr>
                <w:rFonts w:hint="eastAsia" w:ascii="宋体" w:hAnsi="宋体" w:cs="宋体"/>
                <w:color w:val="FF0000"/>
                <w:sz w:val="24"/>
              </w:rPr>
              <w:t>的得</w:t>
            </w:r>
            <w:r>
              <w:rPr>
                <w:rFonts w:hint="eastAsia" w:ascii="宋体" w:hAnsi="宋体" w:cs="宋体"/>
                <w:color w:val="FF0000"/>
                <w:sz w:val="24"/>
                <w:lang w:val="en-US" w:eastAsia="zh-CN"/>
              </w:rPr>
              <w:t>6</w:t>
            </w:r>
            <w:r>
              <w:rPr>
                <w:rFonts w:hint="eastAsia" w:ascii="宋体" w:hAnsi="宋体" w:cs="宋体"/>
                <w:color w:val="FF0000"/>
                <w:sz w:val="24"/>
              </w:rPr>
              <w:t>分</w:t>
            </w:r>
            <w:r>
              <w:rPr>
                <w:rFonts w:hint="eastAsia" w:ascii="宋体" w:hAnsi="宋体" w:cs="宋体"/>
                <w:sz w:val="24"/>
              </w:rPr>
              <w:t>，其他为0分。</w:t>
            </w:r>
          </w:p>
        </w:tc>
        <w:tc>
          <w:tcPr>
            <w:tcW w:w="1956" w:type="dxa"/>
            <w:vAlign w:val="center"/>
          </w:tcPr>
          <w:p>
            <w:pPr>
              <w:jc w:val="center"/>
              <w:rPr>
                <w:rFonts w:ascii="宋体" w:hAnsi="宋体" w:cs="宋体"/>
                <w:kern w:val="0"/>
                <w:sz w:val="24"/>
              </w:rPr>
            </w:pPr>
            <w:r>
              <w:rPr>
                <w:rFonts w:hint="eastAsia" w:ascii="宋体" w:hAnsi="宋体" w:cs="宋体"/>
                <w:kern w:val="0"/>
                <w:sz w:val="24"/>
              </w:rPr>
              <w:t xml:space="preserve">满分为 </w:t>
            </w:r>
            <w:r>
              <w:rPr>
                <w:rFonts w:hint="eastAsia" w:ascii="宋体" w:hAnsi="宋体" w:cs="宋体"/>
                <w:kern w:val="0"/>
                <w:sz w:val="24"/>
                <w:lang w:val="en-US" w:eastAsia="zh-CN"/>
              </w:rPr>
              <w:t>6</w:t>
            </w:r>
            <w:r>
              <w:rPr>
                <w:rFonts w:hint="eastAsia" w:ascii="宋体" w:hAnsi="宋体" w:cs="宋体"/>
                <w:kern w:val="0"/>
                <w:sz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hAnsi="宋体" w:cs="宋体"/>
                <w:kern w:val="0"/>
                <w:sz w:val="24"/>
              </w:rPr>
            </w:pPr>
            <w:r>
              <w:rPr>
                <w:rFonts w:hint="eastAsia" w:ascii="宋体" w:hAnsi="宋体" w:cs="宋体"/>
                <w:kern w:val="0"/>
                <w:sz w:val="24"/>
              </w:rPr>
              <w:t>3</w:t>
            </w:r>
          </w:p>
        </w:tc>
        <w:tc>
          <w:tcPr>
            <w:tcW w:w="1871" w:type="dxa"/>
            <w:vMerge w:val="restart"/>
            <w:vAlign w:val="center"/>
          </w:tcPr>
          <w:p>
            <w:pPr>
              <w:jc w:val="center"/>
              <w:rPr>
                <w:rFonts w:ascii="宋体" w:hAnsi="宋体" w:cs="宋体"/>
                <w:kern w:val="0"/>
                <w:sz w:val="24"/>
              </w:rPr>
            </w:pPr>
            <w:r>
              <w:rPr>
                <w:rFonts w:hint="eastAsia" w:ascii="宋体" w:hAnsi="宋体" w:cs="宋体"/>
                <w:kern w:val="0"/>
                <w:sz w:val="24"/>
              </w:rPr>
              <w:t>服务方案</w:t>
            </w:r>
          </w:p>
          <w:p>
            <w:pPr>
              <w:jc w:val="center"/>
              <w:rPr>
                <w:rFonts w:ascii="宋体" w:hAnsi="宋体" w:cs="宋体"/>
                <w:kern w:val="0"/>
                <w:sz w:val="24"/>
              </w:rPr>
            </w:pPr>
            <w:r>
              <w:rPr>
                <w:rFonts w:hint="eastAsia" w:ascii="宋体" w:hAnsi="宋体" w:cs="宋体"/>
                <w:kern w:val="0"/>
                <w:sz w:val="24"/>
              </w:rPr>
              <w:t>（满分</w:t>
            </w:r>
            <w:r>
              <w:rPr>
                <w:rFonts w:hint="eastAsia" w:ascii="宋体" w:hAnsi="宋体" w:cs="宋体"/>
                <w:kern w:val="0"/>
                <w:sz w:val="24"/>
                <w:lang w:val="en-US" w:eastAsia="zh-CN"/>
              </w:rPr>
              <w:t>3</w:t>
            </w:r>
            <w:r>
              <w:rPr>
                <w:rFonts w:hint="eastAsia" w:ascii="宋体" w:hAnsi="宋体" w:cs="宋体"/>
                <w:kern w:val="0"/>
                <w:sz w:val="24"/>
              </w:rPr>
              <w:t>0分）</w:t>
            </w:r>
          </w:p>
          <w:p>
            <w:pPr>
              <w:jc w:val="center"/>
              <w:rPr>
                <w:rFonts w:ascii="宋体" w:hAnsi="宋体" w:cs="宋体"/>
                <w:kern w:val="0"/>
                <w:sz w:val="24"/>
              </w:rPr>
            </w:pPr>
            <w:r>
              <w:rPr>
                <w:rFonts w:hint="eastAsia" w:ascii="宋体" w:hAnsi="宋体" w:cs="宋体"/>
                <w:kern w:val="0"/>
                <w:sz w:val="24"/>
              </w:rPr>
              <w:t>（主要从服务态度、质量控制措施、进度控制措施等方面进行阐述。）</w:t>
            </w:r>
          </w:p>
        </w:tc>
        <w:tc>
          <w:tcPr>
            <w:tcW w:w="4819" w:type="dxa"/>
            <w:vAlign w:val="center"/>
          </w:tcPr>
          <w:p>
            <w:pPr>
              <w:jc w:val="left"/>
              <w:rPr>
                <w:rFonts w:ascii="宋体" w:hAnsi="宋体" w:cs="宋体"/>
                <w:kern w:val="0"/>
                <w:sz w:val="24"/>
              </w:rPr>
            </w:pPr>
            <w:r>
              <w:rPr>
                <w:rFonts w:hint="eastAsia" w:ascii="宋体" w:hAnsi="宋体" w:cs="宋体"/>
                <w:kern w:val="0"/>
                <w:sz w:val="24"/>
              </w:rPr>
              <w:t>一般</w:t>
            </w:r>
          </w:p>
        </w:tc>
        <w:tc>
          <w:tcPr>
            <w:tcW w:w="1956" w:type="dxa"/>
            <w:vAlign w:val="center"/>
          </w:tcPr>
          <w:p>
            <w:pPr>
              <w:jc w:val="center"/>
              <w:rPr>
                <w:rFonts w:hint="default" w:ascii="宋体" w:hAnsi="宋体" w:eastAsia="宋体" w:cs="宋体"/>
                <w:kern w:val="0"/>
                <w:sz w:val="24"/>
                <w:lang w:val="en-US" w:eastAsia="zh-CN"/>
              </w:rPr>
            </w:pPr>
            <w:r>
              <w:rPr>
                <w:rFonts w:hint="eastAsia" w:ascii="宋体" w:hAnsi="宋体" w:cs="宋体"/>
                <w:kern w:val="0"/>
                <w:sz w:val="24"/>
              </w:rPr>
              <w:t>0≦m≦</w:t>
            </w:r>
            <w:r>
              <w:rPr>
                <w:rFonts w:hint="eastAsia" w:ascii="宋体" w:hAnsi="宋体" w:cs="宋体"/>
                <w:kern w:val="0"/>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kern w:val="0"/>
                <w:sz w:val="24"/>
              </w:rPr>
            </w:pPr>
          </w:p>
        </w:tc>
        <w:tc>
          <w:tcPr>
            <w:tcW w:w="1871" w:type="dxa"/>
            <w:vMerge w:val="continue"/>
            <w:vAlign w:val="center"/>
          </w:tcPr>
          <w:p>
            <w:pPr>
              <w:jc w:val="center"/>
              <w:rPr>
                <w:rFonts w:ascii="宋体" w:hAnsi="宋体" w:cs="宋体"/>
                <w:kern w:val="0"/>
                <w:sz w:val="24"/>
              </w:rPr>
            </w:pPr>
          </w:p>
        </w:tc>
        <w:tc>
          <w:tcPr>
            <w:tcW w:w="4819" w:type="dxa"/>
            <w:vAlign w:val="center"/>
          </w:tcPr>
          <w:p>
            <w:pPr>
              <w:jc w:val="left"/>
              <w:rPr>
                <w:rFonts w:ascii="宋体" w:hAnsi="宋体" w:cs="宋体"/>
                <w:kern w:val="0"/>
                <w:sz w:val="24"/>
              </w:rPr>
            </w:pPr>
            <w:r>
              <w:rPr>
                <w:rFonts w:hint="eastAsia" w:ascii="宋体" w:hAnsi="宋体" w:cs="宋体"/>
                <w:kern w:val="0"/>
                <w:sz w:val="24"/>
              </w:rPr>
              <w:t>良好</w:t>
            </w:r>
          </w:p>
        </w:tc>
        <w:tc>
          <w:tcPr>
            <w:tcW w:w="1956" w:type="dxa"/>
            <w:vAlign w:val="center"/>
          </w:tcPr>
          <w:p>
            <w:pPr>
              <w:jc w:val="center"/>
              <w:rPr>
                <w:rFonts w:hint="default"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8</w:t>
            </w:r>
            <w:r>
              <w:rPr>
                <w:rFonts w:hint="eastAsia" w:ascii="宋体" w:hAnsi="宋体" w:cs="宋体"/>
                <w:kern w:val="0"/>
                <w:sz w:val="24"/>
              </w:rPr>
              <w:t>＜m≦</w:t>
            </w:r>
            <w:r>
              <w:rPr>
                <w:rFonts w:hint="eastAsia" w:ascii="宋体" w:hAnsi="宋体" w:cs="宋体"/>
                <w:kern w:val="0"/>
                <w:sz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kern w:val="0"/>
                <w:sz w:val="24"/>
              </w:rPr>
            </w:pPr>
          </w:p>
        </w:tc>
        <w:tc>
          <w:tcPr>
            <w:tcW w:w="1871" w:type="dxa"/>
            <w:vMerge w:val="continue"/>
            <w:vAlign w:val="center"/>
          </w:tcPr>
          <w:p>
            <w:pPr>
              <w:jc w:val="center"/>
              <w:rPr>
                <w:rFonts w:ascii="宋体" w:hAnsi="宋体" w:cs="宋体"/>
                <w:kern w:val="0"/>
                <w:sz w:val="24"/>
              </w:rPr>
            </w:pPr>
          </w:p>
        </w:tc>
        <w:tc>
          <w:tcPr>
            <w:tcW w:w="4819" w:type="dxa"/>
            <w:vAlign w:val="center"/>
          </w:tcPr>
          <w:p>
            <w:pPr>
              <w:jc w:val="left"/>
              <w:rPr>
                <w:rFonts w:ascii="宋体" w:hAnsi="宋体" w:cs="宋体"/>
                <w:kern w:val="0"/>
                <w:sz w:val="24"/>
              </w:rPr>
            </w:pPr>
            <w:r>
              <w:rPr>
                <w:rFonts w:hint="eastAsia" w:ascii="宋体" w:hAnsi="宋体" w:cs="宋体"/>
                <w:kern w:val="0"/>
                <w:sz w:val="24"/>
              </w:rPr>
              <w:t>优秀</w:t>
            </w:r>
          </w:p>
        </w:tc>
        <w:tc>
          <w:tcPr>
            <w:tcW w:w="1956" w:type="dxa"/>
            <w:vAlign w:val="center"/>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24</w:t>
            </w:r>
            <w:r>
              <w:rPr>
                <w:rFonts w:hint="eastAsia" w:ascii="宋体" w:hAnsi="宋体" w:cs="宋体"/>
                <w:kern w:val="0"/>
                <w:sz w:val="24"/>
              </w:rPr>
              <w:t>＜m≦</w:t>
            </w:r>
            <w:r>
              <w:rPr>
                <w:rFonts w:hint="eastAsia" w:ascii="宋体" w:hAnsi="宋体" w:cs="宋体"/>
                <w:kern w:val="0"/>
                <w:sz w:val="24"/>
                <w:lang w:val="en-US" w:eastAsia="zh-CN"/>
              </w:rPr>
              <w:t>30</w:t>
            </w:r>
          </w:p>
        </w:tc>
      </w:tr>
    </w:tbl>
    <w:p>
      <w:pPr>
        <w:pStyle w:val="4"/>
        <w:spacing w:line="240" w:lineRule="auto"/>
        <w:rPr>
          <w:szCs w:val="28"/>
        </w:rPr>
      </w:pPr>
      <w:bookmarkStart w:id="412" w:name="_Toc22367"/>
      <w:bookmarkStart w:id="413" w:name="_Toc19395"/>
      <w:bookmarkStart w:id="414" w:name="_Toc15663"/>
      <w:bookmarkStart w:id="415" w:name="_Toc21685"/>
      <w:bookmarkStart w:id="416" w:name="_Toc10183"/>
      <w:bookmarkStart w:id="417" w:name="_Toc24296"/>
      <w:bookmarkStart w:id="418" w:name="_Toc19593"/>
      <w:bookmarkStart w:id="419" w:name="_Toc27525"/>
      <w:bookmarkStart w:id="420" w:name="_Toc471482377"/>
      <w:bookmarkStart w:id="421" w:name="_Toc19365"/>
      <w:r>
        <w:rPr>
          <w:rFonts w:hint="eastAsia"/>
          <w:szCs w:val="28"/>
        </w:rPr>
        <w:t>四、中选标准</w:t>
      </w:r>
      <w:bookmarkEnd w:id="412"/>
      <w:bookmarkEnd w:id="413"/>
      <w:bookmarkEnd w:id="414"/>
      <w:bookmarkEnd w:id="415"/>
      <w:bookmarkEnd w:id="416"/>
      <w:bookmarkEnd w:id="417"/>
      <w:bookmarkEnd w:id="418"/>
      <w:bookmarkEnd w:id="419"/>
      <w:bookmarkEnd w:id="420"/>
      <w:bookmarkEnd w:id="421"/>
    </w:p>
    <w:p>
      <w:pPr>
        <w:snapToGrid/>
        <w:spacing w:before="0" w:after="0" w:afterAutospacing="0"/>
        <w:ind w:left="0" w:leftChars="0" w:right="754" w:firstLine="560" w:firstLineChars="200"/>
        <w:jc w:val="left"/>
        <w:textAlignment w:val="auto"/>
        <w:rPr>
          <w:rFonts w:hint="eastAsia" w:ascii="宋体" w:hAnsi="宋体" w:cs="宋体"/>
          <w:b w:val="0"/>
          <w:bCs w:val="0"/>
          <w:sz w:val="28"/>
          <w:szCs w:val="28"/>
        </w:rPr>
      </w:pP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一</w:t>
      </w:r>
      <w:r>
        <w:rPr>
          <w:rFonts w:hint="eastAsia" w:ascii="宋体" w:hAnsi="宋体" w:cs="宋体"/>
          <w:b w:val="0"/>
          <w:bCs w:val="0"/>
          <w:sz w:val="28"/>
          <w:szCs w:val="28"/>
          <w:lang w:eastAsia="zh-CN"/>
        </w:rPr>
        <w:t>）</w:t>
      </w:r>
      <w:r>
        <w:rPr>
          <w:rFonts w:hint="eastAsia" w:ascii="宋体" w:hAnsi="宋体" w:cs="宋体"/>
          <w:b w:val="0"/>
          <w:bCs w:val="0"/>
          <w:sz w:val="28"/>
          <w:szCs w:val="28"/>
        </w:rPr>
        <w:t>由于本比选项目与“南宁轨道交通集团有限责任公司运营、城发、地产、枢纽公司主要负责人离任经济责任审计”同时开展，评比时间顺序为：“南宁轨道交通集团有限责任公司运营、城发、地产、枢纽公司主要负责人离任经济责任审计”→“本比选项目”，若比选申请人同时参与两个项目的比选，在中选前一比选项目后，可参与后一项目的比选，但不能再中选后一项目（即比选同一比选申请人只能中选一个比选项目），若前一比选项目流标，不影响后一项目的比选。</w:t>
      </w:r>
    </w:p>
    <w:p>
      <w:pPr>
        <w:ind w:right="754" w:firstLine="560" w:firstLineChars="200"/>
        <w:jc w:val="left"/>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二</w:t>
      </w:r>
      <w:r>
        <w:rPr>
          <w:rFonts w:hint="eastAsia" w:ascii="宋体" w:hAnsi="宋体" w:cs="宋体"/>
          <w:sz w:val="28"/>
          <w:szCs w:val="28"/>
          <w:lang w:eastAsia="zh-CN"/>
        </w:rPr>
        <w:t>）</w:t>
      </w:r>
      <w:r>
        <w:rPr>
          <w:rFonts w:hint="eastAsia" w:ascii="宋体" w:hAnsi="宋体" w:cs="宋体"/>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pPr>
        <w:ind w:right="754" w:firstLine="560" w:firstLineChars="200"/>
        <w:jc w:val="left"/>
        <w:rPr>
          <w:rFonts w:hint="eastAsia" w:ascii="宋体" w:hAnsi="宋体" w:cs="宋体"/>
          <w:sz w:val="28"/>
          <w:szCs w:val="28"/>
        </w:rPr>
      </w:pPr>
    </w:p>
    <w:p>
      <w:pPr>
        <w:pStyle w:val="13"/>
        <w:pageBreakBefore/>
        <w:widowControl/>
        <w:adjustRightInd/>
        <w:snapToGrid w:val="0"/>
        <w:spacing w:line="600" w:lineRule="exact"/>
        <w:jc w:val="center"/>
        <w:outlineLvl w:val="0"/>
        <w:rPr>
          <w:rStyle w:val="54"/>
          <w:rFonts w:ascii="宋体" w:hAnsi="宋体" w:eastAsia="宋体" w:cs="方正小标宋简体"/>
          <w:bCs/>
          <w:sz w:val="28"/>
          <w:szCs w:val="28"/>
          <w:highlight w:val="none"/>
        </w:rPr>
      </w:pPr>
      <w:bookmarkStart w:id="422" w:name="_Toc100643475"/>
      <w:bookmarkStart w:id="423" w:name="_Toc328"/>
      <w:bookmarkStart w:id="424" w:name="_Toc26468"/>
      <w:bookmarkStart w:id="425" w:name="_Toc20298"/>
      <w:bookmarkStart w:id="426" w:name="_Toc6454"/>
      <w:bookmarkStart w:id="427" w:name="_Toc26741"/>
      <w:bookmarkStart w:id="428" w:name="_Toc492478835"/>
      <w:bookmarkStart w:id="429" w:name="_Toc12695"/>
      <w:bookmarkStart w:id="430" w:name="_Toc16754"/>
      <w:bookmarkStart w:id="431" w:name="_Toc6337"/>
      <w:bookmarkStart w:id="432" w:name="_Toc5010"/>
      <w:bookmarkStart w:id="433" w:name="_Toc14659"/>
      <w:bookmarkStart w:id="434" w:name="_Toc28135"/>
      <w:bookmarkStart w:id="435" w:name="_Toc9597"/>
      <w:bookmarkStart w:id="436" w:name="_Toc21321"/>
      <w:bookmarkStart w:id="437" w:name="_Toc8402"/>
      <w:bookmarkStart w:id="438" w:name="_Toc25061"/>
      <w:bookmarkStart w:id="439" w:name="_Toc31681"/>
      <w:bookmarkStart w:id="440" w:name="_Toc26409"/>
      <w:bookmarkStart w:id="441" w:name="_Toc14566"/>
      <w:bookmarkStart w:id="442" w:name="_Toc18668"/>
      <w:bookmarkStart w:id="443" w:name="_Toc15858"/>
      <w:bookmarkStart w:id="444" w:name="_Toc13941"/>
      <w:bookmarkStart w:id="445" w:name="_Toc30897"/>
      <w:bookmarkStart w:id="446" w:name="_Toc26446"/>
      <w:bookmarkStart w:id="447" w:name="_Toc1144"/>
      <w:bookmarkStart w:id="448" w:name="_Toc28535"/>
      <w:bookmarkStart w:id="449" w:name="_Toc12314"/>
      <w:r>
        <w:rPr>
          <w:rFonts w:hint="eastAsia" w:ascii="Times New Roman" w:hAnsi="Times New Roman" w:eastAsia="宋体" w:cs="Times New Roman"/>
          <w:b/>
          <w:bCs w:val="0"/>
          <w:kern w:val="44"/>
          <w:sz w:val="28"/>
          <w:szCs w:val="20"/>
        </w:rPr>
        <w:t>第五章 用户需求书</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ind w:right="754" w:firstLine="560" w:firstLineChars="200"/>
        <w:jc w:val="left"/>
        <w:rPr>
          <w:rFonts w:hint="eastAsia" w:ascii="宋体" w:hAnsi="宋体" w:cs="宋体"/>
          <w:sz w:val="28"/>
          <w:szCs w:val="28"/>
          <w:lang w:eastAsia="zh-CN"/>
        </w:rPr>
      </w:pPr>
      <w:bookmarkStart w:id="450" w:name="_Toc72762753"/>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一、技术需求及数量表</w:t>
      </w:r>
      <w:bookmarkEnd w:id="450"/>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（一）审计内容</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对吴江卡同志2017年5月至2022年12月任职南宁公共交通集团有限公司法定代表人履行经济责任的情况，刘国平同志2017年5月至2022年12月任职南宁公共交通集团有限公司总经理期间履行经济责任的情况开展审计，包括但不仅限于以下内容：</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1.贯彻执行党和国家的经济方针政策和上级决策部署情况，推动企业可持续发展情况，国企改革三年行动落地见效情况。重点关注重点关注党的领导融入公司治理、党委前置研究事项清单制定、董事会建设情况、董事会职权落实等取得成效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2.企业发展战略规划的制定、执行和实施效果情况；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3.企业法人治理结构的建立、健全和运行情况；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4.“三重一大”的决策、执行和效果情况；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5.重大经济项目的投资、建设、运营管理及效益情况；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6.内部控制和风险管理制度的制定和设计合理性，及执行中决策、审批、运行、评价等环节的规范性、有效性，以及内控信息化建设和内控监督评价情况；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7.企业财务的真实合法效益情况，关注资产、负债、收入、成本费用等会计指标真实性，会计政策和会计估计变更、合并报表范围调整、差错调整、收入成本确认、减值计提等核算事项；</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8.资产的管理及保值增值情况；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 xml:space="preserve">9.在经济活动中落实有关党风廉政建设责任和遵守廉洁从业规定情况；  </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10.企业经营提质增效措施有效性。重点关注项目运营效率、成本费用压控、亏损企业专项治理、“两金”压降、“两非”剥离、“两资”清理等进展情况；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11.防范化解重大经营风险情况。重点关注债务、投资、招标采购、资金使用、金融等领域的风险；</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12.以往审计发现问题的整改情况。重点关注涉及违规经营投资问题的追责问责情况，整改完成效果；</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13.有关目标责任制完成情况；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14.其他需要审计的内容。</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（二）审计要求及成果</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根据《党政主要领导干部和国有企事业单位主要领导人员经济责任审计规定》《第2205号内部审计具体准则——经济责任审计》、中央审计委员会审计署关于《进一步规范经济责任审计工作有关事项》的通知、《南宁市人民政府国有资产监督管理委员会监管企业经济责任审计管理暂行办法》《南宁轨道交通集团有限责任公司经济责任审计管理实施办法（试行）》及其他相关法律法规开展工作，对吴江卡同志2017年5月至2022年12月任职南宁公共交通集团有限公司法定代表人履行经济责任的情况，刘国平同志2017年5月至2022年12月任职南宁公共交通集团有限公司总经理期间履行经济责任的情况开展审计，作出客观公正、实事求是的评价，分别出具上述公司主要负责人离任经济责任专项审计报告及管理建议书，并经南宁轨道交通集团有限责任公司审批通过。</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（二）</w:t>
      </w:r>
      <w:r>
        <w:rPr>
          <w:rFonts w:hint="eastAsia" w:ascii="宋体" w:hAnsi="宋体" w:cs="宋体"/>
          <w:sz w:val="28"/>
          <w:szCs w:val="28"/>
          <w:lang w:val="en-US" w:eastAsia="zh-CN"/>
        </w:rPr>
        <w:t>审计</w:t>
      </w:r>
      <w:r>
        <w:rPr>
          <w:rFonts w:hint="eastAsia" w:ascii="宋体" w:hAnsi="宋体" w:cs="宋体"/>
          <w:sz w:val="28"/>
          <w:szCs w:val="28"/>
          <w:lang w:eastAsia="zh-CN"/>
        </w:rPr>
        <w:t>对象、范围</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 xml:space="preserve"> 1.吴江卡同志2017年5月至2022年12月任职公交公司法定代表人期间履行经济责任的情况;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 xml:space="preserve"> 2.刘国平同志2017年5月至2022年12月任职公交公司总经理期间履行经济责任的情况。</w:t>
      </w:r>
    </w:p>
    <w:p>
      <w:pPr>
        <w:ind w:right="754" w:firstLine="560" w:firstLineChars="200"/>
        <w:jc w:val="left"/>
        <w:rPr>
          <w:rFonts w:ascii="宋体" w:hAnsi="宋体" w:cs="宋体"/>
          <w:sz w:val="28"/>
          <w:szCs w:val="28"/>
        </w:rPr>
      </w:pPr>
      <w:r>
        <w:rPr>
          <w:rFonts w:hint="eastAsia" w:ascii="宋体" w:hAnsi="宋体" w:cs="宋体"/>
          <w:sz w:val="28"/>
          <w:szCs w:val="28"/>
          <w:lang w:eastAsia="zh-CN"/>
        </w:rPr>
        <w:t xml:space="preserve"> 必要时追溯到相关年度或延伸审计有关单位</w:t>
      </w:r>
      <w:r>
        <w:rPr>
          <w:rFonts w:hint="eastAsia" w:asciiTheme="minorEastAsia" w:hAnsiTheme="minorEastAsia"/>
          <w:sz w:val="24"/>
          <w:lang w:eastAsia="zh-CN"/>
        </w:rPr>
        <w:t>。</w:t>
      </w:r>
    </w:p>
    <w:sectPr>
      <w:footerReference r:id="rId6" w:type="default"/>
      <w:pgSz w:w="11906" w:h="16838"/>
      <w:pgMar w:top="1440" w:right="1440" w:bottom="1440" w:left="124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_x0000_s3076" o:spid="_x0000_s3076" o:spt="202" type="#_x0000_t202" style="position:absolute;left:0pt;margin-top:0pt;height:12.4pt;width:23.3pt;mso-position-horizontal:center;mso-position-horizontal-relative:margin;mso-wrap-style:none;z-index:251660288;mso-width-relative:page;mso-height-relative:page;" filled="f" stroked="f" coordsize="21600,21600" o:gfxdata="UEsDBAoAAAAAAIdO4kAAAAAAAAAAAAAAAAAEAAAAZHJzL1BLAwQUAAAACACHTuJABLp3EtEAAAAD&#10;AQAADwAAAGRycy9kb3ducmV2LnhtbE2PwWrDMBBE74X+g9hAb42cUFzjWM4h0EtvTUuhN8XaWCbS&#10;ykiKY/99t720l4Fllpk3zX72TkwY0xBIwWZdgEDqghmoV/Dx/vJYgUhZk9EuECpYMMG+vb9rdG3C&#10;jd5wOuZecAilWiuwOY+1lKmz6HVahxGJvXOIXmc+Yy9N1DcO905ui6KUXg/EDVaPeLDYXY5Xr+B5&#10;/gw4Jjzg13nqoh2Wyr0uSj2sNsUORMY5/z3DDz6jQ8tMp3Alk4RTwEPyr7JXlrzipGD7VIFsG/mf&#10;vf0GUEsDBBQAAAAIAIdO4kAHe4XS1AEAAJ8DAAAOAAAAZHJzL2Uyb0RvYy54bWytU82O0zAQviPx&#10;DpbvNE3VwhI1XYGqRUgIkBYewHWcxpL/NOM26QvAG3Diwp3n6nMwdtIuWi574OKMZ8bfzPfNZH07&#10;WMOOClB7V/NyNudMOekb7fY1//rl7sUNZxiFa4TxTtX8pJDfbp4/W/ehUgvfedMoYATisOpDzbsY&#10;Q1UUKDtlBc58UI6CrQcrIl1hXzQgekK3pljM5y+L3kMTwEuFSN7tGOQTIjwF0Letlmrr5cEqF0dU&#10;UEZEooSdDsg3udu2VTJ+altUkZmaE9OYTypC9i6dxWYtqj2I0Gk5tSCe0sIjTlZoR0WvUFsRBTuA&#10;/gfKagkefRtn0ttiJJIVIRbl/JE2950IKnMhqTFcRcf/Bys/Hj8D0w1tAmdOWBr4+cf388/f51/f&#10;VkmdPmBFSfeB0uLw1g8pc/IjORPpoQWbvkSHUZy0PV21VUNkkpzLxbK8oYikULl6tSSbUIqHxwEw&#10;vlPesmTUHGh0WVFx/IBxTL2kpFrO32ljyC8q41hf89erxSo/uEYI3DiqkSiMrSYrDrth6n/nmxPR&#10;6mn8NXe07ZyZ947UTZtyMeBi7C7GIYDed9RjmetheHOI1E1uMlUYYafCNLdMc9qxtBh/33PWw3+1&#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uncS0QAAAAMBAAAPAAAAAAAAAAEAIAAAACIAAABk&#10;cnMvZG93bnJldi54bWxQSwECFAAUAAAACACHTuJAB3uF0tQBAACfAwAADgAAAAAAAAABACAAAAAg&#10;AQAAZHJzL2Uyb0RvYy54bWxQSwUGAAAAAAYABgBZAQAAZgU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3074" o:spt="202" type="#_x0000_t202" style="position:absolute;left:0pt;margin-top:0pt;height:12.4pt;width:33.4pt;mso-position-horizontal:center;mso-position-horizontal-relative:margin;mso-wrap-style:none;z-index:251659264;mso-width-relative:page;mso-height-relative:page;" filled="f" stroked="f" coordsize="21600,21600" o:gfxdata="UEsDBAoAAAAAAIdO4kAAAAAAAAAAAAAAAAAEAAAAZHJzL1BLAwQUAAAACACHTuJABLp3EtEAAAAD&#10;AQAADwAAAGRycy9kb3ducmV2LnhtbE2PwWrDMBBE74X+g9hAb42cUFzjWM4h0EtvTUuhN8XaWCbS&#10;ykiKY/99t720l4Fllpk3zX72TkwY0xBIwWZdgEDqghmoV/Dx/vJYgUhZk9EuECpYMMG+vb9rdG3C&#10;jd5wOuZecAilWiuwOY+1lKmz6HVahxGJvXOIXmc+Yy9N1DcO905ui6KUXg/EDVaPeLDYXY5Xr+B5&#10;/gw4Jjzg13nqoh2Wyr0uSj2sNsUORMY5/z3DDz6jQ8tMp3Alk4RTwEPyr7JXlrzipGD7VIFsG/mf&#10;vf0GUEsDBBQAAAAIAIdO4kAHe4XS1AEAAJ8DAAAOAAAAZHJzL2Uyb0RvYy54bWytU82O0zAQviPx&#10;DpbvNE3VwhI1XYGqRUgIkBYewHWcxpL/NOM26QvAG3Diwp3n6nMwdtIuWi574OKMZ8bfzPfNZH07&#10;WMOOClB7V/NyNudMOekb7fY1//rl7sUNZxiFa4TxTtX8pJDfbp4/W/ehUgvfedMoYATisOpDzbsY&#10;Q1UUKDtlBc58UI6CrQcrIl1hXzQgekK3pljM5y+L3kMTwEuFSN7tGOQTIjwF0Letlmrr5cEqF0dU&#10;UEZEooSdDsg3udu2VTJ+altUkZmaE9OYTypC9i6dxWYtqj2I0Gk5tSCe0sIjTlZoR0WvUFsRBTuA&#10;/gfKagkefRtn0ttiJJIVIRbl/JE2950IKnMhqTFcRcf/Bys/Hj8D0w1tAmdOWBr4+cf388/f51/f&#10;VkmdPmBFSfeB0uLw1g8pc/IjORPpoQWbvkSHUZy0PV21VUNkkpzLxbK8oYikULl6tSSbUIqHxwEw&#10;vlPesmTUHGh0WVFx/IBxTL2kpFrO32ljyC8q41hf89erxSo/uEYI3DiqkSiMrSYrDrth6n/nmxPR&#10;6mn8NXe07ZyZ947UTZtyMeBi7C7GIYDed9RjmetheHOI1E1uMlUYYafCNLdMc9qxtBh/33PWw3+1&#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uncS0QAAAAMBAAAPAAAAAAAAAAEAIAAAACIAAABk&#10;cnMvZG93bnJldi54bWxQSwECFAAUAAAACACHTuJAB3uF0tQBAACfAwAADgAAAAAAAAABACAAAAAg&#10;AQAAZHJzL2Uyb0RvYy54bWxQSwUGAAAAAAYABgBZAQAAZgU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3C3D4"/>
    <w:multiLevelType w:val="singleLevel"/>
    <w:tmpl w:val="80C3C3D4"/>
    <w:lvl w:ilvl="0" w:tentative="0">
      <w:start w:val="1"/>
      <w:numFmt w:val="chineseCounting"/>
      <w:suff w:val="nothing"/>
      <w:lvlText w:val="（%1）"/>
      <w:lvlJc w:val="left"/>
      <w:rPr>
        <w:rFonts w:hint="eastAsia"/>
      </w:rPr>
    </w:lvl>
  </w:abstractNum>
  <w:abstractNum w:abstractNumId="1">
    <w:nsid w:val="8B31715C"/>
    <w:multiLevelType w:val="singleLevel"/>
    <w:tmpl w:val="8B31715C"/>
    <w:lvl w:ilvl="0" w:tentative="0">
      <w:start w:val="1"/>
      <w:numFmt w:val="chineseCounting"/>
      <w:suff w:val="nothing"/>
      <w:lvlText w:val="%1、"/>
      <w:lvlJc w:val="left"/>
      <w:rPr>
        <w:rFonts w:hint="eastAsia"/>
      </w:rPr>
    </w:lvl>
  </w:abstractNum>
  <w:abstractNum w:abstractNumId="2">
    <w:nsid w:val="28C8FEF5"/>
    <w:multiLevelType w:val="singleLevel"/>
    <w:tmpl w:val="28C8FEF5"/>
    <w:lvl w:ilvl="0" w:tentative="0">
      <w:start w:val="9"/>
      <w:numFmt w:val="chineseCounting"/>
      <w:suff w:val="nothing"/>
      <w:lvlText w:val="%1、"/>
      <w:lvlJc w:val="left"/>
      <w:rPr>
        <w:rFonts w:hint="eastAsia"/>
      </w:rPr>
    </w:lvl>
  </w:abstractNum>
  <w:abstractNum w:abstractNumId="3">
    <w:nsid w:val="35F44132"/>
    <w:multiLevelType w:val="singleLevel"/>
    <w:tmpl w:val="35F44132"/>
    <w:lvl w:ilvl="0" w:tentative="0">
      <w:start w:val="1"/>
      <w:numFmt w:val="decimal"/>
      <w:suff w:val="space"/>
      <w:lvlText w:val="(%1)"/>
      <w:lvlJc w:val="left"/>
      <w:pPr>
        <w:ind w:left="0" w:leftChars="0" w:firstLine="381" w:firstLineChars="0"/>
      </w:pPr>
      <w:rPr>
        <w:rFonts w:hint="default"/>
      </w:rPr>
    </w:lvl>
  </w:abstractNum>
  <w:abstractNum w:abstractNumId="4">
    <w:nsid w:val="52ABEA66"/>
    <w:multiLevelType w:val="singleLevel"/>
    <w:tmpl w:val="52ABEA66"/>
    <w:lvl w:ilvl="0" w:tentative="0">
      <w:start w:val="3"/>
      <w:numFmt w:val="chineseCounting"/>
      <w:suff w:val="space"/>
      <w:lvlText w:val="第%1章"/>
      <w:lvlJc w:val="left"/>
    </w:lvl>
  </w:abstractNum>
  <w:abstractNum w:abstractNumId="5">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QyYTA0NWRkMGMxNjRiMmZhZmE3ZDE4ZmViZmYyYWQifQ=="/>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2218A"/>
    <w:rsid w:val="000246E0"/>
    <w:rsid w:val="0002500A"/>
    <w:rsid w:val="00025256"/>
    <w:rsid w:val="000254A0"/>
    <w:rsid w:val="0002675F"/>
    <w:rsid w:val="00026993"/>
    <w:rsid w:val="00026FFC"/>
    <w:rsid w:val="00027E27"/>
    <w:rsid w:val="000318D8"/>
    <w:rsid w:val="0003769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3154"/>
    <w:rsid w:val="0008406D"/>
    <w:rsid w:val="000843B4"/>
    <w:rsid w:val="00084B2A"/>
    <w:rsid w:val="000871E2"/>
    <w:rsid w:val="00090EC8"/>
    <w:rsid w:val="00091253"/>
    <w:rsid w:val="00094668"/>
    <w:rsid w:val="000971C8"/>
    <w:rsid w:val="000A4B9C"/>
    <w:rsid w:val="000A5B69"/>
    <w:rsid w:val="000A6250"/>
    <w:rsid w:val="000B0BA3"/>
    <w:rsid w:val="000B1107"/>
    <w:rsid w:val="000B2862"/>
    <w:rsid w:val="000B6659"/>
    <w:rsid w:val="000B7BBC"/>
    <w:rsid w:val="000C2B82"/>
    <w:rsid w:val="000C488A"/>
    <w:rsid w:val="000C4E33"/>
    <w:rsid w:val="000C69D0"/>
    <w:rsid w:val="000C69DD"/>
    <w:rsid w:val="000D0354"/>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86F"/>
    <w:rsid w:val="001E3135"/>
    <w:rsid w:val="001E3877"/>
    <w:rsid w:val="001E3FCC"/>
    <w:rsid w:val="001E56AB"/>
    <w:rsid w:val="001E6897"/>
    <w:rsid w:val="001E6FA6"/>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1A61"/>
    <w:rsid w:val="0038264F"/>
    <w:rsid w:val="003842F0"/>
    <w:rsid w:val="003853DF"/>
    <w:rsid w:val="003863C4"/>
    <w:rsid w:val="00387605"/>
    <w:rsid w:val="003878E6"/>
    <w:rsid w:val="00387B3C"/>
    <w:rsid w:val="00387F20"/>
    <w:rsid w:val="00387FBC"/>
    <w:rsid w:val="00392166"/>
    <w:rsid w:val="00393E7F"/>
    <w:rsid w:val="00393FC8"/>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63C9"/>
    <w:rsid w:val="0047642C"/>
    <w:rsid w:val="00476779"/>
    <w:rsid w:val="004807F0"/>
    <w:rsid w:val="00481247"/>
    <w:rsid w:val="004820A1"/>
    <w:rsid w:val="004820CB"/>
    <w:rsid w:val="00482717"/>
    <w:rsid w:val="00482F02"/>
    <w:rsid w:val="00483CBB"/>
    <w:rsid w:val="004868D1"/>
    <w:rsid w:val="00487EC6"/>
    <w:rsid w:val="00490B21"/>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364"/>
    <w:rsid w:val="0051600C"/>
    <w:rsid w:val="005205E4"/>
    <w:rsid w:val="00520A84"/>
    <w:rsid w:val="00520B2C"/>
    <w:rsid w:val="00520EF5"/>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4417"/>
    <w:rsid w:val="005E58A7"/>
    <w:rsid w:val="005E771F"/>
    <w:rsid w:val="005F0B89"/>
    <w:rsid w:val="005F0C00"/>
    <w:rsid w:val="005F3985"/>
    <w:rsid w:val="005F5682"/>
    <w:rsid w:val="005F61DA"/>
    <w:rsid w:val="005F648A"/>
    <w:rsid w:val="005F6C66"/>
    <w:rsid w:val="006008C7"/>
    <w:rsid w:val="00603374"/>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319C5"/>
    <w:rsid w:val="0063331F"/>
    <w:rsid w:val="006335CD"/>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96D"/>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7797"/>
    <w:rsid w:val="006E78D1"/>
    <w:rsid w:val="006F249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456"/>
    <w:rsid w:val="00703842"/>
    <w:rsid w:val="00703BBC"/>
    <w:rsid w:val="0070596A"/>
    <w:rsid w:val="007060B5"/>
    <w:rsid w:val="007062DA"/>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4324"/>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63CB"/>
    <w:rsid w:val="008D656C"/>
    <w:rsid w:val="008D7BB8"/>
    <w:rsid w:val="008E09CE"/>
    <w:rsid w:val="008E09EA"/>
    <w:rsid w:val="008E436C"/>
    <w:rsid w:val="008E7D03"/>
    <w:rsid w:val="008F4978"/>
    <w:rsid w:val="008F4C7F"/>
    <w:rsid w:val="008F4EE0"/>
    <w:rsid w:val="008F5F3D"/>
    <w:rsid w:val="008F6C78"/>
    <w:rsid w:val="008F6DDD"/>
    <w:rsid w:val="008F6FE6"/>
    <w:rsid w:val="008F7CE8"/>
    <w:rsid w:val="00900D3F"/>
    <w:rsid w:val="00901FB3"/>
    <w:rsid w:val="00903F1E"/>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CAE"/>
    <w:rsid w:val="009534F2"/>
    <w:rsid w:val="00954C30"/>
    <w:rsid w:val="00956A89"/>
    <w:rsid w:val="0096317C"/>
    <w:rsid w:val="0096538C"/>
    <w:rsid w:val="00965D26"/>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3FC8"/>
    <w:rsid w:val="00994276"/>
    <w:rsid w:val="00994C6F"/>
    <w:rsid w:val="00996294"/>
    <w:rsid w:val="009963A8"/>
    <w:rsid w:val="009A0088"/>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73B"/>
    <w:rsid w:val="00A46EA5"/>
    <w:rsid w:val="00A479FB"/>
    <w:rsid w:val="00A52877"/>
    <w:rsid w:val="00A537FC"/>
    <w:rsid w:val="00A561E8"/>
    <w:rsid w:val="00A56842"/>
    <w:rsid w:val="00A616C5"/>
    <w:rsid w:val="00A61CA3"/>
    <w:rsid w:val="00A63017"/>
    <w:rsid w:val="00A64448"/>
    <w:rsid w:val="00A654AD"/>
    <w:rsid w:val="00A674F2"/>
    <w:rsid w:val="00A71652"/>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4DAF"/>
    <w:rsid w:val="00AD4DCB"/>
    <w:rsid w:val="00AD5CC4"/>
    <w:rsid w:val="00AD6ADB"/>
    <w:rsid w:val="00AE0161"/>
    <w:rsid w:val="00AE1498"/>
    <w:rsid w:val="00AE37CB"/>
    <w:rsid w:val="00AE4DCD"/>
    <w:rsid w:val="00AE6F43"/>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31DA"/>
    <w:rsid w:val="00C042A7"/>
    <w:rsid w:val="00C042C9"/>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AFB"/>
    <w:rsid w:val="00D23C43"/>
    <w:rsid w:val="00D24C05"/>
    <w:rsid w:val="00D25DE3"/>
    <w:rsid w:val="00D315C0"/>
    <w:rsid w:val="00D315F3"/>
    <w:rsid w:val="00D34C37"/>
    <w:rsid w:val="00D34E39"/>
    <w:rsid w:val="00D3534C"/>
    <w:rsid w:val="00D354F4"/>
    <w:rsid w:val="00D3552A"/>
    <w:rsid w:val="00D4002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463"/>
    <w:rsid w:val="00D7582F"/>
    <w:rsid w:val="00D75C7C"/>
    <w:rsid w:val="00D761F0"/>
    <w:rsid w:val="00D76A57"/>
    <w:rsid w:val="00D772DE"/>
    <w:rsid w:val="00D80198"/>
    <w:rsid w:val="00D85F8E"/>
    <w:rsid w:val="00D914A6"/>
    <w:rsid w:val="00D92C31"/>
    <w:rsid w:val="00D92FC9"/>
    <w:rsid w:val="00D9330F"/>
    <w:rsid w:val="00D93B29"/>
    <w:rsid w:val="00D944E2"/>
    <w:rsid w:val="00D950F2"/>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70BD"/>
    <w:rsid w:val="00E77E30"/>
    <w:rsid w:val="00E80FB5"/>
    <w:rsid w:val="00E829A1"/>
    <w:rsid w:val="00E839B5"/>
    <w:rsid w:val="00E85D20"/>
    <w:rsid w:val="00E86942"/>
    <w:rsid w:val="00E90521"/>
    <w:rsid w:val="00E92BD2"/>
    <w:rsid w:val="00E93428"/>
    <w:rsid w:val="00E93C5B"/>
    <w:rsid w:val="00E94D01"/>
    <w:rsid w:val="00E955BC"/>
    <w:rsid w:val="00E96EF9"/>
    <w:rsid w:val="00E9795C"/>
    <w:rsid w:val="00EA42EC"/>
    <w:rsid w:val="00EA5D5C"/>
    <w:rsid w:val="00EB2242"/>
    <w:rsid w:val="00EB37C3"/>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6586"/>
    <w:rsid w:val="00F473C7"/>
    <w:rsid w:val="00F501A1"/>
    <w:rsid w:val="00F50765"/>
    <w:rsid w:val="00F52E1F"/>
    <w:rsid w:val="00F53299"/>
    <w:rsid w:val="00F550E7"/>
    <w:rsid w:val="00F56C1B"/>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4DB1"/>
    <w:rsid w:val="00F8599C"/>
    <w:rsid w:val="00F8691B"/>
    <w:rsid w:val="00F90798"/>
    <w:rsid w:val="00F92349"/>
    <w:rsid w:val="00F94989"/>
    <w:rsid w:val="00F95259"/>
    <w:rsid w:val="00F96EDF"/>
    <w:rsid w:val="00FA1172"/>
    <w:rsid w:val="00FA2117"/>
    <w:rsid w:val="00FA3994"/>
    <w:rsid w:val="00FA3F96"/>
    <w:rsid w:val="00FA4930"/>
    <w:rsid w:val="00FA66EA"/>
    <w:rsid w:val="00FA6DD7"/>
    <w:rsid w:val="00FA749C"/>
    <w:rsid w:val="00FA7F63"/>
    <w:rsid w:val="00FB2E85"/>
    <w:rsid w:val="00FB421B"/>
    <w:rsid w:val="00FB47BD"/>
    <w:rsid w:val="00FB6CD1"/>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222795D"/>
    <w:rsid w:val="0273086B"/>
    <w:rsid w:val="02B33080"/>
    <w:rsid w:val="03516C2A"/>
    <w:rsid w:val="03985C7D"/>
    <w:rsid w:val="039A405D"/>
    <w:rsid w:val="03D72DE7"/>
    <w:rsid w:val="03F95B4A"/>
    <w:rsid w:val="04B31573"/>
    <w:rsid w:val="051C5186"/>
    <w:rsid w:val="05241B93"/>
    <w:rsid w:val="057361BC"/>
    <w:rsid w:val="05C25634"/>
    <w:rsid w:val="0659602B"/>
    <w:rsid w:val="06665164"/>
    <w:rsid w:val="068124F2"/>
    <w:rsid w:val="080028EE"/>
    <w:rsid w:val="089E1DE3"/>
    <w:rsid w:val="08D74FC5"/>
    <w:rsid w:val="08FD0388"/>
    <w:rsid w:val="09630D8D"/>
    <w:rsid w:val="09C71513"/>
    <w:rsid w:val="09D300D1"/>
    <w:rsid w:val="0A8F02C9"/>
    <w:rsid w:val="0C094F89"/>
    <w:rsid w:val="0C145AEF"/>
    <w:rsid w:val="0C30025C"/>
    <w:rsid w:val="0C682A9D"/>
    <w:rsid w:val="0D156991"/>
    <w:rsid w:val="0D7B6C02"/>
    <w:rsid w:val="0EDB787F"/>
    <w:rsid w:val="0FA61452"/>
    <w:rsid w:val="0FB466B0"/>
    <w:rsid w:val="10B24925"/>
    <w:rsid w:val="124962F0"/>
    <w:rsid w:val="1250401C"/>
    <w:rsid w:val="12EC258E"/>
    <w:rsid w:val="132035A6"/>
    <w:rsid w:val="13270AAD"/>
    <w:rsid w:val="138E4DA7"/>
    <w:rsid w:val="140E6614"/>
    <w:rsid w:val="14B552DF"/>
    <w:rsid w:val="152F2F86"/>
    <w:rsid w:val="15B80938"/>
    <w:rsid w:val="16CB6554"/>
    <w:rsid w:val="16E24139"/>
    <w:rsid w:val="170F0C33"/>
    <w:rsid w:val="17497BA2"/>
    <w:rsid w:val="17AE7B72"/>
    <w:rsid w:val="180B15DA"/>
    <w:rsid w:val="181D3C99"/>
    <w:rsid w:val="18517EAB"/>
    <w:rsid w:val="199B70C1"/>
    <w:rsid w:val="1A6E1B33"/>
    <w:rsid w:val="1A7600F5"/>
    <w:rsid w:val="1ABB1AD2"/>
    <w:rsid w:val="1B50328A"/>
    <w:rsid w:val="1B5B21F6"/>
    <w:rsid w:val="1BBE19E0"/>
    <w:rsid w:val="1C3B44E8"/>
    <w:rsid w:val="1D157D7A"/>
    <w:rsid w:val="1D78034B"/>
    <w:rsid w:val="1DB40E63"/>
    <w:rsid w:val="1E5148EB"/>
    <w:rsid w:val="1E841815"/>
    <w:rsid w:val="1EDE551B"/>
    <w:rsid w:val="1F2C732E"/>
    <w:rsid w:val="1F5972B0"/>
    <w:rsid w:val="1FAA075C"/>
    <w:rsid w:val="1FFC37F7"/>
    <w:rsid w:val="208F6258"/>
    <w:rsid w:val="21076A4C"/>
    <w:rsid w:val="21964DFD"/>
    <w:rsid w:val="21AB2385"/>
    <w:rsid w:val="222A31BE"/>
    <w:rsid w:val="223717ED"/>
    <w:rsid w:val="239A6560"/>
    <w:rsid w:val="23B00905"/>
    <w:rsid w:val="245360EB"/>
    <w:rsid w:val="247513A1"/>
    <w:rsid w:val="24FC7F7D"/>
    <w:rsid w:val="2524289E"/>
    <w:rsid w:val="25344C05"/>
    <w:rsid w:val="27394EB2"/>
    <w:rsid w:val="27A15590"/>
    <w:rsid w:val="27B02A42"/>
    <w:rsid w:val="281E70EA"/>
    <w:rsid w:val="28496DC7"/>
    <w:rsid w:val="29037CEC"/>
    <w:rsid w:val="290C056A"/>
    <w:rsid w:val="290F13E3"/>
    <w:rsid w:val="29732D2A"/>
    <w:rsid w:val="299627A6"/>
    <w:rsid w:val="2B44328B"/>
    <w:rsid w:val="2BDC13E8"/>
    <w:rsid w:val="2C5C10C6"/>
    <w:rsid w:val="2CC01DDC"/>
    <w:rsid w:val="2DC74CB6"/>
    <w:rsid w:val="2E1D6FFC"/>
    <w:rsid w:val="2E5A18B6"/>
    <w:rsid w:val="2E9928E0"/>
    <w:rsid w:val="2EAD63A8"/>
    <w:rsid w:val="2EB95886"/>
    <w:rsid w:val="2EBE6008"/>
    <w:rsid w:val="2ED56C91"/>
    <w:rsid w:val="2F495071"/>
    <w:rsid w:val="2F9E1B21"/>
    <w:rsid w:val="2FD7696A"/>
    <w:rsid w:val="301557AF"/>
    <w:rsid w:val="30A82D39"/>
    <w:rsid w:val="310A06C9"/>
    <w:rsid w:val="31110C1F"/>
    <w:rsid w:val="31731ED1"/>
    <w:rsid w:val="32B72893"/>
    <w:rsid w:val="32D71C99"/>
    <w:rsid w:val="32FC5E04"/>
    <w:rsid w:val="3309576B"/>
    <w:rsid w:val="3358797B"/>
    <w:rsid w:val="337B6D0E"/>
    <w:rsid w:val="33856CD3"/>
    <w:rsid w:val="33A8297E"/>
    <w:rsid w:val="34820AFC"/>
    <w:rsid w:val="34BA2147"/>
    <w:rsid w:val="359716A9"/>
    <w:rsid w:val="36306832"/>
    <w:rsid w:val="36435A6D"/>
    <w:rsid w:val="36483135"/>
    <w:rsid w:val="373C7CDF"/>
    <w:rsid w:val="37BE7040"/>
    <w:rsid w:val="382753BA"/>
    <w:rsid w:val="389F5823"/>
    <w:rsid w:val="38EC0857"/>
    <w:rsid w:val="39477140"/>
    <w:rsid w:val="39924D42"/>
    <w:rsid w:val="39A4566F"/>
    <w:rsid w:val="3A0A710D"/>
    <w:rsid w:val="3A1D3E4C"/>
    <w:rsid w:val="3A3B6F95"/>
    <w:rsid w:val="3A7114AF"/>
    <w:rsid w:val="3AB46775"/>
    <w:rsid w:val="3AB94700"/>
    <w:rsid w:val="3B5B6D71"/>
    <w:rsid w:val="3B981772"/>
    <w:rsid w:val="3BCD4780"/>
    <w:rsid w:val="3C421154"/>
    <w:rsid w:val="3CED4FAC"/>
    <w:rsid w:val="3D3C18A7"/>
    <w:rsid w:val="3D593E8C"/>
    <w:rsid w:val="3DAF1262"/>
    <w:rsid w:val="3E611883"/>
    <w:rsid w:val="3F842C17"/>
    <w:rsid w:val="3FCE3382"/>
    <w:rsid w:val="4039719F"/>
    <w:rsid w:val="405D0988"/>
    <w:rsid w:val="40FE18D7"/>
    <w:rsid w:val="41071E4D"/>
    <w:rsid w:val="413E2586"/>
    <w:rsid w:val="421678CB"/>
    <w:rsid w:val="42180C9A"/>
    <w:rsid w:val="425D189A"/>
    <w:rsid w:val="42834427"/>
    <w:rsid w:val="42A61B46"/>
    <w:rsid w:val="42B53FDE"/>
    <w:rsid w:val="42DB2BF2"/>
    <w:rsid w:val="430B100B"/>
    <w:rsid w:val="43312BF2"/>
    <w:rsid w:val="43786278"/>
    <w:rsid w:val="43D52B21"/>
    <w:rsid w:val="43DA3B05"/>
    <w:rsid w:val="440C0C76"/>
    <w:rsid w:val="44976E5A"/>
    <w:rsid w:val="45F50E41"/>
    <w:rsid w:val="46164319"/>
    <w:rsid w:val="468D748C"/>
    <w:rsid w:val="46994C0B"/>
    <w:rsid w:val="4737119F"/>
    <w:rsid w:val="47472A18"/>
    <w:rsid w:val="476B0FBA"/>
    <w:rsid w:val="478E5F3C"/>
    <w:rsid w:val="480E2214"/>
    <w:rsid w:val="48B81E35"/>
    <w:rsid w:val="493D15AD"/>
    <w:rsid w:val="4A43105C"/>
    <w:rsid w:val="4CA605E7"/>
    <w:rsid w:val="4DA44ADF"/>
    <w:rsid w:val="4DC2042B"/>
    <w:rsid w:val="4DDE719A"/>
    <w:rsid w:val="4DFB2E3E"/>
    <w:rsid w:val="4EA10878"/>
    <w:rsid w:val="4F4B516F"/>
    <w:rsid w:val="4F697BF4"/>
    <w:rsid w:val="4F755271"/>
    <w:rsid w:val="4FBE7BEA"/>
    <w:rsid w:val="4FF9655A"/>
    <w:rsid w:val="50D80FF9"/>
    <w:rsid w:val="51265F87"/>
    <w:rsid w:val="514D1E63"/>
    <w:rsid w:val="51596929"/>
    <w:rsid w:val="51BC507B"/>
    <w:rsid w:val="52631353"/>
    <w:rsid w:val="52AF37C9"/>
    <w:rsid w:val="539E16F1"/>
    <w:rsid w:val="542A13FB"/>
    <w:rsid w:val="54532574"/>
    <w:rsid w:val="545F5A2B"/>
    <w:rsid w:val="54B924DC"/>
    <w:rsid w:val="54C43C51"/>
    <w:rsid w:val="55CE2246"/>
    <w:rsid w:val="55F42094"/>
    <w:rsid w:val="58192794"/>
    <w:rsid w:val="58E05651"/>
    <w:rsid w:val="58E66F69"/>
    <w:rsid w:val="59505D9C"/>
    <w:rsid w:val="59844893"/>
    <w:rsid w:val="59893102"/>
    <w:rsid w:val="5990205B"/>
    <w:rsid w:val="59E648CF"/>
    <w:rsid w:val="59FE38F4"/>
    <w:rsid w:val="5B2E163E"/>
    <w:rsid w:val="5B4F2CD5"/>
    <w:rsid w:val="5B6414CE"/>
    <w:rsid w:val="5B9F034C"/>
    <w:rsid w:val="5BFC3D1F"/>
    <w:rsid w:val="5C603089"/>
    <w:rsid w:val="5CA443F9"/>
    <w:rsid w:val="5CA65081"/>
    <w:rsid w:val="5CBE4A16"/>
    <w:rsid w:val="5D913B91"/>
    <w:rsid w:val="5DCB066D"/>
    <w:rsid w:val="5E1869A8"/>
    <w:rsid w:val="5E52066F"/>
    <w:rsid w:val="5E896FE6"/>
    <w:rsid w:val="5EE2086E"/>
    <w:rsid w:val="5F8B10A0"/>
    <w:rsid w:val="5F8F47E3"/>
    <w:rsid w:val="600052D9"/>
    <w:rsid w:val="60BB23E5"/>
    <w:rsid w:val="60D32977"/>
    <w:rsid w:val="60E86F0E"/>
    <w:rsid w:val="613715C7"/>
    <w:rsid w:val="616C7377"/>
    <w:rsid w:val="626266A7"/>
    <w:rsid w:val="626A3A22"/>
    <w:rsid w:val="62E32DA4"/>
    <w:rsid w:val="636D4B59"/>
    <w:rsid w:val="63E00724"/>
    <w:rsid w:val="6478698A"/>
    <w:rsid w:val="650B1736"/>
    <w:rsid w:val="652D2AF4"/>
    <w:rsid w:val="654710AE"/>
    <w:rsid w:val="65A268A9"/>
    <w:rsid w:val="65B00BC4"/>
    <w:rsid w:val="65F72713"/>
    <w:rsid w:val="66BE44CC"/>
    <w:rsid w:val="66C343CE"/>
    <w:rsid w:val="66CA20DF"/>
    <w:rsid w:val="673955E1"/>
    <w:rsid w:val="67440CAB"/>
    <w:rsid w:val="678A5E57"/>
    <w:rsid w:val="67B0300C"/>
    <w:rsid w:val="680E1188"/>
    <w:rsid w:val="68122C54"/>
    <w:rsid w:val="6816345D"/>
    <w:rsid w:val="685C2695"/>
    <w:rsid w:val="68A20143"/>
    <w:rsid w:val="68C61866"/>
    <w:rsid w:val="69A753F0"/>
    <w:rsid w:val="6AA33BCA"/>
    <w:rsid w:val="6B0D446E"/>
    <w:rsid w:val="6BE712D3"/>
    <w:rsid w:val="6C321222"/>
    <w:rsid w:val="6C3F217F"/>
    <w:rsid w:val="6CD220A2"/>
    <w:rsid w:val="6D9A0AE8"/>
    <w:rsid w:val="6D9E1B77"/>
    <w:rsid w:val="6DCC692E"/>
    <w:rsid w:val="6E1D48F0"/>
    <w:rsid w:val="6E7A1830"/>
    <w:rsid w:val="6EB54C74"/>
    <w:rsid w:val="6EC820AA"/>
    <w:rsid w:val="6ECE3EA8"/>
    <w:rsid w:val="6F0C3B6A"/>
    <w:rsid w:val="700B0DBE"/>
    <w:rsid w:val="70BF2484"/>
    <w:rsid w:val="712D75A9"/>
    <w:rsid w:val="71B821F4"/>
    <w:rsid w:val="71BD2C85"/>
    <w:rsid w:val="71C02CF2"/>
    <w:rsid w:val="7257796A"/>
    <w:rsid w:val="72AD05F6"/>
    <w:rsid w:val="72DE5608"/>
    <w:rsid w:val="72EE66C8"/>
    <w:rsid w:val="72F86392"/>
    <w:rsid w:val="754014EE"/>
    <w:rsid w:val="75567A5E"/>
    <w:rsid w:val="75E11C8A"/>
    <w:rsid w:val="7625040A"/>
    <w:rsid w:val="774B63F9"/>
    <w:rsid w:val="77C9622C"/>
    <w:rsid w:val="78E8647F"/>
    <w:rsid w:val="790F7FE0"/>
    <w:rsid w:val="79EE5838"/>
    <w:rsid w:val="7A2C6801"/>
    <w:rsid w:val="7A2E4B0E"/>
    <w:rsid w:val="7B6859D1"/>
    <w:rsid w:val="7B8F4CDB"/>
    <w:rsid w:val="7BD101DF"/>
    <w:rsid w:val="7C043694"/>
    <w:rsid w:val="7C330D65"/>
    <w:rsid w:val="7CC22809"/>
    <w:rsid w:val="7DA84E33"/>
    <w:rsid w:val="7EAA02A2"/>
    <w:rsid w:val="7F9928B6"/>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7"/>
    <w:qFormat/>
    <w:uiPriority w:val="0"/>
    <w:pPr>
      <w:keepNext/>
      <w:keepLines/>
      <w:spacing w:before="340" w:after="330" w:line="576" w:lineRule="auto"/>
      <w:jc w:val="center"/>
      <w:outlineLvl w:val="0"/>
    </w:pPr>
    <w:rPr>
      <w:b/>
      <w:kern w:val="44"/>
      <w:sz w:val="28"/>
      <w:szCs w:val="20"/>
    </w:rPr>
  </w:style>
  <w:style w:type="paragraph" w:styleId="4">
    <w:name w:val="heading 2"/>
    <w:basedOn w:val="1"/>
    <w:next w:val="1"/>
    <w:link w:val="39"/>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6"/>
    <w:qFormat/>
    <w:uiPriority w:val="0"/>
    <w:pPr>
      <w:keepNext/>
      <w:keepLines/>
      <w:spacing w:before="260" w:after="260" w:line="413" w:lineRule="auto"/>
      <w:outlineLvl w:val="2"/>
    </w:pPr>
    <w:rPr>
      <w:kern w:val="0"/>
      <w:sz w:val="28"/>
      <w:szCs w:val="2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toc 7"/>
    <w:basedOn w:val="1"/>
    <w:next w:val="1"/>
    <w:qFormat/>
    <w:uiPriority w:val="0"/>
    <w:pPr>
      <w:ind w:left="2520" w:leftChars="1200"/>
    </w:pPr>
  </w:style>
  <w:style w:type="paragraph" w:styleId="7">
    <w:name w:val="Document Map"/>
    <w:basedOn w:val="1"/>
    <w:link w:val="32"/>
    <w:qFormat/>
    <w:uiPriority w:val="0"/>
    <w:rPr>
      <w:rFonts w:ascii="宋体"/>
      <w:sz w:val="18"/>
      <w:szCs w:val="18"/>
    </w:rPr>
  </w:style>
  <w:style w:type="paragraph" w:styleId="8">
    <w:name w:val="toa heading"/>
    <w:basedOn w:val="1"/>
    <w:next w:val="1"/>
    <w:qFormat/>
    <w:uiPriority w:val="0"/>
    <w:pPr>
      <w:spacing w:before="120"/>
    </w:pPr>
    <w:rPr>
      <w:rFonts w:ascii="Arial" w:hAnsi="Arial"/>
      <w:sz w:val="24"/>
    </w:rPr>
  </w:style>
  <w:style w:type="paragraph" w:styleId="9">
    <w:name w:val="annotation text"/>
    <w:basedOn w:val="1"/>
    <w:link w:val="30"/>
    <w:qFormat/>
    <w:uiPriority w:val="0"/>
    <w:pPr>
      <w:jc w:val="left"/>
    </w:pPr>
    <w:rPr>
      <w:rFonts w:ascii="Calibri" w:hAnsi="Calibri"/>
      <w:szCs w:val="22"/>
    </w:rPr>
  </w:style>
  <w:style w:type="paragraph" w:styleId="10">
    <w:name w:val="Body Text Indent"/>
    <w:basedOn w:val="1"/>
    <w:link w:val="41"/>
    <w:qFormat/>
    <w:uiPriority w:val="0"/>
    <w:pPr>
      <w:spacing w:after="120"/>
      <w:ind w:left="420" w:leftChars="200"/>
    </w:pPr>
  </w:style>
  <w:style w:type="paragraph" w:styleId="11">
    <w:name w:val="toc 5"/>
    <w:basedOn w:val="1"/>
    <w:next w:val="1"/>
    <w:qFormat/>
    <w:uiPriority w:val="0"/>
    <w:pPr>
      <w:ind w:left="1680" w:leftChars="800"/>
    </w:pPr>
  </w:style>
  <w:style w:type="paragraph" w:styleId="12">
    <w:name w:val="toc 3"/>
    <w:basedOn w:val="1"/>
    <w:next w:val="1"/>
    <w:qFormat/>
    <w:uiPriority w:val="39"/>
    <w:pPr>
      <w:ind w:left="840" w:leftChars="400"/>
    </w:pPr>
  </w:style>
  <w:style w:type="paragraph" w:styleId="13">
    <w:name w:val="Plain Text"/>
    <w:basedOn w:val="1"/>
    <w:link w:val="48"/>
    <w:qFormat/>
    <w:uiPriority w:val="0"/>
    <w:pPr>
      <w:adjustRightInd w:val="0"/>
      <w:spacing w:line="312" w:lineRule="atLeast"/>
      <w:textAlignment w:val="baseline"/>
    </w:pPr>
    <w:rPr>
      <w:rFonts w:ascii="宋体" w:hAnsi="Courier New"/>
    </w:rPr>
  </w:style>
  <w:style w:type="paragraph" w:styleId="14">
    <w:name w:val="toc 8"/>
    <w:basedOn w:val="1"/>
    <w:next w:val="1"/>
    <w:qFormat/>
    <w:uiPriority w:val="0"/>
    <w:pPr>
      <w:ind w:left="2940" w:leftChars="1400"/>
    </w:pPr>
  </w:style>
  <w:style w:type="paragraph" w:styleId="15">
    <w:name w:val="Balloon Text"/>
    <w:basedOn w:val="1"/>
    <w:link w:val="33"/>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qFormat/>
    <w:uiPriority w:val="0"/>
    <w:pPr>
      <w:ind w:left="2100" w:leftChars="1000"/>
    </w:pPr>
  </w:style>
  <w:style w:type="paragraph" w:styleId="21">
    <w:name w:val="Body Text Indent 3"/>
    <w:basedOn w:val="1"/>
    <w:link w:val="40"/>
    <w:qFormat/>
    <w:uiPriority w:val="0"/>
    <w:pPr>
      <w:spacing w:after="120"/>
      <w:ind w:left="420" w:leftChars="200"/>
    </w:pPr>
    <w:rPr>
      <w:sz w:val="16"/>
      <w:szCs w:val="16"/>
    </w:rPr>
  </w:style>
  <w:style w:type="paragraph" w:styleId="22">
    <w:name w:val="toc 2"/>
    <w:basedOn w:val="1"/>
    <w:next w:val="1"/>
    <w:qFormat/>
    <w:uiPriority w:val="39"/>
    <w:pPr>
      <w:ind w:left="420" w:leftChars="200"/>
    </w:pPr>
  </w:style>
  <w:style w:type="paragraph" w:styleId="23">
    <w:name w:val="toc 9"/>
    <w:basedOn w:val="1"/>
    <w:next w:val="1"/>
    <w:qFormat/>
    <w:uiPriority w:val="0"/>
    <w:pPr>
      <w:ind w:left="3360" w:leftChars="1600"/>
    </w:pPr>
  </w:style>
  <w:style w:type="paragraph" w:styleId="24">
    <w:name w:val="annotation subject"/>
    <w:basedOn w:val="9"/>
    <w:next w:val="9"/>
    <w:link w:val="31"/>
    <w:qFormat/>
    <w:uiPriority w:val="0"/>
    <w:rPr>
      <w:rFonts w:ascii="Times New Roman" w:hAnsi="Times New Roman"/>
      <w:b/>
      <w:bCs/>
      <w:szCs w:val="24"/>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unhideWhenUsed/>
    <w:qFormat/>
    <w:uiPriority w:val="99"/>
    <w:rPr>
      <w:color w:val="0000FF"/>
      <w:u w:val="single"/>
    </w:rPr>
  </w:style>
  <w:style w:type="character" w:styleId="29">
    <w:name w:val="annotation reference"/>
    <w:qFormat/>
    <w:uiPriority w:val="0"/>
    <w:rPr>
      <w:sz w:val="21"/>
      <w:szCs w:val="21"/>
    </w:rPr>
  </w:style>
  <w:style w:type="character" w:customStyle="1" w:styleId="30">
    <w:name w:val="批注文字 字符"/>
    <w:link w:val="9"/>
    <w:qFormat/>
    <w:uiPriority w:val="0"/>
    <w:rPr>
      <w:rFonts w:ascii="Calibri" w:hAnsi="Calibri"/>
      <w:kern w:val="2"/>
      <w:sz w:val="21"/>
      <w:szCs w:val="22"/>
    </w:rPr>
  </w:style>
  <w:style w:type="character" w:customStyle="1" w:styleId="31">
    <w:name w:val="批注主题 字符"/>
    <w:basedOn w:val="30"/>
    <w:link w:val="24"/>
    <w:qFormat/>
    <w:uiPriority w:val="0"/>
    <w:rPr>
      <w:rFonts w:ascii="Calibri" w:hAnsi="Calibri"/>
      <w:kern w:val="2"/>
      <w:sz w:val="21"/>
      <w:szCs w:val="22"/>
    </w:rPr>
  </w:style>
  <w:style w:type="character" w:customStyle="1" w:styleId="32">
    <w:name w:val="文档结构图 字符"/>
    <w:link w:val="7"/>
    <w:qFormat/>
    <w:uiPriority w:val="0"/>
    <w:rPr>
      <w:rFonts w:ascii="宋体"/>
      <w:kern w:val="2"/>
      <w:sz w:val="18"/>
      <w:szCs w:val="18"/>
    </w:rPr>
  </w:style>
  <w:style w:type="character" w:customStyle="1" w:styleId="33">
    <w:name w:val="批注框文本 字符"/>
    <w:link w:val="15"/>
    <w:qFormat/>
    <w:uiPriority w:val="0"/>
    <w:rPr>
      <w:kern w:val="2"/>
      <w:sz w:val="18"/>
      <w:szCs w:val="18"/>
    </w:rPr>
  </w:style>
  <w:style w:type="character" w:customStyle="1" w:styleId="34">
    <w:name w:val="1101 Char"/>
    <w:link w:val="35"/>
    <w:qFormat/>
    <w:uiPriority w:val="0"/>
    <w:rPr>
      <w:rFonts w:ascii="宋体" w:hAnsi="宋体" w:cs="宋体"/>
      <w:kern w:val="2"/>
      <w:sz w:val="28"/>
      <w:szCs w:val="28"/>
    </w:rPr>
  </w:style>
  <w:style w:type="paragraph" w:customStyle="1" w:styleId="35">
    <w:name w:val="1101"/>
    <w:basedOn w:val="1"/>
    <w:link w:val="34"/>
    <w:qFormat/>
    <w:uiPriority w:val="0"/>
    <w:pPr>
      <w:ind w:firstLine="560" w:firstLineChars="200"/>
      <w:jc w:val="left"/>
    </w:pPr>
    <w:rPr>
      <w:rFonts w:ascii="宋体" w:hAnsi="宋体"/>
      <w:sz w:val="28"/>
      <w:szCs w:val="28"/>
    </w:rPr>
  </w:style>
  <w:style w:type="character" w:customStyle="1" w:styleId="36">
    <w:name w:val="标题 3 字符"/>
    <w:link w:val="5"/>
    <w:qFormat/>
    <w:uiPriority w:val="0"/>
    <w:rPr>
      <w:rFonts w:eastAsia="宋体"/>
      <w:sz w:val="28"/>
    </w:rPr>
  </w:style>
  <w:style w:type="character" w:customStyle="1" w:styleId="37">
    <w:name w:val="标题 1 字符"/>
    <w:link w:val="3"/>
    <w:qFormat/>
    <w:uiPriority w:val="0"/>
    <w:rPr>
      <w:rFonts w:ascii="Times New Roman" w:hAnsi="Times New Roman" w:eastAsia="宋体"/>
      <w:b/>
      <w:kern w:val="44"/>
      <w:sz w:val="28"/>
      <w:szCs w:val="20"/>
    </w:rPr>
  </w:style>
  <w:style w:type="character" w:customStyle="1" w:styleId="38">
    <w:name w:val="正文文本缩进 Char"/>
    <w:basedOn w:val="27"/>
    <w:qFormat/>
    <w:uiPriority w:val="0"/>
    <w:rPr>
      <w:kern w:val="2"/>
      <w:sz w:val="21"/>
      <w:szCs w:val="24"/>
    </w:rPr>
  </w:style>
  <w:style w:type="character" w:customStyle="1" w:styleId="39">
    <w:name w:val="标题 2 字符"/>
    <w:link w:val="4"/>
    <w:qFormat/>
    <w:uiPriority w:val="0"/>
    <w:rPr>
      <w:rFonts w:ascii="Arial" w:hAnsi="Arial" w:eastAsia="宋体"/>
      <w:sz w:val="28"/>
      <w:szCs w:val="20"/>
    </w:rPr>
  </w:style>
  <w:style w:type="character" w:customStyle="1" w:styleId="40">
    <w:name w:val="正文文本缩进 3 字符"/>
    <w:link w:val="21"/>
    <w:qFormat/>
    <w:uiPriority w:val="0"/>
    <w:rPr>
      <w:kern w:val="2"/>
      <w:sz w:val="16"/>
      <w:szCs w:val="16"/>
    </w:rPr>
  </w:style>
  <w:style w:type="character" w:customStyle="1" w:styleId="41">
    <w:name w:val="正文文本缩进 字符"/>
    <w:basedOn w:val="27"/>
    <w:link w:val="10"/>
    <w:qFormat/>
    <w:uiPriority w:val="0"/>
    <w:rPr>
      <w:kern w:val="2"/>
      <w:sz w:val="21"/>
      <w:szCs w:val="24"/>
    </w:rPr>
  </w:style>
  <w:style w:type="paragraph" w:customStyle="1" w:styleId="42">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3">
    <w:name w:val="纯文本1"/>
    <w:basedOn w:val="1"/>
    <w:qFormat/>
    <w:uiPriority w:val="0"/>
    <w:rPr>
      <w:rFonts w:ascii="宋体" w:hAnsi="Courier New" w:cs="黑体"/>
      <w:szCs w:val="21"/>
    </w:rPr>
  </w:style>
  <w:style w:type="paragraph" w:customStyle="1" w:styleId="44">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5">
    <w:name w:val="款下正文"/>
    <w:basedOn w:val="1"/>
    <w:qFormat/>
    <w:uiPriority w:val="0"/>
    <w:pPr>
      <w:spacing w:beforeLines="50" w:afterLines="50" w:line="480" w:lineRule="exact"/>
      <w:ind w:firstLine="480" w:firstLineChars="200"/>
    </w:pPr>
    <w:rPr>
      <w:sz w:val="24"/>
      <w:szCs w:val="28"/>
    </w:rPr>
  </w:style>
  <w:style w:type="paragraph" w:customStyle="1" w:styleId="46">
    <w:name w:val="TOC 标题1"/>
    <w:basedOn w:val="3"/>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7">
    <w:name w:val="样式1"/>
    <w:basedOn w:val="3"/>
    <w:qFormat/>
    <w:uiPriority w:val="0"/>
  </w:style>
  <w:style w:type="character" w:customStyle="1" w:styleId="48">
    <w:name w:val="纯文本 字符"/>
    <w:link w:val="13"/>
    <w:qFormat/>
    <w:uiPriority w:val="0"/>
    <w:rPr>
      <w:rFonts w:ascii="宋体" w:hAnsi="Courier New"/>
      <w:kern w:val="2"/>
      <w:sz w:val="21"/>
      <w:szCs w:val="24"/>
    </w:rPr>
  </w:style>
  <w:style w:type="paragraph" w:customStyle="1" w:styleId="49">
    <w:name w:val="列出段落1"/>
    <w:basedOn w:val="1"/>
    <w:qFormat/>
    <w:uiPriority w:val="34"/>
    <w:pPr>
      <w:ind w:firstLine="420" w:firstLineChars="200"/>
    </w:pPr>
    <w:rPr>
      <w:rFonts w:ascii="Calibri" w:hAnsi="Calibri"/>
      <w:szCs w:val="22"/>
    </w:rPr>
  </w:style>
  <w:style w:type="character" w:customStyle="1" w:styleId="50">
    <w:name w:val="未处理的提及1"/>
    <w:basedOn w:val="27"/>
    <w:semiHidden/>
    <w:unhideWhenUsed/>
    <w:qFormat/>
    <w:uiPriority w:val="99"/>
    <w:rPr>
      <w:color w:val="808080"/>
      <w:shd w:val="clear" w:color="auto" w:fill="E6E6E6"/>
    </w:rPr>
  </w:style>
  <w:style w:type="character" w:customStyle="1" w:styleId="51">
    <w:name w:val="正文文本_"/>
    <w:basedOn w:val="27"/>
    <w:link w:val="52"/>
    <w:qFormat/>
    <w:uiPriority w:val="0"/>
    <w:rPr>
      <w:rFonts w:ascii="MingLiU" w:hAnsi="MingLiU" w:eastAsia="MingLiU" w:cs="MingLiU"/>
      <w:sz w:val="27"/>
      <w:szCs w:val="27"/>
      <w:shd w:val="clear" w:color="auto" w:fill="FFFFFF"/>
    </w:rPr>
  </w:style>
  <w:style w:type="paragraph" w:customStyle="1" w:styleId="52">
    <w:name w:val="正文文本2"/>
    <w:basedOn w:val="1"/>
    <w:link w:val="51"/>
    <w:qFormat/>
    <w:uiPriority w:val="0"/>
    <w:pPr>
      <w:shd w:val="clear" w:color="auto" w:fill="FFFFFF"/>
      <w:spacing w:before="1200" w:after="840" w:line="0" w:lineRule="atLeast"/>
      <w:jc w:val="right"/>
    </w:pPr>
    <w:rPr>
      <w:rFonts w:ascii="MingLiU" w:hAnsi="MingLiU" w:eastAsia="MingLiU" w:cs="MingLiU"/>
      <w:kern w:val="0"/>
      <w:sz w:val="27"/>
      <w:szCs w:val="27"/>
    </w:rPr>
  </w:style>
  <w:style w:type="paragraph" w:styleId="53">
    <w:name w:val="List Paragraph"/>
    <w:basedOn w:val="1"/>
    <w:qFormat/>
    <w:uiPriority w:val="99"/>
    <w:pPr>
      <w:ind w:firstLine="420" w:firstLineChars="200"/>
    </w:pPr>
  </w:style>
  <w:style w:type="character" w:customStyle="1" w:styleId="54">
    <w:name w:val="标题 2 Char"/>
    <w:qFormat/>
    <w:uiPriority w:val="99"/>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6"/>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9E2CA-57FE-4121-8628-37398D6EBA8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18625</Words>
  <Characters>19475</Characters>
  <Lines>123</Lines>
  <Paragraphs>34</Paragraphs>
  <TotalTime>13</TotalTime>
  <ScaleCrop>false</ScaleCrop>
  <LinksUpToDate>false</LinksUpToDate>
  <CharactersWithSpaces>20402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2020-04-02T09:32:00Z</dcterms:created>
  <dc:creator>jkghj</dc:creator>
  <cp:lastModifiedBy>覃一峰</cp:lastModifiedBy>
  <cp:lastPrinted>2021-11-12T08:32:00Z</cp:lastPrinted>
  <dcterms:modified xsi:type="dcterms:W3CDTF">2023-03-20T02:04:17Z</dcterms:modified>
  <dc:title>附件3：二号线公司比选文件</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A1D8FD374E944F86A8DB6CA6240874D3</vt:lpwstr>
  </property>
</Properties>
</file>