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eastAsia="黑体"/>
          <w:b/>
          <w:bCs/>
          <w:spacing w:val="-20"/>
          <w:sz w:val="28"/>
          <w:szCs w:val="28"/>
          <w:highlight w:val="none"/>
        </w:rPr>
      </w:pPr>
      <w:r>
        <w:rPr>
          <w:rFonts w:hint="eastAsia" w:ascii="黑体" w:eastAsia="黑体"/>
          <w:sz w:val="44"/>
          <w:szCs w:val="48"/>
          <w:highlight w:val="none"/>
        </w:rPr>
        <w:t>南宁轨道</w:t>
      </w:r>
      <w:r>
        <w:rPr>
          <w:rFonts w:hint="eastAsia" w:ascii="黑体" w:eastAsia="黑体"/>
          <w:sz w:val="44"/>
          <w:szCs w:val="48"/>
          <w:highlight w:val="none"/>
          <w:lang w:val="en-US" w:eastAsia="zh-CN"/>
        </w:rPr>
        <w:t>交通建设有限</w:t>
      </w:r>
      <w:r>
        <w:rPr>
          <w:rFonts w:hint="eastAsia" w:ascii="黑体" w:eastAsia="黑体"/>
          <w:sz w:val="44"/>
          <w:szCs w:val="48"/>
          <w:highlight w:val="none"/>
        </w:rPr>
        <w:t>公司</w:t>
      </w:r>
      <w:r>
        <w:rPr>
          <w:rFonts w:ascii="黑体" w:eastAsia="黑体"/>
          <w:sz w:val="44"/>
          <w:szCs w:val="48"/>
          <w:highlight w:val="none"/>
        </w:rPr>
        <w:t>202</w:t>
      </w:r>
      <w:r>
        <w:rPr>
          <w:rFonts w:hint="eastAsia" w:ascii="黑体" w:eastAsia="黑体"/>
          <w:sz w:val="44"/>
          <w:szCs w:val="48"/>
          <w:highlight w:val="none"/>
          <w:lang w:val="en-US" w:eastAsia="zh-CN"/>
        </w:rPr>
        <w:t>0</w:t>
      </w:r>
      <w:r>
        <w:rPr>
          <w:rFonts w:hint="eastAsia" w:ascii="黑体" w:eastAsia="黑体"/>
          <w:sz w:val="44"/>
          <w:szCs w:val="48"/>
          <w:highlight w:val="none"/>
        </w:rPr>
        <w:t>年</w:t>
      </w:r>
      <w:r>
        <w:rPr>
          <w:rFonts w:hint="eastAsia" w:ascii="黑体" w:eastAsia="黑体"/>
          <w:sz w:val="44"/>
          <w:szCs w:val="48"/>
          <w:highlight w:val="none"/>
          <w:lang w:eastAsia="zh-CN"/>
        </w:rPr>
        <w:t>至</w:t>
      </w:r>
      <w:r>
        <w:rPr>
          <w:rFonts w:hint="eastAsia" w:ascii="黑体" w:eastAsia="黑体"/>
          <w:sz w:val="44"/>
          <w:szCs w:val="48"/>
          <w:highlight w:val="none"/>
          <w:lang w:val="en-US" w:eastAsia="zh-CN"/>
        </w:rPr>
        <w:t>2022年采购及合同管理专项审计</w:t>
      </w:r>
      <w:r>
        <w:rPr>
          <w:rFonts w:hint="eastAsia" w:ascii="黑体" w:eastAsia="黑体"/>
          <w:spacing w:val="-20"/>
          <w:sz w:val="44"/>
          <w:szCs w:val="48"/>
          <w:highlight w:val="none"/>
        </w:rPr>
        <w:t>项目</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jc w:val="center"/>
        <w:rPr>
          <w:b/>
          <w:bCs/>
          <w:sz w:val="32"/>
          <w:szCs w:val="32"/>
          <w:highlight w:val="none"/>
        </w:rPr>
      </w:pPr>
      <w:r>
        <w:rPr>
          <w:rFonts w:hint="eastAsia"/>
          <w:b/>
          <w:bCs/>
          <w:sz w:val="32"/>
          <w:szCs w:val="32"/>
          <w:highlight w:val="none"/>
        </w:rPr>
        <w:t>比选发起人：南宁轨道交通集团有限责任公司</w:t>
      </w:r>
    </w:p>
    <w:p>
      <w:pPr>
        <w:spacing w:line="360" w:lineRule="auto"/>
        <w:jc w:val="center"/>
        <w:rPr>
          <w:rFonts w:hint="eastAsia" w:ascii="宋体" w:hAnsi="宋体" w:eastAsia="宋体" w:cs="宋体"/>
          <w:b/>
          <w:bCs/>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9980"/>
      <w:bookmarkStart w:id="1" w:name="_Toc18159"/>
      <w:bookmarkStart w:id="2" w:name="_Toc14943"/>
      <w:bookmarkStart w:id="3" w:name="_Toc23188"/>
      <w:bookmarkStart w:id="4" w:name="_Toc21106"/>
      <w:bookmarkStart w:id="5" w:name="_Toc27692"/>
      <w:bookmarkStart w:id="6" w:name="_Toc32122"/>
      <w:bookmarkStart w:id="7" w:name="_Toc461525293"/>
      <w:bookmarkStart w:id="8" w:name="_Toc12363"/>
      <w:bookmarkStart w:id="9" w:name="_Toc4954"/>
      <w:bookmarkStart w:id="10" w:name="_Toc471482358"/>
      <w:bookmarkStart w:id="11" w:name="_Toc25905"/>
      <w:r>
        <w:rPr>
          <w:rFonts w:hint="eastAsia" w:ascii="宋体" w:hAnsi="宋体" w:cs="宋体"/>
          <w:b/>
          <w:bCs/>
          <w:sz w:val="32"/>
          <w:szCs w:val="32"/>
          <w:highlight w:val="none"/>
          <w:lang w:val="en-US" w:eastAsia="zh-CN"/>
        </w:rPr>
        <w:t xml:space="preserve"> </w:t>
      </w:r>
      <w:r>
        <w:rPr>
          <w:rFonts w:hint="eastAsia" w:ascii="宋体" w:hAnsi="宋体" w:eastAsia="宋体" w:cs="宋体"/>
          <w:b/>
          <w:bCs/>
          <w:sz w:val="32"/>
          <w:szCs w:val="32"/>
          <w:highlight w:val="none"/>
        </w:rPr>
        <w:t xml:space="preserve">2023年 </w:t>
      </w: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rPr>
        <w:t>月</w:t>
      </w:r>
      <w:r>
        <w:rPr>
          <w:rFonts w:hint="eastAsia" w:ascii="宋体" w:hAnsi="宋体" w:cs="宋体"/>
          <w:b/>
          <w:bCs/>
          <w:sz w:val="32"/>
          <w:szCs w:val="32"/>
          <w:highlight w:val="none"/>
          <w:lang w:val="en-US" w:eastAsia="zh-CN"/>
        </w:rPr>
        <w:t>28</w:t>
      </w:r>
      <w:r>
        <w:rPr>
          <w:rFonts w:hint="eastAsia" w:ascii="宋体" w:hAnsi="宋体" w:eastAsia="宋体" w:cs="宋体"/>
          <w:b/>
          <w:bCs/>
          <w:sz w:val="32"/>
          <w:szCs w:val="32"/>
          <w:highlight w:val="none"/>
        </w:rPr>
        <w:t>日</w:t>
      </w:r>
    </w:p>
    <w:p>
      <w:pPr>
        <w:pStyle w:val="3"/>
        <w:tabs>
          <w:tab w:val="right" w:leader="dot" w:pos="9219"/>
        </w:tabs>
        <w:spacing w:before="0" w:after="0" w:line="600" w:lineRule="exact"/>
        <w:ind w:firstLine="3779" w:firstLineChars="1181"/>
        <w:jc w:val="both"/>
        <w:rPr>
          <w:rFonts w:ascii="宋体" w:hAnsi="宋体" w:eastAsia="宋体" w:cs="宋体"/>
          <w:b/>
          <w:kern w:val="44"/>
          <w:sz w:val="21"/>
          <w:szCs w:val="21"/>
          <w:highlight w:val="none"/>
          <w:lang w:val="en-US" w:eastAsia="zh-CN" w:bidi="ar-SA"/>
        </w:rPr>
      </w:pPr>
      <w:bookmarkStart w:id="12" w:name="_Toc16693"/>
      <w:bookmarkStart w:id="13" w:name="_Toc13153"/>
      <w:bookmarkStart w:id="14" w:name="_Toc31734"/>
      <w:bookmarkStart w:id="15" w:name="_Toc24586"/>
      <w:bookmarkStart w:id="16" w:name="_Toc19051"/>
      <w:bookmarkStart w:id="17" w:name="_Toc17397"/>
      <w:bookmarkStart w:id="18" w:name="_Toc27700"/>
      <w:r>
        <w:rPr>
          <w:rFonts w:ascii="宋体" w:hAnsi="宋体"/>
          <w:b w:val="0"/>
          <w:sz w:val="32"/>
          <w:szCs w:val="21"/>
          <w:highlight w:val="none"/>
        </w:rPr>
        <w:t xml:space="preserve"> </w:t>
      </w:r>
      <w:bookmarkStart w:id="19" w:name="_Toc19299"/>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_Toc19299 </w:instrText>
      </w:r>
      <w:r>
        <w:rPr>
          <w:rFonts w:ascii="宋体" w:hAnsi="宋体" w:cs="宋体"/>
          <w:szCs w:val="21"/>
          <w:highlight w:val="none"/>
        </w:rPr>
        <w:fldChar w:fldCharType="separate"/>
      </w:r>
      <w:r>
        <w:rPr>
          <w:rFonts w:hint="eastAsia" w:ascii="宋体" w:hAnsi="宋体"/>
          <w:szCs w:val="21"/>
          <w:highlight w:val="none"/>
        </w:rPr>
        <w:t>目录</w:t>
      </w:r>
      <w:r>
        <w:tab/>
      </w:r>
      <w:r>
        <w:fldChar w:fldCharType="begin"/>
      </w:r>
      <w:r>
        <w:instrText xml:space="preserve"> PAGEREF _Toc19299 \h </w:instrText>
      </w:r>
      <w:r>
        <w:fldChar w:fldCharType="separate"/>
      </w:r>
      <w:r>
        <w:t>1</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_Toc20140 </w:instrText>
      </w:r>
      <w:r>
        <w:rPr>
          <w:rFonts w:ascii="宋体" w:hAnsi="宋体" w:cs="宋体"/>
          <w:szCs w:val="21"/>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tab/>
      </w:r>
      <w:r>
        <w:fldChar w:fldCharType="begin"/>
      </w:r>
      <w:r>
        <w:instrText xml:space="preserve"> PAGEREF _Toc20140 \h </w:instrText>
      </w:r>
      <w:r>
        <w:fldChar w:fldCharType="separate"/>
      </w:r>
      <w:r>
        <w:t>2</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_Toc8003 </w:instrText>
      </w:r>
      <w:r>
        <w:rPr>
          <w:rFonts w:ascii="宋体" w:hAnsi="宋体" w:cs="宋体"/>
          <w:szCs w:val="21"/>
          <w:highlight w:val="none"/>
        </w:rPr>
        <w:fldChar w:fldCharType="separate"/>
      </w:r>
      <w:r>
        <w:rPr>
          <w:rFonts w:hint="eastAsia"/>
          <w:szCs w:val="24"/>
          <w:highlight w:val="none"/>
        </w:rPr>
        <w:t>前附表</w:t>
      </w:r>
      <w:r>
        <w:tab/>
      </w:r>
      <w:r>
        <w:fldChar w:fldCharType="begin"/>
      </w:r>
      <w:r>
        <w:instrText xml:space="preserve"> PAGEREF _Toc8003 \h </w:instrText>
      </w:r>
      <w:r>
        <w:fldChar w:fldCharType="separate"/>
      </w:r>
      <w:r>
        <w:t>2</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_Toc3416 </w:instrText>
      </w:r>
      <w:r>
        <w:rPr>
          <w:rFonts w:ascii="宋体" w:hAnsi="宋体" w:cs="宋体"/>
          <w:szCs w:val="21"/>
          <w:highlight w:val="none"/>
        </w:rPr>
        <w:fldChar w:fldCharType="separate"/>
      </w:r>
      <w:r>
        <w:rPr>
          <w:rFonts w:hint="eastAsia" w:ascii="宋体" w:hAnsi="宋体"/>
          <w:szCs w:val="21"/>
          <w:highlight w:val="none"/>
        </w:rPr>
        <w:t>一、总则</w:t>
      </w:r>
      <w:r>
        <w:tab/>
      </w:r>
      <w:r>
        <w:fldChar w:fldCharType="begin"/>
      </w:r>
      <w:r>
        <w:instrText xml:space="preserve"> PAGEREF _Toc3416 \h </w:instrText>
      </w:r>
      <w:r>
        <w:fldChar w:fldCharType="separate"/>
      </w:r>
      <w:r>
        <w:t>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_Toc5628 </w:instrText>
      </w:r>
      <w:r>
        <w:rPr>
          <w:rFonts w:ascii="宋体" w:hAnsi="宋体" w:cs="宋体"/>
          <w:szCs w:val="21"/>
          <w:highlight w:val="none"/>
        </w:rPr>
        <w:fldChar w:fldCharType="separate"/>
      </w:r>
      <w:r>
        <w:rPr>
          <w:rFonts w:hint="eastAsia" w:ascii="宋体" w:hAnsi="宋体"/>
          <w:szCs w:val="21"/>
          <w:highlight w:val="none"/>
        </w:rPr>
        <w:t>二、比选文件</w:t>
      </w:r>
      <w:r>
        <w:tab/>
      </w:r>
      <w:r>
        <w:fldChar w:fldCharType="begin"/>
      </w:r>
      <w:r>
        <w:instrText xml:space="preserve"> PAGEREF _Toc5628 \h </w:instrText>
      </w:r>
      <w:r>
        <w:fldChar w:fldCharType="separate"/>
      </w:r>
      <w:r>
        <w:t>7</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_Toc27671 </w:instrText>
      </w:r>
      <w:r>
        <w:rPr>
          <w:rFonts w:ascii="宋体" w:hAnsi="宋体" w:cs="宋体"/>
          <w:szCs w:val="21"/>
          <w:highlight w:val="none"/>
        </w:rPr>
        <w:fldChar w:fldCharType="separate"/>
      </w:r>
      <w:r>
        <w:rPr>
          <w:rFonts w:hint="eastAsia" w:ascii="宋体" w:hAnsi="宋体"/>
          <w:szCs w:val="21"/>
          <w:highlight w:val="none"/>
        </w:rPr>
        <w:t>三、申请比选报价说明</w:t>
      </w:r>
      <w:r>
        <w:tab/>
      </w:r>
      <w:r>
        <w:fldChar w:fldCharType="begin"/>
      </w:r>
      <w:r>
        <w:instrText xml:space="preserve"> PAGEREF _Toc27671 \h </w:instrText>
      </w:r>
      <w:r>
        <w:fldChar w:fldCharType="separate"/>
      </w:r>
      <w:r>
        <w:t>7</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_Toc8092 </w:instrText>
      </w:r>
      <w:r>
        <w:rPr>
          <w:rFonts w:ascii="宋体" w:hAnsi="宋体" w:cs="宋体"/>
          <w:szCs w:val="21"/>
          <w:highlight w:val="none"/>
        </w:rPr>
        <w:fldChar w:fldCharType="separate"/>
      </w:r>
      <w:r>
        <w:rPr>
          <w:rFonts w:hint="eastAsia"/>
          <w:szCs w:val="21"/>
          <w:highlight w:val="none"/>
        </w:rPr>
        <w:t>四、比选申请文件的编制</w:t>
      </w:r>
      <w:r>
        <w:tab/>
      </w:r>
      <w:r>
        <w:fldChar w:fldCharType="begin"/>
      </w:r>
      <w:r>
        <w:instrText xml:space="preserve"> PAGEREF _Toc8092 \h </w:instrText>
      </w:r>
      <w:r>
        <w:fldChar w:fldCharType="separate"/>
      </w:r>
      <w:r>
        <w:t>7</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_Toc4540 </w:instrText>
      </w:r>
      <w:r>
        <w:rPr>
          <w:rFonts w:ascii="宋体" w:hAnsi="宋体" w:cs="宋体"/>
          <w:szCs w:val="21"/>
          <w:highlight w:val="none"/>
        </w:rPr>
        <w:fldChar w:fldCharType="separate"/>
      </w:r>
      <w:r>
        <w:rPr>
          <w:rFonts w:hint="eastAsia"/>
          <w:szCs w:val="21"/>
          <w:highlight w:val="none"/>
        </w:rPr>
        <w:t>五、比选申请文件的递交</w:t>
      </w:r>
      <w:r>
        <w:tab/>
      </w:r>
      <w:r>
        <w:fldChar w:fldCharType="begin"/>
      </w:r>
      <w:r>
        <w:instrText xml:space="preserve"> PAGEREF _Toc4540 \h </w:instrText>
      </w:r>
      <w:r>
        <w:fldChar w:fldCharType="separate"/>
      </w:r>
      <w:r>
        <w:t>9</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_Toc19136 </w:instrText>
      </w:r>
      <w:r>
        <w:rPr>
          <w:rFonts w:ascii="宋体" w:hAnsi="宋体" w:cs="宋体"/>
          <w:szCs w:val="21"/>
          <w:highlight w:val="none"/>
        </w:rPr>
        <w:fldChar w:fldCharType="separate"/>
      </w:r>
      <w:r>
        <w:rPr>
          <w:rFonts w:hint="eastAsia"/>
          <w:szCs w:val="21"/>
          <w:highlight w:val="none"/>
        </w:rPr>
        <w:t>六、评审</w:t>
      </w:r>
      <w:r>
        <w:tab/>
      </w:r>
      <w:r>
        <w:fldChar w:fldCharType="begin"/>
      </w:r>
      <w:r>
        <w:instrText xml:space="preserve"> PAGEREF _Toc19136 \h </w:instrText>
      </w:r>
      <w:r>
        <w:fldChar w:fldCharType="separate"/>
      </w:r>
      <w:r>
        <w:t>10</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_Toc4410 </w:instrText>
      </w:r>
      <w:r>
        <w:rPr>
          <w:rFonts w:ascii="宋体" w:hAnsi="宋体" w:cs="宋体"/>
          <w:szCs w:val="21"/>
          <w:highlight w:val="none"/>
        </w:rPr>
        <w:fldChar w:fldCharType="separate"/>
      </w:r>
      <w:r>
        <w:rPr>
          <w:rFonts w:hint="eastAsia"/>
          <w:szCs w:val="21"/>
          <w:highlight w:val="none"/>
        </w:rPr>
        <w:t>七、授予合同</w:t>
      </w:r>
      <w:r>
        <w:tab/>
      </w:r>
      <w:r>
        <w:fldChar w:fldCharType="begin"/>
      </w:r>
      <w:r>
        <w:instrText xml:space="preserve"> PAGEREF _Toc4410 \h </w:instrText>
      </w:r>
      <w:r>
        <w:fldChar w:fldCharType="separate"/>
      </w:r>
      <w:r>
        <w:t>12</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_Toc18993 </w:instrText>
      </w:r>
      <w:r>
        <w:rPr>
          <w:rFonts w:ascii="宋体" w:hAnsi="宋体" w:cs="宋体"/>
          <w:szCs w:val="21"/>
          <w:highlight w:val="none"/>
        </w:rPr>
        <w:fldChar w:fldCharType="separate"/>
      </w:r>
      <w:r>
        <w:rPr>
          <w:rFonts w:ascii="宋体" w:cs="Times New Roman"/>
          <w:szCs w:val="28"/>
        </w:rPr>
        <w:t xml:space="preserve">第三章 </w:t>
      </w:r>
      <w:r>
        <w:rPr>
          <w:rFonts w:hint="eastAsia" w:ascii="宋体" w:hAnsi="宋体" w:cs="宋体"/>
          <w:szCs w:val="28"/>
          <w:highlight w:val="none"/>
        </w:rPr>
        <w:t>比选申请文件（格式）</w:t>
      </w:r>
      <w:r>
        <w:tab/>
      </w:r>
      <w:r>
        <w:fldChar w:fldCharType="begin"/>
      </w:r>
      <w:r>
        <w:instrText xml:space="preserve"> PAGEREF _Toc18993 \h </w:instrText>
      </w:r>
      <w:r>
        <w:fldChar w:fldCharType="separate"/>
      </w:r>
      <w:r>
        <w:t>25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_Toc5961 </w:instrText>
      </w:r>
      <w:r>
        <w:rPr>
          <w:rFonts w:ascii="宋体" w:hAnsi="宋体" w:cs="宋体"/>
          <w:szCs w:val="21"/>
          <w:highlight w:val="none"/>
        </w:rPr>
        <w:fldChar w:fldCharType="separate"/>
      </w:r>
      <w:r>
        <w:rPr>
          <w:rFonts w:hint="eastAsia"/>
          <w:highlight w:val="none"/>
        </w:rPr>
        <w:t>一、资格审查文件目录</w:t>
      </w:r>
      <w:r>
        <w:tab/>
      </w:r>
      <w:r>
        <w:fldChar w:fldCharType="begin"/>
      </w:r>
      <w:r>
        <w:instrText xml:space="preserve"> PAGEREF _Toc5961 \h </w:instrText>
      </w:r>
      <w:r>
        <w:fldChar w:fldCharType="separate"/>
      </w:r>
      <w:r>
        <w:t>26</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_Toc12404 </w:instrText>
      </w:r>
      <w:r>
        <w:rPr>
          <w:rFonts w:ascii="宋体" w:hAnsi="宋体" w:cs="宋体"/>
          <w:szCs w:val="21"/>
          <w:highlight w:val="none"/>
        </w:rPr>
        <w:fldChar w:fldCharType="separate"/>
      </w:r>
      <w:r>
        <w:rPr>
          <w:rFonts w:hint="eastAsia"/>
          <w:highlight w:val="none"/>
        </w:rPr>
        <w:t>二、技术部分材料目录</w:t>
      </w:r>
      <w:r>
        <w:tab/>
      </w:r>
      <w:r>
        <w:fldChar w:fldCharType="begin"/>
      </w:r>
      <w:r>
        <w:instrText xml:space="preserve"> PAGEREF _Toc12404 \h </w:instrText>
      </w:r>
      <w:r>
        <w:fldChar w:fldCharType="separate"/>
      </w:r>
      <w:r>
        <w:t>35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_Toc27214 </w:instrText>
      </w:r>
      <w:r>
        <w:rPr>
          <w:rFonts w:ascii="宋体" w:hAnsi="宋体" w:cs="宋体"/>
          <w:szCs w:val="21"/>
          <w:highlight w:val="none"/>
        </w:rPr>
        <w:fldChar w:fldCharType="separate"/>
      </w:r>
      <w:r>
        <w:rPr>
          <w:rFonts w:hint="eastAsia"/>
          <w:highlight w:val="none"/>
        </w:rPr>
        <w:t>三、商务部分材料目录</w:t>
      </w:r>
      <w:r>
        <w:tab/>
      </w:r>
      <w:r>
        <w:fldChar w:fldCharType="begin"/>
      </w:r>
      <w:r>
        <w:instrText xml:space="preserve"> PAGEREF _Toc27214 \h </w:instrText>
      </w:r>
      <w:r>
        <w:fldChar w:fldCharType="separate"/>
      </w:r>
      <w:r>
        <w:t>42</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_Toc22689 </w:instrText>
      </w:r>
      <w:r>
        <w:rPr>
          <w:rFonts w:ascii="宋体" w:hAnsi="宋体" w:cs="宋体"/>
          <w:szCs w:val="21"/>
          <w:highlight w:val="none"/>
        </w:rPr>
        <w:fldChar w:fldCharType="separate"/>
      </w:r>
      <w:r>
        <w:rPr>
          <w:rFonts w:hint="eastAsia"/>
          <w:highlight w:val="none"/>
        </w:rPr>
        <w:t>第四章</w:t>
      </w:r>
      <w:r>
        <w:rPr>
          <w:highlight w:val="none"/>
        </w:rPr>
        <w:t xml:space="preserve"> </w:t>
      </w:r>
      <w:r>
        <w:rPr>
          <w:rFonts w:hint="eastAsia"/>
          <w:highlight w:val="none"/>
        </w:rPr>
        <w:t>评比办法</w:t>
      </w:r>
      <w:r>
        <w:tab/>
      </w:r>
      <w:r>
        <w:fldChar w:fldCharType="begin"/>
      </w:r>
      <w:r>
        <w:instrText xml:space="preserve"> PAGEREF _Toc22689 \h </w:instrText>
      </w:r>
      <w:r>
        <w:fldChar w:fldCharType="separate"/>
      </w:r>
      <w:r>
        <w:t>44</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_Toc30260 </w:instrText>
      </w:r>
      <w:r>
        <w:rPr>
          <w:rFonts w:ascii="宋体" w:hAnsi="宋体" w:cs="宋体"/>
          <w:szCs w:val="21"/>
          <w:highlight w:val="none"/>
        </w:rPr>
        <w:fldChar w:fldCharType="separate"/>
      </w:r>
      <w:r>
        <w:rPr>
          <w:rFonts w:hint="eastAsia"/>
          <w:highlight w:val="none"/>
        </w:rPr>
        <w:t>一、综合评分办法</w:t>
      </w:r>
      <w:r>
        <w:tab/>
      </w:r>
      <w:r>
        <w:fldChar w:fldCharType="begin"/>
      </w:r>
      <w:r>
        <w:instrText xml:space="preserve"> PAGEREF _Toc30260 \h </w:instrText>
      </w:r>
      <w:r>
        <w:fldChar w:fldCharType="separate"/>
      </w:r>
      <w:r>
        <w:t>44</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_Toc28487 </w:instrText>
      </w:r>
      <w:r>
        <w:rPr>
          <w:rFonts w:ascii="宋体" w:hAnsi="宋体" w:cs="宋体"/>
          <w:szCs w:val="21"/>
          <w:highlight w:val="none"/>
        </w:rPr>
        <w:fldChar w:fldCharType="separate"/>
      </w:r>
      <w:r>
        <w:rPr>
          <w:rFonts w:hint="eastAsia"/>
          <w:highlight w:val="none"/>
        </w:rPr>
        <w:t>二、总分计算公式</w:t>
      </w:r>
      <w:r>
        <w:tab/>
      </w:r>
      <w:r>
        <w:fldChar w:fldCharType="begin"/>
      </w:r>
      <w:r>
        <w:instrText xml:space="preserve"> PAGEREF _Toc28487 \h </w:instrText>
      </w:r>
      <w:r>
        <w:fldChar w:fldCharType="separate"/>
      </w:r>
      <w:r>
        <w:t>45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_Toc11354 </w:instrText>
      </w:r>
      <w:r>
        <w:rPr>
          <w:rFonts w:ascii="宋体" w:hAnsi="宋体" w:cs="宋体"/>
          <w:szCs w:val="21"/>
          <w:highlight w:val="none"/>
        </w:rPr>
        <w:fldChar w:fldCharType="separate"/>
      </w:r>
      <w:r>
        <w:rPr>
          <w:rFonts w:hint="eastAsia"/>
          <w:highlight w:val="none"/>
        </w:rPr>
        <w:t>三、评分细则</w:t>
      </w:r>
      <w:r>
        <w:tab/>
      </w:r>
      <w:r>
        <w:fldChar w:fldCharType="begin"/>
      </w:r>
      <w:r>
        <w:instrText xml:space="preserve"> PAGEREF _Toc11354 \h </w:instrText>
      </w:r>
      <w:r>
        <w:fldChar w:fldCharType="separate"/>
      </w:r>
      <w:r>
        <w:t>45</w:t>
      </w:r>
      <w:r>
        <w:fldChar w:fldCharType="end"/>
      </w:r>
      <w:r>
        <w:rPr>
          <w:rFonts w:ascii="宋体" w:hAnsi="宋体" w:cs="宋体"/>
          <w:szCs w:val="21"/>
          <w:highlight w:val="none"/>
        </w:rPr>
        <w:fldChar w:fldCharType="end"/>
      </w:r>
    </w:p>
    <w:p>
      <w:pPr>
        <w:pStyle w:val="22"/>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_Toc25386 </w:instrText>
      </w:r>
      <w:r>
        <w:rPr>
          <w:rFonts w:ascii="宋体" w:hAnsi="宋体" w:cs="宋体"/>
          <w:szCs w:val="21"/>
          <w:highlight w:val="none"/>
        </w:rPr>
        <w:fldChar w:fldCharType="separate"/>
      </w:r>
      <w:r>
        <w:rPr>
          <w:rFonts w:hint="eastAsia" w:ascii="宋体" w:hAnsi="宋体" w:cs="仿宋"/>
          <w:szCs w:val="28"/>
          <w:highlight w:val="none"/>
        </w:rPr>
        <w:t>四、中选标准</w:t>
      </w:r>
      <w:r>
        <w:tab/>
      </w:r>
      <w:r>
        <w:fldChar w:fldCharType="begin"/>
      </w:r>
      <w:r>
        <w:instrText xml:space="preserve"> PAGEREF _Toc25386 \h </w:instrText>
      </w:r>
      <w:r>
        <w:fldChar w:fldCharType="separate"/>
      </w:r>
      <w:r>
        <w:t>46</w:t>
      </w:r>
      <w:r>
        <w:fldChar w:fldCharType="end"/>
      </w:r>
      <w:r>
        <w:rPr>
          <w:rFonts w:ascii="宋体" w:hAnsi="宋体" w:cs="宋体"/>
          <w:szCs w:val="21"/>
          <w:highlight w:val="none"/>
        </w:rPr>
        <w:fldChar w:fldCharType="end"/>
      </w:r>
    </w:p>
    <w:p>
      <w:pPr>
        <w:pStyle w:val="18"/>
        <w:tabs>
          <w:tab w:val="right" w:leader="dot" w:pos="9219"/>
        </w:tabs>
      </w:pPr>
      <w:r>
        <w:rPr>
          <w:rFonts w:ascii="宋体" w:hAnsi="宋体" w:cs="宋体"/>
          <w:szCs w:val="21"/>
          <w:highlight w:val="none"/>
        </w:rPr>
        <w:fldChar w:fldCharType="begin"/>
      </w:r>
      <w:r>
        <w:rPr>
          <w:rFonts w:ascii="宋体" w:hAnsi="宋体" w:cs="宋体"/>
          <w:szCs w:val="21"/>
          <w:highlight w:val="none"/>
        </w:rPr>
        <w:instrText xml:space="preserve"> HYPERLINK \l _Toc1299 </w:instrText>
      </w:r>
      <w:r>
        <w:rPr>
          <w:rFonts w:ascii="宋体" w:hAnsi="宋体" w:cs="宋体"/>
          <w:szCs w:val="21"/>
          <w:highlight w:val="none"/>
        </w:rPr>
        <w:fldChar w:fldCharType="separate"/>
      </w:r>
      <w:r>
        <w:rPr>
          <w:rFonts w:hint="eastAsia" w:ascii="宋体" w:hAnsi="宋体" w:eastAsia="宋体" w:cs="方正小标宋简体"/>
          <w:bCs/>
          <w:szCs w:val="28"/>
          <w:highlight w:val="none"/>
        </w:rPr>
        <w:t>第五章</w:t>
      </w:r>
      <w:r>
        <w:rPr>
          <w:rFonts w:ascii="宋体" w:hAnsi="宋体" w:eastAsia="宋体" w:cs="方正小标宋简体"/>
          <w:bCs/>
          <w:szCs w:val="28"/>
          <w:highlight w:val="none"/>
        </w:rPr>
        <w:t xml:space="preserve"> </w:t>
      </w:r>
      <w:r>
        <w:rPr>
          <w:rFonts w:hint="eastAsia" w:ascii="宋体" w:hAnsi="宋体" w:eastAsia="宋体" w:cs="方正小标宋简体"/>
          <w:bCs/>
          <w:szCs w:val="28"/>
          <w:highlight w:val="none"/>
        </w:rPr>
        <w:t>用户需求书</w:t>
      </w:r>
      <w:r>
        <w:tab/>
      </w:r>
      <w:r>
        <w:fldChar w:fldCharType="begin"/>
      </w:r>
      <w:r>
        <w:instrText xml:space="preserve"> PAGEREF _Toc1299 \h </w:instrText>
      </w:r>
      <w:r>
        <w:fldChar w:fldCharType="separate"/>
      </w:r>
      <w:r>
        <w:t>48</w:t>
      </w:r>
      <w:r>
        <w:fldChar w:fldCharType="end"/>
      </w:r>
      <w:r>
        <w:rPr>
          <w:rFonts w:ascii="宋体" w:hAnsi="宋体" w:cs="宋体"/>
          <w:szCs w:val="21"/>
          <w:highlight w:val="none"/>
        </w:rPr>
        <w:fldChar w:fldCharType="end"/>
      </w:r>
    </w:p>
    <w:p>
      <w:pPr>
        <w:pStyle w:val="3"/>
        <w:tabs>
          <w:tab w:val="right" w:leader="dot" w:pos="9219"/>
        </w:tabs>
        <w:spacing w:before="0" w:after="0" w:line="600" w:lineRule="exact"/>
        <w:ind w:firstLine="2635" w:firstLineChars="1250"/>
        <w:jc w:val="both"/>
        <w:rPr>
          <w:rStyle w:val="28"/>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13623"/>
      <w:bookmarkStart w:id="21" w:name="_Toc14897"/>
      <w:bookmarkStart w:id="22" w:name="_Toc12557"/>
      <w:bookmarkStart w:id="23" w:name="_Toc471482359"/>
      <w:bookmarkStart w:id="24" w:name="_Toc24235"/>
      <w:bookmarkStart w:id="25" w:name="_Toc32556"/>
      <w:bookmarkStart w:id="26" w:name="_Toc30578"/>
      <w:bookmarkStart w:id="27" w:name="_Toc31020"/>
      <w:bookmarkStart w:id="28" w:name="_Toc11052"/>
      <w:bookmarkStart w:id="29" w:name="_Toc20342"/>
      <w:bookmarkStart w:id="30" w:name="_Toc461525294"/>
      <w:bookmarkStart w:id="31" w:name="_Toc30233"/>
      <w:bookmarkStart w:id="32" w:name="_Toc9851"/>
      <w:bookmarkStart w:id="33" w:name="_Toc18544"/>
      <w:bookmarkStart w:id="34" w:name="_Toc6747"/>
      <w:bookmarkStart w:id="35" w:name="_Toc32719"/>
      <w:bookmarkStart w:id="36" w:name="_Toc9092"/>
      <w:bookmarkStart w:id="37" w:name="_Toc14177"/>
      <w:bookmarkStart w:id="38" w:name="_Toc29385"/>
      <w:bookmarkStart w:id="39" w:name="_Toc24752"/>
      <w:bookmarkStart w:id="40" w:name="_Toc27762"/>
      <w:r>
        <w:rPr>
          <w:rFonts w:ascii="宋体" w:cs="宋体"/>
          <w:szCs w:val="28"/>
          <w:highlight w:val="none"/>
        </w:rPr>
        <w:br w:type="page"/>
      </w:r>
    </w:p>
    <w:p>
      <w:pPr>
        <w:pStyle w:val="3"/>
        <w:spacing w:before="0" w:after="0" w:line="600" w:lineRule="exact"/>
        <w:rPr>
          <w:rFonts w:ascii="宋体" w:cs="宋体"/>
          <w:szCs w:val="28"/>
          <w:highlight w:val="none"/>
        </w:rPr>
      </w:pPr>
      <w:bookmarkStart w:id="41" w:name="_Toc20140"/>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2242"/>
      <w:bookmarkStart w:id="43" w:name="_Toc14510"/>
      <w:bookmarkStart w:id="44" w:name="_Toc32591"/>
      <w:bookmarkStart w:id="45" w:name="_Toc5848"/>
      <w:bookmarkStart w:id="46" w:name="_Toc17641"/>
      <w:bookmarkStart w:id="47" w:name="_Toc461525295"/>
      <w:bookmarkStart w:id="48" w:name="_Toc21200"/>
      <w:bookmarkStart w:id="49" w:name="_Toc11329"/>
      <w:bookmarkStart w:id="50" w:name="_Toc20765"/>
      <w:bookmarkStart w:id="51" w:name="_Toc471482360"/>
      <w:bookmarkStart w:id="52" w:name="_Toc2162"/>
      <w:bookmarkStart w:id="53" w:name="_Toc24239"/>
      <w:bookmarkStart w:id="54" w:name="_Toc21327"/>
      <w:bookmarkStart w:id="55" w:name="_Toc31166"/>
      <w:bookmarkStart w:id="56" w:name="_Toc17254"/>
      <w:bookmarkStart w:id="57" w:name="_Toc24301"/>
      <w:bookmarkStart w:id="58" w:name="_Toc25750"/>
      <w:bookmarkStart w:id="59" w:name="_Toc8003"/>
      <w:bookmarkStart w:id="60" w:name="_Toc11337"/>
      <w:bookmarkStart w:id="61" w:name="_Toc18968"/>
      <w:bookmarkStart w:id="62" w:name="_Toc14984"/>
      <w:bookmarkStart w:id="63" w:name="_Toc18263"/>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ind w:left="210" w:hanging="210" w:hangingChars="100"/>
              <w:rPr>
                <w:rFonts w:hint="eastAsia" w:ascii="宋体" w:hAnsi="宋体" w:cs="宋体"/>
                <w:szCs w:val="21"/>
                <w:highlight w:val="none"/>
                <w:u w:val="single"/>
                <w:lang w:val="en-US" w:eastAsia="zh-CN"/>
              </w:rPr>
            </w:pPr>
            <w:r>
              <w:rPr>
                <w:rFonts w:hint="eastAsia" w:ascii="宋体" w:hAnsi="宋体" w:cs="宋体"/>
                <w:szCs w:val="21"/>
                <w:highlight w:val="none"/>
                <w:u w:val="single"/>
              </w:rPr>
              <w:t>南宁轨道</w:t>
            </w:r>
            <w:r>
              <w:rPr>
                <w:rFonts w:hint="eastAsia" w:ascii="宋体" w:hAnsi="宋体" w:cs="宋体"/>
                <w:szCs w:val="21"/>
                <w:highlight w:val="none"/>
                <w:u w:val="single"/>
                <w:lang w:val="en-US" w:eastAsia="zh-CN"/>
              </w:rPr>
              <w:t>交通建设有限</w:t>
            </w:r>
            <w:r>
              <w:rPr>
                <w:rFonts w:hint="eastAsia" w:ascii="宋体" w:hAnsi="宋体" w:cs="宋体"/>
                <w:szCs w:val="21"/>
                <w:highlight w:val="none"/>
                <w:u w:val="single"/>
              </w:rPr>
              <w:t>公司</w:t>
            </w:r>
            <w:r>
              <w:rPr>
                <w:rFonts w:hint="eastAsia" w:ascii="宋体" w:hAnsi="宋体" w:cs="宋体"/>
                <w:szCs w:val="21"/>
                <w:highlight w:val="none"/>
                <w:u w:val="single"/>
                <w:lang w:val="en-US" w:eastAsia="zh-CN"/>
              </w:rPr>
              <w:t>2020年至</w:t>
            </w:r>
            <w:r>
              <w:rPr>
                <w:rFonts w:ascii="宋体" w:hAnsi="宋体" w:cs="宋体"/>
                <w:szCs w:val="21"/>
                <w:highlight w:val="none"/>
                <w:u w:val="single"/>
              </w:rPr>
              <w:t>2022</w:t>
            </w:r>
            <w:r>
              <w:rPr>
                <w:rFonts w:hint="eastAsia" w:ascii="宋体" w:hAnsi="宋体" w:cs="宋体"/>
                <w:szCs w:val="21"/>
                <w:highlight w:val="none"/>
                <w:u w:val="single"/>
              </w:rPr>
              <w:t>年</w:t>
            </w:r>
            <w:r>
              <w:rPr>
                <w:rFonts w:hint="eastAsia" w:ascii="宋体" w:hAnsi="宋体" w:cs="宋体"/>
                <w:szCs w:val="21"/>
                <w:highlight w:val="none"/>
                <w:u w:val="single"/>
                <w:lang w:val="en-US" w:eastAsia="zh-CN"/>
              </w:rPr>
              <w:t>采购及合同管理专项审计</w:t>
            </w:r>
          </w:p>
          <w:p>
            <w:pPr>
              <w:spacing w:line="300" w:lineRule="exact"/>
              <w:ind w:left="210" w:hanging="210" w:hangingChars="100"/>
              <w:rPr>
                <w:rFonts w:ascii="宋体" w:cs="宋体"/>
                <w:b/>
                <w:sz w:val="28"/>
                <w:szCs w:val="21"/>
                <w:highlight w:val="none"/>
              </w:rPr>
            </w:pPr>
            <w:r>
              <w:rPr>
                <w:rFonts w:hint="eastAsia" w:ascii="宋体" w:hAnsi="宋体" w:cs="宋体"/>
                <w:szCs w:val="21"/>
                <w:highlight w:val="none"/>
                <w:u w:val="singl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w:t>
            </w:r>
            <w:r>
              <w:rPr>
                <w:rFonts w:hint="eastAsia" w:ascii="宋体" w:hAnsi="宋体" w:cs="宋体"/>
                <w:szCs w:val="21"/>
                <w:highlight w:val="none"/>
                <w:lang w:val="en-US" w:eastAsia="zh-CN"/>
              </w:rPr>
              <w:t>南宁</w:t>
            </w:r>
            <w:r>
              <w:rPr>
                <w:rFonts w:hint="eastAsia" w:ascii="宋体" w:hAnsi="宋体" w:cs="宋体"/>
                <w:szCs w:val="21"/>
                <w:highlight w:val="none"/>
              </w:rPr>
              <w:t>轨道</w:t>
            </w:r>
            <w:r>
              <w:rPr>
                <w:rFonts w:hint="eastAsia" w:ascii="宋体" w:hAnsi="宋体" w:cs="宋体"/>
                <w:szCs w:val="21"/>
                <w:highlight w:val="none"/>
                <w:lang w:val="en-US" w:eastAsia="zh-CN"/>
              </w:rPr>
              <w:t>交通建设有限</w:t>
            </w:r>
            <w:r>
              <w:rPr>
                <w:rFonts w:hint="eastAsia" w:ascii="宋体" w:hAnsi="宋体" w:cs="宋体"/>
                <w:szCs w:val="21"/>
                <w:highlight w:val="none"/>
              </w:rPr>
              <w:t>公司</w:t>
            </w:r>
            <w:r>
              <w:rPr>
                <w:rFonts w:hint="eastAsia" w:ascii="宋体" w:hAnsi="宋体" w:cs="宋体"/>
                <w:szCs w:val="21"/>
                <w:highlight w:val="none"/>
                <w:lang w:val="en-US" w:eastAsia="zh-CN"/>
              </w:rPr>
              <w:t>4号线、5号线工程项目2020年1月至2022年12月采购管理、合同管理、工程签证管理情况开展审计，包括勘察、设计、监理、施工、咨询、设备物资等采购合同的招标、审批、履行以及合同签订、结算、变更、索赔、工程签证管理等主要业务环节的内部控制情况进行审查，并作出客观公正、实事求是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项目内容及成果要求</w:t>
            </w:r>
          </w:p>
        </w:tc>
        <w:tc>
          <w:tcPr>
            <w:tcW w:w="7074" w:type="dxa"/>
          </w:tcPr>
          <w:p>
            <w:pPr>
              <w:numPr>
                <w:ilvl w:val="0"/>
                <w:numId w:val="1"/>
              </w:num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审计内容</w:t>
            </w:r>
          </w:p>
          <w:p>
            <w:pPr>
              <w:numPr>
                <w:ilvl w:val="0"/>
                <w:numId w:val="0"/>
              </w:num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1.采购管理审计</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（1）采购管理制度及标准化流程的建立情况及制度设计的合理性；</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（2）采购工作管理委员会、总经理办公会、董事会分级审批、决策</w:t>
            </w:r>
            <w:r>
              <w:rPr>
                <w:rFonts w:hint="eastAsia" w:ascii="宋体" w:hAnsi="宋体" w:cs="宋体"/>
                <w:szCs w:val="21"/>
                <w:highlight w:val="none"/>
                <w:lang w:val="zh-CN" w:eastAsia="zh-CN"/>
              </w:rPr>
              <w:t>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（3）年度采购计划编制、月度临时新增采购计划、紧急采购计划的编制、审批、执行</w:t>
            </w:r>
            <w:r>
              <w:rPr>
                <w:rFonts w:hint="eastAsia" w:ascii="宋体" w:hAnsi="宋体" w:cs="宋体"/>
                <w:szCs w:val="21"/>
                <w:highlight w:val="none"/>
                <w:lang w:val="zh-CN" w:eastAsia="zh-CN"/>
              </w:rPr>
              <w:t>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（4）招标类采购、非招标类采购的分判及具体执行情况，关注非公开招标类项目采购评审、谈判过程；</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（5）供应商管理及评价体系建立、各类供应商资源库考察、维护情况；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 xml:space="preserve">（6）采购监督部门执行监督、检查的情况； </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（7）在</w:t>
            </w:r>
            <w:r>
              <w:rPr>
                <w:rFonts w:hint="eastAsia" w:ascii="宋体" w:hAnsi="宋体" w:cs="宋体"/>
                <w:szCs w:val="21"/>
                <w:highlight w:val="none"/>
                <w:lang w:val="zh-CN" w:eastAsia="zh-CN"/>
              </w:rPr>
              <w:t>采购活动中落实有关党风廉政建设责任和遵守廉洁从业规定情况</w:t>
            </w:r>
            <w:r>
              <w:rPr>
                <w:rFonts w:hint="eastAsia" w:ascii="宋体" w:hAnsi="宋体" w:cs="宋体"/>
                <w:szCs w:val="21"/>
                <w:highlight w:val="none"/>
                <w:lang w:val="en-US" w:eastAsia="zh-CN"/>
              </w:rPr>
              <w:t>；</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（8）采购验收手续是否完整、真实；</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（9）采购流程是否遵守国家法规及公司的采购管理制度；</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（10）采购台账日常管理情况，采购文件管理、归档情况。</w:t>
            </w:r>
          </w:p>
          <w:p>
            <w:pPr>
              <w:numPr>
                <w:ilvl w:val="0"/>
                <w:numId w:val="0"/>
              </w:num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2.合同管理审计</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（1）合同管理制度和标准化流程，以及合同管理系统的建立情况，制度设计的合理性；</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（2）合同审批、签订流程执行情况，关注合同审批、签订流程是否符合相关规定，手续是否完整；</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（3）合同履约过程管理情况，实际履约效果与采购需求的一致性，关注合同发生变更是否符合原合同条款或法定条件，依据是否充分，相关审批手续是否完整；</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（4）公司对合同的履行情况是否进行跟踪管理，是否存在超付合同支付的违规行为；</w:t>
            </w:r>
          </w:p>
          <w:p>
            <w:p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（5）合同变更审批、结算、付款、索赔情况，关注是否存在支付风险；</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（6）合同日常管理情况，合同台账、合同文本、结算资料等归档与保管情况，公司合同管理信息化应用情况。</w:t>
            </w:r>
          </w:p>
          <w:p>
            <w:pPr>
              <w:numPr>
                <w:ilvl w:val="0"/>
                <w:numId w:val="0"/>
              </w:numPr>
              <w:spacing w:line="3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3.工程签证管理审计</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（1）工程项目签证管理情况，关注工程签证内容的合规性、真实性、合理性，签证内容是否与实际发生相符，签证的计量计价是否与合同有关条款约定相符，是否及时办理签证（含减项签证办理）；</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（2）工程项目现场签证审批情况，关注是否已按照制度规定执行审批流程，工程签证过程的监管程序与各方审批程序是否完善，是否存在越权审批；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（3）工程项目现场签证台账管理情况，签证资料管理、归档情况，关注工程管理部门对签证实施进度管控情况。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4.以往审计发现问题整改的情况。</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重点关注涉及违规招采、违规签证问题的追责问责情况，整改完成效果。</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5.其他需要审计的内容。</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二、审计要求及成果</w:t>
            </w:r>
          </w:p>
          <w:p>
            <w:pPr>
              <w:spacing w:line="3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中华人民共和国民法典》及其他相关法律法规，以及南宁轨道交通集团有限责任公司、南宁轨道交通建设有限公司招标采购、合同管理、工程施工等制度开展工作，对南宁轨道交通建设有限公司2020年至2022年采购、合同管理、工程签证管理情况作出客观公正、实事求是的评价，出具南宁轨道交通建设有限公司2020年至2022年采购及合同管理专项审计报告及管理建议书，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hint="eastAsia" w:ascii="宋体" w:eastAsia="宋体" w:cs="宋体"/>
                <w:szCs w:val="21"/>
                <w:highlight w:val="none"/>
                <w:lang w:eastAsia="zh-CN"/>
              </w:rPr>
            </w:pPr>
            <w:r>
              <w:rPr>
                <w:rFonts w:hint="eastAsia" w:ascii="宋体" w:hAnsi="宋体" w:cs="宋体"/>
                <w:szCs w:val="21"/>
                <w:highlight w:val="none"/>
              </w:rPr>
              <w:t>人民币：</w:t>
            </w:r>
            <w:r>
              <w:rPr>
                <w:rFonts w:hint="eastAsia" w:ascii="宋体" w:hAnsi="宋体" w:cs="宋体"/>
                <w:szCs w:val="21"/>
                <w:highlight w:val="none"/>
                <w:lang w:val="en-US" w:eastAsia="zh-CN"/>
              </w:rPr>
              <w:t>98</w:t>
            </w:r>
            <w:r>
              <w:rPr>
                <w:rFonts w:ascii="宋体" w:hAnsi="宋体" w:cs="宋体"/>
                <w:szCs w:val="21"/>
                <w:highlight w:val="none"/>
              </w:rPr>
              <w:t>,000.00</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含税</w:t>
            </w:r>
            <w:r>
              <w:rPr>
                <w:rFonts w:hint="eastAsia" w:ascii="宋体" w:hAnsi="宋体" w:cs="宋体"/>
                <w:szCs w:val="21"/>
                <w:highlight w:val="none"/>
                <w:lang w:eastAsia="zh-CN"/>
              </w:rPr>
              <w:t>）</w:t>
            </w:r>
            <w:r>
              <w:rPr>
                <w:rFonts w:hint="eastAsia" w:ascii="宋体" w:hAnsi="宋体" w:cs="宋体"/>
                <w:szCs w:val="21"/>
                <w:highlight w:val="none"/>
              </w:rPr>
              <w:t>，</w:t>
            </w:r>
            <w:r>
              <w:rPr>
                <w:rFonts w:hint="eastAsia" w:ascii="宋体" w:hAnsi="宋体" w:cs="宋体"/>
                <w:szCs w:val="21"/>
                <w:highlight w:val="none"/>
                <w:lang w:val="en-US" w:eastAsia="zh-CN"/>
              </w:rPr>
              <w:t>92</w:t>
            </w:r>
            <w:r>
              <w:rPr>
                <w:rFonts w:ascii="宋体" w:hAnsi="宋体" w:cs="宋体"/>
                <w:szCs w:val="21"/>
                <w:highlight w:val="none"/>
              </w:rPr>
              <w:t>,</w:t>
            </w:r>
            <w:r>
              <w:rPr>
                <w:rFonts w:hint="eastAsia" w:ascii="宋体" w:hAnsi="宋体" w:cs="宋体"/>
                <w:szCs w:val="21"/>
                <w:highlight w:val="none"/>
                <w:lang w:val="en-US" w:eastAsia="zh-CN"/>
              </w:rPr>
              <w:t>452.83</w:t>
            </w:r>
            <w:r>
              <w:rPr>
                <w:rFonts w:hint="eastAsia" w:ascii="宋体" w:hAnsi="宋体" w:cs="宋体"/>
                <w:szCs w:val="21"/>
                <w:highlight w:val="none"/>
              </w:rPr>
              <w:t>元</w:t>
            </w:r>
            <w:r>
              <w:rPr>
                <w:rFonts w:hint="eastAsia" w:ascii="宋体" w:hAnsi="宋体" w:cs="宋体"/>
                <w:szCs w:val="21"/>
                <w:highlight w:val="none"/>
                <w:lang w:eastAsia="zh-CN"/>
              </w:rPr>
              <w:t>（</w:t>
            </w:r>
            <w:r>
              <w:rPr>
                <w:rFonts w:hint="eastAsia" w:ascii="宋体" w:hAnsi="宋体" w:cs="宋体"/>
                <w:szCs w:val="21"/>
                <w:highlight w:val="none"/>
              </w:rPr>
              <w:t>不含税</w:t>
            </w:r>
            <w:r>
              <w:rPr>
                <w:rFonts w:hint="eastAsia" w:ascii="宋体" w:hAnsi="宋体" w:cs="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lang w:val="en-US" w:eastAsia="zh-CN"/>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、比选申请人为中华人民共和国境内依法设立的</w:t>
            </w:r>
            <w:r>
              <w:rPr>
                <w:rFonts w:hint="eastAsia" w:ascii="宋体" w:hAnsi="宋体" w:cs="宋体"/>
                <w:szCs w:val="21"/>
                <w:highlight w:val="none"/>
                <w:lang w:val="en-US" w:eastAsia="zh-CN"/>
              </w:rPr>
              <w:t>法人或其他组织</w:t>
            </w:r>
            <w:r>
              <w:rPr>
                <w:rFonts w:hint="eastAsia" w:ascii="宋体" w:hAnsi="宋体" w:cs="宋体"/>
                <w:szCs w:val="21"/>
                <w:highlight w:val="none"/>
              </w:rPr>
              <w:t>，</w:t>
            </w:r>
            <w:r>
              <w:rPr>
                <w:rFonts w:hint="eastAsia" w:ascii="宋体" w:hAnsi="宋体" w:cs="宋体"/>
                <w:szCs w:val="21"/>
                <w:highlight w:val="none"/>
                <w:lang w:eastAsia="zh-CN"/>
              </w:rPr>
              <w:t>必须</w:t>
            </w:r>
            <w:r>
              <w:rPr>
                <w:rFonts w:hint="eastAsia" w:ascii="宋体" w:hAnsi="宋体" w:cs="宋体"/>
                <w:szCs w:val="21"/>
                <w:highlight w:val="none"/>
              </w:rPr>
              <w:t>持有合法有效的财政部门颁发的会计师事务所执业证书。没有处于被行政主管部门或业主取消比选申请资格的处罚期内，且没有处于被责令停业，财产被接管、破产状态；比选申请截止时间前3年内没有骗取中选、严重违约或重大质量安全责任事故的情况。若以分支机构参与投标，必须出具总部授权参与证明。</w:t>
            </w:r>
            <w:r>
              <w:rPr>
                <w:rFonts w:hint="eastAsia" w:ascii="宋体" w:hAnsi="宋体" w:cs="宋体"/>
                <w:szCs w:val="21"/>
                <w:highlight w:val="none"/>
                <w:lang w:val="en-US" w:eastAsia="zh-CN"/>
              </w:rPr>
              <w:t>比选申请人派出审计组负责人具有3年以上工程管理相关方面的审计经验，其他人员中至少有1名具有2年以上工程管理相关方面的审计经验。</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r>
              <w:rPr>
                <w:rFonts w:ascii="宋体" w:hAnsi="宋体" w:cs="宋体"/>
                <w:szCs w:val="21"/>
                <w:highlight w:val="none"/>
              </w:rPr>
              <w:t>U</w:t>
            </w:r>
            <w:r>
              <w:rPr>
                <w:rFonts w:hint="eastAsia" w:ascii="宋体" w:hAnsi="宋体" w:cs="宋体"/>
                <w:szCs w:val="21"/>
                <w:highlight w:val="none"/>
              </w:rPr>
              <w:t>盘电子版</w:t>
            </w:r>
            <w:r>
              <w:rPr>
                <w:rFonts w:ascii="宋体" w:hAnsi="宋体" w:cs="宋体"/>
                <w:szCs w:val="21"/>
                <w:highlight w:val="none"/>
              </w:rPr>
              <w:t>1</w:t>
            </w:r>
            <w:r>
              <w:rPr>
                <w:rFonts w:hint="eastAsia" w:ascii="宋体" w:hAnsi="宋体" w:cs="宋体"/>
                <w:szCs w:val="21"/>
                <w:highlight w:val="none"/>
              </w:rPr>
              <w:t>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4</w:t>
            </w:r>
            <w:r>
              <w:rPr>
                <w:rFonts w:hint="eastAsia" w:ascii="宋体" w:hAnsi="宋体" w:cs="宋体"/>
                <w:szCs w:val="21"/>
                <w:highlight w:val="none"/>
              </w:rPr>
              <w:t>月</w:t>
            </w:r>
            <w:r>
              <w:rPr>
                <w:rFonts w:hint="eastAsia" w:ascii="宋体" w:hAnsi="宋体" w:cs="宋体"/>
                <w:szCs w:val="21"/>
                <w:highlight w:val="none"/>
                <w:lang w:val="en-US" w:eastAsia="zh-CN"/>
              </w:rPr>
              <w:t xml:space="preserve"> 6</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cs="宋体"/>
                <w:szCs w:val="21"/>
                <w:highlight w:val="none"/>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2023</w:t>
            </w:r>
            <w:r>
              <w:rPr>
                <w:rFonts w:hint="eastAsia" w:ascii="宋体" w:hAnsi="宋体" w:cs="宋体"/>
                <w:szCs w:val="21"/>
                <w:highlight w:val="none"/>
              </w:rPr>
              <w:t>年</w:t>
            </w:r>
            <w:r>
              <w:rPr>
                <w:rFonts w:hint="eastAsia" w:ascii="宋体" w:hAnsi="宋体" w:cs="宋体"/>
                <w:szCs w:val="21"/>
                <w:highlight w:val="none"/>
                <w:lang w:val="en-US" w:eastAsia="zh-CN"/>
              </w:rPr>
              <w:t xml:space="preserve">4 </w:t>
            </w:r>
            <w:r>
              <w:rPr>
                <w:rFonts w:hint="eastAsia" w:ascii="宋体" w:hAnsi="宋体" w:cs="宋体"/>
                <w:szCs w:val="21"/>
                <w:highlight w:val="none"/>
              </w:rPr>
              <w:t>月</w:t>
            </w:r>
            <w:r>
              <w:rPr>
                <w:rFonts w:hint="eastAsia" w:ascii="宋体" w:hAnsi="宋体" w:cs="宋体"/>
                <w:szCs w:val="21"/>
                <w:highlight w:val="none"/>
                <w:lang w:val="en-US" w:eastAsia="zh-CN"/>
              </w:rPr>
              <w:t xml:space="preserve"> 6</w:t>
            </w:r>
            <w:r>
              <w:rPr>
                <w:rFonts w:hint="eastAsia" w:ascii="宋体" w:hAnsi="宋体" w:cs="宋体"/>
                <w:szCs w:val="21"/>
                <w:highlight w:val="none"/>
              </w:rPr>
              <w:t>日上午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vAlign w:val="center"/>
          </w:tcPr>
          <w:p>
            <w:pPr>
              <w:ind w:right="-3"/>
              <w:jc w:val="both"/>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both"/>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bookmarkStart w:id="610" w:name="_GoBack"/>
            <w:bookmarkEnd w:id="6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hint="default" w:ascii="宋体"/>
                <w:szCs w:val="21"/>
                <w:highlight w:val="none"/>
                <w:lang w:val="en-US"/>
              </w:rPr>
            </w:pPr>
            <w:r>
              <w:rPr>
                <w:rFonts w:hint="eastAsia" w:ascii="宋体" w:hAnsi="宋体"/>
                <w:szCs w:val="21"/>
                <w:highlight w:val="none"/>
                <w:lang w:val="en-US" w:eastAsia="zh-CN"/>
              </w:rPr>
              <w:t>林</w:t>
            </w:r>
            <w:r>
              <w:rPr>
                <w:rFonts w:hint="eastAsia" w:ascii="宋体" w:hAnsi="宋体"/>
                <w:szCs w:val="21"/>
                <w:highlight w:val="none"/>
              </w:rPr>
              <w:t>工</w:t>
            </w:r>
            <w:r>
              <w:rPr>
                <w:rFonts w:ascii="宋体" w:hAnsi="宋体"/>
                <w:szCs w:val="21"/>
                <w:highlight w:val="none"/>
              </w:rPr>
              <w:t xml:space="preserve">  0771-</w:t>
            </w:r>
            <w:r>
              <w:rPr>
                <w:rFonts w:hint="eastAsia" w:ascii="宋体" w:hAnsi="宋体"/>
                <w:szCs w:val="21"/>
                <w:highlight w:val="none"/>
                <w:lang w:val="en-US" w:eastAsia="zh-CN"/>
              </w:rPr>
              <w:t>2338652</w:t>
            </w:r>
          </w:p>
          <w:p>
            <w:pPr>
              <w:ind w:right="-82"/>
              <w:jc w:val="left"/>
              <w:rPr>
                <w:rFonts w:ascii="宋体" w:cs="宋体"/>
                <w:szCs w:val="21"/>
                <w:highlight w:val="none"/>
              </w:rPr>
            </w:pPr>
            <w:r>
              <w:rPr>
                <w:rFonts w:hint="eastAsia" w:ascii="宋体" w:hAnsi="宋体"/>
                <w:szCs w:val="21"/>
                <w:highlight w:val="none"/>
              </w:rPr>
              <w:t>邮箱：nngdsjb902@163.com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6681"/>
      <w:bookmarkStart w:id="65" w:name="_Toc12506"/>
      <w:bookmarkStart w:id="66" w:name="_Toc18983"/>
      <w:bookmarkStart w:id="67" w:name="_Toc28086"/>
      <w:bookmarkStart w:id="68" w:name="_Toc12419"/>
      <w:bookmarkStart w:id="69" w:name="_Toc471482361"/>
      <w:bookmarkStart w:id="70" w:name="_Toc16198"/>
      <w:bookmarkStart w:id="71" w:name="_Toc336"/>
      <w:bookmarkStart w:id="72" w:name="_Toc32363"/>
      <w:bookmarkStart w:id="73" w:name="_Toc3861"/>
      <w:bookmarkStart w:id="74" w:name="_Toc20803"/>
      <w:bookmarkStart w:id="75" w:name="_Toc26201"/>
      <w:bookmarkStart w:id="76" w:name="_Toc461525297"/>
      <w:bookmarkStart w:id="77" w:name="_Toc30162"/>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7188"/>
      <w:bookmarkStart w:id="79" w:name="_Toc31396"/>
      <w:bookmarkStart w:id="80" w:name="_Toc18262"/>
      <w:bookmarkStart w:id="81" w:name="_Toc17477"/>
      <w:bookmarkStart w:id="82" w:name="_Toc5182"/>
      <w:bookmarkStart w:id="83" w:name="_Toc28512"/>
      <w:bookmarkStart w:id="84" w:name="_Toc6713"/>
      <w:bookmarkStart w:id="85" w:name="_Toc3416"/>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114052340"/>
      <w:bookmarkStart w:id="87" w:name="_Toc114052414"/>
      <w:bookmarkStart w:id="88" w:name="_Toc286386834"/>
      <w:bookmarkStart w:id="89" w:name="_Toc310318572"/>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lang w:val="en-US" w:eastAsia="zh-CN"/>
        </w:rPr>
        <w:t>审计</w:t>
      </w:r>
      <w:r>
        <w:rPr>
          <w:rFonts w:hint="eastAsia" w:ascii="宋体" w:hAnsi="宋体" w:cs="宋体"/>
          <w:szCs w:val="21"/>
          <w:highlight w:val="none"/>
        </w:rPr>
        <w:t>内容</w:t>
      </w:r>
    </w:p>
    <w:p>
      <w:pPr>
        <w:snapToGrid w:val="0"/>
        <w:spacing w:line="500" w:lineRule="exact"/>
        <w:ind w:firstLine="420" w:firstLineChars="200"/>
        <w:textAlignment w:val="baseline"/>
        <w:rPr>
          <w:rFonts w:hint="eastAsia" w:ascii="宋体" w:hAnsi="宋体" w:cs="宋体"/>
          <w:szCs w:val="21"/>
          <w:highlight w:val="none"/>
        </w:rPr>
      </w:pPr>
      <w:r>
        <w:rPr>
          <w:rFonts w:hint="eastAsia" w:ascii="宋体" w:hAnsi="宋体" w:cs="宋体"/>
          <w:szCs w:val="21"/>
          <w:highlight w:val="none"/>
        </w:rPr>
        <w:t>对南宁轨道</w:t>
      </w:r>
      <w:r>
        <w:rPr>
          <w:rFonts w:hint="eastAsia" w:ascii="宋体" w:hAnsi="宋体" w:cs="宋体"/>
          <w:szCs w:val="21"/>
          <w:highlight w:val="none"/>
          <w:lang w:val="en-US" w:eastAsia="zh-CN"/>
        </w:rPr>
        <w:t>交通建设有限</w:t>
      </w:r>
      <w:r>
        <w:rPr>
          <w:rFonts w:hint="eastAsia" w:ascii="宋体" w:hAnsi="宋体" w:cs="宋体"/>
          <w:szCs w:val="21"/>
          <w:highlight w:val="none"/>
        </w:rPr>
        <w:t>公司</w:t>
      </w:r>
      <w:r>
        <w:rPr>
          <w:rFonts w:hint="eastAsia" w:ascii="宋体" w:hAnsi="宋体" w:cs="宋体"/>
          <w:szCs w:val="21"/>
          <w:highlight w:val="none"/>
          <w:lang w:val="en-US" w:eastAsia="zh-CN"/>
        </w:rPr>
        <w:t>4号线、5号线工程项目2020年1月至2022年12月采购管理、合同管理、工程签证管理情况开展审计，包括勘察、设计、监理、施工、咨询、设备物资等采购合同的招标、审批、履行以及合同签订、结算、变更、索赔、工程签证管理等主要业务环节的内部控制情况进行全面审计</w:t>
      </w:r>
      <w:r>
        <w:rPr>
          <w:rFonts w:hint="eastAsia" w:ascii="宋体" w:hAnsi="宋体" w:cs="宋体"/>
          <w:szCs w:val="21"/>
          <w:highlight w:val="none"/>
        </w:rPr>
        <w:t>。包括但不仅限于以下内容：</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（1）采购管理审计</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①采购管理制度及标准化流程的建立情况及制度设计的合理性；</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cs="宋体"/>
          <w:szCs w:val="21"/>
          <w:highlight w:val="none"/>
        </w:rPr>
      </w:pPr>
      <w:r>
        <w:rPr>
          <w:rFonts w:hint="eastAsia" w:ascii="宋体" w:hAnsi="宋体" w:eastAsia="宋体" w:cs="宋体"/>
          <w:kern w:val="2"/>
          <w:sz w:val="21"/>
          <w:szCs w:val="21"/>
          <w:highlight w:val="none"/>
          <w:lang w:val="en-US" w:eastAsia="zh-CN" w:bidi="ar-SA"/>
        </w:rPr>
        <w:t>②采购工作管理委员会、总经理办公会、董事会分级审批、决策</w:t>
      </w:r>
      <w:r>
        <w:rPr>
          <w:rFonts w:hint="eastAsia" w:ascii="宋体" w:hAnsi="宋体" w:eastAsia="宋体" w:cs="宋体"/>
          <w:kern w:val="2"/>
          <w:sz w:val="21"/>
          <w:szCs w:val="21"/>
          <w:highlight w:val="none"/>
          <w:lang w:val="zh-CN" w:eastAsia="zh-CN" w:bidi="ar-SA"/>
        </w:rPr>
        <w:t>情况</w:t>
      </w:r>
      <w:r>
        <w:rPr>
          <w:rFonts w:hint="eastAsia" w:ascii="宋体" w:hAnsi="宋体" w:eastAsia="宋体" w:cs="宋体"/>
          <w:kern w:val="2"/>
          <w:sz w:val="21"/>
          <w:szCs w:val="21"/>
          <w:highlight w:val="none"/>
          <w:lang w:val="en-US" w:eastAsia="zh-CN" w:bidi="ar-SA"/>
        </w:rPr>
        <w:t>；</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③年度采购计划编制、月度临时新增采购计划、紧急采购计划的编制、审批、执行</w:t>
      </w:r>
      <w:r>
        <w:rPr>
          <w:rFonts w:hint="eastAsia" w:ascii="宋体" w:hAnsi="宋体" w:eastAsia="宋体" w:cs="宋体"/>
          <w:kern w:val="2"/>
          <w:sz w:val="21"/>
          <w:szCs w:val="21"/>
          <w:highlight w:val="none"/>
          <w:lang w:val="zh-CN" w:eastAsia="zh-CN" w:bidi="ar-SA"/>
        </w:rPr>
        <w:t>情况</w:t>
      </w:r>
      <w:r>
        <w:rPr>
          <w:rFonts w:hint="eastAsia" w:ascii="宋体" w:hAnsi="宋体" w:eastAsia="宋体" w:cs="宋体"/>
          <w:kern w:val="2"/>
          <w:sz w:val="21"/>
          <w:szCs w:val="21"/>
          <w:highlight w:val="none"/>
          <w:lang w:val="en-US" w:eastAsia="zh-CN" w:bidi="ar-SA"/>
        </w:rPr>
        <w:t>；</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④招标类采购、非招标类采购的分判及具体执行情况，关注非公开招标类项目采购评审、谈判过程；</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⑤供应商管理及评价体系建立、各类供应商资源库考察、维护情况；</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 xml:space="preserve">⑥采购监督部门执行监督、检查的情况； </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⑦在</w:t>
      </w:r>
      <w:r>
        <w:rPr>
          <w:rFonts w:hint="eastAsia" w:ascii="宋体" w:hAnsi="宋体" w:eastAsia="宋体" w:cs="宋体"/>
          <w:kern w:val="2"/>
          <w:sz w:val="21"/>
          <w:szCs w:val="21"/>
          <w:highlight w:val="none"/>
          <w:lang w:val="zh-CN" w:eastAsia="zh-CN" w:bidi="ar-SA"/>
        </w:rPr>
        <w:t>采购活动中落实有关党风廉政建设责任和遵守廉洁从业规定情况</w:t>
      </w:r>
      <w:r>
        <w:rPr>
          <w:rFonts w:hint="eastAsia" w:ascii="宋体" w:hAnsi="宋体" w:eastAsia="宋体" w:cs="宋体"/>
          <w:kern w:val="2"/>
          <w:sz w:val="21"/>
          <w:szCs w:val="21"/>
          <w:highlight w:val="none"/>
          <w:lang w:val="en-US" w:eastAsia="zh-CN" w:bidi="ar-SA"/>
        </w:rPr>
        <w:t>；</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⑧采购验收手续是否完整、真实；</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⑨采购流程是否遵守国家法规及公司的采购管理制度；</w:t>
      </w:r>
    </w:p>
    <w:p>
      <w:pPr>
        <w:pageBreakBefore w:val="0"/>
        <w:widowControl w:val="0"/>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⑩采购台账日常管理情况，采购文件管理、归档情况。</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（2）合同管理审计</w:t>
      </w:r>
    </w:p>
    <w:p>
      <w:pPr>
        <w:spacing w:line="500" w:lineRule="exact"/>
        <w:ind w:firstLine="420" w:firstLineChars="200"/>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①合同管理制度和标准化流程，以及合同管理系统的建立情况，制度设计的合理性；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②合同审批、签订流程执行情况，关注合同审批、签订流程是否符合相关规定，手续是否完整；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③合同履约过程管理情况，实际履约效果与采购需求的一致性，关注合同发生变更是否符合原合同条款或法定条件，依据是否充分，相关审批手续是否完整；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④公司对合同的履行情况是否进行跟踪管理，是否存在超付合同支付的违规行为；</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default"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⑤合同变更审批、结算、付款、索赔情况，关注是否存在支付风险；</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⑥合同日常管理情况，合同台账、合同文本、结算资料等归档与保管情况，公司合同管理信息化应用情况。</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lang w:val="en-US" w:eastAsia="zh-CN"/>
        </w:rPr>
      </w:pPr>
      <w:r>
        <w:rPr>
          <w:rFonts w:hint="eastAsia" w:ascii="宋体" w:hAnsi="宋体" w:eastAsia="宋体" w:cs="宋体"/>
          <w:kern w:val="2"/>
          <w:sz w:val="21"/>
          <w:szCs w:val="21"/>
          <w:highlight w:val="none"/>
          <w:lang w:val="en-US" w:eastAsia="zh-CN" w:bidi="ar-SA"/>
        </w:rPr>
        <w:t>（3）工程签证管理审计</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①工程项目签证管理情况，关注工程签证内容的合规性、真实性、合理性，签证内容是否与实际发生相符，签证的计量计价是否与合同有关条款约定相符，是否及时办理签证（含减项签证办理）；</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②工程项目现场签证审批情况，关注是否已按照制度规定执行审批流程，工程签证过程的监管程序与各方审批程序是否完善，是否存在越权审批；</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③工程项目现场签证台账管理情况，签证资料管理、归档情况，关注工程管理部门对签证实施进度管控情况。</w:t>
      </w:r>
    </w:p>
    <w:p>
      <w:pPr>
        <w:pageBreakBefore w:val="0"/>
        <w:widowControl w:val="0"/>
        <w:numPr>
          <w:ilvl w:val="0"/>
          <w:numId w:val="2"/>
        </w:numPr>
        <w:kinsoku/>
        <w:wordWrap/>
        <w:overflowPunct/>
        <w:topLinePunct w:val="0"/>
        <w:autoSpaceDE/>
        <w:autoSpaceDN/>
        <w:bidi w:val="0"/>
        <w:adjustRightInd/>
        <w:snapToGrid/>
        <w:spacing w:line="540" w:lineRule="exact"/>
        <w:ind w:left="0" w:right="0" w:firstLine="420" w:firstLineChars="20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以往审计发现问题整改的情况。</w:t>
      </w:r>
    </w:p>
    <w:p>
      <w:pPr>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重点关注涉及违规招采、违规签证问题的追责问责情况，整改完成效果。</w:t>
      </w:r>
    </w:p>
    <w:p>
      <w:pPr>
        <w:spacing w:line="50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）其他需要审计的内容。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lang w:val="en-US" w:eastAsia="zh-CN"/>
        </w:rPr>
        <w:t>审计</w:t>
      </w:r>
      <w:r>
        <w:rPr>
          <w:rFonts w:hint="eastAsia" w:ascii="宋体" w:hAnsi="宋体" w:cs="宋体"/>
          <w:szCs w:val="21"/>
          <w:highlight w:val="none"/>
        </w:rPr>
        <w:t>要求及成果</w:t>
      </w:r>
    </w:p>
    <w:p>
      <w:pPr>
        <w:spacing w:line="5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根据《中华人民共和国招标投标法》《中华人民共和国招标投标法实施条例》《中华人民共和国民法典》及其他相关法律法规，以及南宁轨道交通集团有限责任公司、南宁轨道交通建设有限公司招标采购、合同管理、工程施工等制度开展工作，对南宁轨道交通建设有限公司2020年至2022年采购、合同管理、工程签证管理情况作出客观公正、实事求是的评价，出具南宁轨道交通建设有限公司2020年至2022年采购及合同管理专项审计报告及管理建议书，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286386836"/>
      <w:bookmarkStart w:id="91" w:name="_Toc310318574"/>
      <w:bookmarkStart w:id="92" w:name="_Toc114052342"/>
      <w:bookmarkStart w:id="93" w:name="_Toc11405241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lang w:val="en-US" w:eastAsia="zh-CN"/>
        </w:rPr>
        <w:t>比</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310318575"/>
      <w:bookmarkStart w:id="95" w:name="_Toc114052417"/>
      <w:bookmarkStart w:id="96" w:name="_Toc286386837"/>
      <w:bookmarkStart w:id="97" w:name="_Toc114052343"/>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4989"/>
      <w:bookmarkStart w:id="99" w:name="_Toc5628"/>
      <w:bookmarkStart w:id="100" w:name="_Toc20218"/>
      <w:bookmarkStart w:id="101" w:name="_Toc4734"/>
      <w:bookmarkStart w:id="102" w:name="_Toc11648"/>
      <w:bookmarkStart w:id="103" w:name="_Toc2963"/>
      <w:bookmarkStart w:id="104" w:name="_Toc14739"/>
      <w:r>
        <w:rPr>
          <w:rFonts w:hint="eastAsia" w:ascii="宋体" w:hAnsi="宋体"/>
          <w:b/>
          <w:sz w:val="21"/>
          <w:szCs w:val="21"/>
          <w:highlight w:val="none"/>
        </w:rPr>
        <w:t>二</w:t>
      </w:r>
      <w:bookmarkStart w:id="105" w:name="_Toc3066"/>
      <w:bookmarkStart w:id="106" w:name="_Toc16023"/>
      <w:bookmarkStart w:id="107" w:name="_Toc15439"/>
      <w:bookmarkStart w:id="108" w:name="_Toc25256"/>
      <w:bookmarkStart w:id="109" w:name="_Toc17725"/>
      <w:bookmarkStart w:id="110" w:name="_Toc22143"/>
      <w:bookmarkStart w:id="111" w:name="_Toc5207"/>
      <w:bookmarkStart w:id="112" w:name="_Toc17323"/>
      <w:bookmarkStart w:id="113" w:name="_Toc6541"/>
      <w:bookmarkStart w:id="114" w:name="_Toc461525298"/>
      <w:bookmarkStart w:id="115" w:name="_Toc26124"/>
      <w:bookmarkStart w:id="116" w:name="_Toc471482362"/>
      <w:bookmarkStart w:id="117" w:name="_Toc18809"/>
      <w:bookmarkStart w:id="118" w:name="_Toc26141"/>
      <w:bookmarkStart w:id="119" w:name="_Toc8029"/>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286386839"/>
      <w:bookmarkStart w:id="121" w:name="_Toc114052419"/>
      <w:bookmarkStart w:id="122" w:name="_Toc114052345"/>
      <w:bookmarkStart w:id="123" w:name="_Toc310318577"/>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286386840"/>
      <w:bookmarkStart w:id="125" w:name="_Toc114052420"/>
      <w:bookmarkStart w:id="126" w:name="_Toc310318578"/>
      <w:bookmarkStart w:id="127" w:name="_Toc114052346"/>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310318579"/>
      <w:bookmarkStart w:id="129" w:name="_Toc114052347"/>
      <w:bookmarkStart w:id="130" w:name="_Toc114052421"/>
      <w:bookmarkStart w:id="131" w:name="_Toc286386841"/>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32337"/>
      <w:bookmarkStart w:id="133" w:name="_Toc19209"/>
      <w:bookmarkStart w:id="134" w:name="_Toc471482363"/>
      <w:bookmarkStart w:id="135" w:name="_Toc24005"/>
      <w:bookmarkStart w:id="136" w:name="_Toc22084"/>
      <w:bookmarkStart w:id="137" w:name="_Toc25820"/>
      <w:bookmarkStart w:id="138" w:name="_Toc31749"/>
      <w:bookmarkStart w:id="139" w:name="_Toc23609"/>
      <w:bookmarkStart w:id="140" w:name="_Toc17382"/>
      <w:bookmarkStart w:id="141" w:name="_Toc26897"/>
      <w:bookmarkStart w:id="142" w:name="_Toc29216"/>
      <w:bookmarkStart w:id="143" w:name="_Toc8400"/>
      <w:bookmarkStart w:id="144" w:name="_Toc18772"/>
      <w:bookmarkStart w:id="145" w:name="_Toc27671"/>
      <w:bookmarkStart w:id="146" w:name="_Toc9453"/>
      <w:bookmarkStart w:id="147" w:name="_Toc10523"/>
      <w:bookmarkStart w:id="148" w:name="_Toc6395"/>
      <w:bookmarkStart w:id="149" w:name="_Toc30617"/>
      <w:bookmarkStart w:id="150" w:name="_Toc24574"/>
      <w:bookmarkStart w:id="151" w:name="_Toc461525299"/>
      <w:bookmarkStart w:id="152" w:name="_Toc9684"/>
      <w:bookmarkStart w:id="153" w:name="_Toc9199"/>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286386843"/>
      <w:bookmarkStart w:id="155" w:name="_Toc114052423"/>
      <w:bookmarkStart w:id="156" w:name="_Toc114052349"/>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17722"/>
      <w:bookmarkStart w:id="159" w:name="_Toc471482364"/>
      <w:bookmarkStart w:id="160" w:name="_Toc25487"/>
      <w:bookmarkStart w:id="161" w:name="_Toc16264"/>
      <w:bookmarkStart w:id="162" w:name="_Toc23191"/>
      <w:bookmarkStart w:id="163" w:name="_Toc2346"/>
      <w:bookmarkStart w:id="164" w:name="_Toc5583"/>
      <w:bookmarkStart w:id="165" w:name="_Toc17259"/>
      <w:bookmarkStart w:id="166" w:name="_Toc461525300"/>
      <w:bookmarkStart w:id="167" w:name="_Toc24807"/>
      <w:bookmarkStart w:id="168" w:name="_Toc25856"/>
      <w:bookmarkStart w:id="169" w:name="_Toc9795"/>
      <w:bookmarkStart w:id="170" w:name="_Toc8092"/>
      <w:bookmarkStart w:id="171" w:name="_Toc7287"/>
      <w:bookmarkStart w:id="172" w:name="_Toc31461"/>
      <w:bookmarkStart w:id="173" w:name="_Toc11943"/>
      <w:bookmarkStart w:id="174" w:name="_Toc23781"/>
      <w:bookmarkStart w:id="175" w:name="_Toc18607"/>
      <w:bookmarkStart w:id="176" w:name="_Toc32390"/>
      <w:bookmarkStart w:id="177" w:name="_Toc23455"/>
      <w:bookmarkStart w:id="178" w:name="_Toc26723"/>
      <w:bookmarkStart w:id="179" w:name="_Toc17188"/>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286386845"/>
      <w:bookmarkStart w:id="181" w:name="_Toc310318583"/>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hint="eastAsia" w:ascii="宋体" w:hAnsi="宋体" w:cs="宋体"/>
          <w:szCs w:val="21"/>
          <w:highlight w:val="none"/>
          <w:lang w:eastAsia="zh-CN"/>
        </w:rPr>
        <w:t>（</w:t>
      </w:r>
      <w:r>
        <w:rPr>
          <w:rFonts w:hint="eastAsia" w:ascii="宋体" w:hAnsi="宋体" w:cs="宋体"/>
          <w:szCs w:val="21"/>
          <w:highlight w:val="none"/>
        </w:rPr>
        <w:t>特别规定除外</w:t>
      </w:r>
      <w:r>
        <w:rPr>
          <w:rFonts w:hint="eastAsia" w:ascii="宋体" w:hAnsi="宋体" w:cs="宋体"/>
          <w:szCs w:val="21"/>
          <w:highlight w:val="none"/>
          <w:lang w:eastAsia="zh-CN"/>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114052426"/>
      <w:bookmarkStart w:id="183" w:name="_Toc310318584"/>
      <w:bookmarkStart w:id="184" w:name="_Toc114052352"/>
      <w:bookmarkStart w:id="185" w:name="_Toc28638684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w:t>
      </w:r>
      <w:r>
        <w:rPr>
          <w:rFonts w:hint="eastAsia" w:ascii="宋体" w:hAnsi="宋体" w:cs="宋体"/>
          <w:szCs w:val="21"/>
          <w:highlight w:val="none"/>
          <w:lang w:eastAsia="zh-CN"/>
        </w:rPr>
        <w:t>（</w:t>
      </w:r>
      <w:r>
        <w:rPr>
          <w:rFonts w:hint="eastAsia" w:ascii="宋体" w:hAnsi="宋体" w:cs="宋体"/>
          <w:szCs w:val="21"/>
          <w:highlight w:val="none"/>
          <w:lang w:val="en-US" w:eastAsia="zh-CN"/>
        </w:rPr>
        <w:t>负责人</w:t>
      </w:r>
      <w:r>
        <w:rPr>
          <w:rFonts w:hint="eastAsia" w:ascii="宋体" w:hAnsi="宋体" w:cs="宋体"/>
          <w:szCs w:val="21"/>
          <w:highlight w:val="none"/>
          <w:lang w:eastAsia="zh-CN"/>
        </w:rPr>
        <w:t>）</w:t>
      </w:r>
      <w:r>
        <w:rPr>
          <w:rFonts w:hint="eastAsia" w:ascii="宋体" w:hAnsi="宋体" w:cs="宋体"/>
          <w:szCs w:val="21"/>
          <w:highlight w:val="none"/>
        </w:rPr>
        <w:t>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）会计师事务所执业证书复印件（加盖单位公章）；</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286386847"/>
      <w:bookmarkStart w:id="188" w:name="_Toc114052363"/>
      <w:bookmarkStart w:id="189" w:name="_Toc114052427"/>
      <w:bookmarkStart w:id="190" w:name="_Toc310318585"/>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310318587"/>
      <w:bookmarkStart w:id="192" w:name="_Toc114052429"/>
      <w:bookmarkStart w:id="193" w:name="_Toc286386849"/>
      <w:bookmarkStart w:id="194" w:name="_Toc114052365"/>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114052366"/>
      <w:bookmarkStart w:id="196" w:name="_Toc310318588"/>
      <w:bookmarkStart w:id="197" w:name="_Toc286386850"/>
      <w:bookmarkStart w:id="198" w:name="_Toc114052430"/>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15430"/>
      <w:bookmarkStart w:id="200" w:name="_Toc32046"/>
      <w:bookmarkStart w:id="201" w:name="_Toc4540"/>
      <w:bookmarkStart w:id="202" w:name="_Toc31804"/>
      <w:bookmarkStart w:id="203" w:name="_Toc471482365"/>
      <w:bookmarkStart w:id="204" w:name="_Toc14726"/>
      <w:bookmarkStart w:id="205" w:name="_Toc27875"/>
      <w:bookmarkStart w:id="206" w:name="_Toc11391"/>
      <w:bookmarkStart w:id="207" w:name="_Toc17030"/>
      <w:bookmarkStart w:id="208" w:name="_Toc15955"/>
      <w:bookmarkStart w:id="209" w:name="_Toc28307"/>
      <w:bookmarkStart w:id="210" w:name="_Toc2153"/>
      <w:bookmarkStart w:id="211" w:name="_Toc23604"/>
      <w:bookmarkStart w:id="212" w:name="_Toc23101"/>
      <w:bookmarkStart w:id="213" w:name="_Toc28652"/>
      <w:bookmarkStart w:id="214" w:name="_Toc8725"/>
      <w:bookmarkStart w:id="215" w:name="_Toc16937"/>
      <w:bookmarkStart w:id="216" w:name="_Toc19276"/>
      <w:bookmarkStart w:id="217" w:name="_Toc5900"/>
      <w:bookmarkStart w:id="218" w:name="_Toc461525301"/>
      <w:bookmarkStart w:id="219" w:name="_Toc7811"/>
      <w:bookmarkStart w:id="220" w:name="_Toc25460"/>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w:t>
      </w:r>
      <w:r>
        <w:rPr>
          <w:rFonts w:ascii="宋体" w:hAnsi="宋体" w:cs="宋体"/>
          <w:szCs w:val="21"/>
          <w:highlight w:val="none"/>
        </w:rPr>
        <w:t>U</w:t>
      </w:r>
      <w:r>
        <w:rPr>
          <w:rFonts w:hint="eastAsia" w:ascii="宋体" w:hAnsi="宋体" w:cs="宋体"/>
          <w:szCs w:val="21"/>
          <w:highlight w:val="none"/>
        </w:rPr>
        <w:t>盘电子版一份（内存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20356"/>
      <w:bookmarkStart w:id="222" w:name="_Toc17217"/>
      <w:bookmarkStart w:id="223" w:name="_Toc31034"/>
      <w:bookmarkStart w:id="224" w:name="_Toc29047"/>
      <w:bookmarkStart w:id="225" w:name="_Toc31139"/>
      <w:bookmarkStart w:id="226" w:name="_Toc1057"/>
      <w:bookmarkStart w:id="227" w:name="_Toc461525302"/>
      <w:bookmarkStart w:id="228" w:name="_Toc22118"/>
      <w:bookmarkStart w:id="229" w:name="_Toc6376"/>
      <w:bookmarkStart w:id="230" w:name="_Toc32687"/>
      <w:bookmarkStart w:id="231" w:name="_Toc471482366"/>
      <w:bookmarkStart w:id="232" w:name="_Toc27095"/>
      <w:bookmarkStart w:id="233" w:name="_Toc30232"/>
      <w:bookmarkStart w:id="234" w:name="_Toc20601"/>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26873"/>
      <w:bookmarkStart w:id="236" w:name="_Toc16157"/>
      <w:bookmarkStart w:id="237" w:name="_Toc24817"/>
      <w:bookmarkStart w:id="238" w:name="_Toc19136"/>
      <w:bookmarkStart w:id="239" w:name="_Toc13760"/>
      <w:bookmarkStart w:id="240" w:name="_Toc5184"/>
      <w:bookmarkStart w:id="241" w:name="_Toc31410"/>
      <w:bookmarkStart w:id="242" w:name="_Toc26025"/>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hint="eastAsia" w:ascii="宋体" w:hAnsi="宋体" w:cs="宋体"/>
          <w:szCs w:val="21"/>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w:t>
      </w:r>
      <w:r>
        <w:rPr>
          <w:rFonts w:hint="eastAsia" w:ascii="宋体" w:hAnsi="宋体" w:cs="宋体"/>
          <w:szCs w:val="21"/>
        </w:rPr>
        <w:t>比选人验证法定代表人资格证明书、授权委托书及有效身份证明，由主持人宣布评审会议开始，介绍到会人员；</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highlight w:val="none"/>
        </w:rPr>
        <w:t>比选人确认文件是否密封，文件外包装签署是否正确，比选申请人对结果签字确认，比选申请人退场；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6</w:t>
      </w:r>
      <w:r>
        <w:rPr>
          <w:rFonts w:hint="eastAsia" w:ascii="宋体" w:hAnsi="宋体" w:cs="宋体"/>
          <w:szCs w:val="21"/>
          <w:highlight w:val="none"/>
        </w:rPr>
        <w:t>）启封通过资格审查的比选申请文件的商务部分，移交评审小组评审；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7</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8</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436771486"/>
      <w:bookmarkStart w:id="246" w:name="_Toc392862499"/>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hint="eastAsia" w:ascii="宋体" w:hAnsi="宋体" w:cs="宋体"/>
          <w:szCs w:val="21"/>
          <w:highlight w:val="none"/>
          <w:u w:val="single"/>
          <w:lang w:val="en-US" w:eastAsia="zh-CN"/>
        </w:rPr>
        <w:t>98</w:t>
      </w:r>
      <w:r>
        <w:rPr>
          <w:rFonts w:ascii="宋体" w:hAnsi="宋体" w:cs="宋体"/>
          <w:szCs w:val="21"/>
          <w:highlight w:val="none"/>
        </w:rPr>
        <w:t>,</w:t>
      </w:r>
      <w:r>
        <w:rPr>
          <w:rFonts w:hint="eastAsia" w:ascii="宋体" w:hAnsi="宋体" w:cs="宋体"/>
          <w:szCs w:val="21"/>
          <w:highlight w:val="none"/>
          <w:u w:val="single"/>
          <w:lang w:val="en-US" w:eastAsia="zh-CN"/>
        </w:rPr>
        <w:t>000.00</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含税</w:t>
      </w:r>
      <w:r>
        <w:rPr>
          <w:rFonts w:ascii="宋体" w:hAnsi="宋体" w:cs="宋体"/>
          <w:szCs w:val="21"/>
          <w:highlight w:val="none"/>
          <w:u w:val="none"/>
        </w:rPr>
        <w:t>)</w:t>
      </w:r>
      <w:r>
        <w:rPr>
          <w:rFonts w:hint="eastAsia" w:ascii="宋体" w:hAnsi="宋体" w:cs="宋体"/>
          <w:szCs w:val="21"/>
          <w:highlight w:val="none"/>
        </w:rPr>
        <w:t>，</w:t>
      </w:r>
      <w:r>
        <w:rPr>
          <w:rFonts w:hint="eastAsia" w:ascii="宋体" w:hAnsi="宋体" w:cs="宋体"/>
          <w:szCs w:val="21"/>
          <w:highlight w:val="none"/>
          <w:u w:val="single"/>
          <w:lang w:val="en-US" w:eastAsia="zh-CN"/>
        </w:rPr>
        <w:t>92</w:t>
      </w:r>
      <w:r>
        <w:rPr>
          <w:rFonts w:ascii="宋体" w:hAnsi="宋体" w:cs="宋体"/>
          <w:szCs w:val="21"/>
          <w:highlight w:val="none"/>
        </w:rPr>
        <w:t>,</w:t>
      </w:r>
      <w:r>
        <w:rPr>
          <w:rFonts w:hint="eastAsia" w:ascii="宋体" w:hAnsi="宋体" w:cs="宋体"/>
          <w:szCs w:val="21"/>
          <w:highlight w:val="none"/>
          <w:u w:val="single"/>
          <w:lang w:val="en-US" w:eastAsia="zh-CN"/>
        </w:rPr>
        <w:t>452.83</w:t>
      </w:r>
      <w:r>
        <w:rPr>
          <w:rFonts w:hint="eastAsia" w:ascii="宋体" w:hAnsi="宋体" w:cs="宋体"/>
          <w:szCs w:val="21"/>
          <w:highlight w:val="none"/>
          <w:u w:val="none"/>
        </w:rPr>
        <w:t>元</w:t>
      </w:r>
      <w:r>
        <w:rPr>
          <w:rFonts w:ascii="宋体" w:hAnsi="宋体" w:cs="宋体"/>
          <w:szCs w:val="21"/>
          <w:highlight w:val="none"/>
          <w:u w:val="none"/>
        </w:rPr>
        <w:t>(</w:t>
      </w:r>
      <w:r>
        <w:rPr>
          <w:rFonts w:hint="eastAsia" w:ascii="宋体" w:hAnsi="宋体" w:cs="宋体"/>
          <w:szCs w:val="21"/>
          <w:highlight w:val="none"/>
          <w:u w:val="none"/>
        </w:rPr>
        <w:t>不含税</w:t>
      </w:r>
      <w:r>
        <w:rPr>
          <w:rFonts w:ascii="宋体" w:hAnsi="宋体" w:cs="宋体"/>
          <w:szCs w:val="21"/>
          <w:highlight w:val="none"/>
          <w:u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535961533"/>
      <w:bookmarkStart w:id="249" w:name="_Toc114052439"/>
      <w:bookmarkStart w:id="250" w:name="_Toc114052375"/>
      <w:bookmarkStart w:id="251" w:name="_Toc286386859"/>
      <w:bookmarkStart w:id="252" w:name="_Toc436771487"/>
      <w:bookmarkStart w:id="253" w:name="_Toc392862500"/>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114052377"/>
      <w:bookmarkStart w:id="256" w:name="_Toc114052441"/>
      <w:bookmarkStart w:id="257" w:name="_Toc286386861"/>
      <w:bookmarkStart w:id="258" w:name="_Toc310318599"/>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12149"/>
      <w:bookmarkStart w:id="260" w:name="_Toc20403"/>
      <w:bookmarkStart w:id="261" w:name="_Toc5074"/>
      <w:bookmarkStart w:id="262" w:name="_Toc471482367"/>
      <w:bookmarkStart w:id="263" w:name="_Toc7357"/>
      <w:bookmarkStart w:id="264" w:name="_Toc4943"/>
      <w:bookmarkStart w:id="265" w:name="_Toc24212"/>
      <w:bookmarkStart w:id="266" w:name="_Toc8363"/>
      <w:bookmarkStart w:id="267" w:name="_Toc16935"/>
      <w:bookmarkStart w:id="268" w:name="_Toc19549"/>
      <w:bookmarkStart w:id="269" w:name="_Toc30023"/>
      <w:bookmarkStart w:id="270" w:name="_Toc12010"/>
      <w:bookmarkStart w:id="271" w:name="_Toc6141"/>
      <w:bookmarkStart w:id="272" w:name="_Toc17996"/>
      <w:bookmarkStart w:id="273" w:name="_Toc16746"/>
      <w:bookmarkStart w:id="274" w:name="_Toc28390"/>
      <w:bookmarkStart w:id="275" w:name="_Toc4410"/>
      <w:bookmarkStart w:id="276" w:name="_Toc24316"/>
      <w:bookmarkStart w:id="277" w:name="_Toc13919"/>
      <w:bookmarkStart w:id="278" w:name="_Toc461525303"/>
      <w:bookmarkStart w:id="279" w:name="_Toc529"/>
      <w:bookmarkStart w:id="280" w:name="_Toc15810"/>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jc w:val="center"/>
        <w:rPr>
          <w:rFonts w:hint="eastAsia" w:ascii="宋体" w:hAns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比选发起人联系办理合同签订事宜。若逾期比选发起人有权取消其中选资格，并选择评审排名次之的比选申请人为本项目中选人；中选的比选申请人若因自己的原因不能履约签订合同，比选发起人将取消其中选资格并且</w:t>
      </w:r>
    </w:p>
    <w:p>
      <w:pPr>
        <w:spacing w:line="460" w:lineRule="exact"/>
        <w:jc w:val="both"/>
        <w:rPr>
          <w:rFonts w:ascii="宋体"/>
          <w:b/>
          <w:bCs/>
          <w:sz w:val="28"/>
          <w:szCs w:val="28"/>
          <w:highlight w:val="none"/>
        </w:rPr>
      </w:pPr>
      <w:r>
        <w:rPr>
          <w:rFonts w:hint="eastAsia" w:ascii="宋体" w:hAnsi="宋体" w:cs="宋体"/>
          <w:szCs w:val="21"/>
          <w:highlight w:val="none"/>
        </w:rPr>
        <w:t>列为不诚信单位，并在后续排名中选候选人中依次向上递补确定中选人或重新比选确定中选人。</w:t>
      </w:r>
      <w:r>
        <w:rPr>
          <w:rFonts w:ascii="楷体_GB2312" w:eastAsia="楷体_GB2312"/>
          <w:b/>
          <w:sz w:val="24"/>
          <w:highlight w:val="none"/>
        </w:rPr>
        <w:br w:type="page"/>
      </w:r>
      <w:bookmarkStart w:id="281" w:name="_Toc23613"/>
      <w:bookmarkStart w:id="282" w:name="_Toc3339"/>
      <w:bookmarkStart w:id="283" w:name="_Toc7444"/>
      <w:bookmarkStart w:id="284" w:name="_Toc535961544"/>
      <w:bookmarkStart w:id="285" w:name="_Toc19761"/>
      <w:bookmarkStart w:id="286" w:name="_Toc11246"/>
      <w:bookmarkStart w:id="287" w:name="_Toc30996"/>
      <w:bookmarkStart w:id="288" w:name="_Toc4447"/>
      <w:bookmarkStart w:id="289" w:name="_Toc5964"/>
      <w:bookmarkStart w:id="290" w:name="_Toc461525304"/>
      <w:bookmarkStart w:id="291" w:name="_Toc471482368"/>
      <w:bookmarkStart w:id="292" w:name="_Toc12854"/>
      <w:bookmarkStart w:id="293" w:name="_Toc16062"/>
      <w:bookmarkStart w:id="294" w:name="_Toc21358"/>
      <w:bookmarkStart w:id="295" w:name="_Toc4769"/>
      <w:bookmarkStart w:id="296" w:name="_Toc2960"/>
      <w:bookmarkStart w:id="297" w:name="_Toc21670"/>
      <w:bookmarkStart w:id="298" w:name="_Toc31070"/>
      <w:bookmarkStart w:id="299" w:name="_Toc1354"/>
      <w:bookmarkStart w:id="300" w:name="_Toc333307121"/>
      <w:bookmarkStart w:id="301" w:name="_Toc7234"/>
      <w:r>
        <w:rPr>
          <w:rFonts w:hint="eastAsia" w:ascii="宋体" w:hAnsi="宋体"/>
          <w:b/>
          <w:bCs/>
          <w:sz w:val="28"/>
          <w:szCs w:val="28"/>
          <w:highlight w:val="none"/>
        </w:rPr>
        <w:t>第二章</w:t>
      </w:r>
      <w:bookmarkStart w:id="302" w:name="_Toc392862509"/>
      <w:r>
        <w:rPr>
          <w:rFonts w:ascii="宋体" w:hAnsi="宋体"/>
          <w:b/>
          <w:bCs/>
          <w:sz w:val="28"/>
          <w:szCs w:val="28"/>
          <w:highlight w:val="none"/>
        </w:rPr>
        <w:t xml:space="preserve"> </w:t>
      </w:r>
      <w:r>
        <w:rPr>
          <w:rFonts w:hint="eastAsia" w:ascii="宋体" w:hAnsi="宋体"/>
          <w:b/>
          <w:bCs/>
          <w:sz w:val="28"/>
          <w:szCs w:val="28"/>
          <w:highlight w:val="none"/>
        </w:rPr>
        <w:t>合同条款（格式）</w:t>
      </w:r>
      <w:bookmarkEnd w:id="281"/>
      <w:bookmarkEnd w:id="282"/>
      <w:bookmarkEnd w:id="283"/>
      <w:bookmarkEnd w:id="284"/>
      <w:bookmarkEnd w:id="285"/>
      <w:bookmarkEnd w:id="286"/>
      <w:bookmarkEnd w:id="287"/>
      <w:bookmarkEnd w:id="288"/>
    </w:p>
    <w:bookmarkEnd w:id="302"/>
    <w:p>
      <w:pPr>
        <w:widowControl/>
        <w:spacing w:line="600" w:lineRule="exact"/>
        <w:jc w:val="center"/>
        <w:rPr>
          <w:rFonts w:ascii="宋体"/>
          <w:bCs/>
          <w:sz w:val="28"/>
          <w:highlight w:val="none"/>
        </w:rPr>
      </w:pPr>
    </w:p>
    <w:p>
      <w:pPr>
        <w:widowControl/>
        <w:spacing w:line="600" w:lineRule="exact"/>
        <w:jc w:val="center"/>
        <w:rPr>
          <w:rFonts w:hint="eastAsia" w:ascii="宋体" w:eastAsia="宋体"/>
          <w:b/>
          <w:sz w:val="44"/>
          <w:szCs w:val="44"/>
          <w:highlight w:val="none"/>
          <w:lang w:val="en-US" w:eastAsia="zh-CN"/>
        </w:rPr>
      </w:pPr>
      <w:r>
        <w:rPr>
          <w:rFonts w:hint="eastAsia" w:ascii="宋体" w:hAnsi="宋体"/>
          <w:b/>
          <w:sz w:val="44"/>
          <w:szCs w:val="44"/>
          <w:highlight w:val="none"/>
        </w:rPr>
        <w:t>南宁轨道</w:t>
      </w:r>
      <w:r>
        <w:rPr>
          <w:rFonts w:hint="eastAsia" w:ascii="宋体" w:hAnsi="宋体"/>
          <w:b/>
          <w:sz w:val="44"/>
          <w:szCs w:val="44"/>
          <w:highlight w:val="none"/>
          <w:lang w:val="en-US" w:eastAsia="zh-CN"/>
        </w:rPr>
        <w:t>交通建设有限</w:t>
      </w:r>
      <w:r>
        <w:rPr>
          <w:rFonts w:hint="eastAsia" w:ascii="宋体" w:hAnsi="宋体"/>
          <w:b/>
          <w:sz w:val="44"/>
          <w:szCs w:val="44"/>
          <w:highlight w:val="none"/>
        </w:rPr>
        <w:t>公司2020年至2022年采购及合同管理专项审计</w:t>
      </w:r>
      <w:r>
        <w:rPr>
          <w:rFonts w:hint="eastAsia" w:ascii="宋体" w:hAnsi="宋体"/>
          <w:b/>
          <w:sz w:val="44"/>
          <w:szCs w:val="44"/>
          <w:highlight w:val="none"/>
          <w:lang w:val="en-US" w:eastAsia="zh-CN"/>
        </w:rPr>
        <w:t>项目</w:t>
      </w:r>
    </w:p>
    <w:tbl>
      <w:tblPr>
        <w:tblStyle w:val="26"/>
        <w:tblpPr w:leftFromText="180" w:rightFromText="180" w:vertAnchor="text" w:horzAnchor="page" w:tblpX="2742" w:tblpY="43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项目编号：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trPr>
        <w:tc>
          <w:tcPr>
            <w:tcW w:w="1869"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r>
              <w:rPr>
                <w:rFonts w:hint="eastAsia" w:ascii="宋体" w:hAnsi="宋体"/>
                <w:color w:val="000000"/>
                <w:sz w:val="28"/>
                <w:szCs w:val="30"/>
              </w:rPr>
              <w:t>合同编号：</w:t>
            </w:r>
          </w:p>
        </w:tc>
        <w:tc>
          <w:tcPr>
            <w:tcW w:w="4761" w:type="dxa"/>
          </w:tcPr>
          <w:p>
            <w:pPr>
              <w:keepNext w:val="0"/>
              <w:keepLines w:val="0"/>
              <w:pageBreakBefore w:val="0"/>
              <w:widowControl w:val="0"/>
              <w:kinsoku/>
              <w:wordWrap/>
              <w:overflowPunct/>
              <w:topLinePunct w:val="0"/>
              <w:autoSpaceDE/>
              <w:autoSpaceDN/>
              <w:bidi w:val="0"/>
              <w:adjustRightInd/>
              <w:snapToGrid w:val="0"/>
              <w:spacing w:afterAutospacing="0" w:line="540" w:lineRule="exact"/>
              <w:jc w:val="center"/>
              <w:textAlignment w:val="baseline"/>
              <w:rPr>
                <w:rFonts w:ascii="宋体" w:hAnsi="宋体"/>
                <w:color w:val="000000"/>
                <w:sz w:val="28"/>
                <w:szCs w:val="30"/>
              </w:rPr>
            </w:pPr>
          </w:p>
        </w:tc>
      </w:tr>
    </w:tbl>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napToGrid w:val="0"/>
        <w:spacing w:after="312" w:afterAutospacing="0" w:line="800" w:lineRule="exact"/>
        <w:ind w:left="2443" w:right="-28" w:hanging="2443" w:hangingChars="338"/>
        <w:jc w:val="center"/>
        <w:textAlignment w:val="baseline"/>
        <w:rPr>
          <w:rFonts w:ascii="楷体_GB2312" w:eastAsia="楷体_GB2312"/>
          <w:b/>
          <w:color w:val="000000"/>
          <w:sz w:val="72"/>
          <w:szCs w:val="52"/>
        </w:rPr>
      </w:pPr>
      <w:r>
        <w:rPr>
          <w:rFonts w:hint="eastAsia"/>
          <w:b/>
          <w:color w:val="000000"/>
          <w:sz w:val="72"/>
          <w:szCs w:val="52"/>
        </w:rPr>
        <w:t>合</w:t>
      </w:r>
    </w:p>
    <w:p>
      <w:pPr>
        <w:snapToGrid w:val="0"/>
        <w:spacing w:after="312" w:afterAutospacing="0" w:line="800" w:lineRule="exact"/>
        <w:ind w:left="2443" w:right="-28" w:hanging="2443" w:hangingChars="338"/>
        <w:jc w:val="center"/>
        <w:textAlignment w:val="baseline"/>
        <w:rPr>
          <w:rFonts w:ascii="宋体" w:hAnsi="宋体"/>
          <w:b/>
          <w:color w:val="000000"/>
          <w:sz w:val="72"/>
          <w:szCs w:val="52"/>
        </w:rPr>
      </w:pPr>
      <w:r>
        <w:rPr>
          <w:rFonts w:hint="eastAsia"/>
          <w:b/>
          <w:color w:val="000000"/>
          <w:sz w:val="72"/>
          <w:szCs w:val="52"/>
        </w:rPr>
        <w:t>同</w:t>
      </w:r>
    </w:p>
    <w:p>
      <w:pPr>
        <w:snapToGrid w:val="0"/>
        <w:spacing w:after="312" w:afterAutospacing="0" w:line="800" w:lineRule="exact"/>
        <w:ind w:left="2443" w:right="-28" w:hanging="2443" w:hangingChars="338"/>
        <w:jc w:val="center"/>
        <w:textAlignment w:val="baseline"/>
        <w:rPr>
          <w:b/>
          <w:color w:val="000000"/>
          <w:sz w:val="72"/>
          <w:szCs w:val="52"/>
        </w:rPr>
      </w:pPr>
      <w:r>
        <w:rPr>
          <w:rFonts w:hint="eastAsia"/>
          <w:b/>
          <w:color w:val="000000"/>
          <w:sz w:val="72"/>
          <w:szCs w:val="52"/>
        </w:rPr>
        <w:t>书</w:t>
      </w:r>
    </w:p>
    <w:p>
      <w:pPr>
        <w:spacing w:line="360" w:lineRule="auto"/>
        <w:jc w:val="center"/>
        <w:rPr>
          <w:rFonts w:ascii="宋体"/>
          <w:b/>
          <w:bCs/>
          <w:sz w:val="44"/>
          <w:highlight w:val="none"/>
        </w:rPr>
      </w:pPr>
      <w:r>
        <w:rPr>
          <w:rFonts w:hint="eastAsia" w:ascii="宋体" w:hAnsi="宋体"/>
          <w:b/>
          <w:color w:val="000000"/>
          <w:sz w:val="52"/>
        </w:rPr>
        <w:pict>
          <v:shape id="_x0000_i1025" o:spt="75" alt="2011101891424664" type="#_x0000_t75" style="height:136.15pt;width:122.5pt;" filled="f" o:preferrelative="t" stroked="f" coordsize="21600,21600">
            <v:path/>
            <v:fill on="f" focussize="0,0"/>
            <v:stroke on="f"/>
            <v:imagedata r:id="rId8" o:title=""/>
            <o:lock v:ext="edit" aspectratio="t"/>
            <w10:wrap type="none"/>
            <w10:anchorlock/>
          </v:shape>
        </w:pict>
      </w:r>
    </w:p>
    <w:p>
      <w:pPr>
        <w:snapToGrid w:val="0"/>
        <w:spacing w:before="0" w:after="312" w:afterAutospacing="0" w:line="400" w:lineRule="exact"/>
        <w:textAlignment w:val="baseline"/>
        <w:rPr>
          <w:rFonts w:hint="eastAsia" w:ascii="宋体" w:hAnsi="宋体"/>
          <w:b/>
          <w:color w:val="000000"/>
          <w:sz w:val="28"/>
          <w:szCs w:val="28"/>
        </w:rPr>
      </w:pP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甲    方：</w:t>
      </w:r>
      <w:r>
        <w:rPr>
          <w:rFonts w:hint="eastAsia"/>
          <w:color w:val="000000"/>
          <w:sz w:val="28"/>
          <w:szCs w:val="28"/>
        </w:rPr>
        <w:t>南宁轨道交通集团有限责任公司</w:t>
      </w:r>
    </w:p>
    <w:p>
      <w:pPr>
        <w:snapToGrid w:val="0"/>
        <w:spacing w:before="0" w:after="312" w:afterAutospacing="0" w:line="400" w:lineRule="exact"/>
        <w:textAlignment w:val="baseline"/>
        <w:rPr>
          <w:color w:val="000000"/>
          <w:sz w:val="28"/>
          <w:szCs w:val="28"/>
        </w:rPr>
      </w:pPr>
      <w:r>
        <w:rPr>
          <w:rFonts w:hint="eastAsia" w:ascii="宋体" w:hAnsi="宋体"/>
          <w:b/>
          <w:color w:val="000000"/>
          <w:sz w:val="28"/>
          <w:szCs w:val="28"/>
        </w:rPr>
        <w:t>乙    方：</w:t>
      </w:r>
      <w:r>
        <w:rPr>
          <w:color w:val="000000"/>
          <w:sz w:val="28"/>
          <w:szCs w:val="28"/>
        </w:rPr>
        <w:t xml:space="preserve"> </w:t>
      </w:r>
    </w:p>
    <w:p>
      <w:pPr>
        <w:snapToGrid w:val="0"/>
        <w:spacing w:before="0" w:after="312" w:afterAutospacing="0" w:line="400" w:lineRule="exact"/>
        <w:textAlignment w:val="baseline"/>
        <w:rPr>
          <w:rFonts w:ascii="宋体" w:hAnsi="宋体"/>
          <w:b/>
          <w:color w:val="000000"/>
          <w:sz w:val="28"/>
          <w:szCs w:val="28"/>
        </w:rPr>
      </w:pPr>
      <w:r>
        <w:rPr>
          <w:rFonts w:hint="eastAsia" w:ascii="宋体" w:hAnsi="宋体"/>
          <w:b/>
          <w:color w:val="000000"/>
          <w:sz w:val="28"/>
          <w:szCs w:val="28"/>
        </w:rPr>
        <w:t>签约日期：</w:t>
      </w:r>
      <w:r>
        <w:rPr>
          <w:rFonts w:hint="eastAsia" w:ascii="宋体" w:hAnsi="宋体"/>
          <w:b/>
          <w:color w:val="000000"/>
          <w:sz w:val="28"/>
          <w:szCs w:val="28"/>
          <w:u w:val="single" w:color="000000"/>
        </w:rPr>
        <w:t xml:space="preserve">       </w:t>
      </w:r>
      <w:r>
        <w:rPr>
          <w:rFonts w:hint="eastAsia" w:ascii="宋体" w:hAnsi="宋体"/>
          <w:color w:val="000000"/>
          <w:sz w:val="28"/>
          <w:szCs w:val="28"/>
        </w:rPr>
        <w:t>年</w:t>
      </w:r>
      <w:r>
        <w:rPr>
          <w:rFonts w:hint="eastAsia" w:ascii="宋体" w:hAnsi="宋体"/>
          <w:b/>
          <w:bCs/>
          <w:color w:val="000000"/>
          <w:sz w:val="28"/>
          <w:szCs w:val="28"/>
          <w:u w:val="single" w:color="000000"/>
        </w:rPr>
        <w:t xml:space="preserve">　 </w:t>
      </w:r>
      <w:r>
        <w:rPr>
          <w:rFonts w:hint="eastAsia" w:ascii="宋体" w:hAnsi="宋体"/>
          <w:color w:val="000000"/>
          <w:sz w:val="28"/>
          <w:szCs w:val="28"/>
          <w:u w:val="single" w:color="000000"/>
        </w:rPr>
        <w:t>　</w:t>
      </w:r>
      <w:r>
        <w:rPr>
          <w:rFonts w:hint="eastAsia" w:ascii="宋体" w:hAnsi="宋体"/>
          <w:color w:val="000000"/>
          <w:sz w:val="28"/>
          <w:szCs w:val="28"/>
        </w:rPr>
        <w:t>月</w:t>
      </w:r>
      <w:r>
        <w:rPr>
          <w:rFonts w:hint="eastAsia" w:ascii="宋体" w:hAnsi="宋体"/>
          <w:color w:val="000000"/>
          <w:sz w:val="28"/>
          <w:szCs w:val="28"/>
          <w:u w:val="single" w:color="000000"/>
        </w:rPr>
        <w:t xml:space="preserve">　    </w:t>
      </w:r>
      <w:r>
        <w:rPr>
          <w:rFonts w:hint="eastAsia" w:ascii="宋体" w:hAnsi="宋体"/>
          <w:color w:val="000000"/>
          <w:sz w:val="28"/>
          <w:szCs w:val="28"/>
        </w:rPr>
        <w:t>日</w:t>
      </w:r>
    </w:p>
    <w:p>
      <w:pPr>
        <w:snapToGrid w:val="0"/>
        <w:spacing w:before="0" w:after="312" w:afterAutospacing="0" w:line="400" w:lineRule="exact"/>
        <w:ind w:right="-86"/>
        <w:textAlignment w:val="baseline"/>
        <w:rPr>
          <w:rFonts w:ascii="宋体" w:hAnsi="宋体"/>
          <w:b/>
          <w:bCs/>
          <w:sz w:val="28"/>
          <w:szCs w:val="28"/>
        </w:rPr>
      </w:pPr>
      <w:r>
        <w:rPr>
          <w:rFonts w:hint="eastAsia" w:ascii="宋体" w:hAnsi="宋体"/>
          <w:b/>
          <w:color w:val="000000"/>
          <w:sz w:val="28"/>
          <w:szCs w:val="28"/>
        </w:rPr>
        <w:t>签约</w:t>
      </w:r>
      <w:r>
        <w:rPr>
          <w:rFonts w:hint="eastAsia" w:ascii="宋体" w:hAnsi="宋体"/>
          <w:b/>
          <w:bCs/>
          <w:color w:val="000000"/>
          <w:sz w:val="28"/>
          <w:szCs w:val="28"/>
        </w:rPr>
        <w:t>地点：</w:t>
      </w:r>
      <w:r>
        <w:rPr>
          <w:rFonts w:ascii="宋体" w:hAnsi="宋体"/>
          <w:b/>
          <w:color w:val="000000"/>
          <w:sz w:val="28"/>
          <w:szCs w:val="28"/>
        </w:rPr>
        <w:t xml:space="preserve"> </w:t>
      </w:r>
      <w:r>
        <w:rPr>
          <w:rFonts w:hint="eastAsia" w:ascii="宋体" w:hAnsi="宋体"/>
          <w:color w:val="000000"/>
          <w:sz w:val="28"/>
          <w:szCs w:val="28"/>
        </w:rPr>
        <w:t>广西壮族自治区南宁市</w:t>
      </w:r>
      <w:bookmarkStart w:id="303" w:name="_Toc369787000"/>
      <w:bookmarkEnd w:id="303"/>
    </w:p>
    <w:bookmarkEnd w:id="289"/>
    <w:bookmarkEnd w:id="290"/>
    <w:bookmarkEnd w:id="291"/>
    <w:bookmarkEnd w:id="292"/>
    <w:bookmarkEnd w:id="293"/>
    <w:bookmarkEnd w:id="294"/>
    <w:bookmarkEnd w:id="295"/>
    <w:bookmarkEnd w:id="296"/>
    <w:bookmarkEnd w:id="297"/>
    <w:bookmarkEnd w:id="298"/>
    <w:bookmarkEnd w:id="299"/>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b/>
          <w:sz w:val="36"/>
          <w:szCs w:val="36"/>
          <w:highlight w:val="none"/>
        </w:rPr>
      </w:pPr>
      <w:r>
        <w:rPr>
          <w:rFonts w:hint="eastAsia" w:ascii="宋体" w:hAnsi="宋体"/>
          <w:b/>
          <w:sz w:val="36"/>
          <w:szCs w:val="36"/>
          <w:highlight w:val="none"/>
        </w:rPr>
        <w:t>南宁轨道</w:t>
      </w:r>
      <w:r>
        <w:rPr>
          <w:rFonts w:hint="eastAsia" w:ascii="宋体" w:hAnsi="宋体"/>
          <w:b/>
          <w:sz w:val="36"/>
          <w:szCs w:val="36"/>
          <w:highlight w:val="none"/>
          <w:lang w:val="en-US" w:eastAsia="zh-CN"/>
        </w:rPr>
        <w:t>交通建设有限</w:t>
      </w:r>
      <w:r>
        <w:rPr>
          <w:rFonts w:hint="eastAsia" w:ascii="宋体" w:hAnsi="宋体"/>
          <w:b/>
          <w:sz w:val="36"/>
          <w:szCs w:val="36"/>
          <w:highlight w:val="none"/>
        </w:rPr>
        <w:t>公司2020年至2022年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b/>
          <w:sz w:val="36"/>
          <w:szCs w:val="36"/>
          <w:highlight w:val="none"/>
        </w:rPr>
      </w:pPr>
      <w:r>
        <w:rPr>
          <w:rFonts w:hint="eastAsia" w:ascii="宋体" w:hAnsi="宋体"/>
          <w:b/>
          <w:sz w:val="36"/>
          <w:szCs w:val="36"/>
          <w:highlight w:val="none"/>
        </w:rPr>
        <w:t>采购及合同管理专项审计项目合同书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南宁轨道</w:t>
      </w:r>
      <w:r>
        <w:rPr>
          <w:rFonts w:hint="eastAsia" w:ascii="宋体" w:hAnsi="宋体"/>
          <w:sz w:val="28"/>
          <w:szCs w:val="28"/>
          <w:highlight w:val="none"/>
          <w:u w:val="single"/>
          <w:lang w:val="en-US" w:eastAsia="zh-CN"/>
        </w:rPr>
        <w:t>交通建设有限</w:t>
      </w:r>
      <w:r>
        <w:rPr>
          <w:rFonts w:hint="eastAsia" w:ascii="宋体" w:hAnsi="宋体"/>
          <w:sz w:val="28"/>
          <w:szCs w:val="28"/>
          <w:highlight w:val="none"/>
          <w:u w:val="single"/>
        </w:rPr>
        <w:t>公司2020年至2022年采购及合同管理专项审计项目</w:t>
      </w:r>
      <w:r>
        <w:rPr>
          <w:rFonts w:hint="eastAsia" w:ascii="宋体" w:hAnsi="宋体"/>
          <w:sz w:val="28"/>
          <w:szCs w:val="28"/>
          <w:highlight w:val="none"/>
        </w:rPr>
        <w:t>，经双方平等友好协商，达成如下协议：</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一、合同文件的优先次序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eastAsia="zh-CN"/>
        </w:rPr>
        <w:t>（</w:t>
      </w:r>
      <w:r>
        <w:rPr>
          <w:rFonts w:hint="eastAsia" w:ascii="宋体" w:hAnsi="宋体"/>
          <w:sz w:val="28"/>
          <w:szCs w:val="28"/>
          <w:highlight w:val="none"/>
        </w:rPr>
        <w:t>一</w:t>
      </w:r>
      <w:r>
        <w:rPr>
          <w:rFonts w:hint="eastAsia" w:ascii="宋体" w:hAnsi="宋体"/>
          <w:sz w:val="28"/>
          <w:szCs w:val="28"/>
          <w:highlight w:val="none"/>
          <w:lang w:eastAsia="zh-CN"/>
        </w:rPr>
        <w:t>）</w:t>
      </w:r>
      <w:r>
        <w:rPr>
          <w:rFonts w:hint="eastAsia" w:ascii="宋体" w:hAnsi="宋体"/>
          <w:sz w:val="28"/>
          <w:szCs w:val="28"/>
          <w:highlight w:val="none"/>
        </w:rPr>
        <w:t>下列文件一起构成合同文件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合同协议书及各种合同附件（含比选评审期间和合同谈判过程中的澄清文件和补充资料）；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中选通知书；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比选申请文件及比选申请函；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比选文件；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其他合同文件。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ascii="宋体"/>
          <w:b/>
          <w:sz w:val="28"/>
          <w:szCs w:val="28"/>
          <w:highlight w:val="none"/>
        </w:rPr>
      </w:pPr>
      <w:r>
        <w:rPr>
          <w:rFonts w:hint="eastAsia" w:ascii="宋体" w:hAnsi="宋体"/>
          <w:b/>
          <w:sz w:val="28"/>
          <w:szCs w:val="28"/>
          <w:highlight w:val="none"/>
        </w:rPr>
        <w:t>二、</w:t>
      </w:r>
      <w:r>
        <w:rPr>
          <w:rFonts w:hint="eastAsia" w:ascii="宋体" w:hAnsi="宋体"/>
          <w:b/>
          <w:sz w:val="28"/>
          <w:szCs w:val="28"/>
          <w:highlight w:val="none"/>
          <w:lang w:val="en-US" w:eastAsia="zh-CN"/>
        </w:rPr>
        <w:t>审计</w:t>
      </w:r>
      <w:r>
        <w:rPr>
          <w:rFonts w:hint="eastAsia" w:ascii="宋体" w:hAnsi="宋体"/>
          <w:b/>
          <w:sz w:val="28"/>
          <w:szCs w:val="28"/>
          <w:highlight w:val="none"/>
        </w:rPr>
        <w:t>内容和要求</w:t>
      </w:r>
    </w:p>
    <w:p>
      <w:pPr>
        <w:spacing w:line="540" w:lineRule="exact"/>
        <w:ind w:firstLine="420" w:firstLineChars="150"/>
        <w:rPr>
          <w:rFonts w:hint="default" w:ascii="宋体" w:eastAsia="宋体"/>
          <w:sz w:val="28"/>
          <w:szCs w:val="28"/>
          <w:highlight w:val="none"/>
          <w:lang w:val="en-US" w:eastAsia="zh-CN"/>
        </w:rPr>
      </w:pPr>
      <w:r>
        <w:rPr>
          <w:rFonts w:hint="eastAsia" w:ascii="宋体" w:hAnsi="宋体"/>
          <w:sz w:val="28"/>
          <w:szCs w:val="28"/>
          <w:highlight w:val="none"/>
        </w:rPr>
        <w:t>（一）</w:t>
      </w:r>
      <w:r>
        <w:rPr>
          <w:rFonts w:hint="eastAsia" w:ascii="宋体" w:hAnsi="宋体"/>
          <w:sz w:val="28"/>
          <w:szCs w:val="28"/>
          <w:highlight w:val="none"/>
          <w:lang w:val="en-US" w:eastAsia="zh-CN"/>
        </w:rPr>
        <w:t>审计</w:t>
      </w:r>
      <w:r>
        <w:rPr>
          <w:rFonts w:hint="eastAsia" w:ascii="宋体" w:hAnsi="宋体"/>
          <w:sz w:val="28"/>
          <w:szCs w:val="28"/>
          <w:highlight w:val="none"/>
        </w:rPr>
        <w:t>内容</w:t>
      </w:r>
      <w:r>
        <w:rPr>
          <w:rFonts w:hint="eastAsia" w:ascii="宋体" w:hAnsi="宋体"/>
          <w:sz w:val="28"/>
          <w:szCs w:val="28"/>
          <w:highlight w:val="none"/>
          <w:lang w:eastAsia="zh-CN"/>
        </w:rPr>
        <w:t>、</w:t>
      </w:r>
      <w:r>
        <w:rPr>
          <w:rFonts w:hint="eastAsia" w:ascii="宋体" w:hAnsi="宋体"/>
          <w:sz w:val="28"/>
          <w:szCs w:val="28"/>
          <w:highlight w:val="none"/>
          <w:lang w:val="en-US" w:eastAsia="zh-CN"/>
        </w:rPr>
        <w:t>范围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rPr>
      </w:pPr>
      <w:r>
        <w:rPr>
          <w:rFonts w:hint="eastAsia" w:ascii="宋体" w:hAnsi="宋体" w:cs="仿宋"/>
          <w:sz w:val="28"/>
          <w:szCs w:val="28"/>
          <w:highlight w:val="none"/>
        </w:rPr>
        <w:t>对南宁轨道</w:t>
      </w:r>
      <w:r>
        <w:rPr>
          <w:rFonts w:hint="eastAsia" w:ascii="宋体" w:hAnsi="宋体" w:cs="仿宋"/>
          <w:sz w:val="28"/>
          <w:szCs w:val="28"/>
          <w:highlight w:val="none"/>
          <w:lang w:val="en-US" w:eastAsia="zh-CN"/>
        </w:rPr>
        <w:t>交通建设有限</w:t>
      </w:r>
      <w:r>
        <w:rPr>
          <w:rFonts w:hint="eastAsia" w:ascii="宋体" w:hAnsi="宋体" w:cs="仿宋"/>
          <w:sz w:val="28"/>
          <w:szCs w:val="28"/>
          <w:highlight w:val="none"/>
        </w:rPr>
        <w:t>公司</w:t>
      </w:r>
      <w:r>
        <w:rPr>
          <w:rFonts w:hint="eastAsia" w:ascii="宋体" w:hAnsi="宋体" w:cs="仿宋"/>
          <w:sz w:val="28"/>
          <w:szCs w:val="28"/>
          <w:highlight w:val="none"/>
          <w:lang w:val="en-US" w:eastAsia="zh-CN"/>
        </w:rPr>
        <w:t>4号线、5号线工程项目2020年1月至2022年12月采购管理、合同管理、工程签证管理情况</w:t>
      </w:r>
      <w:r>
        <w:rPr>
          <w:rFonts w:hint="eastAsia" w:ascii="宋体" w:hAnsi="宋体" w:cs="仿宋"/>
          <w:sz w:val="28"/>
          <w:szCs w:val="28"/>
          <w:highlight w:val="none"/>
        </w:rPr>
        <w:t>开展审计，包括</w:t>
      </w:r>
      <w:r>
        <w:rPr>
          <w:rFonts w:hint="eastAsia" w:ascii="宋体" w:hAnsi="宋体" w:cs="仿宋"/>
          <w:sz w:val="28"/>
          <w:szCs w:val="28"/>
          <w:highlight w:val="none"/>
          <w:lang w:val="en-US" w:eastAsia="zh-CN"/>
        </w:rPr>
        <w:t>勘察、设计、监理、施工、咨询、设备物资等采购合同的招标、审批、履行以及合同签订、结算、变更、索赔、工程签证管理</w:t>
      </w:r>
      <w:r>
        <w:rPr>
          <w:rFonts w:hint="eastAsia" w:ascii="宋体" w:hAnsi="宋体" w:cs="仿宋"/>
          <w:sz w:val="28"/>
          <w:szCs w:val="28"/>
          <w:highlight w:val="none"/>
        </w:rPr>
        <w:t>等</w:t>
      </w:r>
      <w:r>
        <w:rPr>
          <w:rFonts w:hint="eastAsia" w:ascii="宋体" w:hAnsi="宋体" w:cs="仿宋"/>
          <w:sz w:val="28"/>
          <w:szCs w:val="28"/>
          <w:highlight w:val="none"/>
          <w:lang w:val="en-US" w:eastAsia="zh-CN"/>
        </w:rPr>
        <w:t>主要业务环节的内部控制</w:t>
      </w:r>
      <w:r>
        <w:rPr>
          <w:rFonts w:hint="eastAsia" w:ascii="宋体" w:hAnsi="宋体" w:cs="仿宋"/>
          <w:sz w:val="28"/>
          <w:szCs w:val="28"/>
          <w:highlight w:val="none"/>
        </w:rPr>
        <w:t>情况</w:t>
      </w:r>
      <w:r>
        <w:rPr>
          <w:rFonts w:hint="eastAsia" w:ascii="宋体" w:hAnsi="宋体" w:cs="仿宋"/>
          <w:sz w:val="28"/>
          <w:szCs w:val="28"/>
          <w:highlight w:val="none"/>
          <w:lang w:val="en-US" w:eastAsia="zh-CN"/>
        </w:rPr>
        <w:t>进行审</w:t>
      </w:r>
      <w:r>
        <w:rPr>
          <w:rFonts w:hint="eastAsia" w:ascii="宋体" w:hAnsi="宋体" w:cs="仿宋"/>
          <w:sz w:val="28"/>
          <w:szCs w:val="28"/>
          <w:highlight w:val="none"/>
        </w:rPr>
        <w:t>计。包括但不仅限于以下内容：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1.采购管理审计</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（1）采购管理制度及标准化流程的建立情况及制度设计的合理性；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（2）采购工作管理委员会、总经理办公会、董事会分级审批、决策</w:t>
      </w:r>
      <w:r>
        <w:rPr>
          <w:rFonts w:hint="eastAsia" w:ascii="宋体" w:hAnsi="宋体" w:cs="仿宋"/>
          <w:sz w:val="28"/>
          <w:szCs w:val="28"/>
          <w:highlight w:val="none"/>
          <w:lang w:val="zh-CN" w:eastAsia="zh-CN"/>
        </w:rPr>
        <w:t>情况</w:t>
      </w:r>
      <w:r>
        <w:rPr>
          <w:rFonts w:hint="eastAsia" w:ascii="宋体" w:hAnsi="宋体" w:cs="仿宋"/>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（3）年度采购计划编制、月度临时新增采购计划、紧急采购计划的编制、审批、执行</w:t>
      </w:r>
      <w:r>
        <w:rPr>
          <w:rFonts w:hint="eastAsia" w:ascii="宋体" w:hAnsi="宋体" w:cs="仿宋"/>
          <w:sz w:val="28"/>
          <w:szCs w:val="28"/>
          <w:highlight w:val="none"/>
          <w:lang w:val="zh-CN" w:eastAsia="zh-CN"/>
        </w:rPr>
        <w:t>情况</w:t>
      </w:r>
      <w:r>
        <w:rPr>
          <w:rFonts w:hint="eastAsia" w:ascii="宋体" w:hAnsi="宋体" w:cs="仿宋"/>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（4）招标类采购、非招标类采购的分判及具体执行情况，关注非公开招标类项目采购评审、谈判过程；</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（5）供应商管理及评价体系建立、各类供应商资源库考察、维护情况；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 xml:space="preserve">（6）采购监督部门执行监督、检查的情况； </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（7）在</w:t>
      </w:r>
      <w:r>
        <w:rPr>
          <w:rFonts w:hint="eastAsia" w:ascii="宋体" w:hAnsi="宋体" w:cs="仿宋"/>
          <w:sz w:val="28"/>
          <w:szCs w:val="28"/>
          <w:highlight w:val="none"/>
          <w:lang w:val="zh-CN" w:eastAsia="zh-CN"/>
        </w:rPr>
        <w:t>采购活动中落实有关党风廉政建设责任和遵守廉洁从业规定情况</w:t>
      </w:r>
      <w:r>
        <w:rPr>
          <w:rFonts w:hint="eastAsia" w:ascii="宋体" w:hAnsi="宋体" w:cs="仿宋"/>
          <w:sz w:val="28"/>
          <w:szCs w:val="28"/>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（8）采购验收手续是否完整、真实；</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（9）采购流程是否遵守国家法规及公司的采购管理制度；</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（10）采购台账日常管理情况，采购文件管理、归档情况。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2.合同管理审计</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（1）合同管理制度和标准化流程，以及合同管理系统的建立情况，制度设计的合理性；</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（2）合同审批、签订流程执行情况，关注合同审批、签订流程是否符合相关规定，手续是否完整；</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（3）合同履约过程管理情况，实际履约效果与采购需求的一致性，关注合同发生变更是否符合原合同条款或法定条件，依据是否充分，相关审批手续是否完整；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default" w:ascii="宋体" w:hAnsi="宋体" w:eastAsia="宋体" w:cs="仿宋"/>
          <w:kern w:val="2"/>
          <w:sz w:val="28"/>
          <w:szCs w:val="28"/>
          <w:highlight w:val="none"/>
          <w:lang w:val="en-US" w:eastAsia="zh-CN" w:bidi="ar-SA"/>
        </w:rPr>
      </w:pPr>
      <w:r>
        <w:rPr>
          <w:rFonts w:hint="eastAsia" w:ascii="宋体" w:hAnsi="宋体" w:eastAsia="宋体" w:cs="仿宋"/>
          <w:kern w:val="2"/>
          <w:sz w:val="28"/>
          <w:szCs w:val="28"/>
          <w:highlight w:val="none"/>
          <w:lang w:val="en-US" w:eastAsia="zh-CN" w:bidi="ar-SA"/>
        </w:rPr>
        <w:t>（4）公司对合同的履行情况是否进行跟踪管理，是否存在超付合同支付的违规行为；</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default" w:ascii="宋体" w:hAnsi="宋体" w:eastAsia="宋体" w:cs="仿宋"/>
          <w:kern w:val="2"/>
          <w:sz w:val="28"/>
          <w:szCs w:val="28"/>
          <w:highlight w:val="none"/>
          <w:lang w:val="en-US" w:eastAsia="zh-CN" w:bidi="ar-SA"/>
        </w:rPr>
      </w:pPr>
      <w:r>
        <w:rPr>
          <w:rFonts w:hint="eastAsia" w:ascii="宋体" w:hAnsi="宋体" w:eastAsia="宋体" w:cs="仿宋"/>
          <w:kern w:val="2"/>
          <w:sz w:val="28"/>
          <w:szCs w:val="28"/>
          <w:highlight w:val="none"/>
          <w:lang w:val="en-US" w:eastAsia="zh-CN" w:bidi="ar-SA"/>
        </w:rPr>
        <w:t>（5）合同变更审批、结算、付款、索赔情况，关注是否存在支付风险；</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仿宋"/>
          <w:kern w:val="2"/>
          <w:sz w:val="28"/>
          <w:szCs w:val="28"/>
          <w:highlight w:val="none"/>
          <w:lang w:val="en-US" w:eastAsia="zh-CN" w:bidi="ar-SA"/>
        </w:rPr>
      </w:pPr>
      <w:r>
        <w:rPr>
          <w:rFonts w:hint="eastAsia" w:ascii="宋体" w:hAnsi="宋体" w:eastAsia="宋体" w:cs="仿宋"/>
          <w:kern w:val="2"/>
          <w:sz w:val="28"/>
          <w:szCs w:val="28"/>
          <w:highlight w:val="none"/>
          <w:lang w:val="en-US" w:eastAsia="zh-CN" w:bidi="ar-SA"/>
        </w:rPr>
        <w:t>（6）合同日常管理情况，合同台账、合同文本、结算资料等归档与保管情况，公司合同管理信息化应用情况。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default" w:ascii="宋体" w:hAnsi="宋体" w:cs="仿宋"/>
          <w:sz w:val="28"/>
          <w:szCs w:val="28"/>
          <w:highlight w:val="none"/>
          <w:lang w:val="en-US" w:eastAsia="zh-CN"/>
        </w:rPr>
      </w:pPr>
      <w:r>
        <w:rPr>
          <w:rFonts w:hint="eastAsia" w:ascii="宋体" w:hAnsi="宋体" w:cs="仿宋"/>
          <w:sz w:val="28"/>
          <w:szCs w:val="28"/>
          <w:highlight w:val="none"/>
          <w:lang w:val="en-US" w:eastAsia="zh-CN"/>
        </w:rPr>
        <w:t>3.工程签证管理审计</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（1）工程项目签证管理情况，关注工程签证内容的合规性、真实性、合理性，签证内容是否与实际发生相符，签证的计量计价是否与合同有关条款约定相符，是否及时办理签证（含减项签证办理）；</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（2）工程项目现场签证审批情况，关注是否已按照制度规定执行审批流程，工程签证过程的监管程序与各方审批程序是否完善，是否存在越权审批；</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（3）工程项目现场签证台账管理情况，签证资料管理、归档情况，关注工程管理部门对签证实施进度管控情况。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4.以往审计发现问题整改的情况。</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重点关注涉及违规招采、违规签证问题的追责问责情况，整改完成效果。</w:t>
      </w:r>
    </w:p>
    <w:p>
      <w:pPr>
        <w:keepNext w:val="0"/>
        <w:keepLines w:val="0"/>
        <w:pageBreakBefore w:val="0"/>
        <w:widowControl/>
        <w:kinsoku/>
        <w:wordWrap/>
        <w:overflowPunct/>
        <w:topLinePunct w:val="0"/>
        <w:autoSpaceDE/>
        <w:autoSpaceDN/>
        <w:bidi w:val="0"/>
        <w:adjustRightInd/>
        <w:snapToGrid/>
        <w:spacing w:line="540" w:lineRule="exact"/>
        <w:ind w:firstLine="560" w:firstLineChars="200"/>
        <w:jc w:val="left"/>
        <w:textAlignment w:val="auto"/>
        <w:rPr>
          <w:rFonts w:hint="eastAsia" w:ascii="宋体" w:hAnsi="宋体" w:cs="仿宋"/>
          <w:sz w:val="28"/>
          <w:szCs w:val="28"/>
          <w:highlight w:val="none"/>
          <w:lang w:val="en-US" w:eastAsia="zh-CN"/>
        </w:rPr>
      </w:pPr>
      <w:r>
        <w:rPr>
          <w:rFonts w:hint="eastAsia" w:ascii="宋体" w:hAnsi="宋体" w:cs="仿宋"/>
          <w:sz w:val="28"/>
          <w:szCs w:val="28"/>
          <w:highlight w:val="none"/>
          <w:lang w:val="en-US" w:eastAsia="zh-CN"/>
        </w:rPr>
        <w:t>5.其他需要审计的内容。</w:t>
      </w:r>
    </w:p>
    <w:p>
      <w:pPr>
        <w:widowControl/>
        <w:spacing w:line="540" w:lineRule="exact"/>
        <w:ind w:firstLine="420" w:firstLineChars="150"/>
        <w:jc w:val="left"/>
        <w:rPr>
          <w:rFonts w:hint="eastAsia" w:ascii="宋体" w:hAnsi="宋体"/>
          <w:sz w:val="28"/>
          <w:szCs w:val="28"/>
          <w:highlight w:val="none"/>
        </w:rPr>
      </w:pPr>
      <w:r>
        <w:rPr>
          <w:rFonts w:hint="eastAsia" w:ascii="宋体" w:hAnsi="宋体"/>
          <w:sz w:val="28"/>
          <w:szCs w:val="28"/>
          <w:highlight w:val="none"/>
        </w:rPr>
        <w:t>（二）</w:t>
      </w:r>
      <w:r>
        <w:rPr>
          <w:rFonts w:hint="eastAsia" w:ascii="宋体" w:hAnsi="宋体"/>
          <w:sz w:val="28"/>
          <w:szCs w:val="28"/>
          <w:highlight w:val="none"/>
          <w:lang w:val="en-US" w:eastAsia="zh-CN"/>
        </w:rPr>
        <w:t>审计</w:t>
      </w:r>
      <w:r>
        <w:rPr>
          <w:rFonts w:hint="eastAsia" w:ascii="宋体" w:hAnsi="宋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0" w:firstLineChars="200"/>
        <w:jc w:val="both"/>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对象：</w:t>
      </w:r>
      <w:r>
        <w:rPr>
          <w:rFonts w:hint="eastAsia" w:ascii="宋体" w:hAnsi="宋体" w:eastAsia="宋体" w:cs="宋体"/>
          <w:sz w:val="28"/>
          <w:szCs w:val="28"/>
          <w:highlight w:val="none"/>
          <w:lang w:val="en-US" w:eastAsia="zh-CN"/>
        </w:rPr>
        <w:t>南宁</w:t>
      </w:r>
      <w:r>
        <w:rPr>
          <w:rFonts w:hint="eastAsia" w:ascii="宋体" w:hAnsi="宋体" w:eastAsia="宋体" w:cs="宋体"/>
          <w:sz w:val="28"/>
          <w:szCs w:val="28"/>
          <w:highlight w:val="none"/>
        </w:rPr>
        <w:t>轨道</w:t>
      </w:r>
      <w:r>
        <w:rPr>
          <w:rFonts w:hint="eastAsia" w:ascii="宋体" w:hAnsi="宋体" w:cs="宋体"/>
          <w:sz w:val="28"/>
          <w:szCs w:val="28"/>
          <w:highlight w:val="none"/>
          <w:lang w:val="en-US" w:eastAsia="zh-CN"/>
        </w:rPr>
        <w:t>交通建设有限</w:t>
      </w:r>
      <w:r>
        <w:rPr>
          <w:rFonts w:hint="eastAsia" w:ascii="宋体" w:hAnsi="宋体" w:eastAsia="宋体" w:cs="宋体"/>
          <w:sz w:val="28"/>
          <w:szCs w:val="28"/>
          <w:highlight w:val="none"/>
        </w:rPr>
        <w:t>公司</w:t>
      </w:r>
      <w:r>
        <w:rPr>
          <w:rFonts w:hint="eastAsia" w:ascii="宋体" w:hAnsi="宋体" w:cs="宋体"/>
          <w:sz w:val="28"/>
          <w:szCs w:val="28"/>
          <w:highlight w:val="none"/>
          <w:lang w:val="en-US" w:eastAsia="zh-CN"/>
        </w:rPr>
        <w:t>4号线、5号线采购管理、合同管理（含工程签证管理）情况的</w:t>
      </w:r>
      <w:r>
        <w:rPr>
          <w:rFonts w:hint="eastAsia" w:ascii="宋体" w:hAnsi="宋体" w:cs="宋体"/>
          <w:sz w:val="28"/>
          <w:szCs w:val="28"/>
          <w:highlight w:val="none"/>
          <w:lang w:val="zh-CN" w:eastAsia="zh-CN"/>
        </w:rPr>
        <w:t>合法合规性、</w:t>
      </w:r>
      <w:r>
        <w:rPr>
          <w:rFonts w:hint="eastAsia" w:ascii="宋体" w:hAnsi="宋体" w:cs="宋体"/>
          <w:sz w:val="28"/>
          <w:szCs w:val="28"/>
          <w:highlight w:val="none"/>
          <w:lang w:val="en-US" w:eastAsia="zh-CN"/>
        </w:rPr>
        <w:t>有效性、</w:t>
      </w:r>
      <w:r>
        <w:rPr>
          <w:rFonts w:hint="eastAsia" w:ascii="宋体" w:hAnsi="宋体" w:cs="宋体"/>
          <w:sz w:val="28"/>
          <w:szCs w:val="28"/>
          <w:highlight w:val="none"/>
          <w:lang w:val="zh-CN" w:eastAsia="zh-CN"/>
        </w:rPr>
        <w:t>真实性和完整性。</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60" w:firstLineChars="200"/>
        <w:jc w:val="both"/>
        <w:textAlignment w:val="auto"/>
        <w:rPr>
          <w:rFonts w:hint="eastAsia" w:ascii="宋体" w:hAnsi="宋体" w:eastAsia="宋体" w:cs="宋体"/>
          <w:sz w:val="28"/>
          <w:szCs w:val="28"/>
          <w:lang w:val="zh-CN"/>
        </w:rPr>
      </w:pPr>
      <w:r>
        <w:rPr>
          <w:rFonts w:hint="eastAsia" w:ascii="宋体" w:hAnsi="宋体" w:eastAsia="宋体" w:cs="宋体"/>
          <w:sz w:val="28"/>
          <w:szCs w:val="28"/>
          <w:highlight w:val="none"/>
          <w:lang w:val="en-US" w:eastAsia="zh-CN"/>
        </w:rPr>
        <w:t>审计</w:t>
      </w:r>
      <w:r>
        <w:rPr>
          <w:rFonts w:hint="eastAsia" w:ascii="宋体" w:hAnsi="宋体" w:eastAsia="宋体" w:cs="宋体"/>
          <w:sz w:val="28"/>
          <w:szCs w:val="28"/>
          <w:highlight w:val="none"/>
        </w:rPr>
        <w:t>范围：</w:t>
      </w:r>
      <w:r>
        <w:rPr>
          <w:rFonts w:hint="eastAsia" w:ascii="宋体" w:hAnsi="宋体" w:eastAsia="宋体" w:cs="宋体"/>
          <w:sz w:val="28"/>
          <w:szCs w:val="28"/>
          <w:lang w:val="zh-CN"/>
        </w:rPr>
        <w:t>2020年</w:t>
      </w:r>
      <w:r>
        <w:rPr>
          <w:rFonts w:hint="eastAsia" w:ascii="宋体" w:hAnsi="宋体" w:eastAsia="宋体" w:cs="宋体"/>
          <w:sz w:val="28"/>
          <w:szCs w:val="28"/>
          <w:lang w:val="en-US" w:eastAsia="zh-CN"/>
        </w:rPr>
        <w:t>1月</w:t>
      </w:r>
      <w:r>
        <w:rPr>
          <w:rFonts w:hint="eastAsia" w:ascii="宋体" w:hAnsi="宋体" w:eastAsia="宋体" w:cs="宋体"/>
          <w:sz w:val="28"/>
          <w:szCs w:val="28"/>
          <w:lang w:val="zh-CN"/>
        </w:rPr>
        <w:t>至2022年</w:t>
      </w:r>
      <w:r>
        <w:rPr>
          <w:rFonts w:hint="eastAsia" w:ascii="宋体" w:hAnsi="宋体" w:eastAsia="宋体" w:cs="宋体"/>
          <w:sz w:val="28"/>
          <w:szCs w:val="28"/>
          <w:lang w:val="en-US" w:eastAsia="zh-CN"/>
        </w:rPr>
        <w:t>12月</w:t>
      </w:r>
      <w:r>
        <w:rPr>
          <w:rFonts w:hint="eastAsia" w:ascii="宋体" w:hAnsi="宋体" w:eastAsia="宋体" w:cs="宋体"/>
          <w:sz w:val="28"/>
          <w:szCs w:val="28"/>
          <w:lang w:val="zh-CN"/>
        </w:rPr>
        <w:t>，必要时追溯到相关年度或延伸审计有关单位（</w:t>
      </w:r>
      <w:r>
        <w:rPr>
          <w:rFonts w:hint="eastAsia" w:ascii="宋体" w:hAnsi="宋体" w:eastAsia="宋体" w:cs="宋体"/>
          <w:sz w:val="28"/>
          <w:szCs w:val="28"/>
          <w:lang w:val="en-US" w:eastAsia="zh-CN"/>
        </w:rPr>
        <w:t>部门</w:t>
      </w:r>
      <w:r>
        <w:rPr>
          <w:rFonts w:hint="eastAsia" w:ascii="宋体" w:hAnsi="宋体" w:eastAsia="宋体" w:cs="宋体"/>
          <w:sz w:val="28"/>
          <w:szCs w:val="28"/>
          <w:lang w:val="zh-CN"/>
        </w:rPr>
        <w:t>）。</w:t>
      </w:r>
    </w:p>
    <w:p>
      <w:pPr>
        <w:spacing w:line="540" w:lineRule="exact"/>
        <w:ind w:firstLine="420" w:firstLineChars="150"/>
        <w:rPr>
          <w:rFonts w:ascii="宋体"/>
          <w:sz w:val="28"/>
          <w:szCs w:val="28"/>
          <w:highlight w:val="none"/>
        </w:rPr>
      </w:pPr>
      <w:r>
        <w:rPr>
          <w:rFonts w:hint="eastAsia" w:ascii="宋体" w:hAnsi="宋体"/>
          <w:sz w:val="28"/>
          <w:szCs w:val="28"/>
          <w:highlight w:val="none"/>
        </w:rPr>
        <w:t>（三）</w:t>
      </w:r>
      <w:r>
        <w:rPr>
          <w:rFonts w:hint="eastAsia" w:ascii="宋体" w:hAnsi="宋体"/>
          <w:sz w:val="28"/>
          <w:szCs w:val="28"/>
          <w:highlight w:val="none"/>
          <w:lang w:val="en-US" w:eastAsia="zh-CN"/>
        </w:rPr>
        <w:t>审计</w:t>
      </w:r>
      <w:r>
        <w:rPr>
          <w:rFonts w:hint="eastAsia" w:ascii="宋体" w:hAnsi="宋体"/>
          <w:sz w:val="28"/>
          <w:szCs w:val="28"/>
          <w:highlight w:val="none"/>
        </w:rPr>
        <w:t>要求及成果</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根据《中华人民共和国招标投标法》《中华人民共和国招标投标法实施条例》《中华人民共和国民法典》及其他相关法律法规，以及南宁轨道交通集团有限责任公司、南宁轨道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公司招标采购、合同管理</w:t>
      </w:r>
      <w:r>
        <w:rPr>
          <w:rFonts w:hint="eastAsia" w:ascii="宋体" w:hAnsi="宋体"/>
          <w:sz w:val="28"/>
          <w:szCs w:val="28"/>
          <w:highlight w:val="none"/>
          <w:lang w:eastAsia="zh-CN"/>
        </w:rPr>
        <w:t>、</w:t>
      </w:r>
      <w:r>
        <w:rPr>
          <w:rFonts w:hint="eastAsia" w:ascii="宋体" w:hAnsi="宋体"/>
          <w:sz w:val="28"/>
          <w:szCs w:val="28"/>
          <w:highlight w:val="none"/>
          <w:lang w:val="en-US" w:eastAsia="zh-CN"/>
        </w:rPr>
        <w:t>工程施工</w:t>
      </w:r>
      <w:r>
        <w:rPr>
          <w:rFonts w:hint="eastAsia" w:ascii="宋体" w:hAnsi="宋体"/>
          <w:sz w:val="28"/>
          <w:szCs w:val="28"/>
          <w:highlight w:val="none"/>
        </w:rPr>
        <w:t>等制度开展工作，对南宁轨道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公司2020年至2022年采购</w:t>
      </w:r>
      <w:r>
        <w:rPr>
          <w:rFonts w:hint="eastAsia" w:ascii="宋体" w:hAnsi="宋体"/>
          <w:sz w:val="28"/>
          <w:szCs w:val="28"/>
          <w:highlight w:val="none"/>
          <w:lang w:eastAsia="zh-CN"/>
        </w:rPr>
        <w:t>、</w:t>
      </w:r>
      <w:r>
        <w:rPr>
          <w:rFonts w:hint="eastAsia" w:ascii="宋体" w:hAnsi="宋体"/>
          <w:sz w:val="28"/>
          <w:szCs w:val="28"/>
          <w:highlight w:val="none"/>
        </w:rPr>
        <w:t>合同管理</w:t>
      </w:r>
      <w:r>
        <w:rPr>
          <w:rFonts w:hint="eastAsia" w:ascii="宋体" w:hAnsi="宋体"/>
          <w:sz w:val="28"/>
          <w:szCs w:val="28"/>
          <w:highlight w:val="none"/>
          <w:lang w:eastAsia="zh-CN"/>
        </w:rPr>
        <w:t>、</w:t>
      </w:r>
      <w:r>
        <w:rPr>
          <w:rFonts w:hint="eastAsia" w:ascii="宋体" w:hAnsi="宋体"/>
          <w:sz w:val="28"/>
          <w:szCs w:val="28"/>
          <w:highlight w:val="none"/>
          <w:lang w:val="en-US" w:eastAsia="zh-CN"/>
        </w:rPr>
        <w:t>工程签证管理</w:t>
      </w:r>
      <w:r>
        <w:rPr>
          <w:rFonts w:hint="eastAsia" w:ascii="宋体" w:hAnsi="宋体"/>
          <w:sz w:val="28"/>
          <w:szCs w:val="28"/>
          <w:highlight w:val="none"/>
        </w:rPr>
        <w:t>情况作出客观公正、实事求是的评价，出具南宁轨道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公司2020年至2022年采购及合同管理专项审计报告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（一）乙方应按照《中华人民共和国审计法》《中华人民共和国注册会计师法》《中国注册会计师执业准则》等法律法规的要求，对被</w:t>
      </w:r>
      <w:r>
        <w:rPr>
          <w:rFonts w:hint="eastAsia" w:ascii="宋体" w:hAnsi="宋体"/>
          <w:sz w:val="28"/>
          <w:szCs w:val="28"/>
          <w:highlight w:val="none"/>
          <w:lang w:val="en-US" w:eastAsia="zh-CN"/>
        </w:rPr>
        <w:t>审计</w:t>
      </w:r>
      <w:r>
        <w:rPr>
          <w:rFonts w:hint="eastAsia" w:ascii="宋体" w:hAnsi="宋体"/>
          <w:sz w:val="28"/>
          <w:szCs w:val="28"/>
          <w:highlight w:val="none"/>
        </w:rPr>
        <w:t>单位提供的</w:t>
      </w:r>
      <w:r>
        <w:rPr>
          <w:rFonts w:hint="eastAsia" w:ascii="宋体" w:hAnsi="宋体"/>
          <w:sz w:val="28"/>
          <w:szCs w:val="28"/>
          <w:highlight w:val="none"/>
          <w:lang w:val="en-US" w:eastAsia="zh-CN"/>
        </w:rPr>
        <w:t>会计报表</w:t>
      </w:r>
      <w:r>
        <w:rPr>
          <w:rFonts w:hint="eastAsia" w:ascii="宋体" w:hAnsi="宋体"/>
          <w:sz w:val="28"/>
          <w:szCs w:val="28"/>
          <w:highlight w:val="none"/>
        </w:rPr>
        <w:t>及其他有关资料，实施必要的</w:t>
      </w:r>
      <w:r>
        <w:rPr>
          <w:rFonts w:hint="eastAsia" w:ascii="宋体" w:hAnsi="宋体"/>
          <w:sz w:val="28"/>
          <w:szCs w:val="28"/>
          <w:highlight w:val="none"/>
          <w:lang w:val="en-US" w:eastAsia="zh-CN"/>
        </w:rPr>
        <w:t>审计</w:t>
      </w:r>
      <w:r>
        <w:rPr>
          <w:rFonts w:hint="eastAsia" w:ascii="宋体" w:hAnsi="宋体"/>
          <w:sz w:val="28"/>
          <w:szCs w:val="28"/>
          <w:highlight w:val="none"/>
        </w:rPr>
        <w:t>工作程序，在约定时间内出具南宁轨道</w:t>
      </w:r>
      <w:r>
        <w:rPr>
          <w:rFonts w:hint="eastAsia" w:ascii="宋体" w:hAnsi="宋体"/>
          <w:sz w:val="28"/>
          <w:szCs w:val="28"/>
          <w:highlight w:val="none"/>
          <w:lang w:val="en-US" w:eastAsia="zh-CN"/>
        </w:rPr>
        <w:t>交通建设有限</w:t>
      </w:r>
      <w:r>
        <w:rPr>
          <w:rFonts w:hint="eastAsia" w:ascii="宋体" w:hAnsi="宋体"/>
          <w:sz w:val="28"/>
          <w:szCs w:val="28"/>
          <w:highlight w:val="none"/>
        </w:rPr>
        <w:t>公司2020年至2022年采购及合同管理专项审计报告</w:t>
      </w:r>
      <w:r>
        <w:rPr>
          <w:rFonts w:hint="eastAsia" w:ascii="宋体" w:hAnsi="宋体"/>
          <w:sz w:val="28"/>
          <w:szCs w:val="28"/>
          <w:highlight w:val="none"/>
          <w:lang w:val="en-US" w:eastAsia="zh-CN"/>
        </w:rPr>
        <w:t>及管理建议书各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eastAsia="zh-CN"/>
        </w:rPr>
        <w:t>及</w:t>
      </w:r>
      <w:r>
        <w:rPr>
          <w:rFonts w:hint="eastAsia" w:ascii="宋体" w:hAnsi="宋体"/>
          <w:sz w:val="28"/>
          <w:szCs w:val="28"/>
          <w:highlight w:val="none"/>
          <w:lang w:val="en-US" w:eastAsia="zh-CN"/>
        </w:rPr>
        <w:t>管理建议书</w:t>
      </w:r>
      <w:r>
        <w:rPr>
          <w:rFonts w:hint="eastAsia" w:ascii="宋体" w:hAnsi="宋体"/>
          <w:sz w:val="28"/>
          <w:szCs w:val="28"/>
          <w:highlight w:val="none"/>
        </w:rPr>
        <w:t>格式和内容要符合相关规定要求；乙方应当保证</w:t>
      </w:r>
      <w:r>
        <w:rPr>
          <w:rFonts w:hint="eastAsia" w:ascii="宋体" w:hAnsi="宋体"/>
          <w:sz w:val="28"/>
          <w:szCs w:val="28"/>
          <w:highlight w:val="none"/>
          <w:lang w:val="en-US" w:eastAsia="zh-CN"/>
        </w:rPr>
        <w:t>审计</w:t>
      </w:r>
      <w:r>
        <w:rPr>
          <w:rFonts w:hint="eastAsia" w:ascii="宋体" w:hAnsi="宋体"/>
          <w:sz w:val="28"/>
          <w:szCs w:val="28"/>
          <w:highlight w:val="none"/>
        </w:rPr>
        <w:t>报告的真实性、合法性、准确性，由于</w:t>
      </w:r>
      <w:r>
        <w:rPr>
          <w:rFonts w:hint="eastAsia" w:ascii="宋体" w:hAnsi="宋体"/>
          <w:sz w:val="28"/>
          <w:szCs w:val="28"/>
          <w:highlight w:val="none"/>
          <w:lang w:val="en-US" w:eastAsia="zh-CN"/>
        </w:rPr>
        <w:t>审计</w:t>
      </w:r>
      <w:r>
        <w:rPr>
          <w:rFonts w:hint="eastAsia" w:ascii="宋体" w:hAnsi="宋体"/>
          <w:sz w:val="28"/>
          <w:szCs w:val="28"/>
          <w:highlight w:val="none"/>
        </w:rPr>
        <w:t>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w:t>
      </w:r>
      <w:r>
        <w:rPr>
          <w:rFonts w:hint="eastAsia" w:ascii="宋体" w:hAnsi="宋体"/>
          <w:sz w:val="28"/>
          <w:szCs w:val="28"/>
          <w:highlight w:val="none"/>
          <w:lang w:val="en-US" w:eastAsia="zh-CN"/>
        </w:rPr>
        <w:t>审计</w:t>
      </w:r>
      <w:r>
        <w:rPr>
          <w:rFonts w:hint="eastAsia" w:ascii="宋体" w:hAnsi="宋体"/>
          <w:sz w:val="28"/>
          <w:szCs w:val="28"/>
          <w:highlight w:val="none"/>
        </w:rPr>
        <w:t>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w:t>
      </w:r>
      <w:r>
        <w:rPr>
          <w:rFonts w:hint="eastAsia" w:ascii="宋体" w:hAnsi="宋体"/>
          <w:sz w:val="28"/>
          <w:szCs w:val="28"/>
          <w:highlight w:val="none"/>
          <w:lang w:val="en-US" w:eastAsia="zh-CN"/>
        </w:rPr>
        <w:t>审计</w:t>
      </w:r>
      <w:r>
        <w:rPr>
          <w:rFonts w:hint="eastAsia" w:ascii="宋体" w:hAnsi="宋体"/>
          <w:sz w:val="28"/>
          <w:szCs w:val="28"/>
          <w:highlight w:val="none"/>
        </w:rPr>
        <w:t>人员负责本次</w:t>
      </w:r>
      <w:r>
        <w:rPr>
          <w:rFonts w:hint="eastAsia" w:ascii="宋体" w:hAnsi="宋体"/>
          <w:sz w:val="28"/>
          <w:szCs w:val="28"/>
          <w:highlight w:val="none"/>
          <w:lang w:val="en-US" w:eastAsia="zh-CN"/>
        </w:rPr>
        <w:t>审计</w:t>
      </w:r>
      <w:r>
        <w:rPr>
          <w:rFonts w:hint="eastAsia" w:ascii="宋体" w:hAnsi="宋体"/>
          <w:sz w:val="28"/>
          <w:szCs w:val="28"/>
          <w:highlight w:val="none"/>
        </w:rPr>
        <w:t>业务，明确</w:t>
      </w:r>
      <w:r>
        <w:rPr>
          <w:rFonts w:hint="eastAsia" w:ascii="宋体" w:hAnsi="宋体"/>
          <w:sz w:val="28"/>
          <w:szCs w:val="28"/>
          <w:highlight w:val="none"/>
          <w:lang w:val="en-US" w:eastAsia="zh-CN"/>
        </w:rPr>
        <w:t>审计</w:t>
      </w:r>
      <w:r>
        <w:rPr>
          <w:rFonts w:hint="eastAsia" w:ascii="宋体" w:hAnsi="宋体"/>
          <w:sz w:val="28"/>
          <w:szCs w:val="28"/>
          <w:highlight w:val="none"/>
        </w:rPr>
        <w:t>人员名单，并将</w:t>
      </w:r>
      <w:r>
        <w:rPr>
          <w:rFonts w:hint="eastAsia" w:ascii="宋体" w:hAnsi="宋体"/>
          <w:sz w:val="28"/>
          <w:szCs w:val="28"/>
          <w:highlight w:val="none"/>
          <w:lang w:val="en-US" w:eastAsia="zh-CN"/>
        </w:rPr>
        <w:t>审计</w:t>
      </w:r>
      <w:r>
        <w:rPr>
          <w:rFonts w:hint="eastAsia" w:ascii="宋体" w:hAnsi="宋体"/>
          <w:sz w:val="28"/>
          <w:szCs w:val="28"/>
          <w:highlight w:val="none"/>
        </w:rPr>
        <w:t>人员名单及人员资质等资料作为报告附件，确保按约定时间和质量完成</w:t>
      </w:r>
      <w:r>
        <w:rPr>
          <w:rFonts w:hint="eastAsia" w:ascii="宋体" w:hAnsi="宋体"/>
          <w:sz w:val="28"/>
          <w:szCs w:val="28"/>
          <w:highlight w:val="none"/>
          <w:lang w:val="en-US" w:eastAsia="zh-CN"/>
        </w:rPr>
        <w:t>审计</w:t>
      </w:r>
      <w:r>
        <w:rPr>
          <w:rFonts w:hint="eastAsia" w:ascii="宋体" w:hAnsi="宋体"/>
          <w:sz w:val="28"/>
          <w:szCs w:val="28"/>
          <w:highlight w:val="none"/>
        </w:rPr>
        <w:t>工作并出具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w:t>
      </w:r>
      <w:r>
        <w:rPr>
          <w:rFonts w:hint="eastAsia" w:ascii="宋体" w:hAnsi="宋体"/>
          <w:sz w:val="28"/>
          <w:szCs w:val="28"/>
          <w:highlight w:val="none"/>
          <w:lang w:val="en-US" w:eastAsia="zh-CN"/>
        </w:rPr>
        <w:t>审计</w:t>
      </w:r>
      <w:r>
        <w:rPr>
          <w:rFonts w:hint="eastAsia" w:ascii="宋体" w:hAnsi="宋体"/>
          <w:sz w:val="28"/>
          <w:szCs w:val="28"/>
          <w:highlight w:val="none"/>
        </w:rPr>
        <w:t>过程中乙方</w:t>
      </w:r>
      <w:r>
        <w:rPr>
          <w:rFonts w:hint="eastAsia" w:ascii="宋体" w:hAnsi="宋体"/>
          <w:sz w:val="28"/>
          <w:szCs w:val="28"/>
          <w:highlight w:val="none"/>
          <w:lang w:val="en-US" w:eastAsia="zh-CN"/>
        </w:rPr>
        <w:t>根据甲方要求，</w:t>
      </w:r>
      <w:r>
        <w:rPr>
          <w:rFonts w:hint="eastAsia" w:ascii="宋体" w:hAnsi="宋体"/>
          <w:sz w:val="28"/>
          <w:szCs w:val="28"/>
          <w:highlight w:val="none"/>
        </w:rPr>
        <w:t>参与召开不少于以下会议，</w:t>
      </w:r>
      <w:r>
        <w:rPr>
          <w:rFonts w:hint="eastAsia" w:ascii="宋体" w:hAnsi="宋体"/>
          <w:sz w:val="28"/>
          <w:szCs w:val="28"/>
          <w:highlight w:val="none"/>
          <w:lang w:val="en-US" w:eastAsia="zh-CN"/>
        </w:rPr>
        <w:t>审</w:t>
      </w:r>
      <w:r>
        <w:rPr>
          <w:rFonts w:hint="eastAsia" w:ascii="宋体" w:hAnsi="宋体"/>
          <w:sz w:val="28"/>
          <w:szCs w:val="28"/>
          <w:highlight w:val="none"/>
        </w:rPr>
        <w:t>前沟通会议、</w:t>
      </w:r>
      <w:r>
        <w:rPr>
          <w:rFonts w:hint="eastAsia" w:ascii="宋体" w:hAnsi="宋体"/>
          <w:sz w:val="28"/>
          <w:szCs w:val="28"/>
          <w:highlight w:val="none"/>
          <w:lang w:val="en-US" w:eastAsia="zh-CN"/>
        </w:rPr>
        <w:t>审计进点会议、审</w:t>
      </w:r>
      <w:r>
        <w:rPr>
          <w:rFonts w:hint="eastAsia" w:ascii="宋体" w:hAnsi="宋体"/>
          <w:sz w:val="28"/>
          <w:szCs w:val="28"/>
          <w:highlight w:val="none"/>
        </w:rPr>
        <w:t>中沟通会议、</w:t>
      </w:r>
      <w:r>
        <w:rPr>
          <w:rFonts w:hint="eastAsia" w:ascii="宋体" w:hAnsi="宋体"/>
          <w:sz w:val="28"/>
          <w:szCs w:val="28"/>
          <w:highlight w:val="none"/>
          <w:lang w:val="en-US" w:eastAsia="zh-CN"/>
        </w:rPr>
        <w:t>审计</w:t>
      </w:r>
      <w:r>
        <w:rPr>
          <w:rFonts w:hint="eastAsia" w:ascii="宋体" w:hAnsi="宋体"/>
          <w:sz w:val="28"/>
          <w:szCs w:val="28"/>
          <w:highlight w:val="none"/>
        </w:rPr>
        <w:t>撤点会议、</w:t>
      </w:r>
      <w:r>
        <w:rPr>
          <w:rFonts w:hint="eastAsia" w:ascii="宋体" w:hAnsi="宋体"/>
          <w:sz w:val="28"/>
          <w:szCs w:val="28"/>
          <w:highlight w:val="none"/>
          <w:lang w:val="en-US" w:eastAsia="zh-CN"/>
        </w:rPr>
        <w:t>审计</w:t>
      </w:r>
      <w:r>
        <w:rPr>
          <w:rFonts w:hint="eastAsia" w:ascii="宋体" w:hAnsi="宋体"/>
          <w:sz w:val="28"/>
          <w:szCs w:val="28"/>
          <w:highlight w:val="none"/>
        </w:rPr>
        <w:t>征求意见沟通会。</w:t>
      </w:r>
    </w:p>
    <w:p>
      <w:pPr>
        <w:spacing w:line="540" w:lineRule="exact"/>
        <w:ind w:firstLine="420" w:firstLineChars="150"/>
        <w:rPr>
          <w:rFonts w:hint="eastAsia" w:ascii="宋体" w:hAnsi="宋体"/>
          <w:sz w:val="28"/>
          <w:szCs w:val="28"/>
          <w:highlight w:val="none"/>
        </w:rPr>
      </w:pPr>
      <w:r>
        <w:rPr>
          <w:rFonts w:hint="eastAsia" w:ascii="宋体" w:hAnsi="宋体"/>
          <w:sz w:val="28"/>
          <w:szCs w:val="28"/>
          <w:highlight w:val="none"/>
        </w:rPr>
        <w:t>（六）正式审计报告出具前，乙方向甲方提供包括但不限于完整的审计工作底稿、审计取证单等作为审计档案。</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七</w:t>
      </w:r>
      <w:r>
        <w:rPr>
          <w:rFonts w:hint="eastAsia" w:ascii="宋体" w:hAnsi="宋体"/>
          <w:sz w:val="28"/>
          <w:szCs w:val="28"/>
          <w:highlight w:val="none"/>
        </w:rPr>
        <w:t>）如因乙方原因导致出具的</w:t>
      </w:r>
      <w:r>
        <w:rPr>
          <w:rFonts w:hint="eastAsia" w:ascii="宋体" w:hAnsi="宋体"/>
          <w:sz w:val="28"/>
          <w:szCs w:val="28"/>
          <w:highlight w:val="none"/>
          <w:lang w:val="en-US" w:eastAsia="zh-CN"/>
        </w:rPr>
        <w:t>审计</w:t>
      </w:r>
      <w:r>
        <w:rPr>
          <w:rFonts w:hint="eastAsia" w:ascii="宋体" w:hAnsi="宋体"/>
          <w:sz w:val="28"/>
          <w:szCs w:val="28"/>
          <w:highlight w:val="none"/>
        </w:rPr>
        <w:t>报告不合格的，乙方应当负责修正直至合格为止，由此导致</w:t>
      </w:r>
      <w:r>
        <w:rPr>
          <w:rFonts w:hint="eastAsia" w:ascii="宋体" w:hAnsi="宋体"/>
          <w:sz w:val="28"/>
          <w:szCs w:val="28"/>
          <w:highlight w:val="none"/>
          <w:lang w:val="en-US" w:eastAsia="zh-CN"/>
        </w:rPr>
        <w:t>审计</w:t>
      </w:r>
      <w:r>
        <w:rPr>
          <w:rFonts w:hint="eastAsia" w:ascii="宋体" w:hAnsi="宋体"/>
          <w:sz w:val="28"/>
          <w:szCs w:val="28"/>
          <w:highlight w:val="none"/>
        </w:rPr>
        <w:t>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w:t>
      </w:r>
      <w:r>
        <w:rPr>
          <w:rFonts w:hint="eastAsia" w:ascii="宋体" w:hAnsi="宋体"/>
          <w:sz w:val="28"/>
          <w:szCs w:val="28"/>
          <w:highlight w:val="none"/>
          <w:lang w:eastAsia="zh-CN"/>
        </w:rPr>
        <w:t>会计凭证、</w:t>
      </w:r>
      <w:r>
        <w:rPr>
          <w:rFonts w:hint="eastAsia" w:ascii="宋体" w:hAnsi="宋体"/>
          <w:sz w:val="28"/>
          <w:szCs w:val="28"/>
          <w:highlight w:val="none"/>
          <w:lang w:val="en-US" w:eastAsia="zh-CN"/>
        </w:rPr>
        <w:t>账册、报表</w:t>
      </w:r>
      <w:r>
        <w:rPr>
          <w:rFonts w:hint="eastAsia" w:ascii="宋体" w:hAnsi="宋体"/>
          <w:sz w:val="28"/>
          <w:szCs w:val="28"/>
          <w:highlight w:val="none"/>
        </w:rPr>
        <w:t>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5</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w:t>
      </w:r>
      <w:r>
        <w:rPr>
          <w:rFonts w:hint="eastAsia" w:ascii="宋体" w:hAnsi="宋体"/>
          <w:sz w:val="28"/>
          <w:szCs w:val="28"/>
          <w:highlight w:val="none"/>
          <w:lang w:val="en-US" w:eastAsia="zh-CN"/>
        </w:rPr>
        <w:t>审计项目</w:t>
      </w:r>
      <w:r>
        <w:rPr>
          <w:rFonts w:hint="eastAsia" w:ascii="宋体" w:hAnsi="宋体"/>
          <w:sz w:val="28"/>
          <w:szCs w:val="28"/>
          <w:highlight w:val="none"/>
        </w:rPr>
        <w:t>组进场</w:t>
      </w:r>
      <w:r>
        <w:rPr>
          <w:rFonts w:hint="eastAsia" w:ascii="宋体" w:hAnsi="宋体"/>
          <w:sz w:val="28"/>
          <w:szCs w:val="28"/>
          <w:highlight w:val="none"/>
          <w:lang w:val="en-US" w:eastAsia="zh-CN"/>
        </w:rPr>
        <w:t>审计</w:t>
      </w:r>
      <w:r>
        <w:rPr>
          <w:rFonts w:hint="eastAsia" w:ascii="宋体" w:hAnsi="宋体"/>
          <w:sz w:val="28"/>
          <w:szCs w:val="28"/>
          <w:highlight w:val="none"/>
        </w:rPr>
        <w:t>之日起</w:t>
      </w:r>
      <w:r>
        <w:rPr>
          <w:rFonts w:ascii="宋体" w:hAnsi="宋体"/>
          <w:sz w:val="28"/>
          <w:szCs w:val="28"/>
          <w:highlight w:val="none"/>
          <w:u w:val="single"/>
        </w:rPr>
        <w:t xml:space="preserve"> </w:t>
      </w:r>
      <w:r>
        <w:rPr>
          <w:rFonts w:hint="eastAsia" w:ascii="宋体" w:hAnsi="宋体"/>
          <w:b/>
          <w:sz w:val="28"/>
          <w:szCs w:val="28"/>
          <w:highlight w:val="none"/>
          <w:u w:val="single"/>
          <w:lang w:val="en-US" w:eastAsia="zh-CN"/>
        </w:rPr>
        <w:t>30</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初稿，征询甲方的意见，并根据甲方的意见进行修订或补充，经甲方审批通过后</w:t>
      </w:r>
      <w:r>
        <w:rPr>
          <w:rFonts w:ascii="宋体" w:hAnsi="宋体"/>
          <w:sz w:val="28"/>
          <w:szCs w:val="28"/>
          <w:highlight w:val="none"/>
          <w:u w:val="single"/>
        </w:rPr>
        <w:t xml:space="preserve"> </w:t>
      </w:r>
      <w:r>
        <w:rPr>
          <w:rFonts w:hint="eastAsia" w:ascii="宋体" w:hAnsi="宋体"/>
          <w:b/>
          <w:bCs/>
          <w:sz w:val="28"/>
          <w:szCs w:val="28"/>
          <w:highlight w:val="none"/>
          <w:u w:val="single"/>
          <w:lang w:val="en-US" w:eastAsia="zh-CN"/>
        </w:rPr>
        <w:t>5</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内出具正式</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w:t>
      </w:r>
      <w:r>
        <w:rPr>
          <w:rFonts w:hint="eastAsia" w:ascii="宋体" w:hAnsi="宋体"/>
          <w:b/>
          <w:sz w:val="28"/>
          <w:szCs w:val="28"/>
          <w:highlight w:val="none"/>
          <w:lang w:val="en-US" w:eastAsia="zh-CN"/>
        </w:rPr>
        <w:t>审计</w:t>
      </w:r>
      <w:r>
        <w:rPr>
          <w:rFonts w:hint="eastAsia" w:ascii="宋体" w:hAnsi="宋体"/>
          <w:b/>
          <w:sz w:val="28"/>
          <w:szCs w:val="28"/>
          <w:highlight w:val="none"/>
        </w:rPr>
        <w:t>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w:t>
      </w:r>
      <w:r>
        <w:rPr>
          <w:rFonts w:hint="eastAsia" w:ascii="宋体" w:hAnsi="宋体"/>
          <w:sz w:val="28"/>
          <w:szCs w:val="28"/>
          <w:highlight w:val="none"/>
          <w:lang w:val="en-US" w:eastAsia="zh-CN"/>
        </w:rPr>
        <w:t>审计</w:t>
      </w:r>
      <w:r>
        <w:rPr>
          <w:rFonts w:hint="eastAsia" w:ascii="宋体" w:hAnsi="宋体"/>
          <w:sz w:val="28"/>
          <w:szCs w:val="28"/>
          <w:highlight w:val="none"/>
        </w:rPr>
        <w:t>业务的收费实行固定总价包干的原则，评价费用为人民币：不含税</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val="en-US" w:eastAsia="zh-CN"/>
        </w:rPr>
        <w:t>增值税税额</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rPr>
        <w:t>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w:t>
      </w:r>
      <w:r>
        <w:rPr>
          <w:rFonts w:hint="eastAsia" w:ascii="宋体" w:hAnsi="宋体"/>
          <w:sz w:val="28"/>
          <w:szCs w:val="28"/>
          <w:highlight w:val="none"/>
          <w:lang w:eastAsia="zh-CN"/>
        </w:rPr>
        <w:t>）</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w:t>
      </w:r>
      <w:r>
        <w:rPr>
          <w:rFonts w:hint="eastAsia" w:ascii="宋体" w:hAnsi="宋体"/>
          <w:sz w:val="28"/>
          <w:szCs w:val="28"/>
          <w:highlight w:val="none"/>
          <w:lang w:eastAsia="zh-CN"/>
        </w:rPr>
        <w:t>，</w:t>
      </w:r>
      <w:r>
        <w:rPr>
          <w:rFonts w:hint="eastAsia" w:ascii="宋体" w:hAnsi="宋体"/>
          <w:sz w:val="28"/>
          <w:szCs w:val="28"/>
          <w:highlight w:val="none"/>
          <w:lang w:val="en-US" w:eastAsia="zh-CN"/>
        </w:rPr>
        <w:t>合同不含税价格不因国家政策调整税率而调整。审计</w:t>
      </w:r>
      <w:r>
        <w:rPr>
          <w:rFonts w:hint="eastAsia" w:ascii="宋体" w:hAnsi="宋体"/>
          <w:sz w:val="28"/>
          <w:szCs w:val="28"/>
          <w:highlight w:val="none"/>
        </w:rPr>
        <w:t>费用由</w:t>
      </w:r>
      <w:r>
        <w:rPr>
          <w:rFonts w:hint="eastAsia" w:ascii="宋体" w:hAnsi="宋体"/>
          <w:sz w:val="28"/>
          <w:szCs w:val="28"/>
          <w:highlight w:val="none"/>
          <w:u w:val="single"/>
        </w:rPr>
        <w:t>甲方</w:t>
      </w:r>
      <w:r>
        <w:rPr>
          <w:rFonts w:hint="eastAsia" w:ascii="宋体" w:hAnsi="宋体"/>
          <w:sz w:val="28"/>
          <w:szCs w:val="28"/>
          <w:highlight w:val="none"/>
        </w:rPr>
        <w:t>支付，自乙方出具</w:t>
      </w:r>
      <w:r>
        <w:rPr>
          <w:rFonts w:hint="eastAsia" w:ascii="宋体" w:hAnsi="宋体"/>
          <w:sz w:val="28"/>
          <w:szCs w:val="28"/>
          <w:highlight w:val="none"/>
          <w:lang w:val="en-US" w:eastAsia="zh-CN"/>
        </w:rPr>
        <w:t>审计</w:t>
      </w:r>
      <w:r>
        <w:rPr>
          <w:rFonts w:hint="eastAsia" w:ascii="宋体" w:hAnsi="宋体"/>
          <w:sz w:val="28"/>
          <w:szCs w:val="28"/>
          <w:highlight w:val="none"/>
        </w:rPr>
        <w:t>报告</w:t>
      </w:r>
      <w:r>
        <w:rPr>
          <w:rFonts w:hint="eastAsia" w:ascii="宋体" w:hAnsi="宋体"/>
          <w:sz w:val="28"/>
          <w:szCs w:val="28"/>
          <w:highlight w:val="none"/>
          <w:lang w:val="en-US" w:eastAsia="zh-CN"/>
        </w:rPr>
        <w:t>及管理建议书</w:t>
      </w:r>
      <w:r>
        <w:rPr>
          <w:rFonts w:hint="eastAsia" w:ascii="宋体" w:hAnsi="宋体"/>
          <w:sz w:val="28"/>
          <w:szCs w:val="28"/>
          <w:highlight w:val="none"/>
        </w:rPr>
        <w:t>（正式版），经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w:t>
      </w:r>
      <w:r>
        <w:rPr>
          <w:rFonts w:hint="eastAsia" w:ascii="宋体" w:hAnsi="宋体"/>
          <w:b/>
          <w:bCs/>
          <w:sz w:val="28"/>
          <w:szCs w:val="28"/>
          <w:highlight w:val="none"/>
          <w:lang w:val="en-US" w:eastAsia="zh-CN"/>
        </w:rPr>
        <w:t>审计</w:t>
      </w:r>
      <w:r>
        <w:rPr>
          <w:rFonts w:hint="eastAsia" w:ascii="宋体" w:hAnsi="宋体"/>
          <w:b/>
          <w:bCs/>
          <w:sz w:val="28"/>
          <w:szCs w:val="28"/>
          <w:highlight w:val="none"/>
        </w:rPr>
        <w:t>费用以及</w:t>
      </w:r>
      <w:r>
        <w:rPr>
          <w:rFonts w:hint="eastAsia" w:ascii="宋体" w:hAnsi="宋体"/>
          <w:b/>
          <w:bCs/>
          <w:sz w:val="28"/>
          <w:szCs w:val="28"/>
          <w:highlight w:val="none"/>
          <w:lang w:val="en-US" w:eastAsia="zh-CN"/>
        </w:rPr>
        <w:t>审计</w:t>
      </w:r>
      <w:r>
        <w:rPr>
          <w:rFonts w:hint="eastAsia" w:ascii="宋体" w:hAnsi="宋体"/>
          <w:b/>
          <w:bCs/>
          <w:sz w:val="28"/>
          <w:szCs w:val="28"/>
          <w:highlight w:val="none"/>
        </w:rPr>
        <w:t>过程中发生其他所有费用（包括但不限于税费、交通费、食宿费、差旅费等），除此之外，乙方不得向甲方或被</w:t>
      </w:r>
      <w:r>
        <w:rPr>
          <w:rFonts w:hint="eastAsia" w:ascii="宋体" w:hAnsi="宋体"/>
          <w:b/>
          <w:bCs/>
          <w:sz w:val="28"/>
          <w:szCs w:val="28"/>
          <w:highlight w:val="none"/>
          <w:lang w:val="en-US" w:eastAsia="zh-CN"/>
        </w:rPr>
        <w:t>审计</w:t>
      </w:r>
      <w:r>
        <w:rPr>
          <w:rFonts w:hint="eastAsia" w:ascii="宋体" w:hAnsi="宋体"/>
          <w:b/>
          <w:bCs/>
          <w:sz w:val="28"/>
          <w:szCs w:val="28"/>
          <w:highlight w:val="none"/>
        </w:rPr>
        <w:t>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w:t>
      </w:r>
      <w:r>
        <w:rPr>
          <w:rFonts w:hint="eastAsia" w:ascii="宋体" w:hAnsi="宋体"/>
          <w:sz w:val="28"/>
          <w:szCs w:val="28"/>
          <w:highlight w:val="none"/>
          <w:lang w:val="en-US" w:eastAsia="zh-CN"/>
        </w:rPr>
        <w:t>审计</w:t>
      </w:r>
      <w:r>
        <w:rPr>
          <w:rFonts w:hint="eastAsia" w:ascii="宋体" w:hAnsi="宋体"/>
          <w:sz w:val="28"/>
          <w:szCs w:val="28"/>
          <w:highlight w:val="none"/>
        </w:rPr>
        <w:t>费用不予支付。甲方有权视情形要求乙方退回已支付的全部或部分</w:t>
      </w:r>
      <w:r>
        <w:rPr>
          <w:rFonts w:hint="eastAsia" w:ascii="宋体" w:hAnsi="宋体"/>
          <w:sz w:val="28"/>
          <w:szCs w:val="28"/>
          <w:highlight w:val="none"/>
          <w:lang w:val="en-US" w:eastAsia="zh-CN"/>
        </w:rPr>
        <w:t>审计</w:t>
      </w:r>
      <w:r>
        <w:rPr>
          <w:rFonts w:hint="eastAsia" w:ascii="宋体" w:hAnsi="宋体"/>
          <w:sz w:val="28"/>
          <w:szCs w:val="28"/>
          <w:highlight w:val="none"/>
        </w:rPr>
        <w:t>费用，给甲方造成其他损失的，乙方还应进行赔偿。若乙方延期交付评价报告</w:t>
      </w:r>
      <w:r>
        <w:rPr>
          <w:rFonts w:hint="eastAsia" w:ascii="宋体" w:hAnsi="宋体"/>
          <w:sz w:val="28"/>
          <w:szCs w:val="28"/>
          <w:highlight w:val="none"/>
          <w:lang w:val="en-US" w:eastAsia="zh-CN"/>
        </w:rPr>
        <w:t>及管理建议书</w:t>
      </w:r>
      <w:r>
        <w:rPr>
          <w:rFonts w:hint="eastAsia" w:ascii="宋体" w:hAnsi="宋体"/>
          <w:sz w:val="28"/>
          <w:szCs w:val="28"/>
          <w:highlight w:val="none"/>
        </w:rPr>
        <w:t>初稿或正式版，甲方有权按照</w:t>
      </w:r>
      <w:r>
        <w:rPr>
          <w:rFonts w:hint="eastAsia" w:ascii="宋体" w:hAnsi="宋体"/>
          <w:sz w:val="28"/>
          <w:szCs w:val="28"/>
          <w:highlight w:val="none"/>
          <w:lang w:val="en-US" w:eastAsia="zh-CN"/>
        </w:rPr>
        <w:t>审计</w:t>
      </w:r>
      <w:r>
        <w:rPr>
          <w:rFonts w:hint="eastAsia" w:ascii="宋体" w:hAnsi="宋体"/>
          <w:sz w:val="28"/>
          <w:szCs w:val="28"/>
          <w:highlight w:val="none"/>
        </w:rPr>
        <w:t>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w:t>
      </w:r>
      <w:r>
        <w:rPr>
          <w:rFonts w:hint="eastAsia" w:ascii="宋体" w:hAnsi="宋体"/>
          <w:sz w:val="28"/>
          <w:szCs w:val="28"/>
          <w:highlight w:val="none"/>
          <w:lang w:val="en-US" w:eastAsia="zh-CN"/>
        </w:rPr>
        <w:t>审计</w:t>
      </w:r>
      <w:r>
        <w:rPr>
          <w:rFonts w:hint="eastAsia" w:ascii="宋体" w:hAnsi="宋体"/>
          <w:sz w:val="28"/>
          <w:szCs w:val="28"/>
          <w:highlight w:val="none"/>
        </w:rPr>
        <w:t>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3"/>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w:t>
      </w:r>
      <w:r>
        <w:rPr>
          <w:rFonts w:hint="eastAsia" w:ascii="宋体" w:hAnsi="宋体"/>
          <w:sz w:val="28"/>
          <w:szCs w:val="28"/>
          <w:highlight w:val="none"/>
          <w:lang w:val="en-US" w:eastAsia="zh-CN"/>
        </w:rPr>
        <w:t>审计</w:t>
      </w:r>
      <w:r>
        <w:rPr>
          <w:rFonts w:hint="eastAsia" w:ascii="宋体" w:hAnsi="宋体"/>
          <w:sz w:val="28"/>
          <w:szCs w:val="28"/>
          <w:highlight w:val="none"/>
        </w:rPr>
        <w:t>过程中发现对象或其所属单位在</w:t>
      </w:r>
      <w:r>
        <w:rPr>
          <w:rFonts w:hint="eastAsia" w:ascii="宋体" w:hAnsi="宋体"/>
          <w:sz w:val="28"/>
          <w:szCs w:val="28"/>
          <w:highlight w:val="none"/>
          <w:lang w:val="en-US" w:eastAsia="zh-CN"/>
        </w:rPr>
        <w:t>采购及合同管理、会计核算、财务管理等</w:t>
      </w:r>
      <w:r>
        <w:rPr>
          <w:rFonts w:hint="eastAsia" w:ascii="宋体" w:hAnsi="宋体"/>
          <w:sz w:val="28"/>
          <w:szCs w:val="28"/>
          <w:highlight w:val="none"/>
        </w:rPr>
        <w:t>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陆</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w:t>
      </w:r>
      <w:r>
        <w:rPr>
          <w:rFonts w:hint="eastAsia" w:ascii="宋体" w:hAnsi="宋体"/>
          <w:bCs/>
          <w:sz w:val="28"/>
          <w:szCs w:val="28"/>
          <w:highlight w:val="none"/>
          <w:u w:val="single"/>
          <w:lang w:val="en-US" w:eastAsia="zh-CN"/>
        </w:rPr>
        <w:t>肆</w:t>
      </w:r>
      <w:r>
        <w:rPr>
          <w:rFonts w:ascii="宋体" w:hAnsi="宋体"/>
          <w:bCs/>
          <w:sz w:val="28"/>
          <w:szCs w:val="28"/>
          <w:highlight w:val="none"/>
          <w:u w:val="single"/>
        </w:rPr>
        <w:t xml:space="preserve"> </w:t>
      </w:r>
      <w:r>
        <w:rPr>
          <w:rFonts w:hint="eastAsia" w:ascii="宋体" w:hAnsi="宋体"/>
          <w:bCs/>
          <w:sz w:val="28"/>
          <w:szCs w:val="28"/>
          <w:highlight w:val="none"/>
        </w:rPr>
        <w:t>份，乙方执</w:t>
      </w:r>
      <w:r>
        <w:rPr>
          <w:rFonts w:ascii="宋体" w:hAnsi="宋体"/>
          <w:b/>
          <w:bCs/>
          <w:sz w:val="28"/>
          <w:szCs w:val="28"/>
          <w:highlight w:val="none"/>
          <w:u w:val="single"/>
        </w:rPr>
        <w:t xml:space="preserve"> </w:t>
      </w:r>
      <w:r>
        <w:rPr>
          <w:rFonts w:hint="eastAsia" w:ascii="宋体" w:hAnsi="宋体"/>
          <w:b w:val="0"/>
          <w:bCs w:val="0"/>
          <w:sz w:val="28"/>
          <w:szCs w:val="28"/>
          <w:highlight w:val="none"/>
          <w:u w:val="single"/>
          <w:lang w:val="en-US" w:eastAsia="zh-CN"/>
        </w:rPr>
        <w:t>贰</w:t>
      </w:r>
      <w:r>
        <w:rPr>
          <w:rFonts w:ascii="宋体" w:hAnsi="宋体"/>
          <w:b/>
          <w:bCs/>
          <w:sz w:val="28"/>
          <w:szCs w:val="28"/>
          <w:highlight w:val="none"/>
          <w:u w:val="single"/>
        </w:rPr>
        <w:t xml:space="preserve">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hint="eastAsia" w:ascii="宋体" w:hAnsi="宋体"/>
          <w:sz w:val="28"/>
          <w:szCs w:val="28"/>
          <w:highlight w:val="none"/>
          <w:lang w:val="en-US" w:eastAsia="zh-CN"/>
        </w:rPr>
        <w:t>部</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sz w:val="28"/>
          <w:szCs w:val="28"/>
          <w:highlight w:val="none"/>
        </w:rPr>
      </w:pP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hint="eastAsia" w:ascii="仿宋" w:hAnsi="仿宋" w:eastAsia="仿宋"/>
          <w:sz w:val="28"/>
          <w:szCs w:val="28"/>
          <w:highlight w:val="none"/>
        </w:rPr>
        <w:t>我方在实施贵方项目</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工作期间，就保密事宜做出如下承诺：</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w:t>
      </w:r>
      <w:r>
        <w:rPr>
          <w:rFonts w:hint="eastAsia" w:ascii="仿宋" w:hAnsi="仿宋" w:eastAsia="仿宋"/>
          <w:sz w:val="28"/>
          <w:szCs w:val="28"/>
          <w:highlight w:val="none"/>
          <w:lang w:val="en-US" w:eastAsia="zh-CN"/>
        </w:rPr>
        <w:t>审计</w:t>
      </w:r>
      <w:r>
        <w:rPr>
          <w:rFonts w:hint="eastAsia" w:ascii="仿宋" w:hAnsi="仿宋" w:eastAsia="仿宋"/>
          <w:sz w:val="28"/>
          <w:szCs w:val="28"/>
          <w:highlight w:val="none"/>
        </w:rPr>
        <w:t>服务时所接触到的涉及贵方经营管理等事项的信息。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both"/>
        <w:textAlignment w:val="auto"/>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keepNext w:val="0"/>
        <w:keepLines w:val="0"/>
        <w:pageBreakBefore w:val="0"/>
        <w:widowControl/>
        <w:kinsoku/>
        <w:wordWrap/>
        <w:overflowPunct/>
        <w:topLinePunct w:val="0"/>
        <w:autoSpaceDE/>
        <w:autoSpaceDN/>
        <w:bidi w:val="0"/>
        <w:adjustRightInd/>
        <w:snapToGrid/>
        <w:spacing w:line="460" w:lineRule="exact"/>
        <w:ind w:firstLine="2520" w:firstLineChars="900"/>
        <w:jc w:val="both"/>
        <w:textAlignment w:val="auto"/>
        <w:rPr>
          <w:rFonts w:ascii="仿宋" w:hAnsi="宋体" w:eastAsia="仿宋"/>
          <w:sz w:val="28"/>
          <w:szCs w:val="28"/>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p>
    <w:p>
      <w:pPr>
        <w:keepNext w:val="0"/>
        <w:keepLines w:val="0"/>
        <w:pageBreakBefore w:val="0"/>
        <w:widowControl/>
        <w:kinsoku/>
        <w:wordWrap/>
        <w:overflowPunct/>
        <w:topLinePunct w:val="0"/>
        <w:autoSpaceDE/>
        <w:autoSpaceDN/>
        <w:bidi w:val="0"/>
        <w:adjustRightInd/>
        <w:snapToGrid/>
        <w:spacing w:line="460" w:lineRule="exact"/>
        <w:ind w:firstLine="5600" w:firstLineChars="2000"/>
        <w:jc w:val="both"/>
        <w:textAlignment w:val="auto"/>
        <w:rPr>
          <w:rFonts w:ascii="仿宋" w:hAnsi="仿宋" w:eastAsia="仿宋"/>
          <w:sz w:val="24"/>
          <w:highlight w:val="none"/>
        </w:rPr>
      </w:pP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4"/>
        </w:numPr>
        <w:spacing w:before="0" w:after="0" w:line="540" w:lineRule="exact"/>
        <w:rPr>
          <w:rFonts w:ascii="宋体" w:cs="宋体"/>
          <w:szCs w:val="28"/>
          <w:highlight w:val="none"/>
        </w:rPr>
      </w:pPr>
      <w:bookmarkStart w:id="304" w:name="_Toc30239"/>
      <w:bookmarkStart w:id="305" w:name="_Toc471482369"/>
      <w:bookmarkStart w:id="306" w:name="_Toc27378"/>
      <w:bookmarkStart w:id="307" w:name="_Toc26692"/>
      <w:bookmarkStart w:id="308" w:name="_Toc461525321"/>
      <w:bookmarkStart w:id="309" w:name="_Toc24668"/>
      <w:bookmarkStart w:id="310" w:name="_Toc23661"/>
      <w:bookmarkStart w:id="311" w:name="_Toc15172"/>
      <w:bookmarkStart w:id="312" w:name="_Toc32280"/>
      <w:bookmarkStart w:id="313" w:name="_Toc16386"/>
      <w:bookmarkStart w:id="314" w:name="_Toc20710"/>
      <w:bookmarkStart w:id="315" w:name="_Toc1897"/>
      <w:bookmarkStart w:id="316" w:name="_Toc29471"/>
      <w:bookmarkStart w:id="317" w:name="_Toc6779"/>
      <w:r>
        <w:rPr>
          <w:rFonts w:ascii="宋体" w:hAnsi="宋体" w:cs="宋体"/>
          <w:szCs w:val="28"/>
          <w:highlight w:val="none"/>
        </w:rPr>
        <w:t xml:space="preserve"> </w:t>
      </w:r>
      <w:bookmarkStart w:id="318" w:name="_Toc30463"/>
      <w:bookmarkStart w:id="319" w:name="_Toc2650"/>
      <w:bookmarkStart w:id="320" w:name="_Toc12974"/>
      <w:bookmarkStart w:id="321" w:name="_Toc28616"/>
      <w:bookmarkStart w:id="322" w:name="_Toc15480"/>
      <w:bookmarkStart w:id="323" w:name="_Toc21863"/>
      <w:bookmarkStart w:id="324" w:name="_Toc18993"/>
      <w:r>
        <w:rPr>
          <w:rFonts w:hint="eastAsia" w:ascii="宋体" w:hAnsi="宋体" w:cs="宋体"/>
          <w:szCs w:val="28"/>
          <w:highlight w:val="none"/>
        </w:rPr>
        <w:t>比选</w:t>
      </w:r>
      <w:bookmarkEnd w:id="300"/>
      <w:bookmarkEnd w:id="301"/>
      <w:r>
        <w:rPr>
          <w:rFonts w:hint="eastAsia" w:ascii="宋体" w:hAnsi="宋体" w:cs="宋体"/>
          <w:szCs w:val="28"/>
          <w:highlight w:val="none"/>
        </w:rPr>
        <w:t>申请文件（格式）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6" w:name="_Toc10669"/>
      <w:bookmarkStart w:id="327" w:name="_Toc12677"/>
      <w:bookmarkStart w:id="328" w:name="_Toc6045"/>
      <w:bookmarkStart w:id="329" w:name="_Toc461525322"/>
      <w:bookmarkStart w:id="330" w:name="_Toc22529"/>
      <w:bookmarkStart w:id="331" w:name="_Toc18503"/>
      <w:bookmarkStart w:id="332" w:name="_Toc31417"/>
      <w:bookmarkStart w:id="333" w:name="_Toc24727"/>
      <w:bookmarkStart w:id="334" w:name="_Toc16428"/>
      <w:r>
        <w:rPr>
          <w:rFonts w:hint="eastAsia"/>
          <w:b w:val="0"/>
          <w:bCs w:val="0"/>
          <w:sz w:val="28"/>
          <w:szCs w:val="28"/>
          <w:highlight w:val="none"/>
        </w:rPr>
        <w:t>资格审查部分</w:t>
      </w:r>
      <w:bookmarkEnd w:id="326"/>
      <w:bookmarkEnd w:id="327"/>
      <w:bookmarkEnd w:id="328"/>
      <w:bookmarkEnd w:id="329"/>
      <w:bookmarkEnd w:id="330"/>
      <w:bookmarkEnd w:id="331"/>
      <w:bookmarkEnd w:id="332"/>
      <w:bookmarkEnd w:id="333"/>
      <w:bookmarkEnd w:id="334"/>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5"/>
      <w:r>
        <w:rPr>
          <w:rFonts w:hint="eastAsia" w:ascii="宋体" w:hAnsi="宋体" w:cs="宋体"/>
          <w:sz w:val="28"/>
          <w:szCs w:val="28"/>
          <w:highlight w:val="none"/>
        </w:rPr>
        <w:t>请</w:t>
      </w:r>
      <w:bookmarkStart w:id="335" w:name="_Toc114052392"/>
      <w:r>
        <w:rPr>
          <w:rFonts w:hint="eastAsia" w:ascii="宋体" w:hAnsi="宋体" w:cs="宋体"/>
          <w:sz w:val="28"/>
          <w:szCs w:val="28"/>
          <w:highlight w:val="none"/>
        </w:rPr>
        <w:t>人：</w:t>
      </w:r>
      <w:bookmarkEnd w:id="335"/>
      <w:r>
        <w:rPr>
          <w:rFonts w:hint="eastAsia" w:ascii="宋体" w:hAnsi="宋体" w:cs="宋体"/>
          <w:sz w:val="28"/>
          <w:szCs w:val="28"/>
          <w:highlight w:val="none"/>
        </w:rPr>
        <w:t>（加盖单位公章）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6" w:name="_Toc333307122"/>
      <w:r>
        <w:rPr>
          <w:rFonts w:hint="eastAsia" w:ascii="宋体" w:hAnsi="宋体" w:cs="宋体"/>
          <w:sz w:val="28"/>
          <w:szCs w:val="28"/>
          <w:highlight w:val="none"/>
        </w:rPr>
        <w:t>理人</w:t>
      </w:r>
      <w:bookmarkEnd w:id="336"/>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2380" w:firstLineChars="8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7" w:name="_Toc7849"/>
      <w:bookmarkStart w:id="338" w:name="_Toc461525323"/>
    </w:p>
    <w:p>
      <w:pPr>
        <w:pStyle w:val="4"/>
        <w:jc w:val="center"/>
        <w:rPr>
          <w:b/>
          <w:highlight w:val="none"/>
        </w:rPr>
      </w:pPr>
      <w:bookmarkStart w:id="339" w:name="_Toc889"/>
      <w:bookmarkStart w:id="340" w:name="_Toc5961"/>
      <w:bookmarkStart w:id="341" w:name="_Toc16191"/>
      <w:bookmarkStart w:id="342" w:name="_Toc7514"/>
      <w:bookmarkStart w:id="343" w:name="_Toc29495"/>
      <w:bookmarkStart w:id="344" w:name="_Toc7031"/>
      <w:bookmarkStart w:id="345" w:name="_Toc1883"/>
      <w:bookmarkStart w:id="346" w:name="_Toc13042"/>
      <w:bookmarkStart w:id="347" w:name="_Toc28967"/>
      <w:bookmarkStart w:id="348" w:name="_Toc471482370"/>
      <w:bookmarkStart w:id="349" w:name="_Toc30961"/>
      <w:bookmarkStart w:id="350" w:name="_Toc30348"/>
      <w:bookmarkStart w:id="351" w:name="_Toc25559"/>
      <w:bookmarkStart w:id="352" w:name="_Toc24695"/>
      <w:bookmarkStart w:id="353" w:name="_Toc17090"/>
      <w:bookmarkStart w:id="354" w:name="_Toc16376"/>
      <w:bookmarkStart w:id="355" w:name="_Toc31765"/>
      <w:r>
        <w:rPr>
          <w:rFonts w:hint="eastAsia"/>
          <w:b/>
          <w:highlight w:val="none"/>
        </w:rPr>
        <w:t>一、资格审查文件目录</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1.</w:t>
      </w:r>
      <w:r>
        <w:rPr>
          <w:rFonts w:hint="eastAsia" w:ascii="宋体" w:hAnsi="宋体"/>
          <w:kern w:val="0"/>
          <w:sz w:val="24"/>
          <w:highlight w:val="none"/>
        </w:rPr>
        <w:t>诚信声明（原件）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2.</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资格证明书（原件）</w:t>
      </w:r>
    </w:p>
    <w:p>
      <w:pPr>
        <w:numPr>
          <w:ilvl w:val="0"/>
          <w:numId w:val="0"/>
        </w:numPr>
        <w:tabs>
          <w:tab w:val="left" w:pos="826"/>
        </w:tabs>
        <w:spacing w:line="560" w:lineRule="exact"/>
        <w:ind w:left="426" w:leftChars="0"/>
        <w:rPr>
          <w:rFonts w:ascii="宋体"/>
          <w:sz w:val="24"/>
          <w:highlight w:val="none"/>
        </w:rPr>
      </w:pPr>
      <w:r>
        <w:rPr>
          <w:rFonts w:hint="eastAsia" w:ascii="宋体" w:hAnsi="宋体"/>
          <w:sz w:val="24"/>
          <w:highlight w:val="none"/>
          <w:lang w:val="en-US" w:eastAsia="zh-CN"/>
        </w:rPr>
        <w:t>3.</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身份证明文件（提供复印件</w:t>
      </w:r>
      <w:r>
        <w:rPr>
          <w:rFonts w:hint="eastAsia" w:ascii="宋体" w:hAnsi="宋体"/>
          <w:kern w:val="0"/>
          <w:sz w:val="24"/>
          <w:highlight w:val="none"/>
        </w:rPr>
        <w:t>加盖单位公章</w:t>
      </w:r>
      <w:r>
        <w:rPr>
          <w:rFonts w:hint="eastAsia" w:ascii="宋体" w:hAnsi="宋体"/>
          <w:sz w:val="24"/>
          <w:highlight w:val="none"/>
        </w:rPr>
        <w:t>）</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4.</w:t>
      </w:r>
      <w:r>
        <w:rPr>
          <w:rFonts w:hint="eastAsia" w:ascii="宋体" w:hAnsi="宋体"/>
          <w:kern w:val="0"/>
          <w:sz w:val="24"/>
          <w:highlight w:val="none"/>
        </w:rPr>
        <w:t>比选申请文件签署授权委托书（原件）</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5.</w:t>
      </w:r>
      <w:r>
        <w:rPr>
          <w:rFonts w:hint="eastAsia" w:ascii="宋体" w:hAnsi="宋体"/>
          <w:kern w:val="0"/>
          <w:sz w:val="24"/>
          <w:highlight w:val="none"/>
        </w:rPr>
        <w:t>授权代理人身份证明文件（提供复印件加盖单位公章）</w:t>
      </w:r>
    </w:p>
    <w:p>
      <w:pPr>
        <w:numPr>
          <w:ilvl w:val="0"/>
          <w:numId w:val="0"/>
        </w:numPr>
        <w:tabs>
          <w:tab w:val="left" w:pos="826"/>
        </w:tabs>
        <w:spacing w:line="560" w:lineRule="exact"/>
        <w:ind w:left="426" w:leftChars="0"/>
        <w:rPr>
          <w:rFonts w:ascii="宋体"/>
          <w:kern w:val="0"/>
          <w:sz w:val="24"/>
          <w:highlight w:val="none"/>
        </w:rPr>
      </w:pPr>
      <w:r>
        <w:rPr>
          <w:rFonts w:hint="eastAsia" w:ascii="宋体" w:hAnsi="宋体"/>
          <w:kern w:val="0"/>
          <w:sz w:val="24"/>
          <w:highlight w:val="none"/>
          <w:lang w:val="en-US" w:eastAsia="zh-CN"/>
        </w:rPr>
        <w:t>6.</w:t>
      </w:r>
      <w:r>
        <w:rPr>
          <w:rFonts w:hint="eastAsia" w:ascii="宋体" w:hAnsi="宋体"/>
          <w:kern w:val="0"/>
          <w:sz w:val="24"/>
          <w:highlight w:val="none"/>
        </w:rPr>
        <w:t>会计师事务所执业证书（提供复印件加盖单位公章）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6" w:name="_Toc1582"/>
      <w:bookmarkStart w:id="357" w:name="_Toc461525324"/>
      <w:bookmarkStart w:id="358" w:name="_Toc27423"/>
      <w:r>
        <w:rPr>
          <w:highlight w:val="none"/>
        </w:rPr>
        <w:br w:type="page"/>
      </w:r>
      <w:bookmarkEnd w:id="356"/>
      <w:bookmarkEnd w:id="357"/>
      <w:bookmarkEnd w:id="358"/>
      <w:bookmarkStart w:id="359" w:name="_Toc24466"/>
      <w:bookmarkStart w:id="360" w:name="_Toc461525329"/>
      <w:bookmarkStart w:id="361" w:name="_Toc26924"/>
      <w:bookmarkStart w:id="362" w:name="_Toc18804"/>
      <w:bookmarkStart w:id="363" w:name="_Toc29655"/>
      <w:bookmarkStart w:id="364" w:name="_Toc32325"/>
      <w:bookmarkStart w:id="365" w:name="_Toc17531"/>
      <w:bookmarkStart w:id="366" w:name="_Toc15465"/>
      <w:bookmarkStart w:id="367" w:name="_Toc29347"/>
      <w:bookmarkStart w:id="368" w:name="_Toc30157"/>
      <w:bookmarkStart w:id="369" w:name="_Toc15071"/>
      <w:bookmarkStart w:id="370" w:name="_Toc14714"/>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r>
        <w:rPr>
          <w:rFonts w:hint="eastAsia" w:ascii="宋体" w:hAnsi="宋体" w:cs="宋体"/>
          <w:sz w:val="24"/>
          <w:highlight w:val="none"/>
        </w:rPr>
        <w:t>日期：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59"/>
    <w:bookmarkEnd w:id="360"/>
    <w:bookmarkEnd w:id="361"/>
    <w:bookmarkEnd w:id="362"/>
    <w:bookmarkEnd w:id="363"/>
    <w:bookmarkEnd w:id="364"/>
    <w:bookmarkEnd w:id="365"/>
    <w:bookmarkEnd w:id="366"/>
    <w:bookmarkEnd w:id="367"/>
    <w:bookmarkEnd w:id="368"/>
    <w:bookmarkEnd w:id="369"/>
    <w:bookmarkEnd w:id="370"/>
    <w:p>
      <w:pPr>
        <w:jc w:val="center"/>
        <w:rPr>
          <w:rFonts w:ascii="宋体"/>
          <w:b/>
          <w:kern w:val="0"/>
          <w:sz w:val="28"/>
          <w:szCs w:val="28"/>
          <w:highlight w:val="none"/>
        </w:rPr>
      </w:pPr>
      <w:bookmarkStart w:id="371" w:name="_Toc3498"/>
      <w:bookmarkStart w:id="372" w:name="_Toc6606"/>
      <w:bookmarkStart w:id="373" w:name="_Toc32075"/>
      <w:bookmarkStart w:id="374" w:name="_Toc28436"/>
      <w:bookmarkStart w:id="375" w:name="_Toc750"/>
      <w:bookmarkStart w:id="376" w:name="_Toc7760"/>
      <w:bookmarkStart w:id="377" w:name="_Toc16756"/>
      <w:bookmarkStart w:id="378" w:name="_Toc19937"/>
      <w:bookmarkStart w:id="379" w:name="_Toc25670"/>
      <w:r>
        <w:rPr>
          <w:rFonts w:ascii="宋体" w:hAnsi="宋体"/>
          <w:b/>
          <w:kern w:val="0"/>
          <w:sz w:val="28"/>
          <w:szCs w:val="28"/>
          <w:highlight w:val="none"/>
        </w:rPr>
        <w:t>2.</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r>
        <w:rPr>
          <w:rFonts w:hint="eastAsia" w:ascii="宋体" w:hAnsi="宋体"/>
          <w:sz w:val="24"/>
          <w:highlight w:val="none"/>
          <w:lang w:eastAsia="zh-CN"/>
        </w:rPr>
        <w:t>（</w:t>
      </w:r>
      <w:r>
        <w:rPr>
          <w:rFonts w:hint="eastAsia" w:ascii="宋体" w:hAnsi="宋体"/>
          <w:sz w:val="24"/>
          <w:highlight w:val="none"/>
          <w:lang w:val="en-US" w:eastAsia="zh-CN"/>
        </w:rPr>
        <w:t>负责人</w:t>
      </w:r>
      <w:r>
        <w:rPr>
          <w:rFonts w:hint="eastAsia" w:ascii="宋体" w:hAnsi="宋体"/>
          <w:sz w:val="24"/>
          <w:highlight w:val="none"/>
          <w:lang w:eastAsia="zh-CN"/>
        </w:rPr>
        <w:t>）</w:t>
      </w:r>
      <w:r>
        <w:rPr>
          <w:rFonts w:hint="eastAsia" w:ascii="宋体" w:hAnsi="宋体"/>
          <w:sz w:val="24"/>
          <w:highlight w:val="none"/>
        </w:rPr>
        <w:t>。</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1"/>
      <w:bookmarkEnd w:id="372"/>
      <w:bookmarkEnd w:id="373"/>
      <w:bookmarkEnd w:id="374"/>
      <w:bookmarkEnd w:id="375"/>
      <w:bookmarkEnd w:id="376"/>
      <w:bookmarkEnd w:id="377"/>
      <w:bookmarkEnd w:id="378"/>
      <w:bookmarkEnd w:id="379"/>
      <w:r>
        <w:rPr>
          <w:rFonts w:ascii="宋体" w:hAnsi="宋体"/>
          <w:b/>
          <w:kern w:val="0"/>
          <w:sz w:val="28"/>
          <w:szCs w:val="28"/>
          <w:highlight w:val="none"/>
        </w:rPr>
        <w:t>3.</w:t>
      </w:r>
      <w:r>
        <w:rPr>
          <w:rFonts w:hint="eastAsia" w:ascii="宋体" w:hAnsi="宋体"/>
          <w:b/>
          <w:kern w:val="0"/>
          <w:sz w:val="28"/>
          <w:szCs w:val="28"/>
          <w:highlight w:val="none"/>
        </w:rPr>
        <w:t>法定代表人</w:t>
      </w:r>
      <w:r>
        <w:rPr>
          <w:rFonts w:hint="eastAsia" w:ascii="宋体" w:hAnsi="宋体"/>
          <w:b/>
          <w:kern w:val="0"/>
          <w:sz w:val="28"/>
          <w:szCs w:val="28"/>
          <w:highlight w:val="none"/>
          <w:lang w:eastAsia="zh-CN"/>
        </w:rPr>
        <w:t>（</w:t>
      </w:r>
      <w:r>
        <w:rPr>
          <w:rFonts w:hint="eastAsia" w:ascii="宋体" w:hAnsi="宋体"/>
          <w:b/>
          <w:kern w:val="0"/>
          <w:sz w:val="28"/>
          <w:szCs w:val="28"/>
          <w:highlight w:val="none"/>
          <w:lang w:val="en-US" w:eastAsia="zh-CN"/>
        </w:rPr>
        <w:t>负责人</w:t>
      </w:r>
      <w:r>
        <w:rPr>
          <w:rFonts w:hint="eastAsia" w:ascii="宋体" w:hAnsi="宋体"/>
          <w:b/>
          <w:kern w:val="0"/>
          <w:sz w:val="28"/>
          <w:szCs w:val="28"/>
          <w:highlight w:val="none"/>
          <w:lang w:eastAsia="zh-CN"/>
        </w:rPr>
        <w:t>）</w:t>
      </w:r>
      <w:r>
        <w:rPr>
          <w:rFonts w:hint="eastAsia" w:ascii="宋体" w:hAnsi="宋体"/>
          <w:b/>
          <w:kern w:val="0"/>
          <w:sz w:val="28"/>
          <w:szCs w:val="28"/>
          <w:highlight w:val="none"/>
        </w:rPr>
        <w:t>身份证明文件（提供复印件加盖单位公章）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w:t>
      </w:r>
      <w:r>
        <w:rPr>
          <w:rFonts w:hint="eastAsia" w:ascii="宋体" w:hAnsi="宋体"/>
          <w:kern w:val="0"/>
          <w:sz w:val="24"/>
          <w:highlight w:val="none"/>
          <w:lang w:eastAsia="zh-CN"/>
        </w:rPr>
        <w:t>（</w:t>
      </w:r>
      <w:r>
        <w:rPr>
          <w:rFonts w:hint="eastAsia" w:ascii="宋体" w:hAnsi="宋体"/>
          <w:kern w:val="0"/>
          <w:sz w:val="24"/>
          <w:highlight w:val="none"/>
          <w:lang w:val="en-US" w:eastAsia="zh-CN"/>
        </w:rPr>
        <w:t>负责人</w:t>
      </w:r>
      <w:r>
        <w:rPr>
          <w:rFonts w:hint="eastAsia" w:ascii="宋体" w:hAnsi="宋体"/>
          <w:kern w:val="0"/>
          <w:sz w:val="24"/>
          <w:highlight w:val="none"/>
          <w:lang w:eastAsia="zh-CN"/>
        </w:rPr>
        <w:t>）</w:t>
      </w:r>
      <w:r>
        <w:rPr>
          <w:rFonts w:hint="eastAsia" w:ascii="宋体" w:hAnsi="宋体"/>
          <w:kern w:val="0"/>
          <w:sz w:val="24"/>
          <w:highlight w:val="none"/>
        </w:rPr>
        <w:t>，现授权委托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比选申请人：（加盖单位公章）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2"/>
          <w:szCs w:val="28"/>
          <w:highlight w:val="none"/>
        </w:rPr>
      </w:pPr>
      <w:r>
        <w:rPr>
          <w:rFonts w:ascii="宋体"/>
          <w:kern w:val="0"/>
          <w:sz w:val="24"/>
          <w:highlight w:val="none"/>
        </w:rPr>
        <w:br w:type="page"/>
      </w:r>
      <w:bookmarkStart w:id="380" w:name="_Toc18479"/>
      <w:bookmarkStart w:id="381" w:name="_Toc29504"/>
      <w:bookmarkStart w:id="382" w:name="_Toc2475"/>
      <w:bookmarkStart w:id="383" w:name="_Toc26749"/>
      <w:bookmarkStart w:id="384" w:name="_Toc30136"/>
      <w:bookmarkStart w:id="385" w:name="_Toc11434"/>
      <w:bookmarkStart w:id="386" w:name="_Toc880"/>
      <w:bookmarkStart w:id="387" w:name="_Toc1509"/>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授权代理人身份证明文件（提供复印件加盖单位公章）</w:t>
      </w:r>
    </w:p>
    <w:bookmarkEnd w:id="380"/>
    <w:bookmarkEnd w:id="381"/>
    <w:bookmarkEnd w:id="382"/>
    <w:bookmarkEnd w:id="383"/>
    <w:bookmarkEnd w:id="384"/>
    <w:bookmarkEnd w:id="385"/>
    <w:bookmarkEnd w:id="386"/>
    <w:bookmarkEnd w:id="387"/>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numPr>
          <w:ilvl w:val="0"/>
          <w:numId w:val="0"/>
        </w:numPr>
        <w:autoSpaceDE w:val="0"/>
        <w:autoSpaceDN w:val="0"/>
        <w:adjustRightInd w:val="0"/>
        <w:spacing w:line="480" w:lineRule="auto"/>
        <w:jc w:val="center"/>
        <w:rPr>
          <w:rFonts w:ascii="宋体"/>
          <w:b/>
          <w:kern w:val="0"/>
          <w:sz w:val="28"/>
          <w:szCs w:val="28"/>
          <w:highlight w:val="none"/>
        </w:rPr>
      </w:pPr>
      <w:r>
        <w:rPr>
          <w:rFonts w:hint="eastAsia" w:ascii="宋体" w:hAnsi="宋体"/>
          <w:b/>
          <w:kern w:val="0"/>
          <w:sz w:val="28"/>
          <w:szCs w:val="28"/>
          <w:highlight w:val="none"/>
          <w:lang w:val="en-US" w:eastAsia="zh-CN"/>
        </w:rPr>
        <w:t>6</w:t>
      </w:r>
      <w:r>
        <w:rPr>
          <w:rFonts w:ascii="宋体" w:hAnsi="宋体"/>
          <w:b/>
          <w:kern w:val="0"/>
          <w:sz w:val="28"/>
          <w:szCs w:val="28"/>
          <w:highlight w:val="none"/>
        </w:rPr>
        <w:t>.</w:t>
      </w:r>
      <w:r>
        <w:rPr>
          <w:rFonts w:hint="eastAsia" w:ascii="宋体" w:hAnsi="宋体"/>
          <w:b/>
          <w:kern w:val="0"/>
          <w:sz w:val="28"/>
          <w:szCs w:val="28"/>
          <w:highlight w:val="none"/>
        </w:rPr>
        <w:t>会计师事务所执业证书复印件（加盖单位公章）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ind w:firstLine="1265" w:firstLineChars="450"/>
        <w:jc w:val="left"/>
        <w:rPr>
          <w:rFonts w:ascii="宋体"/>
          <w:b/>
          <w:kern w:val="0"/>
          <w:sz w:val="28"/>
          <w:szCs w:val="28"/>
          <w:highlight w:val="none"/>
        </w:rPr>
      </w:pPr>
      <w:r>
        <w:rPr>
          <w:rFonts w:hint="eastAsia" w:ascii="宋体" w:hAnsi="宋体"/>
          <w:b/>
          <w:kern w:val="0"/>
          <w:sz w:val="28"/>
          <w:szCs w:val="28"/>
          <w:highlight w:val="none"/>
          <w:lang w:val="en-US" w:eastAsia="zh-CN"/>
        </w:rPr>
        <w:t>7</w:t>
      </w:r>
      <w:r>
        <w:rPr>
          <w:rFonts w:ascii="宋体" w:hAnsi="宋体"/>
          <w:b/>
          <w:kern w:val="0"/>
          <w:sz w:val="28"/>
          <w:szCs w:val="28"/>
          <w:highlight w:val="none"/>
        </w:rPr>
        <w:t>.</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8" w:name="_Toc10507"/>
      <w:bookmarkStart w:id="389" w:name="_Toc124"/>
      <w:bookmarkStart w:id="390" w:name="_Toc25575"/>
      <w:bookmarkStart w:id="391" w:name="_Toc18631"/>
      <w:bookmarkStart w:id="392" w:name="_Toc23149"/>
      <w:bookmarkStart w:id="393" w:name="_Toc144"/>
      <w:bookmarkStart w:id="394" w:name="_Toc461525334"/>
      <w:bookmarkStart w:id="395" w:name="_Toc4828"/>
      <w:bookmarkStart w:id="396" w:name="_Toc16451"/>
      <w:bookmarkStart w:id="397" w:name="_Toc31069"/>
      <w:r>
        <w:rPr>
          <w:rFonts w:hint="eastAsia"/>
          <w:b w:val="0"/>
          <w:bCs w:val="0"/>
          <w:sz w:val="28"/>
          <w:szCs w:val="28"/>
          <w:highlight w:val="none"/>
        </w:rPr>
        <w:t>技术部分</w:t>
      </w:r>
      <w:bookmarkEnd w:id="388"/>
      <w:bookmarkEnd w:id="389"/>
      <w:bookmarkEnd w:id="390"/>
      <w:bookmarkEnd w:id="391"/>
      <w:bookmarkEnd w:id="392"/>
      <w:bookmarkEnd w:id="393"/>
      <w:bookmarkEnd w:id="394"/>
      <w:bookmarkEnd w:id="395"/>
      <w:bookmarkEnd w:id="396"/>
      <w:bookmarkEnd w:id="397"/>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8" w:name="_Toc32510"/>
      <w:bookmarkStart w:id="399" w:name="_Toc9379"/>
      <w:bookmarkStart w:id="400" w:name="_Toc31582"/>
      <w:bookmarkStart w:id="401" w:name="_Toc471482371"/>
      <w:bookmarkStart w:id="402" w:name="_Toc21144"/>
      <w:bookmarkStart w:id="403" w:name="_Toc26769"/>
      <w:bookmarkStart w:id="404" w:name="_Toc31521"/>
      <w:bookmarkStart w:id="405" w:name="_Toc23508"/>
      <w:bookmarkStart w:id="406" w:name="_Toc29536"/>
      <w:bookmarkStart w:id="407" w:name="_Toc1986"/>
    </w:p>
    <w:p>
      <w:pPr>
        <w:rPr>
          <w:highlight w:val="none"/>
        </w:rPr>
      </w:pPr>
    </w:p>
    <w:p>
      <w:pPr>
        <w:pStyle w:val="4"/>
        <w:jc w:val="center"/>
        <w:rPr>
          <w:b/>
          <w:highlight w:val="none"/>
        </w:rPr>
      </w:pPr>
      <w:bookmarkStart w:id="408" w:name="_Toc30597"/>
      <w:bookmarkStart w:id="409" w:name="_Toc22366"/>
      <w:bookmarkStart w:id="410" w:name="_Toc29703"/>
      <w:bookmarkStart w:id="411" w:name="_Toc32476"/>
      <w:bookmarkStart w:id="412" w:name="_Toc3401"/>
      <w:bookmarkStart w:id="413" w:name="_Toc12404"/>
      <w:bookmarkStart w:id="414" w:name="_Toc11499"/>
      <w:bookmarkStart w:id="415" w:name="_Toc31102"/>
      <w:r>
        <w:rPr>
          <w:rFonts w:hint="eastAsia"/>
          <w:b/>
          <w:highlight w:val="none"/>
        </w:rPr>
        <w:t>二、技术部分材料目录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6" w:name="_Toc10356"/>
      <w:bookmarkStart w:id="417" w:name="_Toc32624"/>
      <w:bookmarkStart w:id="418" w:name="_Toc6881"/>
      <w:bookmarkStart w:id="419" w:name="_Toc19216"/>
      <w:bookmarkStart w:id="420" w:name="_Toc7527"/>
      <w:bookmarkStart w:id="421" w:name="_Toc9604"/>
      <w:bookmarkStart w:id="422" w:name="_Toc25382"/>
      <w:bookmarkStart w:id="423" w:name="_Toc24439"/>
      <w:bookmarkStart w:id="424" w:name="_Toc30501"/>
      <w:bookmarkStart w:id="425" w:name="_Toc6862"/>
      <w:bookmarkStart w:id="426" w:name="_Toc461525332"/>
      <w:bookmarkStart w:id="427" w:name="_Toc19445"/>
      <w:bookmarkStart w:id="428" w:name="_Toc31867"/>
      <w:r>
        <w:rPr>
          <w:rFonts w:ascii="宋体" w:hAnsi="宋体"/>
          <w:b/>
          <w:highlight w:val="none"/>
        </w:rPr>
        <w:t>1.</w:t>
      </w:r>
      <w:r>
        <w:rPr>
          <w:rFonts w:hint="eastAsia" w:ascii="宋体" w:hAnsi="宋体"/>
          <w:b/>
          <w:highlight w:val="none"/>
        </w:rPr>
        <w:t>业绩表</w:t>
      </w:r>
      <w:bookmarkEnd w:id="416"/>
      <w:bookmarkEnd w:id="417"/>
      <w:bookmarkEnd w:id="418"/>
      <w:bookmarkEnd w:id="419"/>
      <w:bookmarkEnd w:id="420"/>
      <w:bookmarkEnd w:id="421"/>
      <w:bookmarkEnd w:id="422"/>
      <w:bookmarkEnd w:id="423"/>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lang w:val="en-US" w:eastAsia="zh-CN"/>
              </w:rPr>
              <w:t>审计</w:t>
            </w:r>
            <w:r>
              <w:rPr>
                <w:rFonts w:hint="eastAsia" w:ascii="宋体" w:hAnsi="宋体" w:cs="宋体"/>
                <w:kern w:val="0"/>
                <w:sz w:val="24"/>
                <w:highlight w:val="none"/>
              </w:rPr>
              <w:t>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31680" w:hanging="480" w:hangingChars="200"/>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29" w:name="_Toc5471"/>
      <w:bookmarkStart w:id="430" w:name="_Toc12801"/>
      <w:bookmarkStart w:id="431" w:name="_Toc27864"/>
      <w:bookmarkStart w:id="432" w:name="_Toc21426"/>
      <w:bookmarkStart w:id="433" w:name="_Toc28309"/>
      <w:bookmarkStart w:id="434" w:name="_Toc24135"/>
      <w:bookmarkStart w:id="435" w:name="_Toc30796"/>
      <w:bookmarkStart w:id="436" w:name="_Toc14359"/>
      <w:r>
        <w:rPr>
          <w:rFonts w:ascii="宋体" w:hAnsi="宋体"/>
          <w:b/>
          <w:highlight w:val="none"/>
        </w:rPr>
        <w:t>2.</w:t>
      </w:r>
      <w:r>
        <w:rPr>
          <w:rFonts w:hint="eastAsia" w:ascii="宋体" w:hAnsi="宋体"/>
          <w:b/>
          <w:highlight w:val="none"/>
        </w:rPr>
        <w:t>拟投入人员配置明细表</w:t>
      </w:r>
      <w:bookmarkEnd w:id="429"/>
      <w:bookmarkEnd w:id="430"/>
      <w:bookmarkEnd w:id="431"/>
      <w:bookmarkEnd w:id="432"/>
      <w:bookmarkEnd w:id="433"/>
      <w:bookmarkEnd w:id="434"/>
      <w:bookmarkEnd w:id="435"/>
      <w:bookmarkEnd w:id="436"/>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4"/>
    <w:bookmarkEnd w:id="425"/>
    <w:bookmarkEnd w:id="426"/>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lang w:val="en-US" w:eastAsia="zh-CN"/>
              </w:rPr>
              <w:t>审计</w:t>
            </w:r>
            <w:r>
              <w:rPr>
                <w:rFonts w:hint="eastAsia" w:ascii="宋体" w:hAnsi="宋体"/>
                <w:szCs w:val="21"/>
                <w:highlight w:val="none"/>
              </w:rPr>
              <w:t>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w:t>
            </w:r>
            <w:r>
              <w:rPr>
                <w:rFonts w:hint="eastAsia" w:ascii="宋体" w:hAnsi="宋体"/>
                <w:szCs w:val="21"/>
                <w:highlight w:val="none"/>
                <w:lang w:val="en-US" w:eastAsia="zh-CN"/>
              </w:rPr>
              <w:t>审计</w:t>
            </w:r>
            <w:r>
              <w:rPr>
                <w:rFonts w:hint="eastAsia" w:ascii="宋体" w:hAnsi="宋体"/>
                <w:szCs w:val="21"/>
                <w:highlight w:val="none"/>
              </w:rPr>
              <w:t>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w:t>
      </w:r>
      <w:r>
        <w:rPr>
          <w:rFonts w:hint="eastAsia" w:ascii="宋体" w:hAnsi="宋体"/>
          <w:sz w:val="24"/>
          <w:highlight w:val="none"/>
          <w:lang w:val="en-US" w:eastAsia="zh-CN"/>
        </w:rPr>
        <w:t>审计</w:t>
      </w:r>
      <w:r>
        <w:rPr>
          <w:rFonts w:hint="eastAsia" w:ascii="宋体" w:hAnsi="宋体"/>
          <w:sz w:val="24"/>
          <w:highlight w:val="none"/>
        </w:rPr>
        <w:t>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ascii="宋体"/>
          <w:b/>
          <w:highlight w:val="none"/>
        </w:rPr>
      </w:pPr>
      <w:bookmarkStart w:id="437" w:name="_Toc28584"/>
      <w:bookmarkStart w:id="438" w:name="_Toc5051"/>
      <w:bookmarkStart w:id="439" w:name="_Toc29269"/>
      <w:bookmarkStart w:id="440" w:name="_Toc17903"/>
      <w:bookmarkStart w:id="441" w:name="_Toc17896"/>
      <w:bookmarkStart w:id="442" w:name="_Toc30924"/>
      <w:bookmarkStart w:id="443" w:name="_Toc597"/>
      <w:bookmarkStart w:id="444" w:name="_Toc21725"/>
      <w:r>
        <w:rPr>
          <w:rFonts w:ascii="宋体" w:hAnsi="宋体"/>
          <w:b/>
          <w:highlight w:val="none"/>
        </w:rPr>
        <w:t>4.</w:t>
      </w:r>
      <w:r>
        <w:rPr>
          <w:rFonts w:hint="eastAsia" w:ascii="宋体" w:hAnsi="宋体"/>
          <w:b/>
          <w:highlight w:val="none"/>
        </w:rPr>
        <w:t>服务方案（由比选申请人自行编写）</w:t>
      </w:r>
      <w:bookmarkEnd w:id="437"/>
      <w:bookmarkEnd w:id="438"/>
      <w:bookmarkEnd w:id="439"/>
      <w:bookmarkEnd w:id="440"/>
      <w:bookmarkEnd w:id="441"/>
      <w:bookmarkEnd w:id="442"/>
      <w:bookmarkEnd w:id="443"/>
      <w:bookmarkEnd w:id="44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left"/>
        <w:rPr>
          <w:rFonts w:ascii="宋体" w:cs="宋体"/>
          <w:sz w:val="28"/>
          <w:szCs w:val="28"/>
          <w:highlight w:val="none"/>
        </w:rPr>
      </w:pPr>
      <w:r>
        <w:rPr>
          <w:rFonts w:ascii="宋体" w:cs="宋体"/>
          <w:sz w:val="28"/>
          <w:szCs w:val="28"/>
          <w:highlight w:val="none"/>
        </w:rPr>
        <w:br w:type="page"/>
      </w:r>
    </w:p>
    <w:p>
      <w:pPr>
        <w:spacing w:line="600" w:lineRule="exact"/>
        <w:ind w:firstLine="1265" w:firstLineChars="450"/>
        <w:jc w:val="left"/>
        <w:rPr>
          <w:rFonts w:ascii="宋体" w:cs="宋体"/>
          <w:b/>
          <w:sz w:val="28"/>
          <w:szCs w:val="28"/>
          <w:highlight w:val="none"/>
        </w:rPr>
      </w:pPr>
      <w:r>
        <w:rPr>
          <w:rFonts w:ascii="宋体" w:hAnsi="宋体" w:cs="宋体"/>
          <w:b/>
          <w:sz w:val="28"/>
          <w:szCs w:val="28"/>
          <w:highlight w:val="none"/>
        </w:rPr>
        <w:t>5.</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5" w:name="_Toc26103"/>
      <w:bookmarkStart w:id="446" w:name="_Toc9617"/>
      <w:bookmarkStart w:id="447" w:name="_Toc15155"/>
      <w:bookmarkStart w:id="448" w:name="_Toc27920"/>
      <w:bookmarkStart w:id="449" w:name="_Toc25435"/>
      <w:bookmarkStart w:id="450" w:name="_Toc12434"/>
      <w:bookmarkStart w:id="451" w:name="_Toc24947"/>
      <w:bookmarkStart w:id="452" w:name="_Toc5462"/>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3" w:name="_Toc10925"/>
      <w:bookmarkStart w:id="454" w:name="_Toc3587"/>
      <w:bookmarkStart w:id="455" w:name="_Toc15573"/>
      <w:bookmarkStart w:id="456" w:name="_Toc461525327"/>
      <w:bookmarkStart w:id="457" w:name="_Toc196"/>
      <w:bookmarkStart w:id="458" w:name="_Toc21287"/>
      <w:bookmarkStart w:id="459" w:name="_Toc3278"/>
      <w:bookmarkStart w:id="460" w:name="_Toc20460"/>
      <w:bookmarkStart w:id="461" w:name="_Toc27059"/>
      <w:r>
        <w:rPr>
          <w:rFonts w:hint="eastAsia"/>
          <w:b w:val="0"/>
          <w:bCs w:val="0"/>
          <w:sz w:val="28"/>
          <w:szCs w:val="28"/>
          <w:highlight w:val="none"/>
        </w:rPr>
        <w:t>商务部分</w:t>
      </w:r>
      <w:bookmarkEnd w:id="453"/>
      <w:bookmarkEnd w:id="454"/>
      <w:bookmarkEnd w:id="455"/>
      <w:bookmarkEnd w:id="456"/>
      <w:bookmarkEnd w:id="457"/>
      <w:bookmarkEnd w:id="458"/>
      <w:bookmarkEnd w:id="459"/>
      <w:bookmarkEnd w:id="460"/>
      <w:bookmarkEnd w:id="461"/>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比选申请人：（加盖单位章）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2"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2"/>
      <w:r>
        <w:rPr>
          <w:rFonts w:hint="eastAsia" w:ascii="宋体" w:hAnsi="宋体" w:cs="宋体"/>
          <w:sz w:val="28"/>
          <w:szCs w:val="28"/>
          <w:highlight w:val="none"/>
        </w:rPr>
        <w:t>月</w:t>
      </w:r>
      <w:bookmarkStart w:id="463"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4" w:name="_Toc7127"/>
      <w:bookmarkStart w:id="465" w:name="_Toc4901"/>
      <w:bookmarkStart w:id="466" w:name="_Toc2010"/>
      <w:bookmarkStart w:id="467" w:name="_Toc24408"/>
      <w:bookmarkStart w:id="468" w:name="_Toc21835"/>
      <w:bookmarkStart w:id="469" w:name="_Toc16542"/>
      <w:bookmarkStart w:id="470" w:name="_Toc17346"/>
      <w:bookmarkStart w:id="471" w:name="_Toc24524"/>
      <w:bookmarkStart w:id="472" w:name="_Toc5616"/>
      <w:bookmarkStart w:id="473" w:name="_Toc257"/>
      <w:bookmarkStart w:id="474" w:name="_Toc11015"/>
      <w:bookmarkStart w:id="475" w:name="_Toc30879"/>
      <w:bookmarkStart w:id="476" w:name="_Toc461525328"/>
      <w:bookmarkStart w:id="477" w:name="_Toc471482372"/>
    </w:p>
    <w:p>
      <w:pPr>
        <w:rPr>
          <w:highlight w:val="none"/>
        </w:rPr>
      </w:pPr>
    </w:p>
    <w:p>
      <w:pPr>
        <w:pStyle w:val="4"/>
        <w:spacing w:before="0" w:after="0" w:line="600" w:lineRule="exact"/>
        <w:jc w:val="center"/>
        <w:rPr>
          <w:b/>
          <w:highlight w:val="none"/>
        </w:rPr>
      </w:pPr>
      <w:bookmarkStart w:id="478" w:name="_Toc25672"/>
      <w:bookmarkStart w:id="479" w:name="_Toc27214"/>
      <w:bookmarkStart w:id="480" w:name="_Toc12276"/>
      <w:bookmarkStart w:id="481" w:name="_Toc5984"/>
      <w:bookmarkStart w:id="482" w:name="_Toc8407"/>
      <w:bookmarkStart w:id="483" w:name="_Toc9809"/>
      <w:bookmarkStart w:id="484" w:name="_Toc21708"/>
      <w:r>
        <w:rPr>
          <w:rFonts w:hint="eastAsia"/>
          <w:b/>
          <w:highlight w:val="none"/>
        </w:rPr>
        <w:t>三、商务部分材料目录</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63"/>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5" w:name="_Toc26609"/>
      <w:bookmarkStart w:id="486" w:name="_Toc1148"/>
      <w:bookmarkStart w:id="487" w:name="_Toc461525330"/>
      <w:bookmarkStart w:id="488" w:name="_Toc20415"/>
      <w:bookmarkStart w:id="489" w:name="_Toc29844"/>
      <w:bookmarkStart w:id="490" w:name="_Toc6408"/>
      <w:bookmarkStart w:id="491" w:name="_Toc3569"/>
      <w:bookmarkStart w:id="492" w:name="_Toc17958"/>
      <w:bookmarkStart w:id="493" w:name="_Toc9748"/>
      <w:bookmarkStart w:id="494" w:name="_Toc29457"/>
      <w:bookmarkStart w:id="495" w:name="_Toc25896"/>
      <w:bookmarkStart w:id="496" w:name="_Toc25214"/>
      <w:r>
        <w:rPr>
          <w:highlight w:val="none"/>
        </w:rPr>
        <w:t>1.</w:t>
      </w:r>
      <w:r>
        <w:rPr>
          <w:rFonts w:hint="eastAsia"/>
          <w:highlight w:val="none"/>
        </w:rPr>
        <w:t>报价表</w:t>
      </w:r>
      <w:bookmarkEnd w:id="485"/>
      <w:bookmarkEnd w:id="486"/>
      <w:r>
        <w:rPr>
          <w:rFonts w:hint="eastAsia"/>
          <w:highlight w:val="none"/>
        </w:rPr>
        <w:t>（格式）</w:t>
      </w:r>
      <w:bookmarkEnd w:id="487"/>
      <w:bookmarkEnd w:id="488"/>
      <w:bookmarkEnd w:id="489"/>
      <w:bookmarkEnd w:id="490"/>
      <w:bookmarkEnd w:id="491"/>
      <w:bookmarkEnd w:id="492"/>
      <w:bookmarkEnd w:id="493"/>
      <w:bookmarkEnd w:id="494"/>
      <w:bookmarkEnd w:id="495"/>
      <w:bookmarkEnd w:id="496"/>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南宁轨道</w:t>
            </w:r>
            <w:r>
              <w:rPr>
                <w:rFonts w:hint="eastAsia" w:ascii="宋体" w:hAnsi="宋体" w:cs="宋体"/>
                <w:szCs w:val="21"/>
                <w:highlight w:val="none"/>
                <w:lang w:val="en-US" w:eastAsia="zh-CN"/>
              </w:rPr>
              <w:t>交通建设有限</w:t>
            </w:r>
            <w:r>
              <w:rPr>
                <w:rFonts w:hint="eastAsia" w:ascii="宋体" w:hAnsi="宋体" w:cs="宋体"/>
                <w:szCs w:val="21"/>
                <w:highlight w:val="none"/>
              </w:rPr>
              <w:t>公司</w:t>
            </w:r>
            <w:r>
              <w:rPr>
                <w:rFonts w:hint="eastAsia" w:ascii="宋体" w:hAnsi="宋体" w:cs="宋体"/>
                <w:szCs w:val="21"/>
                <w:highlight w:val="none"/>
                <w:lang w:val="en-US" w:eastAsia="zh-CN"/>
              </w:rPr>
              <w:t>2020年至</w:t>
            </w:r>
            <w:r>
              <w:rPr>
                <w:rFonts w:ascii="宋体" w:hAnsi="宋体" w:cs="宋体"/>
                <w:szCs w:val="21"/>
                <w:highlight w:val="none"/>
              </w:rPr>
              <w:t>2022</w:t>
            </w:r>
            <w:r>
              <w:rPr>
                <w:rFonts w:hint="eastAsia" w:ascii="宋体" w:hAnsi="宋体" w:cs="宋体"/>
                <w:szCs w:val="21"/>
                <w:highlight w:val="none"/>
              </w:rPr>
              <w:t>年</w:t>
            </w:r>
            <w:r>
              <w:rPr>
                <w:rFonts w:hint="eastAsia" w:ascii="宋体" w:hAnsi="宋体" w:cs="宋体"/>
                <w:szCs w:val="21"/>
                <w:highlight w:val="none"/>
                <w:lang w:eastAsia="zh-CN"/>
              </w:rPr>
              <w:t>采购及合同</w:t>
            </w:r>
            <w:r>
              <w:rPr>
                <w:rFonts w:hint="eastAsia" w:ascii="宋体" w:hAnsi="宋体" w:cs="宋体"/>
                <w:szCs w:val="21"/>
                <w:highlight w:val="none"/>
                <w:lang w:val="en-US" w:eastAsia="zh-CN"/>
              </w:rPr>
              <w:t>管理专项审计</w:t>
            </w:r>
            <w:r>
              <w:rPr>
                <w:rFonts w:hint="eastAsia" w:ascii="宋体" w:hAnsi="宋体" w:cs="宋体"/>
                <w:szCs w:val="21"/>
                <w:highlight w:val="none"/>
              </w:rPr>
              <w:t>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7"/>
    <w:bookmarkEnd w:id="428"/>
    <w:bookmarkEnd w:id="445"/>
    <w:bookmarkEnd w:id="446"/>
    <w:bookmarkEnd w:id="447"/>
    <w:bookmarkEnd w:id="448"/>
    <w:bookmarkEnd w:id="449"/>
    <w:bookmarkEnd w:id="450"/>
    <w:bookmarkEnd w:id="451"/>
    <w:bookmarkEnd w:id="452"/>
    <w:p>
      <w:pPr>
        <w:pStyle w:val="3"/>
        <w:spacing w:before="0" w:after="0" w:line="600" w:lineRule="exact"/>
        <w:rPr>
          <w:rFonts w:ascii="宋体" w:cs="宋体"/>
          <w:b w:val="0"/>
          <w:kern w:val="2"/>
          <w:szCs w:val="28"/>
          <w:highlight w:val="none"/>
        </w:rPr>
      </w:pPr>
      <w:bookmarkStart w:id="497" w:name="_Toc2193"/>
      <w:bookmarkStart w:id="498" w:name="_Toc47148237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499" w:name="_Toc3272"/>
      <w:bookmarkStart w:id="500" w:name="_Toc7086"/>
      <w:bookmarkStart w:id="501" w:name="_Toc8240"/>
      <w:bookmarkStart w:id="502" w:name="_Toc22689"/>
      <w:bookmarkStart w:id="503" w:name="_Toc7168"/>
      <w:bookmarkStart w:id="504" w:name="_Toc30863"/>
      <w:bookmarkStart w:id="505" w:name="_Toc29161"/>
      <w:r>
        <w:rPr>
          <w:rFonts w:hint="eastAsia"/>
          <w:highlight w:val="none"/>
        </w:rPr>
        <w:t>第四章</w:t>
      </w:r>
      <w:r>
        <w:rPr>
          <w:highlight w:val="none"/>
        </w:rPr>
        <w:t xml:space="preserve"> </w:t>
      </w:r>
      <w:r>
        <w:rPr>
          <w:rFonts w:hint="eastAsia"/>
          <w:highlight w:val="none"/>
        </w:rPr>
        <w:t>评比办法</w:t>
      </w:r>
      <w:bookmarkEnd w:id="497"/>
      <w:bookmarkEnd w:id="498"/>
      <w:bookmarkEnd w:id="499"/>
      <w:bookmarkEnd w:id="500"/>
      <w:bookmarkEnd w:id="501"/>
      <w:bookmarkEnd w:id="502"/>
      <w:bookmarkEnd w:id="503"/>
      <w:bookmarkEnd w:id="504"/>
      <w:bookmarkEnd w:id="505"/>
    </w:p>
    <w:p>
      <w:pPr>
        <w:pStyle w:val="4"/>
        <w:spacing w:before="0" w:after="0" w:line="540" w:lineRule="exact"/>
        <w:rPr>
          <w:highlight w:val="none"/>
        </w:rPr>
      </w:pPr>
      <w:bookmarkStart w:id="506" w:name="_Toc2433"/>
      <w:bookmarkStart w:id="507" w:name="_Toc17031"/>
      <w:bookmarkStart w:id="508" w:name="_Toc31412"/>
      <w:bookmarkStart w:id="509" w:name="_Toc18215"/>
      <w:bookmarkStart w:id="510" w:name="_Toc3898"/>
      <w:bookmarkStart w:id="511" w:name="_Toc7201"/>
      <w:bookmarkStart w:id="512" w:name="_Toc471482374"/>
      <w:bookmarkStart w:id="513" w:name="_Toc28938"/>
      <w:bookmarkStart w:id="514" w:name="_Toc16236"/>
      <w:bookmarkStart w:id="515" w:name="_Toc2996"/>
      <w:bookmarkStart w:id="516" w:name="_Toc10015"/>
    </w:p>
    <w:p>
      <w:pPr>
        <w:pStyle w:val="4"/>
        <w:spacing w:before="0" w:after="0" w:line="540" w:lineRule="exact"/>
        <w:rPr>
          <w:b/>
          <w:highlight w:val="none"/>
        </w:rPr>
      </w:pPr>
      <w:bookmarkStart w:id="517" w:name="_Toc6298"/>
      <w:bookmarkStart w:id="518" w:name="_Toc30260"/>
      <w:bookmarkStart w:id="519" w:name="_Toc25326"/>
      <w:bookmarkStart w:id="520" w:name="_Toc21341"/>
      <w:bookmarkStart w:id="521" w:name="_Toc24016"/>
      <w:bookmarkStart w:id="522" w:name="_Toc3261"/>
      <w:bookmarkStart w:id="523" w:name="_Toc11093"/>
      <w:r>
        <w:rPr>
          <w:rFonts w:hint="eastAsia"/>
          <w:b/>
          <w:highlight w:val="none"/>
        </w:rPr>
        <w:t>一、综合评分办法</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首先对比选申请人进行资格审查，评审小组对通过资格审查的比选申请人按相应的评分细则对技术部分、商务部分各自进行打分后进行汇总，比选申请人的最终得分是评审小组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技术、商务评审：由评审小组按照比选文件的要求，对照比选申请文件的应答进行比较，并对各比选申请文件的技术、商务内容进行评审，且技术部分、商务部分由评审小组讨论定档后进行打分。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评审小组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）评审期间，评审小组不接受任何比选申请人主动提出的对报价及单价、合价的调整；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）其它未尽事宜，由评审小组审议确定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评审小组发现投标人的报价明显低于其他投标报价，使得其投标报价可能低于其成本的，应当要求该比选申请人做出书面说明并提供相关证明材料。比选申请人不能合理说明或者不能提供相关证明材料的，由评审小组认定该比选申请人以低于成本报价，报价不合理，其比选申请文件作无效处理。</w:t>
      </w:r>
    </w:p>
    <w:p>
      <w:pPr>
        <w:pStyle w:val="4"/>
        <w:spacing w:before="0" w:after="0" w:line="540" w:lineRule="exact"/>
        <w:rPr>
          <w:b/>
          <w:highlight w:val="none"/>
        </w:rPr>
      </w:pPr>
      <w:bookmarkStart w:id="524" w:name="_Toc20237"/>
      <w:bookmarkStart w:id="525" w:name="_Toc5190"/>
      <w:bookmarkStart w:id="526" w:name="_Toc5576"/>
      <w:bookmarkStart w:id="527" w:name="_Toc17260"/>
      <w:bookmarkStart w:id="528" w:name="_Toc29031"/>
      <w:bookmarkStart w:id="529" w:name="_Toc18543"/>
      <w:bookmarkStart w:id="530" w:name="_Toc15054"/>
      <w:bookmarkStart w:id="531" w:name="_Toc5579"/>
      <w:bookmarkStart w:id="532" w:name="_Toc471482375"/>
      <w:bookmarkStart w:id="533" w:name="_Toc7245"/>
      <w:bookmarkStart w:id="534" w:name="_Toc30979"/>
      <w:bookmarkStart w:id="535" w:name="_Toc14401"/>
      <w:bookmarkStart w:id="536" w:name="_Toc7740"/>
      <w:bookmarkStart w:id="537" w:name="_Toc32565"/>
      <w:bookmarkStart w:id="538" w:name="_Toc9093"/>
      <w:bookmarkStart w:id="539" w:name="_Toc29182"/>
      <w:bookmarkStart w:id="540" w:name="_Toc28487"/>
      <w:bookmarkStart w:id="541" w:name="_Toc14568"/>
      <w:r>
        <w:rPr>
          <w:rFonts w:hint="eastAsia"/>
          <w:b/>
          <w:highlight w:val="none"/>
        </w:rPr>
        <w:t>二、总分计算公式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2" w:name="_Toc26842"/>
      <w:bookmarkStart w:id="543" w:name="_Toc13406"/>
      <w:bookmarkStart w:id="544" w:name="_Toc10918"/>
      <w:bookmarkStart w:id="545" w:name="_Toc25894"/>
      <w:bookmarkStart w:id="546" w:name="_Toc2613"/>
      <w:bookmarkStart w:id="547" w:name="_Toc10906"/>
      <w:bookmarkStart w:id="548" w:name="_Toc471482376"/>
      <w:bookmarkStart w:id="549" w:name="_Toc32296"/>
      <w:bookmarkStart w:id="550" w:name="_Toc5094"/>
      <w:bookmarkStart w:id="551" w:name="_Toc2727"/>
      <w:bookmarkStart w:id="552" w:name="_Toc2392"/>
      <w:bookmarkStart w:id="553" w:name="_Toc15930"/>
      <w:bookmarkStart w:id="554" w:name="_Toc2553"/>
      <w:bookmarkStart w:id="555" w:name="_Toc11354"/>
      <w:bookmarkStart w:id="556" w:name="_Toc9696"/>
      <w:bookmarkStart w:id="557" w:name="_Toc28207"/>
      <w:bookmarkStart w:id="558" w:name="_Toc31078"/>
      <w:bookmarkStart w:id="559" w:name="_Toc18027"/>
      <w:r>
        <w:rPr>
          <w:rFonts w:hint="eastAsia"/>
          <w:b/>
          <w:highlight w:val="none"/>
        </w:rPr>
        <w:t>三、评分细则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13"/>
        <w:spacing w:line="480" w:lineRule="exact"/>
        <w:rPr>
          <w:sz w:val="28"/>
          <w:szCs w:val="28"/>
          <w:highlight w:val="none"/>
        </w:rPr>
      </w:pPr>
      <w:bookmarkStart w:id="560" w:name="_Toc15382"/>
      <w:bookmarkStart w:id="561" w:name="_Toc18752"/>
      <w:bookmarkStart w:id="562" w:name="_Toc1358"/>
      <w:r>
        <w:rPr>
          <w:sz w:val="28"/>
          <w:szCs w:val="28"/>
          <w:highlight w:val="none"/>
        </w:rPr>
        <w:t>1.</w:t>
      </w:r>
      <w:r>
        <w:rPr>
          <w:rFonts w:hint="eastAsia"/>
          <w:sz w:val="28"/>
          <w:szCs w:val="28"/>
          <w:highlight w:val="none"/>
        </w:rPr>
        <w:t>商务部分评分细则（满分</w:t>
      </w:r>
      <w:r>
        <w:rPr>
          <w:rFonts w:hint="eastAsia"/>
          <w:sz w:val="28"/>
          <w:szCs w:val="28"/>
          <w:highlight w:val="none"/>
          <w:lang w:val="en-US" w:eastAsia="zh-CN"/>
        </w:rPr>
        <w:t>20</w:t>
      </w:r>
      <w:r>
        <w:rPr>
          <w:rFonts w:hint="eastAsia"/>
          <w:sz w:val="28"/>
          <w:szCs w:val="28"/>
          <w:highlight w:val="none"/>
        </w:rPr>
        <w:t>分）</w:t>
      </w:r>
      <w:bookmarkEnd w:id="560"/>
      <w:bookmarkEnd w:id="561"/>
      <w:bookmarkEnd w:id="562"/>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hint="eastAsia" w:ascii="宋体" w:hAnsi="宋体" w:eastAsia="宋体" w:cs="宋体"/>
          <w:sz w:val="28"/>
          <w:szCs w:val="28"/>
          <w:highlight w:val="none"/>
          <w:u w:val="single"/>
        </w:rPr>
      </w:pPr>
      <w:r>
        <w:rPr>
          <w:rFonts w:hint="eastAsia" w:ascii="宋体" w:hAnsi="宋体" w:cs="宋体"/>
          <w:sz w:val="28"/>
          <w:szCs w:val="28"/>
          <w:highlight w:val="none"/>
          <w:u w:val="none"/>
        </w:rPr>
        <w:t>注：</w:t>
      </w:r>
      <w:r>
        <w:rPr>
          <w:rFonts w:hint="eastAsia" w:ascii="宋体" w:hAnsi="宋体" w:eastAsia="宋体" w:cs="宋体"/>
          <w:sz w:val="28"/>
          <w:szCs w:val="28"/>
          <w:highlight w:val="none"/>
          <w:u w:val="single"/>
        </w:rPr>
        <w:t>1.</w:t>
      </w:r>
      <w:r>
        <w:rPr>
          <w:rFonts w:hint="eastAsia" w:ascii="宋体" w:hAnsi="宋体" w:eastAsia="宋体" w:cs="宋体"/>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hint="eastAsia" w:ascii="宋体" w:hAnsi="宋体" w:cs="宋体"/>
          <w:sz w:val="28"/>
          <w:szCs w:val="28"/>
          <w:highlight w:val="none"/>
          <w:lang w:val="en-US" w:eastAsia="zh-CN"/>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w:t>
            </w:r>
            <w:r>
              <w:rPr>
                <w:rFonts w:hint="eastAsia" w:ascii="宋体" w:hAnsi="宋体" w:cs="宋体"/>
                <w:kern w:val="0"/>
                <w:sz w:val="24"/>
                <w:highlight w:val="none"/>
                <w:lang w:val="en-US" w:eastAsia="zh-CN"/>
              </w:rPr>
              <w:t>10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lang w:val="en-US" w:eastAsia="zh-CN"/>
              </w:rPr>
              <w:t>审计</w:t>
            </w:r>
            <w:r>
              <w:rPr>
                <w:rFonts w:hint="eastAsia" w:ascii="宋体" w:hAnsi="宋体" w:cs="宋体"/>
                <w:sz w:val="24"/>
                <w:highlight w:val="none"/>
              </w:rPr>
              <w:t>内容，涉及商业秘密的内容可以隐去）证明材料为准。不附</w:t>
            </w:r>
            <w:r>
              <w:rPr>
                <w:rFonts w:hint="eastAsia" w:ascii="宋体" w:hAnsi="宋体" w:cs="宋体"/>
                <w:sz w:val="24"/>
                <w:highlight w:val="none"/>
                <w:lang w:val="en-US" w:eastAsia="zh-CN"/>
              </w:rPr>
              <w:t>审计</w:t>
            </w:r>
            <w:r>
              <w:rPr>
                <w:rFonts w:hint="eastAsia" w:ascii="宋体" w:hAnsi="宋体" w:cs="宋体"/>
                <w:sz w:val="24"/>
                <w:highlight w:val="none"/>
              </w:rPr>
              <w:t>内容或内容要求不明确的不算业绩，该项分值最高为</w:t>
            </w:r>
            <w:r>
              <w:rPr>
                <w:rFonts w:hint="eastAsia" w:ascii="宋体" w:hAnsi="宋体" w:cs="宋体"/>
                <w:sz w:val="24"/>
                <w:highlight w:val="none"/>
                <w:lang w:val="en-US" w:eastAsia="zh-CN"/>
              </w:rPr>
              <w:t>10</w:t>
            </w:r>
            <w:r>
              <w:rPr>
                <w:rFonts w:hint="eastAsia" w:ascii="宋体" w:hAnsi="宋体" w:cs="宋体"/>
                <w:sz w:val="24"/>
                <w:highlight w:val="none"/>
              </w:rPr>
              <w:t>分。</w:t>
            </w:r>
            <w:r>
              <w:rPr>
                <w:rFonts w:ascii="宋体" w:hAnsi="宋体" w:cs="宋体"/>
                <w:sz w:val="24"/>
                <w:highlight w:val="none"/>
              </w:rPr>
              <w:t>(</w:t>
            </w:r>
            <w:r>
              <w:rPr>
                <w:rFonts w:hint="eastAsia" w:ascii="宋体" w:hAnsi="宋体" w:cs="宋体"/>
                <w:sz w:val="24"/>
                <w:highlight w:val="none"/>
              </w:rPr>
              <w:t>相关或相近的服务经验定义为：企业</w:t>
            </w:r>
            <w:r>
              <w:rPr>
                <w:rFonts w:hint="eastAsia" w:ascii="宋体" w:hAnsi="宋体" w:cs="宋体"/>
                <w:sz w:val="24"/>
                <w:highlight w:val="none"/>
                <w:lang w:val="en-US" w:eastAsia="zh-CN"/>
              </w:rPr>
              <w:t>采购、合同管理及工程管理审计</w:t>
            </w:r>
            <w:r>
              <w:rPr>
                <w:rFonts w:hint="eastAsia" w:ascii="宋体" w:hAnsi="宋体" w:cs="宋体"/>
                <w:sz w:val="24"/>
                <w:highlight w:val="none"/>
              </w:rPr>
              <w:t>的业绩，每个业绩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40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w:t>
            </w:r>
            <w:r>
              <w:rPr>
                <w:rFonts w:hint="eastAsia" w:ascii="宋体" w:hAnsi="宋体"/>
                <w:sz w:val="24"/>
                <w:highlight w:val="none"/>
                <w:u w:val="single"/>
                <w:lang w:val="en-US" w:eastAsia="zh-CN"/>
              </w:rPr>
              <w:t>15</w:t>
            </w:r>
            <w:r>
              <w:rPr>
                <w:rFonts w:ascii="宋体" w:hAnsi="宋体"/>
                <w:sz w:val="24"/>
                <w:highlight w:val="none"/>
                <w:u w:val="single"/>
              </w:rPr>
              <w:t xml:space="preserve">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8 </w:t>
            </w:r>
            <w:r>
              <w:rPr>
                <w:rFonts w:hint="eastAsia" w:ascii="宋体" w:hAnsi="宋体"/>
                <w:sz w:val="24"/>
                <w:highlight w:val="none"/>
              </w:rPr>
              <w:t>分；</w:t>
            </w:r>
            <w:r>
              <w:rPr>
                <w:rFonts w:hint="eastAsia" w:ascii="宋体" w:hAnsi="宋体"/>
                <w:sz w:val="24"/>
                <w:highlight w:val="none"/>
                <w:lang w:val="en-US" w:eastAsia="zh-CN"/>
              </w:rPr>
              <w:t>具有3年以上工程管理相关方面的审计经验得</w:t>
            </w:r>
            <w:r>
              <w:rPr>
                <w:rFonts w:hint="eastAsia" w:ascii="宋体" w:hAnsi="宋体"/>
                <w:sz w:val="24"/>
                <w:highlight w:val="none"/>
                <w:u w:val="single"/>
                <w:lang w:val="en-US" w:eastAsia="zh-CN"/>
              </w:rPr>
              <w:t>5</w:t>
            </w:r>
            <w:r>
              <w:rPr>
                <w:rFonts w:ascii="宋体" w:hAnsi="宋体"/>
                <w:sz w:val="24"/>
                <w:highlight w:val="none"/>
                <w:u w:val="single"/>
              </w:rPr>
              <w:t xml:space="preserve"> </w:t>
            </w:r>
            <w:r>
              <w:rPr>
                <w:rFonts w:hint="eastAsia" w:ascii="宋体" w:hAnsi="宋体"/>
                <w:sz w:val="24"/>
                <w:highlight w:val="none"/>
              </w:rPr>
              <w:t>分；其他为</w:t>
            </w:r>
            <w:r>
              <w:rPr>
                <w:rFonts w:ascii="宋体" w:hAnsi="宋体"/>
                <w:sz w:val="24"/>
                <w:highlight w:val="none"/>
              </w:rPr>
              <w:t>0</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20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w:t>
            </w:r>
            <w:r>
              <w:rPr>
                <w:rFonts w:hint="eastAsia" w:ascii="宋体" w:hAnsi="宋体" w:cs="宋体"/>
                <w:sz w:val="24"/>
                <w:highlight w:val="none"/>
                <w:lang w:val="en-US" w:eastAsia="zh-CN"/>
              </w:rPr>
              <w:t>审计</w:t>
            </w:r>
            <w:r>
              <w:rPr>
                <w:rFonts w:hint="eastAsia" w:ascii="宋体" w:hAnsi="宋体" w:cs="宋体"/>
                <w:sz w:val="24"/>
                <w:highlight w:val="none"/>
              </w:rPr>
              <w:t>报告名称内容及签字页，否则不算业绩分，该项分值最高为</w:t>
            </w:r>
            <w:r>
              <w:rPr>
                <w:rFonts w:ascii="宋体" w:hAnsi="宋体"/>
                <w:sz w:val="24"/>
                <w:highlight w:val="none"/>
                <w:u w:val="single"/>
              </w:rPr>
              <w:t xml:space="preserve">  </w:t>
            </w:r>
            <w:r>
              <w:rPr>
                <w:rFonts w:hint="eastAsia" w:ascii="宋体" w:hAnsi="宋体"/>
                <w:sz w:val="24"/>
                <w:highlight w:val="none"/>
                <w:u w:val="single"/>
                <w:lang w:val="en-US" w:eastAsia="zh-CN"/>
              </w:rPr>
              <w:t>10</w:t>
            </w:r>
            <w:r>
              <w:rPr>
                <w:rFonts w:ascii="宋体" w:hAnsi="宋体"/>
                <w:sz w:val="24"/>
                <w:highlight w:val="none"/>
                <w:u w:val="single"/>
              </w:rPr>
              <w:t xml:space="preserve">  </w:t>
            </w:r>
            <w:r>
              <w:rPr>
                <w:rFonts w:hint="eastAsia" w:ascii="宋体" w:hAnsi="宋体" w:cs="宋体"/>
                <w:sz w:val="24"/>
                <w:highlight w:val="none"/>
              </w:rPr>
              <w:t>分。</w:t>
            </w:r>
            <w:r>
              <w:rPr>
                <w:rFonts w:ascii="宋体" w:hAnsi="宋体" w:cs="宋体"/>
                <w:sz w:val="24"/>
                <w:highlight w:val="none"/>
              </w:rPr>
              <w:t>(</w:t>
            </w:r>
            <w:r>
              <w:rPr>
                <w:rFonts w:hint="eastAsia" w:ascii="宋体" w:hAnsi="宋体" w:cs="宋体"/>
                <w:sz w:val="24"/>
                <w:highlight w:val="none"/>
              </w:rPr>
              <w:t>相关或相近的服务经验定义为</w:t>
            </w:r>
            <w:r>
              <w:rPr>
                <w:rFonts w:hint="eastAsia" w:ascii="宋体" w:hAnsi="宋体" w:cs="宋体"/>
                <w:sz w:val="24"/>
                <w:highlight w:val="none"/>
                <w:lang w:eastAsia="zh-CN"/>
              </w:rPr>
              <w:t>：</w:t>
            </w:r>
            <w:r>
              <w:rPr>
                <w:rFonts w:ascii="宋体" w:hAnsi="宋体" w:cs="宋体"/>
                <w:sz w:val="24"/>
                <w:highlight w:val="none"/>
              </w:rPr>
              <w:t>)</w:t>
            </w:r>
            <w:r>
              <w:rPr>
                <w:rFonts w:hint="eastAsia" w:ascii="宋体" w:hAnsi="宋体" w:cs="宋体"/>
                <w:sz w:val="24"/>
                <w:highlight w:val="none"/>
              </w:rPr>
              <w:t>企业</w:t>
            </w:r>
            <w:r>
              <w:rPr>
                <w:rFonts w:hint="eastAsia" w:ascii="宋体" w:hAnsi="宋体" w:cs="宋体"/>
                <w:sz w:val="24"/>
                <w:highlight w:val="none"/>
                <w:lang w:val="en-US" w:eastAsia="zh-CN"/>
              </w:rPr>
              <w:t>采购、合同管理及工程管理审计</w:t>
            </w:r>
            <w:r>
              <w:rPr>
                <w:rFonts w:hint="eastAsia" w:ascii="宋体" w:hAnsi="宋体" w:cs="宋体"/>
                <w:sz w:val="24"/>
                <w:highlight w:val="none"/>
              </w:rPr>
              <w:t>的业绩，每个业绩</w:t>
            </w:r>
            <w:r>
              <w:rPr>
                <w:rFonts w:hint="eastAsia" w:ascii="宋体" w:hAnsi="宋体" w:cs="宋体"/>
                <w:sz w:val="24"/>
                <w:highlight w:val="none"/>
                <w:lang w:val="en-US" w:eastAsia="zh-CN"/>
              </w:rPr>
              <w:t>2</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w:t>
            </w:r>
            <w:r>
              <w:rPr>
                <w:rFonts w:hint="eastAsia" w:ascii="宋体" w:hAnsi="宋体" w:cs="宋体"/>
                <w:sz w:val="24"/>
                <w:highlight w:val="none"/>
                <w:lang w:val="en-US" w:eastAsia="zh-CN"/>
              </w:rPr>
              <w:t>本</w:t>
            </w:r>
            <w:r>
              <w:rPr>
                <w:rFonts w:hint="eastAsia" w:ascii="宋体" w:hAnsi="宋体" w:cs="宋体"/>
                <w:sz w:val="24"/>
                <w:highlight w:val="none"/>
              </w:rPr>
              <w:t>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w:t>
            </w:r>
            <w:r>
              <w:rPr>
                <w:rFonts w:hint="eastAsia" w:ascii="宋体" w:hAnsi="宋体" w:cs="宋体"/>
                <w:sz w:val="24"/>
                <w:highlight w:val="none"/>
                <w:lang w:val="en-US" w:eastAsia="zh-CN"/>
              </w:rPr>
              <w:t>7</w:t>
            </w:r>
            <w:r>
              <w:rPr>
                <w:rFonts w:hint="eastAsia" w:ascii="宋体" w:hAnsi="宋体" w:cs="宋体"/>
                <w:sz w:val="24"/>
                <w:highlight w:val="none"/>
              </w:rPr>
              <w:t>分，</w:t>
            </w:r>
            <w:r>
              <w:rPr>
                <w:rFonts w:hint="eastAsia" w:ascii="宋体" w:hAnsi="宋体" w:cs="宋体"/>
                <w:sz w:val="24"/>
                <w:highlight w:val="none"/>
                <w:lang w:val="en-US" w:eastAsia="zh-CN"/>
              </w:rPr>
              <w:t>成员具有2年以上工程管理相关方面的审计经验得3分，</w:t>
            </w:r>
            <w:r>
              <w:rPr>
                <w:rFonts w:hint="eastAsia" w:ascii="宋体" w:hAnsi="宋体" w:cs="宋体"/>
                <w:sz w:val="24"/>
                <w:highlight w:val="none"/>
              </w:rPr>
              <w:t>其他为</w:t>
            </w:r>
            <w:r>
              <w:rPr>
                <w:rFonts w:ascii="宋体" w:hAnsi="宋体" w:cs="宋体"/>
                <w:sz w:val="24"/>
                <w:highlight w:val="none"/>
              </w:rPr>
              <w:t>0</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10</w:t>
            </w:r>
            <w:r>
              <w:rPr>
                <w:rFonts w:ascii="宋体" w:hAnsi="宋体" w:cs="宋体"/>
                <w:kern w:val="0"/>
                <w:sz w:val="24"/>
                <w:highlight w:val="none"/>
                <w:u w:val="single"/>
              </w:rPr>
              <w:t xml:space="preserve">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hint="eastAsia" w:ascii="宋体" w:hAnsi="宋体" w:cs="宋体"/>
                <w:kern w:val="0"/>
                <w:sz w:val="24"/>
                <w:highlight w:val="none"/>
                <w:lang w:val="en-US" w:eastAsia="zh-CN"/>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3" w:name="_Toc15663"/>
      <w:bookmarkStart w:id="564" w:name="_Toc19593"/>
      <w:bookmarkStart w:id="565" w:name="_Toc14432"/>
      <w:bookmarkStart w:id="566" w:name="_Toc21685"/>
      <w:bookmarkStart w:id="567" w:name="_Toc19395"/>
      <w:bookmarkStart w:id="568" w:name="_Toc24296"/>
      <w:bookmarkStart w:id="569" w:name="_Toc17415"/>
      <w:bookmarkStart w:id="570" w:name="_Toc32310"/>
      <w:bookmarkStart w:id="571" w:name="_Toc27525"/>
      <w:bookmarkStart w:id="572" w:name="_Toc27375"/>
      <w:bookmarkStart w:id="573" w:name="_Toc13854"/>
      <w:bookmarkStart w:id="574" w:name="_Toc28185"/>
      <w:bookmarkStart w:id="575" w:name="_Toc471482377"/>
      <w:bookmarkStart w:id="576" w:name="_Toc22367"/>
      <w:bookmarkStart w:id="577" w:name="_Toc25386"/>
      <w:bookmarkStart w:id="578" w:name="_Toc19365"/>
      <w:bookmarkStart w:id="579" w:name="_Toc10183"/>
      <w:bookmarkStart w:id="580" w:name="_Toc7198"/>
      <w:r>
        <w:rPr>
          <w:rFonts w:hint="eastAsia" w:ascii="宋体" w:hAnsi="宋体" w:cs="仿宋"/>
          <w:szCs w:val="28"/>
          <w:highlight w:val="none"/>
        </w:rPr>
        <w:t>四、中选标准</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小组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7"/>
          <w:rFonts w:ascii="宋体" w:hAnsi="宋体" w:eastAsia="宋体" w:cs="方正小标宋简体"/>
          <w:bCs/>
          <w:sz w:val="28"/>
          <w:szCs w:val="28"/>
          <w:highlight w:val="none"/>
        </w:rPr>
      </w:pPr>
      <w:bookmarkStart w:id="581" w:name="_Toc31681"/>
      <w:bookmarkStart w:id="582" w:name="_Toc21321"/>
      <w:bookmarkStart w:id="583" w:name="_Toc14659"/>
      <w:bookmarkStart w:id="584" w:name="_Toc1299"/>
      <w:bookmarkStart w:id="585" w:name="_Toc26446"/>
      <w:bookmarkStart w:id="586" w:name="_Toc25061"/>
      <w:bookmarkStart w:id="587" w:name="_Toc6337"/>
      <w:bookmarkStart w:id="588" w:name="_Toc26409"/>
      <w:bookmarkStart w:id="589" w:name="_Toc28535"/>
      <w:bookmarkStart w:id="590" w:name="_Toc5010"/>
      <w:bookmarkStart w:id="591" w:name="_Toc100643475"/>
      <w:bookmarkStart w:id="592" w:name="_Toc18668"/>
      <w:bookmarkStart w:id="593" w:name="_Toc9597"/>
      <w:bookmarkStart w:id="594" w:name="_Toc492478835"/>
      <w:bookmarkStart w:id="595" w:name="_Toc1144"/>
      <w:bookmarkStart w:id="596" w:name="_Toc12314"/>
      <w:bookmarkStart w:id="597" w:name="_Toc14566"/>
      <w:bookmarkStart w:id="598" w:name="_Toc13941"/>
      <w:bookmarkStart w:id="599" w:name="_Toc30897"/>
      <w:bookmarkStart w:id="600" w:name="_Toc328"/>
      <w:bookmarkStart w:id="601" w:name="_Toc20298"/>
      <w:bookmarkStart w:id="602" w:name="_Toc6454"/>
      <w:bookmarkStart w:id="603" w:name="_Toc16754"/>
      <w:bookmarkStart w:id="604" w:name="_Toc26741"/>
      <w:bookmarkStart w:id="605" w:name="_Toc8402"/>
      <w:bookmarkStart w:id="606" w:name="_Toc26468"/>
      <w:bookmarkStart w:id="607" w:name="_Toc28135"/>
      <w:bookmarkStart w:id="608" w:name="_Toc12695"/>
      <w:r>
        <w:rPr>
          <w:rStyle w:val="57"/>
          <w:rFonts w:hint="eastAsia" w:ascii="宋体" w:hAnsi="宋体" w:eastAsia="宋体" w:cs="方正小标宋简体"/>
          <w:bCs/>
          <w:sz w:val="28"/>
          <w:szCs w:val="28"/>
          <w:highlight w:val="none"/>
        </w:rPr>
        <w:t>第五章</w:t>
      </w:r>
      <w:r>
        <w:rPr>
          <w:rStyle w:val="57"/>
          <w:rFonts w:ascii="宋体" w:hAnsi="宋体" w:eastAsia="宋体" w:cs="方正小标宋简体"/>
          <w:bCs/>
          <w:sz w:val="28"/>
          <w:szCs w:val="28"/>
          <w:highlight w:val="none"/>
        </w:rPr>
        <w:t xml:space="preserve"> </w:t>
      </w:r>
      <w:r>
        <w:rPr>
          <w:rStyle w:val="57"/>
          <w:rFonts w:hint="eastAsia" w:ascii="宋体" w:hAnsi="宋体" w:eastAsia="宋体" w:cs="方正小标宋简体"/>
          <w:bCs/>
          <w:sz w:val="28"/>
          <w:szCs w:val="28"/>
          <w:highlight w:val="none"/>
        </w:rPr>
        <w:t>用户需求书</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09" w:name="_Toc72762753"/>
    </w:p>
    <w:p>
      <w:pPr>
        <w:keepNext w:val="0"/>
        <w:keepLines w:val="0"/>
        <w:pageBreakBefore w:val="0"/>
        <w:widowControl/>
        <w:numPr>
          <w:ilvl w:val="255"/>
          <w:numId w:val="0"/>
        </w:numPr>
        <w:kinsoku/>
        <w:wordWrap/>
        <w:overflowPunct/>
        <w:topLinePunct w:val="0"/>
        <w:autoSpaceDE/>
        <w:autoSpaceDN/>
        <w:bidi w:val="0"/>
        <w:snapToGrid w:val="0"/>
        <w:spacing w:line="54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09"/>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目标</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根据《中华人民共和国招标投标法》《中华人民共和国招标投标法实施条例》《中华人民共和国民法典》及其他相关法律法规，以及南宁轨道交通集团有限责任公司、南宁轨道</w:t>
      </w:r>
      <w:r>
        <w:rPr>
          <w:rFonts w:hint="eastAsia" w:ascii="仿宋" w:hAnsi="仿宋" w:eastAsia="仿宋" w:cs="仿宋"/>
          <w:sz w:val="28"/>
          <w:szCs w:val="28"/>
          <w:highlight w:val="none"/>
          <w:lang w:val="en-US" w:eastAsia="zh-CN"/>
        </w:rPr>
        <w:t>交通建设有限公司</w:t>
      </w:r>
      <w:r>
        <w:rPr>
          <w:rFonts w:hint="eastAsia" w:ascii="仿宋" w:hAnsi="仿宋" w:eastAsia="仿宋" w:cs="仿宋"/>
          <w:sz w:val="28"/>
          <w:szCs w:val="28"/>
          <w:highlight w:val="none"/>
        </w:rPr>
        <w:t>招标采购、合同管理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工程施工</w:t>
      </w:r>
      <w:r>
        <w:rPr>
          <w:rFonts w:hint="eastAsia" w:ascii="仿宋" w:hAnsi="仿宋" w:eastAsia="仿宋" w:cs="仿宋"/>
          <w:sz w:val="28"/>
          <w:szCs w:val="28"/>
          <w:highlight w:val="none"/>
        </w:rPr>
        <w:t>等制度开展工作，对南宁轨道</w:t>
      </w:r>
      <w:r>
        <w:rPr>
          <w:rFonts w:hint="eastAsia" w:ascii="仿宋" w:hAnsi="仿宋" w:eastAsia="仿宋" w:cs="仿宋"/>
          <w:sz w:val="28"/>
          <w:szCs w:val="28"/>
          <w:highlight w:val="none"/>
          <w:lang w:val="en-US" w:eastAsia="zh-CN"/>
        </w:rPr>
        <w:t>交通建设有限</w:t>
      </w:r>
      <w:r>
        <w:rPr>
          <w:rFonts w:hint="eastAsia" w:ascii="仿宋" w:hAnsi="仿宋" w:eastAsia="仿宋" w:cs="仿宋"/>
          <w:sz w:val="28"/>
          <w:szCs w:val="28"/>
          <w:highlight w:val="none"/>
        </w:rPr>
        <w:t>公司2020年至2022年采购</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合同管理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工程签证管理</w:t>
      </w:r>
      <w:r>
        <w:rPr>
          <w:rFonts w:hint="eastAsia" w:ascii="仿宋" w:hAnsi="仿宋" w:eastAsia="仿宋" w:cs="仿宋"/>
          <w:sz w:val="28"/>
          <w:szCs w:val="28"/>
          <w:highlight w:val="none"/>
        </w:rPr>
        <w:t>情况作出客观公正、实事求是的评价，出具南宁轨道</w:t>
      </w:r>
      <w:r>
        <w:rPr>
          <w:rFonts w:hint="eastAsia" w:ascii="仿宋" w:hAnsi="仿宋" w:eastAsia="仿宋" w:cs="仿宋"/>
          <w:sz w:val="28"/>
          <w:szCs w:val="28"/>
          <w:highlight w:val="none"/>
          <w:lang w:val="en-US" w:eastAsia="zh-CN"/>
        </w:rPr>
        <w:t>交通建设有限</w:t>
      </w:r>
      <w:r>
        <w:rPr>
          <w:rFonts w:hint="eastAsia" w:ascii="仿宋" w:hAnsi="仿宋" w:eastAsia="仿宋" w:cs="仿宋"/>
          <w:sz w:val="28"/>
          <w:szCs w:val="28"/>
          <w:highlight w:val="none"/>
        </w:rPr>
        <w:t>公司2020年至2022年采购及合同管理专项审计报告，并经南宁轨道交通集团有限责任公司审批通过。</w:t>
      </w:r>
      <w:r>
        <w:rPr>
          <w:rFonts w:hint="eastAsia" w:ascii="仿宋" w:hAnsi="仿宋" w:eastAsia="仿宋" w:cs="仿宋"/>
          <w:sz w:val="28"/>
          <w:szCs w:val="28"/>
          <w:highlight w:val="none"/>
          <w:lang w:val="en-US" w:eastAsia="zh-CN"/>
        </w:rPr>
        <w:t>审计</w:t>
      </w:r>
      <w:r>
        <w:rPr>
          <w:rFonts w:hint="eastAsia" w:ascii="仿宋" w:hAnsi="仿宋" w:eastAsia="仿宋" w:cs="仿宋"/>
          <w:sz w:val="28"/>
          <w:szCs w:val="28"/>
          <w:highlight w:val="none"/>
        </w:rPr>
        <w:t>重点主要包括但不仅限于以下内容：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1.采购管理审计</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（1）采购管理制度及标准化流程的建立情况及制度设计的合理性；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（2）采购工作管理委员会、总经理办公会、董事会分级审批、决策</w:t>
      </w:r>
      <w:r>
        <w:rPr>
          <w:rFonts w:hint="eastAsia" w:ascii="仿宋" w:hAnsi="仿宋" w:eastAsia="仿宋" w:cs="仿宋"/>
          <w:b w:val="0"/>
          <w:bCs w:val="0"/>
          <w:sz w:val="28"/>
          <w:szCs w:val="28"/>
          <w:highlight w:val="none"/>
          <w:lang w:val="zh-CN" w:eastAsia="zh-CN"/>
        </w:rPr>
        <w:t>情况</w:t>
      </w:r>
      <w:r>
        <w:rPr>
          <w:rFonts w:hint="eastAsia" w:ascii="仿宋" w:hAnsi="仿宋" w:eastAsia="仿宋" w:cs="仿宋"/>
          <w:b w:val="0"/>
          <w:bCs w:val="0"/>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（3）年度采购计划编制、月度临时新增采购计划、紧急采购计划的编制、审批、执行</w:t>
      </w:r>
      <w:r>
        <w:rPr>
          <w:rFonts w:hint="eastAsia" w:ascii="仿宋" w:hAnsi="仿宋" w:eastAsia="仿宋" w:cs="仿宋"/>
          <w:b w:val="0"/>
          <w:bCs w:val="0"/>
          <w:sz w:val="28"/>
          <w:szCs w:val="28"/>
          <w:highlight w:val="none"/>
          <w:lang w:val="zh-CN" w:eastAsia="zh-CN"/>
        </w:rPr>
        <w:t>情况</w:t>
      </w:r>
      <w:r>
        <w:rPr>
          <w:rFonts w:hint="eastAsia" w:ascii="仿宋" w:hAnsi="仿宋" w:eastAsia="仿宋" w:cs="仿宋"/>
          <w:b w:val="0"/>
          <w:bCs w:val="0"/>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（4）招标类采购、非招标类采购的分判及具体执行情况，关注非公开招标类项目采购评审、谈判过程；</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（5）供应商管理及评价体系建立、各类供应商资源库考察、维护情况；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 xml:space="preserve">（6）采购监督部门执行监督、检查的情况； </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（7）在</w:t>
      </w:r>
      <w:r>
        <w:rPr>
          <w:rFonts w:hint="eastAsia" w:ascii="仿宋" w:hAnsi="仿宋" w:eastAsia="仿宋" w:cs="仿宋"/>
          <w:b w:val="0"/>
          <w:bCs w:val="0"/>
          <w:sz w:val="28"/>
          <w:szCs w:val="28"/>
          <w:highlight w:val="none"/>
          <w:lang w:val="zh-CN" w:eastAsia="zh-CN"/>
        </w:rPr>
        <w:t>采购活动中落实有关党风廉政建设责任和遵守廉洁从业规定情况</w:t>
      </w:r>
      <w:r>
        <w:rPr>
          <w:rFonts w:hint="eastAsia" w:ascii="仿宋" w:hAnsi="仿宋" w:eastAsia="仿宋" w:cs="仿宋"/>
          <w:b w:val="0"/>
          <w:bCs w:val="0"/>
          <w:sz w:val="28"/>
          <w:szCs w:val="28"/>
          <w:highlight w:val="none"/>
          <w:lang w:val="en-US" w:eastAsia="zh-CN"/>
        </w:rPr>
        <w:t>；</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（8）采购验收手续是否完整、真实；</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（9）采购流程是否遵守国家法规及公司的采购管理制度；</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（10）采购台账日常管理情况，采购文件管理、归档情况。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2.合同管理审计</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（1）合同管理制度和标准化流程，以及合同管理系统的建立情况，制度设计的合理性；</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（2）合同审批、签订流程执行情况，关注合同审批、签订流程是否符合相关规定，手续是否完整；</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（3）合同履约过程管理情况，实际履约效果与采购需求的一致性，关注合同发生变更是否符合原合同条款或法定条件，依据是否充分，相关审批手续是否完整；</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（4）公司对合同的履行情况是否进行跟踪管理，是否存在超付合同支付的违规行为；</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（5）合同变更审批、结算、付款、索赔情况，关注是否存在支付风险；</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（6）合同日常管理情况，合同台账、合同文本、结算资料等归档与保管情况，公司合同管理信息化应用情况。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default"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3.工程签证管理审计</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（1）工程项目签证管理情况，关注工程签证内容的合规性、真实性、合理性，签证内容是否与实际发生相符，签证的计量计价是否与合同有关条款约定相符，是否及时办理签证（含减项签证办理）；</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（2）工程项目现场签证审批情况，关注是否已按照制度规定执行审批流程，工程签证过程的监管程序与各方审批程序是否完善，是否存在越权审批；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（3）工程项目现场签证台账管理情况，签证资料管理、归档情况，关注工程管理部门对签证实施进度管控情况。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4.以往审计发现问题整改的情况。</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重点关注涉及违规招采、违规签证问题的追责问责情况，整改完成效果。</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val="en-US" w:eastAsia="zh-CN"/>
        </w:rPr>
        <w:t>5.其他需要审计的内容。</w:t>
      </w:r>
    </w:p>
    <w:p>
      <w:pPr>
        <w:keepNext w:val="0"/>
        <w:keepLines w:val="0"/>
        <w:pageBreakBefore w:val="0"/>
        <w:kinsoku/>
        <w:wordWrap/>
        <w:overflowPunct/>
        <w:topLinePunct w:val="0"/>
        <w:autoSpaceDE/>
        <w:autoSpaceDN/>
        <w:bidi w:val="0"/>
        <w:snapToGrid w:val="0"/>
        <w:spacing w:line="540" w:lineRule="exact"/>
        <w:ind w:firstLine="560" w:firstLineChars="200"/>
        <w:textAlignment w:val="baseline"/>
        <w:rPr>
          <w:rFonts w:hint="eastAsia" w:ascii="楷体" w:hAnsi="楷体" w:eastAsia="楷体" w:cs="楷体"/>
          <w:sz w:val="28"/>
          <w:szCs w:val="28"/>
          <w:highlight w:val="none"/>
        </w:rPr>
      </w:pPr>
      <w:r>
        <w:rPr>
          <w:rFonts w:hint="eastAsia" w:ascii="楷体" w:hAnsi="楷体" w:eastAsia="楷体" w:cs="楷体"/>
          <w:sz w:val="28"/>
          <w:szCs w:val="28"/>
          <w:highlight w:val="none"/>
        </w:rPr>
        <w:t>（二）</w:t>
      </w:r>
      <w:r>
        <w:rPr>
          <w:rFonts w:hint="eastAsia" w:ascii="楷体" w:hAnsi="楷体" w:eastAsia="楷体" w:cs="楷体"/>
          <w:sz w:val="28"/>
          <w:szCs w:val="28"/>
          <w:highlight w:val="none"/>
          <w:lang w:val="en-US" w:eastAsia="zh-CN"/>
        </w:rPr>
        <w:t>审计</w:t>
      </w:r>
      <w:r>
        <w:rPr>
          <w:rFonts w:hint="eastAsia" w:ascii="楷体" w:hAnsi="楷体" w:eastAsia="楷体" w:cs="楷体"/>
          <w:sz w:val="28"/>
          <w:szCs w:val="28"/>
          <w:highlight w:val="none"/>
        </w:rPr>
        <w:t>对象、范围</w:t>
      </w:r>
    </w:p>
    <w:p>
      <w:pPr>
        <w:pStyle w:val="55"/>
        <w:pageBreakBefore w:val="0"/>
        <w:widowControl w:val="0"/>
        <w:shd w:val="clear" w:color="auto" w:fill="auto"/>
        <w:kinsoku/>
        <w:wordWrap/>
        <w:overflowPunct/>
        <w:topLinePunct w:val="0"/>
        <w:autoSpaceDE/>
        <w:autoSpaceDN/>
        <w:bidi w:val="0"/>
        <w:adjustRightInd/>
        <w:snapToGrid/>
        <w:spacing w:before="0" w:after="0" w:line="540" w:lineRule="exact"/>
        <w:ind w:right="0" w:firstLine="562" w:firstLineChars="200"/>
        <w:jc w:val="both"/>
        <w:textAlignment w:val="auto"/>
        <w:rPr>
          <w:rFonts w:hint="eastAsia" w:ascii="仿宋" w:hAnsi="仿宋" w:eastAsia="仿宋" w:cs="仿宋"/>
          <w:b w:val="0"/>
          <w:bCs w:val="0"/>
          <w:kern w:val="2"/>
          <w:sz w:val="28"/>
          <w:szCs w:val="28"/>
          <w:highlight w:val="none"/>
          <w:lang w:val="en-US" w:eastAsia="zh-CN" w:bidi="ar-SA"/>
        </w:rPr>
      </w:pPr>
      <w:r>
        <w:rPr>
          <w:rFonts w:hint="eastAsia" w:ascii="仿宋" w:hAnsi="仿宋" w:eastAsia="仿宋" w:cs="仿宋"/>
          <w:b/>
          <w:bCs/>
          <w:sz w:val="28"/>
          <w:szCs w:val="28"/>
          <w:highlight w:val="none"/>
          <w:lang w:val="en-US" w:eastAsia="zh-CN"/>
        </w:rPr>
        <w:t>审计对象：</w:t>
      </w:r>
      <w:r>
        <w:rPr>
          <w:rFonts w:hint="eastAsia" w:ascii="仿宋" w:hAnsi="仿宋" w:eastAsia="仿宋" w:cs="仿宋"/>
          <w:b w:val="0"/>
          <w:bCs w:val="0"/>
          <w:kern w:val="2"/>
          <w:sz w:val="28"/>
          <w:szCs w:val="28"/>
          <w:highlight w:val="none"/>
          <w:lang w:val="en-US" w:eastAsia="zh-CN" w:bidi="ar-SA"/>
        </w:rPr>
        <w:t>南宁轨道交通建设有限公司4号线、5号线采购管理、合同管理（含工程签证管理）情况的</w:t>
      </w:r>
      <w:r>
        <w:rPr>
          <w:rFonts w:hint="eastAsia" w:ascii="仿宋" w:hAnsi="仿宋" w:eastAsia="仿宋" w:cs="仿宋"/>
          <w:b w:val="0"/>
          <w:bCs w:val="0"/>
          <w:kern w:val="2"/>
          <w:sz w:val="28"/>
          <w:szCs w:val="28"/>
          <w:highlight w:val="none"/>
          <w:lang w:val="zh-CN" w:eastAsia="zh-CN" w:bidi="ar-SA"/>
        </w:rPr>
        <w:t>合法性、合规性、真实性和完整性。</w:t>
      </w:r>
    </w:p>
    <w:p>
      <w:pPr>
        <w:keepNext w:val="0"/>
        <w:keepLines w:val="0"/>
        <w:pageBreakBefore w:val="0"/>
        <w:kinsoku/>
        <w:wordWrap/>
        <w:overflowPunct/>
        <w:topLinePunct w:val="0"/>
        <w:autoSpaceDE/>
        <w:autoSpaceDN/>
        <w:bidi w:val="0"/>
        <w:snapToGrid w:val="0"/>
        <w:spacing w:line="540" w:lineRule="exact"/>
        <w:ind w:firstLine="562" w:firstLineChars="200"/>
        <w:textAlignment w:val="baseline"/>
        <w:rPr>
          <w:rFonts w:hint="eastAsia" w:ascii="仿宋" w:hAnsi="仿宋" w:eastAsia="仿宋" w:cs="仿宋"/>
          <w:b w:val="0"/>
          <w:bCs w:val="0"/>
          <w:sz w:val="28"/>
          <w:szCs w:val="28"/>
          <w:highlight w:val="none"/>
          <w:lang w:val="en-US" w:eastAsia="zh-CN"/>
        </w:rPr>
      </w:pPr>
      <w:r>
        <w:rPr>
          <w:rFonts w:hint="eastAsia" w:ascii="仿宋" w:hAnsi="仿宋" w:eastAsia="仿宋" w:cs="仿宋"/>
          <w:b/>
          <w:bCs/>
          <w:sz w:val="28"/>
          <w:szCs w:val="28"/>
          <w:highlight w:val="none"/>
          <w:lang w:val="en-US" w:eastAsia="zh-CN"/>
        </w:rPr>
        <w:t>审计范围：</w:t>
      </w:r>
      <w:r>
        <w:rPr>
          <w:rFonts w:hint="eastAsia" w:ascii="仿宋" w:hAnsi="仿宋" w:eastAsia="仿宋" w:cs="仿宋"/>
          <w:b w:val="0"/>
          <w:bCs w:val="0"/>
          <w:sz w:val="28"/>
          <w:szCs w:val="28"/>
          <w:highlight w:val="none"/>
          <w:lang w:val="en-US" w:eastAsia="zh-CN"/>
        </w:rPr>
        <w:t>2020年1月至2022年12月，必要时追溯到相关年度或延伸审计有关单位（部门）。</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90778"/>
    <w:multiLevelType w:val="singleLevel"/>
    <w:tmpl w:val="8B290778"/>
    <w:lvl w:ilvl="0" w:tentative="0">
      <w:start w:val="1"/>
      <w:numFmt w:val="chineseCounting"/>
      <w:suff w:val="nothing"/>
      <w:lvlText w:val="%1、"/>
      <w:lvlJc w:val="left"/>
      <w:rPr>
        <w:rFonts w:hint="eastAsia"/>
      </w:rPr>
    </w:lvl>
  </w:abstractNum>
  <w:abstractNum w:abstractNumId="1">
    <w:nsid w:val="FDF8B55F"/>
    <w:multiLevelType w:val="singleLevel"/>
    <w:tmpl w:val="FDF8B55F"/>
    <w:lvl w:ilvl="0" w:tentative="0">
      <w:start w:val="4"/>
      <w:numFmt w:val="decimal"/>
      <w:suff w:val="nothing"/>
      <w:lvlText w:val="（%1）"/>
      <w:lvlJc w:val="left"/>
    </w:lvl>
  </w:abstractNum>
  <w:abstractNum w:abstractNumId="2">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3">
    <w:nsid w:val="52ABEA66"/>
    <w:multiLevelType w:val="singleLevel"/>
    <w:tmpl w:val="52ABEA66"/>
    <w:lvl w:ilvl="0" w:tentative="0">
      <w:start w:val="3"/>
      <w:numFmt w:val="chineseCounting"/>
      <w:suff w:val="space"/>
      <w:lvlText w:val="第%1章"/>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k1ZmQ5YjUyMTcwMWY2MGIxMGU3MjRkMmM2NTc0ZTQ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6684B"/>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57712E0"/>
    <w:rsid w:val="0659602B"/>
    <w:rsid w:val="068124F2"/>
    <w:rsid w:val="07AB246B"/>
    <w:rsid w:val="07DB1F40"/>
    <w:rsid w:val="080028EE"/>
    <w:rsid w:val="08D74FC5"/>
    <w:rsid w:val="08FD0388"/>
    <w:rsid w:val="09630D8D"/>
    <w:rsid w:val="09C71513"/>
    <w:rsid w:val="09D300D1"/>
    <w:rsid w:val="0A4C3E0F"/>
    <w:rsid w:val="0A8F02C9"/>
    <w:rsid w:val="0C094F89"/>
    <w:rsid w:val="0C145AEF"/>
    <w:rsid w:val="0C30025C"/>
    <w:rsid w:val="0D7B6C02"/>
    <w:rsid w:val="0EDB787F"/>
    <w:rsid w:val="0FA61452"/>
    <w:rsid w:val="0FB466B0"/>
    <w:rsid w:val="116A622C"/>
    <w:rsid w:val="117B1504"/>
    <w:rsid w:val="118D1C38"/>
    <w:rsid w:val="11F37030"/>
    <w:rsid w:val="12062478"/>
    <w:rsid w:val="124962F0"/>
    <w:rsid w:val="1250401C"/>
    <w:rsid w:val="132035A6"/>
    <w:rsid w:val="13270AAD"/>
    <w:rsid w:val="13527FA6"/>
    <w:rsid w:val="13602F23"/>
    <w:rsid w:val="140E6614"/>
    <w:rsid w:val="14B552DF"/>
    <w:rsid w:val="152F2F86"/>
    <w:rsid w:val="15B80938"/>
    <w:rsid w:val="16403A11"/>
    <w:rsid w:val="16CB6554"/>
    <w:rsid w:val="16E24139"/>
    <w:rsid w:val="170F0C33"/>
    <w:rsid w:val="17497BA2"/>
    <w:rsid w:val="175427B6"/>
    <w:rsid w:val="180B15DA"/>
    <w:rsid w:val="181D3C99"/>
    <w:rsid w:val="194526CA"/>
    <w:rsid w:val="199B70C1"/>
    <w:rsid w:val="1A6E1B33"/>
    <w:rsid w:val="1A7600F5"/>
    <w:rsid w:val="1ACC2C07"/>
    <w:rsid w:val="1AFF2C62"/>
    <w:rsid w:val="1B190BC1"/>
    <w:rsid w:val="1B50328A"/>
    <w:rsid w:val="1B5B21F6"/>
    <w:rsid w:val="1B896C48"/>
    <w:rsid w:val="1BBE19E0"/>
    <w:rsid w:val="1C3B44E8"/>
    <w:rsid w:val="1C592A6B"/>
    <w:rsid w:val="1CEB383B"/>
    <w:rsid w:val="1D157D7A"/>
    <w:rsid w:val="1D78034B"/>
    <w:rsid w:val="1DB40E63"/>
    <w:rsid w:val="1E5148EB"/>
    <w:rsid w:val="1E841815"/>
    <w:rsid w:val="1F1A0C3B"/>
    <w:rsid w:val="1F2C732E"/>
    <w:rsid w:val="1F5972B0"/>
    <w:rsid w:val="1FAA075C"/>
    <w:rsid w:val="208F6258"/>
    <w:rsid w:val="21964DFD"/>
    <w:rsid w:val="21AB2385"/>
    <w:rsid w:val="231433E7"/>
    <w:rsid w:val="239A6560"/>
    <w:rsid w:val="23F308EE"/>
    <w:rsid w:val="245360EB"/>
    <w:rsid w:val="247513A1"/>
    <w:rsid w:val="24FC7F7D"/>
    <w:rsid w:val="2524289E"/>
    <w:rsid w:val="25344C05"/>
    <w:rsid w:val="26BA3725"/>
    <w:rsid w:val="271F1233"/>
    <w:rsid w:val="27394EB2"/>
    <w:rsid w:val="27B02A42"/>
    <w:rsid w:val="281E70EA"/>
    <w:rsid w:val="28496DC7"/>
    <w:rsid w:val="29037CEC"/>
    <w:rsid w:val="290C056A"/>
    <w:rsid w:val="290F13E3"/>
    <w:rsid w:val="29732D2A"/>
    <w:rsid w:val="297629F2"/>
    <w:rsid w:val="2B0A25F1"/>
    <w:rsid w:val="2BDC13E8"/>
    <w:rsid w:val="2C2F6C5B"/>
    <w:rsid w:val="2CD425E5"/>
    <w:rsid w:val="2D4F0F38"/>
    <w:rsid w:val="2D6476F3"/>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043848"/>
    <w:rsid w:val="36306832"/>
    <w:rsid w:val="36483135"/>
    <w:rsid w:val="373C7CDF"/>
    <w:rsid w:val="37BE7040"/>
    <w:rsid w:val="381A3ED0"/>
    <w:rsid w:val="389F5823"/>
    <w:rsid w:val="38EC0857"/>
    <w:rsid w:val="39477140"/>
    <w:rsid w:val="39924D42"/>
    <w:rsid w:val="39A4566F"/>
    <w:rsid w:val="39AA33F1"/>
    <w:rsid w:val="3A0A710D"/>
    <w:rsid w:val="3A3B6F95"/>
    <w:rsid w:val="3A7114AF"/>
    <w:rsid w:val="3AB94700"/>
    <w:rsid w:val="3B2B1543"/>
    <w:rsid w:val="3B5B6D71"/>
    <w:rsid w:val="3B900DC8"/>
    <w:rsid w:val="3B981772"/>
    <w:rsid w:val="3BCD4780"/>
    <w:rsid w:val="3BE02516"/>
    <w:rsid w:val="3C421154"/>
    <w:rsid w:val="3CED4FAC"/>
    <w:rsid w:val="3D23141F"/>
    <w:rsid w:val="3D593E8C"/>
    <w:rsid w:val="3DAF1262"/>
    <w:rsid w:val="3E611883"/>
    <w:rsid w:val="3F5868E2"/>
    <w:rsid w:val="3F842C17"/>
    <w:rsid w:val="3FCE3382"/>
    <w:rsid w:val="4039719F"/>
    <w:rsid w:val="40FE18D7"/>
    <w:rsid w:val="41071E4D"/>
    <w:rsid w:val="421678CB"/>
    <w:rsid w:val="42834427"/>
    <w:rsid w:val="42A61B46"/>
    <w:rsid w:val="42B53FDE"/>
    <w:rsid w:val="42DB2BF2"/>
    <w:rsid w:val="430B100B"/>
    <w:rsid w:val="43312BF2"/>
    <w:rsid w:val="43D52B21"/>
    <w:rsid w:val="440C0C76"/>
    <w:rsid w:val="44497C1B"/>
    <w:rsid w:val="44976E5A"/>
    <w:rsid w:val="45F50E41"/>
    <w:rsid w:val="46164319"/>
    <w:rsid w:val="47472A18"/>
    <w:rsid w:val="475B6207"/>
    <w:rsid w:val="476B0FBA"/>
    <w:rsid w:val="478E5F3C"/>
    <w:rsid w:val="480E2214"/>
    <w:rsid w:val="48B81E35"/>
    <w:rsid w:val="49444BDC"/>
    <w:rsid w:val="4A43105C"/>
    <w:rsid w:val="4DA44ADF"/>
    <w:rsid w:val="4DC2042B"/>
    <w:rsid w:val="4DDE719A"/>
    <w:rsid w:val="4DFB2E3E"/>
    <w:rsid w:val="4E7711DC"/>
    <w:rsid w:val="4EA10878"/>
    <w:rsid w:val="4F4B516F"/>
    <w:rsid w:val="4F755271"/>
    <w:rsid w:val="4FBE7BEA"/>
    <w:rsid w:val="5029647A"/>
    <w:rsid w:val="50D80FF9"/>
    <w:rsid w:val="51265F87"/>
    <w:rsid w:val="514D1E63"/>
    <w:rsid w:val="51596929"/>
    <w:rsid w:val="51BC507B"/>
    <w:rsid w:val="52631353"/>
    <w:rsid w:val="52AF37C9"/>
    <w:rsid w:val="53942531"/>
    <w:rsid w:val="54B924DC"/>
    <w:rsid w:val="54FA7809"/>
    <w:rsid w:val="555B3BB0"/>
    <w:rsid w:val="55F42094"/>
    <w:rsid w:val="58192794"/>
    <w:rsid w:val="58985265"/>
    <w:rsid w:val="58E66F69"/>
    <w:rsid w:val="59505D9C"/>
    <w:rsid w:val="597C7653"/>
    <w:rsid w:val="59893102"/>
    <w:rsid w:val="5990205B"/>
    <w:rsid w:val="59C65937"/>
    <w:rsid w:val="59E648CF"/>
    <w:rsid w:val="5B2E163E"/>
    <w:rsid w:val="5B4F2CD5"/>
    <w:rsid w:val="5B6414CE"/>
    <w:rsid w:val="5BC32BEB"/>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2E47EA2"/>
    <w:rsid w:val="634D5CB6"/>
    <w:rsid w:val="63E00724"/>
    <w:rsid w:val="6478698A"/>
    <w:rsid w:val="650B1736"/>
    <w:rsid w:val="652D2AF4"/>
    <w:rsid w:val="654710AE"/>
    <w:rsid w:val="65A268A9"/>
    <w:rsid w:val="65B00BC4"/>
    <w:rsid w:val="66C343CE"/>
    <w:rsid w:val="66CA20DF"/>
    <w:rsid w:val="670A38BA"/>
    <w:rsid w:val="67341C19"/>
    <w:rsid w:val="673955E1"/>
    <w:rsid w:val="67440CAB"/>
    <w:rsid w:val="678A5E57"/>
    <w:rsid w:val="67B0300C"/>
    <w:rsid w:val="68122C54"/>
    <w:rsid w:val="685C2695"/>
    <w:rsid w:val="68B14C68"/>
    <w:rsid w:val="68C61866"/>
    <w:rsid w:val="6AA33BCA"/>
    <w:rsid w:val="6B0D446E"/>
    <w:rsid w:val="6BAB4E1D"/>
    <w:rsid w:val="6BE712D3"/>
    <w:rsid w:val="6C192926"/>
    <w:rsid w:val="6C321222"/>
    <w:rsid w:val="6C3F217F"/>
    <w:rsid w:val="6D575136"/>
    <w:rsid w:val="6D9E1B77"/>
    <w:rsid w:val="6E1D48F0"/>
    <w:rsid w:val="6E7A1830"/>
    <w:rsid w:val="6EB54C74"/>
    <w:rsid w:val="6EBF3327"/>
    <w:rsid w:val="6ECE3EA8"/>
    <w:rsid w:val="6F0C3B6A"/>
    <w:rsid w:val="700B0DBE"/>
    <w:rsid w:val="71BD2C85"/>
    <w:rsid w:val="71C02CF2"/>
    <w:rsid w:val="71EF7786"/>
    <w:rsid w:val="7257796A"/>
    <w:rsid w:val="72AD05F6"/>
    <w:rsid w:val="72DE5608"/>
    <w:rsid w:val="72F86392"/>
    <w:rsid w:val="73B94EA3"/>
    <w:rsid w:val="754014EE"/>
    <w:rsid w:val="75567A5E"/>
    <w:rsid w:val="759743BB"/>
    <w:rsid w:val="7625040A"/>
    <w:rsid w:val="76E55C60"/>
    <w:rsid w:val="773D74D7"/>
    <w:rsid w:val="77C9622C"/>
    <w:rsid w:val="78E8647F"/>
    <w:rsid w:val="79EE5838"/>
    <w:rsid w:val="7A2C6801"/>
    <w:rsid w:val="7A2E4B0E"/>
    <w:rsid w:val="7B6859D1"/>
    <w:rsid w:val="7B8F4CDB"/>
    <w:rsid w:val="7BAA4093"/>
    <w:rsid w:val="7BD101DF"/>
    <w:rsid w:val="7C043694"/>
    <w:rsid w:val="7C387D72"/>
    <w:rsid w:val="7CA32F91"/>
    <w:rsid w:val="7CC22809"/>
    <w:rsid w:val="7D844C59"/>
    <w:rsid w:val="7DA84E33"/>
    <w:rsid w:val="7DFC33EB"/>
    <w:rsid w:val="7EAA02A2"/>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1"/>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2"/>
    <w:qFormat/>
    <w:uiPriority w:val="99"/>
    <w:pPr>
      <w:keepNext/>
      <w:keepLines/>
      <w:spacing w:before="260" w:after="260" w:line="413" w:lineRule="auto"/>
      <w:outlineLvl w:val="2"/>
    </w:pPr>
    <w:rPr>
      <w:kern w:val="0"/>
      <w:sz w:val="28"/>
      <w:szCs w:val="20"/>
    </w:rPr>
  </w:style>
  <w:style w:type="character" w:default="1" w:styleId="27">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3"/>
    <w:qFormat/>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4"/>
    <w:qFormat/>
    <w:uiPriority w:val="99"/>
    <w:rPr>
      <w:rFonts w:ascii="宋体"/>
      <w:sz w:val="18"/>
      <w:szCs w:val="18"/>
    </w:rPr>
  </w:style>
  <w:style w:type="paragraph" w:styleId="8">
    <w:name w:val="toa heading"/>
    <w:basedOn w:val="1"/>
    <w:next w:val="1"/>
    <w:qFormat/>
    <w:uiPriority w:val="99"/>
    <w:pPr>
      <w:spacing w:before="120"/>
    </w:pPr>
    <w:rPr>
      <w:rFonts w:ascii="Arial" w:hAnsi="Arial"/>
      <w:sz w:val="24"/>
    </w:rPr>
  </w:style>
  <w:style w:type="paragraph" w:styleId="9">
    <w:name w:val="annotation text"/>
    <w:basedOn w:val="1"/>
    <w:link w:val="35"/>
    <w:qFormat/>
    <w:uiPriority w:val="99"/>
    <w:pPr>
      <w:jc w:val="left"/>
    </w:pPr>
    <w:rPr>
      <w:rFonts w:ascii="Calibri" w:hAnsi="Calibri"/>
      <w:szCs w:val="22"/>
    </w:rPr>
  </w:style>
  <w:style w:type="paragraph" w:styleId="10">
    <w:name w:val="Body Text Indent"/>
    <w:basedOn w:val="1"/>
    <w:link w:val="36"/>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7"/>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8"/>
    <w:qFormat/>
    <w:uiPriority w:val="99"/>
    <w:rPr>
      <w:sz w:val="18"/>
      <w:szCs w:val="18"/>
    </w:rPr>
  </w:style>
  <w:style w:type="paragraph" w:styleId="16">
    <w:name w:val="footer"/>
    <w:basedOn w:val="1"/>
    <w:link w:val="39"/>
    <w:qFormat/>
    <w:uiPriority w:val="99"/>
    <w:pPr>
      <w:tabs>
        <w:tab w:val="center" w:pos="4153"/>
        <w:tab w:val="right" w:pos="8306"/>
      </w:tabs>
      <w:snapToGrid w:val="0"/>
      <w:jc w:val="left"/>
    </w:pPr>
    <w:rPr>
      <w:sz w:val="18"/>
    </w:rPr>
  </w:style>
  <w:style w:type="paragraph" w:styleId="17">
    <w:name w:val="header"/>
    <w:basedOn w:val="1"/>
    <w:link w:val="4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1"/>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2"/>
    <w:qFormat/>
    <w:uiPriority w:val="99"/>
    <w:rPr>
      <w:rFonts w:ascii="Times New Roman" w:hAnsi="Times New Roman"/>
      <w:b/>
      <w:bCs/>
      <w:szCs w:val="24"/>
    </w:rPr>
  </w:style>
  <w:style w:type="table" w:styleId="26">
    <w:name w:val="Table Grid"/>
    <w:basedOn w:val="2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qFormat/>
    <w:uiPriority w:val="99"/>
    <w:rPr>
      <w:rFonts w:cs="Times New Roman"/>
      <w:color w:val="0000FF"/>
      <w:u w:val="single"/>
    </w:rPr>
  </w:style>
  <w:style w:type="character" w:styleId="29">
    <w:name w:val="annotation reference"/>
    <w:basedOn w:val="27"/>
    <w:qFormat/>
    <w:uiPriority w:val="99"/>
    <w:rPr>
      <w:rFonts w:cs="Times New Roman"/>
      <w:sz w:val="21"/>
    </w:rPr>
  </w:style>
  <w:style w:type="character" w:customStyle="1" w:styleId="30">
    <w:name w:val="Heading 1 Char"/>
    <w:basedOn w:val="27"/>
    <w:link w:val="3"/>
    <w:qFormat/>
    <w:locked/>
    <w:uiPriority w:val="99"/>
    <w:rPr>
      <w:rFonts w:ascii="Times New Roman" w:hAnsi="Times New Roman" w:eastAsia="宋体"/>
      <w:b/>
      <w:kern w:val="44"/>
      <w:sz w:val="20"/>
    </w:rPr>
  </w:style>
  <w:style w:type="character" w:customStyle="1" w:styleId="31">
    <w:name w:val="Heading 2 Char"/>
    <w:basedOn w:val="27"/>
    <w:link w:val="4"/>
    <w:qFormat/>
    <w:locked/>
    <w:uiPriority w:val="99"/>
    <w:rPr>
      <w:rFonts w:ascii="Arial" w:hAnsi="Arial" w:eastAsia="宋体"/>
      <w:sz w:val="20"/>
    </w:rPr>
  </w:style>
  <w:style w:type="character" w:customStyle="1" w:styleId="32">
    <w:name w:val="Heading 3 Char"/>
    <w:basedOn w:val="27"/>
    <w:link w:val="5"/>
    <w:qFormat/>
    <w:locked/>
    <w:uiPriority w:val="99"/>
    <w:rPr>
      <w:rFonts w:eastAsia="宋体"/>
      <w:sz w:val="28"/>
    </w:rPr>
  </w:style>
  <w:style w:type="character" w:customStyle="1" w:styleId="33">
    <w:name w:val="Body Text Char"/>
    <w:basedOn w:val="27"/>
    <w:link w:val="2"/>
    <w:semiHidden/>
    <w:qFormat/>
    <w:uiPriority w:val="99"/>
    <w:rPr>
      <w:szCs w:val="24"/>
    </w:rPr>
  </w:style>
  <w:style w:type="character" w:customStyle="1" w:styleId="34">
    <w:name w:val="Document Map Char"/>
    <w:basedOn w:val="27"/>
    <w:link w:val="7"/>
    <w:qFormat/>
    <w:locked/>
    <w:uiPriority w:val="99"/>
    <w:rPr>
      <w:rFonts w:ascii="宋体"/>
      <w:kern w:val="2"/>
      <w:sz w:val="18"/>
    </w:rPr>
  </w:style>
  <w:style w:type="character" w:customStyle="1" w:styleId="35">
    <w:name w:val="Comment Text Char"/>
    <w:basedOn w:val="27"/>
    <w:link w:val="9"/>
    <w:qFormat/>
    <w:locked/>
    <w:uiPriority w:val="99"/>
    <w:rPr>
      <w:rFonts w:ascii="Calibri" w:hAnsi="Calibri"/>
      <w:kern w:val="2"/>
      <w:sz w:val="22"/>
    </w:rPr>
  </w:style>
  <w:style w:type="character" w:customStyle="1" w:styleId="36">
    <w:name w:val="Body Text Indent Char"/>
    <w:basedOn w:val="27"/>
    <w:link w:val="10"/>
    <w:qFormat/>
    <w:locked/>
    <w:uiPriority w:val="99"/>
    <w:rPr>
      <w:rFonts w:cs="Times New Roman"/>
      <w:kern w:val="2"/>
      <w:sz w:val="24"/>
      <w:szCs w:val="24"/>
    </w:rPr>
  </w:style>
  <w:style w:type="character" w:customStyle="1" w:styleId="37">
    <w:name w:val="Plain Text Char"/>
    <w:basedOn w:val="27"/>
    <w:link w:val="13"/>
    <w:qFormat/>
    <w:locked/>
    <w:uiPriority w:val="99"/>
    <w:rPr>
      <w:rFonts w:ascii="宋体" w:hAnsi="Courier New"/>
      <w:kern w:val="2"/>
      <w:sz w:val="24"/>
    </w:rPr>
  </w:style>
  <w:style w:type="character" w:customStyle="1" w:styleId="38">
    <w:name w:val="Balloon Text Char"/>
    <w:basedOn w:val="27"/>
    <w:link w:val="15"/>
    <w:qFormat/>
    <w:locked/>
    <w:uiPriority w:val="99"/>
    <w:rPr>
      <w:kern w:val="2"/>
      <w:sz w:val="18"/>
    </w:rPr>
  </w:style>
  <w:style w:type="character" w:customStyle="1" w:styleId="39">
    <w:name w:val="Footer Char"/>
    <w:basedOn w:val="27"/>
    <w:link w:val="16"/>
    <w:semiHidden/>
    <w:qFormat/>
    <w:uiPriority w:val="99"/>
    <w:rPr>
      <w:sz w:val="18"/>
      <w:szCs w:val="18"/>
    </w:rPr>
  </w:style>
  <w:style w:type="character" w:customStyle="1" w:styleId="40">
    <w:name w:val="Header Char"/>
    <w:basedOn w:val="27"/>
    <w:link w:val="17"/>
    <w:semiHidden/>
    <w:qFormat/>
    <w:uiPriority w:val="99"/>
    <w:rPr>
      <w:sz w:val="18"/>
      <w:szCs w:val="18"/>
    </w:rPr>
  </w:style>
  <w:style w:type="character" w:customStyle="1" w:styleId="41">
    <w:name w:val="Body Text Indent 3 Char"/>
    <w:basedOn w:val="27"/>
    <w:link w:val="21"/>
    <w:qFormat/>
    <w:locked/>
    <w:uiPriority w:val="99"/>
    <w:rPr>
      <w:kern w:val="2"/>
      <w:sz w:val="16"/>
    </w:rPr>
  </w:style>
  <w:style w:type="character" w:customStyle="1" w:styleId="42">
    <w:name w:val="Comment Subject Char"/>
    <w:basedOn w:val="35"/>
    <w:link w:val="24"/>
    <w:qFormat/>
    <w:locked/>
    <w:uiPriority w:val="99"/>
    <w:rPr>
      <w:rFonts w:cs="Times New Roman"/>
      <w:szCs w:val="22"/>
    </w:rPr>
  </w:style>
  <w:style w:type="character" w:customStyle="1" w:styleId="43">
    <w:name w:val="1101 Char"/>
    <w:link w:val="44"/>
    <w:qFormat/>
    <w:locked/>
    <w:uiPriority w:val="99"/>
    <w:rPr>
      <w:rFonts w:ascii="宋体" w:eastAsia="宋体"/>
      <w:kern w:val="2"/>
      <w:sz w:val="28"/>
    </w:rPr>
  </w:style>
  <w:style w:type="paragraph" w:customStyle="1" w:styleId="44">
    <w:name w:val="1101"/>
    <w:basedOn w:val="1"/>
    <w:link w:val="43"/>
    <w:qFormat/>
    <w:uiPriority w:val="99"/>
    <w:pPr>
      <w:ind w:firstLine="560" w:firstLineChars="200"/>
      <w:jc w:val="left"/>
    </w:pPr>
    <w:rPr>
      <w:rFonts w:ascii="宋体" w:hAnsi="宋体"/>
      <w:sz w:val="28"/>
      <w:szCs w:val="28"/>
    </w:rPr>
  </w:style>
  <w:style w:type="character" w:customStyle="1" w:styleId="45">
    <w:name w:val="正文文本缩进 Char"/>
    <w:basedOn w:val="27"/>
    <w:qFormat/>
    <w:uiPriority w:val="99"/>
    <w:rPr>
      <w:rFonts w:cs="Times New Roman"/>
      <w:kern w:val="2"/>
      <w:sz w:val="24"/>
      <w:szCs w:val="24"/>
    </w:rPr>
  </w:style>
  <w:style w:type="paragraph" w:customStyle="1" w:styleId="46">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7">
    <w:name w:val="纯文本1"/>
    <w:basedOn w:val="1"/>
    <w:qFormat/>
    <w:uiPriority w:val="99"/>
    <w:rPr>
      <w:rFonts w:ascii="宋体" w:hAnsi="Courier New" w:cs="黑体"/>
      <w:szCs w:val="21"/>
    </w:rPr>
  </w:style>
  <w:style w:type="paragraph" w:customStyle="1" w:styleId="48">
    <w:name w:val="ST20_2"/>
    <w:basedOn w:val="1"/>
    <w:qFormat/>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9">
    <w:name w:val="款下正文"/>
    <w:basedOn w:val="1"/>
    <w:qFormat/>
    <w:uiPriority w:val="99"/>
    <w:pPr>
      <w:spacing w:beforeLines="50" w:afterLines="50" w:line="480" w:lineRule="exact"/>
      <w:ind w:firstLine="480" w:firstLineChars="200"/>
    </w:pPr>
    <w:rPr>
      <w:sz w:val="24"/>
      <w:szCs w:val="28"/>
    </w:rPr>
  </w:style>
  <w:style w:type="paragraph" w:customStyle="1" w:styleId="50">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1">
    <w:name w:val="样式1"/>
    <w:basedOn w:val="3"/>
    <w:qFormat/>
    <w:uiPriority w:val="99"/>
  </w:style>
  <w:style w:type="paragraph" w:customStyle="1" w:styleId="52">
    <w:name w:val="列出段落1"/>
    <w:basedOn w:val="1"/>
    <w:qFormat/>
    <w:uiPriority w:val="99"/>
    <w:pPr>
      <w:ind w:firstLine="420" w:firstLineChars="200"/>
    </w:pPr>
    <w:rPr>
      <w:rFonts w:ascii="Calibri" w:hAnsi="Calibri"/>
      <w:szCs w:val="22"/>
    </w:rPr>
  </w:style>
  <w:style w:type="character" w:customStyle="1" w:styleId="53">
    <w:name w:val="未处理的提及1"/>
    <w:basedOn w:val="27"/>
    <w:semiHidden/>
    <w:qFormat/>
    <w:uiPriority w:val="99"/>
    <w:rPr>
      <w:rFonts w:cs="Times New Roman"/>
      <w:color w:val="808080"/>
      <w:shd w:val="clear" w:color="auto" w:fill="E6E6E6"/>
    </w:rPr>
  </w:style>
  <w:style w:type="character" w:customStyle="1" w:styleId="54">
    <w:name w:val="正文文本_"/>
    <w:basedOn w:val="27"/>
    <w:link w:val="55"/>
    <w:qFormat/>
    <w:locked/>
    <w:uiPriority w:val="99"/>
    <w:rPr>
      <w:rFonts w:ascii="MingLiU" w:hAnsi="MingLiU" w:eastAsia="MingLiU" w:cs="MingLiU"/>
      <w:sz w:val="27"/>
      <w:szCs w:val="27"/>
      <w:shd w:val="clear" w:color="auto" w:fill="FFFFFF"/>
    </w:rPr>
  </w:style>
  <w:style w:type="paragraph" w:customStyle="1" w:styleId="55">
    <w:name w:val="正文文本2"/>
    <w:basedOn w:val="1"/>
    <w:link w:val="54"/>
    <w:qFormat/>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6">
    <w:name w:val="List Paragraph"/>
    <w:basedOn w:val="1"/>
    <w:qFormat/>
    <w:uiPriority w:val="99"/>
    <w:pPr>
      <w:ind w:firstLine="420" w:firstLineChars="200"/>
    </w:pPr>
  </w:style>
  <w:style w:type="character" w:customStyle="1" w:styleId="57">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48</Pages>
  <Words>17042</Words>
  <Characters>17649</Characters>
  <Lines>0</Lines>
  <Paragraphs>0</Paragraphs>
  <TotalTime>39</TotalTime>
  <ScaleCrop>false</ScaleCrop>
  <LinksUpToDate>false</LinksUpToDate>
  <CharactersWithSpaces>18427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噗呲噗呲^_^</cp:lastModifiedBy>
  <cp:lastPrinted>2021-11-12T08:32:00Z</cp:lastPrinted>
  <dcterms:modified xsi:type="dcterms:W3CDTF">2023-03-28T01:53:36Z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C9108F0D9F024D3DB593E2CECFE48426</vt:lpwstr>
  </property>
</Properties>
</file>