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120" w:line="600" w:lineRule="exact"/>
        <w:jc w:val="center"/>
        <w:rPr>
          <w:rFonts w:hint="eastAsia" w:eastAsia="黑体"/>
          <w:b/>
          <w:bCs/>
          <w:spacing w:val="-20"/>
          <w:sz w:val="28"/>
          <w:szCs w:val="28"/>
          <w:highlight w:val="none"/>
          <w:lang w:val="en-US" w:eastAsia="zh-CN"/>
        </w:rPr>
      </w:pPr>
      <w:r>
        <w:rPr>
          <w:rFonts w:hint="eastAsia" w:ascii="黑体" w:eastAsia="黑体"/>
          <w:sz w:val="44"/>
          <w:szCs w:val="48"/>
          <w:highlight w:val="none"/>
        </w:rPr>
        <w:t>南宁轨道</w:t>
      </w:r>
      <w:r>
        <w:rPr>
          <w:rFonts w:hint="eastAsia" w:ascii="黑体" w:eastAsia="黑体"/>
          <w:sz w:val="44"/>
          <w:szCs w:val="48"/>
          <w:highlight w:val="none"/>
          <w:lang w:val="en-US" w:eastAsia="zh-CN"/>
        </w:rPr>
        <w:t>交通建设有限</w:t>
      </w:r>
      <w:r>
        <w:rPr>
          <w:rFonts w:hint="eastAsia" w:ascii="黑体" w:eastAsia="黑体"/>
          <w:sz w:val="44"/>
          <w:szCs w:val="48"/>
          <w:highlight w:val="none"/>
        </w:rPr>
        <w:t>公司</w:t>
      </w:r>
      <w:r>
        <w:rPr>
          <w:rFonts w:ascii="黑体" w:eastAsia="黑体"/>
          <w:sz w:val="44"/>
          <w:szCs w:val="48"/>
          <w:highlight w:val="none"/>
        </w:rPr>
        <w:t>202</w:t>
      </w:r>
      <w:r>
        <w:rPr>
          <w:rFonts w:hint="eastAsia" w:ascii="黑体" w:eastAsia="黑体"/>
          <w:sz w:val="44"/>
          <w:szCs w:val="48"/>
          <w:highlight w:val="none"/>
          <w:lang w:val="en-US" w:eastAsia="zh-CN"/>
        </w:rPr>
        <w:t>0</w:t>
      </w:r>
      <w:r>
        <w:rPr>
          <w:rFonts w:hint="eastAsia" w:ascii="黑体" w:eastAsia="黑体"/>
          <w:sz w:val="44"/>
          <w:szCs w:val="48"/>
          <w:highlight w:val="none"/>
        </w:rPr>
        <w:t>年</w:t>
      </w:r>
      <w:r>
        <w:rPr>
          <w:rFonts w:hint="eastAsia" w:ascii="黑体" w:eastAsia="黑体"/>
          <w:sz w:val="44"/>
          <w:szCs w:val="48"/>
          <w:highlight w:val="none"/>
          <w:lang w:eastAsia="zh-CN"/>
        </w:rPr>
        <w:t>至</w:t>
      </w:r>
      <w:r>
        <w:rPr>
          <w:rFonts w:hint="eastAsia" w:ascii="黑体" w:eastAsia="黑体"/>
          <w:sz w:val="44"/>
          <w:szCs w:val="48"/>
          <w:highlight w:val="none"/>
          <w:lang w:val="en-US" w:eastAsia="zh-CN"/>
        </w:rPr>
        <w:t>2022年采购及合同管理专项审计</w:t>
      </w:r>
      <w:r>
        <w:rPr>
          <w:rFonts w:hint="eastAsia" w:ascii="黑体" w:eastAsia="黑体"/>
          <w:spacing w:val="-20"/>
          <w:sz w:val="44"/>
          <w:szCs w:val="48"/>
          <w:highlight w:val="none"/>
        </w:rPr>
        <w:t>项目</w:t>
      </w:r>
      <w:r>
        <w:rPr>
          <w:rFonts w:hint="eastAsia" w:ascii="黑体" w:eastAsia="黑体"/>
          <w:spacing w:val="-20"/>
          <w:sz w:val="44"/>
          <w:szCs w:val="48"/>
          <w:highlight w:val="none"/>
          <w:lang w:val="en-US" w:eastAsia="zh-CN"/>
        </w:rPr>
        <w:t>第二次</w:t>
      </w:r>
    </w:p>
    <w:p>
      <w:pPr>
        <w:spacing w:line="480" w:lineRule="auto"/>
        <w:jc w:val="center"/>
        <w:rPr>
          <w:rFonts w:eastAsia="黑体"/>
          <w:b/>
          <w:bCs/>
          <w:sz w:val="44"/>
          <w:szCs w:val="44"/>
          <w:highlight w:val="none"/>
        </w:rPr>
      </w:pPr>
    </w:p>
    <w:p>
      <w:pPr>
        <w:spacing w:line="480" w:lineRule="auto"/>
        <w:jc w:val="center"/>
        <w:rPr>
          <w:rFonts w:eastAsia="黑体"/>
          <w:b/>
          <w:bCs/>
          <w:sz w:val="44"/>
          <w:szCs w:val="44"/>
          <w:highlight w:val="none"/>
        </w:rPr>
      </w:pPr>
      <w:r>
        <w:rPr>
          <w:rFonts w:hint="eastAsia" w:eastAsia="黑体"/>
          <w:b/>
          <w:bCs/>
          <w:sz w:val="44"/>
          <w:szCs w:val="44"/>
          <w:highlight w:val="none"/>
        </w:rPr>
        <w:t>比</w:t>
      </w:r>
    </w:p>
    <w:p>
      <w:pPr>
        <w:spacing w:line="480" w:lineRule="auto"/>
        <w:rPr>
          <w:rFonts w:eastAsia="黑体"/>
          <w:b/>
          <w:bCs/>
          <w:sz w:val="44"/>
          <w:szCs w:val="44"/>
          <w:highlight w:val="none"/>
        </w:rPr>
      </w:pPr>
    </w:p>
    <w:p>
      <w:pPr>
        <w:spacing w:line="480" w:lineRule="auto"/>
        <w:jc w:val="center"/>
        <w:rPr>
          <w:rFonts w:eastAsia="黑体"/>
          <w:b/>
          <w:bCs/>
          <w:sz w:val="44"/>
          <w:szCs w:val="44"/>
          <w:highlight w:val="none"/>
        </w:rPr>
      </w:pPr>
    </w:p>
    <w:p>
      <w:pPr>
        <w:spacing w:line="480" w:lineRule="auto"/>
        <w:jc w:val="center"/>
        <w:rPr>
          <w:rFonts w:eastAsia="黑体"/>
          <w:b/>
          <w:bCs/>
          <w:sz w:val="44"/>
          <w:szCs w:val="44"/>
          <w:highlight w:val="none"/>
        </w:rPr>
      </w:pPr>
      <w:r>
        <w:rPr>
          <w:rFonts w:hint="eastAsia" w:eastAsia="黑体"/>
          <w:b/>
          <w:bCs/>
          <w:sz w:val="44"/>
          <w:szCs w:val="44"/>
          <w:highlight w:val="none"/>
        </w:rPr>
        <w:t>选</w:t>
      </w:r>
    </w:p>
    <w:p>
      <w:pPr>
        <w:spacing w:line="480" w:lineRule="auto"/>
        <w:jc w:val="center"/>
        <w:rPr>
          <w:rFonts w:eastAsia="黑体"/>
          <w:b/>
          <w:bCs/>
          <w:sz w:val="44"/>
          <w:szCs w:val="44"/>
          <w:highlight w:val="none"/>
        </w:rPr>
      </w:pPr>
    </w:p>
    <w:p>
      <w:pPr>
        <w:spacing w:line="480" w:lineRule="auto"/>
        <w:jc w:val="center"/>
        <w:rPr>
          <w:rFonts w:eastAsia="黑体"/>
          <w:b/>
          <w:bCs/>
          <w:sz w:val="44"/>
          <w:szCs w:val="44"/>
          <w:highlight w:val="none"/>
        </w:rPr>
      </w:pPr>
    </w:p>
    <w:p>
      <w:pPr>
        <w:spacing w:line="480" w:lineRule="auto"/>
        <w:jc w:val="center"/>
        <w:rPr>
          <w:rFonts w:eastAsia="黑体"/>
          <w:b/>
          <w:bCs/>
          <w:sz w:val="44"/>
          <w:szCs w:val="44"/>
          <w:highlight w:val="none"/>
        </w:rPr>
      </w:pPr>
      <w:r>
        <w:rPr>
          <w:rFonts w:hint="eastAsia" w:eastAsia="黑体"/>
          <w:b/>
          <w:bCs/>
          <w:sz w:val="44"/>
          <w:szCs w:val="44"/>
          <w:highlight w:val="none"/>
        </w:rPr>
        <w:t>文</w:t>
      </w:r>
    </w:p>
    <w:p>
      <w:pPr>
        <w:jc w:val="center"/>
        <w:rPr>
          <w:rFonts w:eastAsia="黑体"/>
          <w:b/>
          <w:bCs/>
          <w:sz w:val="44"/>
          <w:szCs w:val="44"/>
          <w:highlight w:val="none"/>
        </w:rPr>
      </w:pPr>
    </w:p>
    <w:p>
      <w:pPr>
        <w:jc w:val="center"/>
        <w:rPr>
          <w:rFonts w:eastAsia="黑体"/>
          <w:b/>
          <w:bCs/>
          <w:sz w:val="44"/>
          <w:szCs w:val="44"/>
          <w:highlight w:val="none"/>
        </w:rPr>
      </w:pPr>
    </w:p>
    <w:p>
      <w:pPr>
        <w:jc w:val="center"/>
        <w:rPr>
          <w:rFonts w:eastAsia="黑体"/>
          <w:b/>
          <w:bCs/>
          <w:sz w:val="44"/>
          <w:szCs w:val="44"/>
          <w:highlight w:val="none"/>
        </w:rPr>
      </w:pPr>
      <w:r>
        <w:rPr>
          <w:rFonts w:hint="eastAsia" w:eastAsia="黑体"/>
          <w:b/>
          <w:bCs/>
          <w:sz w:val="44"/>
          <w:szCs w:val="44"/>
          <w:highlight w:val="none"/>
        </w:rPr>
        <w:t>件</w:t>
      </w:r>
    </w:p>
    <w:p>
      <w:pPr>
        <w:spacing w:line="360" w:lineRule="auto"/>
        <w:rPr>
          <w:b/>
          <w:bCs/>
          <w:sz w:val="36"/>
          <w:szCs w:val="36"/>
          <w:highlight w:val="none"/>
        </w:rPr>
      </w:pPr>
    </w:p>
    <w:p>
      <w:pPr>
        <w:spacing w:line="360" w:lineRule="auto"/>
        <w:ind w:firstLine="1800" w:firstLineChars="498"/>
        <w:rPr>
          <w:b/>
          <w:bCs/>
          <w:sz w:val="36"/>
          <w:szCs w:val="36"/>
          <w:highlight w:val="none"/>
        </w:rPr>
      </w:pPr>
    </w:p>
    <w:p>
      <w:pPr>
        <w:pStyle w:val="2"/>
        <w:rPr>
          <w:b/>
          <w:bCs/>
          <w:sz w:val="36"/>
          <w:szCs w:val="36"/>
          <w:highlight w:val="none"/>
        </w:rPr>
      </w:pPr>
    </w:p>
    <w:p>
      <w:pPr>
        <w:spacing w:line="360" w:lineRule="auto"/>
        <w:jc w:val="center"/>
        <w:rPr>
          <w:b/>
          <w:bCs/>
          <w:sz w:val="32"/>
          <w:szCs w:val="32"/>
          <w:highlight w:val="none"/>
        </w:rPr>
      </w:pPr>
      <w:r>
        <w:rPr>
          <w:rFonts w:hint="eastAsia"/>
          <w:b/>
          <w:bCs/>
          <w:sz w:val="32"/>
          <w:szCs w:val="32"/>
          <w:highlight w:val="none"/>
        </w:rPr>
        <w:t>比选发起人：南宁轨道交通集团有限责任公司</w:t>
      </w:r>
    </w:p>
    <w:p>
      <w:pPr>
        <w:spacing w:line="360" w:lineRule="auto"/>
        <w:jc w:val="center"/>
        <w:rPr>
          <w:rFonts w:hint="eastAsia" w:ascii="宋体" w:hAnsi="宋体" w:eastAsia="宋体" w:cs="宋体"/>
          <w:b/>
          <w:bCs/>
          <w:sz w:val="32"/>
          <w:szCs w:val="32"/>
          <w:highlight w:val="none"/>
        </w:rPr>
        <w:sectPr>
          <w:headerReference r:id="rId3" w:type="default"/>
          <w:footerReference r:id="rId4" w:type="default"/>
          <w:pgSz w:w="11906" w:h="16838"/>
          <w:pgMar w:top="2098" w:right="1531" w:bottom="2098" w:left="1531" w:header="851" w:footer="992" w:gutter="0"/>
          <w:pgNumType w:start="1"/>
          <w:cols w:space="720" w:num="1"/>
          <w:docGrid w:type="lines" w:linePitch="312" w:charSpace="0"/>
        </w:sectPr>
      </w:pPr>
      <w:bookmarkStart w:id="0" w:name="_Toc27692"/>
      <w:bookmarkStart w:id="1" w:name="_Toc32122"/>
      <w:bookmarkStart w:id="2" w:name="_Toc471482358"/>
      <w:bookmarkStart w:id="3" w:name="_Toc18159"/>
      <w:bookmarkStart w:id="4" w:name="_Toc461525293"/>
      <w:bookmarkStart w:id="5" w:name="_Toc14943"/>
      <w:bookmarkStart w:id="6" w:name="_Toc25905"/>
      <w:bookmarkStart w:id="7" w:name="_Toc4954"/>
      <w:bookmarkStart w:id="8" w:name="_Toc23188"/>
      <w:bookmarkStart w:id="9" w:name="_Toc12363"/>
      <w:bookmarkStart w:id="10" w:name="_Toc9980"/>
      <w:bookmarkStart w:id="11" w:name="_Toc21106"/>
      <w:r>
        <w:rPr>
          <w:rFonts w:hint="eastAsia" w:ascii="宋体" w:hAnsi="宋体" w:cs="宋体"/>
          <w:b/>
          <w:bCs/>
          <w:sz w:val="32"/>
          <w:szCs w:val="32"/>
          <w:highlight w:val="none"/>
          <w:lang w:val="en-US" w:eastAsia="zh-CN"/>
        </w:rPr>
        <w:t xml:space="preserve"> </w:t>
      </w:r>
      <w:r>
        <w:rPr>
          <w:rFonts w:hint="eastAsia" w:ascii="宋体" w:hAnsi="宋体" w:eastAsia="宋体" w:cs="宋体"/>
          <w:b/>
          <w:bCs/>
          <w:sz w:val="32"/>
          <w:szCs w:val="32"/>
          <w:highlight w:val="none"/>
        </w:rPr>
        <w:t>2023年</w:t>
      </w:r>
      <w:r>
        <w:rPr>
          <w:rFonts w:hint="eastAsia" w:ascii="宋体" w:hAnsi="宋体" w:cs="宋体"/>
          <w:b/>
          <w:bCs/>
          <w:sz w:val="32"/>
          <w:szCs w:val="32"/>
          <w:highlight w:val="none"/>
          <w:lang w:val="en-US" w:eastAsia="zh-CN"/>
        </w:rPr>
        <w:t>04</w:t>
      </w:r>
      <w:r>
        <w:rPr>
          <w:rFonts w:hint="eastAsia" w:ascii="宋体" w:hAnsi="宋体" w:eastAsia="宋体" w:cs="宋体"/>
          <w:b/>
          <w:bCs/>
          <w:sz w:val="32"/>
          <w:szCs w:val="32"/>
          <w:highlight w:val="none"/>
        </w:rPr>
        <w:t>月</w:t>
      </w:r>
      <w:r>
        <w:rPr>
          <w:rFonts w:hint="eastAsia" w:ascii="宋体" w:hAnsi="宋体" w:cs="宋体"/>
          <w:b/>
          <w:bCs/>
          <w:sz w:val="32"/>
          <w:szCs w:val="32"/>
          <w:highlight w:val="none"/>
          <w:lang w:val="en-US" w:eastAsia="zh-CN"/>
        </w:rPr>
        <w:t>11</w:t>
      </w:r>
      <w:r>
        <w:rPr>
          <w:rFonts w:hint="eastAsia" w:ascii="宋体" w:hAnsi="宋体" w:eastAsia="宋体" w:cs="宋体"/>
          <w:b/>
          <w:bCs/>
          <w:sz w:val="32"/>
          <w:szCs w:val="32"/>
          <w:highlight w:val="none"/>
        </w:rPr>
        <w:t>日</w:t>
      </w:r>
    </w:p>
    <w:p>
      <w:pPr>
        <w:pStyle w:val="3"/>
        <w:tabs>
          <w:tab w:val="right" w:leader="dot" w:pos="9219"/>
        </w:tabs>
        <w:spacing w:before="0" w:after="0" w:line="600" w:lineRule="exact"/>
        <w:ind w:firstLine="3779" w:firstLineChars="1181"/>
        <w:jc w:val="both"/>
        <w:rPr>
          <w:rFonts w:ascii="宋体" w:hAnsi="宋体" w:eastAsia="宋体" w:cs="宋体"/>
          <w:b/>
          <w:kern w:val="44"/>
          <w:sz w:val="21"/>
          <w:szCs w:val="21"/>
          <w:highlight w:val="none"/>
          <w:lang w:val="en-US" w:eastAsia="zh-CN" w:bidi="ar-SA"/>
        </w:rPr>
      </w:pPr>
      <w:bookmarkStart w:id="12" w:name="_Toc17397"/>
      <w:bookmarkStart w:id="13" w:name="_Toc13153"/>
      <w:bookmarkStart w:id="14" w:name="_Toc31734"/>
      <w:bookmarkStart w:id="15" w:name="_Toc27700"/>
      <w:bookmarkStart w:id="16" w:name="_Toc24586"/>
      <w:bookmarkStart w:id="17" w:name="_Toc16693"/>
      <w:bookmarkStart w:id="18" w:name="_Toc19051"/>
      <w:r>
        <w:rPr>
          <w:rFonts w:ascii="宋体" w:hAnsi="宋体"/>
          <w:b w:val="0"/>
          <w:sz w:val="32"/>
          <w:szCs w:val="21"/>
          <w:highlight w:val="none"/>
        </w:rPr>
        <w:t xml:space="preserve"> </w:t>
      </w:r>
      <w:bookmarkStart w:id="19" w:name="_Toc19299"/>
      <w:r>
        <w:rPr>
          <w:rFonts w:hint="eastAsia" w:ascii="宋体" w:hAnsi="宋体"/>
          <w:b w:val="0"/>
          <w:sz w:val="32"/>
          <w:szCs w:val="21"/>
          <w:highlight w:val="none"/>
        </w:rPr>
        <w:t>目录</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ascii="宋体" w:hAnsi="宋体" w:cs="宋体"/>
          <w:sz w:val="21"/>
          <w:szCs w:val="21"/>
          <w:highlight w:val="none"/>
        </w:rPr>
        <w:fldChar w:fldCharType="begin"/>
      </w:r>
      <w:r>
        <w:rPr>
          <w:rFonts w:ascii="宋体" w:hAnsi="宋体" w:cs="宋体"/>
          <w:sz w:val="21"/>
          <w:szCs w:val="21"/>
          <w:highlight w:val="none"/>
        </w:rPr>
        <w:instrText xml:space="preserve"> TOC \o "1-2" \h \z \u </w:instrText>
      </w:r>
      <w:r>
        <w:rPr>
          <w:rFonts w:ascii="宋体" w:hAnsi="宋体" w:cs="宋体"/>
          <w:sz w:val="21"/>
          <w:szCs w:val="21"/>
          <w:highlight w:val="none"/>
        </w:rPr>
        <w:fldChar w:fldCharType="separate"/>
      </w:r>
    </w:p>
    <w:p>
      <w:pPr>
        <w:pStyle w:val="18"/>
        <w:tabs>
          <w:tab w:val="right" w:leader="dot" w:pos="9219"/>
        </w:tabs>
      </w:pPr>
      <w:r>
        <w:rPr>
          <w:rFonts w:ascii="宋体" w:hAnsi="宋体" w:cs="宋体"/>
          <w:szCs w:val="21"/>
          <w:highlight w:val="none"/>
        </w:rPr>
        <w:fldChar w:fldCharType="begin"/>
      </w:r>
      <w:r>
        <w:rPr>
          <w:rFonts w:ascii="宋体" w:hAnsi="宋体" w:cs="宋体"/>
          <w:szCs w:val="21"/>
          <w:highlight w:val="none"/>
        </w:rPr>
        <w:instrText xml:space="preserve"> HYPERLINK \l _Toc19299 </w:instrText>
      </w:r>
      <w:r>
        <w:rPr>
          <w:rFonts w:ascii="宋体" w:hAnsi="宋体" w:cs="宋体"/>
          <w:szCs w:val="21"/>
          <w:highlight w:val="none"/>
        </w:rPr>
        <w:fldChar w:fldCharType="separate"/>
      </w:r>
      <w:r>
        <w:rPr>
          <w:rFonts w:hint="eastAsia" w:ascii="宋体" w:hAnsi="宋体"/>
          <w:szCs w:val="21"/>
          <w:highlight w:val="none"/>
        </w:rPr>
        <w:t>目录</w:t>
      </w:r>
      <w:r>
        <w:tab/>
      </w:r>
      <w:r>
        <w:fldChar w:fldCharType="begin"/>
      </w:r>
      <w:r>
        <w:instrText xml:space="preserve"> PAGEREF _Toc19299 \h </w:instrText>
      </w:r>
      <w:r>
        <w:fldChar w:fldCharType="separate"/>
      </w:r>
      <w:r>
        <w:t>1</w:t>
      </w:r>
      <w:r>
        <w:fldChar w:fldCharType="end"/>
      </w:r>
      <w:r>
        <w:rPr>
          <w:rFonts w:ascii="宋体" w:hAnsi="宋体" w:cs="宋体"/>
          <w:szCs w:val="21"/>
          <w:highlight w:val="none"/>
        </w:rPr>
        <w:fldChar w:fldCharType="end"/>
      </w:r>
    </w:p>
    <w:p>
      <w:pPr>
        <w:pStyle w:val="18"/>
        <w:tabs>
          <w:tab w:val="right" w:leader="dot" w:pos="9219"/>
        </w:tabs>
      </w:pPr>
      <w:r>
        <w:rPr>
          <w:rFonts w:ascii="宋体" w:hAnsi="宋体" w:cs="宋体"/>
          <w:szCs w:val="21"/>
          <w:highlight w:val="none"/>
        </w:rPr>
        <w:fldChar w:fldCharType="begin"/>
      </w:r>
      <w:r>
        <w:rPr>
          <w:rFonts w:ascii="宋体" w:hAnsi="宋体" w:cs="宋体"/>
          <w:szCs w:val="21"/>
          <w:highlight w:val="none"/>
        </w:rPr>
        <w:instrText xml:space="preserve"> HYPERLINK \l _Toc20140 </w:instrText>
      </w:r>
      <w:r>
        <w:rPr>
          <w:rFonts w:ascii="宋体" w:hAnsi="宋体" w:cs="宋体"/>
          <w:szCs w:val="21"/>
          <w:highlight w:val="none"/>
        </w:rPr>
        <w:fldChar w:fldCharType="separate"/>
      </w:r>
      <w:r>
        <w:rPr>
          <w:rFonts w:hint="eastAsia" w:ascii="宋体" w:hAnsi="宋体" w:cs="宋体"/>
          <w:szCs w:val="28"/>
          <w:highlight w:val="none"/>
        </w:rPr>
        <w:t>第一章</w:t>
      </w:r>
      <w:r>
        <w:rPr>
          <w:rFonts w:ascii="宋体" w:hAnsi="宋体" w:cs="宋体"/>
          <w:szCs w:val="28"/>
          <w:highlight w:val="none"/>
        </w:rPr>
        <w:t xml:space="preserve"> </w:t>
      </w:r>
      <w:r>
        <w:rPr>
          <w:rFonts w:hint="eastAsia" w:ascii="宋体" w:hAnsi="宋体" w:cs="宋体"/>
          <w:szCs w:val="28"/>
          <w:highlight w:val="none"/>
        </w:rPr>
        <w:t>比选须知</w:t>
      </w:r>
      <w:r>
        <w:tab/>
      </w:r>
      <w:r>
        <w:fldChar w:fldCharType="begin"/>
      </w:r>
      <w:r>
        <w:instrText xml:space="preserve"> PAGEREF _Toc20140 \h </w:instrText>
      </w:r>
      <w:r>
        <w:fldChar w:fldCharType="separate"/>
      </w:r>
      <w:r>
        <w:t>2</w:t>
      </w:r>
      <w:r>
        <w:fldChar w:fldCharType="end"/>
      </w:r>
      <w:r>
        <w:rPr>
          <w:rFonts w:ascii="宋体" w:hAnsi="宋体" w:cs="宋体"/>
          <w:szCs w:val="21"/>
          <w:highlight w:val="none"/>
        </w:rPr>
        <w:fldChar w:fldCharType="end"/>
      </w:r>
    </w:p>
    <w:p>
      <w:pPr>
        <w:pStyle w:val="22"/>
        <w:tabs>
          <w:tab w:val="right" w:leader="dot" w:pos="9219"/>
        </w:tabs>
      </w:pPr>
      <w:r>
        <w:rPr>
          <w:rFonts w:ascii="宋体" w:hAnsi="宋体" w:cs="宋体"/>
          <w:szCs w:val="21"/>
          <w:highlight w:val="none"/>
        </w:rPr>
        <w:fldChar w:fldCharType="begin"/>
      </w:r>
      <w:r>
        <w:rPr>
          <w:rFonts w:ascii="宋体" w:hAnsi="宋体" w:cs="宋体"/>
          <w:szCs w:val="21"/>
          <w:highlight w:val="none"/>
        </w:rPr>
        <w:instrText xml:space="preserve"> HYPERLINK \l _Toc8003 </w:instrText>
      </w:r>
      <w:r>
        <w:rPr>
          <w:rFonts w:ascii="宋体" w:hAnsi="宋体" w:cs="宋体"/>
          <w:szCs w:val="21"/>
          <w:highlight w:val="none"/>
        </w:rPr>
        <w:fldChar w:fldCharType="separate"/>
      </w:r>
      <w:r>
        <w:rPr>
          <w:rFonts w:hint="eastAsia"/>
          <w:szCs w:val="24"/>
          <w:highlight w:val="none"/>
        </w:rPr>
        <w:t>前附表</w:t>
      </w:r>
      <w:r>
        <w:tab/>
      </w:r>
      <w:r>
        <w:fldChar w:fldCharType="begin"/>
      </w:r>
      <w:r>
        <w:instrText xml:space="preserve"> PAGEREF _Toc8003 \h </w:instrText>
      </w:r>
      <w:r>
        <w:fldChar w:fldCharType="separate"/>
      </w:r>
      <w:r>
        <w:t>2</w:t>
      </w:r>
      <w:r>
        <w:fldChar w:fldCharType="end"/>
      </w:r>
      <w:r>
        <w:rPr>
          <w:rFonts w:ascii="宋体" w:hAnsi="宋体" w:cs="宋体"/>
          <w:szCs w:val="21"/>
          <w:highlight w:val="none"/>
        </w:rPr>
        <w:fldChar w:fldCharType="end"/>
      </w:r>
    </w:p>
    <w:p>
      <w:pPr>
        <w:pStyle w:val="22"/>
        <w:tabs>
          <w:tab w:val="right" w:leader="dot" w:pos="9219"/>
        </w:tabs>
      </w:pPr>
      <w:r>
        <w:rPr>
          <w:rFonts w:ascii="宋体" w:hAnsi="宋体" w:cs="宋体"/>
          <w:szCs w:val="21"/>
          <w:highlight w:val="none"/>
        </w:rPr>
        <w:fldChar w:fldCharType="begin"/>
      </w:r>
      <w:r>
        <w:rPr>
          <w:rFonts w:ascii="宋体" w:hAnsi="宋体" w:cs="宋体"/>
          <w:szCs w:val="21"/>
          <w:highlight w:val="none"/>
        </w:rPr>
        <w:instrText xml:space="preserve"> HYPERLINK \l _Toc3416 </w:instrText>
      </w:r>
      <w:r>
        <w:rPr>
          <w:rFonts w:ascii="宋体" w:hAnsi="宋体" w:cs="宋体"/>
          <w:szCs w:val="21"/>
          <w:highlight w:val="none"/>
        </w:rPr>
        <w:fldChar w:fldCharType="separate"/>
      </w:r>
      <w:r>
        <w:rPr>
          <w:rFonts w:hint="eastAsia" w:ascii="宋体" w:hAnsi="宋体"/>
          <w:szCs w:val="21"/>
          <w:highlight w:val="none"/>
        </w:rPr>
        <w:t>一、总则</w:t>
      </w:r>
      <w:r>
        <w:tab/>
      </w:r>
      <w:r>
        <w:fldChar w:fldCharType="begin"/>
      </w:r>
      <w:r>
        <w:instrText xml:space="preserve"> PAGEREF _Toc3416 \h </w:instrText>
      </w:r>
      <w:r>
        <w:fldChar w:fldCharType="separate"/>
      </w:r>
      <w:r>
        <w:t>5</w:t>
      </w:r>
      <w:r>
        <w:fldChar w:fldCharType="end"/>
      </w:r>
      <w:r>
        <w:rPr>
          <w:rFonts w:ascii="宋体" w:hAnsi="宋体" w:cs="宋体"/>
          <w:szCs w:val="21"/>
          <w:highlight w:val="none"/>
        </w:rPr>
        <w:fldChar w:fldCharType="end"/>
      </w:r>
    </w:p>
    <w:p>
      <w:pPr>
        <w:pStyle w:val="22"/>
        <w:tabs>
          <w:tab w:val="right" w:leader="dot" w:pos="9219"/>
        </w:tabs>
      </w:pPr>
      <w:r>
        <w:rPr>
          <w:rFonts w:ascii="宋体" w:hAnsi="宋体" w:cs="宋体"/>
          <w:szCs w:val="21"/>
          <w:highlight w:val="none"/>
        </w:rPr>
        <w:fldChar w:fldCharType="begin"/>
      </w:r>
      <w:r>
        <w:rPr>
          <w:rFonts w:ascii="宋体" w:hAnsi="宋体" w:cs="宋体"/>
          <w:szCs w:val="21"/>
          <w:highlight w:val="none"/>
        </w:rPr>
        <w:instrText xml:space="preserve"> HYPERLINK \l _Toc5628 </w:instrText>
      </w:r>
      <w:r>
        <w:rPr>
          <w:rFonts w:ascii="宋体" w:hAnsi="宋体" w:cs="宋体"/>
          <w:szCs w:val="21"/>
          <w:highlight w:val="none"/>
        </w:rPr>
        <w:fldChar w:fldCharType="separate"/>
      </w:r>
      <w:r>
        <w:rPr>
          <w:rFonts w:hint="eastAsia" w:ascii="宋体" w:hAnsi="宋体"/>
          <w:szCs w:val="21"/>
          <w:highlight w:val="none"/>
        </w:rPr>
        <w:t>二、比选文件</w:t>
      </w:r>
      <w:r>
        <w:tab/>
      </w:r>
      <w:r>
        <w:fldChar w:fldCharType="begin"/>
      </w:r>
      <w:r>
        <w:instrText xml:space="preserve"> PAGEREF _Toc5628 \h </w:instrText>
      </w:r>
      <w:r>
        <w:fldChar w:fldCharType="separate"/>
      </w:r>
      <w:r>
        <w:t>7</w:t>
      </w:r>
      <w:r>
        <w:fldChar w:fldCharType="end"/>
      </w:r>
      <w:r>
        <w:rPr>
          <w:rFonts w:ascii="宋体" w:hAnsi="宋体" w:cs="宋体"/>
          <w:szCs w:val="21"/>
          <w:highlight w:val="none"/>
        </w:rPr>
        <w:fldChar w:fldCharType="end"/>
      </w:r>
    </w:p>
    <w:p>
      <w:pPr>
        <w:pStyle w:val="22"/>
        <w:tabs>
          <w:tab w:val="right" w:leader="dot" w:pos="9219"/>
        </w:tabs>
      </w:pPr>
      <w:r>
        <w:rPr>
          <w:rFonts w:ascii="宋体" w:hAnsi="宋体" w:cs="宋体"/>
          <w:szCs w:val="21"/>
          <w:highlight w:val="none"/>
        </w:rPr>
        <w:fldChar w:fldCharType="begin"/>
      </w:r>
      <w:r>
        <w:rPr>
          <w:rFonts w:ascii="宋体" w:hAnsi="宋体" w:cs="宋体"/>
          <w:szCs w:val="21"/>
          <w:highlight w:val="none"/>
        </w:rPr>
        <w:instrText xml:space="preserve"> HYPERLINK \l _Toc27671 </w:instrText>
      </w:r>
      <w:r>
        <w:rPr>
          <w:rFonts w:ascii="宋体" w:hAnsi="宋体" w:cs="宋体"/>
          <w:szCs w:val="21"/>
          <w:highlight w:val="none"/>
        </w:rPr>
        <w:fldChar w:fldCharType="separate"/>
      </w:r>
      <w:r>
        <w:rPr>
          <w:rFonts w:hint="eastAsia" w:ascii="宋体" w:hAnsi="宋体"/>
          <w:szCs w:val="21"/>
          <w:highlight w:val="none"/>
        </w:rPr>
        <w:t>三、申请比选报价说明</w:t>
      </w:r>
      <w:r>
        <w:tab/>
      </w:r>
      <w:r>
        <w:fldChar w:fldCharType="begin"/>
      </w:r>
      <w:r>
        <w:instrText xml:space="preserve"> PAGEREF _Toc27671 \h </w:instrText>
      </w:r>
      <w:r>
        <w:fldChar w:fldCharType="separate"/>
      </w:r>
      <w:r>
        <w:t>7</w:t>
      </w:r>
      <w:r>
        <w:fldChar w:fldCharType="end"/>
      </w:r>
      <w:r>
        <w:rPr>
          <w:rFonts w:ascii="宋体" w:hAnsi="宋体" w:cs="宋体"/>
          <w:szCs w:val="21"/>
          <w:highlight w:val="none"/>
        </w:rPr>
        <w:fldChar w:fldCharType="end"/>
      </w:r>
    </w:p>
    <w:p>
      <w:pPr>
        <w:pStyle w:val="22"/>
        <w:tabs>
          <w:tab w:val="right" w:leader="dot" w:pos="9219"/>
        </w:tabs>
      </w:pPr>
      <w:r>
        <w:rPr>
          <w:rFonts w:ascii="宋体" w:hAnsi="宋体" w:cs="宋体"/>
          <w:szCs w:val="21"/>
          <w:highlight w:val="none"/>
        </w:rPr>
        <w:fldChar w:fldCharType="begin"/>
      </w:r>
      <w:r>
        <w:rPr>
          <w:rFonts w:ascii="宋体" w:hAnsi="宋体" w:cs="宋体"/>
          <w:szCs w:val="21"/>
          <w:highlight w:val="none"/>
        </w:rPr>
        <w:instrText xml:space="preserve"> HYPERLINK \l _Toc8092 </w:instrText>
      </w:r>
      <w:r>
        <w:rPr>
          <w:rFonts w:ascii="宋体" w:hAnsi="宋体" w:cs="宋体"/>
          <w:szCs w:val="21"/>
          <w:highlight w:val="none"/>
        </w:rPr>
        <w:fldChar w:fldCharType="separate"/>
      </w:r>
      <w:r>
        <w:rPr>
          <w:rFonts w:hint="eastAsia"/>
          <w:szCs w:val="21"/>
          <w:highlight w:val="none"/>
        </w:rPr>
        <w:t>四、比选申请文件的编制</w:t>
      </w:r>
      <w:r>
        <w:tab/>
      </w:r>
      <w:r>
        <w:fldChar w:fldCharType="begin"/>
      </w:r>
      <w:r>
        <w:instrText xml:space="preserve"> PAGEREF _Toc8092 \h </w:instrText>
      </w:r>
      <w:r>
        <w:fldChar w:fldCharType="separate"/>
      </w:r>
      <w:r>
        <w:t>7</w:t>
      </w:r>
      <w:r>
        <w:fldChar w:fldCharType="end"/>
      </w:r>
      <w:r>
        <w:rPr>
          <w:rFonts w:ascii="宋体" w:hAnsi="宋体" w:cs="宋体"/>
          <w:szCs w:val="21"/>
          <w:highlight w:val="none"/>
        </w:rPr>
        <w:fldChar w:fldCharType="end"/>
      </w:r>
    </w:p>
    <w:p>
      <w:pPr>
        <w:pStyle w:val="22"/>
        <w:tabs>
          <w:tab w:val="right" w:leader="dot" w:pos="9219"/>
        </w:tabs>
      </w:pPr>
      <w:r>
        <w:rPr>
          <w:rFonts w:ascii="宋体" w:hAnsi="宋体" w:cs="宋体"/>
          <w:szCs w:val="21"/>
          <w:highlight w:val="none"/>
        </w:rPr>
        <w:fldChar w:fldCharType="begin"/>
      </w:r>
      <w:r>
        <w:rPr>
          <w:rFonts w:ascii="宋体" w:hAnsi="宋体" w:cs="宋体"/>
          <w:szCs w:val="21"/>
          <w:highlight w:val="none"/>
        </w:rPr>
        <w:instrText xml:space="preserve"> HYPERLINK \l _Toc4540 </w:instrText>
      </w:r>
      <w:r>
        <w:rPr>
          <w:rFonts w:ascii="宋体" w:hAnsi="宋体" w:cs="宋体"/>
          <w:szCs w:val="21"/>
          <w:highlight w:val="none"/>
        </w:rPr>
        <w:fldChar w:fldCharType="separate"/>
      </w:r>
      <w:r>
        <w:rPr>
          <w:rFonts w:hint="eastAsia"/>
          <w:szCs w:val="21"/>
          <w:highlight w:val="none"/>
        </w:rPr>
        <w:t>五、比选申请文件的递交</w:t>
      </w:r>
      <w:r>
        <w:tab/>
      </w:r>
      <w:r>
        <w:fldChar w:fldCharType="begin"/>
      </w:r>
      <w:r>
        <w:instrText xml:space="preserve"> PAGEREF _Toc4540 \h </w:instrText>
      </w:r>
      <w:r>
        <w:fldChar w:fldCharType="separate"/>
      </w:r>
      <w:r>
        <w:t>9</w:t>
      </w:r>
      <w:r>
        <w:fldChar w:fldCharType="end"/>
      </w:r>
      <w:r>
        <w:rPr>
          <w:rFonts w:ascii="宋体" w:hAnsi="宋体" w:cs="宋体"/>
          <w:szCs w:val="21"/>
          <w:highlight w:val="none"/>
        </w:rPr>
        <w:fldChar w:fldCharType="end"/>
      </w:r>
    </w:p>
    <w:p>
      <w:pPr>
        <w:pStyle w:val="22"/>
        <w:tabs>
          <w:tab w:val="right" w:leader="dot" w:pos="9219"/>
        </w:tabs>
      </w:pPr>
      <w:r>
        <w:rPr>
          <w:rFonts w:ascii="宋体" w:hAnsi="宋体" w:cs="宋体"/>
          <w:szCs w:val="21"/>
          <w:highlight w:val="none"/>
        </w:rPr>
        <w:fldChar w:fldCharType="begin"/>
      </w:r>
      <w:r>
        <w:rPr>
          <w:rFonts w:ascii="宋体" w:hAnsi="宋体" w:cs="宋体"/>
          <w:szCs w:val="21"/>
          <w:highlight w:val="none"/>
        </w:rPr>
        <w:instrText xml:space="preserve"> HYPERLINK \l _Toc19136 </w:instrText>
      </w:r>
      <w:r>
        <w:rPr>
          <w:rFonts w:ascii="宋体" w:hAnsi="宋体" w:cs="宋体"/>
          <w:szCs w:val="21"/>
          <w:highlight w:val="none"/>
        </w:rPr>
        <w:fldChar w:fldCharType="separate"/>
      </w:r>
      <w:r>
        <w:rPr>
          <w:rFonts w:hint="eastAsia"/>
          <w:szCs w:val="21"/>
          <w:highlight w:val="none"/>
        </w:rPr>
        <w:t>六、评审</w:t>
      </w:r>
      <w:r>
        <w:tab/>
      </w:r>
      <w:r>
        <w:fldChar w:fldCharType="begin"/>
      </w:r>
      <w:r>
        <w:instrText xml:space="preserve"> PAGEREF _Toc19136 \h </w:instrText>
      </w:r>
      <w:r>
        <w:fldChar w:fldCharType="separate"/>
      </w:r>
      <w:r>
        <w:t>10</w:t>
      </w:r>
      <w:r>
        <w:fldChar w:fldCharType="end"/>
      </w:r>
      <w:r>
        <w:rPr>
          <w:rFonts w:ascii="宋体" w:hAnsi="宋体" w:cs="宋体"/>
          <w:szCs w:val="21"/>
          <w:highlight w:val="none"/>
        </w:rPr>
        <w:fldChar w:fldCharType="end"/>
      </w:r>
    </w:p>
    <w:p>
      <w:pPr>
        <w:pStyle w:val="22"/>
        <w:tabs>
          <w:tab w:val="right" w:leader="dot" w:pos="9219"/>
        </w:tabs>
      </w:pPr>
      <w:r>
        <w:rPr>
          <w:rFonts w:ascii="宋体" w:hAnsi="宋体" w:cs="宋体"/>
          <w:szCs w:val="21"/>
          <w:highlight w:val="none"/>
        </w:rPr>
        <w:fldChar w:fldCharType="begin"/>
      </w:r>
      <w:r>
        <w:rPr>
          <w:rFonts w:ascii="宋体" w:hAnsi="宋体" w:cs="宋体"/>
          <w:szCs w:val="21"/>
          <w:highlight w:val="none"/>
        </w:rPr>
        <w:instrText xml:space="preserve"> HYPERLINK \l _Toc4410 </w:instrText>
      </w:r>
      <w:r>
        <w:rPr>
          <w:rFonts w:ascii="宋体" w:hAnsi="宋体" w:cs="宋体"/>
          <w:szCs w:val="21"/>
          <w:highlight w:val="none"/>
        </w:rPr>
        <w:fldChar w:fldCharType="separate"/>
      </w:r>
      <w:r>
        <w:rPr>
          <w:rFonts w:hint="eastAsia"/>
          <w:szCs w:val="21"/>
          <w:highlight w:val="none"/>
        </w:rPr>
        <w:t>七、授予合同</w:t>
      </w:r>
      <w:r>
        <w:tab/>
      </w:r>
      <w:r>
        <w:fldChar w:fldCharType="begin"/>
      </w:r>
      <w:r>
        <w:instrText xml:space="preserve"> PAGEREF _Toc4410 \h </w:instrText>
      </w:r>
      <w:r>
        <w:fldChar w:fldCharType="separate"/>
      </w:r>
      <w:r>
        <w:t>12</w:t>
      </w:r>
      <w:r>
        <w:fldChar w:fldCharType="end"/>
      </w:r>
      <w:r>
        <w:rPr>
          <w:rFonts w:ascii="宋体" w:hAnsi="宋体" w:cs="宋体"/>
          <w:szCs w:val="21"/>
          <w:highlight w:val="none"/>
        </w:rPr>
        <w:fldChar w:fldCharType="end"/>
      </w:r>
    </w:p>
    <w:p>
      <w:pPr>
        <w:pStyle w:val="18"/>
        <w:tabs>
          <w:tab w:val="right" w:leader="dot" w:pos="9219"/>
        </w:tabs>
      </w:pPr>
      <w:r>
        <w:rPr>
          <w:rFonts w:ascii="宋体" w:hAnsi="宋体" w:cs="宋体"/>
          <w:szCs w:val="21"/>
          <w:highlight w:val="none"/>
        </w:rPr>
        <w:fldChar w:fldCharType="begin"/>
      </w:r>
      <w:r>
        <w:rPr>
          <w:rFonts w:ascii="宋体" w:hAnsi="宋体" w:cs="宋体"/>
          <w:szCs w:val="21"/>
          <w:highlight w:val="none"/>
        </w:rPr>
        <w:instrText xml:space="preserve"> HYPERLINK \l _Toc18993 </w:instrText>
      </w:r>
      <w:r>
        <w:rPr>
          <w:rFonts w:ascii="宋体" w:hAnsi="宋体" w:cs="宋体"/>
          <w:szCs w:val="21"/>
          <w:highlight w:val="none"/>
        </w:rPr>
        <w:fldChar w:fldCharType="separate"/>
      </w:r>
      <w:r>
        <w:rPr>
          <w:rFonts w:ascii="宋体" w:cs="Times New Roman"/>
          <w:szCs w:val="28"/>
        </w:rPr>
        <w:t xml:space="preserve">第三章 </w:t>
      </w:r>
      <w:r>
        <w:rPr>
          <w:rFonts w:hint="eastAsia" w:ascii="宋体" w:hAnsi="宋体" w:cs="宋体"/>
          <w:szCs w:val="28"/>
          <w:highlight w:val="none"/>
        </w:rPr>
        <w:t>比选申请文件（格式）</w:t>
      </w:r>
      <w:r>
        <w:tab/>
      </w:r>
      <w:r>
        <w:fldChar w:fldCharType="begin"/>
      </w:r>
      <w:r>
        <w:instrText xml:space="preserve"> PAGEREF _Toc18993 \h </w:instrText>
      </w:r>
      <w:r>
        <w:fldChar w:fldCharType="separate"/>
      </w:r>
      <w:r>
        <w:t>25</w:t>
      </w:r>
      <w:r>
        <w:fldChar w:fldCharType="end"/>
      </w:r>
      <w:r>
        <w:rPr>
          <w:rFonts w:ascii="宋体" w:hAnsi="宋体" w:cs="宋体"/>
          <w:szCs w:val="21"/>
          <w:highlight w:val="none"/>
        </w:rPr>
        <w:fldChar w:fldCharType="end"/>
      </w:r>
    </w:p>
    <w:p>
      <w:pPr>
        <w:pStyle w:val="22"/>
        <w:tabs>
          <w:tab w:val="right" w:leader="dot" w:pos="9219"/>
        </w:tabs>
      </w:pPr>
      <w:r>
        <w:rPr>
          <w:rFonts w:ascii="宋体" w:hAnsi="宋体" w:cs="宋体"/>
          <w:szCs w:val="21"/>
          <w:highlight w:val="none"/>
        </w:rPr>
        <w:fldChar w:fldCharType="begin"/>
      </w:r>
      <w:r>
        <w:rPr>
          <w:rFonts w:ascii="宋体" w:hAnsi="宋体" w:cs="宋体"/>
          <w:szCs w:val="21"/>
          <w:highlight w:val="none"/>
        </w:rPr>
        <w:instrText xml:space="preserve"> HYPERLINK \l _Toc5961 </w:instrText>
      </w:r>
      <w:r>
        <w:rPr>
          <w:rFonts w:ascii="宋体" w:hAnsi="宋体" w:cs="宋体"/>
          <w:szCs w:val="21"/>
          <w:highlight w:val="none"/>
        </w:rPr>
        <w:fldChar w:fldCharType="separate"/>
      </w:r>
      <w:r>
        <w:rPr>
          <w:rFonts w:hint="eastAsia"/>
          <w:highlight w:val="none"/>
        </w:rPr>
        <w:t>一、资格审查文件目录</w:t>
      </w:r>
      <w:r>
        <w:tab/>
      </w:r>
      <w:r>
        <w:fldChar w:fldCharType="begin"/>
      </w:r>
      <w:r>
        <w:instrText xml:space="preserve"> PAGEREF _Toc5961 \h </w:instrText>
      </w:r>
      <w:r>
        <w:fldChar w:fldCharType="separate"/>
      </w:r>
      <w:r>
        <w:t>26</w:t>
      </w:r>
      <w:r>
        <w:fldChar w:fldCharType="end"/>
      </w:r>
      <w:r>
        <w:rPr>
          <w:rFonts w:ascii="宋体" w:hAnsi="宋体" w:cs="宋体"/>
          <w:szCs w:val="21"/>
          <w:highlight w:val="none"/>
        </w:rPr>
        <w:fldChar w:fldCharType="end"/>
      </w:r>
    </w:p>
    <w:p>
      <w:pPr>
        <w:pStyle w:val="22"/>
        <w:tabs>
          <w:tab w:val="right" w:leader="dot" w:pos="9219"/>
        </w:tabs>
      </w:pPr>
      <w:r>
        <w:rPr>
          <w:rFonts w:ascii="宋体" w:hAnsi="宋体" w:cs="宋体"/>
          <w:szCs w:val="21"/>
          <w:highlight w:val="none"/>
        </w:rPr>
        <w:fldChar w:fldCharType="begin"/>
      </w:r>
      <w:r>
        <w:rPr>
          <w:rFonts w:ascii="宋体" w:hAnsi="宋体" w:cs="宋体"/>
          <w:szCs w:val="21"/>
          <w:highlight w:val="none"/>
        </w:rPr>
        <w:instrText xml:space="preserve"> HYPERLINK \l _Toc12404 </w:instrText>
      </w:r>
      <w:r>
        <w:rPr>
          <w:rFonts w:ascii="宋体" w:hAnsi="宋体" w:cs="宋体"/>
          <w:szCs w:val="21"/>
          <w:highlight w:val="none"/>
        </w:rPr>
        <w:fldChar w:fldCharType="separate"/>
      </w:r>
      <w:r>
        <w:rPr>
          <w:rFonts w:hint="eastAsia"/>
          <w:highlight w:val="none"/>
        </w:rPr>
        <w:t>二、技术部分材料目录</w:t>
      </w:r>
      <w:r>
        <w:tab/>
      </w:r>
      <w:r>
        <w:fldChar w:fldCharType="begin"/>
      </w:r>
      <w:r>
        <w:instrText xml:space="preserve"> PAGEREF _Toc12404 \h </w:instrText>
      </w:r>
      <w:r>
        <w:fldChar w:fldCharType="separate"/>
      </w:r>
      <w:r>
        <w:t>35</w:t>
      </w:r>
      <w:r>
        <w:fldChar w:fldCharType="end"/>
      </w:r>
      <w:r>
        <w:rPr>
          <w:rFonts w:ascii="宋体" w:hAnsi="宋体" w:cs="宋体"/>
          <w:szCs w:val="21"/>
          <w:highlight w:val="none"/>
        </w:rPr>
        <w:fldChar w:fldCharType="end"/>
      </w:r>
    </w:p>
    <w:p>
      <w:pPr>
        <w:pStyle w:val="22"/>
        <w:tabs>
          <w:tab w:val="right" w:leader="dot" w:pos="9219"/>
        </w:tabs>
      </w:pPr>
      <w:r>
        <w:rPr>
          <w:rFonts w:ascii="宋体" w:hAnsi="宋体" w:cs="宋体"/>
          <w:szCs w:val="21"/>
          <w:highlight w:val="none"/>
        </w:rPr>
        <w:fldChar w:fldCharType="begin"/>
      </w:r>
      <w:r>
        <w:rPr>
          <w:rFonts w:ascii="宋体" w:hAnsi="宋体" w:cs="宋体"/>
          <w:szCs w:val="21"/>
          <w:highlight w:val="none"/>
        </w:rPr>
        <w:instrText xml:space="preserve"> HYPERLINK \l _Toc27214 </w:instrText>
      </w:r>
      <w:r>
        <w:rPr>
          <w:rFonts w:ascii="宋体" w:hAnsi="宋体" w:cs="宋体"/>
          <w:szCs w:val="21"/>
          <w:highlight w:val="none"/>
        </w:rPr>
        <w:fldChar w:fldCharType="separate"/>
      </w:r>
      <w:r>
        <w:rPr>
          <w:rFonts w:hint="eastAsia"/>
          <w:highlight w:val="none"/>
        </w:rPr>
        <w:t>三、商务部分材料目录</w:t>
      </w:r>
      <w:r>
        <w:tab/>
      </w:r>
      <w:r>
        <w:fldChar w:fldCharType="begin"/>
      </w:r>
      <w:r>
        <w:instrText xml:space="preserve"> PAGEREF _Toc27214 \h </w:instrText>
      </w:r>
      <w:r>
        <w:fldChar w:fldCharType="separate"/>
      </w:r>
      <w:r>
        <w:t>42</w:t>
      </w:r>
      <w:r>
        <w:fldChar w:fldCharType="end"/>
      </w:r>
      <w:r>
        <w:rPr>
          <w:rFonts w:ascii="宋体" w:hAnsi="宋体" w:cs="宋体"/>
          <w:szCs w:val="21"/>
          <w:highlight w:val="none"/>
        </w:rPr>
        <w:fldChar w:fldCharType="end"/>
      </w:r>
    </w:p>
    <w:p>
      <w:pPr>
        <w:pStyle w:val="18"/>
        <w:tabs>
          <w:tab w:val="right" w:leader="dot" w:pos="9219"/>
        </w:tabs>
      </w:pPr>
      <w:r>
        <w:rPr>
          <w:rFonts w:ascii="宋体" w:hAnsi="宋体" w:cs="宋体"/>
          <w:szCs w:val="21"/>
          <w:highlight w:val="none"/>
        </w:rPr>
        <w:fldChar w:fldCharType="begin"/>
      </w:r>
      <w:r>
        <w:rPr>
          <w:rFonts w:ascii="宋体" w:hAnsi="宋体" w:cs="宋体"/>
          <w:szCs w:val="21"/>
          <w:highlight w:val="none"/>
        </w:rPr>
        <w:instrText xml:space="preserve"> HYPERLINK \l _Toc22689 </w:instrText>
      </w:r>
      <w:r>
        <w:rPr>
          <w:rFonts w:ascii="宋体" w:hAnsi="宋体" w:cs="宋体"/>
          <w:szCs w:val="21"/>
          <w:highlight w:val="none"/>
        </w:rPr>
        <w:fldChar w:fldCharType="separate"/>
      </w:r>
      <w:r>
        <w:rPr>
          <w:rFonts w:hint="eastAsia"/>
          <w:highlight w:val="none"/>
        </w:rPr>
        <w:t>第四章</w:t>
      </w:r>
      <w:r>
        <w:rPr>
          <w:highlight w:val="none"/>
        </w:rPr>
        <w:t xml:space="preserve"> </w:t>
      </w:r>
      <w:r>
        <w:rPr>
          <w:rFonts w:hint="eastAsia"/>
          <w:highlight w:val="none"/>
        </w:rPr>
        <w:t>评比办法</w:t>
      </w:r>
      <w:r>
        <w:tab/>
      </w:r>
      <w:r>
        <w:fldChar w:fldCharType="begin"/>
      </w:r>
      <w:r>
        <w:instrText xml:space="preserve"> PAGEREF _Toc22689 \h </w:instrText>
      </w:r>
      <w:r>
        <w:fldChar w:fldCharType="separate"/>
      </w:r>
      <w:r>
        <w:t>44</w:t>
      </w:r>
      <w:r>
        <w:fldChar w:fldCharType="end"/>
      </w:r>
      <w:r>
        <w:rPr>
          <w:rFonts w:ascii="宋体" w:hAnsi="宋体" w:cs="宋体"/>
          <w:szCs w:val="21"/>
          <w:highlight w:val="none"/>
        </w:rPr>
        <w:fldChar w:fldCharType="end"/>
      </w:r>
    </w:p>
    <w:p>
      <w:pPr>
        <w:pStyle w:val="22"/>
        <w:tabs>
          <w:tab w:val="right" w:leader="dot" w:pos="9219"/>
        </w:tabs>
      </w:pPr>
      <w:r>
        <w:rPr>
          <w:rFonts w:ascii="宋体" w:hAnsi="宋体" w:cs="宋体"/>
          <w:szCs w:val="21"/>
          <w:highlight w:val="none"/>
        </w:rPr>
        <w:fldChar w:fldCharType="begin"/>
      </w:r>
      <w:r>
        <w:rPr>
          <w:rFonts w:ascii="宋体" w:hAnsi="宋体" w:cs="宋体"/>
          <w:szCs w:val="21"/>
          <w:highlight w:val="none"/>
        </w:rPr>
        <w:instrText xml:space="preserve"> HYPERLINK \l _Toc30260 </w:instrText>
      </w:r>
      <w:r>
        <w:rPr>
          <w:rFonts w:ascii="宋体" w:hAnsi="宋体" w:cs="宋体"/>
          <w:szCs w:val="21"/>
          <w:highlight w:val="none"/>
        </w:rPr>
        <w:fldChar w:fldCharType="separate"/>
      </w:r>
      <w:r>
        <w:rPr>
          <w:rFonts w:hint="eastAsia"/>
          <w:highlight w:val="none"/>
        </w:rPr>
        <w:t>一、综合评分办法</w:t>
      </w:r>
      <w:r>
        <w:tab/>
      </w:r>
      <w:r>
        <w:fldChar w:fldCharType="begin"/>
      </w:r>
      <w:r>
        <w:instrText xml:space="preserve"> PAGEREF _Toc30260 \h </w:instrText>
      </w:r>
      <w:r>
        <w:fldChar w:fldCharType="separate"/>
      </w:r>
      <w:r>
        <w:t>44</w:t>
      </w:r>
      <w:r>
        <w:fldChar w:fldCharType="end"/>
      </w:r>
      <w:r>
        <w:rPr>
          <w:rFonts w:ascii="宋体" w:hAnsi="宋体" w:cs="宋体"/>
          <w:szCs w:val="21"/>
          <w:highlight w:val="none"/>
        </w:rPr>
        <w:fldChar w:fldCharType="end"/>
      </w:r>
    </w:p>
    <w:p>
      <w:pPr>
        <w:pStyle w:val="22"/>
        <w:tabs>
          <w:tab w:val="right" w:leader="dot" w:pos="9219"/>
        </w:tabs>
      </w:pPr>
      <w:r>
        <w:rPr>
          <w:rFonts w:ascii="宋体" w:hAnsi="宋体" w:cs="宋体"/>
          <w:szCs w:val="21"/>
          <w:highlight w:val="none"/>
        </w:rPr>
        <w:fldChar w:fldCharType="begin"/>
      </w:r>
      <w:r>
        <w:rPr>
          <w:rFonts w:ascii="宋体" w:hAnsi="宋体" w:cs="宋体"/>
          <w:szCs w:val="21"/>
          <w:highlight w:val="none"/>
        </w:rPr>
        <w:instrText xml:space="preserve"> HYPERLINK \l _Toc28487 </w:instrText>
      </w:r>
      <w:r>
        <w:rPr>
          <w:rFonts w:ascii="宋体" w:hAnsi="宋体" w:cs="宋体"/>
          <w:szCs w:val="21"/>
          <w:highlight w:val="none"/>
        </w:rPr>
        <w:fldChar w:fldCharType="separate"/>
      </w:r>
      <w:r>
        <w:rPr>
          <w:rFonts w:hint="eastAsia"/>
          <w:highlight w:val="none"/>
        </w:rPr>
        <w:t>二、总分计算公式</w:t>
      </w:r>
      <w:r>
        <w:tab/>
      </w:r>
      <w:r>
        <w:fldChar w:fldCharType="begin"/>
      </w:r>
      <w:r>
        <w:instrText xml:space="preserve"> PAGEREF _Toc28487 \h </w:instrText>
      </w:r>
      <w:r>
        <w:fldChar w:fldCharType="separate"/>
      </w:r>
      <w:r>
        <w:t>45</w:t>
      </w:r>
      <w:r>
        <w:fldChar w:fldCharType="end"/>
      </w:r>
      <w:r>
        <w:rPr>
          <w:rFonts w:ascii="宋体" w:hAnsi="宋体" w:cs="宋体"/>
          <w:szCs w:val="21"/>
          <w:highlight w:val="none"/>
        </w:rPr>
        <w:fldChar w:fldCharType="end"/>
      </w:r>
    </w:p>
    <w:p>
      <w:pPr>
        <w:pStyle w:val="22"/>
        <w:tabs>
          <w:tab w:val="right" w:leader="dot" w:pos="9219"/>
        </w:tabs>
      </w:pPr>
      <w:r>
        <w:rPr>
          <w:rFonts w:ascii="宋体" w:hAnsi="宋体" w:cs="宋体"/>
          <w:szCs w:val="21"/>
          <w:highlight w:val="none"/>
        </w:rPr>
        <w:fldChar w:fldCharType="begin"/>
      </w:r>
      <w:r>
        <w:rPr>
          <w:rFonts w:ascii="宋体" w:hAnsi="宋体" w:cs="宋体"/>
          <w:szCs w:val="21"/>
          <w:highlight w:val="none"/>
        </w:rPr>
        <w:instrText xml:space="preserve"> HYPERLINK \l _Toc11354 </w:instrText>
      </w:r>
      <w:r>
        <w:rPr>
          <w:rFonts w:ascii="宋体" w:hAnsi="宋体" w:cs="宋体"/>
          <w:szCs w:val="21"/>
          <w:highlight w:val="none"/>
        </w:rPr>
        <w:fldChar w:fldCharType="separate"/>
      </w:r>
      <w:r>
        <w:rPr>
          <w:rFonts w:hint="eastAsia"/>
          <w:highlight w:val="none"/>
        </w:rPr>
        <w:t>三、评分细则</w:t>
      </w:r>
      <w:r>
        <w:tab/>
      </w:r>
      <w:r>
        <w:fldChar w:fldCharType="begin"/>
      </w:r>
      <w:r>
        <w:instrText xml:space="preserve"> PAGEREF _Toc11354 \h </w:instrText>
      </w:r>
      <w:r>
        <w:fldChar w:fldCharType="separate"/>
      </w:r>
      <w:r>
        <w:t>45</w:t>
      </w:r>
      <w:r>
        <w:fldChar w:fldCharType="end"/>
      </w:r>
      <w:r>
        <w:rPr>
          <w:rFonts w:ascii="宋体" w:hAnsi="宋体" w:cs="宋体"/>
          <w:szCs w:val="21"/>
          <w:highlight w:val="none"/>
        </w:rPr>
        <w:fldChar w:fldCharType="end"/>
      </w:r>
    </w:p>
    <w:p>
      <w:pPr>
        <w:pStyle w:val="22"/>
        <w:tabs>
          <w:tab w:val="right" w:leader="dot" w:pos="9219"/>
        </w:tabs>
      </w:pPr>
      <w:r>
        <w:rPr>
          <w:rFonts w:ascii="宋体" w:hAnsi="宋体" w:cs="宋体"/>
          <w:szCs w:val="21"/>
          <w:highlight w:val="none"/>
        </w:rPr>
        <w:fldChar w:fldCharType="begin"/>
      </w:r>
      <w:r>
        <w:rPr>
          <w:rFonts w:ascii="宋体" w:hAnsi="宋体" w:cs="宋体"/>
          <w:szCs w:val="21"/>
          <w:highlight w:val="none"/>
        </w:rPr>
        <w:instrText xml:space="preserve"> HYPERLINK \l _Toc25386 </w:instrText>
      </w:r>
      <w:r>
        <w:rPr>
          <w:rFonts w:ascii="宋体" w:hAnsi="宋体" w:cs="宋体"/>
          <w:szCs w:val="21"/>
          <w:highlight w:val="none"/>
        </w:rPr>
        <w:fldChar w:fldCharType="separate"/>
      </w:r>
      <w:r>
        <w:rPr>
          <w:rFonts w:hint="eastAsia" w:ascii="宋体" w:hAnsi="宋体" w:cs="仿宋"/>
          <w:szCs w:val="28"/>
          <w:highlight w:val="none"/>
        </w:rPr>
        <w:t>四、中选标准</w:t>
      </w:r>
      <w:r>
        <w:tab/>
      </w:r>
      <w:r>
        <w:fldChar w:fldCharType="begin"/>
      </w:r>
      <w:r>
        <w:instrText xml:space="preserve"> PAGEREF _Toc25386 \h </w:instrText>
      </w:r>
      <w:r>
        <w:fldChar w:fldCharType="separate"/>
      </w:r>
      <w:r>
        <w:t>46</w:t>
      </w:r>
      <w:r>
        <w:fldChar w:fldCharType="end"/>
      </w:r>
      <w:r>
        <w:rPr>
          <w:rFonts w:ascii="宋体" w:hAnsi="宋体" w:cs="宋体"/>
          <w:szCs w:val="21"/>
          <w:highlight w:val="none"/>
        </w:rPr>
        <w:fldChar w:fldCharType="end"/>
      </w:r>
    </w:p>
    <w:p>
      <w:pPr>
        <w:pStyle w:val="18"/>
        <w:tabs>
          <w:tab w:val="right" w:leader="dot" w:pos="9219"/>
        </w:tabs>
      </w:pPr>
      <w:r>
        <w:rPr>
          <w:rFonts w:ascii="宋体" w:hAnsi="宋体" w:cs="宋体"/>
          <w:szCs w:val="21"/>
          <w:highlight w:val="none"/>
        </w:rPr>
        <w:fldChar w:fldCharType="begin"/>
      </w:r>
      <w:r>
        <w:rPr>
          <w:rFonts w:ascii="宋体" w:hAnsi="宋体" w:cs="宋体"/>
          <w:szCs w:val="21"/>
          <w:highlight w:val="none"/>
        </w:rPr>
        <w:instrText xml:space="preserve"> HYPERLINK \l _Toc1299 </w:instrText>
      </w:r>
      <w:r>
        <w:rPr>
          <w:rFonts w:ascii="宋体" w:hAnsi="宋体" w:cs="宋体"/>
          <w:szCs w:val="21"/>
          <w:highlight w:val="none"/>
        </w:rPr>
        <w:fldChar w:fldCharType="separate"/>
      </w:r>
      <w:r>
        <w:rPr>
          <w:rFonts w:hint="eastAsia" w:ascii="宋体" w:hAnsi="宋体" w:eastAsia="宋体" w:cs="方正小标宋简体"/>
          <w:bCs/>
          <w:szCs w:val="28"/>
          <w:highlight w:val="none"/>
        </w:rPr>
        <w:t>第五章</w:t>
      </w:r>
      <w:r>
        <w:rPr>
          <w:rFonts w:ascii="宋体" w:hAnsi="宋体" w:eastAsia="宋体" w:cs="方正小标宋简体"/>
          <w:bCs/>
          <w:szCs w:val="28"/>
          <w:highlight w:val="none"/>
        </w:rPr>
        <w:t xml:space="preserve"> </w:t>
      </w:r>
      <w:r>
        <w:rPr>
          <w:rFonts w:hint="eastAsia" w:ascii="宋体" w:hAnsi="宋体" w:eastAsia="宋体" w:cs="方正小标宋简体"/>
          <w:bCs/>
          <w:szCs w:val="28"/>
          <w:highlight w:val="none"/>
        </w:rPr>
        <w:t>用户需求书</w:t>
      </w:r>
      <w:r>
        <w:tab/>
      </w:r>
      <w:r>
        <w:fldChar w:fldCharType="begin"/>
      </w:r>
      <w:r>
        <w:instrText xml:space="preserve"> PAGEREF _Toc1299 \h </w:instrText>
      </w:r>
      <w:r>
        <w:fldChar w:fldCharType="separate"/>
      </w:r>
      <w:r>
        <w:t>48</w:t>
      </w:r>
      <w:r>
        <w:fldChar w:fldCharType="end"/>
      </w:r>
      <w:r>
        <w:rPr>
          <w:rFonts w:ascii="宋体" w:hAnsi="宋体" w:cs="宋体"/>
          <w:szCs w:val="21"/>
          <w:highlight w:val="none"/>
        </w:rPr>
        <w:fldChar w:fldCharType="end"/>
      </w:r>
    </w:p>
    <w:p>
      <w:pPr>
        <w:pStyle w:val="3"/>
        <w:tabs>
          <w:tab w:val="right" w:leader="dot" w:pos="9219"/>
        </w:tabs>
        <w:spacing w:before="0" w:after="0" w:line="600" w:lineRule="exact"/>
        <w:ind w:firstLine="2635" w:firstLineChars="1250"/>
        <w:jc w:val="both"/>
        <w:rPr>
          <w:rStyle w:val="28"/>
          <w:rFonts w:ascii="宋体"/>
          <w:szCs w:val="21"/>
          <w:highlight w:val="none"/>
        </w:rPr>
      </w:pPr>
      <w:r>
        <w:rPr>
          <w:rFonts w:ascii="宋体" w:hAnsi="宋体" w:cs="宋体"/>
          <w:sz w:val="21"/>
          <w:szCs w:val="21"/>
          <w:highlight w:val="none"/>
        </w:rPr>
        <w:fldChar w:fldCharType="end"/>
      </w:r>
    </w:p>
    <w:p>
      <w:pPr>
        <w:jc w:val="left"/>
        <w:rPr>
          <w:rFonts w:ascii="宋体" w:cs="宋体"/>
          <w:szCs w:val="21"/>
          <w:highlight w:val="none"/>
        </w:rPr>
      </w:pPr>
    </w:p>
    <w:p>
      <w:pPr>
        <w:jc w:val="left"/>
        <w:rPr>
          <w:rFonts w:ascii="宋体" w:cs="宋体"/>
          <w:szCs w:val="28"/>
          <w:highlight w:val="none"/>
        </w:rPr>
      </w:pPr>
    </w:p>
    <w:p>
      <w:pPr>
        <w:jc w:val="center"/>
        <w:rPr>
          <w:rFonts w:ascii="宋体" w:cs="宋体"/>
          <w:szCs w:val="28"/>
          <w:highlight w:val="none"/>
        </w:rPr>
      </w:pPr>
    </w:p>
    <w:p>
      <w:pPr>
        <w:jc w:val="left"/>
        <w:rPr>
          <w:rFonts w:ascii="宋体" w:cs="宋体"/>
          <w:szCs w:val="28"/>
          <w:highlight w:val="none"/>
        </w:rPr>
      </w:pPr>
    </w:p>
    <w:p>
      <w:pPr>
        <w:jc w:val="left"/>
        <w:rPr>
          <w:rFonts w:ascii="宋体" w:cs="宋体"/>
          <w:szCs w:val="28"/>
          <w:highlight w:val="none"/>
        </w:rPr>
      </w:pPr>
    </w:p>
    <w:p>
      <w:pPr>
        <w:jc w:val="left"/>
        <w:rPr>
          <w:rFonts w:ascii="宋体" w:cs="宋体"/>
          <w:szCs w:val="28"/>
          <w:highlight w:val="none"/>
        </w:rPr>
      </w:pPr>
    </w:p>
    <w:p>
      <w:pPr>
        <w:jc w:val="left"/>
        <w:rPr>
          <w:rFonts w:ascii="宋体" w:cs="宋体"/>
          <w:szCs w:val="28"/>
          <w:highlight w:val="none"/>
        </w:rPr>
      </w:pPr>
    </w:p>
    <w:p>
      <w:pPr>
        <w:rPr>
          <w:rFonts w:ascii="宋体" w:cs="宋体"/>
          <w:szCs w:val="28"/>
          <w:highlight w:val="none"/>
        </w:rPr>
      </w:pPr>
      <w:bookmarkStart w:id="20" w:name="_Toc14177"/>
      <w:bookmarkStart w:id="21" w:name="_Toc30578"/>
      <w:bookmarkStart w:id="22" w:name="_Toc9092"/>
      <w:bookmarkStart w:id="23" w:name="_Toc32719"/>
      <w:bookmarkStart w:id="24" w:name="_Toc18544"/>
      <w:bookmarkStart w:id="25" w:name="_Toc461525294"/>
      <w:bookmarkStart w:id="26" w:name="_Toc29385"/>
      <w:bookmarkStart w:id="27" w:name="_Toc13623"/>
      <w:bookmarkStart w:id="28" w:name="_Toc24752"/>
      <w:bookmarkStart w:id="29" w:name="_Toc6747"/>
      <w:bookmarkStart w:id="30" w:name="_Toc30233"/>
      <w:bookmarkStart w:id="31" w:name="_Toc14897"/>
      <w:bookmarkStart w:id="32" w:name="_Toc11052"/>
      <w:bookmarkStart w:id="33" w:name="_Toc32556"/>
      <w:bookmarkStart w:id="34" w:name="_Toc12557"/>
      <w:bookmarkStart w:id="35" w:name="_Toc20342"/>
      <w:bookmarkStart w:id="36" w:name="_Toc9851"/>
      <w:bookmarkStart w:id="37" w:name="_Toc27762"/>
      <w:bookmarkStart w:id="38" w:name="_Toc31020"/>
      <w:bookmarkStart w:id="39" w:name="_Toc24235"/>
      <w:bookmarkStart w:id="40" w:name="_Toc471482359"/>
      <w:r>
        <w:rPr>
          <w:rFonts w:ascii="宋体" w:cs="宋体"/>
          <w:szCs w:val="28"/>
          <w:highlight w:val="none"/>
        </w:rPr>
        <w:br w:type="page"/>
      </w:r>
    </w:p>
    <w:p>
      <w:pPr>
        <w:pStyle w:val="3"/>
        <w:spacing w:before="0" w:after="0" w:line="600" w:lineRule="exact"/>
        <w:rPr>
          <w:rFonts w:ascii="宋体" w:cs="宋体"/>
          <w:szCs w:val="28"/>
          <w:highlight w:val="none"/>
        </w:rPr>
      </w:pPr>
      <w:bookmarkStart w:id="41" w:name="_Toc20140"/>
      <w:r>
        <w:rPr>
          <w:rFonts w:hint="eastAsia" w:ascii="宋体" w:hAnsi="宋体" w:cs="宋体"/>
          <w:szCs w:val="28"/>
          <w:highlight w:val="none"/>
        </w:rPr>
        <w:t>第一章</w:t>
      </w:r>
      <w:r>
        <w:rPr>
          <w:rFonts w:ascii="宋体" w:hAnsi="宋体" w:cs="宋体"/>
          <w:szCs w:val="28"/>
          <w:highlight w:val="none"/>
        </w:rPr>
        <w:t xml:space="preserve"> </w:t>
      </w:r>
      <w:r>
        <w:rPr>
          <w:rFonts w:hint="eastAsia" w:ascii="宋体" w:hAnsi="宋体" w:cs="宋体"/>
          <w:szCs w:val="28"/>
          <w:highlight w:val="none"/>
        </w:rPr>
        <w:t>比选须知</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4"/>
        <w:spacing w:before="120" w:after="120" w:line="540" w:lineRule="exact"/>
        <w:jc w:val="left"/>
        <w:rPr>
          <w:sz w:val="24"/>
          <w:szCs w:val="24"/>
          <w:highlight w:val="none"/>
        </w:rPr>
      </w:pPr>
      <w:bookmarkStart w:id="42" w:name="_Toc24301"/>
      <w:bookmarkStart w:id="43" w:name="_Toc17641"/>
      <w:bookmarkStart w:id="44" w:name="_Toc14510"/>
      <w:bookmarkStart w:id="45" w:name="_Toc471482360"/>
      <w:bookmarkStart w:id="46" w:name="_Toc21327"/>
      <w:bookmarkStart w:id="47" w:name="_Toc11329"/>
      <w:bookmarkStart w:id="48" w:name="_Toc461525295"/>
      <w:bookmarkStart w:id="49" w:name="_Toc5848"/>
      <w:bookmarkStart w:id="50" w:name="_Toc31166"/>
      <w:bookmarkStart w:id="51" w:name="_Toc2242"/>
      <w:bookmarkStart w:id="52" w:name="_Toc14984"/>
      <w:bookmarkStart w:id="53" w:name="_Toc24239"/>
      <w:bookmarkStart w:id="54" w:name="_Toc32591"/>
      <w:bookmarkStart w:id="55" w:name="_Toc17254"/>
      <w:bookmarkStart w:id="56" w:name="_Toc21200"/>
      <w:bookmarkStart w:id="57" w:name="_Toc11337"/>
      <w:bookmarkStart w:id="58" w:name="_Toc2162"/>
      <w:bookmarkStart w:id="59" w:name="_Toc8003"/>
      <w:bookmarkStart w:id="60" w:name="_Toc20765"/>
      <w:bookmarkStart w:id="61" w:name="_Toc18263"/>
      <w:bookmarkStart w:id="62" w:name="_Toc18968"/>
      <w:bookmarkStart w:id="63" w:name="_Toc25750"/>
      <w:r>
        <w:rPr>
          <w:rFonts w:hint="eastAsia"/>
          <w:sz w:val="24"/>
          <w:szCs w:val="24"/>
          <w:highlight w:val="none"/>
        </w:rPr>
        <w:t>前附表</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tbl>
      <w:tblPr>
        <w:tblStyle w:val="25"/>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732"/>
        <w:gridCol w:w="7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970" w:type="dxa"/>
            <w:vAlign w:val="center"/>
          </w:tcPr>
          <w:p>
            <w:pPr>
              <w:jc w:val="center"/>
              <w:rPr>
                <w:rFonts w:ascii="宋体" w:cs="宋体"/>
                <w:b/>
                <w:szCs w:val="21"/>
                <w:highlight w:val="none"/>
              </w:rPr>
            </w:pPr>
            <w:r>
              <w:rPr>
                <w:rFonts w:hint="eastAsia" w:ascii="宋体" w:hAnsi="宋体" w:cs="宋体"/>
                <w:b/>
                <w:szCs w:val="21"/>
                <w:highlight w:val="none"/>
              </w:rPr>
              <w:t>序号</w:t>
            </w:r>
          </w:p>
        </w:tc>
        <w:tc>
          <w:tcPr>
            <w:tcW w:w="1732" w:type="dxa"/>
            <w:vAlign w:val="center"/>
          </w:tcPr>
          <w:p>
            <w:pPr>
              <w:jc w:val="left"/>
              <w:rPr>
                <w:rFonts w:ascii="宋体" w:cs="宋体"/>
                <w:b/>
                <w:szCs w:val="21"/>
                <w:highlight w:val="none"/>
              </w:rPr>
            </w:pPr>
          </w:p>
        </w:tc>
        <w:tc>
          <w:tcPr>
            <w:tcW w:w="7074" w:type="dxa"/>
            <w:vAlign w:val="center"/>
          </w:tcPr>
          <w:p>
            <w:pPr>
              <w:jc w:val="center"/>
              <w:rPr>
                <w:rFonts w:ascii="宋体" w:cs="宋体"/>
                <w:b/>
                <w:szCs w:val="21"/>
                <w:highlight w:val="none"/>
              </w:rPr>
            </w:pPr>
            <w:r>
              <w:rPr>
                <w:rFonts w:hint="eastAsia" w:ascii="宋体" w:hAnsi="宋体" w:cs="宋体"/>
                <w:b/>
                <w:szCs w:val="21"/>
                <w:highlight w:val="none"/>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w:t>
            </w:r>
          </w:p>
        </w:tc>
        <w:tc>
          <w:tcPr>
            <w:tcW w:w="1732" w:type="dxa"/>
            <w:vAlign w:val="center"/>
          </w:tcPr>
          <w:p>
            <w:pPr>
              <w:jc w:val="left"/>
              <w:rPr>
                <w:rFonts w:ascii="宋体" w:cs="宋体"/>
                <w:szCs w:val="21"/>
                <w:highlight w:val="none"/>
              </w:rPr>
            </w:pPr>
            <w:r>
              <w:rPr>
                <w:rFonts w:hint="eastAsia" w:ascii="宋体" w:hAnsi="宋体" w:cs="宋体"/>
                <w:szCs w:val="21"/>
                <w:highlight w:val="none"/>
              </w:rPr>
              <w:t>项目名称</w:t>
            </w:r>
          </w:p>
        </w:tc>
        <w:tc>
          <w:tcPr>
            <w:tcW w:w="7074" w:type="dxa"/>
            <w:vAlign w:val="center"/>
          </w:tcPr>
          <w:p>
            <w:pPr>
              <w:spacing w:line="300" w:lineRule="exact"/>
              <w:ind w:left="210" w:hanging="210" w:hangingChars="100"/>
              <w:rPr>
                <w:rFonts w:hint="eastAsia" w:ascii="宋体" w:hAnsi="宋体" w:cs="宋体"/>
                <w:szCs w:val="21"/>
                <w:highlight w:val="none"/>
                <w:u w:val="single"/>
                <w:lang w:val="en-US" w:eastAsia="zh-CN"/>
              </w:rPr>
            </w:pPr>
            <w:r>
              <w:rPr>
                <w:rFonts w:hint="eastAsia" w:ascii="宋体" w:hAnsi="宋体" w:cs="宋体"/>
                <w:szCs w:val="21"/>
                <w:highlight w:val="none"/>
                <w:u w:val="single"/>
              </w:rPr>
              <w:t>南宁轨道</w:t>
            </w:r>
            <w:r>
              <w:rPr>
                <w:rFonts w:hint="eastAsia" w:ascii="宋体" w:hAnsi="宋体" w:cs="宋体"/>
                <w:szCs w:val="21"/>
                <w:highlight w:val="none"/>
                <w:u w:val="single"/>
                <w:lang w:val="en-US" w:eastAsia="zh-CN"/>
              </w:rPr>
              <w:t>交通建设有限</w:t>
            </w:r>
            <w:r>
              <w:rPr>
                <w:rFonts w:hint="eastAsia" w:ascii="宋体" w:hAnsi="宋体" w:cs="宋体"/>
                <w:szCs w:val="21"/>
                <w:highlight w:val="none"/>
                <w:u w:val="single"/>
              </w:rPr>
              <w:t>公司</w:t>
            </w:r>
            <w:r>
              <w:rPr>
                <w:rFonts w:hint="eastAsia" w:ascii="宋体" w:hAnsi="宋体" w:cs="宋体"/>
                <w:szCs w:val="21"/>
                <w:highlight w:val="none"/>
                <w:u w:val="single"/>
                <w:lang w:val="en-US" w:eastAsia="zh-CN"/>
              </w:rPr>
              <w:t>2020年至</w:t>
            </w:r>
            <w:r>
              <w:rPr>
                <w:rFonts w:ascii="宋体" w:hAnsi="宋体" w:cs="宋体"/>
                <w:szCs w:val="21"/>
                <w:highlight w:val="none"/>
                <w:u w:val="single"/>
              </w:rPr>
              <w:t>2022</w:t>
            </w:r>
            <w:r>
              <w:rPr>
                <w:rFonts w:hint="eastAsia" w:ascii="宋体" w:hAnsi="宋体" w:cs="宋体"/>
                <w:szCs w:val="21"/>
                <w:highlight w:val="none"/>
                <w:u w:val="single"/>
              </w:rPr>
              <w:t>年</w:t>
            </w:r>
            <w:r>
              <w:rPr>
                <w:rFonts w:hint="eastAsia" w:ascii="宋体" w:hAnsi="宋体" w:cs="宋体"/>
                <w:szCs w:val="21"/>
                <w:highlight w:val="none"/>
                <w:u w:val="single"/>
                <w:lang w:val="en-US" w:eastAsia="zh-CN"/>
              </w:rPr>
              <w:t>采购及合同管理专项审计</w:t>
            </w:r>
          </w:p>
          <w:p>
            <w:pPr>
              <w:spacing w:line="300" w:lineRule="exact"/>
              <w:ind w:left="210" w:hanging="210" w:hangingChars="100"/>
              <w:rPr>
                <w:rFonts w:ascii="宋体" w:cs="宋体"/>
                <w:b/>
                <w:sz w:val="28"/>
                <w:szCs w:val="21"/>
                <w:highlight w:val="none"/>
              </w:rPr>
            </w:pPr>
            <w:r>
              <w:rPr>
                <w:rFonts w:hint="eastAsia" w:ascii="宋体" w:hAnsi="宋体" w:cs="宋体"/>
                <w:szCs w:val="21"/>
                <w:highlight w:val="none"/>
                <w:u w:val="single"/>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2</w:t>
            </w:r>
          </w:p>
        </w:tc>
        <w:tc>
          <w:tcPr>
            <w:tcW w:w="1732" w:type="dxa"/>
            <w:vAlign w:val="center"/>
          </w:tcPr>
          <w:p>
            <w:pPr>
              <w:jc w:val="left"/>
              <w:rPr>
                <w:rFonts w:ascii="宋体" w:cs="宋体"/>
                <w:szCs w:val="21"/>
                <w:highlight w:val="none"/>
              </w:rPr>
            </w:pPr>
            <w:r>
              <w:rPr>
                <w:rFonts w:hint="eastAsia" w:ascii="宋体" w:hAnsi="宋体" w:cs="宋体"/>
                <w:szCs w:val="21"/>
                <w:highlight w:val="none"/>
              </w:rPr>
              <w:t>项目范围</w:t>
            </w:r>
          </w:p>
        </w:tc>
        <w:tc>
          <w:tcPr>
            <w:tcW w:w="7074" w:type="dxa"/>
          </w:tcPr>
          <w:p>
            <w:pPr>
              <w:spacing w:line="300" w:lineRule="exact"/>
              <w:rPr>
                <w:rFonts w:ascii="宋体" w:cs="宋体"/>
                <w:szCs w:val="21"/>
                <w:highlight w:val="none"/>
              </w:rPr>
            </w:pPr>
            <w:r>
              <w:rPr>
                <w:rFonts w:hint="eastAsia" w:ascii="宋体" w:hAnsi="宋体" w:cs="宋体"/>
                <w:szCs w:val="21"/>
                <w:highlight w:val="none"/>
              </w:rPr>
              <w:t>对</w:t>
            </w:r>
            <w:r>
              <w:rPr>
                <w:rFonts w:hint="eastAsia" w:ascii="宋体" w:hAnsi="宋体" w:cs="宋体"/>
                <w:szCs w:val="21"/>
                <w:highlight w:val="none"/>
                <w:lang w:val="en-US" w:eastAsia="zh-CN"/>
              </w:rPr>
              <w:t>南宁</w:t>
            </w:r>
            <w:r>
              <w:rPr>
                <w:rFonts w:hint="eastAsia" w:ascii="宋体" w:hAnsi="宋体" w:cs="宋体"/>
                <w:szCs w:val="21"/>
                <w:highlight w:val="none"/>
              </w:rPr>
              <w:t>轨道</w:t>
            </w:r>
            <w:r>
              <w:rPr>
                <w:rFonts w:hint="eastAsia" w:ascii="宋体" w:hAnsi="宋体" w:cs="宋体"/>
                <w:szCs w:val="21"/>
                <w:highlight w:val="none"/>
                <w:lang w:val="en-US" w:eastAsia="zh-CN"/>
              </w:rPr>
              <w:t>交通建设有限</w:t>
            </w:r>
            <w:r>
              <w:rPr>
                <w:rFonts w:hint="eastAsia" w:ascii="宋体" w:hAnsi="宋体" w:cs="宋体"/>
                <w:szCs w:val="21"/>
                <w:highlight w:val="none"/>
              </w:rPr>
              <w:t>公司</w:t>
            </w:r>
            <w:r>
              <w:rPr>
                <w:rFonts w:hint="eastAsia" w:ascii="宋体" w:hAnsi="宋体" w:cs="宋体"/>
                <w:szCs w:val="21"/>
                <w:highlight w:val="none"/>
                <w:lang w:val="en-US" w:eastAsia="zh-CN"/>
              </w:rPr>
              <w:t>4号线、5号线工程项目2020年1月至2022年12月采购管理、合同管理、工程签证管理情况开展审计，包括勘察、设计、监理、施工、咨询、设备物资等采购合同的招标、审批、履行以及合同签订、结算、变更、索赔、工程签证管理等主要业务环节的内部控制情况进行审查，并作出客观公正、实事求是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3</w:t>
            </w:r>
          </w:p>
        </w:tc>
        <w:tc>
          <w:tcPr>
            <w:tcW w:w="1732" w:type="dxa"/>
            <w:vAlign w:val="center"/>
          </w:tcPr>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项目内容及成果要求</w:t>
            </w:r>
          </w:p>
        </w:tc>
        <w:tc>
          <w:tcPr>
            <w:tcW w:w="7074" w:type="dxa"/>
          </w:tcPr>
          <w:p>
            <w:pPr>
              <w:numPr>
                <w:ilvl w:val="0"/>
                <w:numId w:val="1"/>
              </w:num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审计内容</w:t>
            </w:r>
          </w:p>
          <w:p>
            <w:pPr>
              <w:numPr>
                <w:ilvl w:val="0"/>
                <w:numId w:val="0"/>
              </w:numPr>
              <w:spacing w:line="300" w:lineRule="exact"/>
              <w:ind w:firstLine="420" w:firstLineChars="200"/>
              <w:rPr>
                <w:rFonts w:hint="default" w:ascii="宋体" w:hAnsi="宋体" w:cs="宋体"/>
                <w:szCs w:val="21"/>
                <w:highlight w:val="none"/>
                <w:lang w:val="en-US" w:eastAsia="zh-CN"/>
              </w:rPr>
            </w:pPr>
            <w:r>
              <w:rPr>
                <w:rFonts w:hint="eastAsia" w:ascii="宋体" w:hAnsi="宋体" w:cs="宋体"/>
                <w:szCs w:val="21"/>
                <w:highlight w:val="none"/>
                <w:lang w:val="en-US" w:eastAsia="zh-CN"/>
              </w:rPr>
              <w:t>1.采购管理审计</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（1）采购管理制度及标准化流程的建立情况及制度设计的合理性；</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（2）采购工作管理委员会、总经理办公会、董事会分级审批、决策</w:t>
            </w:r>
            <w:r>
              <w:rPr>
                <w:rFonts w:hint="eastAsia" w:ascii="宋体" w:hAnsi="宋体" w:cs="宋体"/>
                <w:szCs w:val="21"/>
                <w:highlight w:val="none"/>
                <w:lang w:val="zh-CN" w:eastAsia="zh-CN"/>
              </w:rPr>
              <w:t>情况</w:t>
            </w:r>
            <w:r>
              <w:rPr>
                <w:rFonts w:hint="eastAsia" w:ascii="宋体" w:hAnsi="宋体" w:cs="宋体"/>
                <w:szCs w:val="21"/>
                <w:highlight w:val="none"/>
                <w:lang w:val="en-US" w:eastAsia="zh-CN"/>
              </w:rPr>
              <w:t>；</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（3）年度采购计划编制、月度临时新增采购计划、紧急采购计划的编制、审批、执行</w:t>
            </w:r>
            <w:r>
              <w:rPr>
                <w:rFonts w:hint="eastAsia" w:ascii="宋体" w:hAnsi="宋体" w:cs="宋体"/>
                <w:szCs w:val="21"/>
                <w:highlight w:val="none"/>
                <w:lang w:val="zh-CN" w:eastAsia="zh-CN"/>
              </w:rPr>
              <w:t>情况</w:t>
            </w:r>
            <w:r>
              <w:rPr>
                <w:rFonts w:hint="eastAsia" w:ascii="宋体" w:hAnsi="宋体" w:cs="宋体"/>
                <w:szCs w:val="21"/>
                <w:highlight w:val="none"/>
                <w:lang w:val="en-US" w:eastAsia="zh-CN"/>
              </w:rPr>
              <w:t>；</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（4）招标类采购、非招标类采购的分判及具体执行情况，关注非公开招标类项目采购评审、谈判过程；</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（5）供应商管理及评价体系建立、各类供应商资源库考察、维护情况；</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 xml:space="preserve">（6）采购监督部门执行监督、检查的情况； </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（7）在</w:t>
            </w:r>
            <w:r>
              <w:rPr>
                <w:rFonts w:hint="eastAsia" w:ascii="宋体" w:hAnsi="宋体" w:cs="宋体"/>
                <w:szCs w:val="21"/>
                <w:highlight w:val="none"/>
                <w:lang w:val="zh-CN" w:eastAsia="zh-CN"/>
              </w:rPr>
              <w:t>采购活动中落实有关党风廉政建设责任和遵守廉洁从业规定情况</w:t>
            </w:r>
            <w:r>
              <w:rPr>
                <w:rFonts w:hint="eastAsia" w:ascii="宋体" w:hAnsi="宋体" w:cs="宋体"/>
                <w:szCs w:val="21"/>
                <w:highlight w:val="none"/>
                <w:lang w:val="en-US" w:eastAsia="zh-CN"/>
              </w:rPr>
              <w:t>；</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（8）采购验收手续是否完整、真实；</w:t>
            </w:r>
          </w:p>
          <w:p>
            <w:pPr>
              <w:spacing w:line="300" w:lineRule="exact"/>
              <w:ind w:firstLine="420" w:firstLineChars="200"/>
              <w:rPr>
                <w:rFonts w:hint="default" w:ascii="宋体" w:hAnsi="宋体" w:cs="宋体"/>
                <w:szCs w:val="21"/>
                <w:highlight w:val="none"/>
                <w:lang w:val="en-US" w:eastAsia="zh-CN"/>
              </w:rPr>
            </w:pPr>
            <w:r>
              <w:rPr>
                <w:rFonts w:hint="eastAsia" w:ascii="宋体" w:hAnsi="宋体" w:cs="宋体"/>
                <w:szCs w:val="21"/>
                <w:highlight w:val="none"/>
                <w:lang w:val="en-US" w:eastAsia="zh-CN"/>
              </w:rPr>
              <w:t>（9）采购流程是否遵守国家法规及公司的采购管理制度；</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（10）采购台账日常管理情况，采购文件管理、归档情况。</w:t>
            </w:r>
          </w:p>
          <w:p>
            <w:pPr>
              <w:numPr>
                <w:ilvl w:val="0"/>
                <w:numId w:val="0"/>
              </w:numPr>
              <w:spacing w:line="300" w:lineRule="exact"/>
              <w:ind w:firstLine="420" w:firstLineChars="200"/>
              <w:rPr>
                <w:rFonts w:hint="default" w:ascii="宋体" w:hAnsi="宋体" w:cs="宋体"/>
                <w:szCs w:val="21"/>
                <w:highlight w:val="none"/>
                <w:lang w:val="en-US" w:eastAsia="zh-CN"/>
              </w:rPr>
            </w:pPr>
            <w:r>
              <w:rPr>
                <w:rFonts w:hint="eastAsia" w:ascii="宋体" w:hAnsi="宋体" w:cs="宋体"/>
                <w:szCs w:val="21"/>
                <w:highlight w:val="none"/>
                <w:lang w:val="en-US" w:eastAsia="zh-CN"/>
              </w:rPr>
              <w:t>2.合同管理审计</w:t>
            </w:r>
          </w:p>
          <w:p>
            <w:pPr>
              <w:spacing w:line="300" w:lineRule="exact"/>
              <w:ind w:firstLine="420" w:firstLineChars="200"/>
              <w:rPr>
                <w:rFonts w:hint="default" w:ascii="宋体" w:hAnsi="宋体" w:cs="宋体"/>
                <w:szCs w:val="21"/>
                <w:highlight w:val="none"/>
                <w:lang w:val="en-US" w:eastAsia="zh-CN"/>
              </w:rPr>
            </w:pPr>
            <w:r>
              <w:rPr>
                <w:rFonts w:hint="eastAsia" w:ascii="宋体" w:hAnsi="宋体" w:cs="宋体"/>
                <w:szCs w:val="21"/>
                <w:highlight w:val="none"/>
                <w:lang w:val="en-US" w:eastAsia="zh-CN"/>
              </w:rPr>
              <w:t>（1）合同管理制度和标准化流程，以及合同管理系统的建立情况，制度设计的合理性；</w:t>
            </w:r>
          </w:p>
          <w:p>
            <w:pPr>
              <w:spacing w:line="300" w:lineRule="exact"/>
              <w:ind w:firstLine="420" w:firstLineChars="200"/>
              <w:rPr>
                <w:rFonts w:hint="default" w:ascii="宋体" w:hAnsi="宋体" w:cs="宋体"/>
                <w:szCs w:val="21"/>
                <w:highlight w:val="none"/>
                <w:lang w:val="en-US" w:eastAsia="zh-CN"/>
              </w:rPr>
            </w:pPr>
            <w:r>
              <w:rPr>
                <w:rFonts w:hint="eastAsia" w:ascii="宋体" w:hAnsi="宋体" w:cs="宋体"/>
                <w:szCs w:val="21"/>
                <w:highlight w:val="none"/>
                <w:lang w:val="en-US" w:eastAsia="zh-CN"/>
              </w:rPr>
              <w:t>（2）合同审批、签订流程执行情况，关注合同审批、签订流程是否符合相关规定，手续是否完整；</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（3）合同履约过程管理情况，实际履约效果与采购需求的一致性，关注合同发生变更是否符合原合同条款或法定条件，依据是否充分，相关审批手续是否完整；</w:t>
            </w:r>
          </w:p>
          <w:p>
            <w:pPr>
              <w:spacing w:line="300" w:lineRule="exact"/>
              <w:ind w:firstLine="420" w:firstLineChars="200"/>
              <w:rPr>
                <w:rFonts w:hint="default" w:ascii="宋体" w:hAnsi="宋体" w:cs="宋体"/>
                <w:szCs w:val="21"/>
                <w:highlight w:val="none"/>
                <w:lang w:val="en-US" w:eastAsia="zh-CN"/>
              </w:rPr>
            </w:pPr>
            <w:r>
              <w:rPr>
                <w:rFonts w:hint="eastAsia" w:ascii="宋体" w:hAnsi="宋体" w:cs="宋体"/>
                <w:szCs w:val="21"/>
                <w:highlight w:val="none"/>
                <w:lang w:val="en-US" w:eastAsia="zh-CN"/>
              </w:rPr>
              <w:t>（4）公司对合同的履行情况是否进行跟踪管理，是否存在超付合同支付的违规行为；</w:t>
            </w:r>
          </w:p>
          <w:p>
            <w:pPr>
              <w:spacing w:line="300" w:lineRule="exact"/>
              <w:ind w:firstLine="420" w:firstLineChars="200"/>
              <w:rPr>
                <w:rFonts w:hint="default" w:ascii="宋体" w:hAnsi="宋体" w:cs="宋体"/>
                <w:szCs w:val="21"/>
                <w:highlight w:val="none"/>
                <w:lang w:val="en-US" w:eastAsia="zh-CN"/>
              </w:rPr>
            </w:pPr>
            <w:r>
              <w:rPr>
                <w:rFonts w:hint="eastAsia" w:ascii="宋体" w:hAnsi="宋体" w:cs="宋体"/>
                <w:szCs w:val="21"/>
                <w:highlight w:val="none"/>
                <w:lang w:val="en-US" w:eastAsia="zh-CN"/>
              </w:rPr>
              <w:t>（5）合同变更审批、结算、付款、索赔情况，关注是否存在支付风险；</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（6）合同日常管理情况，合同台账、合同文本、结算资料等归档与保管情况，公司合同管理信息化应用情况。</w:t>
            </w:r>
          </w:p>
          <w:p>
            <w:pPr>
              <w:numPr>
                <w:ilvl w:val="0"/>
                <w:numId w:val="0"/>
              </w:numPr>
              <w:spacing w:line="300" w:lineRule="exact"/>
              <w:ind w:firstLine="420" w:firstLineChars="200"/>
              <w:rPr>
                <w:rFonts w:hint="default" w:ascii="宋体" w:hAnsi="宋体" w:cs="宋体"/>
                <w:szCs w:val="21"/>
                <w:highlight w:val="none"/>
                <w:lang w:val="en-US" w:eastAsia="zh-CN"/>
              </w:rPr>
            </w:pPr>
            <w:r>
              <w:rPr>
                <w:rFonts w:hint="eastAsia" w:ascii="宋体" w:hAnsi="宋体" w:cs="宋体"/>
                <w:szCs w:val="21"/>
                <w:highlight w:val="none"/>
                <w:lang w:val="en-US" w:eastAsia="zh-CN"/>
              </w:rPr>
              <w:t>3.工程签证管理审计</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（1）工程项目签证管理情况，关注工程签证内容的合规性、真实性、合理性，签证内容是否与实际发生相符，签证的计量计价是否与合同有关条款约定相符，是否及时办理签证（含减项签证办理）；</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（2）工程项目现场签证审批情况，关注是否已按照制度规定执行审批流程，工程签证过程的监管程序与各方审批程序是否完善，是否存在越权审批；</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（3）工程项目现场签证台账管理情况，签证资料管理、归档情况，关注工程管理部门对签证实施进度管控情况。</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4.以往审计发现问题整改的情况。</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重点关注涉及违规招采、违规签证问题的追责问责情况，整改完成效果。</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5.其他需要审计的内容。</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二、审计要求及成果</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根据《中华人民共和国招标投标法》《中华人民共和国招标投标法实施条例》《中华人民共和国民法典》及其他相关法律法规，以及南宁轨道交通集团有限责任公司、南宁轨道交通建设有限公司招标采购、合同管理、工程施工等制度开展工作，对南宁轨道交通建设有限公司2020年至2022年采购、合同管理、工程签证管理情况作出客观公正、实事求是的评价，出具南宁轨道交通建设有限公司2020年至2022年采购及合同管理专项审计报告及管理建议书，并经南宁轨道交通集团有限责任公司审批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shd w:val="clear" w:color="auto" w:fill="FFFFFF"/>
            <w:vAlign w:val="center"/>
          </w:tcPr>
          <w:p>
            <w:pPr>
              <w:jc w:val="center"/>
              <w:rPr>
                <w:rFonts w:ascii="宋体" w:cs="宋体"/>
                <w:szCs w:val="21"/>
                <w:highlight w:val="none"/>
              </w:rPr>
            </w:pPr>
            <w:r>
              <w:rPr>
                <w:rFonts w:ascii="宋体" w:hAnsi="宋体" w:cs="宋体"/>
                <w:szCs w:val="21"/>
                <w:highlight w:val="none"/>
              </w:rPr>
              <w:t>4</w:t>
            </w:r>
          </w:p>
        </w:tc>
        <w:tc>
          <w:tcPr>
            <w:tcW w:w="1732" w:type="dxa"/>
            <w:shd w:val="clear" w:color="auto" w:fill="FFFFFF"/>
            <w:vAlign w:val="center"/>
          </w:tcPr>
          <w:p>
            <w:pPr>
              <w:jc w:val="left"/>
              <w:rPr>
                <w:rFonts w:ascii="宋体" w:cs="宋体"/>
                <w:szCs w:val="21"/>
                <w:highlight w:val="none"/>
              </w:rPr>
            </w:pPr>
            <w:r>
              <w:rPr>
                <w:rFonts w:hint="eastAsia" w:ascii="宋体" w:hAnsi="宋体" w:cs="宋体"/>
                <w:szCs w:val="21"/>
                <w:highlight w:val="none"/>
              </w:rPr>
              <w:t>资金来源</w:t>
            </w:r>
          </w:p>
        </w:tc>
        <w:tc>
          <w:tcPr>
            <w:tcW w:w="7074" w:type="dxa"/>
            <w:shd w:val="clear" w:color="auto" w:fill="FFFFFF"/>
          </w:tcPr>
          <w:p>
            <w:pPr>
              <w:ind w:right="-3"/>
              <w:jc w:val="left"/>
              <w:rPr>
                <w:rFonts w:ascii="宋体" w:cs="宋体"/>
                <w:szCs w:val="21"/>
                <w:highlight w:val="none"/>
              </w:rPr>
            </w:pPr>
            <w:r>
              <w:rPr>
                <w:rFonts w:hint="eastAsia" w:ascii="宋体" w:hAnsi="宋体" w:cs="宋体"/>
                <w:szCs w:val="21"/>
                <w:highlight w:val="none"/>
              </w:rPr>
              <w:t>企业自有资金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5</w:t>
            </w:r>
          </w:p>
        </w:tc>
        <w:tc>
          <w:tcPr>
            <w:tcW w:w="1732" w:type="dxa"/>
            <w:vAlign w:val="center"/>
          </w:tcPr>
          <w:p>
            <w:pPr>
              <w:jc w:val="left"/>
              <w:rPr>
                <w:rFonts w:ascii="宋体" w:cs="宋体"/>
                <w:szCs w:val="21"/>
                <w:highlight w:val="none"/>
              </w:rPr>
            </w:pPr>
            <w:r>
              <w:rPr>
                <w:rFonts w:hint="eastAsia" w:ascii="宋体" w:hAnsi="宋体" w:cs="宋体"/>
                <w:szCs w:val="21"/>
                <w:highlight w:val="none"/>
              </w:rPr>
              <w:t>计费方式</w:t>
            </w:r>
          </w:p>
        </w:tc>
        <w:tc>
          <w:tcPr>
            <w:tcW w:w="7074" w:type="dxa"/>
          </w:tcPr>
          <w:p>
            <w:pPr>
              <w:ind w:right="-3"/>
              <w:jc w:val="left"/>
              <w:rPr>
                <w:rFonts w:ascii="宋体" w:cs="宋体"/>
                <w:szCs w:val="21"/>
                <w:highlight w:val="none"/>
              </w:rPr>
            </w:pPr>
            <w:r>
              <w:rPr>
                <w:rFonts w:hint="eastAsia" w:ascii="宋体" w:hAnsi="宋体" w:cs="宋体"/>
                <w:szCs w:val="21"/>
                <w:highlight w:val="none"/>
              </w:rPr>
              <w:t>采用总价包干（包括但不限于税费、交通费、食宿费、差旅费等），费用不予调整。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6</w:t>
            </w:r>
          </w:p>
        </w:tc>
        <w:tc>
          <w:tcPr>
            <w:tcW w:w="1732" w:type="dxa"/>
            <w:vAlign w:val="center"/>
          </w:tcPr>
          <w:p>
            <w:pPr>
              <w:jc w:val="left"/>
              <w:rPr>
                <w:rFonts w:ascii="宋体" w:cs="宋体"/>
                <w:szCs w:val="21"/>
                <w:highlight w:val="none"/>
              </w:rPr>
            </w:pPr>
            <w:r>
              <w:rPr>
                <w:rFonts w:hint="eastAsia" w:ascii="宋体" w:hAnsi="宋体" w:cs="宋体"/>
                <w:szCs w:val="21"/>
                <w:highlight w:val="none"/>
              </w:rPr>
              <w:t>上限控制价</w:t>
            </w:r>
          </w:p>
        </w:tc>
        <w:tc>
          <w:tcPr>
            <w:tcW w:w="7074" w:type="dxa"/>
            <w:vAlign w:val="center"/>
          </w:tcPr>
          <w:p>
            <w:pPr>
              <w:ind w:right="-3"/>
              <w:jc w:val="left"/>
              <w:rPr>
                <w:rFonts w:hint="eastAsia" w:ascii="宋体" w:eastAsia="宋体" w:cs="宋体"/>
                <w:szCs w:val="21"/>
                <w:highlight w:val="none"/>
                <w:lang w:eastAsia="zh-CN"/>
              </w:rPr>
            </w:pPr>
            <w:r>
              <w:rPr>
                <w:rFonts w:hint="eastAsia" w:ascii="宋体" w:hAnsi="宋体" w:cs="宋体"/>
                <w:szCs w:val="21"/>
                <w:highlight w:val="none"/>
              </w:rPr>
              <w:t>人民币：</w:t>
            </w:r>
            <w:r>
              <w:rPr>
                <w:rFonts w:hint="eastAsia" w:ascii="宋体" w:hAnsi="宋体" w:cs="宋体"/>
                <w:szCs w:val="21"/>
                <w:highlight w:val="none"/>
                <w:lang w:val="en-US" w:eastAsia="zh-CN"/>
              </w:rPr>
              <w:t>98</w:t>
            </w:r>
            <w:r>
              <w:rPr>
                <w:rFonts w:ascii="宋体" w:hAnsi="宋体" w:cs="宋体"/>
                <w:szCs w:val="21"/>
                <w:highlight w:val="none"/>
              </w:rPr>
              <w:t>,000.00</w:t>
            </w:r>
            <w:r>
              <w:rPr>
                <w:rFonts w:hint="eastAsia" w:ascii="宋体" w:hAnsi="宋体" w:cs="宋体"/>
                <w:szCs w:val="21"/>
                <w:highlight w:val="none"/>
              </w:rPr>
              <w:t>元</w:t>
            </w:r>
            <w:r>
              <w:rPr>
                <w:rFonts w:hint="eastAsia" w:ascii="宋体" w:hAnsi="宋体" w:cs="宋体"/>
                <w:szCs w:val="21"/>
                <w:highlight w:val="none"/>
                <w:lang w:eastAsia="zh-CN"/>
              </w:rPr>
              <w:t>（</w:t>
            </w:r>
            <w:r>
              <w:rPr>
                <w:rFonts w:hint="eastAsia" w:ascii="宋体" w:hAnsi="宋体" w:cs="宋体"/>
                <w:szCs w:val="21"/>
                <w:highlight w:val="none"/>
              </w:rPr>
              <w:t>含税</w:t>
            </w:r>
            <w:r>
              <w:rPr>
                <w:rFonts w:hint="eastAsia" w:ascii="宋体" w:hAnsi="宋体" w:cs="宋体"/>
                <w:szCs w:val="21"/>
                <w:highlight w:val="none"/>
                <w:lang w:eastAsia="zh-CN"/>
              </w:rPr>
              <w:t>）</w:t>
            </w:r>
            <w:r>
              <w:rPr>
                <w:rFonts w:hint="eastAsia" w:ascii="宋体" w:hAnsi="宋体" w:cs="宋体"/>
                <w:szCs w:val="21"/>
                <w:highlight w:val="none"/>
              </w:rPr>
              <w:t>，</w:t>
            </w:r>
            <w:r>
              <w:rPr>
                <w:rFonts w:hint="eastAsia" w:ascii="宋体" w:hAnsi="宋体" w:cs="宋体"/>
                <w:szCs w:val="21"/>
                <w:highlight w:val="none"/>
                <w:lang w:val="en-US" w:eastAsia="zh-CN"/>
              </w:rPr>
              <w:t>92</w:t>
            </w:r>
            <w:r>
              <w:rPr>
                <w:rFonts w:ascii="宋体" w:hAnsi="宋体" w:cs="宋体"/>
                <w:szCs w:val="21"/>
                <w:highlight w:val="none"/>
              </w:rPr>
              <w:t>,</w:t>
            </w:r>
            <w:r>
              <w:rPr>
                <w:rFonts w:hint="eastAsia" w:ascii="宋体" w:hAnsi="宋体" w:cs="宋体"/>
                <w:szCs w:val="21"/>
                <w:highlight w:val="none"/>
                <w:lang w:val="en-US" w:eastAsia="zh-CN"/>
              </w:rPr>
              <w:t>452.83</w:t>
            </w:r>
            <w:r>
              <w:rPr>
                <w:rFonts w:hint="eastAsia" w:ascii="宋体" w:hAnsi="宋体" w:cs="宋体"/>
                <w:szCs w:val="21"/>
                <w:highlight w:val="none"/>
              </w:rPr>
              <w:t>元</w:t>
            </w:r>
            <w:r>
              <w:rPr>
                <w:rFonts w:hint="eastAsia" w:ascii="宋体" w:hAnsi="宋体" w:cs="宋体"/>
                <w:szCs w:val="21"/>
                <w:highlight w:val="none"/>
                <w:lang w:eastAsia="zh-CN"/>
              </w:rPr>
              <w:t>（</w:t>
            </w:r>
            <w:r>
              <w:rPr>
                <w:rFonts w:hint="eastAsia" w:ascii="宋体" w:hAnsi="宋体" w:cs="宋体"/>
                <w:szCs w:val="21"/>
                <w:highlight w:val="none"/>
              </w:rPr>
              <w:t>不含税</w:t>
            </w:r>
            <w:r>
              <w:rPr>
                <w:rFonts w:hint="eastAsia" w:ascii="宋体" w:hAnsi="宋体" w:cs="宋体"/>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7</w:t>
            </w:r>
          </w:p>
        </w:tc>
        <w:tc>
          <w:tcPr>
            <w:tcW w:w="1732" w:type="dxa"/>
            <w:vAlign w:val="center"/>
          </w:tcPr>
          <w:p>
            <w:pPr>
              <w:jc w:val="left"/>
              <w:rPr>
                <w:rFonts w:ascii="宋体" w:cs="宋体"/>
                <w:szCs w:val="21"/>
                <w:highlight w:val="none"/>
              </w:rPr>
            </w:pPr>
            <w:r>
              <w:rPr>
                <w:rFonts w:hint="eastAsia" w:ascii="宋体" w:hAnsi="宋体" w:cs="宋体"/>
                <w:szCs w:val="21"/>
                <w:highlight w:val="none"/>
              </w:rPr>
              <w:t>报价方式</w:t>
            </w:r>
          </w:p>
        </w:tc>
        <w:tc>
          <w:tcPr>
            <w:tcW w:w="7074" w:type="dxa"/>
            <w:vAlign w:val="center"/>
          </w:tcPr>
          <w:p>
            <w:pPr>
              <w:ind w:right="-3"/>
              <w:jc w:val="left"/>
              <w:rPr>
                <w:rFonts w:ascii="宋体" w:cs="宋体"/>
                <w:szCs w:val="21"/>
                <w:highlight w:val="none"/>
              </w:rPr>
            </w:pPr>
            <w:r>
              <w:rPr>
                <w:rFonts w:hint="eastAsia" w:ascii="宋体" w:hAnsi="宋体" w:cs="宋体"/>
                <w:szCs w:val="21"/>
                <w:highlight w:val="none"/>
              </w:rPr>
              <w:t>比选申请人必须对比选项目内容中所有工作内容作完整唯一的报价。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8</w:t>
            </w:r>
          </w:p>
        </w:tc>
        <w:tc>
          <w:tcPr>
            <w:tcW w:w="1732" w:type="dxa"/>
            <w:vAlign w:val="center"/>
          </w:tcPr>
          <w:p>
            <w:pPr>
              <w:jc w:val="left"/>
              <w:rPr>
                <w:rFonts w:ascii="宋体" w:cs="宋体"/>
                <w:szCs w:val="21"/>
                <w:highlight w:val="none"/>
              </w:rPr>
            </w:pPr>
            <w:r>
              <w:rPr>
                <w:rFonts w:hint="eastAsia" w:ascii="宋体" w:hAnsi="宋体" w:cs="宋体"/>
                <w:szCs w:val="21"/>
                <w:highlight w:val="none"/>
              </w:rPr>
              <w:t>服务期限</w:t>
            </w:r>
          </w:p>
        </w:tc>
        <w:tc>
          <w:tcPr>
            <w:tcW w:w="7074" w:type="dxa"/>
            <w:vAlign w:val="center"/>
          </w:tcPr>
          <w:p>
            <w:pPr>
              <w:ind w:right="-3"/>
              <w:jc w:val="left"/>
              <w:rPr>
                <w:rFonts w:ascii="宋体" w:cs="宋体"/>
                <w:szCs w:val="21"/>
                <w:highlight w:val="none"/>
              </w:rPr>
            </w:pPr>
            <w:r>
              <w:rPr>
                <w:rFonts w:hint="eastAsia" w:ascii="宋体" w:hAnsi="宋体" w:cs="宋体"/>
                <w:szCs w:val="21"/>
                <w:highlight w:val="none"/>
                <w:lang w:val="en-US" w:eastAsia="zh-CN"/>
              </w:rPr>
              <w:t>3</w:t>
            </w:r>
            <w:r>
              <w:rPr>
                <w:rFonts w:hint="eastAsia" w:ascii="宋体" w:hAnsi="宋体" w:cs="宋体"/>
                <w:szCs w:val="21"/>
                <w:highlight w:val="none"/>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9</w:t>
            </w:r>
          </w:p>
        </w:tc>
        <w:tc>
          <w:tcPr>
            <w:tcW w:w="1732" w:type="dxa"/>
            <w:vAlign w:val="center"/>
          </w:tcPr>
          <w:p>
            <w:pPr>
              <w:jc w:val="left"/>
              <w:rPr>
                <w:rFonts w:ascii="宋体" w:cs="宋体"/>
                <w:szCs w:val="21"/>
                <w:highlight w:val="none"/>
              </w:rPr>
            </w:pPr>
            <w:r>
              <w:rPr>
                <w:rFonts w:hint="eastAsia" w:ascii="宋体" w:hAnsi="宋体" w:cs="宋体"/>
                <w:szCs w:val="21"/>
                <w:highlight w:val="none"/>
              </w:rPr>
              <w:t>比选申请人资格要求</w:t>
            </w:r>
          </w:p>
        </w:tc>
        <w:tc>
          <w:tcPr>
            <w:tcW w:w="7074" w:type="dxa"/>
            <w:vAlign w:val="center"/>
          </w:tcPr>
          <w:p>
            <w:pPr>
              <w:ind w:right="-3"/>
              <w:jc w:val="left"/>
              <w:rPr>
                <w:rFonts w:ascii="宋体" w:cs="宋体"/>
                <w:szCs w:val="21"/>
                <w:highlight w:val="none"/>
              </w:rPr>
            </w:pPr>
            <w:r>
              <w:rPr>
                <w:rFonts w:ascii="宋体" w:hAnsi="宋体" w:cs="宋体"/>
                <w:szCs w:val="21"/>
                <w:highlight w:val="none"/>
              </w:rPr>
              <w:t>1</w:t>
            </w:r>
            <w:r>
              <w:rPr>
                <w:rFonts w:hint="eastAsia" w:ascii="宋体" w:hAnsi="宋体" w:cs="宋体"/>
                <w:szCs w:val="21"/>
                <w:highlight w:val="none"/>
              </w:rPr>
              <w:t>、比选申请人为中华人民共和国境内依法设立的</w:t>
            </w:r>
            <w:r>
              <w:rPr>
                <w:rFonts w:hint="eastAsia" w:ascii="宋体" w:hAnsi="宋体" w:cs="宋体"/>
                <w:szCs w:val="21"/>
                <w:highlight w:val="none"/>
                <w:lang w:val="en-US" w:eastAsia="zh-CN"/>
              </w:rPr>
              <w:t>法人或其他组织</w:t>
            </w:r>
            <w:r>
              <w:rPr>
                <w:rFonts w:hint="eastAsia" w:ascii="宋体" w:hAnsi="宋体" w:cs="宋体"/>
                <w:szCs w:val="21"/>
                <w:highlight w:val="none"/>
              </w:rPr>
              <w:t>，</w:t>
            </w:r>
            <w:r>
              <w:rPr>
                <w:rFonts w:hint="eastAsia" w:ascii="宋体" w:hAnsi="宋体" w:cs="宋体"/>
                <w:szCs w:val="21"/>
                <w:highlight w:val="none"/>
                <w:lang w:eastAsia="zh-CN"/>
              </w:rPr>
              <w:t>必须</w:t>
            </w:r>
            <w:r>
              <w:rPr>
                <w:rFonts w:hint="eastAsia" w:ascii="宋体" w:hAnsi="宋体" w:cs="宋体"/>
                <w:szCs w:val="21"/>
                <w:highlight w:val="none"/>
              </w:rPr>
              <w:t>持有合法有效的财政部门颁发的会计师事务所执业证书。没有处于被行政主管部门或业主取消比选申请资格的处罚期内，且没有处于被责令停业，财产被接管、破产状态；比选申请截止时间前3年内没有骗取中选、严重违约或重大质量安全责任事故的情况。若以分支机构参与投标，必须出具总部授权参与证明。</w:t>
            </w:r>
            <w:r>
              <w:rPr>
                <w:rFonts w:hint="eastAsia" w:ascii="宋体" w:hAnsi="宋体" w:cs="宋体"/>
                <w:szCs w:val="21"/>
                <w:highlight w:val="none"/>
                <w:lang w:val="en-US" w:eastAsia="zh-CN"/>
              </w:rPr>
              <w:t>比选申请人派出审计组负责人具有3年以上工程管理相关方面的审计经验，其他人员中至少有1名具有2年以上工程管理相关方面的审计经验。</w:t>
            </w:r>
          </w:p>
          <w:p>
            <w:pPr>
              <w:ind w:right="-3"/>
              <w:jc w:val="left"/>
              <w:rPr>
                <w:rFonts w:ascii="宋体" w:cs="宋体"/>
                <w:szCs w:val="21"/>
                <w:highlight w:val="none"/>
              </w:rPr>
            </w:pPr>
            <w:r>
              <w:rPr>
                <w:rFonts w:ascii="宋体" w:hAnsi="宋体" w:cs="宋体"/>
                <w:kern w:val="0"/>
                <w:szCs w:val="21"/>
                <w:highlight w:val="none"/>
              </w:rPr>
              <w:t>2</w:t>
            </w:r>
            <w:r>
              <w:rPr>
                <w:rFonts w:hint="eastAsia" w:ascii="宋体" w:hAnsi="宋体" w:cs="宋体"/>
                <w:kern w:val="0"/>
                <w:szCs w:val="21"/>
                <w:highlight w:val="none"/>
              </w:rPr>
              <w:t>、本次比选不接受联合体报价，母、子公司只允许其中一家公司参与比选申请；同一法人代表，只接受一家参与比选申请。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10</w:t>
            </w:r>
          </w:p>
        </w:tc>
        <w:tc>
          <w:tcPr>
            <w:tcW w:w="1732" w:type="dxa"/>
            <w:vAlign w:val="center"/>
          </w:tcPr>
          <w:p>
            <w:pPr>
              <w:jc w:val="left"/>
              <w:rPr>
                <w:rFonts w:ascii="宋体" w:cs="宋体"/>
                <w:szCs w:val="21"/>
                <w:highlight w:val="none"/>
              </w:rPr>
            </w:pPr>
            <w:r>
              <w:rPr>
                <w:rFonts w:hint="eastAsia" w:ascii="宋体" w:hAnsi="宋体" w:cs="宋体"/>
                <w:szCs w:val="21"/>
                <w:highlight w:val="none"/>
              </w:rPr>
              <w:t>获取比选文件方式</w:t>
            </w:r>
          </w:p>
        </w:tc>
        <w:tc>
          <w:tcPr>
            <w:tcW w:w="7074" w:type="dxa"/>
            <w:vAlign w:val="center"/>
          </w:tcPr>
          <w:p>
            <w:pPr>
              <w:jc w:val="left"/>
              <w:rPr>
                <w:rFonts w:ascii="宋体" w:cs="宋体"/>
                <w:szCs w:val="21"/>
                <w:highlight w:val="none"/>
              </w:rPr>
            </w:pPr>
            <w:r>
              <w:rPr>
                <w:rFonts w:hint="eastAsia" w:ascii="宋体" w:hAnsi="宋体" w:cs="宋体"/>
                <w:szCs w:val="21"/>
                <w:highlight w:val="none"/>
              </w:rPr>
              <w:t>本项目实行网上发布电子版比选文件，不出售纸质比选文件。凡有意参与的潜在比选申请人，请登录南宁轨道交通集团有限责任公司官网</w:t>
            </w:r>
            <w:r>
              <w:rPr>
                <w:rFonts w:ascii="宋体" w:hAnsi="宋体" w:cs="宋体"/>
                <w:szCs w:val="21"/>
                <w:highlight w:val="none"/>
              </w:rPr>
              <w:t>(http://www.nngdjt.com/)</w:t>
            </w:r>
            <w:r>
              <w:rPr>
                <w:rFonts w:hint="eastAsia" w:ascii="宋体" w:hAnsi="宋体" w:cs="宋体"/>
                <w:szCs w:val="21"/>
                <w:highlight w:val="none"/>
              </w:rPr>
              <w:t>的招标招商中的招标公告处下载比选文件。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11</w:t>
            </w:r>
          </w:p>
        </w:tc>
        <w:tc>
          <w:tcPr>
            <w:tcW w:w="1732" w:type="dxa"/>
            <w:vAlign w:val="center"/>
          </w:tcPr>
          <w:p>
            <w:pPr>
              <w:jc w:val="left"/>
              <w:rPr>
                <w:rFonts w:ascii="宋体" w:cs="宋体"/>
                <w:szCs w:val="21"/>
                <w:highlight w:val="none"/>
              </w:rPr>
            </w:pPr>
            <w:r>
              <w:rPr>
                <w:rFonts w:hint="eastAsia" w:ascii="宋体" w:hAnsi="宋体" w:cs="宋体"/>
                <w:szCs w:val="21"/>
                <w:highlight w:val="none"/>
              </w:rPr>
              <w:t>比选有效期</w:t>
            </w:r>
            <w:r>
              <w:rPr>
                <w:rFonts w:ascii="宋体" w:hAnsi="宋体" w:cs="宋体"/>
                <w:szCs w:val="21"/>
                <w:highlight w:val="none"/>
              </w:rPr>
              <w:t xml:space="preserve"> </w:t>
            </w:r>
          </w:p>
        </w:tc>
        <w:tc>
          <w:tcPr>
            <w:tcW w:w="7074" w:type="dxa"/>
            <w:vAlign w:val="center"/>
          </w:tcPr>
          <w:p>
            <w:pPr>
              <w:ind w:right="-82"/>
              <w:jc w:val="left"/>
              <w:rPr>
                <w:rFonts w:ascii="宋体" w:cs="宋体"/>
                <w:szCs w:val="21"/>
                <w:highlight w:val="none"/>
              </w:rPr>
            </w:pPr>
            <w:r>
              <w:rPr>
                <w:rFonts w:ascii="宋体" w:hAnsi="宋体" w:cs="宋体"/>
                <w:szCs w:val="21"/>
                <w:highlight w:val="none"/>
              </w:rPr>
              <w:t>90</w:t>
            </w:r>
            <w:r>
              <w:rPr>
                <w:rFonts w:hint="eastAsia" w:ascii="宋体" w:hAnsi="宋体" w:cs="宋体"/>
                <w:szCs w:val="21"/>
                <w:highlight w:val="none"/>
              </w:rPr>
              <w:t>天（比选有效期是指为保证比选发起人有足够的时间完成评审和与中选人签订合同而在一定时间内保持有效的期限。比选有效期从比选申请文件递交截止之日算起。）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12</w:t>
            </w:r>
          </w:p>
        </w:tc>
        <w:tc>
          <w:tcPr>
            <w:tcW w:w="1732" w:type="dxa"/>
            <w:vAlign w:val="center"/>
          </w:tcPr>
          <w:p>
            <w:pPr>
              <w:jc w:val="left"/>
              <w:rPr>
                <w:rFonts w:ascii="宋体" w:cs="宋体"/>
                <w:szCs w:val="21"/>
                <w:highlight w:val="none"/>
              </w:rPr>
            </w:pPr>
            <w:r>
              <w:rPr>
                <w:rFonts w:hint="eastAsia" w:ascii="宋体" w:hAnsi="宋体" w:cs="宋体"/>
                <w:szCs w:val="21"/>
                <w:highlight w:val="none"/>
              </w:rPr>
              <w:t>比选申请文件份数</w:t>
            </w:r>
          </w:p>
        </w:tc>
        <w:tc>
          <w:tcPr>
            <w:tcW w:w="7074" w:type="dxa"/>
            <w:vAlign w:val="center"/>
          </w:tcPr>
          <w:p>
            <w:pPr>
              <w:ind w:right="-82"/>
              <w:jc w:val="left"/>
              <w:rPr>
                <w:rFonts w:ascii="宋体" w:cs="宋体"/>
                <w:szCs w:val="21"/>
                <w:highlight w:val="none"/>
              </w:rPr>
            </w:pPr>
            <w:r>
              <w:rPr>
                <w:rFonts w:hint="eastAsia" w:ascii="宋体" w:hAnsi="宋体" w:cs="宋体"/>
                <w:szCs w:val="21"/>
                <w:highlight w:val="none"/>
              </w:rPr>
              <w:t>纸质版一式五份，其中正本一份、副本四份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13</w:t>
            </w:r>
          </w:p>
        </w:tc>
        <w:tc>
          <w:tcPr>
            <w:tcW w:w="1732" w:type="dxa"/>
            <w:vAlign w:val="center"/>
          </w:tcPr>
          <w:p>
            <w:pPr>
              <w:jc w:val="left"/>
              <w:rPr>
                <w:rFonts w:ascii="宋体" w:cs="宋体"/>
                <w:szCs w:val="21"/>
                <w:highlight w:val="none"/>
              </w:rPr>
            </w:pPr>
            <w:r>
              <w:rPr>
                <w:rFonts w:hint="eastAsia" w:ascii="宋体" w:hAnsi="宋体" w:cs="宋体"/>
                <w:szCs w:val="21"/>
                <w:highlight w:val="none"/>
              </w:rPr>
              <w:t>比选申请文件递交地址</w:t>
            </w:r>
          </w:p>
        </w:tc>
        <w:tc>
          <w:tcPr>
            <w:tcW w:w="7074" w:type="dxa"/>
            <w:vAlign w:val="center"/>
          </w:tcPr>
          <w:p>
            <w:pPr>
              <w:ind w:right="-3"/>
              <w:jc w:val="left"/>
              <w:rPr>
                <w:rFonts w:ascii="宋体" w:cs="宋体"/>
                <w:b/>
                <w:szCs w:val="21"/>
                <w:highlight w:val="none"/>
              </w:rPr>
            </w:pPr>
            <w:r>
              <w:rPr>
                <w:rFonts w:hint="eastAsia" w:ascii="宋体" w:hAnsi="宋体" w:cs="宋体"/>
                <w:b/>
                <w:szCs w:val="21"/>
                <w:highlight w:val="none"/>
              </w:rPr>
              <w:t>地点：广西南宁市云景路</w:t>
            </w:r>
            <w:r>
              <w:rPr>
                <w:rFonts w:ascii="宋体" w:hAnsi="宋体" w:cs="宋体"/>
                <w:b/>
                <w:szCs w:val="21"/>
                <w:highlight w:val="none"/>
              </w:rPr>
              <w:t>69</w:t>
            </w:r>
            <w:r>
              <w:rPr>
                <w:rFonts w:hint="eastAsia" w:ascii="宋体" w:hAnsi="宋体" w:cs="宋体"/>
                <w:b/>
                <w:szCs w:val="21"/>
                <w:highlight w:val="none"/>
              </w:rPr>
              <w:t>号南宁轨道交通集团有限责任公司</w:t>
            </w:r>
            <w:r>
              <w:rPr>
                <w:rFonts w:ascii="宋体" w:hAnsi="宋体" w:cs="宋体"/>
                <w:b/>
                <w:szCs w:val="21"/>
                <w:highlight w:val="none"/>
              </w:rPr>
              <w:t>A2</w:t>
            </w:r>
            <w:r>
              <w:rPr>
                <w:rFonts w:hint="eastAsia" w:ascii="宋体" w:hAnsi="宋体" w:cs="宋体"/>
                <w:b/>
                <w:szCs w:val="21"/>
                <w:highlight w:val="none"/>
              </w:rPr>
              <w:t>栋</w:t>
            </w:r>
            <w:r>
              <w:rPr>
                <w:rFonts w:ascii="宋体" w:hAnsi="宋体" w:cs="宋体"/>
                <w:b/>
                <w:szCs w:val="21"/>
                <w:highlight w:val="none"/>
              </w:rPr>
              <w:t>104</w:t>
            </w:r>
            <w:r>
              <w:rPr>
                <w:rFonts w:hint="eastAsia" w:ascii="宋体" w:hAnsi="宋体" w:cs="宋体"/>
                <w:b/>
                <w:szCs w:val="21"/>
                <w:highlight w:val="none"/>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shd w:val="clear" w:color="auto" w:fill="FFFFFF"/>
            <w:vAlign w:val="center"/>
          </w:tcPr>
          <w:p>
            <w:pPr>
              <w:jc w:val="center"/>
              <w:rPr>
                <w:rFonts w:ascii="宋体" w:cs="宋体"/>
                <w:szCs w:val="21"/>
                <w:highlight w:val="none"/>
              </w:rPr>
            </w:pPr>
            <w:r>
              <w:rPr>
                <w:rFonts w:ascii="宋体" w:hAnsi="宋体" w:cs="宋体"/>
                <w:szCs w:val="21"/>
                <w:highlight w:val="none"/>
              </w:rPr>
              <w:t>14</w:t>
            </w:r>
          </w:p>
        </w:tc>
        <w:tc>
          <w:tcPr>
            <w:tcW w:w="1732" w:type="dxa"/>
            <w:shd w:val="clear" w:color="auto" w:fill="FFFFFF"/>
            <w:vAlign w:val="center"/>
          </w:tcPr>
          <w:p>
            <w:pPr>
              <w:jc w:val="left"/>
              <w:rPr>
                <w:rFonts w:ascii="宋体" w:cs="宋体"/>
                <w:szCs w:val="21"/>
                <w:highlight w:val="none"/>
              </w:rPr>
            </w:pPr>
            <w:r>
              <w:rPr>
                <w:rFonts w:hint="eastAsia" w:ascii="宋体" w:hAnsi="宋体" w:cs="宋体"/>
                <w:szCs w:val="21"/>
                <w:highlight w:val="none"/>
              </w:rPr>
              <w:t>比选申请文件递交日期</w:t>
            </w:r>
            <w:r>
              <w:rPr>
                <w:rFonts w:ascii="宋体" w:hAnsi="宋体" w:cs="宋体"/>
                <w:szCs w:val="21"/>
                <w:highlight w:val="none"/>
              </w:rPr>
              <w:t xml:space="preserve"> </w:t>
            </w:r>
          </w:p>
        </w:tc>
        <w:tc>
          <w:tcPr>
            <w:tcW w:w="7074" w:type="dxa"/>
            <w:shd w:val="clear" w:color="auto" w:fill="FFFFFF"/>
            <w:vAlign w:val="center"/>
          </w:tcPr>
          <w:p>
            <w:pPr>
              <w:ind w:right="753"/>
              <w:jc w:val="left"/>
              <w:rPr>
                <w:rFonts w:ascii="宋体" w:cs="宋体"/>
                <w:szCs w:val="21"/>
                <w:highlight w:val="none"/>
              </w:rPr>
            </w:pPr>
            <w:r>
              <w:rPr>
                <w:rFonts w:ascii="宋体" w:hAnsi="宋体" w:cs="宋体"/>
                <w:szCs w:val="21"/>
                <w:highlight w:val="none"/>
              </w:rPr>
              <w:t>2023</w:t>
            </w:r>
            <w:r>
              <w:rPr>
                <w:rFonts w:hint="eastAsia" w:ascii="宋体" w:hAnsi="宋体" w:cs="宋体"/>
                <w:szCs w:val="21"/>
                <w:highlight w:val="none"/>
              </w:rPr>
              <w:t>年</w:t>
            </w:r>
            <w:r>
              <w:rPr>
                <w:rFonts w:hint="eastAsia" w:ascii="宋体" w:hAnsi="宋体" w:cs="宋体"/>
                <w:szCs w:val="21"/>
                <w:highlight w:val="none"/>
                <w:lang w:val="en-US" w:eastAsia="zh-CN"/>
              </w:rPr>
              <w:t>04</w:t>
            </w:r>
            <w:r>
              <w:rPr>
                <w:rFonts w:hint="eastAsia" w:ascii="宋体" w:hAnsi="宋体" w:cs="宋体"/>
                <w:szCs w:val="21"/>
                <w:highlight w:val="none"/>
              </w:rPr>
              <w:t>月</w:t>
            </w:r>
            <w:r>
              <w:rPr>
                <w:rFonts w:hint="eastAsia" w:ascii="宋体" w:hAnsi="宋体" w:cs="宋体"/>
                <w:szCs w:val="21"/>
                <w:highlight w:val="none"/>
                <w:lang w:val="en-US" w:eastAsia="zh-CN"/>
              </w:rPr>
              <w:t>19</w:t>
            </w:r>
            <w:r>
              <w:rPr>
                <w:rFonts w:hint="eastAsia" w:ascii="宋体" w:hAnsi="宋体" w:cs="宋体"/>
                <w:szCs w:val="21"/>
                <w:highlight w:val="none"/>
              </w:rPr>
              <w:t>日上午</w:t>
            </w:r>
            <w:r>
              <w:rPr>
                <w:rFonts w:ascii="宋体" w:hAnsi="宋体" w:cs="宋体"/>
                <w:szCs w:val="21"/>
                <w:highlight w:val="none"/>
              </w:rPr>
              <w:t>8:3</w:t>
            </w:r>
            <w:r>
              <w:rPr>
                <w:rFonts w:ascii="宋体" w:cs="宋体"/>
                <w:szCs w:val="21"/>
                <w:highlight w:val="none"/>
              </w:rPr>
              <w:t>0</w:t>
            </w:r>
            <w:r>
              <w:rPr>
                <w:rFonts w:hint="eastAsia" w:ascii="宋体" w:cs="宋体"/>
                <w:szCs w:val="21"/>
                <w:highlight w:val="none"/>
                <w:lang w:val="en-US" w:eastAsia="zh-CN"/>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shd w:val="clear" w:color="auto" w:fill="FFFFFF"/>
            <w:vAlign w:val="center"/>
          </w:tcPr>
          <w:p>
            <w:pPr>
              <w:jc w:val="center"/>
              <w:rPr>
                <w:rFonts w:ascii="宋体" w:cs="宋体"/>
                <w:szCs w:val="21"/>
                <w:highlight w:val="none"/>
              </w:rPr>
            </w:pPr>
            <w:r>
              <w:rPr>
                <w:rFonts w:ascii="宋体" w:hAnsi="宋体" w:cs="宋体"/>
                <w:szCs w:val="21"/>
                <w:highlight w:val="none"/>
              </w:rPr>
              <w:t>15</w:t>
            </w:r>
          </w:p>
        </w:tc>
        <w:tc>
          <w:tcPr>
            <w:tcW w:w="1732" w:type="dxa"/>
            <w:shd w:val="clear" w:color="auto" w:fill="FFFFFF"/>
            <w:vAlign w:val="center"/>
          </w:tcPr>
          <w:p>
            <w:pPr>
              <w:jc w:val="left"/>
              <w:rPr>
                <w:rFonts w:ascii="宋体" w:cs="宋体"/>
                <w:szCs w:val="21"/>
                <w:highlight w:val="none"/>
              </w:rPr>
            </w:pPr>
            <w:r>
              <w:rPr>
                <w:rFonts w:hint="eastAsia" w:ascii="宋体" w:hAnsi="宋体" w:cs="宋体"/>
                <w:szCs w:val="21"/>
                <w:highlight w:val="none"/>
              </w:rPr>
              <w:t>比选时间、地点</w:t>
            </w:r>
            <w:r>
              <w:rPr>
                <w:rFonts w:ascii="宋体" w:hAnsi="宋体" w:cs="宋体"/>
                <w:szCs w:val="21"/>
                <w:highlight w:val="none"/>
              </w:rPr>
              <w:t xml:space="preserve">          </w:t>
            </w:r>
          </w:p>
        </w:tc>
        <w:tc>
          <w:tcPr>
            <w:tcW w:w="7074" w:type="dxa"/>
            <w:shd w:val="clear" w:color="auto" w:fill="FFFFFF"/>
            <w:vAlign w:val="center"/>
          </w:tcPr>
          <w:p>
            <w:pPr>
              <w:ind w:right="-3"/>
              <w:jc w:val="left"/>
              <w:rPr>
                <w:rFonts w:ascii="宋体" w:cs="宋体"/>
                <w:szCs w:val="21"/>
                <w:highlight w:val="yellow"/>
              </w:rPr>
            </w:pPr>
            <w:r>
              <w:rPr>
                <w:rFonts w:hint="eastAsia" w:ascii="宋体" w:hAnsi="宋体" w:cs="宋体"/>
                <w:szCs w:val="21"/>
                <w:highlight w:val="none"/>
              </w:rPr>
              <w:t>时间：</w:t>
            </w:r>
            <w:r>
              <w:rPr>
                <w:rFonts w:ascii="宋体" w:hAnsi="宋体" w:cs="宋体"/>
                <w:szCs w:val="21"/>
                <w:highlight w:val="none"/>
              </w:rPr>
              <w:t>2023</w:t>
            </w:r>
            <w:r>
              <w:rPr>
                <w:rFonts w:hint="eastAsia" w:ascii="宋体" w:hAnsi="宋体" w:cs="宋体"/>
                <w:szCs w:val="21"/>
                <w:highlight w:val="none"/>
              </w:rPr>
              <w:t>年</w:t>
            </w:r>
            <w:r>
              <w:rPr>
                <w:rFonts w:hint="eastAsia" w:ascii="宋体" w:hAnsi="宋体" w:cs="宋体"/>
                <w:szCs w:val="21"/>
                <w:highlight w:val="none"/>
                <w:lang w:val="en-US" w:eastAsia="zh-CN"/>
              </w:rPr>
              <w:t>04</w:t>
            </w:r>
            <w:r>
              <w:rPr>
                <w:rFonts w:hint="eastAsia" w:ascii="宋体" w:hAnsi="宋体" w:cs="宋体"/>
                <w:szCs w:val="21"/>
                <w:highlight w:val="none"/>
              </w:rPr>
              <w:t>月</w:t>
            </w:r>
            <w:r>
              <w:rPr>
                <w:rFonts w:hint="eastAsia" w:ascii="宋体" w:hAnsi="宋体" w:cs="宋体"/>
                <w:szCs w:val="21"/>
                <w:highlight w:val="none"/>
                <w:lang w:val="en-US" w:eastAsia="zh-CN"/>
              </w:rPr>
              <w:t>19</w:t>
            </w:r>
            <w:r>
              <w:rPr>
                <w:rFonts w:hint="eastAsia" w:ascii="宋体" w:hAnsi="宋体" w:cs="宋体"/>
                <w:szCs w:val="21"/>
                <w:highlight w:val="none"/>
              </w:rPr>
              <w:t>日上午</w:t>
            </w:r>
            <w:r>
              <w:rPr>
                <w:rFonts w:ascii="宋体" w:hAnsi="宋体" w:cs="宋体"/>
                <w:szCs w:val="21"/>
                <w:highlight w:val="none"/>
              </w:rPr>
              <w:t>9:00</w:t>
            </w:r>
          </w:p>
          <w:p>
            <w:pPr>
              <w:ind w:right="-3"/>
              <w:jc w:val="left"/>
              <w:rPr>
                <w:rFonts w:ascii="宋体" w:cs="宋体"/>
                <w:szCs w:val="21"/>
                <w:highlight w:val="none"/>
              </w:rPr>
            </w:pPr>
            <w:r>
              <w:rPr>
                <w:rFonts w:hint="eastAsia" w:ascii="宋体" w:hAnsi="宋体" w:cs="宋体"/>
                <w:szCs w:val="21"/>
                <w:highlight w:val="none"/>
              </w:rPr>
              <w:t>地点：广西南宁市云景路</w:t>
            </w:r>
            <w:r>
              <w:rPr>
                <w:rFonts w:ascii="宋体" w:hAnsi="宋体" w:cs="宋体"/>
                <w:szCs w:val="21"/>
                <w:highlight w:val="none"/>
              </w:rPr>
              <w:t>69</w:t>
            </w:r>
            <w:r>
              <w:rPr>
                <w:rFonts w:hint="eastAsia" w:ascii="宋体" w:hAnsi="宋体" w:cs="宋体"/>
                <w:szCs w:val="21"/>
                <w:highlight w:val="none"/>
              </w:rPr>
              <w:t>号南宁轨道交通集团有限责任公司</w:t>
            </w:r>
            <w:r>
              <w:rPr>
                <w:rFonts w:ascii="宋体" w:hAnsi="宋体" w:cs="宋体"/>
                <w:szCs w:val="21"/>
                <w:highlight w:val="none"/>
              </w:rPr>
              <w:t>A2</w:t>
            </w:r>
            <w:r>
              <w:rPr>
                <w:rFonts w:hint="eastAsia" w:ascii="宋体" w:hAnsi="宋体" w:cs="宋体"/>
                <w:szCs w:val="21"/>
                <w:highlight w:val="none"/>
              </w:rPr>
              <w:t>栋</w:t>
            </w:r>
            <w:r>
              <w:rPr>
                <w:rFonts w:ascii="宋体" w:hAnsi="宋体" w:cs="宋体"/>
                <w:szCs w:val="21"/>
                <w:highlight w:val="none"/>
              </w:rPr>
              <w:t>104</w:t>
            </w:r>
            <w:r>
              <w:rPr>
                <w:rFonts w:hint="eastAsia" w:ascii="宋体" w:hAnsi="宋体" w:cs="宋体"/>
                <w:szCs w:val="21"/>
                <w:highlight w:val="none"/>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16</w:t>
            </w:r>
          </w:p>
        </w:tc>
        <w:tc>
          <w:tcPr>
            <w:tcW w:w="1732" w:type="dxa"/>
            <w:vAlign w:val="center"/>
          </w:tcPr>
          <w:p>
            <w:pPr>
              <w:jc w:val="left"/>
              <w:rPr>
                <w:rFonts w:ascii="宋体" w:cs="宋体"/>
                <w:szCs w:val="21"/>
                <w:highlight w:val="none"/>
              </w:rPr>
            </w:pPr>
            <w:r>
              <w:rPr>
                <w:rFonts w:hint="eastAsia" w:ascii="宋体" w:hAnsi="宋体" w:cs="宋体"/>
                <w:szCs w:val="21"/>
                <w:highlight w:val="none"/>
              </w:rPr>
              <w:t>评比办法</w:t>
            </w:r>
          </w:p>
        </w:tc>
        <w:tc>
          <w:tcPr>
            <w:tcW w:w="7074" w:type="dxa"/>
            <w:vAlign w:val="center"/>
          </w:tcPr>
          <w:p>
            <w:pPr>
              <w:ind w:right="753"/>
              <w:jc w:val="left"/>
              <w:rPr>
                <w:rFonts w:ascii="宋体" w:cs="宋体"/>
                <w:szCs w:val="21"/>
                <w:highlight w:val="none"/>
              </w:rPr>
            </w:pPr>
            <w:r>
              <w:rPr>
                <w:rFonts w:hint="eastAsia" w:ascii="宋体" w:hAnsi="宋体" w:cs="宋体"/>
                <w:szCs w:val="21"/>
                <w:highlight w:val="none"/>
              </w:rPr>
              <w:t>综合评分办法（详见第四章）</w:t>
            </w:r>
            <w:r>
              <w:rPr>
                <w:rFonts w:ascii="宋体" w:hAnsi="宋体" w:cs="宋体"/>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9"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17</w:t>
            </w:r>
          </w:p>
        </w:tc>
        <w:tc>
          <w:tcPr>
            <w:tcW w:w="1732" w:type="dxa"/>
            <w:vAlign w:val="center"/>
          </w:tcPr>
          <w:p>
            <w:pPr>
              <w:jc w:val="left"/>
              <w:rPr>
                <w:rFonts w:ascii="宋体" w:cs="宋体"/>
                <w:szCs w:val="21"/>
                <w:highlight w:val="none"/>
              </w:rPr>
            </w:pPr>
            <w:r>
              <w:rPr>
                <w:rFonts w:hint="eastAsia" w:ascii="宋体" w:hAnsi="宋体" w:cs="宋体"/>
                <w:szCs w:val="21"/>
                <w:highlight w:val="none"/>
              </w:rPr>
              <w:t>中选通知</w:t>
            </w:r>
          </w:p>
        </w:tc>
        <w:tc>
          <w:tcPr>
            <w:tcW w:w="7074" w:type="dxa"/>
            <w:vAlign w:val="center"/>
          </w:tcPr>
          <w:p>
            <w:pPr>
              <w:ind w:right="-3"/>
              <w:jc w:val="both"/>
              <w:rPr>
                <w:rFonts w:ascii="宋体" w:cs="宋体"/>
                <w:szCs w:val="21"/>
                <w:highlight w:val="none"/>
              </w:rPr>
            </w:pPr>
            <w:r>
              <w:rPr>
                <w:rFonts w:hint="eastAsia" w:ascii="宋体" w:hAnsi="宋体" w:cs="宋体"/>
                <w:szCs w:val="21"/>
                <w:highlight w:val="none"/>
              </w:rPr>
              <w:t>比选人根据评审小组的评比结果在比选有效期内向中选的比选申请人发出中选通知书。</w:t>
            </w:r>
          </w:p>
          <w:p>
            <w:pPr>
              <w:ind w:right="-3"/>
              <w:jc w:val="both"/>
              <w:rPr>
                <w:rFonts w:ascii="宋体" w:cs="宋体"/>
                <w:szCs w:val="21"/>
                <w:highlight w:val="none"/>
              </w:rPr>
            </w:pPr>
            <w:r>
              <w:rPr>
                <w:rFonts w:hint="eastAsia" w:ascii="宋体" w:hAnsi="宋体" w:cs="宋体"/>
                <w:szCs w:val="21"/>
                <w:highlight w:val="none"/>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18</w:t>
            </w:r>
          </w:p>
        </w:tc>
        <w:tc>
          <w:tcPr>
            <w:tcW w:w="1732" w:type="dxa"/>
            <w:vAlign w:val="center"/>
          </w:tcPr>
          <w:p>
            <w:pPr>
              <w:spacing w:line="240" w:lineRule="exact"/>
              <w:jc w:val="left"/>
              <w:rPr>
                <w:rFonts w:ascii="宋体"/>
                <w:szCs w:val="21"/>
                <w:highlight w:val="none"/>
              </w:rPr>
            </w:pPr>
            <w:r>
              <w:rPr>
                <w:rFonts w:hint="eastAsia" w:ascii="宋体" w:hAnsi="宋体"/>
                <w:szCs w:val="21"/>
                <w:highlight w:val="none"/>
              </w:rPr>
              <w:t>比选保证金</w:t>
            </w:r>
          </w:p>
        </w:tc>
        <w:tc>
          <w:tcPr>
            <w:tcW w:w="7074" w:type="dxa"/>
            <w:vAlign w:val="center"/>
          </w:tcPr>
          <w:p>
            <w:pPr>
              <w:spacing w:line="240" w:lineRule="exact"/>
              <w:rPr>
                <w:rFonts w:ascii="宋体"/>
                <w:szCs w:val="21"/>
                <w:highlight w:val="none"/>
              </w:rPr>
            </w:pPr>
            <w:r>
              <w:rPr>
                <w:rFonts w:hint="eastAsia" w:ascii="宋体" w:hAnsi="宋体"/>
                <w:szCs w:val="21"/>
                <w:highlight w:val="none"/>
              </w:rPr>
              <w:t>本项目不设比选保证金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19</w:t>
            </w:r>
          </w:p>
        </w:tc>
        <w:tc>
          <w:tcPr>
            <w:tcW w:w="1732" w:type="dxa"/>
            <w:vAlign w:val="center"/>
          </w:tcPr>
          <w:p>
            <w:pPr>
              <w:spacing w:line="240" w:lineRule="exact"/>
              <w:jc w:val="left"/>
              <w:rPr>
                <w:rFonts w:ascii="宋体"/>
                <w:szCs w:val="21"/>
                <w:highlight w:val="none"/>
              </w:rPr>
            </w:pPr>
            <w:r>
              <w:rPr>
                <w:rFonts w:hint="eastAsia" w:ascii="宋体" w:hAnsi="宋体"/>
                <w:szCs w:val="21"/>
                <w:highlight w:val="none"/>
              </w:rPr>
              <w:t>履约保证金</w:t>
            </w:r>
          </w:p>
        </w:tc>
        <w:tc>
          <w:tcPr>
            <w:tcW w:w="7074" w:type="dxa"/>
            <w:vAlign w:val="center"/>
          </w:tcPr>
          <w:p>
            <w:pPr>
              <w:spacing w:line="240" w:lineRule="exact"/>
              <w:jc w:val="left"/>
              <w:rPr>
                <w:rFonts w:ascii="宋体"/>
                <w:szCs w:val="21"/>
                <w:highlight w:val="none"/>
              </w:rPr>
            </w:pPr>
            <w:r>
              <w:rPr>
                <w:rFonts w:hint="eastAsia" w:ascii="宋体" w:hAnsi="宋体"/>
                <w:szCs w:val="21"/>
                <w:highlight w:val="none"/>
              </w:rPr>
              <w:t>本项目不设履约保证金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20</w:t>
            </w:r>
          </w:p>
        </w:tc>
        <w:tc>
          <w:tcPr>
            <w:tcW w:w="1732" w:type="dxa"/>
            <w:vAlign w:val="center"/>
          </w:tcPr>
          <w:p>
            <w:pPr>
              <w:jc w:val="left"/>
              <w:rPr>
                <w:rFonts w:ascii="宋体" w:cs="宋体"/>
                <w:szCs w:val="21"/>
                <w:highlight w:val="none"/>
              </w:rPr>
            </w:pPr>
            <w:r>
              <w:rPr>
                <w:rFonts w:hint="eastAsia" w:ascii="宋体" w:hAnsi="宋体" w:cs="宋体"/>
                <w:szCs w:val="21"/>
                <w:highlight w:val="none"/>
              </w:rPr>
              <w:t>联系方式</w:t>
            </w:r>
          </w:p>
        </w:tc>
        <w:tc>
          <w:tcPr>
            <w:tcW w:w="7074" w:type="dxa"/>
            <w:vAlign w:val="center"/>
          </w:tcPr>
          <w:p>
            <w:pPr>
              <w:ind w:right="-82"/>
              <w:jc w:val="left"/>
              <w:rPr>
                <w:rFonts w:ascii="宋体"/>
                <w:szCs w:val="21"/>
                <w:highlight w:val="none"/>
              </w:rPr>
            </w:pPr>
            <w:r>
              <w:rPr>
                <w:rFonts w:hint="eastAsia" w:ascii="宋体" w:hAnsi="宋体"/>
                <w:szCs w:val="21"/>
                <w:highlight w:val="none"/>
              </w:rPr>
              <w:t>南宁轨道交通集团有限责任公司审计部</w:t>
            </w:r>
            <w:r>
              <w:rPr>
                <w:rFonts w:ascii="宋体" w:hAnsi="宋体"/>
                <w:szCs w:val="21"/>
                <w:highlight w:val="none"/>
              </w:rPr>
              <w:t>/</w:t>
            </w:r>
            <w:r>
              <w:rPr>
                <w:rFonts w:hint="eastAsia" w:ascii="宋体" w:hAnsi="宋体"/>
                <w:szCs w:val="21"/>
                <w:highlight w:val="none"/>
              </w:rPr>
              <w:t>监事会工作部</w:t>
            </w:r>
            <w:r>
              <w:rPr>
                <w:rFonts w:ascii="宋体" w:hAnsi="宋体"/>
                <w:szCs w:val="21"/>
                <w:highlight w:val="none"/>
              </w:rPr>
              <w:t xml:space="preserve"> </w:t>
            </w:r>
          </w:p>
          <w:p>
            <w:pPr>
              <w:ind w:right="-82"/>
              <w:jc w:val="left"/>
              <w:rPr>
                <w:rFonts w:hint="default" w:ascii="宋体"/>
                <w:szCs w:val="21"/>
                <w:highlight w:val="none"/>
                <w:lang w:val="en-US"/>
              </w:rPr>
            </w:pPr>
            <w:r>
              <w:rPr>
                <w:rFonts w:hint="eastAsia" w:ascii="宋体" w:hAnsi="宋体"/>
                <w:szCs w:val="21"/>
                <w:highlight w:val="none"/>
                <w:lang w:val="en-US" w:eastAsia="zh-CN"/>
              </w:rPr>
              <w:t>林</w:t>
            </w:r>
            <w:r>
              <w:rPr>
                <w:rFonts w:hint="eastAsia" w:ascii="宋体" w:hAnsi="宋体"/>
                <w:szCs w:val="21"/>
                <w:highlight w:val="none"/>
              </w:rPr>
              <w:t>工</w:t>
            </w:r>
            <w:r>
              <w:rPr>
                <w:rFonts w:ascii="宋体" w:hAnsi="宋体"/>
                <w:szCs w:val="21"/>
                <w:highlight w:val="none"/>
              </w:rPr>
              <w:t xml:space="preserve">  0771-</w:t>
            </w:r>
            <w:r>
              <w:rPr>
                <w:rFonts w:hint="eastAsia" w:ascii="宋体" w:hAnsi="宋体"/>
                <w:szCs w:val="21"/>
                <w:highlight w:val="none"/>
                <w:lang w:val="en-US" w:eastAsia="zh-CN"/>
              </w:rPr>
              <w:t>2338652</w:t>
            </w:r>
          </w:p>
          <w:p>
            <w:pPr>
              <w:ind w:right="-82"/>
              <w:jc w:val="left"/>
              <w:rPr>
                <w:rFonts w:ascii="宋体" w:cs="宋体"/>
                <w:szCs w:val="21"/>
                <w:highlight w:val="none"/>
              </w:rPr>
            </w:pPr>
            <w:r>
              <w:rPr>
                <w:rFonts w:hint="eastAsia" w:ascii="宋体" w:hAnsi="宋体"/>
                <w:szCs w:val="21"/>
                <w:highlight w:val="none"/>
              </w:rPr>
              <w:t>邮箱：nngdsjb902@163.com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21</w:t>
            </w:r>
          </w:p>
        </w:tc>
        <w:tc>
          <w:tcPr>
            <w:tcW w:w="1732" w:type="dxa"/>
            <w:vAlign w:val="center"/>
          </w:tcPr>
          <w:p>
            <w:pPr>
              <w:jc w:val="left"/>
              <w:rPr>
                <w:rFonts w:ascii="宋体" w:cs="宋体"/>
                <w:szCs w:val="21"/>
                <w:highlight w:val="none"/>
              </w:rPr>
            </w:pPr>
            <w:r>
              <w:rPr>
                <w:rFonts w:hint="eastAsia" w:ascii="宋体" w:hAnsi="宋体" w:cs="宋体"/>
                <w:szCs w:val="21"/>
                <w:highlight w:val="none"/>
              </w:rPr>
              <w:t>其他事项</w:t>
            </w:r>
          </w:p>
        </w:tc>
        <w:tc>
          <w:tcPr>
            <w:tcW w:w="7074" w:type="dxa"/>
            <w:vAlign w:val="center"/>
          </w:tcPr>
          <w:p>
            <w:pPr>
              <w:ind w:right="-3"/>
              <w:jc w:val="left"/>
              <w:rPr>
                <w:rFonts w:ascii="宋体" w:cs="宋体"/>
                <w:szCs w:val="21"/>
                <w:highlight w:val="none"/>
              </w:rPr>
            </w:pPr>
            <w:r>
              <w:rPr>
                <w:rFonts w:hint="eastAsia" w:ascii="宋体" w:hAnsi="宋体" w:cs="宋体"/>
                <w:b/>
                <w:szCs w:val="21"/>
                <w:highlight w:val="none"/>
              </w:rPr>
              <w:t>中选单位如放弃中选资格，则比选发起人有权将其列入不良行为记录名单、一年内禁止其参加比选发起人的任何采购活动。</w:t>
            </w:r>
          </w:p>
        </w:tc>
      </w:tr>
    </w:tbl>
    <w:p>
      <w:pPr>
        <w:rPr>
          <w:highlight w:val="none"/>
        </w:rPr>
      </w:pPr>
      <w:bookmarkStart w:id="64" w:name="_Toc12506"/>
      <w:bookmarkStart w:id="65" w:name="_Toc18983"/>
      <w:bookmarkStart w:id="66" w:name="_Toc20803"/>
      <w:bookmarkStart w:id="67" w:name="_Toc28086"/>
      <w:bookmarkStart w:id="68" w:name="_Toc471482361"/>
      <w:bookmarkStart w:id="69" w:name="_Toc32363"/>
      <w:bookmarkStart w:id="70" w:name="_Toc30162"/>
      <w:bookmarkStart w:id="71" w:name="_Toc336"/>
      <w:bookmarkStart w:id="72" w:name="_Toc16198"/>
      <w:bookmarkStart w:id="73" w:name="_Toc6681"/>
      <w:bookmarkStart w:id="74" w:name="_Toc12419"/>
      <w:bookmarkStart w:id="75" w:name="_Toc3861"/>
      <w:bookmarkStart w:id="76" w:name="_Toc461525297"/>
      <w:bookmarkStart w:id="77" w:name="_Toc26201"/>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r>
        <w:rPr>
          <w:highlight w:val="none"/>
        </w:rPr>
        <w:br w:type="page"/>
      </w:r>
    </w:p>
    <w:p>
      <w:pPr>
        <w:pStyle w:val="4"/>
        <w:spacing w:beforeLines="50" w:afterLines="50" w:line="540" w:lineRule="exact"/>
        <w:jc w:val="center"/>
        <w:rPr>
          <w:rFonts w:ascii="宋体"/>
          <w:b/>
          <w:sz w:val="21"/>
          <w:szCs w:val="21"/>
          <w:highlight w:val="none"/>
        </w:rPr>
      </w:pPr>
      <w:bookmarkStart w:id="78" w:name="_Toc18262"/>
      <w:bookmarkStart w:id="79" w:name="_Toc3416"/>
      <w:bookmarkStart w:id="80" w:name="_Toc6713"/>
      <w:bookmarkStart w:id="81" w:name="_Toc31396"/>
      <w:bookmarkStart w:id="82" w:name="_Toc28512"/>
      <w:bookmarkStart w:id="83" w:name="_Toc5182"/>
      <w:bookmarkStart w:id="84" w:name="_Toc7188"/>
      <w:bookmarkStart w:id="85" w:name="_Toc17477"/>
      <w:r>
        <w:rPr>
          <w:rFonts w:hint="eastAsia" w:ascii="宋体" w:hAnsi="宋体"/>
          <w:b/>
          <w:sz w:val="21"/>
          <w:szCs w:val="21"/>
          <w:highlight w:val="none"/>
        </w:rPr>
        <w:t>一、总则</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spacing w:line="500" w:lineRule="exact"/>
        <w:ind w:firstLine="316" w:firstLineChars="150"/>
        <w:rPr>
          <w:rFonts w:ascii="宋体" w:cs="宋体"/>
          <w:b/>
          <w:szCs w:val="21"/>
          <w:highlight w:val="none"/>
        </w:rPr>
      </w:pPr>
      <w:bookmarkStart w:id="86" w:name="_Toc114052414"/>
      <w:bookmarkStart w:id="87" w:name="_Toc310318572"/>
      <w:bookmarkStart w:id="88" w:name="_Toc114052340"/>
      <w:bookmarkStart w:id="89" w:name="_Toc286386834"/>
      <w:r>
        <w:rPr>
          <w:rFonts w:ascii="宋体" w:hAnsi="宋体" w:cs="宋体"/>
          <w:b/>
          <w:szCs w:val="21"/>
          <w:highlight w:val="none"/>
        </w:rPr>
        <w:t>1.</w:t>
      </w:r>
      <w:r>
        <w:rPr>
          <w:rFonts w:hint="eastAsia" w:ascii="宋体" w:hAnsi="宋体" w:cs="宋体"/>
          <w:b/>
          <w:szCs w:val="21"/>
          <w:highlight w:val="none"/>
        </w:rPr>
        <w:t>项目比选说明</w:t>
      </w:r>
      <w:bookmarkEnd w:id="86"/>
      <w:bookmarkEnd w:id="87"/>
      <w:bookmarkEnd w:id="88"/>
      <w:bookmarkEnd w:id="89"/>
    </w:p>
    <w:p>
      <w:pPr>
        <w:spacing w:line="500" w:lineRule="exact"/>
        <w:ind w:firstLine="420" w:firstLineChars="200"/>
        <w:rPr>
          <w:rFonts w:ascii="宋体" w:cs="宋体"/>
          <w:szCs w:val="21"/>
          <w:highlight w:val="none"/>
        </w:rPr>
      </w:pPr>
      <w:r>
        <w:rPr>
          <w:rFonts w:ascii="宋体" w:hAnsi="宋体" w:cs="宋体"/>
          <w:szCs w:val="21"/>
          <w:highlight w:val="none"/>
        </w:rPr>
        <w:t xml:space="preserve">1.1 </w:t>
      </w:r>
      <w:r>
        <w:rPr>
          <w:rFonts w:hint="eastAsia" w:ascii="宋体" w:hAnsi="宋体" w:cs="宋体"/>
          <w:szCs w:val="21"/>
          <w:highlight w:val="none"/>
        </w:rPr>
        <w:t>项目比选的说明见比选须知前附表（以下称“前附表”）第</w:t>
      </w:r>
      <w:r>
        <w:rPr>
          <w:rFonts w:ascii="宋体" w:hAnsi="宋体" w:cs="宋体"/>
          <w:szCs w:val="21"/>
          <w:highlight w:val="none"/>
        </w:rPr>
        <w:t>1</w:t>
      </w:r>
      <w:r>
        <w:rPr>
          <w:rFonts w:hint="eastAsia" w:ascii="宋体" w:hAnsi="宋体" w:cs="宋体"/>
          <w:szCs w:val="21"/>
          <w:highlight w:val="none"/>
        </w:rPr>
        <w:t>项～第</w:t>
      </w:r>
      <w:r>
        <w:rPr>
          <w:rFonts w:ascii="宋体" w:hAnsi="宋体" w:cs="宋体"/>
          <w:szCs w:val="21"/>
          <w:highlight w:val="none"/>
        </w:rPr>
        <w:t>21</w:t>
      </w:r>
      <w:r>
        <w:rPr>
          <w:rFonts w:hint="eastAsia" w:ascii="宋体" w:hAnsi="宋体" w:cs="宋体"/>
          <w:szCs w:val="21"/>
          <w:highlight w:val="none"/>
        </w:rPr>
        <w:t>项所述。</w:t>
      </w:r>
    </w:p>
    <w:p>
      <w:pPr>
        <w:spacing w:line="500" w:lineRule="exact"/>
        <w:ind w:firstLine="420" w:firstLineChars="200"/>
        <w:rPr>
          <w:rFonts w:ascii="宋体" w:cs="宋体"/>
          <w:szCs w:val="21"/>
          <w:highlight w:val="none"/>
        </w:rPr>
      </w:pPr>
      <w:r>
        <w:rPr>
          <w:rFonts w:ascii="宋体" w:hAnsi="宋体" w:cs="宋体"/>
          <w:szCs w:val="21"/>
          <w:highlight w:val="none"/>
        </w:rPr>
        <w:t xml:space="preserve">1.2 </w:t>
      </w:r>
      <w:r>
        <w:rPr>
          <w:rFonts w:hint="eastAsia" w:ascii="宋体" w:hAnsi="宋体" w:cs="宋体"/>
          <w:szCs w:val="21"/>
          <w:highlight w:val="none"/>
        </w:rPr>
        <w:t>上述项目按照有关规定执行，现通过公开比选来择优选定服务单位。</w:t>
      </w:r>
    </w:p>
    <w:p>
      <w:pPr>
        <w:spacing w:line="500" w:lineRule="exact"/>
        <w:ind w:firstLine="422" w:firstLineChars="200"/>
        <w:rPr>
          <w:rFonts w:ascii="宋体" w:cs="宋体"/>
          <w:b/>
          <w:szCs w:val="21"/>
          <w:highlight w:val="none"/>
        </w:rPr>
      </w:pPr>
      <w:r>
        <w:rPr>
          <w:rFonts w:ascii="宋体" w:hAnsi="宋体" w:cs="宋体"/>
          <w:b/>
          <w:szCs w:val="21"/>
          <w:highlight w:val="none"/>
        </w:rPr>
        <w:t>2.</w:t>
      </w:r>
      <w:r>
        <w:rPr>
          <w:rFonts w:hint="eastAsia" w:ascii="宋体" w:hAnsi="宋体" w:cs="宋体"/>
          <w:b/>
          <w:szCs w:val="21"/>
          <w:highlight w:val="none"/>
        </w:rPr>
        <w:t>工作内容</w:t>
      </w:r>
    </w:p>
    <w:p>
      <w:pPr>
        <w:spacing w:line="500" w:lineRule="exact"/>
        <w:ind w:firstLine="420" w:firstLineChars="200"/>
        <w:rPr>
          <w:rFonts w:ascii="宋体" w:cs="宋体"/>
          <w:szCs w:val="21"/>
          <w:highlight w:val="none"/>
        </w:rPr>
      </w:pPr>
      <w:r>
        <w:rPr>
          <w:rFonts w:ascii="宋体" w:hAnsi="宋体" w:cs="宋体"/>
          <w:szCs w:val="21"/>
          <w:highlight w:val="none"/>
        </w:rPr>
        <w:t xml:space="preserve">2.1 </w:t>
      </w:r>
      <w:r>
        <w:rPr>
          <w:rFonts w:hint="eastAsia" w:ascii="宋体" w:hAnsi="宋体" w:cs="宋体"/>
          <w:szCs w:val="21"/>
          <w:highlight w:val="none"/>
          <w:lang w:val="en-US" w:eastAsia="zh-CN"/>
        </w:rPr>
        <w:t>审计</w:t>
      </w:r>
      <w:r>
        <w:rPr>
          <w:rFonts w:hint="eastAsia" w:ascii="宋体" w:hAnsi="宋体" w:cs="宋体"/>
          <w:szCs w:val="21"/>
          <w:highlight w:val="none"/>
        </w:rPr>
        <w:t>内容</w:t>
      </w:r>
    </w:p>
    <w:p>
      <w:pPr>
        <w:snapToGrid w:val="0"/>
        <w:spacing w:line="500" w:lineRule="exact"/>
        <w:ind w:firstLine="420" w:firstLineChars="200"/>
        <w:textAlignment w:val="baseline"/>
        <w:rPr>
          <w:rFonts w:hint="eastAsia" w:ascii="宋体" w:hAnsi="宋体" w:cs="宋体"/>
          <w:szCs w:val="21"/>
          <w:highlight w:val="none"/>
        </w:rPr>
      </w:pPr>
      <w:r>
        <w:rPr>
          <w:rFonts w:hint="eastAsia" w:ascii="宋体" w:hAnsi="宋体" w:cs="宋体"/>
          <w:szCs w:val="21"/>
          <w:highlight w:val="none"/>
        </w:rPr>
        <w:t>对南宁轨道</w:t>
      </w:r>
      <w:r>
        <w:rPr>
          <w:rFonts w:hint="eastAsia" w:ascii="宋体" w:hAnsi="宋体" w:cs="宋体"/>
          <w:szCs w:val="21"/>
          <w:highlight w:val="none"/>
          <w:lang w:val="en-US" w:eastAsia="zh-CN"/>
        </w:rPr>
        <w:t>交通建设有限</w:t>
      </w:r>
      <w:r>
        <w:rPr>
          <w:rFonts w:hint="eastAsia" w:ascii="宋体" w:hAnsi="宋体" w:cs="宋体"/>
          <w:szCs w:val="21"/>
          <w:highlight w:val="none"/>
        </w:rPr>
        <w:t>公司</w:t>
      </w:r>
      <w:r>
        <w:rPr>
          <w:rFonts w:hint="eastAsia" w:ascii="宋体" w:hAnsi="宋体" w:cs="宋体"/>
          <w:szCs w:val="21"/>
          <w:highlight w:val="none"/>
          <w:lang w:val="en-US" w:eastAsia="zh-CN"/>
        </w:rPr>
        <w:t>4号线、5号线工程项目2020年1月至2022年12月采购管理、合同管理、工程签证管理情况开展审计，包括勘察、设计、监理、施工、咨询、设备物资等采购合同的招标、审批、履行以及合同签订、结算、变更、索赔、工程签证管理等主要业务环节的内部控制情况进行全面审计</w:t>
      </w:r>
      <w:r>
        <w:rPr>
          <w:rFonts w:hint="eastAsia" w:ascii="宋体" w:hAnsi="宋体" w:cs="宋体"/>
          <w:szCs w:val="21"/>
          <w:highlight w:val="none"/>
        </w:rPr>
        <w:t>。包括但不仅限于以下内容：</w:t>
      </w:r>
    </w:p>
    <w:p>
      <w:pPr>
        <w:pStyle w:val="55"/>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420" w:firstLineChars="200"/>
        <w:jc w:val="both"/>
        <w:textAlignment w:val="auto"/>
        <w:rPr>
          <w:rFonts w:hint="default"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（1）采购管理审计</w:t>
      </w:r>
    </w:p>
    <w:p>
      <w:pPr>
        <w:pStyle w:val="55"/>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420" w:firstLineChars="200"/>
        <w:jc w:val="both"/>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①采购管理制度及标准化流程的建立情况及制度设计的合理性；</w:t>
      </w:r>
    </w:p>
    <w:p>
      <w:pPr>
        <w:pageBreakBefore w:val="0"/>
        <w:widowControl w:val="0"/>
        <w:kinsoku/>
        <w:wordWrap/>
        <w:overflowPunct/>
        <w:topLinePunct w:val="0"/>
        <w:autoSpaceDE/>
        <w:autoSpaceDN/>
        <w:bidi w:val="0"/>
        <w:adjustRightInd/>
        <w:snapToGrid/>
        <w:spacing w:line="540" w:lineRule="exact"/>
        <w:ind w:left="0" w:right="0" w:firstLine="420" w:firstLineChars="200"/>
        <w:jc w:val="both"/>
        <w:textAlignment w:val="auto"/>
        <w:rPr>
          <w:rFonts w:hint="eastAsia" w:ascii="宋体" w:hAnsi="宋体" w:cs="宋体"/>
          <w:szCs w:val="21"/>
          <w:highlight w:val="none"/>
        </w:rPr>
      </w:pPr>
      <w:r>
        <w:rPr>
          <w:rFonts w:hint="eastAsia" w:ascii="宋体" w:hAnsi="宋体" w:eastAsia="宋体" w:cs="宋体"/>
          <w:kern w:val="2"/>
          <w:sz w:val="21"/>
          <w:szCs w:val="21"/>
          <w:highlight w:val="none"/>
          <w:lang w:val="en-US" w:eastAsia="zh-CN" w:bidi="ar-SA"/>
        </w:rPr>
        <w:t>②采购工作管理委员会、总经理办公会、董事会分级审批、决策</w:t>
      </w:r>
      <w:r>
        <w:rPr>
          <w:rFonts w:hint="eastAsia" w:ascii="宋体" w:hAnsi="宋体" w:eastAsia="宋体" w:cs="宋体"/>
          <w:kern w:val="2"/>
          <w:sz w:val="21"/>
          <w:szCs w:val="21"/>
          <w:highlight w:val="none"/>
          <w:lang w:val="zh-CN" w:eastAsia="zh-CN" w:bidi="ar-SA"/>
        </w:rPr>
        <w:t>情况</w:t>
      </w:r>
      <w:r>
        <w:rPr>
          <w:rFonts w:hint="eastAsia" w:ascii="宋体" w:hAnsi="宋体" w:eastAsia="宋体" w:cs="宋体"/>
          <w:kern w:val="2"/>
          <w:sz w:val="21"/>
          <w:szCs w:val="21"/>
          <w:highlight w:val="none"/>
          <w:lang w:val="en-US" w:eastAsia="zh-CN" w:bidi="ar-SA"/>
        </w:rPr>
        <w:t>；</w:t>
      </w:r>
    </w:p>
    <w:p>
      <w:pPr>
        <w:pStyle w:val="55"/>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420" w:firstLineChars="200"/>
        <w:jc w:val="both"/>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③年度采购计划编制、月度临时新增采购计划、紧急采购计划的编制、审批、执行</w:t>
      </w:r>
      <w:r>
        <w:rPr>
          <w:rFonts w:hint="eastAsia" w:ascii="宋体" w:hAnsi="宋体" w:eastAsia="宋体" w:cs="宋体"/>
          <w:kern w:val="2"/>
          <w:sz w:val="21"/>
          <w:szCs w:val="21"/>
          <w:highlight w:val="none"/>
          <w:lang w:val="zh-CN" w:eastAsia="zh-CN" w:bidi="ar-SA"/>
        </w:rPr>
        <w:t>情况</w:t>
      </w:r>
      <w:r>
        <w:rPr>
          <w:rFonts w:hint="eastAsia" w:ascii="宋体" w:hAnsi="宋体" w:eastAsia="宋体" w:cs="宋体"/>
          <w:kern w:val="2"/>
          <w:sz w:val="21"/>
          <w:szCs w:val="21"/>
          <w:highlight w:val="none"/>
          <w:lang w:val="en-US" w:eastAsia="zh-CN" w:bidi="ar-SA"/>
        </w:rPr>
        <w:t>；</w:t>
      </w:r>
    </w:p>
    <w:p>
      <w:pPr>
        <w:pStyle w:val="55"/>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420" w:firstLineChars="200"/>
        <w:jc w:val="both"/>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④招标类采购、非招标类采购的分判及具体执行情况，关注非公开招标类项目采购评审、谈判过程；</w:t>
      </w:r>
    </w:p>
    <w:p>
      <w:pPr>
        <w:pageBreakBefore w:val="0"/>
        <w:widowControl w:val="0"/>
        <w:kinsoku/>
        <w:wordWrap/>
        <w:overflowPunct/>
        <w:topLinePunct w:val="0"/>
        <w:autoSpaceDE/>
        <w:autoSpaceDN/>
        <w:bidi w:val="0"/>
        <w:adjustRightInd/>
        <w:snapToGrid/>
        <w:spacing w:line="540" w:lineRule="exact"/>
        <w:ind w:left="0" w:right="0" w:firstLine="420" w:firstLineChars="200"/>
        <w:jc w:val="both"/>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⑤供应商管理及评价体系建立、各类供应商资源库考察、维护情况；</w:t>
      </w:r>
    </w:p>
    <w:p>
      <w:pPr>
        <w:pageBreakBefore w:val="0"/>
        <w:widowControl w:val="0"/>
        <w:kinsoku/>
        <w:wordWrap/>
        <w:overflowPunct/>
        <w:topLinePunct w:val="0"/>
        <w:autoSpaceDE/>
        <w:autoSpaceDN/>
        <w:bidi w:val="0"/>
        <w:adjustRightInd/>
        <w:snapToGrid/>
        <w:spacing w:line="540" w:lineRule="exact"/>
        <w:ind w:left="0" w:right="0" w:firstLine="420" w:firstLineChars="200"/>
        <w:jc w:val="both"/>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 xml:space="preserve">⑥采购监督部门执行监督、检查的情况； </w:t>
      </w:r>
    </w:p>
    <w:p>
      <w:pPr>
        <w:pageBreakBefore w:val="0"/>
        <w:widowControl w:val="0"/>
        <w:kinsoku/>
        <w:wordWrap/>
        <w:overflowPunct/>
        <w:topLinePunct w:val="0"/>
        <w:autoSpaceDE/>
        <w:autoSpaceDN/>
        <w:bidi w:val="0"/>
        <w:adjustRightInd/>
        <w:snapToGrid/>
        <w:spacing w:line="540" w:lineRule="exact"/>
        <w:ind w:left="0" w:right="0" w:firstLine="420" w:firstLineChars="200"/>
        <w:jc w:val="both"/>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⑦在</w:t>
      </w:r>
      <w:r>
        <w:rPr>
          <w:rFonts w:hint="eastAsia" w:ascii="宋体" w:hAnsi="宋体" w:eastAsia="宋体" w:cs="宋体"/>
          <w:kern w:val="2"/>
          <w:sz w:val="21"/>
          <w:szCs w:val="21"/>
          <w:highlight w:val="none"/>
          <w:lang w:val="zh-CN" w:eastAsia="zh-CN" w:bidi="ar-SA"/>
        </w:rPr>
        <w:t>采购活动中落实有关党风廉政建设责任和遵守廉洁从业规定情况</w:t>
      </w:r>
      <w:r>
        <w:rPr>
          <w:rFonts w:hint="eastAsia" w:ascii="宋体" w:hAnsi="宋体" w:eastAsia="宋体" w:cs="宋体"/>
          <w:kern w:val="2"/>
          <w:sz w:val="21"/>
          <w:szCs w:val="21"/>
          <w:highlight w:val="none"/>
          <w:lang w:val="en-US" w:eastAsia="zh-CN" w:bidi="ar-SA"/>
        </w:rPr>
        <w:t>；</w:t>
      </w:r>
    </w:p>
    <w:p>
      <w:pPr>
        <w:pageBreakBefore w:val="0"/>
        <w:widowControl w:val="0"/>
        <w:kinsoku/>
        <w:wordWrap/>
        <w:overflowPunct/>
        <w:topLinePunct w:val="0"/>
        <w:autoSpaceDE/>
        <w:autoSpaceDN/>
        <w:bidi w:val="0"/>
        <w:adjustRightInd/>
        <w:snapToGrid/>
        <w:spacing w:line="540" w:lineRule="exact"/>
        <w:ind w:left="0" w:right="0" w:firstLine="420" w:firstLineChars="200"/>
        <w:jc w:val="both"/>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⑧采购验收手续是否完整、真实；</w:t>
      </w:r>
    </w:p>
    <w:p>
      <w:pPr>
        <w:pageBreakBefore w:val="0"/>
        <w:widowControl w:val="0"/>
        <w:kinsoku/>
        <w:wordWrap/>
        <w:overflowPunct/>
        <w:topLinePunct w:val="0"/>
        <w:autoSpaceDE/>
        <w:autoSpaceDN/>
        <w:bidi w:val="0"/>
        <w:adjustRightInd/>
        <w:snapToGrid/>
        <w:spacing w:line="540" w:lineRule="exact"/>
        <w:ind w:left="0" w:right="0" w:firstLine="420" w:firstLineChars="200"/>
        <w:jc w:val="both"/>
        <w:textAlignment w:val="auto"/>
        <w:rPr>
          <w:rFonts w:hint="default"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⑨采购流程是否遵守国家法规及公司的采购管理制度；</w:t>
      </w:r>
    </w:p>
    <w:p>
      <w:pPr>
        <w:pageBreakBefore w:val="0"/>
        <w:widowControl w:val="0"/>
        <w:kinsoku/>
        <w:wordWrap/>
        <w:overflowPunct/>
        <w:topLinePunct w:val="0"/>
        <w:autoSpaceDE/>
        <w:autoSpaceDN/>
        <w:bidi w:val="0"/>
        <w:adjustRightInd/>
        <w:snapToGrid/>
        <w:spacing w:line="540" w:lineRule="exact"/>
        <w:ind w:left="0" w:right="0" w:firstLine="420" w:firstLineChars="200"/>
        <w:jc w:val="both"/>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⑩采购台账日常管理情况，采购文件管理、归档情况。</w:t>
      </w:r>
    </w:p>
    <w:p>
      <w:pPr>
        <w:pStyle w:val="55"/>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420" w:firstLineChars="200"/>
        <w:jc w:val="both"/>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（2）合同管理审计</w:t>
      </w:r>
    </w:p>
    <w:p>
      <w:pPr>
        <w:spacing w:line="500" w:lineRule="exact"/>
        <w:ind w:firstLine="420" w:firstLineChars="200"/>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①合同管理制度和标准化流程，以及合同管理系统的建立情况，制度设计的合理性；</w:t>
      </w:r>
    </w:p>
    <w:p>
      <w:pPr>
        <w:pStyle w:val="55"/>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420" w:firstLineChars="200"/>
        <w:jc w:val="both"/>
        <w:textAlignment w:val="auto"/>
        <w:rPr>
          <w:rFonts w:hint="default"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②合同审批、签订流程执行情况，关注合同审批、签订流程是否符合相关规定，手续是否完整；</w:t>
      </w:r>
    </w:p>
    <w:p>
      <w:pPr>
        <w:pStyle w:val="55"/>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420" w:firstLineChars="200"/>
        <w:jc w:val="both"/>
        <w:textAlignment w:val="auto"/>
        <w:rPr>
          <w:rFonts w:hint="default"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③合同履约过程管理情况，实际履约效果与采购需求的一致性，关注合同发生变更是否符合原合同条款或法定条件，依据是否充分，相关审批手续是否完整；</w:t>
      </w:r>
    </w:p>
    <w:p>
      <w:pPr>
        <w:pStyle w:val="55"/>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420" w:firstLineChars="200"/>
        <w:jc w:val="both"/>
        <w:textAlignment w:val="auto"/>
        <w:rPr>
          <w:rFonts w:hint="default"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④公司对合同的履行情况是否进行跟踪管理，是否存在超付合同支付的违规行为；</w:t>
      </w:r>
    </w:p>
    <w:p>
      <w:pPr>
        <w:pStyle w:val="55"/>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420" w:firstLineChars="200"/>
        <w:jc w:val="both"/>
        <w:textAlignment w:val="auto"/>
        <w:rPr>
          <w:rFonts w:hint="default"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⑤合同变更审批、结算、付款、索赔情况，关注是否存在支付风险；</w:t>
      </w:r>
    </w:p>
    <w:p>
      <w:pPr>
        <w:pStyle w:val="55"/>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420" w:firstLineChars="200"/>
        <w:jc w:val="both"/>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⑥合同日常管理情况，合同台账、合同文本、结算资料等归档与保管情况，公司合同管理信息化应用情况。</w:t>
      </w:r>
    </w:p>
    <w:p>
      <w:pPr>
        <w:pStyle w:val="55"/>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420" w:firstLineChars="200"/>
        <w:jc w:val="both"/>
        <w:textAlignment w:val="auto"/>
        <w:rPr>
          <w:rFonts w:hint="eastAsia"/>
          <w:lang w:val="en-US" w:eastAsia="zh-CN"/>
        </w:rPr>
      </w:pPr>
      <w:r>
        <w:rPr>
          <w:rFonts w:hint="eastAsia" w:ascii="宋体" w:hAnsi="宋体" w:eastAsia="宋体" w:cs="宋体"/>
          <w:kern w:val="2"/>
          <w:sz w:val="21"/>
          <w:szCs w:val="21"/>
          <w:highlight w:val="none"/>
          <w:lang w:val="en-US" w:eastAsia="zh-CN" w:bidi="ar-SA"/>
        </w:rPr>
        <w:t>（3）工程签证管理审计</w:t>
      </w:r>
    </w:p>
    <w:p>
      <w:pPr>
        <w:pStyle w:val="55"/>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420" w:firstLineChars="200"/>
        <w:jc w:val="both"/>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①工程项目签证管理情况，关注工程签证内容的合规性、真实性、合理性，签证内容是否与实际发生相符，签证的计量计价是否与合同有关条款约定相符，是否及时办理签证（含减项签证办理）；</w:t>
      </w:r>
    </w:p>
    <w:p>
      <w:pPr>
        <w:pStyle w:val="55"/>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420" w:firstLineChars="200"/>
        <w:jc w:val="both"/>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②工程项目现场签证审批情况，关注是否已按照制度规定执行审批流程，工程签证过程的监管程序与各方审批程序是否完善，是否存在越权审批；</w:t>
      </w:r>
    </w:p>
    <w:p>
      <w:pPr>
        <w:pStyle w:val="55"/>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420" w:firstLineChars="200"/>
        <w:jc w:val="both"/>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③工程项目现场签证台账管理情况，签证资料管理、归档情况，关注工程管理部门对签证实施进度管控情况。</w:t>
      </w:r>
    </w:p>
    <w:p>
      <w:pPr>
        <w:pageBreakBefore w:val="0"/>
        <w:widowControl w:val="0"/>
        <w:numPr>
          <w:ilvl w:val="0"/>
          <w:numId w:val="2"/>
        </w:numPr>
        <w:kinsoku/>
        <w:wordWrap/>
        <w:overflowPunct/>
        <w:topLinePunct w:val="0"/>
        <w:autoSpaceDE/>
        <w:autoSpaceDN/>
        <w:bidi w:val="0"/>
        <w:adjustRightInd/>
        <w:snapToGrid/>
        <w:spacing w:line="540" w:lineRule="exact"/>
        <w:ind w:left="0" w:right="0" w:firstLine="420" w:firstLineChars="200"/>
        <w:jc w:val="both"/>
        <w:textAlignment w:val="auto"/>
        <w:rPr>
          <w:rFonts w:hint="eastAsia"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以往审计发现问题整改的情况。</w:t>
      </w:r>
    </w:p>
    <w:p>
      <w:pPr>
        <w:pageBreakBefore w:val="0"/>
        <w:widowControl w:val="0"/>
        <w:numPr>
          <w:ilvl w:val="0"/>
          <w:numId w:val="0"/>
        </w:numPr>
        <w:kinsoku/>
        <w:wordWrap/>
        <w:overflowPunct/>
        <w:topLinePunct w:val="0"/>
        <w:autoSpaceDE/>
        <w:autoSpaceDN/>
        <w:bidi w:val="0"/>
        <w:adjustRightInd/>
        <w:snapToGrid/>
        <w:spacing w:line="540" w:lineRule="exact"/>
        <w:ind w:leftChars="200" w:right="0" w:rightChars="0"/>
        <w:jc w:val="both"/>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重点关注涉及违规招采、违规签证问题的追责问责情况，整改完成效果。</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5</w:t>
      </w:r>
      <w:r>
        <w:rPr>
          <w:rFonts w:hint="eastAsia" w:ascii="宋体" w:hAnsi="宋体" w:cs="宋体"/>
          <w:szCs w:val="21"/>
          <w:highlight w:val="none"/>
        </w:rPr>
        <w:t>）其他需要审计的内容。</w:t>
      </w:r>
    </w:p>
    <w:p>
      <w:pPr>
        <w:spacing w:line="500" w:lineRule="exact"/>
        <w:ind w:firstLine="420" w:firstLineChars="200"/>
        <w:rPr>
          <w:rFonts w:ascii="宋体" w:cs="宋体"/>
          <w:szCs w:val="21"/>
          <w:highlight w:val="none"/>
        </w:rPr>
      </w:pPr>
      <w:r>
        <w:rPr>
          <w:rFonts w:ascii="宋体" w:hAnsi="宋体" w:cs="宋体"/>
          <w:szCs w:val="21"/>
          <w:highlight w:val="none"/>
        </w:rPr>
        <w:t xml:space="preserve">2.2 </w:t>
      </w:r>
      <w:r>
        <w:rPr>
          <w:rFonts w:hint="eastAsia" w:ascii="宋体" w:hAnsi="宋体" w:cs="宋体"/>
          <w:szCs w:val="21"/>
          <w:highlight w:val="none"/>
          <w:lang w:val="en-US" w:eastAsia="zh-CN"/>
        </w:rPr>
        <w:t>审计</w:t>
      </w:r>
      <w:r>
        <w:rPr>
          <w:rFonts w:hint="eastAsia" w:ascii="宋体" w:hAnsi="宋体" w:cs="宋体"/>
          <w:szCs w:val="21"/>
          <w:highlight w:val="none"/>
        </w:rPr>
        <w:t>要求及成果</w:t>
      </w:r>
    </w:p>
    <w:p>
      <w:pPr>
        <w:spacing w:line="5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根据《中华人民共和国招标投标法》《中华人民共和国招标投标法实施条例》《中华人民共和国民法典》及其他相关法律法规，以及南宁轨道交通集团有限责任公司、南宁轨道交通建设有限公司招标采购、合同管理、工程施工等制度开展工作，对南宁轨道交通建设有限公司2020年至2022年采购、合同管理、工程签证管理情况作出客观公正、实事求是的评价，出具南宁轨道交通建设有限公司2020年至2022年采购及合同管理专项审计报告及管理建议书，并经南宁轨道交通集团有限责任公司审批通过。</w:t>
      </w:r>
    </w:p>
    <w:p>
      <w:pPr>
        <w:spacing w:line="500" w:lineRule="exact"/>
        <w:ind w:firstLine="422" w:firstLineChars="200"/>
        <w:rPr>
          <w:rFonts w:ascii="宋体" w:cs="宋体"/>
          <w:b/>
          <w:szCs w:val="21"/>
          <w:highlight w:val="none"/>
        </w:rPr>
      </w:pPr>
      <w:r>
        <w:rPr>
          <w:rFonts w:ascii="宋体" w:hAnsi="宋体" w:cs="宋体"/>
          <w:b/>
          <w:szCs w:val="21"/>
          <w:highlight w:val="none"/>
        </w:rPr>
        <w:t>3.</w:t>
      </w:r>
      <w:r>
        <w:rPr>
          <w:rFonts w:hint="eastAsia" w:ascii="宋体" w:hAnsi="宋体" w:cs="宋体"/>
          <w:b/>
          <w:szCs w:val="21"/>
          <w:highlight w:val="none"/>
        </w:rPr>
        <w:t>资金来源</w:t>
      </w:r>
    </w:p>
    <w:p>
      <w:pPr>
        <w:spacing w:line="500" w:lineRule="exact"/>
        <w:ind w:firstLine="420" w:firstLineChars="200"/>
        <w:rPr>
          <w:rFonts w:ascii="宋体" w:cs="宋体"/>
          <w:szCs w:val="21"/>
          <w:highlight w:val="none"/>
        </w:rPr>
      </w:pPr>
      <w:r>
        <w:rPr>
          <w:rFonts w:ascii="宋体" w:hAnsi="宋体" w:cs="宋体"/>
          <w:szCs w:val="21"/>
          <w:highlight w:val="none"/>
        </w:rPr>
        <w:t xml:space="preserve">3.1 </w:t>
      </w:r>
      <w:r>
        <w:rPr>
          <w:rFonts w:hint="eastAsia" w:ascii="宋体" w:hAnsi="宋体" w:cs="宋体"/>
          <w:szCs w:val="21"/>
          <w:highlight w:val="none"/>
        </w:rPr>
        <w:t>资金来源见前附表第</w:t>
      </w:r>
      <w:r>
        <w:rPr>
          <w:rFonts w:ascii="宋体" w:hAnsi="宋体" w:cs="宋体"/>
          <w:szCs w:val="21"/>
          <w:highlight w:val="none"/>
        </w:rPr>
        <w:t>4</w:t>
      </w:r>
      <w:r>
        <w:rPr>
          <w:rFonts w:hint="eastAsia" w:ascii="宋体" w:hAnsi="宋体" w:cs="宋体"/>
          <w:szCs w:val="21"/>
          <w:highlight w:val="none"/>
        </w:rPr>
        <w:t>项所述。</w:t>
      </w:r>
    </w:p>
    <w:p>
      <w:pPr>
        <w:spacing w:line="500" w:lineRule="exact"/>
        <w:ind w:firstLine="422" w:firstLineChars="200"/>
        <w:rPr>
          <w:rFonts w:ascii="宋体" w:cs="宋体"/>
          <w:b/>
          <w:szCs w:val="21"/>
          <w:highlight w:val="none"/>
        </w:rPr>
      </w:pPr>
      <w:r>
        <w:rPr>
          <w:rFonts w:ascii="宋体" w:hAnsi="宋体" w:cs="宋体"/>
          <w:b/>
          <w:szCs w:val="21"/>
          <w:highlight w:val="none"/>
        </w:rPr>
        <w:t>4.</w:t>
      </w:r>
      <w:bookmarkStart w:id="90" w:name="_Toc114052342"/>
      <w:bookmarkStart w:id="91" w:name="_Toc310318574"/>
      <w:bookmarkStart w:id="92" w:name="_Toc114052416"/>
      <w:bookmarkStart w:id="93" w:name="_Toc286386836"/>
      <w:r>
        <w:rPr>
          <w:rFonts w:hint="eastAsia" w:ascii="宋体" w:hAnsi="宋体" w:cs="宋体"/>
          <w:b/>
          <w:szCs w:val="21"/>
          <w:highlight w:val="none"/>
        </w:rPr>
        <w:t>比选申请人资格要求</w:t>
      </w:r>
      <w:bookmarkEnd w:id="90"/>
      <w:bookmarkEnd w:id="91"/>
      <w:bookmarkEnd w:id="92"/>
      <w:bookmarkEnd w:id="93"/>
    </w:p>
    <w:p>
      <w:pPr>
        <w:spacing w:line="500" w:lineRule="exact"/>
        <w:ind w:firstLine="420" w:firstLineChars="200"/>
        <w:rPr>
          <w:rFonts w:ascii="宋体" w:cs="宋体"/>
          <w:szCs w:val="21"/>
          <w:highlight w:val="none"/>
        </w:rPr>
      </w:pPr>
      <w:r>
        <w:rPr>
          <w:rFonts w:ascii="宋体" w:hAnsi="宋体" w:cs="宋体"/>
          <w:szCs w:val="21"/>
          <w:highlight w:val="none"/>
        </w:rPr>
        <w:t xml:space="preserve">4.1 </w:t>
      </w:r>
      <w:r>
        <w:rPr>
          <w:rFonts w:hint="eastAsia" w:ascii="宋体" w:hAnsi="宋体" w:cs="宋体"/>
          <w:szCs w:val="21"/>
          <w:highlight w:val="none"/>
          <w:lang w:val="en-US" w:eastAsia="zh-CN"/>
        </w:rPr>
        <w:t>比</w:t>
      </w:r>
      <w:r>
        <w:rPr>
          <w:rFonts w:hint="eastAsia" w:ascii="宋体" w:hAnsi="宋体" w:cs="宋体"/>
          <w:szCs w:val="21"/>
          <w:highlight w:val="none"/>
        </w:rPr>
        <w:t>选申请人必须具有前附表第</w:t>
      </w:r>
      <w:r>
        <w:rPr>
          <w:rFonts w:ascii="宋体" w:hAnsi="宋体" w:cs="宋体"/>
          <w:szCs w:val="21"/>
          <w:highlight w:val="none"/>
        </w:rPr>
        <w:t>9</w:t>
      </w:r>
      <w:r>
        <w:rPr>
          <w:rFonts w:hint="eastAsia" w:ascii="宋体" w:hAnsi="宋体" w:cs="宋体"/>
          <w:szCs w:val="21"/>
          <w:highlight w:val="none"/>
        </w:rPr>
        <w:t>项相应的资质及要求。</w:t>
      </w:r>
    </w:p>
    <w:p>
      <w:pPr>
        <w:spacing w:line="500" w:lineRule="exact"/>
        <w:ind w:firstLine="422" w:firstLineChars="200"/>
        <w:rPr>
          <w:rFonts w:ascii="宋体" w:cs="宋体"/>
          <w:b/>
          <w:szCs w:val="21"/>
          <w:highlight w:val="none"/>
        </w:rPr>
      </w:pPr>
      <w:r>
        <w:rPr>
          <w:rFonts w:ascii="宋体" w:hAnsi="宋体" w:cs="宋体"/>
          <w:b/>
          <w:szCs w:val="21"/>
          <w:highlight w:val="none"/>
        </w:rPr>
        <w:t>5.</w:t>
      </w:r>
      <w:bookmarkStart w:id="94" w:name="_Toc310318575"/>
      <w:bookmarkStart w:id="95" w:name="_Toc286386837"/>
      <w:bookmarkStart w:id="96" w:name="_Toc114052343"/>
      <w:bookmarkStart w:id="97" w:name="_Toc114052417"/>
      <w:r>
        <w:rPr>
          <w:rFonts w:hint="eastAsia" w:ascii="宋体" w:hAnsi="宋体" w:cs="宋体"/>
          <w:b/>
          <w:szCs w:val="21"/>
          <w:highlight w:val="none"/>
        </w:rPr>
        <w:t>申请比选费用</w:t>
      </w:r>
      <w:bookmarkEnd w:id="94"/>
      <w:bookmarkEnd w:id="95"/>
      <w:bookmarkEnd w:id="96"/>
      <w:bookmarkEnd w:id="97"/>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5.1 </w:t>
      </w:r>
      <w:r>
        <w:rPr>
          <w:rFonts w:hint="eastAsia" w:ascii="宋体" w:hAnsi="宋体" w:cs="宋体"/>
          <w:szCs w:val="21"/>
          <w:highlight w:val="none"/>
        </w:rPr>
        <w:t>比选申请人应承担其编制文件与递交文件所涉及的一切费用。不管评比结果如何，比选人对上述费用不负任何责任。</w:t>
      </w:r>
    </w:p>
    <w:p>
      <w:pPr>
        <w:pStyle w:val="4"/>
        <w:spacing w:beforeLines="50" w:afterLines="50" w:line="500" w:lineRule="exact"/>
        <w:jc w:val="center"/>
        <w:rPr>
          <w:rFonts w:ascii="宋体"/>
          <w:b/>
          <w:sz w:val="21"/>
          <w:szCs w:val="21"/>
          <w:highlight w:val="none"/>
        </w:rPr>
      </w:pPr>
      <w:bookmarkStart w:id="98" w:name="_Toc2963"/>
      <w:bookmarkStart w:id="99" w:name="_Toc5628"/>
      <w:bookmarkStart w:id="100" w:name="_Toc4989"/>
      <w:bookmarkStart w:id="101" w:name="_Toc11648"/>
      <w:bookmarkStart w:id="102" w:name="_Toc14739"/>
      <w:bookmarkStart w:id="103" w:name="_Toc20218"/>
      <w:bookmarkStart w:id="104" w:name="_Toc4734"/>
      <w:r>
        <w:rPr>
          <w:rFonts w:hint="eastAsia" w:ascii="宋体" w:hAnsi="宋体"/>
          <w:b/>
          <w:sz w:val="21"/>
          <w:szCs w:val="21"/>
          <w:highlight w:val="none"/>
        </w:rPr>
        <w:t>二</w:t>
      </w:r>
      <w:bookmarkStart w:id="105" w:name="_Toc26124"/>
      <w:bookmarkStart w:id="106" w:name="_Toc3066"/>
      <w:bookmarkStart w:id="107" w:name="_Toc26141"/>
      <w:bookmarkStart w:id="108" w:name="_Toc16023"/>
      <w:bookmarkStart w:id="109" w:name="_Toc6541"/>
      <w:bookmarkStart w:id="110" w:name="_Toc17323"/>
      <w:bookmarkStart w:id="111" w:name="_Toc22143"/>
      <w:bookmarkStart w:id="112" w:name="_Toc8029"/>
      <w:bookmarkStart w:id="113" w:name="_Toc15439"/>
      <w:bookmarkStart w:id="114" w:name="_Toc461525298"/>
      <w:bookmarkStart w:id="115" w:name="_Toc17725"/>
      <w:bookmarkStart w:id="116" w:name="_Toc18809"/>
      <w:bookmarkStart w:id="117" w:name="_Toc5207"/>
      <w:bookmarkStart w:id="118" w:name="_Toc25256"/>
      <w:bookmarkStart w:id="119" w:name="_Toc471482362"/>
      <w:r>
        <w:rPr>
          <w:rFonts w:hint="eastAsia" w:ascii="宋体" w:hAnsi="宋体"/>
          <w:b/>
          <w:sz w:val="21"/>
          <w:szCs w:val="21"/>
          <w:highlight w:val="none"/>
        </w:rPr>
        <w:t>、比选文件</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spacing w:line="500" w:lineRule="exact"/>
        <w:ind w:firstLine="420" w:firstLineChars="200"/>
        <w:rPr>
          <w:rFonts w:ascii="宋体" w:cs="宋体"/>
          <w:b/>
          <w:szCs w:val="21"/>
          <w:highlight w:val="none"/>
        </w:rPr>
      </w:pPr>
      <w:r>
        <w:rPr>
          <w:rFonts w:ascii="宋体" w:hAnsi="宋体" w:cs="宋体"/>
          <w:szCs w:val="21"/>
          <w:highlight w:val="none"/>
        </w:rPr>
        <w:t xml:space="preserve"> </w:t>
      </w:r>
      <w:r>
        <w:rPr>
          <w:rFonts w:ascii="宋体" w:hAnsi="宋体" w:cs="宋体"/>
          <w:b/>
          <w:szCs w:val="21"/>
          <w:highlight w:val="none"/>
        </w:rPr>
        <w:t>6.</w:t>
      </w:r>
      <w:bookmarkStart w:id="120" w:name="_Toc310318577"/>
      <w:bookmarkStart w:id="121" w:name="_Toc286386839"/>
      <w:bookmarkStart w:id="122" w:name="_Toc114052419"/>
      <w:bookmarkStart w:id="123" w:name="_Toc114052345"/>
      <w:r>
        <w:rPr>
          <w:rFonts w:hint="eastAsia" w:ascii="宋体" w:hAnsi="宋体" w:cs="宋体"/>
          <w:b/>
          <w:szCs w:val="21"/>
          <w:highlight w:val="none"/>
        </w:rPr>
        <w:t>比选文件的组成</w:t>
      </w:r>
      <w:bookmarkEnd w:id="120"/>
      <w:bookmarkEnd w:id="121"/>
      <w:bookmarkEnd w:id="122"/>
      <w:bookmarkEnd w:id="123"/>
    </w:p>
    <w:p>
      <w:pPr>
        <w:spacing w:line="500" w:lineRule="exact"/>
        <w:ind w:firstLine="420" w:firstLineChars="200"/>
        <w:rPr>
          <w:rFonts w:ascii="宋体" w:cs="宋体"/>
          <w:szCs w:val="21"/>
          <w:highlight w:val="none"/>
        </w:rPr>
      </w:pPr>
      <w:r>
        <w:rPr>
          <w:rFonts w:ascii="宋体" w:hAnsi="宋体" w:cs="宋体"/>
          <w:szCs w:val="21"/>
          <w:highlight w:val="none"/>
        </w:rPr>
        <w:t xml:space="preserve"> 6.1 </w:t>
      </w:r>
      <w:r>
        <w:rPr>
          <w:rFonts w:hint="eastAsia" w:ascii="宋体" w:hAnsi="宋体" w:cs="宋体"/>
          <w:szCs w:val="21"/>
          <w:highlight w:val="none"/>
        </w:rPr>
        <w:t>比选文件包括比选须知前附表、比选须知、合同条款（格式）、比选申请文件格式、评比办法。</w:t>
      </w:r>
    </w:p>
    <w:p>
      <w:pPr>
        <w:spacing w:line="500" w:lineRule="exact"/>
        <w:ind w:firstLine="422" w:firstLineChars="200"/>
        <w:rPr>
          <w:rFonts w:ascii="宋体" w:cs="宋体"/>
          <w:b/>
          <w:szCs w:val="21"/>
          <w:highlight w:val="none"/>
        </w:rPr>
      </w:pPr>
      <w:r>
        <w:rPr>
          <w:rFonts w:ascii="宋体" w:hAnsi="宋体" w:cs="宋体"/>
          <w:b/>
          <w:szCs w:val="21"/>
          <w:highlight w:val="none"/>
        </w:rPr>
        <w:t>7.</w:t>
      </w:r>
      <w:bookmarkStart w:id="124" w:name="_Toc310318578"/>
      <w:bookmarkStart w:id="125" w:name="_Toc114052420"/>
      <w:bookmarkStart w:id="126" w:name="_Toc114052346"/>
      <w:bookmarkStart w:id="127" w:name="_Toc286386840"/>
      <w:r>
        <w:rPr>
          <w:rFonts w:hint="eastAsia" w:ascii="宋体" w:hAnsi="宋体" w:cs="宋体"/>
          <w:b/>
          <w:szCs w:val="21"/>
          <w:highlight w:val="none"/>
        </w:rPr>
        <w:t>比选文件的解释</w:t>
      </w:r>
      <w:bookmarkEnd w:id="124"/>
      <w:bookmarkEnd w:id="125"/>
      <w:bookmarkEnd w:id="126"/>
      <w:bookmarkEnd w:id="127"/>
    </w:p>
    <w:p>
      <w:pPr>
        <w:spacing w:line="500" w:lineRule="exact"/>
        <w:ind w:firstLine="420" w:firstLineChars="200"/>
        <w:rPr>
          <w:rFonts w:ascii="宋体" w:cs="宋体"/>
          <w:szCs w:val="21"/>
          <w:highlight w:val="none"/>
        </w:rPr>
      </w:pPr>
      <w:r>
        <w:rPr>
          <w:rFonts w:ascii="宋体" w:hAnsi="宋体" w:cs="宋体"/>
          <w:szCs w:val="21"/>
          <w:highlight w:val="none"/>
        </w:rPr>
        <w:t xml:space="preserve">7.1 </w:t>
      </w:r>
      <w:r>
        <w:rPr>
          <w:rFonts w:hint="eastAsia" w:ascii="宋体" w:hAnsi="宋体" w:cs="宋体"/>
          <w:szCs w:val="21"/>
          <w:highlight w:val="none"/>
        </w:rPr>
        <w:t>比选申请人在获取比选文件后，若有问题需要澄清，均应在递交文件截止时间</w:t>
      </w:r>
      <w:r>
        <w:rPr>
          <w:rFonts w:ascii="宋体" w:hAnsi="宋体" w:cs="宋体"/>
          <w:szCs w:val="21"/>
          <w:highlight w:val="none"/>
        </w:rPr>
        <w:t xml:space="preserve"> 3</w:t>
      </w:r>
      <w:r>
        <w:rPr>
          <w:rFonts w:hint="eastAsia" w:ascii="宋体" w:hAnsi="宋体" w:cs="宋体"/>
          <w:szCs w:val="21"/>
          <w:highlight w:val="none"/>
        </w:rPr>
        <w:t>个工作日前的正常工作时间内，用当面递交或传真书面通知比选人，其他方式为无效。比选人将于递交文件截止时间</w:t>
      </w:r>
      <w:r>
        <w:rPr>
          <w:rFonts w:ascii="宋体" w:hAnsi="宋体" w:cs="宋体"/>
          <w:szCs w:val="21"/>
          <w:highlight w:val="none"/>
        </w:rPr>
        <w:t>2</w:t>
      </w:r>
      <w:r>
        <w:rPr>
          <w:rFonts w:hint="eastAsia" w:ascii="宋体" w:hAnsi="宋体" w:cs="宋体"/>
          <w:szCs w:val="21"/>
          <w:highlight w:val="none"/>
        </w:rPr>
        <w:t>天前以书面形式</w:t>
      </w:r>
      <w:r>
        <w:rPr>
          <w:rFonts w:ascii="宋体" w:cs="宋体"/>
          <w:szCs w:val="21"/>
          <w:highlight w:val="none"/>
        </w:rPr>
        <w:t>,</w:t>
      </w:r>
      <w:r>
        <w:rPr>
          <w:rFonts w:hint="eastAsia" w:ascii="宋体" w:hAnsi="宋体" w:cs="宋体"/>
          <w:szCs w:val="21"/>
          <w:highlight w:val="none"/>
        </w:rPr>
        <w:t>在比选人官网发布，予以答复。</w:t>
      </w:r>
    </w:p>
    <w:p>
      <w:pPr>
        <w:spacing w:line="500" w:lineRule="exact"/>
        <w:ind w:firstLine="527" w:firstLineChars="250"/>
        <w:rPr>
          <w:rFonts w:ascii="宋体" w:cs="宋体"/>
          <w:b/>
          <w:szCs w:val="21"/>
          <w:highlight w:val="none"/>
        </w:rPr>
      </w:pPr>
      <w:r>
        <w:rPr>
          <w:rFonts w:ascii="宋体" w:hAnsi="宋体" w:cs="宋体"/>
          <w:b/>
          <w:szCs w:val="21"/>
          <w:highlight w:val="none"/>
        </w:rPr>
        <w:t>8.</w:t>
      </w:r>
      <w:bookmarkStart w:id="128" w:name="_Toc114052421"/>
      <w:bookmarkStart w:id="129" w:name="_Toc286386841"/>
      <w:bookmarkStart w:id="130" w:name="_Toc114052347"/>
      <w:bookmarkStart w:id="131" w:name="_Toc310318579"/>
      <w:r>
        <w:rPr>
          <w:rFonts w:hint="eastAsia" w:ascii="宋体" w:hAnsi="宋体" w:cs="宋体"/>
          <w:b/>
          <w:szCs w:val="21"/>
          <w:highlight w:val="none"/>
        </w:rPr>
        <w:t>比选文件的修改</w:t>
      </w:r>
      <w:bookmarkEnd w:id="128"/>
      <w:bookmarkEnd w:id="129"/>
      <w:bookmarkEnd w:id="130"/>
      <w:bookmarkEnd w:id="131"/>
    </w:p>
    <w:p>
      <w:pPr>
        <w:spacing w:line="500" w:lineRule="exact"/>
        <w:ind w:firstLine="420" w:firstLineChars="200"/>
        <w:rPr>
          <w:rFonts w:ascii="宋体" w:cs="宋体"/>
          <w:szCs w:val="21"/>
          <w:highlight w:val="none"/>
        </w:rPr>
      </w:pPr>
      <w:r>
        <w:rPr>
          <w:rFonts w:ascii="宋体" w:hAnsi="宋体" w:cs="宋体"/>
          <w:szCs w:val="21"/>
          <w:highlight w:val="none"/>
        </w:rPr>
        <w:t xml:space="preserve"> 8.1 </w:t>
      </w:r>
      <w:r>
        <w:rPr>
          <w:rFonts w:hint="eastAsia" w:ascii="宋体" w:hAnsi="宋体" w:cs="宋体"/>
          <w:szCs w:val="21"/>
          <w:highlight w:val="none"/>
        </w:rPr>
        <w:t>在递交文件截止日期前</w:t>
      </w:r>
      <w:r>
        <w:rPr>
          <w:rFonts w:ascii="宋体" w:hAnsi="宋体" w:cs="宋体"/>
          <w:szCs w:val="21"/>
          <w:highlight w:val="none"/>
        </w:rPr>
        <w:t>2</w:t>
      </w:r>
      <w:r>
        <w:rPr>
          <w:rFonts w:hint="eastAsia" w:ascii="宋体" w:hAnsi="宋体" w:cs="宋体"/>
          <w:szCs w:val="21"/>
          <w:highlight w:val="none"/>
        </w:rPr>
        <w:t>天，比选人可以采用补充通知的方式修改比选文件。</w:t>
      </w:r>
    </w:p>
    <w:p>
      <w:pPr>
        <w:spacing w:line="500" w:lineRule="exact"/>
        <w:ind w:firstLine="420" w:firstLineChars="200"/>
        <w:rPr>
          <w:rFonts w:ascii="宋体" w:cs="宋体"/>
          <w:szCs w:val="21"/>
          <w:highlight w:val="none"/>
        </w:rPr>
      </w:pPr>
      <w:r>
        <w:rPr>
          <w:rFonts w:ascii="宋体" w:hAnsi="宋体" w:cs="宋体"/>
          <w:szCs w:val="21"/>
          <w:highlight w:val="none"/>
        </w:rPr>
        <w:t xml:space="preserve"> 8.2 </w:t>
      </w:r>
      <w:r>
        <w:rPr>
          <w:rFonts w:hint="eastAsia" w:ascii="宋体" w:hAnsi="宋体" w:cs="宋体"/>
          <w:szCs w:val="21"/>
          <w:highlight w:val="none"/>
        </w:rPr>
        <w:t>补充通知将以书面形式，在比选人官网发布，补充通知作为比选文件的组成部分，对比选申请人起约束作用。</w:t>
      </w:r>
    </w:p>
    <w:p>
      <w:pPr>
        <w:pStyle w:val="4"/>
        <w:tabs>
          <w:tab w:val="left" w:pos="3030"/>
        </w:tabs>
        <w:spacing w:beforeLines="50" w:afterLines="50" w:line="500" w:lineRule="exact"/>
        <w:ind w:firstLine="422" w:firstLineChars="200"/>
        <w:jc w:val="center"/>
        <w:rPr>
          <w:rFonts w:ascii="宋体"/>
          <w:b/>
          <w:sz w:val="21"/>
          <w:szCs w:val="21"/>
          <w:highlight w:val="none"/>
        </w:rPr>
      </w:pPr>
      <w:bookmarkStart w:id="132" w:name="_Toc9684"/>
      <w:bookmarkStart w:id="133" w:name="_Toc17382"/>
      <w:bookmarkStart w:id="134" w:name="_Toc24574"/>
      <w:bookmarkStart w:id="135" w:name="_Toc10523"/>
      <w:bookmarkStart w:id="136" w:name="_Toc25820"/>
      <w:bookmarkStart w:id="137" w:name="_Toc471482363"/>
      <w:bookmarkStart w:id="138" w:name="_Toc6395"/>
      <w:bookmarkStart w:id="139" w:name="_Toc19209"/>
      <w:bookmarkStart w:id="140" w:name="_Toc9199"/>
      <w:bookmarkStart w:id="141" w:name="_Toc31749"/>
      <w:bookmarkStart w:id="142" w:name="_Toc9453"/>
      <w:bookmarkStart w:id="143" w:name="_Toc8400"/>
      <w:bookmarkStart w:id="144" w:name="_Toc26897"/>
      <w:bookmarkStart w:id="145" w:name="_Toc461525299"/>
      <w:bookmarkStart w:id="146" w:name="_Toc32337"/>
      <w:bookmarkStart w:id="147" w:name="_Toc27671"/>
      <w:bookmarkStart w:id="148" w:name="_Toc29216"/>
      <w:bookmarkStart w:id="149" w:name="_Toc18772"/>
      <w:bookmarkStart w:id="150" w:name="_Toc30617"/>
      <w:bookmarkStart w:id="151" w:name="_Toc22084"/>
      <w:bookmarkStart w:id="152" w:name="_Toc24005"/>
      <w:bookmarkStart w:id="153" w:name="_Toc23609"/>
      <w:r>
        <w:rPr>
          <w:rFonts w:hint="eastAsia" w:ascii="宋体" w:hAnsi="宋体"/>
          <w:b/>
          <w:sz w:val="21"/>
          <w:szCs w:val="21"/>
          <w:highlight w:val="none"/>
        </w:rPr>
        <w:t>三、申请比选报价说明</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Fonts w:ascii="宋体"/>
          <w:b/>
          <w:sz w:val="21"/>
          <w:szCs w:val="21"/>
          <w:highlight w:val="none"/>
        </w:rPr>
        <w:tab/>
      </w:r>
    </w:p>
    <w:p>
      <w:pPr>
        <w:spacing w:line="500" w:lineRule="exact"/>
        <w:ind w:firstLine="420" w:firstLineChars="200"/>
        <w:rPr>
          <w:rFonts w:ascii="宋体" w:cs="宋体"/>
          <w:b/>
          <w:szCs w:val="21"/>
          <w:highlight w:val="none"/>
        </w:rPr>
      </w:pPr>
      <w:r>
        <w:rPr>
          <w:rFonts w:ascii="宋体" w:hAnsi="宋体" w:cs="宋体"/>
          <w:szCs w:val="21"/>
          <w:highlight w:val="none"/>
        </w:rPr>
        <w:t xml:space="preserve"> </w:t>
      </w:r>
      <w:r>
        <w:rPr>
          <w:rFonts w:ascii="宋体" w:hAnsi="宋体" w:cs="宋体"/>
          <w:b/>
          <w:szCs w:val="21"/>
          <w:highlight w:val="none"/>
        </w:rPr>
        <w:t>9.</w:t>
      </w:r>
      <w:bookmarkStart w:id="154" w:name="_Toc114052423"/>
      <w:bookmarkStart w:id="155" w:name="_Toc114052349"/>
      <w:bookmarkStart w:id="156" w:name="_Toc286386843"/>
      <w:bookmarkStart w:id="157" w:name="_Toc310318581"/>
      <w:r>
        <w:rPr>
          <w:rFonts w:hint="eastAsia" w:ascii="宋体" w:hAnsi="宋体" w:cs="宋体"/>
          <w:b/>
          <w:szCs w:val="21"/>
          <w:highlight w:val="none"/>
        </w:rPr>
        <w:t>申请比选</w:t>
      </w:r>
      <w:bookmarkEnd w:id="154"/>
      <w:bookmarkEnd w:id="155"/>
      <w:bookmarkEnd w:id="156"/>
      <w:r>
        <w:rPr>
          <w:rFonts w:hint="eastAsia" w:ascii="宋体" w:hAnsi="宋体" w:cs="宋体"/>
          <w:b/>
          <w:szCs w:val="21"/>
          <w:highlight w:val="none"/>
        </w:rPr>
        <w:t>报价</w:t>
      </w:r>
      <w:bookmarkEnd w:id="157"/>
    </w:p>
    <w:p>
      <w:pPr>
        <w:spacing w:line="500" w:lineRule="exact"/>
        <w:ind w:firstLine="420" w:firstLineChars="200"/>
        <w:rPr>
          <w:rFonts w:ascii="宋体" w:cs="宋体"/>
          <w:szCs w:val="21"/>
          <w:highlight w:val="none"/>
        </w:rPr>
      </w:pPr>
      <w:r>
        <w:rPr>
          <w:rFonts w:ascii="宋体" w:hAnsi="宋体" w:cs="宋体"/>
          <w:szCs w:val="21"/>
          <w:highlight w:val="none"/>
        </w:rPr>
        <w:t xml:space="preserve"> 9.1 </w:t>
      </w:r>
      <w:r>
        <w:rPr>
          <w:rFonts w:hint="eastAsia" w:ascii="宋体" w:hAnsi="宋体" w:cs="宋体"/>
          <w:szCs w:val="21"/>
          <w:highlight w:val="none"/>
        </w:rPr>
        <w:t>申请比选报价见比选须知前附表第</w:t>
      </w:r>
      <w:r>
        <w:rPr>
          <w:rFonts w:ascii="宋体" w:hAnsi="宋体" w:cs="宋体"/>
          <w:szCs w:val="21"/>
          <w:highlight w:val="none"/>
        </w:rPr>
        <w:t>7</w:t>
      </w:r>
      <w:r>
        <w:rPr>
          <w:rFonts w:hint="eastAsia" w:ascii="宋体" w:hAnsi="宋体" w:cs="宋体"/>
          <w:szCs w:val="21"/>
          <w:highlight w:val="none"/>
        </w:rPr>
        <w:t>项所述。</w:t>
      </w:r>
    </w:p>
    <w:p>
      <w:pPr>
        <w:pStyle w:val="4"/>
        <w:spacing w:beforeLines="50" w:afterLines="50" w:line="500" w:lineRule="exact"/>
        <w:jc w:val="center"/>
        <w:rPr>
          <w:b/>
          <w:sz w:val="21"/>
          <w:szCs w:val="21"/>
          <w:highlight w:val="none"/>
        </w:rPr>
      </w:pPr>
      <w:bookmarkStart w:id="158" w:name="_Toc25487"/>
      <w:bookmarkStart w:id="159" w:name="_Toc18607"/>
      <w:bookmarkStart w:id="160" w:name="_Toc26723"/>
      <w:bookmarkStart w:id="161" w:name="_Toc24807"/>
      <w:bookmarkStart w:id="162" w:name="_Toc17722"/>
      <w:bookmarkStart w:id="163" w:name="_Toc471482364"/>
      <w:bookmarkStart w:id="164" w:name="_Toc23191"/>
      <w:bookmarkStart w:id="165" w:name="_Toc2346"/>
      <w:bookmarkStart w:id="166" w:name="_Toc461525300"/>
      <w:bookmarkStart w:id="167" w:name="_Toc16264"/>
      <w:bookmarkStart w:id="168" w:name="_Toc11943"/>
      <w:bookmarkStart w:id="169" w:name="_Toc17259"/>
      <w:bookmarkStart w:id="170" w:name="_Toc32390"/>
      <w:bookmarkStart w:id="171" w:name="_Toc5583"/>
      <w:bookmarkStart w:id="172" w:name="_Toc8092"/>
      <w:bookmarkStart w:id="173" w:name="_Toc7287"/>
      <w:bookmarkStart w:id="174" w:name="_Toc31461"/>
      <w:bookmarkStart w:id="175" w:name="_Toc23781"/>
      <w:bookmarkStart w:id="176" w:name="_Toc25856"/>
      <w:bookmarkStart w:id="177" w:name="_Toc9795"/>
      <w:bookmarkStart w:id="178" w:name="_Toc23455"/>
      <w:bookmarkStart w:id="179" w:name="_Toc17188"/>
      <w:r>
        <w:rPr>
          <w:rFonts w:hint="eastAsia"/>
          <w:b/>
          <w:sz w:val="21"/>
          <w:szCs w:val="21"/>
          <w:highlight w:val="none"/>
        </w:rPr>
        <w:t>四、比选申请文件的编制</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spacing w:line="500" w:lineRule="exact"/>
        <w:ind w:firstLine="420" w:firstLineChars="200"/>
        <w:rPr>
          <w:rFonts w:ascii="宋体" w:cs="宋体"/>
          <w:b/>
          <w:szCs w:val="21"/>
          <w:highlight w:val="none"/>
        </w:rPr>
      </w:pPr>
      <w:r>
        <w:rPr>
          <w:rFonts w:ascii="宋体" w:hAnsi="宋体" w:cs="宋体"/>
          <w:szCs w:val="21"/>
          <w:highlight w:val="none"/>
        </w:rPr>
        <w:t xml:space="preserve"> </w:t>
      </w:r>
      <w:r>
        <w:rPr>
          <w:rFonts w:ascii="宋体" w:hAnsi="宋体" w:cs="宋体"/>
          <w:b/>
          <w:szCs w:val="21"/>
          <w:highlight w:val="none"/>
        </w:rPr>
        <w:t>10.</w:t>
      </w:r>
      <w:bookmarkStart w:id="180" w:name="_Toc286386845"/>
      <w:bookmarkStart w:id="181" w:name="_Toc310318583"/>
      <w:r>
        <w:rPr>
          <w:rFonts w:hint="eastAsia" w:ascii="宋体" w:hAnsi="宋体" w:cs="宋体"/>
          <w:b/>
          <w:szCs w:val="21"/>
          <w:highlight w:val="none"/>
        </w:rPr>
        <w:t>比选申请文件编写注意事项</w:t>
      </w:r>
      <w:bookmarkEnd w:id="180"/>
      <w:bookmarkEnd w:id="181"/>
    </w:p>
    <w:p>
      <w:pPr>
        <w:spacing w:line="500" w:lineRule="exact"/>
        <w:ind w:firstLine="420" w:firstLineChars="200"/>
        <w:rPr>
          <w:rFonts w:ascii="宋体" w:cs="宋体"/>
          <w:szCs w:val="21"/>
          <w:highlight w:val="none"/>
        </w:rPr>
      </w:pPr>
      <w:r>
        <w:rPr>
          <w:rFonts w:ascii="宋体" w:hAnsi="宋体" w:cs="宋体"/>
          <w:szCs w:val="21"/>
          <w:highlight w:val="none"/>
        </w:rPr>
        <w:t xml:space="preserve"> 10.1</w:t>
      </w:r>
      <w:r>
        <w:rPr>
          <w:rFonts w:hint="eastAsia" w:ascii="宋体" w:hAnsi="宋体" w:cs="宋体"/>
          <w:szCs w:val="21"/>
          <w:highlight w:val="none"/>
        </w:rPr>
        <w:t>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spacing w:line="500" w:lineRule="exact"/>
        <w:ind w:firstLine="420" w:firstLineChars="200"/>
        <w:rPr>
          <w:rFonts w:ascii="宋体" w:cs="宋体"/>
          <w:szCs w:val="21"/>
          <w:highlight w:val="none"/>
        </w:rPr>
      </w:pPr>
      <w:r>
        <w:rPr>
          <w:rFonts w:ascii="宋体" w:hAnsi="宋体" w:cs="宋体"/>
          <w:szCs w:val="21"/>
          <w:highlight w:val="none"/>
        </w:rPr>
        <w:t xml:space="preserve"> 10.2 </w:t>
      </w:r>
      <w:r>
        <w:rPr>
          <w:rFonts w:hint="eastAsia" w:ascii="宋体" w:hAnsi="宋体" w:cs="宋体"/>
          <w:szCs w:val="21"/>
          <w:highlight w:val="none"/>
        </w:rPr>
        <w:t>比选文件提出的实质性要求和条件是指本比选项目所涉及的最低人员配置、价格、服务及其它要求、合同条款等内容。</w:t>
      </w:r>
    </w:p>
    <w:p>
      <w:pPr>
        <w:spacing w:line="500" w:lineRule="exact"/>
        <w:ind w:firstLine="420" w:firstLineChars="200"/>
        <w:rPr>
          <w:rFonts w:ascii="宋体" w:cs="宋体"/>
          <w:szCs w:val="21"/>
          <w:highlight w:val="none"/>
        </w:rPr>
      </w:pPr>
      <w:r>
        <w:rPr>
          <w:rFonts w:ascii="宋体" w:hAnsi="宋体" w:cs="宋体"/>
          <w:szCs w:val="21"/>
          <w:highlight w:val="none"/>
        </w:rPr>
        <w:t xml:space="preserve">10.3 </w:t>
      </w:r>
      <w:r>
        <w:rPr>
          <w:rFonts w:hint="eastAsia" w:ascii="宋体" w:hAnsi="宋体" w:cs="宋体"/>
          <w:szCs w:val="21"/>
          <w:highlight w:val="none"/>
        </w:rPr>
        <w:t>比选申请人的比选申请文件所有来往函件统一使用中文</w:t>
      </w:r>
      <w:r>
        <w:rPr>
          <w:rFonts w:hint="eastAsia" w:ascii="宋体" w:hAnsi="宋体" w:cs="宋体"/>
          <w:szCs w:val="21"/>
          <w:highlight w:val="none"/>
          <w:lang w:eastAsia="zh-CN"/>
        </w:rPr>
        <w:t>（</w:t>
      </w:r>
      <w:r>
        <w:rPr>
          <w:rFonts w:hint="eastAsia" w:ascii="宋体" w:hAnsi="宋体" w:cs="宋体"/>
          <w:szCs w:val="21"/>
          <w:highlight w:val="none"/>
        </w:rPr>
        <w:t>特别规定除外</w:t>
      </w:r>
      <w:r>
        <w:rPr>
          <w:rFonts w:hint="eastAsia" w:ascii="宋体" w:hAnsi="宋体" w:cs="宋体"/>
          <w:szCs w:val="21"/>
          <w:highlight w:val="none"/>
          <w:lang w:eastAsia="zh-CN"/>
        </w:rPr>
        <w:t>）</w:t>
      </w:r>
      <w:r>
        <w:rPr>
          <w:rFonts w:hint="eastAsia" w:ascii="宋体" w:hAnsi="宋体" w:cs="宋体"/>
          <w:szCs w:val="21"/>
          <w:highlight w:val="none"/>
        </w:rPr>
        <w:t>。</w:t>
      </w:r>
    </w:p>
    <w:p>
      <w:pPr>
        <w:spacing w:line="500" w:lineRule="exact"/>
        <w:ind w:firstLine="420" w:firstLineChars="200"/>
        <w:rPr>
          <w:rFonts w:ascii="宋体" w:cs="宋体"/>
          <w:szCs w:val="21"/>
          <w:highlight w:val="none"/>
        </w:rPr>
      </w:pPr>
      <w:r>
        <w:rPr>
          <w:rFonts w:ascii="宋体" w:hAnsi="宋体" w:cs="宋体"/>
          <w:szCs w:val="21"/>
          <w:highlight w:val="none"/>
        </w:rPr>
        <w:t xml:space="preserve">10.4 </w:t>
      </w:r>
      <w:r>
        <w:rPr>
          <w:rFonts w:hint="eastAsia" w:ascii="宋体" w:hAnsi="宋体" w:cs="宋体"/>
          <w:szCs w:val="21"/>
          <w:highlight w:val="none"/>
        </w:rPr>
        <w:t>比选申请文件中使用的计量单位除比选文件中有特殊规定外，一律使用法定计量单位。</w:t>
      </w:r>
    </w:p>
    <w:p>
      <w:pPr>
        <w:spacing w:line="500" w:lineRule="exact"/>
        <w:ind w:firstLine="420" w:firstLineChars="200"/>
        <w:rPr>
          <w:rFonts w:ascii="宋体" w:cs="宋体"/>
          <w:szCs w:val="21"/>
          <w:highlight w:val="none"/>
        </w:rPr>
      </w:pPr>
      <w:r>
        <w:rPr>
          <w:rFonts w:ascii="宋体" w:hAnsi="宋体" w:cs="宋体"/>
          <w:szCs w:val="21"/>
          <w:highlight w:val="none"/>
        </w:rPr>
        <w:t xml:space="preserve">10.5 </w:t>
      </w:r>
      <w:r>
        <w:rPr>
          <w:rFonts w:hint="eastAsia" w:ascii="宋体" w:hAnsi="宋体" w:cs="宋体"/>
          <w:szCs w:val="21"/>
          <w:highlight w:val="none"/>
        </w:rPr>
        <w:t>比选申请文件必须装订成册，不允许以活页夹等形式封装。</w:t>
      </w:r>
    </w:p>
    <w:p>
      <w:pPr>
        <w:spacing w:line="500" w:lineRule="exact"/>
        <w:ind w:firstLine="420" w:firstLineChars="200"/>
        <w:rPr>
          <w:rFonts w:ascii="宋体" w:cs="宋体"/>
          <w:szCs w:val="21"/>
          <w:highlight w:val="none"/>
        </w:rPr>
      </w:pPr>
      <w:r>
        <w:rPr>
          <w:rFonts w:ascii="宋体" w:hAnsi="宋体" w:cs="宋体"/>
          <w:szCs w:val="21"/>
          <w:highlight w:val="none"/>
        </w:rPr>
        <w:t xml:space="preserve">10.6 </w:t>
      </w:r>
      <w:r>
        <w:rPr>
          <w:rFonts w:hint="eastAsia" w:ascii="宋体" w:hAnsi="宋体" w:cs="宋体"/>
          <w:szCs w:val="21"/>
          <w:highlight w:val="none"/>
        </w:rPr>
        <w:t>比选申请文件的所有组成部分均须加盖法人单位公章或骑缝章。</w:t>
      </w:r>
    </w:p>
    <w:p>
      <w:pPr>
        <w:spacing w:line="500" w:lineRule="exact"/>
        <w:ind w:firstLine="422" w:firstLineChars="200"/>
        <w:rPr>
          <w:rFonts w:ascii="宋体" w:cs="宋体"/>
          <w:b/>
          <w:szCs w:val="21"/>
          <w:highlight w:val="none"/>
        </w:rPr>
      </w:pPr>
      <w:bookmarkStart w:id="182" w:name="_Toc310318584"/>
      <w:bookmarkStart w:id="183" w:name="_Toc114052426"/>
      <w:bookmarkStart w:id="184" w:name="_Toc114052352"/>
      <w:bookmarkStart w:id="185" w:name="_Toc286386846"/>
      <w:r>
        <w:rPr>
          <w:rFonts w:ascii="宋体" w:hAnsi="宋体" w:cs="宋体"/>
          <w:b/>
          <w:szCs w:val="21"/>
          <w:highlight w:val="none"/>
        </w:rPr>
        <w:t>11.</w:t>
      </w:r>
      <w:r>
        <w:rPr>
          <w:rFonts w:hint="eastAsia" w:ascii="宋体" w:hAnsi="宋体" w:cs="宋体"/>
          <w:b/>
          <w:szCs w:val="21"/>
          <w:highlight w:val="none"/>
        </w:rPr>
        <w:t>比选申请文件的组成</w:t>
      </w:r>
      <w:bookmarkEnd w:id="182"/>
      <w:bookmarkEnd w:id="183"/>
      <w:bookmarkEnd w:id="184"/>
      <w:bookmarkEnd w:id="185"/>
    </w:p>
    <w:p>
      <w:pPr>
        <w:spacing w:line="500" w:lineRule="exact"/>
        <w:ind w:firstLine="420" w:firstLineChars="200"/>
        <w:rPr>
          <w:rFonts w:ascii="宋体" w:cs="宋体"/>
          <w:szCs w:val="21"/>
          <w:highlight w:val="none"/>
        </w:rPr>
      </w:pPr>
      <w:bookmarkStart w:id="186" w:name="_Toc114052354"/>
      <w:r>
        <w:rPr>
          <w:rFonts w:ascii="宋体" w:hAnsi="宋体" w:cs="宋体"/>
          <w:szCs w:val="21"/>
          <w:highlight w:val="none"/>
        </w:rPr>
        <w:t xml:space="preserve">11.1 </w:t>
      </w:r>
      <w:r>
        <w:rPr>
          <w:rFonts w:hint="eastAsia" w:ascii="宋体" w:hAnsi="宋体" w:cs="宋体"/>
          <w:szCs w:val="21"/>
          <w:highlight w:val="none"/>
        </w:rPr>
        <w:t>比选申请文件由资格审查部分、技术部分、商务部分三部分组成，详细要求与部分格式详见第三章。</w:t>
      </w:r>
    </w:p>
    <w:p>
      <w:pPr>
        <w:spacing w:line="500" w:lineRule="exact"/>
        <w:ind w:firstLine="420" w:firstLineChars="200"/>
        <w:rPr>
          <w:rFonts w:ascii="宋体" w:cs="宋体"/>
          <w:szCs w:val="21"/>
          <w:highlight w:val="none"/>
        </w:rPr>
      </w:pPr>
      <w:r>
        <w:rPr>
          <w:rFonts w:ascii="宋体" w:hAnsi="宋体" w:cs="宋体"/>
          <w:szCs w:val="21"/>
          <w:highlight w:val="none"/>
        </w:rPr>
        <w:t xml:space="preserve"> 11.2 </w:t>
      </w:r>
      <w:r>
        <w:rPr>
          <w:rFonts w:hint="eastAsia" w:ascii="宋体" w:hAnsi="宋体" w:cs="宋体"/>
          <w:szCs w:val="21"/>
          <w:highlight w:val="none"/>
        </w:rPr>
        <w:t>资格审查部分主要包括下列内容：</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）诚信声明（原件）；</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2</w:t>
      </w:r>
      <w:r>
        <w:rPr>
          <w:rFonts w:hint="eastAsia" w:ascii="宋体" w:hAnsi="宋体" w:cs="宋体"/>
          <w:szCs w:val="21"/>
          <w:highlight w:val="none"/>
        </w:rPr>
        <w:t>）法定代表人资格证明书（原件）；</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3</w:t>
      </w:r>
      <w:r>
        <w:rPr>
          <w:rFonts w:hint="eastAsia" w:ascii="宋体" w:hAnsi="宋体" w:cs="宋体"/>
          <w:szCs w:val="21"/>
          <w:highlight w:val="none"/>
        </w:rPr>
        <w:t>）法定代表人</w:t>
      </w:r>
      <w:r>
        <w:rPr>
          <w:rFonts w:hint="eastAsia" w:ascii="宋体" w:hAnsi="宋体" w:cs="宋体"/>
          <w:szCs w:val="21"/>
          <w:highlight w:val="none"/>
          <w:lang w:eastAsia="zh-CN"/>
        </w:rPr>
        <w:t>（</w:t>
      </w:r>
      <w:r>
        <w:rPr>
          <w:rFonts w:hint="eastAsia" w:ascii="宋体" w:hAnsi="宋体" w:cs="宋体"/>
          <w:szCs w:val="21"/>
          <w:highlight w:val="none"/>
          <w:lang w:val="en-US" w:eastAsia="zh-CN"/>
        </w:rPr>
        <w:t>负责人</w:t>
      </w:r>
      <w:r>
        <w:rPr>
          <w:rFonts w:hint="eastAsia" w:ascii="宋体" w:hAnsi="宋体" w:cs="宋体"/>
          <w:szCs w:val="21"/>
          <w:highlight w:val="none"/>
          <w:lang w:eastAsia="zh-CN"/>
        </w:rPr>
        <w:t>）</w:t>
      </w:r>
      <w:r>
        <w:rPr>
          <w:rFonts w:hint="eastAsia" w:ascii="宋体" w:hAnsi="宋体" w:cs="宋体"/>
          <w:szCs w:val="21"/>
          <w:highlight w:val="none"/>
        </w:rPr>
        <w:t>身份证（复印件加盖单位公章）</w:t>
      </w:r>
      <w:r>
        <w:rPr>
          <w:rFonts w:ascii="宋体" w:hAnsi="宋体" w:cs="宋体"/>
          <w:szCs w:val="21"/>
          <w:highlight w:val="none"/>
        </w:rPr>
        <w:t xml:space="preserve"> </w:t>
      </w:r>
      <w:r>
        <w:rPr>
          <w:rFonts w:hint="eastAsia" w:ascii="宋体" w:hAnsi="宋体" w:cs="宋体"/>
          <w:szCs w:val="21"/>
          <w:highlight w:val="none"/>
        </w:rPr>
        <w:t>；</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4</w:t>
      </w:r>
      <w:r>
        <w:rPr>
          <w:rFonts w:hint="eastAsia" w:ascii="宋体" w:hAnsi="宋体" w:cs="宋体"/>
          <w:szCs w:val="21"/>
          <w:highlight w:val="none"/>
        </w:rPr>
        <w:t>）比选申请文件签署授权委托书（原件）；</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5</w:t>
      </w:r>
      <w:r>
        <w:rPr>
          <w:rFonts w:hint="eastAsia" w:ascii="宋体" w:hAnsi="宋体" w:cs="宋体"/>
          <w:szCs w:val="21"/>
          <w:highlight w:val="none"/>
        </w:rPr>
        <w:t>）授权代表人身份证（复印件加盖单位公章）</w:t>
      </w:r>
      <w:r>
        <w:rPr>
          <w:rFonts w:ascii="宋体" w:hAnsi="宋体" w:cs="宋体"/>
          <w:szCs w:val="21"/>
          <w:highlight w:val="none"/>
        </w:rPr>
        <w:t xml:space="preserve"> </w:t>
      </w:r>
      <w:r>
        <w:rPr>
          <w:rFonts w:hint="eastAsia" w:ascii="宋体" w:hAnsi="宋体" w:cs="宋体"/>
          <w:szCs w:val="21"/>
          <w:highlight w:val="none"/>
        </w:rPr>
        <w:t>；</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6</w:t>
      </w:r>
      <w:r>
        <w:rPr>
          <w:rFonts w:hint="eastAsia" w:ascii="宋体" w:hAnsi="宋体" w:cs="宋体"/>
          <w:szCs w:val="21"/>
          <w:highlight w:val="none"/>
        </w:rPr>
        <w:t>）会计师事务所执业证书复印件（加盖单位公章）；</w:t>
      </w:r>
      <w:r>
        <w:rPr>
          <w:rFonts w:ascii="宋体" w:hAnsi="宋体" w:cs="宋体"/>
          <w:szCs w:val="21"/>
          <w:highlight w:val="none"/>
        </w:rPr>
        <w:t xml:space="preserve"> </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7</w:t>
      </w:r>
      <w:r>
        <w:rPr>
          <w:rFonts w:hint="eastAsia" w:ascii="宋体" w:hAnsi="宋体" w:cs="宋体"/>
          <w:szCs w:val="21"/>
          <w:highlight w:val="none"/>
        </w:rPr>
        <w:t>）</w:t>
      </w:r>
      <w:r>
        <w:rPr>
          <w:rFonts w:hint="eastAsia" w:ascii="宋体" w:hAnsi="宋体" w:cs="宋体"/>
          <w:szCs w:val="21"/>
          <w:highlight w:val="none"/>
          <w:lang w:val="en-US" w:eastAsia="zh-CN"/>
        </w:rPr>
        <w:t>项目负责人具有3年以上工程管理相关方面的审计经验，其他人员中至少有1名具有2年以上工程管理相关方面的审计经验</w:t>
      </w:r>
      <w:r>
        <w:rPr>
          <w:rFonts w:hint="eastAsia" w:ascii="宋体" w:hAnsi="宋体" w:cs="宋体"/>
          <w:szCs w:val="21"/>
          <w:highlight w:val="none"/>
        </w:rPr>
        <w:t>（</w:t>
      </w:r>
      <w:r>
        <w:rPr>
          <w:rFonts w:hint="eastAsia" w:ascii="宋体" w:hAnsi="宋体" w:cs="宋体"/>
          <w:szCs w:val="21"/>
          <w:highlight w:val="none"/>
          <w:lang w:val="en-US" w:eastAsia="zh-CN"/>
        </w:rPr>
        <w:t>审计报告名称内容及签字页复印件</w:t>
      </w:r>
      <w:r>
        <w:rPr>
          <w:rFonts w:hint="eastAsia" w:ascii="宋体" w:hAnsi="宋体" w:cs="宋体"/>
          <w:szCs w:val="21"/>
          <w:highlight w:val="none"/>
        </w:rPr>
        <w:t>加盖单位公章）</w:t>
      </w:r>
      <w:r>
        <w:rPr>
          <w:rFonts w:hint="eastAsia" w:ascii="宋体" w:hAnsi="宋体" w:cs="宋体"/>
          <w:szCs w:val="21"/>
          <w:highlight w:val="none"/>
          <w:lang w:val="en-US" w:eastAsia="zh-CN"/>
        </w:rPr>
        <w:t>；</w:t>
      </w:r>
    </w:p>
    <w:p>
      <w:pPr>
        <w:pStyle w:val="2"/>
        <w:ind w:firstLine="420" w:firstLineChars="200"/>
        <w:rPr>
          <w:rFonts w:hint="default"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（8）其他。</w:t>
      </w:r>
    </w:p>
    <w:bookmarkEnd w:id="186"/>
    <w:p>
      <w:pPr>
        <w:spacing w:line="500" w:lineRule="exact"/>
        <w:ind w:firstLine="525" w:firstLineChars="250"/>
        <w:rPr>
          <w:rFonts w:ascii="宋体" w:cs="宋体"/>
          <w:szCs w:val="21"/>
          <w:highlight w:val="none"/>
        </w:rPr>
      </w:pPr>
      <w:r>
        <w:rPr>
          <w:rFonts w:ascii="宋体" w:hAnsi="宋体" w:cs="宋体"/>
          <w:szCs w:val="21"/>
          <w:highlight w:val="none"/>
        </w:rPr>
        <w:t xml:space="preserve">11.3 </w:t>
      </w:r>
      <w:r>
        <w:rPr>
          <w:rFonts w:hint="eastAsia" w:ascii="宋体" w:hAnsi="宋体" w:cs="宋体"/>
          <w:szCs w:val="21"/>
          <w:highlight w:val="none"/>
        </w:rPr>
        <w:t>技术部分主要包括下列内容：</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）业绩表；</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2</w:t>
      </w:r>
      <w:r>
        <w:rPr>
          <w:rFonts w:hint="eastAsia" w:ascii="宋体" w:hAnsi="宋体" w:cs="宋体"/>
          <w:szCs w:val="21"/>
          <w:highlight w:val="none"/>
        </w:rPr>
        <w:t>）拟投入人员配置明细表；</w:t>
      </w:r>
      <w:r>
        <w:rPr>
          <w:rFonts w:ascii="宋体" w:hAnsi="宋体" w:cs="宋体"/>
          <w:szCs w:val="21"/>
          <w:highlight w:val="none"/>
        </w:rPr>
        <w:t xml:space="preserve"> </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3</w:t>
      </w:r>
      <w:r>
        <w:rPr>
          <w:rFonts w:hint="eastAsia" w:ascii="宋体" w:hAnsi="宋体" w:cs="宋体"/>
          <w:szCs w:val="21"/>
          <w:highlight w:val="none"/>
        </w:rPr>
        <w:t>）拟投入人员的相关工作业绩、资历及能力（由比选申请人自行编写）；</w:t>
      </w:r>
    </w:p>
    <w:p>
      <w:pPr>
        <w:spacing w:line="500" w:lineRule="exact"/>
        <w:ind w:firstLine="420" w:firstLineChars="200"/>
        <w:rPr>
          <w:highlight w:val="none"/>
        </w:rPr>
      </w:pPr>
      <w:r>
        <w:rPr>
          <w:rFonts w:hint="eastAsia" w:ascii="宋体" w:hAnsi="宋体" w:cs="宋体"/>
          <w:szCs w:val="21"/>
          <w:highlight w:val="none"/>
        </w:rPr>
        <w:t>（</w:t>
      </w:r>
      <w:r>
        <w:rPr>
          <w:rFonts w:ascii="宋体" w:hAnsi="宋体" w:cs="宋体"/>
          <w:szCs w:val="21"/>
          <w:highlight w:val="none"/>
        </w:rPr>
        <w:t>4</w:t>
      </w:r>
      <w:r>
        <w:rPr>
          <w:rFonts w:hint="eastAsia" w:ascii="宋体" w:hAnsi="宋体" w:cs="宋体"/>
          <w:szCs w:val="21"/>
          <w:highlight w:val="none"/>
        </w:rPr>
        <w:t>）</w:t>
      </w:r>
      <w:r>
        <w:rPr>
          <w:rFonts w:hint="eastAsia" w:ascii="宋体" w:hAnsi="宋体" w:cs="宋体"/>
          <w:szCs w:val="21"/>
          <w:highlight w:val="none"/>
          <w:lang w:val="en-US" w:eastAsia="zh-CN"/>
        </w:rPr>
        <w:t>拟投入人员中正式员工劳动合同或近3个月社保缴付证明（复印件加盖单位公章）；</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5</w:t>
      </w:r>
      <w:r>
        <w:rPr>
          <w:rFonts w:hint="eastAsia" w:ascii="宋体" w:hAnsi="宋体" w:cs="宋体"/>
          <w:szCs w:val="21"/>
          <w:highlight w:val="none"/>
        </w:rPr>
        <w:t>）服务方案（由比选申请人自行编写）；</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6</w:t>
      </w:r>
      <w:r>
        <w:rPr>
          <w:rFonts w:hint="eastAsia" w:ascii="宋体" w:hAnsi="宋体" w:cs="宋体"/>
          <w:szCs w:val="21"/>
          <w:highlight w:val="none"/>
        </w:rPr>
        <w:t>）其他……。</w:t>
      </w:r>
    </w:p>
    <w:p>
      <w:pPr>
        <w:spacing w:line="500" w:lineRule="exact"/>
        <w:ind w:firstLine="420" w:firstLineChars="200"/>
        <w:rPr>
          <w:rFonts w:ascii="宋体" w:cs="宋体"/>
          <w:szCs w:val="21"/>
          <w:highlight w:val="none"/>
        </w:rPr>
      </w:pPr>
      <w:r>
        <w:rPr>
          <w:rFonts w:ascii="宋体" w:hAnsi="宋体" w:cs="宋体"/>
          <w:szCs w:val="21"/>
          <w:highlight w:val="none"/>
        </w:rPr>
        <w:t xml:space="preserve"> 11.4 </w:t>
      </w:r>
      <w:r>
        <w:rPr>
          <w:rFonts w:hint="eastAsia" w:ascii="宋体" w:hAnsi="宋体" w:cs="宋体"/>
          <w:szCs w:val="21"/>
          <w:highlight w:val="none"/>
        </w:rPr>
        <w:t>商务部分主要包括下列内容：</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）报价表。</w:t>
      </w:r>
    </w:p>
    <w:p>
      <w:pPr>
        <w:spacing w:line="500" w:lineRule="exact"/>
        <w:ind w:firstLine="420" w:firstLineChars="200"/>
        <w:rPr>
          <w:rFonts w:ascii="宋体" w:cs="宋体"/>
          <w:szCs w:val="21"/>
          <w:highlight w:val="none"/>
        </w:rPr>
      </w:pPr>
      <w:r>
        <w:rPr>
          <w:rFonts w:ascii="宋体" w:hAnsi="宋体" w:cs="宋体"/>
          <w:szCs w:val="21"/>
          <w:highlight w:val="none"/>
        </w:rPr>
        <w:t xml:space="preserve"> 11.5 </w:t>
      </w:r>
      <w:r>
        <w:rPr>
          <w:rFonts w:hint="eastAsia" w:ascii="宋体" w:hAnsi="宋体" w:cs="宋体"/>
          <w:szCs w:val="21"/>
          <w:highlight w:val="none"/>
        </w:rPr>
        <w:t>比选申请人需按照比选人提供的比选申请文件格式和顺序另行编制比选申请文件，但表格可以按同样格式扩展。</w:t>
      </w:r>
    </w:p>
    <w:p>
      <w:pPr>
        <w:spacing w:line="500" w:lineRule="exact"/>
        <w:ind w:firstLine="422" w:firstLineChars="200"/>
        <w:rPr>
          <w:rFonts w:ascii="宋体" w:cs="宋体"/>
          <w:b/>
          <w:szCs w:val="21"/>
          <w:highlight w:val="none"/>
        </w:rPr>
      </w:pPr>
      <w:r>
        <w:rPr>
          <w:rFonts w:ascii="宋体" w:hAnsi="宋体" w:cs="宋体"/>
          <w:b/>
          <w:szCs w:val="21"/>
          <w:highlight w:val="none"/>
        </w:rPr>
        <w:t xml:space="preserve"> 12.</w:t>
      </w:r>
      <w:bookmarkStart w:id="187" w:name="_Toc286386847"/>
      <w:bookmarkStart w:id="188" w:name="_Toc310318585"/>
      <w:bookmarkStart w:id="189" w:name="_Toc114052363"/>
      <w:bookmarkStart w:id="190" w:name="_Toc114052427"/>
      <w:r>
        <w:rPr>
          <w:rFonts w:hint="eastAsia" w:ascii="宋体" w:hAnsi="宋体" w:cs="宋体"/>
          <w:b/>
          <w:szCs w:val="21"/>
          <w:highlight w:val="none"/>
        </w:rPr>
        <w:t>比选有效期</w:t>
      </w:r>
      <w:bookmarkEnd w:id="187"/>
      <w:bookmarkEnd w:id="188"/>
      <w:bookmarkEnd w:id="189"/>
      <w:bookmarkEnd w:id="190"/>
    </w:p>
    <w:p>
      <w:pPr>
        <w:spacing w:line="500" w:lineRule="exact"/>
        <w:ind w:firstLine="420" w:firstLineChars="200"/>
        <w:rPr>
          <w:rFonts w:ascii="宋体" w:cs="宋体"/>
          <w:szCs w:val="21"/>
          <w:highlight w:val="none"/>
        </w:rPr>
      </w:pPr>
      <w:r>
        <w:rPr>
          <w:rFonts w:ascii="宋体" w:hAnsi="宋体" w:cs="宋体"/>
          <w:szCs w:val="21"/>
          <w:highlight w:val="none"/>
        </w:rPr>
        <w:t xml:space="preserve"> 12.1 </w:t>
      </w:r>
      <w:r>
        <w:rPr>
          <w:rFonts w:hint="eastAsia" w:ascii="宋体" w:hAnsi="宋体" w:cs="宋体"/>
          <w:szCs w:val="21"/>
          <w:highlight w:val="none"/>
        </w:rPr>
        <w:t>比选申请文件在前附表第</w:t>
      </w:r>
      <w:r>
        <w:rPr>
          <w:rFonts w:ascii="宋体" w:hAnsi="宋体" w:cs="宋体"/>
          <w:szCs w:val="21"/>
          <w:highlight w:val="none"/>
        </w:rPr>
        <w:t>11</w:t>
      </w:r>
      <w:r>
        <w:rPr>
          <w:rFonts w:hint="eastAsia" w:ascii="宋体" w:hAnsi="宋体" w:cs="宋体"/>
          <w:szCs w:val="21"/>
          <w:highlight w:val="none"/>
        </w:rPr>
        <w:t>条规定的递交比选申请文件日期之后的</w:t>
      </w:r>
      <w:r>
        <w:rPr>
          <w:rFonts w:ascii="宋体" w:hAnsi="宋体" w:cs="宋体"/>
          <w:szCs w:val="21"/>
          <w:highlight w:val="none"/>
        </w:rPr>
        <w:t>90</w:t>
      </w:r>
      <w:r>
        <w:rPr>
          <w:rFonts w:hint="eastAsia" w:ascii="宋体" w:hAnsi="宋体" w:cs="宋体"/>
          <w:szCs w:val="21"/>
          <w:highlight w:val="none"/>
        </w:rPr>
        <w:t>天内有效。</w:t>
      </w:r>
    </w:p>
    <w:p>
      <w:pPr>
        <w:spacing w:line="500" w:lineRule="exact"/>
        <w:ind w:firstLine="422" w:firstLineChars="200"/>
        <w:rPr>
          <w:rFonts w:ascii="宋体" w:cs="宋体"/>
          <w:b/>
          <w:szCs w:val="21"/>
          <w:highlight w:val="none"/>
        </w:rPr>
      </w:pPr>
      <w:r>
        <w:rPr>
          <w:rFonts w:ascii="宋体" w:hAnsi="宋体" w:cs="宋体"/>
          <w:b/>
          <w:szCs w:val="21"/>
          <w:highlight w:val="none"/>
        </w:rPr>
        <w:t>13.</w:t>
      </w:r>
      <w:r>
        <w:rPr>
          <w:rFonts w:hint="eastAsia" w:ascii="宋体" w:hAnsi="宋体" w:cs="宋体"/>
          <w:b/>
          <w:szCs w:val="21"/>
          <w:highlight w:val="none"/>
        </w:rPr>
        <w:t>比选保证金</w:t>
      </w:r>
    </w:p>
    <w:p>
      <w:pPr>
        <w:spacing w:line="500" w:lineRule="exact"/>
        <w:ind w:firstLine="420" w:firstLineChars="200"/>
        <w:rPr>
          <w:rFonts w:ascii="宋体" w:cs="宋体"/>
          <w:szCs w:val="21"/>
          <w:highlight w:val="none"/>
        </w:rPr>
      </w:pPr>
      <w:r>
        <w:rPr>
          <w:rFonts w:ascii="宋体" w:hAnsi="宋体" w:cs="宋体"/>
          <w:szCs w:val="21"/>
          <w:highlight w:val="none"/>
        </w:rPr>
        <w:t xml:space="preserve">13.1 </w:t>
      </w:r>
      <w:r>
        <w:rPr>
          <w:rFonts w:hint="eastAsia" w:ascii="宋体" w:hAnsi="宋体" w:cs="宋体"/>
          <w:szCs w:val="21"/>
          <w:highlight w:val="none"/>
        </w:rPr>
        <w:t>本项目不设比选保证金。</w:t>
      </w:r>
    </w:p>
    <w:p>
      <w:pPr>
        <w:spacing w:line="500" w:lineRule="exact"/>
        <w:ind w:firstLine="422" w:firstLineChars="200"/>
        <w:rPr>
          <w:rFonts w:ascii="宋体" w:cs="宋体"/>
          <w:b/>
          <w:szCs w:val="21"/>
          <w:highlight w:val="none"/>
        </w:rPr>
      </w:pPr>
      <w:r>
        <w:rPr>
          <w:rFonts w:ascii="宋体" w:hAnsi="宋体" w:cs="宋体"/>
          <w:b/>
          <w:szCs w:val="21"/>
          <w:highlight w:val="none"/>
        </w:rPr>
        <w:t>14.</w:t>
      </w:r>
      <w:bookmarkStart w:id="191" w:name="_Toc310318587"/>
      <w:bookmarkStart w:id="192" w:name="_Toc286386849"/>
      <w:bookmarkStart w:id="193" w:name="_Toc114052365"/>
      <w:bookmarkStart w:id="194" w:name="_Toc114052429"/>
      <w:r>
        <w:rPr>
          <w:rFonts w:hint="eastAsia" w:ascii="宋体" w:hAnsi="宋体" w:cs="宋体"/>
          <w:b/>
          <w:szCs w:val="21"/>
          <w:highlight w:val="none"/>
        </w:rPr>
        <w:t>比选答疑</w:t>
      </w:r>
      <w:bookmarkEnd w:id="191"/>
      <w:bookmarkEnd w:id="192"/>
      <w:bookmarkEnd w:id="193"/>
      <w:bookmarkEnd w:id="194"/>
    </w:p>
    <w:p>
      <w:pPr>
        <w:spacing w:line="500" w:lineRule="exact"/>
        <w:ind w:firstLine="420" w:firstLineChars="200"/>
        <w:rPr>
          <w:rFonts w:ascii="宋体" w:cs="宋体"/>
          <w:szCs w:val="21"/>
          <w:highlight w:val="none"/>
        </w:rPr>
      </w:pPr>
      <w:r>
        <w:rPr>
          <w:rFonts w:ascii="宋体" w:hAnsi="宋体" w:cs="宋体"/>
          <w:szCs w:val="21"/>
          <w:highlight w:val="none"/>
        </w:rPr>
        <w:t xml:space="preserve">14.1 </w:t>
      </w:r>
      <w:r>
        <w:rPr>
          <w:rFonts w:hint="eastAsia" w:ascii="宋体" w:hAnsi="宋体" w:cs="宋体"/>
          <w:szCs w:val="21"/>
          <w:highlight w:val="none"/>
        </w:rPr>
        <w:t>比选申请人提出的与比选有关的任何问题均应在递交文件截止时间</w:t>
      </w:r>
      <w:r>
        <w:rPr>
          <w:rFonts w:ascii="宋体" w:hAnsi="宋体" w:cs="宋体"/>
          <w:szCs w:val="21"/>
          <w:highlight w:val="none"/>
        </w:rPr>
        <w:t>3</w:t>
      </w:r>
      <w:r>
        <w:rPr>
          <w:rFonts w:hint="eastAsia" w:ascii="宋体" w:hAnsi="宋体" w:cs="宋体"/>
          <w:szCs w:val="21"/>
          <w:highlight w:val="none"/>
        </w:rPr>
        <w:t>个工作日前的正常工作时间内，用当面递交或传真书面通知比选人，其他方式为无效。比选人将以书面形式通过“比选补遗文件”的形式予以答复。</w:t>
      </w:r>
    </w:p>
    <w:p>
      <w:pPr>
        <w:spacing w:line="500" w:lineRule="exact"/>
        <w:ind w:firstLine="420" w:firstLineChars="200"/>
        <w:rPr>
          <w:rFonts w:ascii="宋体" w:cs="宋体"/>
          <w:szCs w:val="21"/>
          <w:highlight w:val="none"/>
        </w:rPr>
      </w:pPr>
      <w:r>
        <w:rPr>
          <w:rFonts w:ascii="宋体" w:hAnsi="宋体" w:cs="宋体"/>
          <w:szCs w:val="21"/>
          <w:highlight w:val="none"/>
        </w:rPr>
        <w:t xml:space="preserve">14.2 </w:t>
      </w:r>
      <w:r>
        <w:rPr>
          <w:rFonts w:hint="eastAsia" w:ascii="宋体" w:hAnsi="宋体" w:cs="宋体"/>
          <w:szCs w:val="21"/>
          <w:highlight w:val="none"/>
        </w:rPr>
        <w:t>比选补遗文件包括所有问题和答复，比选人将于递交文件截止时间</w:t>
      </w:r>
      <w:r>
        <w:rPr>
          <w:rFonts w:ascii="宋体" w:hAnsi="宋体" w:cs="宋体"/>
          <w:szCs w:val="21"/>
          <w:highlight w:val="none"/>
        </w:rPr>
        <w:t>2</w:t>
      </w:r>
      <w:r>
        <w:rPr>
          <w:rFonts w:hint="eastAsia" w:ascii="宋体" w:hAnsi="宋体" w:cs="宋体"/>
          <w:szCs w:val="21"/>
          <w:highlight w:val="none"/>
        </w:rPr>
        <w:t>天前以书面形式，在比选人官网发布，予以答复。</w:t>
      </w:r>
    </w:p>
    <w:p>
      <w:pPr>
        <w:spacing w:line="500" w:lineRule="exact"/>
        <w:ind w:firstLine="422" w:firstLineChars="200"/>
        <w:rPr>
          <w:rFonts w:ascii="宋体" w:cs="宋体"/>
          <w:b/>
          <w:szCs w:val="21"/>
          <w:highlight w:val="none"/>
        </w:rPr>
      </w:pPr>
      <w:r>
        <w:rPr>
          <w:rFonts w:ascii="宋体" w:hAnsi="宋体" w:cs="宋体"/>
          <w:b/>
          <w:szCs w:val="21"/>
          <w:highlight w:val="none"/>
        </w:rPr>
        <w:t>15.</w:t>
      </w:r>
      <w:bookmarkStart w:id="195" w:name="_Toc310318588"/>
      <w:bookmarkStart w:id="196" w:name="_Toc286386850"/>
      <w:bookmarkStart w:id="197" w:name="_Toc114052366"/>
      <w:bookmarkStart w:id="198" w:name="_Toc114052430"/>
      <w:r>
        <w:rPr>
          <w:rFonts w:hint="eastAsia" w:ascii="宋体" w:hAnsi="宋体" w:cs="宋体"/>
          <w:b/>
          <w:szCs w:val="21"/>
          <w:highlight w:val="none"/>
        </w:rPr>
        <w:t>比选申请文件的份数</w:t>
      </w:r>
      <w:bookmarkEnd w:id="195"/>
      <w:bookmarkEnd w:id="196"/>
      <w:bookmarkEnd w:id="197"/>
      <w:bookmarkEnd w:id="198"/>
      <w:r>
        <w:rPr>
          <w:rFonts w:hint="eastAsia" w:ascii="宋体" w:hAnsi="宋体" w:cs="宋体"/>
          <w:b/>
          <w:szCs w:val="21"/>
          <w:highlight w:val="none"/>
        </w:rPr>
        <w:t>和签署</w:t>
      </w:r>
    </w:p>
    <w:p>
      <w:pPr>
        <w:spacing w:line="500" w:lineRule="exact"/>
        <w:ind w:firstLine="420" w:firstLineChars="200"/>
        <w:rPr>
          <w:rFonts w:ascii="宋体" w:cs="宋体"/>
          <w:szCs w:val="21"/>
          <w:highlight w:val="none"/>
        </w:rPr>
      </w:pPr>
      <w:r>
        <w:rPr>
          <w:rFonts w:ascii="宋体" w:hAnsi="宋体" w:cs="宋体"/>
          <w:szCs w:val="21"/>
          <w:highlight w:val="none"/>
        </w:rPr>
        <w:t xml:space="preserve">15.1 </w:t>
      </w:r>
      <w:r>
        <w:rPr>
          <w:rFonts w:hint="eastAsia" w:ascii="宋体" w:hAnsi="宋体" w:cs="宋体"/>
          <w:szCs w:val="21"/>
          <w:highlight w:val="none"/>
        </w:rPr>
        <w:t>比选申请人按比选文件规定，编制一份比选申请文件“正本”和前附表第</w:t>
      </w:r>
      <w:r>
        <w:rPr>
          <w:rFonts w:ascii="宋体" w:hAnsi="宋体" w:cs="宋体"/>
          <w:szCs w:val="21"/>
          <w:highlight w:val="none"/>
        </w:rPr>
        <w:t>12</w:t>
      </w:r>
      <w:r>
        <w:rPr>
          <w:rFonts w:hint="eastAsia" w:ascii="宋体" w:hAnsi="宋体" w:cs="宋体"/>
          <w:szCs w:val="21"/>
          <w:highlight w:val="none"/>
        </w:rPr>
        <w:t>项所述份数的“副本”，并标明“比选申请文件正本”和“比选申请文件副本”。比选申请文件正本和副本如有不一致之处，以正本为准。</w:t>
      </w:r>
    </w:p>
    <w:p>
      <w:pPr>
        <w:spacing w:line="500" w:lineRule="exact"/>
        <w:ind w:firstLine="420" w:firstLineChars="200"/>
        <w:rPr>
          <w:rFonts w:ascii="宋体" w:cs="宋体"/>
          <w:szCs w:val="21"/>
          <w:highlight w:val="none"/>
        </w:rPr>
      </w:pPr>
      <w:r>
        <w:rPr>
          <w:rFonts w:ascii="宋体" w:hAnsi="宋体" w:cs="宋体"/>
          <w:szCs w:val="21"/>
          <w:highlight w:val="none"/>
        </w:rPr>
        <w:t xml:space="preserve">15.2 </w:t>
      </w:r>
      <w:r>
        <w:rPr>
          <w:rFonts w:hint="eastAsia" w:ascii="宋体" w:hAnsi="宋体" w:cs="宋体"/>
          <w:szCs w:val="21"/>
          <w:highlight w:val="none"/>
        </w:rPr>
        <w:t>比选申请文件正本与副本均应使用不能擦去的黑色墨水打印或书写，装订成册，由比选申请人法定代表人或授权委托代理人亲自签署或加盖印鉴，并加盖比选申请人单位公章。</w:t>
      </w:r>
    </w:p>
    <w:p>
      <w:pPr>
        <w:spacing w:line="500" w:lineRule="exact"/>
        <w:ind w:firstLine="420" w:firstLineChars="200"/>
        <w:rPr>
          <w:rFonts w:ascii="宋体" w:cs="宋体"/>
          <w:szCs w:val="21"/>
          <w:highlight w:val="none"/>
        </w:rPr>
      </w:pPr>
      <w:r>
        <w:rPr>
          <w:rFonts w:ascii="宋体" w:hAnsi="宋体" w:cs="宋体"/>
          <w:szCs w:val="21"/>
          <w:highlight w:val="none"/>
        </w:rPr>
        <w:t xml:space="preserve">15.3 </w:t>
      </w:r>
      <w:r>
        <w:rPr>
          <w:rFonts w:hint="eastAsia" w:ascii="宋体" w:hAnsi="宋体" w:cs="宋体"/>
          <w:szCs w:val="21"/>
          <w:highlight w:val="none"/>
        </w:rPr>
        <w:t>全套比选申请文件应无涂改和行间插字，除非这些删改是根据比选人指示进行的；或者是比选申请人造成的必须修改的错误，但修改处应由比选申请文件签字人签字证明，否则修改无效。</w:t>
      </w:r>
    </w:p>
    <w:p>
      <w:pPr>
        <w:pStyle w:val="4"/>
        <w:spacing w:beforeLines="50" w:afterLines="50" w:line="500" w:lineRule="exact"/>
        <w:jc w:val="center"/>
        <w:rPr>
          <w:b/>
          <w:sz w:val="21"/>
          <w:szCs w:val="21"/>
          <w:highlight w:val="none"/>
        </w:rPr>
      </w:pPr>
      <w:bookmarkStart w:id="199" w:name="_Toc28652"/>
      <w:bookmarkStart w:id="200" w:name="_Toc19276"/>
      <w:bookmarkStart w:id="201" w:name="_Toc31804"/>
      <w:bookmarkStart w:id="202" w:name="_Toc14726"/>
      <w:bookmarkStart w:id="203" w:name="_Toc27875"/>
      <w:bookmarkStart w:id="204" w:name="_Toc4540"/>
      <w:bookmarkStart w:id="205" w:name="_Toc11391"/>
      <w:bookmarkStart w:id="206" w:name="_Toc25460"/>
      <w:bookmarkStart w:id="207" w:name="_Toc17030"/>
      <w:bookmarkStart w:id="208" w:name="_Toc16937"/>
      <w:bookmarkStart w:id="209" w:name="_Toc28307"/>
      <w:bookmarkStart w:id="210" w:name="_Toc7811"/>
      <w:bookmarkStart w:id="211" w:name="_Toc23604"/>
      <w:bookmarkStart w:id="212" w:name="_Toc23101"/>
      <w:bookmarkStart w:id="213" w:name="_Toc8725"/>
      <w:bookmarkStart w:id="214" w:name="_Toc461525301"/>
      <w:bookmarkStart w:id="215" w:name="_Toc2153"/>
      <w:bookmarkStart w:id="216" w:name="_Toc15955"/>
      <w:bookmarkStart w:id="217" w:name="_Toc471482365"/>
      <w:bookmarkStart w:id="218" w:name="_Toc15430"/>
      <w:bookmarkStart w:id="219" w:name="_Toc32046"/>
      <w:bookmarkStart w:id="220" w:name="_Toc5900"/>
      <w:r>
        <w:rPr>
          <w:rFonts w:hint="eastAsia"/>
          <w:b/>
          <w:sz w:val="21"/>
          <w:szCs w:val="21"/>
          <w:highlight w:val="none"/>
        </w:rPr>
        <w:t>五、比选申请文件的递交</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spacing w:line="500" w:lineRule="exact"/>
        <w:ind w:firstLine="422" w:firstLineChars="200"/>
        <w:rPr>
          <w:rFonts w:ascii="宋体" w:cs="宋体"/>
          <w:b/>
          <w:szCs w:val="21"/>
          <w:highlight w:val="none"/>
        </w:rPr>
      </w:pPr>
      <w:r>
        <w:rPr>
          <w:rFonts w:ascii="宋体" w:hAnsi="宋体" w:cs="宋体"/>
          <w:b/>
          <w:szCs w:val="21"/>
          <w:highlight w:val="none"/>
        </w:rPr>
        <w:t>16.</w:t>
      </w:r>
      <w:r>
        <w:rPr>
          <w:rFonts w:hint="eastAsia" w:ascii="宋体" w:hAnsi="宋体" w:cs="宋体"/>
          <w:b/>
          <w:szCs w:val="21"/>
          <w:highlight w:val="none"/>
        </w:rPr>
        <w:t>比选申请文件的密封与标志</w:t>
      </w:r>
    </w:p>
    <w:p>
      <w:pPr>
        <w:spacing w:line="500" w:lineRule="exact"/>
        <w:ind w:firstLine="420" w:firstLineChars="200"/>
        <w:rPr>
          <w:rFonts w:ascii="宋体" w:cs="宋体"/>
          <w:szCs w:val="21"/>
          <w:highlight w:val="none"/>
        </w:rPr>
      </w:pPr>
      <w:r>
        <w:rPr>
          <w:rFonts w:ascii="宋体" w:hAnsi="宋体" w:cs="宋体"/>
          <w:szCs w:val="21"/>
          <w:highlight w:val="none"/>
        </w:rPr>
        <w:t xml:space="preserve">16.1 </w:t>
      </w:r>
      <w:r>
        <w:rPr>
          <w:rFonts w:hint="eastAsia" w:ascii="宋体" w:hAnsi="宋体" w:cs="宋体"/>
          <w:szCs w:val="21"/>
          <w:highlight w:val="none"/>
        </w:rPr>
        <w:t>比选申请文件装订要求：比选由申请文件由资格审查部分、技术部分、商务部分合并装订。</w:t>
      </w:r>
    </w:p>
    <w:p>
      <w:pPr>
        <w:spacing w:line="500" w:lineRule="exact"/>
        <w:ind w:firstLine="420" w:firstLineChars="200"/>
        <w:rPr>
          <w:rFonts w:ascii="宋体" w:cs="宋体"/>
          <w:szCs w:val="21"/>
          <w:highlight w:val="none"/>
        </w:rPr>
      </w:pPr>
      <w:r>
        <w:rPr>
          <w:rFonts w:ascii="宋体" w:hAnsi="宋体" w:cs="宋体"/>
          <w:szCs w:val="21"/>
          <w:highlight w:val="none"/>
        </w:rPr>
        <w:t xml:space="preserve">16.2 </w:t>
      </w:r>
      <w:r>
        <w:rPr>
          <w:rFonts w:hint="eastAsia" w:ascii="宋体" w:hAnsi="宋体" w:cs="宋体"/>
          <w:szCs w:val="21"/>
          <w:highlight w:val="none"/>
        </w:rPr>
        <w:t>比选申请文件的资格审查部分、技术部分、商务部分合并装订成册，并分正、副本，其中正本一册，副本四册，</w:t>
      </w:r>
      <w:r>
        <w:rPr>
          <w:rFonts w:ascii="宋体" w:hAnsi="宋体" w:cs="宋体"/>
          <w:szCs w:val="21"/>
          <w:highlight w:val="none"/>
        </w:rPr>
        <w:t>U</w:t>
      </w:r>
      <w:r>
        <w:rPr>
          <w:rFonts w:hint="eastAsia" w:ascii="宋体" w:hAnsi="宋体" w:cs="宋体"/>
          <w:szCs w:val="21"/>
          <w:highlight w:val="none"/>
        </w:rPr>
        <w:t>盘电子版一份（内存</w:t>
      </w:r>
      <w:r>
        <w:rPr>
          <w:rFonts w:ascii="宋体" w:hAnsi="宋体" w:cs="宋体"/>
          <w:szCs w:val="21"/>
          <w:highlight w:val="none"/>
        </w:rPr>
        <w:t>office</w:t>
      </w:r>
      <w:r>
        <w:rPr>
          <w:rFonts w:hint="eastAsia" w:ascii="宋体" w:hAnsi="宋体" w:cs="宋体"/>
          <w:szCs w:val="21"/>
          <w:highlight w:val="none"/>
        </w:rPr>
        <w:t>或</w:t>
      </w:r>
      <w:r>
        <w:rPr>
          <w:rFonts w:ascii="宋体" w:hAnsi="宋体" w:cs="宋体"/>
          <w:szCs w:val="21"/>
          <w:highlight w:val="none"/>
        </w:rPr>
        <w:t>WPS</w:t>
      </w:r>
      <w:r>
        <w:rPr>
          <w:rFonts w:hint="eastAsia" w:ascii="宋体" w:hAnsi="宋体" w:cs="宋体"/>
          <w:szCs w:val="21"/>
          <w:highlight w:val="none"/>
        </w:rPr>
        <w:t>版本），密封在一个比选文件密封袋中。</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16.3 </w:t>
      </w:r>
      <w:r>
        <w:rPr>
          <w:rFonts w:hint="eastAsia" w:ascii="宋体" w:hAnsi="宋体" w:cs="宋体"/>
          <w:szCs w:val="21"/>
          <w:highlight w:val="none"/>
        </w:rPr>
        <w:t>密封袋封口处都应加盖比选申请人法人单位公章或粘贴加盖法人单位公章的密封条，若密封袋没有加盖法人单位公章或破损严重，有可能导致比选人的拒收。</w:t>
      </w:r>
    </w:p>
    <w:p>
      <w:pPr>
        <w:spacing w:line="500" w:lineRule="exact"/>
        <w:ind w:firstLine="422" w:firstLineChars="200"/>
        <w:rPr>
          <w:rFonts w:ascii="宋体" w:cs="宋体"/>
          <w:b/>
          <w:szCs w:val="21"/>
          <w:highlight w:val="none"/>
        </w:rPr>
      </w:pPr>
      <w:r>
        <w:rPr>
          <w:rFonts w:ascii="宋体" w:hAnsi="宋体" w:cs="宋体"/>
          <w:b/>
          <w:szCs w:val="21"/>
          <w:highlight w:val="none"/>
        </w:rPr>
        <w:t>17.</w:t>
      </w:r>
      <w:r>
        <w:rPr>
          <w:rFonts w:hint="eastAsia" w:ascii="宋体" w:hAnsi="宋体" w:cs="宋体"/>
          <w:b/>
          <w:szCs w:val="21"/>
          <w:highlight w:val="none"/>
        </w:rPr>
        <w:t>递交比选文件截止期</w:t>
      </w:r>
    </w:p>
    <w:p>
      <w:pPr>
        <w:spacing w:line="500" w:lineRule="exact"/>
        <w:ind w:firstLine="420" w:firstLineChars="200"/>
        <w:rPr>
          <w:rFonts w:ascii="宋体" w:cs="宋体"/>
          <w:szCs w:val="21"/>
          <w:highlight w:val="none"/>
        </w:rPr>
      </w:pPr>
      <w:r>
        <w:rPr>
          <w:rFonts w:ascii="宋体" w:hAnsi="宋体" w:cs="宋体"/>
          <w:szCs w:val="21"/>
          <w:highlight w:val="none"/>
        </w:rPr>
        <w:t xml:space="preserve">17.1 </w:t>
      </w:r>
      <w:r>
        <w:rPr>
          <w:rFonts w:hint="eastAsia" w:ascii="宋体" w:hAnsi="宋体" w:cs="宋体"/>
          <w:szCs w:val="21"/>
          <w:highlight w:val="none"/>
        </w:rPr>
        <w:t>比选申请人应在前附表第</w:t>
      </w:r>
      <w:r>
        <w:rPr>
          <w:rFonts w:ascii="宋体" w:hAnsi="宋体" w:cs="宋体"/>
          <w:szCs w:val="21"/>
          <w:highlight w:val="none"/>
        </w:rPr>
        <w:t>14</w:t>
      </w:r>
      <w:r>
        <w:rPr>
          <w:rFonts w:hint="eastAsia" w:ascii="宋体" w:hAnsi="宋体" w:cs="宋体"/>
          <w:szCs w:val="21"/>
          <w:highlight w:val="none"/>
        </w:rPr>
        <w:t>项所述规定的时间，将比选申请文件递交至前附表第</w:t>
      </w:r>
      <w:r>
        <w:rPr>
          <w:rFonts w:ascii="宋体" w:hAnsi="宋体" w:cs="宋体"/>
          <w:szCs w:val="21"/>
          <w:highlight w:val="none"/>
        </w:rPr>
        <w:t>13</w:t>
      </w:r>
      <w:r>
        <w:rPr>
          <w:rFonts w:hint="eastAsia" w:ascii="宋体" w:hAnsi="宋体" w:cs="宋体"/>
          <w:szCs w:val="21"/>
          <w:highlight w:val="none"/>
        </w:rPr>
        <w:t>项所述的单位和地址。</w:t>
      </w:r>
      <w:bookmarkStart w:id="221" w:name="_Toc6376"/>
      <w:bookmarkStart w:id="222" w:name="_Toc29047"/>
      <w:bookmarkStart w:id="223" w:name="_Toc30232"/>
      <w:bookmarkStart w:id="224" w:name="_Toc32687"/>
      <w:bookmarkStart w:id="225" w:name="_Toc31139"/>
      <w:bookmarkStart w:id="226" w:name="_Toc22118"/>
      <w:bookmarkStart w:id="227" w:name="_Toc1057"/>
      <w:bookmarkStart w:id="228" w:name="_Toc27095"/>
      <w:bookmarkStart w:id="229" w:name="_Toc17217"/>
      <w:bookmarkStart w:id="230" w:name="_Toc471482366"/>
      <w:bookmarkStart w:id="231" w:name="_Toc20356"/>
      <w:bookmarkStart w:id="232" w:name="_Toc461525302"/>
      <w:bookmarkStart w:id="233" w:name="_Toc20601"/>
      <w:bookmarkStart w:id="234" w:name="_Toc31034"/>
    </w:p>
    <w:p>
      <w:pPr>
        <w:spacing w:line="500" w:lineRule="exact"/>
        <w:ind w:firstLine="420" w:firstLineChars="200"/>
        <w:rPr>
          <w:rFonts w:ascii="宋体"/>
          <w:szCs w:val="21"/>
          <w:highlight w:val="none"/>
        </w:rPr>
      </w:pPr>
      <w:r>
        <w:rPr>
          <w:rFonts w:ascii="宋体" w:hAnsi="宋体" w:cs="宋体"/>
          <w:szCs w:val="21"/>
          <w:highlight w:val="none"/>
        </w:rPr>
        <w:t>1</w:t>
      </w:r>
      <w:r>
        <w:rPr>
          <w:rFonts w:ascii="宋体" w:hAnsi="宋体"/>
          <w:szCs w:val="21"/>
          <w:highlight w:val="none"/>
        </w:rPr>
        <w:t xml:space="preserve">7.2 </w:t>
      </w:r>
      <w:r>
        <w:rPr>
          <w:rFonts w:hint="eastAsia" w:ascii="宋体" w:hAnsi="宋体"/>
          <w:szCs w:val="21"/>
          <w:highlight w:val="none"/>
        </w:rPr>
        <w:t>比选发起人可以以补充通知方式，酌情延长递交比选申请文件的截止日期。在上述情况下，比选发起人与比选申请人在比选截止日期以前拥有的全部权力、责任和义务，将适用于延长后新的递交文件截止日期。</w:t>
      </w:r>
    </w:p>
    <w:p>
      <w:pPr>
        <w:spacing w:line="500" w:lineRule="exact"/>
        <w:ind w:firstLine="420" w:firstLineChars="200"/>
        <w:rPr>
          <w:szCs w:val="21"/>
          <w:highlight w:val="none"/>
        </w:rPr>
      </w:pPr>
      <w:r>
        <w:rPr>
          <w:rFonts w:ascii="宋体" w:hAnsi="宋体"/>
          <w:szCs w:val="21"/>
          <w:highlight w:val="none"/>
        </w:rPr>
        <w:t xml:space="preserve">17.3 </w:t>
      </w:r>
      <w:r>
        <w:rPr>
          <w:rFonts w:hint="eastAsia" w:ascii="宋体" w:hAnsi="宋体"/>
          <w:szCs w:val="21"/>
          <w:highlight w:val="none"/>
        </w:rPr>
        <w:t>凡没有以补</w:t>
      </w:r>
      <w:r>
        <w:rPr>
          <w:rFonts w:hint="eastAsia"/>
          <w:szCs w:val="21"/>
          <w:highlight w:val="none"/>
        </w:rPr>
        <w:t>充方式获得酌情延长递交文件截止日期的比选申请人，比选发起人将拒收在递交文件截止日期以后送到的比选申请文件。</w:t>
      </w:r>
    </w:p>
    <w:p>
      <w:pPr>
        <w:pStyle w:val="4"/>
        <w:spacing w:beforeLines="50" w:afterLines="50" w:line="500" w:lineRule="exact"/>
        <w:jc w:val="center"/>
        <w:rPr>
          <w:b/>
          <w:sz w:val="21"/>
          <w:szCs w:val="21"/>
          <w:highlight w:val="none"/>
        </w:rPr>
      </w:pPr>
      <w:bookmarkStart w:id="235" w:name="_Toc16157"/>
      <w:bookmarkStart w:id="236" w:name="_Toc24817"/>
      <w:bookmarkStart w:id="237" w:name="_Toc19136"/>
      <w:bookmarkStart w:id="238" w:name="_Toc26873"/>
      <w:bookmarkStart w:id="239" w:name="_Toc13760"/>
      <w:bookmarkStart w:id="240" w:name="_Toc31410"/>
      <w:bookmarkStart w:id="241" w:name="_Toc5184"/>
      <w:bookmarkStart w:id="242" w:name="_Toc26025"/>
      <w:r>
        <w:rPr>
          <w:rFonts w:hint="eastAsia"/>
          <w:b/>
          <w:sz w:val="21"/>
          <w:szCs w:val="21"/>
          <w:highlight w:val="none"/>
        </w:rPr>
        <w:t>六、</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Fonts w:hint="eastAsia"/>
          <w:b/>
          <w:sz w:val="21"/>
          <w:szCs w:val="21"/>
          <w:highlight w:val="none"/>
        </w:rPr>
        <w:t>评审</w:t>
      </w:r>
      <w:bookmarkEnd w:id="235"/>
      <w:bookmarkEnd w:id="236"/>
      <w:bookmarkEnd w:id="237"/>
      <w:bookmarkEnd w:id="238"/>
      <w:bookmarkEnd w:id="239"/>
      <w:bookmarkEnd w:id="240"/>
      <w:bookmarkEnd w:id="241"/>
      <w:bookmarkEnd w:id="242"/>
    </w:p>
    <w:p>
      <w:pPr>
        <w:tabs>
          <w:tab w:val="left" w:pos="8610"/>
        </w:tabs>
        <w:spacing w:line="500" w:lineRule="exact"/>
        <w:ind w:firstLine="422" w:firstLineChars="200"/>
        <w:rPr>
          <w:rFonts w:ascii="宋体" w:cs="宋体"/>
          <w:b/>
          <w:szCs w:val="21"/>
          <w:highlight w:val="none"/>
        </w:rPr>
      </w:pPr>
      <w:bookmarkStart w:id="243" w:name="_Toc436771484"/>
      <w:bookmarkStart w:id="244" w:name="_Toc535961531"/>
      <w:r>
        <w:rPr>
          <w:rFonts w:ascii="宋体" w:hAnsi="宋体" w:cs="宋体"/>
          <w:b/>
          <w:szCs w:val="21"/>
          <w:highlight w:val="none"/>
        </w:rPr>
        <w:t>18.</w:t>
      </w:r>
      <w:r>
        <w:rPr>
          <w:rFonts w:hint="eastAsia" w:ascii="宋体" w:hAnsi="宋体" w:cs="宋体"/>
          <w:b/>
          <w:szCs w:val="21"/>
          <w:highlight w:val="none"/>
        </w:rPr>
        <w:t>评审</w:t>
      </w:r>
      <w:bookmarkEnd w:id="243"/>
      <w:r>
        <w:rPr>
          <w:rFonts w:hint="eastAsia" w:ascii="宋体" w:hAnsi="宋体" w:cs="宋体"/>
          <w:b/>
          <w:szCs w:val="21"/>
          <w:highlight w:val="none"/>
        </w:rPr>
        <w:t>程序</w:t>
      </w:r>
      <w:bookmarkEnd w:id="244"/>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18.1 </w:t>
      </w:r>
      <w:r>
        <w:rPr>
          <w:rFonts w:hint="eastAsia" w:ascii="宋体" w:hAnsi="宋体" w:cs="宋体"/>
          <w:szCs w:val="21"/>
          <w:highlight w:val="none"/>
        </w:rPr>
        <w:t>比选发起人将于前附表第</w:t>
      </w:r>
      <w:r>
        <w:rPr>
          <w:rFonts w:ascii="宋体" w:hAnsi="宋体" w:cs="宋体"/>
          <w:szCs w:val="21"/>
          <w:highlight w:val="none"/>
        </w:rPr>
        <w:t>11</w:t>
      </w:r>
      <w:r>
        <w:rPr>
          <w:rFonts w:hint="eastAsia" w:ascii="宋体" w:hAnsi="宋体" w:cs="宋体"/>
          <w:szCs w:val="21"/>
          <w:highlight w:val="none"/>
        </w:rPr>
        <w:t>项规定的时间和地点举行评审会议，参加评审的比选申请人的法定代表人或授权委托代理人应签名报到，以证明其出席评审会议，并携带有效证明材料前往，以证实其身份。</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18.2 </w:t>
      </w:r>
      <w:r>
        <w:rPr>
          <w:rFonts w:hint="eastAsia" w:ascii="宋体" w:hAnsi="宋体" w:cs="宋体"/>
          <w:szCs w:val="21"/>
          <w:highlight w:val="none"/>
        </w:rPr>
        <w:t>本项目由南宁轨道交通集团有限责任公司相关人员组成评审小组，评审小组由</w:t>
      </w:r>
      <w:r>
        <w:rPr>
          <w:rFonts w:ascii="宋体" w:hAnsi="宋体" w:cs="宋体"/>
          <w:szCs w:val="21"/>
          <w:highlight w:val="none"/>
        </w:rPr>
        <w:t>3</w:t>
      </w:r>
      <w:r>
        <w:rPr>
          <w:rFonts w:hint="eastAsia" w:ascii="宋体" w:hAnsi="宋体" w:cs="宋体"/>
          <w:szCs w:val="21"/>
          <w:highlight w:val="none"/>
        </w:rPr>
        <w:t>人及以上单数组成，共同对比选申请文件按照评审标准的规定进行评审；由监督部门对评审过程进行全程视频监督。</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18.3 </w:t>
      </w:r>
      <w:r>
        <w:rPr>
          <w:rFonts w:hint="eastAsia" w:ascii="宋体" w:hAnsi="宋体" w:cs="宋体"/>
          <w:szCs w:val="21"/>
          <w:highlight w:val="none"/>
        </w:rPr>
        <w:t>评审小组成员应当独立、客观、公正地履行职责，遵守职业道德，对所提出的评审意见承担个人责任；评审小组成员及其他工作人员应对整个评审活动保密。</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18.4 </w:t>
      </w:r>
      <w:r>
        <w:rPr>
          <w:rFonts w:hint="eastAsia" w:ascii="宋体" w:hAnsi="宋体" w:cs="宋体"/>
          <w:szCs w:val="21"/>
          <w:highlight w:val="none"/>
        </w:rPr>
        <w:t>评审会议程序：</w:t>
      </w:r>
    </w:p>
    <w:p>
      <w:pPr>
        <w:tabs>
          <w:tab w:val="left" w:pos="8610"/>
        </w:tabs>
        <w:spacing w:line="500" w:lineRule="exact"/>
        <w:ind w:firstLine="315" w:firstLineChars="150"/>
        <w:rPr>
          <w:rFonts w:hint="eastAsia" w:ascii="宋体" w:hAnsi="宋体" w:cs="宋体"/>
          <w:szCs w:val="21"/>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）比选申请人的法定代表人或授权委托代理人应签名报到，</w:t>
      </w:r>
      <w:r>
        <w:rPr>
          <w:rFonts w:hint="eastAsia" w:ascii="宋体" w:hAnsi="宋体" w:cs="宋体"/>
          <w:szCs w:val="21"/>
        </w:rPr>
        <w:t>比选人验证法定代表人资格证明书、授权委托书及有效身份证明，由主持人宣布评审会议开始，介绍到会人员；</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lang w:eastAsia="zh-CN"/>
        </w:rPr>
        <w:t>（</w:t>
      </w:r>
      <w:r>
        <w:rPr>
          <w:rFonts w:hint="eastAsia" w:ascii="宋体" w:hAnsi="宋体" w:cs="宋体"/>
          <w:szCs w:val="21"/>
          <w:lang w:val="en-US" w:eastAsia="zh-CN"/>
        </w:rPr>
        <w:t>2</w:t>
      </w:r>
      <w:r>
        <w:rPr>
          <w:rFonts w:hint="eastAsia" w:ascii="宋体" w:hAnsi="宋体" w:cs="宋体"/>
          <w:szCs w:val="21"/>
          <w:lang w:eastAsia="zh-CN"/>
        </w:rPr>
        <w:t>）</w:t>
      </w:r>
      <w:r>
        <w:rPr>
          <w:rFonts w:hint="eastAsia" w:ascii="宋体" w:hAnsi="宋体" w:cs="宋体"/>
          <w:szCs w:val="21"/>
          <w:highlight w:val="none"/>
        </w:rPr>
        <w:t>比选人确认文件是否密封，文件外包装签署是否正确，比选申请人对结果签字确认，比选申请人退场；</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3</w:t>
      </w:r>
      <w:r>
        <w:rPr>
          <w:rFonts w:hint="eastAsia" w:ascii="宋体" w:hAnsi="宋体" w:cs="宋体"/>
          <w:szCs w:val="21"/>
          <w:highlight w:val="none"/>
        </w:rPr>
        <w:t>）启封比选申请文件的资格审查部分，移交评审小组进行资格审查；</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4</w:t>
      </w:r>
      <w:r>
        <w:rPr>
          <w:rFonts w:hint="eastAsia" w:ascii="宋体" w:hAnsi="宋体" w:cs="宋体"/>
          <w:szCs w:val="21"/>
          <w:highlight w:val="none"/>
        </w:rPr>
        <w:t>）主持人宣布审查结果，并宣读通过资格审查的比选申请人名称以及比选发起人认为需要的其他内容；</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5</w:t>
      </w:r>
      <w:r>
        <w:rPr>
          <w:rFonts w:hint="eastAsia" w:ascii="宋体" w:hAnsi="宋体" w:cs="宋体"/>
          <w:szCs w:val="21"/>
          <w:highlight w:val="none"/>
        </w:rPr>
        <w:t>）启封通过资格审查的比选申请文件的技术部分，移交评审小组评审；</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6</w:t>
      </w:r>
      <w:r>
        <w:rPr>
          <w:rFonts w:hint="eastAsia" w:ascii="宋体" w:hAnsi="宋体" w:cs="宋体"/>
          <w:szCs w:val="21"/>
          <w:highlight w:val="none"/>
        </w:rPr>
        <w:t>）启封通过资格审查的比选申请文件的商务部分，移交评审小组评审；</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7</w:t>
      </w:r>
      <w:r>
        <w:rPr>
          <w:rFonts w:hint="eastAsia" w:ascii="宋体" w:hAnsi="宋体" w:cs="宋体"/>
          <w:szCs w:val="21"/>
          <w:highlight w:val="none"/>
        </w:rPr>
        <w:t>）在评审过程中工作人员做比选记录，评审小组在比选记录表上签字确认，主持人宣读比选结果；</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8</w:t>
      </w:r>
      <w:r>
        <w:rPr>
          <w:rFonts w:hint="eastAsia" w:ascii="宋体" w:hAnsi="宋体" w:cs="宋体"/>
          <w:szCs w:val="21"/>
          <w:highlight w:val="none"/>
        </w:rPr>
        <w:t>）评审结束。</w:t>
      </w:r>
    </w:p>
    <w:p>
      <w:pPr>
        <w:tabs>
          <w:tab w:val="left" w:pos="8610"/>
        </w:tabs>
        <w:spacing w:line="500" w:lineRule="exact"/>
        <w:ind w:firstLine="422" w:firstLineChars="200"/>
        <w:rPr>
          <w:rFonts w:ascii="宋体" w:cs="宋体"/>
          <w:b/>
          <w:szCs w:val="21"/>
          <w:highlight w:val="none"/>
        </w:rPr>
      </w:pPr>
      <w:bookmarkStart w:id="245" w:name="_Toc436771486"/>
      <w:bookmarkStart w:id="246" w:name="_Toc392862499"/>
      <w:bookmarkStart w:id="247" w:name="_Toc535961532"/>
      <w:r>
        <w:rPr>
          <w:rFonts w:ascii="宋体" w:hAnsi="宋体" w:cs="宋体"/>
          <w:b/>
          <w:szCs w:val="21"/>
          <w:highlight w:val="none"/>
        </w:rPr>
        <w:t>19.</w:t>
      </w:r>
      <w:r>
        <w:rPr>
          <w:rFonts w:hint="eastAsia" w:ascii="宋体" w:hAnsi="宋体" w:cs="宋体"/>
          <w:b/>
          <w:szCs w:val="21"/>
          <w:highlight w:val="none"/>
        </w:rPr>
        <w:t>评审</w:t>
      </w:r>
      <w:bookmarkEnd w:id="245"/>
      <w:bookmarkEnd w:id="246"/>
      <w:r>
        <w:rPr>
          <w:rFonts w:hint="eastAsia" w:ascii="宋体" w:hAnsi="宋体" w:cs="宋体"/>
          <w:b/>
          <w:szCs w:val="21"/>
          <w:highlight w:val="none"/>
        </w:rPr>
        <w:t>规则</w:t>
      </w:r>
      <w:bookmarkEnd w:id="247"/>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19.1 </w:t>
      </w:r>
      <w:r>
        <w:rPr>
          <w:rFonts w:hint="eastAsia" w:ascii="宋体" w:hAnsi="宋体" w:cs="宋体"/>
          <w:szCs w:val="21"/>
          <w:highlight w:val="none"/>
        </w:rPr>
        <w:t>本采购项目比选上限控制价为：人民币</w:t>
      </w:r>
      <w:r>
        <w:rPr>
          <w:rFonts w:hint="eastAsia" w:ascii="宋体" w:hAnsi="宋体" w:cs="宋体"/>
          <w:szCs w:val="21"/>
          <w:highlight w:val="none"/>
          <w:u w:val="single"/>
          <w:lang w:val="en-US" w:eastAsia="zh-CN"/>
        </w:rPr>
        <w:t>98</w:t>
      </w:r>
      <w:r>
        <w:rPr>
          <w:rFonts w:ascii="宋体" w:hAnsi="宋体" w:cs="宋体"/>
          <w:szCs w:val="21"/>
          <w:highlight w:val="none"/>
        </w:rPr>
        <w:t>,</w:t>
      </w:r>
      <w:r>
        <w:rPr>
          <w:rFonts w:hint="eastAsia" w:ascii="宋体" w:hAnsi="宋体" w:cs="宋体"/>
          <w:szCs w:val="21"/>
          <w:highlight w:val="none"/>
          <w:u w:val="single"/>
          <w:lang w:val="en-US" w:eastAsia="zh-CN"/>
        </w:rPr>
        <w:t>000.00</w:t>
      </w:r>
      <w:r>
        <w:rPr>
          <w:rFonts w:hint="eastAsia" w:ascii="宋体" w:hAnsi="宋体" w:cs="宋体"/>
          <w:szCs w:val="21"/>
          <w:highlight w:val="none"/>
          <w:u w:val="none"/>
        </w:rPr>
        <w:t>元</w:t>
      </w:r>
      <w:r>
        <w:rPr>
          <w:rFonts w:ascii="宋体" w:hAnsi="宋体" w:cs="宋体"/>
          <w:szCs w:val="21"/>
          <w:highlight w:val="none"/>
          <w:u w:val="none"/>
        </w:rPr>
        <w:t>(</w:t>
      </w:r>
      <w:r>
        <w:rPr>
          <w:rFonts w:hint="eastAsia" w:ascii="宋体" w:hAnsi="宋体" w:cs="宋体"/>
          <w:szCs w:val="21"/>
          <w:highlight w:val="none"/>
          <w:u w:val="none"/>
        </w:rPr>
        <w:t>含税</w:t>
      </w:r>
      <w:r>
        <w:rPr>
          <w:rFonts w:ascii="宋体" w:hAnsi="宋体" w:cs="宋体"/>
          <w:szCs w:val="21"/>
          <w:highlight w:val="none"/>
          <w:u w:val="none"/>
        </w:rPr>
        <w:t>)</w:t>
      </w:r>
      <w:r>
        <w:rPr>
          <w:rFonts w:hint="eastAsia" w:ascii="宋体" w:hAnsi="宋体" w:cs="宋体"/>
          <w:szCs w:val="21"/>
          <w:highlight w:val="none"/>
        </w:rPr>
        <w:t>，</w:t>
      </w:r>
      <w:r>
        <w:rPr>
          <w:rFonts w:hint="eastAsia" w:ascii="宋体" w:hAnsi="宋体" w:cs="宋体"/>
          <w:szCs w:val="21"/>
          <w:highlight w:val="none"/>
          <w:u w:val="single"/>
          <w:lang w:val="en-US" w:eastAsia="zh-CN"/>
        </w:rPr>
        <w:t>92</w:t>
      </w:r>
      <w:r>
        <w:rPr>
          <w:rFonts w:ascii="宋体" w:hAnsi="宋体" w:cs="宋体"/>
          <w:szCs w:val="21"/>
          <w:highlight w:val="none"/>
        </w:rPr>
        <w:t>,</w:t>
      </w:r>
      <w:r>
        <w:rPr>
          <w:rFonts w:hint="eastAsia" w:ascii="宋体" w:hAnsi="宋体" w:cs="宋体"/>
          <w:szCs w:val="21"/>
          <w:highlight w:val="none"/>
          <w:u w:val="single"/>
          <w:lang w:val="en-US" w:eastAsia="zh-CN"/>
        </w:rPr>
        <w:t>452.83</w:t>
      </w:r>
      <w:r>
        <w:rPr>
          <w:rFonts w:hint="eastAsia" w:ascii="宋体" w:hAnsi="宋体" w:cs="宋体"/>
          <w:szCs w:val="21"/>
          <w:highlight w:val="none"/>
          <w:u w:val="none"/>
        </w:rPr>
        <w:t>元</w:t>
      </w:r>
      <w:r>
        <w:rPr>
          <w:rFonts w:ascii="宋体" w:hAnsi="宋体" w:cs="宋体"/>
          <w:szCs w:val="21"/>
          <w:highlight w:val="none"/>
          <w:u w:val="none"/>
        </w:rPr>
        <w:t>(</w:t>
      </w:r>
      <w:r>
        <w:rPr>
          <w:rFonts w:hint="eastAsia" w:ascii="宋体" w:hAnsi="宋体" w:cs="宋体"/>
          <w:szCs w:val="21"/>
          <w:highlight w:val="none"/>
          <w:u w:val="none"/>
        </w:rPr>
        <w:t>不含税</w:t>
      </w:r>
      <w:r>
        <w:rPr>
          <w:rFonts w:ascii="宋体" w:hAnsi="宋体" w:cs="宋体"/>
          <w:szCs w:val="21"/>
          <w:highlight w:val="none"/>
          <w:u w:val="none"/>
        </w:rPr>
        <w:t>)</w:t>
      </w:r>
      <w:r>
        <w:rPr>
          <w:rFonts w:hint="eastAsia" w:ascii="宋体" w:hAnsi="宋体" w:cs="宋体"/>
          <w:szCs w:val="21"/>
          <w:highlight w:val="none"/>
        </w:rPr>
        <w:t>。当比选申请人报价超过上限控制价时，比选申请文件无效。</w:t>
      </w:r>
      <w:r>
        <w:rPr>
          <w:rFonts w:ascii="宋体" w:hAnsi="宋体" w:cs="宋体"/>
          <w:szCs w:val="21"/>
          <w:highlight w:val="none"/>
        </w:rPr>
        <w:t xml:space="preserve"> </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19.2 </w:t>
      </w:r>
      <w:r>
        <w:rPr>
          <w:rFonts w:hint="eastAsia" w:ascii="宋体" w:hAnsi="宋体" w:cs="宋体"/>
          <w:szCs w:val="21"/>
          <w:highlight w:val="none"/>
        </w:rPr>
        <w:t>比选申请人在评审过程中所进行的力图影响评审公正性的活动，可能导致其中选无效。</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19.3 </w:t>
      </w:r>
      <w:r>
        <w:rPr>
          <w:rFonts w:hint="eastAsia" w:ascii="宋体" w:hAnsi="宋体" w:cs="宋体"/>
          <w:szCs w:val="21"/>
          <w:highlight w:val="none"/>
        </w:rPr>
        <w:t>比选申请文件的澄清或说明：</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）评审小组将以书面形式要求比选申请人就其比选申请文件中含义不明确、同类问题表述不一致或有明显文字错误等的内容予以澄清或说明；</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2</w:t>
      </w:r>
      <w:r>
        <w:rPr>
          <w:rFonts w:hint="eastAsia" w:ascii="宋体" w:hAnsi="宋体" w:cs="宋体"/>
          <w:szCs w:val="21"/>
          <w:highlight w:val="none"/>
        </w:rPr>
        <w:t>）比选申请人对要求澄清或说明的内容应在评审小组规定的时间内以书面形式予以澄清，该澄清或说明函应有法定代表人或其委托代理人的签名</w:t>
      </w:r>
      <w:r>
        <w:rPr>
          <w:rFonts w:hint="eastAsia"/>
          <w:highlight w:val="none"/>
        </w:rPr>
        <w:t>并盖法人单位公章</w:t>
      </w:r>
      <w:r>
        <w:rPr>
          <w:rFonts w:hint="eastAsia" w:ascii="宋体" w:hAnsi="宋体" w:cs="宋体"/>
          <w:szCs w:val="21"/>
          <w:highlight w:val="none"/>
        </w:rPr>
        <w:t>；</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3</w:t>
      </w:r>
      <w:r>
        <w:rPr>
          <w:rFonts w:hint="eastAsia" w:ascii="宋体" w:hAnsi="宋体" w:cs="宋体"/>
          <w:szCs w:val="21"/>
          <w:highlight w:val="none"/>
        </w:rPr>
        <w:t>）比选申请人的澄清或说明函作为比选申请文件的组成部分；</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4</w:t>
      </w:r>
      <w:r>
        <w:rPr>
          <w:rFonts w:hint="eastAsia" w:ascii="宋体" w:hAnsi="宋体" w:cs="宋体"/>
          <w:szCs w:val="21"/>
          <w:highlight w:val="none"/>
        </w:rPr>
        <w:t>）比选申请人对比选申请文件的澄清或说明不得超出比选申请文件的范围或改变比选的实质内容。</w:t>
      </w:r>
    </w:p>
    <w:p>
      <w:pPr>
        <w:tabs>
          <w:tab w:val="left" w:pos="8610"/>
        </w:tabs>
        <w:spacing w:line="500" w:lineRule="exact"/>
        <w:ind w:firstLine="422" w:firstLineChars="200"/>
        <w:rPr>
          <w:rFonts w:ascii="宋体" w:cs="宋体"/>
          <w:b/>
          <w:szCs w:val="21"/>
          <w:highlight w:val="none"/>
        </w:rPr>
      </w:pPr>
      <w:bookmarkStart w:id="248" w:name="_Toc436771487"/>
      <w:bookmarkStart w:id="249" w:name="_Toc392862500"/>
      <w:bookmarkStart w:id="250" w:name="_Toc535961533"/>
      <w:bookmarkStart w:id="251" w:name="_Toc286386859"/>
      <w:bookmarkStart w:id="252" w:name="_Toc114052439"/>
      <w:bookmarkStart w:id="253" w:name="_Toc114052375"/>
      <w:r>
        <w:rPr>
          <w:rFonts w:ascii="宋体" w:hAnsi="宋体" w:cs="宋体"/>
          <w:b/>
          <w:szCs w:val="21"/>
          <w:highlight w:val="none"/>
        </w:rPr>
        <w:t>20.</w:t>
      </w:r>
      <w:r>
        <w:rPr>
          <w:rFonts w:hint="eastAsia" w:ascii="宋体" w:hAnsi="宋体" w:cs="宋体"/>
          <w:b/>
          <w:szCs w:val="21"/>
          <w:highlight w:val="none"/>
        </w:rPr>
        <w:t>评审保密</w:t>
      </w:r>
      <w:bookmarkEnd w:id="248"/>
      <w:bookmarkEnd w:id="249"/>
      <w:bookmarkEnd w:id="250"/>
      <w:bookmarkEnd w:id="251"/>
      <w:bookmarkEnd w:id="252"/>
      <w:bookmarkEnd w:id="253"/>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20.1 </w:t>
      </w:r>
      <w:r>
        <w:rPr>
          <w:rFonts w:hint="eastAsia" w:ascii="宋体" w:hAnsi="宋体" w:cs="宋体"/>
          <w:szCs w:val="21"/>
          <w:highlight w:val="none"/>
        </w:rPr>
        <w:t>评审全过程内容和比选申请文件的评审结果，不得向比选申请人和与该过程无关的其他单位和个人泄露。</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20.2 </w:t>
      </w:r>
      <w:r>
        <w:rPr>
          <w:rFonts w:hint="eastAsia" w:ascii="宋体" w:hAnsi="宋体" w:cs="宋体"/>
          <w:szCs w:val="21"/>
          <w:highlight w:val="none"/>
        </w:rPr>
        <w:t>比选申请人对比选发起人和评审小组成员施加任何有影响的行为，都将被取消比选资格。</w:t>
      </w:r>
    </w:p>
    <w:p>
      <w:pPr>
        <w:spacing w:line="500" w:lineRule="exact"/>
        <w:ind w:firstLine="422" w:firstLineChars="200"/>
        <w:rPr>
          <w:rFonts w:ascii="宋体" w:cs="宋体"/>
          <w:b/>
          <w:szCs w:val="21"/>
          <w:highlight w:val="none"/>
        </w:rPr>
      </w:pPr>
      <w:bookmarkStart w:id="254" w:name="_Toc310318598"/>
      <w:r>
        <w:rPr>
          <w:rFonts w:ascii="宋体" w:hAnsi="宋体" w:cs="宋体"/>
          <w:b/>
          <w:szCs w:val="21"/>
          <w:highlight w:val="none"/>
        </w:rPr>
        <w:t>21.</w:t>
      </w:r>
      <w:r>
        <w:rPr>
          <w:rFonts w:hint="eastAsia" w:ascii="宋体" w:hAnsi="宋体" w:cs="宋体"/>
          <w:b/>
          <w:szCs w:val="21"/>
          <w:highlight w:val="none"/>
        </w:rPr>
        <w:t>比选申请文件评比</w:t>
      </w:r>
      <w:bookmarkEnd w:id="254"/>
      <w:r>
        <w:rPr>
          <w:rFonts w:hint="eastAsia" w:ascii="宋体" w:hAnsi="宋体" w:cs="宋体"/>
          <w:b/>
          <w:szCs w:val="21"/>
          <w:highlight w:val="none"/>
        </w:rPr>
        <w:t>相关要求</w:t>
      </w:r>
    </w:p>
    <w:p>
      <w:pPr>
        <w:spacing w:line="500" w:lineRule="exact"/>
        <w:ind w:firstLine="420" w:firstLineChars="200"/>
        <w:rPr>
          <w:rFonts w:ascii="宋体" w:cs="宋体"/>
          <w:szCs w:val="21"/>
          <w:highlight w:val="none"/>
        </w:rPr>
      </w:pPr>
      <w:r>
        <w:rPr>
          <w:rFonts w:ascii="宋体" w:hAnsi="宋体" w:cs="宋体"/>
          <w:szCs w:val="21"/>
          <w:highlight w:val="none"/>
        </w:rPr>
        <w:t xml:space="preserve">21.1 </w:t>
      </w:r>
      <w:r>
        <w:rPr>
          <w:rFonts w:hint="eastAsia" w:ascii="宋体" w:hAnsi="宋体" w:cs="宋体"/>
          <w:szCs w:val="21"/>
          <w:highlight w:val="none"/>
        </w:rPr>
        <w:t>比选申请人资格审查</w:t>
      </w:r>
    </w:p>
    <w:p>
      <w:pPr>
        <w:spacing w:line="500" w:lineRule="exact"/>
        <w:ind w:firstLine="420" w:firstLineChars="200"/>
        <w:rPr>
          <w:rFonts w:ascii="宋体" w:cs="宋体"/>
          <w:szCs w:val="21"/>
          <w:highlight w:val="none"/>
        </w:rPr>
      </w:pPr>
      <w:r>
        <w:rPr>
          <w:rFonts w:hint="eastAsia" w:ascii="宋体" w:hAnsi="宋体" w:cs="宋体"/>
          <w:szCs w:val="21"/>
          <w:highlight w:val="none"/>
        </w:rPr>
        <w:t>只有通过资格审查才能进入下一步的评比，资格审查资料有任何一项不合格者其资格审查视为不通过。</w:t>
      </w:r>
    </w:p>
    <w:p>
      <w:pPr>
        <w:spacing w:line="500" w:lineRule="exact"/>
        <w:ind w:firstLine="422" w:firstLineChars="200"/>
        <w:rPr>
          <w:rFonts w:ascii="宋体" w:cs="宋体"/>
          <w:b/>
          <w:szCs w:val="21"/>
          <w:highlight w:val="none"/>
        </w:rPr>
      </w:pPr>
      <w:r>
        <w:rPr>
          <w:rFonts w:ascii="宋体" w:hAnsi="宋体" w:cs="宋体"/>
          <w:b/>
          <w:szCs w:val="21"/>
          <w:highlight w:val="none"/>
        </w:rPr>
        <w:t xml:space="preserve">21.2 </w:t>
      </w:r>
      <w:r>
        <w:rPr>
          <w:rFonts w:hint="eastAsia" w:ascii="宋体" w:hAnsi="宋体" w:cs="宋体"/>
          <w:b/>
          <w:szCs w:val="21"/>
          <w:highlight w:val="none"/>
        </w:rPr>
        <w:t>比选申请人或其比选文件有下列情况之一者，其比选申请文件将视为无效或作废处理：</w:t>
      </w:r>
    </w:p>
    <w:p>
      <w:pPr>
        <w:spacing w:line="500" w:lineRule="exact"/>
        <w:ind w:firstLine="310" w:firstLineChars="147"/>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1</w:t>
      </w:r>
      <w:r>
        <w:rPr>
          <w:rFonts w:hint="eastAsia" w:ascii="宋体" w:hAnsi="宋体" w:cs="宋体"/>
          <w:b/>
          <w:szCs w:val="21"/>
          <w:highlight w:val="none"/>
        </w:rPr>
        <w:t>）比选申请文件未按照规定的要求装订、密封和标记的；</w:t>
      </w:r>
    </w:p>
    <w:p>
      <w:pPr>
        <w:spacing w:line="500" w:lineRule="exact"/>
        <w:ind w:firstLine="310" w:firstLineChars="147"/>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2</w:t>
      </w:r>
      <w:r>
        <w:rPr>
          <w:rFonts w:hint="eastAsia" w:ascii="宋体" w:hAnsi="宋体" w:cs="宋体"/>
          <w:b/>
          <w:szCs w:val="21"/>
          <w:highlight w:val="none"/>
        </w:rPr>
        <w:t>）本须知第</w:t>
      </w:r>
      <w:r>
        <w:rPr>
          <w:rFonts w:ascii="宋体" w:hAnsi="宋体" w:cs="宋体"/>
          <w:b/>
          <w:szCs w:val="21"/>
          <w:highlight w:val="none"/>
        </w:rPr>
        <w:t>11</w:t>
      </w:r>
      <w:r>
        <w:rPr>
          <w:rFonts w:hint="eastAsia" w:ascii="宋体" w:hAnsi="宋体" w:cs="宋体"/>
          <w:b/>
          <w:szCs w:val="21"/>
          <w:highlight w:val="none"/>
        </w:rPr>
        <w:t>条规定的比选申请文件有关内容未按本须知第</w:t>
      </w:r>
      <w:r>
        <w:rPr>
          <w:rFonts w:ascii="宋体" w:hAnsi="宋体" w:cs="宋体"/>
          <w:b/>
          <w:szCs w:val="21"/>
          <w:highlight w:val="none"/>
        </w:rPr>
        <w:t>15</w:t>
      </w:r>
      <w:r>
        <w:rPr>
          <w:rFonts w:hint="eastAsia" w:ascii="宋体" w:hAnsi="宋体" w:cs="宋体"/>
          <w:b/>
          <w:szCs w:val="21"/>
          <w:highlight w:val="none"/>
        </w:rPr>
        <w:t>条规定加盖比选申请人公章、未经比选申请人负责人或其委托代理人签字或盖章的；</w:t>
      </w:r>
    </w:p>
    <w:p>
      <w:pPr>
        <w:spacing w:line="500" w:lineRule="exact"/>
        <w:ind w:firstLine="310" w:firstLineChars="147"/>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3</w:t>
      </w:r>
      <w:r>
        <w:rPr>
          <w:rFonts w:hint="eastAsia" w:ascii="宋体" w:hAnsi="宋体" w:cs="宋体"/>
          <w:b/>
          <w:szCs w:val="21"/>
          <w:highlight w:val="none"/>
        </w:rPr>
        <w:t>）不按本须知第</w:t>
      </w:r>
      <w:r>
        <w:rPr>
          <w:rFonts w:ascii="宋体" w:hAnsi="宋体" w:cs="宋体"/>
          <w:b/>
          <w:szCs w:val="21"/>
          <w:highlight w:val="none"/>
        </w:rPr>
        <w:t>11</w:t>
      </w:r>
      <w:r>
        <w:rPr>
          <w:rFonts w:hint="eastAsia" w:ascii="宋体" w:hAnsi="宋体" w:cs="宋体"/>
          <w:b/>
          <w:szCs w:val="21"/>
          <w:highlight w:val="none"/>
        </w:rPr>
        <w:t>条内容提供资料的；逾期递交比选申请文件的；</w:t>
      </w:r>
    </w:p>
    <w:p>
      <w:pPr>
        <w:spacing w:line="500" w:lineRule="exact"/>
        <w:ind w:firstLine="310" w:firstLineChars="147"/>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4</w:t>
      </w:r>
      <w:r>
        <w:rPr>
          <w:rFonts w:hint="eastAsia" w:ascii="宋体" w:hAnsi="宋体" w:cs="宋体"/>
          <w:b/>
          <w:szCs w:val="21"/>
          <w:highlight w:val="none"/>
        </w:rPr>
        <w:t>）比选申请文件内容不真实的；</w:t>
      </w:r>
    </w:p>
    <w:p>
      <w:pPr>
        <w:spacing w:line="500" w:lineRule="exact"/>
        <w:ind w:firstLine="310" w:firstLineChars="147"/>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5</w:t>
      </w:r>
      <w:r>
        <w:rPr>
          <w:rFonts w:hint="eastAsia" w:ascii="宋体" w:hAnsi="宋体" w:cs="宋体"/>
          <w:b/>
          <w:szCs w:val="21"/>
          <w:highlight w:val="none"/>
        </w:rPr>
        <w:t>）比选申请文件实质上没有响应比选文件的要求的；（包括以下内容：比选项目所涉及的人员配置、业绩、价格、服务内容、合同条款等）；</w:t>
      </w:r>
    </w:p>
    <w:p>
      <w:pPr>
        <w:spacing w:line="500" w:lineRule="exact"/>
        <w:ind w:firstLine="422" w:firstLineChars="200"/>
        <w:rPr>
          <w:rFonts w:ascii="宋体"/>
          <w:szCs w:val="21"/>
          <w:highlight w:val="none"/>
        </w:rPr>
      </w:pPr>
      <w:r>
        <w:rPr>
          <w:rFonts w:hint="eastAsia" w:ascii="宋体" w:hAnsi="宋体"/>
          <w:b/>
          <w:szCs w:val="21"/>
          <w:highlight w:val="none"/>
        </w:rPr>
        <w:t>（</w:t>
      </w:r>
      <w:r>
        <w:rPr>
          <w:rFonts w:ascii="宋体" w:hAnsi="宋体"/>
          <w:b/>
          <w:szCs w:val="21"/>
          <w:highlight w:val="none"/>
        </w:rPr>
        <w:t>6</w:t>
      </w:r>
      <w:r>
        <w:rPr>
          <w:rFonts w:hint="eastAsia" w:ascii="宋体" w:hAnsi="宋体"/>
          <w:b/>
          <w:szCs w:val="21"/>
          <w:highlight w:val="none"/>
        </w:rPr>
        <w:t>）比选申请人报价超过上控价的，比选申请文件作无效处理。</w:t>
      </w:r>
    </w:p>
    <w:p>
      <w:pPr>
        <w:spacing w:line="500" w:lineRule="exact"/>
        <w:ind w:firstLine="310" w:firstLineChars="147"/>
        <w:rPr>
          <w:rFonts w:ascii="宋体" w:cs="宋体"/>
          <w:b/>
          <w:szCs w:val="21"/>
          <w:highlight w:val="none"/>
        </w:rPr>
      </w:pPr>
      <w:r>
        <w:rPr>
          <w:rFonts w:ascii="宋体" w:hAnsi="宋体" w:cs="宋体"/>
          <w:b/>
          <w:szCs w:val="21"/>
          <w:highlight w:val="none"/>
        </w:rPr>
        <w:t xml:space="preserve"> </w:t>
      </w:r>
      <w:r>
        <w:rPr>
          <w:rFonts w:hint="eastAsia" w:ascii="宋体" w:hAnsi="宋体" w:cs="宋体"/>
          <w:b/>
          <w:szCs w:val="21"/>
          <w:highlight w:val="none"/>
        </w:rPr>
        <w:t>（</w:t>
      </w:r>
      <w:r>
        <w:rPr>
          <w:rFonts w:ascii="宋体" w:hAnsi="宋体" w:cs="宋体"/>
          <w:b/>
          <w:szCs w:val="21"/>
          <w:highlight w:val="none"/>
        </w:rPr>
        <w:t>7</w:t>
      </w:r>
      <w:r>
        <w:rPr>
          <w:rFonts w:hint="eastAsia" w:ascii="宋体" w:hAnsi="宋体" w:cs="宋体"/>
          <w:b/>
          <w:szCs w:val="21"/>
          <w:highlight w:val="none"/>
        </w:rPr>
        <w:t>）比选申请人不符合前附表第</w:t>
      </w:r>
      <w:r>
        <w:rPr>
          <w:rFonts w:ascii="宋体" w:hAnsi="宋体" w:cs="宋体"/>
          <w:b/>
          <w:szCs w:val="21"/>
          <w:highlight w:val="none"/>
        </w:rPr>
        <w:t>9</w:t>
      </w:r>
      <w:r>
        <w:rPr>
          <w:rFonts w:hint="eastAsia" w:ascii="宋体" w:hAnsi="宋体" w:cs="宋体"/>
          <w:b/>
          <w:szCs w:val="21"/>
          <w:highlight w:val="none"/>
        </w:rPr>
        <w:t>条所述资格要求或比选申请人符合前附表第</w:t>
      </w:r>
      <w:r>
        <w:rPr>
          <w:rFonts w:ascii="宋体" w:hAnsi="宋体" w:cs="宋体"/>
          <w:b/>
          <w:szCs w:val="21"/>
          <w:highlight w:val="none"/>
        </w:rPr>
        <w:t>9</w:t>
      </w:r>
      <w:r>
        <w:rPr>
          <w:rFonts w:hint="eastAsia" w:ascii="宋体" w:hAnsi="宋体" w:cs="宋体"/>
          <w:b/>
          <w:szCs w:val="21"/>
          <w:highlight w:val="none"/>
        </w:rPr>
        <w:t>条所述资格要求但就本比选项目分别提交两个（每个正本一份、副本四份）及以上的比选申请文件的。</w:t>
      </w:r>
    </w:p>
    <w:p>
      <w:pPr>
        <w:spacing w:line="500" w:lineRule="exact"/>
        <w:ind w:firstLine="420" w:firstLineChars="200"/>
        <w:rPr>
          <w:rFonts w:ascii="宋体" w:cs="宋体"/>
          <w:szCs w:val="21"/>
          <w:highlight w:val="none"/>
        </w:rPr>
      </w:pPr>
      <w:r>
        <w:rPr>
          <w:rFonts w:ascii="宋体" w:hAnsi="宋体" w:cs="宋体"/>
          <w:szCs w:val="21"/>
          <w:highlight w:val="none"/>
        </w:rPr>
        <w:t xml:space="preserve">21.3 </w:t>
      </w:r>
      <w:r>
        <w:rPr>
          <w:rFonts w:hint="eastAsia" w:ascii="宋体" w:hAnsi="宋体" w:cs="宋体"/>
          <w:szCs w:val="21"/>
          <w:highlight w:val="none"/>
        </w:rPr>
        <w:t>评比细则</w:t>
      </w:r>
    </w:p>
    <w:p>
      <w:pPr>
        <w:spacing w:line="500" w:lineRule="exact"/>
        <w:ind w:firstLine="420" w:firstLineChars="200"/>
        <w:rPr>
          <w:rFonts w:ascii="宋体" w:cs="宋体"/>
          <w:szCs w:val="21"/>
          <w:highlight w:val="none"/>
        </w:rPr>
      </w:pPr>
      <w:r>
        <w:rPr>
          <w:rFonts w:hint="eastAsia" w:ascii="宋体" w:hAnsi="宋体" w:cs="宋体"/>
          <w:szCs w:val="21"/>
          <w:highlight w:val="none"/>
        </w:rPr>
        <w:t>详见第四章。</w:t>
      </w:r>
    </w:p>
    <w:p>
      <w:pPr>
        <w:spacing w:line="500" w:lineRule="exact"/>
        <w:ind w:firstLine="420" w:firstLineChars="200"/>
        <w:rPr>
          <w:rFonts w:ascii="宋体" w:cs="宋体"/>
          <w:szCs w:val="21"/>
          <w:highlight w:val="none"/>
        </w:rPr>
      </w:pPr>
      <w:r>
        <w:rPr>
          <w:rFonts w:ascii="宋体" w:hAnsi="宋体" w:cs="宋体"/>
          <w:szCs w:val="21"/>
          <w:highlight w:val="none"/>
        </w:rPr>
        <w:t xml:space="preserve">21.4 </w:t>
      </w:r>
      <w:r>
        <w:rPr>
          <w:rFonts w:hint="eastAsia" w:ascii="宋体" w:hAnsi="宋体" w:cs="宋体"/>
          <w:szCs w:val="21"/>
          <w:highlight w:val="none"/>
        </w:rPr>
        <w:t>确定中选人</w:t>
      </w:r>
    </w:p>
    <w:p>
      <w:pPr>
        <w:spacing w:line="500" w:lineRule="exact"/>
        <w:ind w:firstLine="420" w:firstLineChars="200"/>
        <w:rPr>
          <w:rFonts w:ascii="宋体" w:cs="宋体"/>
          <w:szCs w:val="21"/>
          <w:highlight w:val="none"/>
        </w:rPr>
      </w:pPr>
      <w:r>
        <w:rPr>
          <w:rFonts w:hint="eastAsia" w:ascii="宋体" w:hAnsi="宋体" w:cs="宋体"/>
          <w:szCs w:val="21"/>
          <w:highlight w:val="none"/>
        </w:rPr>
        <w:t>评审小组将按照综合得分由低到高进行排序，得分最高的排名第一（当综合得分相同时</w:t>
      </w:r>
      <w:r>
        <w:rPr>
          <w:rFonts w:ascii="宋体" w:cs="宋体"/>
          <w:szCs w:val="21"/>
          <w:highlight w:val="none"/>
        </w:rPr>
        <w:t>,</w:t>
      </w:r>
      <w:r>
        <w:rPr>
          <w:rFonts w:hint="eastAsia" w:ascii="宋体" w:hAnsi="宋体" w:cs="宋体"/>
          <w:szCs w:val="21"/>
          <w:highlight w:val="none"/>
        </w:rPr>
        <w:t>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审小组提出的中选候选人名单排序依次确定其他中选候选人为中选人，也可以重新比选。</w:t>
      </w:r>
    </w:p>
    <w:p>
      <w:pPr>
        <w:spacing w:line="500" w:lineRule="exact"/>
        <w:ind w:firstLine="420" w:firstLineChars="200"/>
        <w:rPr>
          <w:rFonts w:ascii="宋体" w:cs="宋体"/>
          <w:szCs w:val="21"/>
          <w:highlight w:val="none"/>
        </w:rPr>
      </w:pPr>
      <w:r>
        <w:rPr>
          <w:rFonts w:ascii="宋体" w:hAnsi="宋体" w:cs="宋体"/>
          <w:szCs w:val="21"/>
          <w:highlight w:val="none"/>
        </w:rPr>
        <w:t xml:space="preserve">21.5 </w:t>
      </w:r>
      <w:r>
        <w:rPr>
          <w:rFonts w:hint="eastAsia" w:ascii="宋体" w:hAnsi="宋体" w:cs="宋体"/>
          <w:szCs w:val="21"/>
          <w:highlight w:val="none"/>
        </w:rPr>
        <w:t>出现下列特殊情况之一，南宁轨道交通集团有限责任公司将重新组织比选：</w:t>
      </w:r>
    </w:p>
    <w:p>
      <w:pPr>
        <w:spacing w:line="500" w:lineRule="exact"/>
        <w:ind w:firstLine="420" w:firstLineChars="200"/>
        <w:rPr>
          <w:rFonts w:ascii="宋体" w:cs="宋体"/>
          <w:szCs w:val="21"/>
          <w:highlight w:val="none"/>
        </w:rPr>
      </w:pPr>
      <w:r>
        <w:rPr>
          <w:rFonts w:ascii="宋体" w:hAnsi="宋体" w:cs="宋体"/>
          <w:szCs w:val="21"/>
          <w:highlight w:val="none"/>
        </w:rPr>
        <w:t xml:space="preserve">21.5.1 </w:t>
      </w:r>
      <w:r>
        <w:rPr>
          <w:rFonts w:hint="eastAsia" w:ascii="宋体" w:hAnsi="宋体" w:cs="宋体"/>
          <w:szCs w:val="21"/>
          <w:highlight w:val="none"/>
        </w:rPr>
        <w:t>在比选申请文件递交截止时间到达时提交比选申请文件的比选申请人少于</w:t>
      </w:r>
      <w:r>
        <w:rPr>
          <w:rFonts w:ascii="宋体" w:hAnsi="宋体" w:cs="宋体"/>
          <w:szCs w:val="21"/>
          <w:highlight w:val="none"/>
        </w:rPr>
        <w:t>3</w:t>
      </w:r>
      <w:r>
        <w:rPr>
          <w:rFonts w:hint="eastAsia" w:ascii="宋体" w:hAnsi="宋体" w:cs="宋体"/>
          <w:szCs w:val="21"/>
          <w:highlight w:val="none"/>
        </w:rPr>
        <w:t>家的；</w:t>
      </w:r>
    </w:p>
    <w:p>
      <w:pPr>
        <w:spacing w:line="500" w:lineRule="exact"/>
        <w:ind w:firstLine="420" w:firstLineChars="200"/>
        <w:rPr>
          <w:rFonts w:ascii="宋体" w:cs="宋体"/>
          <w:szCs w:val="21"/>
          <w:highlight w:val="none"/>
        </w:rPr>
      </w:pPr>
      <w:r>
        <w:rPr>
          <w:rFonts w:ascii="宋体" w:hAnsi="宋体" w:cs="宋体"/>
          <w:szCs w:val="21"/>
          <w:highlight w:val="none"/>
        </w:rPr>
        <w:t xml:space="preserve">21.5.2 </w:t>
      </w:r>
      <w:r>
        <w:rPr>
          <w:rFonts w:hint="eastAsia" w:ascii="宋体" w:hAnsi="宋体" w:cs="宋体"/>
          <w:szCs w:val="21"/>
          <w:highlight w:val="none"/>
        </w:rPr>
        <w:t>在比选申请文件有效的比选申请人不足</w:t>
      </w:r>
      <w:r>
        <w:rPr>
          <w:rFonts w:ascii="宋体" w:hAnsi="宋体" w:cs="宋体"/>
          <w:szCs w:val="21"/>
          <w:highlight w:val="none"/>
        </w:rPr>
        <w:t>2</w:t>
      </w:r>
      <w:r>
        <w:rPr>
          <w:rFonts w:hint="eastAsia" w:ascii="宋体" w:hAnsi="宋体" w:cs="宋体"/>
          <w:szCs w:val="21"/>
          <w:highlight w:val="none"/>
        </w:rPr>
        <w:t>家，且评委认为没有竞争力的；</w:t>
      </w:r>
    </w:p>
    <w:p>
      <w:pPr>
        <w:spacing w:line="500" w:lineRule="exact"/>
        <w:ind w:firstLine="420" w:firstLineChars="200"/>
        <w:rPr>
          <w:rFonts w:ascii="宋体" w:cs="宋体"/>
          <w:szCs w:val="21"/>
          <w:highlight w:val="none"/>
        </w:rPr>
      </w:pPr>
      <w:r>
        <w:rPr>
          <w:rFonts w:ascii="宋体" w:hAnsi="宋体" w:cs="宋体"/>
          <w:szCs w:val="21"/>
          <w:highlight w:val="none"/>
        </w:rPr>
        <w:t xml:space="preserve">21.5.3 </w:t>
      </w:r>
      <w:r>
        <w:rPr>
          <w:rFonts w:hint="eastAsia" w:ascii="宋体" w:hAnsi="宋体" w:cs="宋体"/>
          <w:szCs w:val="21"/>
          <w:highlight w:val="none"/>
        </w:rPr>
        <w:t>有效比选申请文件只有</w:t>
      </w:r>
      <w:r>
        <w:rPr>
          <w:rFonts w:ascii="宋体" w:hAnsi="宋体" w:cs="宋体"/>
          <w:szCs w:val="21"/>
          <w:highlight w:val="none"/>
        </w:rPr>
        <w:t>1</w:t>
      </w:r>
      <w:r>
        <w:rPr>
          <w:rFonts w:hint="eastAsia" w:ascii="宋体" w:hAnsi="宋体" w:cs="宋体"/>
          <w:szCs w:val="21"/>
          <w:highlight w:val="none"/>
        </w:rPr>
        <w:t>家或</w:t>
      </w:r>
      <w:r>
        <w:rPr>
          <w:rFonts w:ascii="宋体" w:cs="宋体"/>
          <w:szCs w:val="21"/>
          <w:highlight w:val="none"/>
        </w:rPr>
        <w:t>0</w:t>
      </w:r>
      <w:r>
        <w:rPr>
          <w:rFonts w:hint="eastAsia" w:ascii="宋体" w:hAnsi="宋体" w:cs="宋体"/>
          <w:szCs w:val="21"/>
          <w:highlight w:val="none"/>
        </w:rPr>
        <w:t>家的。</w:t>
      </w:r>
    </w:p>
    <w:p>
      <w:pPr>
        <w:spacing w:line="500" w:lineRule="exact"/>
        <w:ind w:firstLine="422" w:firstLineChars="200"/>
        <w:rPr>
          <w:rFonts w:ascii="宋体" w:cs="宋体"/>
          <w:b/>
          <w:szCs w:val="21"/>
          <w:highlight w:val="none"/>
        </w:rPr>
      </w:pPr>
      <w:bookmarkStart w:id="255" w:name="_Toc114052441"/>
      <w:bookmarkStart w:id="256" w:name="_Toc286386861"/>
      <w:bookmarkStart w:id="257" w:name="_Toc310318599"/>
      <w:bookmarkStart w:id="258" w:name="_Toc114052377"/>
      <w:r>
        <w:rPr>
          <w:rFonts w:ascii="宋体" w:hAnsi="宋体" w:cs="宋体"/>
          <w:b/>
          <w:szCs w:val="21"/>
          <w:highlight w:val="none"/>
        </w:rPr>
        <w:t>22.</w:t>
      </w:r>
      <w:r>
        <w:rPr>
          <w:rFonts w:hint="eastAsia" w:ascii="宋体" w:hAnsi="宋体" w:cs="宋体"/>
          <w:b/>
          <w:szCs w:val="21"/>
          <w:highlight w:val="none"/>
        </w:rPr>
        <w:t>评比结果公示</w:t>
      </w:r>
      <w:bookmarkEnd w:id="255"/>
      <w:bookmarkEnd w:id="256"/>
      <w:bookmarkEnd w:id="257"/>
      <w:bookmarkEnd w:id="258"/>
    </w:p>
    <w:p>
      <w:pPr>
        <w:spacing w:line="500" w:lineRule="exact"/>
        <w:ind w:firstLine="420" w:firstLineChars="200"/>
        <w:rPr>
          <w:rFonts w:ascii="宋体" w:cs="宋体"/>
          <w:szCs w:val="21"/>
          <w:highlight w:val="none"/>
        </w:rPr>
      </w:pPr>
      <w:r>
        <w:rPr>
          <w:rFonts w:ascii="宋体" w:hAnsi="宋体" w:cs="宋体"/>
          <w:szCs w:val="21"/>
          <w:highlight w:val="none"/>
        </w:rPr>
        <w:t xml:space="preserve">22.1 </w:t>
      </w:r>
      <w:r>
        <w:rPr>
          <w:rFonts w:hint="eastAsia" w:ascii="宋体" w:hAnsi="宋体" w:cs="宋体"/>
          <w:szCs w:val="21"/>
          <w:highlight w:val="none"/>
        </w:rPr>
        <w:t>在评比结束后，比选人将在南宁轨道交通集团有限责任公司官网</w:t>
      </w:r>
      <w:r>
        <w:rPr>
          <w:rFonts w:ascii="宋体" w:hAnsi="宋体" w:cs="宋体"/>
          <w:szCs w:val="21"/>
          <w:highlight w:val="none"/>
        </w:rPr>
        <w:t>(http://www.nngdjt.com/)</w:t>
      </w:r>
      <w:r>
        <w:rPr>
          <w:rFonts w:hint="eastAsia" w:ascii="宋体" w:hAnsi="宋体" w:cs="宋体"/>
          <w:szCs w:val="21"/>
          <w:highlight w:val="none"/>
        </w:rPr>
        <w:t>的招标招商中的中标信息处公示评比结果。</w:t>
      </w:r>
    </w:p>
    <w:p>
      <w:pPr>
        <w:spacing w:line="500" w:lineRule="exact"/>
        <w:ind w:firstLine="315" w:firstLineChars="150"/>
        <w:rPr>
          <w:rFonts w:ascii="宋体" w:cs="宋体"/>
          <w:szCs w:val="21"/>
          <w:highlight w:val="none"/>
        </w:rPr>
      </w:pPr>
      <w:r>
        <w:rPr>
          <w:rFonts w:ascii="宋体" w:hAnsi="宋体" w:cs="宋体"/>
          <w:szCs w:val="21"/>
          <w:highlight w:val="none"/>
        </w:rPr>
        <w:t xml:space="preserve"> 22.2 </w:t>
      </w:r>
      <w:r>
        <w:rPr>
          <w:rFonts w:hint="eastAsia" w:ascii="宋体" w:hAnsi="宋体" w:cs="宋体"/>
          <w:szCs w:val="21"/>
          <w:highlight w:val="none"/>
        </w:rPr>
        <w:t>比选申请人如对评比结果有异议，在评比结果公示</w:t>
      </w:r>
      <w:r>
        <w:rPr>
          <w:rFonts w:ascii="宋体" w:hAnsi="宋体" w:cs="宋体"/>
          <w:szCs w:val="21"/>
          <w:highlight w:val="none"/>
        </w:rPr>
        <w:t>3</w:t>
      </w:r>
      <w:r>
        <w:rPr>
          <w:rFonts w:hint="eastAsia" w:ascii="宋体" w:hAnsi="宋体" w:cs="宋体"/>
          <w:szCs w:val="21"/>
          <w:highlight w:val="none"/>
        </w:rPr>
        <w:t>天内，可以书面形式向比选人提出质疑。比选人应当在收到比选申请人的书面质疑后</w:t>
      </w:r>
      <w:r>
        <w:rPr>
          <w:rFonts w:ascii="宋体" w:hAnsi="宋体" w:cs="宋体"/>
          <w:szCs w:val="21"/>
          <w:highlight w:val="none"/>
        </w:rPr>
        <w:t>5</w:t>
      </w:r>
      <w:r>
        <w:rPr>
          <w:rFonts w:hint="eastAsia" w:ascii="宋体" w:hAnsi="宋体" w:cs="宋体"/>
          <w:szCs w:val="21"/>
          <w:highlight w:val="none"/>
        </w:rPr>
        <w:t>个工作日内做出答复，但答复的内容不得涉及商业秘密。</w:t>
      </w:r>
    </w:p>
    <w:p>
      <w:pPr>
        <w:pStyle w:val="4"/>
        <w:spacing w:beforeLines="50" w:afterLines="50" w:line="500" w:lineRule="exact"/>
        <w:jc w:val="center"/>
        <w:rPr>
          <w:b/>
          <w:sz w:val="21"/>
          <w:szCs w:val="21"/>
          <w:highlight w:val="none"/>
        </w:rPr>
      </w:pPr>
      <w:bookmarkStart w:id="259" w:name="_Toc8363"/>
      <w:bookmarkStart w:id="260" w:name="_Toc16935"/>
      <w:bookmarkStart w:id="261" w:name="_Toc24316"/>
      <w:bookmarkStart w:id="262" w:name="_Toc461525303"/>
      <w:bookmarkStart w:id="263" w:name="_Toc30023"/>
      <w:bookmarkStart w:id="264" w:name="_Toc12010"/>
      <w:bookmarkStart w:id="265" w:name="_Toc6141"/>
      <w:bookmarkStart w:id="266" w:name="_Toc4943"/>
      <w:bookmarkStart w:id="267" w:name="_Toc5074"/>
      <w:bookmarkStart w:id="268" w:name="_Toc4410"/>
      <w:bookmarkStart w:id="269" w:name="_Toc28390"/>
      <w:bookmarkStart w:id="270" w:name="_Toc16746"/>
      <w:bookmarkStart w:id="271" w:name="_Toc7357"/>
      <w:bookmarkStart w:id="272" w:name="_Toc15810"/>
      <w:bookmarkStart w:id="273" w:name="_Toc19549"/>
      <w:bookmarkStart w:id="274" w:name="_Toc13919"/>
      <w:bookmarkStart w:id="275" w:name="_Toc529"/>
      <w:bookmarkStart w:id="276" w:name="_Toc12149"/>
      <w:bookmarkStart w:id="277" w:name="_Toc17996"/>
      <w:bookmarkStart w:id="278" w:name="_Toc471482367"/>
      <w:bookmarkStart w:id="279" w:name="_Toc24212"/>
      <w:bookmarkStart w:id="280" w:name="_Toc20403"/>
      <w:r>
        <w:rPr>
          <w:rFonts w:hint="eastAsia"/>
          <w:b/>
          <w:sz w:val="21"/>
          <w:szCs w:val="21"/>
          <w:highlight w:val="none"/>
        </w:rPr>
        <w:t>七、授予合同</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spacing w:line="460" w:lineRule="exact"/>
        <w:ind w:firstLine="422" w:firstLineChars="200"/>
        <w:rPr>
          <w:rFonts w:ascii="宋体" w:cs="宋体"/>
          <w:szCs w:val="21"/>
          <w:highlight w:val="none"/>
        </w:rPr>
      </w:pPr>
      <w:r>
        <w:rPr>
          <w:rFonts w:ascii="宋体" w:hAnsi="宋体" w:cs="宋体"/>
          <w:b/>
          <w:szCs w:val="21"/>
          <w:highlight w:val="none"/>
        </w:rPr>
        <w:t>23.</w:t>
      </w:r>
      <w:r>
        <w:rPr>
          <w:rFonts w:hint="eastAsia" w:ascii="宋体" w:hAnsi="宋体" w:cs="宋体"/>
          <w:b/>
          <w:szCs w:val="21"/>
          <w:highlight w:val="none"/>
        </w:rPr>
        <w:t>中选通知书</w:t>
      </w:r>
    </w:p>
    <w:p>
      <w:pPr>
        <w:spacing w:line="460" w:lineRule="exact"/>
        <w:ind w:firstLine="420" w:firstLineChars="200"/>
        <w:rPr>
          <w:rFonts w:ascii="宋体" w:cs="宋体"/>
          <w:szCs w:val="21"/>
          <w:highlight w:val="none"/>
        </w:rPr>
      </w:pPr>
      <w:r>
        <w:rPr>
          <w:rFonts w:ascii="宋体" w:hAnsi="宋体" w:cs="宋体"/>
          <w:szCs w:val="21"/>
          <w:highlight w:val="none"/>
        </w:rPr>
        <w:t xml:space="preserve">23.1 </w:t>
      </w:r>
      <w:r>
        <w:rPr>
          <w:rFonts w:hint="eastAsia" w:ascii="宋体" w:hAnsi="宋体" w:cs="宋体"/>
          <w:szCs w:val="21"/>
          <w:highlight w:val="none"/>
        </w:rPr>
        <w:t>比选人将向中选人发出中选通知书。</w:t>
      </w:r>
    </w:p>
    <w:p>
      <w:pPr>
        <w:spacing w:line="460" w:lineRule="exact"/>
        <w:ind w:firstLine="420" w:firstLineChars="200"/>
        <w:rPr>
          <w:rFonts w:ascii="宋体" w:cs="宋体"/>
          <w:szCs w:val="21"/>
          <w:highlight w:val="none"/>
        </w:rPr>
      </w:pPr>
      <w:r>
        <w:rPr>
          <w:rFonts w:ascii="宋体" w:hAnsi="宋体" w:cs="宋体"/>
          <w:szCs w:val="21"/>
          <w:highlight w:val="none"/>
        </w:rPr>
        <w:t xml:space="preserve">23.2 </w:t>
      </w:r>
      <w:r>
        <w:rPr>
          <w:rFonts w:hint="eastAsia" w:ascii="宋体" w:hAnsi="宋体" w:cs="宋体"/>
          <w:szCs w:val="21"/>
          <w:highlight w:val="none"/>
        </w:rPr>
        <w:t>比选人无义务向落选的比选申请人解释落选原因和退还比选申请文件。</w:t>
      </w:r>
    </w:p>
    <w:p>
      <w:pPr>
        <w:spacing w:line="460" w:lineRule="exact"/>
        <w:ind w:firstLine="420" w:firstLineChars="200"/>
        <w:rPr>
          <w:rFonts w:ascii="宋体" w:cs="宋体"/>
          <w:szCs w:val="21"/>
          <w:highlight w:val="none"/>
        </w:rPr>
      </w:pPr>
      <w:r>
        <w:rPr>
          <w:rFonts w:ascii="宋体" w:hAnsi="宋体" w:cs="宋体"/>
          <w:szCs w:val="21"/>
          <w:highlight w:val="none"/>
        </w:rPr>
        <w:t xml:space="preserve">23.3 </w:t>
      </w:r>
      <w:r>
        <w:rPr>
          <w:rFonts w:hint="eastAsia" w:ascii="宋体" w:hAnsi="宋体" w:cs="宋体"/>
          <w:szCs w:val="21"/>
          <w:highlight w:val="none"/>
        </w:rPr>
        <w:t>中选通知书作为合同的组成部分。</w:t>
      </w:r>
    </w:p>
    <w:p>
      <w:pPr>
        <w:spacing w:line="460" w:lineRule="exact"/>
        <w:ind w:firstLine="422" w:firstLineChars="200"/>
        <w:rPr>
          <w:rFonts w:ascii="宋体" w:cs="宋体"/>
          <w:b/>
          <w:szCs w:val="21"/>
          <w:highlight w:val="none"/>
        </w:rPr>
      </w:pPr>
      <w:r>
        <w:rPr>
          <w:rFonts w:ascii="宋体" w:hAnsi="宋体" w:cs="宋体"/>
          <w:b/>
          <w:szCs w:val="21"/>
          <w:highlight w:val="none"/>
        </w:rPr>
        <w:t>24.</w:t>
      </w:r>
      <w:r>
        <w:rPr>
          <w:rFonts w:hint="eastAsia" w:ascii="宋体" w:hAnsi="宋体" w:cs="宋体"/>
          <w:b/>
          <w:szCs w:val="21"/>
          <w:highlight w:val="none"/>
        </w:rPr>
        <w:t>合同的签署</w:t>
      </w:r>
    </w:p>
    <w:p>
      <w:pPr>
        <w:spacing w:line="460" w:lineRule="exact"/>
        <w:ind w:firstLine="420" w:firstLineChars="200"/>
        <w:jc w:val="center"/>
        <w:rPr>
          <w:rFonts w:hint="eastAsia" w:ascii="宋体" w:hAnsi="宋体" w:cs="宋体"/>
          <w:szCs w:val="21"/>
          <w:highlight w:val="none"/>
        </w:rPr>
      </w:pPr>
      <w:r>
        <w:rPr>
          <w:rFonts w:ascii="宋体" w:hAnsi="宋体" w:cs="宋体"/>
          <w:szCs w:val="21"/>
          <w:highlight w:val="none"/>
        </w:rPr>
        <w:t>24.1</w:t>
      </w:r>
      <w:r>
        <w:rPr>
          <w:rFonts w:hint="eastAsia" w:ascii="宋体" w:hAnsi="宋体" w:cs="宋体"/>
          <w:szCs w:val="21"/>
          <w:highlight w:val="none"/>
        </w:rPr>
        <w:t>中选人收到中选通知书后</w:t>
      </w:r>
      <w:r>
        <w:rPr>
          <w:rFonts w:ascii="宋体" w:hAnsi="宋体" w:cs="宋体"/>
          <w:szCs w:val="21"/>
          <w:highlight w:val="none"/>
        </w:rPr>
        <w:t>20</w:t>
      </w:r>
      <w:r>
        <w:rPr>
          <w:rFonts w:hint="eastAsia" w:ascii="宋体" w:hAnsi="宋体" w:cs="宋体"/>
          <w:szCs w:val="21"/>
          <w:highlight w:val="none"/>
        </w:rPr>
        <w:t>日内，中选单位法定代表人或授权代理人与比选发起人联系办理合同签订事宜。若逾期比选发起人有权取消其中选资格，并选择评审排名次之的比选申请人为本项目中选人；中选的比选申请人若因自己的原因不能履约签订合同，比选发起人将取消其中选资格并且</w:t>
      </w:r>
    </w:p>
    <w:p>
      <w:pPr>
        <w:spacing w:line="460" w:lineRule="exact"/>
        <w:jc w:val="both"/>
        <w:rPr>
          <w:rFonts w:ascii="宋体"/>
          <w:b/>
          <w:bCs/>
          <w:sz w:val="28"/>
          <w:szCs w:val="28"/>
          <w:highlight w:val="none"/>
        </w:rPr>
      </w:pPr>
      <w:r>
        <w:rPr>
          <w:rFonts w:hint="eastAsia" w:ascii="宋体" w:hAnsi="宋体" w:cs="宋体"/>
          <w:szCs w:val="21"/>
          <w:highlight w:val="none"/>
        </w:rPr>
        <w:t>列为不诚信单位，并在后续排名中选候选人中依次向上递补确定中选人或重新比选确定中选人。</w:t>
      </w:r>
      <w:r>
        <w:rPr>
          <w:rFonts w:ascii="楷体_GB2312" w:eastAsia="楷体_GB2312"/>
          <w:b/>
          <w:sz w:val="24"/>
          <w:highlight w:val="none"/>
        </w:rPr>
        <w:br w:type="page"/>
      </w:r>
      <w:bookmarkStart w:id="281" w:name="_Toc7444"/>
      <w:bookmarkStart w:id="282" w:name="_Toc3339"/>
      <w:bookmarkStart w:id="283" w:name="_Toc535961544"/>
      <w:bookmarkStart w:id="284" w:name="_Toc4447"/>
      <w:bookmarkStart w:id="285" w:name="_Toc11246"/>
      <w:bookmarkStart w:id="286" w:name="_Toc30996"/>
      <w:bookmarkStart w:id="287" w:name="_Toc19761"/>
      <w:bookmarkStart w:id="288" w:name="_Toc23613"/>
      <w:bookmarkStart w:id="289" w:name="_Toc21358"/>
      <w:bookmarkStart w:id="290" w:name="_Toc12854"/>
      <w:bookmarkStart w:id="291" w:name="_Toc2960"/>
      <w:bookmarkStart w:id="292" w:name="_Toc31070"/>
      <w:bookmarkStart w:id="293" w:name="_Toc16062"/>
      <w:bookmarkStart w:id="294" w:name="_Toc461525304"/>
      <w:bookmarkStart w:id="295" w:name="_Toc4769"/>
      <w:bookmarkStart w:id="296" w:name="_Toc21670"/>
      <w:bookmarkStart w:id="297" w:name="_Toc5964"/>
      <w:bookmarkStart w:id="298" w:name="_Toc471482368"/>
      <w:bookmarkStart w:id="299" w:name="_Toc1354"/>
      <w:bookmarkStart w:id="300" w:name="_Toc7234"/>
      <w:bookmarkStart w:id="301" w:name="_Toc333307121"/>
      <w:r>
        <w:rPr>
          <w:rFonts w:hint="eastAsia" w:ascii="宋体" w:hAnsi="宋体"/>
          <w:b/>
          <w:bCs/>
          <w:sz w:val="28"/>
          <w:szCs w:val="28"/>
          <w:highlight w:val="none"/>
        </w:rPr>
        <w:t>第二章</w:t>
      </w:r>
      <w:bookmarkStart w:id="302" w:name="_Toc392862509"/>
      <w:r>
        <w:rPr>
          <w:rFonts w:ascii="宋体" w:hAnsi="宋体"/>
          <w:b/>
          <w:bCs/>
          <w:sz w:val="28"/>
          <w:szCs w:val="28"/>
          <w:highlight w:val="none"/>
        </w:rPr>
        <w:t xml:space="preserve"> </w:t>
      </w:r>
      <w:r>
        <w:rPr>
          <w:rFonts w:hint="eastAsia" w:ascii="宋体" w:hAnsi="宋体"/>
          <w:b/>
          <w:bCs/>
          <w:sz w:val="28"/>
          <w:szCs w:val="28"/>
          <w:highlight w:val="none"/>
        </w:rPr>
        <w:t>合同条款（格式）</w:t>
      </w:r>
      <w:bookmarkEnd w:id="281"/>
      <w:bookmarkEnd w:id="282"/>
      <w:bookmarkEnd w:id="283"/>
      <w:bookmarkEnd w:id="284"/>
      <w:bookmarkEnd w:id="285"/>
      <w:bookmarkEnd w:id="286"/>
      <w:bookmarkEnd w:id="287"/>
      <w:bookmarkEnd w:id="288"/>
    </w:p>
    <w:bookmarkEnd w:id="302"/>
    <w:p>
      <w:pPr>
        <w:widowControl/>
        <w:spacing w:line="600" w:lineRule="exact"/>
        <w:jc w:val="center"/>
        <w:rPr>
          <w:rFonts w:ascii="宋体"/>
          <w:bCs/>
          <w:sz w:val="28"/>
          <w:highlight w:val="none"/>
        </w:rPr>
      </w:pPr>
    </w:p>
    <w:p>
      <w:pPr>
        <w:widowControl/>
        <w:spacing w:line="600" w:lineRule="exact"/>
        <w:jc w:val="center"/>
        <w:rPr>
          <w:rFonts w:hint="eastAsia" w:ascii="宋体" w:eastAsia="宋体"/>
          <w:b/>
          <w:sz w:val="44"/>
          <w:szCs w:val="44"/>
          <w:highlight w:val="none"/>
          <w:lang w:val="en-US" w:eastAsia="zh-CN"/>
        </w:rPr>
      </w:pPr>
      <w:r>
        <w:rPr>
          <w:rFonts w:hint="eastAsia" w:ascii="宋体" w:hAnsi="宋体"/>
          <w:b/>
          <w:sz w:val="44"/>
          <w:szCs w:val="44"/>
          <w:highlight w:val="none"/>
        </w:rPr>
        <w:t>南宁轨道</w:t>
      </w:r>
      <w:r>
        <w:rPr>
          <w:rFonts w:hint="eastAsia" w:ascii="宋体" w:hAnsi="宋体"/>
          <w:b/>
          <w:sz w:val="44"/>
          <w:szCs w:val="44"/>
          <w:highlight w:val="none"/>
          <w:lang w:val="en-US" w:eastAsia="zh-CN"/>
        </w:rPr>
        <w:t>交通建设有限</w:t>
      </w:r>
      <w:r>
        <w:rPr>
          <w:rFonts w:hint="eastAsia" w:ascii="宋体" w:hAnsi="宋体"/>
          <w:b/>
          <w:sz w:val="44"/>
          <w:szCs w:val="44"/>
          <w:highlight w:val="none"/>
        </w:rPr>
        <w:t>公司2020年至2022年采购及合同管理专项审计</w:t>
      </w:r>
      <w:r>
        <w:rPr>
          <w:rFonts w:hint="eastAsia" w:ascii="宋体" w:hAnsi="宋体"/>
          <w:b/>
          <w:sz w:val="44"/>
          <w:szCs w:val="44"/>
          <w:highlight w:val="none"/>
          <w:lang w:val="en-US" w:eastAsia="zh-CN"/>
        </w:rPr>
        <w:t>项目</w:t>
      </w:r>
    </w:p>
    <w:tbl>
      <w:tblPr>
        <w:tblStyle w:val="26"/>
        <w:tblpPr w:leftFromText="180" w:rightFromText="180" w:vertAnchor="text" w:horzAnchor="page" w:tblpX="2742" w:tblpY="435"/>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1869" w:type="dxa"/>
          </w:tcPr>
          <w:p>
            <w:pPr>
              <w:keepNext w:val="0"/>
              <w:keepLines w:val="0"/>
              <w:pageBreakBefore w:val="0"/>
              <w:widowControl w:val="0"/>
              <w:kinsoku/>
              <w:wordWrap/>
              <w:overflowPunct/>
              <w:topLinePunct w:val="0"/>
              <w:autoSpaceDE/>
              <w:autoSpaceDN/>
              <w:bidi w:val="0"/>
              <w:adjustRightInd/>
              <w:snapToGrid w:val="0"/>
              <w:spacing w:afterAutospacing="0" w:line="540" w:lineRule="exact"/>
              <w:jc w:val="center"/>
              <w:textAlignment w:val="baseline"/>
              <w:rPr>
                <w:rFonts w:ascii="宋体" w:hAnsi="宋体"/>
                <w:color w:val="000000"/>
                <w:sz w:val="28"/>
                <w:szCs w:val="30"/>
              </w:rPr>
            </w:pPr>
            <w:r>
              <w:rPr>
                <w:rFonts w:hint="eastAsia" w:ascii="宋体" w:hAnsi="宋体"/>
                <w:color w:val="000000"/>
                <w:sz w:val="28"/>
                <w:szCs w:val="30"/>
              </w:rPr>
              <w:t>项目编号：</w:t>
            </w:r>
          </w:p>
        </w:tc>
        <w:tc>
          <w:tcPr>
            <w:tcW w:w="4761" w:type="dxa"/>
          </w:tcPr>
          <w:p>
            <w:pPr>
              <w:keepNext w:val="0"/>
              <w:keepLines w:val="0"/>
              <w:pageBreakBefore w:val="0"/>
              <w:widowControl w:val="0"/>
              <w:kinsoku/>
              <w:wordWrap/>
              <w:overflowPunct/>
              <w:topLinePunct w:val="0"/>
              <w:autoSpaceDE/>
              <w:autoSpaceDN/>
              <w:bidi w:val="0"/>
              <w:adjustRightInd/>
              <w:snapToGrid w:val="0"/>
              <w:spacing w:afterAutospacing="0" w:line="540" w:lineRule="exact"/>
              <w:jc w:val="center"/>
              <w:textAlignment w:val="baseline"/>
              <w:rPr>
                <w:rFonts w:ascii="宋体" w:hAnsi="宋体"/>
                <w:color w:val="000000"/>
                <w:sz w:val="28"/>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trPr>
        <w:tc>
          <w:tcPr>
            <w:tcW w:w="1869" w:type="dxa"/>
          </w:tcPr>
          <w:p>
            <w:pPr>
              <w:keepNext w:val="0"/>
              <w:keepLines w:val="0"/>
              <w:pageBreakBefore w:val="0"/>
              <w:widowControl w:val="0"/>
              <w:kinsoku/>
              <w:wordWrap/>
              <w:overflowPunct/>
              <w:topLinePunct w:val="0"/>
              <w:autoSpaceDE/>
              <w:autoSpaceDN/>
              <w:bidi w:val="0"/>
              <w:adjustRightInd/>
              <w:snapToGrid w:val="0"/>
              <w:spacing w:afterAutospacing="0" w:line="540" w:lineRule="exact"/>
              <w:jc w:val="center"/>
              <w:textAlignment w:val="baseline"/>
              <w:rPr>
                <w:rFonts w:ascii="宋体" w:hAnsi="宋体"/>
                <w:color w:val="000000"/>
                <w:sz w:val="28"/>
                <w:szCs w:val="30"/>
              </w:rPr>
            </w:pPr>
            <w:r>
              <w:rPr>
                <w:rFonts w:hint="eastAsia" w:ascii="宋体" w:hAnsi="宋体"/>
                <w:color w:val="000000"/>
                <w:sz w:val="28"/>
                <w:szCs w:val="30"/>
              </w:rPr>
              <w:t>合同编号：</w:t>
            </w:r>
          </w:p>
        </w:tc>
        <w:tc>
          <w:tcPr>
            <w:tcW w:w="4761" w:type="dxa"/>
          </w:tcPr>
          <w:p>
            <w:pPr>
              <w:keepNext w:val="0"/>
              <w:keepLines w:val="0"/>
              <w:pageBreakBefore w:val="0"/>
              <w:widowControl w:val="0"/>
              <w:kinsoku/>
              <w:wordWrap/>
              <w:overflowPunct/>
              <w:topLinePunct w:val="0"/>
              <w:autoSpaceDE/>
              <w:autoSpaceDN/>
              <w:bidi w:val="0"/>
              <w:adjustRightInd/>
              <w:snapToGrid w:val="0"/>
              <w:spacing w:afterAutospacing="0" w:line="540" w:lineRule="exact"/>
              <w:jc w:val="center"/>
              <w:textAlignment w:val="baseline"/>
              <w:rPr>
                <w:rFonts w:ascii="宋体" w:hAnsi="宋体"/>
                <w:color w:val="000000"/>
                <w:sz w:val="28"/>
                <w:szCs w:val="30"/>
              </w:rPr>
            </w:pPr>
          </w:p>
        </w:tc>
      </w:tr>
    </w:tbl>
    <w:p>
      <w:pPr>
        <w:spacing w:line="360" w:lineRule="auto"/>
        <w:jc w:val="center"/>
        <w:rPr>
          <w:rFonts w:ascii="宋体"/>
          <w:b/>
          <w:bCs/>
          <w:sz w:val="44"/>
          <w:highlight w:val="none"/>
        </w:rPr>
      </w:pPr>
    </w:p>
    <w:p>
      <w:pPr>
        <w:spacing w:line="360" w:lineRule="auto"/>
        <w:jc w:val="center"/>
        <w:rPr>
          <w:rFonts w:ascii="宋体"/>
          <w:b/>
          <w:bCs/>
          <w:sz w:val="44"/>
          <w:highlight w:val="none"/>
        </w:rPr>
      </w:pPr>
    </w:p>
    <w:p>
      <w:pPr>
        <w:spacing w:line="360" w:lineRule="auto"/>
        <w:ind w:firstLine="3507" w:firstLineChars="794"/>
        <w:rPr>
          <w:rFonts w:ascii="宋体"/>
          <w:b/>
          <w:bCs/>
          <w:sz w:val="44"/>
          <w:highlight w:val="none"/>
        </w:rPr>
      </w:pPr>
    </w:p>
    <w:p>
      <w:pPr>
        <w:snapToGrid w:val="0"/>
        <w:spacing w:after="312" w:afterAutospacing="0" w:line="800" w:lineRule="exact"/>
        <w:ind w:left="2443" w:right="-28" w:hanging="2443" w:hangingChars="338"/>
        <w:jc w:val="center"/>
        <w:textAlignment w:val="baseline"/>
        <w:rPr>
          <w:rFonts w:ascii="楷体_GB2312" w:eastAsia="楷体_GB2312"/>
          <w:b/>
          <w:color w:val="000000"/>
          <w:sz w:val="72"/>
          <w:szCs w:val="52"/>
        </w:rPr>
      </w:pPr>
      <w:r>
        <w:rPr>
          <w:rFonts w:hint="eastAsia"/>
          <w:b/>
          <w:color w:val="000000"/>
          <w:sz w:val="72"/>
          <w:szCs w:val="52"/>
        </w:rPr>
        <w:t>合</w:t>
      </w:r>
    </w:p>
    <w:p>
      <w:pPr>
        <w:snapToGrid w:val="0"/>
        <w:spacing w:after="312" w:afterAutospacing="0" w:line="800" w:lineRule="exact"/>
        <w:ind w:left="2443" w:right="-28" w:hanging="2443" w:hangingChars="338"/>
        <w:jc w:val="center"/>
        <w:textAlignment w:val="baseline"/>
        <w:rPr>
          <w:rFonts w:ascii="宋体" w:hAnsi="宋体"/>
          <w:b/>
          <w:color w:val="000000"/>
          <w:sz w:val="72"/>
          <w:szCs w:val="52"/>
        </w:rPr>
      </w:pPr>
      <w:r>
        <w:rPr>
          <w:rFonts w:hint="eastAsia"/>
          <w:b/>
          <w:color w:val="000000"/>
          <w:sz w:val="72"/>
          <w:szCs w:val="52"/>
        </w:rPr>
        <w:t>同</w:t>
      </w:r>
    </w:p>
    <w:p>
      <w:pPr>
        <w:snapToGrid w:val="0"/>
        <w:spacing w:after="312" w:afterAutospacing="0" w:line="800" w:lineRule="exact"/>
        <w:ind w:left="2443" w:right="-28" w:hanging="2443" w:hangingChars="338"/>
        <w:jc w:val="center"/>
        <w:textAlignment w:val="baseline"/>
        <w:rPr>
          <w:b/>
          <w:color w:val="000000"/>
          <w:sz w:val="72"/>
          <w:szCs w:val="52"/>
        </w:rPr>
      </w:pPr>
      <w:r>
        <w:rPr>
          <w:rFonts w:hint="eastAsia"/>
          <w:b/>
          <w:color w:val="000000"/>
          <w:sz w:val="72"/>
          <w:szCs w:val="52"/>
        </w:rPr>
        <w:t>书</w:t>
      </w:r>
    </w:p>
    <w:p>
      <w:pPr>
        <w:spacing w:line="360" w:lineRule="auto"/>
        <w:jc w:val="center"/>
        <w:rPr>
          <w:rFonts w:ascii="宋体"/>
          <w:b/>
          <w:bCs/>
          <w:sz w:val="44"/>
          <w:highlight w:val="none"/>
        </w:rPr>
      </w:pPr>
      <w:r>
        <w:rPr>
          <w:rFonts w:hint="eastAsia" w:ascii="宋体" w:hAnsi="宋体"/>
          <w:b/>
          <w:color w:val="000000"/>
          <w:sz w:val="52"/>
        </w:rPr>
        <w:pict>
          <v:shape id="_x0000_i1025" o:spt="75" alt="2011101891424664" type="#_x0000_t75" style="height:136.15pt;width:122.5pt;" filled="f" o:preferrelative="t" stroked="f" coordsize="21600,21600">
            <v:path/>
            <v:fill on="f" focussize="0,0"/>
            <v:stroke on="f"/>
            <v:imagedata r:id="rId8" o:title=""/>
            <o:lock v:ext="edit" aspectratio="t"/>
            <w10:wrap type="none"/>
            <w10:anchorlock/>
          </v:shape>
        </w:pict>
      </w:r>
    </w:p>
    <w:p>
      <w:pPr>
        <w:snapToGrid w:val="0"/>
        <w:spacing w:before="0" w:after="312" w:afterAutospacing="0" w:line="400" w:lineRule="exact"/>
        <w:textAlignment w:val="baseline"/>
        <w:rPr>
          <w:rFonts w:hint="eastAsia" w:ascii="宋体" w:hAnsi="宋体"/>
          <w:b/>
          <w:color w:val="000000"/>
          <w:sz w:val="28"/>
          <w:szCs w:val="28"/>
        </w:rPr>
      </w:pPr>
    </w:p>
    <w:p>
      <w:pPr>
        <w:snapToGrid w:val="0"/>
        <w:spacing w:before="0" w:after="312" w:afterAutospacing="0" w:line="400" w:lineRule="exact"/>
        <w:textAlignment w:val="baseline"/>
        <w:rPr>
          <w:rFonts w:ascii="宋体" w:hAnsi="宋体"/>
          <w:b/>
          <w:color w:val="000000"/>
          <w:sz w:val="28"/>
          <w:szCs w:val="28"/>
        </w:rPr>
      </w:pPr>
      <w:r>
        <w:rPr>
          <w:rFonts w:hint="eastAsia" w:ascii="宋体" w:hAnsi="宋体"/>
          <w:b/>
          <w:color w:val="000000"/>
          <w:sz w:val="28"/>
          <w:szCs w:val="28"/>
        </w:rPr>
        <w:t>甲    方：</w:t>
      </w:r>
      <w:r>
        <w:rPr>
          <w:rFonts w:hint="eastAsia"/>
          <w:color w:val="000000"/>
          <w:sz w:val="28"/>
          <w:szCs w:val="28"/>
        </w:rPr>
        <w:t>南宁轨道交通集团有限责任公司</w:t>
      </w:r>
    </w:p>
    <w:p>
      <w:pPr>
        <w:snapToGrid w:val="0"/>
        <w:spacing w:before="0" w:after="312" w:afterAutospacing="0" w:line="400" w:lineRule="exact"/>
        <w:textAlignment w:val="baseline"/>
        <w:rPr>
          <w:color w:val="000000"/>
          <w:sz w:val="28"/>
          <w:szCs w:val="28"/>
        </w:rPr>
      </w:pPr>
      <w:r>
        <w:rPr>
          <w:rFonts w:hint="eastAsia" w:ascii="宋体" w:hAnsi="宋体"/>
          <w:b/>
          <w:color w:val="000000"/>
          <w:sz w:val="28"/>
          <w:szCs w:val="28"/>
        </w:rPr>
        <w:t>乙    方：</w:t>
      </w:r>
      <w:r>
        <w:rPr>
          <w:color w:val="000000"/>
          <w:sz w:val="28"/>
          <w:szCs w:val="28"/>
        </w:rPr>
        <w:t xml:space="preserve"> </w:t>
      </w:r>
    </w:p>
    <w:p>
      <w:pPr>
        <w:snapToGrid w:val="0"/>
        <w:spacing w:before="0" w:after="312" w:afterAutospacing="0" w:line="400" w:lineRule="exact"/>
        <w:textAlignment w:val="baseline"/>
        <w:rPr>
          <w:rFonts w:ascii="宋体" w:hAnsi="宋体"/>
          <w:b/>
          <w:color w:val="000000"/>
          <w:sz w:val="28"/>
          <w:szCs w:val="28"/>
        </w:rPr>
      </w:pPr>
      <w:r>
        <w:rPr>
          <w:rFonts w:hint="eastAsia" w:ascii="宋体" w:hAnsi="宋体"/>
          <w:b/>
          <w:color w:val="000000"/>
          <w:sz w:val="28"/>
          <w:szCs w:val="28"/>
        </w:rPr>
        <w:t>签约日期：</w:t>
      </w:r>
      <w:r>
        <w:rPr>
          <w:rFonts w:hint="eastAsia" w:ascii="宋体" w:hAnsi="宋体"/>
          <w:b/>
          <w:color w:val="000000"/>
          <w:sz w:val="28"/>
          <w:szCs w:val="28"/>
          <w:u w:val="single" w:color="000000"/>
        </w:rPr>
        <w:t xml:space="preserve">       </w:t>
      </w:r>
      <w:r>
        <w:rPr>
          <w:rFonts w:hint="eastAsia" w:ascii="宋体" w:hAnsi="宋体"/>
          <w:color w:val="000000"/>
          <w:sz w:val="28"/>
          <w:szCs w:val="28"/>
        </w:rPr>
        <w:t>年</w:t>
      </w:r>
      <w:r>
        <w:rPr>
          <w:rFonts w:hint="eastAsia" w:ascii="宋体" w:hAnsi="宋体"/>
          <w:b/>
          <w:bCs/>
          <w:color w:val="000000"/>
          <w:sz w:val="28"/>
          <w:szCs w:val="28"/>
          <w:u w:val="single" w:color="000000"/>
        </w:rPr>
        <w:t xml:space="preserve">　 </w:t>
      </w:r>
      <w:r>
        <w:rPr>
          <w:rFonts w:hint="eastAsia" w:ascii="宋体" w:hAnsi="宋体"/>
          <w:color w:val="000000"/>
          <w:sz w:val="28"/>
          <w:szCs w:val="28"/>
          <w:u w:val="single" w:color="000000"/>
        </w:rPr>
        <w:t>　</w:t>
      </w:r>
      <w:r>
        <w:rPr>
          <w:rFonts w:hint="eastAsia" w:ascii="宋体" w:hAnsi="宋体"/>
          <w:color w:val="000000"/>
          <w:sz w:val="28"/>
          <w:szCs w:val="28"/>
        </w:rPr>
        <w:t>月</w:t>
      </w:r>
      <w:r>
        <w:rPr>
          <w:rFonts w:hint="eastAsia" w:ascii="宋体" w:hAnsi="宋体"/>
          <w:color w:val="000000"/>
          <w:sz w:val="28"/>
          <w:szCs w:val="28"/>
          <w:u w:val="single" w:color="000000"/>
        </w:rPr>
        <w:t xml:space="preserve">　    </w:t>
      </w:r>
      <w:r>
        <w:rPr>
          <w:rFonts w:hint="eastAsia" w:ascii="宋体" w:hAnsi="宋体"/>
          <w:color w:val="000000"/>
          <w:sz w:val="28"/>
          <w:szCs w:val="28"/>
        </w:rPr>
        <w:t>日</w:t>
      </w:r>
    </w:p>
    <w:p>
      <w:pPr>
        <w:snapToGrid w:val="0"/>
        <w:spacing w:before="0" w:after="312" w:afterAutospacing="0" w:line="400" w:lineRule="exact"/>
        <w:ind w:right="-86"/>
        <w:textAlignment w:val="baseline"/>
        <w:rPr>
          <w:rFonts w:ascii="宋体" w:hAnsi="宋体"/>
          <w:b/>
          <w:bCs/>
          <w:sz w:val="28"/>
          <w:szCs w:val="28"/>
        </w:rPr>
      </w:pPr>
      <w:r>
        <w:rPr>
          <w:rFonts w:hint="eastAsia" w:ascii="宋体" w:hAnsi="宋体"/>
          <w:b/>
          <w:color w:val="000000"/>
          <w:sz w:val="28"/>
          <w:szCs w:val="28"/>
        </w:rPr>
        <w:t>签约</w:t>
      </w:r>
      <w:r>
        <w:rPr>
          <w:rFonts w:hint="eastAsia" w:ascii="宋体" w:hAnsi="宋体"/>
          <w:b/>
          <w:bCs/>
          <w:color w:val="000000"/>
          <w:sz w:val="28"/>
          <w:szCs w:val="28"/>
        </w:rPr>
        <w:t>地点：</w:t>
      </w:r>
      <w:r>
        <w:rPr>
          <w:rFonts w:ascii="宋体" w:hAnsi="宋体"/>
          <w:b/>
          <w:color w:val="000000"/>
          <w:sz w:val="28"/>
          <w:szCs w:val="28"/>
        </w:rPr>
        <w:t xml:space="preserve"> </w:t>
      </w:r>
      <w:r>
        <w:rPr>
          <w:rFonts w:hint="eastAsia" w:ascii="宋体" w:hAnsi="宋体"/>
          <w:color w:val="000000"/>
          <w:sz w:val="28"/>
          <w:szCs w:val="28"/>
        </w:rPr>
        <w:t>广西壮族自治区南宁市</w:t>
      </w:r>
      <w:bookmarkStart w:id="303" w:name="_Toc369787000"/>
      <w:bookmarkEnd w:id="303"/>
    </w:p>
    <w:bookmarkEnd w:id="289"/>
    <w:bookmarkEnd w:id="290"/>
    <w:bookmarkEnd w:id="291"/>
    <w:bookmarkEnd w:id="292"/>
    <w:bookmarkEnd w:id="293"/>
    <w:bookmarkEnd w:id="294"/>
    <w:bookmarkEnd w:id="295"/>
    <w:bookmarkEnd w:id="296"/>
    <w:bookmarkEnd w:id="297"/>
    <w:bookmarkEnd w:id="298"/>
    <w:bookmarkEnd w:id="299"/>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b/>
          <w:sz w:val="36"/>
          <w:szCs w:val="36"/>
          <w:highlight w:val="none"/>
        </w:rPr>
      </w:pPr>
      <w:r>
        <w:rPr>
          <w:rFonts w:hint="eastAsia" w:ascii="宋体" w:hAnsi="宋体"/>
          <w:b/>
          <w:sz w:val="36"/>
          <w:szCs w:val="36"/>
          <w:highlight w:val="none"/>
        </w:rPr>
        <w:t>南宁轨道</w:t>
      </w:r>
      <w:r>
        <w:rPr>
          <w:rFonts w:hint="eastAsia" w:ascii="宋体" w:hAnsi="宋体"/>
          <w:b/>
          <w:sz w:val="36"/>
          <w:szCs w:val="36"/>
          <w:highlight w:val="none"/>
          <w:lang w:val="en-US" w:eastAsia="zh-CN"/>
        </w:rPr>
        <w:t>交通建设有限</w:t>
      </w:r>
      <w:r>
        <w:rPr>
          <w:rFonts w:hint="eastAsia" w:ascii="宋体" w:hAnsi="宋体"/>
          <w:b/>
          <w:sz w:val="36"/>
          <w:szCs w:val="36"/>
          <w:highlight w:val="none"/>
        </w:rPr>
        <w:t>公司2020年至2022年</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宋体"/>
          <w:b/>
          <w:sz w:val="36"/>
          <w:szCs w:val="36"/>
          <w:highlight w:val="none"/>
        </w:rPr>
      </w:pPr>
      <w:r>
        <w:rPr>
          <w:rFonts w:hint="eastAsia" w:ascii="宋体" w:hAnsi="宋体"/>
          <w:b/>
          <w:sz w:val="36"/>
          <w:szCs w:val="36"/>
          <w:highlight w:val="none"/>
        </w:rPr>
        <w:t>采购及合同管理专项审计项目合同书</w:t>
      </w:r>
    </w:p>
    <w:p>
      <w:pPr>
        <w:spacing w:line="520" w:lineRule="exact"/>
        <w:rPr>
          <w:rFonts w:ascii="仿宋_GB2312" w:hAnsi="宋体" w:eastAsia="仿宋_GB2312"/>
          <w:sz w:val="28"/>
          <w:szCs w:val="28"/>
          <w:highlight w:val="none"/>
        </w:rPr>
      </w:pPr>
    </w:p>
    <w:p>
      <w:pPr>
        <w:spacing w:line="540" w:lineRule="exact"/>
        <w:rPr>
          <w:rFonts w:ascii="宋体"/>
          <w:sz w:val="28"/>
          <w:szCs w:val="28"/>
          <w:highlight w:val="none"/>
        </w:rPr>
      </w:pPr>
      <w:r>
        <w:rPr>
          <w:rFonts w:hint="eastAsia" w:ascii="宋体" w:hAnsi="宋体"/>
          <w:sz w:val="28"/>
          <w:szCs w:val="28"/>
          <w:highlight w:val="none"/>
        </w:rPr>
        <w:t>甲</w:t>
      </w:r>
      <w:r>
        <w:rPr>
          <w:rFonts w:ascii="宋体" w:hAnsi="宋体"/>
          <w:sz w:val="28"/>
          <w:szCs w:val="28"/>
          <w:highlight w:val="none"/>
        </w:rPr>
        <w:t xml:space="preserve">    </w:t>
      </w:r>
      <w:r>
        <w:rPr>
          <w:rFonts w:hint="eastAsia" w:ascii="宋体" w:hAnsi="宋体"/>
          <w:sz w:val="28"/>
          <w:szCs w:val="28"/>
          <w:highlight w:val="none"/>
        </w:rPr>
        <w:t>方：南宁轨道交通集团有限责任公司</w:t>
      </w:r>
    </w:p>
    <w:p>
      <w:pPr>
        <w:spacing w:line="540" w:lineRule="exact"/>
        <w:rPr>
          <w:rFonts w:ascii="宋体"/>
          <w:sz w:val="28"/>
          <w:szCs w:val="28"/>
          <w:highlight w:val="none"/>
        </w:rPr>
      </w:pPr>
      <w:r>
        <w:rPr>
          <w:rFonts w:hint="eastAsia" w:ascii="宋体" w:hAnsi="宋体"/>
          <w:sz w:val="28"/>
          <w:szCs w:val="28"/>
          <w:highlight w:val="none"/>
        </w:rPr>
        <w:t>地</w:t>
      </w:r>
      <w:r>
        <w:rPr>
          <w:rFonts w:ascii="宋体" w:hAnsi="宋体"/>
          <w:sz w:val="28"/>
          <w:szCs w:val="28"/>
          <w:highlight w:val="none"/>
        </w:rPr>
        <w:t xml:space="preserve">    </w:t>
      </w:r>
      <w:r>
        <w:rPr>
          <w:rFonts w:hint="eastAsia" w:ascii="宋体" w:hAnsi="宋体"/>
          <w:sz w:val="28"/>
          <w:szCs w:val="28"/>
          <w:highlight w:val="none"/>
        </w:rPr>
        <w:t>址：南宁市青秀区云景路</w:t>
      </w:r>
      <w:r>
        <w:rPr>
          <w:rFonts w:ascii="宋体" w:hAnsi="宋体"/>
          <w:sz w:val="28"/>
          <w:szCs w:val="28"/>
          <w:highlight w:val="none"/>
        </w:rPr>
        <w:t>69</w:t>
      </w:r>
      <w:r>
        <w:rPr>
          <w:rFonts w:hint="eastAsia" w:ascii="宋体" w:hAnsi="宋体"/>
          <w:sz w:val="28"/>
          <w:szCs w:val="28"/>
          <w:highlight w:val="none"/>
        </w:rPr>
        <w:t>号</w:t>
      </w:r>
    </w:p>
    <w:p>
      <w:pPr>
        <w:spacing w:line="540" w:lineRule="exact"/>
        <w:rPr>
          <w:rFonts w:ascii="宋体"/>
          <w:sz w:val="28"/>
          <w:szCs w:val="28"/>
          <w:highlight w:val="none"/>
        </w:rPr>
      </w:pPr>
      <w:r>
        <w:rPr>
          <w:rFonts w:hint="eastAsia" w:ascii="宋体" w:hAnsi="宋体"/>
          <w:sz w:val="28"/>
          <w:szCs w:val="28"/>
          <w:highlight w:val="none"/>
        </w:rPr>
        <w:t>联系方式：</w:t>
      </w:r>
    </w:p>
    <w:p>
      <w:pPr>
        <w:spacing w:line="540" w:lineRule="exact"/>
        <w:rPr>
          <w:rFonts w:ascii="宋体"/>
          <w:sz w:val="28"/>
          <w:szCs w:val="28"/>
          <w:highlight w:val="none"/>
        </w:rPr>
      </w:pPr>
    </w:p>
    <w:p>
      <w:pPr>
        <w:spacing w:line="540" w:lineRule="exact"/>
        <w:rPr>
          <w:rFonts w:ascii="宋体"/>
          <w:sz w:val="28"/>
          <w:szCs w:val="28"/>
          <w:highlight w:val="none"/>
        </w:rPr>
      </w:pPr>
      <w:r>
        <w:rPr>
          <w:rFonts w:hint="eastAsia" w:ascii="宋体" w:hAnsi="宋体"/>
          <w:sz w:val="28"/>
          <w:szCs w:val="28"/>
          <w:highlight w:val="none"/>
        </w:rPr>
        <w:t>乙</w:t>
      </w:r>
      <w:r>
        <w:rPr>
          <w:rFonts w:ascii="宋体" w:hAnsi="宋体"/>
          <w:sz w:val="28"/>
          <w:szCs w:val="28"/>
          <w:highlight w:val="none"/>
        </w:rPr>
        <w:t xml:space="preserve">    </w:t>
      </w:r>
      <w:r>
        <w:rPr>
          <w:rFonts w:hint="eastAsia" w:ascii="宋体" w:hAnsi="宋体"/>
          <w:sz w:val="28"/>
          <w:szCs w:val="28"/>
          <w:highlight w:val="none"/>
        </w:rPr>
        <w:t>方：</w:t>
      </w:r>
    </w:p>
    <w:p>
      <w:pPr>
        <w:spacing w:line="540" w:lineRule="exact"/>
        <w:rPr>
          <w:rFonts w:ascii="宋体"/>
          <w:sz w:val="28"/>
          <w:szCs w:val="28"/>
          <w:highlight w:val="none"/>
        </w:rPr>
      </w:pPr>
      <w:r>
        <w:rPr>
          <w:rFonts w:hint="eastAsia" w:ascii="宋体" w:hAnsi="宋体"/>
          <w:sz w:val="28"/>
          <w:szCs w:val="28"/>
          <w:highlight w:val="none"/>
        </w:rPr>
        <w:t>地</w:t>
      </w:r>
      <w:r>
        <w:rPr>
          <w:rFonts w:ascii="宋体" w:hAnsi="宋体"/>
          <w:sz w:val="28"/>
          <w:szCs w:val="28"/>
          <w:highlight w:val="none"/>
        </w:rPr>
        <w:t xml:space="preserve">    </w:t>
      </w:r>
      <w:r>
        <w:rPr>
          <w:rFonts w:hint="eastAsia" w:ascii="宋体" w:hAnsi="宋体"/>
          <w:sz w:val="28"/>
          <w:szCs w:val="28"/>
          <w:highlight w:val="none"/>
        </w:rPr>
        <w:t>址：</w:t>
      </w:r>
    </w:p>
    <w:p>
      <w:pPr>
        <w:spacing w:line="540" w:lineRule="exact"/>
        <w:rPr>
          <w:rFonts w:ascii="宋体"/>
          <w:sz w:val="28"/>
          <w:szCs w:val="28"/>
          <w:highlight w:val="none"/>
        </w:rPr>
      </w:pPr>
      <w:r>
        <w:rPr>
          <w:rFonts w:hint="eastAsia" w:ascii="宋体" w:hAnsi="宋体"/>
          <w:sz w:val="28"/>
          <w:szCs w:val="28"/>
          <w:highlight w:val="none"/>
        </w:rPr>
        <w:t>联系方式：</w:t>
      </w:r>
    </w:p>
    <w:p>
      <w:pPr>
        <w:spacing w:line="540" w:lineRule="exact"/>
        <w:rPr>
          <w:rFonts w:ascii="宋体"/>
          <w:sz w:val="28"/>
          <w:szCs w:val="28"/>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rPr>
        <w:t>甲方因业务发展需要，通过公开比选确定乙方中选</w:t>
      </w:r>
      <w:r>
        <w:rPr>
          <w:rFonts w:hint="eastAsia" w:ascii="宋体" w:hAnsi="宋体"/>
          <w:sz w:val="28"/>
          <w:szCs w:val="28"/>
          <w:highlight w:val="none"/>
          <w:u w:val="single"/>
        </w:rPr>
        <w:t>南宁轨道</w:t>
      </w:r>
      <w:r>
        <w:rPr>
          <w:rFonts w:hint="eastAsia" w:ascii="宋体" w:hAnsi="宋体"/>
          <w:sz w:val="28"/>
          <w:szCs w:val="28"/>
          <w:highlight w:val="none"/>
          <w:u w:val="single"/>
          <w:lang w:val="en-US" w:eastAsia="zh-CN"/>
        </w:rPr>
        <w:t>交通建设有限</w:t>
      </w:r>
      <w:r>
        <w:rPr>
          <w:rFonts w:hint="eastAsia" w:ascii="宋体" w:hAnsi="宋体"/>
          <w:sz w:val="28"/>
          <w:szCs w:val="28"/>
          <w:highlight w:val="none"/>
          <w:u w:val="single"/>
        </w:rPr>
        <w:t>公司2020年至2022年采购及合同管理专项审计项目</w:t>
      </w:r>
      <w:r>
        <w:rPr>
          <w:rFonts w:hint="eastAsia" w:ascii="宋体" w:hAnsi="宋体"/>
          <w:sz w:val="28"/>
          <w:szCs w:val="28"/>
          <w:highlight w:val="none"/>
        </w:rPr>
        <w:t>，经双方平等友好协商，达成如下协议：</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宋体"/>
          <w:b/>
          <w:sz w:val="28"/>
          <w:szCs w:val="28"/>
          <w:highlight w:val="none"/>
        </w:rPr>
      </w:pPr>
      <w:r>
        <w:rPr>
          <w:rFonts w:hint="eastAsia" w:ascii="宋体" w:hAnsi="宋体"/>
          <w:b/>
          <w:sz w:val="28"/>
          <w:szCs w:val="28"/>
          <w:highlight w:val="none"/>
        </w:rPr>
        <w:t>一、合同文件的优先次序</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eastAsia="zh-CN"/>
        </w:rPr>
        <w:t>（</w:t>
      </w:r>
      <w:r>
        <w:rPr>
          <w:rFonts w:hint="eastAsia" w:ascii="宋体" w:hAnsi="宋体"/>
          <w:sz w:val="28"/>
          <w:szCs w:val="28"/>
          <w:highlight w:val="none"/>
        </w:rPr>
        <w:t>一</w:t>
      </w:r>
      <w:r>
        <w:rPr>
          <w:rFonts w:hint="eastAsia" w:ascii="宋体" w:hAnsi="宋体"/>
          <w:sz w:val="28"/>
          <w:szCs w:val="28"/>
          <w:highlight w:val="none"/>
          <w:lang w:eastAsia="zh-CN"/>
        </w:rPr>
        <w:t>）</w:t>
      </w:r>
      <w:r>
        <w:rPr>
          <w:rFonts w:hint="eastAsia" w:ascii="宋体" w:hAnsi="宋体"/>
          <w:sz w:val="28"/>
          <w:szCs w:val="28"/>
          <w:highlight w:val="none"/>
        </w:rPr>
        <w:t>下列文件一起构成合同文件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val="en-US" w:eastAsia="zh-CN"/>
        </w:rPr>
        <w:t>1.</w:t>
      </w:r>
      <w:r>
        <w:rPr>
          <w:rFonts w:hint="eastAsia" w:ascii="宋体" w:hAnsi="宋体"/>
          <w:sz w:val="28"/>
          <w:szCs w:val="28"/>
          <w:highlight w:val="none"/>
        </w:rPr>
        <w:t>合同协议书及各种合同附件（含比选评审期间和合同谈判过程中的澄清文件和补充资料）；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val="en-US" w:eastAsia="zh-CN"/>
        </w:rPr>
        <w:t>2.</w:t>
      </w:r>
      <w:r>
        <w:rPr>
          <w:rFonts w:hint="eastAsia" w:ascii="宋体" w:hAnsi="宋体"/>
          <w:sz w:val="28"/>
          <w:szCs w:val="28"/>
          <w:highlight w:val="none"/>
        </w:rPr>
        <w:t>中选通知书；</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val="en-US" w:eastAsia="zh-CN"/>
        </w:rPr>
        <w:t>3.</w:t>
      </w:r>
      <w:r>
        <w:rPr>
          <w:rFonts w:hint="eastAsia" w:ascii="宋体" w:hAnsi="宋体"/>
          <w:sz w:val="28"/>
          <w:szCs w:val="28"/>
          <w:highlight w:val="none"/>
        </w:rPr>
        <w:t>比选申请文件及比选申请函；</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val="en-US" w:eastAsia="zh-CN"/>
        </w:rPr>
        <w:t>4.</w:t>
      </w:r>
      <w:r>
        <w:rPr>
          <w:rFonts w:hint="eastAsia" w:ascii="宋体" w:hAnsi="宋体"/>
          <w:sz w:val="28"/>
          <w:szCs w:val="28"/>
          <w:highlight w:val="none"/>
        </w:rPr>
        <w:t>比选文件；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val="en-US" w:eastAsia="zh-CN"/>
        </w:rPr>
        <w:t>5.</w:t>
      </w:r>
      <w:r>
        <w:rPr>
          <w:rFonts w:hint="eastAsia" w:ascii="宋体" w:hAnsi="宋体"/>
          <w:sz w:val="28"/>
          <w:szCs w:val="28"/>
          <w:highlight w:val="none"/>
        </w:rPr>
        <w:t>其他合同文件。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rPr>
        <w:t>（二）上述文件互相补充和解释，如有不明确或不一致之处，以上述次序在先者为准；同一次序的文件以时间在后的为准。</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宋体"/>
          <w:b/>
          <w:sz w:val="28"/>
          <w:szCs w:val="28"/>
          <w:highlight w:val="none"/>
        </w:rPr>
      </w:pPr>
      <w:r>
        <w:rPr>
          <w:rFonts w:hint="eastAsia" w:ascii="宋体" w:hAnsi="宋体"/>
          <w:b/>
          <w:sz w:val="28"/>
          <w:szCs w:val="28"/>
          <w:highlight w:val="none"/>
        </w:rPr>
        <w:t>二、</w:t>
      </w:r>
      <w:r>
        <w:rPr>
          <w:rFonts w:hint="eastAsia" w:ascii="宋体" w:hAnsi="宋体"/>
          <w:b/>
          <w:sz w:val="28"/>
          <w:szCs w:val="28"/>
          <w:highlight w:val="none"/>
          <w:lang w:val="en-US" w:eastAsia="zh-CN"/>
        </w:rPr>
        <w:t>审计</w:t>
      </w:r>
      <w:r>
        <w:rPr>
          <w:rFonts w:hint="eastAsia" w:ascii="宋体" w:hAnsi="宋体"/>
          <w:b/>
          <w:sz w:val="28"/>
          <w:szCs w:val="28"/>
          <w:highlight w:val="none"/>
        </w:rPr>
        <w:t>内容和要求</w:t>
      </w:r>
    </w:p>
    <w:p>
      <w:pPr>
        <w:spacing w:line="540" w:lineRule="exact"/>
        <w:ind w:firstLine="420" w:firstLineChars="150"/>
        <w:rPr>
          <w:rFonts w:hint="default" w:ascii="宋体" w:eastAsia="宋体"/>
          <w:sz w:val="28"/>
          <w:szCs w:val="28"/>
          <w:highlight w:val="none"/>
          <w:lang w:val="en-US" w:eastAsia="zh-CN"/>
        </w:rPr>
      </w:pPr>
      <w:r>
        <w:rPr>
          <w:rFonts w:hint="eastAsia" w:ascii="宋体" w:hAnsi="宋体"/>
          <w:sz w:val="28"/>
          <w:szCs w:val="28"/>
          <w:highlight w:val="none"/>
        </w:rPr>
        <w:t>（一）</w:t>
      </w:r>
      <w:r>
        <w:rPr>
          <w:rFonts w:hint="eastAsia" w:ascii="宋体" w:hAnsi="宋体"/>
          <w:sz w:val="28"/>
          <w:szCs w:val="28"/>
          <w:highlight w:val="none"/>
          <w:lang w:val="en-US" w:eastAsia="zh-CN"/>
        </w:rPr>
        <w:t>审计</w:t>
      </w:r>
      <w:r>
        <w:rPr>
          <w:rFonts w:hint="eastAsia" w:ascii="宋体" w:hAnsi="宋体"/>
          <w:sz w:val="28"/>
          <w:szCs w:val="28"/>
          <w:highlight w:val="none"/>
        </w:rPr>
        <w:t>内容</w:t>
      </w:r>
      <w:r>
        <w:rPr>
          <w:rFonts w:hint="eastAsia" w:ascii="宋体" w:hAnsi="宋体"/>
          <w:sz w:val="28"/>
          <w:szCs w:val="28"/>
          <w:highlight w:val="none"/>
          <w:lang w:eastAsia="zh-CN"/>
        </w:rPr>
        <w:t>、</w:t>
      </w:r>
      <w:r>
        <w:rPr>
          <w:rFonts w:hint="eastAsia" w:ascii="宋体" w:hAnsi="宋体"/>
          <w:sz w:val="28"/>
          <w:szCs w:val="28"/>
          <w:highlight w:val="none"/>
          <w:lang w:val="en-US" w:eastAsia="zh-CN"/>
        </w:rPr>
        <w:t>范围</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rPr>
      </w:pPr>
      <w:r>
        <w:rPr>
          <w:rFonts w:hint="eastAsia" w:ascii="宋体" w:hAnsi="宋体" w:cs="仿宋"/>
          <w:sz w:val="28"/>
          <w:szCs w:val="28"/>
          <w:highlight w:val="none"/>
        </w:rPr>
        <w:t>对南宁轨道</w:t>
      </w:r>
      <w:r>
        <w:rPr>
          <w:rFonts w:hint="eastAsia" w:ascii="宋体" w:hAnsi="宋体" w:cs="仿宋"/>
          <w:sz w:val="28"/>
          <w:szCs w:val="28"/>
          <w:highlight w:val="none"/>
          <w:lang w:val="en-US" w:eastAsia="zh-CN"/>
        </w:rPr>
        <w:t>交通建设有限</w:t>
      </w:r>
      <w:r>
        <w:rPr>
          <w:rFonts w:hint="eastAsia" w:ascii="宋体" w:hAnsi="宋体" w:cs="仿宋"/>
          <w:sz w:val="28"/>
          <w:szCs w:val="28"/>
          <w:highlight w:val="none"/>
        </w:rPr>
        <w:t>公司</w:t>
      </w:r>
      <w:r>
        <w:rPr>
          <w:rFonts w:hint="eastAsia" w:ascii="宋体" w:hAnsi="宋体" w:cs="仿宋"/>
          <w:sz w:val="28"/>
          <w:szCs w:val="28"/>
          <w:highlight w:val="none"/>
          <w:lang w:val="en-US" w:eastAsia="zh-CN"/>
        </w:rPr>
        <w:t>4号线、5号线工程项目2020年1月至2022年12月采购管理、合同管理、工程签证管理情况</w:t>
      </w:r>
      <w:r>
        <w:rPr>
          <w:rFonts w:hint="eastAsia" w:ascii="宋体" w:hAnsi="宋体" w:cs="仿宋"/>
          <w:sz w:val="28"/>
          <w:szCs w:val="28"/>
          <w:highlight w:val="none"/>
        </w:rPr>
        <w:t>开展审计，包括</w:t>
      </w:r>
      <w:r>
        <w:rPr>
          <w:rFonts w:hint="eastAsia" w:ascii="宋体" w:hAnsi="宋体" w:cs="仿宋"/>
          <w:sz w:val="28"/>
          <w:szCs w:val="28"/>
          <w:highlight w:val="none"/>
          <w:lang w:val="en-US" w:eastAsia="zh-CN"/>
        </w:rPr>
        <w:t>勘察、设计、监理、施工、咨询、设备物资等采购合同的招标、审批、履行以及合同签订、结算、变更、索赔、工程签证管理</w:t>
      </w:r>
      <w:r>
        <w:rPr>
          <w:rFonts w:hint="eastAsia" w:ascii="宋体" w:hAnsi="宋体" w:cs="仿宋"/>
          <w:sz w:val="28"/>
          <w:szCs w:val="28"/>
          <w:highlight w:val="none"/>
        </w:rPr>
        <w:t>等</w:t>
      </w:r>
      <w:r>
        <w:rPr>
          <w:rFonts w:hint="eastAsia" w:ascii="宋体" w:hAnsi="宋体" w:cs="仿宋"/>
          <w:sz w:val="28"/>
          <w:szCs w:val="28"/>
          <w:highlight w:val="none"/>
          <w:lang w:val="en-US" w:eastAsia="zh-CN"/>
        </w:rPr>
        <w:t>主要业务环节的内部控制</w:t>
      </w:r>
      <w:r>
        <w:rPr>
          <w:rFonts w:hint="eastAsia" w:ascii="宋体" w:hAnsi="宋体" w:cs="仿宋"/>
          <w:sz w:val="28"/>
          <w:szCs w:val="28"/>
          <w:highlight w:val="none"/>
        </w:rPr>
        <w:t>情况</w:t>
      </w:r>
      <w:r>
        <w:rPr>
          <w:rFonts w:hint="eastAsia" w:ascii="宋体" w:hAnsi="宋体" w:cs="仿宋"/>
          <w:sz w:val="28"/>
          <w:szCs w:val="28"/>
          <w:highlight w:val="none"/>
          <w:lang w:val="en-US" w:eastAsia="zh-CN"/>
        </w:rPr>
        <w:t>进行审</w:t>
      </w:r>
      <w:r>
        <w:rPr>
          <w:rFonts w:hint="eastAsia" w:ascii="宋体" w:hAnsi="宋体" w:cs="仿宋"/>
          <w:sz w:val="28"/>
          <w:szCs w:val="28"/>
          <w:highlight w:val="none"/>
        </w:rPr>
        <w:t>计。包括但不仅限于以下内容：</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default" w:ascii="宋体" w:hAnsi="宋体" w:cs="仿宋"/>
          <w:sz w:val="28"/>
          <w:szCs w:val="28"/>
          <w:highlight w:val="none"/>
          <w:lang w:val="en-US" w:eastAsia="zh-CN"/>
        </w:rPr>
      </w:pPr>
      <w:r>
        <w:rPr>
          <w:rFonts w:hint="eastAsia" w:ascii="宋体" w:hAnsi="宋体" w:cs="仿宋"/>
          <w:sz w:val="28"/>
          <w:szCs w:val="28"/>
          <w:highlight w:val="none"/>
          <w:lang w:val="en-US" w:eastAsia="zh-CN"/>
        </w:rPr>
        <w:t>1.采购管理审计</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lang w:val="en-US" w:eastAsia="zh-CN"/>
        </w:rPr>
      </w:pPr>
      <w:r>
        <w:rPr>
          <w:rFonts w:hint="eastAsia" w:ascii="宋体" w:hAnsi="宋体" w:cs="仿宋"/>
          <w:sz w:val="28"/>
          <w:szCs w:val="28"/>
          <w:highlight w:val="none"/>
          <w:lang w:val="en-US" w:eastAsia="zh-CN"/>
        </w:rPr>
        <w:t>（1）采购管理制度及标准化流程的建立情况及制度设计的合理性；</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lang w:val="en-US" w:eastAsia="zh-CN"/>
        </w:rPr>
      </w:pPr>
      <w:r>
        <w:rPr>
          <w:rFonts w:hint="eastAsia" w:ascii="宋体" w:hAnsi="宋体" w:cs="仿宋"/>
          <w:sz w:val="28"/>
          <w:szCs w:val="28"/>
          <w:highlight w:val="none"/>
          <w:lang w:val="en-US" w:eastAsia="zh-CN"/>
        </w:rPr>
        <w:t>（2）采购工作管理委员会、总经理办公会、董事会分级审批、决策</w:t>
      </w:r>
      <w:r>
        <w:rPr>
          <w:rFonts w:hint="eastAsia" w:ascii="宋体" w:hAnsi="宋体" w:cs="仿宋"/>
          <w:sz w:val="28"/>
          <w:szCs w:val="28"/>
          <w:highlight w:val="none"/>
          <w:lang w:val="zh-CN" w:eastAsia="zh-CN"/>
        </w:rPr>
        <w:t>情况</w:t>
      </w:r>
      <w:r>
        <w:rPr>
          <w:rFonts w:hint="eastAsia" w:ascii="宋体" w:hAnsi="宋体" w:cs="仿宋"/>
          <w:sz w:val="28"/>
          <w:szCs w:val="28"/>
          <w:highlight w:val="none"/>
          <w:lang w:val="en-US" w:eastAsia="zh-CN"/>
        </w:rPr>
        <w:t>；</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lang w:val="en-US" w:eastAsia="zh-CN"/>
        </w:rPr>
      </w:pPr>
      <w:r>
        <w:rPr>
          <w:rFonts w:hint="eastAsia" w:ascii="宋体" w:hAnsi="宋体" w:cs="仿宋"/>
          <w:sz w:val="28"/>
          <w:szCs w:val="28"/>
          <w:highlight w:val="none"/>
          <w:lang w:val="en-US" w:eastAsia="zh-CN"/>
        </w:rPr>
        <w:t>（3）年度采购计划编制、月度临时新增采购计划、紧急采购计划的编制、审批、执行</w:t>
      </w:r>
      <w:r>
        <w:rPr>
          <w:rFonts w:hint="eastAsia" w:ascii="宋体" w:hAnsi="宋体" w:cs="仿宋"/>
          <w:sz w:val="28"/>
          <w:szCs w:val="28"/>
          <w:highlight w:val="none"/>
          <w:lang w:val="zh-CN" w:eastAsia="zh-CN"/>
        </w:rPr>
        <w:t>情况</w:t>
      </w:r>
      <w:r>
        <w:rPr>
          <w:rFonts w:hint="eastAsia" w:ascii="宋体" w:hAnsi="宋体" w:cs="仿宋"/>
          <w:sz w:val="28"/>
          <w:szCs w:val="28"/>
          <w:highlight w:val="none"/>
          <w:lang w:val="en-US" w:eastAsia="zh-CN"/>
        </w:rPr>
        <w:t>；</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lang w:val="en-US" w:eastAsia="zh-CN"/>
        </w:rPr>
      </w:pPr>
      <w:r>
        <w:rPr>
          <w:rFonts w:hint="eastAsia" w:ascii="宋体" w:hAnsi="宋体" w:cs="仿宋"/>
          <w:sz w:val="28"/>
          <w:szCs w:val="28"/>
          <w:highlight w:val="none"/>
          <w:lang w:val="en-US" w:eastAsia="zh-CN"/>
        </w:rPr>
        <w:t>（4）招标类采购、非招标类采购的分判及具体执行情况，关注非公开招标类项目采购评审、谈判过程；</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lang w:val="en-US" w:eastAsia="zh-CN"/>
        </w:rPr>
      </w:pPr>
      <w:r>
        <w:rPr>
          <w:rFonts w:hint="eastAsia" w:ascii="宋体" w:hAnsi="宋体" w:cs="仿宋"/>
          <w:sz w:val="28"/>
          <w:szCs w:val="28"/>
          <w:highlight w:val="none"/>
          <w:lang w:val="en-US" w:eastAsia="zh-CN"/>
        </w:rPr>
        <w:t>（5）供应商管理及评价体系建立、各类供应商资源库考察、维护情况；</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lang w:val="en-US" w:eastAsia="zh-CN"/>
        </w:rPr>
      </w:pPr>
      <w:r>
        <w:rPr>
          <w:rFonts w:hint="eastAsia" w:ascii="宋体" w:hAnsi="宋体" w:cs="仿宋"/>
          <w:sz w:val="28"/>
          <w:szCs w:val="28"/>
          <w:highlight w:val="none"/>
          <w:lang w:val="en-US" w:eastAsia="zh-CN"/>
        </w:rPr>
        <w:t xml:space="preserve">（6）采购监督部门执行监督、检查的情况； </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lang w:val="en-US" w:eastAsia="zh-CN"/>
        </w:rPr>
      </w:pPr>
      <w:r>
        <w:rPr>
          <w:rFonts w:hint="eastAsia" w:ascii="宋体" w:hAnsi="宋体" w:cs="仿宋"/>
          <w:sz w:val="28"/>
          <w:szCs w:val="28"/>
          <w:highlight w:val="none"/>
          <w:lang w:val="en-US" w:eastAsia="zh-CN"/>
        </w:rPr>
        <w:t>（7）在</w:t>
      </w:r>
      <w:r>
        <w:rPr>
          <w:rFonts w:hint="eastAsia" w:ascii="宋体" w:hAnsi="宋体" w:cs="仿宋"/>
          <w:sz w:val="28"/>
          <w:szCs w:val="28"/>
          <w:highlight w:val="none"/>
          <w:lang w:val="zh-CN" w:eastAsia="zh-CN"/>
        </w:rPr>
        <w:t>采购活动中落实有关党风廉政建设责任和遵守廉洁从业规定情况</w:t>
      </w:r>
      <w:r>
        <w:rPr>
          <w:rFonts w:hint="eastAsia" w:ascii="宋体" w:hAnsi="宋体" w:cs="仿宋"/>
          <w:sz w:val="28"/>
          <w:szCs w:val="28"/>
          <w:highlight w:val="none"/>
          <w:lang w:val="en-US" w:eastAsia="zh-CN"/>
        </w:rPr>
        <w:t>；</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lang w:val="en-US" w:eastAsia="zh-CN"/>
        </w:rPr>
      </w:pPr>
      <w:r>
        <w:rPr>
          <w:rFonts w:hint="eastAsia" w:ascii="宋体" w:hAnsi="宋体" w:cs="仿宋"/>
          <w:sz w:val="28"/>
          <w:szCs w:val="28"/>
          <w:highlight w:val="none"/>
          <w:lang w:val="en-US" w:eastAsia="zh-CN"/>
        </w:rPr>
        <w:t>（8）采购验收手续是否完整、真实；</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default" w:ascii="宋体" w:hAnsi="宋体" w:cs="仿宋"/>
          <w:sz w:val="28"/>
          <w:szCs w:val="28"/>
          <w:highlight w:val="none"/>
          <w:lang w:val="en-US" w:eastAsia="zh-CN"/>
        </w:rPr>
      </w:pPr>
      <w:r>
        <w:rPr>
          <w:rFonts w:hint="eastAsia" w:ascii="宋体" w:hAnsi="宋体" w:cs="仿宋"/>
          <w:sz w:val="28"/>
          <w:szCs w:val="28"/>
          <w:highlight w:val="none"/>
          <w:lang w:val="en-US" w:eastAsia="zh-CN"/>
        </w:rPr>
        <w:t>（9）采购流程是否遵守国家法规及公司的采购管理制度；</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lang w:val="en-US" w:eastAsia="zh-CN"/>
        </w:rPr>
      </w:pPr>
      <w:r>
        <w:rPr>
          <w:rFonts w:hint="eastAsia" w:ascii="宋体" w:hAnsi="宋体" w:cs="仿宋"/>
          <w:sz w:val="28"/>
          <w:szCs w:val="28"/>
          <w:highlight w:val="none"/>
          <w:lang w:val="en-US" w:eastAsia="zh-CN"/>
        </w:rPr>
        <w:t>（10）采购台账日常管理情况，采购文件管理、归档情况。</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default" w:ascii="宋体" w:hAnsi="宋体" w:cs="仿宋"/>
          <w:sz w:val="28"/>
          <w:szCs w:val="28"/>
          <w:highlight w:val="none"/>
          <w:lang w:val="en-US" w:eastAsia="zh-CN"/>
        </w:rPr>
      </w:pPr>
      <w:r>
        <w:rPr>
          <w:rFonts w:hint="eastAsia" w:ascii="宋体" w:hAnsi="宋体" w:cs="仿宋"/>
          <w:sz w:val="28"/>
          <w:szCs w:val="28"/>
          <w:highlight w:val="none"/>
          <w:lang w:val="en-US" w:eastAsia="zh-CN"/>
        </w:rPr>
        <w:t>2.合同管理审计</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lang w:val="en-US" w:eastAsia="zh-CN"/>
        </w:rPr>
      </w:pPr>
      <w:r>
        <w:rPr>
          <w:rFonts w:hint="eastAsia" w:ascii="宋体" w:hAnsi="宋体" w:cs="仿宋"/>
          <w:sz w:val="28"/>
          <w:szCs w:val="28"/>
          <w:highlight w:val="none"/>
          <w:lang w:val="en-US" w:eastAsia="zh-CN"/>
        </w:rPr>
        <w:t>（1）合同管理制度和标准化流程，以及合同管理系统的建立情况，制度设计的合理性；</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default" w:ascii="宋体" w:hAnsi="宋体" w:cs="仿宋"/>
          <w:sz w:val="28"/>
          <w:szCs w:val="28"/>
          <w:highlight w:val="none"/>
          <w:lang w:val="en-US" w:eastAsia="zh-CN"/>
        </w:rPr>
      </w:pPr>
      <w:r>
        <w:rPr>
          <w:rFonts w:hint="eastAsia" w:ascii="宋体" w:hAnsi="宋体" w:cs="仿宋"/>
          <w:sz w:val="28"/>
          <w:szCs w:val="28"/>
          <w:highlight w:val="none"/>
          <w:lang w:val="en-US" w:eastAsia="zh-CN"/>
        </w:rPr>
        <w:t>（2）合同审批、签订流程执行情况，关注合同审批、签订流程是否符合相关规定，手续是否完整；</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default" w:ascii="宋体" w:hAnsi="宋体" w:cs="仿宋"/>
          <w:sz w:val="28"/>
          <w:szCs w:val="28"/>
          <w:highlight w:val="none"/>
          <w:lang w:val="en-US" w:eastAsia="zh-CN"/>
        </w:rPr>
      </w:pPr>
      <w:r>
        <w:rPr>
          <w:rFonts w:hint="eastAsia" w:ascii="宋体" w:hAnsi="宋体" w:cs="仿宋"/>
          <w:sz w:val="28"/>
          <w:szCs w:val="28"/>
          <w:highlight w:val="none"/>
          <w:lang w:val="en-US" w:eastAsia="zh-CN"/>
        </w:rPr>
        <w:t>（3）合同履约过程管理情况，实际履约效果与采购需求的一致性，关注合同发生变更是否符合原合同条款或法定条件，依据是否充分，相关审批手续是否完整；</w:t>
      </w:r>
    </w:p>
    <w:p>
      <w:pPr>
        <w:pStyle w:val="55"/>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560" w:firstLineChars="200"/>
        <w:jc w:val="both"/>
        <w:textAlignment w:val="auto"/>
        <w:rPr>
          <w:rFonts w:hint="default" w:ascii="宋体" w:hAnsi="宋体" w:eastAsia="宋体" w:cs="仿宋"/>
          <w:kern w:val="2"/>
          <w:sz w:val="28"/>
          <w:szCs w:val="28"/>
          <w:highlight w:val="none"/>
          <w:lang w:val="en-US" w:eastAsia="zh-CN" w:bidi="ar-SA"/>
        </w:rPr>
      </w:pPr>
      <w:r>
        <w:rPr>
          <w:rFonts w:hint="eastAsia" w:ascii="宋体" w:hAnsi="宋体" w:eastAsia="宋体" w:cs="仿宋"/>
          <w:kern w:val="2"/>
          <w:sz w:val="28"/>
          <w:szCs w:val="28"/>
          <w:highlight w:val="none"/>
          <w:lang w:val="en-US" w:eastAsia="zh-CN" w:bidi="ar-SA"/>
        </w:rPr>
        <w:t>（4）公司对合同的履行情况是否进行跟踪管理，是否存在超付合同支付的违规行为；</w:t>
      </w:r>
    </w:p>
    <w:p>
      <w:pPr>
        <w:pStyle w:val="55"/>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560" w:firstLineChars="200"/>
        <w:jc w:val="both"/>
        <w:textAlignment w:val="auto"/>
        <w:rPr>
          <w:rFonts w:hint="default" w:ascii="宋体" w:hAnsi="宋体" w:eastAsia="宋体" w:cs="仿宋"/>
          <w:kern w:val="2"/>
          <w:sz w:val="28"/>
          <w:szCs w:val="28"/>
          <w:highlight w:val="none"/>
          <w:lang w:val="en-US" w:eastAsia="zh-CN" w:bidi="ar-SA"/>
        </w:rPr>
      </w:pPr>
      <w:r>
        <w:rPr>
          <w:rFonts w:hint="eastAsia" w:ascii="宋体" w:hAnsi="宋体" w:eastAsia="宋体" w:cs="仿宋"/>
          <w:kern w:val="2"/>
          <w:sz w:val="28"/>
          <w:szCs w:val="28"/>
          <w:highlight w:val="none"/>
          <w:lang w:val="en-US" w:eastAsia="zh-CN" w:bidi="ar-SA"/>
        </w:rPr>
        <w:t>（5）合同变更审批、结算、付款、索赔情况，关注是否存在支付风险；</w:t>
      </w:r>
    </w:p>
    <w:p>
      <w:pPr>
        <w:pStyle w:val="55"/>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560" w:firstLineChars="200"/>
        <w:jc w:val="both"/>
        <w:textAlignment w:val="auto"/>
        <w:rPr>
          <w:rFonts w:hint="eastAsia" w:ascii="宋体" w:hAnsi="宋体" w:eastAsia="宋体" w:cs="仿宋"/>
          <w:kern w:val="2"/>
          <w:sz w:val="28"/>
          <w:szCs w:val="28"/>
          <w:highlight w:val="none"/>
          <w:lang w:val="en-US" w:eastAsia="zh-CN" w:bidi="ar-SA"/>
        </w:rPr>
      </w:pPr>
      <w:r>
        <w:rPr>
          <w:rFonts w:hint="eastAsia" w:ascii="宋体" w:hAnsi="宋体" w:eastAsia="宋体" w:cs="仿宋"/>
          <w:kern w:val="2"/>
          <w:sz w:val="28"/>
          <w:szCs w:val="28"/>
          <w:highlight w:val="none"/>
          <w:lang w:val="en-US" w:eastAsia="zh-CN" w:bidi="ar-SA"/>
        </w:rPr>
        <w:t>（6）合同日常管理情况，合同台账、合同文本、结算资料等归档与保管情况，公司合同管理信息化应用情况。</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default" w:ascii="宋体" w:hAnsi="宋体" w:cs="仿宋"/>
          <w:sz w:val="28"/>
          <w:szCs w:val="28"/>
          <w:highlight w:val="none"/>
          <w:lang w:val="en-US" w:eastAsia="zh-CN"/>
        </w:rPr>
      </w:pPr>
      <w:r>
        <w:rPr>
          <w:rFonts w:hint="eastAsia" w:ascii="宋体" w:hAnsi="宋体" w:cs="仿宋"/>
          <w:sz w:val="28"/>
          <w:szCs w:val="28"/>
          <w:highlight w:val="none"/>
          <w:lang w:val="en-US" w:eastAsia="zh-CN"/>
        </w:rPr>
        <w:t>3.工程签证管理审计</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lang w:val="en-US" w:eastAsia="zh-CN"/>
        </w:rPr>
      </w:pPr>
      <w:r>
        <w:rPr>
          <w:rFonts w:hint="eastAsia" w:ascii="宋体" w:hAnsi="宋体" w:cs="仿宋"/>
          <w:sz w:val="28"/>
          <w:szCs w:val="28"/>
          <w:highlight w:val="none"/>
          <w:lang w:val="en-US" w:eastAsia="zh-CN"/>
        </w:rPr>
        <w:t>（1）工程项目签证管理情况，关注工程签证内容的合规性、真实性、合理性，签证内容是否与实际发生相符，签证的计量计价是否与合同有关条款约定相符，是否及时办理签证（含减项签证办理）；</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lang w:val="en-US" w:eastAsia="zh-CN"/>
        </w:rPr>
      </w:pPr>
      <w:r>
        <w:rPr>
          <w:rFonts w:hint="eastAsia" w:ascii="宋体" w:hAnsi="宋体" w:cs="仿宋"/>
          <w:sz w:val="28"/>
          <w:szCs w:val="28"/>
          <w:highlight w:val="none"/>
          <w:lang w:val="en-US" w:eastAsia="zh-CN"/>
        </w:rPr>
        <w:t>（2）工程项目现场签证审批情况，关注是否已按照制度规定执行审批流程，工程签证过程的监管程序与各方审批程序是否完善，是否存在越权审批；</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lang w:val="en-US" w:eastAsia="zh-CN"/>
        </w:rPr>
      </w:pPr>
      <w:r>
        <w:rPr>
          <w:rFonts w:hint="eastAsia" w:ascii="宋体" w:hAnsi="宋体" w:cs="仿宋"/>
          <w:sz w:val="28"/>
          <w:szCs w:val="28"/>
          <w:highlight w:val="none"/>
          <w:lang w:val="en-US" w:eastAsia="zh-CN"/>
        </w:rPr>
        <w:t>（3）工程项目现场签证台账管理情况，签证资料管理、归档情况，关注工程管理部门对签证实施进度管控情况。</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lang w:val="en-US" w:eastAsia="zh-CN"/>
        </w:rPr>
      </w:pPr>
      <w:r>
        <w:rPr>
          <w:rFonts w:hint="eastAsia" w:ascii="宋体" w:hAnsi="宋体" w:cs="仿宋"/>
          <w:sz w:val="28"/>
          <w:szCs w:val="28"/>
          <w:highlight w:val="none"/>
          <w:lang w:val="en-US" w:eastAsia="zh-CN"/>
        </w:rPr>
        <w:t>4.以往审计发现问题整改的情况。</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lang w:val="en-US" w:eastAsia="zh-CN"/>
        </w:rPr>
      </w:pPr>
      <w:r>
        <w:rPr>
          <w:rFonts w:hint="eastAsia" w:ascii="宋体" w:hAnsi="宋体" w:cs="仿宋"/>
          <w:sz w:val="28"/>
          <w:szCs w:val="28"/>
          <w:highlight w:val="none"/>
          <w:lang w:val="en-US" w:eastAsia="zh-CN"/>
        </w:rPr>
        <w:t>重点关注涉及违规招采、违规签证问题的追责问责情况，整改完成效果。</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lang w:val="en-US" w:eastAsia="zh-CN"/>
        </w:rPr>
      </w:pPr>
      <w:r>
        <w:rPr>
          <w:rFonts w:hint="eastAsia" w:ascii="宋体" w:hAnsi="宋体" w:cs="仿宋"/>
          <w:sz w:val="28"/>
          <w:szCs w:val="28"/>
          <w:highlight w:val="none"/>
          <w:lang w:val="en-US" w:eastAsia="zh-CN"/>
        </w:rPr>
        <w:t>5.其他需要审计的内容。</w:t>
      </w:r>
    </w:p>
    <w:p>
      <w:pPr>
        <w:widowControl/>
        <w:spacing w:line="540" w:lineRule="exact"/>
        <w:ind w:firstLine="420" w:firstLineChars="150"/>
        <w:jc w:val="left"/>
        <w:rPr>
          <w:rFonts w:hint="eastAsia" w:ascii="宋体" w:hAnsi="宋体"/>
          <w:sz w:val="28"/>
          <w:szCs w:val="28"/>
          <w:highlight w:val="none"/>
        </w:rPr>
      </w:pPr>
      <w:r>
        <w:rPr>
          <w:rFonts w:hint="eastAsia" w:ascii="宋体" w:hAnsi="宋体"/>
          <w:sz w:val="28"/>
          <w:szCs w:val="28"/>
          <w:highlight w:val="none"/>
        </w:rPr>
        <w:t>（二）</w:t>
      </w:r>
      <w:r>
        <w:rPr>
          <w:rFonts w:hint="eastAsia" w:ascii="宋体" w:hAnsi="宋体"/>
          <w:sz w:val="28"/>
          <w:szCs w:val="28"/>
          <w:highlight w:val="none"/>
          <w:lang w:val="en-US" w:eastAsia="zh-CN"/>
        </w:rPr>
        <w:t>审计</w:t>
      </w:r>
      <w:r>
        <w:rPr>
          <w:rFonts w:hint="eastAsia" w:ascii="宋体" w:hAnsi="宋体"/>
          <w:sz w:val="28"/>
          <w:szCs w:val="28"/>
          <w:highlight w:val="none"/>
        </w:rPr>
        <w:t>对象、范围</w:t>
      </w:r>
    </w:p>
    <w:p>
      <w:pPr>
        <w:pStyle w:val="55"/>
        <w:pageBreakBefore w:val="0"/>
        <w:widowControl w:val="0"/>
        <w:shd w:val="clear" w:color="auto" w:fill="auto"/>
        <w:kinsoku/>
        <w:wordWrap/>
        <w:overflowPunct/>
        <w:topLinePunct w:val="0"/>
        <w:autoSpaceDE/>
        <w:autoSpaceDN/>
        <w:bidi w:val="0"/>
        <w:adjustRightInd/>
        <w:snapToGrid/>
        <w:spacing w:before="0" w:after="0" w:line="540" w:lineRule="exact"/>
        <w:ind w:right="0" w:firstLine="560" w:firstLineChars="200"/>
        <w:jc w:val="both"/>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审计</w:t>
      </w:r>
      <w:r>
        <w:rPr>
          <w:rFonts w:hint="eastAsia" w:ascii="宋体" w:hAnsi="宋体" w:eastAsia="宋体" w:cs="宋体"/>
          <w:sz w:val="28"/>
          <w:szCs w:val="28"/>
          <w:highlight w:val="none"/>
        </w:rPr>
        <w:t>对象：</w:t>
      </w:r>
      <w:r>
        <w:rPr>
          <w:rFonts w:hint="eastAsia" w:ascii="宋体" w:hAnsi="宋体" w:eastAsia="宋体" w:cs="宋体"/>
          <w:sz w:val="28"/>
          <w:szCs w:val="28"/>
          <w:highlight w:val="none"/>
          <w:lang w:val="en-US" w:eastAsia="zh-CN"/>
        </w:rPr>
        <w:t>南宁</w:t>
      </w:r>
      <w:r>
        <w:rPr>
          <w:rFonts w:hint="eastAsia" w:ascii="宋体" w:hAnsi="宋体" w:eastAsia="宋体" w:cs="宋体"/>
          <w:sz w:val="28"/>
          <w:szCs w:val="28"/>
          <w:highlight w:val="none"/>
        </w:rPr>
        <w:t>轨道</w:t>
      </w:r>
      <w:r>
        <w:rPr>
          <w:rFonts w:hint="eastAsia" w:ascii="宋体" w:hAnsi="宋体" w:cs="宋体"/>
          <w:sz w:val="28"/>
          <w:szCs w:val="28"/>
          <w:highlight w:val="none"/>
          <w:lang w:val="en-US" w:eastAsia="zh-CN"/>
        </w:rPr>
        <w:t>交通建设有限</w:t>
      </w:r>
      <w:r>
        <w:rPr>
          <w:rFonts w:hint="eastAsia" w:ascii="宋体" w:hAnsi="宋体" w:eastAsia="宋体" w:cs="宋体"/>
          <w:sz w:val="28"/>
          <w:szCs w:val="28"/>
          <w:highlight w:val="none"/>
        </w:rPr>
        <w:t>公司</w:t>
      </w:r>
      <w:r>
        <w:rPr>
          <w:rFonts w:hint="eastAsia" w:ascii="宋体" w:hAnsi="宋体" w:cs="宋体"/>
          <w:sz w:val="28"/>
          <w:szCs w:val="28"/>
          <w:highlight w:val="none"/>
          <w:lang w:val="en-US" w:eastAsia="zh-CN"/>
        </w:rPr>
        <w:t>4号线、5号线采购管理、合同管理（含工程签证管理）情况的</w:t>
      </w:r>
      <w:r>
        <w:rPr>
          <w:rFonts w:hint="eastAsia" w:ascii="宋体" w:hAnsi="宋体" w:cs="宋体"/>
          <w:sz w:val="28"/>
          <w:szCs w:val="28"/>
          <w:highlight w:val="none"/>
          <w:lang w:val="zh-CN" w:eastAsia="zh-CN"/>
        </w:rPr>
        <w:t>合法合规性、</w:t>
      </w:r>
      <w:r>
        <w:rPr>
          <w:rFonts w:hint="eastAsia" w:ascii="宋体" w:hAnsi="宋体" w:cs="宋体"/>
          <w:sz w:val="28"/>
          <w:szCs w:val="28"/>
          <w:highlight w:val="none"/>
          <w:lang w:val="en-US" w:eastAsia="zh-CN"/>
        </w:rPr>
        <w:t>有效性、</w:t>
      </w:r>
      <w:r>
        <w:rPr>
          <w:rFonts w:hint="eastAsia" w:ascii="宋体" w:hAnsi="宋体" w:cs="宋体"/>
          <w:sz w:val="28"/>
          <w:szCs w:val="28"/>
          <w:highlight w:val="none"/>
          <w:lang w:val="zh-CN" w:eastAsia="zh-CN"/>
        </w:rPr>
        <w:t>真实性和完整性。</w:t>
      </w:r>
    </w:p>
    <w:p>
      <w:pPr>
        <w:pStyle w:val="55"/>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560" w:firstLineChars="200"/>
        <w:jc w:val="both"/>
        <w:textAlignment w:val="auto"/>
        <w:rPr>
          <w:rFonts w:hint="eastAsia" w:ascii="宋体" w:hAnsi="宋体" w:eastAsia="宋体" w:cs="宋体"/>
          <w:sz w:val="28"/>
          <w:szCs w:val="28"/>
          <w:lang w:val="zh-CN"/>
        </w:rPr>
      </w:pPr>
      <w:r>
        <w:rPr>
          <w:rFonts w:hint="eastAsia" w:ascii="宋体" w:hAnsi="宋体" w:eastAsia="宋体" w:cs="宋体"/>
          <w:sz w:val="28"/>
          <w:szCs w:val="28"/>
          <w:highlight w:val="none"/>
          <w:lang w:val="en-US" w:eastAsia="zh-CN"/>
        </w:rPr>
        <w:t>审计</w:t>
      </w:r>
      <w:r>
        <w:rPr>
          <w:rFonts w:hint="eastAsia" w:ascii="宋体" w:hAnsi="宋体" w:eastAsia="宋体" w:cs="宋体"/>
          <w:sz w:val="28"/>
          <w:szCs w:val="28"/>
          <w:highlight w:val="none"/>
        </w:rPr>
        <w:t>范围：</w:t>
      </w:r>
      <w:r>
        <w:rPr>
          <w:rFonts w:hint="eastAsia" w:ascii="宋体" w:hAnsi="宋体" w:eastAsia="宋体" w:cs="宋体"/>
          <w:sz w:val="28"/>
          <w:szCs w:val="28"/>
          <w:lang w:val="zh-CN"/>
        </w:rPr>
        <w:t>2020年</w:t>
      </w:r>
      <w:r>
        <w:rPr>
          <w:rFonts w:hint="eastAsia" w:ascii="宋体" w:hAnsi="宋体" w:eastAsia="宋体" w:cs="宋体"/>
          <w:sz w:val="28"/>
          <w:szCs w:val="28"/>
          <w:lang w:val="en-US" w:eastAsia="zh-CN"/>
        </w:rPr>
        <w:t>1月</w:t>
      </w:r>
      <w:r>
        <w:rPr>
          <w:rFonts w:hint="eastAsia" w:ascii="宋体" w:hAnsi="宋体" w:eastAsia="宋体" w:cs="宋体"/>
          <w:sz w:val="28"/>
          <w:szCs w:val="28"/>
          <w:lang w:val="zh-CN"/>
        </w:rPr>
        <w:t>至2022年</w:t>
      </w:r>
      <w:r>
        <w:rPr>
          <w:rFonts w:hint="eastAsia" w:ascii="宋体" w:hAnsi="宋体" w:eastAsia="宋体" w:cs="宋体"/>
          <w:sz w:val="28"/>
          <w:szCs w:val="28"/>
          <w:lang w:val="en-US" w:eastAsia="zh-CN"/>
        </w:rPr>
        <w:t>12月</w:t>
      </w:r>
      <w:r>
        <w:rPr>
          <w:rFonts w:hint="eastAsia" w:ascii="宋体" w:hAnsi="宋体" w:eastAsia="宋体" w:cs="宋体"/>
          <w:sz w:val="28"/>
          <w:szCs w:val="28"/>
          <w:lang w:val="zh-CN"/>
        </w:rPr>
        <w:t>，必要时追溯到相关年度或延伸审计有关单位（</w:t>
      </w:r>
      <w:r>
        <w:rPr>
          <w:rFonts w:hint="eastAsia" w:ascii="宋体" w:hAnsi="宋体" w:eastAsia="宋体" w:cs="宋体"/>
          <w:sz w:val="28"/>
          <w:szCs w:val="28"/>
          <w:lang w:val="en-US" w:eastAsia="zh-CN"/>
        </w:rPr>
        <w:t>部门</w:t>
      </w:r>
      <w:r>
        <w:rPr>
          <w:rFonts w:hint="eastAsia" w:ascii="宋体" w:hAnsi="宋体" w:eastAsia="宋体" w:cs="宋体"/>
          <w:sz w:val="28"/>
          <w:szCs w:val="28"/>
          <w:lang w:val="zh-CN"/>
        </w:rPr>
        <w:t>）。</w:t>
      </w:r>
    </w:p>
    <w:p>
      <w:pPr>
        <w:spacing w:line="540" w:lineRule="exact"/>
        <w:ind w:firstLine="420" w:firstLineChars="150"/>
        <w:rPr>
          <w:rFonts w:ascii="宋体"/>
          <w:sz w:val="28"/>
          <w:szCs w:val="28"/>
          <w:highlight w:val="none"/>
        </w:rPr>
      </w:pPr>
      <w:r>
        <w:rPr>
          <w:rFonts w:hint="eastAsia" w:ascii="宋体" w:hAnsi="宋体"/>
          <w:sz w:val="28"/>
          <w:szCs w:val="28"/>
          <w:highlight w:val="none"/>
        </w:rPr>
        <w:t>（三）</w:t>
      </w:r>
      <w:r>
        <w:rPr>
          <w:rFonts w:hint="eastAsia" w:ascii="宋体" w:hAnsi="宋体"/>
          <w:sz w:val="28"/>
          <w:szCs w:val="28"/>
          <w:highlight w:val="none"/>
          <w:lang w:val="en-US" w:eastAsia="zh-CN"/>
        </w:rPr>
        <w:t>审计</w:t>
      </w:r>
      <w:r>
        <w:rPr>
          <w:rFonts w:hint="eastAsia" w:ascii="宋体" w:hAnsi="宋体"/>
          <w:sz w:val="28"/>
          <w:szCs w:val="28"/>
          <w:highlight w:val="none"/>
        </w:rPr>
        <w:t>要求及成果</w:t>
      </w:r>
    </w:p>
    <w:p>
      <w:pPr>
        <w:spacing w:line="540" w:lineRule="exact"/>
        <w:ind w:firstLine="560" w:firstLineChars="200"/>
        <w:rPr>
          <w:rFonts w:hint="eastAsia" w:ascii="宋体" w:hAnsi="宋体"/>
          <w:sz w:val="28"/>
          <w:szCs w:val="28"/>
          <w:highlight w:val="none"/>
        </w:rPr>
      </w:pPr>
      <w:r>
        <w:rPr>
          <w:rFonts w:hint="eastAsia" w:ascii="宋体" w:hAnsi="宋体"/>
          <w:sz w:val="28"/>
          <w:szCs w:val="28"/>
          <w:highlight w:val="none"/>
        </w:rPr>
        <w:t>根据《中华人民共和国招标投标法》《中华人民共和国招标投标法实施条例》《中华人民共和国民法典》及其他相关法律法规，以及南宁轨道交通集团有限责任公司、南宁轨道</w:t>
      </w:r>
      <w:r>
        <w:rPr>
          <w:rFonts w:hint="eastAsia" w:ascii="宋体" w:hAnsi="宋体"/>
          <w:sz w:val="28"/>
          <w:szCs w:val="28"/>
          <w:highlight w:val="none"/>
          <w:lang w:val="en-US" w:eastAsia="zh-CN"/>
        </w:rPr>
        <w:t>交通建设有限</w:t>
      </w:r>
      <w:r>
        <w:rPr>
          <w:rFonts w:hint="eastAsia" w:ascii="宋体" w:hAnsi="宋体"/>
          <w:sz w:val="28"/>
          <w:szCs w:val="28"/>
          <w:highlight w:val="none"/>
        </w:rPr>
        <w:t>公司招标采购、合同管理</w:t>
      </w:r>
      <w:r>
        <w:rPr>
          <w:rFonts w:hint="eastAsia" w:ascii="宋体" w:hAnsi="宋体"/>
          <w:sz w:val="28"/>
          <w:szCs w:val="28"/>
          <w:highlight w:val="none"/>
          <w:lang w:eastAsia="zh-CN"/>
        </w:rPr>
        <w:t>、</w:t>
      </w:r>
      <w:r>
        <w:rPr>
          <w:rFonts w:hint="eastAsia" w:ascii="宋体" w:hAnsi="宋体"/>
          <w:sz w:val="28"/>
          <w:szCs w:val="28"/>
          <w:highlight w:val="none"/>
          <w:lang w:val="en-US" w:eastAsia="zh-CN"/>
        </w:rPr>
        <w:t>工程施工</w:t>
      </w:r>
      <w:r>
        <w:rPr>
          <w:rFonts w:hint="eastAsia" w:ascii="宋体" w:hAnsi="宋体"/>
          <w:sz w:val="28"/>
          <w:szCs w:val="28"/>
          <w:highlight w:val="none"/>
        </w:rPr>
        <w:t>等制度开展工作，对南宁轨道</w:t>
      </w:r>
      <w:r>
        <w:rPr>
          <w:rFonts w:hint="eastAsia" w:ascii="宋体" w:hAnsi="宋体"/>
          <w:sz w:val="28"/>
          <w:szCs w:val="28"/>
          <w:highlight w:val="none"/>
          <w:lang w:val="en-US" w:eastAsia="zh-CN"/>
        </w:rPr>
        <w:t>交通建设有限</w:t>
      </w:r>
      <w:r>
        <w:rPr>
          <w:rFonts w:hint="eastAsia" w:ascii="宋体" w:hAnsi="宋体"/>
          <w:sz w:val="28"/>
          <w:szCs w:val="28"/>
          <w:highlight w:val="none"/>
        </w:rPr>
        <w:t>公司2020年至2022年采购</w:t>
      </w:r>
      <w:r>
        <w:rPr>
          <w:rFonts w:hint="eastAsia" w:ascii="宋体" w:hAnsi="宋体"/>
          <w:sz w:val="28"/>
          <w:szCs w:val="28"/>
          <w:highlight w:val="none"/>
          <w:lang w:eastAsia="zh-CN"/>
        </w:rPr>
        <w:t>、</w:t>
      </w:r>
      <w:r>
        <w:rPr>
          <w:rFonts w:hint="eastAsia" w:ascii="宋体" w:hAnsi="宋体"/>
          <w:sz w:val="28"/>
          <w:szCs w:val="28"/>
          <w:highlight w:val="none"/>
        </w:rPr>
        <w:t>合同管理</w:t>
      </w:r>
      <w:r>
        <w:rPr>
          <w:rFonts w:hint="eastAsia" w:ascii="宋体" w:hAnsi="宋体"/>
          <w:sz w:val="28"/>
          <w:szCs w:val="28"/>
          <w:highlight w:val="none"/>
          <w:lang w:eastAsia="zh-CN"/>
        </w:rPr>
        <w:t>、</w:t>
      </w:r>
      <w:r>
        <w:rPr>
          <w:rFonts w:hint="eastAsia" w:ascii="宋体" w:hAnsi="宋体"/>
          <w:sz w:val="28"/>
          <w:szCs w:val="28"/>
          <w:highlight w:val="none"/>
          <w:lang w:val="en-US" w:eastAsia="zh-CN"/>
        </w:rPr>
        <w:t>工程签证管理</w:t>
      </w:r>
      <w:r>
        <w:rPr>
          <w:rFonts w:hint="eastAsia" w:ascii="宋体" w:hAnsi="宋体"/>
          <w:sz w:val="28"/>
          <w:szCs w:val="28"/>
          <w:highlight w:val="none"/>
        </w:rPr>
        <w:t>情况作出客观公正、实事求是的评价，出具南宁轨道</w:t>
      </w:r>
      <w:r>
        <w:rPr>
          <w:rFonts w:hint="eastAsia" w:ascii="宋体" w:hAnsi="宋体"/>
          <w:sz w:val="28"/>
          <w:szCs w:val="28"/>
          <w:highlight w:val="none"/>
          <w:lang w:val="en-US" w:eastAsia="zh-CN"/>
        </w:rPr>
        <w:t>交通建设有限</w:t>
      </w:r>
      <w:r>
        <w:rPr>
          <w:rFonts w:hint="eastAsia" w:ascii="宋体" w:hAnsi="宋体"/>
          <w:sz w:val="28"/>
          <w:szCs w:val="28"/>
          <w:highlight w:val="none"/>
        </w:rPr>
        <w:t>公司2020年至2022年采购及合同管理专项审计报告</w:t>
      </w:r>
      <w:r>
        <w:rPr>
          <w:rFonts w:hint="eastAsia" w:ascii="宋体" w:hAnsi="宋体"/>
          <w:sz w:val="28"/>
          <w:szCs w:val="28"/>
          <w:highlight w:val="none"/>
          <w:lang w:val="en-US" w:eastAsia="zh-CN"/>
        </w:rPr>
        <w:t>及管理建议书</w:t>
      </w:r>
      <w:r>
        <w:rPr>
          <w:rFonts w:hint="eastAsia" w:ascii="宋体" w:hAnsi="宋体"/>
          <w:sz w:val="28"/>
          <w:szCs w:val="28"/>
          <w:highlight w:val="none"/>
        </w:rPr>
        <w:t>，并经南宁轨道交通集团有限责任公司审批通过。</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三、乙方权利义务</w:t>
      </w:r>
    </w:p>
    <w:p>
      <w:pPr>
        <w:spacing w:line="540" w:lineRule="exact"/>
        <w:ind w:firstLine="420" w:firstLineChars="150"/>
        <w:rPr>
          <w:rFonts w:ascii="宋体"/>
          <w:b/>
          <w:sz w:val="28"/>
          <w:szCs w:val="28"/>
          <w:highlight w:val="none"/>
        </w:rPr>
      </w:pPr>
      <w:r>
        <w:rPr>
          <w:rFonts w:hint="eastAsia" w:ascii="宋体" w:hAnsi="宋体"/>
          <w:sz w:val="28"/>
          <w:szCs w:val="28"/>
          <w:highlight w:val="none"/>
        </w:rPr>
        <w:t>（一）乙方应按照《中华人民共和国审计法》《中华人民共和国注册会计师法》《中国注册会计师执业准则》等法律法规的要求，对被</w:t>
      </w:r>
      <w:r>
        <w:rPr>
          <w:rFonts w:hint="eastAsia" w:ascii="宋体" w:hAnsi="宋体"/>
          <w:sz w:val="28"/>
          <w:szCs w:val="28"/>
          <w:highlight w:val="none"/>
          <w:lang w:val="en-US" w:eastAsia="zh-CN"/>
        </w:rPr>
        <w:t>审计</w:t>
      </w:r>
      <w:r>
        <w:rPr>
          <w:rFonts w:hint="eastAsia" w:ascii="宋体" w:hAnsi="宋体"/>
          <w:sz w:val="28"/>
          <w:szCs w:val="28"/>
          <w:highlight w:val="none"/>
        </w:rPr>
        <w:t>单位提供的</w:t>
      </w:r>
      <w:r>
        <w:rPr>
          <w:rFonts w:hint="eastAsia" w:ascii="宋体" w:hAnsi="宋体"/>
          <w:sz w:val="28"/>
          <w:szCs w:val="28"/>
          <w:highlight w:val="none"/>
          <w:lang w:val="en-US" w:eastAsia="zh-CN"/>
        </w:rPr>
        <w:t>会计报表</w:t>
      </w:r>
      <w:r>
        <w:rPr>
          <w:rFonts w:hint="eastAsia" w:ascii="宋体" w:hAnsi="宋体"/>
          <w:sz w:val="28"/>
          <w:szCs w:val="28"/>
          <w:highlight w:val="none"/>
        </w:rPr>
        <w:t>及其他有关资料，实施必要的</w:t>
      </w:r>
      <w:r>
        <w:rPr>
          <w:rFonts w:hint="eastAsia" w:ascii="宋体" w:hAnsi="宋体"/>
          <w:sz w:val="28"/>
          <w:szCs w:val="28"/>
          <w:highlight w:val="none"/>
          <w:lang w:val="en-US" w:eastAsia="zh-CN"/>
        </w:rPr>
        <w:t>审计</w:t>
      </w:r>
      <w:r>
        <w:rPr>
          <w:rFonts w:hint="eastAsia" w:ascii="宋体" w:hAnsi="宋体"/>
          <w:sz w:val="28"/>
          <w:szCs w:val="28"/>
          <w:highlight w:val="none"/>
        </w:rPr>
        <w:t>工作程序，在约定时间内出具南宁轨道</w:t>
      </w:r>
      <w:r>
        <w:rPr>
          <w:rFonts w:hint="eastAsia" w:ascii="宋体" w:hAnsi="宋体"/>
          <w:sz w:val="28"/>
          <w:szCs w:val="28"/>
          <w:highlight w:val="none"/>
          <w:lang w:val="en-US" w:eastAsia="zh-CN"/>
        </w:rPr>
        <w:t>交通建设有限</w:t>
      </w:r>
      <w:r>
        <w:rPr>
          <w:rFonts w:hint="eastAsia" w:ascii="宋体" w:hAnsi="宋体"/>
          <w:sz w:val="28"/>
          <w:szCs w:val="28"/>
          <w:highlight w:val="none"/>
        </w:rPr>
        <w:t>公司2020年至2022年采购及合同管理专项审计报告</w:t>
      </w:r>
      <w:r>
        <w:rPr>
          <w:rFonts w:hint="eastAsia" w:ascii="宋体" w:hAnsi="宋体"/>
          <w:sz w:val="28"/>
          <w:szCs w:val="28"/>
          <w:highlight w:val="none"/>
          <w:lang w:val="en-US" w:eastAsia="zh-CN"/>
        </w:rPr>
        <w:t>及管理建议书各</w:t>
      </w:r>
      <w:r>
        <w:rPr>
          <w:rFonts w:hint="eastAsia" w:ascii="宋体" w:hAnsi="宋体"/>
          <w:b/>
          <w:sz w:val="28"/>
          <w:szCs w:val="28"/>
          <w:highlight w:val="none"/>
          <w:u w:val="single"/>
        </w:rPr>
        <w:t>一式</w:t>
      </w:r>
      <w:r>
        <w:rPr>
          <w:rFonts w:ascii="宋体" w:hAnsi="宋体"/>
          <w:b/>
          <w:sz w:val="28"/>
          <w:szCs w:val="28"/>
          <w:highlight w:val="none"/>
          <w:u w:val="single"/>
        </w:rPr>
        <w:t>5</w:t>
      </w:r>
      <w:r>
        <w:rPr>
          <w:rFonts w:hint="eastAsia" w:ascii="宋体" w:hAnsi="宋体"/>
          <w:b/>
          <w:sz w:val="28"/>
          <w:szCs w:val="28"/>
          <w:highlight w:val="none"/>
          <w:u w:val="single"/>
        </w:rPr>
        <w:t>份</w:t>
      </w:r>
      <w:r>
        <w:rPr>
          <w:rFonts w:hint="eastAsia" w:ascii="宋体" w:hAnsi="宋体"/>
          <w:sz w:val="28"/>
          <w:szCs w:val="28"/>
          <w:highlight w:val="none"/>
        </w:rPr>
        <w:t>，</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eastAsia="zh-CN"/>
        </w:rPr>
        <w:t>及</w:t>
      </w:r>
      <w:r>
        <w:rPr>
          <w:rFonts w:hint="eastAsia" w:ascii="宋体" w:hAnsi="宋体"/>
          <w:sz w:val="28"/>
          <w:szCs w:val="28"/>
          <w:highlight w:val="none"/>
          <w:lang w:val="en-US" w:eastAsia="zh-CN"/>
        </w:rPr>
        <w:t>管理建议书</w:t>
      </w:r>
      <w:r>
        <w:rPr>
          <w:rFonts w:hint="eastAsia" w:ascii="宋体" w:hAnsi="宋体"/>
          <w:sz w:val="28"/>
          <w:szCs w:val="28"/>
          <w:highlight w:val="none"/>
        </w:rPr>
        <w:t>格式和内容要符合相关规定要求；乙方应当保证</w:t>
      </w:r>
      <w:r>
        <w:rPr>
          <w:rFonts w:hint="eastAsia" w:ascii="宋体" w:hAnsi="宋体"/>
          <w:sz w:val="28"/>
          <w:szCs w:val="28"/>
          <w:highlight w:val="none"/>
          <w:lang w:val="en-US" w:eastAsia="zh-CN"/>
        </w:rPr>
        <w:t>审计</w:t>
      </w:r>
      <w:r>
        <w:rPr>
          <w:rFonts w:hint="eastAsia" w:ascii="宋体" w:hAnsi="宋体"/>
          <w:sz w:val="28"/>
          <w:szCs w:val="28"/>
          <w:highlight w:val="none"/>
        </w:rPr>
        <w:t>报告的真实性、合法性、准确性，由于</w:t>
      </w:r>
      <w:r>
        <w:rPr>
          <w:rFonts w:hint="eastAsia" w:ascii="宋体" w:hAnsi="宋体"/>
          <w:sz w:val="28"/>
          <w:szCs w:val="28"/>
          <w:highlight w:val="none"/>
          <w:lang w:val="en-US" w:eastAsia="zh-CN"/>
        </w:rPr>
        <w:t>审计</w:t>
      </w:r>
      <w:r>
        <w:rPr>
          <w:rFonts w:hint="eastAsia" w:ascii="宋体" w:hAnsi="宋体"/>
          <w:sz w:val="28"/>
          <w:szCs w:val="28"/>
          <w:highlight w:val="none"/>
        </w:rPr>
        <w:t>报告不真实、不合法、不完整或不符合相关规定要求导致甲方受到损失的，乙方应当承担赔偿责任。</w:t>
      </w:r>
    </w:p>
    <w:p>
      <w:pPr>
        <w:spacing w:line="540" w:lineRule="exact"/>
        <w:ind w:firstLine="420" w:firstLineChars="150"/>
        <w:rPr>
          <w:rFonts w:ascii="宋体"/>
          <w:sz w:val="28"/>
          <w:szCs w:val="28"/>
          <w:highlight w:val="none"/>
        </w:rPr>
      </w:pPr>
      <w:r>
        <w:rPr>
          <w:rFonts w:hint="eastAsia" w:ascii="宋体" w:hAnsi="宋体"/>
          <w:sz w:val="28"/>
          <w:szCs w:val="28"/>
          <w:highlight w:val="none"/>
        </w:rPr>
        <w:t>（二）乙方对在执行业务过程中知悉的商业秘密负有保密义务。除法律另有规定者外，未经甲方及被</w:t>
      </w:r>
      <w:r>
        <w:rPr>
          <w:rFonts w:hint="eastAsia" w:ascii="宋体" w:hAnsi="宋体"/>
          <w:sz w:val="28"/>
          <w:szCs w:val="28"/>
          <w:highlight w:val="none"/>
          <w:lang w:val="en-US" w:eastAsia="zh-CN"/>
        </w:rPr>
        <w:t>审计</w:t>
      </w:r>
      <w:r>
        <w:rPr>
          <w:rFonts w:hint="eastAsia" w:ascii="宋体" w:hAnsi="宋体"/>
          <w:sz w:val="28"/>
          <w:szCs w:val="28"/>
          <w:highlight w:val="none"/>
        </w:rPr>
        <w:t>单位书面同意，乙方不得将相关资料和信息对外公开或泄露给第三方。</w:t>
      </w:r>
    </w:p>
    <w:p>
      <w:pPr>
        <w:spacing w:line="540" w:lineRule="exact"/>
        <w:ind w:firstLine="420" w:firstLineChars="150"/>
        <w:rPr>
          <w:rFonts w:ascii="宋体"/>
          <w:sz w:val="28"/>
          <w:szCs w:val="28"/>
          <w:highlight w:val="none"/>
        </w:rPr>
      </w:pPr>
      <w:r>
        <w:rPr>
          <w:rFonts w:hint="eastAsia" w:ascii="宋体" w:hAnsi="宋体"/>
          <w:sz w:val="28"/>
          <w:szCs w:val="28"/>
          <w:highlight w:val="none"/>
        </w:rPr>
        <w:t>（三）乙方应在本合同签订</w:t>
      </w:r>
      <w:r>
        <w:rPr>
          <w:rFonts w:ascii="宋体" w:hAnsi="宋体"/>
          <w:b/>
          <w:sz w:val="28"/>
          <w:szCs w:val="28"/>
          <w:highlight w:val="none"/>
          <w:u w:val="single"/>
        </w:rPr>
        <w:t xml:space="preserve"> </w:t>
      </w:r>
      <w:r>
        <w:rPr>
          <w:rFonts w:hint="eastAsia" w:ascii="宋体" w:hAnsi="宋体"/>
          <w:b/>
          <w:sz w:val="28"/>
          <w:szCs w:val="28"/>
          <w:highlight w:val="none"/>
          <w:u w:val="single"/>
          <w:lang w:val="en-US" w:eastAsia="zh-CN"/>
        </w:rPr>
        <w:t>5</w:t>
      </w:r>
      <w:r>
        <w:rPr>
          <w:rFonts w:hint="eastAsia" w:ascii="宋体" w:hAnsi="宋体"/>
          <w:b/>
          <w:sz w:val="28"/>
          <w:szCs w:val="28"/>
          <w:highlight w:val="none"/>
          <w:u w:val="single"/>
        </w:rPr>
        <w:t>个工作日</w:t>
      </w:r>
      <w:r>
        <w:rPr>
          <w:rFonts w:ascii="宋体" w:hAnsi="宋体"/>
          <w:b/>
          <w:sz w:val="28"/>
          <w:szCs w:val="28"/>
          <w:highlight w:val="none"/>
          <w:u w:val="single"/>
        </w:rPr>
        <w:t xml:space="preserve"> </w:t>
      </w:r>
      <w:r>
        <w:rPr>
          <w:rFonts w:hint="eastAsia" w:ascii="宋体" w:hAnsi="宋体"/>
          <w:sz w:val="28"/>
          <w:szCs w:val="28"/>
          <w:highlight w:val="none"/>
        </w:rPr>
        <w:t>内向甲方提交需要提供的资料清单，否则由此造成的工作延误的责任由乙方承担。</w:t>
      </w:r>
    </w:p>
    <w:p>
      <w:pPr>
        <w:spacing w:line="540" w:lineRule="exact"/>
        <w:ind w:firstLine="420" w:firstLineChars="150"/>
        <w:rPr>
          <w:rFonts w:ascii="宋体"/>
          <w:sz w:val="28"/>
          <w:szCs w:val="28"/>
          <w:highlight w:val="none"/>
        </w:rPr>
      </w:pPr>
      <w:r>
        <w:rPr>
          <w:rFonts w:hint="eastAsia" w:ascii="宋体" w:hAnsi="宋体"/>
          <w:sz w:val="28"/>
          <w:szCs w:val="28"/>
          <w:highlight w:val="none"/>
        </w:rPr>
        <w:t>（四）乙方应按照要求指派足够具有相应业务资格的</w:t>
      </w:r>
      <w:r>
        <w:rPr>
          <w:rFonts w:hint="eastAsia" w:ascii="宋体" w:hAnsi="宋体"/>
          <w:sz w:val="28"/>
          <w:szCs w:val="28"/>
          <w:highlight w:val="none"/>
          <w:lang w:val="en-US" w:eastAsia="zh-CN"/>
        </w:rPr>
        <w:t>审计</w:t>
      </w:r>
      <w:r>
        <w:rPr>
          <w:rFonts w:hint="eastAsia" w:ascii="宋体" w:hAnsi="宋体"/>
          <w:sz w:val="28"/>
          <w:szCs w:val="28"/>
          <w:highlight w:val="none"/>
        </w:rPr>
        <w:t>人员负责本次</w:t>
      </w:r>
      <w:r>
        <w:rPr>
          <w:rFonts w:hint="eastAsia" w:ascii="宋体" w:hAnsi="宋体"/>
          <w:sz w:val="28"/>
          <w:szCs w:val="28"/>
          <w:highlight w:val="none"/>
          <w:lang w:val="en-US" w:eastAsia="zh-CN"/>
        </w:rPr>
        <w:t>审计</w:t>
      </w:r>
      <w:r>
        <w:rPr>
          <w:rFonts w:hint="eastAsia" w:ascii="宋体" w:hAnsi="宋体"/>
          <w:sz w:val="28"/>
          <w:szCs w:val="28"/>
          <w:highlight w:val="none"/>
        </w:rPr>
        <w:t>业务，明确</w:t>
      </w:r>
      <w:r>
        <w:rPr>
          <w:rFonts w:hint="eastAsia" w:ascii="宋体" w:hAnsi="宋体"/>
          <w:sz w:val="28"/>
          <w:szCs w:val="28"/>
          <w:highlight w:val="none"/>
          <w:lang w:val="en-US" w:eastAsia="zh-CN"/>
        </w:rPr>
        <w:t>审计</w:t>
      </w:r>
      <w:r>
        <w:rPr>
          <w:rFonts w:hint="eastAsia" w:ascii="宋体" w:hAnsi="宋体"/>
          <w:sz w:val="28"/>
          <w:szCs w:val="28"/>
          <w:highlight w:val="none"/>
        </w:rPr>
        <w:t>人员名单，并将</w:t>
      </w:r>
      <w:r>
        <w:rPr>
          <w:rFonts w:hint="eastAsia" w:ascii="宋体" w:hAnsi="宋体"/>
          <w:sz w:val="28"/>
          <w:szCs w:val="28"/>
          <w:highlight w:val="none"/>
          <w:lang w:val="en-US" w:eastAsia="zh-CN"/>
        </w:rPr>
        <w:t>审计</w:t>
      </w:r>
      <w:r>
        <w:rPr>
          <w:rFonts w:hint="eastAsia" w:ascii="宋体" w:hAnsi="宋体"/>
          <w:sz w:val="28"/>
          <w:szCs w:val="28"/>
          <w:highlight w:val="none"/>
        </w:rPr>
        <w:t>人员名单及人员资质等资料作为报告附件，确保按约定时间和质量完成</w:t>
      </w:r>
      <w:r>
        <w:rPr>
          <w:rFonts w:hint="eastAsia" w:ascii="宋体" w:hAnsi="宋体"/>
          <w:sz w:val="28"/>
          <w:szCs w:val="28"/>
          <w:highlight w:val="none"/>
          <w:lang w:val="en-US" w:eastAsia="zh-CN"/>
        </w:rPr>
        <w:t>审计</w:t>
      </w:r>
      <w:r>
        <w:rPr>
          <w:rFonts w:hint="eastAsia" w:ascii="宋体" w:hAnsi="宋体"/>
          <w:sz w:val="28"/>
          <w:szCs w:val="28"/>
          <w:highlight w:val="none"/>
        </w:rPr>
        <w:t>工作并出具</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val="en-US" w:eastAsia="zh-CN"/>
        </w:rPr>
        <w:t>及管理建议书</w:t>
      </w:r>
      <w:r>
        <w:rPr>
          <w:rFonts w:hint="eastAsia" w:ascii="宋体" w:hAnsi="宋体"/>
          <w:sz w:val="28"/>
          <w:szCs w:val="28"/>
          <w:highlight w:val="none"/>
        </w:rPr>
        <w:t>，不得转让或转包本合同权利义务。</w:t>
      </w:r>
    </w:p>
    <w:p>
      <w:pPr>
        <w:spacing w:line="540" w:lineRule="exact"/>
        <w:ind w:firstLine="420" w:firstLineChars="150"/>
        <w:rPr>
          <w:rFonts w:ascii="宋体"/>
          <w:sz w:val="28"/>
          <w:szCs w:val="28"/>
          <w:highlight w:val="none"/>
        </w:rPr>
      </w:pPr>
      <w:r>
        <w:rPr>
          <w:rFonts w:hint="eastAsia" w:ascii="宋体" w:hAnsi="宋体"/>
          <w:sz w:val="28"/>
          <w:szCs w:val="28"/>
          <w:highlight w:val="none"/>
        </w:rPr>
        <w:t>（五）</w:t>
      </w:r>
      <w:r>
        <w:rPr>
          <w:rFonts w:hint="eastAsia" w:ascii="宋体" w:hAnsi="宋体"/>
          <w:sz w:val="28"/>
          <w:szCs w:val="28"/>
          <w:highlight w:val="none"/>
          <w:lang w:val="en-US" w:eastAsia="zh-CN"/>
        </w:rPr>
        <w:t>审计</w:t>
      </w:r>
      <w:r>
        <w:rPr>
          <w:rFonts w:hint="eastAsia" w:ascii="宋体" w:hAnsi="宋体"/>
          <w:sz w:val="28"/>
          <w:szCs w:val="28"/>
          <w:highlight w:val="none"/>
        </w:rPr>
        <w:t>过程中乙方</w:t>
      </w:r>
      <w:r>
        <w:rPr>
          <w:rFonts w:hint="eastAsia" w:ascii="宋体" w:hAnsi="宋体"/>
          <w:sz w:val="28"/>
          <w:szCs w:val="28"/>
          <w:highlight w:val="none"/>
          <w:lang w:val="en-US" w:eastAsia="zh-CN"/>
        </w:rPr>
        <w:t>根据甲方要求，</w:t>
      </w:r>
      <w:r>
        <w:rPr>
          <w:rFonts w:hint="eastAsia" w:ascii="宋体" w:hAnsi="宋体"/>
          <w:sz w:val="28"/>
          <w:szCs w:val="28"/>
          <w:highlight w:val="none"/>
        </w:rPr>
        <w:t>参与召开不少于以下会议，</w:t>
      </w:r>
      <w:r>
        <w:rPr>
          <w:rFonts w:hint="eastAsia" w:ascii="宋体" w:hAnsi="宋体"/>
          <w:sz w:val="28"/>
          <w:szCs w:val="28"/>
          <w:highlight w:val="none"/>
          <w:lang w:val="en-US" w:eastAsia="zh-CN"/>
        </w:rPr>
        <w:t>审</w:t>
      </w:r>
      <w:r>
        <w:rPr>
          <w:rFonts w:hint="eastAsia" w:ascii="宋体" w:hAnsi="宋体"/>
          <w:sz w:val="28"/>
          <w:szCs w:val="28"/>
          <w:highlight w:val="none"/>
        </w:rPr>
        <w:t>前沟通会议、</w:t>
      </w:r>
      <w:r>
        <w:rPr>
          <w:rFonts w:hint="eastAsia" w:ascii="宋体" w:hAnsi="宋体"/>
          <w:sz w:val="28"/>
          <w:szCs w:val="28"/>
          <w:highlight w:val="none"/>
          <w:lang w:val="en-US" w:eastAsia="zh-CN"/>
        </w:rPr>
        <w:t>审计进点会议、审</w:t>
      </w:r>
      <w:r>
        <w:rPr>
          <w:rFonts w:hint="eastAsia" w:ascii="宋体" w:hAnsi="宋体"/>
          <w:sz w:val="28"/>
          <w:szCs w:val="28"/>
          <w:highlight w:val="none"/>
        </w:rPr>
        <w:t>中沟通会议、</w:t>
      </w:r>
      <w:r>
        <w:rPr>
          <w:rFonts w:hint="eastAsia" w:ascii="宋体" w:hAnsi="宋体"/>
          <w:sz w:val="28"/>
          <w:szCs w:val="28"/>
          <w:highlight w:val="none"/>
          <w:lang w:val="en-US" w:eastAsia="zh-CN"/>
        </w:rPr>
        <w:t>审计</w:t>
      </w:r>
      <w:r>
        <w:rPr>
          <w:rFonts w:hint="eastAsia" w:ascii="宋体" w:hAnsi="宋体"/>
          <w:sz w:val="28"/>
          <w:szCs w:val="28"/>
          <w:highlight w:val="none"/>
        </w:rPr>
        <w:t>撤点会议、</w:t>
      </w:r>
      <w:r>
        <w:rPr>
          <w:rFonts w:hint="eastAsia" w:ascii="宋体" w:hAnsi="宋体"/>
          <w:sz w:val="28"/>
          <w:szCs w:val="28"/>
          <w:highlight w:val="none"/>
          <w:lang w:val="en-US" w:eastAsia="zh-CN"/>
        </w:rPr>
        <w:t>审计</w:t>
      </w:r>
      <w:r>
        <w:rPr>
          <w:rFonts w:hint="eastAsia" w:ascii="宋体" w:hAnsi="宋体"/>
          <w:sz w:val="28"/>
          <w:szCs w:val="28"/>
          <w:highlight w:val="none"/>
        </w:rPr>
        <w:t>征求意见沟通会。</w:t>
      </w:r>
    </w:p>
    <w:p>
      <w:pPr>
        <w:spacing w:line="540" w:lineRule="exact"/>
        <w:ind w:firstLine="420" w:firstLineChars="150"/>
        <w:rPr>
          <w:rFonts w:hint="eastAsia" w:ascii="宋体" w:hAnsi="宋体"/>
          <w:sz w:val="28"/>
          <w:szCs w:val="28"/>
          <w:highlight w:val="none"/>
        </w:rPr>
      </w:pPr>
      <w:r>
        <w:rPr>
          <w:rFonts w:hint="eastAsia" w:ascii="宋体" w:hAnsi="宋体"/>
          <w:sz w:val="28"/>
          <w:szCs w:val="28"/>
          <w:highlight w:val="none"/>
        </w:rPr>
        <w:t>（六）正式审计报告出具前，乙方向甲方提供包括但不限于完整的审计工作底稿、审计取证单等作为审计档案。</w:t>
      </w:r>
    </w:p>
    <w:p>
      <w:pPr>
        <w:spacing w:line="540" w:lineRule="exact"/>
        <w:ind w:firstLine="420" w:firstLineChars="150"/>
        <w:rPr>
          <w:rFonts w:ascii="宋体"/>
          <w:sz w:val="28"/>
          <w:szCs w:val="28"/>
          <w:highlight w:val="none"/>
        </w:rPr>
      </w:pPr>
      <w:r>
        <w:rPr>
          <w:rFonts w:hint="eastAsia" w:ascii="宋体" w:hAnsi="宋体"/>
          <w:sz w:val="28"/>
          <w:szCs w:val="28"/>
          <w:highlight w:val="none"/>
        </w:rPr>
        <w:t>（</w:t>
      </w:r>
      <w:r>
        <w:rPr>
          <w:rFonts w:hint="eastAsia" w:ascii="宋体" w:hAnsi="宋体"/>
          <w:sz w:val="28"/>
          <w:szCs w:val="28"/>
          <w:highlight w:val="none"/>
          <w:lang w:val="en-US" w:eastAsia="zh-CN"/>
        </w:rPr>
        <w:t>七</w:t>
      </w:r>
      <w:r>
        <w:rPr>
          <w:rFonts w:hint="eastAsia" w:ascii="宋体" w:hAnsi="宋体"/>
          <w:sz w:val="28"/>
          <w:szCs w:val="28"/>
          <w:highlight w:val="none"/>
        </w:rPr>
        <w:t>）如因乙方原因导致出具的</w:t>
      </w:r>
      <w:r>
        <w:rPr>
          <w:rFonts w:hint="eastAsia" w:ascii="宋体" w:hAnsi="宋体"/>
          <w:sz w:val="28"/>
          <w:szCs w:val="28"/>
          <w:highlight w:val="none"/>
          <w:lang w:val="en-US" w:eastAsia="zh-CN"/>
        </w:rPr>
        <w:t>审计</w:t>
      </w:r>
      <w:r>
        <w:rPr>
          <w:rFonts w:hint="eastAsia" w:ascii="宋体" w:hAnsi="宋体"/>
          <w:sz w:val="28"/>
          <w:szCs w:val="28"/>
          <w:highlight w:val="none"/>
        </w:rPr>
        <w:t>报告不合格的，乙方应当负责修正直至合格为止，由此导致</w:t>
      </w:r>
      <w:r>
        <w:rPr>
          <w:rFonts w:hint="eastAsia" w:ascii="宋体" w:hAnsi="宋体"/>
          <w:sz w:val="28"/>
          <w:szCs w:val="28"/>
          <w:highlight w:val="none"/>
          <w:lang w:val="en-US" w:eastAsia="zh-CN"/>
        </w:rPr>
        <w:t>审计</w:t>
      </w:r>
      <w:r>
        <w:rPr>
          <w:rFonts w:hint="eastAsia" w:ascii="宋体" w:hAnsi="宋体"/>
          <w:sz w:val="28"/>
          <w:szCs w:val="28"/>
          <w:highlight w:val="none"/>
        </w:rPr>
        <w:t>工作延误的责任由乙方承担。</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四、甲方权利义务</w:t>
      </w:r>
    </w:p>
    <w:p>
      <w:pPr>
        <w:spacing w:line="540" w:lineRule="exact"/>
        <w:ind w:firstLine="420" w:firstLineChars="150"/>
        <w:rPr>
          <w:rFonts w:ascii="宋体"/>
          <w:sz w:val="28"/>
          <w:szCs w:val="28"/>
          <w:highlight w:val="none"/>
        </w:rPr>
      </w:pPr>
      <w:r>
        <w:rPr>
          <w:rFonts w:hint="eastAsia" w:ascii="宋体" w:hAnsi="宋体"/>
          <w:sz w:val="28"/>
          <w:szCs w:val="28"/>
          <w:highlight w:val="none"/>
        </w:rPr>
        <w:t>（一）甲方应对乙方开展业务工作协调相关各方给予充分的合作，提供必要的条件，并按乙方的要求，协调相关各方提供业务所需的</w:t>
      </w:r>
      <w:r>
        <w:rPr>
          <w:rFonts w:hint="eastAsia" w:ascii="宋体" w:hAnsi="宋体"/>
          <w:sz w:val="28"/>
          <w:szCs w:val="28"/>
          <w:highlight w:val="none"/>
          <w:lang w:eastAsia="zh-CN"/>
        </w:rPr>
        <w:t>会计凭证、</w:t>
      </w:r>
      <w:r>
        <w:rPr>
          <w:rFonts w:hint="eastAsia" w:ascii="宋体" w:hAnsi="宋体"/>
          <w:sz w:val="28"/>
          <w:szCs w:val="28"/>
          <w:highlight w:val="none"/>
          <w:lang w:val="en-US" w:eastAsia="zh-CN"/>
        </w:rPr>
        <w:t>账册、报表</w:t>
      </w:r>
      <w:r>
        <w:rPr>
          <w:rFonts w:hint="eastAsia" w:ascii="宋体" w:hAnsi="宋体"/>
          <w:sz w:val="28"/>
          <w:szCs w:val="28"/>
          <w:highlight w:val="none"/>
        </w:rPr>
        <w:t>以及其他在执业过程中所需要查看的各种文件资料，有权监督、指正乙方的工作。</w:t>
      </w:r>
    </w:p>
    <w:p>
      <w:pPr>
        <w:spacing w:line="540" w:lineRule="exact"/>
        <w:ind w:firstLine="420" w:firstLineChars="150"/>
        <w:rPr>
          <w:rFonts w:ascii="宋体"/>
          <w:sz w:val="28"/>
          <w:szCs w:val="28"/>
          <w:highlight w:val="none"/>
        </w:rPr>
      </w:pPr>
      <w:r>
        <w:rPr>
          <w:rFonts w:hint="eastAsia" w:ascii="宋体" w:hAnsi="宋体"/>
          <w:sz w:val="28"/>
          <w:szCs w:val="28"/>
          <w:highlight w:val="none"/>
        </w:rPr>
        <w:t>（二）乙方认为需要发函向有关部门询证时，甲方应当提供便利。</w:t>
      </w:r>
    </w:p>
    <w:p>
      <w:pPr>
        <w:spacing w:line="540" w:lineRule="exact"/>
        <w:ind w:firstLine="562" w:firstLineChars="200"/>
        <w:rPr>
          <w:rFonts w:ascii="宋体"/>
          <w:b/>
          <w:bCs/>
          <w:sz w:val="28"/>
          <w:szCs w:val="28"/>
          <w:highlight w:val="none"/>
        </w:rPr>
      </w:pPr>
      <w:r>
        <w:rPr>
          <w:rFonts w:hint="eastAsia" w:ascii="宋体" w:hAnsi="宋体"/>
          <w:b/>
          <w:bCs/>
          <w:sz w:val="28"/>
          <w:szCs w:val="28"/>
          <w:highlight w:val="none"/>
        </w:rPr>
        <w:t>五、工期进度要求</w:t>
      </w:r>
    </w:p>
    <w:p>
      <w:pPr>
        <w:tabs>
          <w:tab w:val="left" w:pos="720"/>
        </w:tabs>
        <w:spacing w:line="540" w:lineRule="exact"/>
        <w:ind w:firstLine="420" w:firstLineChars="150"/>
        <w:rPr>
          <w:rFonts w:ascii="宋体"/>
          <w:sz w:val="28"/>
          <w:szCs w:val="28"/>
          <w:highlight w:val="none"/>
        </w:rPr>
      </w:pPr>
      <w:r>
        <w:rPr>
          <w:rFonts w:hint="eastAsia" w:ascii="宋体" w:hAnsi="宋体"/>
          <w:sz w:val="28"/>
          <w:szCs w:val="28"/>
          <w:highlight w:val="none"/>
        </w:rPr>
        <w:t>（一）本合同生效之日起</w:t>
      </w:r>
      <w:r>
        <w:rPr>
          <w:rFonts w:ascii="宋体" w:hAnsi="宋体"/>
          <w:b/>
          <w:sz w:val="28"/>
          <w:szCs w:val="28"/>
          <w:highlight w:val="none"/>
          <w:u w:val="single"/>
        </w:rPr>
        <w:t xml:space="preserve"> </w:t>
      </w:r>
      <w:r>
        <w:rPr>
          <w:rFonts w:hint="eastAsia" w:ascii="宋体" w:hAnsi="宋体"/>
          <w:b/>
          <w:sz w:val="28"/>
          <w:szCs w:val="28"/>
          <w:highlight w:val="none"/>
          <w:u w:val="single"/>
          <w:lang w:val="en-US" w:eastAsia="zh-CN"/>
        </w:rPr>
        <w:t>5</w:t>
      </w:r>
      <w:r>
        <w:rPr>
          <w:rFonts w:hint="eastAsia" w:ascii="宋体" w:hAnsi="宋体"/>
          <w:b/>
          <w:sz w:val="28"/>
          <w:szCs w:val="28"/>
          <w:highlight w:val="none"/>
          <w:u w:val="single"/>
        </w:rPr>
        <w:t>个工作日内</w:t>
      </w:r>
      <w:r>
        <w:rPr>
          <w:rFonts w:ascii="宋体" w:hAnsi="宋体"/>
          <w:b/>
          <w:sz w:val="28"/>
          <w:szCs w:val="28"/>
          <w:highlight w:val="none"/>
          <w:u w:val="single"/>
        </w:rPr>
        <w:t xml:space="preserve"> </w:t>
      </w:r>
      <w:r>
        <w:rPr>
          <w:rFonts w:hint="eastAsia" w:ascii="宋体" w:hAnsi="宋体"/>
          <w:sz w:val="28"/>
          <w:szCs w:val="28"/>
          <w:highlight w:val="none"/>
        </w:rPr>
        <w:t>，</w:t>
      </w:r>
      <w:r>
        <w:rPr>
          <w:rFonts w:hint="eastAsia" w:ascii="宋体" w:hAnsi="宋体"/>
          <w:sz w:val="28"/>
          <w:szCs w:val="28"/>
          <w:highlight w:val="none"/>
          <w:lang w:val="en-US" w:eastAsia="zh-CN"/>
        </w:rPr>
        <w:t>审计项目</w:t>
      </w:r>
      <w:r>
        <w:rPr>
          <w:rFonts w:hint="eastAsia" w:ascii="宋体" w:hAnsi="宋体"/>
          <w:sz w:val="28"/>
          <w:szCs w:val="28"/>
          <w:highlight w:val="none"/>
        </w:rPr>
        <w:t>组进场</w:t>
      </w:r>
      <w:r>
        <w:rPr>
          <w:rFonts w:hint="eastAsia" w:ascii="宋体" w:hAnsi="宋体"/>
          <w:sz w:val="28"/>
          <w:szCs w:val="28"/>
          <w:highlight w:val="none"/>
          <w:lang w:val="en-US" w:eastAsia="zh-CN"/>
        </w:rPr>
        <w:t>审计</w:t>
      </w:r>
      <w:r>
        <w:rPr>
          <w:rFonts w:hint="eastAsia" w:ascii="宋体" w:hAnsi="宋体"/>
          <w:sz w:val="28"/>
          <w:szCs w:val="28"/>
          <w:highlight w:val="none"/>
        </w:rPr>
        <w:t>。</w:t>
      </w:r>
    </w:p>
    <w:p>
      <w:pPr>
        <w:tabs>
          <w:tab w:val="left" w:pos="720"/>
        </w:tabs>
        <w:spacing w:line="540" w:lineRule="exact"/>
        <w:ind w:firstLine="420" w:firstLineChars="150"/>
        <w:rPr>
          <w:rFonts w:ascii="宋体"/>
          <w:sz w:val="28"/>
          <w:szCs w:val="28"/>
          <w:highlight w:val="none"/>
        </w:rPr>
      </w:pPr>
      <w:r>
        <w:rPr>
          <w:rFonts w:hint="eastAsia" w:ascii="宋体" w:hAnsi="宋体"/>
          <w:sz w:val="28"/>
          <w:szCs w:val="28"/>
          <w:highlight w:val="none"/>
        </w:rPr>
        <w:t>（二）乙方</w:t>
      </w:r>
      <w:r>
        <w:rPr>
          <w:rFonts w:hint="eastAsia" w:ascii="宋体" w:hAnsi="宋体"/>
          <w:sz w:val="28"/>
          <w:szCs w:val="28"/>
          <w:highlight w:val="none"/>
          <w:lang w:val="en-US" w:eastAsia="zh-CN"/>
        </w:rPr>
        <w:t>审计项目</w:t>
      </w:r>
      <w:r>
        <w:rPr>
          <w:rFonts w:hint="eastAsia" w:ascii="宋体" w:hAnsi="宋体"/>
          <w:sz w:val="28"/>
          <w:szCs w:val="28"/>
          <w:highlight w:val="none"/>
        </w:rPr>
        <w:t>组进场</w:t>
      </w:r>
      <w:r>
        <w:rPr>
          <w:rFonts w:hint="eastAsia" w:ascii="宋体" w:hAnsi="宋体"/>
          <w:sz w:val="28"/>
          <w:szCs w:val="28"/>
          <w:highlight w:val="none"/>
          <w:lang w:val="en-US" w:eastAsia="zh-CN"/>
        </w:rPr>
        <w:t>审计</w:t>
      </w:r>
      <w:r>
        <w:rPr>
          <w:rFonts w:hint="eastAsia" w:ascii="宋体" w:hAnsi="宋体"/>
          <w:sz w:val="28"/>
          <w:szCs w:val="28"/>
          <w:highlight w:val="none"/>
        </w:rPr>
        <w:t>之日起</w:t>
      </w:r>
      <w:r>
        <w:rPr>
          <w:rFonts w:ascii="宋体" w:hAnsi="宋体"/>
          <w:sz w:val="28"/>
          <w:szCs w:val="28"/>
          <w:highlight w:val="none"/>
          <w:u w:val="single"/>
        </w:rPr>
        <w:t xml:space="preserve"> </w:t>
      </w:r>
      <w:r>
        <w:rPr>
          <w:rFonts w:hint="eastAsia" w:ascii="宋体" w:hAnsi="宋体"/>
          <w:b/>
          <w:sz w:val="28"/>
          <w:szCs w:val="28"/>
          <w:highlight w:val="none"/>
          <w:u w:val="single"/>
          <w:lang w:val="en-US" w:eastAsia="zh-CN"/>
        </w:rPr>
        <w:t>30</w:t>
      </w:r>
      <w:r>
        <w:rPr>
          <w:rFonts w:hint="eastAsia" w:ascii="宋体" w:hAnsi="宋体"/>
          <w:b/>
          <w:sz w:val="28"/>
          <w:szCs w:val="28"/>
          <w:highlight w:val="none"/>
          <w:u w:val="single"/>
        </w:rPr>
        <w:t>个工作日</w:t>
      </w:r>
      <w:r>
        <w:rPr>
          <w:rFonts w:ascii="宋体" w:hAnsi="宋体"/>
          <w:b/>
          <w:sz w:val="28"/>
          <w:szCs w:val="28"/>
          <w:highlight w:val="none"/>
          <w:u w:val="single"/>
        </w:rPr>
        <w:t xml:space="preserve"> </w:t>
      </w:r>
      <w:r>
        <w:rPr>
          <w:rFonts w:hint="eastAsia" w:ascii="宋体" w:hAnsi="宋体"/>
          <w:sz w:val="28"/>
          <w:szCs w:val="28"/>
          <w:highlight w:val="none"/>
        </w:rPr>
        <w:t>内出具</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val="en-US" w:eastAsia="zh-CN"/>
        </w:rPr>
        <w:t>及管理建议书</w:t>
      </w:r>
      <w:r>
        <w:rPr>
          <w:rFonts w:hint="eastAsia" w:ascii="宋体" w:hAnsi="宋体"/>
          <w:sz w:val="28"/>
          <w:szCs w:val="28"/>
          <w:highlight w:val="none"/>
        </w:rPr>
        <w:t>初稿，征询甲方的意见，并根据甲方的意见进行修订或补充，经甲方审批通过后</w:t>
      </w:r>
      <w:r>
        <w:rPr>
          <w:rFonts w:ascii="宋体" w:hAnsi="宋体"/>
          <w:sz w:val="28"/>
          <w:szCs w:val="28"/>
          <w:highlight w:val="none"/>
          <w:u w:val="single"/>
        </w:rPr>
        <w:t xml:space="preserve"> </w:t>
      </w:r>
      <w:r>
        <w:rPr>
          <w:rFonts w:hint="eastAsia" w:ascii="宋体" w:hAnsi="宋体"/>
          <w:b/>
          <w:bCs/>
          <w:sz w:val="28"/>
          <w:szCs w:val="28"/>
          <w:highlight w:val="none"/>
          <w:u w:val="single"/>
          <w:lang w:val="en-US" w:eastAsia="zh-CN"/>
        </w:rPr>
        <w:t>5</w:t>
      </w:r>
      <w:r>
        <w:rPr>
          <w:rFonts w:hint="eastAsia" w:ascii="宋体" w:hAnsi="宋体"/>
          <w:b/>
          <w:bCs/>
          <w:sz w:val="28"/>
          <w:szCs w:val="28"/>
          <w:highlight w:val="none"/>
          <w:u w:val="single"/>
        </w:rPr>
        <w:t>个工作日</w:t>
      </w:r>
      <w:r>
        <w:rPr>
          <w:rFonts w:ascii="宋体" w:hAnsi="宋体"/>
          <w:b/>
          <w:bCs/>
          <w:sz w:val="28"/>
          <w:szCs w:val="28"/>
          <w:highlight w:val="none"/>
          <w:u w:val="single"/>
        </w:rPr>
        <w:t xml:space="preserve"> </w:t>
      </w:r>
      <w:r>
        <w:rPr>
          <w:rFonts w:hint="eastAsia" w:ascii="宋体" w:hAnsi="宋体"/>
          <w:sz w:val="28"/>
          <w:szCs w:val="28"/>
          <w:highlight w:val="none"/>
        </w:rPr>
        <w:t>内出具正式</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val="en-US" w:eastAsia="zh-CN"/>
        </w:rPr>
        <w:t>及管理建议书</w:t>
      </w:r>
      <w:r>
        <w:rPr>
          <w:rFonts w:hint="eastAsia" w:ascii="宋体" w:hAnsi="宋体"/>
          <w:sz w:val="28"/>
          <w:szCs w:val="28"/>
          <w:highlight w:val="none"/>
        </w:rPr>
        <w:t>各</w:t>
      </w:r>
      <w:r>
        <w:rPr>
          <w:rFonts w:ascii="宋体" w:hAnsi="宋体"/>
          <w:sz w:val="28"/>
          <w:szCs w:val="28"/>
          <w:highlight w:val="none"/>
          <w:u w:val="single"/>
        </w:rPr>
        <w:t xml:space="preserve"> </w:t>
      </w:r>
      <w:r>
        <w:rPr>
          <w:rFonts w:hint="eastAsia" w:ascii="宋体" w:hAnsi="宋体"/>
          <w:b/>
          <w:sz w:val="28"/>
          <w:szCs w:val="28"/>
          <w:highlight w:val="none"/>
          <w:u w:val="single"/>
        </w:rPr>
        <w:t>一式</w:t>
      </w:r>
      <w:r>
        <w:rPr>
          <w:rFonts w:ascii="宋体" w:hAnsi="宋体"/>
          <w:b/>
          <w:sz w:val="28"/>
          <w:szCs w:val="28"/>
          <w:highlight w:val="none"/>
          <w:u w:val="single"/>
        </w:rPr>
        <w:t xml:space="preserve"> 5 </w:t>
      </w:r>
      <w:r>
        <w:rPr>
          <w:rFonts w:hint="eastAsia" w:ascii="宋体" w:hAnsi="宋体"/>
          <w:b/>
          <w:sz w:val="28"/>
          <w:szCs w:val="28"/>
          <w:highlight w:val="none"/>
          <w:u w:val="single"/>
        </w:rPr>
        <w:t>份</w:t>
      </w:r>
      <w:r>
        <w:rPr>
          <w:rFonts w:ascii="宋体" w:hAnsi="宋体"/>
          <w:b/>
          <w:sz w:val="28"/>
          <w:szCs w:val="28"/>
          <w:highlight w:val="none"/>
          <w:u w:val="single"/>
        </w:rPr>
        <w:t xml:space="preserve"> </w:t>
      </w:r>
      <w:r>
        <w:rPr>
          <w:rFonts w:hint="eastAsia" w:ascii="宋体" w:hAnsi="宋体"/>
          <w:sz w:val="28"/>
          <w:szCs w:val="28"/>
          <w:highlight w:val="none"/>
        </w:rPr>
        <w:t>和电子文档、扫描文档各一份。</w:t>
      </w:r>
    </w:p>
    <w:p>
      <w:pPr>
        <w:tabs>
          <w:tab w:val="left" w:pos="720"/>
        </w:tabs>
        <w:spacing w:line="540" w:lineRule="exact"/>
        <w:ind w:firstLine="562" w:firstLineChars="200"/>
        <w:rPr>
          <w:rFonts w:ascii="宋体"/>
          <w:b/>
          <w:sz w:val="28"/>
          <w:szCs w:val="28"/>
          <w:highlight w:val="none"/>
        </w:rPr>
      </w:pPr>
      <w:r>
        <w:rPr>
          <w:rFonts w:hint="eastAsia" w:ascii="宋体" w:hAnsi="宋体"/>
          <w:b/>
          <w:sz w:val="28"/>
          <w:szCs w:val="28"/>
          <w:highlight w:val="none"/>
        </w:rPr>
        <w:t>六、</w:t>
      </w:r>
      <w:r>
        <w:rPr>
          <w:rFonts w:hint="eastAsia" w:ascii="宋体" w:hAnsi="宋体"/>
          <w:b/>
          <w:sz w:val="28"/>
          <w:szCs w:val="28"/>
          <w:highlight w:val="none"/>
          <w:lang w:val="en-US" w:eastAsia="zh-CN"/>
        </w:rPr>
        <w:t>审计</w:t>
      </w:r>
      <w:r>
        <w:rPr>
          <w:rFonts w:hint="eastAsia" w:ascii="宋体" w:hAnsi="宋体"/>
          <w:b/>
          <w:sz w:val="28"/>
          <w:szCs w:val="28"/>
          <w:highlight w:val="none"/>
        </w:rPr>
        <w:t>费用金额及支付</w:t>
      </w:r>
    </w:p>
    <w:p>
      <w:pPr>
        <w:spacing w:line="540" w:lineRule="exact"/>
        <w:ind w:firstLine="551" w:firstLineChars="197"/>
        <w:rPr>
          <w:rFonts w:ascii="宋体"/>
          <w:sz w:val="28"/>
          <w:szCs w:val="28"/>
          <w:highlight w:val="none"/>
        </w:rPr>
      </w:pPr>
      <w:r>
        <w:rPr>
          <w:rFonts w:hint="eastAsia" w:ascii="宋体" w:hAnsi="宋体"/>
          <w:sz w:val="28"/>
          <w:szCs w:val="28"/>
          <w:highlight w:val="none"/>
        </w:rPr>
        <w:t>本次</w:t>
      </w:r>
      <w:r>
        <w:rPr>
          <w:rFonts w:hint="eastAsia" w:ascii="宋体" w:hAnsi="宋体"/>
          <w:sz w:val="28"/>
          <w:szCs w:val="28"/>
          <w:highlight w:val="none"/>
          <w:lang w:val="en-US" w:eastAsia="zh-CN"/>
        </w:rPr>
        <w:t>审计</w:t>
      </w:r>
      <w:r>
        <w:rPr>
          <w:rFonts w:hint="eastAsia" w:ascii="宋体" w:hAnsi="宋体"/>
          <w:sz w:val="28"/>
          <w:szCs w:val="28"/>
          <w:highlight w:val="none"/>
        </w:rPr>
        <w:t>业务的收费实行固定总价包干的原则，</w:t>
      </w:r>
      <w:r>
        <w:rPr>
          <w:rFonts w:hint="eastAsia" w:ascii="宋体" w:hAnsi="宋体"/>
          <w:sz w:val="28"/>
          <w:szCs w:val="28"/>
          <w:highlight w:val="none"/>
          <w:lang w:val="en-US" w:eastAsia="zh-CN"/>
        </w:rPr>
        <w:t>审计</w:t>
      </w:r>
      <w:r>
        <w:rPr>
          <w:rFonts w:hint="eastAsia" w:ascii="宋体" w:hAnsi="宋体"/>
          <w:sz w:val="28"/>
          <w:szCs w:val="28"/>
          <w:highlight w:val="none"/>
        </w:rPr>
        <w:t>费用为人民币：不含税</w:t>
      </w:r>
      <w:r>
        <w:rPr>
          <w:rFonts w:ascii="宋体" w:hAnsi="宋体"/>
          <w:sz w:val="28"/>
          <w:szCs w:val="28"/>
          <w:highlight w:val="none"/>
          <w:u w:val="single"/>
        </w:rPr>
        <w:t xml:space="preserve">       </w:t>
      </w:r>
      <w:r>
        <w:rPr>
          <w:rFonts w:hint="eastAsia" w:ascii="宋体" w:hAnsi="宋体"/>
          <w:sz w:val="28"/>
          <w:szCs w:val="28"/>
          <w:highlight w:val="none"/>
        </w:rPr>
        <w:t>元，</w:t>
      </w:r>
      <w:r>
        <w:rPr>
          <w:rFonts w:hint="eastAsia" w:ascii="宋体" w:hAnsi="宋体"/>
          <w:sz w:val="28"/>
          <w:szCs w:val="28"/>
          <w:highlight w:val="none"/>
          <w:lang w:val="en-US" w:eastAsia="zh-CN"/>
        </w:rPr>
        <w:t>增值税税额</w:t>
      </w:r>
      <w:r>
        <w:rPr>
          <w:rFonts w:ascii="宋体" w:hAnsi="宋体"/>
          <w:sz w:val="28"/>
          <w:szCs w:val="28"/>
          <w:highlight w:val="none"/>
          <w:u w:val="single"/>
        </w:rPr>
        <w:t xml:space="preserve">     </w:t>
      </w:r>
      <w:r>
        <w:rPr>
          <w:rFonts w:hint="eastAsia" w:ascii="宋体" w:hAnsi="宋体"/>
          <w:sz w:val="28"/>
          <w:szCs w:val="28"/>
          <w:highlight w:val="none"/>
          <w:u w:val="single"/>
          <w:lang w:val="en-US" w:eastAsia="zh-CN"/>
        </w:rPr>
        <w:t xml:space="preserve"> </w:t>
      </w:r>
      <w:r>
        <w:rPr>
          <w:rFonts w:ascii="宋体" w:hAnsi="宋体"/>
          <w:sz w:val="28"/>
          <w:szCs w:val="28"/>
          <w:highlight w:val="none"/>
          <w:u w:val="single"/>
        </w:rPr>
        <w:t xml:space="preserve"> </w:t>
      </w:r>
      <w:r>
        <w:rPr>
          <w:rFonts w:hint="eastAsia" w:ascii="宋体" w:hAnsi="宋体"/>
          <w:sz w:val="28"/>
          <w:szCs w:val="28"/>
          <w:highlight w:val="none"/>
        </w:rPr>
        <w:t>元</w:t>
      </w:r>
      <w:r>
        <w:rPr>
          <w:rFonts w:hint="eastAsia" w:ascii="宋体" w:hAnsi="宋体"/>
          <w:sz w:val="28"/>
          <w:szCs w:val="28"/>
          <w:highlight w:val="none"/>
          <w:lang w:eastAsia="zh-CN"/>
        </w:rPr>
        <w:t>（</w:t>
      </w:r>
      <w:r>
        <w:rPr>
          <w:rFonts w:hint="eastAsia" w:ascii="宋体" w:hAnsi="宋体"/>
          <w:sz w:val="28"/>
          <w:szCs w:val="28"/>
          <w:highlight w:val="none"/>
        </w:rPr>
        <w:t>税率</w:t>
      </w:r>
      <w:r>
        <w:rPr>
          <w:rFonts w:ascii="宋体" w:hAnsi="宋体"/>
          <w:sz w:val="28"/>
          <w:szCs w:val="28"/>
          <w:highlight w:val="none"/>
        </w:rPr>
        <w:t xml:space="preserve"> </w:t>
      </w:r>
      <w:r>
        <w:rPr>
          <w:rFonts w:ascii="宋体" w:hAnsi="宋体"/>
          <w:sz w:val="28"/>
          <w:szCs w:val="28"/>
          <w:highlight w:val="none"/>
          <w:u w:val="single"/>
        </w:rPr>
        <w:t xml:space="preserve">     </w:t>
      </w:r>
      <w:r>
        <w:rPr>
          <w:rFonts w:hint="eastAsia" w:ascii="宋体" w:hAnsi="宋体"/>
          <w:sz w:val="28"/>
          <w:szCs w:val="28"/>
          <w:highlight w:val="none"/>
          <w:u w:val="single"/>
          <w:lang w:val="en-US" w:eastAsia="zh-CN"/>
        </w:rPr>
        <w:t>%</w:t>
      </w:r>
      <w:r>
        <w:rPr>
          <w:rFonts w:hint="eastAsia" w:ascii="宋体" w:hAnsi="宋体"/>
          <w:sz w:val="28"/>
          <w:szCs w:val="28"/>
          <w:highlight w:val="none"/>
          <w:lang w:eastAsia="zh-CN"/>
        </w:rPr>
        <w:t>）</w:t>
      </w:r>
      <w:r>
        <w:rPr>
          <w:rFonts w:hint="eastAsia" w:ascii="宋体" w:hAnsi="宋体"/>
          <w:sz w:val="28"/>
          <w:szCs w:val="28"/>
          <w:highlight w:val="none"/>
        </w:rPr>
        <w:t>，价税合计</w:t>
      </w:r>
      <w:r>
        <w:rPr>
          <w:rFonts w:ascii="宋体" w:hAnsi="宋体"/>
          <w:sz w:val="28"/>
          <w:szCs w:val="28"/>
          <w:highlight w:val="none"/>
          <w:u w:val="single"/>
        </w:rPr>
        <w:t xml:space="preserve">       </w:t>
      </w:r>
      <w:r>
        <w:rPr>
          <w:rFonts w:hint="eastAsia" w:ascii="宋体" w:hAnsi="宋体"/>
          <w:sz w:val="28"/>
          <w:szCs w:val="28"/>
          <w:highlight w:val="none"/>
        </w:rPr>
        <w:t>元</w:t>
      </w:r>
      <w:r>
        <w:rPr>
          <w:rFonts w:hint="eastAsia" w:ascii="宋体" w:hAnsi="宋体"/>
          <w:sz w:val="28"/>
          <w:szCs w:val="28"/>
          <w:highlight w:val="none"/>
          <w:lang w:eastAsia="zh-CN"/>
        </w:rPr>
        <w:t>，</w:t>
      </w:r>
      <w:r>
        <w:rPr>
          <w:rFonts w:hint="eastAsia" w:ascii="宋体" w:hAnsi="宋体"/>
          <w:sz w:val="28"/>
          <w:szCs w:val="28"/>
          <w:highlight w:val="none"/>
          <w:lang w:val="en-US" w:eastAsia="zh-CN"/>
        </w:rPr>
        <w:t>合同不含税价格不因国家政策调整税率而调整。审计</w:t>
      </w:r>
      <w:r>
        <w:rPr>
          <w:rFonts w:hint="eastAsia" w:ascii="宋体" w:hAnsi="宋体"/>
          <w:sz w:val="28"/>
          <w:szCs w:val="28"/>
          <w:highlight w:val="none"/>
        </w:rPr>
        <w:t>费用由</w:t>
      </w:r>
      <w:r>
        <w:rPr>
          <w:rFonts w:hint="eastAsia" w:ascii="宋体" w:hAnsi="宋体"/>
          <w:sz w:val="28"/>
          <w:szCs w:val="28"/>
          <w:highlight w:val="none"/>
          <w:u w:val="single"/>
        </w:rPr>
        <w:t>甲方</w:t>
      </w:r>
      <w:r>
        <w:rPr>
          <w:rFonts w:hint="eastAsia" w:ascii="宋体" w:hAnsi="宋体"/>
          <w:sz w:val="28"/>
          <w:szCs w:val="28"/>
          <w:highlight w:val="none"/>
        </w:rPr>
        <w:t>支付，自乙方出具</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val="en-US" w:eastAsia="zh-CN"/>
        </w:rPr>
        <w:t>及管理建议书</w:t>
      </w:r>
      <w:r>
        <w:rPr>
          <w:rFonts w:hint="eastAsia" w:ascii="宋体" w:hAnsi="宋体"/>
          <w:sz w:val="28"/>
          <w:szCs w:val="28"/>
          <w:highlight w:val="none"/>
        </w:rPr>
        <w:t>（正式版），经</w:t>
      </w:r>
      <w:r>
        <w:rPr>
          <w:rFonts w:ascii="宋体" w:hAnsi="宋体"/>
          <w:sz w:val="28"/>
          <w:szCs w:val="28"/>
          <w:highlight w:val="none"/>
          <w:u w:val="single"/>
        </w:rPr>
        <w:t xml:space="preserve"> </w:t>
      </w:r>
      <w:r>
        <w:rPr>
          <w:rFonts w:hint="eastAsia" w:ascii="宋体" w:hAnsi="宋体"/>
          <w:sz w:val="28"/>
          <w:szCs w:val="28"/>
          <w:highlight w:val="none"/>
          <w:u w:val="single"/>
        </w:rPr>
        <w:t>甲方</w:t>
      </w:r>
      <w:r>
        <w:rPr>
          <w:rFonts w:ascii="宋体" w:hAnsi="宋体"/>
          <w:sz w:val="28"/>
          <w:szCs w:val="28"/>
          <w:highlight w:val="none"/>
          <w:u w:val="single"/>
        </w:rPr>
        <w:t xml:space="preserve"> </w:t>
      </w:r>
      <w:r>
        <w:rPr>
          <w:rFonts w:hint="eastAsia" w:ascii="宋体" w:hAnsi="宋体"/>
          <w:sz w:val="28"/>
          <w:szCs w:val="28"/>
          <w:highlight w:val="none"/>
        </w:rPr>
        <w:t>审批通过后</w:t>
      </w:r>
      <w:r>
        <w:rPr>
          <w:rFonts w:ascii="宋体" w:hAnsi="宋体"/>
          <w:sz w:val="28"/>
          <w:szCs w:val="28"/>
          <w:highlight w:val="none"/>
        </w:rPr>
        <w:t>30</w:t>
      </w:r>
      <w:r>
        <w:rPr>
          <w:rFonts w:hint="eastAsia" w:ascii="宋体" w:hAnsi="宋体"/>
          <w:sz w:val="28"/>
          <w:szCs w:val="28"/>
          <w:highlight w:val="none"/>
        </w:rPr>
        <w:t>个工作日内，完成计量结算手续并提供合法等额增值税专用发票后</w:t>
      </w:r>
      <w:r>
        <w:rPr>
          <w:rFonts w:ascii="宋体" w:hAnsi="宋体"/>
          <w:sz w:val="28"/>
          <w:szCs w:val="28"/>
          <w:highlight w:val="none"/>
        </w:rPr>
        <w:t>20</w:t>
      </w:r>
      <w:r>
        <w:rPr>
          <w:rFonts w:hint="eastAsia" w:ascii="宋体" w:hAnsi="宋体"/>
          <w:sz w:val="28"/>
          <w:szCs w:val="28"/>
          <w:highlight w:val="none"/>
        </w:rPr>
        <w:t>个工作日内一次性支付结算款。如乙方未足额提供增值税专用发票的，甲方有权顺延付款时间直至乙方补足发票之日止再起算付款时间。</w:t>
      </w:r>
    </w:p>
    <w:p>
      <w:pPr>
        <w:spacing w:line="540" w:lineRule="exact"/>
        <w:ind w:firstLine="551" w:firstLineChars="196"/>
        <w:rPr>
          <w:rFonts w:ascii="宋体"/>
          <w:sz w:val="28"/>
          <w:szCs w:val="28"/>
          <w:highlight w:val="none"/>
        </w:rPr>
      </w:pPr>
      <w:r>
        <w:rPr>
          <w:rFonts w:hint="eastAsia" w:ascii="宋体" w:hAnsi="宋体"/>
          <w:b/>
          <w:bCs/>
          <w:sz w:val="28"/>
          <w:szCs w:val="28"/>
          <w:highlight w:val="none"/>
        </w:rPr>
        <w:t>上述费用包括了</w:t>
      </w:r>
      <w:r>
        <w:rPr>
          <w:rFonts w:hint="eastAsia" w:ascii="宋体" w:hAnsi="宋体"/>
          <w:b/>
          <w:bCs/>
          <w:sz w:val="28"/>
          <w:szCs w:val="28"/>
          <w:highlight w:val="none"/>
          <w:lang w:val="en-US" w:eastAsia="zh-CN"/>
        </w:rPr>
        <w:t>审计</w:t>
      </w:r>
      <w:r>
        <w:rPr>
          <w:rFonts w:hint="eastAsia" w:ascii="宋体" w:hAnsi="宋体"/>
          <w:b/>
          <w:bCs/>
          <w:sz w:val="28"/>
          <w:szCs w:val="28"/>
          <w:highlight w:val="none"/>
        </w:rPr>
        <w:t>费用以及</w:t>
      </w:r>
      <w:r>
        <w:rPr>
          <w:rFonts w:hint="eastAsia" w:ascii="宋体" w:hAnsi="宋体"/>
          <w:b/>
          <w:bCs/>
          <w:sz w:val="28"/>
          <w:szCs w:val="28"/>
          <w:highlight w:val="none"/>
          <w:lang w:val="en-US" w:eastAsia="zh-CN"/>
        </w:rPr>
        <w:t>审计</w:t>
      </w:r>
      <w:r>
        <w:rPr>
          <w:rFonts w:hint="eastAsia" w:ascii="宋体" w:hAnsi="宋体"/>
          <w:b/>
          <w:bCs/>
          <w:sz w:val="28"/>
          <w:szCs w:val="28"/>
          <w:highlight w:val="none"/>
        </w:rPr>
        <w:t>过程中发生其他所有费用（包括但不限于税费、交通费、食宿费、差旅费等），除此之外，乙方不得向甲方或被</w:t>
      </w:r>
      <w:r>
        <w:rPr>
          <w:rFonts w:hint="eastAsia" w:ascii="宋体" w:hAnsi="宋体"/>
          <w:b/>
          <w:bCs/>
          <w:sz w:val="28"/>
          <w:szCs w:val="28"/>
          <w:highlight w:val="none"/>
          <w:lang w:val="en-US" w:eastAsia="zh-CN"/>
        </w:rPr>
        <w:t>审计</w:t>
      </w:r>
      <w:r>
        <w:rPr>
          <w:rFonts w:hint="eastAsia" w:ascii="宋体" w:hAnsi="宋体"/>
          <w:b/>
          <w:bCs/>
          <w:sz w:val="28"/>
          <w:szCs w:val="28"/>
          <w:highlight w:val="none"/>
        </w:rPr>
        <w:t>单位另行收取任何费用</w:t>
      </w:r>
      <w:r>
        <w:rPr>
          <w:rFonts w:hint="eastAsia" w:ascii="宋体" w:hAnsi="宋体"/>
          <w:sz w:val="28"/>
          <w:szCs w:val="28"/>
          <w:highlight w:val="none"/>
        </w:rPr>
        <w:t>。</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七、违约责任</w:t>
      </w:r>
    </w:p>
    <w:p>
      <w:pPr>
        <w:spacing w:line="540" w:lineRule="exact"/>
        <w:ind w:firstLine="420" w:firstLineChars="150"/>
        <w:rPr>
          <w:rFonts w:ascii="宋体"/>
          <w:sz w:val="28"/>
          <w:szCs w:val="28"/>
          <w:highlight w:val="none"/>
        </w:rPr>
      </w:pPr>
      <w:r>
        <w:rPr>
          <w:rFonts w:hint="eastAsia" w:ascii="宋体" w:hAnsi="宋体"/>
          <w:sz w:val="28"/>
          <w:szCs w:val="28"/>
          <w:highlight w:val="none"/>
        </w:rPr>
        <w:t>（一）本合同正式签订生效后，任何一方不履行或不完全履行本合同约定条款的，即构成违约。任何一方违约不履行本合同，违约方应向守约方支付由于违约造成的一切损失。</w:t>
      </w:r>
    </w:p>
    <w:p>
      <w:pPr>
        <w:spacing w:line="540" w:lineRule="exact"/>
        <w:ind w:firstLine="420" w:firstLineChars="150"/>
        <w:rPr>
          <w:rFonts w:ascii="宋体"/>
          <w:sz w:val="28"/>
          <w:szCs w:val="28"/>
          <w:highlight w:val="none"/>
        </w:rPr>
      </w:pPr>
      <w:r>
        <w:rPr>
          <w:rFonts w:hint="eastAsia" w:ascii="宋体" w:hAnsi="宋体"/>
          <w:sz w:val="28"/>
          <w:szCs w:val="28"/>
          <w:highlight w:val="none"/>
        </w:rPr>
        <w:t>（二）如乙方不能按照本合同约定履行义务的，甲方有权直接解除合同，剩余</w:t>
      </w:r>
      <w:r>
        <w:rPr>
          <w:rFonts w:hint="eastAsia" w:ascii="宋体" w:hAnsi="宋体"/>
          <w:sz w:val="28"/>
          <w:szCs w:val="28"/>
          <w:highlight w:val="none"/>
          <w:lang w:val="en-US" w:eastAsia="zh-CN"/>
        </w:rPr>
        <w:t>审计</w:t>
      </w:r>
      <w:r>
        <w:rPr>
          <w:rFonts w:hint="eastAsia" w:ascii="宋体" w:hAnsi="宋体"/>
          <w:sz w:val="28"/>
          <w:szCs w:val="28"/>
          <w:highlight w:val="none"/>
        </w:rPr>
        <w:t>费用不予支付。甲方有权视情形要求乙方退回已支付的全部或部分</w:t>
      </w:r>
      <w:r>
        <w:rPr>
          <w:rFonts w:hint="eastAsia" w:ascii="宋体" w:hAnsi="宋体"/>
          <w:sz w:val="28"/>
          <w:szCs w:val="28"/>
          <w:highlight w:val="none"/>
          <w:lang w:val="en-US" w:eastAsia="zh-CN"/>
        </w:rPr>
        <w:t>审计</w:t>
      </w:r>
      <w:r>
        <w:rPr>
          <w:rFonts w:hint="eastAsia" w:ascii="宋体" w:hAnsi="宋体"/>
          <w:sz w:val="28"/>
          <w:szCs w:val="28"/>
          <w:highlight w:val="none"/>
        </w:rPr>
        <w:t>费用，给甲方造成其他损失的，乙方还应进行赔偿。若乙方延期交付</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val="en-US" w:eastAsia="zh-CN"/>
        </w:rPr>
        <w:t>及管理建议书</w:t>
      </w:r>
      <w:r>
        <w:rPr>
          <w:rFonts w:hint="eastAsia" w:ascii="宋体" w:hAnsi="宋体"/>
          <w:sz w:val="28"/>
          <w:szCs w:val="28"/>
          <w:highlight w:val="none"/>
        </w:rPr>
        <w:t>初稿或正式版，甲方有权按照</w:t>
      </w:r>
      <w:r>
        <w:rPr>
          <w:rFonts w:hint="eastAsia" w:ascii="宋体" w:hAnsi="宋体"/>
          <w:sz w:val="28"/>
          <w:szCs w:val="28"/>
          <w:highlight w:val="none"/>
          <w:lang w:val="en-US" w:eastAsia="zh-CN"/>
        </w:rPr>
        <w:t>审计</w:t>
      </w:r>
      <w:r>
        <w:rPr>
          <w:rFonts w:hint="eastAsia" w:ascii="宋体" w:hAnsi="宋体"/>
          <w:sz w:val="28"/>
          <w:szCs w:val="28"/>
          <w:highlight w:val="none"/>
        </w:rPr>
        <w:t>费用总额的千分之三</w:t>
      </w:r>
      <w:r>
        <w:rPr>
          <w:rFonts w:ascii="宋体" w:hAnsi="宋体"/>
          <w:sz w:val="28"/>
          <w:szCs w:val="28"/>
          <w:highlight w:val="none"/>
        </w:rPr>
        <w:t>/</w:t>
      </w:r>
      <w:r>
        <w:rPr>
          <w:rFonts w:hint="eastAsia" w:ascii="宋体" w:hAnsi="宋体"/>
          <w:sz w:val="28"/>
          <w:szCs w:val="28"/>
          <w:highlight w:val="none"/>
        </w:rPr>
        <w:t>每日</w:t>
      </w:r>
      <w:r>
        <w:rPr>
          <w:rFonts w:ascii="宋体" w:hAnsi="宋体"/>
          <w:sz w:val="28"/>
          <w:szCs w:val="28"/>
          <w:highlight w:val="none"/>
        </w:rPr>
        <w:t>*</w:t>
      </w:r>
      <w:r>
        <w:rPr>
          <w:rFonts w:hint="eastAsia" w:ascii="宋体" w:hAnsi="宋体"/>
          <w:sz w:val="28"/>
          <w:szCs w:val="28"/>
          <w:highlight w:val="none"/>
        </w:rPr>
        <w:t>（延期天数）向乙方收取违约金。</w:t>
      </w:r>
    </w:p>
    <w:p>
      <w:pPr>
        <w:spacing w:line="540" w:lineRule="exact"/>
        <w:ind w:firstLine="420" w:firstLineChars="150"/>
        <w:rPr>
          <w:rFonts w:ascii="宋体"/>
          <w:sz w:val="28"/>
          <w:szCs w:val="28"/>
          <w:highlight w:val="none"/>
        </w:rPr>
      </w:pPr>
      <w:r>
        <w:rPr>
          <w:rFonts w:hint="eastAsia" w:ascii="宋体" w:hAnsi="宋体"/>
          <w:sz w:val="28"/>
          <w:szCs w:val="28"/>
          <w:highlight w:val="none"/>
        </w:rPr>
        <w:t>（三）甲方无故逾期办理合同款支付手续的，甲方应按逾期付款总额每日万分之五向乙方支付违约金。</w:t>
      </w:r>
    </w:p>
    <w:p>
      <w:pPr>
        <w:spacing w:line="540" w:lineRule="exact"/>
        <w:ind w:firstLine="420" w:firstLineChars="150"/>
        <w:rPr>
          <w:rFonts w:ascii="宋体"/>
          <w:sz w:val="28"/>
          <w:szCs w:val="28"/>
          <w:highlight w:val="none"/>
        </w:rPr>
      </w:pPr>
      <w:r>
        <w:rPr>
          <w:rFonts w:hint="eastAsia" w:ascii="宋体" w:hAnsi="宋体"/>
          <w:sz w:val="28"/>
          <w:szCs w:val="28"/>
          <w:highlight w:val="none"/>
        </w:rPr>
        <w:t>（四）乙方不履行保密条款、过失或故意泄露其知悉的甲方保密事项或在擅自合同约定的工作内容之外使用甲方保密事项从而甲方造成损失的，乙方应承担相应的赔偿责任。</w:t>
      </w:r>
    </w:p>
    <w:p>
      <w:pPr>
        <w:spacing w:line="540" w:lineRule="exact"/>
        <w:ind w:firstLine="420" w:firstLineChars="150"/>
        <w:rPr>
          <w:rFonts w:ascii="宋体"/>
          <w:sz w:val="28"/>
          <w:szCs w:val="28"/>
          <w:highlight w:val="none"/>
        </w:rPr>
      </w:pPr>
      <w:r>
        <w:rPr>
          <w:rFonts w:hint="eastAsia" w:ascii="宋体" w:hAnsi="宋体"/>
          <w:sz w:val="28"/>
          <w:szCs w:val="28"/>
          <w:highlight w:val="none"/>
        </w:rPr>
        <w:t>（五）在本合同内确定的现场负责人原则上不予更换，若要更换需经得甲方同意，未经甲方同意而更换的，甲方可终止合同。现场负责人进驻</w:t>
      </w:r>
      <w:r>
        <w:rPr>
          <w:rFonts w:hint="eastAsia" w:ascii="宋体" w:hAnsi="宋体"/>
          <w:sz w:val="28"/>
          <w:szCs w:val="28"/>
          <w:highlight w:val="none"/>
          <w:lang w:val="en-US" w:eastAsia="zh-CN"/>
        </w:rPr>
        <w:t>审计</w:t>
      </w:r>
      <w:r>
        <w:rPr>
          <w:rFonts w:hint="eastAsia" w:ascii="宋体" w:hAnsi="宋体"/>
          <w:sz w:val="28"/>
          <w:szCs w:val="28"/>
          <w:highlight w:val="none"/>
        </w:rPr>
        <w:t>现场工作时间不得少于</w:t>
      </w:r>
      <w:r>
        <w:rPr>
          <w:rFonts w:ascii="宋体" w:hAnsi="宋体"/>
          <w:sz w:val="28"/>
          <w:szCs w:val="28"/>
          <w:highlight w:val="none"/>
        </w:rPr>
        <w:t>10</w:t>
      </w:r>
      <w:r>
        <w:rPr>
          <w:rFonts w:hint="eastAsia" w:ascii="宋体" w:hAnsi="宋体"/>
          <w:sz w:val="28"/>
          <w:szCs w:val="28"/>
          <w:highlight w:val="none"/>
        </w:rPr>
        <w:t>个工作日，否则视为乙方违约，并处以</w:t>
      </w:r>
      <w:r>
        <w:rPr>
          <w:rFonts w:ascii="宋体" w:hAnsi="宋体"/>
          <w:sz w:val="28"/>
          <w:szCs w:val="28"/>
          <w:highlight w:val="none"/>
        </w:rPr>
        <w:t>5000</w:t>
      </w:r>
      <w:r>
        <w:rPr>
          <w:rFonts w:hint="eastAsia" w:ascii="宋体" w:hAnsi="宋体"/>
          <w:sz w:val="28"/>
          <w:szCs w:val="28"/>
          <w:highlight w:val="none"/>
        </w:rPr>
        <w:t>元的违约金。</w:t>
      </w:r>
    </w:p>
    <w:p>
      <w:pPr>
        <w:spacing w:line="540" w:lineRule="exact"/>
        <w:ind w:firstLine="420" w:firstLineChars="150"/>
        <w:rPr>
          <w:rFonts w:ascii="宋体"/>
          <w:sz w:val="28"/>
          <w:szCs w:val="28"/>
          <w:highlight w:val="none"/>
        </w:rPr>
      </w:pPr>
      <w:r>
        <w:rPr>
          <w:rFonts w:hint="eastAsia" w:ascii="宋体" w:hAnsi="宋体"/>
          <w:sz w:val="28"/>
          <w:szCs w:val="28"/>
          <w:highlight w:val="none"/>
        </w:rPr>
        <w:t>（六）在本合同内确定的项目团队人员不应更换，如未经甲方同意擅自更换项目团队人员的，甲方将视其违约，并处以</w:t>
      </w:r>
      <w:r>
        <w:rPr>
          <w:rFonts w:ascii="宋体" w:hAnsi="宋体"/>
          <w:sz w:val="28"/>
          <w:szCs w:val="28"/>
          <w:highlight w:val="none"/>
        </w:rPr>
        <w:t>2000</w:t>
      </w:r>
      <w:r>
        <w:rPr>
          <w:rFonts w:hint="eastAsia" w:ascii="宋体" w:hAnsi="宋体"/>
          <w:sz w:val="28"/>
          <w:szCs w:val="28"/>
          <w:highlight w:val="none"/>
        </w:rPr>
        <w:t>元</w:t>
      </w:r>
      <w:r>
        <w:rPr>
          <w:rFonts w:ascii="宋体" w:hAnsi="宋体"/>
          <w:sz w:val="28"/>
          <w:szCs w:val="28"/>
          <w:highlight w:val="none"/>
        </w:rPr>
        <w:t>/</w:t>
      </w:r>
      <w:r>
        <w:rPr>
          <w:rFonts w:hint="eastAsia" w:ascii="宋体" w:hAnsi="宋体"/>
          <w:sz w:val="28"/>
          <w:szCs w:val="28"/>
          <w:highlight w:val="none"/>
        </w:rPr>
        <w:t>人的违约金。</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八、合同有效期</w:t>
      </w:r>
    </w:p>
    <w:p>
      <w:pPr>
        <w:spacing w:line="540" w:lineRule="exact"/>
        <w:ind w:firstLine="560" w:firstLineChars="200"/>
        <w:rPr>
          <w:rFonts w:ascii="宋体"/>
          <w:sz w:val="28"/>
          <w:szCs w:val="28"/>
          <w:highlight w:val="none"/>
        </w:rPr>
      </w:pPr>
      <w:r>
        <w:rPr>
          <w:rFonts w:hint="eastAsia" w:ascii="宋体" w:hAnsi="宋体"/>
          <w:sz w:val="28"/>
          <w:szCs w:val="28"/>
          <w:highlight w:val="none"/>
        </w:rPr>
        <w:t>本合同书自甲、乙双方法定代表人或授权委托人签字或盖法人章并加盖甲、乙双方公司公章或合同专用章之日起生效，并在双方履行完毕本合同约定的所有义务后终止，但其中第九条第（二）款规定的保密义务并不因本合同终止而失效。</w:t>
      </w:r>
    </w:p>
    <w:p>
      <w:pPr>
        <w:numPr>
          <w:ilvl w:val="0"/>
          <w:numId w:val="3"/>
        </w:numPr>
        <w:spacing w:line="540" w:lineRule="exact"/>
        <w:ind w:firstLine="562" w:firstLineChars="200"/>
        <w:rPr>
          <w:rFonts w:ascii="宋体"/>
          <w:b/>
          <w:bCs/>
          <w:sz w:val="28"/>
          <w:szCs w:val="28"/>
          <w:highlight w:val="none"/>
        </w:rPr>
      </w:pPr>
      <w:r>
        <w:rPr>
          <w:rFonts w:hint="eastAsia" w:ascii="宋体" w:hAnsi="宋体"/>
          <w:b/>
          <w:bCs/>
          <w:sz w:val="28"/>
          <w:szCs w:val="28"/>
          <w:highlight w:val="none"/>
        </w:rPr>
        <w:t>保密条款</w:t>
      </w:r>
    </w:p>
    <w:p>
      <w:pPr>
        <w:spacing w:line="540" w:lineRule="exact"/>
        <w:ind w:firstLine="420" w:firstLineChars="150"/>
        <w:rPr>
          <w:rFonts w:ascii="宋体"/>
          <w:sz w:val="28"/>
          <w:szCs w:val="28"/>
          <w:highlight w:val="none"/>
        </w:rPr>
      </w:pPr>
      <w:r>
        <w:rPr>
          <w:rFonts w:hint="eastAsia" w:ascii="宋体" w:hAnsi="宋体"/>
          <w:sz w:val="28"/>
          <w:szCs w:val="28"/>
          <w:highlight w:val="none"/>
        </w:rPr>
        <w:t>（一）乙方在</w:t>
      </w:r>
      <w:r>
        <w:rPr>
          <w:rFonts w:hint="eastAsia" w:ascii="宋体" w:hAnsi="宋体"/>
          <w:sz w:val="28"/>
          <w:szCs w:val="28"/>
          <w:highlight w:val="none"/>
          <w:lang w:val="en-US" w:eastAsia="zh-CN"/>
        </w:rPr>
        <w:t>审计</w:t>
      </w:r>
      <w:r>
        <w:rPr>
          <w:rFonts w:hint="eastAsia" w:ascii="宋体" w:hAnsi="宋体"/>
          <w:sz w:val="28"/>
          <w:szCs w:val="28"/>
          <w:highlight w:val="none"/>
        </w:rPr>
        <w:t>过程中发现对象或其所属单位在</w:t>
      </w:r>
      <w:r>
        <w:rPr>
          <w:rFonts w:hint="eastAsia" w:ascii="宋体" w:hAnsi="宋体"/>
          <w:sz w:val="28"/>
          <w:szCs w:val="28"/>
          <w:highlight w:val="none"/>
          <w:lang w:val="en-US" w:eastAsia="zh-CN"/>
        </w:rPr>
        <w:t>采购及合同管理、会计核算、财务管理等</w:t>
      </w:r>
      <w:r>
        <w:rPr>
          <w:rFonts w:hint="eastAsia" w:ascii="宋体" w:hAnsi="宋体"/>
          <w:sz w:val="28"/>
          <w:szCs w:val="28"/>
          <w:highlight w:val="none"/>
        </w:rPr>
        <w:t>有重大缺陷，有导致产生重大弊端的可能，应及时将有关情况通报甲方。</w:t>
      </w:r>
    </w:p>
    <w:p>
      <w:pPr>
        <w:spacing w:line="540" w:lineRule="exact"/>
        <w:ind w:firstLine="420" w:firstLineChars="150"/>
        <w:rPr>
          <w:rFonts w:ascii="宋体"/>
          <w:sz w:val="28"/>
          <w:szCs w:val="28"/>
          <w:highlight w:val="none"/>
        </w:rPr>
      </w:pPr>
      <w:r>
        <w:rPr>
          <w:rFonts w:hint="eastAsia" w:ascii="宋体" w:hAnsi="宋体"/>
          <w:sz w:val="28"/>
          <w:szCs w:val="28"/>
          <w:highlight w:val="none"/>
        </w:rPr>
        <w:t>（二）乙方对工作中知悉的商业秘密保密，不得将所获得的有关资料和文件用于与委托事项无关的活动。本义务在委托事项结束后，仍然有效。保密承诺书作为本合同的附件。</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十、争议解决</w:t>
      </w:r>
    </w:p>
    <w:p>
      <w:pPr>
        <w:spacing w:line="540" w:lineRule="exact"/>
        <w:ind w:firstLine="560"/>
        <w:rPr>
          <w:rFonts w:ascii="宋体"/>
          <w:bCs/>
          <w:sz w:val="28"/>
          <w:szCs w:val="28"/>
          <w:highlight w:val="none"/>
        </w:rPr>
      </w:pPr>
      <w:r>
        <w:rPr>
          <w:rFonts w:hint="eastAsia" w:ascii="宋体" w:hAnsi="宋体"/>
          <w:bCs/>
          <w:sz w:val="28"/>
          <w:szCs w:val="28"/>
          <w:highlight w:val="none"/>
        </w:rPr>
        <w:t>在本</w:t>
      </w:r>
      <w:r>
        <w:rPr>
          <w:rFonts w:hint="eastAsia" w:ascii="宋体" w:hAnsi="宋体"/>
          <w:sz w:val="28"/>
          <w:szCs w:val="28"/>
          <w:highlight w:val="none"/>
        </w:rPr>
        <w:t>合同</w:t>
      </w:r>
      <w:r>
        <w:rPr>
          <w:rFonts w:hint="eastAsia" w:ascii="宋体" w:hAnsi="宋体"/>
          <w:bCs/>
          <w:sz w:val="28"/>
          <w:szCs w:val="28"/>
          <w:highlight w:val="none"/>
        </w:rPr>
        <w:t>履行过程中发生争议的，应首先友好协商解决，协商不成的，任何一方有权向本</w:t>
      </w:r>
      <w:r>
        <w:rPr>
          <w:rFonts w:hint="eastAsia" w:ascii="宋体" w:hAnsi="宋体"/>
          <w:sz w:val="28"/>
          <w:szCs w:val="28"/>
          <w:highlight w:val="none"/>
        </w:rPr>
        <w:t>合同</w:t>
      </w:r>
      <w:r>
        <w:rPr>
          <w:rFonts w:hint="eastAsia" w:ascii="宋体" w:hAnsi="宋体"/>
          <w:bCs/>
          <w:sz w:val="28"/>
          <w:szCs w:val="28"/>
          <w:highlight w:val="none"/>
        </w:rPr>
        <w:t>甲方营业执照上记载的经营地址所在地有管辖权的人民法院提起诉讼。</w:t>
      </w:r>
    </w:p>
    <w:p>
      <w:pPr>
        <w:spacing w:line="540" w:lineRule="exact"/>
        <w:ind w:firstLine="560" w:firstLineChars="200"/>
        <w:rPr>
          <w:rFonts w:ascii="宋体"/>
          <w:bCs/>
          <w:sz w:val="28"/>
          <w:szCs w:val="28"/>
          <w:highlight w:val="none"/>
        </w:rPr>
      </w:pPr>
      <w:r>
        <w:rPr>
          <w:rFonts w:hint="eastAsia" w:ascii="宋体" w:hAnsi="宋体"/>
          <w:bCs/>
          <w:sz w:val="28"/>
          <w:szCs w:val="28"/>
          <w:highlight w:val="none"/>
        </w:rPr>
        <w:t>十一、本</w:t>
      </w:r>
      <w:r>
        <w:rPr>
          <w:rFonts w:hint="eastAsia" w:ascii="宋体" w:hAnsi="宋体"/>
          <w:sz w:val="28"/>
          <w:szCs w:val="28"/>
          <w:highlight w:val="none"/>
        </w:rPr>
        <w:t>合同</w:t>
      </w:r>
      <w:r>
        <w:rPr>
          <w:rFonts w:hint="eastAsia" w:ascii="宋体" w:hAnsi="宋体"/>
          <w:bCs/>
          <w:sz w:val="28"/>
          <w:szCs w:val="28"/>
          <w:highlight w:val="none"/>
        </w:rPr>
        <w:t>书未尽事宜，经双方共同协商，签订补充协议。补充协议与本</w:t>
      </w:r>
      <w:r>
        <w:rPr>
          <w:rFonts w:hint="eastAsia" w:ascii="宋体" w:hAnsi="宋体"/>
          <w:sz w:val="28"/>
          <w:szCs w:val="28"/>
          <w:highlight w:val="none"/>
        </w:rPr>
        <w:t>合同</w:t>
      </w:r>
      <w:r>
        <w:rPr>
          <w:rFonts w:hint="eastAsia" w:ascii="宋体" w:hAnsi="宋体"/>
          <w:bCs/>
          <w:sz w:val="28"/>
          <w:szCs w:val="28"/>
          <w:highlight w:val="none"/>
        </w:rPr>
        <w:t>书具有同等法律效力。</w:t>
      </w:r>
    </w:p>
    <w:p>
      <w:pPr>
        <w:spacing w:line="540" w:lineRule="exact"/>
        <w:ind w:firstLine="560" w:firstLineChars="200"/>
        <w:rPr>
          <w:rFonts w:ascii="宋体"/>
          <w:bCs/>
          <w:sz w:val="28"/>
          <w:szCs w:val="28"/>
          <w:highlight w:val="none"/>
        </w:rPr>
      </w:pPr>
      <w:r>
        <w:rPr>
          <w:rFonts w:hint="eastAsia" w:ascii="宋体" w:hAnsi="宋体"/>
          <w:bCs/>
          <w:sz w:val="28"/>
          <w:szCs w:val="28"/>
          <w:highlight w:val="none"/>
        </w:rPr>
        <w:t>十二、本</w:t>
      </w:r>
      <w:r>
        <w:rPr>
          <w:rFonts w:hint="eastAsia" w:ascii="宋体" w:hAnsi="宋体"/>
          <w:sz w:val="28"/>
          <w:szCs w:val="28"/>
          <w:highlight w:val="none"/>
        </w:rPr>
        <w:t>合同</w:t>
      </w:r>
      <w:r>
        <w:rPr>
          <w:rFonts w:hint="eastAsia" w:ascii="宋体" w:hAnsi="宋体"/>
          <w:bCs/>
          <w:sz w:val="28"/>
          <w:szCs w:val="28"/>
          <w:highlight w:val="none"/>
        </w:rPr>
        <w:t>书一式</w:t>
      </w:r>
      <w:r>
        <w:rPr>
          <w:rFonts w:ascii="宋体" w:hAnsi="宋体"/>
          <w:b/>
          <w:bCs/>
          <w:sz w:val="28"/>
          <w:szCs w:val="28"/>
          <w:highlight w:val="none"/>
          <w:u w:val="single"/>
        </w:rPr>
        <w:t xml:space="preserve">  </w:t>
      </w:r>
      <w:r>
        <w:rPr>
          <w:rFonts w:hint="eastAsia" w:ascii="宋体" w:hAnsi="宋体"/>
          <w:b w:val="0"/>
          <w:bCs w:val="0"/>
          <w:sz w:val="28"/>
          <w:szCs w:val="28"/>
          <w:highlight w:val="none"/>
          <w:u w:val="single"/>
          <w:lang w:val="en-US" w:eastAsia="zh-CN"/>
        </w:rPr>
        <w:t>陆</w:t>
      </w:r>
      <w:r>
        <w:rPr>
          <w:rFonts w:ascii="宋体" w:hAnsi="宋体"/>
          <w:b/>
          <w:bCs/>
          <w:sz w:val="28"/>
          <w:szCs w:val="28"/>
          <w:highlight w:val="none"/>
          <w:u w:val="single"/>
        </w:rPr>
        <w:t xml:space="preserve">  </w:t>
      </w:r>
      <w:r>
        <w:rPr>
          <w:rFonts w:hint="eastAsia" w:ascii="宋体" w:hAnsi="宋体"/>
          <w:bCs/>
          <w:sz w:val="28"/>
          <w:szCs w:val="28"/>
          <w:highlight w:val="none"/>
        </w:rPr>
        <w:t>份，甲方执</w:t>
      </w:r>
      <w:r>
        <w:rPr>
          <w:rFonts w:ascii="宋体" w:hAnsi="宋体"/>
          <w:bCs/>
          <w:sz w:val="28"/>
          <w:szCs w:val="28"/>
          <w:highlight w:val="none"/>
          <w:u w:val="single"/>
        </w:rPr>
        <w:t xml:space="preserve"> </w:t>
      </w:r>
      <w:r>
        <w:rPr>
          <w:rFonts w:hint="eastAsia" w:ascii="宋体" w:hAnsi="宋体"/>
          <w:bCs/>
          <w:sz w:val="28"/>
          <w:szCs w:val="28"/>
          <w:highlight w:val="none"/>
          <w:u w:val="single"/>
          <w:lang w:val="en-US" w:eastAsia="zh-CN"/>
        </w:rPr>
        <w:t>肆</w:t>
      </w:r>
      <w:r>
        <w:rPr>
          <w:rFonts w:ascii="宋体" w:hAnsi="宋体"/>
          <w:bCs/>
          <w:sz w:val="28"/>
          <w:szCs w:val="28"/>
          <w:highlight w:val="none"/>
          <w:u w:val="single"/>
        </w:rPr>
        <w:t xml:space="preserve"> </w:t>
      </w:r>
      <w:r>
        <w:rPr>
          <w:rFonts w:hint="eastAsia" w:ascii="宋体" w:hAnsi="宋体"/>
          <w:bCs/>
          <w:sz w:val="28"/>
          <w:szCs w:val="28"/>
          <w:highlight w:val="none"/>
        </w:rPr>
        <w:t>份，乙方执</w:t>
      </w:r>
      <w:r>
        <w:rPr>
          <w:rFonts w:ascii="宋体" w:hAnsi="宋体"/>
          <w:b/>
          <w:bCs/>
          <w:sz w:val="28"/>
          <w:szCs w:val="28"/>
          <w:highlight w:val="none"/>
          <w:u w:val="single"/>
        </w:rPr>
        <w:t xml:space="preserve"> </w:t>
      </w:r>
      <w:r>
        <w:rPr>
          <w:rFonts w:hint="eastAsia" w:ascii="宋体" w:hAnsi="宋体"/>
          <w:b w:val="0"/>
          <w:bCs w:val="0"/>
          <w:sz w:val="28"/>
          <w:szCs w:val="28"/>
          <w:highlight w:val="none"/>
          <w:u w:val="single"/>
          <w:lang w:val="en-US" w:eastAsia="zh-CN"/>
        </w:rPr>
        <w:t>贰</w:t>
      </w:r>
      <w:r>
        <w:rPr>
          <w:rFonts w:ascii="宋体" w:hAnsi="宋体"/>
          <w:b/>
          <w:bCs/>
          <w:sz w:val="28"/>
          <w:szCs w:val="28"/>
          <w:highlight w:val="none"/>
          <w:u w:val="single"/>
        </w:rPr>
        <w:t xml:space="preserve"> </w:t>
      </w:r>
      <w:r>
        <w:rPr>
          <w:rFonts w:hint="eastAsia" w:ascii="宋体" w:hAnsi="宋体"/>
          <w:bCs/>
          <w:sz w:val="28"/>
          <w:szCs w:val="28"/>
          <w:highlight w:val="none"/>
        </w:rPr>
        <w:t>份，并具有同等法律效力。</w:t>
      </w:r>
    </w:p>
    <w:p>
      <w:pPr>
        <w:spacing w:line="540" w:lineRule="exact"/>
        <w:ind w:firstLine="560" w:firstLineChars="200"/>
        <w:rPr>
          <w:rFonts w:ascii="宋体"/>
          <w:sz w:val="28"/>
          <w:szCs w:val="28"/>
          <w:highlight w:val="none"/>
        </w:rPr>
      </w:pPr>
      <w:r>
        <w:rPr>
          <w:rFonts w:hint="eastAsia" w:ascii="宋体" w:hAnsi="宋体"/>
          <w:sz w:val="28"/>
          <w:szCs w:val="28"/>
          <w:highlight w:val="none"/>
        </w:rPr>
        <w:t>十三、各方在本合同中预留的电话和地址为有效通讯方式。任何一方不得拒收其他的邮件，一方按其他的通讯地址寄出的文件信函，在交寄后第三天即视为对方实际收到，一方改变通讯地址的，最晚应当在变更通讯地址前三日书面告知对方，否则其他方按原通讯地址寄出的文件、信函仍视为有效送达，由此造成的一切不利后果由改变地址的一方承担。</w:t>
      </w:r>
    </w:p>
    <w:p>
      <w:pPr>
        <w:spacing w:line="540" w:lineRule="exact"/>
        <w:ind w:firstLine="560" w:firstLineChars="200"/>
        <w:rPr>
          <w:rFonts w:ascii="宋体"/>
          <w:sz w:val="28"/>
          <w:szCs w:val="28"/>
          <w:highlight w:val="none"/>
        </w:rPr>
      </w:pPr>
      <w:r>
        <w:rPr>
          <w:rFonts w:hint="eastAsia" w:ascii="宋体" w:hAnsi="宋体"/>
          <w:sz w:val="28"/>
          <w:szCs w:val="28"/>
          <w:highlight w:val="none"/>
        </w:rPr>
        <w:t>附件：保密承诺书</w:t>
      </w:r>
    </w:p>
    <w:p>
      <w:pPr>
        <w:spacing w:line="540" w:lineRule="exact"/>
        <w:rPr>
          <w:rFonts w:ascii="宋体"/>
          <w:sz w:val="28"/>
          <w:szCs w:val="28"/>
          <w:highlight w:val="none"/>
        </w:rPr>
      </w:pPr>
      <w:r>
        <w:rPr>
          <w:rFonts w:ascii="宋体"/>
          <w:sz w:val="28"/>
          <w:szCs w:val="28"/>
          <w:highlight w:val="none"/>
        </w:rPr>
        <w:br w:type="page"/>
      </w:r>
    </w:p>
    <w:p>
      <w:pPr>
        <w:pStyle w:val="2"/>
        <w:spacing w:after="0" w:line="540" w:lineRule="exact"/>
        <w:rPr>
          <w:rFonts w:ascii="宋体"/>
          <w:sz w:val="28"/>
          <w:szCs w:val="28"/>
          <w:highlight w:val="none"/>
        </w:rPr>
      </w:pPr>
      <w:r>
        <w:rPr>
          <w:rFonts w:hint="eastAsia" w:ascii="宋体" w:hAnsi="宋体"/>
          <w:sz w:val="28"/>
          <w:szCs w:val="28"/>
          <w:highlight w:val="none"/>
        </w:rPr>
        <w:t>（本页无正文）</w:t>
      </w:r>
    </w:p>
    <w:p>
      <w:pPr>
        <w:pStyle w:val="2"/>
        <w:spacing w:after="0" w:line="540" w:lineRule="exact"/>
        <w:rPr>
          <w:rFonts w:ascii="宋体"/>
          <w:sz w:val="28"/>
          <w:szCs w:val="28"/>
          <w:highlight w:val="none"/>
        </w:rPr>
      </w:pPr>
    </w:p>
    <w:p>
      <w:pPr>
        <w:spacing w:line="540" w:lineRule="exact"/>
        <w:ind w:firstLine="420" w:firstLineChars="150"/>
        <w:rPr>
          <w:rFonts w:ascii="宋体"/>
          <w:sz w:val="28"/>
          <w:szCs w:val="28"/>
          <w:highlight w:val="none"/>
        </w:rPr>
      </w:pPr>
      <w:r>
        <w:rPr>
          <w:rFonts w:hint="eastAsia" w:ascii="宋体" w:hAnsi="宋体"/>
          <w:sz w:val="28"/>
          <w:szCs w:val="28"/>
          <w:highlight w:val="none"/>
        </w:rPr>
        <w:t>甲方：南宁轨道交通集团有限责任公司</w:t>
      </w:r>
    </w:p>
    <w:p>
      <w:pPr>
        <w:spacing w:line="540" w:lineRule="exact"/>
        <w:ind w:firstLine="420" w:firstLineChars="150"/>
        <w:rPr>
          <w:rFonts w:ascii="宋体"/>
          <w:sz w:val="28"/>
          <w:szCs w:val="28"/>
          <w:highlight w:val="none"/>
        </w:rPr>
      </w:pPr>
      <w:r>
        <w:rPr>
          <w:rFonts w:hint="eastAsia" w:ascii="宋体" w:hAnsi="宋体"/>
          <w:sz w:val="28"/>
          <w:szCs w:val="28"/>
          <w:highlight w:val="none"/>
        </w:rPr>
        <w:t>法定代表人或委托代理人：</w:t>
      </w:r>
    </w:p>
    <w:p>
      <w:pPr>
        <w:spacing w:line="540" w:lineRule="exact"/>
        <w:ind w:firstLine="420" w:firstLineChars="150"/>
        <w:rPr>
          <w:rFonts w:ascii="宋体"/>
          <w:sz w:val="28"/>
          <w:szCs w:val="28"/>
          <w:highlight w:val="none"/>
        </w:rPr>
      </w:pPr>
      <w:r>
        <w:rPr>
          <w:rFonts w:hint="eastAsia" w:ascii="宋体" w:hAnsi="宋体"/>
          <w:sz w:val="28"/>
          <w:szCs w:val="28"/>
          <w:highlight w:val="none"/>
        </w:rPr>
        <w:t>联系人：</w:t>
      </w:r>
    </w:p>
    <w:p>
      <w:pPr>
        <w:spacing w:line="540" w:lineRule="exact"/>
        <w:ind w:firstLine="420" w:firstLineChars="150"/>
        <w:rPr>
          <w:rFonts w:ascii="宋体"/>
          <w:sz w:val="28"/>
          <w:szCs w:val="28"/>
          <w:highlight w:val="none"/>
        </w:rPr>
      </w:pPr>
      <w:r>
        <w:rPr>
          <w:rFonts w:hint="eastAsia" w:ascii="宋体" w:hAnsi="宋体"/>
          <w:sz w:val="28"/>
          <w:szCs w:val="28"/>
          <w:highlight w:val="none"/>
        </w:rPr>
        <w:t>联系电话：</w:t>
      </w:r>
      <w:r>
        <w:rPr>
          <w:rFonts w:ascii="宋体" w:hAnsi="宋体"/>
          <w:sz w:val="28"/>
          <w:szCs w:val="28"/>
          <w:highlight w:val="none"/>
        </w:rPr>
        <w:t xml:space="preserve">                  </w:t>
      </w:r>
      <w:r>
        <w:rPr>
          <w:rFonts w:hint="eastAsia" w:ascii="宋体" w:hAnsi="宋体"/>
          <w:sz w:val="28"/>
          <w:szCs w:val="28"/>
          <w:highlight w:val="none"/>
        </w:rPr>
        <w:t>电子邮件：</w:t>
      </w:r>
    </w:p>
    <w:p>
      <w:pPr>
        <w:widowControl/>
        <w:spacing w:line="540" w:lineRule="exact"/>
        <w:ind w:firstLine="420" w:firstLineChars="150"/>
        <w:rPr>
          <w:rFonts w:ascii="宋体"/>
          <w:sz w:val="28"/>
          <w:szCs w:val="28"/>
          <w:highlight w:val="none"/>
        </w:rPr>
      </w:pPr>
      <w:r>
        <w:rPr>
          <w:rFonts w:hint="eastAsia" w:ascii="宋体" w:hAnsi="宋体"/>
          <w:sz w:val="28"/>
          <w:szCs w:val="28"/>
          <w:highlight w:val="none"/>
        </w:rPr>
        <w:t>通讯地址：广西南宁市云景路</w:t>
      </w:r>
      <w:r>
        <w:rPr>
          <w:rFonts w:ascii="宋体" w:hAnsi="宋体"/>
          <w:sz w:val="28"/>
          <w:szCs w:val="28"/>
          <w:highlight w:val="none"/>
        </w:rPr>
        <w:t>69</w:t>
      </w:r>
      <w:r>
        <w:rPr>
          <w:rFonts w:hint="eastAsia" w:ascii="宋体" w:hAnsi="宋体"/>
          <w:sz w:val="28"/>
          <w:szCs w:val="28"/>
          <w:highlight w:val="none"/>
        </w:rPr>
        <w:t>号</w:t>
      </w:r>
    </w:p>
    <w:p>
      <w:pPr>
        <w:widowControl/>
        <w:spacing w:line="540" w:lineRule="exact"/>
        <w:ind w:firstLine="420" w:firstLineChars="150"/>
        <w:rPr>
          <w:rFonts w:ascii="宋体"/>
          <w:sz w:val="28"/>
          <w:szCs w:val="28"/>
          <w:highlight w:val="none"/>
        </w:rPr>
      </w:pPr>
      <w:r>
        <w:rPr>
          <w:rFonts w:hint="eastAsia" w:ascii="宋体" w:hAnsi="宋体"/>
          <w:sz w:val="28"/>
          <w:szCs w:val="28"/>
          <w:highlight w:val="none"/>
        </w:rPr>
        <w:t>时间：</w:t>
      </w:r>
      <w:r>
        <w:rPr>
          <w:rFonts w:ascii="宋体" w:hAnsi="宋体"/>
          <w:sz w:val="28"/>
          <w:szCs w:val="28"/>
          <w:highlight w:val="none"/>
        </w:rPr>
        <w:t xml:space="preserve">     </w:t>
      </w:r>
      <w:r>
        <w:rPr>
          <w:rFonts w:hint="eastAsia" w:ascii="宋体" w:hAnsi="宋体"/>
          <w:sz w:val="28"/>
          <w:szCs w:val="28"/>
          <w:highlight w:val="none"/>
        </w:rPr>
        <w:t>年</w:t>
      </w:r>
      <w:r>
        <w:rPr>
          <w:rFonts w:ascii="宋体" w:hAnsi="宋体"/>
          <w:sz w:val="28"/>
          <w:szCs w:val="28"/>
          <w:highlight w:val="none"/>
        </w:rPr>
        <w:t xml:space="preserve">   </w:t>
      </w:r>
      <w:r>
        <w:rPr>
          <w:rFonts w:hint="eastAsia" w:ascii="宋体" w:hAnsi="宋体"/>
          <w:sz w:val="28"/>
          <w:szCs w:val="28"/>
          <w:highlight w:val="none"/>
        </w:rPr>
        <w:t>月</w:t>
      </w:r>
      <w:r>
        <w:rPr>
          <w:rFonts w:ascii="宋体" w:hAnsi="宋体"/>
          <w:sz w:val="28"/>
          <w:szCs w:val="28"/>
          <w:highlight w:val="none"/>
        </w:rPr>
        <w:t xml:space="preserve">   </w:t>
      </w:r>
      <w:r>
        <w:rPr>
          <w:rFonts w:hint="eastAsia" w:ascii="宋体" w:hAnsi="宋体"/>
          <w:sz w:val="28"/>
          <w:szCs w:val="28"/>
          <w:highlight w:val="none"/>
        </w:rPr>
        <w:t>日</w:t>
      </w:r>
    </w:p>
    <w:p>
      <w:pPr>
        <w:widowControl/>
        <w:spacing w:line="540" w:lineRule="exact"/>
        <w:ind w:firstLine="420" w:firstLineChars="150"/>
        <w:rPr>
          <w:rFonts w:ascii="宋体" w:hAnsi="宋体"/>
          <w:sz w:val="28"/>
          <w:szCs w:val="28"/>
          <w:highlight w:val="none"/>
        </w:rPr>
      </w:pPr>
      <w:r>
        <w:rPr>
          <w:rFonts w:hint="eastAsia" w:ascii="宋体" w:hAnsi="宋体"/>
          <w:sz w:val="28"/>
          <w:szCs w:val="28"/>
          <w:highlight w:val="none"/>
        </w:rPr>
        <w:t>纳税人识别号：</w:t>
      </w:r>
      <w:r>
        <w:rPr>
          <w:rFonts w:ascii="宋体" w:hAnsi="宋体"/>
          <w:sz w:val="28"/>
          <w:szCs w:val="28"/>
          <w:highlight w:val="none"/>
        </w:rPr>
        <w:t>914501006821248433</w:t>
      </w:r>
    </w:p>
    <w:p>
      <w:pPr>
        <w:spacing w:line="540" w:lineRule="exact"/>
        <w:ind w:firstLine="420" w:firstLineChars="150"/>
        <w:rPr>
          <w:rFonts w:ascii="宋体" w:hAnsi="宋体"/>
          <w:sz w:val="28"/>
          <w:szCs w:val="28"/>
          <w:highlight w:val="none"/>
        </w:rPr>
      </w:pPr>
      <w:r>
        <w:rPr>
          <w:rFonts w:hint="eastAsia" w:ascii="宋体" w:hAnsi="宋体"/>
          <w:sz w:val="28"/>
          <w:szCs w:val="28"/>
          <w:highlight w:val="none"/>
        </w:rPr>
        <w:t>开户行及账号：建行南宁市朝阳支行营业</w:t>
      </w:r>
      <w:r>
        <w:rPr>
          <w:rFonts w:hint="eastAsia" w:ascii="宋体" w:hAnsi="宋体"/>
          <w:sz w:val="28"/>
          <w:szCs w:val="28"/>
          <w:highlight w:val="none"/>
          <w:lang w:val="en-US" w:eastAsia="zh-CN"/>
        </w:rPr>
        <w:t>部</w:t>
      </w:r>
      <w:r>
        <w:rPr>
          <w:rFonts w:ascii="宋体" w:hAnsi="宋体"/>
          <w:sz w:val="28"/>
          <w:szCs w:val="28"/>
          <w:highlight w:val="none"/>
        </w:rPr>
        <w:t>45001604473059116688</w:t>
      </w:r>
    </w:p>
    <w:p>
      <w:pPr>
        <w:spacing w:line="540" w:lineRule="exact"/>
        <w:rPr>
          <w:rFonts w:ascii="宋体"/>
          <w:sz w:val="28"/>
          <w:szCs w:val="28"/>
          <w:highlight w:val="none"/>
        </w:rPr>
      </w:pPr>
    </w:p>
    <w:p>
      <w:pPr>
        <w:spacing w:line="540" w:lineRule="exact"/>
        <w:ind w:firstLine="480"/>
        <w:rPr>
          <w:rFonts w:ascii="宋体"/>
          <w:sz w:val="28"/>
          <w:szCs w:val="28"/>
          <w:highlight w:val="none"/>
        </w:rPr>
      </w:pPr>
    </w:p>
    <w:p>
      <w:pPr>
        <w:spacing w:line="540" w:lineRule="exact"/>
        <w:ind w:firstLine="480"/>
        <w:rPr>
          <w:rFonts w:ascii="宋体"/>
          <w:sz w:val="28"/>
          <w:szCs w:val="28"/>
          <w:highlight w:val="none"/>
        </w:rPr>
      </w:pPr>
      <w:r>
        <w:rPr>
          <w:rFonts w:hint="eastAsia" w:ascii="宋体" w:hAnsi="宋体"/>
          <w:sz w:val="28"/>
          <w:szCs w:val="28"/>
          <w:highlight w:val="none"/>
        </w:rPr>
        <w:t>乙方：</w:t>
      </w:r>
    </w:p>
    <w:p>
      <w:pPr>
        <w:spacing w:line="540" w:lineRule="exact"/>
        <w:ind w:firstLine="480"/>
        <w:rPr>
          <w:rFonts w:ascii="宋体"/>
          <w:sz w:val="28"/>
          <w:szCs w:val="28"/>
          <w:highlight w:val="none"/>
        </w:rPr>
      </w:pPr>
      <w:r>
        <w:rPr>
          <w:rFonts w:hint="eastAsia" w:ascii="宋体" w:hAnsi="宋体"/>
          <w:sz w:val="28"/>
          <w:szCs w:val="28"/>
          <w:highlight w:val="none"/>
        </w:rPr>
        <w:t>法定代表人（负责人）或委托代理人：</w:t>
      </w:r>
    </w:p>
    <w:p>
      <w:pPr>
        <w:spacing w:line="540" w:lineRule="exact"/>
        <w:ind w:firstLine="480"/>
        <w:rPr>
          <w:rFonts w:ascii="宋体"/>
          <w:sz w:val="28"/>
          <w:szCs w:val="28"/>
          <w:highlight w:val="none"/>
        </w:rPr>
      </w:pPr>
      <w:r>
        <w:rPr>
          <w:rFonts w:hint="eastAsia" w:ascii="宋体" w:hAnsi="宋体"/>
          <w:sz w:val="28"/>
          <w:szCs w:val="28"/>
          <w:highlight w:val="none"/>
        </w:rPr>
        <w:t>联系人：</w:t>
      </w:r>
    </w:p>
    <w:p>
      <w:pPr>
        <w:spacing w:line="540" w:lineRule="exact"/>
        <w:ind w:firstLine="480"/>
        <w:rPr>
          <w:rFonts w:ascii="宋体"/>
          <w:sz w:val="28"/>
          <w:szCs w:val="28"/>
          <w:highlight w:val="none"/>
        </w:rPr>
      </w:pPr>
      <w:r>
        <w:rPr>
          <w:rFonts w:hint="eastAsia" w:ascii="宋体" w:hAnsi="宋体"/>
          <w:sz w:val="28"/>
          <w:szCs w:val="28"/>
          <w:highlight w:val="none"/>
        </w:rPr>
        <w:t>联系电话：</w:t>
      </w:r>
      <w:r>
        <w:rPr>
          <w:rFonts w:ascii="宋体" w:hAnsi="宋体"/>
          <w:sz w:val="28"/>
          <w:szCs w:val="28"/>
          <w:highlight w:val="none"/>
        </w:rPr>
        <w:t xml:space="preserve">                  </w:t>
      </w:r>
      <w:r>
        <w:rPr>
          <w:rFonts w:hint="eastAsia" w:ascii="宋体" w:hAnsi="宋体"/>
          <w:sz w:val="28"/>
          <w:szCs w:val="28"/>
          <w:highlight w:val="none"/>
        </w:rPr>
        <w:t>电子邮件：</w:t>
      </w:r>
    </w:p>
    <w:p>
      <w:pPr>
        <w:spacing w:line="540" w:lineRule="exact"/>
        <w:ind w:firstLine="480"/>
        <w:rPr>
          <w:rFonts w:ascii="宋体"/>
          <w:sz w:val="28"/>
          <w:szCs w:val="28"/>
          <w:highlight w:val="none"/>
        </w:rPr>
      </w:pPr>
      <w:r>
        <w:rPr>
          <w:rFonts w:hint="eastAsia" w:ascii="宋体" w:hAnsi="宋体"/>
          <w:sz w:val="28"/>
          <w:szCs w:val="28"/>
          <w:highlight w:val="none"/>
        </w:rPr>
        <w:t>通讯地址：</w:t>
      </w:r>
    </w:p>
    <w:p>
      <w:pPr>
        <w:spacing w:line="540" w:lineRule="exact"/>
        <w:ind w:firstLine="480"/>
        <w:rPr>
          <w:rFonts w:ascii="宋体"/>
          <w:sz w:val="28"/>
          <w:szCs w:val="28"/>
          <w:highlight w:val="none"/>
        </w:rPr>
      </w:pPr>
      <w:r>
        <w:rPr>
          <w:rFonts w:hint="eastAsia" w:ascii="宋体" w:hAnsi="宋体"/>
          <w:sz w:val="28"/>
          <w:szCs w:val="28"/>
          <w:highlight w:val="none"/>
        </w:rPr>
        <w:t>时间：</w:t>
      </w:r>
      <w:r>
        <w:rPr>
          <w:rFonts w:ascii="宋体" w:hAnsi="宋体"/>
          <w:sz w:val="28"/>
          <w:szCs w:val="28"/>
          <w:highlight w:val="none"/>
        </w:rPr>
        <w:t xml:space="preserve">     </w:t>
      </w:r>
      <w:r>
        <w:rPr>
          <w:rFonts w:hint="eastAsia" w:ascii="宋体" w:hAnsi="宋体"/>
          <w:sz w:val="28"/>
          <w:szCs w:val="28"/>
          <w:highlight w:val="none"/>
        </w:rPr>
        <w:t>年</w:t>
      </w:r>
      <w:r>
        <w:rPr>
          <w:rFonts w:ascii="宋体" w:hAnsi="宋体"/>
          <w:sz w:val="28"/>
          <w:szCs w:val="28"/>
          <w:highlight w:val="none"/>
        </w:rPr>
        <w:t xml:space="preserve">   </w:t>
      </w:r>
      <w:r>
        <w:rPr>
          <w:rFonts w:hint="eastAsia" w:ascii="宋体" w:hAnsi="宋体"/>
          <w:sz w:val="28"/>
          <w:szCs w:val="28"/>
          <w:highlight w:val="none"/>
        </w:rPr>
        <w:t>月</w:t>
      </w:r>
      <w:r>
        <w:rPr>
          <w:rFonts w:ascii="宋体" w:hAnsi="宋体"/>
          <w:sz w:val="28"/>
          <w:szCs w:val="28"/>
          <w:highlight w:val="none"/>
        </w:rPr>
        <w:t xml:space="preserve">   </w:t>
      </w:r>
      <w:r>
        <w:rPr>
          <w:rFonts w:hint="eastAsia" w:ascii="宋体" w:hAnsi="宋体"/>
          <w:sz w:val="28"/>
          <w:szCs w:val="28"/>
          <w:highlight w:val="none"/>
        </w:rPr>
        <w:t>日</w:t>
      </w:r>
    </w:p>
    <w:p>
      <w:pPr>
        <w:spacing w:line="540" w:lineRule="exact"/>
        <w:ind w:firstLine="480"/>
        <w:rPr>
          <w:rFonts w:ascii="宋体"/>
          <w:sz w:val="28"/>
          <w:szCs w:val="28"/>
          <w:highlight w:val="none"/>
        </w:rPr>
      </w:pPr>
      <w:r>
        <w:rPr>
          <w:rFonts w:hint="eastAsia" w:ascii="宋体" w:hAnsi="宋体"/>
          <w:sz w:val="28"/>
          <w:szCs w:val="28"/>
          <w:highlight w:val="none"/>
        </w:rPr>
        <w:t>纳税人识别号：</w:t>
      </w:r>
    </w:p>
    <w:p>
      <w:pPr>
        <w:spacing w:line="540" w:lineRule="exact"/>
        <w:ind w:firstLine="480"/>
        <w:rPr>
          <w:rFonts w:ascii="仿宋_GB2312" w:hAnsi="宋体" w:eastAsia="仿宋_GB2312"/>
          <w:sz w:val="28"/>
          <w:szCs w:val="28"/>
          <w:highlight w:val="none"/>
        </w:rPr>
        <w:sectPr>
          <w:footerReference r:id="rId5" w:type="default"/>
          <w:pgSz w:w="11906" w:h="16838"/>
          <w:pgMar w:top="1440" w:right="1247" w:bottom="1440" w:left="1440" w:header="851" w:footer="992" w:gutter="0"/>
          <w:pgNumType w:start="1"/>
          <w:cols w:space="720" w:num="1"/>
          <w:docGrid w:type="lines" w:linePitch="312" w:charSpace="0"/>
        </w:sectPr>
      </w:pPr>
      <w:r>
        <w:rPr>
          <w:rFonts w:hint="eastAsia" w:ascii="宋体" w:hAnsi="宋体"/>
          <w:sz w:val="28"/>
          <w:szCs w:val="28"/>
          <w:highlight w:val="none"/>
        </w:rPr>
        <w:t>开户行及账号：</w:t>
      </w:r>
    </w:p>
    <w:p>
      <w:pPr>
        <w:widowControl/>
        <w:spacing w:line="480" w:lineRule="exact"/>
        <w:ind w:right="420"/>
        <w:jc w:val="left"/>
        <w:rPr>
          <w:rFonts w:ascii="仿宋_GB2312" w:hAnsi="宋体" w:eastAsia="仿宋_GB2312"/>
          <w:sz w:val="28"/>
          <w:szCs w:val="28"/>
          <w:highlight w:val="none"/>
        </w:rPr>
      </w:pPr>
      <w:r>
        <w:rPr>
          <w:rFonts w:hint="eastAsia" w:ascii="仿宋_GB2312" w:hAnsi="宋体" w:eastAsia="仿宋_GB2312"/>
          <w:sz w:val="28"/>
          <w:szCs w:val="28"/>
          <w:highlight w:val="none"/>
        </w:rPr>
        <w:t>附件：</w:t>
      </w:r>
      <w:r>
        <w:rPr>
          <w:rFonts w:ascii="仿宋_GB2312" w:hAnsi="宋体" w:eastAsia="仿宋_GB2312"/>
          <w:sz w:val="28"/>
          <w:szCs w:val="28"/>
          <w:highlight w:val="none"/>
        </w:rPr>
        <w:t xml:space="preserve">  </w:t>
      </w:r>
    </w:p>
    <w:p>
      <w:pPr>
        <w:widowControl/>
        <w:spacing w:line="600" w:lineRule="exact"/>
        <w:jc w:val="center"/>
        <w:rPr>
          <w:rFonts w:ascii="宋体"/>
          <w:b/>
          <w:bCs/>
          <w:sz w:val="36"/>
          <w:szCs w:val="36"/>
          <w:highlight w:val="none"/>
        </w:rPr>
      </w:pPr>
      <w:r>
        <w:rPr>
          <w:rFonts w:hint="eastAsia" w:ascii="宋体" w:hAnsi="宋体"/>
          <w:b/>
          <w:bCs/>
          <w:sz w:val="36"/>
          <w:szCs w:val="36"/>
          <w:highlight w:val="none"/>
        </w:rPr>
        <w:t>保密承诺书</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sz w:val="28"/>
          <w:szCs w:val="28"/>
          <w:highlight w:val="none"/>
        </w:rPr>
      </w:pPr>
    </w:p>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ascii="仿宋" w:hAnsi="仿宋" w:eastAsia="仿宋"/>
          <w:sz w:val="28"/>
          <w:szCs w:val="28"/>
          <w:highlight w:val="none"/>
        </w:rPr>
      </w:pPr>
      <w:r>
        <w:rPr>
          <w:rFonts w:hint="eastAsia" w:ascii="仿宋" w:hAnsi="仿宋" w:eastAsia="仿宋"/>
          <w:sz w:val="28"/>
          <w:szCs w:val="28"/>
          <w:highlight w:val="none"/>
        </w:rPr>
        <w:t>致：南宁轨道交通集团有限责任公司</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hint="eastAsia" w:ascii="仿宋" w:hAnsi="仿宋" w:eastAsia="仿宋"/>
          <w:sz w:val="28"/>
          <w:szCs w:val="28"/>
          <w:highlight w:val="none"/>
        </w:rPr>
        <w:t>我方在实施贵方项目</w:t>
      </w:r>
      <w:r>
        <w:rPr>
          <w:rFonts w:hint="eastAsia" w:ascii="仿宋" w:hAnsi="仿宋" w:eastAsia="仿宋"/>
          <w:sz w:val="28"/>
          <w:szCs w:val="28"/>
          <w:highlight w:val="none"/>
          <w:lang w:val="en-US" w:eastAsia="zh-CN"/>
        </w:rPr>
        <w:t>审计</w:t>
      </w:r>
      <w:r>
        <w:rPr>
          <w:rFonts w:hint="eastAsia" w:ascii="仿宋" w:hAnsi="仿宋" w:eastAsia="仿宋"/>
          <w:sz w:val="28"/>
          <w:szCs w:val="28"/>
          <w:highlight w:val="none"/>
        </w:rPr>
        <w:t>工作期间，就保密事宜做出如下承诺：</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1.</w:t>
      </w:r>
      <w:r>
        <w:rPr>
          <w:rFonts w:hint="eastAsia" w:ascii="仿宋" w:hAnsi="仿宋" w:eastAsia="仿宋"/>
          <w:sz w:val="28"/>
          <w:szCs w:val="28"/>
          <w:highlight w:val="none"/>
        </w:rPr>
        <w:t>我方理解贵方的保密信息。贵方拥有的不为公众所知悉、能为他人带来经济利益或其他利益、具有实用性的信息等均属商业秘密和秘密信息；包括但不限于贵我双方正在或将要签订的合同信息、合同履行、我方提供</w:t>
      </w:r>
      <w:r>
        <w:rPr>
          <w:rFonts w:hint="eastAsia" w:ascii="仿宋" w:hAnsi="仿宋" w:eastAsia="仿宋"/>
          <w:sz w:val="28"/>
          <w:szCs w:val="28"/>
          <w:highlight w:val="none"/>
          <w:lang w:val="en-US" w:eastAsia="zh-CN"/>
        </w:rPr>
        <w:t>审计</w:t>
      </w:r>
      <w:r>
        <w:rPr>
          <w:rFonts w:hint="eastAsia" w:ascii="仿宋" w:hAnsi="仿宋" w:eastAsia="仿宋"/>
          <w:sz w:val="28"/>
          <w:szCs w:val="28"/>
          <w:highlight w:val="none"/>
        </w:rPr>
        <w:t>服务时所接触到的涉及贵方经营管理等事项的信息。</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2.</w:t>
      </w:r>
      <w:r>
        <w:rPr>
          <w:rFonts w:hint="eastAsia" w:ascii="仿宋" w:hAnsi="仿宋" w:eastAsia="仿宋"/>
          <w:sz w:val="28"/>
          <w:szCs w:val="28"/>
          <w:highlight w:val="none"/>
        </w:rPr>
        <w:t>我方自知悉贵方的保密信息之日起，依照法律法规规定及有关约定承担保密义务。</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3.</w:t>
      </w:r>
      <w:r>
        <w:rPr>
          <w:rFonts w:hint="eastAsia" w:ascii="仿宋" w:hAnsi="仿宋" w:eastAsia="仿宋"/>
          <w:sz w:val="28"/>
          <w:szCs w:val="28"/>
          <w:highlight w:val="none"/>
        </w:rPr>
        <w:t>未经贵方同意，我方不擅自保存与贵方保密信息有关的任何物品、资料，也不私自进行复制、交流或者转移。</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4.</w:t>
      </w:r>
      <w:r>
        <w:rPr>
          <w:rFonts w:hint="eastAsia" w:ascii="仿宋" w:hAnsi="仿宋" w:eastAsia="仿宋"/>
          <w:sz w:val="28"/>
          <w:szCs w:val="28"/>
          <w:highlight w:val="none"/>
        </w:rPr>
        <w:t>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5.</w:t>
      </w:r>
      <w:r>
        <w:rPr>
          <w:rFonts w:hint="eastAsia" w:ascii="仿宋" w:hAnsi="仿宋" w:eastAsia="仿宋"/>
          <w:sz w:val="28"/>
          <w:szCs w:val="28"/>
          <w:highlight w:val="none"/>
        </w:rPr>
        <w:t>我方不会擅自使用任何属于第三方的保密信息，且保证此类信息不会侵犯任何第三方的知识产权及其它权益。若我方违反本规定而导致贵方遭受第三方的侵权指控时，我方承担法律责任。</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6.</w:t>
      </w:r>
      <w:r>
        <w:rPr>
          <w:rFonts w:hint="eastAsia" w:ascii="仿宋" w:hAnsi="仿宋" w:eastAsia="仿宋"/>
          <w:sz w:val="28"/>
          <w:szCs w:val="28"/>
          <w:highlight w:val="none"/>
        </w:rPr>
        <w:t>若我方发现贵方的保密信息可能被泄露或已经被泄露时，会及时通知贵方，并采取有效措施防止保密信息进一步泄露。</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7.</w:t>
      </w:r>
      <w:r>
        <w:rPr>
          <w:rFonts w:hint="eastAsia" w:ascii="仿宋" w:hAnsi="仿宋" w:eastAsia="仿宋"/>
          <w:sz w:val="28"/>
          <w:szCs w:val="28"/>
          <w:highlight w:val="none"/>
        </w:rPr>
        <w:t>无论何种原因导致合同未签订或合同结束，我方均按照本合同约定对接触、知悉的保密信息承担保密义务，该保密义务直至这些保密信息由贵方公开或已实际公开时止。</w:t>
      </w:r>
    </w:p>
    <w:p>
      <w:pPr>
        <w:keepNext w:val="0"/>
        <w:keepLines w:val="0"/>
        <w:pageBreakBefore w:val="0"/>
        <w:widowControl/>
        <w:kinsoku/>
        <w:wordWrap/>
        <w:overflowPunct/>
        <w:topLinePunct w:val="0"/>
        <w:autoSpaceDE/>
        <w:autoSpaceDN/>
        <w:bidi w:val="0"/>
        <w:adjustRightInd/>
        <w:snapToGrid/>
        <w:spacing w:line="460" w:lineRule="exact"/>
        <w:ind w:firstLine="2520" w:firstLineChars="900"/>
        <w:jc w:val="both"/>
        <w:textAlignment w:val="auto"/>
        <w:rPr>
          <w:rFonts w:ascii="仿宋" w:hAnsi="宋体" w:eastAsia="仿宋"/>
          <w:sz w:val="28"/>
          <w:szCs w:val="28"/>
          <w:highlight w:val="none"/>
        </w:rPr>
      </w:pPr>
      <w:r>
        <w:rPr>
          <w:rFonts w:hint="eastAsia" w:ascii="仿宋" w:hAnsi="仿宋" w:eastAsia="仿宋"/>
          <w:sz w:val="28"/>
          <w:szCs w:val="28"/>
          <w:highlight w:val="none"/>
        </w:rPr>
        <w:t>乙方：（公章）　</w:t>
      </w:r>
      <w:r>
        <w:rPr>
          <w:rFonts w:ascii="仿宋" w:hAnsi="宋体" w:eastAsia="仿宋"/>
          <w:sz w:val="28"/>
          <w:szCs w:val="28"/>
          <w:highlight w:val="none"/>
        </w:rPr>
        <w:t>   </w:t>
      </w:r>
      <w:r>
        <w:rPr>
          <w:rFonts w:ascii="仿宋" w:hAnsi="仿宋" w:eastAsia="仿宋"/>
          <w:sz w:val="28"/>
          <w:szCs w:val="28"/>
          <w:highlight w:val="none"/>
        </w:rPr>
        <w:t xml:space="preserve">                   </w:t>
      </w:r>
      <w:r>
        <w:rPr>
          <w:rFonts w:ascii="仿宋" w:hAnsi="宋体" w:eastAsia="仿宋"/>
          <w:sz w:val="28"/>
          <w:szCs w:val="28"/>
          <w:highlight w:val="none"/>
        </w:rPr>
        <w:t> </w:t>
      </w:r>
    </w:p>
    <w:p>
      <w:pPr>
        <w:keepNext w:val="0"/>
        <w:keepLines w:val="0"/>
        <w:pageBreakBefore w:val="0"/>
        <w:widowControl/>
        <w:kinsoku/>
        <w:wordWrap/>
        <w:overflowPunct/>
        <w:topLinePunct w:val="0"/>
        <w:autoSpaceDE/>
        <w:autoSpaceDN/>
        <w:bidi w:val="0"/>
        <w:adjustRightInd/>
        <w:snapToGrid/>
        <w:spacing w:line="460" w:lineRule="exact"/>
        <w:ind w:firstLine="5600" w:firstLineChars="2000"/>
        <w:jc w:val="both"/>
        <w:textAlignment w:val="auto"/>
        <w:rPr>
          <w:rFonts w:ascii="仿宋" w:hAnsi="仿宋" w:eastAsia="仿宋"/>
          <w:sz w:val="24"/>
          <w:highlight w:val="none"/>
        </w:rPr>
      </w:pPr>
      <w:r>
        <w:rPr>
          <w:rFonts w:hint="eastAsia" w:ascii="仿宋" w:hAnsi="仿宋" w:eastAsia="仿宋"/>
          <w:sz w:val="28"/>
          <w:szCs w:val="28"/>
          <w:highlight w:val="none"/>
        </w:rPr>
        <w:t>年</w:t>
      </w:r>
      <w:r>
        <w:rPr>
          <w:rFonts w:ascii="仿宋" w:hAnsi="仿宋" w:eastAsia="仿宋"/>
          <w:sz w:val="28"/>
          <w:szCs w:val="28"/>
          <w:highlight w:val="none"/>
        </w:rPr>
        <w:t xml:space="preserve">  </w:t>
      </w:r>
      <w:r>
        <w:rPr>
          <w:rFonts w:hint="eastAsia" w:ascii="仿宋" w:hAnsi="仿宋" w:eastAsia="仿宋"/>
          <w:sz w:val="28"/>
          <w:szCs w:val="28"/>
          <w:highlight w:val="none"/>
        </w:rPr>
        <w:t>月</w:t>
      </w:r>
      <w:r>
        <w:rPr>
          <w:rFonts w:ascii="仿宋" w:hAnsi="仿宋" w:eastAsia="仿宋"/>
          <w:sz w:val="28"/>
          <w:szCs w:val="28"/>
          <w:highlight w:val="none"/>
        </w:rPr>
        <w:t xml:space="preserve">  </w:t>
      </w:r>
      <w:r>
        <w:rPr>
          <w:rFonts w:hint="eastAsia" w:ascii="仿宋" w:hAnsi="仿宋" w:eastAsia="仿宋"/>
          <w:sz w:val="28"/>
          <w:szCs w:val="28"/>
          <w:highlight w:val="none"/>
        </w:rPr>
        <w:t>日</w:t>
      </w:r>
    </w:p>
    <w:p>
      <w:pPr>
        <w:pStyle w:val="3"/>
        <w:numPr>
          <w:ilvl w:val="0"/>
          <w:numId w:val="4"/>
        </w:numPr>
        <w:spacing w:before="0" w:after="0" w:line="540" w:lineRule="exact"/>
        <w:rPr>
          <w:rFonts w:ascii="宋体" w:cs="宋体"/>
          <w:szCs w:val="28"/>
          <w:highlight w:val="none"/>
        </w:rPr>
      </w:pPr>
      <w:bookmarkStart w:id="304" w:name="_Toc16386"/>
      <w:bookmarkStart w:id="305" w:name="_Toc6779"/>
      <w:bookmarkStart w:id="306" w:name="_Toc15172"/>
      <w:bookmarkStart w:id="307" w:name="_Toc29471"/>
      <w:bookmarkStart w:id="308" w:name="_Toc461525321"/>
      <w:bookmarkStart w:id="309" w:name="_Toc32280"/>
      <w:bookmarkStart w:id="310" w:name="_Toc30239"/>
      <w:bookmarkStart w:id="311" w:name="_Toc20710"/>
      <w:bookmarkStart w:id="312" w:name="_Toc1897"/>
      <w:bookmarkStart w:id="313" w:name="_Toc24668"/>
      <w:bookmarkStart w:id="314" w:name="_Toc23661"/>
      <w:bookmarkStart w:id="315" w:name="_Toc471482369"/>
      <w:bookmarkStart w:id="316" w:name="_Toc27378"/>
      <w:bookmarkStart w:id="317" w:name="_Toc26692"/>
      <w:r>
        <w:rPr>
          <w:rFonts w:ascii="宋体" w:hAnsi="宋体" w:cs="宋体"/>
          <w:szCs w:val="28"/>
          <w:highlight w:val="none"/>
        </w:rPr>
        <w:t xml:space="preserve"> </w:t>
      </w:r>
      <w:bookmarkStart w:id="318" w:name="_Toc21863"/>
      <w:bookmarkStart w:id="319" w:name="_Toc30463"/>
      <w:bookmarkStart w:id="320" w:name="_Toc12974"/>
      <w:bookmarkStart w:id="321" w:name="_Toc15480"/>
      <w:bookmarkStart w:id="322" w:name="_Toc18993"/>
      <w:bookmarkStart w:id="323" w:name="_Toc2650"/>
      <w:bookmarkStart w:id="324" w:name="_Toc28616"/>
      <w:r>
        <w:rPr>
          <w:rFonts w:hint="eastAsia" w:ascii="宋体" w:hAnsi="宋体" w:cs="宋体"/>
          <w:szCs w:val="28"/>
          <w:highlight w:val="none"/>
        </w:rPr>
        <w:t>比选</w:t>
      </w:r>
      <w:bookmarkEnd w:id="300"/>
      <w:bookmarkEnd w:id="301"/>
      <w:r>
        <w:rPr>
          <w:rFonts w:hint="eastAsia" w:ascii="宋体" w:hAnsi="宋体" w:cs="宋体"/>
          <w:szCs w:val="28"/>
          <w:highlight w:val="none"/>
        </w:rPr>
        <w:t>申请文件（格式）</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Start w:id="325" w:name="_Toc114052391"/>
    </w:p>
    <w:p>
      <w:pPr>
        <w:jc w:val="center"/>
        <w:rPr>
          <w:rFonts w:ascii="宋体" w:cs="宋体"/>
          <w:szCs w:val="28"/>
          <w:highlight w:val="none"/>
        </w:rPr>
      </w:pPr>
    </w:p>
    <w:p>
      <w:pPr>
        <w:ind w:right="753"/>
        <w:jc w:val="center"/>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（封面格式）</w:t>
      </w: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center"/>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项目比选申请文件</w:t>
      </w:r>
    </w:p>
    <w:p>
      <w:pPr>
        <w:pStyle w:val="24"/>
        <w:jc w:val="center"/>
        <w:rPr>
          <w:b w:val="0"/>
          <w:bCs w:val="0"/>
          <w:sz w:val="28"/>
          <w:szCs w:val="28"/>
          <w:highlight w:val="none"/>
        </w:rPr>
      </w:pPr>
      <w:bookmarkStart w:id="326" w:name="_Toc12677"/>
      <w:bookmarkStart w:id="327" w:name="_Toc31417"/>
      <w:bookmarkStart w:id="328" w:name="_Toc461525322"/>
      <w:bookmarkStart w:id="329" w:name="_Toc22529"/>
      <w:bookmarkStart w:id="330" w:name="_Toc18503"/>
      <w:bookmarkStart w:id="331" w:name="_Toc10669"/>
      <w:bookmarkStart w:id="332" w:name="_Toc16428"/>
      <w:bookmarkStart w:id="333" w:name="_Toc24727"/>
      <w:bookmarkStart w:id="334" w:name="_Toc6045"/>
      <w:r>
        <w:rPr>
          <w:rFonts w:hint="eastAsia"/>
          <w:b w:val="0"/>
          <w:bCs w:val="0"/>
          <w:sz w:val="28"/>
          <w:szCs w:val="28"/>
          <w:highlight w:val="none"/>
        </w:rPr>
        <w:t>资格审查部分</w:t>
      </w:r>
      <w:bookmarkEnd w:id="326"/>
      <w:bookmarkEnd w:id="327"/>
      <w:bookmarkEnd w:id="328"/>
      <w:bookmarkEnd w:id="329"/>
      <w:bookmarkEnd w:id="330"/>
      <w:bookmarkEnd w:id="331"/>
      <w:bookmarkEnd w:id="332"/>
      <w:bookmarkEnd w:id="333"/>
      <w:bookmarkEnd w:id="334"/>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r>
        <w:rPr>
          <w:rFonts w:hint="eastAsia" w:ascii="宋体" w:hAnsi="宋体" w:cs="宋体"/>
          <w:sz w:val="28"/>
          <w:szCs w:val="28"/>
          <w:highlight w:val="none"/>
        </w:rPr>
        <w:t>比选申</w:t>
      </w:r>
      <w:bookmarkEnd w:id="325"/>
      <w:r>
        <w:rPr>
          <w:rFonts w:hint="eastAsia" w:ascii="宋体" w:hAnsi="宋体" w:cs="宋体"/>
          <w:sz w:val="28"/>
          <w:szCs w:val="28"/>
          <w:highlight w:val="none"/>
        </w:rPr>
        <w:t>请</w:t>
      </w:r>
      <w:bookmarkStart w:id="335" w:name="_Toc114052392"/>
      <w:r>
        <w:rPr>
          <w:rFonts w:hint="eastAsia" w:ascii="宋体" w:hAnsi="宋体" w:cs="宋体"/>
          <w:sz w:val="28"/>
          <w:szCs w:val="28"/>
          <w:highlight w:val="none"/>
        </w:rPr>
        <w:t>人：</w:t>
      </w:r>
      <w:bookmarkEnd w:id="335"/>
      <w:r>
        <w:rPr>
          <w:rFonts w:hint="eastAsia" w:ascii="宋体" w:hAnsi="宋体" w:cs="宋体"/>
          <w:sz w:val="28"/>
          <w:szCs w:val="28"/>
          <w:highlight w:val="none"/>
        </w:rPr>
        <w:t>（加盖单位公章）</w:t>
      </w:r>
    </w:p>
    <w:p>
      <w:pPr>
        <w:ind w:right="753"/>
        <w:jc w:val="left"/>
        <w:rPr>
          <w:rFonts w:ascii="宋体" w:cs="宋体"/>
          <w:sz w:val="28"/>
          <w:szCs w:val="28"/>
          <w:highlight w:val="none"/>
        </w:rPr>
      </w:pPr>
      <w:r>
        <w:rPr>
          <w:rFonts w:hint="eastAsia" w:ascii="宋体" w:hAnsi="宋体" w:cs="宋体"/>
          <w:sz w:val="28"/>
          <w:szCs w:val="28"/>
          <w:highlight w:val="none"/>
        </w:rPr>
        <w:t>法定代表人（负责人）或委托代</w:t>
      </w:r>
      <w:bookmarkStart w:id="336" w:name="_Toc333307122"/>
      <w:r>
        <w:rPr>
          <w:rFonts w:hint="eastAsia" w:ascii="宋体" w:hAnsi="宋体" w:cs="宋体"/>
          <w:sz w:val="28"/>
          <w:szCs w:val="28"/>
          <w:highlight w:val="none"/>
        </w:rPr>
        <w:t>理人</w:t>
      </w:r>
      <w:bookmarkEnd w:id="336"/>
      <w:r>
        <w:rPr>
          <w:rFonts w:hint="eastAsia" w:ascii="宋体" w:hAnsi="宋体" w:cs="宋体"/>
          <w:sz w:val="28"/>
          <w:szCs w:val="28"/>
          <w:highlight w:val="none"/>
        </w:rPr>
        <w:t>：（签字）</w:t>
      </w:r>
    </w:p>
    <w:p>
      <w:pPr>
        <w:ind w:right="753" w:firstLine="1260" w:firstLineChars="450"/>
        <w:jc w:val="left"/>
        <w:rPr>
          <w:rFonts w:ascii="宋体" w:cs="宋体"/>
          <w:sz w:val="28"/>
          <w:szCs w:val="28"/>
          <w:highlight w:val="none"/>
        </w:rPr>
      </w:pPr>
    </w:p>
    <w:p>
      <w:pPr>
        <w:ind w:right="753" w:firstLine="2380" w:firstLineChars="850"/>
        <w:jc w:val="left"/>
        <w:rPr>
          <w:rFonts w:ascii="宋体" w:cs="宋体"/>
          <w:sz w:val="28"/>
          <w:szCs w:val="28"/>
          <w:highlight w:val="none"/>
        </w:rPr>
      </w:pPr>
      <w:r>
        <w:rPr>
          <w:rFonts w:hint="eastAsia" w:ascii="宋体" w:hAnsi="宋体" w:cs="宋体"/>
          <w:sz w:val="28"/>
          <w:szCs w:val="28"/>
          <w:highlight w:val="none"/>
        </w:rPr>
        <w:t>年</w:t>
      </w:r>
      <w:r>
        <w:rPr>
          <w:rFonts w:ascii="宋体" w:hAnsi="宋体" w:cs="宋体"/>
          <w:sz w:val="28"/>
          <w:szCs w:val="28"/>
          <w:highlight w:val="none"/>
        </w:rPr>
        <w:t xml:space="preserve">    </w:t>
      </w:r>
      <w:r>
        <w:rPr>
          <w:rFonts w:hint="eastAsia" w:ascii="宋体" w:hAnsi="宋体" w:cs="宋体"/>
          <w:sz w:val="28"/>
          <w:szCs w:val="28"/>
          <w:highlight w:val="none"/>
        </w:rPr>
        <w:t>月</w:t>
      </w:r>
      <w:r>
        <w:rPr>
          <w:rFonts w:ascii="宋体" w:hAnsi="宋体" w:cs="宋体"/>
          <w:sz w:val="28"/>
          <w:szCs w:val="28"/>
          <w:highlight w:val="none"/>
        </w:rPr>
        <w:t xml:space="preserve">    </w:t>
      </w:r>
      <w:r>
        <w:rPr>
          <w:rFonts w:hint="eastAsia" w:ascii="宋体" w:hAnsi="宋体" w:cs="宋体"/>
          <w:sz w:val="28"/>
          <w:szCs w:val="28"/>
          <w:highlight w:val="none"/>
        </w:rPr>
        <w:t>日</w:t>
      </w:r>
    </w:p>
    <w:p>
      <w:pPr>
        <w:ind w:right="753" w:firstLine="1260" w:firstLineChars="450"/>
        <w:jc w:val="left"/>
        <w:rPr>
          <w:rFonts w:ascii="宋体" w:cs="宋体"/>
          <w:sz w:val="28"/>
          <w:szCs w:val="28"/>
          <w:highlight w:val="none"/>
        </w:rPr>
      </w:pPr>
    </w:p>
    <w:p>
      <w:pPr>
        <w:ind w:right="753" w:firstLine="1260" w:firstLineChars="450"/>
        <w:jc w:val="left"/>
        <w:rPr>
          <w:rFonts w:ascii="宋体" w:cs="宋体"/>
          <w:sz w:val="28"/>
          <w:szCs w:val="28"/>
          <w:highlight w:val="none"/>
        </w:rPr>
      </w:pPr>
    </w:p>
    <w:p>
      <w:pPr>
        <w:ind w:right="753" w:firstLine="1260" w:firstLineChars="450"/>
        <w:jc w:val="left"/>
        <w:rPr>
          <w:rFonts w:ascii="宋体" w:cs="宋体"/>
          <w:sz w:val="28"/>
          <w:szCs w:val="28"/>
          <w:highlight w:val="none"/>
        </w:rPr>
      </w:pPr>
    </w:p>
    <w:p>
      <w:pPr>
        <w:ind w:right="753" w:firstLine="1260" w:firstLineChars="450"/>
        <w:jc w:val="left"/>
        <w:rPr>
          <w:rFonts w:ascii="宋体" w:cs="宋体"/>
          <w:sz w:val="28"/>
          <w:szCs w:val="28"/>
          <w:highlight w:val="none"/>
        </w:rPr>
      </w:pPr>
    </w:p>
    <w:p>
      <w:pPr>
        <w:pStyle w:val="13"/>
        <w:rPr>
          <w:highlight w:val="none"/>
        </w:rPr>
      </w:pPr>
      <w:bookmarkStart w:id="337" w:name="_Toc461525323"/>
      <w:bookmarkStart w:id="338" w:name="_Toc7849"/>
    </w:p>
    <w:p>
      <w:pPr>
        <w:pStyle w:val="4"/>
        <w:jc w:val="center"/>
        <w:rPr>
          <w:b/>
          <w:highlight w:val="none"/>
        </w:rPr>
      </w:pPr>
      <w:bookmarkStart w:id="339" w:name="_Toc889"/>
      <w:bookmarkStart w:id="340" w:name="_Toc13042"/>
      <w:bookmarkStart w:id="341" w:name="_Toc28967"/>
      <w:bookmarkStart w:id="342" w:name="_Toc16191"/>
      <w:bookmarkStart w:id="343" w:name="_Toc471482370"/>
      <w:bookmarkStart w:id="344" w:name="_Toc17090"/>
      <w:bookmarkStart w:id="345" w:name="_Toc16376"/>
      <w:bookmarkStart w:id="346" w:name="_Toc7031"/>
      <w:bookmarkStart w:id="347" w:name="_Toc30961"/>
      <w:bookmarkStart w:id="348" w:name="_Toc30348"/>
      <w:bookmarkStart w:id="349" w:name="_Toc31765"/>
      <w:bookmarkStart w:id="350" w:name="_Toc24695"/>
      <w:bookmarkStart w:id="351" w:name="_Toc7514"/>
      <w:bookmarkStart w:id="352" w:name="_Toc1883"/>
      <w:bookmarkStart w:id="353" w:name="_Toc29495"/>
      <w:bookmarkStart w:id="354" w:name="_Toc25559"/>
      <w:bookmarkStart w:id="355" w:name="_Toc5961"/>
      <w:r>
        <w:rPr>
          <w:rFonts w:hint="eastAsia"/>
          <w:b/>
          <w:highlight w:val="none"/>
        </w:rPr>
        <w:t>一、资格审查文件目录</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numPr>
          <w:ilvl w:val="0"/>
          <w:numId w:val="0"/>
        </w:numPr>
        <w:tabs>
          <w:tab w:val="left" w:pos="826"/>
        </w:tabs>
        <w:spacing w:line="560" w:lineRule="exact"/>
        <w:ind w:left="426" w:leftChars="0"/>
        <w:rPr>
          <w:rFonts w:ascii="宋体"/>
          <w:kern w:val="0"/>
          <w:sz w:val="24"/>
          <w:highlight w:val="none"/>
        </w:rPr>
      </w:pPr>
      <w:r>
        <w:rPr>
          <w:rFonts w:hint="eastAsia" w:ascii="宋体" w:hAnsi="宋体"/>
          <w:kern w:val="0"/>
          <w:sz w:val="24"/>
          <w:highlight w:val="none"/>
          <w:lang w:val="en-US" w:eastAsia="zh-CN"/>
        </w:rPr>
        <w:t>1.</w:t>
      </w:r>
      <w:r>
        <w:rPr>
          <w:rFonts w:hint="eastAsia" w:ascii="宋体" w:hAnsi="宋体"/>
          <w:kern w:val="0"/>
          <w:sz w:val="24"/>
          <w:highlight w:val="none"/>
        </w:rPr>
        <w:t>诚信声明（原件）</w:t>
      </w:r>
    </w:p>
    <w:p>
      <w:pPr>
        <w:numPr>
          <w:ilvl w:val="0"/>
          <w:numId w:val="0"/>
        </w:numPr>
        <w:tabs>
          <w:tab w:val="left" w:pos="826"/>
        </w:tabs>
        <w:spacing w:line="560" w:lineRule="exact"/>
        <w:ind w:left="426" w:leftChars="0"/>
        <w:rPr>
          <w:rFonts w:ascii="宋体"/>
          <w:sz w:val="24"/>
          <w:highlight w:val="none"/>
        </w:rPr>
      </w:pPr>
      <w:r>
        <w:rPr>
          <w:rFonts w:hint="eastAsia" w:ascii="宋体" w:hAnsi="宋体"/>
          <w:sz w:val="24"/>
          <w:highlight w:val="none"/>
          <w:lang w:val="en-US" w:eastAsia="zh-CN"/>
        </w:rPr>
        <w:t>2.</w:t>
      </w:r>
      <w:r>
        <w:rPr>
          <w:rFonts w:hint="eastAsia" w:ascii="宋体" w:hAnsi="宋体"/>
          <w:sz w:val="24"/>
          <w:highlight w:val="none"/>
        </w:rPr>
        <w:t>法定代表人</w:t>
      </w:r>
      <w:r>
        <w:rPr>
          <w:rFonts w:hint="eastAsia" w:ascii="宋体" w:hAnsi="宋体"/>
          <w:sz w:val="24"/>
          <w:highlight w:val="none"/>
          <w:lang w:eastAsia="zh-CN"/>
        </w:rPr>
        <w:t>（</w:t>
      </w:r>
      <w:r>
        <w:rPr>
          <w:rFonts w:hint="eastAsia" w:ascii="宋体" w:hAnsi="宋体"/>
          <w:sz w:val="24"/>
          <w:highlight w:val="none"/>
          <w:lang w:val="en-US" w:eastAsia="zh-CN"/>
        </w:rPr>
        <w:t>负责人</w:t>
      </w:r>
      <w:r>
        <w:rPr>
          <w:rFonts w:hint="eastAsia" w:ascii="宋体" w:hAnsi="宋体"/>
          <w:sz w:val="24"/>
          <w:highlight w:val="none"/>
          <w:lang w:eastAsia="zh-CN"/>
        </w:rPr>
        <w:t>）</w:t>
      </w:r>
      <w:r>
        <w:rPr>
          <w:rFonts w:hint="eastAsia" w:ascii="宋体" w:hAnsi="宋体"/>
          <w:sz w:val="24"/>
          <w:highlight w:val="none"/>
        </w:rPr>
        <w:t>资格证明书（原件）</w:t>
      </w:r>
    </w:p>
    <w:p>
      <w:pPr>
        <w:numPr>
          <w:ilvl w:val="0"/>
          <w:numId w:val="0"/>
        </w:numPr>
        <w:tabs>
          <w:tab w:val="left" w:pos="826"/>
        </w:tabs>
        <w:spacing w:line="560" w:lineRule="exact"/>
        <w:ind w:left="426" w:leftChars="0"/>
        <w:rPr>
          <w:rFonts w:ascii="宋体"/>
          <w:sz w:val="24"/>
          <w:highlight w:val="none"/>
        </w:rPr>
      </w:pPr>
      <w:r>
        <w:rPr>
          <w:rFonts w:hint="eastAsia" w:ascii="宋体" w:hAnsi="宋体"/>
          <w:sz w:val="24"/>
          <w:highlight w:val="none"/>
          <w:lang w:val="en-US" w:eastAsia="zh-CN"/>
        </w:rPr>
        <w:t>3.</w:t>
      </w:r>
      <w:r>
        <w:rPr>
          <w:rFonts w:hint="eastAsia" w:ascii="宋体" w:hAnsi="宋体"/>
          <w:sz w:val="24"/>
          <w:highlight w:val="none"/>
        </w:rPr>
        <w:t>法定代表人</w:t>
      </w:r>
      <w:r>
        <w:rPr>
          <w:rFonts w:hint="eastAsia" w:ascii="宋体" w:hAnsi="宋体"/>
          <w:sz w:val="24"/>
          <w:highlight w:val="none"/>
          <w:lang w:eastAsia="zh-CN"/>
        </w:rPr>
        <w:t>（</w:t>
      </w:r>
      <w:r>
        <w:rPr>
          <w:rFonts w:hint="eastAsia" w:ascii="宋体" w:hAnsi="宋体"/>
          <w:sz w:val="24"/>
          <w:highlight w:val="none"/>
          <w:lang w:val="en-US" w:eastAsia="zh-CN"/>
        </w:rPr>
        <w:t>负责人</w:t>
      </w:r>
      <w:r>
        <w:rPr>
          <w:rFonts w:hint="eastAsia" w:ascii="宋体" w:hAnsi="宋体"/>
          <w:sz w:val="24"/>
          <w:highlight w:val="none"/>
          <w:lang w:eastAsia="zh-CN"/>
        </w:rPr>
        <w:t>）</w:t>
      </w:r>
      <w:r>
        <w:rPr>
          <w:rFonts w:hint="eastAsia" w:ascii="宋体" w:hAnsi="宋体"/>
          <w:sz w:val="24"/>
          <w:highlight w:val="none"/>
        </w:rPr>
        <w:t>身份证明文件（提供复印件</w:t>
      </w:r>
      <w:r>
        <w:rPr>
          <w:rFonts w:hint="eastAsia" w:ascii="宋体" w:hAnsi="宋体"/>
          <w:kern w:val="0"/>
          <w:sz w:val="24"/>
          <w:highlight w:val="none"/>
        </w:rPr>
        <w:t>加盖单位公章</w:t>
      </w:r>
      <w:r>
        <w:rPr>
          <w:rFonts w:hint="eastAsia" w:ascii="宋体" w:hAnsi="宋体"/>
          <w:sz w:val="24"/>
          <w:highlight w:val="none"/>
        </w:rPr>
        <w:t>）</w:t>
      </w:r>
    </w:p>
    <w:p>
      <w:pPr>
        <w:numPr>
          <w:ilvl w:val="0"/>
          <w:numId w:val="0"/>
        </w:numPr>
        <w:tabs>
          <w:tab w:val="left" w:pos="826"/>
        </w:tabs>
        <w:spacing w:line="560" w:lineRule="exact"/>
        <w:ind w:left="426" w:leftChars="0"/>
        <w:rPr>
          <w:rFonts w:ascii="宋体"/>
          <w:kern w:val="0"/>
          <w:sz w:val="24"/>
          <w:highlight w:val="none"/>
        </w:rPr>
      </w:pPr>
      <w:r>
        <w:rPr>
          <w:rFonts w:hint="eastAsia" w:ascii="宋体" w:hAnsi="宋体"/>
          <w:kern w:val="0"/>
          <w:sz w:val="24"/>
          <w:highlight w:val="none"/>
          <w:lang w:val="en-US" w:eastAsia="zh-CN"/>
        </w:rPr>
        <w:t>4.</w:t>
      </w:r>
      <w:r>
        <w:rPr>
          <w:rFonts w:hint="eastAsia" w:ascii="宋体" w:hAnsi="宋体"/>
          <w:kern w:val="0"/>
          <w:sz w:val="24"/>
          <w:highlight w:val="none"/>
        </w:rPr>
        <w:t>比选申请文件签署授权委托书（原件）</w:t>
      </w:r>
    </w:p>
    <w:p>
      <w:pPr>
        <w:numPr>
          <w:ilvl w:val="0"/>
          <w:numId w:val="0"/>
        </w:numPr>
        <w:tabs>
          <w:tab w:val="left" w:pos="826"/>
        </w:tabs>
        <w:spacing w:line="560" w:lineRule="exact"/>
        <w:ind w:left="426" w:leftChars="0"/>
        <w:rPr>
          <w:rFonts w:ascii="宋体"/>
          <w:kern w:val="0"/>
          <w:sz w:val="24"/>
          <w:highlight w:val="none"/>
        </w:rPr>
      </w:pPr>
      <w:r>
        <w:rPr>
          <w:rFonts w:hint="eastAsia" w:ascii="宋体" w:hAnsi="宋体"/>
          <w:kern w:val="0"/>
          <w:sz w:val="24"/>
          <w:highlight w:val="none"/>
          <w:lang w:val="en-US" w:eastAsia="zh-CN"/>
        </w:rPr>
        <w:t>5.</w:t>
      </w:r>
      <w:r>
        <w:rPr>
          <w:rFonts w:hint="eastAsia" w:ascii="宋体" w:hAnsi="宋体"/>
          <w:kern w:val="0"/>
          <w:sz w:val="24"/>
          <w:highlight w:val="none"/>
        </w:rPr>
        <w:t>授权代理人身份证明文件（提供复印件加盖单位公章）</w:t>
      </w:r>
    </w:p>
    <w:p>
      <w:pPr>
        <w:numPr>
          <w:ilvl w:val="0"/>
          <w:numId w:val="0"/>
        </w:numPr>
        <w:tabs>
          <w:tab w:val="left" w:pos="826"/>
        </w:tabs>
        <w:spacing w:line="560" w:lineRule="exact"/>
        <w:ind w:left="426" w:leftChars="0"/>
        <w:rPr>
          <w:rFonts w:hint="eastAsia" w:ascii="宋体" w:hAnsi="宋体"/>
          <w:kern w:val="0"/>
          <w:sz w:val="24"/>
          <w:highlight w:val="none"/>
          <w:lang w:val="en-US" w:eastAsia="zh-CN"/>
        </w:rPr>
      </w:pPr>
      <w:r>
        <w:rPr>
          <w:rFonts w:hint="eastAsia" w:ascii="宋体" w:hAnsi="宋体"/>
          <w:kern w:val="0"/>
          <w:sz w:val="24"/>
          <w:highlight w:val="none"/>
          <w:lang w:val="en-US" w:eastAsia="zh-CN"/>
        </w:rPr>
        <w:t>6.会计师事务所执业证书（提供复印件加盖单位公章）</w:t>
      </w:r>
    </w:p>
    <w:p>
      <w:pPr>
        <w:numPr>
          <w:ilvl w:val="0"/>
          <w:numId w:val="0"/>
        </w:numPr>
        <w:tabs>
          <w:tab w:val="left" w:pos="826"/>
        </w:tabs>
        <w:spacing w:line="560" w:lineRule="exact"/>
        <w:ind w:left="426" w:leftChars="0"/>
        <w:rPr>
          <w:rFonts w:hint="eastAsia" w:ascii="宋体" w:hAnsi="宋体"/>
          <w:kern w:val="0"/>
          <w:sz w:val="24"/>
          <w:highlight w:val="none"/>
          <w:lang w:val="en-US" w:eastAsia="zh-CN"/>
        </w:rPr>
      </w:pPr>
      <w:r>
        <w:rPr>
          <w:rFonts w:hint="eastAsia" w:ascii="宋体" w:hAnsi="宋体"/>
          <w:kern w:val="0"/>
          <w:sz w:val="24"/>
          <w:highlight w:val="none"/>
          <w:lang w:val="en-US" w:eastAsia="zh-CN"/>
        </w:rPr>
        <w:t>7.项目负责人具有3年以上工程管理相关方面的审计经验，其他人员中至少有1名具有2年以上工程管理相关方面的审计经验（审计报告名称内容及签字页复印件加盖单位公章）</w:t>
      </w:r>
    </w:p>
    <w:p>
      <w:pPr>
        <w:numPr>
          <w:ilvl w:val="0"/>
          <w:numId w:val="0"/>
        </w:numPr>
        <w:tabs>
          <w:tab w:val="left" w:pos="826"/>
        </w:tabs>
        <w:spacing w:line="560" w:lineRule="exact"/>
        <w:ind w:left="426" w:leftChars="0"/>
        <w:rPr>
          <w:rFonts w:hint="default" w:ascii="宋体" w:hAnsi="宋体"/>
          <w:kern w:val="0"/>
          <w:sz w:val="24"/>
          <w:highlight w:val="none"/>
          <w:lang w:val="en-US" w:eastAsia="zh-CN"/>
        </w:rPr>
      </w:pPr>
      <w:r>
        <w:rPr>
          <w:rFonts w:hint="eastAsia" w:ascii="宋体" w:hAnsi="宋体"/>
          <w:kern w:val="0"/>
          <w:sz w:val="24"/>
          <w:highlight w:val="none"/>
          <w:lang w:val="en-US" w:eastAsia="zh-CN"/>
        </w:rPr>
        <w:t>8.其他</w:t>
      </w:r>
    </w:p>
    <w:p>
      <w:pPr>
        <w:ind w:right="753"/>
        <w:jc w:val="left"/>
        <w:rPr>
          <w:rFonts w:ascii="宋体" w:cs="宋体"/>
          <w:sz w:val="24"/>
          <w:highlight w:val="none"/>
        </w:rPr>
      </w:pPr>
    </w:p>
    <w:p>
      <w:pPr>
        <w:ind w:right="-21" w:firstLine="360" w:firstLineChars="150"/>
        <w:jc w:val="left"/>
        <w:rPr>
          <w:rFonts w:ascii="宋体" w:cs="宋体"/>
          <w:sz w:val="24"/>
          <w:highlight w:val="none"/>
        </w:rPr>
      </w:pPr>
      <w:r>
        <w:rPr>
          <w:rFonts w:hint="eastAsia" w:ascii="宋体" w:hAnsi="宋体" w:cs="宋体"/>
          <w:sz w:val="24"/>
          <w:highlight w:val="none"/>
        </w:rPr>
        <w:t>备注：以上材料均需加盖单位公章，并按照目录顺序编排，标注页码</w:t>
      </w:r>
    </w:p>
    <w:p>
      <w:pPr>
        <w:jc w:val="left"/>
        <w:rPr>
          <w:rFonts w:ascii="宋体" w:cs="宋体"/>
          <w:sz w:val="24"/>
          <w:highlight w:val="none"/>
        </w:rPr>
      </w:pPr>
    </w:p>
    <w:p>
      <w:pPr>
        <w:jc w:val="left"/>
        <w:rPr>
          <w:rFonts w:ascii="宋体" w:cs="宋体"/>
          <w:szCs w:val="28"/>
          <w:highlight w:val="none"/>
        </w:rPr>
      </w:pPr>
    </w:p>
    <w:p>
      <w:pPr>
        <w:jc w:val="left"/>
        <w:rPr>
          <w:rFonts w:ascii="宋体" w:cs="宋体"/>
          <w:szCs w:val="28"/>
          <w:highlight w:val="none"/>
        </w:rPr>
      </w:pPr>
    </w:p>
    <w:p>
      <w:pPr>
        <w:spacing w:line="560" w:lineRule="exact"/>
        <w:ind w:firstLine="420" w:firstLineChars="200"/>
        <w:jc w:val="center"/>
        <w:rPr>
          <w:rFonts w:ascii="宋体"/>
          <w:b/>
          <w:bCs/>
          <w:sz w:val="28"/>
          <w:szCs w:val="28"/>
          <w:highlight w:val="none"/>
        </w:rPr>
      </w:pPr>
      <w:bookmarkStart w:id="356" w:name="_Toc461525324"/>
      <w:bookmarkStart w:id="357" w:name="_Toc27423"/>
      <w:bookmarkStart w:id="358" w:name="_Toc1582"/>
      <w:r>
        <w:rPr>
          <w:highlight w:val="none"/>
        </w:rPr>
        <w:br w:type="page"/>
      </w:r>
      <w:bookmarkEnd w:id="356"/>
      <w:bookmarkEnd w:id="357"/>
      <w:bookmarkEnd w:id="358"/>
      <w:bookmarkStart w:id="359" w:name="_Toc15465"/>
      <w:bookmarkStart w:id="360" w:name="_Toc24466"/>
      <w:bookmarkStart w:id="361" w:name="_Toc15071"/>
      <w:bookmarkStart w:id="362" w:name="_Toc18804"/>
      <w:bookmarkStart w:id="363" w:name="_Toc30157"/>
      <w:bookmarkStart w:id="364" w:name="_Toc26924"/>
      <w:bookmarkStart w:id="365" w:name="_Toc14714"/>
      <w:bookmarkStart w:id="366" w:name="_Toc32325"/>
      <w:bookmarkStart w:id="367" w:name="_Toc29347"/>
      <w:bookmarkStart w:id="368" w:name="_Toc461525329"/>
      <w:bookmarkStart w:id="369" w:name="_Toc17531"/>
      <w:bookmarkStart w:id="370" w:name="_Toc29655"/>
      <w:r>
        <w:rPr>
          <w:rFonts w:ascii="宋体" w:hAnsi="宋体"/>
          <w:b/>
          <w:bCs/>
          <w:sz w:val="28"/>
          <w:szCs w:val="28"/>
          <w:highlight w:val="none"/>
        </w:rPr>
        <w:t>1.</w:t>
      </w:r>
      <w:r>
        <w:rPr>
          <w:rFonts w:hint="eastAsia" w:ascii="宋体" w:hAnsi="宋体"/>
          <w:b/>
          <w:bCs/>
          <w:sz w:val="28"/>
          <w:szCs w:val="28"/>
          <w:highlight w:val="none"/>
        </w:rPr>
        <w:t>诚信声明</w:t>
      </w:r>
    </w:p>
    <w:p>
      <w:pPr>
        <w:spacing w:line="560" w:lineRule="exact"/>
        <w:ind w:firstLine="420" w:firstLineChars="200"/>
        <w:rPr>
          <w:rFonts w:ascii="宋体"/>
          <w:highlight w:val="none"/>
        </w:rPr>
      </w:pPr>
    </w:p>
    <w:p>
      <w:pPr>
        <w:spacing w:line="540" w:lineRule="exact"/>
        <w:ind w:firstLine="470" w:firstLineChars="196"/>
        <w:rPr>
          <w:rFonts w:ascii="宋体"/>
          <w:sz w:val="24"/>
          <w:highlight w:val="none"/>
        </w:rPr>
      </w:pPr>
      <w:r>
        <w:rPr>
          <w:rFonts w:hint="eastAsia" w:ascii="宋体" w:hAnsi="宋体"/>
          <w:sz w:val="24"/>
          <w:highlight w:val="none"/>
        </w:rPr>
        <w:t>本人</w:t>
      </w:r>
      <w:r>
        <w:rPr>
          <w:rFonts w:ascii="宋体" w:hAnsi="宋体"/>
          <w:sz w:val="24"/>
          <w:highlight w:val="none"/>
        </w:rPr>
        <w:t xml:space="preserve">       </w:t>
      </w:r>
      <w:r>
        <w:rPr>
          <w:rFonts w:hint="eastAsia" w:ascii="宋体" w:hAnsi="宋体"/>
          <w:sz w:val="24"/>
          <w:highlight w:val="none"/>
        </w:rPr>
        <w:t>（法定代表人</w:t>
      </w:r>
      <w:r>
        <w:rPr>
          <w:rFonts w:hint="eastAsia" w:ascii="宋体" w:hAnsi="宋体"/>
          <w:sz w:val="24"/>
          <w:highlight w:val="none"/>
          <w:lang w:eastAsia="zh-CN"/>
        </w:rPr>
        <w:t>（</w:t>
      </w:r>
      <w:r>
        <w:rPr>
          <w:rFonts w:hint="eastAsia" w:ascii="宋体" w:hAnsi="宋体"/>
          <w:sz w:val="24"/>
          <w:highlight w:val="none"/>
          <w:lang w:val="en-US" w:eastAsia="zh-CN"/>
        </w:rPr>
        <w:t>负责人</w:t>
      </w:r>
      <w:r>
        <w:rPr>
          <w:rFonts w:hint="eastAsia" w:ascii="宋体" w:hAnsi="宋体"/>
          <w:sz w:val="24"/>
          <w:highlight w:val="none"/>
          <w:lang w:eastAsia="zh-CN"/>
        </w:rPr>
        <w:t>）</w:t>
      </w:r>
      <w:r>
        <w:rPr>
          <w:rFonts w:hint="eastAsia" w:ascii="宋体" w:hAnsi="宋体"/>
          <w:sz w:val="24"/>
          <w:highlight w:val="none"/>
        </w:rPr>
        <w:t>、身份证号码</w:t>
      </w:r>
      <w:r>
        <w:rPr>
          <w:rFonts w:ascii="宋体" w:hAnsi="宋体"/>
          <w:sz w:val="24"/>
          <w:highlight w:val="none"/>
        </w:rPr>
        <w:t xml:space="preserve">              </w:t>
      </w:r>
      <w:r>
        <w:rPr>
          <w:rFonts w:hint="eastAsia" w:ascii="宋体" w:hAnsi="宋体"/>
          <w:sz w:val="24"/>
          <w:highlight w:val="none"/>
        </w:rPr>
        <w:t>）郑重声明：</w:t>
      </w:r>
    </w:p>
    <w:p>
      <w:pPr>
        <w:spacing w:line="540" w:lineRule="exact"/>
        <w:ind w:firstLine="470" w:firstLineChars="196"/>
        <w:rPr>
          <w:rFonts w:ascii="宋体"/>
          <w:sz w:val="24"/>
          <w:highlight w:val="none"/>
        </w:rPr>
      </w:pPr>
      <w:r>
        <w:rPr>
          <w:rFonts w:ascii="宋体" w:hAnsi="宋体"/>
          <w:sz w:val="24"/>
          <w:highlight w:val="none"/>
        </w:rPr>
        <w:t>1.</w:t>
      </w:r>
      <w:r>
        <w:rPr>
          <w:rFonts w:hint="eastAsia" w:ascii="宋体" w:hAnsi="宋体"/>
          <w:sz w:val="24"/>
          <w:highlight w:val="none"/>
        </w:rPr>
        <w:t>本企业参加</w:t>
      </w:r>
      <w:r>
        <w:rPr>
          <w:rFonts w:ascii="宋体" w:hAnsi="宋体"/>
          <w:sz w:val="24"/>
          <w:highlight w:val="none"/>
          <w:u w:val="single"/>
        </w:rPr>
        <w:t xml:space="preserve">                   </w:t>
      </w:r>
      <w:r>
        <w:rPr>
          <w:rFonts w:ascii="宋体" w:hAnsi="宋体"/>
          <w:b/>
          <w:sz w:val="24"/>
          <w:highlight w:val="none"/>
          <w:u w:val="single"/>
        </w:rPr>
        <w:t xml:space="preserve">  </w:t>
      </w:r>
      <w:r>
        <w:rPr>
          <w:rFonts w:hint="eastAsia" w:ascii="宋体" w:hAnsi="宋体"/>
          <w:sz w:val="24"/>
          <w:highlight w:val="none"/>
        </w:rPr>
        <w:t>项目比选活动所提交的所有资料、填写数据及所包含的附件资料内容是真实的、合法的、有效的；</w:t>
      </w:r>
    </w:p>
    <w:p>
      <w:pPr>
        <w:spacing w:line="540" w:lineRule="exact"/>
        <w:ind w:firstLine="470" w:firstLineChars="196"/>
        <w:rPr>
          <w:rFonts w:ascii="宋体"/>
          <w:sz w:val="24"/>
          <w:highlight w:val="none"/>
        </w:rPr>
      </w:pPr>
      <w:r>
        <w:rPr>
          <w:rFonts w:ascii="宋体" w:hAnsi="宋体"/>
          <w:sz w:val="24"/>
          <w:highlight w:val="none"/>
        </w:rPr>
        <w:t>2.</w:t>
      </w:r>
      <w:r>
        <w:rPr>
          <w:rFonts w:hint="eastAsia" w:ascii="宋体" w:hAnsi="宋体"/>
          <w:sz w:val="24"/>
          <w:highlight w:val="none"/>
        </w:rPr>
        <w:t>本企业未被国家、广西壮族自治区、南宁市相关行政主管部门通报停止投标活动，无犯罪行贿记录；</w:t>
      </w:r>
    </w:p>
    <w:p>
      <w:pPr>
        <w:spacing w:line="540" w:lineRule="exact"/>
        <w:ind w:firstLine="470" w:firstLineChars="196"/>
        <w:rPr>
          <w:rFonts w:ascii="宋体"/>
          <w:sz w:val="24"/>
          <w:highlight w:val="none"/>
        </w:rPr>
      </w:pPr>
      <w:r>
        <w:rPr>
          <w:rFonts w:ascii="宋体" w:hAnsi="宋体"/>
          <w:sz w:val="24"/>
          <w:highlight w:val="none"/>
        </w:rPr>
        <w:t>3.</w:t>
      </w:r>
      <w:r>
        <w:rPr>
          <w:rFonts w:hint="eastAsia" w:ascii="宋体" w:hAnsi="宋体"/>
          <w:sz w:val="24"/>
          <w:highlight w:val="none"/>
        </w:rPr>
        <w:t>同时，我方在此所作的声明也是真实有效的，并愿意对在比选过程中有关部门的调查结果承担责任；</w:t>
      </w:r>
    </w:p>
    <w:p>
      <w:pPr>
        <w:spacing w:line="540" w:lineRule="exact"/>
        <w:ind w:firstLine="470" w:firstLineChars="196"/>
        <w:rPr>
          <w:rFonts w:ascii="宋体"/>
          <w:sz w:val="24"/>
          <w:highlight w:val="none"/>
        </w:rPr>
      </w:pPr>
      <w:r>
        <w:rPr>
          <w:rFonts w:ascii="宋体" w:hAnsi="宋体"/>
          <w:sz w:val="24"/>
          <w:highlight w:val="none"/>
        </w:rPr>
        <w:t>4.</w:t>
      </w:r>
      <w:r>
        <w:rPr>
          <w:rFonts w:hint="eastAsia" w:ascii="宋体" w:hAnsi="宋体"/>
          <w:sz w:val="24"/>
          <w:highlight w:val="none"/>
        </w:rPr>
        <w:t>本企业提交的所有比选申请资料如有不实，愿接受相关部门依据有关法律法规给予的处罚。</w:t>
      </w:r>
    </w:p>
    <w:p>
      <w:pPr>
        <w:spacing w:line="540" w:lineRule="exact"/>
        <w:ind w:firstLine="470" w:firstLineChars="196"/>
        <w:rPr>
          <w:rFonts w:ascii="宋体"/>
          <w:sz w:val="24"/>
          <w:highlight w:val="none"/>
        </w:rPr>
      </w:pPr>
      <w:r>
        <w:rPr>
          <w:rFonts w:ascii="宋体" w:hAnsi="宋体"/>
          <w:sz w:val="24"/>
          <w:highlight w:val="none"/>
        </w:rPr>
        <w:t>5.</w:t>
      </w:r>
      <w:r>
        <w:rPr>
          <w:rFonts w:hint="eastAsia" w:ascii="宋体" w:hAnsi="宋体"/>
          <w:sz w:val="24"/>
          <w:highlight w:val="none"/>
        </w:rPr>
        <w:t>本企业提供的服务不存在知识产权或专利纠纷，保证甲方能正常使用本企业所提供的服务。</w:t>
      </w:r>
    </w:p>
    <w:p>
      <w:pPr>
        <w:spacing w:line="540" w:lineRule="exact"/>
        <w:ind w:firstLine="470" w:firstLineChars="196"/>
        <w:rPr>
          <w:rFonts w:ascii="宋体"/>
          <w:sz w:val="24"/>
          <w:highlight w:val="none"/>
        </w:rPr>
      </w:pPr>
      <w:r>
        <w:rPr>
          <w:rFonts w:ascii="宋体" w:hAnsi="宋体"/>
          <w:sz w:val="24"/>
          <w:highlight w:val="none"/>
        </w:rPr>
        <w:t>6.</w:t>
      </w:r>
      <w:r>
        <w:rPr>
          <w:rFonts w:hint="eastAsia" w:ascii="宋体" w:hAnsi="宋体"/>
          <w:sz w:val="24"/>
          <w:highlight w:val="none"/>
        </w:rPr>
        <w:t>其他……</w:t>
      </w:r>
    </w:p>
    <w:p>
      <w:pPr>
        <w:spacing w:line="360" w:lineRule="auto"/>
        <w:ind w:firstLine="470" w:firstLineChars="196"/>
        <w:rPr>
          <w:rFonts w:ascii="宋体"/>
          <w:sz w:val="24"/>
          <w:highlight w:val="none"/>
        </w:rPr>
      </w:pPr>
    </w:p>
    <w:p>
      <w:pPr>
        <w:spacing w:line="360" w:lineRule="auto"/>
        <w:ind w:firstLine="470" w:firstLineChars="196"/>
        <w:rPr>
          <w:rFonts w:ascii="宋体"/>
          <w:sz w:val="24"/>
          <w:highlight w:val="none"/>
        </w:rPr>
      </w:pPr>
    </w:p>
    <w:p>
      <w:pPr>
        <w:spacing w:line="360" w:lineRule="auto"/>
        <w:rPr>
          <w:rFonts w:ascii="宋体" w:cs="宋体"/>
          <w:sz w:val="24"/>
          <w:highlight w:val="none"/>
        </w:rPr>
      </w:pPr>
    </w:p>
    <w:p>
      <w:pPr>
        <w:spacing w:line="360" w:lineRule="auto"/>
        <w:rPr>
          <w:rFonts w:ascii="宋体" w:cs="宋体"/>
          <w:sz w:val="24"/>
          <w:highlight w:val="none"/>
        </w:rPr>
      </w:pPr>
      <w:r>
        <w:rPr>
          <w:rFonts w:hint="eastAsia" w:ascii="宋体" w:hAnsi="宋体" w:cs="宋体"/>
          <w:sz w:val="24"/>
          <w:highlight w:val="none"/>
        </w:rPr>
        <w:t>比选申请人：（加盖单位公章）</w:t>
      </w:r>
    </w:p>
    <w:p>
      <w:pPr>
        <w:spacing w:line="360" w:lineRule="auto"/>
        <w:ind w:firstLine="470" w:firstLineChars="196"/>
        <w:rPr>
          <w:rFonts w:ascii="宋体"/>
          <w:sz w:val="24"/>
          <w:highlight w:val="none"/>
        </w:rPr>
      </w:pPr>
    </w:p>
    <w:p>
      <w:pPr>
        <w:spacing w:line="360" w:lineRule="auto"/>
        <w:rPr>
          <w:rFonts w:ascii="宋体"/>
          <w:sz w:val="24"/>
          <w:highlight w:val="none"/>
        </w:rPr>
      </w:pPr>
      <w:r>
        <w:rPr>
          <w:rFonts w:hint="eastAsia" w:ascii="宋体" w:hAnsi="宋体" w:cs="宋体"/>
          <w:sz w:val="24"/>
          <w:highlight w:val="none"/>
        </w:rPr>
        <w:t>法定代表人（负责人）或委托代理人</w:t>
      </w:r>
      <w:r>
        <w:rPr>
          <w:rFonts w:hint="eastAsia" w:ascii="宋体" w:hAnsi="宋体"/>
          <w:sz w:val="24"/>
          <w:highlight w:val="none"/>
        </w:rPr>
        <w:t>：（签字）</w:t>
      </w:r>
    </w:p>
    <w:p>
      <w:pPr>
        <w:spacing w:line="360" w:lineRule="auto"/>
        <w:ind w:firstLine="470" w:firstLineChars="196"/>
        <w:rPr>
          <w:rFonts w:ascii="宋体"/>
          <w:sz w:val="24"/>
          <w:highlight w:val="none"/>
        </w:rPr>
      </w:pPr>
    </w:p>
    <w:p>
      <w:pPr>
        <w:spacing w:line="360" w:lineRule="auto"/>
        <w:rPr>
          <w:rFonts w:ascii="宋体" w:cs="宋体"/>
          <w:sz w:val="24"/>
          <w:highlight w:val="none"/>
        </w:rPr>
      </w:pPr>
      <w:r>
        <w:rPr>
          <w:rFonts w:hint="eastAsia" w:ascii="宋体" w:hAnsi="宋体" w:cs="宋体"/>
          <w:sz w:val="24"/>
          <w:highlight w:val="none"/>
        </w:rPr>
        <w:t>日期：　　年</w:t>
      </w:r>
      <w:r>
        <w:rPr>
          <w:rFonts w:ascii="宋体" w:hAnsi="宋体" w:cs="宋体"/>
          <w:sz w:val="24"/>
          <w:highlight w:val="none"/>
        </w:rPr>
        <w:t xml:space="preserve">   </w:t>
      </w:r>
      <w:r>
        <w:rPr>
          <w:rFonts w:hint="eastAsia" w:ascii="宋体" w:hAnsi="宋体" w:cs="宋体"/>
          <w:sz w:val="24"/>
          <w:highlight w:val="none"/>
        </w:rPr>
        <w:t>月</w:t>
      </w:r>
      <w:r>
        <w:rPr>
          <w:rFonts w:ascii="宋体" w:hAnsi="宋体" w:cs="宋体"/>
          <w:sz w:val="24"/>
          <w:highlight w:val="none"/>
        </w:rPr>
        <w:t xml:space="preserve">    </w:t>
      </w:r>
      <w:r>
        <w:rPr>
          <w:rFonts w:hint="eastAsia" w:ascii="宋体" w:hAnsi="宋体" w:cs="宋体"/>
          <w:sz w:val="24"/>
          <w:highlight w:val="none"/>
        </w:rPr>
        <w:t>日</w:t>
      </w:r>
    </w:p>
    <w:p>
      <w:pPr>
        <w:spacing w:line="360" w:lineRule="auto"/>
        <w:ind w:firstLine="470" w:firstLineChars="196"/>
        <w:rPr>
          <w:sz w:val="24"/>
          <w:highlight w:val="none"/>
        </w:rPr>
      </w:pPr>
    </w:p>
    <w:p>
      <w:pPr>
        <w:spacing w:line="360" w:lineRule="auto"/>
        <w:ind w:firstLine="470" w:firstLineChars="196"/>
        <w:rPr>
          <w:sz w:val="24"/>
          <w:highlight w:val="none"/>
        </w:rPr>
      </w:pPr>
    </w:p>
    <w:p>
      <w:pPr>
        <w:spacing w:line="360" w:lineRule="auto"/>
        <w:ind w:firstLine="470" w:firstLineChars="196"/>
        <w:rPr>
          <w:sz w:val="24"/>
          <w:highlight w:val="none"/>
        </w:rPr>
      </w:pPr>
    </w:p>
    <w:p>
      <w:pPr>
        <w:spacing w:line="360" w:lineRule="auto"/>
        <w:ind w:firstLine="470" w:firstLineChars="196"/>
        <w:rPr>
          <w:sz w:val="24"/>
          <w:highlight w:val="none"/>
        </w:rPr>
      </w:pPr>
    </w:p>
    <w:p>
      <w:pPr>
        <w:spacing w:line="360" w:lineRule="auto"/>
        <w:ind w:firstLine="470" w:firstLineChars="196"/>
        <w:rPr>
          <w:sz w:val="24"/>
          <w:highlight w:val="none"/>
        </w:rPr>
      </w:pPr>
    </w:p>
    <w:bookmarkEnd w:id="359"/>
    <w:bookmarkEnd w:id="360"/>
    <w:bookmarkEnd w:id="361"/>
    <w:bookmarkEnd w:id="362"/>
    <w:bookmarkEnd w:id="363"/>
    <w:bookmarkEnd w:id="364"/>
    <w:bookmarkEnd w:id="365"/>
    <w:bookmarkEnd w:id="366"/>
    <w:bookmarkEnd w:id="367"/>
    <w:bookmarkEnd w:id="368"/>
    <w:bookmarkEnd w:id="369"/>
    <w:bookmarkEnd w:id="370"/>
    <w:p>
      <w:pPr>
        <w:jc w:val="center"/>
        <w:rPr>
          <w:rFonts w:ascii="宋体"/>
          <w:b/>
          <w:kern w:val="0"/>
          <w:sz w:val="28"/>
          <w:szCs w:val="28"/>
          <w:highlight w:val="none"/>
        </w:rPr>
      </w:pPr>
      <w:bookmarkStart w:id="371" w:name="_Toc32075"/>
      <w:bookmarkStart w:id="372" w:name="_Toc6606"/>
      <w:bookmarkStart w:id="373" w:name="_Toc25670"/>
      <w:bookmarkStart w:id="374" w:name="_Toc7760"/>
      <w:bookmarkStart w:id="375" w:name="_Toc750"/>
      <w:bookmarkStart w:id="376" w:name="_Toc19937"/>
      <w:bookmarkStart w:id="377" w:name="_Toc3498"/>
      <w:bookmarkStart w:id="378" w:name="_Toc28436"/>
      <w:bookmarkStart w:id="379" w:name="_Toc16756"/>
      <w:r>
        <w:rPr>
          <w:rFonts w:ascii="宋体" w:hAnsi="宋体"/>
          <w:b/>
          <w:kern w:val="0"/>
          <w:sz w:val="28"/>
          <w:szCs w:val="28"/>
          <w:highlight w:val="none"/>
        </w:rPr>
        <w:t>2.</w:t>
      </w:r>
      <w:r>
        <w:rPr>
          <w:rFonts w:hint="eastAsia" w:ascii="宋体" w:hAnsi="宋体"/>
          <w:b/>
          <w:kern w:val="0"/>
          <w:sz w:val="28"/>
          <w:szCs w:val="28"/>
          <w:highlight w:val="none"/>
        </w:rPr>
        <w:t>法定代表人</w:t>
      </w:r>
      <w:r>
        <w:rPr>
          <w:rFonts w:hint="eastAsia" w:ascii="宋体" w:hAnsi="宋体"/>
          <w:b/>
          <w:kern w:val="0"/>
          <w:sz w:val="28"/>
          <w:szCs w:val="28"/>
          <w:highlight w:val="none"/>
          <w:lang w:eastAsia="zh-CN"/>
        </w:rPr>
        <w:t>（</w:t>
      </w:r>
      <w:r>
        <w:rPr>
          <w:rFonts w:hint="eastAsia" w:ascii="宋体" w:hAnsi="宋体"/>
          <w:b/>
          <w:kern w:val="0"/>
          <w:sz w:val="28"/>
          <w:szCs w:val="28"/>
          <w:highlight w:val="none"/>
          <w:lang w:val="en-US" w:eastAsia="zh-CN"/>
        </w:rPr>
        <w:t>负责人</w:t>
      </w:r>
      <w:r>
        <w:rPr>
          <w:rFonts w:hint="eastAsia" w:ascii="宋体" w:hAnsi="宋体"/>
          <w:b/>
          <w:kern w:val="0"/>
          <w:sz w:val="28"/>
          <w:szCs w:val="28"/>
          <w:highlight w:val="none"/>
          <w:lang w:eastAsia="zh-CN"/>
        </w:rPr>
        <w:t>）</w:t>
      </w:r>
      <w:r>
        <w:rPr>
          <w:rFonts w:hint="eastAsia" w:ascii="宋体" w:hAnsi="宋体"/>
          <w:b/>
          <w:kern w:val="0"/>
          <w:sz w:val="28"/>
          <w:szCs w:val="28"/>
          <w:highlight w:val="none"/>
        </w:rPr>
        <w:t>资格证明书</w:t>
      </w:r>
    </w:p>
    <w:p>
      <w:pPr>
        <w:rPr>
          <w:rFonts w:ascii="宋体"/>
          <w:b/>
          <w:sz w:val="36"/>
          <w:highlight w:val="none"/>
        </w:rPr>
      </w:pPr>
    </w:p>
    <w:p>
      <w:pPr>
        <w:rPr>
          <w:rFonts w:ascii="宋体"/>
          <w:b/>
          <w:highlight w:val="none"/>
        </w:rPr>
      </w:pPr>
    </w:p>
    <w:p>
      <w:pPr>
        <w:spacing w:line="360" w:lineRule="auto"/>
        <w:ind w:firstLine="612"/>
        <w:rPr>
          <w:rFonts w:ascii="宋体"/>
          <w:sz w:val="24"/>
          <w:highlight w:val="none"/>
        </w:rPr>
      </w:pPr>
      <w:r>
        <w:rPr>
          <w:rFonts w:hint="eastAsia" w:ascii="宋体" w:hAnsi="宋体"/>
          <w:sz w:val="24"/>
          <w:highlight w:val="none"/>
        </w:rPr>
        <w:t>单位名称：</w:t>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p>
    <w:p>
      <w:pPr>
        <w:spacing w:line="360" w:lineRule="auto"/>
        <w:ind w:firstLine="612"/>
        <w:rPr>
          <w:rFonts w:ascii="宋体"/>
          <w:sz w:val="24"/>
          <w:highlight w:val="none"/>
        </w:rPr>
      </w:pPr>
    </w:p>
    <w:p>
      <w:pPr>
        <w:spacing w:line="360" w:lineRule="auto"/>
        <w:ind w:firstLine="610"/>
        <w:rPr>
          <w:rFonts w:ascii="宋体"/>
          <w:sz w:val="24"/>
          <w:highlight w:val="none"/>
          <w:u w:val="single"/>
        </w:rPr>
      </w:pPr>
      <w:r>
        <w:rPr>
          <w:rFonts w:hint="eastAsia" w:ascii="宋体" w:hAnsi="宋体"/>
          <w:sz w:val="24"/>
          <w:highlight w:val="none"/>
        </w:rPr>
        <w:t>单位性质：</w:t>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p>
    <w:p>
      <w:pPr>
        <w:spacing w:line="360" w:lineRule="auto"/>
        <w:ind w:firstLine="610"/>
        <w:rPr>
          <w:rFonts w:ascii="宋体"/>
          <w:sz w:val="24"/>
          <w:highlight w:val="none"/>
        </w:rPr>
      </w:pPr>
    </w:p>
    <w:p>
      <w:pPr>
        <w:spacing w:line="360" w:lineRule="auto"/>
        <w:ind w:firstLine="610"/>
        <w:rPr>
          <w:rFonts w:ascii="宋体"/>
          <w:sz w:val="24"/>
          <w:highlight w:val="none"/>
          <w:u w:val="single"/>
        </w:rPr>
      </w:pPr>
      <w:r>
        <w:rPr>
          <w:rFonts w:hint="eastAsia" w:ascii="宋体" w:hAnsi="宋体"/>
          <w:sz w:val="24"/>
          <w:highlight w:val="none"/>
        </w:rPr>
        <w:t>地</w:t>
      </w:r>
      <w:r>
        <w:rPr>
          <w:rFonts w:ascii="宋体" w:hAnsi="宋体"/>
          <w:sz w:val="24"/>
          <w:highlight w:val="none"/>
        </w:rPr>
        <w:t xml:space="preserve">    </w:t>
      </w:r>
      <w:r>
        <w:rPr>
          <w:rFonts w:hint="eastAsia" w:ascii="宋体" w:hAnsi="宋体"/>
          <w:sz w:val="24"/>
          <w:highlight w:val="none"/>
        </w:rPr>
        <w:t>址：</w:t>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hAnsi="宋体"/>
          <w:sz w:val="24"/>
          <w:highlight w:val="none"/>
          <w:u w:val="single"/>
        </w:rPr>
        <w:t xml:space="preserve">     </w:t>
      </w:r>
      <w:r>
        <w:rPr>
          <w:rFonts w:ascii="宋体" w:hAnsi="宋体"/>
          <w:sz w:val="24"/>
          <w:highlight w:val="none"/>
          <w:u w:val="single"/>
        </w:rPr>
        <w:tab/>
      </w:r>
      <w:r>
        <w:rPr>
          <w:rFonts w:ascii="宋体" w:hAnsi="宋体"/>
          <w:sz w:val="24"/>
          <w:highlight w:val="none"/>
          <w:u w:val="single"/>
        </w:rPr>
        <w:tab/>
      </w:r>
    </w:p>
    <w:p>
      <w:pPr>
        <w:spacing w:line="360" w:lineRule="auto"/>
        <w:ind w:firstLine="610"/>
        <w:rPr>
          <w:rFonts w:ascii="宋体"/>
          <w:sz w:val="24"/>
          <w:highlight w:val="none"/>
        </w:rPr>
      </w:pPr>
    </w:p>
    <w:p>
      <w:pPr>
        <w:spacing w:line="360" w:lineRule="auto"/>
        <w:ind w:firstLine="610"/>
        <w:rPr>
          <w:rFonts w:ascii="宋体"/>
          <w:sz w:val="24"/>
          <w:highlight w:val="none"/>
        </w:rPr>
      </w:pPr>
      <w:r>
        <w:rPr>
          <w:rFonts w:hint="eastAsia" w:ascii="宋体" w:hAnsi="宋体"/>
          <w:sz w:val="24"/>
          <w:highlight w:val="none"/>
        </w:rPr>
        <w:t>成立时间：</w:t>
      </w:r>
      <w:r>
        <w:rPr>
          <w:rFonts w:ascii="宋体" w:hAnsi="宋体"/>
          <w:sz w:val="24"/>
          <w:highlight w:val="none"/>
        </w:rPr>
        <w:t xml:space="preserve"> </w:t>
      </w:r>
      <w:r>
        <w:rPr>
          <w:rFonts w:hint="eastAsia" w:ascii="宋体" w:hAnsi="宋体"/>
          <w:sz w:val="24"/>
          <w:highlight w:val="none"/>
        </w:rPr>
        <w:t>年</w:t>
      </w:r>
      <w:r>
        <w:rPr>
          <w:rFonts w:ascii="宋体" w:hAnsi="宋体"/>
          <w:sz w:val="24"/>
          <w:highlight w:val="none"/>
        </w:rPr>
        <w:t xml:space="preserve"> </w:t>
      </w:r>
      <w:r>
        <w:rPr>
          <w:rFonts w:hint="eastAsia" w:ascii="宋体" w:hAnsi="宋体"/>
          <w:sz w:val="24"/>
          <w:highlight w:val="none"/>
        </w:rPr>
        <w:t>月</w:t>
      </w:r>
      <w:r>
        <w:rPr>
          <w:rFonts w:ascii="宋体" w:hAnsi="宋体"/>
          <w:sz w:val="24"/>
          <w:highlight w:val="none"/>
        </w:rPr>
        <w:t xml:space="preserve"> </w:t>
      </w:r>
      <w:r>
        <w:rPr>
          <w:rFonts w:hint="eastAsia" w:ascii="宋体" w:hAnsi="宋体"/>
          <w:sz w:val="24"/>
          <w:highlight w:val="none"/>
        </w:rPr>
        <w:t>日</w:t>
      </w:r>
    </w:p>
    <w:p>
      <w:pPr>
        <w:spacing w:line="360" w:lineRule="auto"/>
        <w:ind w:firstLine="610"/>
        <w:rPr>
          <w:rFonts w:ascii="宋体"/>
          <w:sz w:val="24"/>
          <w:highlight w:val="none"/>
        </w:rPr>
      </w:pPr>
    </w:p>
    <w:p>
      <w:pPr>
        <w:spacing w:line="360" w:lineRule="auto"/>
        <w:ind w:firstLine="610"/>
        <w:rPr>
          <w:rFonts w:ascii="宋体"/>
          <w:sz w:val="24"/>
          <w:highlight w:val="none"/>
          <w:u w:val="single"/>
        </w:rPr>
      </w:pPr>
      <w:r>
        <w:rPr>
          <w:rFonts w:hint="eastAsia" w:ascii="宋体" w:hAnsi="宋体"/>
          <w:sz w:val="24"/>
          <w:highlight w:val="none"/>
        </w:rPr>
        <w:t>经营期限：</w:t>
      </w:r>
      <w:r>
        <w:rPr>
          <w:rFonts w:ascii="宋体"/>
          <w:sz w:val="24"/>
          <w:highlight w:val="none"/>
          <w:u w:val="single"/>
        </w:rPr>
        <w:tab/>
      </w:r>
      <w:r>
        <w:rPr>
          <w:rFonts w:ascii="宋体" w:hAnsi="宋体"/>
          <w:sz w:val="24"/>
          <w:highlight w:val="none"/>
          <w:u w:val="single"/>
        </w:rPr>
        <w:t xml:space="preserve">       </w:t>
      </w:r>
      <w:r>
        <w:rPr>
          <w:rFonts w:ascii="宋体" w:hAnsi="宋体"/>
          <w:sz w:val="24"/>
          <w:highlight w:val="none"/>
          <w:u w:val="single"/>
        </w:rPr>
        <w:tab/>
      </w:r>
    </w:p>
    <w:p>
      <w:pPr>
        <w:spacing w:line="360" w:lineRule="auto"/>
        <w:ind w:firstLine="610"/>
        <w:rPr>
          <w:rFonts w:ascii="宋体"/>
          <w:sz w:val="24"/>
          <w:highlight w:val="none"/>
        </w:rPr>
      </w:pPr>
    </w:p>
    <w:p>
      <w:pPr>
        <w:spacing w:line="360" w:lineRule="auto"/>
        <w:ind w:firstLine="610"/>
        <w:rPr>
          <w:rFonts w:ascii="宋体"/>
          <w:sz w:val="24"/>
          <w:highlight w:val="none"/>
          <w:u w:val="single"/>
        </w:rPr>
      </w:pPr>
      <w:r>
        <w:rPr>
          <w:rFonts w:hint="eastAsia" w:ascii="宋体" w:hAnsi="宋体"/>
          <w:sz w:val="24"/>
          <w:highlight w:val="none"/>
        </w:rPr>
        <w:t>姓</w:t>
      </w:r>
      <w:r>
        <w:rPr>
          <w:rFonts w:ascii="宋体" w:hAnsi="宋体"/>
          <w:sz w:val="24"/>
          <w:highlight w:val="none"/>
        </w:rPr>
        <w:t xml:space="preserve">    </w:t>
      </w:r>
      <w:r>
        <w:rPr>
          <w:rFonts w:hint="eastAsia" w:ascii="宋体" w:hAnsi="宋体"/>
          <w:sz w:val="24"/>
          <w:highlight w:val="none"/>
        </w:rPr>
        <w:t>名：</w:t>
      </w:r>
      <w:r>
        <w:rPr>
          <w:rFonts w:ascii="宋体" w:hAnsi="宋体"/>
          <w:sz w:val="24"/>
          <w:highlight w:val="none"/>
        </w:rPr>
        <w:t xml:space="preserve">  </w:t>
      </w:r>
      <w:r>
        <w:rPr>
          <w:rFonts w:hint="eastAsia" w:ascii="宋体" w:hAnsi="宋体"/>
          <w:sz w:val="24"/>
          <w:highlight w:val="none"/>
        </w:rPr>
        <w:t>性</w:t>
      </w:r>
      <w:r>
        <w:rPr>
          <w:rFonts w:ascii="宋体" w:hAnsi="宋体"/>
          <w:sz w:val="24"/>
          <w:highlight w:val="none"/>
        </w:rPr>
        <w:t xml:space="preserve">   </w:t>
      </w:r>
      <w:r>
        <w:rPr>
          <w:rFonts w:hint="eastAsia" w:ascii="宋体" w:hAnsi="宋体"/>
          <w:sz w:val="24"/>
          <w:highlight w:val="none"/>
        </w:rPr>
        <w:t>别：</w:t>
      </w:r>
      <w:r>
        <w:rPr>
          <w:rFonts w:ascii="宋体" w:hAnsi="宋体"/>
          <w:sz w:val="24"/>
          <w:highlight w:val="none"/>
        </w:rPr>
        <w:t xml:space="preserve">   </w:t>
      </w:r>
      <w:r>
        <w:rPr>
          <w:rFonts w:hint="eastAsia" w:ascii="宋体" w:hAnsi="宋体"/>
          <w:sz w:val="24"/>
          <w:highlight w:val="none"/>
        </w:rPr>
        <w:t>年</w:t>
      </w:r>
      <w:r>
        <w:rPr>
          <w:rFonts w:ascii="宋体" w:hAnsi="宋体"/>
          <w:sz w:val="24"/>
          <w:highlight w:val="none"/>
        </w:rPr>
        <w:t xml:space="preserve">   </w:t>
      </w:r>
      <w:r>
        <w:rPr>
          <w:rFonts w:hint="eastAsia" w:ascii="宋体" w:hAnsi="宋体"/>
          <w:sz w:val="24"/>
          <w:highlight w:val="none"/>
        </w:rPr>
        <w:t>龄：</w:t>
      </w:r>
      <w:r>
        <w:rPr>
          <w:rFonts w:ascii="宋体" w:hAnsi="宋体"/>
          <w:sz w:val="24"/>
          <w:highlight w:val="none"/>
        </w:rPr>
        <w:t xml:space="preserve">   </w:t>
      </w:r>
      <w:r>
        <w:rPr>
          <w:rFonts w:hint="eastAsia" w:ascii="宋体" w:hAnsi="宋体"/>
          <w:sz w:val="24"/>
          <w:highlight w:val="none"/>
        </w:rPr>
        <w:t>职务：</w:t>
      </w:r>
      <w:r>
        <w:rPr>
          <w:rFonts w:ascii="宋体"/>
          <w:sz w:val="24"/>
          <w:highlight w:val="none"/>
          <w:u w:val="single"/>
        </w:rPr>
        <w:tab/>
      </w:r>
      <w:r>
        <w:rPr>
          <w:rFonts w:ascii="宋体"/>
          <w:sz w:val="24"/>
          <w:highlight w:val="none"/>
          <w:u w:val="single"/>
        </w:rPr>
        <w:tab/>
      </w:r>
    </w:p>
    <w:p>
      <w:pPr>
        <w:spacing w:line="360" w:lineRule="auto"/>
        <w:ind w:firstLine="610"/>
        <w:rPr>
          <w:rFonts w:ascii="宋体"/>
          <w:sz w:val="24"/>
          <w:highlight w:val="none"/>
        </w:rPr>
      </w:pPr>
    </w:p>
    <w:p>
      <w:pPr>
        <w:spacing w:line="360" w:lineRule="auto"/>
        <w:ind w:firstLine="610"/>
        <w:rPr>
          <w:rFonts w:ascii="宋体"/>
          <w:sz w:val="24"/>
          <w:highlight w:val="none"/>
        </w:rPr>
      </w:pPr>
      <w:r>
        <w:rPr>
          <w:rFonts w:hint="eastAsia" w:ascii="宋体" w:hAnsi="宋体"/>
          <w:sz w:val="24"/>
          <w:highlight w:val="none"/>
        </w:rPr>
        <w:t>系</w:t>
      </w:r>
      <w:r>
        <w:rPr>
          <w:rFonts w:ascii="宋体" w:hAnsi="宋体"/>
          <w:sz w:val="24"/>
          <w:highlight w:val="none"/>
          <w:u w:val="single"/>
        </w:rPr>
        <w:t xml:space="preserve">          </w:t>
      </w:r>
      <w:r>
        <w:rPr>
          <w:rFonts w:hint="eastAsia" w:ascii="宋体" w:hAnsi="宋体"/>
          <w:sz w:val="24"/>
          <w:highlight w:val="none"/>
          <w:u w:val="single"/>
        </w:rPr>
        <w:t>（比选申请人单位名称）</w:t>
      </w:r>
      <w:r>
        <w:rPr>
          <w:rFonts w:ascii="宋体" w:hAnsi="宋体"/>
          <w:sz w:val="24"/>
          <w:highlight w:val="none"/>
          <w:u w:val="single"/>
        </w:rPr>
        <w:t xml:space="preserve">         </w:t>
      </w:r>
      <w:r>
        <w:rPr>
          <w:rFonts w:hint="eastAsia" w:ascii="宋体" w:hAnsi="宋体"/>
          <w:sz w:val="24"/>
          <w:highlight w:val="none"/>
        </w:rPr>
        <w:t>的法定代表人</w:t>
      </w:r>
      <w:r>
        <w:rPr>
          <w:rFonts w:hint="eastAsia" w:ascii="宋体" w:hAnsi="宋体"/>
          <w:sz w:val="24"/>
          <w:highlight w:val="none"/>
          <w:lang w:eastAsia="zh-CN"/>
        </w:rPr>
        <w:t>（</w:t>
      </w:r>
      <w:r>
        <w:rPr>
          <w:rFonts w:hint="eastAsia" w:ascii="宋体" w:hAnsi="宋体"/>
          <w:sz w:val="24"/>
          <w:highlight w:val="none"/>
          <w:lang w:val="en-US" w:eastAsia="zh-CN"/>
        </w:rPr>
        <w:t>负责人</w:t>
      </w:r>
      <w:r>
        <w:rPr>
          <w:rFonts w:hint="eastAsia" w:ascii="宋体" w:hAnsi="宋体"/>
          <w:sz w:val="24"/>
          <w:highlight w:val="none"/>
          <w:lang w:eastAsia="zh-CN"/>
        </w:rPr>
        <w:t>）</w:t>
      </w:r>
      <w:r>
        <w:rPr>
          <w:rFonts w:hint="eastAsia" w:ascii="宋体" w:hAnsi="宋体"/>
          <w:sz w:val="24"/>
          <w:highlight w:val="none"/>
        </w:rPr>
        <w:t>。</w:t>
      </w:r>
    </w:p>
    <w:p>
      <w:pPr>
        <w:spacing w:line="360" w:lineRule="auto"/>
        <w:ind w:firstLine="610"/>
        <w:rPr>
          <w:rFonts w:ascii="宋体"/>
          <w:sz w:val="24"/>
          <w:highlight w:val="none"/>
        </w:rPr>
      </w:pPr>
    </w:p>
    <w:p>
      <w:pPr>
        <w:spacing w:line="360" w:lineRule="auto"/>
        <w:ind w:firstLine="610"/>
        <w:rPr>
          <w:rFonts w:ascii="宋体"/>
          <w:sz w:val="24"/>
          <w:highlight w:val="none"/>
        </w:rPr>
      </w:pPr>
      <w:r>
        <w:rPr>
          <w:rFonts w:hint="eastAsia" w:ascii="宋体" w:hAnsi="宋体"/>
          <w:sz w:val="24"/>
          <w:highlight w:val="none"/>
        </w:rPr>
        <w:t>特此证明。</w:t>
      </w:r>
    </w:p>
    <w:p>
      <w:pPr>
        <w:tabs>
          <w:tab w:val="left" w:pos="720"/>
          <w:tab w:val="left" w:pos="900"/>
        </w:tabs>
        <w:spacing w:line="360" w:lineRule="auto"/>
        <w:rPr>
          <w:rFonts w:ascii="宋体"/>
          <w:sz w:val="24"/>
          <w:highlight w:val="none"/>
        </w:rPr>
      </w:pPr>
    </w:p>
    <w:p>
      <w:pPr>
        <w:tabs>
          <w:tab w:val="left" w:pos="720"/>
          <w:tab w:val="left" w:pos="900"/>
        </w:tabs>
        <w:spacing w:line="360" w:lineRule="auto"/>
        <w:jc w:val="center"/>
        <w:rPr>
          <w:rFonts w:ascii="宋体"/>
          <w:sz w:val="24"/>
          <w:highlight w:val="none"/>
        </w:rPr>
      </w:pPr>
      <w:r>
        <w:rPr>
          <w:rFonts w:ascii="宋体" w:hAnsi="宋体"/>
          <w:sz w:val="24"/>
          <w:highlight w:val="none"/>
        </w:rPr>
        <w:t xml:space="preserve">                           </w:t>
      </w:r>
      <w:r>
        <w:rPr>
          <w:rFonts w:hint="eastAsia" w:ascii="宋体" w:hAnsi="宋体"/>
          <w:sz w:val="24"/>
          <w:highlight w:val="none"/>
        </w:rPr>
        <w:t>比选申请人：</w:t>
      </w:r>
      <w:r>
        <w:rPr>
          <w:rFonts w:ascii="宋体" w:hAnsi="宋体"/>
          <w:sz w:val="24"/>
          <w:highlight w:val="none"/>
          <w:u w:val="single"/>
        </w:rPr>
        <w:t xml:space="preserve">     </w:t>
      </w:r>
      <w:r>
        <w:rPr>
          <w:rFonts w:hint="eastAsia" w:ascii="宋体" w:hAnsi="宋体"/>
          <w:sz w:val="24"/>
          <w:highlight w:val="none"/>
          <w:u w:val="single"/>
        </w:rPr>
        <w:t>（加盖单位公章）</w:t>
      </w:r>
      <w:r>
        <w:rPr>
          <w:rFonts w:ascii="宋体" w:hAnsi="宋体"/>
          <w:sz w:val="24"/>
          <w:highlight w:val="none"/>
          <w:u w:val="single"/>
        </w:rPr>
        <w:t xml:space="preserve">    </w:t>
      </w:r>
    </w:p>
    <w:p>
      <w:pPr>
        <w:spacing w:line="360" w:lineRule="auto"/>
        <w:jc w:val="center"/>
        <w:rPr>
          <w:rFonts w:ascii="宋体"/>
          <w:sz w:val="24"/>
          <w:highlight w:val="none"/>
        </w:rPr>
      </w:pPr>
      <w:r>
        <w:rPr>
          <w:rFonts w:ascii="宋体" w:hAnsi="宋体"/>
          <w:sz w:val="24"/>
          <w:highlight w:val="none"/>
        </w:rPr>
        <w:t xml:space="preserve">                                  </w:t>
      </w:r>
      <w:r>
        <w:rPr>
          <w:rFonts w:hint="eastAsia" w:ascii="宋体" w:hAnsi="宋体"/>
          <w:sz w:val="24"/>
          <w:highlight w:val="none"/>
        </w:rPr>
        <w:t>日</w:t>
      </w:r>
      <w:r>
        <w:rPr>
          <w:rFonts w:ascii="宋体" w:hAnsi="宋体"/>
          <w:sz w:val="24"/>
          <w:highlight w:val="none"/>
        </w:rPr>
        <w:t xml:space="preserve">  </w:t>
      </w:r>
      <w:r>
        <w:rPr>
          <w:rFonts w:hint="eastAsia" w:ascii="宋体" w:hAnsi="宋体"/>
          <w:sz w:val="24"/>
          <w:highlight w:val="none"/>
        </w:rPr>
        <w:t>期：</w:t>
      </w:r>
      <w:r>
        <w:rPr>
          <w:rFonts w:ascii="宋体" w:hAnsi="宋体"/>
          <w:sz w:val="24"/>
          <w:highlight w:val="none"/>
        </w:rPr>
        <w:t xml:space="preserve"> </w:t>
      </w:r>
      <w:r>
        <w:rPr>
          <w:rFonts w:hint="eastAsia" w:ascii="宋体" w:hAnsi="宋体"/>
          <w:sz w:val="24"/>
          <w:highlight w:val="none"/>
        </w:rPr>
        <w:t>年</w:t>
      </w:r>
      <w:r>
        <w:rPr>
          <w:rFonts w:ascii="宋体" w:hAnsi="宋体"/>
          <w:sz w:val="24"/>
          <w:highlight w:val="none"/>
        </w:rPr>
        <w:t xml:space="preserve">  </w:t>
      </w:r>
      <w:r>
        <w:rPr>
          <w:rFonts w:hint="eastAsia" w:ascii="宋体" w:hAnsi="宋体"/>
          <w:sz w:val="24"/>
          <w:highlight w:val="none"/>
        </w:rPr>
        <w:t>月</w:t>
      </w:r>
      <w:r>
        <w:rPr>
          <w:rFonts w:ascii="宋体" w:hAnsi="宋体"/>
          <w:sz w:val="24"/>
          <w:highlight w:val="none"/>
        </w:rPr>
        <w:t xml:space="preserve">   </w:t>
      </w:r>
      <w:r>
        <w:rPr>
          <w:rFonts w:hint="eastAsia" w:ascii="宋体" w:hAnsi="宋体"/>
          <w:sz w:val="24"/>
          <w:highlight w:val="none"/>
        </w:rPr>
        <w:t>日</w:t>
      </w:r>
    </w:p>
    <w:p>
      <w:pPr>
        <w:spacing w:line="600" w:lineRule="exact"/>
        <w:jc w:val="center"/>
        <w:rPr>
          <w:sz w:val="28"/>
          <w:szCs w:val="28"/>
          <w:highlight w:val="none"/>
        </w:rPr>
      </w:pPr>
      <w:r>
        <w:rPr>
          <w:rFonts w:ascii="楷体_GB2312" w:eastAsia="楷体_GB2312"/>
          <w:b/>
          <w:sz w:val="24"/>
          <w:highlight w:val="none"/>
        </w:rPr>
        <w:br w:type="page"/>
      </w:r>
      <w:bookmarkEnd w:id="371"/>
      <w:bookmarkEnd w:id="372"/>
      <w:bookmarkEnd w:id="373"/>
      <w:bookmarkEnd w:id="374"/>
      <w:bookmarkEnd w:id="375"/>
      <w:bookmarkEnd w:id="376"/>
      <w:bookmarkEnd w:id="377"/>
      <w:bookmarkEnd w:id="378"/>
      <w:bookmarkEnd w:id="379"/>
      <w:r>
        <w:rPr>
          <w:rFonts w:ascii="宋体" w:hAnsi="宋体"/>
          <w:b/>
          <w:kern w:val="0"/>
          <w:sz w:val="28"/>
          <w:szCs w:val="28"/>
          <w:highlight w:val="none"/>
        </w:rPr>
        <w:t>3.</w:t>
      </w:r>
      <w:r>
        <w:rPr>
          <w:rFonts w:hint="eastAsia" w:ascii="宋体" w:hAnsi="宋体"/>
          <w:b/>
          <w:kern w:val="0"/>
          <w:sz w:val="28"/>
          <w:szCs w:val="28"/>
          <w:highlight w:val="none"/>
        </w:rPr>
        <w:t>法定代表人</w:t>
      </w:r>
      <w:r>
        <w:rPr>
          <w:rFonts w:hint="eastAsia" w:ascii="宋体" w:hAnsi="宋体"/>
          <w:b/>
          <w:kern w:val="0"/>
          <w:sz w:val="28"/>
          <w:szCs w:val="28"/>
          <w:highlight w:val="none"/>
          <w:lang w:eastAsia="zh-CN"/>
        </w:rPr>
        <w:t>（</w:t>
      </w:r>
      <w:r>
        <w:rPr>
          <w:rFonts w:hint="eastAsia" w:ascii="宋体" w:hAnsi="宋体"/>
          <w:b/>
          <w:kern w:val="0"/>
          <w:sz w:val="28"/>
          <w:szCs w:val="28"/>
          <w:highlight w:val="none"/>
          <w:lang w:val="en-US" w:eastAsia="zh-CN"/>
        </w:rPr>
        <w:t>负责人</w:t>
      </w:r>
      <w:r>
        <w:rPr>
          <w:rFonts w:hint="eastAsia" w:ascii="宋体" w:hAnsi="宋体"/>
          <w:b/>
          <w:kern w:val="0"/>
          <w:sz w:val="28"/>
          <w:szCs w:val="28"/>
          <w:highlight w:val="none"/>
          <w:lang w:eastAsia="zh-CN"/>
        </w:rPr>
        <w:t>）</w:t>
      </w:r>
      <w:r>
        <w:rPr>
          <w:rFonts w:hint="eastAsia" w:ascii="宋体" w:hAnsi="宋体"/>
          <w:b/>
          <w:kern w:val="0"/>
          <w:sz w:val="28"/>
          <w:szCs w:val="28"/>
          <w:highlight w:val="none"/>
        </w:rPr>
        <w:t>身份证明文件（提供复印件加盖单位公章）</w:t>
      </w:r>
    </w:p>
    <w:p>
      <w:pPr>
        <w:rPr>
          <w:sz w:val="28"/>
          <w:szCs w:val="28"/>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autoSpaceDE w:val="0"/>
        <w:autoSpaceDN w:val="0"/>
        <w:adjustRightInd w:val="0"/>
        <w:spacing w:line="480" w:lineRule="auto"/>
        <w:jc w:val="center"/>
        <w:rPr>
          <w:rFonts w:ascii="宋体"/>
          <w:b/>
          <w:kern w:val="0"/>
          <w:sz w:val="28"/>
          <w:szCs w:val="28"/>
          <w:highlight w:val="none"/>
        </w:rPr>
      </w:pPr>
      <w:r>
        <w:rPr>
          <w:rFonts w:ascii="宋体" w:hAnsi="宋体"/>
          <w:b/>
          <w:kern w:val="0"/>
          <w:sz w:val="28"/>
          <w:szCs w:val="28"/>
          <w:highlight w:val="none"/>
        </w:rPr>
        <w:t>4.</w:t>
      </w:r>
      <w:r>
        <w:rPr>
          <w:rFonts w:hint="eastAsia" w:ascii="宋体" w:hAnsi="宋体"/>
          <w:b/>
          <w:kern w:val="0"/>
          <w:sz w:val="28"/>
          <w:szCs w:val="28"/>
          <w:highlight w:val="none"/>
        </w:rPr>
        <w:t>授权委托书</w:t>
      </w:r>
    </w:p>
    <w:p>
      <w:pPr>
        <w:spacing w:line="480" w:lineRule="auto"/>
        <w:jc w:val="center"/>
        <w:rPr>
          <w:rFonts w:ascii="楷体_GB2312" w:eastAsia="楷体_GB2312"/>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本授权委托书声明：我</w:t>
      </w:r>
      <w:r>
        <w:rPr>
          <w:rFonts w:ascii="宋体" w:hAnsi="宋体"/>
          <w:kern w:val="0"/>
          <w:sz w:val="24"/>
          <w:highlight w:val="none"/>
          <w:u w:val="single"/>
        </w:rPr>
        <w:t xml:space="preserve">   </w:t>
      </w:r>
      <w:r>
        <w:rPr>
          <w:rFonts w:hint="eastAsia" w:ascii="宋体" w:hAnsi="宋体"/>
          <w:kern w:val="0"/>
          <w:sz w:val="24"/>
          <w:highlight w:val="none"/>
          <w:u w:val="single"/>
        </w:rPr>
        <w:t>（姓名）</w:t>
      </w:r>
      <w:r>
        <w:rPr>
          <w:rFonts w:ascii="宋体" w:hAnsi="宋体"/>
          <w:kern w:val="0"/>
          <w:sz w:val="24"/>
          <w:highlight w:val="none"/>
          <w:u w:val="single"/>
        </w:rPr>
        <w:t xml:space="preserve">    </w:t>
      </w:r>
      <w:r>
        <w:rPr>
          <w:rFonts w:hint="eastAsia" w:ascii="宋体" w:hAnsi="宋体"/>
          <w:kern w:val="0"/>
          <w:sz w:val="24"/>
          <w:highlight w:val="none"/>
        </w:rPr>
        <w:t>系</w:t>
      </w:r>
      <w:r>
        <w:rPr>
          <w:rFonts w:hint="eastAsia" w:ascii="宋体" w:hAnsi="宋体"/>
          <w:kern w:val="0"/>
          <w:sz w:val="24"/>
          <w:highlight w:val="none"/>
          <w:u w:val="single"/>
        </w:rPr>
        <w:t>（比选申请人名称）</w:t>
      </w:r>
      <w:r>
        <w:rPr>
          <w:rFonts w:hint="eastAsia" w:ascii="宋体" w:hAnsi="宋体"/>
          <w:kern w:val="0"/>
          <w:sz w:val="24"/>
          <w:highlight w:val="none"/>
        </w:rPr>
        <w:t>的法定代表人</w:t>
      </w:r>
      <w:r>
        <w:rPr>
          <w:rFonts w:hint="eastAsia" w:ascii="宋体" w:hAnsi="宋体"/>
          <w:kern w:val="0"/>
          <w:sz w:val="24"/>
          <w:highlight w:val="none"/>
          <w:lang w:eastAsia="zh-CN"/>
        </w:rPr>
        <w:t>（</w:t>
      </w:r>
      <w:r>
        <w:rPr>
          <w:rFonts w:hint="eastAsia" w:ascii="宋体" w:hAnsi="宋体"/>
          <w:kern w:val="0"/>
          <w:sz w:val="24"/>
          <w:highlight w:val="none"/>
          <w:lang w:val="en-US" w:eastAsia="zh-CN"/>
        </w:rPr>
        <w:t>负责人</w:t>
      </w:r>
      <w:r>
        <w:rPr>
          <w:rFonts w:hint="eastAsia" w:ascii="宋体" w:hAnsi="宋体"/>
          <w:kern w:val="0"/>
          <w:sz w:val="24"/>
          <w:highlight w:val="none"/>
          <w:lang w:eastAsia="zh-CN"/>
        </w:rPr>
        <w:t>）</w:t>
      </w:r>
      <w:r>
        <w:rPr>
          <w:rFonts w:hint="eastAsia" w:ascii="宋体" w:hAnsi="宋体"/>
          <w:kern w:val="0"/>
          <w:sz w:val="24"/>
          <w:highlight w:val="none"/>
        </w:rPr>
        <w:t>，现授权委托</w:t>
      </w:r>
      <w:r>
        <w:rPr>
          <w:rFonts w:ascii="宋体" w:hAnsi="宋体"/>
          <w:kern w:val="0"/>
          <w:sz w:val="24"/>
          <w:highlight w:val="none"/>
          <w:u w:val="single"/>
        </w:rPr>
        <w:t>(</w:t>
      </w:r>
      <w:r>
        <w:rPr>
          <w:rFonts w:hint="eastAsia" w:ascii="宋体" w:hAnsi="宋体"/>
          <w:kern w:val="0"/>
          <w:sz w:val="24"/>
          <w:highlight w:val="none"/>
          <w:u w:val="single"/>
        </w:rPr>
        <w:t>比选申请人名称</w:t>
      </w:r>
      <w:r>
        <w:rPr>
          <w:rFonts w:ascii="宋体" w:hAnsi="宋体"/>
          <w:kern w:val="0"/>
          <w:sz w:val="24"/>
          <w:highlight w:val="none"/>
          <w:u w:val="single"/>
        </w:rPr>
        <w:t xml:space="preserve">)        </w:t>
      </w:r>
      <w:r>
        <w:rPr>
          <w:rFonts w:hint="eastAsia" w:ascii="宋体" w:hAnsi="宋体"/>
          <w:kern w:val="0"/>
          <w:sz w:val="24"/>
          <w:highlight w:val="none"/>
        </w:rPr>
        <w:t>的</w:t>
      </w:r>
      <w:r>
        <w:rPr>
          <w:rFonts w:ascii="宋体" w:hAnsi="宋体"/>
          <w:kern w:val="0"/>
          <w:sz w:val="24"/>
          <w:highlight w:val="none"/>
          <w:u w:val="single"/>
        </w:rPr>
        <w:t xml:space="preserve">   </w:t>
      </w:r>
      <w:r>
        <w:rPr>
          <w:rFonts w:hint="eastAsia" w:ascii="宋体" w:hAnsi="宋体"/>
          <w:kern w:val="0"/>
          <w:sz w:val="24"/>
          <w:highlight w:val="none"/>
          <w:u w:val="single"/>
        </w:rPr>
        <w:t>（姓名）</w:t>
      </w:r>
      <w:r>
        <w:rPr>
          <w:rFonts w:ascii="宋体" w:hAnsi="宋体"/>
          <w:kern w:val="0"/>
          <w:sz w:val="24"/>
          <w:highlight w:val="none"/>
          <w:u w:val="single"/>
        </w:rPr>
        <w:t xml:space="preserve">  </w:t>
      </w:r>
      <w:r>
        <w:rPr>
          <w:rFonts w:hint="eastAsia" w:ascii="宋体" w:hAnsi="宋体"/>
          <w:kern w:val="0"/>
          <w:sz w:val="24"/>
          <w:highlight w:val="none"/>
        </w:rPr>
        <w:t>为我公司代理人，以本公司名义参加项目比选活动。代理人在评审、合同过程中所签署的一切文件和处理与之有关的一切事务，我均予以确认。</w:t>
      </w:r>
    </w:p>
    <w:p>
      <w:pPr>
        <w:autoSpaceDE w:val="0"/>
        <w:autoSpaceDN w:val="0"/>
        <w:adjustRightInd w:val="0"/>
        <w:spacing w:line="480" w:lineRule="auto"/>
        <w:ind w:firstLine="614" w:firstLineChars="256"/>
        <w:rPr>
          <w:rFonts w:ascii="宋体"/>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代理人无转委托权。特此委托。</w:t>
      </w:r>
    </w:p>
    <w:p>
      <w:pPr>
        <w:autoSpaceDE w:val="0"/>
        <w:autoSpaceDN w:val="0"/>
        <w:adjustRightInd w:val="0"/>
        <w:spacing w:line="480" w:lineRule="auto"/>
        <w:ind w:firstLine="614" w:firstLineChars="256"/>
        <w:rPr>
          <w:rFonts w:ascii="宋体"/>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代理人：</w:t>
      </w:r>
      <w:r>
        <w:rPr>
          <w:rFonts w:ascii="宋体" w:hAnsi="宋体"/>
          <w:kern w:val="0"/>
          <w:sz w:val="24"/>
          <w:highlight w:val="none"/>
        </w:rPr>
        <w:t xml:space="preserve">    </w:t>
      </w:r>
      <w:r>
        <w:rPr>
          <w:rFonts w:hint="eastAsia" w:ascii="宋体" w:hAnsi="宋体"/>
          <w:kern w:val="0"/>
          <w:sz w:val="24"/>
          <w:highlight w:val="none"/>
        </w:rPr>
        <w:t>性别：</w:t>
      </w:r>
      <w:r>
        <w:rPr>
          <w:rFonts w:ascii="宋体" w:hAnsi="宋体"/>
          <w:kern w:val="0"/>
          <w:sz w:val="24"/>
          <w:highlight w:val="none"/>
        </w:rPr>
        <w:t xml:space="preserve">     </w:t>
      </w:r>
      <w:r>
        <w:rPr>
          <w:rFonts w:hint="eastAsia" w:ascii="宋体" w:hAnsi="宋体"/>
          <w:kern w:val="0"/>
          <w:sz w:val="24"/>
          <w:highlight w:val="none"/>
        </w:rPr>
        <w:t>年龄：</w:t>
      </w: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单位：</w:t>
      </w:r>
      <w:r>
        <w:rPr>
          <w:rFonts w:ascii="宋体" w:hAnsi="宋体"/>
          <w:kern w:val="0"/>
          <w:sz w:val="24"/>
          <w:highlight w:val="none"/>
        </w:rPr>
        <w:t xml:space="preserve">      </w:t>
      </w:r>
      <w:r>
        <w:rPr>
          <w:rFonts w:hint="eastAsia" w:ascii="宋体" w:hAnsi="宋体"/>
          <w:kern w:val="0"/>
          <w:sz w:val="24"/>
          <w:highlight w:val="none"/>
        </w:rPr>
        <w:t>部门：</w:t>
      </w:r>
      <w:r>
        <w:rPr>
          <w:rFonts w:ascii="宋体" w:hAnsi="宋体"/>
          <w:kern w:val="0"/>
          <w:sz w:val="24"/>
          <w:highlight w:val="none"/>
        </w:rPr>
        <w:t xml:space="preserve">     </w:t>
      </w:r>
      <w:r>
        <w:rPr>
          <w:rFonts w:hint="eastAsia" w:ascii="宋体" w:hAnsi="宋体"/>
          <w:kern w:val="0"/>
          <w:sz w:val="24"/>
          <w:highlight w:val="none"/>
        </w:rPr>
        <w:t>职务：</w:t>
      </w:r>
    </w:p>
    <w:p>
      <w:pPr>
        <w:autoSpaceDE w:val="0"/>
        <w:autoSpaceDN w:val="0"/>
        <w:adjustRightInd w:val="0"/>
        <w:spacing w:line="480" w:lineRule="auto"/>
        <w:ind w:firstLine="614" w:firstLineChars="256"/>
        <w:rPr>
          <w:rFonts w:ascii="宋体"/>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比选申请人：（加盖单位公章）</w:t>
      </w:r>
    </w:p>
    <w:p>
      <w:pPr>
        <w:autoSpaceDE w:val="0"/>
        <w:autoSpaceDN w:val="0"/>
        <w:adjustRightInd w:val="0"/>
        <w:spacing w:line="480" w:lineRule="auto"/>
        <w:ind w:firstLine="614" w:firstLineChars="256"/>
        <w:rPr>
          <w:rFonts w:ascii="宋体"/>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法定代表人（负责人）：（签字）</w:t>
      </w:r>
    </w:p>
    <w:p>
      <w:pPr>
        <w:autoSpaceDE w:val="0"/>
        <w:autoSpaceDN w:val="0"/>
        <w:adjustRightInd w:val="0"/>
        <w:spacing w:line="480" w:lineRule="auto"/>
        <w:ind w:firstLine="614" w:firstLineChars="256"/>
        <w:rPr>
          <w:rFonts w:ascii="宋体"/>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日期：</w:t>
      </w:r>
      <w:r>
        <w:rPr>
          <w:rFonts w:ascii="宋体" w:hAnsi="宋体"/>
          <w:kern w:val="0"/>
          <w:sz w:val="24"/>
          <w:highlight w:val="none"/>
        </w:rPr>
        <w:t xml:space="preserve">   </w:t>
      </w:r>
      <w:r>
        <w:rPr>
          <w:rFonts w:hint="eastAsia" w:ascii="宋体" w:hAnsi="宋体"/>
          <w:kern w:val="0"/>
          <w:sz w:val="24"/>
          <w:highlight w:val="none"/>
        </w:rPr>
        <w:t>年</w:t>
      </w:r>
      <w:r>
        <w:rPr>
          <w:rFonts w:ascii="宋体" w:hAnsi="宋体"/>
          <w:kern w:val="0"/>
          <w:sz w:val="24"/>
          <w:highlight w:val="none"/>
        </w:rPr>
        <w:t xml:space="preserve">   </w:t>
      </w:r>
      <w:r>
        <w:rPr>
          <w:rFonts w:hint="eastAsia" w:ascii="宋体" w:hAnsi="宋体"/>
          <w:kern w:val="0"/>
          <w:sz w:val="24"/>
          <w:highlight w:val="none"/>
        </w:rPr>
        <w:t>月</w:t>
      </w:r>
      <w:r>
        <w:rPr>
          <w:rFonts w:ascii="宋体" w:hAnsi="宋体"/>
          <w:kern w:val="0"/>
          <w:sz w:val="24"/>
          <w:highlight w:val="none"/>
        </w:rPr>
        <w:t xml:space="preserve">   </w:t>
      </w:r>
      <w:r>
        <w:rPr>
          <w:rFonts w:hint="eastAsia" w:ascii="宋体" w:hAnsi="宋体"/>
          <w:kern w:val="0"/>
          <w:sz w:val="24"/>
          <w:highlight w:val="none"/>
        </w:rPr>
        <w:t>日</w:t>
      </w:r>
    </w:p>
    <w:p>
      <w:pPr>
        <w:autoSpaceDE w:val="0"/>
        <w:autoSpaceDN w:val="0"/>
        <w:adjustRightInd w:val="0"/>
        <w:spacing w:line="600" w:lineRule="exact"/>
        <w:jc w:val="center"/>
        <w:rPr>
          <w:rStyle w:val="32"/>
          <w:szCs w:val="28"/>
          <w:highlight w:val="none"/>
        </w:rPr>
      </w:pPr>
      <w:r>
        <w:rPr>
          <w:rFonts w:ascii="宋体"/>
          <w:kern w:val="0"/>
          <w:sz w:val="24"/>
          <w:highlight w:val="none"/>
        </w:rPr>
        <w:br w:type="page"/>
      </w:r>
      <w:bookmarkStart w:id="380" w:name="_Toc11434"/>
      <w:bookmarkStart w:id="381" w:name="_Toc2475"/>
      <w:bookmarkStart w:id="382" w:name="_Toc1509"/>
      <w:bookmarkStart w:id="383" w:name="_Toc18479"/>
      <w:bookmarkStart w:id="384" w:name="_Toc29504"/>
      <w:bookmarkStart w:id="385" w:name="_Toc30136"/>
      <w:bookmarkStart w:id="386" w:name="_Toc880"/>
      <w:bookmarkStart w:id="387" w:name="_Toc26749"/>
      <w:r>
        <w:rPr>
          <w:rFonts w:ascii="宋体" w:hAnsi="宋体"/>
          <w:b/>
          <w:kern w:val="0"/>
          <w:sz w:val="28"/>
          <w:szCs w:val="28"/>
          <w:highlight w:val="none"/>
        </w:rPr>
        <w:t>5.</w:t>
      </w:r>
      <w:r>
        <w:rPr>
          <w:rFonts w:hint="eastAsia" w:ascii="宋体" w:hAnsi="宋体"/>
          <w:b/>
          <w:kern w:val="0"/>
          <w:sz w:val="28"/>
          <w:szCs w:val="28"/>
          <w:highlight w:val="none"/>
        </w:rPr>
        <w:t>授权代理人身份证明文件（提供复印件加盖单位公章）</w:t>
      </w:r>
    </w:p>
    <w:bookmarkEnd w:id="380"/>
    <w:bookmarkEnd w:id="381"/>
    <w:bookmarkEnd w:id="382"/>
    <w:bookmarkEnd w:id="383"/>
    <w:bookmarkEnd w:id="384"/>
    <w:bookmarkEnd w:id="385"/>
    <w:bookmarkEnd w:id="386"/>
    <w:bookmarkEnd w:id="387"/>
    <w:p>
      <w:pPr>
        <w:spacing w:line="600" w:lineRule="exact"/>
        <w:jc w:val="center"/>
        <w:rPr>
          <w:rFonts w:ascii="宋体" w:cs="宋体"/>
          <w:sz w:val="28"/>
          <w:szCs w:val="28"/>
          <w:highlight w:val="none"/>
        </w:rPr>
      </w:pPr>
    </w:p>
    <w:p>
      <w:pPr>
        <w:spacing w:line="600" w:lineRule="exact"/>
        <w:jc w:val="center"/>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numPr>
          <w:ilvl w:val="0"/>
          <w:numId w:val="0"/>
        </w:numPr>
        <w:autoSpaceDE w:val="0"/>
        <w:autoSpaceDN w:val="0"/>
        <w:adjustRightInd w:val="0"/>
        <w:spacing w:line="480" w:lineRule="auto"/>
        <w:jc w:val="center"/>
        <w:rPr>
          <w:rFonts w:ascii="宋体"/>
          <w:b/>
          <w:kern w:val="0"/>
          <w:sz w:val="28"/>
          <w:szCs w:val="28"/>
          <w:highlight w:val="none"/>
        </w:rPr>
      </w:pPr>
      <w:r>
        <w:rPr>
          <w:rFonts w:hint="eastAsia" w:ascii="宋体" w:hAnsi="宋体"/>
          <w:b/>
          <w:kern w:val="0"/>
          <w:sz w:val="28"/>
          <w:szCs w:val="28"/>
          <w:highlight w:val="none"/>
          <w:lang w:val="en-US" w:eastAsia="zh-CN"/>
        </w:rPr>
        <w:t>6</w:t>
      </w:r>
      <w:r>
        <w:rPr>
          <w:rFonts w:ascii="宋体" w:hAnsi="宋体"/>
          <w:b/>
          <w:kern w:val="0"/>
          <w:sz w:val="28"/>
          <w:szCs w:val="28"/>
          <w:highlight w:val="none"/>
        </w:rPr>
        <w:t>.</w:t>
      </w:r>
      <w:r>
        <w:rPr>
          <w:rFonts w:hint="eastAsia" w:ascii="宋体" w:hAnsi="宋体"/>
          <w:b/>
          <w:kern w:val="0"/>
          <w:sz w:val="28"/>
          <w:szCs w:val="28"/>
          <w:highlight w:val="none"/>
        </w:rPr>
        <w:t>会计师事务所执业证书复印件（加盖单位公章）</w:t>
      </w: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numPr>
          <w:ilvl w:val="0"/>
          <w:numId w:val="0"/>
        </w:numPr>
        <w:tabs>
          <w:tab w:val="left" w:pos="826"/>
        </w:tabs>
        <w:spacing w:line="560" w:lineRule="exact"/>
        <w:ind w:left="426" w:leftChars="0"/>
        <w:rPr>
          <w:rFonts w:hint="default" w:ascii="宋体" w:hAnsi="宋体"/>
          <w:b/>
          <w:kern w:val="0"/>
          <w:sz w:val="28"/>
          <w:szCs w:val="28"/>
          <w:highlight w:val="none"/>
          <w:lang w:val="en-US" w:eastAsia="zh-CN"/>
        </w:rPr>
      </w:pPr>
      <w:r>
        <w:rPr>
          <w:rFonts w:hint="eastAsia" w:ascii="宋体" w:hAnsi="宋体"/>
          <w:b/>
          <w:kern w:val="0"/>
          <w:sz w:val="28"/>
          <w:szCs w:val="28"/>
          <w:highlight w:val="none"/>
          <w:lang w:val="en-US" w:eastAsia="zh-CN"/>
        </w:rPr>
        <w:t>7</w:t>
      </w:r>
      <w:r>
        <w:rPr>
          <w:rFonts w:ascii="宋体" w:hAnsi="宋体"/>
          <w:b/>
          <w:kern w:val="0"/>
          <w:sz w:val="28"/>
          <w:szCs w:val="28"/>
          <w:highlight w:val="none"/>
        </w:rPr>
        <w:t>.</w:t>
      </w:r>
      <w:r>
        <w:rPr>
          <w:rFonts w:hint="eastAsia" w:ascii="宋体" w:hAnsi="宋体"/>
          <w:b/>
          <w:kern w:val="0"/>
          <w:sz w:val="28"/>
          <w:szCs w:val="28"/>
          <w:highlight w:val="none"/>
          <w:lang w:val="en-US" w:eastAsia="zh-CN"/>
        </w:rPr>
        <w:t>项目负责人具有3年以上工程管理相关方面的审计经验，其他人员中至少有1名具有2年以上工程管理相关方面的审计经验（审计报告名称内容及签字页复印件加盖单位公章）</w:t>
      </w:r>
    </w:p>
    <w:p>
      <w:pPr>
        <w:autoSpaceDE w:val="0"/>
        <w:autoSpaceDN w:val="0"/>
        <w:adjustRightInd w:val="0"/>
        <w:spacing w:line="600" w:lineRule="exact"/>
        <w:ind w:firstLine="1265" w:firstLineChars="450"/>
        <w:jc w:val="left"/>
        <w:rPr>
          <w:rFonts w:ascii="宋体"/>
          <w:b/>
          <w:kern w:val="0"/>
          <w:sz w:val="28"/>
          <w:szCs w:val="28"/>
          <w:highlight w:val="none"/>
        </w:rPr>
      </w:pPr>
    </w:p>
    <w:p>
      <w:pPr>
        <w:widowControl/>
        <w:jc w:val="left"/>
        <w:rPr>
          <w:rFonts w:ascii="宋体"/>
          <w:i/>
          <w:kern w:val="0"/>
          <w:sz w:val="28"/>
          <w:szCs w:val="28"/>
          <w:highlight w:val="none"/>
        </w:rPr>
      </w:pPr>
    </w:p>
    <w:p>
      <w:pPr>
        <w:widowControl/>
        <w:jc w:val="left"/>
        <w:rPr>
          <w:rFonts w:ascii="宋体"/>
          <w:i/>
          <w:kern w:val="0"/>
          <w:sz w:val="28"/>
          <w:szCs w:val="28"/>
          <w:highlight w:val="none"/>
        </w:rPr>
      </w:pPr>
    </w:p>
    <w:p>
      <w:pPr>
        <w:widowControl/>
        <w:jc w:val="left"/>
        <w:rPr>
          <w:rFonts w:ascii="宋体"/>
          <w:i/>
          <w:kern w:val="0"/>
          <w:sz w:val="28"/>
          <w:szCs w:val="28"/>
          <w:highlight w:val="none"/>
        </w:rPr>
      </w:pPr>
    </w:p>
    <w:p>
      <w:pPr>
        <w:widowControl/>
        <w:jc w:val="left"/>
        <w:rPr>
          <w:rFonts w:ascii="宋体"/>
          <w:i/>
          <w:kern w:val="0"/>
          <w:sz w:val="28"/>
          <w:szCs w:val="28"/>
          <w:highlight w:val="none"/>
        </w:rPr>
      </w:pPr>
    </w:p>
    <w:p>
      <w:pPr>
        <w:widowControl/>
        <w:jc w:val="left"/>
        <w:rPr>
          <w:rFonts w:ascii="宋体"/>
          <w:i/>
          <w:kern w:val="0"/>
          <w:sz w:val="28"/>
          <w:szCs w:val="28"/>
          <w:highlight w:val="none"/>
        </w:rPr>
      </w:pPr>
    </w:p>
    <w:p>
      <w:pPr>
        <w:widowControl/>
        <w:jc w:val="left"/>
        <w:rPr>
          <w:rFonts w:ascii="宋体"/>
          <w:i/>
          <w:kern w:val="0"/>
          <w:sz w:val="28"/>
          <w:szCs w:val="28"/>
          <w:highlight w:val="none"/>
        </w:rPr>
      </w:pPr>
    </w:p>
    <w:p>
      <w:pPr>
        <w:widowControl/>
        <w:jc w:val="left"/>
        <w:rPr>
          <w:rFonts w:ascii="宋体"/>
          <w:i/>
          <w:kern w:val="0"/>
          <w:sz w:val="28"/>
          <w:szCs w:val="28"/>
          <w:highlight w:val="none"/>
        </w:rPr>
      </w:pPr>
    </w:p>
    <w:p>
      <w:pPr>
        <w:widowControl/>
        <w:jc w:val="left"/>
        <w:rPr>
          <w:rFonts w:ascii="宋体"/>
          <w:i/>
          <w:kern w:val="0"/>
          <w:sz w:val="28"/>
          <w:szCs w:val="28"/>
          <w:highlight w:val="none"/>
        </w:rPr>
      </w:pPr>
    </w:p>
    <w:p>
      <w:pPr>
        <w:widowControl/>
        <w:jc w:val="left"/>
        <w:rPr>
          <w:rFonts w:ascii="宋体"/>
          <w:i/>
          <w:kern w:val="0"/>
          <w:sz w:val="28"/>
          <w:szCs w:val="28"/>
          <w:highlight w:val="none"/>
        </w:rPr>
      </w:pPr>
    </w:p>
    <w:p>
      <w:pPr>
        <w:widowControl/>
        <w:jc w:val="left"/>
        <w:rPr>
          <w:rFonts w:ascii="宋体"/>
          <w:i/>
          <w:kern w:val="0"/>
          <w:sz w:val="28"/>
          <w:szCs w:val="28"/>
          <w:highlight w:val="none"/>
        </w:rPr>
      </w:pPr>
    </w:p>
    <w:p>
      <w:pPr>
        <w:widowControl/>
        <w:jc w:val="left"/>
        <w:rPr>
          <w:rFonts w:ascii="宋体"/>
          <w:i/>
          <w:kern w:val="0"/>
          <w:sz w:val="28"/>
          <w:szCs w:val="28"/>
          <w:highlight w:val="none"/>
        </w:rPr>
      </w:pPr>
    </w:p>
    <w:p>
      <w:pPr>
        <w:widowControl/>
        <w:jc w:val="left"/>
        <w:rPr>
          <w:rFonts w:ascii="宋体"/>
          <w:i/>
          <w:kern w:val="0"/>
          <w:sz w:val="28"/>
          <w:szCs w:val="28"/>
          <w:highlight w:val="none"/>
        </w:rPr>
      </w:pPr>
    </w:p>
    <w:p>
      <w:pPr>
        <w:widowControl/>
        <w:jc w:val="left"/>
        <w:rPr>
          <w:rFonts w:ascii="宋体"/>
          <w:i/>
          <w:kern w:val="0"/>
          <w:sz w:val="28"/>
          <w:szCs w:val="28"/>
          <w:highlight w:val="none"/>
        </w:rPr>
      </w:pPr>
    </w:p>
    <w:p>
      <w:pPr>
        <w:widowControl/>
        <w:jc w:val="left"/>
        <w:rPr>
          <w:rFonts w:ascii="宋体"/>
          <w:i/>
          <w:kern w:val="0"/>
          <w:sz w:val="28"/>
          <w:szCs w:val="28"/>
          <w:highlight w:val="none"/>
        </w:rPr>
      </w:pPr>
    </w:p>
    <w:p>
      <w:pPr>
        <w:widowControl/>
        <w:jc w:val="left"/>
        <w:rPr>
          <w:rFonts w:ascii="宋体"/>
          <w:i/>
          <w:kern w:val="0"/>
          <w:sz w:val="28"/>
          <w:szCs w:val="28"/>
          <w:highlight w:val="none"/>
        </w:rPr>
      </w:pPr>
    </w:p>
    <w:p>
      <w:pPr>
        <w:widowControl/>
        <w:jc w:val="left"/>
        <w:rPr>
          <w:rFonts w:ascii="宋体"/>
          <w:i/>
          <w:kern w:val="0"/>
          <w:sz w:val="28"/>
          <w:szCs w:val="28"/>
          <w:highlight w:val="none"/>
        </w:rPr>
      </w:pPr>
    </w:p>
    <w:p>
      <w:pPr>
        <w:widowControl/>
        <w:jc w:val="left"/>
        <w:rPr>
          <w:rFonts w:ascii="宋体"/>
          <w:i/>
          <w:kern w:val="0"/>
          <w:sz w:val="28"/>
          <w:szCs w:val="28"/>
          <w:highlight w:val="none"/>
        </w:rPr>
      </w:pPr>
    </w:p>
    <w:p>
      <w:pPr>
        <w:widowControl/>
        <w:jc w:val="left"/>
        <w:rPr>
          <w:rFonts w:ascii="宋体"/>
          <w:i/>
          <w:kern w:val="0"/>
          <w:sz w:val="28"/>
          <w:szCs w:val="28"/>
          <w:highlight w:val="none"/>
        </w:rPr>
      </w:pPr>
    </w:p>
    <w:p>
      <w:pPr>
        <w:widowControl/>
        <w:jc w:val="left"/>
        <w:rPr>
          <w:rFonts w:ascii="宋体"/>
          <w:i/>
          <w:kern w:val="0"/>
          <w:sz w:val="28"/>
          <w:szCs w:val="28"/>
          <w:highlight w:val="none"/>
        </w:rPr>
      </w:pPr>
    </w:p>
    <w:p>
      <w:pPr>
        <w:numPr>
          <w:ilvl w:val="0"/>
          <w:numId w:val="0"/>
        </w:numPr>
        <w:tabs>
          <w:tab w:val="left" w:pos="826"/>
        </w:tabs>
        <w:spacing w:line="560" w:lineRule="exact"/>
        <w:ind w:left="426" w:leftChars="0"/>
        <w:rPr>
          <w:rFonts w:hint="default" w:ascii="宋体" w:hAnsi="宋体" w:eastAsia="宋体"/>
          <w:kern w:val="0"/>
          <w:sz w:val="24"/>
          <w:highlight w:val="none"/>
          <w:lang w:val="en-US" w:eastAsia="zh-CN"/>
        </w:rPr>
      </w:pPr>
      <w:r>
        <w:rPr>
          <w:rFonts w:hint="eastAsia" w:ascii="宋体" w:hAnsi="宋体"/>
          <w:b/>
          <w:kern w:val="0"/>
          <w:sz w:val="28"/>
          <w:szCs w:val="28"/>
          <w:highlight w:val="none"/>
          <w:lang w:val="en-US" w:eastAsia="zh-CN"/>
        </w:rPr>
        <w:t>8</w:t>
      </w:r>
      <w:r>
        <w:rPr>
          <w:rFonts w:ascii="宋体" w:hAnsi="宋体"/>
          <w:b/>
          <w:kern w:val="0"/>
          <w:sz w:val="28"/>
          <w:szCs w:val="28"/>
          <w:highlight w:val="none"/>
        </w:rPr>
        <w:t>.</w:t>
      </w:r>
      <w:r>
        <w:rPr>
          <w:rFonts w:hint="eastAsia" w:ascii="宋体" w:hAnsi="宋体"/>
          <w:b/>
          <w:kern w:val="0"/>
          <w:sz w:val="28"/>
          <w:szCs w:val="28"/>
          <w:highlight w:val="none"/>
          <w:lang w:val="en-US" w:eastAsia="zh-CN"/>
        </w:rPr>
        <w:t>其他......</w:t>
      </w:r>
    </w:p>
    <w:p>
      <w:pPr>
        <w:widowControl/>
        <w:jc w:val="left"/>
        <w:rPr>
          <w:rFonts w:ascii="宋体"/>
          <w:i/>
          <w:kern w:val="0"/>
          <w:sz w:val="28"/>
          <w:szCs w:val="28"/>
          <w:highlight w:val="none"/>
        </w:rPr>
      </w:pPr>
    </w:p>
    <w:p>
      <w:pPr>
        <w:widowControl/>
        <w:jc w:val="left"/>
        <w:rPr>
          <w:rFonts w:ascii="宋体"/>
          <w:i/>
          <w:kern w:val="0"/>
          <w:sz w:val="28"/>
          <w:szCs w:val="28"/>
          <w:highlight w:val="none"/>
        </w:rPr>
      </w:pPr>
      <w:r>
        <w:rPr>
          <w:rFonts w:ascii="宋体"/>
          <w:i/>
          <w:kern w:val="0"/>
          <w:sz w:val="28"/>
          <w:szCs w:val="28"/>
          <w:highlight w:val="none"/>
        </w:rPr>
        <w:br w:type="page"/>
      </w:r>
    </w:p>
    <w:p>
      <w:pPr>
        <w:ind w:right="753"/>
        <w:jc w:val="center"/>
        <w:rPr>
          <w:rFonts w:ascii="宋体" w:cs="宋体"/>
          <w:sz w:val="28"/>
          <w:szCs w:val="28"/>
          <w:highlight w:val="none"/>
        </w:rPr>
      </w:pPr>
      <w:r>
        <w:rPr>
          <w:rFonts w:hint="eastAsia" w:ascii="宋体" w:hAnsi="宋体" w:cs="宋体"/>
          <w:sz w:val="28"/>
          <w:szCs w:val="28"/>
          <w:highlight w:val="none"/>
        </w:rPr>
        <w:t>（封面格式）</w:t>
      </w: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jc w:val="center"/>
        <w:rPr>
          <w:rFonts w:ascii="宋体" w:cs="宋体"/>
          <w:szCs w:val="28"/>
          <w:highlight w:val="none"/>
        </w:rPr>
      </w:pPr>
    </w:p>
    <w:p>
      <w:pPr>
        <w:jc w:val="center"/>
        <w:rPr>
          <w:rFonts w:ascii="宋体" w:cs="宋体"/>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项目比选申请文件</w:t>
      </w:r>
    </w:p>
    <w:p>
      <w:pPr>
        <w:pStyle w:val="24"/>
        <w:jc w:val="center"/>
        <w:rPr>
          <w:b w:val="0"/>
          <w:bCs w:val="0"/>
          <w:sz w:val="28"/>
          <w:szCs w:val="28"/>
          <w:highlight w:val="none"/>
        </w:rPr>
      </w:pPr>
      <w:bookmarkStart w:id="388" w:name="_Toc23149"/>
      <w:bookmarkStart w:id="389" w:name="_Toc124"/>
      <w:bookmarkStart w:id="390" w:name="_Toc18631"/>
      <w:bookmarkStart w:id="391" w:name="_Toc10507"/>
      <w:bookmarkStart w:id="392" w:name="_Toc144"/>
      <w:bookmarkStart w:id="393" w:name="_Toc4828"/>
      <w:bookmarkStart w:id="394" w:name="_Toc461525334"/>
      <w:bookmarkStart w:id="395" w:name="_Toc25575"/>
      <w:bookmarkStart w:id="396" w:name="_Toc31069"/>
      <w:bookmarkStart w:id="397" w:name="_Toc16451"/>
      <w:r>
        <w:rPr>
          <w:rFonts w:hint="eastAsia"/>
          <w:b w:val="0"/>
          <w:bCs w:val="0"/>
          <w:sz w:val="28"/>
          <w:szCs w:val="28"/>
          <w:highlight w:val="none"/>
        </w:rPr>
        <w:t>技术部分</w:t>
      </w:r>
      <w:bookmarkEnd w:id="388"/>
      <w:bookmarkEnd w:id="389"/>
      <w:bookmarkEnd w:id="390"/>
      <w:bookmarkEnd w:id="391"/>
      <w:bookmarkEnd w:id="392"/>
      <w:bookmarkEnd w:id="393"/>
      <w:bookmarkEnd w:id="394"/>
      <w:bookmarkEnd w:id="395"/>
      <w:bookmarkEnd w:id="396"/>
      <w:bookmarkEnd w:id="397"/>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 w:val="28"/>
          <w:szCs w:val="28"/>
          <w:highlight w:val="none"/>
        </w:rPr>
      </w:pPr>
      <w:r>
        <w:rPr>
          <w:rFonts w:hint="eastAsia" w:ascii="宋体" w:hAnsi="宋体" w:cs="宋体"/>
          <w:sz w:val="28"/>
          <w:szCs w:val="28"/>
          <w:highlight w:val="none"/>
        </w:rPr>
        <w:t>比选申请人：（盖单位公章）</w:t>
      </w:r>
    </w:p>
    <w:p>
      <w:pPr>
        <w:ind w:right="753"/>
        <w:jc w:val="left"/>
        <w:rPr>
          <w:rFonts w:ascii="宋体" w:cs="宋体"/>
          <w:sz w:val="28"/>
          <w:szCs w:val="28"/>
          <w:highlight w:val="none"/>
        </w:rPr>
      </w:pPr>
      <w:r>
        <w:rPr>
          <w:rFonts w:hint="eastAsia" w:ascii="宋体" w:hAnsi="宋体" w:cs="宋体"/>
          <w:sz w:val="28"/>
          <w:szCs w:val="28"/>
          <w:highlight w:val="none"/>
        </w:rPr>
        <w:t>法定代表人（负责人）或委托代理人：（签字）</w:t>
      </w:r>
    </w:p>
    <w:p>
      <w:pPr>
        <w:ind w:right="753"/>
        <w:jc w:val="left"/>
        <w:rPr>
          <w:rFonts w:ascii="宋体" w:cs="宋体"/>
          <w:sz w:val="28"/>
          <w:szCs w:val="28"/>
          <w:highlight w:val="none"/>
        </w:rPr>
      </w:pPr>
    </w:p>
    <w:p>
      <w:pPr>
        <w:ind w:right="753"/>
        <w:jc w:val="left"/>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年</w:t>
      </w:r>
      <w:r>
        <w:rPr>
          <w:rFonts w:ascii="宋体" w:hAnsi="宋体" w:cs="宋体"/>
          <w:sz w:val="28"/>
          <w:szCs w:val="28"/>
          <w:highlight w:val="none"/>
        </w:rPr>
        <w:t xml:space="preserve">    </w:t>
      </w:r>
      <w:r>
        <w:rPr>
          <w:rFonts w:hint="eastAsia" w:ascii="宋体" w:hAnsi="宋体" w:cs="宋体"/>
          <w:sz w:val="28"/>
          <w:szCs w:val="28"/>
          <w:highlight w:val="none"/>
        </w:rPr>
        <w:t>月</w:t>
      </w:r>
      <w:r>
        <w:rPr>
          <w:rFonts w:ascii="宋体" w:hAnsi="宋体" w:cs="宋体"/>
          <w:sz w:val="28"/>
          <w:szCs w:val="28"/>
          <w:highlight w:val="none"/>
        </w:rPr>
        <w:t xml:space="preserve">    </w:t>
      </w:r>
      <w:r>
        <w:rPr>
          <w:rFonts w:hint="eastAsia" w:ascii="宋体" w:hAnsi="宋体" w:cs="宋体"/>
          <w:sz w:val="28"/>
          <w:szCs w:val="28"/>
          <w:highlight w:val="none"/>
        </w:rPr>
        <w:t>日</w:t>
      </w:r>
    </w:p>
    <w:p>
      <w:pPr>
        <w:ind w:right="753"/>
        <w:jc w:val="left"/>
        <w:rPr>
          <w:rFonts w:ascii="宋体" w:cs="宋体"/>
          <w:sz w:val="28"/>
          <w:szCs w:val="28"/>
          <w:highlight w:val="none"/>
        </w:rPr>
      </w:pPr>
    </w:p>
    <w:p>
      <w:pPr>
        <w:pStyle w:val="4"/>
        <w:rPr>
          <w:rFonts w:ascii="宋体" w:cs="宋体"/>
          <w:kern w:val="2"/>
          <w:szCs w:val="28"/>
          <w:highlight w:val="none"/>
        </w:rPr>
      </w:pPr>
      <w:bookmarkStart w:id="398" w:name="_Toc26769"/>
      <w:bookmarkStart w:id="399" w:name="_Toc29536"/>
      <w:bookmarkStart w:id="400" w:name="_Toc471482371"/>
      <w:bookmarkStart w:id="401" w:name="_Toc31582"/>
      <w:bookmarkStart w:id="402" w:name="_Toc1986"/>
      <w:bookmarkStart w:id="403" w:name="_Toc23508"/>
      <w:bookmarkStart w:id="404" w:name="_Toc21144"/>
      <w:bookmarkStart w:id="405" w:name="_Toc31521"/>
      <w:bookmarkStart w:id="406" w:name="_Toc32510"/>
      <w:bookmarkStart w:id="407" w:name="_Toc9379"/>
    </w:p>
    <w:p>
      <w:pPr>
        <w:rPr>
          <w:highlight w:val="none"/>
        </w:rPr>
      </w:pPr>
    </w:p>
    <w:p>
      <w:pPr>
        <w:pStyle w:val="4"/>
        <w:jc w:val="center"/>
        <w:rPr>
          <w:b/>
          <w:highlight w:val="none"/>
        </w:rPr>
      </w:pPr>
      <w:bookmarkStart w:id="408" w:name="_Toc11499"/>
      <w:bookmarkStart w:id="409" w:name="_Toc30597"/>
      <w:bookmarkStart w:id="410" w:name="_Toc32476"/>
      <w:bookmarkStart w:id="411" w:name="_Toc12404"/>
      <w:bookmarkStart w:id="412" w:name="_Toc31102"/>
      <w:bookmarkStart w:id="413" w:name="_Toc29703"/>
      <w:bookmarkStart w:id="414" w:name="_Toc22366"/>
      <w:bookmarkStart w:id="415" w:name="_Toc3401"/>
      <w:r>
        <w:rPr>
          <w:rFonts w:hint="eastAsia"/>
          <w:b/>
          <w:highlight w:val="none"/>
        </w:rPr>
        <w:t>二、技术部分材料目录</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spacing w:line="540" w:lineRule="exact"/>
        <w:rPr>
          <w:rFonts w:hint="eastAsia" w:ascii="宋体" w:hAns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业绩表；</w:t>
      </w:r>
    </w:p>
    <w:p>
      <w:pPr>
        <w:pStyle w:val="5"/>
        <w:spacing w:before="0" w:afterLines="50" w:line="600" w:lineRule="exact"/>
        <w:jc w:val="both"/>
        <w:rPr>
          <w:rFonts w:ascii="宋体" w:hAnsi="宋体" w:eastAsia="宋体" w:cs="宋体"/>
          <w:kern w:val="2"/>
          <w:sz w:val="28"/>
          <w:szCs w:val="28"/>
          <w:highlight w:val="none"/>
          <w:lang w:val="en-US" w:eastAsia="zh-CN" w:bidi="ar-SA"/>
        </w:rPr>
      </w:pPr>
      <w:r>
        <w:rPr>
          <w:rFonts w:ascii="宋体" w:hAnsi="宋体" w:eastAsia="宋体" w:cs="宋体"/>
          <w:kern w:val="2"/>
          <w:sz w:val="28"/>
          <w:szCs w:val="28"/>
          <w:highlight w:val="none"/>
          <w:lang w:val="en-US" w:eastAsia="zh-CN" w:bidi="ar-SA"/>
        </w:rPr>
        <w:t>2.</w:t>
      </w:r>
      <w:r>
        <w:rPr>
          <w:rFonts w:hint="eastAsia" w:ascii="宋体" w:hAnsi="宋体" w:eastAsia="宋体" w:cs="宋体"/>
          <w:kern w:val="2"/>
          <w:sz w:val="28"/>
          <w:szCs w:val="28"/>
          <w:highlight w:val="none"/>
          <w:lang w:val="en-US" w:eastAsia="zh-CN" w:bidi="ar-SA"/>
        </w:rPr>
        <w:t>拟投入人员配置明细表</w:t>
      </w:r>
    </w:p>
    <w:p>
      <w:pPr>
        <w:spacing w:line="540" w:lineRule="exact"/>
        <w:rPr>
          <w:rFonts w:hint="eastAsia" w:ascii="宋体" w:hAnsi="宋体" w:cs="宋体"/>
          <w:sz w:val="28"/>
          <w:szCs w:val="28"/>
          <w:highlight w:val="none"/>
        </w:rPr>
      </w:pPr>
      <w:r>
        <w:rPr>
          <w:rFonts w:hint="eastAsia" w:ascii="宋体" w:hAnsi="宋体" w:cs="宋体"/>
          <w:sz w:val="28"/>
          <w:szCs w:val="28"/>
          <w:highlight w:val="none"/>
          <w:lang w:val="en-US" w:eastAsia="zh-CN"/>
        </w:rPr>
        <w:t>3</w:t>
      </w:r>
      <w:r>
        <w:rPr>
          <w:rFonts w:ascii="宋体" w:hAnsi="宋体" w:cs="宋体"/>
          <w:sz w:val="28"/>
          <w:szCs w:val="28"/>
          <w:highlight w:val="none"/>
        </w:rPr>
        <w:t>.</w:t>
      </w:r>
      <w:r>
        <w:rPr>
          <w:rFonts w:hint="eastAsia" w:ascii="宋体" w:hAnsi="宋体" w:cs="宋体"/>
          <w:sz w:val="28"/>
          <w:szCs w:val="28"/>
          <w:highlight w:val="none"/>
        </w:rPr>
        <w:t>拟投入人员的相关工作业绩、资历及能力（由比选申请人自行编写）；</w:t>
      </w:r>
    </w:p>
    <w:p>
      <w:pPr>
        <w:spacing w:line="540" w:lineRule="exact"/>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4.拟投入人员中正式员工劳动合同或近3个月社保缴付证明（复印件加盖单位公章）；</w:t>
      </w:r>
    </w:p>
    <w:p>
      <w:pPr>
        <w:pStyle w:val="2"/>
        <w:rPr>
          <w:rFonts w:ascii="宋体" w:cs="宋体"/>
          <w:sz w:val="28"/>
          <w:szCs w:val="28"/>
          <w:highlight w:val="none"/>
        </w:rPr>
      </w:pPr>
      <w:r>
        <w:rPr>
          <w:rFonts w:hint="eastAsia" w:ascii="宋体" w:hAnsi="宋体" w:cs="宋体"/>
          <w:sz w:val="28"/>
          <w:szCs w:val="28"/>
          <w:highlight w:val="none"/>
          <w:lang w:val="en-US" w:eastAsia="zh-CN"/>
        </w:rPr>
        <w:t>5</w:t>
      </w:r>
      <w:r>
        <w:rPr>
          <w:rFonts w:ascii="宋体" w:hAnsi="宋体" w:cs="宋体"/>
          <w:sz w:val="28"/>
          <w:szCs w:val="28"/>
          <w:highlight w:val="none"/>
        </w:rPr>
        <w:t>.</w:t>
      </w:r>
      <w:r>
        <w:rPr>
          <w:rFonts w:hint="eastAsia" w:ascii="宋体" w:hAnsi="宋体" w:cs="宋体"/>
          <w:sz w:val="28"/>
          <w:szCs w:val="28"/>
          <w:highlight w:val="none"/>
        </w:rPr>
        <w:t>服务方案（由比选申请人自行编写）。</w:t>
      </w:r>
    </w:p>
    <w:p>
      <w:pPr>
        <w:ind w:right="753"/>
        <w:jc w:val="left"/>
        <w:rPr>
          <w:rFonts w:ascii="宋体" w:cs="宋体"/>
          <w:sz w:val="28"/>
          <w:szCs w:val="28"/>
          <w:highlight w:val="none"/>
        </w:rPr>
      </w:pPr>
    </w:p>
    <w:p>
      <w:pPr>
        <w:ind w:right="753"/>
        <w:jc w:val="left"/>
        <w:rPr>
          <w:rFonts w:ascii="宋体" w:cs="宋体"/>
          <w:sz w:val="28"/>
          <w:szCs w:val="28"/>
          <w:highlight w:val="none"/>
        </w:rPr>
      </w:pPr>
    </w:p>
    <w:p>
      <w:pPr>
        <w:spacing w:line="540" w:lineRule="exact"/>
        <w:rPr>
          <w:rFonts w:ascii="宋体" w:cs="宋体"/>
          <w:sz w:val="28"/>
          <w:szCs w:val="28"/>
          <w:highlight w:val="none"/>
        </w:rPr>
      </w:pPr>
      <w:r>
        <w:rPr>
          <w:rFonts w:hint="eastAsia" w:ascii="宋体" w:hAnsi="宋体" w:cs="宋体"/>
          <w:sz w:val="28"/>
          <w:szCs w:val="28"/>
          <w:highlight w:val="none"/>
        </w:rPr>
        <w:t>备注：以上材料均需加盖单位公章，并按照目录顺序编排，标注页码</w:t>
      </w: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pStyle w:val="5"/>
        <w:spacing w:before="0" w:afterLines="50" w:line="600" w:lineRule="exact"/>
        <w:jc w:val="center"/>
        <w:rPr>
          <w:rFonts w:ascii="宋体"/>
          <w:b/>
          <w:highlight w:val="none"/>
        </w:rPr>
      </w:pPr>
      <w:bookmarkStart w:id="416" w:name="_Toc32624"/>
      <w:bookmarkStart w:id="417" w:name="_Toc24439"/>
      <w:bookmarkStart w:id="418" w:name="_Toc6881"/>
      <w:bookmarkStart w:id="419" w:name="_Toc9604"/>
      <w:bookmarkStart w:id="420" w:name="_Toc10356"/>
      <w:bookmarkStart w:id="421" w:name="_Toc19216"/>
      <w:bookmarkStart w:id="422" w:name="_Toc7527"/>
      <w:bookmarkStart w:id="423" w:name="_Toc25382"/>
      <w:bookmarkStart w:id="424" w:name="_Toc6862"/>
      <w:bookmarkStart w:id="425" w:name="_Toc461525332"/>
      <w:bookmarkStart w:id="426" w:name="_Toc30501"/>
      <w:bookmarkStart w:id="427" w:name="_Toc19445"/>
      <w:bookmarkStart w:id="428" w:name="_Toc31867"/>
      <w:r>
        <w:rPr>
          <w:rFonts w:ascii="宋体" w:hAnsi="宋体"/>
          <w:b/>
          <w:highlight w:val="none"/>
        </w:rPr>
        <w:t>1.</w:t>
      </w:r>
      <w:r>
        <w:rPr>
          <w:rFonts w:hint="eastAsia" w:ascii="宋体" w:hAnsi="宋体"/>
          <w:b/>
          <w:highlight w:val="none"/>
        </w:rPr>
        <w:t>业绩表</w:t>
      </w:r>
      <w:bookmarkEnd w:id="416"/>
      <w:bookmarkEnd w:id="417"/>
      <w:bookmarkEnd w:id="418"/>
      <w:bookmarkEnd w:id="419"/>
      <w:bookmarkEnd w:id="420"/>
      <w:bookmarkEnd w:id="421"/>
      <w:bookmarkEnd w:id="422"/>
      <w:bookmarkEnd w:id="423"/>
    </w:p>
    <w:tbl>
      <w:tblPr>
        <w:tblStyle w:val="25"/>
        <w:tblW w:w="10060" w:type="dxa"/>
        <w:jc w:val="center"/>
        <w:tblLayout w:type="fixed"/>
        <w:tblCellMar>
          <w:top w:w="0" w:type="dxa"/>
          <w:left w:w="108" w:type="dxa"/>
          <w:bottom w:w="0" w:type="dxa"/>
          <w:right w:w="108" w:type="dxa"/>
        </w:tblCellMar>
      </w:tblPr>
      <w:tblGrid>
        <w:gridCol w:w="5"/>
        <w:gridCol w:w="704"/>
        <w:gridCol w:w="2834"/>
        <w:gridCol w:w="3044"/>
        <w:gridCol w:w="2125"/>
        <w:gridCol w:w="1348"/>
      </w:tblGrid>
      <w:tr>
        <w:tblPrEx>
          <w:tblCellMar>
            <w:top w:w="0" w:type="dxa"/>
            <w:left w:w="108" w:type="dxa"/>
            <w:bottom w:w="0" w:type="dxa"/>
            <w:right w:w="108" w:type="dxa"/>
          </w:tblCellMar>
        </w:tblPrEx>
        <w:trPr>
          <w:trHeight w:val="450" w:hRule="atLeast"/>
          <w:jc w:val="center"/>
        </w:trPr>
        <w:tc>
          <w:tcPr>
            <w:tcW w:w="70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rPr>
              <w:t>序号</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rPr>
              <w:t>合同对方名称</w:t>
            </w:r>
          </w:p>
        </w:tc>
        <w:tc>
          <w:tcPr>
            <w:tcW w:w="3046"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lang w:val="en-US" w:eastAsia="zh-CN"/>
              </w:rPr>
              <w:t>审计</w:t>
            </w:r>
            <w:r>
              <w:rPr>
                <w:rFonts w:hint="eastAsia" w:ascii="宋体" w:hAnsi="宋体" w:cs="宋体"/>
                <w:kern w:val="0"/>
                <w:sz w:val="24"/>
                <w:highlight w:val="none"/>
              </w:rPr>
              <w:t>内容</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rPr>
              <w:t>业绩类型</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rPr>
              <w:t>合同签订时间</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gridBefore w:val="1"/>
          <w:wBefore w:w="5" w:type="dxa"/>
          <w:trHeight w:val="450"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gridBefore w:val="1"/>
          <w:wBefore w:w="5" w:type="dxa"/>
          <w:trHeight w:val="450"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gridBefore w:val="1"/>
          <w:wBefore w:w="5" w:type="dxa"/>
          <w:trHeight w:val="450"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bl>
    <w:p>
      <w:pPr>
        <w:spacing w:line="480" w:lineRule="exact"/>
        <w:ind w:left="31680" w:hanging="480" w:hangingChars="200"/>
        <w:rPr>
          <w:rFonts w:ascii="宋体"/>
          <w:sz w:val="24"/>
          <w:highlight w:val="none"/>
        </w:rPr>
      </w:pPr>
      <w:r>
        <w:rPr>
          <w:rFonts w:hint="eastAsia" w:ascii="宋体" w:hAnsi="宋体"/>
          <w:sz w:val="24"/>
          <w:highlight w:val="none"/>
        </w:rPr>
        <w:t>注：</w:t>
      </w:r>
      <w:r>
        <w:rPr>
          <w:rFonts w:ascii="宋体" w:hAnsi="宋体"/>
          <w:sz w:val="24"/>
          <w:highlight w:val="none"/>
        </w:rPr>
        <w:t>1.</w:t>
      </w:r>
      <w:r>
        <w:rPr>
          <w:rFonts w:hint="eastAsia" w:ascii="宋体" w:hAnsi="宋体"/>
          <w:sz w:val="24"/>
          <w:highlight w:val="none"/>
        </w:rPr>
        <w:t>此表业绩是指</w:t>
      </w:r>
      <w:r>
        <w:rPr>
          <w:rFonts w:ascii="宋体" w:hAnsi="宋体"/>
          <w:sz w:val="24"/>
          <w:highlight w:val="none"/>
        </w:rPr>
        <w:t>2018</w:t>
      </w:r>
      <w:r>
        <w:rPr>
          <w:rFonts w:hint="eastAsia" w:ascii="宋体" w:hAnsi="宋体"/>
          <w:sz w:val="24"/>
          <w:highlight w:val="none"/>
        </w:rPr>
        <w:t>年</w:t>
      </w:r>
      <w:r>
        <w:rPr>
          <w:rFonts w:ascii="宋体" w:hAnsi="宋体"/>
          <w:sz w:val="24"/>
          <w:highlight w:val="none"/>
        </w:rPr>
        <w:t>1</w:t>
      </w:r>
      <w:r>
        <w:rPr>
          <w:rFonts w:hint="eastAsia" w:ascii="宋体" w:hAnsi="宋体"/>
          <w:sz w:val="24"/>
          <w:highlight w:val="none"/>
        </w:rPr>
        <w:t>月</w:t>
      </w:r>
      <w:r>
        <w:rPr>
          <w:rFonts w:ascii="宋体" w:hAnsi="宋体"/>
          <w:sz w:val="24"/>
          <w:highlight w:val="none"/>
        </w:rPr>
        <w:t>1</w:t>
      </w:r>
      <w:r>
        <w:rPr>
          <w:rFonts w:hint="eastAsia" w:ascii="宋体" w:hAnsi="宋体"/>
          <w:sz w:val="24"/>
          <w:highlight w:val="none"/>
        </w:rPr>
        <w:t>日至今，与本项目相关或相近的服务经验（参照评分细则）。</w:t>
      </w:r>
    </w:p>
    <w:p>
      <w:pPr>
        <w:spacing w:line="480" w:lineRule="exact"/>
        <w:ind w:left="479" w:leftChars="228"/>
        <w:rPr>
          <w:rFonts w:ascii="宋体"/>
          <w:sz w:val="24"/>
          <w:szCs w:val="28"/>
          <w:highlight w:val="none"/>
        </w:rPr>
      </w:pPr>
      <w:r>
        <w:rPr>
          <w:rFonts w:ascii="宋体" w:hAnsi="宋体"/>
          <w:sz w:val="24"/>
          <w:highlight w:val="none"/>
        </w:rPr>
        <w:t>2.</w:t>
      </w:r>
      <w:r>
        <w:rPr>
          <w:rFonts w:hint="eastAsia" w:ascii="宋体" w:hAnsi="宋体"/>
          <w:sz w:val="24"/>
          <w:highlight w:val="none"/>
        </w:rPr>
        <w:t>此表须附相应合同复印件（必须体现</w:t>
      </w:r>
      <w:r>
        <w:rPr>
          <w:rFonts w:hint="eastAsia" w:ascii="宋体" w:hAnsi="宋体" w:cs="宋体"/>
          <w:kern w:val="0"/>
          <w:sz w:val="24"/>
          <w:highlight w:val="none"/>
        </w:rPr>
        <w:t>合同对方名称及签订时间，涉及商业秘密的内容可以隐去</w:t>
      </w:r>
      <w:r>
        <w:rPr>
          <w:rFonts w:hint="eastAsia" w:ascii="宋体" w:hAnsi="宋体"/>
          <w:sz w:val="24"/>
          <w:highlight w:val="none"/>
        </w:rPr>
        <w:t>）</w:t>
      </w:r>
      <w:r>
        <w:rPr>
          <w:rFonts w:hint="eastAsia" w:ascii="宋体" w:hAnsi="宋体"/>
          <w:sz w:val="24"/>
          <w:szCs w:val="28"/>
          <w:highlight w:val="none"/>
        </w:rPr>
        <w:t>证明材料</w:t>
      </w:r>
      <w:r>
        <w:rPr>
          <w:rFonts w:hint="eastAsia" w:ascii="宋体" w:hAnsi="宋体"/>
          <w:sz w:val="24"/>
          <w:highlight w:val="none"/>
        </w:rPr>
        <w:t>。</w:t>
      </w:r>
      <w:r>
        <w:rPr>
          <w:rFonts w:hint="eastAsia" w:ascii="宋体" w:hAnsi="宋体"/>
          <w:sz w:val="24"/>
          <w:szCs w:val="28"/>
          <w:highlight w:val="none"/>
        </w:rPr>
        <w:t>未附证明材料的项目视为无效。</w:t>
      </w:r>
    </w:p>
    <w:p>
      <w:pPr>
        <w:spacing w:line="480" w:lineRule="exact"/>
        <w:rPr>
          <w:rFonts w:ascii="宋体" w:cs="宋体"/>
          <w:sz w:val="28"/>
          <w:szCs w:val="28"/>
          <w:highlight w:val="none"/>
        </w:rPr>
      </w:pPr>
    </w:p>
    <w:p>
      <w:pPr>
        <w:ind w:right="-21"/>
        <w:jc w:val="left"/>
        <w:rPr>
          <w:rFonts w:ascii="宋体" w:cs="宋体"/>
          <w:sz w:val="28"/>
          <w:szCs w:val="28"/>
          <w:highlight w:val="none"/>
        </w:rPr>
      </w:pPr>
    </w:p>
    <w:p>
      <w:pPr>
        <w:ind w:right="-21"/>
        <w:jc w:val="left"/>
        <w:rPr>
          <w:rFonts w:ascii="宋体" w:cs="宋体"/>
          <w:sz w:val="28"/>
          <w:szCs w:val="28"/>
          <w:highlight w:val="none"/>
        </w:rPr>
      </w:pPr>
    </w:p>
    <w:p>
      <w:pPr>
        <w:ind w:right="-21"/>
        <w:jc w:val="left"/>
        <w:rPr>
          <w:rFonts w:ascii="宋体" w:cs="宋体"/>
          <w:sz w:val="28"/>
          <w:szCs w:val="28"/>
          <w:highlight w:val="none"/>
        </w:rPr>
      </w:pPr>
    </w:p>
    <w:p>
      <w:pPr>
        <w:ind w:right="-21"/>
        <w:jc w:val="left"/>
        <w:rPr>
          <w:rFonts w:ascii="宋体" w:cs="宋体"/>
          <w:sz w:val="28"/>
          <w:szCs w:val="28"/>
          <w:highlight w:val="none"/>
        </w:rPr>
      </w:pPr>
    </w:p>
    <w:p>
      <w:pPr>
        <w:pStyle w:val="2"/>
      </w:pPr>
    </w:p>
    <w:p>
      <w:pPr>
        <w:pStyle w:val="5"/>
        <w:spacing w:before="0" w:afterLines="50" w:line="600" w:lineRule="exact"/>
        <w:jc w:val="center"/>
        <w:rPr>
          <w:rFonts w:ascii="宋体"/>
          <w:b/>
          <w:highlight w:val="none"/>
        </w:rPr>
      </w:pPr>
      <w:bookmarkStart w:id="429" w:name="_Toc5471"/>
      <w:bookmarkStart w:id="430" w:name="_Toc12801"/>
      <w:bookmarkStart w:id="431" w:name="_Toc14359"/>
      <w:bookmarkStart w:id="432" w:name="_Toc24135"/>
      <w:bookmarkStart w:id="433" w:name="_Toc27864"/>
      <w:bookmarkStart w:id="434" w:name="_Toc21426"/>
      <w:bookmarkStart w:id="435" w:name="_Toc28309"/>
      <w:bookmarkStart w:id="436" w:name="_Toc30796"/>
      <w:r>
        <w:rPr>
          <w:rFonts w:ascii="宋体" w:hAnsi="宋体"/>
          <w:b/>
          <w:highlight w:val="none"/>
        </w:rPr>
        <w:t>2.</w:t>
      </w:r>
      <w:r>
        <w:rPr>
          <w:rFonts w:hint="eastAsia" w:ascii="宋体" w:hAnsi="宋体"/>
          <w:b/>
          <w:highlight w:val="none"/>
        </w:rPr>
        <w:t>拟投入人员配置明细表</w:t>
      </w:r>
      <w:bookmarkEnd w:id="429"/>
      <w:bookmarkEnd w:id="430"/>
      <w:bookmarkEnd w:id="431"/>
      <w:bookmarkEnd w:id="432"/>
      <w:bookmarkEnd w:id="433"/>
      <w:bookmarkEnd w:id="434"/>
      <w:bookmarkEnd w:id="435"/>
      <w:bookmarkEnd w:id="436"/>
    </w:p>
    <w:tbl>
      <w:tblPr>
        <w:tblStyle w:val="25"/>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3"/>
        <w:gridCol w:w="850"/>
        <w:gridCol w:w="851"/>
        <w:gridCol w:w="992"/>
        <w:gridCol w:w="992"/>
        <w:gridCol w:w="1134"/>
        <w:gridCol w:w="70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675"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序号</w:t>
            </w:r>
          </w:p>
        </w:tc>
        <w:tc>
          <w:tcPr>
            <w:tcW w:w="993"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姓名</w:t>
            </w:r>
          </w:p>
        </w:tc>
        <w:tc>
          <w:tcPr>
            <w:tcW w:w="850"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年龄</w:t>
            </w:r>
          </w:p>
        </w:tc>
        <w:tc>
          <w:tcPr>
            <w:tcW w:w="851"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性别</w:t>
            </w:r>
          </w:p>
        </w:tc>
        <w:tc>
          <w:tcPr>
            <w:tcW w:w="992"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学历</w:t>
            </w:r>
          </w:p>
        </w:tc>
        <w:tc>
          <w:tcPr>
            <w:tcW w:w="992"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专业</w:t>
            </w:r>
          </w:p>
        </w:tc>
        <w:tc>
          <w:tcPr>
            <w:tcW w:w="1134"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资格证</w:t>
            </w:r>
          </w:p>
        </w:tc>
        <w:tc>
          <w:tcPr>
            <w:tcW w:w="709"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执业年限</w:t>
            </w:r>
          </w:p>
        </w:tc>
        <w:tc>
          <w:tcPr>
            <w:tcW w:w="2126"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工作职责分工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675"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850" w:type="dxa"/>
          </w:tcPr>
          <w:p>
            <w:pPr>
              <w:pStyle w:val="10"/>
              <w:spacing w:line="400" w:lineRule="exact"/>
              <w:ind w:left="0" w:leftChars="0"/>
              <w:rPr>
                <w:rFonts w:ascii="宋体"/>
                <w:szCs w:val="21"/>
                <w:highlight w:val="none"/>
              </w:rPr>
            </w:pPr>
          </w:p>
        </w:tc>
        <w:tc>
          <w:tcPr>
            <w:tcW w:w="851"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1134" w:type="dxa"/>
          </w:tcPr>
          <w:p>
            <w:pPr>
              <w:pStyle w:val="10"/>
              <w:spacing w:line="400" w:lineRule="exact"/>
              <w:ind w:left="0" w:leftChars="0"/>
              <w:rPr>
                <w:rFonts w:ascii="宋体"/>
                <w:szCs w:val="21"/>
                <w:highlight w:val="none"/>
              </w:rPr>
            </w:pPr>
          </w:p>
        </w:tc>
        <w:tc>
          <w:tcPr>
            <w:tcW w:w="709"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675"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850" w:type="dxa"/>
          </w:tcPr>
          <w:p>
            <w:pPr>
              <w:pStyle w:val="10"/>
              <w:spacing w:line="400" w:lineRule="exact"/>
              <w:ind w:left="0" w:leftChars="0"/>
              <w:rPr>
                <w:rFonts w:ascii="宋体"/>
                <w:szCs w:val="21"/>
                <w:highlight w:val="none"/>
              </w:rPr>
            </w:pPr>
          </w:p>
        </w:tc>
        <w:tc>
          <w:tcPr>
            <w:tcW w:w="851"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1134" w:type="dxa"/>
          </w:tcPr>
          <w:p>
            <w:pPr>
              <w:pStyle w:val="10"/>
              <w:spacing w:line="400" w:lineRule="exact"/>
              <w:ind w:left="0" w:leftChars="0"/>
              <w:rPr>
                <w:rFonts w:ascii="宋体"/>
                <w:szCs w:val="21"/>
                <w:highlight w:val="none"/>
              </w:rPr>
            </w:pPr>
          </w:p>
        </w:tc>
        <w:tc>
          <w:tcPr>
            <w:tcW w:w="709"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850" w:type="dxa"/>
          </w:tcPr>
          <w:p>
            <w:pPr>
              <w:pStyle w:val="10"/>
              <w:spacing w:line="400" w:lineRule="exact"/>
              <w:ind w:left="0" w:leftChars="0"/>
              <w:rPr>
                <w:rFonts w:ascii="宋体"/>
                <w:szCs w:val="21"/>
                <w:highlight w:val="none"/>
              </w:rPr>
            </w:pPr>
          </w:p>
        </w:tc>
        <w:tc>
          <w:tcPr>
            <w:tcW w:w="851"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1134" w:type="dxa"/>
          </w:tcPr>
          <w:p>
            <w:pPr>
              <w:pStyle w:val="10"/>
              <w:spacing w:line="400" w:lineRule="exact"/>
              <w:ind w:left="0" w:leftChars="0"/>
              <w:rPr>
                <w:rFonts w:ascii="宋体"/>
                <w:szCs w:val="21"/>
                <w:highlight w:val="none"/>
              </w:rPr>
            </w:pPr>
          </w:p>
        </w:tc>
        <w:tc>
          <w:tcPr>
            <w:tcW w:w="709"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850" w:type="dxa"/>
          </w:tcPr>
          <w:p>
            <w:pPr>
              <w:pStyle w:val="10"/>
              <w:spacing w:line="400" w:lineRule="exact"/>
              <w:ind w:left="0" w:leftChars="0"/>
              <w:rPr>
                <w:rFonts w:ascii="宋体"/>
                <w:szCs w:val="21"/>
                <w:highlight w:val="none"/>
              </w:rPr>
            </w:pPr>
          </w:p>
        </w:tc>
        <w:tc>
          <w:tcPr>
            <w:tcW w:w="851"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1134" w:type="dxa"/>
          </w:tcPr>
          <w:p>
            <w:pPr>
              <w:pStyle w:val="10"/>
              <w:spacing w:line="400" w:lineRule="exact"/>
              <w:ind w:left="0" w:leftChars="0"/>
              <w:rPr>
                <w:rFonts w:ascii="宋体"/>
                <w:szCs w:val="21"/>
                <w:highlight w:val="none"/>
              </w:rPr>
            </w:pPr>
          </w:p>
        </w:tc>
        <w:tc>
          <w:tcPr>
            <w:tcW w:w="709"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675"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850" w:type="dxa"/>
          </w:tcPr>
          <w:p>
            <w:pPr>
              <w:pStyle w:val="10"/>
              <w:spacing w:line="400" w:lineRule="exact"/>
              <w:ind w:left="0" w:leftChars="0"/>
              <w:rPr>
                <w:rFonts w:ascii="宋体"/>
                <w:szCs w:val="21"/>
                <w:highlight w:val="none"/>
              </w:rPr>
            </w:pPr>
          </w:p>
        </w:tc>
        <w:tc>
          <w:tcPr>
            <w:tcW w:w="851"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1134" w:type="dxa"/>
          </w:tcPr>
          <w:p>
            <w:pPr>
              <w:pStyle w:val="10"/>
              <w:spacing w:line="400" w:lineRule="exact"/>
              <w:ind w:left="0" w:leftChars="0"/>
              <w:rPr>
                <w:rFonts w:ascii="宋体"/>
                <w:szCs w:val="21"/>
                <w:highlight w:val="none"/>
              </w:rPr>
            </w:pPr>
          </w:p>
        </w:tc>
        <w:tc>
          <w:tcPr>
            <w:tcW w:w="709"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bl>
    <w:p>
      <w:pPr>
        <w:spacing w:line="480" w:lineRule="exact"/>
        <w:rPr>
          <w:rFonts w:ascii="宋体"/>
          <w:sz w:val="24"/>
          <w:highlight w:val="none"/>
        </w:rPr>
      </w:pPr>
      <w:r>
        <w:rPr>
          <w:rFonts w:hint="eastAsia" w:ascii="宋体" w:hAnsi="宋体"/>
          <w:sz w:val="24"/>
          <w:highlight w:val="none"/>
        </w:rPr>
        <w:t>注：</w:t>
      </w:r>
      <w:r>
        <w:rPr>
          <w:rFonts w:ascii="宋体" w:hAnsi="宋体"/>
          <w:sz w:val="24"/>
          <w:highlight w:val="none"/>
        </w:rPr>
        <w:t>1.</w:t>
      </w:r>
      <w:r>
        <w:rPr>
          <w:rFonts w:hint="eastAsia" w:ascii="宋体" w:hAnsi="宋体"/>
          <w:sz w:val="24"/>
          <w:highlight w:val="none"/>
        </w:rPr>
        <w:t>此表须附执业资格证书复印件等证明材料。</w:t>
      </w:r>
    </w:p>
    <w:p>
      <w:pPr>
        <w:spacing w:line="480" w:lineRule="exact"/>
        <w:ind w:left="479" w:leftChars="228"/>
        <w:rPr>
          <w:rFonts w:ascii="宋体"/>
          <w:sz w:val="24"/>
          <w:highlight w:val="none"/>
        </w:rPr>
      </w:pPr>
      <w:r>
        <w:rPr>
          <w:rFonts w:ascii="宋体" w:hAnsi="宋体"/>
          <w:sz w:val="24"/>
          <w:highlight w:val="none"/>
        </w:rPr>
        <w:t>2</w:t>
      </w:r>
      <w:r>
        <w:rPr>
          <w:rFonts w:ascii="宋体"/>
          <w:sz w:val="24"/>
          <w:highlight w:val="none"/>
        </w:rPr>
        <w:t>.</w:t>
      </w:r>
      <w:r>
        <w:rPr>
          <w:rFonts w:hint="eastAsia" w:ascii="宋体" w:hAnsi="宋体"/>
          <w:sz w:val="24"/>
          <w:highlight w:val="none"/>
          <w:u w:val="single"/>
        </w:rPr>
        <w:t>此表拟定的项目现场负责人原则上不予更换</w:t>
      </w:r>
      <w:r>
        <w:rPr>
          <w:rFonts w:ascii="宋体"/>
          <w:sz w:val="24"/>
          <w:highlight w:val="none"/>
          <w:u w:val="single"/>
        </w:rPr>
        <w:t>,</w:t>
      </w:r>
      <w:r>
        <w:rPr>
          <w:rFonts w:hint="eastAsia" w:ascii="宋体" w:hAnsi="宋体"/>
          <w:sz w:val="24"/>
          <w:highlight w:val="none"/>
          <w:u w:val="single"/>
        </w:rPr>
        <w:t>若要更换需经甲方同意，未经甲方同意而更换的，甲方可终止合同。</w:t>
      </w:r>
    </w:p>
    <w:p>
      <w:pPr>
        <w:spacing w:line="480" w:lineRule="exact"/>
        <w:rPr>
          <w:rFonts w:ascii="宋体" w:cs="宋体"/>
          <w:sz w:val="28"/>
          <w:szCs w:val="28"/>
          <w:highlight w:val="none"/>
        </w:rPr>
      </w:pPr>
    </w:p>
    <w:p>
      <w:pPr>
        <w:rPr>
          <w:rFonts w:ascii="宋体" w:cs="宋体"/>
          <w:sz w:val="28"/>
          <w:szCs w:val="28"/>
          <w:highlight w:val="none"/>
        </w:rPr>
      </w:pPr>
    </w:p>
    <w:p>
      <w:pPr>
        <w:rPr>
          <w:rFonts w:ascii="宋体" w:cs="宋体"/>
          <w:sz w:val="28"/>
          <w:szCs w:val="28"/>
          <w:highlight w:val="none"/>
        </w:rPr>
      </w:pPr>
    </w:p>
    <w:p>
      <w:pPr>
        <w:rPr>
          <w:rFonts w:ascii="宋体" w:cs="宋体"/>
          <w:sz w:val="28"/>
          <w:szCs w:val="28"/>
          <w:highlight w:val="none"/>
        </w:rPr>
      </w:pPr>
    </w:p>
    <w:p>
      <w:pPr>
        <w:rPr>
          <w:rFonts w:ascii="宋体" w:cs="宋体"/>
          <w:sz w:val="28"/>
          <w:szCs w:val="28"/>
          <w:highlight w:val="none"/>
        </w:rPr>
      </w:pPr>
    </w:p>
    <w:p>
      <w:pPr>
        <w:rPr>
          <w:highlight w:val="none"/>
        </w:rPr>
      </w:pPr>
    </w:p>
    <w:p>
      <w:pPr>
        <w:rPr>
          <w:highlight w:val="none"/>
        </w:rPr>
      </w:pPr>
    </w:p>
    <w:p>
      <w:pPr>
        <w:rPr>
          <w:highlight w:val="none"/>
        </w:rPr>
      </w:pPr>
    </w:p>
    <w:p>
      <w:pPr>
        <w:rPr>
          <w:highlight w:val="none"/>
        </w:rPr>
      </w:pPr>
    </w:p>
    <w:bookmarkEnd w:id="424"/>
    <w:bookmarkEnd w:id="425"/>
    <w:bookmarkEnd w:id="426"/>
    <w:p>
      <w:pPr>
        <w:rPr>
          <w:highlight w:val="none"/>
        </w:rPr>
      </w:pPr>
    </w:p>
    <w:p>
      <w:pPr>
        <w:rPr>
          <w:highlight w:val="none"/>
        </w:rPr>
      </w:pPr>
    </w:p>
    <w:p>
      <w:pPr>
        <w:rPr>
          <w:highlight w:val="none"/>
        </w:rPr>
      </w:pPr>
    </w:p>
    <w:p>
      <w:pPr>
        <w:rPr>
          <w:highlight w:val="none"/>
        </w:rPr>
      </w:pPr>
    </w:p>
    <w:p>
      <w:pPr>
        <w:pStyle w:val="2"/>
      </w:pPr>
    </w:p>
    <w:p>
      <w:pPr>
        <w:pStyle w:val="5"/>
        <w:spacing w:before="0" w:afterLines="50" w:line="600" w:lineRule="exact"/>
        <w:jc w:val="center"/>
        <w:rPr>
          <w:rFonts w:ascii="宋体"/>
          <w:b/>
          <w:highlight w:val="none"/>
        </w:rPr>
      </w:pPr>
      <w:r>
        <w:rPr>
          <w:rFonts w:ascii="宋体" w:hAnsi="宋体"/>
          <w:b/>
          <w:highlight w:val="none"/>
        </w:rPr>
        <w:t>3.</w:t>
      </w:r>
      <w:r>
        <w:rPr>
          <w:rFonts w:hint="eastAsia" w:ascii="宋体" w:hAnsi="宋体"/>
          <w:b/>
          <w:highlight w:val="none"/>
        </w:rPr>
        <w:t>拟投入人员的相关工作业绩、资历及能力</w:t>
      </w:r>
    </w:p>
    <w:tbl>
      <w:tblPr>
        <w:tblStyle w:val="25"/>
        <w:tblW w:w="10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93"/>
        <w:gridCol w:w="1701"/>
        <w:gridCol w:w="1020"/>
        <w:gridCol w:w="2126"/>
        <w:gridCol w:w="113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59"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序号</w:t>
            </w:r>
          </w:p>
        </w:tc>
        <w:tc>
          <w:tcPr>
            <w:tcW w:w="993"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姓名</w:t>
            </w:r>
          </w:p>
        </w:tc>
        <w:tc>
          <w:tcPr>
            <w:tcW w:w="1701"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工作职责分工</w:t>
            </w:r>
          </w:p>
        </w:tc>
        <w:tc>
          <w:tcPr>
            <w:tcW w:w="1020"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工作业绩数量</w:t>
            </w:r>
          </w:p>
        </w:tc>
        <w:tc>
          <w:tcPr>
            <w:tcW w:w="2126"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lang w:val="en-US" w:eastAsia="zh-CN"/>
              </w:rPr>
              <w:t>审计</w:t>
            </w:r>
            <w:r>
              <w:rPr>
                <w:rFonts w:hint="eastAsia" w:ascii="宋体" w:hAnsi="宋体"/>
                <w:szCs w:val="21"/>
                <w:highlight w:val="none"/>
              </w:rPr>
              <w:t>内容</w:t>
            </w:r>
          </w:p>
        </w:tc>
        <w:tc>
          <w:tcPr>
            <w:tcW w:w="1136"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业绩类型</w:t>
            </w:r>
          </w:p>
        </w:tc>
        <w:tc>
          <w:tcPr>
            <w:tcW w:w="2126"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959"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1701" w:type="dxa"/>
          </w:tcPr>
          <w:p>
            <w:pPr>
              <w:pStyle w:val="10"/>
              <w:spacing w:line="400" w:lineRule="exact"/>
              <w:ind w:left="0" w:leftChars="0"/>
              <w:rPr>
                <w:rFonts w:ascii="宋体"/>
                <w:szCs w:val="21"/>
                <w:highlight w:val="none"/>
              </w:rPr>
            </w:pPr>
          </w:p>
        </w:tc>
        <w:tc>
          <w:tcPr>
            <w:tcW w:w="1020"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c>
          <w:tcPr>
            <w:tcW w:w="1136" w:type="dxa"/>
          </w:tcPr>
          <w:p>
            <w:pPr>
              <w:pStyle w:val="10"/>
              <w:spacing w:line="400" w:lineRule="exact"/>
              <w:ind w:left="0" w:leftChars="0"/>
              <w:rPr>
                <w:rFonts w:ascii="宋体"/>
                <w:szCs w:val="21"/>
                <w:highlight w:val="none"/>
              </w:rPr>
            </w:pPr>
          </w:p>
        </w:tc>
        <w:tc>
          <w:tcPr>
            <w:tcW w:w="2126" w:type="dxa"/>
          </w:tcPr>
          <w:p>
            <w:pPr>
              <w:pStyle w:val="10"/>
              <w:spacing w:after="0" w:line="400" w:lineRule="exact"/>
              <w:ind w:left="0" w:leftChars="0"/>
              <w:rPr>
                <w:rFonts w:ascii="宋体"/>
                <w:szCs w:val="21"/>
                <w:highlight w:val="none"/>
              </w:rPr>
            </w:pPr>
            <w:r>
              <w:rPr>
                <w:rFonts w:hint="eastAsia" w:ascii="宋体" w:hAnsi="宋体"/>
                <w:szCs w:val="21"/>
                <w:highlight w:val="none"/>
              </w:rPr>
              <w:t>提供个人履历（含会计师事务所</w:t>
            </w:r>
            <w:r>
              <w:rPr>
                <w:rFonts w:hint="eastAsia" w:ascii="宋体" w:hAnsi="宋体"/>
                <w:szCs w:val="21"/>
                <w:highlight w:val="none"/>
                <w:lang w:val="en-US" w:eastAsia="zh-CN"/>
              </w:rPr>
              <w:t>审计</w:t>
            </w:r>
            <w:r>
              <w:rPr>
                <w:rFonts w:hint="eastAsia" w:ascii="宋体" w:hAnsi="宋体"/>
                <w:szCs w:val="21"/>
                <w:highlight w:val="none"/>
              </w:rPr>
              <w:t>工作年限、经验证明）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59"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1701" w:type="dxa"/>
          </w:tcPr>
          <w:p>
            <w:pPr>
              <w:pStyle w:val="10"/>
              <w:spacing w:line="400" w:lineRule="exact"/>
              <w:ind w:left="0" w:leftChars="0"/>
              <w:rPr>
                <w:rFonts w:ascii="宋体"/>
                <w:szCs w:val="21"/>
                <w:highlight w:val="none"/>
              </w:rPr>
            </w:pPr>
          </w:p>
        </w:tc>
        <w:tc>
          <w:tcPr>
            <w:tcW w:w="1020"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c>
          <w:tcPr>
            <w:tcW w:w="1136"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959"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1701" w:type="dxa"/>
          </w:tcPr>
          <w:p>
            <w:pPr>
              <w:pStyle w:val="10"/>
              <w:spacing w:line="400" w:lineRule="exact"/>
              <w:ind w:left="0" w:leftChars="0"/>
              <w:rPr>
                <w:rFonts w:ascii="宋体"/>
                <w:szCs w:val="21"/>
                <w:highlight w:val="none"/>
              </w:rPr>
            </w:pPr>
          </w:p>
        </w:tc>
        <w:tc>
          <w:tcPr>
            <w:tcW w:w="1020"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c>
          <w:tcPr>
            <w:tcW w:w="1136"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959"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1701" w:type="dxa"/>
          </w:tcPr>
          <w:p>
            <w:pPr>
              <w:pStyle w:val="10"/>
              <w:spacing w:line="400" w:lineRule="exact"/>
              <w:ind w:left="0" w:leftChars="0"/>
              <w:rPr>
                <w:rFonts w:ascii="宋体"/>
                <w:szCs w:val="21"/>
                <w:highlight w:val="none"/>
              </w:rPr>
            </w:pPr>
          </w:p>
        </w:tc>
        <w:tc>
          <w:tcPr>
            <w:tcW w:w="1020"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c>
          <w:tcPr>
            <w:tcW w:w="1136"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959"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1701" w:type="dxa"/>
          </w:tcPr>
          <w:p>
            <w:pPr>
              <w:pStyle w:val="10"/>
              <w:spacing w:line="400" w:lineRule="exact"/>
              <w:ind w:left="0" w:leftChars="0"/>
              <w:rPr>
                <w:rFonts w:ascii="宋体"/>
                <w:szCs w:val="21"/>
                <w:highlight w:val="none"/>
              </w:rPr>
            </w:pPr>
          </w:p>
        </w:tc>
        <w:tc>
          <w:tcPr>
            <w:tcW w:w="1020"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c>
          <w:tcPr>
            <w:tcW w:w="1136"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bl>
    <w:p>
      <w:pPr>
        <w:spacing w:line="480" w:lineRule="exact"/>
        <w:ind w:left="31680" w:hanging="480" w:hangingChars="200"/>
        <w:rPr>
          <w:rFonts w:ascii="宋体"/>
          <w:sz w:val="24"/>
          <w:highlight w:val="none"/>
        </w:rPr>
      </w:pPr>
      <w:r>
        <w:rPr>
          <w:rFonts w:hint="eastAsia" w:ascii="宋体" w:hAnsi="宋体"/>
          <w:sz w:val="24"/>
          <w:highlight w:val="none"/>
        </w:rPr>
        <w:t>注：此表业绩是指</w:t>
      </w:r>
      <w:r>
        <w:rPr>
          <w:rFonts w:ascii="宋体" w:hAnsi="宋体"/>
          <w:sz w:val="24"/>
          <w:highlight w:val="none"/>
        </w:rPr>
        <w:t>2018</w:t>
      </w:r>
      <w:r>
        <w:rPr>
          <w:rFonts w:hint="eastAsia" w:ascii="宋体" w:hAnsi="宋体"/>
          <w:sz w:val="24"/>
          <w:highlight w:val="none"/>
        </w:rPr>
        <w:t>年</w:t>
      </w:r>
      <w:r>
        <w:rPr>
          <w:rFonts w:ascii="宋体" w:hAnsi="宋体"/>
          <w:sz w:val="24"/>
          <w:highlight w:val="none"/>
        </w:rPr>
        <w:t>1</w:t>
      </w:r>
      <w:r>
        <w:rPr>
          <w:rFonts w:hint="eastAsia" w:ascii="宋体" w:hAnsi="宋体"/>
          <w:sz w:val="24"/>
          <w:highlight w:val="none"/>
        </w:rPr>
        <w:t>月</w:t>
      </w:r>
      <w:r>
        <w:rPr>
          <w:rFonts w:ascii="宋体" w:hAnsi="宋体"/>
          <w:sz w:val="24"/>
          <w:highlight w:val="none"/>
        </w:rPr>
        <w:t>1</w:t>
      </w:r>
      <w:r>
        <w:rPr>
          <w:rFonts w:hint="eastAsia" w:ascii="宋体" w:hAnsi="宋体"/>
          <w:sz w:val="24"/>
          <w:highlight w:val="none"/>
        </w:rPr>
        <w:t>日至今，与本项目相关或相近的服务经验（参照评分细则），须附工作业绩的</w:t>
      </w:r>
      <w:r>
        <w:rPr>
          <w:rFonts w:hint="eastAsia" w:ascii="宋体" w:hAnsi="宋体"/>
          <w:sz w:val="24"/>
          <w:highlight w:val="none"/>
          <w:lang w:val="en-US" w:eastAsia="zh-CN"/>
        </w:rPr>
        <w:t>审计</w:t>
      </w:r>
      <w:r>
        <w:rPr>
          <w:rFonts w:hint="eastAsia" w:ascii="宋体" w:hAnsi="宋体"/>
          <w:sz w:val="24"/>
          <w:highlight w:val="none"/>
        </w:rPr>
        <w:t>报告名称内容及签字页等证明材料。</w:t>
      </w:r>
    </w:p>
    <w:p>
      <w:pPr>
        <w:spacing w:line="480" w:lineRule="exact"/>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pStyle w:val="2"/>
        <w:rPr>
          <w:rFonts w:ascii="宋体" w:cs="宋体"/>
          <w:sz w:val="28"/>
          <w:szCs w:val="28"/>
          <w:highlight w:val="none"/>
        </w:rPr>
      </w:pPr>
    </w:p>
    <w:p>
      <w:pPr>
        <w:spacing w:line="540" w:lineRule="exact"/>
        <w:rPr>
          <w:rFonts w:hint="eastAsia" w:ascii="宋体" w:hAnsi="宋体" w:eastAsia="宋体" w:cs="Times New Roman"/>
          <w:b/>
          <w:kern w:val="0"/>
          <w:sz w:val="28"/>
          <w:szCs w:val="20"/>
          <w:highlight w:val="none"/>
          <w:lang w:val="en-US" w:eastAsia="zh-CN" w:bidi="ar-SA"/>
        </w:rPr>
      </w:pPr>
      <w:r>
        <w:rPr>
          <w:rFonts w:hint="eastAsia" w:ascii="宋体" w:hAnsi="宋体" w:eastAsia="宋体" w:cs="Times New Roman"/>
          <w:b/>
          <w:kern w:val="0"/>
          <w:sz w:val="28"/>
          <w:szCs w:val="20"/>
          <w:highlight w:val="none"/>
          <w:lang w:val="en-US" w:eastAsia="zh-CN" w:bidi="ar-SA"/>
        </w:rPr>
        <w:t>4.拟投入人员中正式员工劳动合同或近3个月社保缴付证明（复印件加盖单位公章）</w:t>
      </w:r>
      <w:bookmarkStart w:id="610" w:name="_GoBack"/>
      <w:bookmarkEnd w:id="610"/>
    </w:p>
    <w:p>
      <w:pPr>
        <w:ind w:firstLine="420" w:firstLineChars="150"/>
        <w:rPr>
          <w:rFonts w:ascii="宋体" w:cs="宋体"/>
          <w:sz w:val="28"/>
          <w:szCs w:val="28"/>
          <w:highlight w:val="none"/>
        </w:rPr>
      </w:pPr>
    </w:p>
    <w:p>
      <w:pPr>
        <w:pStyle w:val="2"/>
        <w:rPr>
          <w:rFonts w:ascii="宋体" w:cs="宋体"/>
          <w:sz w:val="28"/>
          <w:szCs w:val="28"/>
          <w:highlight w:val="none"/>
        </w:rPr>
      </w:pPr>
    </w:p>
    <w:p>
      <w:pPr>
        <w:pStyle w:val="2"/>
        <w:rPr>
          <w:rFonts w:ascii="宋体" w:cs="宋体"/>
          <w:sz w:val="28"/>
          <w:szCs w:val="28"/>
          <w:highlight w:val="none"/>
        </w:rPr>
      </w:pPr>
    </w:p>
    <w:p>
      <w:pPr>
        <w:pStyle w:val="2"/>
        <w:rPr>
          <w:rFonts w:ascii="宋体" w:cs="宋体"/>
          <w:sz w:val="28"/>
          <w:szCs w:val="28"/>
          <w:highlight w:val="none"/>
        </w:rPr>
      </w:pPr>
    </w:p>
    <w:p>
      <w:pPr>
        <w:pStyle w:val="2"/>
        <w:rPr>
          <w:rFonts w:ascii="宋体" w:cs="宋体"/>
          <w:sz w:val="28"/>
          <w:szCs w:val="28"/>
          <w:highlight w:val="none"/>
        </w:rPr>
      </w:pPr>
    </w:p>
    <w:p>
      <w:pPr>
        <w:pStyle w:val="2"/>
        <w:rPr>
          <w:rFonts w:ascii="宋体" w:cs="宋体"/>
          <w:sz w:val="28"/>
          <w:szCs w:val="28"/>
          <w:highlight w:val="none"/>
        </w:rPr>
      </w:pPr>
    </w:p>
    <w:p>
      <w:pPr>
        <w:pStyle w:val="2"/>
        <w:rPr>
          <w:rFonts w:ascii="宋体" w:cs="宋体"/>
          <w:sz w:val="28"/>
          <w:szCs w:val="28"/>
          <w:highlight w:val="none"/>
        </w:rPr>
      </w:pPr>
    </w:p>
    <w:p>
      <w:pPr>
        <w:pStyle w:val="2"/>
        <w:rPr>
          <w:rFonts w:ascii="宋体" w:cs="宋体"/>
          <w:sz w:val="28"/>
          <w:szCs w:val="28"/>
          <w:highlight w:val="none"/>
        </w:rPr>
      </w:pPr>
    </w:p>
    <w:p>
      <w:pPr>
        <w:pStyle w:val="2"/>
        <w:rPr>
          <w:rFonts w:ascii="宋体" w:cs="宋体"/>
          <w:sz w:val="28"/>
          <w:szCs w:val="28"/>
          <w:highlight w:val="none"/>
        </w:rPr>
      </w:pPr>
    </w:p>
    <w:p>
      <w:pPr>
        <w:pStyle w:val="2"/>
        <w:rPr>
          <w:rFonts w:ascii="宋体" w:cs="宋体"/>
          <w:sz w:val="28"/>
          <w:szCs w:val="28"/>
          <w:highlight w:val="none"/>
        </w:rPr>
      </w:pPr>
    </w:p>
    <w:p>
      <w:pPr>
        <w:pStyle w:val="2"/>
        <w:rPr>
          <w:rFonts w:ascii="宋体" w:cs="宋体"/>
          <w:sz w:val="28"/>
          <w:szCs w:val="28"/>
          <w:highlight w:val="none"/>
        </w:rPr>
      </w:pPr>
    </w:p>
    <w:p>
      <w:pPr>
        <w:pStyle w:val="2"/>
        <w:rPr>
          <w:rFonts w:ascii="宋体" w:cs="宋体"/>
          <w:sz w:val="28"/>
          <w:szCs w:val="28"/>
          <w:highlight w:val="none"/>
        </w:rPr>
      </w:pPr>
    </w:p>
    <w:p>
      <w:pPr>
        <w:pStyle w:val="2"/>
        <w:rPr>
          <w:rFonts w:ascii="宋体" w:cs="宋体"/>
          <w:sz w:val="28"/>
          <w:szCs w:val="28"/>
          <w:highlight w:val="none"/>
        </w:rPr>
      </w:pPr>
    </w:p>
    <w:p>
      <w:pPr>
        <w:pStyle w:val="2"/>
        <w:rPr>
          <w:rFonts w:ascii="宋体" w:cs="宋体"/>
          <w:sz w:val="28"/>
          <w:szCs w:val="28"/>
          <w:highlight w:val="none"/>
        </w:rPr>
      </w:pPr>
    </w:p>
    <w:p>
      <w:pPr>
        <w:pStyle w:val="2"/>
        <w:rPr>
          <w:rFonts w:ascii="宋体" w:cs="宋体"/>
          <w:sz w:val="28"/>
          <w:szCs w:val="28"/>
          <w:highlight w:val="none"/>
        </w:rPr>
      </w:pPr>
    </w:p>
    <w:p>
      <w:pPr>
        <w:pStyle w:val="2"/>
        <w:rPr>
          <w:rFonts w:ascii="宋体" w:cs="宋体"/>
          <w:sz w:val="28"/>
          <w:szCs w:val="28"/>
          <w:highlight w:val="none"/>
        </w:rPr>
      </w:pPr>
    </w:p>
    <w:p>
      <w:pPr>
        <w:pStyle w:val="2"/>
        <w:rPr>
          <w:rFonts w:ascii="宋体" w:cs="宋体"/>
          <w:sz w:val="28"/>
          <w:szCs w:val="28"/>
          <w:highlight w:val="none"/>
        </w:rPr>
      </w:pPr>
    </w:p>
    <w:p>
      <w:pPr>
        <w:pStyle w:val="5"/>
        <w:spacing w:line="600" w:lineRule="exact"/>
        <w:jc w:val="center"/>
        <w:rPr>
          <w:rFonts w:ascii="宋体"/>
          <w:b/>
          <w:highlight w:val="none"/>
        </w:rPr>
      </w:pPr>
      <w:bookmarkStart w:id="437" w:name="_Toc30924"/>
      <w:bookmarkStart w:id="438" w:name="_Toc21725"/>
      <w:bookmarkStart w:id="439" w:name="_Toc29269"/>
      <w:bookmarkStart w:id="440" w:name="_Toc5051"/>
      <w:bookmarkStart w:id="441" w:name="_Toc17903"/>
      <w:bookmarkStart w:id="442" w:name="_Toc17896"/>
      <w:bookmarkStart w:id="443" w:name="_Toc28584"/>
      <w:bookmarkStart w:id="444" w:name="_Toc597"/>
      <w:r>
        <w:rPr>
          <w:rFonts w:hint="eastAsia" w:ascii="宋体" w:hAnsi="宋体"/>
          <w:b/>
          <w:highlight w:val="none"/>
          <w:lang w:val="en-US" w:eastAsia="zh-CN"/>
        </w:rPr>
        <w:t>5</w:t>
      </w:r>
      <w:r>
        <w:rPr>
          <w:rFonts w:ascii="宋体" w:hAnsi="宋体"/>
          <w:b/>
          <w:highlight w:val="none"/>
        </w:rPr>
        <w:t>.</w:t>
      </w:r>
      <w:r>
        <w:rPr>
          <w:rFonts w:hint="eastAsia" w:ascii="宋体" w:hAnsi="宋体"/>
          <w:b/>
          <w:highlight w:val="none"/>
        </w:rPr>
        <w:t>服务方案（由比选申请人自行编写）</w:t>
      </w:r>
      <w:bookmarkEnd w:id="437"/>
      <w:bookmarkEnd w:id="438"/>
      <w:bookmarkEnd w:id="439"/>
      <w:bookmarkEnd w:id="440"/>
      <w:bookmarkEnd w:id="441"/>
      <w:bookmarkEnd w:id="442"/>
      <w:bookmarkEnd w:id="443"/>
      <w:bookmarkEnd w:id="444"/>
    </w:p>
    <w:p>
      <w:pPr>
        <w:spacing w:line="540" w:lineRule="exact"/>
        <w:ind w:firstLine="560" w:firstLineChars="200"/>
        <w:rPr>
          <w:rFonts w:ascii="宋体" w:cs="宋体"/>
          <w:sz w:val="28"/>
          <w:szCs w:val="28"/>
          <w:highlight w:val="none"/>
        </w:rPr>
      </w:pPr>
      <w:r>
        <w:rPr>
          <w:rFonts w:hint="eastAsia" w:ascii="宋体" w:hAnsi="宋体" w:cs="宋体"/>
          <w:sz w:val="28"/>
          <w:szCs w:val="28"/>
          <w:highlight w:val="none"/>
        </w:rPr>
        <w:t>备注：主要从服务态度、质量控制、进度控制等方面进行阐述。该服务方案将作为合同的附件。</w:t>
      </w: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widowControl/>
        <w:jc w:val="left"/>
        <w:rPr>
          <w:rFonts w:ascii="宋体" w:cs="宋体"/>
          <w:sz w:val="28"/>
          <w:szCs w:val="28"/>
          <w:highlight w:val="none"/>
        </w:rPr>
      </w:pPr>
      <w:r>
        <w:rPr>
          <w:rFonts w:ascii="宋体" w:cs="宋体"/>
          <w:sz w:val="28"/>
          <w:szCs w:val="28"/>
          <w:highlight w:val="none"/>
        </w:rPr>
        <w:br w:type="page"/>
      </w:r>
    </w:p>
    <w:p>
      <w:pPr>
        <w:spacing w:line="600" w:lineRule="exact"/>
        <w:ind w:firstLine="1265" w:firstLineChars="450"/>
        <w:jc w:val="left"/>
        <w:rPr>
          <w:rFonts w:ascii="宋体" w:cs="宋体"/>
          <w:b/>
          <w:sz w:val="28"/>
          <w:szCs w:val="28"/>
          <w:highlight w:val="none"/>
        </w:rPr>
      </w:pPr>
      <w:r>
        <w:rPr>
          <w:rFonts w:hint="eastAsia" w:ascii="宋体" w:hAnsi="宋体" w:cs="宋体"/>
          <w:b/>
          <w:sz w:val="28"/>
          <w:szCs w:val="28"/>
          <w:highlight w:val="none"/>
          <w:lang w:val="en-US" w:eastAsia="zh-CN"/>
        </w:rPr>
        <w:t>6</w:t>
      </w:r>
      <w:r>
        <w:rPr>
          <w:rFonts w:ascii="宋体" w:hAnsi="宋体" w:cs="宋体"/>
          <w:b/>
          <w:sz w:val="28"/>
          <w:szCs w:val="28"/>
          <w:highlight w:val="none"/>
        </w:rPr>
        <w:t>.</w:t>
      </w:r>
      <w:r>
        <w:rPr>
          <w:rFonts w:hint="eastAsia" w:ascii="宋体" w:hAnsi="宋体" w:cs="宋体"/>
          <w:b/>
          <w:sz w:val="28"/>
          <w:szCs w:val="28"/>
          <w:highlight w:val="none"/>
        </w:rPr>
        <w:t>其他</w:t>
      </w:r>
      <w:r>
        <w:rPr>
          <w:rFonts w:hint="eastAsia" w:ascii="宋体" w:cs="宋体"/>
          <w:b/>
          <w:sz w:val="28"/>
          <w:szCs w:val="28"/>
          <w:highlight w:val="none"/>
        </w:rPr>
        <w:t>……</w:t>
      </w:r>
    </w:p>
    <w:p>
      <w:pPr>
        <w:widowControl/>
        <w:jc w:val="left"/>
        <w:rPr>
          <w:rFonts w:ascii="宋体" w:cs="宋体"/>
          <w:i/>
          <w:sz w:val="28"/>
          <w:szCs w:val="28"/>
          <w:highlight w:val="none"/>
        </w:rPr>
      </w:pPr>
      <w:r>
        <w:rPr>
          <w:rFonts w:ascii="宋体" w:cs="宋体"/>
          <w:i/>
          <w:sz w:val="28"/>
          <w:szCs w:val="28"/>
          <w:highlight w:val="none"/>
        </w:rPr>
        <w:br w:type="page"/>
      </w:r>
    </w:p>
    <w:p>
      <w:pPr>
        <w:ind w:right="753"/>
        <w:jc w:val="center"/>
        <w:rPr>
          <w:rFonts w:ascii="宋体" w:cs="宋体"/>
          <w:sz w:val="28"/>
          <w:szCs w:val="28"/>
          <w:highlight w:val="none"/>
        </w:rPr>
      </w:pPr>
      <w:bookmarkStart w:id="445" w:name="_Toc12434"/>
      <w:bookmarkStart w:id="446" w:name="_Toc15155"/>
      <w:bookmarkStart w:id="447" w:name="_Toc27920"/>
      <w:bookmarkStart w:id="448" w:name="_Toc5462"/>
      <w:bookmarkStart w:id="449" w:name="_Toc26103"/>
      <w:bookmarkStart w:id="450" w:name="_Toc9617"/>
      <w:bookmarkStart w:id="451" w:name="_Toc25435"/>
      <w:bookmarkStart w:id="452" w:name="_Toc24947"/>
      <w:r>
        <w:rPr>
          <w:rFonts w:hint="eastAsia" w:ascii="宋体" w:hAnsi="宋体" w:cs="宋体"/>
          <w:sz w:val="28"/>
          <w:szCs w:val="28"/>
          <w:highlight w:val="none"/>
        </w:rPr>
        <w:t>（封面格式）</w:t>
      </w:r>
    </w:p>
    <w:p>
      <w:pPr>
        <w:ind w:right="753"/>
        <w:jc w:val="left"/>
        <w:rPr>
          <w:rFonts w:ascii="宋体" w:cs="宋体"/>
          <w:szCs w:val="28"/>
          <w:highlight w:val="none"/>
        </w:rPr>
      </w:pPr>
    </w:p>
    <w:p>
      <w:pPr>
        <w:ind w:right="753"/>
        <w:jc w:val="left"/>
        <w:rPr>
          <w:rFonts w:ascii="宋体" w:cs="宋体"/>
          <w:szCs w:val="28"/>
          <w:highlight w:val="none"/>
        </w:rPr>
      </w:pPr>
    </w:p>
    <w:p>
      <w:pPr>
        <w:ind w:right="753"/>
        <w:jc w:val="center"/>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项目比选申请文件</w:t>
      </w:r>
    </w:p>
    <w:p>
      <w:pPr>
        <w:pStyle w:val="24"/>
        <w:jc w:val="center"/>
        <w:rPr>
          <w:highlight w:val="none"/>
        </w:rPr>
      </w:pPr>
      <w:bookmarkStart w:id="453" w:name="_Toc3278"/>
      <w:bookmarkStart w:id="454" w:name="_Toc15573"/>
      <w:bookmarkStart w:id="455" w:name="_Toc196"/>
      <w:bookmarkStart w:id="456" w:name="_Toc10925"/>
      <w:bookmarkStart w:id="457" w:name="_Toc20460"/>
      <w:bookmarkStart w:id="458" w:name="_Toc27059"/>
      <w:bookmarkStart w:id="459" w:name="_Toc461525327"/>
      <w:bookmarkStart w:id="460" w:name="_Toc3587"/>
      <w:bookmarkStart w:id="461" w:name="_Toc21287"/>
      <w:r>
        <w:rPr>
          <w:rFonts w:hint="eastAsia"/>
          <w:b w:val="0"/>
          <w:bCs w:val="0"/>
          <w:sz w:val="28"/>
          <w:szCs w:val="28"/>
          <w:highlight w:val="none"/>
        </w:rPr>
        <w:t>商务部分</w:t>
      </w:r>
      <w:bookmarkEnd w:id="453"/>
      <w:bookmarkEnd w:id="454"/>
      <w:bookmarkEnd w:id="455"/>
      <w:bookmarkEnd w:id="456"/>
      <w:bookmarkEnd w:id="457"/>
      <w:bookmarkEnd w:id="458"/>
      <w:bookmarkEnd w:id="459"/>
      <w:bookmarkEnd w:id="460"/>
      <w:bookmarkEnd w:id="461"/>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r>
        <w:rPr>
          <w:rFonts w:hint="eastAsia" w:ascii="宋体" w:hAnsi="宋体" w:cs="宋体"/>
          <w:sz w:val="28"/>
          <w:szCs w:val="28"/>
          <w:highlight w:val="none"/>
        </w:rPr>
        <w:t>比选申请人：（加盖单位章）</w:t>
      </w:r>
    </w:p>
    <w:p>
      <w:pPr>
        <w:ind w:right="753"/>
        <w:jc w:val="left"/>
        <w:rPr>
          <w:rFonts w:ascii="宋体" w:cs="宋体"/>
          <w:sz w:val="28"/>
          <w:szCs w:val="28"/>
          <w:highlight w:val="none"/>
        </w:rPr>
      </w:pPr>
      <w:r>
        <w:rPr>
          <w:rFonts w:hint="eastAsia" w:ascii="宋体" w:hAnsi="宋体" w:cs="宋体"/>
          <w:sz w:val="28"/>
          <w:szCs w:val="28"/>
          <w:highlight w:val="none"/>
        </w:rPr>
        <w:t>法定代表人（负责人）或委托代理人：（签字）</w:t>
      </w:r>
    </w:p>
    <w:p>
      <w:pPr>
        <w:ind w:right="753"/>
        <w:jc w:val="left"/>
        <w:rPr>
          <w:rFonts w:ascii="宋体" w:cs="宋体"/>
          <w:sz w:val="28"/>
          <w:szCs w:val="28"/>
          <w:highlight w:val="none"/>
        </w:rPr>
      </w:pPr>
      <w:bookmarkStart w:id="462" w:name="_Toc333307134"/>
    </w:p>
    <w:p>
      <w:pPr>
        <w:ind w:right="753"/>
        <w:jc w:val="left"/>
        <w:rPr>
          <w:rFonts w:ascii="宋体" w:cs="宋体"/>
          <w:sz w:val="28"/>
          <w:szCs w:val="28"/>
          <w:highlight w:val="none"/>
        </w:rPr>
      </w:pPr>
    </w:p>
    <w:p>
      <w:pPr>
        <w:ind w:right="753"/>
        <w:jc w:val="left"/>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年</w:t>
      </w:r>
      <w:r>
        <w:rPr>
          <w:rFonts w:ascii="宋体" w:hAnsi="宋体" w:cs="宋体"/>
          <w:sz w:val="28"/>
          <w:szCs w:val="28"/>
          <w:highlight w:val="none"/>
        </w:rPr>
        <w:t xml:space="preserve">    </w:t>
      </w:r>
      <w:bookmarkEnd w:id="462"/>
      <w:r>
        <w:rPr>
          <w:rFonts w:hint="eastAsia" w:ascii="宋体" w:hAnsi="宋体" w:cs="宋体"/>
          <w:sz w:val="28"/>
          <w:szCs w:val="28"/>
          <w:highlight w:val="none"/>
        </w:rPr>
        <w:t>月</w:t>
      </w:r>
      <w:bookmarkStart w:id="463" w:name="_Toc333307135"/>
      <w:r>
        <w:rPr>
          <w:rFonts w:ascii="宋体" w:hAnsi="宋体" w:cs="宋体"/>
          <w:sz w:val="28"/>
          <w:szCs w:val="28"/>
          <w:highlight w:val="none"/>
        </w:rPr>
        <w:t xml:space="preserve">    </w:t>
      </w:r>
      <w:r>
        <w:rPr>
          <w:rFonts w:hint="eastAsia" w:ascii="宋体" w:hAnsi="宋体" w:cs="宋体"/>
          <w:sz w:val="28"/>
          <w:szCs w:val="28"/>
          <w:highlight w:val="none"/>
        </w:rPr>
        <w:t>日</w:t>
      </w: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pStyle w:val="4"/>
        <w:spacing w:before="0" w:after="0" w:line="600" w:lineRule="exact"/>
        <w:jc w:val="center"/>
        <w:rPr>
          <w:rFonts w:ascii="宋体" w:cs="宋体"/>
          <w:kern w:val="2"/>
          <w:szCs w:val="28"/>
          <w:highlight w:val="none"/>
        </w:rPr>
      </w:pPr>
      <w:bookmarkStart w:id="464" w:name="_Toc5616"/>
      <w:bookmarkStart w:id="465" w:name="_Toc21835"/>
      <w:bookmarkStart w:id="466" w:name="_Toc11015"/>
      <w:bookmarkStart w:id="467" w:name="_Toc461525328"/>
      <w:bookmarkStart w:id="468" w:name="_Toc471482372"/>
      <w:bookmarkStart w:id="469" w:name="_Toc24408"/>
      <w:bookmarkStart w:id="470" w:name="_Toc24524"/>
      <w:bookmarkStart w:id="471" w:name="_Toc257"/>
      <w:bookmarkStart w:id="472" w:name="_Toc4901"/>
      <w:bookmarkStart w:id="473" w:name="_Toc2010"/>
      <w:bookmarkStart w:id="474" w:name="_Toc30879"/>
      <w:bookmarkStart w:id="475" w:name="_Toc7127"/>
      <w:bookmarkStart w:id="476" w:name="_Toc16542"/>
      <w:bookmarkStart w:id="477" w:name="_Toc17346"/>
    </w:p>
    <w:p>
      <w:pPr>
        <w:rPr>
          <w:highlight w:val="none"/>
        </w:rPr>
      </w:pPr>
    </w:p>
    <w:p>
      <w:pPr>
        <w:pStyle w:val="4"/>
        <w:spacing w:before="0" w:after="0" w:line="600" w:lineRule="exact"/>
        <w:jc w:val="center"/>
        <w:rPr>
          <w:b/>
          <w:highlight w:val="none"/>
        </w:rPr>
      </w:pPr>
      <w:bookmarkStart w:id="478" w:name="_Toc25672"/>
      <w:bookmarkStart w:id="479" w:name="_Toc9809"/>
      <w:bookmarkStart w:id="480" w:name="_Toc12276"/>
      <w:bookmarkStart w:id="481" w:name="_Toc5984"/>
      <w:bookmarkStart w:id="482" w:name="_Toc21708"/>
      <w:bookmarkStart w:id="483" w:name="_Toc27214"/>
      <w:bookmarkStart w:id="484" w:name="_Toc8407"/>
      <w:r>
        <w:rPr>
          <w:rFonts w:hint="eastAsia"/>
          <w:b/>
          <w:highlight w:val="none"/>
        </w:rPr>
        <w:t>三、商务部分材料目录</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bookmarkEnd w:id="463"/>
    <w:p>
      <w:pPr>
        <w:spacing w:line="540" w:lineRule="exact"/>
        <w:jc w:val="center"/>
        <w:rPr>
          <w:rFonts w:ascii="宋体" w:cs="宋体"/>
          <w:b/>
          <w:sz w:val="28"/>
          <w:szCs w:val="28"/>
          <w:highlight w:val="none"/>
        </w:rPr>
      </w:pPr>
      <w:r>
        <w:rPr>
          <w:rFonts w:ascii="宋体" w:hAnsi="宋体" w:cs="宋体"/>
          <w:b/>
          <w:sz w:val="28"/>
          <w:szCs w:val="28"/>
          <w:highlight w:val="none"/>
        </w:rPr>
        <w:t>1.</w:t>
      </w:r>
      <w:r>
        <w:rPr>
          <w:rFonts w:hint="eastAsia" w:ascii="宋体" w:hAnsi="宋体" w:cs="宋体"/>
          <w:b/>
          <w:sz w:val="28"/>
          <w:szCs w:val="28"/>
          <w:highlight w:val="none"/>
        </w:rPr>
        <w:t>报价表</w:t>
      </w:r>
    </w:p>
    <w:p>
      <w:pPr>
        <w:spacing w:line="540" w:lineRule="exact"/>
        <w:rPr>
          <w:rFonts w:ascii="宋体" w:cs="宋体"/>
          <w:sz w:val="28"/>
          <w:szCs w:val="28"/>
          <w:highlight w:val="none"/>
        </w:rPr>
      </w:pPr>
    </w:p>
    <w:p>
      <w:pPr>
        <w:spacing w:line="540" w:lineRule="exact"/>
        <w:rPr>
          <w:rFonts w:ascii="宋体" w:cs="宋体"/>
          <w:sz w:val="28"/>
          <w:szCs w:val="28"/>
          <w:highlight w:val="none"/>
        </w:rPr>
      </w:pPr>
      <w:r>
        <w:rPr>
          <w:rFonts w:hint="eastAsia" w:ascii="宋体" w:hAnsi="宋体" w:cs="宋体"/>
          <w:sz w:val="28"/>
          <w:szCs w:val="28"/>
          <w:highlight w:val="none"/>
        </w:rPr>
        <w:t>备注：以上材料均需加盖单位公章，并按照目录顺序编排，标注页码。</w:t>
      </w:r>
    </w:p>
    <w:p>
      <w:pPr>
        <w:spacing w:line="540" w:lineRule="exac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pStyle w:val="5"/>
        <w:rPr>
          <w:highlight w:val="none"/>
        </w:rPr>
      </w:pPr>
      <w:bookmarkStart w:id="485" w:name="_Toc26609"/>
      <w:bookmarkStart w:id="486" w:name="_Toc1148"/>
      <w:bookmarkStart w:id="487" w:name="_Toc20415"/>
      <w:bookmarkStart w:id="488" w:name="_Toc17958"/>
      <w:bookmarkStart w:id="489" w:name="_Toc3569"/>
      <w:bookmarkStart w:id="490" w:name="_Toc29457"/>
      <w:bookmarkStart w:id="491" w:name="_Toc6408"/>
      <w:bookmarkStart w:id="492" w:name="_Toc29844"/>
      <w:bookmarkStart w:id="493" w:name="_Toc25214"/>
      <w:bookmarkStart w:id="494" w:name="_Toc461525330"/>
      <w:bookmarkStart w:id="495" w:name="_Toc9748"/>
      <w:bookmarkStart w:id="496" w:name="_Toc25896"/>
      <w:r>
        <w:rPr>
          <w:highlight w:val="none"/>
        </w:rPr>
        <w:t>1.</w:t>
      </w:r>
      <w:r>
        <w:rPr>
          <w:rFonts w:hint="eastAsia"/>
          <w:highlight w:val="none"/>
        </w:rPr>
        <w:t>报价表</w:t>
      </w:r>
      <w:bookmarkEnd w:id="485"/>
      <w:bookmarkEnd w:id="486"/>
      <w:r>
        <w:rPr>
          <w:rFonts w:hint="eastAsia"/>
          <w:highlight w:val="none"/>
        </w:rPr>
        <w:t>（格式）</w:t>
      </w:r>
      <w:bookmarkEnd w:id="487"/>
      <w:bookmarkEnd w:id="488"/>
      <w:bookmarkEnd w:id="489"/>
      <w:bookmarkEnd w:id="490"/>
      <w:bookmarkEnd w:id="491"/>
      <w:bookmarkEnd w:id="492"/>
      <w:bookmarkEnd w:id="493"/>
      <w:bookmarkEnd w:id="494"/>
      <w:bookmarkEnd w:id="495"/>
      <w:bookmarkEnd w:id="496"/>
    </w:p>
    <w:tbl>
      <w:tblPr>
        <w:tblStyle w:val="25"/>
        <w:tblW w:w="9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2772"/>
        <w:gridCol w:w="1559"/>
        <w:gridCol w:w="31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051" w:type="dxa"/>
            <w:vAlign w:val="center"/>
          </w:tcPr>
          <w:p>
            <w:pPr>
              <w:jc w:val="center"/>
              <w:rPr>
                <w:rFonts w:ascii="宋体" w:cs="宋体"/>
                <w:szCs w:val="21"/>
                <w:highlight w:val="none"/>
              </w:rPr>
            </w:pPr>
            <w:r>
              <w:rPr>
                <w:rFonts w:hint="eastAsia" w:ascii="宋体" w:hAnsi="宋体" w:cs="宋体"/>
                <w:szCs w:val="21"/>
                <w:highlight w:val="none"/>
              </w:rPr>
              <w:t>序号</w:t>
            </w:r>
          </w:p>
        </w:tc>
        <w:tc>
          <w:tcPr>
            <w:tcW w:w="2772" w:type="dxa"/>
            <w:vAlign w:val="center"/>
          </w:tcPr>
          <w:p>
            <w:pPr>
              <w:jc w:val="center"/>
              <w:rPr>
                <w:rFonts w:ascii="宋体" w:cs="宋体"/>
                <w:szCs w:val="21"/>
                <w:highlight w:val="none"/>
              </w:rPr>
            </w:pPr>
            <w:r>
              <w:rPr>
                <w:rFonts w:hint="eastAsia" w:ascii="宋体" w:hAnsi="宋体" w:cs="宋体"/>
                <w:szCs w:val="21"/>
                <w:highlight w:val="none"/>
              </w:rPr>
              <w:t>服务内容</w:t>
            </w:r>
          </w:p>
        </w:tc>
        <w:tc>
          <w:tcPr>
            <w:tcW w:w="1559" w:type="dxa"/>
            <w:vAlign w:val="center"/>
          </w:tcPr>
          <w:p>
            <w:pPr>
              <w:jc w:val="center"/>
              <w:rPr>
                <w:rFonts w:ascii="宋体" w:cs="宋体"/>
                <w:szCs w:val="21"/>
                <w:highlight w:val="none"/>
              </w:rPr>
            </w:pPr>
            <w:r>
              <w:rPr>
                <w:rFonts w:hint="eastAsia" w:ascii="宋体" w:hAnsi="宋体" w:cs="宋体"/>
                <w:szCs w:val="21"/>
                <w:highlight w:val="none"/>
              </w:rPr>
              <w:t>服务期限</w:t>
            </w:r>
          </w:p>
        </w:tc>
        <w:tc>
          <w:tcPr>
            <w:tcW w:w="3118" w:type="dxa"/>
            <w:vAlign w:val="center"/>
          </w:tcPr>
          <w:p>
            <w:pPr>
              <w:jc w:val="center"/>
              <w:rPr>
                <w:rFonts w:ascii="宋体" w:cs="宋体"/>
                <w:szCs w:val="21"/>
                <w:highlight w:val="none"/>
              </w:rPr>
            </w:pPr>
            <w:r>
              <w:rPr>
                <w:rFonts w:hint="eastAsia" w:ascii="宋体" w:hAnsi="宋体" w:cs="宋体"/>
                <w:szCs w:val="21"/>
                <w:highlight w:val="none"/>
              </w:rPr>
              <w:t>报价</w:t>
            </w:r>
            <w:r>
              <w:rPr>
                <w:rFonts w:ascii="宋体" w:hAnsi="宋体" w:cs="宋体"/>
                <w:szCs w:val="21"/>
                <w:highlight w:val="none"/>
              </w:rPr>
              <w:t xml:space="preserve">  </w:t>
            </w:r>
          </w:p>
        </w:tc>
        <w:tc>
          <w:tcPr>
            <w:tcW w:w="1417" w:type="dxa"/>
          </w:tcPr>
          <w:p>
            <w:pPr>
              <w:jc w:val="center"/>
              <w:rPr>
                <w:rFonts w:ascii="宋体" w:cs="宋体"/>
                <w:szCs w:val="21"/>
                <w:highlight w:val="none"/>
              </w:rPr>
            </w:pPr>
            <w:r>
              <w:rPr>
                <w:rFonts w:hint="eastAsia" w:ascii="宋体" w:hAnsi="宋体" w:cs="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jc w:val="center"/>
        </w:trPr>
        <w:tc>
          <w:tcPr>
            <w:tcW w:w="1051" w:type="dxa"/>
            <w:vAlign w:val="center"/>
          </w:tcPr>
          <w:p>
            <w:pPr>
              <w:jc w:val="center"/>
              <w:rPr>
                <w:rFonts w:ascii="宋体" w:cs="宋体"/>
                <w:szCs w:val="21"/>
                <w:highlight w:val="none"/>
              </w:rPr>
            </w:pPr>
            <w:r>
              <w:rPr>
                <w:rFonts w:ascii="宋体" w:hAnsi="宋体" w:cs="宋体"/>
                <w:szCs w:val="21"/>
                <w:highlight w:val="none"/>
              </w:rPr>
              <w:t>1</w:t>
            </w:r>
          </w:p>
        </w:tc>
        <w:tc>
          <w:tcPr>
            <w:tcW w:w="2772" w:type="dxa"/>
            <w:vAlign w:val="center"/>
          </w:tcPr>
          <w:p>
            <w:pPr>
              <w:jc w:val="left"/>
              <w:rPr>
                <w:rFonts w:ascii="宋体" w:cs="宋体"/>
                <w:szCs w:val="21"/>
                <w:highlight w:val="none"/>
              </w:rPr>
            </w:pPr>
            <w:r>
              <w:rPr>
                <w:rFonts w:hint="eastAsia" w:ascii="宋体" w:hAnsi="宋体" w:cs="宋体"/>
                <w:szCs w:val="21"/>
                <w:highlight w:val="none"/>
              </w:rPr>
              <w:t>南宁轨道</w:t>
            </w:r>
            <w:r>
              <w:rPr>
                <w:rFonts w:hint="eastAsia" w:ascii="宋体" w:hAnsi="宋体" w:cs="宋体"/>
                <w:szCs w:val="21"/>
                <w:highlight w:val="none"/>
                <w:lang w:val="en-US" w:eastAsia="zh-CN"/>
              </w:rPr>
              <w:t>交通建设有限</w:t>
            </w:r>
            <w:r>
              <w:rPr>
                <w:rFonts w:hint="eastAsia" w:ascii="宋体" w:hAnsi="宋体" w:cs="宋体"/>
                <w:szCs w:val="21"/>
                <w:highlight w:val="none"/>
              </w:rPr>
              <w:t>公司</w:t>
            </w:r>
            <w:r>
              <w:rPr>
                <w:rFonts w:hint="eastAsia" w:ascii="宋体" w:hAnsi="宋体" w:cs="宋体"/>
                <w:szCs w:val="21"/>
                <w:highlight w:val="none"/>
                <w:lang w:val="en-US" w:eastAsia="zh-CN"/>
              </w:rPr>
              <w:t>2020年至</w:t>
            </w:r>
            <w:r>
              <w:rPr>
                <w:rFonts w:ascii="宋体" w:hAnsi="宋体" w:cs="宋体"/>
                <w:szCs w:val="21"/>
                <w:highlight w:val="none"/>
              </w:rPr>
              <w:t>2022</w:t>
            </w:r>
            <w:r>
              <w:rPr>
                <w:rFonts w:hint="eastAsia" w:ascii="宋体" w:hAnsi="宋体" w:cs="宋体"/>
                <w:szCs w:val="21"/>
                <w:highlight w:val="none"/>
              </w:rPr>
              <w:t>年</w:t>
            </w:r>
            <w:r>
              <w:rPr>
                <w:rFonts w:hint="eastAsia" w:ascii="宋体" w:hAnsi="宋体" w:cs="宋体"/>
                <w:szCs w:val="21"/>
                <w:highlight w:val="none"/>
                <w:lang w:eastAsia="zh-CN"/>
              </w:rPr>
              <w:t>采购及合同</w:t>
            </w:r>
            <w:r>
              <w:rPr>
                <w:rFonts w:hint="eastAsia" w:ascii="宋体" w:hAnsi="宋体" w:cs="宋体"/>
                <w:szCs w:val="21"/>
                <w:highlight w:val="none"/>
                <w:lang w:val="en-US" w:eastAsia="zh-CN"/>
              </w:rPr>
              <w:t>管理专项审计</w:t>
            </w:r>
            <w:r>
              <w:rPr>
                <w:rFonts w:hint="eastAsia" w:ascii="宋体" w:hAnsi="宋体" w:cs="宋体"/>
                <w:szCs w:val="21"/>
                <w:highlight w:val="none"/>
              </w:rPr>
              <w:t>项目</w:t>
            </w:r>
          </w:p>
        </w:tc>
        <w:tc>
          <w:tcPr>
            <w:tcW w:w="1559" w:type="dxa"/>
            <w:vAlign w:val="center"/>
          </w:tcPr>
          <w:p>
            <w:pPr>
              <w:jc w:val="center"/>
              <w:rPr>
                <w:rFonts w:ascii="宋体" w:cs="宋体"/>
                <w:szCs w:val="21"/>
                <w:highlight w:val="none"/>
              </w:rPr>
            </w:pPr>
          </w:p>
        </w:tc>
        <w:tc>
          <w:tcPr>
            <w:tcW w:w="3118" w:type="dxa"/>
            <w:vAlign w:val="center"/>
          </w:tcPr>
          <w:p>
            <w:pPr>
              <w:rPr>
                <w:rFonts w:ascii="宋体" w:cs="宋体"/>
                <w:szCs w:val="21"/>
                <w:highlight w:val="none"/>
              </w:rPr>
            </w:pPr>
            <w:r>
              <w:rPr>
                <w:rFonts w:hint="eastAsia" w:ascii="宋体" w:hAnsi="宋体" w:cs="宋体"/>
                <w:szCs w:val="21"/>
                <w:highlight w:val="none"/>
              </w:rPr>
              <w:t>不含税：</w:t>
            </w:r>
          </w:p>
          <w:p>
            <w:pPr>
              <w:rPr>
                <w:rFonts w:ascii="宋体" w:cs="宋体"/>
                <w:szCs w:val="21"/>
                <w:highlight w:val="none"/>
              </w:rPr>
            </w:pPr>
          </w:p>
          <w:p>
            <w:pPr>
              <w:rPr>
                <w:rFonts w:ascii="宋体" w:cs="宋体"/>
                <w:szCs w:val="21"/>
                <w:highlight w:val="none"/>
              </w:rPr>
            </w:pPr>
            <w:r>
              <w:rPr>
                <w:rFonts w:hint="eastAsia" w:ascii="宋体" w:hAnsi="宋体" w:cs="宋体"/>
                <w:szCs w:val="21"/>
                <w:highlight w:val="none"/>
              </w:rPr>
              <w:t>税率（</w:t>
            </w:r>
            <w:r>
              <w:rPr>
                <w:rFonts w:ascii="宋体" w:hAnsi="宋体" w:cs="宋体"/>
                <w:szCs w:val="21"/>
                <w:highlight w:val="none"/>
              </w:rPr>
              <w:t xml:space="preserve">   %</w:t>
            </w:r>
            <w:r>
              <w:rPr>
                <w:rFonts w:hint="eastAsia" w:ascii="宋体" w:hAnsi="宋体" w:cs="宋体"/>
                <w:szCs w:val="21"/>
                <w:highlight w:val="none"/>
              </w:rPr>
              <w:t>）</w:t>
            </w:r>
          </w:p>
          <w:p>
            <w:pPr>
              <w:rPr>
                <w:rFonts w:ascii="宋体" w:cs="宋体"/>
                <w:szCs w:val="21"/>
                <w:highlight w:val="none"/>
              </w:rPr>
            </w:pPr>
          </w:p>
          <w:p>
            <w:pPr>
              <w:rPr>
                <w:rFonts w:ascii="宋体" w:cs="宋体"/>
                <w:szCs w:val="21"/>
                <w:highlight w:val="none"/>
              </w:rPr>
            </w:pPr>
            <w:r>
              <w:rPr>
                <w:rFonts w:hint="eastAsia" w:ascii="宋体" w:hAnsi="宋体" w:cs="宋体"/>
                <w:szCs w:val="21"/>
                <w:highlight w:val="none"/>
              </w:rPr>
              <w:t>价税合计：</w:t>
            </w:r>
          </w:p>
        </w:tc>
        <w:tc>
          <w:tcPr>
            <w:tcW w:w="1417" w:type="dxa"/>
          </w:tcPr>
          <w:p>
            <w:pPr>
              <w:rPr>
                <w:rFonts w:ascii="宋体" w:cs="宋体"/>
                <w:szCs w:val="21"/>
                <w:highlight w:val="none"/>
              </w:rPr>
            </w:pPr>
          </w:p>
        </w:tc>
      </w:tr>
    </w:tbl>
    <w:p>
      <w:pPr>
        <w:spacing w:line="480" w:lineRule="exact"/>
        <w:ind w:left="31680" w:hanging="560" w:hangingChars="200"/>
        <w:rPr>
          <w:rFonts w:ascii="宋体" w:cs="宋体"/>
          <w:sz w:val="28"/>
          <w:szCs w:val="28"/>
          <w:highlight w:val="none"/>
        </w:rPr>
      </w:pPr>
      <w:r>
        <w:rPr>
          <w:rFonts w:hint="eastAsia" w:ascii="宋体" w:hAnsi="宋体" w:cs="宋体"/>
          <w:sz w:val="28"/>
          <w:szCs w:val="28"/>
          <w:highlight w:val="none"/>
        </w:rPr>
        <w:t>注：</w:t>
      </w:r>
      <w:r>
        <w:rPr>
          <w:rFonts w:ascii="宋体" w:hAnsi="宋体" w:cs="宋体"/>
          <w:sz w:val="28"/>
          <w:szCs w:val="28"/>
          <w:highlight w:val="none"/>
        </w:rPr>
        <w:t>1.</w:t>
      </w:r>
      <w:r>
        <w:rPr>
          <w:rFonts w:hint="eastAsia" w:ascii="宋体" w:hAnsi="宋体" w:cs="宋体"/>
          <w:sz w:val="28"/>
          <w:szCs w:val="28"/>
          <w:highlight w:val="none"/>
        </w:rPr>
        <w:t>本表根据需要可扩展。未按照本比选报价表的格式及要求填写比选报价表的，将视为不满足比选文件要求，从而导致该比选申请人竞选无效。</w:t>
      </w:r>
    </w:p>
    <w:p>
      <w:pPr>
        <w:spacing w:line="480" w:lineRule="exact"/>
        <w:ind w:firstLine="560" w:firstLineChars="200"/>
        <w:rPr>
          <w:rFonts w:ascii="宋体" w:cs="宋体"/>
          <w:sz w:val="28"/>
          <w:szCs w:val="28"/>
          <w:highlight w:val="none"/>
          <w:u w:val="single"/>
        </w:rPr>
      </w:pPr>
      <w:r>
        <w:rPr>
          <w:rFonts w:ascii="宋体" w:hAnsi="宋体" w:cs="宋体"/>
          <w:sz w:val="28"/>
          <w:szCs w:val="28"/>
          <w:highlight w:val="none"/>
          <w:u w:val="single"/>
        </w:rPr>
        <w:t>2</w:t>
      </w:r>
      <w:r>
        <w:rPr>
          <w:rFonts w:ascii="宋体" w:cs="宋体"/>
          <w:sz w:val="28"/>
          <w:szCs w:val="28"/>
          <w:highlight w:val="none"/>
          <w:u w:val="single"/>
        </w:rPr>
        <w:t>.</w:t>
      </w:r>
      <w:r>
        <w:rPr>
          <w:rFonts w:hint="eastAsia" w:ascii="宋体" w:hAnsi="宋体" w:cs="宋体"/>
          <w:sz w:val="28"/>
          <w:szCs w:val="28"/>
          <w:highlight w:val="none"/>
          <w:u w:val="single"/>
        </w:rPr>
        <w:t>以本表中不含税报价作为评审基准价以及评分的确定依据。</w:t>
      </w:r>
    </w:p>
    <w:p>
      <w:pPr>
        <w:spacing w:line="480" w:lineRule="exact"/>
        <w:rPr>
          <w:rFonts w:ascii="宋体" w:cs="宋体"/>
          <w:sz w:val="28"/>
          <w:szCs w:val="28"/>
          <w:highlight w:val="none"/>
        </w:rPr>
      </w:pPr>
    </w:p>
    <w:p>
      <w:pPr>
        <w:spacing w:line="480" w:lineRule="exact"/>
        <w:rPr>
          <w:rFonts w:ascii="宋体" w:cs="宋体"/>
          <w:sz w:val="28"/>
          <w:szCs w:val="28"/>
          <w:highlight w:val="none"/>
        </w:rPr>
      </w:pPr>
      <w:r>
        <w:rPr>
          <w:rFonts w:hint="eastAsia" w:ascii="宋体" w:hAnsi="宋体" w:cs="宋体"/>
          <w:sz w:val="28"/>
          <w:szCs w:val="28"/>
          <w:highlight w:val="none"/>
        </w:rPr>
        <w:t>比选申请人：（加盖单位公章）</w:t>
      </w:r>
      <w:r>
        <w:rPr>
          <w:rFonts w:ascii="宋体" w:hAnsi="宋体" w:cs="宋体"/>
          <w:sz w:val="28"/>
          <w:szCs w:val="28"/>
          <w:highlight w:val="none"/>
        </w:rPr>
        <w:t xml:space="preserve">                                </w:t>
      </w:r>
    </w:p>
    <w:p>
      <w:pPr>
        <w:spacing w:line="480" w:lineRule="exact"/>
        <w:rPr>
          <w:rFonts w:ascii="宋体" w:cs="宋体"/>
          <w:sz w:val="28"/>
          <w:szCs w:val="28"/>
          <w:highlight w:val="none"/>
        </w:rPr>
      </w:pPr>
      <w:r>
        <w:rPr>
          <w:rFonts w:hint="eastAsia" w:ascii="宋体" w:hAnsi="宋体" w:cs="宋体"/>
          <w:sz w:val="28"/>
          <w:szCs w:val="28"/>
          <w:highlight w:val="none"/>
        </w:rPr>
        <w:t>法定代表人（负责人）或其委托代理人：（签字）</w:t>
      </w:r>
      <w:r>
        <w:rPr>
          <w:rFonts w:ascii="宋体" w:hAnsi="宋体" w:cs="宋体"/>
          <w:sz w:val="28"/>
          <w:szCs w:val="28"/>
          <w:highlight w:val="none"/>
        </w:rPr>
        <w:t xml:space="preserve"> </w:t>
      </w:r>
    </w:p>
    <w:p>
      <w:pPr>
        <w:spacing w:line="480" w:lineRule="exact"/>
        <w:rPr>
          <w:rFonts w:ascii="宋体" w:cs="宋体"/>
          <w:sz w:val="28"/>
          <w:szCs w:val="28"/>
          <w:highlight w:val="none"/>
        </w:rPr>
      </w:pPr>
    </w:p>
    <w:p>
      <w:pPr>
        <w:spacing w:line="480" w:lineRule="exact"/>
        <w:rPr>
          <w:rFonts w:ascii="宋体" w:cs="宋体"/>
          <w:sz w:val="28"/>
          <w:szCs w:val="28"/>
          <w:highlight w:val="none"/>
        </w:rPr>
      </w:pPr>
    </w:p>
    <w:p>
      <w:pPr>
        <w:spacing w:line="480" w:lineRule="exact"/>
        <w:rPr>
          <w:rFonts w:ascii="宋体" w:cs="宋体"/>
          <w:sz w:val="28"/>
          <w:szCs w:val="28"/>
          <w:highlight w:val="none"/>
        </w:rPr>
      </w:pPr>
    </w:p>
    <w:p>
      <w:pPr>
        <w:jc w:val="center"/>
        <w:rPr>
          <w:rFonts w:ascii="宋体" w:cs="宋体"/>
          <w:sz w:val="28"/>
          <w:szCs w:val="28"/>
          <w:highlight w:val="none"/>
        </w:rPr>
      </w:pPr>
    </w:p>
    <w:bookmarkEnd w:id="427"/>
    <w:bookmarkEnd w:id="428"/>
    <w:bookmarkEnd w:id="445"/>
    <w:bookmarkEnd w:id="446"/>
    <w:bookmarkEnd w:id="447"/>
    <w:bookmarkEnd w:id="448"/>
    <w:bookmarkEnd w:id="449"/>
    <w:bookmarkEnd w:id="450"/>
    <w:bookmarkEnd w:id="451"/>
    <w:bookmarkEnd w:id="452"/>
    <w:p>
      <w:pPr>
        <w:pStyle w:val="3"/>
        <w:spacing w:before="0" w:after="0" w:line="600" w:lineRule="exact"/>
        <w:rPr>
          <w:rFonts w:ascii="宋体" w:cs="宋体"/>
          <w:b w:val="0"/>
          <w:kern w:val="2"/>
          <w:szCs w:val="28"/>
          <w:highlight w:val="none"/>
        </w:rPr>
      </w:pPr>
      <w:bookmarkStart w:id="497" w:name="_Toc2193"/>
      <w:bookmarkStart w:id="498" w:name="_Toc471482373"/>
    </w:p>
    <w:p>
      <w:pPr>
        <w:rPr>
          <w:highlight w:val="none"/>
        </w:rPr>
      </w:pPr>
    </w:p>
    <w:p>
      <w:pPr>
        <w:pStyle w:val="2"/>
        <w:rPr>
          <w:highlight w:val="none"/>
        </w:rPr>
      </w:pPr>
    </w:p>
    <w:p>
      <w:pPr>
        <w:pStyle w:val="2"/>
        <w:rPr>
          <w:highlight w:val="none"/>
        </w:rPr>
      </w:pPr>
    </w:p>
    <w:p>
      <w:pPr>
        <w:pStyle w:val="2"/>
        <w:rPr>
          <w:highlight w:val="none"/>
        </w:rPr>
      </w:pPr>
    </w:p>
    <w:p>
      <w:pPr>
        <w:pStyle w:val="3"/>
        <w:spacing w:before="0" w:after="0" w:line="600" w:lineRule="exact"/>
        <w:jc w:val="both"/>
        <w:rPr>
          <w:b w:val="0"/>
          <w:kern w:val="2"/>
          <w:sz w:val="21"/>
          <w:szCs w:val="24"/>
          <w:highlight w:val="none"/>
        </w:rPr>
      </w:pPr>
    </w:p>
    <w:p>
      <w:pPr>
        <w:rPr>
          <w:highlight w:val="none"/>
        </w:rPr>
      </w:pPr>
    </w:p>
    <w:p>
      <w:pPr>
        <w:pStyle w:val="3"/>
        <w:spacing w:before="0" w:after="0" w:line="600" w:lineRule="exact"/>
        <w:rPr>
          <w:highlight w:val="none"/>
        </w:rPr>
      </w:pPr>
      <w:bookmarkStart w:id="499" w:name="_Toc3272"/>
      <w:bookmarkStart w:id="500" w:name="_Toc7086"/>
      <w:bookmarkStart w:id="501" w:name="_Toc22689"/>
      <w:bookmarkStart w:id="502" w:name="_Toc7168"/>
      <w:bookmarkStart w:id="503" w:name="_Toc30863"/>
      <w:bookmarkStart w:id="504" w:name="_Toc29161"/>
      <w:bookmarkStart w:id="505" w:name="_Toc8240"/>
      <w:r>
        <w:rPr>
          <w:rFonts w:hint="eastAsia"/>
          <w:highlight w:val="none"/>
        </w:rPr>
        <w:t>第四章</w:t>
      </w:r>
      <w:r>
        <w:rPr>
          <w:highlight w:val="none"/>
        </w:rPr>
        <w:t xml:space="preserve"> </w:t>
      </w:r>
      <w:r>
        <w:rPr>
          <w:rFonts w:hint="eastAsia"/>
          <w:highlight w:val="none"/>
        </w:rPr>
        <w:t>评比办法</w:t>
      </w:r>
      <w:bookmarkEnd w:id="497"/>
      <w:bookmarkEnd w:id="498"/>
      <w:bookmarkEnd w:id="499"/>
      <w:bookmarkEnd w:id="500"/>
      <w:bookmarkEnd w:id="501"/>
      <w:bookmarkEnd w:id="502"/>
      <w:bookmarkEnd w:id="503"/>
      <w:bookmarkEnd w:id="504"/>
      <w:bookmarkEnd w:id="505"/>
    </w:p>
    <w:p>
      <w:pPr>
        <w:pStyle w:val="4"/>
        <w:spacing w:before="0" w:after="0" w:line="540" w:lineRule="exact"/>
        <w:rPr>
          <w:highlight w:val="none"/>
        </w:rPr>
      </w:pPr>
      <w:bookmarkStart w:id="506" w:name="_Toc17031"/>
      <w:bookmarkStart w:id="507" w:name="_Toc31412"/>
      <w:bookmarkStart w:id="508" w:name="_Toc2433"/>
      <w:bookmarkStart w:id="509" w:name="_Toc3898"/>
      <w:bookmarkStart w:id="510" w:name="_Toc16236"/>
      <w:bookmarkStart w:id="511" w:name="_Toc18215"/>
      <w:bookmarkStart w:id="512" w:name="_Toc471482374"/>
      <w:bookmarkStart w:id="513" w:name="_Toc2996"/>
      <w:bookmarkStart w:id="514" w:name="_Toc10015"/>
      <w:bookmarkStart w:id="515" w:name="_Toc7201"/>
      <w:bookmarkStart w:id="516" w:name="_Toc28938"/>
    </w:p>
    <w:p>
      <w:pPr>
        <w:pStyle w:val="4"/>
        <w:spacing w:before="0" w:after="0" w:line="540" w:lineRule="exact"/>
        <w:rPr>
          <w:b/>
          <w:highlight w:val="none"/>
        </w:rPr>
      </w:pPr>
      <w:bookmarkStart w:id="517" w:name="_Toc24016"/>
      <w:bookmarkStart w:id="518" w:name="_Toc6298"/>
      <w:bookmarkStart w:id="519" w:name="_Toc25326"/>
      <w:bookmarkStart w:id="520" w:name="_Toc3261"/>
      <w:bookmarkStart w:id="521" w:name="_Toc21341"/>
      <w:bookmarkStart w:id="522" w:name="_Toc11093"/>
      <w:bookmarkStart w:id="523" w:name="_Toc30260"/>
      <w:r>
        <w:rPr>
          <w:rFonts w:hint="eastAsia"/>
          <w:b/>
          <w:highlight w:val="none"/>
        </w:rPr>
        <w:t>一、综合评分办法</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spacing w:line="540" w:lineRule="exact"/>
        <w:ind w:firstLine="560" w:firstLineChars="200"/>
        <w:rPr>
          <w:rFonts w:ascii="宋体" w:cs="宋体"/>
          <w:sz w:val="28"/>
          <w:szCs w:val="28"/>
          <w:highlight w:val="none"/>
        </w:rPr>
      </w:pPr>
      <w:r>
        <w:rPr>
          <w:rFonts w:hint="eastAsia" w:ascii="宋体" w:hAnsi="宋体" w:cs="宋体"/>
          <w:sz w:val="28"/>
          <w:szCs w:val="28"/>
          <w:highlight w:val="none"/>
        </w:rPr>
        <w:t>评审小组首先对比选申请人进行资格审查，评审小组对通过资格审查的比选申请人按相应的评分细则对技术部分、商务部分各自进行打分后进行汇总，比选申请人的最终得分是评审小组每一位成员综合得分计算出来的算术平均值。</w:t>
      </w:r>
    </w:p>
    <w:p>
      <w:pPr>
        <w:spacing w:line="540" w:lineRule="exact"/>
        <w:ind w:firstLine="560" w:firstLineChars="200"/>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资格评审：对比选申请人的资格条件、比选申请文件的完整性和有效性、比选申请文件的有效期等方面进行审查。通过资格评审的比选申请文件进入技术、商务评审。</w:t>
      </w:r>
    </w:p>
    <w:p>
      <w:pPr>
        <w:spacing w:line="540" w:lineRule="exact"/>
        <w:ind w:firstLine="560" w:firstLineChars="200"/>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技术、商务评审：由评审小组按照比选文件的要求，对照比选申请文件的应答进行比较，并对各比选申请文件的技术、商务内容进行评审，且技术部分、商务部分由评审小组讨论定档后进行打分。</w:t>
      </w:r>
    </w:p>
    <w:p>
      <w:pPr>
        <w:spacing w:line="540" w:lineRule="exact"/>
        <w:ind w:firstLine="560" w:firstLineChars="200"/>
        <w:rPr>
          <w:rFonts w:asci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评审小组的要求。如比选申请人拒绝接受澄清、说明或补正，该报价做无效报价处理。</w:t>
      </w:r>
    </w:p>
    <w:p>
      <w:pPr>
        <w:spacing w:line="540" w:lineRule="exact"/>
        <w:ind w:firstLine="560" w:firstLineChars="200"/>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商务报价评审应以报价口径范围一致的评审价为依据。评审价应在报价的基础上，按照下列约定的因素和方法进行计算（下述修正属于非实质性修改比选申请文件；比选申请人如拒绝下述修正的，则属重大偏差，按无效报价处理）：</w:t>
      </w:r>
    </w:p>
    <w:p>
      <w:pPr>
        <w:spacing w:line="540" w:lineRule="exact"/>
        <w:ind w:firstLine="420" w:firstLineChars="150"/>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）如果数字表示的金额和用文字表示的金额不一致时，应以文字表示的金额为准；</w:t>
      </w:r>
    </w:p>
    <w:p>
      <w:pPr>
        <w:spacing w:line="540" w:lineRule="exact"/>
        <w:ind w:firstLine="420" w:firstLineChars="150"/>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）当单价与数量的乘积与合价不一致时，以合价为准，并调整单价；</w:t>
      </w:r>
    </w:p>
    <w:p>
      <w:pPr>
        <w:spacing w:line="540" w:lineRule="exact"/>
        <w:ind w:firstLine="420" w:firstLineChars="150"/>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3</w:t>
      </w:r>
      <w:r>
        <w:rPr>
          <w:rFonts w:hint="eastAsia" w:ascii="宋体" w:hAnsi="宋体" w:cs="宋体"/>
          <w:sz w:val="28"/>
          <w:szCs w:val="28"/>
          <w:highlight w:val="none"/>
        </w:rPr>
        <w:t>）当合价与报价总价不一致时，以报价总价为准，调整相关合价；</w:t>
      </w:r>
    </w:p>
    <w:p>
      <w:pPr>
        <w:spacing w:line="540" w:lineRule="exact"/>
        <w:ind w:firstLine="420" w:firstLineChars="150"/>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4</w:t>
      </w:r>
      <w:r>
        <w:rPr>
          <w:rFonts w:hint="eastAsia" w:ascii="宋体" w:hAnsi="宋体" w:cs="宋体"/>
          <w:sz w:val="28"/>
          <w:szCs w:val="28"/>
          <w:highlight w:val="none"/>
        </w:rPr>
        <w:t>）评审期间，评审小组不接受任何比选申请人主动提出的对报价及单价、合价的调整；</w:t>
      </w:r>
    </w:p>
    <w:p>
      <w:pPr>
        <w:spacing w:line="540" w:lineRule="exact"/>
        <w:ind w:firstLine="420" w:firstLineChars="150"/>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5</w:t>
      </w:r>
      <w:r>
        <w:rPr>
          <w:rFonts w:hint="eastAsia" w:ascii="宋体" w:hAnsi="宋体" w:cs="宋体"/>
          <w:sz w:val="28"/>
          <w:szCs w:val="28"/>
          <w:highlight w:val="none"/>
        </w:rPr>
        <w:t>）其它未尽事宜，由评审小组审议确定</w:t>
      </w:r>
      <w:r>
        <w:rPr>
          <w:rFonts w:ascii="宋体" w:hAnsi="宋体" w:cs="宋体"/>
          <w:sz w:val="28"/>
          <w:szCs w:val="28"/>
          <w:highlight w:val="none"/>
        </w:rPr>
        <w:t>(</w:t>
      </w:r>
      <w:r>
        <w:rPr>
          <w:rFonts w:hint="eastAsia" w:ascii="宋体" w:hAnsi="宋体" w:cs="宋体"/>
          <w:sz w:val="28"/>
          <w:szCs w:val="28"/>
          <w:highlight w:val="none"/>
        </w:rPr>
        <w:t>如意见不一致时，以记名方式投票确定</w:t>
      </w:r>
      <w:r>
        <w:rPr>
          <w:rFonts w:ascii="宋体" w:hAnsi="宋体" w:cs="宋体"/>
          <w:sz w:val="28"/>
          <w:szCs w:val="28"/>
          <w:highlight w:val="none"/>
        </w:rPr>
        <w:t>)</w:t>
      </w:r>
      <w:r>
        <w:rPr>
          <w:rFonts w:hint="eastAsia" w:ascii="宋体" w:hAnsi="宋体" w:cs="宋体"/>
          <w:sz w:val="28"/>
          <w:szCs w:val="28"/>
          <w:highlight w:val="none"/>
        </w:rPr>
        <w:t>。</w:t>
      </w:r>
    </w:p>
    <w:p>
      <w:pPr>
        <w:spacing w:line="540" w:lineRule="exact"/>
        <w:ind w:firstLine="560" w:firstLineChars="200"/>
        <w:rPr>
          <w:rFonts w:ascii="宋体" w:cs="宋体"/>
          <w:sz w:val="28"/>
          <w:szCs w:val="28"/>
          <w:highlight w:val="none"/>
        </w:rPr>
      </w:pPr>
      <w:r>
        <w:rPr>
          <w:rFonts w:ascii="宋体" w:hAnsi="宋体" w:cs="宋体"/>
          <w:sz w:val="28"/>
          <w:szCs w:val="28"/>
          <w:highlight w:val="none"/>
        </w:rPr>
        <w:t>5.</w:t>
      </w:r>
      <w:r>
        <w:rPr>
          <w:rFonts w:hint="eastAsia" w:ascii="宋体" w:hAnsi="宋体" w:cs="宋体"/>
          <w:sz w:val="28"/>
          <w:szCs w:val="28"/>
          <w:highlight w:val="none"/>
        </w:rPr>
        <w:t>在评审过程中，评审小组发现投标人的报价明显低于其他投标报价，使得其投标报价可能低于其成本的，应当要求该比选申请人做出书面说明并提供相关证明材料。比选申请人不能合理说明或者不能提供相关证明材料的，由评审小组认定该比选申请人以低于成本报价，报价不合理，其比选申请文件作无效处理。</w:t>
      </w:r>
    </w:p>
    <w:p>
      <w:pPr>
        <w:pStyle w:val="4"/>
        <w:spacing w:before="0" w:after="0" w:line="540" w:lineRule="exact"/>
        <w:rPr>
          <w:b/>
          <w:highlight w:val="none"/>
        </w:rPr>
      </w:pPr>
      <w:bookmarkStart w:id="524" w:name="_Toc9093"/>
      <w:bookmarkStart w:id="525" w:name="_Toc29182"/>
      <w:bookmarkStart w:id="526" w:name="_Toc28487"/>
      <w:bookmarkStart w:id="527" w:name="_Toc20237"/>
      <w:bookmarkStart w:id="528" w:name="_Toc14401"/>
      <w:bookmarkStart w:id="529" w:name="_Toc18543"/>
      <w:bookmarkStart w:id="530" w:name="_Toc30979"/>
      <w:bookmarkStart w:id="531" w:name="_Toc14568"/>
      <w:bookmarkStart w:id="532" w:name="_Toc7740"/>
      <w:bookmarkStart w:id="533" w:name="_Toc29031"/>
      <w:bookmarkStart w:id="534" w:name="_Toc15054"/>
      <w:bookmarkStart w:id="535" w:name="_Toc5576"/>
      <w:bookmarkStart w:id="536" w:name="_Toc5190"/>
      <w:bookmarkStart w:id="537" w:name="_Toc32565"/>
      <w:bookmarkStart w:id="538" w:name="_Toc5579"/>
      <w:bookmarkStart w:id="539" w:name="_Toc17260"/>
      <w:bookmarkStart w:id="540" w:name="_Toc471482375"/>
      <w:bookmarkStart w:id="541" w:name="_Toc7245"/>
      <w:r>
        <w:rPr>
          <w:rFonts w:hint="eastAsia"/>
          <w:b/>
          <w:highlight w:val="none"/>
        </w:rPr>
        <w:t>二、总分计算公式</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spacing w:line="540" w:lineRule="exact"/>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总分即比选申请人评分综合得分，其计算公式：</w:t>
      </w:r>
    </w:p>
    <w:p>
      <w:pPr>
        <w:spacing w:line="540" w:lineRule="exact"/>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总分＝商务部分得分</w:t>
      </w:r>
      <w:r>
        <w:rPr>
          <w:rFonts w:ascii="宋体" w:hAnsi="宋体" w:cs="宋体"/>
          <w:sz w:val="28"/>
          <w:szCs w:val="28"/>
          <w:highlight w:val="none"/>
        </w:rPr>
        <w:t>+</w:t>
      </w:r>
      <w:r>
        <w:rPr>
          <w:rFonts w:hint="eastAsia" w:ascii="宋体" w:hAnsi="宋体" w:cs="宋体"/>
          <w:sz w:val="28"/>
          <w:szCs w:val="28"/>
          <w:highlight w:val="none"/>
        </w:rPr>
        <w:t>技术部分得分</w:t>
      </w:r>
    </w:p>
    <w:p>
      <w:pPr>
        <w:spacing w:line="480" w:lineRule="exact"/>
        <w:ind w:firstLine="560"/>
        <w:rPr>
          <w:rFonts w:ascii="宋体" w:cs="宋体"/>
          <w:sz w:val="28"/>
          <w:szCs w:val="28"/>
          <w:highlight w:val="none"/>
        </w:rPr>
      </w:pPr>
      <w:r>
        <w:rPr>
          <w:rFonts w:hint="eastAsia" w:ascii="宋体" w:hAnsi="宋体" w:cs="宋体"/>
          <w:sz w:val="28"/>
          <w:szCs w:val="28"/>
          <w:highlight w:val="none"/>
        </w:rPr>
        <w:t>注：各项指标的分数计算四舍五入，取小数点后两位。</w:t>
      </w:r>
    </w:p>
    <w:p>
      <w:pPr>
        <w:pStyle w:val="4"/>
        <w:spacing w:before="0" w:after="0" w:line="480" w:lineRule="exact"/>
        <w:rPr>
          <w:b/>
          <w:highlight w:val="none"/>
        </w:rPr>
      </w:pPr>
      <w:bookmarkStart w:id="542" w:name="_Toc25894"/>
      <w:bookmarkStart w:id="543" w:name="_Toc31078"/>
      <w:bookmarkStart w:id="544" w:name="_Toc9696"/>
      <w:bookmarkStart w:id="545" w:name="_Toc10906"/>
      <w:bookmarkStart w:id="546" w:name="_Toc13406"/>
      <w:bookmarkStart w:id="547" w:name="_Toc10918"/>
      <w:bookmarkStart w:id="548" w:name="_Toc2727"/>
      <w:bookmarkStart w:id="549" w:name="_Toc2553"/>
      <w:bookmarkStart w:id="550" w:name="_Toc2392"/>
      <w:bookmarkStart w:id="551" w:name="_Toc28207"/>
      <w:bookmarkStart w:id="552" w:name="_Toc26842"/>
      <w:bookmarkStart w:id="553" w:name="_Toc15930"/>
      <w:bookmarkStart w:id="554" w:name="_Toc2613"/>
      <w:bookmarkStart w:id="555" w:name="_Toc5094"/>
      <w:bookmarkStart w:id="556" w:name="_Toc32296"/>
      <w:bookmarkStart w:id="557" w:name="_Toc11354"/>
      <w:bookmarkStart w:id="558" w:name="_Toc18027"/>
      <w:bookmarkStart w:id="559" w:name="_Toc471482376"/>
      <w:r>
        <w:rPr>
          <w:rFonts w:hint="eastAsia"/>
          <w:b/>
          <w:highlight w:val="none"/>
        </w:rPr>
        <w:t>三、评分细则</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13"/>
        <w:spacing w:line="480" w:lineRule="exact"/>
        <w:rPr>
          <w:sz w:val="28"/>
          <w:szCs w:val="28"/>
          <w:highlight w:val="none"/>
        </w:rPr>
      </w:pPr>
      <w:bookmarkStart w:id="560" w:name="_Toc15382"/>
      <w:bookmarkStart w:id="561" w:name="_Toc1358"/>
      <w:bookmarkStart w:id="562" w:name="_Toc18752"/>
      <w:r>
        <w:rPr>
          <w:sz w:val="28"/>
          <w:szCs w:val="28"/>
          <w:highlight w:val="none"/>
        </w:rPr>
        <w:t>1.</w:t>
      </w:r>
      <w:r>
        <w:rPr>
          <w:rFonts w:hint="eastAsia"/>
          <w:sz w:val="28"/>
          <w:szCs w:val="28"/>
          <w:highlight w:val="none"/>
        </w:rPr>
        <w:t>商务部分评分细则（满分</w:t>
      </w:r>
      <w:r>
        <w:rPr>
          <w:rFonts w:hint="eastAsia"/>
          <w:sz w:val="28"/>
          <w:szCs w:val="28"/>
          <w:highlight w:val="none"/>
          <w:lang w:val="en-US" w:eastAsia="zh-CN"/>
        </w:rPr>
        <w:t>20</w:t>
      </w:r>
      <w:r>
        <w:rPr>
          <w:rFonts w:hint="eastAsia"/>
          <w:sz w:val="28"/>
          <w:szCs w:val="28"/>
          <w:highlight w:val="none"/>
        </w:rPr>
        <w:t>分）</w:t>
      </w:r>
      <w:bookmarkEnd w:id="560"/>
      <w:bookmarkEnd w:id="561"/>
      <w:bookmarkEnd w:id="562"/>
    </w:p>
    <w:tbl>
      <w:tblPr>
        <w:tblStyle w:val="25"/>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cs="宋体"/>
                <w:kern w:val="0"/>
                <w:sz w:val="24"/>
                <w:highlight w:val="none"/>
              </w:rPr>
            </w:pPr>
            <w:r>
              <w:rPr>
                <w:rFonts w:hint="eastAsia" w:ascii="宋体" w:hAnsi="宋体" w:cs="宋体"/>
                <w:kern w:val="0"/>
                <w:sz w:val="24"/>
                <w:highlight w:val="none"/>
              </w:rPr>
              <w:t>序号</w:t>
            </w:r>
          </w:p>
        </w:tc>
        <w:tc>
          <w:tcPr>
            <w:tcW w:w="3260" w:type="dxa"/>
            <w:vAlign w:val="center"/>
          </w:tcPr>
          <w:p>
            <w:pPr>
              <w:jc w:val="center"/>
              <w:rPr>
                <w:rFonts w:ascii="宋体" w:cs="宋体"/>
                <w:sz w:val="24"/>
                <w:highlight w:val="none"/>
              </w:rPr>
            </w:pPr>
            <w:r>
              <w:rPr>
                <w:rFonts w:hint="eastAsia" w:ascii="宋体" w:hAnsi="宋体" w:cs="宋体"/>
                <w:kern w:val="0"/>
                <w:sz w:val="24"/>
                <w:highlight w:val="none"/>
              </w:rPr>
              <w:t>评分因素</w:t>
            </w:r>
          </w:p>
        </w:tc>
        <w:tc>
          <w:tcPr>
            <w:tcW w:w="5358" w:type="dxa"/>
            <w:vAlign w:val="center"/>
          </w:tcPr>
          <w:p>
            <w:pPr>
              <w:jc w:val="center"/>
              <w:rPr>
                <w:rFonts w:ascii="宋体" w:cs="宋体"/>
                <w:sz w:val="24"/>
                <w:highlight w:val="none"/>
              </w:rPr>
            </w:pPr>
            <w:r>
              <w:rPr>
                <w:rFonts w:hint="eastAsia" w:ascii="宋体" w:hAnsi="宋体" w:cs="宋体"/>
                <w:kern w:val="0"/>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cs="宋体"/>
                <w:sz w:val="24"/>
                <w:highlight w:val="none"/>
              </w:rPr>
            </w:pPr>
            <w:r>
              <w:rPr>
                <w:rFonts w:ascii="宋体" w:hAnsi="宋体" w:cs="宋体"/>
                <w:kern w:val="0"/>
                <w:sz w:val="24"/>
                <w:highlight w:val="none"/>
              </w:rPr>
              <w:t>1</w:t>
            </w:r>
          </w:p>
        </w:tc>
        <w:tc>
          <w:tcPr>
            <w:tcW w:w="3260" w:type="dxa"/>
            <w:vAlign w:val="center"/>
          </w:tcPr>
          <w:p>
            <w:pPr>
              <w:jc w:val="center"/>
              <w:rPr>
                <w:rFonts w:ascii="宋体" w:cs="宋体"/>
                <w:kern w:val="0"/>
                <w:sz w:val="24"/>
                <w:highlight w:val="none"/>
              </w:rPr>
            </w:pPr>
            <w:r>
              <w:rPr>
                <w:rFonts w:hint="eastAsia" w:ascii="宋体" w:hAnsi="宋体" w:cs="宋体"/>
                <w:kern w:val="0"/>
                <w:sz w:val="24"/>
                <w:highlight w:val="none"/>
              </w:rPr>
              <w:t>本项目报价评分</w:t>
            </w:r>
          </w:p>
          <w:p>
            <w:pPr>
              <w:jc w:val="center"/>
              <w:rPr>
                <w:rFonts w:ascii="宋体" w:cs="宋体"/>
                <w:kern w:val="0"/>
                <w:sz w:val="24"/>
                <w:highlight w:val="none"/>
              </w:rPr>
            </w:pPr>
            <w:r>
              <w:rPr>
                <w:rFonts w:hint="eastAsia" w:ascii="宋体" w:hAnsi="宋体" w:cs="宋体"/>
                <w:kern w:val="0"/>
                <w:sz w:val="24"/>
                <w:highlight w:val="none"/>
              </w:rPr>
              <w:t>（满分</w:t>
            </w:r>
            <w:r>
              <w:rPr>
                <w:rFonts w:hint="eastAsia" w:ascii="宋体" w:hAnsi="宋体" w:cs="宋体"/>
                <w:kern w:val="0"/>
                <w:sz w:val="24"/>
                <w:highlight w:val="none"/>
                <w:lang w:val="en-US" w:eastAsia="zh-CN"/>
              </w:rPr>
              <w:t>20</w:t>
            </w:r>
            <w:r>
              <w:rPr>
                <w:rFonts w:hint="eastAsia" w:ascii="宋体" w:hAnsi="宋体" w:cs="宋体"/>
                <w:kern w:val="0"/>
                <w:sz w:val="24"/>
                <w:highlight w:val="none"/>
              </w:rPr>
              <w:t>分）</w:t>
            </w:r>
          </w:p>
        </w:tc>
        <w:tc>
          <w:tcPr>
            <w:tcW w:w="5358" w:type="dxa"/>
            <w:vAlign w:val="center"/>
          </w:tcPr>
          <w:p>
            <w:pPr>
              <w:ind w:firstLine="482" w:firstLineChars="200"/>
              <w:jc w:val="left"/>
              <w:rPr>
                <w:rFonts w:ascii="宋体"/>
                <w:b/>
                <w:kern w:val="0"/>
                <w:sz w:val="24"/>
                <w:highlight w:val="none"/>
              </w:rPr>
            </w:pPr>
            <w:r>
              <w:rPr>
                <w:rFonts w:hint="eastAsia" w:ascii="宋体" w:hAnsi="宋体"/>
                <w:b/>
                <w:kern w:val="0"/>
                <w:sz w:val="24"/>
                <w:highlight w:val="none"/>
              </w:rPr>
              <w:t>比选申请人价格大于上控价时比选申请文件作无效处理。</w:t>
            </w:r>
          </w:p>
          <w:p>
            <w:pPr>
              <w:ind w:firstLine="480" w:firstLineChars="200"/>
              <w:jc w:val="left"/>
              <w:rPr>
                <w:rFonts w:ascii="宋体"/>
                <w:sz w:val="24"/>
                <w:highlight w:val="none"/>
              </w:rPr>
            </w:pPr>
            <w:r>
              <w:rPr>
                <w:rFonts w:hint="eastAsia" w:ascii="宋体" w:hAnsi="宋体"/>
                <w:kern w:val="0"/>
                <w:sz w:val="24"/>
                <w:highlight w:val="none"/>
              </w:rPr>
              <w:t>当比选申请人价格小于或者等于上控价时，资格审查合格的有效报价投标人在</w:t>
            </w:r>
            <w:r>
              <w:rPr>
                <w:rFonts w:ascii="宋体" w:hAnsi="宋体"/>
                <w:kern w:val="0"/>
                <w:sz w:val="24"/>
                <w:highlight w:val="none"/>
              </w:rPr>
              <w:t>5</w:t>
            </w:r>
            <w:r>
              <w:rPr>
                <w:rFonts w:hint="eastAsia" w:ascii="宋体" w:hAnsi="宋体"/>
                <w:kern w:val="0"/>
                <w:sz w:val="24"/>
                <w:highlight w:val="none"/>
              </w:rPr>
              <w:t>家以上（不含</w:t>
            </w:r>
            <w:r>
              <w:rPr>
                <w:rFonts w:ascii="宋体" w:hAnsi="宋体"/>
                <w:kern w:val="0"/>
                <w:sz w:val="24"/>
                <w:highlight w:val="none"/>
              </w:rPr>
              <w:t>5</w:t>
            </w:r>
            <w:r>
              <w:rPr>
                <w:rFonts w:hint="eastAsia" w:ascii="宋体" w:hAnsi="宋体"/>
                <w:kern w:val="0"/>
                <w:sz w:val="24"/>
                <w:highlight w:val="none"/>
              </w:rPr>
              <w:t>家）的，将去掉最高和最低有效报价后，取有效报价的算术平均值作</w:t>
            </w:r>
            <w:r>
              <w:rPr>
                <w:rFonts w:hint="eastAsia" w:ascii="宋体" w:hAnsi="宋体"/>
                <w:sz w:val="24"/>
                <w:highlight w:val="none"/>
              </w:rPr>
              <w:t>为评审基准价；资格审查合格的投标人在</w:t>
            </w:r>
            <w:r>
              <w:rPr>
                <w:rFonts w:ascii="宋体" w:hAnsi="宋体"/>
                <w:sz w:val="24"/>
                <w:highlight w:val="none"/>
              </w:rPr>
              <w:t>5</w:t>
            </w:r>
            <w:r>
              <w:rPr>
                <w:rFonts w:hint="eastAsia" w:ascii="宋体" w:hAnsi="宋体"/>
                <w:sz w:val="24"/>
                <w:highlight w:val="none"/>
              </w:rPr>
              <w:t>家以下（含</w:t>
            </w:r>
            <w:r>
              <w:rPr>
                <w:rFonts w:ascii="宋体" w:hAnsi="宋体"/>
                <w:sz w:val="24"/>
                <w:highlight w:val="none"/>
              </w:rPr>
              <w:t>5</w:t>
            </w:r>
            <w:r>
              <w:rPr>
                <w:rFonts w:hint="eastAsia" w:ascii="宋体" w:hAnsi="宋体"/>
                <w:sz w:val="24"/>
                <w:highlight w:val="none"/>
              </w:rPr>
              <w:t>家）的，</w:t>
            </w:r>
            <w:r>
              <w:rPr>
                <w:rFonts w:hint="eastAsia" w:ascii="宋体" w:hAnsi="宋体"/>
                <w:kern w:val="0"/>
                <w:sz w:val="24"/>
                <w:highlight w:val="none"/>
              </w:rPr>
              <w:t>取有效报价的算术平均值作</w:t>
            </w:r>
            <w:r>
              <w:rPr>
                <w:rFonts w:hint="eastAsia" w:ascii="宋体" w:hAnsi="宋体"/>
                <w:sz w:val="24"/>
                <w:highlight w:val="none"/>
              </w:rPr>
              <w:t>为评审基准价。</w:t>
            </w:r>
            <w:r>
              <w:rPr>
                <w:rFonts w:ascii="宋体" w:hAnsi="宋体"/>
                <w:sz w:val="24"/>
                <w:highlight w:val="none"/>
              </w:rPr>
              <w:t xml:space="preserve"> </w:t>
            </w:r>
          </w:p>
          <w:p>
            <w:pPr>
              <w:ind w:firstLine="480" w:firstLineChars="200"/>
              <w:jc w:val="left"/>
              <w:rPr>
                <w:rFonts w:ascii="宋体"/>
                <w:sz w:val="24"/>
                <w:highlight w:val="none"/>
              </w:rPr>
            </w:pPr>
            <w:r>
              <w:rPr>
                <w:rFonts w:hint="eastAsia" w:ascii="宋体" w:hAnsi="宋体"/>
                <w:sz w:val="24"/>
                <w:highlight w:val="none"/>
              </w:rPr>
              <w:t>评审时以经评审的基准价为最高分，采用内插法计算，投标人报价每高于基准价</w:t>
            </w:r>
            <w:r>
              <w:rPr>
                <w:rFonts w:ascii="宋体" w:hAnsi="宋体"/>
                <w:sz w:val="24"/>
                <w:highlight w:val="none"/>
              </w:rPr>
              <w:t>1</w:t>
            </w:r>
            <w:r>
              <w:rPr>
                <w:rFonts w:hint="eastAsia" w:ascii="宋体" w:hAnsi="宋体"/>
                <w:sz w:val="24"/>
                <w:highlight w:val="none"/>
              </w:rPr>
              <w:t>％的扣</w:t>
            </w:r>
            <w:r>
              <w:rPr>
                <w:rFonts w:ascii="宋体" w:hAnsi="宋体"/>
                <w:sz w:val="24"/>
                <w:highlight w:val="none"/>
              </w:rPr>
              <w:t>1</w:t>
            </w:r>
            <w:r>
              <w:rPr>
                <w:rFonts w:hint="eastAsia" w:ascii="宋体" w:hAnsi="宋体"/>
                <w:sz w:val="24"/>
                <w:highlight w:val="none"/>
              </w:rPr>
              <w:t>分，每低于基准价</w:t>
            </w:r>
            <w:r>
              <w:rPr>
                <w:rFonts w:ascii="宋体" w:hAnsi="宋体"/>
                <w:sz w:val="24"/>
                <w:highlight w:val="none"/>
              </w:rPr>
              <w:t>1</w:t>
            </w:r>
            <w:r>
              <w:rPr>
                <w:rFonts w:hint="eastAsia" w:ascii="宋体" w:hAnsi="宋体"/>
                <w:sz w:val="24"/>
                <w:highlight w:val="none"/>
              </w:rPr>
              <w:t>％的扣</w:t>
            </w:r>
            <w:r>
              <w:rPr>
                <w:rFonts w:ascii="宋体" w:hAnsi="宋体"/>
                <w:sz w:val="24"/>
                <w:highlight w:val="none"/>
              </w:rPr>
              <w:t>0.5</w:t>
            </w:r>
            <w:r>
              <w:rPr>
                <w:rFonts w:hint="eastAsia" w:ascii="宋体" w:hAnsi="宋体"/>
                <w:sz w:val="24"/>
                <w:highlight w:val="none"/>
              </w:rPr>
              <w:t>分，扣完即止。</w:t>
            </w:r>
          </w:p>
        </w:tc>
      </w:tr>
    </w:tbl>
    <w:p>
      <w:pPr>
        <w:spacing w:line="500" w:lineRule="exact"/>
        <w:jc w:val="left"/>
        <w:rPr>
          <w:rFonts w:hint="eastAsia" w:ascii="宋体" w:hAnsi="宋体" w:eastAsia="宋体" w:cs="宋体"/>
          <w:sz w:val="28"/>
          <w:szCs w:val="28"/>
          <w:highlight w:val="none"/>
          <w:u w:val="single"/>
        </w:rPr>
      </w:pPr>
      <w:r>
        <w:rPr>
          <w:rFonts w:hint="eastAsia" w:ascii="宋体" w:hAnsi="宋体" w:cs="宋体"/>
          <w:sz w:val="28"/>
          <w:szCs w:val="28"/>
          <w:highlight w:val="none"/>
          <w:u w:val="none"/>
        </w:rPr>
        <w:t>注：</w:t>
      </w:r>
      <w:r>
        <w:rPr>
          <w:rFonts w:hint="eastAsia" w:ascii="宋体" w:hAnsi="宋体" w:eastAsia="宋体" w:cs="宋体"/>
          <w:sz w:val="28"/>
          <w:szCs w:val="28"/>
          <w:highlight w:val="none"/>
          <w:u w:val="single"/>
        </w:rPr>
        <w:t>1.</w:t>
      </w:r>
      <w:r>
        <w:rPr>
          <w:rFonts w:hint="eastAsia" w:ascii="宋体" w:hAnsi="宋体" w:eastAsia="宋体" w:cs="宋体"/>
          <w:kern w:val="0"/>
          <w:sz w:val="28"/>
          <w:szCs w:val="28"/>
          <w:highlight w:val="none"/>
          <w:u w:val="single"/>
        </w:rPr>
        <w:t>按四舍五入取小数点后两位。</w:t>
      </w:r>
    </w:p>
    <w:p>
      <w:pPr>
        <w:spacing w:line="500" w:lineRule="exact"/>
        <w:ind w:firstLine="560" w:firstLineChars="200"/>
        <w:jc w:val="left"/>
        <w:rPr>
          <w:rFonts w:ascii="宋体" w:cs="宋体"/>
          <w:sz w:val="28"/>
          <w:szCs w:val="28"/>
          <w:highlight w:val="none"/>
          <w:u w:val="single"/>
        </w:rPr>
      </w:pPr>
      <w:r>
        <w:rPr>
          <w:rFonts w:ascii="宋体" w:hAnsi="宋体" w:cs="宋体"/>
          <w:sz w:val="28"/>
          <w:szCs w:val="28"/>
          <w:highlight w:val="none"/>
          <w:u w:val="single"/>
        </w:rPr>
        <w:t>2.</w:t>
      </w:r>
      <w:r>
        <w:rPr>
          <w:rFonts w:hint="eastAsia" w:ascii="宋体" w:hAnsi="宋体" w:cs="宋体"/>
          <w:sz w:val="28"/>
          <w:szCs w:val="28"/>
          <w:highlight w:val="none"/>
          <w:u w:val="single"/>
        </w:rPr>
        <w:t>以不含税报价作为评审基准价以及评分的确定依据。</w:t>
      </w:r>
    </w:p>
    <w:p>
      <w:pPr>
        <w:jc w:val="left"/>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技术部分评分细则（满分</w:t>
      </w:r>
      <w:r>
        <w:rPr>
          <w:rFonts w:hint="eastAsia" w:ascii="宋体" w:hAnsi="宋体" w:cs="宋体"/>
          <w:sz w:val="28"/>
          <w:szCs w:val="28"/>
          <w:highlight w:val="none"/>
          <w:lang w:val="en-US" w:eastAsia="zh-CN"/>
        </w:rPr>
        <w:t>80</w:t>
      </w:r>
      <w:r>
        <w:rPr>
          <w:rFonts w:hint="eastAsia" w:ascii="宋体" w:hAnsi="宋体" w:cs="宋体"/>
          <w:sz w:val="28"/>
          <w:szCs w:val="28"/>
          <w:highlight w:val="none"/>
        </w:rPr>
        <w:t>分）</w:t>
      </w:r>
    </w:p>
    <w:tbl>
      <w:tblPr>
        <w:tblStyle w:val="25"/>
        <w:tblW w:w="9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71"/>
        <w:gridCol w:w="4819"/>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jc w:val="center"/>
              <w:rPr>
                <w:rFonts w:ascii="宋体" w:cs="宋体"/>
                <w:sz w:val="24"/>
                <w:highlight w:val="none"/>
              </w:rPr>
            </w:pPr>
            <w:r>
              <w:rPr>
                <w:rFonts w:hint="eastAsia" w:ascii="宋体" w:hAnsi="宋体" w:cs="宋体"/>
                <w:sz w:val="24"/>
                <w:highlight w:val="none"/>
              </w:rPr>
              <w:t>序号</w:t>
            </w:r>
          </w:p>
        </w:tc>
        <w:tc>
          <w:tcPr>
            <w:tcW w:w="1871" w:type="dxa"/>
            <w:vAlign w:val="center"/>
          </w:tcPr>
          <w:p>
            <w:pPr>
              <w:jc w:val="center"/>
              <w:rPr>
                <w:rFonts w:ascii="宋体" w:cs="宋体"/>
                <w:sz w:val="24"/>
                <w:highlight w:val="none"/>
              </w:rPr>
            </w:pPr>
            <w:r>
              <w:rPr>
                <w:rFonts w:hint="eastAsia" w:ascii="宋体" w:hAnsi="宋体" w:cs="宋体"/>
                <w:sz w:val="24"/>
                <w:highlight w:val="none"/>
              </w:rPr>
              <w:t>评分因素</w:t>
            </w:r>
          </w:p>
        </w:tc>
        <w:tc>
          <w:tcPr>
            <w:tcW w:w="6775" w:type="dxa"/>
            <w:gridSpan w:val="2"/>
            <w:vAlign w:val="center"/>
          </w:tcPr>
          <w:p>
            <w:pPr>
              <w:jc w:val="center"/>
              <w:rPr>
                <w:rFonts w:ascii="宋体" w:cs="宋体"/>
                <w:sz w:val="24"/>
                <w:highlight w:val="none"/>
              </w:rPr>
            </w:pPr>
            <w:r>
              <w:rPr>
                <w:rFonts w:hint="eastAsia" w:ascii="宋体" w:hAnsi="宋体" w:cs="宋体"/>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vAlign w:val="center"/>
          </w:tcPr>
          <w:p>
            <w:pPr>
              <w:jc w:val="center"/>
              <w:rPr>
                <w:rFonts w:ascii="宋体" w:cs="宋体"/>
                <w:kern w:val="0"/>
                <w:sz w:val="24"/>
                <w:highlight w:val="none"/>
              </w:rPr>
            </w:pPr>
            <w:r>
              <w:rPr>
                <w:rFonts w:ascii="宋体" w:hAnsi="宋体" w:cs="宋体"/>
                <w:kern w:val="0"/>
                <w:sz w:val="24"/>
                <w:highlight w:val="none"/>
              </w:rPr>
              <w:t>1</w:t>
            </w:r>
          </w:p>
        </w:tc>
        <w:tc>
          <w:tcPr>
            <w:tcW w:w="1871" w:type="dxa"/>
            <w:vAlign w:val="center"/>
          </w:tcPr>
          <w:p>
            <w:pPr>
              <w:jc w:val="center"/>
              <w:rPr>
                <w:rFonts w:ascii="宋体" w:cs="宋体"/>
                <w:kern w:val="0"/>
                <w:sz w:val="24"/>
                <w:highlight w:val="none"/>
              </w:rPr>
            </w:pPr>
            <w:r>
              <w:rPr>
                <w:rFonts w:hint="eastAsia" w:ascii="宋体" w:hAnsi="宋体" w:cs="宋体"/>
                <w:kern w:val="0"/>
                <w:sz w:val="24"/>
                <w:highlight w:val="none"/>
              </w:rPr>
              <w:t>业绩表</w:t>
            </w:r>
          </w:p>
          <w:p>
            <w:pPr>
              <w:jc w:val="center"/>
              <w:rPr>
                <w:rFonts w:ascii="宋体" w:cs="宋体"/>
                <w:kern w:val="0"/>
                <w:sz w:val="24"/>
                <w:highlight w:val="none"/>
              </w:rPr>
            </w:pPr>
            <w:r>
              <w:rPr>
                <w:rFonts w:hint="eastAsia" w:ascii="宋体" w:hAnsi="宋体" w:cs="宋体"/>
                <w:kern w:val="0"/>
                <w:sz w:val="24"/>
                <w:highlight w:val="none"/>
              </w:rPr>
              <w:t>（满分</w:t>
            </w:r>
            <w:r>
              <w:rPr>
                <w:rFonts w:ascii="宋体" w:hAnsi="宋体" w:cs="宋体"/>
                <w:kern w:val="0"/>
                <w:sz w:val="24"/>
                <w:highlight w:val="none"/>
              </w:rPr>
              <w:t xml:space="preserve"> </w:t>
            </w:r>
            <w:r>
              <w:rPr>
                <w:rFonts w:hint="eastAsia" w:ascii="宋体" w:hAnsi="宋体" w:cs="宋体"/>
                <w:kern w:val="0"/>
                <w:sz w:val="24"/>
                <w:highlight w:val="none"/>
                <w:lang w:val="en-US" w:eastAsia="zh-CN"/>
              </w:rPr>
              <w:t>10</w:t>
            </w:r>
            <w:r>
              <w:rPr>
                <w:rFonts w:hint="eastAsia" w:ascii="宋体" w:hAnsi="宋体" w:cs="宋体"/>
                <w:kern w:val="0"/>
                <w:sz w:val="24"/>
                <w:highlight w:val="none"/>
              </w:rPr>
              <w:t>分）</w:t>
            </w:r>
          </w:p>
        </w:tc>
        <w:tc>
          <w:tcPr>
            <w:tcW w:w="6775" w:type="dxa"/>
            <w:gridSpan w:val="2"/>
            <w:vAlign w:val="center"/>
          </w:tcPr>
          <w:p>
            <w:pPr>
              <w:jc w:val="left"/>
              <w:rPr>
                <w:rFonts w:ascii="宋体" w:cs="宋体"/>
                <w:sz w:val="24"/>
                <w:highlight w:val="none"/>
              </w:rPr>
            </w:pPr>
            <w:r>
              <w:rPr>
                <w:rFonts w:ascii="宋体" w:hAnsi="宋体" w:cs="宋体"/>
                <w:sz w:val="24"/>
                <w:highlight w:val="none"/>
                <w:u w:val="single"/>
              </w:rPr>
              <w:t>2018</w:t>
            </w:r>
            <w:r>
              <w:rPr>
                <w:rFonts w:hint="eastAsia" w:ascii="宋体" w:hAnsi="宋体" w:cs="宋体"/>
                <w:sz w:val="24"/>
                <w:highlight w:val="none"/>
              </w:rPr>
              <w:t>年</w:t>
            </w:r>
            <w:r>
              <w:rPr>
                <w:rFonts w:ascii="宋体" w:hAnsi="宋体" w:cs="宋体"/>
                <w:sz w:val="24"/>
                <w:highlight w:val="none"/>
              </w:rPr>
              <w:t>1</w:t>
            </w:r>
            <w:r>
              <w:rPr>
                <w:rFonts w:hint="eastAsia" w:ascii="宋体" w:hAnsi="宋体" w:cs="宋体"/>
                <w:sz w:val="24"/>
                <w:highlight w:val="none"/>
              </w:rPr>
              <w:t>月</w:t>
            </w:r>
            <w:r>
              <w:rPr>
                <w:rFonts w:ascii="宋体" w:hAnsi="宋体" w:cs="宋体"/>
                <w:sz w:val="24"/>
                <w:highlight w:val="none"/>
              </w:rPr>
              <w:t>1</w:t>
            </w:r>
            <w:r>
              <w:rPr>
                <w:rFonts w:hint="eastAsia" w:ascii="宋体" w:hAnsi="宋体" w:cs="宋体"/>
                <w:sz w:val="24"/>
                <w:highlight w:val="none"/>
              </w:rPr>
              <w:t>日至今，对与本项目相关或相近的服务经验，以提供合同复印件（体现合同对方名称</w:t>
            </w:r>
            <w:r>
              <w:rPr>
                <w:rFonts w:ascii="宋体" w:hAnsi="宋体" w:cs="宋体"/>
                <w:sz w:val="24"/>
                <w:highlight w:val="none"/>
              </w:rPr>
              <w:t>/</w:t>
            </w:r>
            <w:r>
              <w:rPr>
                <w:rFonts w:hint="eastAsia" w:ascii="宋体" w:hAnsi="宋体" w:cs="宋体"/>
                <w:sz w:val="24"/>
                <w:highlight w:val="none"/>
              </w:rPr>
              <w:t>签订时间</w:t>
            </w:r>
            <w:r>
              <w:rPr>
                <w:rFonts w:ascii="宋体" w:hAnsi="宋体" w:cs="宋体"/>
                <w:sz w:val="24"/>
                <w:highlight w:val="none"/>
              </w:rPr>
              <w:t>/</w:t>
            </w:r>
            <w:r>
              <w:rPr>
                <w:rFonts w:hint="eastAsia" w:ascii="宋体" w:hAnsi="宋体" w:cs="宋体"/>
                <w:sz w:val="24"/>
                <w:highlight w:val="none"/>
                <w:lang w:val="en-US" w:eastAsia="zh-CN"/>
              </w:rPr>
              <w:t>审计</w:t>
            </w:r>
            <w:r>
              <w:rPr>
                <w:rFonts w:hint="eastAsia" w:ascii="宋体" w:hAnsi="宋体" w:cs="宋体"/>
                <w:sz w:val="24"/>
                <w:highlight w:val="none"/>
              </w:rPr>
              <w:t>内容，涉及商业秘密的内容可以隐去）证明材料为准。不附</w:t>
            </w:r>
            <w:r>
              <w:rPr>
                <w:rFonts w:hint="eastAsia" w:ascii="宋体" w:hAnsi="宋体" w:cs="宋体"/>
                <w:sz w:val="24"/>
                <w:highlight w:val="none"/>
                <w:lang w:val="en-US" w:eastAsia="zh-CN"/>
              </w:rPr>
              <w:t>审计</w:t>
            </w:r>
            <w:r>
              <w:rPr>
                <w:rFonts w:hint="eastAsia" w:ascii="宋体" w:hAnsi="宋体" w:cs="宋体"/>
                <w:sz w:val="24"/>
                <w:highlight w:val="none"/>
              </w:rPr>
              <w:t>内容或内容要求不明确的不算业绩，该项分值最高为</w:t>
            </w:r>
            <w:r>
              <w:rPr>
                <w:rFonts w:hint="eastAsia" w:ascii="宋体" w:hAnsi="宋体" w:cs="宋体"/>
                <w:sz w:val="24"/>
                <w:highlight w:val="none"/>
                <w:lang w:val="en-US" w:eastAsia="zh-CN"/>
              </w:rPr>
              <w:t>10</w:t>
            </w:r>
            <w:r>
              <w:rPr>
                <w:rFonts w:hint="eastAsia" w:ascii="宋体" w:hAnsi="宋体" w:cs="宋体"/>
                <w:sz w:val="24"/>
                <w:highlight w:val="none"/>
              </w:rPr>
              <w:t>分。</w:t>
            </w:r>
            <w:r>
              <w:rPr>
                <w:rFonts w:ascii="宋体" w:hAnsi="宋体" w:cs="宋体"/>
                <w:sz w:val="24"/>
                <w:highlight w:val="none"/>
              </w:rPr>
              <w:t>(</w:t>
            </w:r>
            <w:r>
              <w:rPr>
                <w:rFonts w:hint="eastAsia" w:ascii="宋体" w:hAnsi="宋体" w:cs="宋体"/>
                <w:sz w:val="24"/>
                <w:highlight w:val="none"/>
              </w:rPr>
              <w:t>相关或相近的服务经验定义为：企业</w:t>
            </w:r>
            <w:r>
              <w:rPr>
                <w:rFonts w:hint="eastAsia" w:ascii="宋体" w:hAnsi="宋体" w:cs="宋体"/>
                <w:sz w:val="24"/>
                <w:highlight w:val="none"/>
                <w:lang w:val="en-US" w:eastAsia="zh-CN"/>
              </w:rPr>
              <w:t>采购、合同管理及工程管理审计</w:t>
            </w:r>
            <w:r>
              <w:rPr>
                <w:rFonts w:hint="eastAsia" w:ascii="宋体" w:hAnsi="宋体" w:cs="宋体"/>
                <w:sz w:val="24"/>
                <w:highlight w:val="none"/>
              </w:rPr>
              <w:t>的业绩，每个业绩</w:t>
            </w:r>
            <w:r>
              <w:rPr>
                <w:rFonts w:hint="eastAsia" w:ascii="宋体" w:hAnsi="宋体" w:cs="宋体"/>
                <w:sz w:val="24"/>
                <w:highlight w:val="none"/>
                <w:lang w:val="en-US" w:eastAsia="zh-CN"/>
              </w:rPr>
              <w:t>2</w:t>
            </w:r>
            <w:r>
              <w:rPr>
                <w:rFonts w:hint="eastAsia" w:ascii="宋体" w:hAnsi="宋体" w:cs="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59" w:type="dxa"/>
            <w:vMerge w:val="restart"/>
            <w:vAlign w:val="center"/>
          </w:tcPr>
          <w:p>
            <w:pPr>
              <w:jc w:val="center"/>
              <w:rPr>
                <w:rFonts w:ascii="宋体" w:cs="宋体"/>
                <w:kern w:val="0"/>
                <w:sz w:val="24"/>
                <w:highlight w:val="none"/>
              </w:rPr>
            </w:pPr>
            <w:r>
              <w:rPr>
                <w:rFonts w:ascii="宋体" w:hAnsi="宋体" w:cs="宋体"/>
                <w:kern w:val="0"/>
                <w:sz w:val="24"/>
                <w:highlight w:val="none"/>
              </w:rPr>
              <w:t>2</w:t>
            </w:r>
          </w:p>
        </w:tc>
        <w:tc>
          <w:tcPr>
            <w:tcW w:w="1871" w:type="dxa"/>
            <w:vMerge w:val="restart"/>
            <w:vAlign w:val="center"/>
          </w:tcPr>
          <w:p>
            <w:pPr>
              <w:jc w:val="center"/>
              <w:rPr>
                <w:rFonts w:ascii="宋体" w:cs="宋体"/>
                <w:kern w:val="0"/>
                <w:sz w:val="24"/>
                <w:highlight w:val="none"/>
              </w:rPr>
            </w:pPr>
            <w:r>
              <w:rPr>
                <w:rFonts w:hint="eastAsia" w:ascii="宋体" w:hAnsi="宋体" w:cs="宋体"/>
                <w:kern w:val="0"/>
                <w:sz w:val="24"/>
                <w:highlight w:val="none"/>
              </w:rPr>
              <w:t>拟投入人员的相关工作业绩、资历及能力</w:t>
            </w:r>
          </w:p>
          <w:p>
            <w:pPr>
              <w:jc w:val="center"/>
              <w:rPr>
                <w:rFonts w:ascii="宋体" w:cs="宋体"/>
                <w:kern w:val="0"/>
                <w:sz w:val="24"/>
                <w:highlight w:val="none"/>
              </w:rPr>
            </w:pPr>
            <w:r>
              <w:rPr>
                <w:rFonts w:hint="eastAsia" w:ascii="宋体" w:hAnsi="宋体" w:cs="宋体"/>
                <w:kern w:val="0"/>
                <w:sz w:val="24"/>
                <w:highlight w:val="none"/>
              </w:rPr>
              <w:t>（满分</w:t>
            </w:r>
            <w:r>
              <w:rPr>
                <w:rFonts w:hint="eastAsia" w:ascii="宋体" w:hAnsi="宋体" w:cs="宋体"/>
                <w:kern w:val="0"/>
                <w:sz w:val="24"/>
                <w:highlight w:val="none"/>
                <w:lang w:val="en-US" w:eastAsia="zh-CN"/>
              </w:rPr>
              <w:t>40</w:t>
            </w:r>
            <w:r>
              <w:rPr>
                <w:rFonts w:hint="eastAsia" w:ascii="宋体" w:hAnsi="宋体" w:cs="宋体"/>
                <w:kern w:val="0"/>
                <w:sz w:val="24"/>
                <w:highlight w:val="none"/>
              </w:rPr>
              <w:t>分）</w:t>
            </w:r>
          </w:p>
        </w:tc>
        <w:tc>
          <w:tcPr>
            <w:tcW w:w="4819" w:type="dxa"/>
            <w:vAlign w:val="center"/>
          </w:tcPr>
          <w:p>
            <w:pPr>
              <w:jc w:val="left"/>
              <w:rPr>
                <w:rFonts w:ascii="宋体" w:cs="宋体"/>
                <w:sz w:val="24"/>
                <w:highlight w:val="none"/>
              </w:rPr>
            </w:pPr>
            <w:r>
              <w:rPr>
                <w:rFonts w:hint="eastAsia"/>
                <w:sz w:val="24"/>
                <w:highlight w:val="none"/>
              </w:rPr>
              <w:t>项</w:t>
            </w:r>
            <w:r>
              <w:rPr>
                <w:rFonts w:hint="eastAsia" w:ascii="宋体" w:hAnsi="宋体"/>
                <w:sz w:val="24"/>
                <w:highlight w:val="none"/>
              </w:rPr>
              <w:t>目现场负责人</w:t>
            </w:r>
            <w:r>
              <w:rPr>
                <w:rFonts w:hint="eastAsia" w:ascii="宋体" w:hAnsi="宋体"/>
                <w:sz w:val="24"/>
                <w:highlight w:val="none"/>
                <w:u w:val="single"/>
              </w:rPr>
              <w:t>（项目现场负责人不予更换，否则终止合同）</w:t>
            </w:r>
            <w:r>
              <w:rPr>
                <w:rFonts w:hint="eastAsia" w:ascii="宋体" w:hAnsi="宋体"/>
                <w:sz w:val="24"/>
                <w:highlight w:val="none"/>
              </w:rPr>
              <w:t>持有注册会计师执业证书并具有</w:t>
            </w:r>
            <w:r>
              <w:rPr>
                <w:rFonts w:ascii="宋体" w:hAnsi="宋体"/>
                <w:sz w:val="24"/>
                <w:highlight w:val="none"/>
                <w:u w:val="single"/>
              </w:rPr>
              <w:t xml:space="preserve">  8   </w:t>
            </w:r>
            <w:r>
              <w:rPr>
                <w:rFonts w:hint="eastAsia" w:ascii="宋体" w:hAnsi="宋体"/>
                <w:sz w:val="24"/>
                <w:highlight w:val="none"/>
              </w:rPr>
              <w:t>年（含）以上会计师事务所注册会计师执业工作经验得</w:t>
            </w:r>
            <w:r>
              <w:rPr>
                <w:rFonts w:ascii="宋体" w:hAnsi="宋体"/>
                <w:sz w:val="24"/>
                <w:highlight w:val="none"/>
                <w:u w:val="single"/>
              </w:rPr>
              <w:t xml:space="preserve">  </w:t>
            </w:r>
            <w:r>
              <w:rPr>
                <w:rFonts w:hint="eastAsia" w:ascii="宋体" w:hAnsi="宋体"/>
                <w:sz w:val="24"/>
                <w:highlight w:val="none"/>
                <w:u w:val="single"/>
                <w:lang w:val="en-US" w:eastAsia="zh-CN"/>
              </w:rPr>
              <w:t>15</w:t>
            </w:r>
            <w:r>
              <w:rPr>
                <w:rFonts w:ascii="宋体" w:hAnsi="宋体"/>
                <w:sz w:val="24"/>
                <w:highlight w:val="none"/>
                <w:u w:val="single"/>
              </w:rPr>
              <w:t xml:space="preserve">  </w:t>
            </w:r>
            <w:r>
              <w:rPr>
                <w:rFonts w:hint="eastAsia" w:ascii="宋体" w:hAnsi="宋体"/>
                <w:sz w:val="24"/>
                <w:highlight w:val="none"/>
              </w:rPr>
              <w:t>分；持有注册会计师执业证书并具有</w:t>
            </w:r>
            <w:r>
              <w:rPr>
                <w:rFonts w:ascii="宋体" w:hAnsi="宋体"/>
                <w:sz w:val="24"/>
                <w:highlight w:val="none"/>
                <w:u w:val="single"/>
              </w:rPr>
              <w:t xml:space="preserve">   5   </w:t>
            </w:r>
            <w:r>
              <w:rPr>
                <w:rFonts w:hint="eastAsia" w:ascii="宋体" w:hAnsi="宋体"/>
                <w:sz w:val="24"/>
                <w:highlight w:val="none"/>
              </w:rPr>
              <w:t>年（含）以上会计师事务所注册会计师执业工作经验得</w:t>
            </w:r>
            <w:r>
              <w:rPr>
                <w:rFonts w:ascii="宋体" w:hAnsi="宋体"/>
                <w:sz w:val="24"/>
                <w:highlight w:val="none"/>
                <w:u w:val="single"/>
              </w:rPr>
              <w:t xml:space="preserve">8 </w:t>
            </w:r>
            <w:r>
              <w:rPr>
                <w:rFonts w:hint="eastAsia" w:ascii="宋体" w:hAnsi="宋体"/>
                <w:sz w:val="24"/>
                <w:highlight w:val="none"/>
              </w:rPr>
              <w:t>分；</w:t>
            </w:r>
            <w:r>
              <w:rPr>
                <w:rFonts w:hint="eastAsia" w:ascii="宋体" w:hAnsi="宋体"/>
                <w:sz w:val="24"/>
                <w:highlight w:val="none"/>
                <w:lang w:val="en-US" w:eastAsia="zh-CN"/>
              </w:rPr>
              <w:t>具有3年以上工程管理相关方面的审计经验得</w:t>
            </w:r>
            <w:r>
              <w:rPr>
                <w:rFonts w:hint="eastAsia" w:ascii="宋体" w:hAnsi="宋体"/>
                <w:sz w:val="24"/>
                <w:highlight w:val="none"/>
                <w:u w:val="single"/>
                <w:lang w:val="en-US" w:eastAsia="zh-CN"/>
              </w:rPr>
              <w:t>5</w:t>
            </w:r>
            <w:r>
              <w:rPr>
                <w:rFonts w:ascii="宋体" w:hAnsi="宋体"/>
                <w:sz w:val="24"/>
                <w:highlight w:val="none"/>
                <w:u w:val="single"/>
              </w:rPr>
              <w:t xml:space="preserve"> </w:t>
            </w:r>
            <w:r>
              <w:rPr>
                <w:rFonts w:hint="eastAsia" w:ascii="宋体" w:hAnsi="宋体"/>
                <w:sz w:val="24"/>
                <w:highlight w:val="none"/>
              </w:rPr>
              <w:t>分；其他为</w:t>
            </w:r>
            <w:r>
              <w:rPr>
                <w:rFonts w:ascii="宋体" w:hAnsi="宋体"/>
                <w:sz w:val="24"/>
                <w:highlight w:val="none"/>
              </w:rPr>
              <w:t>0</w:t>
            </w:r>
            <w:r>
              <w:rPr>
                <w:rFonts w:hint="eastAsia" w:ascii="宋体" w:hAnsi="宋体"/>
                <w:sz w:val="24"/>
                <w:highlight w:val="none"/>
              </w:rPr>
              <w:t>分。</w:t>
            </w:r>
          </w:p>
        </w:tc>
        <w:tc>
          <w:tcPr>
            <w:tcW w:w="1956" w:type="dxa"/>
            <w:vAlign w:val="center"/>
          </w:tcPr>
          <w:p>
            <w:pPr>
              <w:jc w:val="center"/>
              <w:rPr>
                <w:rFonts w:ascii="宋体" w:cs="宋体"/>
                <w:kern w:val="0"/>
                <w:sz w:val="24"/>
                <w:highlight w:val="none"/>
              </w:rPr>
            </w:pPr>
            <w:r>
              <w:rPr>
                <w:rFonts w:hint="eastAsia" w:ascii="宋体" w:hAnsi="宋体" w:cs="宋体"/>
                <w:kern w:val="0"/>
                <w:sz w:val="24"/>
                <w:highlight w:val="none"/>
              </w:rPr>
              <w:t>满分为</w:t>
            </w:r>
            <w:r>
              <w:rPr>
                <w:rFonts w:ascii="宋体" w:hAnsi="宋体" w:cs="宋体"/>
                <w:kern w:val="0"/>
                <w:sz w:val="24"/>
                <w:highlight w:val="none"/>
                <w:u w:val="single"/>
              </w:rPr>
              <w:t xml:space="preserve"> </w:t>
            </w:r>
            <w:r>
              <w:rPr>
                <w:rFonts w:hint="eastAsia" w:ascii="宋体" w:hAnsi="宋体" w:cs="宋体"/>
                <w:kern w:val="0"/>
                <w:sz w:val="24"/>
                <w:highlight w:val="none"/>
                <w:u w:val="single"/>
                <w:lang w:val="en-US" w:eastAsia="zh-CN"/>
              </w:rPr>
              <w:t>20</w:t>
            </w:r>
            <w:r>
              <w:rPr>
                <w:rFonts w:ascii="宋体" w:hAnsi="宋体" w:cs="宋体"/>
                <w:kern w:val="0"/>
                <w:sz w:val="24"/>
                <w:highlight w:val="none"/>
                <w:u w:val="single"/>
              </w:rPr>
              <w:t xml:space="preserve"> </w:t>
            </w:r>
            <w:r>
              <w:rPr>
                <w:rFonts w:hint="eastAsia" w:ascii="宋体" w:hAnsi="宋体" w:cs="宋体"/>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59" w:type="dxa"/>
            <w:vMerge w:val="continue"/>
            <w:vAlign w:val="center"/>
          </w:tcPr>
          <w:p>
            <w:pPr>
              <w:jc w:val="center"/>
              <w:rPr>
                <w:rFonts w:ascii="宋体" w:cs="宋体"/>
                <w:kern w:val="0"/>
                <w:sz w:val="24"/>
                <w:highlight w:val="none"/>
              </w:rPr>
            </w:pPr>
          </w:p>
        </w:tc>
        <w:tc>
          <w:tcPr>
            <w:tcW w:w="1871" w:type="dxa"/>
            <w:vMerge w:val="continue"/>
            <w:vAlign w:val="center"/>
          </w:tcPr>
          <w:p>
            <w:pPr>
              <w:jc w:val="center"/>
              <w:rPr>
                <w:rFonts w:ascii="宋体" w:cs="宋体"/>
                <w:kern w:val="0"/>
                <w:sz w:val="24"/>
                <w:highlight w:val="none"/>
              </w:rPr>
            </w:pPr>
          </w:p>
        </w:tc>
        <w:tc>
          <w:tcPr>
            <w:tcW w:w="4819" w:type="dxa"/>
            <w:vAlign w:val="center"/>
          </w:tcPr>
          <w:p>
            <w:pPr>
              <w:jc w:val="left"/>
              <w:rPr>
                <w:rFonts w:ascii="宋体"/>
                <w:sz w:val="24"/>
                <w:highlight w:val="none"/>
              </w:rPr>
            </w:pPr>
            <w:r>
              <w:rPr>
                <w:rFonts w:hint="eastAsia" w:ascii="宋体" w:hAnsi="宋体" w:cs="宋体"/>
                <w:sz w:val="24"/>
                <w:highlight w:val="none"/>
              </w:rPr>
              <w:t>派到本项目现场负责人有本项目相关或相近的服务经验（</w:t>
            </w:r>
            <w:r>
              <w:rPr>
                <w:rFonts w:ascii="宋体" w:hAnsi="宋体"/>
                <w:sz w:val="24"/>
                <w:highlight w:val="none"/>
                <w:u w:val="single"/>
              </w:rPr>
              <w:t xml:space="preserve"> 2018  </w:t>
            </w:r>
            <w:r>
              <w:rPr>
                <w:rFonts w:hint="eastAsia" w:ascii="宋体" w:hAnsi="宋体" w:cs="宋体"/>
                <w:sz w:val="24"/>
                <w:highlight w:val="none"/>
              </w:rPr>
              <w:t>年</w:t>
            </w:r>
            <w:r>
              <w:rPr>
                <w:rFonts w:ascii="宋体" w:hAnsi="宋体" w:cs="宋体"/>
                <w:sz w:val="24"/>
                <w:highlight w:val="none"/>
              </w:rPr>
              <w:t>1</w:t>
            </w:r>
            <w:r>
              <w:rPr>
                <w:rFonts w:hint="eastAsia" w:ascii="宋体" w:hAnsi="宋体" w:cs="宋体"/>
                <w:sz w:val="24"/>
                <w:highlight w:val="none"/>
              </w:rPr>
              <w:t>月</w:t>
            </w:r>
            <w:r>
              <w:rPr>
                <w:rFonts w:ascii="宋体" w:hAnsi="宋体" w:cs="宋体"/>
                <w:sz w:val="24"/>
                <w:highlight w:val="none"/>
              </w:rPr>
              <w:t>1</w:t>
            </w:r>
            <w:r>
              <w:rPr>
                <w:rFonts w:hint="eastAsia" w:ascii="宋体" w:hAnsi="宋体" w:cs="宋体"/>
                <w:sz w:val="24"/>
                <w:highlight w:val="none"/>
              </w:rPr>
              <w:t>日至今），要求附上</w:t>
            </w:r>
            <w:r>
              <w:rPr>
                <w:rFonts w:hint="eastAsia" w:ascii="宋体" w:hAnsi="宋体" w:cs="宋体"/>
                <w:sz w:val="24"/>
                <w:highlight w:val="none"/>
                <w:lang w:val="en-US" w:eastAsia="zh-CN"/>
              </w:rPr>
              <w:t>审计</w:t>
            </w:r>
            <w:r>
              <w:rPr>
                <w:rFonts w:hint="eastAsia" w:ascii="宋体" w:hAnsi="宋体" w:cs="宋体"/>
                <w:sz w:val="24"/>
                <w:highlight w:val="none"/>
              </w:rPr>
              <w:t>报告名称内容及签字页，否则不算业绩分，该项分值最高为</w:t>
            </w:r>
            <w:r>
              <w:rPr>
                <w:rFonts w:ascii="宋体" w:hAnsi="宋体"/>
                <w:sz w:val="24"/>
                <w:highlight w:val="none"/>
                <w:u w:val="single"/>
              </w:rPr>
              <w:t xml:space="preserve">  </w:t>
            </w:r>
            <w:r>
              <w:rPr>
                <w:rFonts w:hint="eastAsia" w:ascii="宋体" w:hAnsi="宋体"/>
                <w:sz w:val="24"/>
                <w:highlight w:val="none"/>
                <w:u w:val="single"/>
                <w:lang w:val="en-US" w:eastAsia="zh-CN"/>
              </w:rPr>
              <w:t>10</w:t>
            </w:r>
            <w:r>
              <w:rPr>
                <w:rFonts w:ascii="宋体" w:hAnsi="宋体"/>
                <w:sz w:val="24"/>
                <w:highlight w:val="none"/>
                <w:u w:val="single"/>
              </w:rPr>
              <w:t xml:space="preserve">  </w:t>
            </w:r>
            <w:r>
              <w:rPr>
                <w:rFonts w:hint="eastAsia" w:ascii="宋体" w:hAnsi="宋体" w:cs="宋体"/>
                <w:sz w:val="24"/>
                <w:highlight w:val="none"/>
              </w:rPr>
              <w:t>分。</w:t>
            </w:r>
            <w:r>
              <w:rPr>
                <w:rFonts w:ascii="宋体" w:hAnsi="宋体" w:cs="宋体"/>
                <w:sz w:val="24"/>
                <w:highlight w:val="none"/>
              </w:rPr>
              <w:t>(</w:t>
            </w:r>
            <w:r>
              <w:rPr>
                <w:rFonts w:hint="eastAsia" w:ascii="宋体" w:hAnsi="宋体" w:cs="宋体"/>
                <w:sz w:val="24"/>
                <w:highlight w:val="none"/>
              </w:rPr>
              <w:t>相关或相近的服务经验定义为</w:t>
            </w:r>
            <w:r>
              <w:rPr>
                <w:rFonts w:hint="eastAsia" w:ascii="宋体" w:hAnsi="宋体" w:cs="宋体"/>
                <w:sz w:val="24"/>
                <w:highlight w:val="none"/>
                <w:lang w:eastAsia="zh-CN"/>
              </w:rPr>
              <w:t>：</w:t>
            </w:r>
            <w:r>
              <w:rPr>
                <w:rFonts w:ascii="宋体" w:hAnsi="宋体" w:cs="宋体"/>
                <w:sz w:val="24"/>
                <w:highlight w:val="none"/>
              </w:rPr>
              <w:t>)</w:t>
            </w:r>
            <w:r>
              <w:rPr>
                <w:rFonts w:hint="eastAsia" w:ascii="宋体" w:hAnsi="宋体" w:cs="宋体"/>
                <w:sz w:val="24"/>
                <w:highlight w:val="none"/>
              </w:rPr>
              <w:t>企业</w:t>
            </w:r>
            <w:r>
              <w:rPr>
                <w:rFonts w:hint="eastAsia" w:ascii="宋体" w:hAnsi="宋体" w:cs="宋体"/>
                <w:sz w:val="24"/>
                <w:highlight w:val="none"/>
                <w:lang w:val="en-US" w:eastAsia="zh-CN"/>
              </w:rPr>
              <w:t>采购、合同管理及工程管理审计</w:t>
            </w:r>
            <w:r>
              <w:rPr>
                <w:rFonts w:hint="eastAsia" w:ascii="宋体" w:hAnsi="宋体" w:cs="宋体"/>
                <w:sz w:val="24"/>
                <w:highlight w:val="none"/>
              </w:rPr>
              <w:t>的业绩，每个业绩</w:t>
            </w:r>
            <w:r>
              <w:rPr>
                <w:rFonts w:hint="eastAsia" w:ascii="宋体" w:hAnsi="宋体" w:cs="宋体"/>
                <w:sz w:val="24"/>
                <w:highlight w:val="none"/>
                <w:lang w:val="en-US" w:eastAsia="zh-CN"/>
              </w:rPr>
              <w:t>2</w:t>
            </w:r>
            <w:r>
              <w:rPr>
                <w:rFonts w:hint="eastAsia" w:ascii="宋体" w:hAnsi="宋体" w:cs="宋体"/>
                <w:sz w:val="24"/>
                <w:highlight w:val="none"/>
              </w:rPr>
              <w:t>分。</w:t>
            </w:r>
          </w:p>
        </w:tc>
        <w:tc>
          <w:tcPr>
            <w:tcW w:w="1956" w:type="dxa"/>
            <w:vAlign w:val="center"/>
          </w:tcPr>
          <w:p>
            <w:pPr>
              <w:jc w:val="center"/>
              <w:rPr>
                <w:rFonts w:ascii="宋体" w:cs="宋体"/>
                <w:kern w:val="0"/>
                <w:sz w:val="24"/>
                <w:highlight w:val="none"/>
              </w:rPr>
            </w:pPr>
            <w:r>
              <w:rPr>
                <w:rFonts w:hint="eastAsia" w:ascii="宋体" w:hAnsi="宋体" w:cs="宋体"/>
                <w:kern w:val="0"/>
                <w:sz w:val="24"/>
                <w:highlight w:val="none"/>
              </w:rPr>
              <w:t>满分为</w:t>
            </w:r>
            <w:r>
              <w:rPr>
                <w:rFonts w:ascii="宋体" w:hAnsi="宋体" w:cs="宋体"/>
                <w:kern w:val="0"/>
                <w:sz w:val="24"/>
                <w:highlight w:val="none"/>
                <w:u w:val="single"/>
              </w:rPr>
              <w:t xml:space="preserve"> </w:t>
            </w:r>
            <w:r>
              <w:rPr>
                <w:rFonts w:hint="eastAsia" w:ascii="宋体" w:hAnsi="宋体" w:cs="宋体"/>
                <w:kern w:val="0"/>
                <w:sz w:val="24"/>
                <w:highlight w:val="none"/>
                <w:u w:val="single"/>
                <w:lang w:val="en-US" w:eastAsia="zh-CN"/>
              </w:rPr>
              <w:t>10</w:t>
            </w:r>
            <w:r>
              <w:rPr>
                <w:rFonts w:ascii="宋体" w:hAnsi="宋体" w:cs="宋体"/>
                <w:kern w:val="0"/>
                <w:sz w:val="24"/>
                <w:highlight w:val="none"/>
                <w:u w:val="single"/>
              </w:rPr>
              <w:t xml:space="preserve"> </w:t>
            </w:r>
            <w:r>
              <w:rPr>
                <w:rFonts w:hint="eastAsia" w:ascii="宋体" w:hAnsi="宋体" w:cs="宋体"/>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59" w:type="dxa"/>
            <w:vMerge w:val="continue"/>
            <w:vAlign w:val="center"/>
          </w:tcPr>
          <w:p>
            <w:pPr>
              <w:jc w:val="center"/>
              <w:rPr>
                <w:rFonts w:ascii="宋体" w:cs="宋体"/>
                <w:kern w:val="0"/>
                <w:sz w:val="24"/>
                <w:highlight w:val="none"/>
              </w:rPr>
            </w:pPr>
          </w:p>
        </w:tc>
        <w:tc>
          <w:tcPr>
            <w:tcW w:w="1871" w:type="dxa"/>
            <w:vMerge w:val="continue"/>
            <w:vAlign w:val="center"/>
          </w:tcPr>
          <w:p>
            <w:pPr>
              <w:jc w:val="center"/>
              <w:rPr>
                <w:rFonts w:ascii="宋体" w:cs="宋体"/>
                <w:kern w:val="0"/>
                <w:sz w:val="24"/>
                <w:highlight w:val="none"/>
              </w:rPr>
            </w:pPr>
          </w:p>
        </w:tc>
        <w:tc>
          <w:tcPr>
            <w:tcW w:w="4819" w:type="dxa"/>
            <w:vAlign w:val="center"/>
          </w:tcPr>
          <w:p>
            <w:pPr>
              <w:jc w:val="left"/>
              <w:rPr>
                <w:rFonts w:ascii="宋体" w:cs="宋体"/>
                <w:sz w:val="24"/>
                <w:highlight w:val="none"/>
              </w:rPr>
            </w:pPr>
            <w:r>
              <w:rPr>
                <w:rFonts w:hint="eastAsia" w:ascii="宋体" w:hAnsi="宋体" w:cs="宋体"/>
                <w:sz w:val="24"/>
                <w:highlight w:val="none"/>
              </w:rPr>
              <w:t>派到</w:t>
            </w:r>
            <w:r>
              <w:rPr>
                <w:rFonts w:hint="eastAsia" w:ascii="宋体" w:hAnsi="宋体" w:cs="宋体"/>
                <w:sz w:val="24"/>
                <w:highlight w:val="none"/>
                <w:lang w:val="en-US" w:eastAsia="zh-CN"/>
              </w:rPr>
              <w:t>本</w:t>
            </w:r>
            <w:r>
              <w:rPr>
                <w:rFonts w:hint="eastAsia" w:ascii="宋体" w:hAnsi="宋体" w:cs="宋体"/>
                <w:sz w:val="24"/>
                <w:highlight w:val="none"/>
              </w:rPr>
              <w:t>项目的团队成员由</w:t>
            </w:r>
            <w:r>
              <w:rPr>
                <w:rFonts w:ascii="宋体" w:hAnsi="宋体"/>
                <w:sz w:val="24"/>
                <w:highlight w:val="none"/>
                <w:u w:val="single"/>
              </w:rPr>
              <w:t xml:space="preserve"> 3 </w:t>
            </w:r>
            <w:r>
              <w:rPr>
                <w:rFonts w:hint="eastAsia" w:ascii="宋体" w:hAnsi="宋体" w:cs="宋体"/>
                <w:sz w:val="24"/>
                <w:highlight w:val="none"/>
              </w:rPr>
              <w:t>人及以上正式员工组成的得</w:t>
            </w:r>
            <w:r>
              <w:rPr>
                <w:rFonts w:hint="eastAsia" w:ascii="宋体" w:hAnsi="宋体" w:cs="宋体"/>
                <w:sz w:val="24"/>
                <w:highlight w:val="none"/>
                <w:lang w:val="en-US" w:eastAsia="zh-CN"/>
              </w:rPr>
              <w:t>7</w:t>
            </w:r>
            <w:r>
              <w:rPr>
                <w:rFonts w:hint="eastAsia" w:ascii="宋体" w:hAnsi="宋体" w:cs="宋体"/>
                <w:sz w:val="24"/>
                <w:highlight w:val="none"/>
              </w:rPr>
              <w:t>分，</w:t>
            </w:r>
            <w:r>
              <w:rPr>
                <w:rFonts w:hint="eastAsia" w:ascii="宋体" w:hAnsi="宋体" w:cs="宋体"/>
                <w:sz w:val="24"/>
                <w:highlight w:val="none"/>
                <w:lang w:val="en-US" w:eastAsia="zh-CN"/>
              </w:rPr>
              <w:t>成员具有2年以上工程管理相关方面的审计经验得3分，</w:t>
            </w:r>
            <w:r>
              <w:rPr>
                <w:rFonts w:hint="eastAsia" w:ascii="宋体" w:hAnsi="宋体" w:cs="宋体"/>
                <w:sz w:val="24"/>
                <w:highlight w:val="none"/>
              </w:rPr>
              <w:t>其他为</w:t>
            </w:r>
            <w:r>
              <w:rPr>
                <w:rFonts w:ascii="宋体" w:hAnsi="宋体" w:cs="宋体"/>
                <w:sz w:val="24"/>
                <w:highlight w:val="none"/>
              </w:rPr>
              <w:t>0</w:t>
            </w:r>
            <w:r>
              <w:rPr>
                <w:rFonts w:hint="eastAsia" w:ascii="宋体" w:hAnsi="宋体" w:cs="宋体"/>
                <w:sz w:val="24"/>
                <w:highlight w:val="none"/>
              </w:rPr>
              <w:t>分。</w:t>
            </w:r>
          </w:p>
        </w:tc>
        <w:tc>
          <w:tcPr>
            <w:tcW w:w="1956" w:type="dxa"/>
            <w:vAlign w:val="center"/>
          </w:tcPr>
          <w:p>
            <w:pPr>
              <w:jc w:val="center"/>
              <w:rPr>
                <w:rFonts w:ascii="宋体" w:cs="宋体"/>
                <w:kern w:val="0"/>
                <w:sz w:val="24"/>
                <w:highlight w:val="none"/>
              </w:rPr>
            </w:pPr>
            <w:r>
              <w:rPr>
                <w:rFonts w:hint="eastAsia" w:ascii="宋体" w:hAnsi="宋体" w:cs="宋体"/>
                <w:kern w:val="0"/>
                <w:sz w:val="24"/>
                <w:highlight w:val="none"/>
              </w:rPr>
              <w:t>满分为</w:t>
            </w:r>
            <w:r>
              <w:rPr>
                <w:rFonts w:ascii="宋体" w:hAnsi="宋体" w:cs="宋体"/>
                <w:kern w:val="0"/>
                <w:sz w:val="24"/>
                <w:highlight w:val="none"/>
                <w:u w:val="single"/>
              </w:rPr>
              <w:t xml:space="preserve"> </w:t>
            </w:r>
            <w:r>
              <w:rPr>
                <w:rFonts w:hint="eastAsia" w:ascii="宋体" w:hAnsi="宋体" w:cs="宋体"/>
                <w:kern w:val="0"/>
                <w:sz w:val="24"/>
                <w:highlight w:val="none"/>
                <w:u w:val="single"/>
                <w:lang w:val="en-US" w:eastAsia="zh-CN"/>
              </w:rPr>
              <w:t>10</w:t>
            </w:r>
            <w:r>
              <w:rPr>
                <w:rFonts w:ascii="宋体" w:hAnsi="宋体" w:cs="宋体"/>
                <w:kern w:val="0"/>
                <w:sz w:val="24"/>
                <w:highlight w:val="none"/>
                <w:u w:val="single"/>
              </w:rPr>
              <w:t xml:space="preserve"> </w:t>
            </w:r>
            <w:r>
              <w:rPr>
                <w:rFonts w:hint="eastAsia" w:ascii="宋体" w:hAnsi="宋体" w:cs="宋体"/>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vMerge w:val="restart"/>
            <w:vAlign w:val="center"/>
          </w:tcPr>
          <w:p>
            <w:pPr>
              <w:jc w:val="center"/>
              <w:rPr>
                <w:rFonts w:ascii="宋体" w:cs="宋体"/>
                <w:kern w:val="0"/>
                <w:sz w:val="24"/>
                <w:highlight w:val="none"/>
              </w:rPr>
            </w:pPr>
            <w:r>
              <w:rPr>
                <w:rFonts w:ascii="宋体" w:hAnsi="宋体" w:cs="宋体"/>
                <w:kern w:val="0"/>
                <w:sz w:val="24"/>
                <w:highlight w:val="none"/>
              </w:rPr>
              <w:t>3</w:t>
            </w:r>
          </w:p>
        </w:tc>
        <w:tc>
          <w:tcPr>
            <w:tcW w:w="1871" w:type="dxa"/>
            <w:vMerge w:val="restart"/>
            <w:vAlign w:val="center"/>
          </w:tcPr>
          <w:p>
            <w:pPr>
              <w:jc w:val="center"/>
              <w:rPr>
                <w:rFonts w:ascii="宋体" w:cs="宋体"/>
                <w:kern w:val="0"/>
                <w:sz w:val="24"/>
                <w:highlight w:val="none"/>
              </w:rPr>
            </w:pPr>
            <w:r>
              <w:rPr>
                <w:rFonts w:hint="eastAsia" w:ascii="宋体" w:hAnsi="宋体" w:cs="宋体"/>
                <w:kern w:val="0"/>
                <w:sz w:val="24"/>
                <w:highlight w:val="none"/>
              </w:rPr>
              <w:t>服务方案</w:t>
            </w:r>
          </w:p>
          <w:p>
            <w:pPr>
              <w:jc w:val="center"/>
              <w:rPr>
                <w:rFonts w:ascii="宋体" w:cs="宋体"/>
                <w:kern w:val="0"/>
                <w:sz w:val="24"/>
                <w:highlight w:val="none"/>
              </w:rPr>
            </w:pPr>
            <w:r>
              <w:rPr>
                <w:rFonts w:hint="eastAsia" w:ascii="宋体" w:hAnsi="宋体" w:cs="宋体"/>
                <w:kern w:val="0"/>
                <w:sz w:val="24"/>
                <w:highlight w:val="none"/>
              </w:rPr>
              <w:t>（满分</w:t>
            </w:r>
            <w:r>
              <w:rPr>
                <w:rFonts w:hint="eastAsia" w:ascii="宋体" w:hAnsi="宋体" w:cs="宋体"/>
                <w:kern w:val="0"/>
                <w:sz w:val="24"/>
                <w:highlight w:val="none"/>
                <w:lang w:val="en-US" w:eastAsia="zh-CN"/>
              </w:rPr>
              <w:t>30</w:t>
            </w:r>
            <w:r>
              <w:rPr>
                <w:rFonts w:hint="eastAsia" w:ascii="宋体" w:hAnsi="宋体" w:cs="宋体"/>
                <w:kern w:val="0"/>
                <w:sz w:val="24"/>
                <w:highlight w:val="none"/>
              </w:rPr>
              <w:t>分）</w:t>
            </w:r>
          </w:p>
          <w:p>
            <w:pPr>
              <w:jc w:val="center"/>
              <w:rPr>
                <w:rFonts w:ascii="宋体" w:cs="宋体"/>
                <w:kern w:val="0"/>
                <w:sz w:val="24"/>
                <w:highlight w:val="none"/>
              </w:rPr>
            </w:pPr>
            <w:r>
              <w:rPr>
                <w:rFonts w:hint="eastAsia" w:ascii="宋体" w:hAnsi="宋体" w:cs="宋体"/>
                <w:kern w:val="0"/>
                <w:sz w:val="24"/>
                <w:highlight w:val="none"/>
              </w:rPr>
              <w:t>（主要从服务态度、质量控制措施、进度控制措施等方面进行阐述。）</w:t>
            </w:r>
          </w:p>
        </w:tc>
        <w:tc>
          <w:tcPr>
            <w:tcW w:w="4819" w:type="dxa"/>
            <w:vAlign w:val="center"/>
          </w:tcPr>
          <w:p>
            <w:pPr>
              <w:jc w:val="center"/>
              <w:rPr>
                <w:rFonts w:ascii="宋体" w:cs="宋体"/>
                <w:kern w:val="0"/>
                <w:sz w:val="24"/>
                <w:highlight w:val="none"/>
              </w:rPr>
            </w:pPr>
            <w:r>
              <w:rPr>
                <w:rFonts w:hint="eastAsia" w:ascii="宋体" w:hAnsi="宋体" w:cs="宋体"/>
                <w:kern w:val="0"/>
                <w:sz w:val="24"/>
                <w:highlight w:val="none"/>
              </w:rPr>
              <w:t>一般</w:t>
            </w:r>
          </w:p>
        </w:tc>
        <w:tc>
          <w:tcPr>
            <w:tcW w:w="1956" w:type="dxa"/>
            <w:vAlign w:val="center"/>
          </w:tcPr>
          <w:p>
            <w:pPr>
              <w:jc w:val="center"/>
              <w:rPr>
                <w:rFonts w:ascii="宋体" w:cs="宋体"/>
                <w:kern w:val="0"/>
                <w:sz w:val="24"/>
                <w:highlight w:val="none"/>
              </w:rPr>
            </w:pPr>
            <w:r>
              <w:rPr>
                <w:rFonts w:ascii="宋体" w:cs="宋体"/>
                <w:kern w:val="0"/>
                <w:sz w:val="24"/>
                <w:highlight w:val="none"/>
              </w:rPr>
              <w:t>0</w:t>
            </w:r>
            <w:r>
              <w:rPr>
                <w:rFonts w:hint="eastAsia"/>
                <w:highlight w:val="none"/>
              </w:rPr>
              <w:t>≤</w:t>
            </w:r>
            <w:r>
              <w:rPr>
                <w:rFonts w:ascii="宋体" w:hAnsi="宋体" w:cs="宋体"/>
                <w:kern w:val="0"/>
                <w:sz w:val="24"/>
                <w:highlight w:val="none"/>
              </w:rPr>
              <w:t>m</w:t>
            </w:r>
            <w:r>
              <w:rPr>
                <w:rFonts w:hint="eastAsia" w:ascii="宋体" w:hAnsi="宋体" w:cs="宋体"/>
                <w:kern w:val="0"/>
                <w:sz w:val="24"/>
                <w:highlight w:val="none"/>
              </w:rPr>
              <w:t>≦</w:t>
            </w:r>
            <w:r>
              <w:rPr>
                <w:rFonts w:ascii="宋体" w:hAnsi="宋体" w:cs="宋体"/>
                <w:kern w:val="0"/>
                <w:sz w:val="24"/>
                <w:highlight w:val="none"/>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vMerge w:val="continue"/>
            <w:vAlign w:val="center"/>
          </w:tcPr>
          <w:p>
            <w:pPr>
              <w:jc w:val="center"/>
              <w:rPr>
                <w:rFonts w:ascii="宋体" w:cs="宋体"/>
                <w:kern w:val="0"/>
                <w:sz w:val="24"/>
                <w:highlight w:val="none"/>
              </w:rPr>
            </w:pPr>
          </w:p>
        </w:tc>
        <w:tc>
          <w:tcPr>
            <w:tcW w:w="1871" w:type="dxa"/>
            <w:vMerge w:val="continue"/>
            <w:vAlign w:val="center"/>
          </w:tcPr>
          <w:p>
            <w:pPr>
              <w:jc w:val="center"/>
              <w:rPr>
                <w:rFonts w:ascii="宋体" w:cs="宋体"/>
                <w:kern w:val="0"/>
                <w:sz w:val="24"/>
                <w:highlight w:val="none"/>
              </w:rPr>
            </w:pPr>
          </w:p>
        </w:tc>
        <w:tc>
          <w:tcPr>
            <w:tcW w:w="4819" w:type="dxa"/>
            <w:vAlign w:val="center"/>
          </w:tcPr>
          <w:p>
            <w:pPr>
              <w:jc w:val="center"/>
              <w:rPr>
                <w:rFonts w:ascii="宋体" w:cs="宋体"/>
                <w:kern w:val="0"/>
                <w:sz w:val="24"/>
                <w:highlight w:val="none"/>
              </w:rPr>
            </w:pPr>
            <w:r>
              <w:rPr>
                <w:rFonts w:hint="eastAsia" w:ascii="宋体" w:hAnsi="宋体" w:cs="宋体"/>
                <w:kern w:val="0"/>
                <w:sz w:val="24"/>
                <w:highlight w:val="none"/>
              </w:rPr>
              <w:t>良好</w:t>
            </w:r>
          </w:p>
        </w:tc>
        <w:tc>
          <w:tcPr>
            <w:tcW w:w="1956" w:type="dxa"/>
            <w:vAlign w:val="center"/>
          </w:tcPr>
          <w:p>
            <w:pPr>
              <w:jc w:val="center"/>
              <w:rPr>
                <w:rFonts w:ascii="宋体" w:cs="宋体"/>
                <w:kern w:val="0"/>
                <w:sz w:val="24"/>
                <w:highlight w:val="none"/>
              </w:rPr>
            </w:pPr>
            <w:r>
              <w:rPr>
                <w:rFonts w:ascii="宋体" w:hAnsi="宋体" w:cs="宋体"/>
                <w:kern w:val="0"/>
                <w:sz w:val="24"/>
                <w:highlight w:val="none"/>
              </w:rPr>
              <w:t>18</w:t>
            </w:r>
            <w:r>
              <w:rPr>
                <w:rFonts w:hint="eastAsia" w:ascii="宋体" w:hAnsi="宋体" w:cs="宋体"/>
                <w:kern w:val="0"/>
                <w:sz w:val="24"/>
                <w:highlight w:val="none"/>
              </w:rPr>
              <w:t>＜</w:t>
            </w:r>
            <w:r>
              <w:rPr>
                <w:rFonts w:ascii="宋体" w:hAnsi="宋体" w:cs="宋体"/>
                <w:kern w:val="0"/>
                <w:sz w:val="24"/>
                <w:highlight w:val="none"/>
              </w:rPr>
              <w:t>m</w:t>
            </w:r>
            <w:r>
              <w:rPr>
                <w:rFonts w:hint="eastAsia"/>
                <w:highlight w:val="none"/>
              </w:rPr>
              <w:t>≤</w:t>
            </w:r>
            <w:r>
              <w:rPr>
                <w:rFonts w:ascii="宋体" w:hAnsi="宋体" w:cs="宋体"/>
                <w:kern w:val="0"/>
                <w:sz w:val="24"/>
                <w:highlight w:val="none"/>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vMerge w:val="continue"/>
            <w:vAlign w:val="center"/>
          </w:tcPr>
          <w:p>
            <w:pPr>
              <w:jc w:val="center"/>
              <w:rPr>
                <w:rFonts w:ascii="宋体" w:cs="宋体"/>
                <w:kern w:val="0"/>
                <w:sz w:val="24"/>
                <w:highlight w:val="none"/>
              </w:rPr>
            </w:pPr>
          </w:p>
        </w:tc>
        <w:tc>
          <w:tcPr>
            <w:tcW w:w="1871" w:type="dxa"/>
            <w:vMerge w:val="continue"/>
            <w:vAlign w:val="center"/>
          </w:tcPr>
          <w:p>
            <w:pPr>
              <w:jc w:val="center"/>
              <w:rPr>
                <w:rFonts w:ascii="宋体" w:cs="宋体"/>
                <w:kern w:val="0"/>
                <w:sz w:val="24"/>
                <w:highlight w:val="none"/>
              </w:rPr>
            </w:pPr>
          </w:p>
        </w:tc>
        <w:tc>
          <w:tcPr>
            <w:tcW w:w="4819" w:type="dxa"/>
            <w:vAlign w:val="center"/>
          </w:tcPr>
          <w:p>
            <w:pPr>
              <w:jc w:val="center"/>
              <w:rPr>
                <w:rFonts w:ascii="宋体" w:cs="宋体"/>
                <w:kern w:val="0"/>
                <w:sz w:val="24"/>
                <w:highlight w:val="none"/>
              </w:rPr>
            </w:pPr>
            <w:r>
              <w:rPr>
                <w:rFonts w:hint="eastAsia" w:ascii="宋体" w:hAnsi="宋体" w:cs="宋体"/>
                <w:kern w:val="0"/>
                <w:sz w:val="24"/>
                <w:highlight w:val="none"/>
              </w:rPr>
              <w:t>优秀</w:t>
            </w:r>
          </w:p>
        </w:tc>
        <w:tc>
          <w:tcPr>
            <w:tcW w:w="1956" w:type="dxa"/>
            <w:vAlign w:val="center"/>
          </w:tcPr>
          <w:p>
            <w:pPr>
              <w:jc w:val="center"/>
              <w:rPr>
                <w:rFonts w:ascii="宋体" w:cs="宋体"/>
                <w:kern w:val="0"/>
                <w:sz w:val="24"/>
                <w:highlight w:val="none"/>
              </w:rPr>
            </w:pPr>
            <w:r>
              <w:rPr>
                <w:rFonts w:ascii="宋体" w:hAnsi="宋体" w:cs="宋体"/>
                <w:kern w:val="0"/>
                <w:sz w:val="24"/>
                <w:highlight w:val="none"/>
              </w:rPr>
              <w:t>24</w:t>
            </w:r>
            <w:r>
              <w:rPr>
                <w:rFonts w:hint="eastAsia" w:ascii="宋体" w:hAnsi="宋体" w:cs="宋体"/>
                <w:kern w:val="0"/>
                <w:sz w:val="24"/>
                <w:highlight w:val="none"/>
              </w:rPr>
              <w:t>＜</w:t>
            </w:r>
            <w:r>
              <w:rPr>
                <w:rFonts w:ascii="宋体" w:hAnsi="宋体" w:cs="宋体"/>
                <w:kern w:val="0"/>
                <w:sz w:val="24"/>
                <w:highlight w:val="none"/>
              </w:rPr>
              <w:t>m</w:t>
            </w:r>
            <w:r>
              <w:rPr>
                <w:rFonts w:hint="eastAsia"/>
                <w:highlight w:val="none"/>
              </w:rPr>
              <w:t>≤</w:t>
            </w:r>
            <w:r>
              <w:rPr>
                <w:rFonts w:ascii="宋体" w:hAnsi="宋体" w:cs="宋体"/>
                <w:kern w:val="0"/>
                <w:sz w:val="24"/>
                <w:highlight w:val="none"/>
              </w:rPr>
              <w:t>30</w:t>
            </w:r>
          </w:p>
        </w:tc>
      </w:tr>
    </w:tbl>
    <w:p>
      <w:pPr>
        <w:pStyle w:val="4"/>
        <w:spacing w:before="0" w:after="0" w:line="480" w:lineRule="exact"/>
        <w:rPr>
          <w:rFonts w:ascii="宋体" w:cs="仿宋"/>
          <w:szCs w:val="28"/>
          <w:highlight w:val="none"/>
        </w:rPr>
      </w:pPr>
      <w:bookmarkStart w:id="563" w:name="_Toc25386"/>
      <w:bookmarkStart w:id="564" w:name="_Toc13854"/>
      <w:bookmarkStart w:id="565" w:name="_Toc17415"/>
      <w:bookmarkStart w:id="566" w:name="_Toc32310"/>
      <w:bookmarkStart w:id="567" w:name="_Toc28185"/>
      <w:bookmarkStart w:id="568" w:name="_Toc19365"/>
      <w:bookmarkStart w:id="569" w:name="_Toc471482377"/>
      <w:bookmarkStart w:id="570" w:name="_Toc21685"/>
      <w:bookmarkStart w:id="571" w:name="_Toc19593"/>
      <w:bookmarkStart w:id="572" w:name="_Toc27375"/>
      <w:bookmarkStart w:id="573" w:name="_Toc7198"/>
      <w:bookmarkStart w:id="574" w:name="_Toc19395"/>
      <w:bookmarkStart w:id="575" w:name="_Toc22367"/>
      <w:bookmarkStart w:id="576" w:name="_Toc24296"/>
      <w:bookmarkStart w:id="577" w:name="_Toc15663"/>
      <w:bookmarkStart w:id="578" w:name="_Toc27525"/>
      <w:bookmarkStart w:id="579" w:name="_Toc10183"/>
      <w:bookmarkStart w:id="580" w:name="_Toc14432"/>
      <w:r>
        <w:rPr>
          <w:rFonts w:hint="eastAsia" w:ascii="宋体" w:hAnsi="宋体" w:cs="仿宋"/>
          <w:szCs w:val="28"/>
          <w:highlight w:val="none"/>
        </w:rPr>
        <w:t>四、中选标准</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spacing w:line="480" w:lineRule="exact"/>
        <w:ind w:firstLine="560" w:firstLineChars="200"/>
        <w:rPr>
          <w:rFonts w:ascii="宋体" w:cs="仿宋"/>
          <w:sz w:val="28"/>
          <w:szCs w:val="28"/>
          <w:highlight w:val="none"/>
        </w:rPr>
      </w:pPr>
      <w:r>
        <w:rPr>
          <w:rFonts w:hint="eastAsia" w:ascii="宋体" w:hAnsi="宋体" w:cs="仿宋"/>
          <w:sz w:val="28"/>
          <w:szCs w:val="28"/>
          <w:highlight w:val="none"/>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审小组提出的中选候选人名单排序依次确定其他中选候选人为中选人，也可以重新比选。</w:t>
      </w:r>
    </w:p>
    <w:p>
      <w:pPr>
        <w:pStyle w:val="13"/>
        <w:pageBreakBefore/>
        <w:widowControl/>
        <w:adjustRightInd/>
        <w:snapToGrid w:val="0"/>
        <w:spacing w:line="600" w:lineRule="exact"/>
        <w:jc w:val="center"/>
        <w:outlineLvl w:val="0"/>
        <w:rPr>
          <w:rStyle w:val="57"/>
          <w:rFonts w:ascii="宋体" w:hAnsi="宋体" w:eastAsia="宋体" w:cs="方正小标宋简体"/>
          <w:bCs/>
          <w:sz w:val="28"/>
          <w:szCs w:val="28"/>
          <w:highlight w:val="none"/>
        </w:rPr>
      </w:pPr>
      <w:bookmarkStart w:id="581" w:name="_Toc31681"/>
      <w:bookmarkStart w:id="582" w:name="_Toc14566"/>
      <w:bookmarkStart w:id="583" w:name="_Toc26409"/>
      <w:bookmarkStart w:id="584" w:name="_Toc328"/>
      <w:bookmarkStart w:id="585" w:name="_Toc1144"/>
      <w:bookmarkStart w:id="586" w:name="_Toc9597"/>
      <w:bookmarkStart w:id="587" w:name="_Toc30897"/>
      <w:bookmarkStart w:id="588" w:name="_Toc28535"/>
      <w:bookmarkStart w:id="589" w:name="_Toc13941"/>
      <w:bookmarkStart w:id="590" w:name="_Toc21321"/>
      <w:bookmarkStart w:id="591" w:name="_Toc12695"/>
      <w:bookmarkStart w:id="592" w:name="_Toc16754"/>
      <w:bookmarkStart w:id="593" w:name="_Toc5010"/>
      <w:bookmarkStart w:id="594" w:name="_Toc14659"/>
      <w:bookmarkStart w:id="595" w:name="_Toc1299"/>
      <w:bookmarkStart w:id="596" w:name="_Toc100643475"/>
      <w:bookmarkStart w:id="597" w:name="_Toc18668"/>
      <w:bookmarkStart w:id="598" w:name="_Toc26446"/>
      <w:bookmarkStart w:id="599" w:name="_Toc492478835"/>
      <w:bookmarkStart w:id="600" w:name="_Toc25061"/>
      <w:bookmarkStart w:id="601" w:name="_Toc26468"/>
      <w:bookmarkStart w:id="602" w:name="_Toc8402"/>
      <w:bookmarkStart w:id="603" w:name="_Toc12314"/>
      <w:bookmarkStart w:id="604" w:name="_Toc20298"/>
      <w:bookmarkStart w:id="605" w:name="_Toc26741"/>
      <w:bookmarkStart w:id="606" w:name="_Toc6337"/>
      <w:bookmarkStart w:id="607" w:name="_Toc28135"/>
      <w:bookmarkStart w:id="608" w:name="_Toc6454"/>
      <w:r>
        <w:rPr>
          <w:rStyle w:val="57"/>
          <w:rFonts w:hint="eastAsia" w:ascii="宋体" w:hAnsi="宋体" w:eastAsia="宋体" w:cs="方正小标宋简体"/>
          <w:bCs/>
          <w:sz w:val="28"/>
          <w:szCs w:val="28"/>
          <w:highlight w:val="none"/>
        </w:rPr>
        <w:t>第五章</w:t>
      </w:r>
      <w:r>
        <w:rPr>
          <w:rStyle w:val="57"/>
          <w:rFonts w:ascii="宋体" w:hAnsi="宋体" w:eastAsia="宋体" w:cs="方正小标宋简体"/>
          <w:bCs/>
          <w:sz w:val="28"/>
          <w:szCs w:val="28"/>
          <w:highlight w:val="none"/>
        </w:rPr>
        <w:t xml:space="preserve"> </w:t>
      </w:r>
      <w:r>
        <w:rPr>
          <w:rStyle w:val="57"/>
          <w:rFonts w:hint="eastAsia" w:ascii="宋体" w:hAnsi="宋体" w:eastAsia="宋体" w:cs="方正小标宋简体"/>
          <w:bCs/>
          <w:sz w:val="28"/>
          <w:szCs w:val="28"/>
          <w:highlight w:val="none"/>
        </w:rPr>
        <w:t>用户需求书</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numPr>
          <w:ilvl w:val="255"/>
          <w:numId w:val="0"/>
        </w:numPr>
        <w:snapToGrid w:val="0"/>
        <w:spacing w:line="240" w:lineRule="auto"/>
        <w:jc w:val="center"/>
        <w:textAlignment w:val="baseline"/>
        <w:rPr>
          <w:rFonts w:ascii="宋体" w:cs="仿宋"/>
          <w:b/>
          <w:color w:val="000000"/>
          <w:kern w:val="58"/>
          <w:sz w:val="18"/>
          <w:szCs w:val="18"/>
          <w:highlight w:val="none"/>
        </w:rPr>
      </w:pPr>
      <w:bookmarkStart w:id="609" w:name="_Toc72762753"/>
    </w:p>
    <w:p>
      <w:pPr>
        <w:keepNext w:val="0"/>
        <w:keepLines w:val="0"/>
        <w:pageBreakBefore w:val="0"/>
        <w:widowControl/>
        <w:numPr>
          <w:ilvl w:val="255"/>
          <w:numId w:val="0"/>
        </w:numPr>
        <w:kinsoku/>
        <w:wordWrap/>
        <w:overflowPunct/>
        <w:topLinePunct w:val="0"/>
        <w:autoSpaceDE/>
        <w:autoSpaceDN/>
        <w:bidi w:val="0"/>
        <w:snapToGrid w:val="0"/>
        <w:spacing w:line="540" w:lineRule="exact"/>
        <w:ind w:firstLine="560" w:firstLineChars="200"/>
        <w:textAlignment w:val="baseline"/>
        <w:rPr>
          <w:rFonts w:ascii="仿宋" w:hAnsi="仿宋" w:eastAsia="仿宋" w:cs="仿宋"/>
          <w:b/>
          <w:color w:val="000000"/>
          <w:kern w:val="58"/>
          <w:sz w:val="28"/>
          <w:szCs w:val="28"/>
          <w:highlight w:val="none"/>
        </w:rPr>
      </w:pPr>
      <w:r>
        <w:rPr>
          <w:rFonts w:hint="eastAsia" w:ascii="黑体" w:hAnsi="黑体" w:eastAsia="黑体" w:cs="黑体"/>
          <w:bCs/>
          <w:color w:val="000000"/>
          <w:kern w:val="58"/>
          <w:sz w:val="28"/>
          <w:szCs w:val="28"/>
          <w:highlight w:val="none"/>
        </w:rPr>
        <w:t>一、技术需求及数量表</w:t>
      </w:r>
      <w:bookmarkEnd w:id="609"/>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ascii="楷体" w:hAnsi="楷体" w:eastAsia="楷体" w:cs="楷体"/>
          <w:sz w:val="28"/>
          <w:szCs w:val="28"/>
          <w:highlight w:val="none"/>
        </w:rPr>
      </w:pPr>
      <w:r>
        <w:rPr>
          <w:rFonts w:hint="eastAsia" w:ascii="楷体" w:hAnsi="楷体" w:eastAsia="楷体" w:cs="楷体"/>
          <w:sz w:val="28"/>
          <w:szCs w:val="28"/>
          <w:highlight w:val="none"/>
        </w:rPr>
        <w:t>（一）</w:t>
      </w:r>
      <w:r>
        <w:rPr>
          <w:rFonts w:hint="eastAsia" w:ascii="楷体" w:hAnsi="楷体" w:eastAsia="楷体" w:cs="楷体"/>
          <w:sz w:val="28"/>
          <w:szCs w:val="28"/>
          <w:highlight w:val="none"/>
          <w:lang w:val="en-US" w:eastAsia="zh-CN"/>
        </w:rPr>
        <w:t>审计</w:t>
      </w:r>
      <w:r>
        <w:rPr>
          <w:rFonts w:hint="eastAsia" w:ascii="楷体" w:hAnsi="楷体" w:eastAsia="楷体" w:cs="楷体"/>
          <w:sz w:val="28"/>
          <w:szCs w:val="28"/>
          <w:highlight w:val="none"/>
        </w:rPr>
        <w:t>目标</w:t>
      </w:r>
    </w:p>
    <w:p>
      <w:pPr>
        <w:keepNext w:val="0"/>
        <w:keepLines w:val="0"/>
        <w:pageBreakBefore w:val="0"/>
        <w:kinsoku/>
        <w:wordWrap/>
        <w:overflowPunct/>
        <w:topLinePunct w:val="0"/>
        <w:autoSpaceDE/>
        <w:autoSpaceDN/>
        <w:bidi w:val="0"/>
        <w:adjustRightInd w:val="0"/>
        <w:snapToGrid w:val="0"/>
        <w:spacing w:line="540" w:lineRule="exact"/>
        <w:ind w:firstLine="560" w:firstLineChars="200"/>
        <w:textAlignment w:val="baseline"/>
        <w:rPr>
          <w:rFonts w:ascii="仿宋" w:hAnsi="仿宋" w:eastAsia="仿宋" w:cs="仿宋"/>
          <w:sz w:val="28"/>
          <w:szCs w:val="28"/>
          <w:highlight w:val="none"/>
        </w:rPr>
      </w:pPr>
      <w:r>
        <w:rPr>
          <w:rFonts w:hint="eastAsia" w:ascii="仿宋" w:hAnsi="仿宋" w:eastAsia="仿宋" w:cs="仿宋"/>
          <w:sz w:val="28"/>
          <w:szCs w:val="28"/>
          <w:highlight w:val="none"/>
        </w:rPr>
        <w:t>根据《中华人民共和国招标投标法》《中华人民共和国招标投标法实施条例》《中华人民共和国民法典》及其他相关法律法规，以及南宁轨道交通集团有限责任公司、南宁轨道</w:t>
      </w:r>
      <w:r>
        <w:rPr>
          <w:rFonts w:hint="eastAsia" w:ascii="仿宋" w:hAnsi="仿宋" w:eastAsia="仿宋" w:cs="仿宋"/>
          <w:sz w:val="28"/>
          <w:szCs w:val="28"/>
          <w:highlight w:val="none"/>
          <w:lang w:val="en-US" w:eastAsia="zh-CN"/>
        </w:rPr>
        <w:t>交通建设有限公司</w:t>
      </w:r>
      <w:r>
        <w:rPr>
          <w:rFonts w:hint="eastAsia" w:ascii="仿宋" w:hAnsi="仿宋" w:eastAsia="仿宋" w:cs="仿宋"/>
          <w:sz w:val="28"/>
          <w:szCs w:val="28"/>
          <w:highlight w:val="none"/>
        </w:rPr>
        <w:t>招标采购、合同管理</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工程施工</w:t>
      </w:r>
      <w:r>
        <w:rPr>
          <w:rFonts w:hint="eastAsia" w:ascii="仿宋" w:hAnsi="仿宋" w:eastAsia="仿宋" w:cs="仿宋"/>
          <w:sz w:val="28"/>
          <w:szCs w:val="28"/>
          <w:highlight w:val="none"/>
        </w:rPr>
        <w:t>等制度开展工作，对南宁轨道</w:t>
      </w:r>
      <w:r>
        <w:rPr>
          <w:rFonts w:hint="eastAsia" w:ascii="仿宋" w:hAnsi="仿宋" w:eastAsia="仿宋" w:cs="仿宋"/>
          <w:sz w:val="28"/>
          <w:szCs w:val="28"/>
          <w:highlight w:val="none"/>
          <w:lang w:val="en-US" w:eastAsia="zh-CN"/>
        </w:rPr>
        <w:t>交通建设有限</w:t>
      </w:r>
      <w:r>
        <w:rPr>
          <w:rFonts w:hint="eastAsia" w:ascii="仿宋" w:hAnsi="仿宋" w:eastAsia="仿宋" w:cs="仿宋"/>
          <w:sz w:val="28"/>
          <w:szCs w:val="28"/>
          <w:highlight w:val="none"/>
        </w:rPr>
        <w:t>公司2020年至2022年采购</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合同管理</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工程签证管理</w:t>
      </w:r>
      <w:r>
        <w:rPr>
          <w:rFonts w:hint="eastAsia" w:ascii="仿宋" w:hAnsi="仿宋" w:eastAsia="仿宋" w:cs="仿宋"/>
          <w:sz w:val="28"/>
          <w:szCs w:val="28"/>
          <w:highlight w:val="none"/>
        </w:rPr>
        <w:t>情况作出客观公正、实事求是的评价，出具南宁轨道</w:t>
      </w:r>
      <w:r>
        <w:rPr>
          <w:rFonts w:hint="eastAsia" w:ascii="仿宋" w:hAnsi="仿宋" w:eastAsia="仿宋" w:cs="仿宋"/>
          <w:sz w:val="28"/>
          <w:szCs w:val="28"/>
          <w:highlight w:val="none"/>
          <w:lang w:val="en-US" w:eastAsia="zh-CN"/>
        </w:rPr>
        <w:t>交通建设有限</w:t>
      </w:r>
      <w:r>
        <w:rPr>
          <w:rFonts w:hint="eastAsia" w:ascii="仿宋" w:hAnsi="仿宋" w:eastAsia="仿宋" w:cs="仿宋"/>
          <w:sz w:val="28"/>
          <w:szCs w:val="28"/>
          <w:highlight w:val="none"/>
        </w:rPr>
        <w:t>公司2020年至2022年采购及合同管理专项审计报告，并经南宁轨道交通集团有限责任公司审批通过。</w:t>
      </w:r>
      <w:r>
        <w:rPr>
          <w:rFonts w:hint="eastAsia" w:ascii="仿宋" w:hAnsi="仿宋" w:eastAsia="仿宋" w:cs="仿宋"/>
          <w:sz w:val="28"/>
          <w:szCs w:val="28"/>
          <w:highlight w:val="none"/>
          <w:lang w:val="en-US" w:eastAsia="zh-CN"/>
        </w:rPr>
        <w:t>审计</w:t>
      </w:r>
      <w:r>
        <w:rPr>
          <w:rFonts w:hint="eastAsia" w:ascii="仿宋" w:hAnsi="仿宋" w:eastAsia="仿宋" w:cs="仿宋"/>
          <w:sz w:val="28"/>
          <w:szCs w:val="28"/>
          <w:highlight w:val="none"/>
        </w:rPr>
        <w:t>重点主要包括但不仅限于以下内容：</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1.采购管理审计</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（1）采购管理制度及标准化流程的建立情况及制度设计的合理性；</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（2）采购工作管理委员会、总经理办公会、董事会分级审批、决策</w:t>
      </w:r>
      <w:r>
        <w:rPr>
          <w:rFonts w:hint="eastAsia" w:ascii="仿宋" w:hAnsi="仿宋" w:eastAsia="仿宋" w:cs="仿宋"/>
          <w:b w:val="0"/>
          <w:bCs w:val="0"/>
          <w:sz w:val="28"/>
          <w:szCs w:val="28"/>
          <w:highlight w:val="none"/>
          <w:lang w:val="zh-CN" w:eastAsia="zh-CN"/>
        </w:rPr>
        <w:t>情况</w:t>
      </w:r>
      <w:r>
        <w:rPr>
          <w:rFonts w:hint="eastAsia" w:ascii="仿宋" w:hAnsi="仿宋" w:eastAsia="仿宋" w:cs="仿宋"/>
          <w:b w:val="0"/>
          <w:bCs w:val="0"/>
          <w:sz w:val="28"/>
          <w:szCs w:val="28"/>
          <w:highlight w:val="none"/>
          <w:lang w:val="en-US" w:eastAsia="zh-CN"/>
        </w:rPr>
        <w:t>；</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（3）年度采购计划编制、月度临时新增采购计划、紧急采购计划的编制、审批、执行</w:t>
      </w:r>
      <w:r>
        <w:rPr>
          <w:rFonts w:hint="eastAsia" w:ascii="仿宋" w:hAnsi="仿宋" w:eastAsia="仿宋" w:cs="仿宋"/>
          <w:b w:val="0"/>
          <w:bCs w:val="0"/>
          <w:sz w:val="28"/>
          <w:szCs w:val="28"/>
          <w:highlight w:val="none"/>
          <w:lang w:val="zh-CN" w:eastAsia="zh-CN"/>
        </w:rPr>
        <w:t>情况</w:t>
      </w:r>
      <w:r>
        <w:rPr>
          <w:rFonts w:hint="eastAsia" w:ascii="仿宋" w:hAnsi="仿宋" w:eastAsia="仿宋" w:cs="仿宋"/>
          <w:b w:val="0"/>
          <w:bCs w:val="0"/>
          <w:sz w:val="28"/>
          <w:szCs w:val="28"/>
          <w:highlight w:val="none"/>
          <w:lang w:val="en-US" w:eastAsia="zh-CN"/>
        </w:rPr>
        <w:t>；</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（4）招标类采购、非招标类采购的分判及具体执行情况，关注非公开招标类项目采购评审、谈判过程；</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（5）供应商管理及评价体系建立、各类供应商资源库考察、维护情况；</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 xml:space="preserve">（6）采购监督部门执行监督、检查的情况； </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（7）在</w:t>
      </w:r>
      <w:r>
        <w:rPr>
          <w:rFonts w:hint="eastAsia" w:ascii="仿宋" w:hAnsi="仿宋" w:eastAsia="仿宋" w:cs="仿宋"/>
          <w:b w:val="0"/>
          <w:bCs w:val="0"/>
          <w:sz w:val="28"/>
          <w:szCs w:val="28"/>
          <w:highlight w:val="none"/>
          <w:lang w:val="zh-CN" w:eastAsia="zh-CN"/>
        </w:rPr>
        <w:t>采购活动中落实有关党风廉政建设责任和遵守廉洁从业规定情况</w:t>
      </w:r>
      <w:r>
        <w:rPr>
          <w:rFonts w:hint="eastAsia" w:ascii="仿宋" w:hAnsi="仿宋" w:eastAsia="仿宋" w:cs="仿宋"/>
          <w:b w:val="0"/>
          <w:bCs w:val="0"/>
          <w:sz w:val="28"/>
          <w:szCs w:val="28"/>
          <w:highlight w:val="none"/>
          <w:lang w:val="en-US" w:eastAsia="zh-CN"/>
        </w:rPr>
        <w:t>；</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（8）采购验收手续是否完整、真实；</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（9）采购流程是否遵守国家法规及公司的采购管理制度；</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（10）采购台账日常管理情况，采购文件管理、归档情况。</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2.合同管理审计</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（1）合同管理制度和标准化流程，以及合同管理系统的建立情况，制度设计的合理性；</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（2）合同审批、签订流程执行情况，关注合同审批、签订流程是否符合相关规定，手续是否完整；</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（3）合同履约过程管理情况，实际履约效果与采购需求的一致性，关注合同发生变更是否符合原合同条款或法定条件，依据是否充分，相关审批手续是否完整；</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（4）公司对合同的履行情况是否进行跟踪管理，是否存在超付合同支付的违规行为；</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（5）合同变更审批、结算、付款、索赔情况，关注是否存在支付风险；</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（6）合同日常管理情况，合同台账、合同文本、结算资料等归档与保管情况，公司合同管理信息化应用情况。</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3.工程签证管理审计</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（1）工程项目签证管理情况，关注工程签证内容的合规性、真实性、合理性，签证内容是否与实际发生相符，签证的计量计价是否与合同有关条款约定相符，是否及时办理签证（含减项签证办理）；</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（2）工程项目现场签证审批情况，关注是否已按照制度规定执行审批流程，工程签证过程的监管程序与各方审批程序是否完善，是否存在越权审批；</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（3）工程项目现场签证台账管理情况，签证资料管理、归档情况，关注工程管理部门对签证实施进度管控情况。</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4.以往审计发现问题整改的情况。</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重点关注涉及违规招采、违规签证问题的追责问责情况，整改完成效果。</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5.其他需要审计的内容。</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楷体" w:hAnsi="楷体" w:eastAsia="楷体" w:cs="楷体"/>
          <w:sz w:val="28"/>
          <w:szCs w:val="28"/>
          <w:highlight w:val="none"/>
        </w:rPr>
      </w:pPr>
      <w:r>
        <w:rPr>
          <w:rFonts w:hint="eastAsia" w:ascii="楷体" w:hAnsi="楷体" w:eastAsia="楷体" w:cs="楷体"/>
          <w:sz w:val="28"/>
          <w:szCs w:val="28"/>
          <w:highlight w:val="none"/>
        </w:rPr>
        <w:t>（二）</w:t>
      </w:r>
      <w:r>
        <w:rPr>
          <w:rFonts w:hint="eastAsia" w:ascii="楷体" w:hAnsi="楷体" w:eastAsia="楷体" w:cs="楷体"/>
          <w:sz w:val="28"/>
          <w:szCs w:val="28"/>
          <w:highlight w:val="none"/>
          <w:lang w:val="en-US" w:eastAsia="zh-CN"/>
        </w:rPr>
        <w:t>审计</w:t>
      </w:r>
      <w:r>
        <w:rPr>
          <w:rFonts w:hint="eastAsia" w:ascii="楷体" w:hAnsi="楷体" w:eastAsia="楷体" w:cs="楷体"/>
          <w:sz w:val="28"/>
          <w:szCs w:val="28"/>
          <w:highlight w:val="none"/>
        </w:rPr>
        <w:t>对象、范围</w:t>
      </w:r>
    </w:p>
    <w:p>
      <w:pPr>
        <w:pStyle w:val="55"/>
        <w:pageBreakBefore w:val="0"/>
        <w:widowControl w:val="0"/>
        <w:shd w:val="clear" w:color="auto" w:fill="auto"/>
        <w:kinsoku/>
        <w:wordWrap/>
        <w:overflowPunct/>
        <w:topLinePunct w:val="0"/>
        <w:autoSpaceDE/>
        <w:autoSpaceDN/>
        <w:bidi w:val="0"/>
        <w:adjustRightInd/>
        <w:snapToGrid/>
        <w:spacing w:before="0" w:after="0" w:line="540" w:lineRule="exact"/>
        <w:ind w:right="0" w:firstLine="562" w:firstLineChars="200"/>
        <w:jc w:val="both"/>
        <w:textAlignment w:val="auto"/>
        <w:rPr>
          <w:rFonts w:hint="eastAsia" w:ascii="仿宋" w:hAnsi="仿宋" w:eastAsia="仿宋" w:cs="仿宋"/>
          <w:b w:val="0"/>
          <w:bCs w:val="0"/>
          <w:kern w:val="2"/>
          <w:sz w:val="28"/>
          <w:szCs w:val="28"/>
          <w:highlight w:val="none"/>
          <w:lang w:val="en-US" w:eastAsia="zh-CN" w:bidi="ar-SA"/>
        </w:rPr>
      </w:pPr>
      <w:r>
        <w:rPr>
          <w:rFonts w:hint="eastAsia" w:ascii="仿宋" w:hAnsi="仿宋" w:eastAsia="仿宋" w:cs="仿宋"/>
          <w:b/>
          <w:bCs/>
          <w:sz w:val="28"/>
          <w:szCs w:val="28"/>
          <w:highlight w:val="none"/>
          <w:lang w:val="en-US" w:eastAsia="zh-CN"/>
        </w:rPr>
        <w:t>审计对象：</w:t>
      </w:r>
      <w:r>
        <w:rPr>
          <w:rFonts w:hint="eastAsia" w:ascii="仿宋" w:hAnsi="仿宋" w:eastAsia="仿宋" w:cs="仿宋"/>
          <w:b w:val="0"/>
          <w:bCs w:val="0"/>
          <w:kern w:val="2"/>
          <w:sz w:val="28"/>
          <w:szCs w:val="28"/>
          <w:highlight w:val="none"/>
          <w:lang w:val="en-US" w:eastAsia="zh-CN" w:bidi="ar-SA"/>
        </w:rPr>
        <w:t>南宁轨道交通建设有限公司4号线、5号线采购管理、合同管理（含工程签证管理）情况的</w:t>
      </w:r>
      <w:r>
        <w:rPr>
          <w:rFonts w:hint="eastAsia" w:ascii="仿宋" w:hAnsi="仿宋" w:eastAsia="仿宋" w:cs="仿宋"/>
          <w:b w:val="0"/>
          <w:bCs w:val="0"/>
          <w:kern w:val="2"/>
          <w:sz w:val="28"/>
          <w:szCs w:val="28"/>
          <w:highlight w:val="none"/>
          <w:lang w:val="zh-CN" w:eastAsia="zh-CN" w:bidi="ar-SA"/>
        </w:rPr>
        <w:t>合法性、合规性、真实性和完整性。</w:t>
      </w:r>
    </w:p>
    <w:p>
      <w:pPr>
        <w:keepNext w:val="0"/>
        <w:keepLines w:val="0"/>
        <w:pageBreakBefore w:val="0"/>
        <w:kinsoku/>
        <w:wordWrap/>
        <w:overflowPunct/>
        <w:topLinePunct w:val="0"/>
        <w:autoSpaceDE/>
        <w:autoSpaceDN/>
        <w:bidi w:val="0"/>
        <w:snapToGrid w:val="0"/>
        <w:spacing w:line="540" w:lineRule="exact"/>
        <w:ind w:firstLine="562"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bCs/>
          <w:sz w:val="28"/>
          <w:szCs w:val="28"/>
          <w:highlight w:val="none"/>
          <w:lang w:val="en-US" w:eastAsia="zh-CN"/>
        </w:rPr>
        <w:t>审计范围：</w:t>
      </w:r>
      <w:r>
        <w:rPr>
          <w:rFonts w:hint="eastAsia" w:ascii="仿宋" w:hAnsi="仿宋" w:eastAsia="仿宋" w:cs="仿宋"/>
          <w:b w:val="0"/>
          <w:bCs w:val="0"/>
          <w:sz w:val="28"/>
          <w:szCs w:val="28"/>
          <w:highlight w:val="none"/>
          <w:lang w:val="en-US" w:eastAsia="zh-CN"/>
        </w:rPr>
        <w:t>2020年1月至2022年12月，必要时追溯到相关年度或延伸审计有关单位（部门）。</w:t>
      </w: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MingLiU">
    <w:altName w:val="PMingLiU-ExtB"/>
    <w:panose1 w:val="02020509000000000000"/>
    <w:charset w:val="88"/>
    <w:family w:val="moder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097" o:spid="_x0000_s4097" o:spt="202" type="#_x0000_t202" style="position:absolute;left:0pt;margin-top:0pt;height:12.4pt;width:23.3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第</w:t>
                </w:r>
                <w:r>
                  <w:rPr>
                    <w:sz w:val="18"/>
                  </w:rPr>
                  <w:fldChar w:fldCharType="begin"/>
                </w:r>
                <w:r>
                  <w:rPr>
                    <w:sz w:val="18"/>
                  </w:rPr>
                  <w:instrText xml:space="preserve"> PAGE  \* MERGEFORMAT </w:instrText>
                </w:r>
                <w:r>
                  <w:rPr>
                    <w:sz w:val="18"/>
                  </w:rPr>
                  <w:fldChar w:fldCharType="separate"/>
                </w:r>
                <w:r>
                  <w:t>17</w:t>
                </w:r>
                <w:r>
                  <w:rPr>
                    <w:sz w:val="18"/>
                  </w:rPr>
                  <w:fldChar w:fldCharType="end"/>
                </w:r>
                <w:r>
                  <w:rPr>
                    <w:rFonts w:hint="eastAsia"/>
                    <w:sz w:val="18"/>
                  </w:rPr>
                  <w:t>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文本框5" o:spid="_x0000_s4098" o:spt="202" type="#_x0000_t202" style="position:absolute;left:0pt;margin-top:0pt;height:12.4pt;width:33.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第</w:t>
                </w:r>
                <w:r>
                  <w:rPr>
                    <w:sz w:val="18"/>
                  </w:rPr>
                  <w:fldChar w:fldCharType="begin"/>
                </w:r>
                <w:r>
                  <w:rPr>
                    <w:sz w:val="18"/>
                  </w:rPr>
                  <w:instrText xml:space="preserve"> PAGE  \* MERGEFORMAT </w:instrText>
                </w:r>
                <w:r>
                  <w:rPr>
                    <w:sz w:val="18"/>
                  </w:rPr>
                  <w:fldChar w:fldCharType="separate"/>
                </w:r>
                <w:r>
                  <w:t>41</w:t>
                </w:r>
                <w:r>
                  <w:rPr>
                    <w:sz w:val="18"/>
                  </w:rPr>
                  <w:fldChar w:fldCharType="end"/>
                </w:r>
                <w:r>
                  <w:rPr>
                    <w:rFonts w:hint="eastAsia"/>
                    <w:sz w:val="18"/>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290778"/>
    <w:multiLevelType w:val="singleLevel"/>
    <w:tmpl w:val="8B290778"/>
    <w:lvl w:ilvl="0" w:tentative="0">
      <w:start w:val="1"/>
      <w:numFmt w:val="chineseCounting"/>
      <w:suff w:val="nothing"/>
      <w:lvlText w:val="%1、"/>
      <w:lvlJc w:val="left"/>
      <w:rPr>
        <w:rFonts w:hint="eastAsia"/>
      </w:rPr>
    </w:lvl>
  </w:abstractNum>
  <w:abstractNum w:abstractNumId="1">
    <w:nsid w:val="FDF8B55F"/>
    <w:multiLevelType w:val="singleLevel"/>
    <w:tmpl w:val="FDF8B55F"/>
    <w:lvl w:ilvl="0" w:tentative="0">
      <w:start w:val="4"/>
      <w:numFmt w:val="decimal"/>
      <w:suff w:val="nothing"/>
      <w:lvlText w:val="（%1）"/>
      <w:lvlJc w:val="left"/>
    </w:lvl>
  </w:abstractNum>
  <w:abstractNum w:abstractNumId="2">
    <w:nsid w:val="28C8FEF5"/>
    <w:multiLevelType w:val="singleLevel"/>
    <w:tmpl w:val="28C8FEF5"/>
    <w:lvl w:ilvl="0" w:tentative="0">
      <w:start w:val="9"/>
      <w:numFmt w:val="chineseCounting"/>
      <w:suff w:val="nothing"/>
      <w:lvlText w:val="%1、"/>
      <w:lvlJc w:val="left"/>
      <w:rPr>
        <w:rFonts w:hint="eastAsia" w:cs="Times New Roman"/>
      </w:rPr>
    </w:lvl>
  </w:abstractNum>
  <w:abstractNum w:abstractNumId="3">
    <w:nsid w:val="52ABEA66"/>
    <w:multiLevelType w:val="singleLevel"/>
    <w:tmpl w:val="52ABEA66"/>
    <w:lvl w:ilvl="0" w:tentative="0">
      <w:start w:val="3"/>
      <w:numFmt w:val="chineseCounting"/>
      <w:suff w:val="space"/>
      <w:lvlText w:val="第%1章"/>
      <w:lvlJc w:val="left"/>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k1ZmQ5YjUyMTcwMWY2MGIxMGU3MjRkMmM2NTc0ZTQifQ=="/>
    <w:docVar w:name="KSO_WPS_MARK_KEY" w:val="fb463319-963e-4835-b8a1-aa9826869839"/>
  </w:docVars>
  <w:rsids>
    <w:rsidRoot w:val="00172A27"/>
    <w:rsid w:val="00002B51"/>
    <w:rsid w:val="00004008"/>
    <w:rsid w:val="00004A25"/>
    <w:rsid w:val="00004D1D"/>
    <w:rsid w:val="00006245"/>
    <w:rsid w:val="00006C07"/>
    <w:rsid w:val="00006E49"/>
    <w:rsid w:val="00007092"/>
    <w:rsid w:val="00007885"/>
    <w:rsid w:val="00010DF1"/>
    <w:rsid w:val="00011A3B"/>
    <w:rsid w:val="00011A63"/>
    <w:rsid w:val="000121F0"/>
    <w:rsid w:val="000133ED"/>
    <w:rsid w:val="00013699"/>
    <w:rsid w:val="00013C92"/>
    <w:rsid w:val="000152A8"/>
    <w:rsid w:val="000158C4"/>
    <w:rsid w:val="00015BF7"/>
    <w:rsid w:val="00016D41"/>
    <w:rsid w:val="00016E1C"/>
    <w:rsid w:val="00017A1B"/>
    <w:rsid w:val="0002218A"/>
    <w:rsid w:val="000246E0"/>
    <w:rsid w:val="0002500A"/>
    <w:rsid w:val="00025256"/>
    <w:rsid w:val="000254A0"/>
    <w:rsid w:val="0002675F"/>
    <w:rsid w:val="00026993"/>
    <w:rsid w:val="00026FFC"/>
    <w:rsid w:val="00027E27"/>
    <w:rsid w:val="000318D8"/>
    <w:rsid w:val="00037691"/>
    <w:rsid w:val="000414D1"/>
    <w:rsid w:val="00042228"/>
    <w:rsid w:val="0004665C"/>
    <w:rsid w:val="00047299"/>
    <w:rsid w:val="000473D4"/>
    <w:rsid w:val="00047F27"/>
    <w:rsid w:val="00050E7F"/>
    <w:rsid w:val="00052B63"/>
    <w:rsid w:val="00054F81"/>
    <w:rsid w:val="0005651D"/>
    <w:rsid w:val="00057BDC"/>
    <w:rsid w:val="00062107"/>
    <w:rsid w:val="0007095D"/>
    <w:rsid w:val="000721B2"/>
    <w:rsid w:val="00072A19"/>
    <w:rsid w:val="0007429E"/>
    <w:rsid w:val="000765B5"/>
    <w:rsid w:val="00076DF2"/>
    <w:rsid w:val="00081999"/>
    <w:rsid w:val="00083154"/>
    <w:rsid w:val="0008406D"/>
    <w:rsid w:val="000843B4"/>
    <w:rsid w:val="00084B2A"/>
    <w:rsid w:val="000871E2"/>
    <w:rsid w:val="00090EC8"/>
    <w:rsid w:val="00091253"/>
    <w:rsid w:val="00094668"/>
    <w:rsid w:val="000971C8"/>
    <w:rsid w:val="000A4B9C"/>
    <w:rsid w:val="000A5B69"/>
    <w:rsid w:val="000A6250"/>
    <w:rsid w:val="000B0BA3"/>
    <w:rsid w:val="000B1064"/>
    <w:rsid w:val="000B1107"/>
    <w:rsid w:val="000B2862"/>
    <w:rsid w:val="000B39B7"/>
    <w:rsid w:val="000B6659"/>
    <w:rsid w:val="000B7BBC"/>
    <w:rsid w:val="000C2B82"/>
    <w:rsid w:val="000C488A"/>
    <w:rsid w:val="000C4E33"/>
    <w:rsid w:val="000C69D0"/>
    <w:rsid w:val="000C69DD"/>
    <w:rsid w:val="000D0354"/>
    <w:rsid w:val="000D58F6"/>
    <w:rsid w:val="000D5C3F"/>
    <w:rsid w:val="000D5E8D"/>
    <w:rsid w:val="000D5FD2"/>
    <w:rsid w:val="000D67D8"/>
    <w:rsid w:val="000D7E70"/>
    <w:rsid w:val="000E03A8"/>
    <w:rsid w:val="000E11C7"/>
    <w:rsid w:val="000E3A4D"/>
    <w:rsid w:val="000E3EF7"/>
    <w:rsid w:val="000E5816"/>
    <w:rsid w:val="000E59C4"/>
    <w:rsid w:val="000E6869"/>
    <w:rsid w:val="000F032E"/>
    <w:rsid w:val="000F0956"/>
    <w:rsid w:val="000F1C10"/>
    <w:rsid w:val="000F2D03"/>
    <w:rsid w:val="000F36DC"/>
    <w:rsid w:val="000F4134"/>
    <w:rsid w:val="000F453A"/>
    <w:rsid w:val="000F5090"/>
    <w:rsid w:val="000F5CAA"/>
    <w:rsid w:val="00100558"/>
    <w:rsid w:val="00100DB4"/>
    <w:rsid w:val="00100DD8"/>
    <w:rsid w:val="001014A5"/>
    <w:rsid w:val="00104022"/>
    <w:rsid w:val="00104172"/>
    <w:rsid w:val="00104382"/>
    <w:rsid w:val="00104A6A"/>
    <w:rsid w:val="00106405"/>
    <w:rsid w:val="00107C43"/>
    <w:rsid w:val="00111B38"/>
    <w:rsid w:val="00111C5D"/>
    <w:rsid w:val="00111EE3"/>
    <w:rsid w:val="001144D2"/>
    <w:rsid w:val="0011630A"/>
    <w:rsid w:val="00117DCA"/>
    <w:rsid w:val="001202B5"/>
    <w:rsid w:val="00124D07"/>
    <w:rsid w:val="00125175"/>
    <w:rsid w:val="001255FC"/>
    <w:rsid w:val="00125FC1"/>
    <w:rsid w:val="00126543"/>
    <w:rsid w:val="00127D4A"/>
    <w:rsid w:val="001330C5"/>
    <w:rsid w:val="001332EA"/>
    <w:rsid w:val="00135714"/>
    <w:rsid w:val="00135E2A"/>
    <w:rsid w:val="001365C6"/>
    <w:rsid w:val="00137E71"/>
    <w:rsid w:val="001413BC"/>
    <w:rsid w:val="0014338D"/>
    <w:rsid w:val="0014456C"/>
    <w:rsid w:val="001449DE"/>
    <w:rsid w:val="00150488"/>
    <w:rsid w:val="00153375"/>
    <w:rsid w:val="00153BCB"/>
    <w:rsid w:val="00154126"/>
    <w:rsid w:val="00154909"/>
    <w:rsid w:val="00155A9D"/>
    <w:rsid w:val="00157582"/>
    <w:rsid w:val="0015794B"/>
    <w:rsid w:val="0016414A"/>
    <w:rsid w:val="001662B3"/>
    <w:rsid w:val="001662F2"/>
    <w:rsid w:val="001663DA"/>
    <w:rsid w:val="00170EBD"/>
    <w:rsid w:val="001713FC"/>
    <w:rsid w:val="001717CC"/>
    <w:rsid w:val="00172A27"/>
    <w:rsid w:val="00176048"/>
    <w:rsid w:val="00177BAE"/>
    <w:rsid w:val="00180195"/>
    <w:rsid w:val="0018182F"/>
    <w:rsid w:val="00187C7B"/>
    <w:rsid w:val="00190FB9"/>
    <w:rsid w:val="00191030"/>
    <w:rsid w:val="0019366E"/>
    <w:rsid w:val="00194BAE"/>
    <w:rsid w:val="00196765"/>
    <w:rsid w:val="001A01E7"/>
    <w:rsid w:val="001A5DA1"/>
    <w:rsid w:val="001A7092"/>
    <w:rsid w:val="001A74F7"/>
    <w:rsid w:val="001A7FCC"/>
    <w:rsid w:val="001B0A62"/>
    <w:rsid w:val="001B0FDD"/>
    <w:rsid w:val="001B1E3E"/>
    <w:rsid w:val="001B7505"/>
    <w:rsid w:val="001B7E76"/>
    <w:rsid w:val="001C499E"/>
    <w:rsid w:val="001C4EF7"/>
    <w:rsid w:val="001C54B8"/>
    <w:rsid w:val="001C5BB9"/>
    <w:rsid w:val="001D3F0A"/>
    <w:rsid w:val="001D54D7"/>
    <w:rsid w:val="001D7F3C"/>
    <w:rsid w:val="001E04F0"/>
    <w:rsid w:val="001E07E2"/>
    <w:rsid w:val="001E086F"/>
    <w:rsid w:val="001E3135"/>
    <w:rsid w:val="001E3877"/>
    <w:rsid w:val="001E3FCC"/>
    <w:rsid w:val="001E56AB"/>
    <w:rsid w:val="001E6897"/>
    <w:rsid w:val="001E6FA6"/>
    <w:rsid w:val="001E7BFE"/>
    <w:rsid w:val="001F0714"/>
    <w:rsid w:val="001F10DD"/>
    <w:rsid w:val="001F16A1"/>
    <w:rsid w:val="001F35F6"/>
    <w:rsid w:val="001F3870"/>
    <w:rsid w:val="001F4BDB"/>
    <w:rsid w:val="001F5D48"/>
    <w:rsid w:val="001F701C"/>
    <w:rsid w:val="0020071F"/>
    <w:rsid w:val="00200760"/>
    <w:rsid w:val="00200936"/>
    <w:rsid w:val="00203566"/>
    <w:rsid w:val="00204B8B"/>
    <w:rsid w:val="002055AA"/>
    <w:rsid w:val="00205A6E"/>
    <w:rsid w:val="00207C93"/>
    <w:rsid w:val="00210672"/>
    <w:rsid w:val="002115C2"/>
    <w:rsid w:val="00212D27"/>
    <w:rsid w:val="002134A1"/>
    <w:rsid w:val="0021374F"/>
    <w:rsid w:val="00214422"/>
    <w:rsid w:val="00217254"/>
    <w:rsid w:val="00217C6B"/>
    <w:rsid w:val="00217DD1"/>
    <w:rsid w:val="00220974"/>
    <w:rsid w:val="00220C52"/>
    <w:rsid w:val="0022139E"/>
    <w:rsid w:val="002230F2"/>
    <w:rsid w:val="00225ADC"/>
    <w:rsid w:val="00225B9E"/>
    <w:rsid w:val="002267BB"/>
    <w:rsid w:val="00227BD1"/>
    <w:rsid w:val="00227EA2"/>
    <w:rsid w:val="0023123F"/>
    <w:rsid w:val="00233044"/>
    <w:rsid w:val="00234C00"/>
    <w:rsid w:val="00237C61"/>
    <w:rsid w:val="0024165C"/>
    <w:rsid w:val="00241BF1"/>
    <w:rsid w:val="0024220F"/>
    <w:rsid w:val="002422EC"/>
    <w:rsid w:val="00242EA9"/>
    <w:rsid w:val="002459DE"/>
    <w:rsid w:val="002470C0"/>
    <w:rsid w:val="002472A7"/>
    <w:rsid w:val="00247729"/>
    <w:rsid w:val="00250437"/>
    <w:rsid w:val="002528A0"/>
    <w:rsid w:val="002536AF"/>
    <w:rsid w:val="00254C9E"/>
    <w:rsid w:val="00262DFF"/>
    <w:rsid w:val="00263316"/>
    <w:rsid w:val="00263451"/>
    <w:rsid w:val="00263EEA"/>
    <w:rsid w:val="002651B0"/>
    <w:rsid w:val="002658DA"/>
    <w:rsid w:val="0026672D"/>
    <w:rsid w:val="0026684B"/>
    <w:rsid w:val="00270C77"/>
    <w:rsid w:val="00271F3E"/>
    <w:rsid w:val="0027349F"/>
    <w:rsid w:val="002742AA"/>
    <w:rsid w:val="00275CC8"/>
    <w:rsid w:val="00276ECA"/>
    <w:rsid w:val="00280012"/>
    <w:rsid w:val="00282402"/>
    <w:rsid w:val="00282FAF"/>
    <w:rsid w:val="00283FCC"/>
    <w:rsid w:val="002843C7"/>
    <w:rsid w:val="002866C4"/>
    <w:rsid w:val="00291FEC"/>
    <w:rsid w:val="00293368"/>
    <w:rsid w:val="0029350D"/>
    <w:rsid w:val="00294554"/>
    <w:rsid w:val="0029680C"/>
    <w:rsid w:val="00296D4F"/>
    <w:rsid w:val="002979D7"/>
    <w:rsid w:val="002A05FA"/>
    <w:rsid w:val="002A0884"/>
    <w:rsid w:val="002A26D4"/>
    <w:rsid w:val="002A2901"/>
    <w:rsid w:val="002A5A1A"/>
    <w:rsid w:val="002A7554"/>
    <w:rsid w:val="002A75C4"/>
    <w:rsid w:val="002A7A98"/>
    <w:rsid w:val="002B05FF"/>
    <w:rsid w:val="002B51AA"/>
    <w:rsid w:val="002B5539"/>
    <w:rsid w:val="002B5664"/>
    <w:rsid w:val="002B710B"/>
    <w:rsid w:val="002B74C3"/>
    <w:rsid w:val="002C1563"/>
    <w:rsid w:val="002C254F"/>
    <w:rsid w:val="002C3F22"/>
    <w:rsid w:val="002C4464"/>
    <w:rsid w:val="002C44B1"/>
    <w:rsid w:val="002C4B45"/>
    <w:rsid w:val="002C5102"/>
    <w:rsid w:val="002C552D"/>
    <w:rsid w:val="002C57EF"/>
    <w:rsid w:val="002C61BE"/>
    <w:rsid w:val="002C7300"/>
    <w:rsid w:val="002D06CA"/>
    <w:rsid w:val="002D09F6"/>
    <w:rsid w:val="002D16C9"/>
    <w:rsid w:val="002D1B87"/>
    <w:rsid w:val="002D2471"/>
    <w:rsid w:val="002D2C24"/>
    <w:rsid w:val="002D3A09"/>
    <w:rsid w:val="002D5CD5"/>
    <w:rsid w:val="002D65F7"/>
    <w:rsid w:val="002E05BD"/>
    <w:rsid w:val="002E0B24"/>
    <w:rsid w:val="002E0BCC"/>
    <w:rsid w:val="002E10D0"/>
    <w:rsid w:val="002E41B0"/>
    <w:rsid w:val="002E47C6"/>
    <w:rsid w:val="002E4D62"/>
    <w:rsid w:val="002E6443"/>
    <w:rsid w:val="002E6D50"/>
    <w:rsid w:val="002E6F39"/>
    <w:rsid w:val="002F1056"/>
    <w:rsid w:val="002F1449"/>
    <w:rsid w:val="002F4DBA"/>
    <w:rsid w:val="002F6707"/>
    <w:rsid w:val="00300C77"/>
    <w:rsid w:val="00301494"/>
    <w:rsid w:val="003020C2"/>
    <w:rsid w:val="00302D33"/>
    <w:rsid w:val="003031F8"/>
    <w:rsid w:val="003033FE"/>
    <w:rsid w:val="00304405"/>
    <w:rsid w:val="00304AC6"/>
    <w:rsid w:val="00306511"/>
    <w:rsid w:val="003067AD"/>
    <w:rsid w:val="00307333"/>
    <w:rsid w:val="003110D9"/>
    <w:rsid w:val="003117D9"/>
    <w:rsid w:val="00311BC7"/>
    <w:rsid w:val="0031513B"/>
    <w:rsid w:val="003208C7"/>
    <w:rsid w:val="0032184E"/>
    <w:rsid w:val="00321F90"/>
    <w:rsid w:val="00326138"/>
    <w:rsid w:val="00330B76"/>
    <w:rsid w:val="00331802"/>
    <w:rsid w:val="00331EB2"/>
    <w:rsid w:val="00334F8D"/>
    <w:rsid w:val="00337398"/>
    <w:rsid w:val="00337566"/>
    <w:rsid w:val="0033784C"/>
    <w:rsid w:val="0034058C"/>
    <w:rsid w:val="00341C6C"/>
    <w:rsid w:val="00343658"/>
    <w:rsid w:val="00344C38"/>
    <w:rsid w:val="00344EA4"/>
    <w:rsid w:val="00345496"/>
    <w:rsid w:val="0034733B"/>
    <w:rsid w:val="00350501"/>
    <w:rsid w:val="003507ED"/>
    <w:rsid w:val="0035191D"/>
    <w:rsid w:val="00352F24"/>
    <w:rsid w:val="00355333"/>
    <w:rsid w:val="00355ADB"/>
    <w:rsid w:val="0036247E"/>
    <w:rsid w:val="00362B06"/>
    <w:rsid w:val="00364F8E"/>
    <w:rsid w:val="003657B7"/>
    <w:rsid w:val="00365A1A"/>
    <w:rsid w:val="003746B0"/>
    <w:rsid w:val="00374814"/>
    <w:rsid w:val="00376F95"/>
    <w:rsid w:val="003803D4"/>
    <w:rsid w:val="0038052C"/>
    <w:rsid w:val="00381A61"/>
    <w:rsid w:val="0038264F"/>
    <w:rsid w:val="0038312E"/>
    <w:rsid w:val="003842F0"/>
    <w:rsid w:val="003853DF"/>
    <w:rsid w:val="003863C4"/>
    <w:rsid w:val="00387605"/>
    <w:rsid w:val="003878E6"/>
    <w:rsid w:val="00387B3C"/>
    <w:rsid w:val="00387F20"/>
    <w:rsid w:val="00387FBC"/>
    <w:rsid w:val="00392166"/>
    <w:rsid w:val="00393E7F"/>
    <w:rsid w:val="00393FC8"/>
    <w:rsid w:val="00394F55"/>
    <w:rsid w:val="003954D2"/>
    <w:rsid w:val="00397194"/>
    <w:rsid w:val="003A430C"/>
    <w:rsid w:val="003A4DE9"/>
    <w:rsid w:val="003A6A4D"/>
    <w:rsid w:val="003A7735"/>
    <w:rsid w:val="003B1B29"/>
    <w:rsid w:val="003B2094"/>
    <w:rsid w:val="003B427D"/>
    <w:rsid w:val="003B4A82"/>
    <w:rsid w:val="003B6F49"/>
    <w:rsid w:val="003B7D31"/>
    <w:rsid w:val="003C02CA"/>
    <w:rsid w:val="003C1763"/>
    <w:rsid w:val="003C4311"/>
    <w:rsid w:val="003C766A"/>
    <w:rsid w:val="003C7972"/>
    <w:rsid w:val="003C7C92"/>
    <w:rsid w:val="003C7F0E"/>
    <w:rsid w:val="003D011C"/>
    <w:rsid w:val="003D162C"/>
    <w:rsid w:val="003D27B8"/>
    <w:rsid w:val="003D33D6"/>
    <w:rsid w:val="003D3CD0"/>
    <w:rsid w:val="003D5D3B"/>
    <w:rsid w:val="003D6E24"/>
    <w:rsid w:val="003E27D1"/>
    <w:rsid w:val="003E3E70"/>
    <w:rsid w:val="003E3E74"/>
    <w:rsid w:val="003E510F"/>
    <w:rsid w:val="003E52EC"/>
    <w:rsid w:val="003E55BC"/>
    <w:rsid w:val="003E6D8E"/>
    <w:rsid w:val="003F2167"/>
    <w:rsid w:val="003F3584"/>
    <w:rsid w:val="003F52A4"/>
    <w:rsid w:val="003F5B13"/>
    <w:rsid w:val="003F5E76"/>
    <w:rsid w:val="003F6C46"/>
    <w:rsid w:val="004017C8"/>
    <w:rsid w:val="0040307D"/>
    <w:rsid w:val="004031ED"/>
    <w:rsid w:val="0040386D"/>
    <w:rsid w:val="00405BCC"/>
    <w:rsid w:val="0040627C"/>
    <w:rsid w:val="00410B70"/>
    <w:rsid w:val="0041753C"/>
    <w:rsid w:val="00417A21"/>
    <w:rsid w:val="00417DB0"/>
    <w:rsid w:val="004218F8"/>
    <w:rsid w:val="00423131"/>
    <w:rsid w:val="004251A5"/>
    <w:rsid w:val="0042526B"/>
    <w:rsid w:val="00430979"/>
    <w:rsid w:val="00430B52"/>
    <w:rsid w:val="004334BA"/>
    <w:rsid w:val="00434578"/>
    <w:rsid w:val="00435970"/>
    <w:rsid w:val="0043626D"/>
    <w:rsid w:val="0043640E"/>
    <w:rsid w:val="00437045"/>
    <w:rsid w:val="00442786"/>
    <w:rsid w:val="004444FC"/>
    <w:rsid w:val="004476AA"/>
    <w:rsid w:val="0045021E"/>
    <w:rsid w:val="00450B15"/>
    <w:rsid w:val="00450FEE"/>
    <w:rsid w:val="00452227"/>
    <w:rsid w:val="00452AD2"/>
    <w:rsid w:val="0045560B"/>
    <w:rsid w:val="00455AC3"/>
    <w:rsid w:val="00457035"/>
    <w:rsid w:val="0046006F"/>
    <w:rsid w:val="00460F9E"/>
    <w:rsid w:val="00460FDC"/>
    <w:rsid w:val="00461356"/>
    <w:rsid w:val="00462355"/>
    <w:rsid w:val="00462B7F"/>
    <w:rsid w:val="004635EE"/>
    <w:rsid w:val="004638BB"/>
    <w:rsid w:val="00463D99"/>
    <w:rsid w:val="004651BB"/>
    <w:rsid w:val="0046549A"/>
    <w:rsid w:val="004715C3"/>
    <w:rsid w:val="004737FA"/>
    <w:rsid w:val="00474728"/>
    <w:rsid w:val="004748BA"/>
    <w:rsid w:val="00474A64"/>
    <w:rsid w:val="00475158"/>
    <w:rsid w:val="00475E22"/>
    <w:rsid w:val="004763C9"/>
    <w:rsid w:val="0047642C"/>
    <w:rsid w:val="00476779"/>
    <w:rsid w:val="004807F0"/>
    <w:rsid w:val="00481247"/>
    <w:rsid w:val="004820A1"/>
    <w:rsid w:val="004820CB"/>
    <w:rsid w:val="00482717"/>
    <w:rsid w:val="00482F02"/>
    <w:rsid w:val="00483CBB"/>
    <w:rsid w:val="004850E6"/>
    <w:rsid w:val="004868D1"/>
    <w:rsid w:val="00487EC6"/>
    <w:rsid w:val="00490B21"/>
    <w:rsid w:val="0049328C"/>
    <w:rsid w:val="00494717"/>
    <w:rsid w:val="004A0744"/>
    <w:rsid w:val="004A310F"/>
    <w:rsid w:val="004A6C34"/>
    <w:rsid w:val="004B331D"/>
    <w:rsid w:val="004B48F1"/>
    <w:rsid w:val="004B494F"/>
    <w:rsid w:val="004B4F24"/>
    <w:rsid w:val="004B5660"/>
    <w:rsid w:val="004B7F0E"/>
    <w:rsid w:val="004C5AC1"/>
    <w:rsid w:val="004D1C27"/>
    <w:rsid w:val="004D3130"/>
    <w:rsid w:val="004D3145"/>
    <w:rsid w:val="004D42A9"/>
    <w:rsid w:val="004D5312"/>
    <w:rsid w:val="004E1506"/>
    <w:rsid w:val="004E31A6"/>
    <w:rsid w:val="004E3306"/>
    <w:rsid w:val="004E3429"/>
    <w:rsid w:val="004E3788"/>
    <w:rsid w:val="004E3A93"/>
    <w:rsid w:val="004E6C6E"/>
    <w:rsid w:val="004F0CD4"/>
    <w:rsid w:val="004F2D28"/>
    <w:rsid w:val="004F34AC"/>
    <w:rsid w:val="004F3BC3"/>
    <w:rsid w:val="004F4C1F"/>
    <w:rsid w:val="004F660A"/>
    <w:rsid w:val="004F6677"/>
    <w:rsid w:val="004F782F"/>
    <w:rsid w:val="004F7FAC"/>
    <w:rsid w:val="00500FEC"/>
    <w:rsid w:val="00501978"/>
    <w:rsid w:val="00502D40"/>
    <w:rsid w:val="00504C65"/>
    <w:rsid w:val="005065E5"/>
    <w:rsid w:val="005107C6"/>
    <w:rsid w:val="00511213"/>
    <w:rsid w:val="00511364"/>
    <w:rsid w:val="0051600C"/>
    <w:rsid w:val="005205E4"/>
    <w:rsid w:val="00520A84"/>
    <w:rsid w:val="00520B2C"/>
    <w:rsid w:val="00520EF5"/>
    <w:rsid w:val="0052179A"/>
    <w:rsid w:val="00521903"/>
    <w:rsid w:val="00521DA4"/>
    <w:rsid w:val="0052204A"/>
    <w:rsid w:val="0052268A"/>
    <w:rsid w:val="005233B9"/>
    <w:rsid w:val="00523976"/>
    <w:rsid w:val="00523DB7"/>
    <w:rsid w:val="0052471F"/>
    <w:rsid w:val="005247AB"/>
    <w:rsid w:val="00524974"/>
    <w:rsid w:val="00524FF5"/>
    <w:rsid w:val="005263F8"/>
    <w:rsid w:val="0052767A"/>
    <w:rsid w:val="00527B03"/>
    <w:rsid w:val="00531853"/>
    <w:rsid w:val="00531F0E"/>
    <w:rsid w:val="005328E2"/>
    <w:rsid w:val="0053315A"/>
    <w:rsid w:val="0053358D"/>
    <w:rsid w:val="005340B2"/>
    <w:rsid w:val="00534718"/>
    <w:rsid w:val="00535E21"/>
    <w:rsid w:val="005364BD"/>
    <w:rsid w:val="00536A5A"/>
    <w:rsid w:val="00536E3A"/>
    <w:rsid w:val="005376ED"/>
    <w:rsid w:val="00545C2A"/>
    <w:rsid w:val="00546EFD"/>
    <w:rsid w:val="005503C0"/>
    <w:rsid w:val="00551DD2"/>
    <w:rsid w:val="0055217D"/>
    <w:rsid w:val="00552270"/>
    <w:rsid w:val="00553DD4"/>
    <w:rsid w:val="00555E5B"/>
    <w:rsid w:val="00560FA9"/>
    <w:rsid w:val="005613F7"/>
    <w:rsid w:val="00561FE2"/>
    <w:rsid w:val="005622A4"/>
    <w:rsid w:val="00562ABA"/>
    <w:rsid w:val="00562EAB"/>
    <w:rsid w:val="00563FB5"/>
    <w:rsid w:val="00564227"/>
    <w:rsid w:val="00565FF0"/>
    <w:rsid w:val="00566670"/>
    <w:rsid w:val="005676C8"/>
    <w:rsid w:val="0057008C"/>
    <w:rsid w:val="00572644"/>
    <w:rsid w:val="00573FA2"/>
    <w:rsid w:val="00575606"/>
    <w:rsid w:val="00580760"/>
    <w:rsid w:val="005809CB"/>
    <w:rsid w:val="00584540"/>
    <w:rsid w:val="00585C0E"/>
    <w:rsid w:val="005875A2"/>
    <w:rsid w:val="00591346"/>
    <w:rsid w:val="00591B2E"/>
    <w:rsid w:val="00592AF0"/>
    <w:rsid w:val="00593BB5"/>
    <w:rsid w:val="00596B87"/>
    <w:rsid w:val="0059783D"/>
    <w:rsid w:val="005A059C"/>
    <w:rsid w:val="005A0E7A"/>
    <w:rsid w:val="005A28C9"/>
    <w:rsid w:val="005A47F9"/>
    <w:rsid w:val="005A619E"/>
    <w:rsid w:val="005A6664"/>
    <w:rsid w:val="005B0AB7"/>
    <w:rsid w:val="005B11E5"/>
    <w:rsid w:val="005B14EB"/>
    <w:rsid w:val="005B14F2"/>
    <w:rsid w:val="005B3DF5"/>
    <w:rsid w:val="005B54F2"/>
    <w:rsid w:val="005B5526"/>
    <w:rsid w:val="005B64D9"/>
    <w:rsid w:val="005B652B"/>
    <w:rsid w:val="005B6F50"/>
    <w:rsid w:val="005B798C"/>
    <w:rsid w:val="005B7AF7"/>
    <w:rsid w:val="005C1763"/>
    <w:rsid w:val="005C1BC8"/>
    <w:rsid w:val="005C1C3F"/>
    <w:rsid w:val="005C4241"/>
    <w:rsid w:val="005C5233"/>
    <w:rsid w:val="005C629B"/>
    <w:rsid w:val="005C7DD0"/>
    <w:rsid w:val="005D12B6"/>
    <w:rsid w:val="005D2EE0"/>
    <w:rsid w:val="005D4AA7"/>
    <w:rsid w:val="005D610E"/>
    <w:rsid w:val="005D6203"/>
    <w:rsid w:val="005D67DE"/>
    <w:rsid w:val="005E0625"/>
    <w:rsid w:val="005E11C9"/>
    <w:rsid w:val="005E181C"/>
    <w:rsid w:val="005E30F0"/>
    <w:rsid w:val="005E3167"/>
    <w:rsid w:val="005E3C6C"/>
    <w:rsid w:val="005E4417"/>
    <w:rsid w:val="005E58A7"/>
    <w:rsid w:val="005E771F"/>
    <w:rsid w:val="005F0B89"/>
    <w:rsid w:val="005F0C00"/>
    <w:rsid w:val="005F3985"/>
    <w:rsid w:val="005F39F5"/>
    <w:rsid w:val="005F5682"/>
    <w:rsid w:val="005F61DA"/>
    <w:rsid w:val="005F648A"/>
    <w:rsid w:val="005F6C66"/>
    <w:rsid w:val="006008C7"/>
    <w:rsid w:val="00603374"/>
    <w:rsid w:val="00603A49"/>
    <w:rsid w:val="006049AB"/>
    <w:rsid w:val="006051E7"/>
    <w:rsid w:val="00606295"/>
    <w:rsid w:val="006066CA"/>
    <w:rsid w:val="00607D40"/>
    <w:rsid w:val="00610A30"/>
    <w:rsid w:val="00612B65"/>
    <w:rsid w:val="00613EC0"/>
    <w:rsid w:val="006144E3"/>
    <w:rsid w:val="00614654"/>
    <w:rsid w:val="0061502C"/>
    <w:rsid w:val="006159B4"/>
    <w:rsid w:val="006175FC"/>
    <w:rsid w:val="00617C40"/>
    <w:rsid w:val="006210C2"/>
    <w:rsid w:val="006235ED"/>
    <w:rsid w:val="00624490"/>
    <w:rsid w:val="0062657D"/>
    <w:rsid w:val="006319C5"/>
    <w:rsid w:val="0063331F"/>
    <w:rsid w:val="006335CD"/>
    <w:rsid w:val="00636000"/>
    <w:rsid w:val="00636A59"/>
    <w:rsid w:val="00637A2B"/>
    <w:rsid w:val="006400D4"/>
    <w:rsid w:val="00642AF7"/>
    <w:rsid w:val="00642D62"/>
    <w:rsid w:val="00643D34"/>
    <w:rsid w:val="00644AFE"/>
    <w:rsid w:val="00645680"/>
    <w:rsid w:val="00647AD4"/>
    <w:rsid w:val="006503EA"/>
    <w:rsid w:val="00651393"/>
    <w:rsid w:val="00651C7F"/>
    <w:rsid w:val="00652FD2"/>
    <w:rsid w:val="00653E9B"/>
    <w:rsid w:val="00654370"/>
    <w:rsid w:val="006559DE"/>
    <w:rsid w:val="00656234"/>
    <w:rsid w:val="00656C32"/>
    <w:rsid w:val="00656F19"/>
    <w:rsid w:val="006575BA"/>
    <w:rsid w:val="00657B19"/>
    <w:rsid w:val="006606FC"/>
    <w:rsid w:val="00662D72"/>
    <w:rsid w:val="00662DEB"/>
    <w:rsid w:val="006639E9"/>
    <w:rsid w:val="00664FA6"/>
    <w:rsid w:val="00666898"/>
    <w:rsid w:val="00670C0F"/>
    <w:rsid w:val="00671723"/>
    <w:rsid w:val="00672608"/>
    <w:rsid w:val="006730D5"/>
    <w:rsid w:val="00673458"/>
    <w:rsid w:val="00674162"/>
    <w:rsid w:val="00674A93"/>
    <w:rsid w:val="00676A54"/>
    <w:rsid w:val="00677603"/>
    <w:rsid w:val="006777EA"/>
    <w:rsid w:val="00677AE0"/>
    <w:rsid w:val="0068193F"/>
    <w:rsid w:val="00681B94"/>
    <w:rsid w:val="00681BB8"/>
    <w:rsid w:val="00681C07"/>
    <w:rsid w:val="00682AF5"/>
    <w:rsid w:val="0068602D"/>
    <w:rsid w:val="006874C9"/>
    <w:rsid w:val="0068796D"/>
    <w:rsid w:val="00690198"/>
    <w:rsid w:val="00690253"/>
    <w:rsid w:val="006907B4"/>
    <w:rsid w:val="00692714"/>
    <w:rsid w:val="006942C0"/>
    <w:rsid w:val="00694527"/>
    <w:rsid w:val="00694561"/>
    <w:rsid w:val="00694D8E"/>
    <w:rsid w:val="00696999"/>
    <w:rsid w:val="00696B4F"/>
    <w:rsid w:val="00696CD5"/>
    <w:rsid w:val="006A0FE4"/>
    <w:rsid w:val="006A2417"/>
    <w:rsid w:val="006A2AD8"/>
    <w:rsid w:val="006A3FF6"/>
    <w:rsid w:val="006A5709"/>
    <w:rsid w:val="006A6C7D"/>
    <w:rsid w:val="006A6D27"/>
    <w:rsid w:val="006A6E4A"/>
    <w:rsid w:val="006B16DE"/>
    <w:rsid w:val="006B49FD"/>
    <w:rsid w:val="006B5BE2"/>
    <w:rsid w:val="006B6579"/>
    <w:rsid w:val="006B6C08"/>
    <w:rsid w:val="006B7746"/>
    <w:rsid w:val="006C0098"/>
    <w:rsid w:val="006C02BD"/>
    <w:rsid w:val="006C094B"/>
    <w:rsid w:val="006C0E34"/>
    <w:rsid w:val="006C6482"/>
    <w:rsid w:val="006D36A8"/>
    <w:rsid w:val="006D36AA"/>
    <w:rsid w:val="006D38FB"/>
    <w:rsid w:val="006D41DD"/>
    <w:rsid w:val="006D4A24"/>
    <w:rsid w:val="006D61E6"/>
    <w:rsid w:val="006D62C5"/>
    <w:rsid w:val="006D68F2"/>
    <w:rsid w:val="006D73F0"/>
    <w:rsid w:val="006E052D"/>
    <w:rsid w:val="006E0D8D"/>
    <w:rsid w:val="006E1592"/>
    <w:rsid w:val="006E1EF1"/>
    <w:rsid w:val="006E5019"/>
    <w:rsid w:val="006E7797"/>
    <w:rsid w:val="006E78D1"/>
    <w:rsid w:val="006F2492"/>
    <w:rsid w:val="006F2782"/>
    <w:rsid w:val="006F2C1F"/>
    <w:rsid w:val="006F34D0"/>
    <w:rsid w:val="006F4155"/>
    <w:rsid w:val="006F4D37"/>
    <w:rsid w:val="006F505E"/>
    <w:rsid w:val="006F5482"/>
    <w:rsid w:val="006F63EB"/>
    <w:rsid w:val="006F7940"/>
    <w:rsid w:val="00700116"/>
    <w:rsid w:val="00700F73"/>
    <w:rsid w:val="00701580"/>
    <w:rsid w:val="00701CC3"/>
    <w:rsid w:val="00702856"/>
    <w:rsid w:val="00702E3F"/>
    <w:rsid w:val="007031AF"/>
    <w:rsid w:val="00703456"/>
    <w:rsid w:val="00703842"/>
    <w:rsid w:val="00703BBC"/>
    <w:rsid w:val="00703D15"/>
    <w:rsid w:val="0070596A"/>
    <w:rsid w:val="007060B5"/>
    <w:rsid w:val="007062DA"/>
    <w:rsid w:val="007063A5"/>
    <w:rsid w:val="00706C79"/>
    <w:rsid w:val="00706E71"/>
    <w:rsid w:val="00710093"/>
    <w:rsid w:val="00711148"/>
    <w:rsid w:val="00711185"/>
    <w:rsid w:val="00711F3C"/>
    <w:rsid w:val="00713068"/>
    <w:rsid w:val="0071383F"/>
    <w:rsid w:val="00714029"/>
    <w:rsid w:val="00714401"/>
    <w:rsid w:val="00716480"/>
    <w:rsid w:val="00720B8A"/>
    <w:rsid w:val="00720E98"/>
    <w:rsid w:val="007210A5"/>
    <w:rsid w:val="007230CD"/>
    <w:rsid w:val="0072378D"/>
    <w:rsid w:val="00724E11"/>
    <w:rsid w:val="007257AE"/>
    <w:rsid w:val="007300B9"/>
    <w:rsid w:val="00730D40"/>
    <w:rsid w:val="007310C7"/>
    <w:rsid w:val="0073318F"/>
    <w:rsid w:val="007337F6"/>
    <w:rsid w:val="00735747"/>
    <w:rsid w:val="00741229"/>
    <w:rsid w:val="00742890"/>
    <w:rsid w:val="007432C4"/>
    <w:rsid w:val="00743B6C"/>
    <w:rsid w:val="00743FDD"/>
    <w:rsid w:val="00744A70"/>
    <w:rsid w:val="0074508E"/>
    <w:rsid w:val="007511BB"/>
    <w:rsid w:val="00751C62"/>
    <w:rsid w:val="007536A1"/>
    <w:rsid w:val="00753C29"/>
    <w:rsid w:val="00753FFB"/>
    <w:rsid w:val="00761C4D"/>
    <w:rsid w:val="007666EF"/>
    <w:rsid w:val="00766EE3"/>
    <w:rsid w:val="0077030B"/>
    <w:rsid w:val="00770B78"/>
    <w:rsid w:val="007716C9"/>
    <w:rsid w:val="00772492"/>
    <w:rsid w:val="0077288A"/>
    <w:rsid w:val="00772F9C"/>
    <w:rsid w:val="0077410B"/>
    <w:rsid w:val="0077550F"/>
    <w:rsid w:val="00780E9E"/>
    <w:rsid w:val="007818D3"/>
    <w:rsid w:val="00784805"/>
    <w:rsid w:val="00785936"/>
    <w:rsid w:val="00785FC2"/>
    <w:rsid w:val="00787F88"/>
    <w:rsid w:val="00787FA1"/>
    <w:rsid w:val="007916B0"/>
    <w:rsid w:val="00791D50"/>
    <w:rsid w:val="007939B8"/>
    <w:rsid w:val="00795C21"/>
    <w:rsid w:val="00796AE4"/>
    <w:rsid w:val="00797853"/>
    <w:rsid w:val="007A34C0"/>
    <w:rsid w:val="007A542B"/>
    <w:rsid w:val="007A6451"/>
    <w:rsid w:val="007A6A6C"/>
    <w:rsid w:val="007A7416"/>
    <w:rsid w:val="007A7652"/>
    <w:rsid w:val="007B02BE"/>
    <w:rsid w:val="007B182E"/>
    <w:rsid w:val="007B2280"/>
    <w:rsid w:val="007B2684"/>
    <w:rsid w:val="007B6363"/>
    <w:rsid w:val="007B73E1"/>
    <w:rsid w:val="007C1A40"/>
    <w:rsid w:val="007C2055"/>
    <w:rsid w:val="007C22C0"/>
    <w:rsid w:val="007C516C"/>
    <w:rsid w:val="007C5741"/>
    <w:rsid w:val="007C738D"/>
    <w:rsid w:val="007D1501"/>
    <w:rsid w:val="007D1932"/>
    <w:rsid w:val="007D32B0"/>
    <w:rsid w:val="007D40B3"/>
    <w:rsid w:val="007D40FB"/>
    <w:rsid w:val="007D4FFE"/>
    <w:rsid w:val="007E1344"/>
    <w:rsid w:val="007E1350"/>
    <w:rsid w:val="007E252F"/>
    <w:rsid w:val="007E33FA"/>
    <w:rsid w:val="007E3448"/>
    <w:rsid w:val="007E5F74"/>
    <w:rsid w:val="007E6518"/>
    <w:rsid w:val="007E7A17"/>
    <w:rsid w:val="007F2463"/>
    <w:rsid w:val="007F26E2"/>
    <w:rsid w:val="007F2BD5"/>
    <w:rsid w:val="007F2D6D"/>
    <w:rsid w:val="007F2E38"/>
    <w:rsid w:val="007F6031"/>
    <w:rsid w:val="007F6096"/>
    <w:rsid w:val="0080034E"/>
    <w:rsid w:val="00800A22"/>
    <w:rsid w:val="008055BB"/>
    <w:rsid w:val="0080641C"/>
    <w:rsid w:val="00806743"/>
    <w:rsid w:val="00807671"/>
    <w:rsid w:val="00807D9C"/>
    <w:rsid w:val="00811D8C"/>
    <w:rsid w:val="00816FC4"/>
    <w:rsid w:val="00817879"/>
    <w:rsid w:val="008206E1"/>
    <w:rsid w:val="00820C0E"/>
    <w:rsid w:val="00821BA4"/>
    <w:rsid w:val="00825269"/>
    <w:rsid w:val="00827179"/>
    <w:rsid w:val="00827A4B"/>
    <w:rsid w:val="00827DB5"/>
    <w:rsid w:val="00831C1E"/>
    <w:rsid w:val="0083249F"/>
    <w:rsid w:val="008332FB"/>
    <w:rsid w:val="00834BCC"/>
    <w:rsid w:val="008353D7"/>
    <w:rsid w:val="00835478"/>
    <w:rsid w:val="00836174"/>
    <w:rsid w:val="00836556"/>
    <w:rsid w:val="00836871"/>
    <w:rsid w:val="0084084E"/>
    <w:rsid w:val="008410F3"/>
    <w:rsid w:val="00844617"/>
    <w:rsid w:val="00845004"/>
    <w:rsid w:val="008457F9"/>
    <w:rsid w:val="00846762"/>
    <w:rsid w:val="00850667"/>
    <w:rsid w:val="008510DD"/>
    <w:rsid w:val="00854C44"/>
    <w:rsid w:val="008563C0"/>
    <w:rsid w:val="00857F6A"/>
    <w:rsid w:val="008607B0"/>
    <w:rsid w:val="00862772"/>
    <w:rsid w:val="008635F2"/>
    <w:rsid w:val="008646EA"/>
    <w:rsid w:val="00864F39"/>
    <w:rsid w:val="00870E5A"/>
    <w:rsid w:val="00872827"/>
    <w:rsid w:val="0087313E"/>
    <w:rsid w:val="00877E85"/>
    <w:rsid w:val="008805E8"/>
    <w:rsid w:val="00882F8B"/>
    <w:rsid w:val="008834ED"/>
    <w:rsid w:val="00883718"/>
    <w:rsid w:val="00886E35"/>
    <w:rsid w:val="00892886"/>
    <w:rsid w:val="00893618"/>
    <w:rsid w:val="00894324"/>
    <w:rsid w:val="0089679A"/>
    <w:rsid w:val="008969C1"/>
    <w:rsid w:val="00897DC4"/>
    <w:rsid w:val="008A0ABA"/>
    <w:rsid w:val="008A0E4B"/>
    <w:rsid w:val="008A2B13"/>
    <w:rsid w:val="008A372E"/>
    <w:rsid w:val="008A4515"/>
    <w:rsid w:val="008A4698"/>
    <w:rsid w:val="008A7A6C"/>
    <w:rsid w:val="008A7DE9"/>
    <w:rsid w:val="008B0C09"/>
    <w:rsid w:val="008B1E80"/>
    <w:rsid w:val="008B3868"/>
    <w:rsid w:val="008B3B20"/>
    <w:rsid w:val="008B51AB"/>
    <w:rsid w:val="008B6658"/>
    <w:rsid w:val="008B7FA5"/>
    <w:rsid w:val="008C1D3B"/>
    <w:rsid w:val="008C24EB"/>
    <w:rsid w:val="008C2790"/>
    <w:rsid w:val="008C3EDE"/>
    <w:rsid w:val="008C524B"/>
    <w:rsid w:val="008C577B"/>
    <w:rsid w:val="008C5A01"/>
    <w:rsid w:val="008C66A8"/>
    <w:rsid w:val="008D0B52"/>
    <w:rsid w:val="008D17E1"/>
    <w:rsid w:val="008D373D"/>
    <w:rsid w:val="008D38B8"/>
    <w:rsid w:val="008D54C1"/>
    <w:rsid w:val="008D569C"/>
    <w:rsid w:val="008D63CB"/>
    <w:rsid w:val="008D656C"/>
    <w:rsid w:val="008D7BB8"/>
    <w:rsid w:val="008E09CE"/>
    <w:rsid w:val="008E09EA"/>
    <w:rsid w:val="008E172F"/>
    <w:rsid w:val="008E436C"/>
    <w:rsid w:val="008E7D03"/>
    <w:rsid w:val="008F4978"/>
    <w:rsid w:val="008F4C7F"/>
    <w:rsid w:val="008F4EE0"/>
    <w:rsid w:val="008F5F3D"/>
    <w:rsid w:val="008F6C78"/>
    <w:rsid w:val="008F6DDD"/>
    <w:rsid w:val="008F6FE6"/>
    <w:rsid w:val="008F7CE8"/>
    <w:rsid w:val="00900D3F"/>
    <w:rsid w:val="00901FB3"/>
    <w:rsid w:val="00903E67"/>
    <w:rsid w:val="00903F1E"/>
    <w:rsid w:val="0090560B"/>
    <w:rsid w:val="00905D49"/>
    <w:rsid w:val="009064FF"/>
    <w:rsid w:val="0090660E"/>
    <w:rsid w:val="009067DC"/>
    <w:rsid w:val="009108C5"/>
    <w:rsid w:val="00910B5D"/>
    <w:rsid w:val="009110B9"/>
    <w:rsid w:val="0091410D"/>
    <w:rsid w:val="00915BDE"/>
    <w:rsid w:val="00920052"/>
    <w:rsid w:val="0092125A"/>
    <w:rsid w:val="00922051"/>
    <w:rsid w:val="00923522"/>
    <w:rsid w:val="0092381E"/>
    <w:rsid w:val="00923DEA"/>
    <w:rsid w:val="00925008"/>
    <w:rsid w:val="00925374"/>
    <w:rsid w:val="00925B65"/>
    <w:rsid w:val="0092648E"/>
    <w:rsid w:val="00926A62"/>
    <w:rsid w:val="0092735A"/>
    <w:rsid w:val="00927E6C"/>
    <w:rsid w:val="00931680"/>
    <w:rsid w:val="00933863"/>
    <w:rsid w:val="00937DDE"/>
    <w:rsid w:val="009429D4"/>
    <w:rsid w:val="00943377"/>
    <w:rsid w:val="00943701"/>
    <w:rsid w:val="00944FB5"/>
    <w:rsid w:val="00947030"/>
    <w:rsid w:val="00947099"/>
    <w:rsid w:val="009472A5"/>
    <w:rsid w:val="009475F3"/>
    <w:rsid w:val="00947974"/>
    <w:rsid w:val="0095191D"/>
    <w:rsid w:val="00952656"/>
    <w:rsid w:val="00952CAE"/>
    <w:rsid w:val="009534F2"/>
    <w:rsid w:val="00954C30"/>
    <w:rsid w:val="00956A89"/>
    <w:rsid w:val="00957780"/>
    <w:rsid w:val="0096317C"/>
    <w:rsid w:val="0096538C"/>
    <w:rsid w:val="00965D26"/>
    <w:rsid w:val="00965EF2"/>
    <w:rsid w:val="009660FE"/>
    <w:rsid w:val="009662B5"/>
    <w:rsid w:val="009665A3"/>
    <w:rsid w:val="00966EC0"/>
    <w:rsid w:val="00967B5B"/>
    <w:rsid w:val="00970B9C"/>
    <w:rsid w:val="00971836"/>
    <w:rsid w:val="00972036"/>
    <w:rsid w:val="00973407"/>
    <w:rsid w:val="00973AC7"/>
    <w:rsid w:val="0097492D"/>
    <w:rsid w:val="0097497A"/>
    <w:rsid w:val="00975C9C"/>
    <w:rsid w:val="00976405"/>
    <w:rsid w:val="00977E6E"/>
    <w:rsid w:val="00981420"/>
    <w:rsid w:val="00981480"/>
    <w:rsid w:val="009822C4"/>
    <w:rsid w:val="00983375"/>
    <w:rsid w:val="00984C52"/>
    <w:rsid w:val="00985417"/>
    <w:rsid w:val="009907F3"/>
    <w:rsid w:val="00990889"/>
    <w:rsid w:val="00990997"/>
    <w:rsid w:val="00991722"/>
    <w:rsid w:val="00991B0C"/>
    <w:rsid w:val="00991BCE"/>
    <w:rsid w:val="00992F4F"/>
    <w:rsid w:val="00993FC8"/>
    <w:rsid w:val="00994276"/>
    <w:rsid w:val="00994C6F"/>
    <w:rsid w:val="00995434"/>
    <w:rsid w:val="00996294"/>
    <w:rsid w:val="009963A8"/>
    <w:rsid w:val="009A0088"/>
    <w:rsid w:val="009A0D31"/>
    <w:rsid w:val="009A166A"/>
    <w:rsid w:val="009A1BEB"/>
    <w:rsid w:val="009A1CF8"/>
    <w:rsid w:val="009A1E0A"/>
    <w:rsid w:val="009A287B"/>
    <w:rsid w:val="009A66F0"/>
    <w:rsid w:val="009A6C58"/>
    <w:rsid w:val="009A7422"/>
    <w:rsid w:val="009B089A"/>
    <w:rsid w:val="009B2C73"/>
    <w:rsid w:val="009B33E9"/>
    <w:rsid w:val="009B34B6"/>
    <w:rsid w:val="009B4307"/>
    <w:rsid w:val="009B528F"/>
    <w:rsid w:val="009C00F7"/>
    <w:rsid w:val="009C0879"/>
    <w:rsid w:val="009C14E9"/>
    <w:rsid w:val="009C186F"/>
    <w:rsid w:val="009C1E69"/>
    <w:rsid w:val="009C2A59"/>
    <w:rsid w:val="009C2EFC"/>
    <w:rsid w:val="009C2FFD"/>
    <w:rsid w:val="009C3D96"/>
    <w:rsid w:val="009C6307"/>
    <w:rsid w:val="009C668E"/>
    <w:rsid w:val="009C6B00"/>
    <w:rsid w:val="009C71BB"/>
    <w:rsid w:val="009C7B2B"/>
    <w:rsid w:val="009D0FD9"/>
    <w:rsid w:val="009D3277"/>
    <w:rsid w:val="009D3BD0"/>
    <w:rsid w:val="009D513C"/>
    <w:rsid w:val="009E0520"/>
    <w:rsid w:val="009E2C75"/>
    <w:rsid w:val="009E4832"/>
    <w:rsid w:val="009E570F"/>
    <w:rsid w:val="009E6FB5"/>
    <w:rsid w:val="009F029C"/>
    <w:rsid w:val="009F0627"/>
    <w:rsid w:val="009F1157"/>
    <w:rsid w:val="009F1510"/>
    <w:rsid w:val="009F1541"/>
    <w:rsid w:val="009F1A57"/>
    <w:rsid w:val="009F34C2"/>
    <w:rsid w:val="009F40CE"/>
    <w:rsid w:val="009F4345"/>
    <w:rsid w:val="009F4E41"/>
    <w:rsid w:val="00A0015F"/>
    <w:rsid w:val="00A0020F"/>
    <w:rsid w:val="00A00C70"/>
    <w:rsid w:val="00A0108B"/>
    <w:rsid w:val="00A01CE2"/>
    <w:rsid w:val="00A02ED0"/>
    <w:rsid w:val="00A02F87"/>
    <w:rsid w:val="00A03BB4"/>
    <w:rsid w:val="00A046F3"/>
    <w:rsid w:val="00A047C5"/>
    <w:rsid w:val="00A1056E"/>
    <w:rsid w:val="00A119B9"/>
    <w:rsid w:val="00A1249B"/>
    <w:rsid w:val="00A12A60"/>
    <w:rsid w:val="00A1614B"/>
    <w:rsid w:val="00A1660A"/>
    <w:rsid w:val="00A2066A"/>
    <w:rsid w:val="00A21227"/>
    <w:rsid w:val="00A21392"/>
    <w:rsid w:val="00A22C8A"/>
    <w:rsid w:val="00A23221"/>
    <w:rsid w:val="00A252DF"/>
    <w:rsid w:val="00A26E79"/>
    <w:rsid w:val="00A31A45"/>
    <w:rsid w:val="00A31DE0"/>
    <w:rsid w:val="00A32002"/>
    <w:rsid w:val="00A32508"/>
    <w:rsid w:val="00A351A0"/>
    <w:rsid w:val="00A3568F"/>
    <w:rsid w:val="00A36A96"/>
    <w:rsid w:val="00A36D92"/>
    <w:rsid w:val="00A377CD"/>
    <w:rsid w:val="00A379BD"/>
    <w:rsid w:val="00A37D27"/>
    <w:rsid w:val="00A4270E"/>
    <w:rsid w:val="00A44AD2"/>
    <w:rsid w:val="00A4561E"/>
    <w:rsid w:val="00A4573B"/>
    <w:rsid w:val="00A46EA5"/>
    <w:rsid w:val="00A479FB"/>
    <w:rsid w:val="00A518B0"/>
    <w:rsid w:val="00A52877"/>
    <w:rsid w:val="00A537FC"/>
    <w:rsid w:val="00A561E8"/>
    <w:rsid w:val="00A56842"/>
    <w:rsid w:val="00A616C5"/>
    <w:rsid w:val="00A61CA3"/>
    <w:rsid w:val="00A63017"/>
    <w:rsid w:val="00A64448"/>
    <w:rsid w:val="00A654AD"/>
    <w:rsid w:val="00A674F2"/>
    <w:rsid w:val="00A71652"/>
    <w:rsid w:val="00A71675"/>
    <w:rsid w:val="00A73818"/>
    <w:rsid w:val="00A73CA7"/>
    <w:rsid w:val="00A7427D"/>
    <w:rsid w:val="00A74F6E"/>
    <w:rsid w:val="00A75B4C"/>
    <w:rsid w:val="00A76476"/>
    <w:rsid w:val="00A76CED"/>
    <w:rsid w:val="00A77692"/>
    <w:rsid w:val="00A77A7F"/>
    <w:rsid w:val="00A80840"/>
    <w:rsid w:val="00A8085C"/>
    <w:rsid w:val="00A827FE"/>
    <w:rsid w:val="00A8562F"/>
    <w:rsid w:val="00A90AD2"/>
    <w:rsid w:val="00A920A8"/>
    <w:rsid w:val="00A92252"/>
    <w:rsid w:val="00A93494"/>
    <w:rsid w:val="00A93EE1"/>
    <w:rsid w:val="00A93F70"/>
    <w:rsid w:val="00A9405C"/>
    <w:rsid w:val="00A9418A"/>
    <w:rsid w:val="00A941D2"/>
    <w:rsid w:val="00A953B2"/>
    <w:rsid w:val="00A96F71"/>
    <w:rsid w:val="00A9730D"/>
    <w:rsid w:val="00AA318E"/>
    <w:rsid w:val="00AA517C"/>
    <w:rsid w:val="00AA7731"/>
    <w:rsid w:val="00AB0368"/>
    <w:rsid w:val="00AB265D"/>
    <w:rsid w:val="00AB409A"/>
    <w:rsid w:val="00AB43E0"/>
    <w:rsid w:val="00AB5A0C"/>
    <w:rsid w:val="00AB5DF9"/>
    <w:rsid w:val="00AB78A7"/>
    <w:rsid w:val="00AC1EB9"/>
    <w:rsid w:val="00AC5AED"/>
    <w:rsid w:val="00AD1F56"/>
    <w:rsid w:val="00AD3BE5"/>
    <w:rsid w:val="00AD3EEE"/>
    <w:rsid w:val="00AD4DAF"/>
    <w:rsid w:val="00AD4DCB"/>
    <w:rsid w:val="00AD5CC4"/>
    <w:rsid w:val="00AD6ADB"/>
    <w:rsid w:val="00AE0161"/>
    <w:rsid w:val="00AE1498"/>
    <w:rsid w:val="00AE37CB"/>
    <w:rsid w:val="00AE4DCD"/>
    <w:rsid w:val="00AE6F43"/>
    <w:rsid w:val="00AE6FCF"/>
    <w:rsid w:val="00AE7C08"/>
    <w:rsid w:val="00AF0E19"/>
    <w:rsid w:val="00AF0EC6"/>
    <w:rsid w:val="00AF1E1B"/>
    <w:rsid w:val="00AF1FEC"/>
    <w:rsid w:val="00AF2299"/>
    <w:rsid w:val="00AF33C1"/>
    <w:rsid w:val="00AF3484"/>
    <w:rsid w:val="00AF421E"/>
    <w:rsid w:val="00AF4972"/>
    <w:rsid w:val="00AF49CD"/>
    <w:rsid w:val="00AF688A"/>
    <w:rsid w:val="00B008BD"/>
    <w:rsid w:val="00B00AD9"/>
    <w:rsid w:val="00B00B67"/>
    <w:rsid w:val="00B00BC1"/>
    <w:rsid w:val="00B0126B"/>
    <w:rsid w:val="00B01CA7"/>
    <w:rsid w:val="00B023E0"/>
    <w:rsid w:val="00B03FD4"/>
    <w:rsid w:val="00B0496F"/>
    <w:rsid w:val="00B05395"/>
    <w:rsid w:val="00B059BC"/>
    <w:rsid w:val="00B05C87"/>
    <w:rsid w:val="00B062A1"/>
    <w:rsid w:val="00B0772F"/>
    <w:rsid w:val="00B10140"/>
    <w:rsid w:val="00B10715"/>
    <w:rsid w:val="00B117C6"/>
    <w:rsid w:val="00B11EC3"/>
    <w:rsid w:val="00B12216"/>
    <w:rsid w:val="00B13899"/>
    <w:rsid w:val="00B13DFF"/>
    <w:rsid w:val="00B1458C"/>
    <w:rsid w:val="00B1739A"/>
    <w:rsid w:val="00B1756D"/>
    <w:rsid w:val="00B177A2"/>
    <w:rsid w:val="00B22E21"/>
    <w:rsid w:val="00B23644"/>
    <w:rsid w:val="00B25D75"/>
    <w:rsid w:val="00B25DB5"/>
    <w:rsid w:val="00B26CD5"/>
    <w:rsid w:val="00B301AB"/>
    <w:rsid w:val="00B34D7D"/>
    <w:rsid w:val="00B34F16"/>
    <w:rsid w:val="00B3542A"/>
    <w:rsid w:val="00B35D8E"/>
    <w:rsid w:val="00B36DC9"/>
    <w:rsid w:val="00B402E5"/>
    <w:rsid w:val="00B41E48"/>
    <w:rsid w:val="00B43223"/>
    <w:rsid w:val="00B443BB"/>
    <w:rsid w:val="00B467CB"/>
    <w:rsid w:val="00B469E5"/>
    <w:rsid w:val="00B478FE"/>
    <w:rsid w:val="00B51185"/>
    <w:rsid w:val="00B540C3"/>
    <w:rsid w:val="00B54FAB"/>
    <w:rsid w:val="00B5621D"/>
    <w:rsid w:val="00B6060D"/>
    <w:rsid w:val="00B62EA7"/>
    <w:rsid w:val="00B636B2"/>
    <w:rsid w:val="00B63F4B"/>
    <w:rsid w:val="00B67CD5"/>
    <w:rsid w:val="00B72C7C"/>
    <w:rsid w:val="00B733C2"/>
    <w:rsid w:val="00B738A1"/>
    <w:rsid w:val="00B75321"/>
    <w:rsid w:val="00B75665"/>
    <w:rsid w:val="00B75BC8"/>
    <w:rsid w:val="00B7608E"/>
    <w:rsid w:val="00B809B9"/>
    <w:rsid w:val="00B809CD"/>
    <w:rsid w:val="00B81B6C"/>
    <w:rsid w:val="00B826DA"/>
    <w:rsid w:val="00B82A3E"/>
    <w:rsid w:val="00B83FE9"/>
    <w:rsid w:val="00B84823"/>
    <w:rsid w:val="00B853E5"/>
    <w:rsid w:val="00B856A9"/>
    <w:rsid w:val="00B861BA"/>
    <w:rsid w:val="00B865F9"/>
    <w:rsid w:val="00B87317"/>
    <w:rsid w:val="00B87A6D"/>
    <w:rsid w:val="00B91279"/>
    <w:rsid w:val="00B91D02"/>
    <w:rsid w:val="00B929C6"/>
    <w:rsid w:val="00B938F2"/>
    <w:rsid w:val="00B95263"/>
    <w:rsid w:val="00B96A90"/>
    <w:rsid w:val="00B97878"/>
    <w:rsid w:val="00BA2E15"/>
    <w:rsid w:val="00BA38E7"/>
    <w:rsid w:val="00BA47CC"/>
    <w:rsid w:val="00BA4898"/>
    <w:rsid w:val="00BA5D4B"/>
    <w:rsid w:val="00BA6CC9"/>
    <w:rsid w:val="00BB1563"/>
    <w:rsid w:val="00BB1AC1"/>
    <w:rsid w:val="00BB1CE9"/>
    <w:rsid w:val="00BB2B71"/>
    <w:rsid w:val="00BB3953"/>
    <w:rsid w:val="00BB560E"/>
    <w:rsid w:val="00BB7658"/>
    <w:rsid w:val="00BC1D80"/>
    <w:rsid w:val="00BC1EA5"/>
    <w:rsid w:val="00BC1F5B"/>
    <w:rsid w:val="00BC2FE1"/>
    <w:rsid w:val="00BC31E1"/>
    <w:rsid w:val="00BC3915"/>
    <w:rsid w:val="00BC39BA"/>
    <w:rsid w:val="00BC560D"/>
    <w:rsid w:val="00BC5A13"/>
    <w:rsid w:val="00BC5C52"/>
    <w:rsid w:val="00BC6036"/>
    <w:rsid w:val="00BC63F1"/>
    <w:rsid w:val="00BC6E26"/>
    <w:rsid w:val="00BC72DB"/>
    <w:rsid w:val="00BD02E3"/>
    <w:rsid w:val="00BD0CA4"/>
    <w:rsid w:val="00BD39DA"/>
    <w:rsid w:val="00BD5C71"/>
    <w:rsid w:val="00BE0066"/>
    <w:rsid w:val="00BE0E6E"/>
    <w:rsid w:val="00BE144B"/>
    <w:rsid w:val="00BE316C"/>
    <w:rsid w:val="00BE4617"/>
    <w:rsid w:val="00BE56E6"/>
    <w:rsid w:val="00BE680E"/>
    <w:rsid w:val="00BE7AB5"/>
    <w:rsid w:val="00BF0B16"/>
    <w:rsid w:val="00BF1068"/>
    <w:rsid w:val="00BF2461"/>
    <w:rsid w:val="00BF27B6"/>
    <w:rsid w:val="00BF5A24"/>
    <w:rsid w:val="00BF6FFF"/>
    <w:rsid w:val="00BF7C00"/>
    <w:rsid w:val="00BF7CED"/>
    <w:rsid w:val="00C00BD1"/>
    <w:rsid w:val="00C00C48"/>
    <w:rsid w:val="00C017DA"/>
    <w:rsid w:val="00C018D4"/>
    <w:rsid w:val="00C031DA"/>
    <w:rsid w:val="00C042A7"/>
    <w:rsid w:val="00C042C9"/>
    <w:rsid w:val="00C054B0"/>
    <w:rsid w:val="00C100E2"/>
    <w:rsid w:val="00C10E75"/>
    <w:rsid w:val="00C11249"/>
    <w:rsid w:val="00C11DE8"/>
    <w:rsid w:val="00C12369"/>
    <w:rsid w:val="00C12947"/>
    <w:rsid w:val="00C14E0E"/>
    <w:rsid w:val="00C150A0"/>
    <w:rsid w:val="00C1532D"/>
    <w:rsid w:val="00C210A5"/>
    <w:rsid w:val="00C224F7"/>
    <w:rsid w:val="00C22A46"/>
    <w:rsid w:val="00C22CB7"/>
    <w:rsid w:val="00C237AC"/>
    <w:rsid w:val="00C2430B"/>
    <w:rsid w:val="00C26EC8"/>
    <w:rsid w:val="00C3009A"/>
    <w:rsid w:val="00C3171E"/>
    <w:rsid w:val="00C329B4"/>
    <w:rsid w:val="00C34718"/>
    <w:rsid w:val="00C349EA"/>
    <w:rsid w:val="00C358EC"/>
    <w:rsid w:val="00C36607"/>
    <w:rsid w:val="00C3691B"/>
    <w:rsid w:val="00C408D9"/>
    <w:rsid w:val="00C410D2"/>
    <w:rsid w:val="00C414F9"/>
    <w:rsid w:val="00C41DAB"/>
    <w:rsid w:val="00C421E1"/>
    <w:rsid w:val="00C42771"/>
    <w:rsid w:val="00C42931"/>
    <w:rsid w:val="00C43B58"/>
    <w:rsid w:val="00C506B5"/>
    <w:rsid w:val="00C50E3A"/>
    <w:rsid w:val="00C51FBF"/>
    <w:rsid w:val="00C53358"/>
    <w:rsid w:val="00C5515A"/>
    <w:rsid w:val="00C55206"/>
    <w:rsid w:val="00C56208"/>
    <w:rsid w:val="00C61094"/>
    <w:rsid w:val="00C61725"/>
    <w:rsid w:val="00C62EBC"/>
    <w:rsid w:val="00C6389C"/>
    <w:rsid w:val="00C64FE4"/>
    <w:rsid w:val="00C65BF3"/>
    <w:rsid w:val="00C720E1"/>
    <w:rsid w:val="00C73F1F"/>
    <w:rsid w:val="00C75272"/>
    <w:rsid w:val="00C829AF"/>
    <w:rsid w:val="00C82F90"/>
    <w:rsid w:val="00C8416C"/>
    <w:rsid w:val="00C84694"/>
    <w:rsid w:val="00C8578D"/>
    <w:rsid w:val="00C8784A"/>
    <w:rsid w:val="00C90686"/>
    <w:rsid w:val="00C907FB"/>
    <w:rsid w:val="00C909E6"/>
    <w:rsid w:val="00C92E47"/>
    <w:rsid w:val="00C932B5"/>
    <w:rsid w:val="00C93313"/>
    <w:rsid w:val="00C94958"/>
    <w:rsid w:val="00C978E3"/>
    <w:rsid w:val="00C97915"/>
    <w:rsid w:val="00C97BCD"/>
    <w:rsid w:val="00CA0A3D"/>
    <w:rsid w:val="00CA1ED9"/>
    <w:rsid w:val="00CA3E2F"/>
    <w:rsid w:val="00CA3EBF"/>
    <w:rsid w:val="00CA3EF9"/>
    <w:rsid w:val="00CA73C4"/>
    <w:rsid w:val="00CA75AC"/>
    <w:rsid w:val="00CB0506"/>
    <w:rsid w:val="00CB0AC7"/>
    <w:rsid w:val="00CB0E24"/>
    <w:rsid w:val="00CB2297"/>
    <w:rsid w:val="00CB2CA6"/>
    <w:rsid w:val="00CB57CE"/>
    <w:rsid w:val="00CB5C1E"/>
    <w:rsid w:val="00CB616E"/>
    <w:rsid w:val="00CB6194"/>
    <w:rsid w:val="00CB737A"/>
    <w:rsid w:val="00CC102B"/>
    <w:rsid w:val="00CC2381"/>
    <w:rsid w:val="00CC2A60"/>
    <w:rsid w:val="00CC3070"/>
    <w:rsid w:val="00CC3D31"/>
    <w:rsid w:val="00CC437F"/>
    <w:rsid w:val="00CC43AF"/>
    <w:rsid w:val="00CC4549"/>
    <w:rsid w:val="00CD073C"/>
    <w:rsid w:val="00CD4270"/>
    <w:rsid w:val="00CD4D69"/>
    <w:rsid w:val="00CD71E8"/>
    <w:rsid w:val="00CE0155"/>
    <w:rsid w:val="00CE0A32"/>
    <w:rsid w:val="00CE1850"/>
    <w:rsid w:val="00CE23A5"/>
    <w:rsid w:val="00CE30B1"/>
    <w:rsid w:val="00CE4F73"/>
    <w:rsid w:val="00CE5A5A"/>
    <w:rsid w:val="00CE5BDF"/>
    <w:rsid w:val="00CE5D9E"/>
    <w:rsid w:val="00CE7ECA"/>
    <w:rsid w:val="00CF00D5"/>
    <w:rsid w:val="00CF0337"/>
    <w:rsid w:val="00CF06D9"/>
    <w:rsid w:val="00CF1155"/>
    <w:rsid w:val="00CF12A6"/>
    <w:rsid w:val="00CF197F"/>
    <w:rsid w:val="00CF1EB2"/>
    <w:rsid w:val="00CF3BDE"/>
    <w:rsid w:val="00CF4158"/>
    <w:rsid w:val="00CF7C56"/>
    <w:rsid w:val="00D0175D"/>
    <w:rsid w:val="00D02330"/>
    <w:rsid w:val="00D032D8"/>
    <w:rsid w:val="00D03BE6"/>
    <w:rsid w:val="00D03C48"/>
    <w:rsid w:val="00D049F1"/>
    <w:rsid w:val="00D04E41"/>
    <w:rsid w:val="00D07337"/>
    <w:rsid w:val="00D1000B"/>
    <w:rsid w:val="00D10AA3"/>
    <w:rsid w:val="00D13079"/>
    <w:rsid w:val="00D13DCE"/>
    <w:rsid w:val="00D15248"/>
    <w:rsid w:val="00D15510"/>
    <w:rsid w:val="00D16E11"/>
    <w:rsid w:val="00D176A2"/>
    <w:rsid w:val="00D20075"/>
    <w:rsid w:val="00D23760"/>
    <w:rsid w:val="00D23AFB"/>
    <w:rsid w:val="00D23C43"/>
    <w:rsid w:val="00D24C05"/>
    <w:rsid w:val="00D25DE3"/>
    <w:rsid w:val="00D315C0"/>
    <w:rsid w:val="00D315F3"/>
    <w:rsid w:val="00D34C37"/>
    <w:rsid w:val="00D34E39"/>
    <w:rsid w:val="00D3534C"/>
    <w:rsid w:val="00D354F4"/>
    <w:rsid w:val="00D3552A"/>
    <w:rsid w:val="00D4002E"/>
    <w:rsid w:val="00D407DE"/>
    <w:rsid w:val="00D40CEC"/>
    <w:rsid w:val="00D41738"/>
    <w:rsid w:val="00D433B3"/>
    <w:rsid w:val="00D443CC"/>
    <w:rsid w:val="00D46894"/>
    <w:rsid w:val="00D507F4"/>
    <w:rsid w:val="00D52BE8"/>
    <w:rsid w:val="00D54F3B"/>
    <w:rsid w:val="00D55C10"/>
    <w:rsid w:val="00D56C31"/>
    <w:rsid w:val="00D579A2"/>
    <w:rsid w:val="00D600B3"/>
    <w:rsid w:val="00D6358F"/>
    <w:rsid w:val="00D63CC3"/>
    <w:rsid w:val="00D63E91"/>
    <w:rsid w:val="00D732E5"/>
    <w:rsid w:val="00D73B09"/>
    <w:rsid w:val="00D742E1"/>
    <w:rsid w:val="00D74463"/>
    <w:rsid w:val="00D7582F"/>
    <w:rsid w:val="00D75C7C"/>
    <w:rsid w:val="00D761F0"/>
    <w:rsid w:val="00D76A57"/>
    <w:rsid w:val="00D772DE"/>
    <w:rsid w:val="00D80198"/>
    <w:rsid w:val="00D8507B"/>
    <w:rsid w:val="00D85F8E"/>
    <w:rsid w:val="00D8652C"/>
    <w:rsid w:val="00D914A6"/>
    <w:rsid w:val="00D92C31"/>
    <w:rsid w:val="00D92FC9"/>
    <w:rsid w:val="00D9330F"/>
    <w:rsid w:val="00D93B29"/>
    <w:rsid w:val="00D944E2"/>
    <w:rsid w:val="00D950F2"/>
    <w:rsid w:val="00D971A1"/>
    <w:rsid w:val="00DA03D7"/>
    <w:rsid w:val="00DA1387"/>
    <w:rsid w:val="00DA4E23"/>
    <w:rsid w:val="00DA63B8"/>
    <w:rsid w:val="00DA6417"/>
    <w:rsid w:val="00DA6860"/>
    <w:rsid w:val="00DB0858"/>
    <w:rsid w:val="00DB0F37"/>
    <w:rsid w:val="00DB14BB"/>
    <w:rsid w:val="00DB26F2"/>
    <w:rsid w:val="00DB380C"/>
    <w:rsid w:val="00DB5C83"/>
    <w:rsid w:val="00DB5F70"/>
    <w:rsid w:val="00DB60F3"/>
    <w:rsid w:val="00DB6B5A"/>
    <w:rsid w:val="00DB7E76"/>
    <w:rsid w:val="00DC1ACB"/>
    <w:rsid w:val="00DC2510"/>
    <w:rsid w:val="00DC43C6"/>
    <w:rsid w:val="00DC59C1"/>
    <w:rsid w:val="00DC5FD4"/>
    <w:rsid w:val="00DC775F"/>
    <w:rsid w:val="00DC7921"/>
    <w:rsid w:val="00DD0A9E"/>
    <w:rsid w:val="00DD32AF"/>
    <w:rsid w:val="00DD4FE5"/>
    <w:rsid w:val="00DD5E9A"/>
    <w:rsid w:val="00DD6EE9"/>
    <w:rsid w:val="00DE1945"/>
    <w:rsid w:val="00DE49FC"/>
    <w:rsid w:val="00DE5DD6"/>
    <w:rsid w:val="00DF15FA"/>
    <w:rsid w:val="00DF2F5C"/>
    <w:rsid w:val="00DF3530"/>
    <w:rsid w:val="00DF558F"/>
    <w:rsid w:val="00DF55B1"/>
    <w:rsid w:val="00DF6274"/>
    <w:rsid w:val="00DF6D2A"/>
    <w:rsid w:val="00DF7B8A"/>
    <w:rsid w:val="00E0238B"/>
    <w:rsid w:val="00E06513"/>
    <w:rsid w:val="00E06D2A"/>
    <w:rsid w:val="00E1169E"/>
    <w:rsid w:val="00E119A2"/>
    <w:rsid w:val="00E12DE5"/>
    <w:rsid w:val="00E130DB"/>
    <w:rsid w:val="00E13D05"/>
    <w:rsid w:val="00E148B9"/>
    <w:rsid w:val="00E16FDA"/>
    <w:rsid w:val="00E20573"/>
    <w:rsid w:val="00E20A47"/>
    <w:rsid w:val="00E21DF0"/>
    <w:rsid w:val="00E2309E"/>
    <w:rsid w:val="00E23A7C"/>
    <w:rsid w:val="00E23B0B"/>
    <w:rsid w:val="00E23C4C"/>
    <w:rsid w:val="00E26491"/>
    <w:rsid w:val="00E31781"/>
    <w:rsid w:val="00E3316F"/>
    <w:rsid w:val="00E33679"/>
    <w:rsid w:val="00E34032"/>
    <w:rsid w:val="00E35197"/>
    <w:rsid w:val="00E3629C"/>
    <w:rsid w:val="00E37CB1"/>
    <w:rsid w:val="00E37EBB"/>
    <w:rsid w:val="00E41A39"/>
    <w:rsid w:val="00E439DF"/>
    <w:rsid w:val="00E44356"/>
    <w:rsid w:val="00E44DE9"/>
    <w:rsid w:val="00E464F5"/>
    <w:rsid w:val="00E51231"/>
    <w:rsid w:val="00E512B9"/>
    <w:rsid w:val="00E57433"/>
    <w:rsid w:val="00E60E29"/>
    <w:rsid w:val="00E6140A"/>
    <w:rsid w:val="00E616C9"/>
    <w:rsid w:val="00E639CA"/>
    <w:rsid w:val="00E63B7F"/>
    <w:rsid w:val="00E651B5"/>
    <w:rsid w:val="00E66CEB"/>
    <w:rsid w:val="00E67C7F"/>
    <w:rsid w:val="00E706BC"/>
    <w:rsid w:val="00E7154B"/>
    <w:rsid w:val="00E71A92"/>
    <w:rsid w:val="00E72289"/>
    <w:rsid w:val="00E7336B"/>
    <w:rsid w:val="00E73BA7"/>
    <w:rsid w:val="00E76525"/>
    <w:rsid w:val="00E770BD"/>
    <w:rsid w:val="00E77E30"/>
    <w:rsid w:val="00E80FB5"/>
    <w:rsid w:val="00E829A1"/>
    <w:rsid w:val="00E839B5"/>
    <w:rsid w:val="00E85D20"/>
    <w:rsid w:val="00E86942"/>
    <w:rsid w:val="00E90521"/>
    <w:rsid w:val="00E91556"/>
    <w:rsid w:val="00E92BD2"/>
    <w:rsid w:val="00E93428"/>
    <w:rsid w:val="00E93C5B"/>
    <w:rsid w:val="00E94D01"/>
    <w:rsid w:val="00E955BC"/>
    <w:rsid w:val="00E96EF9"/>
    <w:rsid w:val="00E9795C"/>
    <w:rsid w:val="00EA42EC"/>
    <w:rsid w:val="00EA5D5C"/>
    <w:rsid w:val="00EB2242"/>
    <w:rsid w:val="00EB37C3"/>
    <w:rsid w:val="00EB38D0"/>
    <w:rsid w:val="00EB3F04"/>
    <w:rsid w:val="00EC3092"/>
    <w:rsid w:val="00EC4BE7"/>
    <w:rsid w:val="00EC4C1B"/>
    <w:rsid w:val="00EC4EE9"/>
    <w:rsid w:val="00EC5321"/>
    <w:rsid w:val="00EC5715"/>
    <w:rsid w:val="00EC5B83"/>
    <w:rsid w:val="00EC6077"/>
    <w:rsid w:val="00EC6583"/>
    <w:rsid w:val="00EC6897"/>
    <w:rsid w:val="00EC6B9A"/>
    <w:rsid w:val="00ED1C74"/>
    <w:rsid w:val="00ED4FF9"/>
    <w:rsid w:val="00ED7CAE"/>
    <w:rsid w:val="00EE0DCE"/>
    <w:rsid w:val="00EE35C1"/>
    <w:rsid w:val="00EE3A55"/>
    <w:rsid w:val="00EE5A55"/>
    <w:rsid w:val="00EE6555"/>
    <w:rsid w:val="00EF0449"/>
    <w:rsid w:val="00EF2D7C"/>
    <w:rsid w:val="00EF3D53"/>
    <w:rsid w:val="00EF4097"/>
    <w:rsid w:val="00EF5EB2"/>
    <w:rsid w:val="00EF623F"/>
    <w:rsid w:val="00F0018D"/>
    <w:rsid w:val="00F001E2"/>
    <w:rsid w:val="00F02945"/>
    <w:rsid w:val="00F02CC2"/>
    <w:rsid w:val="00F02F82"/>
    <w:rsid w:val="00F02FB9"/>
    <w:rsid w:val="00F04785"/>
    <w:rsid w:val="00F04914"/>
    <w:rsid w:val="00F05490"/>
    <w:rsid w:val="00F054A4"/>
    <w:rsid w:val="00F06CBB"/>
    <w:rsid w:val="00F06E4E"/>
    <w:rsid w:val="00F07C7C"/>
    <w:rsid w:val="00F11D60"/>
    <w:rsid w:val="00F1278A"/>
    <w:rsid w:val="00F1651B"/>
    <w:rsid w:val="00F16792"/>
    <w:rsid w:val="00F20E6F"/>
    <w:rsid w:val="00F2284D"/>
    <w:rsid w:val="00F22B9A"/>
    <w:rsid w:val="00F22F32"/>
    <w:rsid w:val="00F23292"/>
    <w:rsid w:val="00F2373C"/>
    <w:rsid w:val="00F239D3"/>
    <w:rsid w:val="00F2523B"/>
    <w:rsid w:val="00F27D2C"/>
    <w:rsid w:val="00F30AAA"/>
    <w:rsid w:val="00F32BC2"/>
    <w:rsid w:val="00F33E38"/>
    <w:rsid w:val="00F3418D"/>
    <w:rsid w:val="00F3645E"/>
    <w:rsid w:val="00F36FB3"/>
    <w:rsid w:val="00F37420"/>
    <w:rsid w:val="00F4020C"/>
    <w:rsid w:val="00F43605"/>
    <w:rsid w:val="00F45FE2"/>
    <w:rsid w:val="00F46586"/>
    <w:rsid w:val="00F473C7"/>
    <w:rsid w:val="00F501A1"/>
    <w:rsid w:val="00F50765"/>
    <w:rsid w:val="00F52E1F"/>
    <w:rsid w:val="00F53299"/>
    <w:rsid w:val="00F53BF5"/>
    <w:rsid w:val="00F550E7"/>
    <w:rsid w:val="00F56C1B"/>
    <w:rsid w:val="00F57E0E"/>
    <w:rsid w:val="00F600EB"/>
    <w:rsid w:val="00F601A5"/>
    <w:rsid w:val="00F603C2"/>
    <w:rsid w:val="00F6186B"/>
    <w:rsid w:val="00F6275D"/>
    <w:rsid w:val="00F62CB0"/>
    <w:rsid w:val="00F62DA0"/>
    <w:rsid w:val="00F64279"/>
    <w:rsid w:val="00F65597"/>
    <w:rsid w:val="00F65661"/>
    <w:rsid w:val="00F65857"/>
    <w:rsid w:val="00F66111"/>
    <w:rsid w:val="00F66117"/>
    <w:rsid w:val="00F6656C"/>
    <w:rsid w:val="00F7348C"/>
    <w:rsid w:val="00F74418"/>
    <w:rsid w:val="00F75963"/>
    <w:rsid w:val="00F76EC6"/>
    <w:rsid w:val="00F804F1"/>
    <w:rsid w:val="00F824D0"/>
    <w:rsid w:val="00F82BBF"/>
    <w:rsid w:val="00F835EF"/>
    <w:rsid w:val="00F83772"/>
    <w:rsid w:val="00F84DB1"/>
    <w:rsid w:val="00F8599C"/>
    <w:rsid w:val="00F8691B"/>
    <w:rsid w:val="00F90798"/>
    <w:rsid w:val="00F90E6A"/>
    <w:rsid w:val="00F92349"/>
    <w:rsid w:val="00F94989"/>
    <w:rsid w:val="00F95259"/>
    <w:rsid w:val="00F96EDF"/>
    <w:rsid w:val="00FA1172"/>
    <w:rsid w:val="00FA2117"/>
    <w:rsid w:val="00FA3994"/>
    <w:rsid w:val="00FA3BF6"/>
    <w:rsid w:val="00FA3F96"/>
    <w:rsid w:val="00FA4930"/>
    <w:rsid w:val="00FA66EA"/>
    <w:rsid w:val="00FA6DD7"/>
    <w:rsid w:val="00FA749C"/>
    <w:rsid w:val="00FA7F63"/>
    <w:rsid w:val="00FB2E85"/>
    <w:rsid w:val="00FB421B"/>
    <w:rsid w:val="00FB47BD"/>
    <w:rsid w:val="00FB6CD1"/>
    <w:rsid w:val="00FC4079"/>
    <w:rsid w:val="00FC46E6"/>
    <w:rsid w:val="00FC4DA0"/>
    <w:rsid w:val="00FC5C7D"/>
    <w:rsid w:val="00FC682F"/>
    <w:rsid w:val="00FD01A4"/>
    <w:rsid w:val="00FD0ECB"/>
    <w:rsid w:val="00FD109B"/>
    <w:rsid w:val="00FD1BF5"/>
    <w:rsid w:val="00FD22A0"/>
    <w:rsid w:val="00FD252F"/>
    <w:rsid w:val="00FD30AF"/>
    <w:rsid w:val="00FD3E98"/>
    <w:rsid w:val="00FD4FBC"/>
    <w:rsid w:val="00FD5F7C"/>
    <w:rsid w:val="00FD7525"/>
    <w:rsid w:val="00FD76EE"/>
    <w:rsid w:val="00FD7729"/>
    <w:rsid w:val="00FE0059"/>
    <w:rsid w:val="00FE095E"/>
    <w:rsid w:val="00FE21F9"/>
    <w:rsid w:val="00FE2806"/>
    <w:rsid w:val="00FE30B7"/>
    <w:rsid w:val="00FE4DB8"/>
    <w:rsid w:val="00FE76A7"/>
    <w:rsid w:val="00FF00A5"/>
    <w:rsid w:val="00FF0CC3"/>
    <w:rsid w:val="00FF1968"/>
    <w:rsid w:val="00FF29F5"/>
    <w:rsid w:val="00FF36AD"/>
    <w:rsid w:val="00FF3ED2"/>
    <w:rsid w:val="00FF41B3"/>
    <w:rsid w:val="00FF47B4"/>
    <w:rsid w:val="00FF73BF"/>
    <w:rsid w:val="00FF7981"/>
    <w:rsid w:val="00FF7E0A"/>
    <w:rsid w:val="01281A93"/>
    <w:rsid w:val="0222795D"/>
    <w:rsid w:val="0273086B"/>
    <w:rsid w:val="02B33080"/>
    <w:rsid w:val="03516C2A"/>
    <w:rsid w:val="03985C7D"/>
    <w:rsid w:val="039A405D"/>
    <w:rsid w:val="03D72DE7"/>
    <w:rsid w:val="04B31573"/>
    <w:rsid w:val="05241B93"/>
    <w:rsid w:val="057712E0"/>
    <w:rsid w:val="0659602B"/>
    <w:rsid w:val="068124F2"/>
    <w:rsid w:val="07AB246B"/>
    <w:rsid w:val="07DB1F40"/>
    <w:rsid w:val="080028EE"/>
    <w:rsid w:val="08D74FC5"/>
    <w:rsid w:val="08FD0388"/>
    <w:rsid w:val="09630D8D"/>
    <w:rsid w:val="09AE79E2"/>
    <w:rsid w:val="09C71513"/>
    <w:rsid w:val="09D300D1"/>
    <w:rsid w:val="0A4C3E0F"/>
    <w:rsid w:val="0A8F02C9"/>
    <w:rsid w:val="0C094F89"/>
    <w:rsid w:val="0C145AEF"/>
    <w:rsid w:val="0C30025C"/>
    <w:rsid w:val="0D7B6C02"/>
    <w:rsid w:val="0EDB787F"/>
    <w:rsid w:val="0FA61452"/>
    <w:rsid w:val="0FB466B0"/>
    <w:rsid w:val="10D04EDF"/>
    <w:rsid w:val="116A622C"/>
    <w:rsid w:val="117B1504"/>
    <w:rsid w:val="118D1C38"/>
    <w:rsid w:val="11F37030"/>
    <w:rsid w:val="12062478"/>
    <w:rsid w:val="124962F0"/>
    <w:rsid w:val="1250401C"/>
    <w:rsid w:val="132035A6"/>
    <w:rsid w:val="13270AAD"/>
    <w:rsid w:val="13527FA6"/>
    <w:rsid w:val="13602F23"/>
    <w:rsid w:val="140E6614"/>
    <w:rsid w:val="14B552DF"/>
    <w:rsid w:val="152F2F86"/>
    <w:rsid w:val="15B80938"/>
    <w:rsid w:val="16403A11"/>
    <w:rsid w:val="16CB6554"/>
    <w:rsid w:val="16E24139"/>
    <w:rsid w:val="170F0C33"/>
    <w:rsid w:val="17497BA2"/>
    <w:rsid w:val="175427B6"/>
    <w:rsid w:val="180B15DA"/>
    <w:rsid w:val="181D3C99"/>
    <w:rsid w:val="194526CA"/>
    <w:rsid w:val="199B70C1"/>
    <w:rsid w:val="1A6E1B33"/>
    <w:rsid w:val="1A7600F5"/>
    <w:rsid w:val="1ACC2C07"/>
    <w:rsid w:val="1AFF2C62"/>
    <w:rsid w:val="1B190BC1"/>
    <w:rsid w:val="1B50328A"/>
    <w:rsid w:val="1B5B21F6"/>
    <w:rsid w:val="1B896C48"/>
    <w:rsid w:val="1BBE19E0"/>
    <w:rsid w:val="1C3B44E8"/>
    <w:rsid w:val="1C592A6B"/>
    <w:rsid w:val="1CEB383B"/>
    <w:rsid w:val="1D157D7A"/>
    <w:rsid w:val="1D78034B"/>
    <w:rsid w:val="1DB40E63"/>
    <w:rsid w:val="1E5148EB"/>
    <w:rsid w:val="1E841815"/>
    <w:rsid w:val="1EDF2263"/>
    <w:rsid w:val="1F1A0C3B"/>
    <w:rsid w:val="1F2C732E"/>
    <w:rsid w:val="1F5972B0"/>
    <w:rsid w:val="1FAA075C"/>
    <w:rsid w:val="208F6258"/>
    <w:rsid w:val="21072EE1"/>
    <w:rsid w:val="21964DFD"/>
    <w:rsid w:val="21AB2385"/>
    <w:rsid w:val="231433E7"/>
    <w:rsid w:val="232A31F2"/>
    <w:rsid w:val="239A6560"/>
    <w:rsid w:val="23F308EE"/>
    <w:rsid w:val="245360EB"/>
    <w:rsid w:val="247513A1"/>
    <w:rsid w:val="24FC7F7D"/>
    <w:rsid w:val="2524289E"/>
    <w:rsid w:val="25344C05"/>
    <w:rsid w:val="26BA3725"/>
    <w:rsid w:val="271F1233"/>
    <w:rsid w:val="27394EB2"/>
    <w:rsid w:val="27B02A42"/>
    <w:rsid w:val="281E70EA"/>
    <w:rsid w:val="28496DC7"/>
    <w:rsid w:val="29037CEC"/>
    <w:rsid w:val="290C056A"/>
    <w:rsid w:val="290F13E3"/>
    <w:rsid w:val="29732D2A"/>
    <w:rsid w:val="297629F2"/>
    <w:rsid w:val="2B0A25F1"/>
    <w:rsid w:val="2BDC13E8"/>
    <w:rsid w:val="2C2F6C5B"/>
    <w:rsid w:val="2CD425E5"/>
    <w:rsid w:val="2D4F0F38"/>
    <w:rsid w:val="2D6476F3"/>
    <w:rsid w:val="2DC07B00"/>
    <w:rsid w:val="2DC74CB6"/>
    <w:rsid w:val="2E5A18B6"/>
    <w:rsid w:val="2E9928E0"/>
    <w:rsid w:val="2EAD63A8"/>
    <w:rsid w:val="2EB95886"/>
    <w:rsid w:val="2EBE6008"/>
    <w:rsid w:val="2F4803A8"/>
    <w:rsid w:val="2F9E1B21"/>
    <w:rsid w:val="2FD7696A"/>
    <w:rsid w:val="301557AF"/>
    <w:rsid w:val="30A82D39"/>
    <w:rsid w:val="31110C1F"/>
    <w:rsid w:val="31731ED1"/>
    <w:rsid w:val="32B72893"/>
    <w:rsid w:val="32D71C99"/>
    <w:rsid w:val="32FC5E04"/>
    <w:rsid w:val="3309576B"/>
    <w:rsid w:val="337B6D0E"/>
    <w:rsid w:val="33856CD3"/>
    <w:rsid w:val="33A8297E"/>
    <w:rsid w:val="34820AFC"/>
    <w:rsid w:val="34BA2147"/>
    <w:rsid w:val="36043848"/>
    <w:rsid w:val="36306832"/>
    <w:rsid w:val="36483135"/>
    <w:rsid w:val="373C7CDF"/>
    <w:rsid w:val="37BE7040"/>
    <w:rsid w:val="381A3ED0"/>
    <w:rsid w:val="389F5823"/>
    <w:rsid w:val="38EC0857"/>
    <w:rsid w:val="39477140"/>
    <w:rsid w:val="39924D42"/>
    <w:rsid w:val="39A4566F"/>
    <w:rsid w:val="39AA33F1"/>
    <w:rsid w:val="3A0A710D"/>
    <w:rsid w:val="3A3B6F95"/>
    <w:rsid w:val="3A7114AF"/>
    <w:rsid w:val="3AB94700"/>
    <w:rsid w:val="3B2B1543"/>
    <w:rsid w:val="3B5B6D71"/>
    <w:rsid w:val="3B900DC8"/>
    <w:rsid w:val="3B981772"/>
    <w:rsid w:val="3BCD4780"/>
    <w:rsid w:val="3BE02516"/>
    <w:rsid w:val="3C421154"/>
    <w:rsid w:val="3CED4FAC"/>
    <w:rsid w:val="3D23141F"/>
    <w:rsid w:val="3D593E8C"/>
    <w:rsid w:val="3DAF1262"/>
    <w:rsid w:val="3E611883"/>
    <w:rsid w:val="3F5868E2"/>
    <w:rsid w:val="3F842C17"/>
    <w:rsid w:val="3F8E38D9"/>
    <w:rsid w:val="3FCE3382"/>
    <w:rsid w:val="4039719F"/>
    <w:rsid w:val="40FE18D7"/>
    <w:rsid w:val="41071E4D"/>
    <w:rsid w:val="421678CB"/>
    <w:rsid w:val="42834427"/>
    <w:rsid w:val="42A61B46"/>
    <w:rsid w:val="42B53FDE"/>
    <w:rsid w:val="42DB2BF2"/>
    <w:rsid w:val="430B100B"/>
    <w:rsid w:val="43312BF2"/>
    <w:rsid w:val="43D52B21"/>
    <w:rsid w:val="440C0C76"/>
    <w:rsid w:val="44497C1B"/>
    <w:rsid w:val="44976E5A"/>
    <w:rsid w:val="45F50E41"/>
    <w:rsid w:val="46164319"/>
    <w:rsid w:val="47472A18"/>
    <w:rsid w:val="475B6207"/>
    <w:rsid w:val="476B0FBA"/>
    <w:rsid w:val="478E5F3C"/>
    <w:rsid w:val="480E2214"/>
    <w:rsid w:val="48B81E35"/>
    <w:rsid w:val="49444BDC"/>
    <w:rsid w:val="4A43105C"/>
    <w:rsid w:val="4DA44ADF"/>
    <w:rsid w:val="4DC2042B"/>
    <w:rsid w:val="4DDE719A"/>
    <w:rsid w:val="4DFB2E3E"/>
    <w:rsid w:val="4E7711DC"/>
    <w:rsid w:val="4EA10878"/>
    <w:rsid w:val="4F4B516F"/>
    <w:rsid w:val="4F755271"/>
    <w:rsid w:val="4FBE7BEA"/>
    <w:rsid w:val="5029647A"/>
    <w:rsid w:val="50D80FF9"/>
    <w:rsid w:val="51265F87"/>
    <w:rsid w:val="514D1E63"/>
    <w:rsid w:val="51596929"/>
    <w:rsid w:val="51BC507B"/>
    <w:rsid w:val="52631353"/>
    <w:rsid w:val="52AF37C9"/>
    <w:rsid w:val="53942531"/>
    <w:rsid w:val="54B924DC"/>
    <w:rsid w:val="54FA7809"/>
    <w:rsid w:val="555B3BB0"/>
    <w:rsid w:val="55F42094"/>
    <w:rsid w:val="58192794"/>
    <w:rsid w:val="58985265"/>
    <w:rsid w:val="58E66F69"/>
    <w:rsid w:val="59505D9C"/>
    <w:rsid w:val="597C7653"/>
    <w:rsid w:val="59893102"/>
    <w:rsid w:val="5990205B"/>
    <w:rsid w:val="59C65937"/>
    <w:rsid w:val="59E648CF"/>
    <w:rsid w:val="5A0568D9"/>
    <w:rsid w:val="5B2E163E"/>
    <w:rsid w:val="5B4F2CD5"/>
    <w:rsid w:val="5B6414CE"/>
    <w:rsid w:val="5BC32BEB"/>
    <w:rsid w:val="5BE12C55"/>
    <w:rsid w:val="5BFC3D1F"/>
    <w:rsid w:val="5C603089"/>
    <w:rsid w:val="5CA443F9"/>
    <w:rsid w:val="5CA65081"/>
    <w:rsid w:val="5CBE4A16"/>
    <w:rsid w:val="5DCB066D"/>
    <w:rsid w:val="5E52066F"/>
    <w:rsid w:val="5F8B10A0"/>
    <w:rsid w:val="5F8F47E3"/>
    <w:rsid w:val="600052D9"/>
    <w:rsid w:val="60D32977"/>
    <w:rsid w:val="613715C7"/>
    <w:rsid w:val="626266A7"/>
    <w:rsid w:val="626A3A22"/>
    <w:rsid w:val="62E32DA4"/>
    <w:rsid w:val="62E47EA2"/>
    <w:rsid w:val="634D5CB6"/>
    <w:rsid w:val="63E00724"/>
    <w:rsid w:val="6478698A"/>
    <w:rsid w:val="650B1736"/>
    <w:rsid w:val="652D2AF4"/>
    <w:rsid w:val="654710AE"/>
    <w:rsid w:val="65A268A9"/>
    <w:rsid w:val="65B00BC4"/>
    <w:rsid w:val="66C343CE"/>
    <w:rsid w:val="66CA20DF"/>
    <w:rsid w:val="670A38BA"/>
    <w:rsid w:val="67341C19"/>
    <w:rsid w:val="673955E1"/>
    <w:rsid w:val="67440CAB"/>
    <w:rsid w:val="678A5E57"/>
    <w:rsid w:val="67B0300C"/>
    <w:rsid w:val="68122C54"/>
    <w:rsid w:val="685C2695"/>
    <w:rsid w:val="68B14C68"/>
    <w:rsid w:val="68C61866"/>
    <w:rsid w:val="6AA33BCA"/>
    <w:rsid w:val="6B0D446E"/>
    <w:rsid w:val="6B4A19A8"/>
    <w:rsid w:val="6BAB4E1D"/>
    <w:rsid w:val="6BE712D3"/>
    <w:rsid w:val="6C192926"/>
    <w:rsid w:val="6C321222"/>
    <w:rsid w:val="6C3F217F"/>
    <w:rsid w:val="6CDB48ED"/>
    <w:rsid w:val="6D575136"/>
    <w:rsid w:val="6D9E1B77"/>
    <w:rsid w:val="6E1D48F0"/>
    <w:rsid w:val="6E7A1830"/>
    <w:rsid w:val="6EB54C74"/>
    <w:rsid w:val="6EBF3327"/>
    <w:rsid w:val="6ECE3EA8"/>
    <w:rsid w:val="6F0C3B6A"/>
    <w:rsid w:val="700B0DBE"/>
    <w:rsid w:val="71BD2C85"/>
    <w:rsid w:val="71C02CF2"/>
    <w:rsid w:val="71EF7786"/>
    <w:rsid w:val="7257796A"/>
    <w:rsid w:val="72AD05F6"/>
    <w:rsid w:val="72DE5608"/>
    <w:rsid w:val="72F86392"/>
    <w:rsid w:val="73B94EA3"/>
    <w:rsid w:val="754014EE"/>
    <w:rsid w:val="75567A5E"/>
    <w:rsid w:val="759743BB"/>
    <w:rsid w:val="7625040A"/>
    <w:rsid w:val="76E55C60"/>
    <w:rsid w:val="773D74D7"/>
    <w:rsid w:val="77C9622C"/>
    <w:rsid w:val="78E8647F"/>
    <w:rsid w:val="79EE5838"/>
    <w:rsid w:val="7A2C6801"/>
    <w:rsid w:val="7A2E4B0E"/>
    <w:rsid w:val="7B6859D1"/>
    <w:rsid w:val="7B8F4CDB"/>
    <w:rsid w:val="7BAA4093"/>
    <w:rsid w:val="7BD101DF"/>
    <w:rsid w:val="7C043694"/>
    <w:rsid w:val="7C387D72"/>
    <w:rsid w:val="7CA32F91"/>
    <w:rsid w:val="7CC22809"/>
    <w:rsid w:val="7D844C59"/>
    <w:rsid w:val="7DA84E33"/>
    <w:rsid w:val="7DFC33EB"/>
    <w:rsid w:val="7EAA02A2"/>
    <w:rsid w:val="7F2771AD"/>
    <w:rsid w:val="7F9928B6"/>
    <w:rsid w:val="7FB543BB"/>
    <w:rsid w:val="7FC6567C"/>
    <w:rsid w:val="7FFD164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qFormat="1" w:unhideWhenUsed="0" w:uiPriority="99" w:semiHidden="0" w:name="toa heading"/>
    <w:lsdException w:uiPriority="99" w:name="List" w:locked="1"/>
    <w:lsdException w:uiPriority="99" w:name="List Bullet" w:locked="1"/>
    <w:lsdException w:unhideWhenUsed="0" w:uiPriority="0"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qFormat="1" w:unhideWhenUsed="0" w:uiPriority="99" w:semiHidden="0" w:name="Document Map"/>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0"/>
    <w:qFormat/>
    <w:uiPriority w:val="99"/>
    <w:pPr>
      <w:keepNext/>
      <w:keepLines/>
      <w:spacing w:before="340" w:after="330" w:line="576" w:lineRule="auto"/>
      <w:jc w:val="center"/>
      <w:outlineLvl w:val="0"/>
    </w:pPr>
    <w:rPr>
      <w:b/>
      <w:kern w:val="44"/>
      <w:sz w:val="28"/>
      <w:szCs w:val="20"/>
    </w:rPr>
  </w:style>
  <w:style w:type="paragraph" w:styleId="4">
    <w:name w:val="heading 2"/>
    <w:basedOn w:val="1"/>
    <w:next w:val="1"/>
    <w:link w:val="31"/>
    <w:qFormat/>
    <w:uiPriority w:val="99"/>
    <w:pPr>
      <w:keepNext/>
      <w:keepLines/>
      <w:spacing w:before="260" w:after="260" w:line="413" w:lineRule="auto"/>
      <w:outlineLvl w:val="1"/>
    </w:pPr>
    <w:rPr>
      <w:rFonts w:ascii="Arial" w:hAnsi="Arial"/>
      <w:kern w:val="0"/>
      <w:sz w:val="28"/>
      <w:szCs w:val="20"/>
    </w:rPr>
  </w:style>
  <w:style w:type="paragraph" w:styleId="5">
    <w:name w:val="heading 3"/>
    <w:basedOn w:val="1"/>
    <w:next w:val="1"/>
    <w:link w:val="32"/>
    <w:qFormat/>
    <w:uiPriority w:val="99"/>
    <w:pPr>
      <w:keepNext/>
      <w:keepLines/>
      <w:spacing w:before="260" w:after="260" w:line="413" w:lineRule="auto"/>
      <w:outlineLvl w:val="2"/>
    </w:pPr>
    <w:rPr>
      <w:kern w:val="0"/>
      <w:sz w:val="28"/>
      <w:szCs w:val="20"/>
    </w:rPr>
  </w:style>
  <w:style w:type="character" w:default="1" w:styleId="27">
    <w:name w:val="Default Paragraph Font"/>
    <w:semiHidden/>
    <w:qFormat/>
    <w:uiPriority w:val="99"/>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3"/>
    <w:qFormat/>
    <w:uiPriority w:val="99"/>
    <w:pPr>
      <w:spacing w:after="120"/>
    </w:pPr>
  </w:style>
  <w:style w:type="paragraph" w:styleId="6">
    <w:name w:val="toc 7"/>
    <w:basedOn w:val="1"/>
    <w:next w:val="1"/>
    <w:qFormat/>
    <w:uiPriority w:val="99"/>
    <w:pPr>
      <w:ind w:left="2520" w:leftChars="1200"/>
    </w:pPr>
  </w:style>
  <w:style w:type="paragraph" w:styleId="7">
    <w:name w:val="Document Map"/>
    <w:basedOn w:val="1"/>
    <w:link w:val="34"/>
    <w:qFormat/>
    <w:uiPriority w:val="99"/>
    <w:rPr>
      <w:rFonts w:ascii="宋体"/>
      <w:sz w:val="18"/>
      <w:szCs w:val="18"/>
    </w:rPr>
  </w:style>
  <w:style w:type="paragraph" w:styleId="8">
    <w:name w:val="toa heading"/>
    <w:basedOn w:val="1"/>
    <w:next w:val="1"/>
    <w:qFormat/>
    <w:uiPriority w:val="99"/>
    <w:pPr>
      <w:spacing w:before="120"/>
    </w:pPr>
    <w:rPr>
      <w:rFonts w:ascii="Arial" w:hAnsi="Arial"/>
      <w:sz w:val="24"/>
    </w:rPr>
  </w:style>
  <w:style w:type="paragraph" w:styleId="9">
    <w:name w:val="annotation text"/>
    <w:basedOn w:val="1"/>
    <w:link w:val="35"/>
    <w:qFormat/>
    <w:uiPriority w:val="99"/>
    <w:pPr>
      <w:jc w:val="left"/>
    </w:pPr>
    <w:rPr>
      <w:rFonts w:ascii="Calibri" w:hAnsi="Calibri"/>
      <w:szCs w:val="22"/>
    </w:rPr>
  </w:style>
  <w:style w:type="paragraph" w:styleId="10">
    <w:name w:val="Body Text Indent"/>
    <w:basedOn w:val="1"/>
    <w:link w:val="36"/>
    <w:qFormat/>
    <w:uiPriority w:val="99"/>
    <w:pPr>
      <w:spacing w:after="120"/>
      <w:ind w:left="420" w:leftChars="200"/>
    </w:pPr>
  </w:style>
  <w:style w:type="paragraph" w:styleId="11">
    <w:name w:val="toc 5"/>
    <w:basedOn w:val="1"/>
    <w:next w:val="1"/>
    <w:qFormat/>
    <w:uiPriority w:val="99"/>
    <w:pPr>
      <w:ind w:left="1680" w:leftChars="800"/>
    </w:pPr>
  </w:style>
  <w:style w:type="paragraph" w:styleId="12">
    <w:name w:val="toc 3"/>
    <w:basedOn w:val="1"/>
    <w:next w:val="1"/>
    <w:qFormat/>
    <w:uiPriority w:val="99"/>
    <w:pPr>
      <w:ind w:left="840" w:leftChars="400"/>
    </w:pPr>
  </w:style>
  <w:style w:type="paragraph" w:styleId="13">
    <w:name w:val="Plain Text"/>
    <w:basedOn w:val="1"/>
    <w:link w:val="37"/>
    <w:qFormat/>
    <w:uiPriority w:val="99"/>
    <w:pPr>
      <w:adjustRightInd w:val="0"/>
      <w:spacing w:line="312" w:lineRule="atLeast"/>
      <w:textAlignment w:val="baseline"/>
    </w:pPr>
    <w:rPr>
      <w:rFonts w:ascii="宋体" w:hAnsi="Courier New"/>
    </w:rPr>
  </w:style>
  <w:style w:type="paragraph" w:styleId="14">
    <w:name w:val="toc 8"/>
    <w:basedOn w:val="1"/>
    <w:next w:val="1"/>
    <w:qFormat/>
    <w:uiPriority w:val="99"/>
    <w:pPr>
      <w:ind w:left="2940" w:leftChars="1400"/>
    </w:pPr>
  </w:style>
  <w:style w:type="paragraph" w:styleId="15">
    <w:name w:val="Balloon Text"/>
    <w:basedOn w:val="1"/>
    <w:link w:val="38"/>
    <w:qFormat/>
    <w:uiPriority w:val="99"/>
    <w:rPr>
      <w:sz w:val="18"/>
      <w:szCs w:val="18"/>
    </w:rPr>
  </w:style>
  <w:style w:type="paragraph" w:styleId="16">
    <w:name w:val="footer"/>
    <w:basedOn w:val="1"/>
    <w:link w:val="39"/>
    <w:qFormat/>
    <w:uiPriority w:val="99"/>
    <w:pPr>
      <w:tabs>
        <w:tab w:val="center" w:pos="4153"/>
        <w:tab w:val="right" w:pos="8306"/>
      </w:tabs>
      <w:snapToGrid w:val="0"/>
      <w:jc w:val="left"/>
    </w:pPr>
    <w:rPr>
      <w:sz w:val="18"/>
    </w:rPr>
  </w:style>
  <w:style w:type="paragraph" w:styleId="17">
    <w:name w:val="header"/>
    <w:basedOn w:val="1"/>
    <w:link w:val="4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qFormat/>
    <w:uiPriority w:val="99"/>
  </w:style>
  <w:style w:type="paragraph" w:styleId="19">
    <w:name w:val="toc 4"/>
    <w:basedOn w:val="1"/>
    <w:next w:val="1"/>
    <w:qFormat/>
    <w:uiPriority w:val="99"/>
    <w:pPr>
      <w:ind w:left="1260" w:leftChars="600"/>
    </w:pPr>
  </w:style>
  <w:style w:type="paragraph" w:styleId="20">
    <w:name w:val="toc 6"/>
    <w:basedOn w:val="1"/>
    <w:next w:val="1"/>
    <w:qFormat/>
    <w:uiPriority w:val="99"/>
    <w:pPr>
      <w:ind w:left="2100" w:leftChars="1000"/>
    </w:pPr>
  </w:style>
  <w:style w:type="paragraph" w:styleId="21">
    <w:name w:val="Body Text Indent 3"/>
    <w:basedOn w:val="1"/>
    <w:link w:val="41"/>
    <w:qFormat/>
    <w:uiPriority w:val="99"/>
    <w:pPr>
      <w:spacing w:after="120"/>
      <w:ind w:left="420" w:leftChars="200"/>
    </w:pPr>
    <w:rPr>
      <w:sz w:val="16"/>
      <w:szCs w:val="16"/>
    </w:rPr>
  </w:style>
  <w:style w:type="paragraph" w:styleId="22">
    <w:name w:val="toc 2"/>
    <w:basedOn w:val="1"/>
    <w:next w:val="1"/>
    <w:qFormat/>
    <w:uiPriority w:val="99"/>
    <w:pPr>
      <w:ind w:left="420" w:leftChars="200"/>
    </w:pPr>
  </w:style>
  <w:style w:type="paragraph" w:styleId="23">
    <w:name w:val="toc 9"/>
    <w:basedOn w:val="1"/>
    <w:next w:val="1"/>
    <w:qFormat/>
    <w:uiPriority w:val="99"/>
    <w:pPr>
      <w:ind w:left="3360" w:leftChars="1600"/>
    </w:pPr>
  </w:style>
  <w:style w:type="paragraph" w:styleId="24">
    <w:name w:val="annotation subject"/>
    <w:basedOn w:val="9"/>
    <w:next w:val="9"/>
    <w:link w:val="42"/>
    <w:qFormat/>
    <w:uiPriority w:val="99"/>
    <w:rPr>
      <w:rFonts w:ascii="Times New Roman" w:hAnsi="Times New Roman"/>
      <w:b/>
      <w:bCs/>
      <w:szCs w:val="24"/>
    </w:rPr>
  </w:style>
  <w:style w:type="table" w:styleId="26">
    <w:name w:val="Table Grid"/>
    <w:basedOn w:val="25"/>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Hyperlink"/>
    <w:basedOn w:val="27"/>
    <w:qFormat/>
    <w:uiPriority w:val="99"/>
    <w:rPr>
      <w:rFonts w:cs="Times New Roman"/>
      <w:color w:val="0000FF"/>
      <w:u w:val="single"/>
    </w:rPr>
  </w:style>
  <w:style w:type="character" w:styleId="29">
    <w:name w:val="annotation reference"/>
    <w:basedOn w:val="27"/>
    <w:qFormat/>
    <w:uiPriority w:val="99"/>
    <w:rPr>
      <w:rFonts w:cs="Times New Roman"/>
      <w:sz w:val="21"/>
    </w:rPr>
  </w:style>
  <w:style w:type="character" w:customStyle="1" w:styleId="30">
    <w:name w:val="Heading 1 Char"/>
    <w:basedOn w:val="27"/>
    <w:link w:val="3"/>
    <w:qFormat/>
    <w:locked/>
    <w:uiPriority w:val="99"/>
    <w:rPr>
      <w:rFonts w:ascii="Times New Roman" w:hAnsi="Times New Roman" w:eastAsia="宋体"/>
      <w:b/>
      <w:kern w:val="44"/>
      <w:sz w:val="20"/>
    </w:rPr>
  </w:style>
  <w:style w:type="character" w:customStyle="1" w:styleId="31">
    <w:name w:val="Heading 2 Char"/>
    <w:basedOn w:val="27"/>
    <w:link w:val="4"/>
    <w:qFormat/>
    <w:locked/>
    <w:uiPriority w:val="99"/>
    <w:rPr>
      <w:rFonts w:ascii="Arial" w:hAnsi="Arial" w:eastAsia="宋体"/>
      <w:sz w:val="20"/>
    </w:rPr>
  </w:style>
  <w:style w:type="character" w:customStyle="1" w:styleId="32">
    <w:name w:val="Heading 3 Char"/>
    <w:basedOn w:val="27"/>
    <w:link w:val="5"/>
    <w:qFormat/>
    <w:locked/>
    <w:uiPriority w:val="99"/>
    <w:rPr>
      <w:rFonts w:eastAsia="宋体"/>
      <w:sz w:val="28"/>
    </w:rPr>
  </w:style>
  <w:style w:type="character" w:customStyle="1" w:styleId="33">
    <w:name w:val="Body Text Char"/>
    <w:basedOn w:val="27"/>
    <w:link w:val="2"/>
    <w:semiHidden/>
    <w:qFormat/>
    <w:uiPriority w:val="99"/>
    <w:rPr>
      <w:szCs w:val="24"/>
    </w:rPr>
  </w:style>
  <w:style w:type="character" w:customStyle="1" w:styleId="34">
    <w:name w:val="Document Map Char"/>
    <w:basedOn w:val="27"/>
    <w:link w:val="7"/>
    <w:qFormat/>
    <w:locked/>
    <w:uiPriority w:val="99"/>
    <w:rPr>
      <w:rFonts w:ascii="宋体"/>
      <w:kern w:val="2"/>
      <w:sz w:val="18"/>
    </w:rPr>
  </w:style>
  <w:style w:type="character" w:customStyle="1" w:styleId="35">
    <w:name w:val="Comment Text Char"/>
    <w:basedOn w:val="27"/>
    <w:link w:val="9"/>
    <w:qFormat/>
    <w:locked/>
    <w:uiPriority w:val="99"/>
    <w:rPr>
      <w:rFonts w:ascii="Calibri" w:hAnsi="Calibri"/>
      <w:kern w:val="2"/>
      <w:sz w:val="22"/>
    </w:rPr>
  </w:style>
  <w:style w:type="character" w:customStyle="1" w:styleId="36">
    <w:name w:val="Body Text Indent Char"/>
    <w:basedOn w:val="27"/>
    <w:link w:val="10"/>
    <w:qFormat/>
    <w:locked/>
    <w:uiPriority w:val="99"/>
    <w:rPr>
      <w:rFonts w:cs="Times New Roman"/>
      <w:kern w:val="2"/>
      <w:sz w:val="24"/>
      <w:szCs w:val="24"/>
    </w:rPr>
  </w:style>
  <w:style w:type="character" w:customStyle="1" w:styleId="37">
    <w:name w:val="Plain Text Char"/>
    <w:basedOn w:val="27"/>
    <w:link w:val="13"/>
    <w:qFormat/>
    <w:locked/>
    <w:uiPriority w:val="99"/>
    <w:rPr>
      <w:rFonts w:ascii="宋体" w:hAnsi="Courier New"/>
      <w:kern w:val="2"/>
      <w:sz w:val="24"/>
    </w:rPr>
  </w:style>
  <w:style w:type="character" w:customStyle="1" w:styleId="38">
    <w:name w:val="Balloon Text Char"/>
    <w:basedOn w:val="27"/>
    <w:link w:val="15"/>
    <w:qFormat/>
    <w:locked/>
    <w:uiPriority w:val="99"/>
    <w:rPr>
      <w:kern w:val="2"/>
      <w:sz w:val="18"/>
    </w:rPr>
  </w:style>
  <w:style w:type="character" w:customStyle="1" w:styleId="39">
    <w:name w:val="Footer Char"/>
    <w:basedOn w:val="27"/>
    <w:link w:val="16"/>
    <w:semiHidden/>
    <w:qFormat/>
    <w:uiPriority w:val="99"/>
    <w:rPr>
      <w:sz w:val="18"/>
      <w:szCs w:val="18"/>
    </w:rPr>
  </w:style>
  <w:style w:type="character" w:customStyle="1" w:styleId="40">
    <w:name w:val="Header Char"/>
    <w:basedOn w:val="27"/>
    <w:link w:val="17"/>
    <w:semiHidden/>
    <w:qFormat/>
    <w:uiPriority w:val="99"/>
    <w:rPr>
      <w:sz w:val="18"/>
      <w:szCs w:val="18"/>
    </w:rPr>
  </w:style>
  <w:style w:type="character" w:customStyle="1" w:styleId="41">
    <w:name w:val="Body Text Indent 3 Char"/>
    <w:basedOn w:val="27"/>
    <w:link w:val="21"/>
    <w:qFormat/>
    <w:locked/>
    <w:uiPriority w:val="99"/>
    <w:rPr>
      <w:kern w:val="2"/>
      <w:sz w:val="16"/>
    </w:rPr>
  </w:style>
  <w:style w:type="character" w:customStyle="1" w:styleId="42">
    <w:name w:val="Comment Subject Char"/>
    <w:basedOn w:val="35"/>
    <w:link w:val="24"/>
    <w:qFormat/>
    <w:locked/>
    <w:uiPriority w:val="99"/>
    <w:rPr>
      <w:rFonts w:cs="Times New Roman"/>
      <w:szCs w:val="22"/>
    </w:rPr>
  </w:style>
  <w:style w:type="character" w:customStyle="1" w:styleId="43">
    <w:name w:val="1101 Char"/>
    <w:link w:val="44"/>
    <w:qFormat/>
    <w:locked/>
    <w:uiPriority w:val="99"/>
    <w:rPr>
      <w:rFonts w:ascii="宋体" w:eastAsia="宋体"/>
      <w:kern w:val="2"/>
      <w:sz w:val="28"/>
    </w:rPr>
  </w:style>
  <w:style w:type="paragraph" w:customStyle="1" w:styleId="44">
    <w:name w:val="1101"/>
    <w:basedOn w:val="1"/>
    <w:link w:val="43"/>
    <w:qFormat/>
    <w:uiPriority w:val="99"/>
    <w:pPr>
      <w:ind w:firstLine="560" w:firstLineChars="200"/>
      <w:jc w:val="left"/>
    </w:pPr>
    <w:rPr>
      <w:rFonts w:ascii="宋体" w:hAnsi="宋体"/>
      <w:sz w:val="28"/>
      <w:szCs w:val="28"/>
    </w:rPr>
  </w:style>
  <w:style w:type="character" w:customStyle="1" w:styleId="45">
    <w:name w:val="正文文本缩进 Char"/>
    <w:basedOn w:val="27"/>
    <w:qFormat/>
    <w:uiPriority w:val="99"/>
    <w:rPr>
      <w:rFonts w:cs="Times New Roman"/>
      <w:kern w:val="2"/>
      <w:sz w:val="24"/>
      <w:szCs w:val="24"/>
    </w:rPr>
  </w:style>
  <w:style w:type="paragraph" w:customStyle="1" w:styleId="46">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47">
    <w:name w:val="纯文本1"/>
    <w:basedOn w:val="1"/>
    <w:qFormat/>
    <w:uiPriority w:val="99"/>
    <w:rPr>
      <w:rFonts w:ascii="宋体" w:hAnsi="Courier New" w:cs="黑体"/>
      <w:szCs w:val="21"/>
    </w:rPr>
  </w:style>
  <w:style w:type="paragraph" w:customStyle="1" w:styleId="48">
    <w:name w:val="ST20_2"/>
    <w:basedOn w:val="1"/>
    <w:qFormat/>
    <w:uiPriority w:val="99"/>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49">
    <w:name w:val="款下正文"/>
    <w:basedOn w:val="1"/>
    <w:qFormat/>
    <w:uiPriority w:val="99"/>
    <w:pPr>
      <w:spacing w:beforeLines="50" w:afterLines="50" w:line="480" w:lineRule="exact"/>
      <w:ind w:firstLine="480" w:firstLineChars="200"/>
    </w:pPr>
    <w:rPr>
      <w:sz w:val="24"/>
      <w:szCs w:val="28"/>
    </w:rPr>
  </w:style>
  <w:style w:type="paragraph" w:customStyle="1" w:styleId="50">
    <w:name w:val="TOC 标题1"/>
    <w:basedOn w:val="3"/>
    <w:next w:val="1"/>
    <w:qFormat/>
    <w:uiPriority w:val="99"/>
    <w:pPr>
      <w:widowControl/>
      <w:spacing w:before="480" w:after="0" w:line="276" w:lineRule="auto"/>
      <w:jc w:val="left"/>
      <w:outlineLvl w:val="9"/>
    </w:pPr>
    <w:rPr>
      <w:rFonts w:ascii="Cambria" w:hAnsi="Cambria"/>
      <w:bCs/>
      <w:color w:val="365F91"/>
      <w:kern w:val="0"/>
      <w:szCs w:val="28"/>
    </w:rPr>
  </w:style>
  <w:style w:type="paragraph" w:customStyle="1" w:styleId="51">
    <w:name w:val="样式1"/>
    <w:basedOn w:val="3"/>
    <w:qFormat/>
    <w:uiPriority w:val="99"/>
  </w:style>
  <w:style w:type="paragraph" w:customStyle="1" w:styleId="52">
    <w:name w:val="列出段落1"/>
    <w:basedOn w:val="1"/>
    <w:qFormat/>
    <w:uiPriority w:val="99"/>
    <w:pPr>
      <w:ind w:firstLine="420" w:firstLineChars="200"/>
    </w:pPr>
    <w:rPr>
      <w:rFonts w:ascii="Calibri" w:hAnsi="Calibri"/>
      <w:szCs w:val="22"/>
    </w:rPr>
  </w:style>
  <w:style w:type="character" w:customStyle="1" w:styleId="53">
    <w:name w:val="未处理的提及1"/>
    <w:basedOn w:val="27"/>
    <w:semiHidden/>
    <w:qFormat/>
    <w:uiPriority w:val="99"/>
    <w:rPr>
      <w:rFonts w:cs="Times New Roman"/>
      <w:color w:val="808080"/>
      <w:shd w:val="clear" w:color="auto" w:fill="E6E6E6"/>
    </w:rPr>
  </w:style>
  <w:style w:type="character" w:customStyle="1" w:styleId="54">
    <w:name w:val="正文文本_"/>
    <w:basedOn w:val="27"/>
    <w:link w:val="55"/>
    <w:qFormat/>
    <w:locked/>
    <w:uiPriority w:val="99"/>
    <w:rPr>
      <w:rFonts w:ascii="MingLiU" w:hAnsi="MingLiU" w:eastAsia="MingLiU" w:cs="MingLiU"/>
      <w:sz w:val="27"/>
      <w:szCs w:val="27"/>
      <w:shd w:val="clear" w:color="auto" w:fill="FFFFFF"/>
    </w:rPr>
  </w:style>
  <w:style w:type="paragraph" w:customStyle="1" w:styleId="55">
    <w:name w:val="正文文本2"/>
    <w:basedOn w:val="1"/>
    <w:link w:val="54"/>
    <w:qFormat/>
    <w:uiPriority w:val="99"/>
    <w:pPr>
      <w:shd w:val="clear" w:color="auto" w:fill="FFFFFF"/>
      <w:spacing w:before="1200" w:after="840" w:line="240" w:lineRule="atLeast"/>
      <w:jc w:val="right"/>
    </w:pPr>
    <w:rPr>
      <w:rFonts w:ascii="MingLiU" w:hAnsi="MingLiU" w:eastAsia="MingLiU" w:cs="MingLiU"/>
      <w:kern w:val="0"/>
      <w:sz w:val="27"/>
      <w:szCs w:val="27"/>
    </w:rPr>
  </w:style>
  <w:style w:type="paragraph" w:styleId="56">
    <w:name w:val="List Paragraph"/>
    <w:basedOn w:val="1"/>
    <w:qFormat/>
    <w:uiPriority w:val="99"/>
    <w:pPr>
      <w:ind w:firstLine="420" w:firstLineChars="200"/>
    </w:pPr>
  </w:style>
  <w:style w:type="character" w:customStyle="1" w:styleId="57">
    <w:name w:val="标题 2 Char"/>
    <w:qFormat/>
    <w:uiPriority w:val="99"/>
    <w:rPr>
      <w:rFonts w:ascii="Arial" w:hAnsi="Arial"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48</Pages>
  <Words>17042</Words>
  <Characters>17649</Characters>
  <Lines>0</Lines>
  <Paragraphs>0</Paragraphs>
  <TotalTime>8</TotalTime>
  <ScaleCrop>false</ScaleCrop>
  <LinksUpToDate>false</LinksUpToDate>
  <CharactersWithSpaces>18427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2023-01-19T03:01:00Z</dcterms:created>
  <dc:creator>jkghj</dc:creator>
  <cp:lastModifiedBy>噗呲噗呲^_^</cp:lastModifiedBy>
  <cp:lastPrinted>2021-11-12T08:32:00Z</cp:lastPrinted>
  <dcterms:modified xsi:type="dcterms:W3CDTF">2023-04-11T00:53:22Z</dcterms:modified>
  <dc:title>附件3：二号线公司比选文件</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C9108F0D9F024D3DB593E2CECFE48426</vt:lpwstr>
  </property>
</Properties>
</file>