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480" w:lineRule="auto"/>
        <w:ind w:firstLine="883" w:firstLineChars="200"/>
        <w:rPr>
          <w:rFonts w:asciiTheme="minorEastAsia" w:hAnsiTheme="minorEastAsia" w:eastAsiaTheme="minorEastAsia"/>
          <w:b/>
          <w:bCs/>
          <w:color w:val="auto"/>
          <w:sz w:val="44"/>
          <w:szCs w:val="48"/>
          <w:highlight w:val="none"/>
        </w:rPr>
      </w:pPr>
      <w:r>
        <w:rPr>
          <w:rFonts w:hint="eastAsia" w:asciiTheme="minorEastAsia" w:hAnsiTheme="minorEastAsia" w:eastAsiaTheme="minorEastAsia"/>
          <w:b/>
          <w:bCs/>
          <w:color w:val="auto"/>
          <w:sz w:val="44"/>
          <w:szCs w:val="48"/>
          <w:highlight w:val="none"/>
        </w:rPr>
        <w:t>南宁轨道交通运营有限公司员工食堂</w:t>
      </w:r>
    </w:p>
    <w:p>
      <w:pPr>
        <w:spacing w:after="120" w:line="480" w:lineRule="auto"/>
        <w:jc w:val="center"/>
        <w:rPr>
          <w:rFonts w:asciiTheme="minorEastAsia" w:hAnsiTheme="minorEastAsia" w:eastAsiaTheme="minorEastAsia"/>
          <w:b/>
          <w:bCs/>
          <w:color w:val="auto"/>
          <w:sz w:val="44"/>
          <w:szCs w:val="48"/>
          <w:highlight w:val="none"/>
        </w:rPr>
      </w:pPr>
      <w:r>
        <w:rPr>
          <w:rFonts w:hint="eastAsia" w:asciiTheme="minorEastAsia" w:hAnsiTheme="minorEastAsia" w:eastAsiaTheme="minorEastAsia"/>
          <w:b/>
          <w:bCs/>
          <w:color w:val="auto"/>
          <w:sz w:val="44"/>
          <w:szCs w:val="48"/>
          <w:highlight w:val="none"/>
        </w:rPr>
        <w:t>除“四害”消杀服务采购项目</w:t>
      </w:r>
    </w:p>
    <w:p>
      <w:pPr>
        <w:spacing w:after="120"/>
        <w:jc w:val="center"/>
        <w:rPr>
          <w:rFonts w:asciiTheme="minorEastAsia" w:hAnsiTheme="minorEastAsia" w:eastAsiaTheme="minorEastAsia"/>
          <w:color w:val="auto"/>
          <w:sz w:val="36"/>
          <w:szCs w:val="44"/>
          <w:highlight w:val="none"/>
        </w:rPr>
      </w:pPr>
    </w:p>
    <w:p>
      <w:pPr>
        <w:spacing w:after="120"/>
        <w:jc w:val="center"/>
        <w:rPr>
          <w:rFonts w:asciiTheme="minorEastAsia" w:hAnsiTheme="minorEastAsia" w:eastAsiaTheme="minorEastAsia"/>
          <w:b/>
          <w:color w:val="auto"/>
          <w:sz w:val="52"/>
          <w:szCs w:val="52"/>
          <w:highlight w:val="none"/>
        </w:rPr>
      </w:pPr>
    </w:p>
    <w:p>
      <w:pPr>
        <w:spacing w:after="120"/>
        <w:jc w:val="center"/>
        <w:rPr>
          <w:rFonts w:asciiTheme="minorEastAsia" w:hAnsiTheme="minorEastAsia" w:eastAsiaTheme="minorEastAsia"/>
          <w:b/>
          <w:color w:val="auto"/>
          <w:sz w:val="52"/>
          <w:szCs w:val="52"/>
          <w:highlight w:val="none"/>
        </w:rPr>
      </w:pPr>
      <w:r>
        <w:rPr>
          <w:rFonts w:hint="eastAsia" w:asciiTheme="minorEastAsia" w:hAnsiTheme="minorEastAsia" w:eastAsiaTheme="minorEastAsia"/>
          <w:b/>
          <w:color w:val="auto"/>
          <w:sz w:val="52"/>
          <w:szCs w:val="52"/>
          <w:highlight w:val="none"/>
        </w:rPr>
        <w:t>比</w:t>
      </w:r>
    </w:p>
    <w:p>
      <w:pPr>
        <w:spacing w:after="120"/>
        <w:jc w:val="center"/>
        <w:rPr>
          <w:rFonts w:asciiTheme="minorEastAsia" w:hAnsiTheme="minorEastAsia" w:eastAsiaTheme="minorEastAsia"/>
          <w:b/>
          <w:color w:val="auto"/>
          <w:sz w:val="52"/>
          <w:szCs w:val="52"/>
          <w:highlight w:val="none"/>
        </w:rPr>
      </w:pPr>
      <w:r>
        <w:rPr>
          <w:rFonts w:hint="eastAsia" w:asciiTheme="minorEastAsia" w:hAnsiTheme="minorEastAsia" w:eastAsiaTheme="minorEastAsia"/>
          <w:b/>
          <w:color w:val="auto"/>
          <w:sz w:val="52"/>
          <w:szCs w:val="52"/>
          <w:highlight w:val="none"/>
        </w:rPr>
        <w:t>选</w:t>
      </w:r>
    </w:p>
    <w:p>
      <w:pPr>
        <w:spacing w:after="120"/>
        <w:jc w:val="center"/>
        <w:rPr>
          <w:rFonts w:asciiTheme="minorEastAsia" w:hAnsiTheme="minorEastAsia" w:eastAsiaTheme="minorEastAsia"/>
          <w:b/>
          <w:color w:val="auto"/>
          <w:sz w:val="52"/>
          <w:szCs w:val="52"/>
          <w:highlight w:val="none"/>
        </w:rPr>
      </w:pPr>
      <w:r>
        <w:rPr>
          <w:rFonts w:asciiTheme="minorEastAsia" w:hAnsiTheme="minorEastAsia" w:eastAsiaTheme="minorEastAsia"/>
          <w:b/>
          <w:color w:val="auto"/>
          <w:sz w:val="52"/>
          <w:szCs w:val="52"/>
          <w:highlight w:val="none"/>
        </w:rPr>
        <w:t>文</w:t>
      </w:r>
    </w:p>
    <w:p>
      <w:pPr>
        <w:spacing w:after="120"/>
        <w:jc w:val="center"/>
        <w:rPr>
          <w:rFonts w:asciiTheme="minorEastAsia" w:hAnsiTheme="minorEastAsia" w:eastAsiaTheme="minorEastAsia"/>
          <w:b/>
          <w:color w:val="auto"/>
          <w:sz w:val="52"/>
          <w:szCs w:val="52"/>
          <w:highlight w:val="none"/>
        </w:rPr>
      </w:pPr>
      <w:r>
        <w:rPr>
          <w:rFonts w:asciiTheme="minorEastAsia" w:hAnsiTheme="minorEastAsia" w:eastAsiaTheme="minorEastAsia"/>
          <w:b/>
          <w:color w:val="auto"/>
          <w:sz w:val="52"/>
          <w:szCs w:val="52"/>
          <w:highlight w:val="none"/>
        </w:rPr>
        <w:t>件</w:t>
      </w: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ind w:left="630" w:leftChars="300"/>
        <w:rPr>
          <w:rFonts w:asciiTheme="minorEastAsia" w:hAnsiTheme="minorEastAsia" w:eastAsiaTheme="minorEastAsia"/>
          <w:color w:val="auto"/>
          <w:sz w:val="28"/>
          <w:szCs w:val="28"/>
          <w:highlight w:val="none"/>
        </w:rPr>
      </w:pPr>
    </w:p>
    <w:p>
      <w:pPr>
        <w:spacing w:line="360" w:lineRule="auto"/>
        <w:ind w:firstLine="2240" w:firstLineChars="800"/>
        <w:rPr>
          <w:rFonts w:hint="eastAsia" w:asciiTheme="minorEastAsia" w:hAnsiTheme="minorEastAsia" w:eastAsiaTheme="minorEastAsia"/>
          <w:color w:val="auto"/>
          <w:sz w:val="28"/>
          <w:szCs w:val="28"/>
          <w:highlight w:val="none"/>
          <w:u w:val="single"/>
        </w:rPr>
      </w:pPr>
      <w:r>
        <w:rPr>
          <w:rFonts w:hint="eastAsia" w:asciiTheme="minorEastAsia" w:hAnsiTheme="minorEastAsia" w:eastAsiaTheme="minorEastAsia"/>
          <w:color w:val="auto"/>
          <w:sz w:val="28"/>
          <w:szCs w:val="28"/>
          <w:highlight w:val="none"/>
        </w:rPr>
        <w:t>项目编号：</w:t>
      </w:r>
      <w:r>
        <w:rPr>
          <w:rFonts w:hint="eastAsia" w:asciiTheme="minorEastAsia" w:hAnsiTheme="minorEastAsia" w:eastAsiaTheme="minorEastAsia"/>
          <w:color w:val="auto"/>
          <w:sz w:val="28"/>
          <w:szCs w:val="28"/>
          <w:highlight w:val="none"/>
          <w:u w:val="single"/>
        </w:rPr>
        <w:t xml:space="preserve">   202208030003   </w:t>
      </w:r>
    </w:p>
    <w:p>
      <w:pPr>
        <w:spacing w:line="360" w:lineRule="auto"/>
        <w:jc w:val="center"/>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 xml:space="preserve">   比选发起人：南宁轨道交通运营有限公司 </w:t>
      </w:r>
    </w:p>
    <w:p>
      <w:pPr>
        <w:spacing w:line="360" w:lineRule="auto"/>
        <w:jc w:val="center"/>
        <w:rPr>
          <w:rFonts w:cs="宋体" w:asciiTheme="minorEastAsia" w:hAnsiTheme="minorEastAsia" w:eastAsiaTheme="minorEastAsia"/>
          <w:b/>
          <w:bCs/>
          <w:color w:val="auto"/>
          <w:kern w:val="0"/>
          <w:sz w:val="32"/>
          <w:szCs w:val="32"/>
          <w:highlight w:val="none"/>
        </w:rPr>
        <w:sectPr>
          <w:pgSz w:w="11905" w:h="16838"/>
          <w:pgMar w:top="1417" w:right="1417" w:bottom="1417" w:left="1417" w:header="454" w:footer="567" w:gutter="0"/>
          <w:cols w:space="720" w:num="1"/>
          <w:docGrid w:linePitch="312" w:charSpace="0"/>
        </w:sectPr>
      </w:pPr>
      <w:r>
        <w:rPr>
          <w:rFonts w:hint="eastAsia" w:asciiTheme="minorEastAsia" w:hAnsiTheme="minorEastAsia" w:eastAsiaTheme="minorEastAsia"/>
          <w:color w:val="auto"/>
          <w:sz w:val="28"/>
          <w:szCs w:val="28"/>
          <w:highlight w:val="none"/>
        </w:rPr>
        <w:t>202</w:t>
      </w:r>
      <w:r>
        <w:rPr>
          <w:rFonts w:hint="eastAsia" w:asciiTheme="minorEastAsia" w:hAnsiTheme="minorEastAsia" w:eastAsia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 xml:space="preserve"> 年 </w:t>
      </w:r>
      <w:r>
        <w:rPr>
          <w:rFonts w:hint="eastAsia" w:asciiTheme="minorEastAsia" w:hAnsiTheme="minorEastAsia" w:eastAsiaTheme="minorEastAsia"/>
          <w:color w:val="auto"/>
          <w:sz w:val="28"/>
          <w:szCs w:val="28"/>
          <w:highlight w:val="none"/>
          <w:lang w:val="en-US" w:eastAsia="zh-CN"/>
        </w:rPr>
        <w:t>4</w:t>
      </w:r>
      <w:r>
        <w:rPr>
          <w:rFonts w:hint="eastAsia" w:asciiTheme="minorEastAsia" w:hAnsiTheme="minorEastAsia" w:eastAsiaTheme="minorEastAsia"/>
          <w:color w:val="auto"/>
          <w:sz w:val="28"/>
          <w:szCs w:val="28"/>
          <w:highlight w:val="none"/>
        </w:rPr>
        <w:t xml:space="preserve"> 月 </w:t>
      </w:r>
      <w:r>
        <w:rPr>
          <w:rFonts w:hint="eastAsia" w:asciiTheme="minorEastAsia" w:hAnsiTheme="minorEastAsia" w:eastAsiaTheme="minorEastAsia"/>
          <w:color w:val="auto"/>
          <w:sz w:val="28"/>
          <w:szCs w:val="28"/>
          <w:highlight w:val="none"/>
          <w:lang w:val="en-US" w:eastAsia="zh-CN"/>
        </w:rPr>
        <w:t>12</w:t>
      </w:r>
      <w:r>
        <w:rPr>
          <w:rFonts w:hint="eastAsia" w:asciiTheme="minorEastAsia" w:hAnsiTheme="minorEastAsia" w:eastAsiaTheme="minorEastAsia"/>
          <w:color w:val="auto"/>
          <w:sz w:val="28"/>
          <w:szCs w:val="28"/>
          <w:highlight w:val="none"/>
        </w:rPr>
        <w:t xml:space="preserve"> 日</w:t>
      </w:r>
    </w:p>
    <w:p>
      <w:pPr>
        <w:pStyle w:val="25"/>
        <w:ind w:left="0" w:leftChars="0" w:firstLine="0" w:firstLineChars="0"/>
        <w:rPr>
          <w:rFonts w:cs="宋体" w:asciiTheme="minorEastAsia" w:hAnsiTheme="minorEastAsia" w:eastAsiaTheme="minorEastAsia"/>
          <w:b/>
          <w:bCs/>
          <w:color w:val="auto"/>
          <w:kern w:val="0"/>
          <w:sz w:val="32"/>
          <w:szCs w:val="32"/>
          <w:highlight w:val="none"/>
        </w:rPr>
      </w:pPr>
    </w:p>
    <w:p>
      <w:pPr>
        <w:pStyle w:val="25"/>
        <w:ind w:firstLine="630"/>
        <w:rPr>
          <w:rFonts w:cs="宋体" w:asciiTheme="minorEastAsia" w:hAnsiTheme="minorEastAsia" w:eastAsiaTheme="minorEastAsia"/>
          <w:b/>
          <w:bCs/>
          <w:color w:val="auto"/>
          <w:kern w:val="0"/>
          <w:sz w:val="32"/>
          <w:szCs w:val="32"/>
          <w:highlight w:val="none"/>
        </w:rPr>
      </w:pPr>
    </w:p>
    <w:sdt>
      <w:sdtPr>
        <w:rPr>
          <w:rFonts w:hint="eastAsia" w:cs="宋体" w:asciiTheme="minorEastAsia" w:hAnsiTheme="minorEastAsia" w:eastAsiaTheme="minorEastAsia"/>
          <w:b w:val="0"/>
          <w:bCs w:val="0"/>
          <w:color w:val="auto"/>
          <w:kern w:val="2"/>
          <w:sz w:val="21"/>
          <w:szCs w:val="21"/>
          <w:highlight w:val="none"/>
          <w:lang w:val="zh-CN"/>
        </w:rPr>
        <w:id w:val="1243295833"/>
        <w:docPartObj>
          <w:docPartGallery w:val="Table of Contents"/>
          <w:docPartUnique/>
        </w:docPartObj>
      </w:sdtPr>
      <w:sdtEndPr>
        <w:rPr>
          <w:rFonts w:hint="default" w:cs="Times New Roman" w:asciiTheme="minorEastAsia" w:hAnsiTheme="minorEastAsia" w:eastAsiaTheme="minorEastAsia"/>
          <w:b w:val="0"/>
          <w:bCs w:val="0"/>
          <w:color w:val="auto"/>
          <w:kern w:val="2"/>
          <w:sz w:val="21"/>
          <w:szCs w:val="21"/>
          <w:highlight w:val="none"/>
          <w:lang w:val="zh-CN"/>
        </w:rPr>
      </w:sdtEndPr>
      <w:sdtContent>
        <w:p>
          <w:pPr>
            <w:pStyle w:val="65"/>
            <w:spacing w:before="0" w:line="240" w:lineRule="auto"/>
            <w:jc w:val="center"/>
            <w:rPr>
              <w:rFonts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lang w:val="zh-CN"/>
            </w:rPr>
            <w:t>目录</w:t>
          </w:r>
        </w:p>
        <w:p>
          <w:pPr>
            <w:pStyle w:val="19"/>
            <w:tabs>
              <w:tab w:val="right" w:leader="dot" w:pos="9069"/>
            </w:tabs>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fldChar w:fldCharType="begin"/>
          </w:r>
          <w:r>
            <w:rPr>
              <w:rFonts w:hint="eastAsia" w:cs="宋体" w:asciiTheme="minorEastAsia" w:hAnsiTheme="minorEastAsia" w:eastAsiaTheme="minorEastAsia"/>
              <w:color w:val="auto"/>
              <w:highlight w:val="none"/>
            </w:rPr>
            <w:instrText xml:space="preserve"> TOC \o "1-2" \h \z \u </w:instrText>
          </w:r>
          <w:r>
            <w:rPr>
              <w:rFonts w:hint="eastAsia" w:cs="宋体" w:asciiTheme="minorEastAsia" w:hAnsiTheme="minorEastAsia" w:eastAsiaTheme="minorEastAsia"/>
              <w:color w:val="auto"/>
              <w:highlight w:val="none"/>
            </w:rPr>
            <w:fldChar w:fldCharType="separate"/>
          </w:r>
          <w:r>
            <w:rPr>
              <w:color w:val="auto"/>
              <w:highlight w:val="none"/>
            </w:rPr>
            <w:fldChar w:fldCharType="begin"/>
          </w:r>
          <w:r>
            <w:rPr>
              <w:color w:val="auto"/>
              <w:highlight w:val="none"/>
            </w:rPr>
            <w:instrText xml:space="preserve"> HYPERLINK \l "_Toc31488"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第一章 比选公告</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rPr>
            <w:t>2</w:t>
          </w:r>
          <w:r>
            <w:rPr>
              <w:rFonts w:hint="eastAsia" w:cs="宋体" w:asciiTheme="minorEastAsia" w:hAnsiTheme="minorEastAsia" w:eastAsiaTheme="minorEastAsia"/>
              <w:color w:val="auto"/>
              <w:sz w:val="21"/>
              <w:szCs w:val="21"/>
              <w:highlight w:val="none"/>
            </w:rPr>
            <w:fldChar w:fldCharType="end"/>
          </w:r>
        </w:p>
        <w:p>
          <w:pPr>
            <w:pStyle w:val="19"/>
            <w:tabs>
              <w:tab w:val="right" w:leader="dot" w:pos="9069"/>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"_Toc7309"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第二章 比选申请须知</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rPr>
            <w:t>4</w:t>
          </w:r>
          <w:r>
            <w:rPr>
              <w:rFonts w:hint="eastAsia" w:cs="宋体" w:asciiTheme="minorEastAsia" w:hAnsiTheme="minorEastAsia" w:eastAsiaTheme="minorEastAsia"/>
              <w:color w:val="auto"/>
              <w:sz w:val="21"/>
              <w:szCs w:val="21"/>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"_Toc30604" </w:instrText>
          </w:r>
          <w:r>
            <w:rPr>
              <w:color w:val="auto"/>
              <w:highlight w:val="none"/>
            </w:rPr>
            <w:fldChar w:fldCharType="separate"/>
          </w:r>
          <w:r>
            <w:rPr>
              <w:rFonts w:hint="eastAsia" w:cs="宋体" w:asciiTheme="minorEastAsia" w:hAnsiTheme="minorEastAsia" w:eastAsiaTheme="minorEastAsia"/>
              <w:color w:val="auto"/>
              <w:szCs w:val="24"/>
              <w:highlight w:val="none"/>
            </w:rPr>
            <w:t>一、说明</w:t>
          </w:r>
          <w:r>
            <w:rPr>
              <w:rFonts w:hint="eastAsia" w:cs="宋体" w:asciiTheme="minorEastAsia" w:hAnsiTheme="minorEastAsia" w:eastAsiaTheme="minorEastAsia"/>
              <w:color w:val="auto"/>
              <w:highlight w:val="none"/>
            </w:rPr>
            <w:tab/>
          </w:r>
          <w:r>
            <w:rPr>
              <w:rFonts w:hint="eastAsia" w:cs="宋体" w:asciiTheme="minorEastAsia" w:hAnsiTheme="minorEastAsia" w:eastAsiaTheme="minorEastAsia"/>
              <w:color w:val="auto"/>
              <w:highlight w:val="none"/>
            </w:rPr>
            <w:t>6</w:t>
          </w:r>
          <w:r>
            <w:rPr>
              <w:rFonts w:hint="eastAsia" w:cs="宋体" w:asciiTheme="minorEastAsia" w:hAnsiTheme="minorEastAsia" w:eastAsiaTheme="minorEastAsia"/>
              <w:color w:val="auto"/>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"_Toc30347" </w:instrText>
          </w:r>
          <w:r>
            <w:rPr>
              <w:color w:val="auto"/>
              <w:highlight w:val="none"/>
            </w:rPr>
            <w:fldChar w:fldCharType="separate"/>
          </w:r>
          <w:r>
            <w:rPr>
              <w:rFonts w:hint="eastAsia" w:cs="宋体" w:asciiTheme="minorEastAsia" w:hAnsiTheme="minorEastAsia" w:eastAsiaTheme="minorEastAsia"/>
              <w:color w:val="auto"/>
              <w:szCs w:val="24"/>
              <w:highlight w:val="none"/>
            </w:rPr>
            <w:t>二、比选文件</w:t>
          </w:r>
          <w:r>
            <w:rPr>
              <w:rFonts w:hint="eastAsia" w:cs="宋体" w:asciiTheme="minorEastAsia" w:hAnsiTheme="minorEastAsia" w:eastAsiaTheme="minorEastAsia"/>
              <w:color w:val="auto"/>
              <w:highlight w:val="none"/>
            </w:rPr>
            <w:tab/>
          </w:r>
          <w:r>
            <w:rPr>
              <w:rFonts w:hint="eastAsia" w:cs="宋体" w:asciiTheme="minorEastAsia" w:hAnsiTheme="minorEastAsia" w:eastAsiaTheme="minorEastAsia"/>
              <w:color w:val="auto"/>
              <w:highlight w:val="none"/>
            </w:rPr>
            <w:t>7</w:t>
          </w:r>
          <w:r>
            <w:rPr>
              <w:rFonts w:hint="eastAsia" w:cs="宋体" w:asciiTheme="minorEastAsia" w:hAnsiTheme="minorEastAsia" w:eastAsiaTheme="minorEastAsia"/>
              <w:color w:val="auto"/>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"_Toc7373" </w:instrText>
          </w:r>
          <w:r>
            <w:rPr>
              <w:color w:val="auto"/>
              <w:highlight w:val="none"/>
            </w:rPr>
            <w:fldChar w:fldCharType="separate"/>
          </w:r>
          <w:r>
            <w:rPr>
              <w:rFonts w:hint="eastAsia" w:cs="宋体" w:asciiTheme="minorEastAsia" w:hAnsiTheme="minorEastAsia" w:eastAsiaTheme="minorEastAsia"/>
              <w:color w:val="auto"/>
              <w:szCs w:val="24"/>
              <w:highlight w:val="none"/>
            </w:rPr>
            <w:t>三、比选申请文件的编制</w:t>
          </w:r>
          <w:r>
            <w:rPr>
              <w:rFonts w:hint="eastAsia" w:cs="宋体" w:asciiTheme="minorEastAsia" w:hAnsiTheme="minorEastAsia" w:eastAsiaTheme="minorEastAsia"/>
              <w:color w:val="auto"/>
              <w:highlight w:val="none"/>
            </w:rPr>
            <w:tab/>
          </w:r>
          <w:r>
            <w:rPr>
              <w:rFonts w:hint="eastAsia" w:cs="宋体" w:asciiTheme="minorEastAsia" w:hAnsiTheme="minorEastAsia" w:eastAsiaTheme="minorEastAsia"/>
              <w:color w:val="auto"/>
              <w:highlight w:val="none"/>
            </w:rPr>
            <w:t>8</w:t>
          </w:r>
          <w:r>
            <w:rPr>
              <w:rFonts w:hint="eastAsia" w:cs="宋体" w:asciiTheme="minorEastAsia" w:hAnsiTheme="minorEastAsia" w:eastAsiaTheme="minorEastAsia"/>
              <w:color w:val="auto"/>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"_Toc1720" </w:instrText>
          </w:r>
          <w:r>
            <w:rPr>
              <w:color w:val="auto"/>
              <w:highlight w:val="none"/>
            </w:rPr>
            <w:fldChar w:fldCharType="separate"/>
          </w:r>
          <w:r>
            <w:rPr>
              <w:rFonts w:hint="eastAsia" w:cs="宋体" w:asciiTheme="minorEastAsia" w:hAnsiTheme="minorEastAsia" w:eastAsiaTheme="minorEastAsia"/>
              <w:color w:val="auto"/>
              <w:szCs w:val="24"/>
              <w:highlight w:val="none"/>
            </w:rPr>
            <w:t>四、比选申请文件的密封和递交</w:t>
          </w:r>
          <w:r>
            <w:rPr>
              <w:rFonts w:hint="eastAsia" w:cs="宋体" w:asciiTheme="minorEastAsia" w:hAnsiTheme="minorEastAsia" w:eastAsiaTheme="minorEastAsia"/>
              <w:color w:val="auto"/>
              <w:highlight w:val="none"/>
            </w:rPr>
            <w:tab/>
          </w:r>
          <w:r>
            <w:rPr>
              <w:rFonts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rPr>
            <w:t>0</w:t>
          </w:r>
          <w:r>
            <w:rPr>
              <w:rFonts w:hint="eastAsia" w:cs="宋体" w:asciiTheme="minorEastAsia" w:hAnsiTheme="minorEastAsia" w:eastAsiaTheme="minorEastAsia"/>
              <w:color w:val="auto"/>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"_Toc8077" </w:instrText>
          </w:r>
          <w:r>
            <w:rPr>
              <w:color w:val="auto"/>
              <w:highlight w:val="none"/>
            </w:rPr>
            <w:fldChar w:fldCharType="separate"/>
          </w:r>
          <w:r>
            <w:rPr>
              <w:rFonts w:hint="eastAsia" w:cs="宋体" w:asciiTheme="minorEastAsia" w:hAnsiTheme="minorEastAsia" w:eastAsiaTheme="minorEastAsia"/>
              <w:color w:val="auto"/>
              <w:szCs w:val="24"/>
              <w:highlight w:val="none"/>
            </w:rPr>
            <w:t>五、比选申请文件递交与评审</w:t>
          </w:r>
          <w:r>
            <w:rPr>
              <w:rFonts w:hint="eastAsia" w:cs="宋体" w:asciiTheme="minorEastAsia" w:hAnsiTheme="minorEastAsia" w:eastAsiaTheme="minorEastAsia"/>
              <w:color w:val="auto"/>
              <w:highlight w:val="none"/>
            </w:rPr>
            <w:tab/>
          </w:r>
          <w:r>
            <w:rPr>
              <w:rFonts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"_Toc19260" </w:instrText>
          </w:r>
          <w:r>
            <w:rPr>
              <w:color w:val="auto"/>
              <w:highlight w:val="none"/>
            </w:rPr>
            <w:fldChar w:fldCharType="separate"/>
          </w:r>
          <w:r>
            <w:rPr>
              <w:rFonts w:hint="eastAsia" w:cs="宋体" w:asciiTheme="minorEastAsia" w:hAnsiTheme="minorEastAsia" w:eastAsiaTheme="minorEastAsia"/>
              <w:color w:val="auto"/>
              <w:szCs w:val="24"/>
              <w:highlight w:val="none"/>
            </w:rPr>
            <w:t>六、授予合同</w:t>
          </w:r>
          <w:r>
            <w:rPr>
              <w:rFonts w:hint="eastAsia" w:cs="宋体" w:asciiTheme="minorEastAsia" w:hAnsiTheme="minorEastAsia" w:eastAsiaTheme="minorEastAsia"/>
              <w:color w:val="auto"/>
              <w:highlight w:val="none"/>
            </w:rPr>
            <w:tab/>
          </w:r>
          <w:r>
            <w:rPr>
              <w:rFonts w:cs="宋体" w:asciiTheme="minorEastAsia" w:hAnsiTheme="minorEastAsia" w:eastAsiaTheme="minorEastAsia"/>
              <w:color w:val="auto"/>
              <w:highlight w:val="none"/>
            </w:rPr>
            <w:t>14</w:t>
          </w:r>
          <w:r>
            <w:rPr>
              <w:rFonts w:cs="宋体" w:asciiTheme="minorEastAsia" w:hAnsiTheme="minorEastAsia" w:eastAsiaTheme="minorEastAsia"/>
              <w:color w:val="auto"/>
              <w:highlight w:val="none"/>
            </w:rPr>
            <w:fldChar w:fldCharType="end"/>
          </w:r>
        </w:p>
        <w:p>
          <w:pPr>
            <w:pStyle w:val="19"/>
            <w:tabs>
              <w:tab w:val="right" w:leader="dot" w:pos="9069"/>
            </w:tabs>
            <w:spacing w:line="360" w:lineRule="auto"/>
            <w:rPr>
              <w:rFonts w:cs="宋体" w:asciiTheme="minorEastAsia" w:hAnsiTheme="minorEastAsia" w:eastAsiaTheme="minorEastAsia"/>
              <w:color w:val="auto"/>
              <w:sz w:val="21"/>
              <w:szCs w:val="21"/>
              <w:highlight w:val="none"/>
            </w:rPr>
          </w:pPr>
          <w:r>
            <w:rPr>
              <w:color w:val="auto"/>
              <w:highlight w:val="none"/>
            </w:rPr>
            <w:fldChar w:fldCharType="begin"/>
          </w:r>
          <w:r>
            <w:rPr>
              <w:color w:val="auto"/>
              <w:highlight w:val="none"/>
            </w:rPr>
            <w:instrText xml:space="preserve"> HYPERLINK \l "_Toc4402"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第三章 合同条款及格式</w:t>
          </w:r>
          <w:r>
            <w:rPr>
              <w:rFonts w:hint="eastAsia" w:cs="宋体" w:asciiTheme="minorEastAsia" w:hAnsiTheme="minorEastAsia" w:eastAsiaTheme="minorEastAsia"/>
              <w:color w:val="auto"/>
              <w:sz w:val="21"/>
              <w:szCs w:val="21"/>
              <w:highlight w:val="none"/>
            </w:rPr>
            <w:tab/>
          </w:r>
          <w:r>
            <w:rPr>
              <w:rFonts w:cs="宋体" w:asciiTheme="minorEastAsia" w:hAnsiTheme="minorEastAsia" w:eastAsiaTheme="minorEastAsia"/>
              <w:color w:val="auto"/>
              <w:sz w:val="21"/>
              <w:szCs w:val="21"/>
              <w:highlight w:val="none"/>
            </w:rPr>
            <w:t>1</w:t>
          </w:r>
          <w:r>
            <w:rPr>
              <w:rFonts w:hint="eastAsia" w:cs="宋体" w:asciiTheme="minorEastAsia" w:hAnsiTheme="minorEastAsia" w:eastAsiaTheme="minorEastAsia"/>
              <w:color w:val="auto"/>
              <w:sz w:val="21"/>
              <w:szCs w:val="21"/>
              <w:highlight w:val="none"/>
            </w:rPr>
            <w:t>6</w:t>
          </w:r>
          <w:r>
            <w:rPr>
              <w:rFonts w:hint="eastAsia" w:cs="宋体" w:asciiTheme="minorEastAsia" w:hAnsiTheme="minorEastAsia" w:eastAsiaTheme="minorEastAsia"/>
              <w:color w:val="auto"/>
              <w:sz w:val="21"/>
              <w:szCs w:val="21"/>
              <w:highlight w:val="none"/>
            </w:rPr>
            <w:fldChar w:fldCharType="end"/>
          </w:r>
        </w:p>
        <w:p>
          <w:pPr>
            <w:spacing w:line="360" w:lineRule="auto"/>
            <w:rPr>
              <w:rFonts w:eastAsiaTheme="minorEastAsia"/>
              <w:color w:val="auto"/>
              <w:highlight w:val="none"/>
            </w:rPr>
          </w:pPr>
          <w:r>
            <w:rPr>
              <w:rFonts w:hint="eastAsia"/>
              <w:color w:val="auto"/>
              <w:highlight w:val="none"/>
            </w:rPr>
            <w:t xml:space="preserve"> </w:t>
          </w:r>
          <w:r>
            <w:rPr>
              <w:color w:val="auto"/>
              <w:highlight w:val="none"/>
            </w:rPr>
            <w:t xml:space="preserve">     </w:t>
          </w:r>
          <w:r>
            <w:rPr>
              <w:rFonts w:hint="eastAsia"/>
              <w:color w:val="auto"/>
              <w:highlight w:val="none"/>
            </w:rPr>
            <w:t xml:space="preserve">一、合同协议书 </w:t>
          </w:r>
          <w:r>
            <w:rPr>
              <w:color w:val="auto"/>
              <w:highlight w:val="none"/>
            </w:rPr>
            <w:t>. . . . . . . . . . . . . . . . . . . . . . . . . . . . . . . . . . . . . . . . . . . . . . . . . . . . . . . . . . . . . . . . . . .</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7</w:t>
          </w:r>
        </w:p>
        <w:p>
          <w:pPr>
            <w:pStyle w:val="25"/>
            <w:spacing w:line="276" w:lineRule="auto"/>
            <w:ind w:left="0" w:leftChars="0" w:firstLine="630" w:firstLineChars="300"/>
            <w:rPr>
              <w:rFonts w:eastAsia="宋体"/>
              <w:color w:val="auto"/>
              <w:sz w:val="21"/>
              <w:szCs w:val="21"/>
              <w:highlight w:val="none"/>
            </w:rPr>
          </w:pPr>
          <w:r>
            <w:rPr>
              <w:rFonts w:hint="eastAsia" w:asciiTheme="minorEastAsia" w:hAnsiTheme="minorEastAsia" w:eastAsiaTheme="minorEastAsia"/>
              <w:color w:val="auto"/>
              <w:sz w:val="21"/>
              <w:szCs w:val="21"/>
              <w:highlight w:val="none"/>
            </w:rPr>
            <w:t xml:space="preserve">二、合同条款 </w:t>
          </w:r>
          <w:r>
            <w:rPr>
              <w:color w:val="auto"/>
              <w:sz w:val="21"/>
              <w:szCs w:val="21"/>
              <w:highlight w:val="none"/>
            </w:rPr>
            <w:t>. . . . . . . . . . . . . . . . . . . . . . . . . . . . . . . . . . . . . . . . . . . . . . . . . . . . . . . . . . . . . . . . . . . . .</w:t>
          </w:r>
          <w:r>
            <w:rPr>
              <w:rFonts w:hint="eastAsia" w:ascii="宋体" w:hAnsi="宋体" w:eastAsia="宋体" w:cs="宋体"/>
              <w:color w:val="auto"/>
              <w:sz w:val="21"/>
              <w:szCs w:val="21"/>
              <w:highlight w:val="none"/>
            </w:rPr>
            <w:t>19</w:t>
          </w:r>
        </w:p>
        <w:p>
          <w:pPr>
            <w:pStyle w:val="19"/>
            <w:tabs>
              <w:tab w:val="right" w:leader="dot" w:pos="9069"/>
            </w:tabs>
            <w:spacing w:line="360" w:lineRule="auto"/>
            <w:rPr>
              <w:rFonts w:hint="eastAsia" w:cs="宋体" w:asciiTheme="minorEastAsia" w:hAnsiTheme="minorEastAsia" w:eastAsiaTheme="minorEastAsia"/>
              <w:color w:val="auto"/>
              <w:highlight w:val="none"/>
              <w:lang w:eastAsia="zh-CN"/>
            </w:rPr>
          </w:pPr>
          <w:r>
            <w:rPr>
              <w:color w:val="auto"/>
              <w:highlight w:val="none"/>
            </w:rPr>
            <w:fldChar w:fldCharType="begin"/>
          </w:r>
          <w:r>
            <w:rPr>
              <w:color w:val="auto"/>
              <w:highlight w:val="none"/>
            </w:rPr>
            <w:instrText xml:space="preserve"> HYPERLINK \l "_Toc6674"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第四章 比选申请文件格式</w:t>
          </w:r>
          <w:r>
            <w:rPr>
              <w:rFonts w:hint="eastAsia" w:cs="宋体" w:asciiTheme="minorEastAsia" w:hAnsiTheme="minorEastAsia" w:eastAsiaTheme="minorEastAsia"/>
              <w:color w:val="auto"/>
              <w:sz w:val="21"/>
              <w:szCs w:val="21"/>
              <w:highlight w:val="none"/>
            </w:rPr>
            <w:tab/>
          </w:r>
          <w:r>
            <w:rPr>
              <w:rFonts w:cs="宋体"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5</w:t>
          </w:r>
        </w:p>
        <w:p>
          <w:pPr>
            <w:pStyle w:val="19"/>
            <w:tabs>
              <w:tab w:val="right" w:leader="dot" w:pos="9069"/>
            </w:tabs>
            <w:spacing w:line="360" w:lineRule="auto"/>
            <w:ind w:firstLine="560" w:firstLineChars="200"/>
            <w:rPr>
              <w:rFonts w:hint="eastAsia" w:cs="宋体" w:asciiTheme="minorEastAsia" w:hAnsiTheme="minorEastAsia" w:eastAsiaTheme="minorEastAsia"/>
              <w:color w:val="auto"/>
              <w:highlight w:val="none"/>
              <w:lang w:eastAsia="zh-CN"/>
            </w:rPr>
          </w:pPr>
          <w:r>
            <w:rPr>
              <w:color w:val="auto"/>
              <w:highlight w:val="none"/>
            </w:rPr>
            <w:fldChar w:fldCharType="begin"/>
          </w:r>
          <w:r>
            <w:rPr>
              <w:color w:val="auto"/>
              <w:highlight w:val="none"/>
            </w:rPr>
            <w:instrText xml:space="preserve"> HYPERLINK \l "_Toc6674" </w:instrText>
          </w:r>
          <w:r>
            <w:rPr>
              <w:color w:val="auto"/>
              <w:highlight w:val="none"/>
            </w:rPr>
            <w:fldChar w:fldCharType="separate"/>
          </w:r>
          <w:r>
            <w:rPr>
              <w:rFonts w:hint="eastAsia" w:cs="宋体" w:asciiTheme="minorEastAsia" w:hAnsiTheme="minorEastAsia" w:eastAsiaTheme="minorEastAsia"/>
              <w:color w:val="auto"/>
              <w:sz w:val="21"/>
              <w:szCs w:val="21"/>
              <w:highlight w:val="none"/>
            </w:rPr>
            <w:t>A</w:t>
          </w:r>
          <w:r>
            <w:rPr>
              <w:rFonts w:cs="宋体" w:asciiTheme="minorEastAsia" w:hAnsiTheme="minorEastAsia" w:eastAsiaTheme="minorEastAsia"/>
              <w:color w:val="auto"/>
              <w:sz w:val="21"/>
              <w:szCs w:val="21"/>
              <w:highlight w:val="none"/>
            </w:rPr>
            <w:t xml:space="preserve"> </w:t>
          </w:r>
          <w:r>
            <w:rPr>
              <w:rFonts w:hint="eastAsia" w:cs="宋体" w:asciiTheme="minorEastAsia" w:hAnsiTheme="minorEastAsia" w:eastAsiaTheme="minorEastAsia"/>
              <w:color w:val="auto"/>
              <w:sz w:val="21"/>
              <w:szCs w:val="21"/>
              <w:highlight w:val="none"/>
            </w:rPr>
            <w:t>资格审查文件</w:t>
          </w:r>
          <w:r>
            <w:rPr>
              <w:rFonts w:hint="eastAsia" w:cs="宋体" w:asciiTheme="minorEastAsia" w:hAnsiTheme="minorEastAsia" w:eastAsiaTheme="minorEastAsia"/>
              <w:color w:val="auto"/>
              <w:sz w:val="21"/>
              <w:szCs w:val="21"/>
              <w:highlight w:val="none"/>
            </w:rPr>
            <w:tab/>
          </w:r>
          <w:r>
            <w:rPr>
              <w:rFonts w:cs="宋体"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5</w:t>
          </w:r>
        </w:p>
        <w:p>
          <w:pPr>
            <w:pStyle w:val="19"/>
            <w:tabs>
              <w:tab w:val="right" w:leader="dot" w:pos="9069"/>
            </w:tabs>
            <w:spacing w:line="360" w:lineRule="auto"/>
            <w:ind w:firstLine="560" w:firstLineChars="200"/>
            <w:rPr>
              <w:rFonts w:hint="eastAsia" w:cs="宋体" w:asciiTheme="minorEastAsia" w:hAnsiTheme="minorEastAsia" w:eastAsiaTheme="minorEastAsia"/>
              <w:color w:val="auto"/>
              <w:sz w:val="21"/>
              <w:szCs w:val="21"/>
              <w:highlight w:val="none"/>
              <w:lang w:eastAsia="zh-CN"/>
            </w:rPr>
          </w:pPr>
          <w:r>
            <w:rPr>
              <w:color w:val="auto"/>
              <w:highlight w:val="none"/>
            </w:rPr>
            <w:fldChar w:fldCharType="begin"/>
          </w:r>
          <w:r>
            <w:rPr>
              <w:color w:val="auto"/>
              <w:highlight w:val="none"/>
            </w:rPr>
            <w:instrText xml:space="preserve"> HYPERLINK \l "_Toc8077" </w:instrText>
          </w:r>
          <w:r>
            <w:rPr>
              <w:color w:val="auto"/>
              <w:highlight w:val="none"/>
            </w:rPr>
            <w:fldChar w:fldCharType="separate"/>
          </w:r>
          <w:r>
            <w:rPr>
              <w:rFonts w:hint="eastAsia" w:cs="宋体" w:asciiTheme="minorEastAsia" w:hAnsiTheme="minorEastAsia" w:eastAsiaTheme="minorEastAsia"/>
              <w:color w:val="auto"/>
              <w:sz w:val="21"/>
              <w:szCs w:val="21"/>
              <w:highlight w:val="none"/>
            </w:rPr>
            <w:t>B</w:t>
          </w:r>
          <w:r>
            <w:rPr>
              <w:rFonts w:cs="宋体" w:asciiTheme="minorEastAsia" w:hAnsiTheme="minorEastAsia" w:eastAsiaTheme="minorEastAsia"/>
              <w:color w:val="auto"/>
              <w:sz w:val="21"/>
              <w:szCs w:val="21"/>
              <w:highlight w:val="none"/>
            </w:rPr>
            <w:t xml:space="preserve"> </w:t>
          </w:r>
          <w:r>
            <w:rPr>
              <w:rFonts w:hint="eastAsia" w:cs="宋体" w:asciiTheme="minorEastAsia" w:hAnsiTheme="minorEastAsia" w:eastAsiaTheme="minorEastAsia"/>
              <w:color w:val="auto"/>
              <w:sz w:val="21"/>
              <w:szCs w:val="21"/>
              <w:highlight w:val="none"/>
            </w:rPr>
            <w:t>价格文件</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rPr>
            <w:t>2</w:t>
          </w:r>
          <w:r>
            <w:rPr>
              <w:rFonts w:hint="eastAsia"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9</w:t>
          </w:r>
        </w:p>
        <w:p>
          <w:pPr>
            <w:pStyle w:val="19"/>
            <w:tabs>
              <w:tab w:val="right" w:leader="dot" w:pos="9069"/>
            </w:tabs>
            <w:spacing w:line="360" w:lineRule="auto"/>
            <w:ind w:firstLine="560" w:firstLineChars="200"/>
            <w:rPr>
              <w:rFonts w:hint="eastAsia" w:cs="宋体" w:asciiTheme="minorEastAsia" w:hAnsiTheme="minorEastAsia" w:eastAsiaTheme="minorEastAsia"/>
              <w:color w:val="auto"/>
              <w:sz w:val="21"/>
              <w:szCs w:val="21"/>
              <w:highlight w:val="none"/>
              <w:lang w:eastAsia="zh-CN"/>
            </w:rPr>
          </w:pPr>
          <w:r>
            <w:rPr>
              <w:color w:val="auto"/>
              <w:highlight w:val="none"/>
            </w:rPr>
            <w:fldChar w:fldCharType="begin"/>
          </w:r>
          <w:r>
            <w:rPr>
              <w:color w:val="auto"/>
              <w:highlight w:val="none"/>
            </w:rPr>
            <w:instrText xml:space="preserve"> HYPERLINK \l "_Toc8077" </w:instrText>
          </w:r>
          <w:r>
            <w:rPr>
              <w:color w:val="auto"/>
              <w:highlight w:val="none"/>
            </w:rPr>
            <w:fldChar w:fldCharType="separate"/>
          </w:r>
          <w:r>
            <w:rPr>
              <w:rFonts w:cs="宋体" w:asciiTheme="minorEastAsia" w:hAnsiTheme="minorEastAsia" w:eastAsiaTheme="minorEastAsia"/>
              <w:color w:val="auto"/>
              <w:sz w:val="21"/>
              <w:szCs w:val="21"/>
              <w:highlight w:val="none"/>
            </w:rPr>
            <w:t xml:space="preserve">C </w:t>
          </w:r>
          <w:r>
            <w:rPr>
              <w:rFonts w:hint="eastAsia" w:cs="宋体" w:asciiTheme="minorEastAsia" w:hAnsiTheme="minorEastAsia" w:eastAsiaTheme="minorEastAsia"/>
              <w:color w:val="auto"/>
              <w:sz w:val="21"/>
              <w:szCs w:val="21"/>
              <w:highlight w:val="none"/>
            </w:rPr>
            <w:t>技术文件</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3</w:t>
          </w:r>
        </w:p>
        <w:p>
          <w:pPr>
            <w:pStyle w:val="19"/>
            <w:tabs>
              <w:tab w:val="right" w:leader="dot" w:pos="9069"/>
            </w:tabs>
            <w:spacing w:line="360" w:lineRule="auto"/>
            <w:rPr>
              <w:rFonts w:hint="eastAsia" w:cs="宋体" w:asciiTheme="minorEastAsia" w:hAnsiTheme="minorEastAsia" w:eastAsiaTheme="minorEastAsia"/>
              <w:color w:val="auto"/>
              <w:sz w:val="21"/>
              <w:szCs w:val="21"/>
              <w:highlight w:val="none"/>
              <w:lang w:eastAsia="zh-CN"/>
            </w:rPr>
          </w:pPr>
          <w:r>
            <w:rPr>
              <w:color w:val="auto"/>
              <w:highlight w:val="none"/>
            </w:rPr>
            <w:fldChar w:fldCharType="begin"/>
          </w:r>
          <w:r>
            <w:rPr>
              <w:color w:val="auto"/>
              <w:highlight w:val="none"/>
            </w:rPr>
            <w:instrText xml:space="preserve"> HYPERLINK \l "_Toc8077"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第五章 用户需求书</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6</w:t>
          </w:r>
        </w:p>
        <w:p>
          <w:pPr>
            <w:pStyle w:val="19"/>
            <w:tabs>
              <w:tab w:val="right" w:leader="dot" w:pos="9069"/>
            </w:tabs>
            <w:spacing w:line="360" w:lineRule="auto"/>
            <w:rPr>
              <w:rFonts w:hint="eastAsia" w:cs="宋体" w:asciiTheme="minorEastAsia" w:hAnsiTheme="minorEastAsia" w:eastAsiaTheme="minorEastAsia"/>
              <w:color w:val="auto"/>
              <w:sz w:val="21"/>
              <w:szCs w:val="21"/>
              <w:highlight w:val="none"/>
              <w:lang w:eastAsia="zh-CN"/>
            </w:rPr>
          </w:pPr>
          <w:r>
            <w:rPr>
              <w:color w:val="auto"/>
              <w:highlight w:val="none"/>
            </w:rPr>
            <w:fldChar w:fldCharType="begin"/>
          </w:r>
          <w:r>
            <w:rPr>
              <w:color w:val="auto"/>
              <w:highlight w:val="none"/>
            </w:rPr>
            <w:instrText xml:space="preserve"> HYPERLINK \l "_Toc4402"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第六章 评分办法</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lang w:val="en-US" w:eastAsia="zh-CN"/>
            </w:rPr>
            <w:t>5</w:t>
          </w:r>
          <w:r>
            <w:rPr>
              <w:rFonts w:hint="eastAsia"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1</w:t>
          </w:r>
        </w:p>
        <w:p>
          <w:pPr>
            <w:spacing w:line="360" w:lineRule="auto"/>
            <w:rPr>
              <w:rFonts w:hint="default" w:eastAsia="宋体"/>
              <w:color w:val="auto"/>
              <w:highlight w:val="none"/>
              <w:lang w:val="en-US" w:eastAsia="zh-CN"/>
            </w:rPr>
          </w:pPr>
          <w:r>
            <w:rPr>
              <w:rFonts w:hint="eastAsia"/>
              <w:color w:val="auto"/>
              <w:highlight w:val="none"/>
            </w:rPr>
            <w:t xml:space="preserve"> </w:t>
          </w:r>
          <w:r>
            <w:rPr>
              <w:color w:val="auto"/>
              <w:highlight w:val="none"/>
            </w:rPr>
            <w:t xml:space="preserve">     </w:t>
          </w:r>
          <w:r>
            <w:rPr>
              <w:rFonts w:hint="eastAsia"/>
              <w:color w:val="auto"/>
              <w:highlight w:val="none"/>
            </w:rPr>
            <w:t xml:space="preserve">一、评审原则 </w:t>
          </w:r>
          <w:r>
            <w:rPr>
              <w:color w:val="auto"/>
              <w:highlight w:val="none"/>
            </w:rPr>
            <w:t>. . . . . . . . . . . . . . . . . . . . . . . . . . . . . . . . . . . . . . . . . . . . . . . . . . . . . . . . . . . . . . . . . . . . .</w:t>
          </w:r>
          <w:r>
            <w:rPr>
              <w:rFonts w:hint="eastAsia" w:ascii="宋体" w:hAnsi="宋体" w:cs="宋体"/>
              <w:color w:val="auto"/>
              <w:highlight w:val="none"/>
              <w:lang w:val="en-US" w:eastAsia="zh-CN"/>
            </w:rPr>
            <w:t>51</w:t>
          </w:r>
        </w:p>
        <w:p>
          <w:pPr>
            <w:pStyle w:val="25"/>
            <w:spacing w:line="276" w:lineRule="auto"/>
            <w:ind w:left="0" w:leftChars="0" w:firstLine="630" w:firstLineChars="300"/>
            <w:rPr>
              <w:rFonts w:hint="default" w:eastAsia="宋体"/>
              <w:color w:val="auto"/>
              <w:sz w:val="21"/>
              <w:szCs w:val="21"/>
              <w:highlight w:val="none"/>
              <w:lang w:val="en-US" w:eastAsia="zh-CN"/>
            </w:rPr>
          </w:pPr>
          <w:r>
            <w:rPr>
              <w:rFonts w:hint="eastAsia" w:asciiTheme="minorEastAsia" w:hAnsiTheme="minorEastAsia" w:eastAsiaTheme="minorEastAsia"/>
              <w:color w:val="auto"/>
              <w:sz w:val="21"/>
              <w:szCs w:val="21"/>
              <w:highlight w:val="none"/>
            </w:rPr>
            <w:t xml:space="preserve">二、评定方法 </w:t>
          </w:r>
          <w:r>
            <w:rPr>
              <w:color w:val="auto"/>
              <w:sz w:val="21"/>
              <w:szCs w:val="21"/>
              <w:highlight w:val="none"/>
            </w:rPr>
            <w:t>. . . . . . . . . . . . . . . . . . . . . . . . . . . . . . . . . . . . . . . . . . . . . . . . . . . . . . . . . . . . . . . . . . . . .</w:t>
          </w:r>
          <w:r>
            <w:rPr>
              <w:rFonts w:hint="eastAsia" w:asciiTheme="minorEastAsia" w:hAnsiTheme="minorEastAsia" w:eastAsiaTheme="minorEastAsia"/>
              <w:color w:val="auto"/>
              <w:sz w:val="21"/>
              <w:szCs w:val="21"/>
              <w:highlight w:val="none"/>
              <w:lang w:val="en-US" w:eastAsia="zh-CN"/>
            </w:rPr>
            <w:t>51</w:t>
          </w:r>
        </w:p>
        <w:p>
          <w:pPr>
            <w:pStyle w:val="25"/>
            <w:spacing w:line="276" w:lineRule="auto"/>
            <w:ind w:left="0" w:leftChars="0" w:firstLine="630" w:firstLineChars="300"/>
            <w:rPr>
              <w:rFonts w:hint="eastAsia" w:eastAsiaTheme="minorEastAsia"/>
              <w:color w:val="auto"/>
              <w:sz w:val="21"/>
              <w:szCs w:val="21"/>
              <w:highlight w:val="none"/>
              <w:lang w:eastAsia="zh-CN"/>
            </w:rPr>
          </w:pPr>
          <w:r>
            <w:rPr>
              <w:rFonts w:hint="eastAsia" w:asciiTheme="minorEastAsia" w:hAnsiTheme="minorEastAsia" w:eastAsiaTheme="minorEastAsia"/>
              <w:color w:val="auto"/>
              <w:sz w:val="21"/>
              <w:szCs w:val="21"/>
              <w:highlight w:val="none"/>
            </w:rPr>
            <w:t>三、评审流程</w:t>
          </w:r>
          <w:r>
            <w:rPr>
              <w:rFonts w:asciiTheme="minorEastAsia" w:hAnsiTheme="minorEastAsia" w:eastAsiaTheme="minorEastAsia"/>
              <w:color w:val="auto"/>
              <w:sz w:val="21"/>
              <w:szCs w:val="21"/>
              <w:highlight w:val="none"/>
            </w:rPr>
            <w:t xml:space="preserve"> ...</w:t>
          </w:r>
          <w:r>
            <w:rPr>
              <w:color w:val="auto"/>
              <w:sz w:val="21"/>
              <w:szCs w:val="21"/>
              <w:highlight w:val="none"/>
            </w:rPr>
            <w:t xml:space="preserve">. . . . . . . . . . . . . . . . . . . . . . . . . . . . . . . . . . . . . . . . . . . . . . . . . . . . . . . . . . . . . . . . . </w:t>
          </w:r>
          <w:r>
            <w:rPr>
              <w:rFonts w:hint="eastAsia"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lang w:val="en-US" w:eastAsia="zh-CN"/>
            </w:rPr>
            <w:t>1</w:t>
          </w:r>
        </w:p>
        <w:p>
          <w:pPr>
            <w:pStyle w:val="19"/>
            <w:tabs>
              <w:tab w:val="right" w:leader="dot" w:pos="9069"/>
            </w:tabs>
            <w:spacing w:line="360" w:lineRule="auto"/>
            <w:rPr>
              <w:rFonts w:cs="宋体" w:asciiTheme="minorEastAsia" w:hAnsiTheme="minorEastAsia" w:eastAsiaTheme="minorEastAsia"/>
              <w:color w:val="auto"/>
              <w:highlight w:val="none"/>
            </w:rPr>
          </w:pPr>
        </w:p>
        <w:p>
          <w:pPr>
            <w:pStyle w:val="21"/>
            <w:tabs>
              <w:tab w:val="right" w:leader="dot" w:pos="9069"/>
              <w:tab w:val="clear" w:pos="9061"/>
            </w:tabs>
            <w:spacing w:line="360" w:lineRule="auto"/>
            <w:rPr>
              <w:rFonts w:cs="宋体" w:asciiTheme="minorEastAsia" w:hAnsiTheme="minorEastAsia" w:eastAsiaTheme="minorEastAsia"/>
              <w:color w:val="auto"/>
              <w:highlight w:val="none"/>
            </w:rPr>
          </w:pPr>
        </w:p>
        <w:p>
          <w:pPr>
            <w:jc w:val="center"/>
            <w:rPr>
              <w:rFonts w:asciiTheme="minorEastAsia" w:hAnsiTheme="minorEastAsia" w:eastAsiaTheme="minorEastAsia"/>
              <w:color w:val="auto"/>
              <w:szCs w:val="21"/>
              <w:highlight w:val="none"/>
              <w:lang w:val="zh-CN"/>
            </w:rPr>
          </w:pPr>
          <w:r>
            <w:rPr>
              <w:rFonts w:hint="eastAsia" w:cs="宋体" w:asciiTheme="minorEastAsia" w:hAnsiTheme="minorEastAsia" w:eastAsiaTheme="minorEastAsia"/>
              <w:color w:val="auto"/>
              <w:highlight w:val="none"/>
            </w:rPr>
            <w:fldChar w:fldCharType="end"/>
          </w:r>
        </w:p>
      </w:sdtContent>
    </w:sdt>
    <w:p>
      <w:pPr>
        <w:pStyle w:val="25"/>
        <w:ind w:firstLine="470"/>
        <w:rPr>
          <w:rFonts w:asciiTheme="minorEastAsia" w:hAnsiTheme="minorEastAsia" w:eastAsiaTheme="minorEastAsia"/>
          <w:color w:val="auto"/>
          <w:highlight w:val="none"/>
        </w:rPr>
      </w:pPr>
    </w:p>
    <w:p>
      <w:pPr>
        <w:pStyle w:val="25"/>
        <w:ind w:firstLine="470"/>
        <w:rPr>
          <w:rFonts w:asciiTheme="minorEastAsia" w:hAnsiTheme="minorEastAsia" w:eastAsiaTheme="minorEastAsia"/>
          <w:color w:val="auto"/>
          <w:highlight w:val="none"/>
        </w:rPr>
      </w:pPr>
    </w:p>
    <w:p>
      <w:pPr>
        <w:jc w:val="center"/>
        <w:rPr>
          <w:rFonts w:cs="宋体" w:asciiTheme="minorEastAsia" w:hAnsiTheme="minorEastAsia" w:eastAsiaTheme="minorEastAsia"/>
          <w:b/>
          <w:bCs/>
          <w:color w:val="auto"/>
          <w:kern w:val="0"/>
          <w:sz w:val="32"/>
          <w:szCs w:val="32"/>
          <w:highlight w:val="none"/>
        </w:rPr>
      </w:pPr>
    </w:p>
    <w:p>
      <w:pPr>
        <w:rPr>
          <w:rFonts w:cs="宋体" w:asciiTheme="minorEastAsia" w:hAnsiTheme="minorEastAsia" w:eastAsiaTheme="minorEastAsia"/>
          <w:b/>
          <w:bCs/>
          <w:color w:val="auto"/>
          <w:kern w:val="0"/>
          <w:sz w:val="32"/>
          <w:szCs w:val="32"/>
          <w:highlight w:val="none"/>
        </w:rPr>
      </w:pPr>
    </w:p>
    <w:p>
      <w:pPr>
        <w:pStyle w:val="25"/>
        <w:ind w:left="0" w:leftChars="0" w:firstLine="0" w:firstLineChars="0"/>
        <w:rPr>
          <w:rFonts w:cs="宋体" w:asciiTheme="minorEastAsia" w:hAnsiTheme="minorEastAsia" w:eastAsiaTheme="minorEastAsia"/>
          <w:b/>
          <w:bCs/>
          <w:color w:val="auto"/>
          <w:kern w:val="0"/>
          <w:sz w:val="32"/>
          <w:szCs w:val="32"/>
          <w:highlight w:val="none"/>
        </w:rPr>
      </w:pPr>
    </w:p>
    <w:p>
      <w:pPr>
        <w:jc w:val="center"/>
        <w:rPr>
          <w:rFonts w:cs="宋体" w:asciiTheme="minorEastAsia" w:hAnsiTheme="minorEastAsia" w:eastAsiaTheme="minorEastAsia"/>
          <w:b/>
          <w:bCs/>
          <w:color w:val="auto"/>
          <w:kern w:val="0"/>
          <w:sz w:val="32"/>
          <w:szCs w:val="32"/>
          <w:highlight w:val="none"/>
        </w:rPr>
      </w:pPr>
    </w:p>
    <w:p>
      <w:pPr>
        <w:pStyle w:val="6"/>
        <w:rPr>
          <w:color w:val="auto"/>
          <w:highlight w:val="none"/>
        </w:rPr>
      </w:pPr>
    </w:p>
    <w:p>
      <w:pPr>
        <w:jc w:val="center"/>
        <w:rPr>
          <w:rFonts w:cs="宋体" w:asciiTheme="minorEastAsia" w:hAnsiTheme="minorEastAsia" w:eastAsiaTheme="minorEastAsia"/>
          <w:b/>
          <w:bCs/>
          <w:color w:val="auto"/>
          <w:kern w:val="0"/>
          <w:sz w:val="32"/>
          <w:szCs w:val="32"/>
          <w:highlight w:val="none"/>
        </w:rPr>
      </w:pPr>
      <w:r>
        <w:rPr>
          <w:rFonts w:hint="eastAsia" w:cs="宋体" w:asciiTheme="minorEastAsia" w:hAnsiTheme="minorEastAsia" w:eastAsiaTheme="minorEastAsia"/>
          <w:b/>
          <w:bCs/>
          <w:color w:val="auto"/>
          <w:kern w:val="0"/>
          <w:sz w:val="32"/>
          <w:szCs w:val="32"/>
          <w:highlight w:val="none"/>
        </w:rPr>
        <w:t>第一章 比选公告</w:t>
      </w:r>
    </w:p>
    <w:p>
      <w:pPr>
        <w:jc w:val="center"/>
        <w:rPr>
          <w:rFonts w:cs="宋体" w:asciiTheme="minorEastAsia" w:hAnsiTheme="minorEastAsia" w:eastAsiaTheme="minorEastAsia"/>
          <w:b/>
          <w:bCs/>
          <w:color w:val="auto"/>
          <w:kern w:val="0"/>
          <w:sz w:val="32"/>
          <w:szCs w:val="32"/>
          <w:highlight w:val="none"/>
        </w:rPr>
      </w:pPr>
    </w:p>
    <w:p>
      <w:pPr>
        <w:jc w:val="center"/>
        <w:rPr>
          <w:rFonts w:cs="宋体" w:asciiTheme="minorEastAsia" w:hAnsiTheme="minorEastAsia" w:eastAsiaTheme="minorEastAsia"/>
          <w:b/>
          <w:bCs/>
          <w:color w:val="auto"/>
          <w:kern w:val="0"/>
          <w:sz w:val="32"/>
          <w:szCs w:val="32"/>
          <w:highlight w:val="none"/>
        </w:rPr>
      </w:pPr>
      <w:r>
        <w:rPr>
          <w:rFonts w:hint="eastAsia" w:cs="宋体" w:asciiTheme="minorEastAsia" w:hAnsiTheme="minorEastAsia" w:eastAsiaTheme="minorEastAsia"/>
          <w:b/>
          <w:bCs/>
          <w:color w:val="auto"/>
          <w:kern w:val="0"/>
          <w:sz w:val="32"/>
          <w:szCs w:val="32"/>
          <w:highlight w:val="none"/>
        </w:rPr>
        <w:t>南宁轨道交通运营有限公司</w:t>
      </w:r>
    </w:p>
    <w:p>
      <w:pPr>
        <w:jc w:val="center"/>
        <w:rPr>
          <w:rFonts w:cs="宋体" w:asciiTheme="minorEastAsia" w:hAnsiTheme="minorEastAsia" w:eastAsiaTheme="minorEastAsia"/>
          <w:b/>
          <w:bCs/>
          <w:color w:val="auto"/>
          <w:kern w:val="0"/>
          <w:sz w:val="32"/>
          <w:szCs w:val="32"/>
          <w:highlight w:val="none"/>
        </w:rPr>
      </w:pPr>
      <w:r>
        <w:rPr>
          <w:rFonts w:hint="eastAsia" w:cs="宋体" w:asciiTheme="minorEastAsia" w:hAnsiTheme="minorEastAsia" w:eastAsiaTheme="minorEastAsia"/>
          <w:b/>
          <w:bCs/>
          <w:color w:val="auto"/>
          <w:kern w:val="0"/>
          <w:sz w:val="32"/>
          <w:szCs w:val="32"/>
          <w:highlight w:val="none"/>
        </w:rPr>
        <w:t>员工食堂除“四害”消杀服务采购项目比选公告</w:t>
      </w:r>
    </w:p>
    <w:p>
      <w:pPr>
        <w:spacing w:line="360" w:lineRule="auto"/>
        <w:ind w:firstLine="422" w:firstLineChars="200"/>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1.比选条件</w:t>
      </w:r>
    </w:p>
    <w:p>
      <w:pPr>
        <w:spacing w:line="360" w:lineRule="auto"/>
        <w:ind w:firstLine="420" w:firstLineChars="200"/>
        <w:outlineLvl w:val="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本比选项目</w:t>
      </w:r>
      <w:r>
        <w:rPr>
          <w:rFonts w:hint="eastAsia" w:cs="宋体" w:asciiTheme="minorEastAsia" w:hAnsiTheme="minorEastAsia" w:eastAsiaTheme="minorEastAsia"/>
          <w:color w:val="auto"/>
          <w:szCs w:val="21"/>
          <w:highlight w:val="none"/>
          <w:u w:val="single"/>
        </w:rPr>
        <w:t xml:space="preserve"> 南宁轨道交通运营有限公司员工食堂除“四害”消杀服务采购项目 </w:t>
      </w:r>
      <w:r>
        <w:rPr>
          <w:rFonts w:hint="eastAsia" w:cs="宋体" w:asciiTheme="minorEastAsia" w:hAnsiTheme="minorEastAsia" w:eastAsiaTheme="minorEastAsia"/>
          <w:color w:val="auto"/>
          <w:szCs w:val="21"/>
          <w:highlight w:val="none"/>
        </w:rPr>
        <w:t>比选人为</w:t>
      </w:r>
      <w:r>
        <w:rPr>
          <w:rFonts w:hint="eastAsia" w:cs="宋体" w:asciiTheme="minorEastAsia" w:hAnsiTheme="minorEastAsia" w:eastAsiaTheme="minorEastAsia"/>
          <w:color w:val="auto"/>
          <w:szCs w:val="21"/>
          <w:highlight w:val="none"/>
          <w:u w:val="single"/>
        </w:rPr>
        <w:t xml:space="preserve"> 南宁轨道交通运营有限公司</w:t>
      </w:r>
      <w:r>
        <w:rPr>
          <w:rFonts w:hint="eastAsia" w:cs="宋体" w:asciiTheme="minorEastAsia" w:hAnsiTheme="minorEastAsia" w:eastAsiaTheme="minorEastAsia"/>
          <w:color w:val="auto"/>
          <w:szCs w:val="21"/>
          <w:highlight w:val="none"/>
        </w:rPr>
        <w:t>，比选项目资金来源为企业自有资金。</w:t>
      </w:r>
    </w:p>
    <w:p>
      <w:pPr>
        <w:spacing w:line="360" w:lineRule="auto"/>
        <w:ind w:firstLine="422" w:firstLineChars="200"/>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2.项目概况与比选范围</w:t>
      </w:r>
    </w:p>
    <w:p>
      <w:pPr>
        <w:spacing w:line="360" w:lineRule="auto"/>
        <w:ind w:firstLine="420" w:firstLineChars="200"/>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2.1项目编号：</w:t>
      </w:r>
      <w:r>
        <w:rPr>
          <w:rFonts w:hint="eastAsia" w:cs="宋体" w:asciiTheme="minorEastAsia" w:hAnsiTheme="minorEastAsia" w:eastAsiaTheme="minorEastAsia"/>
          <w:color w:val="auto"/>
          <w:szCs w:val="21"/>
          <w:highlight w:val="none"/>
          <w:u w:val="single"/>
        </w:rPr>
        <w:t xml:space="preserve">   202208030003   </w:t>
      </w:r>
    </w:p>
    <w:p>
      <w:pPr>
        <w:spacing w:line="360" w:lineRule="auto"/>
        <w:ind w:firstLine="420" w:firstLineChars="200"/>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2.2项目名称：</w:t>
      </w:r>
      <w:r>
        <w:rPr>
          <w:rFonts w:hint="eastAsia" w:cs="宋体" w:asciiTheme="minorEastAsia" w:hAnsiTheme="minorEastAsia" w:eastAsiaTheme="minorEastAsia"/>
          <w:color w:val="auto"/>
          <w:szCs w:val="21"/>
          <w:highlight w:val="none"/>
          <w:u w:val="single"/>
        </w:rPr>
        <w:t>南宁轨道交通运营有限公司员工食堂除“四害”消杀服务采购项目</w:t>
      </w:r>
    </w:p>
    <w:p>
      <w:pPr>
        <w:spacing w:line="360" w:lineRule="auto"/>
        <w:ind w:firstLine="420" w:firstLineChars="200"/>
        <w:rPr>
          <w:rFonts w:cs="宋体" w:asciiTheme="minorEastAsia" w:hAnsiTheme="minorEastAsia" w:eastAsiaTheme="minorEastAsia"/>
          <w:color w:val="auto"/>
          <w:szCs w:val="21"/>
          <w:highlight w:val="none"/>
        </w:rPr>
      </w:pPr>
      <w:r>
        <w:rPr>
          <w:rFonts w:hint="eastAsia" w:ascii="宋体" w:hAnsi="宋体"/>
          <w:color w:val="auto"/>
          <w:highlight w:val="none"/>
        </w:rPr>
        <w:t>2.3上限控制价（不含税）</w:t>
      </w:r>
      <w:r>
        <w:rPr>
          <w:rFonts w:hint="eastAsia" w:cs="宋体" w:asciiTheme="minorEastAsia" w:hAnsiTheme="minorEastAsia" w:eastAsiaTheme="minorEastAsia"/>
          <w:color w:val="auto"/>
          <w:szCs w:val="21"/>
          <w:highlight w:val="none"/>
        </w:rPr>
        <w:t>：人民币</w:t>
      </w:r>
      <w:r>
        <w:rPr>
          <w:rFonts w:asciiTheme="minorEastAsia" w:hAnsiTheme="minorEastAsia" w:eastAsiaTheme="minorEastAsia"/>
          <w:color w:val="auto"/>
          <w:sz w:val="24"/>
          <w:szCs w:val="24"/>
          <w:highlight w:val="none"/>
          <w:u w:val="single"/>
        </w:rPr>
        <w:t>4</w:t>
      </w:r>
      <w:r>
        <w:rPr>
          <w:rFonts w:hint="eastAsia" w:asciiTheme="minorEastAsia" w:hAnsiTheme="minorEastAsia" w:eastAsiaTheme="minorEastAsia"/>
          <w:color w:val="auto"/>
          <w:sz w:val="24"/>
          <w:szCs w:val="24"/>
          <w:highlight w:val="none"/>
          <w:u w:val="single"/>
          <w:lang w:val="en-US" w:eastAsia="zh-CN"/>
        </w:rPr>
        <w:t>89</w:t>
      </w:r>
      <w:r>
        <w:rPr>
          <w:rFonts w:asciiTheme="minorEastAsia" w:hAnsiTheme="minorEastAsia" w:eastAsiaTheme="minorEastAsia"/>
          <w:color w:val="auto"/>
          <w:sz w:val="24"/>
          <w:szCs w:val="24"/>
          <w:highlight w:val="none"/>
          <w:u w:val="single"/>
        </w:rPr>
        <w:t>000.00</w:t>
      </w:r>
      <w:r>
        <w:rPr>
          <w:rFonts w:hint="eastAsia" w:asciiTheme="minorEastAsia" w:hAnsiTheme="minorEastAsia" w:eastAsiaTheme="minorEastAsia"/>
          <w:color w:val="auto"/>
          <w:sz w:val="24"/>
          <w:szCs w:val="24"/>
          <w:highlight w:val="none"/>
          <w:u w:val="single"/>
        </w:rPr>
        <w:t>元</w:t>
      </w:r>
      <w:r>
        <w:rPr>
          <w:rFonts w:hint="eastAsia" w:cs="宋体" w:asciiTheme="minorEastAsia" w:hAnsiTheme="minorEastAsia" w:eastAsiaTheme="minorEastAsia"/>
          <w:color w:val="auto"/>
          <w:szCs w:val="21"/>
          <w:highlight w:val="none"/>
        </w:rPr>
        <w:t>。</w:t>
      </w:r>
    </w:p>
    <w:p>
      <w:pPr>
        <w:spacing w:line="360" w:lineRule="auto"/>
        <w:ind w:firstLine="420" w:firstLineChars="200"/>
        <w:rPr>
          <w:rFonts w:ascii="宋体" w:hAnsi="宋体"/>
          <w:color w:val="auto"/>
          <w:highlight w:val="none"/>
        </w:rPr>
      </w:pPr>
      <w:r>
        <w:rPr>
          <w:rFonts w:hint="eastAsia" w:ascii="宋体" w:hAnsi="宋体"/>
          <w:color w:val="auto"/>
          <w:highlight w:val="none"/>
        </w:rPr>
        <w:t>2.4</w:t>
      </w:r>
      <w:r>
        <w:rPr>
          <w:rFonts w:hint="eastAsia" w:ascii="宋体" w:hAnsi="宋体"/>
          <w:color w:val="auto"/>
          <w:highlight w:val="none"/>
          <w:lang w:val="en-US" w:eastAsia="zh-CN"/>
        </w:rPr>
        <w:t xml:space="preserve"> </w:t>
      </w:r>
      <w:r>
        <w:rPr>
          <w:rFonts w:hint="eastAsia" w:ascii="宋体" w:hAnsi="宋体"/>
          <w:color w:val="auto"/>
          <w:highlight w:val="none"/>
        </w:rPr>
        <w:t>服务期：</w:t>
      </w:r>
      <w:r>
        <w:rPr>
          <w:rFonts w:hint="eastAsia" w:ascii="宋体" w:hAnsi="宋体"/>
          <w:color w:val="auto"/>
          <w:highlight w:val="none"/>
          <w:u w:val="single"/>
        </w:rPr>
        <w:t xml:space="preserve">   24个月    </w:t>
      </w:r>
      <w:r>
        <w:rPr>
          <w:rFonts w:hint="eastAsia" w:ascii="宋体" w:hAnsi="宋体"/>
          <w:color w:val="auto"/>
          <w:highlight w:val="none"/>
        </w:rPr>
        <w:t>。</w:t>
      </w:r>
    </w:p>
    <w:p>
      <w:pPr>
        <w:spacing w:line="360" w:lineRule="auto"/>
        <w:ind w:firstLine="420" w:firstLineChars="200"/>
        <w:rPr>
          <w:rFonts w:ascii="宋体" w:hAnsi="宋体"/>
          <w:color w:val="auto"/>
          <w:highlight w:val="none"/>
          <w:u w:val="single"/>
        </w:rPr>
      </w:pPr>
      <w:r>
        <w:rPr>
          <w:rFonts w:hint="eastAsia" w:ascii="宋体" w:hAnsi="宋体"/>
          <w:color w:val="auto"/>
          <w:highlight w:val="none"/>
        </w:rPr>
        <w:t>2.5项目地点：南宁市内，具体详见用户需求书。</w:t>
      </w:r>
    </w:p>
    <w:p>
      <w:pPr>
        <w:pStyle w:val="77"/>
        <w:tabs>
          <w:tab w:val="right" w:leader="dot" w:pos="8306"/>
        </w:tabs>
        <w:spacing w:line="360" w:lineRule="auto"/>
        <w:ind w:left="0" w:leftChars="0" w:firstLine="420" w:firstLineChars="200"/>
        <w:rPr>
          <w:rFonts w:ascii="宋体" w:hAnsi="宋体"/>
          <w:color w:val="auto"/>
          <w:szCs w:val="21"/>
          <w:highlight w:val="none"/>
        </w:rPr>
      </w:pPr>
      <w:r>
        <w:rPr>
          <w:rFonts w:hint="eastAsia" w:cs="宋体" w:asciiTheme="minorEastAsia" w:hAnsiTheme="minorEastAsia" w:eastAsiaTheme="minorEastAsia"/>
          <w:color w:val="auto"/>
          <w:szCs w:val="21"/>
          <w:highlight w:val="none"/>
        </w:rPr>
        <w:t>2.6比选范围：</w:t>
      </w:r>
      <w:r>
        <w:rPr>
          <w:rFonts w:hint="eastAsia" w:ascii="宋体" w:hAnsi="宋体" w:cs="宋体"/>
          <w:color w:val="auto"/>
          <w:szCs w:val="21"/>
          <w:highlight w:val="none"/>
        </w:rPr>
        <w:t>对</w:t>
      </w:r>
      <w:r>
        <w:rPr>
          <w:rStyle w:val="78"/>
          <w:rFonts w:ascii="宋体" w:hAnsi="宋体"/>
          <w:color w:val="auto"/>
          <w:szCs w:val="21"/>
          <w:highlight w:val="none"/>
        </w:rPr>
        <w:t>控制中心食堂</w:t>
      </w:r>
      <w:r>
        <w:rPr>
          <w:rStyle w:val="78"/>
          <w:rFonts w:hint="eastAsia" w:ascii="宋体" w:hAnsi="宋体"/>
          <w:color w:val="auto"/>
          <w:szCs w:val="21"/>
          <w:highlight w:val="none"/>
        </w:rPr>
        <w:t>、</w:t>
      </w:r>
      <w:r>
        <w:rPr>
          <w:rStyle w:val="78"/>
          <w:rFonts w:ascii="宋体" w:hAnsi="宋体"/>
          <w:color w:val="auto"/>
          <w:szCs w:val="21"/>
          <w:highlight w:val="none"/>
        </w:rPr>
        <w:t>屯里车辆段食堂</w:t>
      </w:r>
      <w:r>
        <w:rPr>
          <w:rStyle w:val="78"/>
          <w:rFonts w:hint="eastAsia" w:ascii="宋体" w:hAnsi="宋体"/>
          <w:color w:val="auto"/>
          <w:szCs w:val="21"/>
          <w:highlight w:val="none"/>
        </w:rPr>
        <w:t>、</w:t>
      </w:r>
      <w:r>
        <w:rPr>
          <w:rStyle w:val="78"/>
          <w:rFonts w:ascii="宋体" w:hAnsi="宋体"/>
          <w:color w:val="auto"/>
          <w:szCs w:val="21"/>
          <w:highlight w:val="none"/>
        </w:rPr>
        <w:t>西乡塘停车场食堂</w:t>
      </w:r>
      <w:r>
        <w:rPr>
          <w:rStyle w:val="78"/>
          <w:rFonts w:hint="eastAsia" w:ascii="宋体" w:hAnsi="宋体"/>
          <w:color w:val="auto"/>
          <w:szCs w:val="21"/>
          <w:highlight w:val="none"/>
        </w:rPr>
        <w:t>、</w:t>
      </w:r>
      <w:r>
        <w:rPr>
          <w:rStyle w:val="78"/>
          <w:rFonts w:ascii="宋体" w:hAnsi="宋体"/>
          <w:color w:val="auto"/>
          <w:szCs w:val="21"/>
          <w:highlight w:val="none"/>
        </w:rPr>
        <w:t>安吉综合基地食堂</w:t>
      </w:r>
      <w:r>
        <w:rPr>
          <w:rStyle w:val="78"/>
          <w:rFonts w:hint="eastAsia" w:ascii="宋体" w:hAnsi="宋体"/>
          <w:color w:val="auto"/>
          <w:szCs w:val="21"/>
          <w:highlight w:val="none"/>
        </w:rPr>
        <w:t>、</w:t>
      </w:r>
      <w:r>
        <w:rPr>
          <w:rStyle w:val="78"/>
          <w:rFonts w:ascii="宋体" w:hAnsi="宋体"/>
          <w:color w:val="auto"/>
          <w:szCs w:val="21"/>
          <w:highlight w:val="none"/>
        </w:rPr>
        <w:t>新村停车场食堂</w:t>
      </w:r>
      <w:r>
        <w:rPr>
          <w:rStyle w:val="78"/>
          <w:rFonts w:hint="eastAsia" w:ascii="宋体" w:hAnsi="宋体"/>
          <w:color w:val="auto"/>
          <w:szCs w:val="21"/>
          <w:highlight w:val="none"/>
        </w:rPr>
        <w:t>、</w:t>
      </w:r>
      <w:r>
        <w:rPr>
          <w:rStyle w:val="78"/>
          <w:rFonts w:ascii="宋体" w:hAnsi="宋体"/>
          <w:color w:val="auto"/>
          <w:szCs w:val="21"/>
          <w:highlight w:val="none"/>
        </w:rPr>
        <w:t>心圩车辆段食堂</w:t>
      </w:r>
      <w:r>
        <w:rPr>
          <w:rStyle w:val="78"/>
          <w:rFonts w:hint="eastAsia" w:ascii="宋体" w:hAnsi="宋体"/>
          <w:color w:val="auto"/>
          <w:szCs w:val="21"/>
          <w:highlight w:val="none"/>
        </w:rPr>
        <w:t>、</w:t>
      </w:r>
      <w:r>
        <w:rPr>
          <w:rStyle w:val="78"/>
          <w:rFonts w:ascii="宋体" w:hAnsi="宋体"/>
          <w:color w:val="auto"/>
          <w:szCs w:val="21"/>
          <w:highlight w:val="none"/>
        </w:rPr>
        <w:t>五象车辆段食堂</w:t>
      </w:r>
      <w:r>
        <w:rPr>
          <w:rStyle w:val="78"/>
          <w:rFonts w:hint="eastAsia" w:ascii="宋体" w:hAnsi="宋体"/>
          <w:color w:val="auto"/>
          <w:szCs w:val="21"/>
          <w:highlight w:val="none"/>
        </w:rPr>
        <w:t>、</w:t>
      </w:r>
      <w:r>
        <w:rPr>
          <w:rStyle w:val="78"/>
          <w:rFonts w:ascii="宋体" w:hAnsi="宋体"/>
          <w:color w:val="auto"/>
          <w:szCs w:val="21"/>
          <w:highlight w:val="none"/>
        </w:rPr>
        <w:t>那洪车辆段食堂</w:t>
      </w:r>
      <w:r>
        <w:rPr>
          <w:rStyle w:val="78"/>
          <w:rFonts w:hint="eastAsia" w:ascii="宋体" w:hAnsi="宋体"/>
          <w:color w:val="auto"/>
          <w:kern w:val="0"/>
          <w:szCs w:val="21"/>
          <w:highlight w:val="none"/>
        </w:rPr>
        <w:t>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p>
      <w:pPr>
        <w:spacing w:line="360" w:lineRule="auto"/>
        <w:ind w:firstLine="422" w:firstLineChars="200"/>
        <w:outlineLvl w:val="0"/>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3.比选申请人资格要求</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3.1比选申请人为中华人民共和国境内依法设立的法人或其他组织。（若以分公司名义参与比选申请，必须出具总公司授权参与的证明。）</w:t>
      </w:r>
    </w:p>
    <w:p>
      <w:pPr>
        <w:spacing w:line="360" w:lineRule="auto"/>
        <w:ind w:firstLine="420" w:firstLineChars="200"/>
        <w:jc w:val="left"/>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3.2营业执照经营范围包括虫害防治、消毒杀菌服务（以上项目除国家有专项规定外）</w:t>
      </w:r>
      <w:r>
        <w:rPr>
          <w:rFonts w:hint="eastAsia" w:cs="宋体" w:asciiTheme="minorEastAsia" w:hAnsiTheme="minorEastAsia" w:eastAsiaTheme="minorEastAsia"/>
          <w:color w:val="auto"/>
          <w:szCs w:val="21"/>
          <w:highlight w:val="none"/>
          <w:lang w:val="en-US" w:eastAsia="zh-CN"/>
        </w:rPr>
        <w:t>等类似范围</w:t>
      </w:r>
      <w:r>
        <w:rPr>
          <w:rFonts w:hint="eastAsia" w:cs="宋体" w:asciiTheme="minorEastAsia" w:hAnsiTheme="minorEastAsia" w:eastAsiaTheme="minorEastAsia"/>
          <w:color w:val="auto"/>
          <w:szCs w:val="21"/>
          <w:highlight w:val="none"/>
        </w:rPr>
        <w:t>；</w:t>
      </w:r>
    </w:p>
    <w:p>
      <w:pPr>
        <w:spacing w:line="360" w:lineRule="auto"/>
        <w:ind w:firstLine="420" w:firstLineChars="200"/>
        <w:jc w:val="left"/>
        <w:rPr>
          <w:rFonts w:hint="eastAsia" w:cs="宋体" w:asciiTheme="minorEastAsia" w:hAnsiTheme="minorEastAsia" w:eastAsiaTheme="minorEastAsia"/>
          <w:color w:val="auto"/>
          <w:szCs w:val="21"/>
          <w:highlight w:val="none"/>
          <w:u w:val="none"/>
          <w:lang w:eastAsia="zh-CN"/>
        </w:rPr>
      </w:pPr>
      <w:r>
        <w:rPr>
          <w:rFonts w:hint="eastAsia" w:cs="宋体" w:asciiTheme="minorEastAsia" w:hAnsiTheme="minorEastAsia" w:eastAsiaTheme="minorEastAsia"/>
          <w:color w:val="auto"/>
          <w:szCs w:val="21"/>
          <w:highlight w:val="none"/>
        </w:rPr>
        <w:t>3.</w:t>
      </w:r>
      <w:r>
        <w:rPr>
          <w:rFonts w:hint="eastAsia" w:cs="宋体" w:asciiTheme="minorEastAsia" w:hAnsiTheme="minorEastAsia" w:eastAsiaTheme="minorEastAsia"/>
          <w:color w:val="auto"/>
          <w:szCs w:val="21"/>
          <w:highlight w:val="none"/>
          <w:lang w:val="en-US" w:eastAsia="zh-CN"/>
        </w:rPr>
        <w:t>3</w:t>
      </w:r>
      <w:r>
        <w:rPr>
          <w:rFonts w:hint="eastAsia" w:cs="宋体" w:asciiTheme="minorEastAsia" w:hAnsiTheme="minorEastAsia" w:eastAsiaTheme="minorEastAsia"/>
          <w:color w:val="auto"/>
          <w:szCs w:val="21"/>
          <w:highlight w:val="none"/>
          <w:u w:val="none"/>
        </w:rPr>
        <w:t>比选申请人自2018年1月1日起（自中标通知书或合同签署之日至本工程投标截止之日止）承担的</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rPr>
        <w:t>四害</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rPr>
        <w:t>消杀项目业绩</w:t>
      </w:r>
      <w:r>
        <w:rPr>
          <w:rFonts w:hint="eastAsia" w:cs="宋体" w:asciiTheme="minorEastAsia" w:hAnsiTheme="minorEastAsia" w:eastAsiaTheme="minorEastAsia"/>
          <w:color w:val="auto"/>
          <w:szCs w:val="21"/>
          <w:highlight w:val="none"/>
          <w:u w:val="none"/>
          <w:lang w:val="en-US" w:eastAsia="zh-CN"/>
        </w:rPr>
        <w:t>,至少1项业绩</w:t>
      </w:r>
      <w:r>
        <w:rPr>
          <w:rFonts w:hint="eastAsia" w:cs="宋体" w:asciiTheme="minorEastAsia" w:hAnsiTheme="minorEastAsia" w:eastAsiaTheme="minorEastAsia"/>
          <w:color w:val="auto"/>
          <w:szCs w:val="21"/>
          <w:highlight w:val="none"/>
          <w:u w:val="none"/>
          <w:lang w:eastAsia="zh-CN"/>
        </w:rPr>
        <w:t>；</w:t>
      </w:r>
    </w:p>
    <w:p>
      <w:pPr>
        <w:spacing w:line="360" w:lineRule="auto"/>
        <w:ind w:firstLine="420" w:firstLineChars="200"/>
        <w:jc w:val="left"/>
        <w:rPr>
          <w:rFonts w:hint="eastAsia" w:cs="宋体" w:asciiTheme="minorEastAsia" w:hAnsiTheme="minorEastAsia" w:eastAsiaTheme="minorEastAsia"/>
          <w:color w:val="auto"/>
          <w:szCs w:val="21"/>
          <w:highlight w:val="none"/>
          <w:u w:val="none"/>
          <w:lang w:eastAsia="zh-CN"/>
        </w:rPr>
      </w:pPr>
      <w:r>
        <w:rPr>
          <w:rFonts w:hint="eastAsia" w:cs="宋体" w:asciiTheme="minorEastAsia" w:hAnsiTheme="minorEastAsia" w:eastAsiaTheme="minorEastAsia"/>
          <w:color w:val="auto"/>
          <w:szCs w:val="21"/>
          <w:highlight w:val="none"/>
          <w:u w:val="none"/>
        </w:rPr>
        <w:t>3.</w:t>
      </w:r>
      <w:r>
        <w:rPr>
          <w:rFonts w:hint="eastAsia" w:cs="宋体" w:asciiTheme="minorEastAsia" w:hAnsiTheme="minorEastAsia" w:eastAsiaTheme="minorEastAsia"/>
          <w:color w:val="auto"/>
          <w:szCs w:val="21"/>
          <w:highlight w:val="none"/>
          <w:u w:val="none"/>
          <w:lang w:val="en-US" w:eastAsia="zh-CN"/>
        </w:rPr>
        <w:t>4</w:t>
      </w:r>
      <w:r>
        <w:rPr>
          <w:rFonts w:ascii="宋体" w:hAnsi="宋体" w:eastAsia="宋体" w:cs="宋体"/>
          <w:color w:val="auto"/>
          <w:sz w:val="24"/>
          <w:szCs w:val="24"/>
          <w:highlight w:val="none"/>
          <w:u w:val="none"/>
        </w:rPr>
        <w:t>比选申请人持有有害生物防治服务企业资质证书国家A级，</w:t>
      </w:r>
      <w:r>
        <w:rPr>
          <w:rFonts w:hint="eastAsia" w:ascii="宋体" w:hAnsi="宋体" w:cs="宋体"/>
          <w:color w:val="auto"/>
          <w:sz w:val="24"/>
          <w:szCs w:val="24"/>
          <w:highlight w:val="none"/>
          <w:u w:val="none"/>
          <w:lang w:val="en-US" w:eastAsia="zh-CN"/>
        </w:rPr>
        <w:t>证书</w:t>
      </w:r>
      <w:r>
        <w:rPr>
          <w:rFonts w:ascii="宋体" w:hAnsi="宋体" w:eastAsia="宋体" w:cs="宋体"/>
          <w:color w:val="auto"/>
          <w:sz w:val="24"/>
          <w:szCs w:val="24"/>
          <w:highlight w:val="none"/>
          <w:u w:val="none"/>
        </w:rPr>
        <w:t>可在国家标准化管理委员会（</w:t>
      </w:r>
      <w:r>
        <w:rPr>
          <w:rFonts w:ascii="宋体" w:hAnsi="宋体" w:eastAsia="宋体" w:cs="宋体"/>
          <w:color w:val="auto"/>
          <w:sz w:val="24"/>
          <w:szCs w:val="24"/>
          <w:highlight w:val="none"/>
          <w:u w:val="none"/>
        </w:rPr>
        <w:fldChar w:fldCharType="begin"/>
      </w:r>
      <w:r>
        <w:rPr>
          <w:rFonts w:ascii="宋体" w:hAnsi="宋体" w:eastAsia="宋体" w:cs="宋体"/>
          <w:color w:val="auto"/>
          <w:sz w:val="24"/>
          <w:szCs w:val="24"/>
          <w:highlight w:val="none"/>
          <w:u w:val="none"/>
        </w:rPr>
        <w:instrText xml:space="preserve"> HYPERLINK "http://www.sac.gov.cn/）查询" \t "_blank" </w:instrText>
      </w:r>
      <w:r>
        <w:rPr>
          <w:rFonts w:ascii="宋体" w:hAnsi="宋体" w:eastAsia="宋体" w:cs="宋体"/>
          <w:color w:val="auto"/>
          <w:sz w:val="24"/>
          <w:szCs w:val="24"/>
          <w:highlight w:val="none"/>
          <w:u w:val="none"/>
        </w:rPr>
        <w:fldChar w:fldCharType="separate"/>
      </w:r>
      <w:r>
        <w:rPr>
          <w:rStyle w:val="31"/>
          <w:rFonts w:ascii="宋体" w:hAnsi="宋体" w:eastAsia="宋体" w:cs="宋体"/>
          <w:color w:val="auto"/>
          <w:sz w:val="24"/>
          <w:szCs w:val="24"/>
          <w:highlight w:val="none"/>
          <w:u w:val="none"/>
        </w:rPr>
        <w:t>http://www.sac.gov.cn/）查询</w:t>
      </w:r>
      <w:r>
        <w:rPr>
          <w:rFonts w:ascii="宋体" w:hAnsi="宋体" w:eastAsia="宋体" w:cs="宋体"/>
          <w:color w:val="auto"/>
          <w:sz w:val="24"/>
          <w:szCs w:val="24"/>
          <w:highlight w:val="none"/>
          <w:u w:val="none"/>
        </w:rPr>
        <w:fldChar w:fldCharType="end"/>
      </w:r>
      <w:r>
        <w:rPr>
          <w:rFonts w:ascii="宋体" w:hAnsi="宋体" w:eastAsia="宋体" w:cs="宋体"/>
          <w:color w:val="auto"/>
          <w:sz w:val="24"/>
          <w:szCs w:val="24"/>
          <w:highlight w:val="none"/>
          <w:u w:val="none"/>
        </w:rPr>
        <w:t>，提供复印件，原件备查；</w:t>
      </w:r>
    </w:p>
    <w:p>
      <w:pPr>
        <w:spacing w:line="360" w:lineRule="auto"/>
        <w:ind w:firstLine="420" w:firstLineChars="200"/>
        <w:jc w:val="left"/>
        <w:rPr>
          <w:rFonts w:hint="eastAsia" w:ascii="宋体" w:hAnsi="宋体" w:cs="宋体"/>
          <w:color w:val="auto"/>
          <w:sz w:val="24"/>
          <w:szCs w:val="24"/>
          <w:highlight w:val="none"/>
          <w:u w:val="none"/>
          <w:lang w:val="en-US" w:eastAsia="zh-CN"/>
        </w:rPr>
      </w:pPr>
      <w:r>
        <w:rPr>
          <w:rFonts w:hint="eastAsia" w:cs="宋体" w:asciiTheme="minorEastAsia" w:hAnsiTheme="minorEastAsia" w:eastAsiaTheme="minorEastAsia"/>
          <w:color w:val="auto"/>
          <w:szCs w:val="21"/>
          <w:highlight w:val="none"/>
          <w:u w:val="none"/>
          <w:lang w:val="en-US" w:eastAsia="zh-CN"/>
        </w:rPr>
        <w:t>3.5</w:t>
      </w:r>
      <w:r>
        <w:rPr>
          <w:rFonts w:ascii="宋体" w:hAnsi="宋体" w:eastAsia="宋体" w:cs="宋体"/>
          <w:color w:val="auto"/>
          <w:sz w:val="24"/>
          <w:szCs w:val="24"/>
          <w:highlight w:val="none"/>
          <w:u w:val="none"/>
        </w:rPr>
        <w:t>比选申请人持有环境管理体系认证证书，职业健康安全管理体系认证证书，质量管理体系认证证书。证书在国家认证认可监督管理委员会（</w:t>
      </w:r>
      <w:r>
        <w:rPr>
          <w:rFonts w:ascii="宋体" w:hAnsi="宋体" w:eastAsia="宋体" w:cs="宋体"/>
          <w:color w:val="auto"/>
          <w:sz w:val="24"/>
          <w:szCs w:val="24"/>
          <w:highlight w:val="none"/>
          <w:u w:val="none"/>
        </w:rPr>
        <w:fldChar w:fldCharType="begin"/>
      </w:r>
      <w:r>
        <w:rPr>
          <w:rFonts w:ascii="宋体" w:hAnsi="宋体" w:eastAsia="宋体" w:cs="宋体"/>
          <w:color w:val="auto"/>
          <w:sz w:val="24"/>
          <w:szCs w:val="24"/>
          <w:highlight w:val="none"/>
          <w:u w:val="none"/>
        </w:rPr>
        <w:instrText xml:space="preserve"> HYPERLINK "http://www.cnca.gov.cn/）或亚马逊国际认证公示网（" \t "_blank" </w:instrText>
      </w:r>
      <w:r>
        <w:rPr>
          <w:rFonts w:ascii="宋体" w:hAnsi="宋体" w:eastAsia="宋体" w:cs="宋体"/>
          <w:color w:val="auto"/>
          <w:sz w:val="24"/>
          <w:szCs w:val="24"/>
          <w:highlight w:val="none"/>
          <w:u w:val="none"/>
        </w:rPr>
        <w:fldChar w:fldCharType="separate"/>
      </w:r>
      <w:r>
        <w:rPr>
          <w:rStyle w:val="31"/>
          <w:rFonts w:ascii="宋体" w:hAnsi="宋体" w:eastAsia="宋体" w:cs="宋体"/>
          <w:color w:val="auto"/>
          <w:sz w:val="24"/>
          <w:szCs w:val="24"/>
          <w:highlight w:val="none"/>
          <w:u w:val="none"/>
        </w:rPr>
        <w:t>http://www.cnca.gov.cn/）或亚马逊国际认证公示网（</w:t>
      </w:r>
      <w:r>
        <w:rPr>
          <w:rFonts w:ascii="宋体" w:hAnsi="宋体" w:eastAsia="宋体" w:cs="宋体"/>
          <w:color w:val="auto"/>
          <w:sz w:val="24"/>
          <w:szCs w:val="24"/>
          <w:highlight w:val="none"/>
          <w:u w:val="none"/>
        </w:rPr>
        <w:fldChar w:fldCharType="end"/>
      </w:r>
      <w:r>
        <w:rPr>
          <w:rFonts w:ascii="宋体" w:hAnsi="宋体" w:eastAsia="宋体" w:cs="宋体"/>
          <w:color w:val="auto"/>
          <w:sz w:val="24"/>
          <w:szCs w:val="24"/>
          <w:highlight w:val="none"/>
          <w:u w:val="none"/>
        </w:rPr>
        <w:t xml:space="preserve"> </w:t>
      </w:r>
      <w:r>
        <w:rPr>
          <w:rFonts w:ascii="宋体" w:hAnsi="宋体" w:eastAsia="宋体" w:cs="宋体"/>
          <w:color w:val="auto"/>
          <w:sz w:val="24"/>
          <w:szCs w:val="24"/>
          <w:highlight w:val="none"/>
          <w:u w:val="none"/>
        </w:rPr>
        <w:fldChar w:fldCharType="begin"/>
      </w:r>
      <w:r>
        <w:rPr>
          <w:rFonts w:ascii="宋体" w:hAnsi="宋体" w:eastAsia="宋体" w:cs="宋体"/>
          <w:color w:val="auto"/>
          <w:sz w:val="24"/>
          <w:szCs w:val="24"/>
          <w:highlight w:val="none"/>
          <w:u w:val="none"/>
        </w:rPr>
        <w:instrText xml:space="preserve"> HYPERLINK "https://www.aws-iso.com）查询，提供复印件，原件备查；" </w:instrText>
      </w:r>
      <w:r>
        <w:rPr>
          <w:rFonts w:ascii="宋体" w:hAnsi="宋体" w:eastAsia="宋体" w:cs="宋体"/>
          <w:color w:val="auto"/>
          <w:sz w:val="24"/>
          <w:szCs w:val="24"/>
          <w:highlight w:val="none"/>
          <w:u w:val="none"/>
        </w:rPr>
        <w:fldChar w:fldCharType="separate"/>
      </w:r>
      <w:r>
        <w:rPr>
          <w:rStyle w:val="31"/>
          <w:rFonts w:ascii="宋体" w:hAnsi="宋体" w:eastAsia="宋体" w:cs="宋体"/>
          <w:color w:val="auto"/>
          <w:sz w:val="24"/>
          <w:szCs w:val="24"/>
          <w:highlight w:val="none"/>
          <w:u w:val="none"/>
        </w:rPr>
        <w:t>https://www.aws-iso.com）查询，提供复印件，原件备查；</w:t>
      </w:r>
      <w:r>
        <w:rPr>
          <w:rFonts w:ascii="宋体" w:hAnsi="宋体" w:eastAsia="宋体" w:cs="宋体"/>
          <w:color w:val="auto"/>
          <w:sz w:val="24"/>
          <w:szCs w:val="24"/>
          <w:highlight w:val="none"/>
          <w:u w:val="none"/>
        </w:rPr>
        <w:fldChar w:fldCharType="end"/>
      </w:r>
      <w:r>
        <w:rPr>
          <w:rFonts w:hint="eastAsia" w:ascii="宋体" w:hAnsi="宋体" w:cs="宋体"/>
          <w:color w:val="auto"/>
          <w:sz w:val="24"/>
          <w:szCs w:val="24"/>
          <w:highlight w:val="none"/>
          <w:u w:val="none"/>
          <w:lang w:val="en-US" w:eastAsia="zh-CN"/>
        </w:rPr>
        <w:t xml:space="preserve">  </w:t>
      </w:r>
    </w:p>
    <w:p>
      <w:pPr>
        <w:spacing w:line="360" w:lineRule="auto"/>
        <w:ind w:firstLine="420" w:firstLineChars="200"/>
        <w:jc w:val="left"/>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lang w:val="en-US" w:eastAsia="zh-CN"/>
        </w:rPr>
        <w:t>3.6</w:t>
      </w:r>
      <w:r>
        <w:rPr>
          <w:rFonts w:hint="eastAsia" w:cs="宋体" w:asciiTheme="minorEastAsia" w:hAnsiTheme="minorEastAsia" w:eastAsiaTheme="minorEastAsia"/>
          <w:color w:val="auto"/>
          <w:szCs w:val="21"/>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w:t>
      </w:r>
      <w:r>
        <w:rPr>
          <w:rFonts w:hint="eastAsia" w:cs="宋体" w:asciiTheme="minorEastAsia" w:hAnsiTheme="minorEastAsia" w:eastAsiaTheme="minorEastAsia"/>
          <w:color w:val="auto"/>
          <w:szCs w:val="21"/>
          <w:highlight w:val="none"/>
          <w:lang w:val="en-US" w:eastAsia="zh-CN"/>
        </w:rPr>
        <w:t>7</w:t>
      </w:r>
      <w:r>
        <w:rPr>
          <w:rFonts w:hint="eastAsia" w:cs="宋体" w:asciiTheme="minorEastAsia" w:hAnsiTheme="minorEastAsia" w:eastAsiaTheme="minorEastAsia"/>
          <w:color w:val="auto"/>
          <w:szCs w:val="21"/>
          <w:highlight w:val="none"/>
        </w:rPr>
        <w:t>单位负责人为同一人或者存在控股、管理关系的不同单位，不得参加同一标段比选申请或者未划分标段的同一比选项目比选申请；</w:t>
      </w:r>
    </w:p>
    <w:p>
      <w:pPr>
        <w:pStyle w:val="25"/>
        <w:spacing w:line="360" w:lineRule="auto"/>
        <w:ind w:left="0" w:leftChars="0"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lang w:val="en-US" w:eastAsia="zh-CN"/>
        </w:rPr>
        <w:t>8</w:t>
      </w:r>
      <w:r>
        <w:rPr>
          <w:rFonts w:hint="eastAsia" w:cs="宋体" w:asciiTheme="minorEastAsia" w:hAnsiTheme="minorEastAsia" w:eastAsiaTheme="minorEastAsia"/>
          <w:color w:val="auto"/>
          <w:sz w:val="21"/>
          <w:szCs w:val="21"/>
          <w:highlight w:val="none"/>
        </w:rPr>
        <w:t>本项目不接受联合体比选申请。</w:t>
      </w:r>
    </w:p>
    <w:p>
      <w:pPr>
        <w:spacing w:line="360" w:lineRule="auto"/>
        <w:ind w:firstLine="42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4.资格审查方式</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本项目采用资格后审方式。</w:t>
      </w:r>
    </w:p>
    <w:p>
      <w:pPr>
        <w:spacing w:line="360" w:lineRule="auto"/>
        <w:ind w:firstLine="42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5.比选文件的获取</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5.1比选文件获取：</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本项目不发放纸质文件，请各比选申请人自行网上下载。下载网址：南宁轨道交通集团有限责任公司官网</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http://www.nngdjt.com)、中国e车网</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http://www.ecrrc.com)。</w:t>
      </w:r>
    </w:p>
    <w:p>
      <w:pPr>
        <w:spacing w:line="360" w:lineRule="auto"/>
        <w:ind w:firstLine="42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line="360" w:lineRule="auto"/>
        <w:ind w:firstLine="42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w:t>
      </w:r>
      <w:r>
        <w:rPr>
          <w:rFonts w:asciiTheme="minorEastAsia" w:hAnsiTheme="minorEastAsia" w:eastAsiaTheme="minorEastAsia"/>
          <w:b/>
          <w:color w:val="auto"/>
          <w:highlight w:val="none"/>
        </w:rPr>
        <w:t>比选申请截止时间</w:t>
      </w:r>
      <w:r>
        <w:rPr>
          <w:rFonts w:hint="eastAsia" w:asciiTheme="minorEastAsia" w:hAnsiTheme="minorEastAsia" w:eastAsiaTheme="minorEastAsia"/>
          <w:b/>
          <w:color w:val="auto"/>
          <w:highlight w:val="none"/>
        </w:rPr>
        <w:t>和</w:t>
      </w:r>
      <w:r>
        <w:rPr>
          <w:rFonts w:asciiTheme="minorEastAsia" w:hAnsiTheme="minorEastAsia" w:eastAsiaTheme="minorEastAsia"/>
          <w:b/>
          <w:color w:val="auto"/>
          <w:highlight w:val="none"/>
        </w:rPr>
        <w:t>地点</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6.1</w:t>
      </w:r>
      <w:r>
        <w:rPr>
          <w:rFonts w:hint="eastAsia" w:cs="宋体" w:asciiTheme="minorEastAsia" w:hAnsiTheme="minorEastAsia" w:eastAsiaTheme="minorEastAsia"/>
          <w:color w:val="auto"/>
          <w:kern w:val="2"/>
          <w:sz w:val="21"/>
          <w:szCs w:val="21"/>
          <w:lang w:val="en-US" w:eastAsia="zh-CN" w:bidi="ar-SA"/>
        </w:rPr>
        <w:t>比选申请文件须密封后于</w:t>
      </w:r>
      <w:r>
        <w:rPr>
          <w:rFonts w:hint="eastAsia" w:cs="宋体" w:asciiTheme="minorEastAsia" w:hAnsiTheme="minorEastAsia" w:eastAsiaTheme="minorEastAsia"/>
          <w:color w:val="auto"/>
          <w:kern w:val="2"/>
          <w:sz w:val="21"/>
          <w:szCs w:val="21"/>
          <w:u w:val="single"/>
          <w:lang w:val="en-US" w:eastAsia="zh-CN" w:bidi="ar-SA"/>
        </w:rPr>
        <w:t>2023年 4月28日 9时00分至9时30分（北京时间）</w:t>
      </w:r>
      <w:r>
        <w:rPr>
          <w:rFonts w:hint="eastAsia" w:cs="宋体" w:asciiTheme="minorEastAsia" w:hAnsiTheme="minorEastAsia" w:eastAsiaTheme="minorEastAsia"/>
          <w:color w:val="auto"/>
          <w:kern w:val="2"/>
          <w:sz w:val="21"/>
          <w:szCs w:val="21"/>
          <w:lang w:val="en-US" w:eastAsia="zh-CN" w:bidi="ar-SA"/>
        </w:rPr>
        <w:t>递交，递交地点：广西壮族自治区南宁市青秀区云景路83号屯里车辆段综合楼205会议室。</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6.2</w:t>
      </w:r>
      <w:r>
        <w:rPr>
          <w:rFonts w:asciiTheme="minorEastAsia" w:hAnsiTheme="minorEastAsia" w:eastAsiaTheme="minorEastAsia"/>
          <w:color w:val="auto"/>
          <w:highlight w:val="none"/>
        </w:rPr>
        <w:t>逾期送达的或者未送达指定地点</w:t>
      </w:r>
      <w:r>
        <w:rPr>
          <w:rFonts w:hint="eastAsia" w:asciiTheme="minorEastAsia" w:hAnsiTheme="minorEastAsia" w:eastAsiaTheme="minorEastAsia"/>
          <w:color w:val="auto"/>
          <w:highlight w:val="none"/>
        </w:rPr>
        <w:t>或者</w:t>
      </w:r>
      <w:r>
        <w:rPr>
          <w:rFonts w:asciiTheme="minorEastAsia" w:hAnsiTheme="minorEastAsia" w:eastAsiaTheme="minorEastAsia"/>
          <w:color w:val="auto"/>
          <w:highlight w:val="none"/>
        </w:rPr>
        <w:t>未按</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文件要求密封的</w:t>
      </w:r>
      <w:r>
        <w:rPr>
          <w:rFonts w:hint="eastAsia" w:asciiTheme="minorEastAsia" w:hAnsiTheme="minorEastAsia" w:eastAsiaTheme="minorEastAsia"/>
          <w:color w:val="auto"/>
          <w:highlight w:val="none"/>
        </w:rPr>
        <w:t>比选申请</w:t>
      </w:r>
      <w:r>
        <w:rPr>
          <w:rFonts w:asciiTheme="minorEastAsia" w:hAnsiTheme="minorEastAsia" w:eastAsiaTheme="minorEastAsia"/>
          <w:color w:val="auto"/>
          <w:highlight w:val="none"/>
        </w:rPr>
        <w:t>文件将被拒绝</w:t>
      </w:r>
      <w:r>
        <w:rPr>
          <w:rFonts w:hint="eastAsia" w:asciiTheme="minorEastAsia" w:hAnsiTheme="minorEastAsia" w:eastAsiaTheme="minorEastAsia"/>
          <w:color w:val="auto"/>
          <w:highlight w:val="none"/>
        </w:rPr>
        <w:t>。</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6.3请比选申请人法定代表人或其授权代表携法人委托书原件准时参加。</w:t>
      </w:r>
      <w:r>
        <w:rPr>
          <w:rFonts w:asciiTheme="minorEastAsia" w:hAnsiTheme="minorEastAsia" w:eastAsiaTheme="minorEastAsia"/>
          <w:color w:val="auto"/>
          <w:highlight w:val="none"/>
        </w:rPr>
        <w:t>比选申请文件必须由</w:t>
      </w:r>
      <w:r>
        <w:rPr>
          <w:rFonts w:hint="eastAsia" w:asciiTheme="minorEastAsia" w:hAnsiTheme="minorEastAsia" w:eastAsiaTheme="minorEastAsia"/>
          <w:color w:val="auto"/>
          <w:highlight w:val="none"/>
        </w:rPr>
        <w:t>比选申请人</w:t>
      </w:r>
      <w:r>
        <w:rPr>
          <w:rFonts w:asciiTheme="minorEastAsia" w:hAnsiTheme="minorEastAsia" w:eastAsiaTheme="minorEastAsia"/>
          <w:color w:val="auto"/>
          <w:highlight w:val="none"/>
        </w:rPr>
        <w:t>法定代表人或其授权代表递交，否则比选人不予受理。</w:t>
      </w:r>
    </w:p>
    <w:p>
      <w:pPr>
        <w:spacing w:line="360" w:lineRule="auto"/>
        <w:ind w:firstLine="42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7.发布公告的媒介</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本次比选公告同时在南宁轨道交通集团有限责任公司官网</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http://www.nngdjt.com)、中国e车网</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http://www.ecrrc.com</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发布。</w:t>
      </w:r>
    </w:p>
    <w:p>
      <w:pPr>
        <w:spacing w:line="360" w:lineRule="auto"/>
        <w:ind w:firstLine="42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8.联系方式</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 xml:space="preserve">比 选 人：南宁轨道交通运营有限公司    </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 xml:space="preserve">地    址：南宁市青秀区云景路83号         </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 xml:space="preserve">邮    编：530022                         </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联 系 人：</w:t>
      </w:r>
      <w:r>
        <w:rPr>
          <w:rFonts w:hint="eastAsia" w:asciiTheme="minorEastAsia" w:hAnsiTheme="minorEastAsia" w:eastAsiaTheme="minorEastAsia"/>
          <w:color w:val="auto"/>
          <w:highlight w:val="none"/>
          <w:u w:val="single"/>
        </w:rPr>
        <w:t xml:space="preserve">   王工、魏工     </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电    话：</w:t>
      </w:r>
      <w:r>
        <w:rPr>
          <w:rFonts w:hint="eastAsia" w:asciiTheme="minorEastAsia" w:hAnsiTheme="minorEastAsia" w:eastAsiaTheme="minorEastAsia"/>
          <w:color w:val="auto"/>
          <w:highlight w:val="none"/>
          <w:u w:val="single"/>
        </w:rPr>
        <w:t xml:space="preserve">   0771-2778974、0771-2226975/0771-2362782   </w:t>
      </w:r>
      <w:r>
        <w:rPr>
          <w:rFonts w:hint="eastAsia" w:asciiTheme="minorEastAsia" w:hAnsiTheme="minorEastAsia" w:eastAsiaTheme="minorEastAsia"/>
          <w:color w:val="auto"/>
          <w:highlight w:val="none"/>
        </w:rPr>
        <w:t xml:space="preserve">     </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招标纪律监督部门：南宁轨道交通运营有限公司纪检监察室</w:t>
      </w:r>
    </w:p>
    <w:p>
      <w:pPr>
        <w:spacing w:line="360" w:lineRule="auto"/>
        <w:ind w:firstLine="420" w:firstLineChars="200"/>
        <w:rPr>
          <w:rFonts w:asciiTheme="minorEastAsia" w:hAnsiTheme="minorEastAsia" w:eastAsiaTheme="minorEastAsia"/>
          <w:bCs/>
          <w:color w:val="auto"/>
          <w:szCs w:val="28"/>
          <w:highlight w:val="none"/>
        </w:rPr>
      </w:pPr>
      <w:r>
        <w:rPr>
          <w:rFonts w:hint="eastAsia" w:asciiTheme="minorEastAsia" w:hAnsiTheme="minorEastAsia" w:eastAsiaTheme="minorEastAsia"/>
          <w:color w:val="auto"/>
          <w:highlight w:val="none"/>
        </w:rPr>
        <w:t>电话：0771-2778084</w:t>
      </w:r>
      <w:r>
        <w:rPr>
          <w:rFonts w:asciiTheme="minorEastAsia" w:hAnsiTheme="minorEastAsia" w:eastAsiaTheme="minorEastAsia"/>
          <w:color w:val="auto"/>
          <w:sz w:val="44"/>
          <w:szCs w:val="48"/>
          <w:highlight w:val="none"/>
        </w:rPr>
        <w:br w:type="page"/>
      </w:r>
    </w:p>
    <w:p>
      <w:pPr>
        <w:pStyle w:val="4"/>
        <w:numPr>
          <w:ilvl w:val="0"/>
          <w:numId w:val="3"/>
        </w:numPr>
        <w:jc w:val="center"/>
        <w:rPr>
          <w:rFonts w:asciiTheme="minorEastAsia" w:hAnsiTheme="minorEastAsia" w:eastAsiaTheme="minorEastAsia"/>
          <w:color w:val="auto"/>
          <w:sz w:val="28"/>
          <w:szCs w:val="28"/>
          <w:highlight w:val="none"/>
        </w:rPr>
      </w:pPr>
      <w:bookmarkStart w:id="0" w:name="_Toc392862472"/>
      <w:bookmarkStart w:id="1" w:name="_Toc286386831"/>
      <w:bookmarkStart w:id="2" w:name="_Toc114052337"/>
      <w:bookmarkStart w:id="3" w:name="_Toc114052411"/>
      <w:bookmarkStart w:id="4" w:name="_Toc436771464"/>
      <w:bookmarkStart w:id="5" w:name="_Toc392862473"/>
      <w:r>
        <w:rPr>
          <w:rFonts w:hint="eastAsia" w:asciiTheme="minorEastAsia" w:hAnsiTheme="minorEastAsia" w:eastAsiaTheme="minorEastAsia"/>
          <w:color w:val="auto"/>
          <w:sz w:val="28"/>
          <w:szCs w:val="28"/>
          <w:highlight w:val="none"/>
        </w:rPr>
        <w:t>比选申请须知</w:t>
      </w:r>
      <w:bookmarkEnd w:id="0"/>
      <w:bookmarkEnd w:id="1"/>
      <w:bookmarkEnd w:id="2"/>
      <w:bookmarkEnd w:id="3"/>
      <w:bookmarkEnd w:id="4"/>
    </w:p>
    <w:p>
      <w:pPr>
        <w:pStyle w:val="2"/>
        <w:jc w:val="center"/>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比选申请须知前附表</w:t>
      </w:r>
    </w:p>
    <w:tbl>
      <w:tblPr>
        <w:tblStyle w:val="26"/>
        <w:tblW w:w="9152" w:type="dxa"/>
        <w:tblInd w:w="112" w:type="dxa"/>
        <w:tblLayout w:type="fixed"/>
        <w:tblCellMar>
          <w:top w:w="0" w:type="dxa"/>
          <w:left w:w="108" w:type="dxa"/>
          <w:bottom w:w="0" w:type="dxa"/>
          <w:right w:w="108" w:type="dxa"/>
        </w:tblCellMar>
      </w:tblPr>
      <w:tblGrid>
        <w:gridCol w:w="847"/>
        <w:gridCol w:w="1843"/>
        <w:gridCol w:w="6462"/>
      </w:tblGrid>
      <w:tr>
        <w:tblPrEx>
          <w:tblCellMar>
            <w:top w:w="0" w:type="dxa"/>
            <w:left w:w="108" w:type="dxa"/>
            <w:bottom w:w="0" w:type="dxa"/>
            <w:right w:w="108" w:type="dxa"/>
          </w:tblCellMar>
        </w:tblPrEx>
        <w:trPr>
          <w:trHeight w:val="428"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条款名称</w:t>
            </w:r>
          </w:p>
        </w:tc>
        <w:tc>
          <w:tcPr>
            <w:tcW w:w="6462"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比选人</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名称：南宁轨道交通运营有限公司</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地址：南宁市青秀区云景路</w:t>
            </w:r>
            <w:r>
              <w:rPr>
                <w:rFonts w:asciiTheme="minorEastAsia" w:hAnsiTheme="minorEastAsia" w:eastAsiaTheme="minorEastAsia"/>
                <w:color w:val="auto"/>
                <w:highlight w:val="none"/>
              </w:rPr>
              <w:t>83</w:t>
            </w:r>
            <w:r>
              <w:rPr>
                <w:rFonts w:hint="eastAsia" w:asciiTheme="minorEastAsia" w:hAnsiTheme="minorEastAsia" w:eastAsiaTheme="minorEastAsia"/>
                <w:color w:val="auto"/>
                <w:highlight w:val="none"/>
              </w:rPr>
              <w:t>号</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联系人：</w:t>
            </w:r>
            <w:r>
              <w:rPr>
                <w:rFonts w:hint="eastAsia" w:asciiTheme="minorEastAsia" w:hAnsiTheme="minorEastAsia" w:eastAsiaTheme="minorEastAsia"/>
                <w:color w:val="auto"/>
                <w:highlight w:val="none"/>
                <w:u w:val="single"/>
              </w:rPr>
              <w:t xml:space="preserve"> 王工、 魏工   </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联系电话：</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rPr>
              <w:t>0771-2778974、0771-2226975/0771-2362782</w:t>
            </w:r>
            <w:r>
              <w:rPr>
                <w:rFonts w:asciiTheme="minorEastAsia" w:hAnsiTheme="minorEastAsia" w:eastAsiaTheme="minorEastAsia"/>
                <w:color w:val="auto"/>
                <w:highlight w:val="none"/>
                <w:u w:val="single"/>
              </w:rPr>
              <w:t xml:space="preserve">   </w:t>
            </w:r>
          </w:p>
        </w:tc>
      </w:tr>
      <w:tr>
        <w:tblPrEx>
          <w:tblCellMar>
            <w:top w:w="0" w:type="dxa"/>
            <w:left w:w="108" w:type="dxa"/>
            <w:bottom w:w="0" w:type="dxa"/>
            <w:right w:w="108" w:type="dxa"/>
          </w:tblCellMar>
        </w:tblPrEx>
        <w:trPr>
          <w:trHeight w:val="352"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w:t>
            </w:r>
          </w:p>
        </w:tc>
        <w:tc>
          <w:tcPr>
            <w:tcW w:w="6462" w:type="dxa"/>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南宁轨道交通运营有限公司员工食堂除“四害”消杀服务采购项目</w:t>
            </w:r>
          </w:p>
        </w:tc>
      </w:tr>
      <w:tr>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项目编号</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202208030003</w:t>
            </w:r>
          </w:p>
        </w:tc>
      </w:tr>
      <w:tr>
        <w:tblPrEx>
          <w:tblCellMar>
            <w:top w:w="0" w:type="dxa"/>
            <w:left w:w="108" w:type="dxa"/>
            <w:bottom w:w="0" w:type="dxa"/>
            <w:right w:w="108" w:type="dxa"/>
          </w:tblCellMar>
        </w:tblPrEx>
        <w:trPr>
          <w:trHeight w:val="1214"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范围</w:t>
            </w:r>
          </w:p>
        </w:tc>
        <w:tc>
          <w:tcPr>
            <w:tcW w:w="646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color w:val="auto"/>
                <w:highlight w:val="none"/>
              </w:rPr>
            </w:pPr>
            <w:r>
              <w:rPr>
                <w:rFonts w:hint="eastAsia" w:cs="宋体" w:asciiTheme="minorEastAsia" w:hAnsiTheme="minorEastAsia" w:eastAsiaTheme="minorEastAsia"/>
                <w:color w:val="auto"/>
                <w:szCs w:val="21"/>
                <w:highlight w:val="none"/>
              </w:rPr>
              <w:t>对控制中心食堂、屯里车辆段食堂、西乡塘停车场食堂、安吉综合基地食堂、新村停车场食堂、心圩车辆段食堂、五象车辆段食堂、那洪车辆段食堂所辖范围区域的蚊、蝇、蟑、鼠四害进行消杀防治服务，包括餐厅、墙边地脚线、操作间、更衣室、收货区、卫生间、垃圾桶等食堂室内空间及食堂墙体以外30米范围内的绿化带、明沟暗渠、化粪池、隔油池、集水井、沉沙井等室外空间。</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服务期</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24个月                  </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资金来源</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企业自有资金</w:t>
            </w:r>
          </w:p>
        </w:tc>
      </w:tr>
      <w:tr>
        <w:tblPrEx>
          <w:tblCellMar>
            <w:top w:w="0" w:type="dxa"/>
            <w:left w:w="108" w:type="dxa"/>
            <w:bottom w:w="0" w:type="dxa"/>
            <w:right w:w="108" w:type="dxa"/>
          </w:tblCellMar>
        </w:tblPrEx>
        <w:trPr>
          <w:trHeight w:val="672"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上限控制价</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宋体" w:hAnsi="宋体"/>
                <w:color w:val="auto"/>
                <w:highlight w:val="none"/>
              </w:rPr>
              <w:t>上限控制价（不含税）</w:t>
            </w:r>
            <w:r>
              <w:rPr>
                <w:rFonts w:hint="eastAsia" w:asciiTheme="minorEastAsia" w:hAnsiTheme="minorEastAsia" w:eastAsiaTheme="minorEastAsia"/>
                <w:color w:val="auto"/>
                <w:highlight w:val="none"/>
              </w:rPr>
              <w:t>：</w:t>
            </w:r>
            <w:r>
              <w:rPr>
                <w:rFonts w:hint="eastAsia" w:ascii="宋体" w:hAnsi="宋体" w:cs="宋体"/>
                <w:color w:val="auto"/>
                <w:szCs w:val="21"/>
                <w:highlight w:val="none"/>
              </w:rPr>
              <w:t>人民币</w:t>
            </w:r>
            <w:r>
              <w:rPr>
                <w:rFonts w:hint="eastAsia" w:ascii="宋体" w:hAnsi="宋体" w:cs="宋体"/>
                <w:color w:val="auto"/>
                <w:szCs w:val="21"/>
                <w:highlight w:val="none"/>
                <w:u w:val="single"/>
              </w:rPr>
              <w:t>4</w:t>
            </w:r>
            <w:r>
              <w:rPr>
                <w:rFonts w:hint="eastAsia" w:ascii="宋体" w:hAnsi="宋体" w:cs="宋体"/>
                <w:color w:val="auto"/>
                <w:szCs w:val="21"/>
                <w:highlight w:val="none"/>
                <w:u w:val="single"/>
                <w:lang w:val="en-US" w:eastAsia="zh-CN"/>
              </w:rPr>
              <w:t>89</w:t>
            </w:r>
            <w:r>
              <w:rPr>
                <w:rFonts w:hint="eastAsia" w:ascii="宋体" w:hAnsi="宋体" w:cs="宋体"/>
                <w:color w:val="auto"/>
                <w:szCs w:val="21"/>
                <w:highlight w:val="none"/>
                <w:u w:val="single"/>
              </w:rPr>
              <w:t>000.00</w:t>
            </w:r>
            <w:r>
              <w:rPr>
                <w:rFonts w:hint="eastAsia" w:ascii="宋体" w:hAnsi="宋体" w:cs="宋体"/>
                <w:color w:val="auto"/>
                <w:szCs w:val="21"/>
                <w:highlight w:val="none"/>
              </w:rPr>
              <w:t>元，比选申请报价高于上限控制价（或分项上限控制价）的比选申请文件将按否决比选申请处理。</w:t>
            </w:r>
          </w:p>
        </w:tc>
      </w:tr>
      <w:tr>
        <w:tblPrEx>
          <w:tblCellMar>
            <w:top w:w="0" w:type="dxa"/>
            <w:left w:w="108" w:type="dxa"/>
            <w:bottom w:w="0" w:type="dxa"/>
            <w:right w:w="108" w:type="dxa"/>
          </w:tblCellMar>
        </w:tblPrEx>
        <w:trPr>
          <w:trHeight w:val="425"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比选申请人应具备的资格条件</w:t>
            </w:r>
          </w:p>
        </w:tc>
        <w:tc>
          <w:tcPr>
            <w:tcW w:w="6462" w:type="dxa"/>
            <w:tcBorders>
              <w:top w:val="single" w:color="auto" w:sz="4" w:space="0"/>
              <w:left w:val="nil"/>
              <w:bottom w:val="single" w:color="auto" w:sz="4" w:space="0"/>
              <w:right w:val="single" w:color="auto" w:sz="4" w:space="0"/>
            </w:tcBorders>
            <w:vAlign w:val="center"/>
          </w:tcPr>
          <w:p>
            <w:pPr>
              <w:spacing w:line="360" w:lineRule="auto"/>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（1）比选申请人为中华人民共和国境内依法设立的法人或其他组织。（若以分公司名义参与比选申请，必须出具总公司授权参与的证明。）</w:t>
            </w:r>
          </w:p>
          <w:p>
            <w:pPr>
              <w:spacing w:line="360" w:lineRule="auto"/>
              <w:jc w:val="left"/>
              <w:rPr>
                <w:rFonts w:hint="eastAsia"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（2）经营范围：包含虫害防治、消毒杀菌服务（以上项目除国家有专项规定外）</w:t>
            </w:r>
            <w:r>
              <w:rPr>
                <w:rFonts w:hint="eastAsia" w:cs="宋体" w:asciiTheme="minorEastAsia" w:hAnsiTheme="minorEastAsia" w:eastAsiaTheme="minorEastAsia"/>
                <w:color w:val="auto"/>
                <w:szCs w:val="21"/>
                <w:highlight w:val="none"/>
                <w:u w:val="none"/>
                <w:lang w:val="en-US" w:eastAsia="zh-CN"/>
              </w:rPr>
              <w:t>等类似范围</w:t>
            </w:r>
            <w:r>
              <w:rPr>
                <w:rFonts w:hint="eastAsia" w:cs="宋体" w:asciiTheme="minorEastAsia" w:hAnsiTheme="minorEastAsia" w:eastAsiaTheme="minorEastAsia"/>
                <w:color w:val="auto"/>
                <w:szCs w:val="21"/>
                <w:highlight w:val="none"/>
                <w:u w:val="none"/>
                <w:lang w:eastAsia="zh-CN"/>
              </w:rPr>
              <w:t>；</w:t>
            </w:r>
          </w:p>
          <w:p>
            <w:pPr>
              <w:spacing w:line="360" w:lineRule="auto"/>
              <w:jc w:val="left"/>
              <w:rPr>
                <w:color w:val="auto"/>
                <w:highlight w:val="none"/>
                <w:u w:val="none"/>
              </w:rPr>
            </w:pPr>
            <w:r>
              <w:rPr>
                <w:rFonts w:hint="eastAsia" w:cs="宋体" w:asciiTheme="minorEastAsia" w:hAnsiTheme="minorEastAsia" w:eastAsiaTheme="minorEastAsia"/>
                <w:color w:val="auto"/>
                <w:szCs w:val="21"/>
                <w:highlight w:val="none"/>
                <w:u w:val="none"/>
              </w:rPr>
              <w:t>（3）比选申请人自2018年1月1日起（自中标通知书或合同签署之日至本工程投标截止之日止）承担的</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rPr>
              <w:t>四害</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rPr>
              <w:t>消杀项目业绩</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lang w:val="en-US" w:eastAsia="zh-CN"/>
              </w:rPr>
              <w:t>至少1项业绩</w:t>
            </w:r>
            <w:r>
              <w:rPr>
                <w:rFonts w:hint="eastAsia" w:cs="宋体" w:asciiTheme="minorEastAsia" w:hAnsiTheme="minorEastAsia" w:eastAsiaTheme="minorEastAsia"/>
                <w:color w:val="auto"/>
                <w:szCs w:val="21"/>
                <w:highlight w:val="none"/>
                <w:u w:val="none"/>
                <w:lang w:eastAsia="zh-CN"/>
              </w:rPr>
              <w:t>；</w:t>
            </w:r>
          </w:p>
          <w:p>
            <w:pPr>
              <w:spacing w:line="360" w:lineRule="auto"/>
              <w:jc w:val="left"/>
              <w:rPr>
                <w:rStyle w:val="31"/>
                <w:rFonts w:hint="eastAsia" w:ascii="宋体" w:hAnsi="宋体" w:cs="宋体"/>
                <w:color w:val="auto"/>
                <w:sz w:val="24"/>
                <w:szCs w:val="24"/>
                <w:highlight w:val="none"/>
                <w:u w:val="none"/>
                <w:lang w:val="en-US" w:eastAsia="zh-CN"/>
              </w:rPr>
            </w:pPr>
            <w:r>
              <w:rPr>
                <w:rFonts w:hint="eastAsia"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lang w:val="en-US" w:eastAsia="zh-CN"/>
              </w:rPr>
              <w:t>4</w:t>
            </w:r>
            <w:r>
              <w:rPr>
                <w:rFonts w:hint="eastAsia" w:cs="宋体" w:asciiTheme="minorEastAsia" w:hAnsiTheme="minorEastAsia" w:eastAsiaTheme="minorEastAsia"/>
                <w:color w:val="auto"/>
                <w:szCs w:val="21"/>
                <w:highlight w:val="none"/>
              </w:rPr>
              <w:t>）</w:t>
            </w:r>
            <w:r>
              <w:rPr>
                <w:rFonts w:ascii="宋体" w:hAnsi="宋体" w:eastAsia="宋体" w:cs="宋体"/>
                <w:color w:val="auto"/>
                <w:sz w:val="24"/>
                <w:szCs w:val="24"/>
                <w:highlight w:val="none"/>
              </w:rPr>
              <w:t>比选申请人持有有害生物防治服务企业资质证书国家A级，可在国家标准化管理委员会</w:t>
            </w:r>
            <w:r>
              <w:rPr>
                <w:rFonts w:ascii="宋体" w:hAnsi="宋体" w:eastAsia="宋体" w:cs="宋体"/>
                <w:color w:val="auto"/>
                <w:sz w:val="24"/>
                <w:szCs w:val="24"/>
                <w:highlight w:val="none"/>
                <w:u w:val="none"/>
              </w:rPr>
              <w:t>（</w:t>
            </w:r>
            <w:r>
              <w:rPr>
                <w:rFonts w:ascii="宋体" w:hAnsi="宋体" w:eastAsia="宋体" w:cs="宋体"/>
                <w:color w:val="auto"/>
                <w:sz w:val="24"/>
                <w:szCs w:val="24"/>
                <w:highlight w:val="none"/>
                <w:u w:val="none"/>
              </w:rPr>
              <w:fldChar w:fldCharType="begin"/>
            </w:r>
            <w:r>
              <w:rPr>
                <w:rFonts w:ascii="宋体" w:hAnsi="宋体" w:eastAsia="宋体" w:cs="宋体"/>
                <w:color w:val="auto"/>
                <w:sz w:val="24"/>
                <w:szCs w:val="24"/>
                <w:highlight w:val="none"/>
                <w:u w:val="none"/>
              </w:rPr>
              <w:instrText xml:space="preserve"> HYPERLINK "http://www.sac.gov.cn/）环境管理体系认证证书" \t "_blank" </w:instrText>
            </w:r>
            <w:r>
              <w:rPr>
                <w:rFonts w:ascii="宋体" w:hAnsi="宋体" w:eastAsia="宋体" w:cs="宋体"/>
                <w:color w:val="auto"/>
                <w:sz w:val="24"/>
                <w:szCs w:val="24"/>
                <w:highlight w:val="none"/>
                <w:u w:val="none"/>
              </w:rPr>
              <w:fldChar w:fldCharType="separate"/>
            </w:r>
            <w:r>
              <w:rPr>
                <w:rStyle w:val="31"/>
                <w:rFonts w:ascii="宋体" w:hAnsi="宋体" w:eastAsia="宋体" w:cs="宋体"/>
                <w:color w:val="auto"/>
                <w:sz w:val="24"/>
                <w:szCs w:val="24"/>
                <w:highlight w:val="none"/>
                <w:u w:val="none"/>
              </w:rPr>
              <w:t>http://www.sac.gov.cn/）</w:t>
            </w:r>
            <w:r>
              <w:rPr>
                <w:rStyle w:val="31"/>
                <w:rFonts w:hint="eastAsia" w:ascii="宋体" w:hAnsi="宋体" w:cs="宋体"/>
                <w:color w:val="auto"/>
                <w:sz w:val="24"/>
                <w:szCs w:val="24"/>
                <w:highlight w:val="none"/>
                <w:u w:val="none"/>
                <w:lang w:val="en-US" w:eastAsia="zh-CN"/>
              </w:rPr>
              <w:t>查询，</w:t>
            </w:r>
            <w:r>
              <w:rPr>
                <w:rFonts w:hint="default" w:cs="宋体" w:asciiTheme="minorEastAsia" w:hAnsiTheme="minorEastAsia" w:eastAsiaTheme="minorEastAsia"/>
                <w:color w:val="auto"/>
                <w:szCs w:val="21"/>
                <w:highlight w:val="none"/>
                <w:u w:val="none"/>
              </w:rPr>
              <w:t>提供复印件，原件备查</w:t>
            </w:r>
            <w:r>
              <w:rPr>
                <w:rFonts w:hint="eastAsia" w:cs="宋体" w:asciiTheme="minorEastAsia" w:hAnsiTheme="minorEastAsia" w:eastAsiaTheme="minorEastAsia"/>
                <w:color w:val="auto"/>
                <w:szCs w:val="21"/>
                <w:highlight w:val="none"/>
                <w:u w:val="none"/>
                <w:lang w:eastAsia="zh-CN"/>
              </w:rPr>
              <w:t>；</w:t>
            </w:r>
          </w:p>
          <w:p>
            <w:pPr>
              <w:spacing w:line="360" w:lineRule="auto"/>
              <w:jc w:val="left"/>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lang w:val="en-US" w:eastAsia="zh-CN"/>
              </w:rPr>
              <w:t>5</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lang w:val="en-US" w:eastAsia="zh-CN"/>
              </w:rPr>
              <w:t>比选申请人持有</w:t>
            </w:r>
            <w:r>
              <w:rPr>
                <w:rStyle w:val="31"/>
                <w:rFonts w:ascii="宋体" w:hAnsi="宋体" w:eastAsia="宋体" w:cs="宋体"/>
                <w:color w:val="auto"/>
                <w:sz w:val="24"/>
                <w:szCs w:val="24"/>
                <w:highlight w:val="none"/>
                <w:u w:val="none"/>
              </w:rPr>
              <w:t>环境管理体系认证证书</w:t>
            </w:r>
            <w:r>
              <w:rPr>
                <w:rFonts w:ascii="宋体" w:hAnsi="宋体" w:eastAsia="宋体" w:cs="宋体"/>
                <w:color w:val="auto"/>
                <w:sz w:val="24"/>
                <w:szCs w:val="24"/>
                <w:highlight w:val="none"/>
                <w:u w:val="none"/>
              </w:rPr>
              <w:fldChar w:fldCharType="end"/>
            </w:r>
            <w:r>
              <w:rPr>
                <w:rFonts w:ascii="宋体" w:hAnsi="宋体" w:eastAsia="宋体" w:cs="宋体"/>
                <w:color w:val="auto"/>
                <w:sz w:val="24"/>
                <w:szCs w:val="24"/>
                <w:highlight w:val="none"/>
              </w:rPr>
              <w:t>，职业健康安全管理体系认证证书，质量管理体系认证证书。证书在国家认证认可监督管理委员会</w:t>
            </w:r>
            <w:r>
              <w:rPr>
                <w:rFonts w:hint="eastAsia" w:ascii="宋体" w:hAnsi="宋体" w:cs="宋体"/>
                <w:color w:val="auto"/>
                <w:sz w:val="24"/>
                <w:szCs w:val="24"/>
                <w:highlight w:val="none"/>
                <w:u w:val="none"/>
                <w:lang w:eastAsia="zh-CN"/>
              </w:rPr>
              <w:t>（</w:t>
            </w:r>
            <w:r>
              <w:rPr>
                <w:rFonts w:ascii="宋体" w:hAnsi="宋体" w:eastAsia="宋体" w:cs="宋体"/>
                <w:color w:val="auto"/>
                <w:sz w:val="24"/>
                <w:szCs w:val="24"/>
                <w:highlight w:val="none"/>
                <w:u w:val="none"/>
              </w:rPr>
              <w:fldChar w:fldCharType="begin"/>
            </w:r>
            <w:r>
              <w:rPr>
                <w:rFonts w:ascii="宋体" w:hAnsi="宋体" w:eastAsia="宋体" w:cs="宋体"/>
                <w:color w:val="auto"/>
                <w:sz w:val="24"/>
                <w:szCs w:val="24"/>
                <w:highlight w:val="none"/>
                <w:u w:val="none"/>
              </w:rPr>
              <w:instrText xml:space="preserve"> HYPERLINK "http://www.cnca.gov.cn/" \t "_blank" </w:instrText>
            </w:r>
            <w:r>
              <w:rPr>
                <w:rFonts w:ascii="宋体" w:hAnsi="宋体" w:eastAsia="宋体" w:cs="宋体"/>
                <w:color w:val="auto"/>
                <w:sz w:val="24"/>
                <w:szCs w:val="24"/>
                <w:highlight w:val="none"/>
                <w:u w:val="none"/>
              </w:rPr>
              <w:fldChar w:fldCharType="separate"/>
            </w:r>
            <w:r>
              <w:rPr>
                <w:rStyle w:val="31"/>
                <w:rFonts w:ascii="宋体" w:hAnsi="宋体" w:eastAsia="宋体" w:cs="宋体"/>
                <w:color w:val="auto"/>
                <w:sz w:val="24"/>
                <w:szCs w:val="24"/>
                <w:highlight w:val="none"/>
                <w:u w:val="none"/>
              </w:rPr>
              <w:t>http://www.cnca.gov.cn/</w:t>
            </w:r>
            <w:r>
              <w:rPr>
                <w:rFonts w:ascii="宋体" w:hAnsi="宋体" w:eastAsia="宋体" w:cs="宋体"/>
                <w:color w:val="auto"/>
                <w:sz w:val="24"/>
                <w:szCs w:val="24"/>
                <w:highlight w:val="none"/>
                <w:u w:val="none"/>
              </w:rPr>
              <w:fldChar w:fldCharType="end"/>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lang w:val="en-US" w:eastAsia="zh-CN"/>
              </w:rPr>
              <w:t>或</w:t>
            </w:r>
            <w:r>
              <w:rPr>
                <w:rFonts w:ascii="宋体" w:hAnsi="宋体" w:eastAsia="宋体" w:cs="宋体"/>
                <w:color w:val="auto"/>
                <w:sz w:val="24"/>
                <w:szCs w:val="24"/>
                <w:highlight w:val="none"/>
              </w:rPr>
              <w:t>亚马逊国际认证公示网（ https://www.aws-iso.com）</w:t>
            </w:r>
            <w:r>
              <w:rPr>
                <w:rFonts w:hint="eastAsia" w:ascii="宋体" w:hAnsi="宋体" w:cs="宋体"/>
                <w:color w:val="auto"/>
                <w:sz w:val="24"/>
                <w:szCs w:val="24"/>
                <w:highlight w:val="none"/>
                <w:lang w:val="en-US" w:eastAsia="zh-CN"/>
              </w:rPr>
              <w:t>查询</w:t>
            </w:r>
            <w:r>
              <w:rPr>
                <w:rFonts w:hint="eastAsia" w:cs="宋体" w:asciiTheme="minorEastAsia" w:hAnsiTheme="minorEastAsia" w:eastAsiaTheme="minorEastAsia"/>
                <w:color w:val="auto"/>
                <w:szCs w:val="21"/>
                <w:highlight w:val="none"/>
                <w:lang w:val="en-US" w:eastAsia="zh-CN"/>
              </w:rPr>
              <w:t>，</w:t>
            </w:r>
            <w:r>
              <w:rPr>
                <w:rFonts w:hint="default" w:cs="宋体" w:asciiTheme="minorEastAsia" w:hAnsiTheme="minorEastAsia" w:eastAsiaTheme="minorEastAsia"/>
                <w:color w:val="auto"/>
                <w:szCs w:val="21"/>
                <w:highlight w:val="none"/>
              </w:rPr>
              <w:t>提供复印件，原件备查</w:t>
            </w:r>
            <w:r>
              <w:rPr>
                <w:rFonts w:hint="eastAsia" w:cs="宋体" w:asciiTheme="minorEastAsia" w:hAnsiTheme="minorEastAsia" w:eastAsiaTheme="minorEastAsia"/>
                <w:color w:val="auto"/>
                <w:szCs w:val="21"/>
                <w:highlight w:val="none"/>
                <w:lang w:eastAsia="zh-CN"/>
              </w:rPr>
              <w:t>；</w:t>
            </w:r>
          </w:p>
          <w:p>
            <w:pPr>
              <w:spacing w:line="360" w:lineRule="auto"/>
              <w:jc w:val="left"/>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lang w:eastAsia="zh-CN"/>
              </w:rPr>
              <w:t>（</w:t>
            </w:r>
            <w:r>
              <w:rPr>
                <w:rFonts w:hint="eastAsia" w:cs="宋体" w:asciiTheme="minorEastAsia" w:hAnsiTheme="minorEastAsia" w:eastAsiaTheme="minorEastAsia"/>
                <w:color w:val="auto"/>
                <w:szCs w:val="21"/>
                <w:highlight w:val="none"/>
                <w:lang w:val="en-US" w:eastAsia="zh-CN"/>
              </w:rPr>
              <w:t>6）</w:t>
            </w:r>
            <w:r>
              <w:rPr>
                <w:rFonts w:hint="eastAsia" w:cs="宋体" w:asciiTheme="minorEastAsia" w:hAnsiTheme="minorEastAsia" w:eastAsiaTheme="minorEastAsia"/>
                <w:color w:val="auto"/>
                <w:szCs w:val="21"/>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line="360" w:lineRule="auto"/>
              <w:jc w:val="left"/>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lang w:val="en-US" w:eastAsia="zh-CN"/>
              </w:rPr>
              <w:t>7</w:t>
            </w:r>
            <w:r>
              <w:rPr>
                <w:rFonts w:hint="eastAsia" w:cs="宋体" w:asciiTheme="minorEastAsia" w:hAnsiTheme="minorEastAsia" w:eastAsiaTheme="minorEastAsia"/>
                <w:color w:val="auto"/>
                <w:szCs w:val="21"/>
                <w:highlight w:val="none"/>
              </w:rPr>
              <w:t>）单位负责人为同一人或者存在控股、管理关系的不同单位，不得参加同一标段比选申请或者未划分标段的同一比选项目比选申请；</w:t>
            </w:r>
          </w:p>
          <w:p>
            <w:pPr>
              <w:pStyle w:val="25"/>
              <w:spacing w:line="360" w:lineRule="auto"/>
              <w:ind w:left="0" w:leftChars="0" w:firstLine="0" w:firstLineChars="0"/>
              <w:rPr>
                <w:rFonts w:asciiTheme="minorEastAsia" w:hAnsiTheme="minorEastAsia" w:eastAsiaTheme="minorEastAsia"/>
                <w:color w:val="auto"/>
                <w:highlight w:val="none"/>
              </w:rPr>
            </w:pPr>
            <w:r>
              <w:rPr>
                <w:rFonts w:hint="eastAsia"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lang w:val="en-US" w:eastAsia="zh-CN"/>
              </w:rPr>
              <w:t>8</w:t>
            </w:r>
            <w:r>
              <w:rPr>
                <w:rFonts w:hint="eastAsia"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 w:val="21"/>
                <w:szCs w:val="21"/>
                <w:highlight w:val="none"/>
              </w:rPr>
              <w:t>本项目不接受联合体比选申请。</w:t>
            </w:r>
          </w:p>
        </w:tc>
      </w:tr>
      <w:tr>
        <w:tblPrEx>
          <w:tblCellMar>
            <w:top w:w="0" w:type="dxa"/>
            <w:left w:w="108" w:type="dxa"/>
            <w:bottom w:w="0" w:type="dxa"/>
            <w:right w:w="108" w:type="dxa"/>
          </w:tblCellMar>
        </w:tblPrEx>
        <w:trPr>
          <w:trHeight w:val="1169"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比选申请人要求澄清比选文件</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对比选文件提出疑问的截止时间：</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2023</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4</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17</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18时00分</w:t>
            </w:r>
            <w:bookmarkStart w:id="2063" w:name="_GoBack"/>
            <w:bookmarkEnd w:id="2063"/>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前。比选申请人不在规定期限内提出，比选人有权不予答复，或答复后比选申请截止时间由比选人确定是否顺延。</w:t>
            </w:r>
          </w:p>
          <w:p>
            <w:pPr>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比选文件澄清发布方式</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南宁轨道交通集团有限责任公司官网发布</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http://www.nngdjt.com)</w:t>
            </w:r>
          </w:p>
        </w:tc>
      </w:tr>
      <w:tr>
        <w:tblPrEx>
          <w:tblCellMar>
            <w:top w:w="0" w:type="dxa"/>
            <w:left w:w="108" w:type="dxa"/>
            <w:bottom w:w="0" w:type="dxa"/>
            <w:right w:w="108" w:type="dxa"/>
          </w:tblCellMar>
        </w:tblPrEx>
        <w:trPr>
          <w:trHeight w:val="88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比选申请人确认收到澄清的方式</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10</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构成比选申请文件的组成</w:t>
            </w:r>
          </w:p>
        </w:tc>
        <w:tc>
          <w:tcPr>
            <w:tcW w:w="6462" w:type="dxa"/>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比选申请文件组成部分：资格审查文件、价格文件、技术文件</w:t>
            </w:r>
          </w:p>
          <w:p>
            <w:pPr>
              <w:spacing w:line="276" w:lineRule="auto"/>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资格审查文件</w:t>
            </w:r>
          </w:p>
          <w:p>
            <w:pPr>
              <w:spacing w:line="276"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（1）法定代表人授权书（格式见A1）及法定代表人资格证明书（如无授权时，只需提供法定代表人资格证明书，格式见A2），法定代表人及被授权人身份证复印件；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（2）比选申请人有效的营业执照复印件；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（3）承诺书（格式见A3）；</w:t>
            </w:r>
          </w:p>
          <w:p>
            <w:pPr>
              <w:rPr>
                <w:rFonts w:cs="宋体"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）比选申请人资质证书复印件；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（5）比选申请人认为应提交的其他比选申请资料（如有）。</w:t>
            </w:r>
          </w:p>
          <w:p>
            <w:pPr>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价格文件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（1）比选申请报价一览表（格式见B1）；</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（2）比选申请函（格式见B2）；</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（3）比选申请报价表（格式见B3）；</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（4）比选申请人认为应提交的其他比选申请资料（如有）。</w:t>
            </w:r>
          </w:p>
          <w:p>
            <w:pPr>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技术文件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（1）比选响应表（格式见C1）</w:t>
            </w:r>
          </w:p>
          <w:p>
            <w:pPr>
              <w:rPr>
                <w:color w:val="auto"/>
                <w:highlight w:val="none"/>
              </w:rPr>
            </w:pPr>
            <w:r>
              <w:rPr>
                <w:rFonts w:hint="eastAsia" w:cs="宋体" w:asciiTheme="minorEastAsia" w:hAnsiTheme="minorEastAsia" w:eastAsiaTheme="minorEastAsia"/>
                <w:color w:val="auto"/>
                <w:highlight w:val="none"/>
              </w:rPr>
              <w:t>（2）比选申请人认为应提交的其他比选申请资料（如有）。</w:t>
            </w:r>
          </w:p>
        </w:tc>
      </w:tr>
      <w:tr>
        <w:tblPrEx>
          <w:tblCellMar>
            <w:top w:w="0" w:type="dxa"/>
            <w:left w:w="108" w:type="dxa"/>
            <w:bottom w:w="0" w:type="dxa"/>
            <w:right w:w="108" w:type="dxa"/>
          </w:tblCellMar>
        </w:tblPrEx>
        <w:trPr>
          <w:trHeight w:val="1021"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比选申请报价</w:t>
            </w:r>
          </w:p>
        </w:tc>
        <w:tc>
          <w:tcPr>
            <w:tcW w:w="6462"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Cs/>
                <w:color w:val="auto"/>
                <w:highlight w:val="none"/>
              </w:rPr>
              <w:t>本项目采用</w:t>
            </w:r>
            <w:r>
              <w:rPr>
                <w:rFonts w:hint="eastAsia" w:ascii="宋体" w:hAnsi="宋体"/>
                <w:bCs/>
                <w:color w:val="auto"/>
                <w:highlight w:val="none"/>
              </w:rPr>
              <w:t>不</w:t>
            </w:r>
            <w:r>
              <w:rPr>
                <w:rFonts w:ascii="宋体" w:hAnsi="宋体"/>
                <w:bCs/>
                <w:color w:val="auto"/>
                <w:highlight w:val="none"/>
              </w:rPr>
              <w:t>含税报价</w:t>
            </w:r>
            <w:r>
              <w:rPr>
                <w:rFonts w:hint="eastAsia" w:ascii="宋体" w:hAnsi="宋体"/>
                <w:bCs/>
                <w:color w:val="auto"/>
                <w:highlight w:val="none"/>
              </w:rPr>
              <w:t>，本合同最终税金在结算阶段，按实际产生的税金进行核算，但合同不含税价格不因国家税率调整而调整。</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（2）比选申请人须按第五章《用户需求书》中的技术需求及数量表的顺序填报比选申请报价，不允许打乱顺序。</w:t>
            </w:r>
          </w:p>
        </w:tc>
      </w:tr>
      <w:tr>
        <w:tblPrEx>
          <w:tblCellMar>
            <w:top w:w="0" w:type="dxa"/>
            <w:left w:w="108" w:type="dxa"/>
            <w:bottom w:w="0" w:type="dxa"/>
            <w:right w:w="108" w:type="dxa"/>
          </w:tblCellMar>
        </w:tblPrEx>
        <w:trPr>
          <w:trHeight w:val="45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比选申请保证金</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不要求递交比选申请保证金</w:t>
            </w:r>
          </w:p>
        </w:tc>
      </w:tr>
      <w:tr>
        <w:tblPrEx>
          <w:tblCellMar>
            <w:top w:w="0" w:type="dxa"/>
            <w:left w:w="108" w:type="dxa"/>
            <w:bottom w:w="0" w:type="dxa"/>
            <w:right w:w="108" w:type="dxa"/>
          </w:tblCellMar>
        </w:tblPrEx>
        <w:trPr>
          <w:trHeight w:val="45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宋体" w:hAnsi="宋体"/>
                <w:color w:val="auto"/>
                <w:highlight w:val="none"/>
              </w:rPr>
              <w:t>履约担保</w:t>
            </w:r>
          </w:p>
        </w:tc>
        <w:tc>
          <w:tcPr>
            <w:tcW w:w="6462"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履约担保的金额</w:t>
            </w:r>
            <w:r>
              <w:rPr>
                <w:rFonts w:hint="eastAsia" w:ascii="宋体" w:hAnsi="宋体"/>
                <w:color w:val="auto"/>
                <w:highlight w:val="none"/>
                <w:lang w:eastAsia="zh-CN"/>
              </w:rPr>
              <w:t>：</w:t>
            </w:r>
            <w:r>
              <w:rPr>
                <w:rFonts w:hint="eastAsia" w:ascii="宋体" w:hAnsi="宋体"/>
                <w:color w:val="auto"/>
                <w:highlight w:val="none"/>
              </w:rPr>
              <w:t>合同总价的2.</w:t>
            </w:r>
            <w:r>
              <w:rPr>
                <w:rFonts w:ascii="宋体" w:hAnsi="宋体"/>
                <w:color w:val="auto"/>
                <w:highlight w:val="none"/>
              </w:rPr>
              <w:t>5%</w:t>
            </w:r>
          </w:p>
          <w:p>
            <w:pPr>
              <w:rPr>
                <w:rFonts w:ascii="宋体" w:hAnsi="宋体"/>
                <w:color w:val="auto"/>
                <w:highlight w:val="none"/>
              </w:rPr>
            </w:pPr>
            <w:r>
              <w:rPr>
                <w:rFonts w:hint="eastAsia" w:ascii="宋体" w:hAnsi="宋体"/>
                <w:color w:val="auto"/>
                <w:highlight w:val="none"/>
              </w:rPr>
              <w:t>履约担保的形式：转账或电汇或银行保函。</w:t>
            </w:r>
          </w:p>
          <w:p>
            <w:pPr>
              <w:rPr>
                <w:rFonts w:ascii="宋体" w:hAnsi="宋体"/>
                <w:color w:val="auto"/>
                <w:highlight w:val="none"/>
              </w:rPr>
            </w:pPr>
            <w:r>
              <w:rPr>
                <w:rFonts w:hint="eastAsia" w:ascii="宋体" w:hAnsi="宋体"/>
                <w:color w:val="auto"/>
                <w:highlight w:val="none"/>
              </w:rPr>
              <w:t>银行保函由中国境内各商业银行支行及其以上的银行开具的银行保函。</w:t>
            </w:r>
          </w:p>
          <w:p>
            <w:pPr>
              <w:rPr>
                <w:rFonts w:ascii="宋体" w:hAnsi="宋体"/>
                <w:color w:val="auto"/>
                <w:highlight w:val="none"/>
              </w:rPr>
            </w:pPr>
            <w:r>
              <w:rPr>
                <w:rFonts w:hint="eastAsia" w:ascii="宋体" w:hAnsi="宋体"/>
                <w:color w:val="auto"/>
                <w:highlight w:val="none"/>
              </w:rPr>
              <w:t>递交地点：南宁市青秀区云景路83号。</w:t>
            </w:r>
          </w:p>
          <w:p>
            <w:pPr>
              <w:rPr>
                <w:rFonts w:ascii="宋体" w:hAnsi="宋体"/>
                <w:color w:val="auto"/>
                <w:highlight w:val="none"/>
              </w:rPr>
            </w:pPr>
            <w:r>
              <w:rPr>
                <w:rFonts w:hint="eastAsia" w:ascii="宋体" w:hAnsi="宋体"/>
                <w:color w:val="auto"/>
                <w:highlight w:val="none"/>
              </w:rPr>
              <w:t>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rPr>
                <w:rFonts w:ascii="宋体" w:hAnsi="宋体"/>
                <w:color w:val="auto"/>
                <w:highlight w:val="none"/>
              </w:rPr>
            </w:pPr>
            <w:r>
              <w:rPr>
                <w:rFonts w:hint="eastAsia" w:ascii="宋体" w:hAnsi="宋体"/>
                <w:color w:val="auto"/>
                <w:highlight w:val="none"/>
              </w:rPr>
              <w:t>备注：若中选人未在规定时间内足额缴纳履约担保，比选人有权取消其中选资格。</w:t>
            </w:r>
          </w:p>
          <w:p>
            <w:pPr>
              <w:rPr>
                <w:rFonts w:asciiTheme="minorEastAsia" w:hAnsiTheme="minorEastAsia" w:eastAsiaTheme="minorEastAsia"/>
                <w:color w:val="auto"/>
                <w:highlight w:val="none"/>
              </w:rPr>
            </w:pP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386" w:hRule="atLeast"/>
        </w:trPr>
        <w:tc>
          <w:tcPr>
            <w:tcW w:w="847"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p>
        </w:tc>
        <w:tc>
          <w:tcPr>
            <w:tcW w:w="1843" w:type="dxa"/>
            <w:tcBorders>
              <w:top w:val="single" w:color="auto" w:sz="4" w:space="0"/>
              <w:left w:val="nil"/>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比选申请有效期</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比选申请文件副本份数</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比选申请截止时间</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bookmarkStart w:id="6" w:name="CgwjmbEntity：KBSJ3_0"/>
            <w:r>
              <w:rPr>
                <w:rFonts w:asciiTheme="minorEastAsia" w:hAnsiTheme="minorEastAsia" w:eastAsiaTheme="minorEastAsia"/>
                <w:color w:val="auto"/>
                <w:highlight w:val="non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2023</w:t>
            </w:r>
            <w:r>
              <w:rPr>
                <w:rFonts w:hint="eastAsia" w:ascii="宋体" w:hAnsi="宋体"/>
                <w:color w:val="auto"/>
                <w:highlight w:val="none"/>
                <w:u w:val="single"/>
              </w:rPr>
              <w:t xml:space="preserve">  年</w:t>
            </w:r>
            <w:bookmarkEnd w:id="6"/>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4</w:t>
            </w:r>
            <w:r>
              <w:rPr>
                <w:rFonts w:hint="eastAsia" w:ascii="宋体" w:hAnsi="宋体"/>
                <w:color w:val="auto"/>
                <w:highlight w:val="none"/>
                <w:u w:val="single"/>
              </w:rPr>
              <w:t xml:space="preserve"> 月 </w:t>
            </w:r>
            <w:r>
              <w:rPr>
                <w:rFonts w:hint="eastAsia" w:ascii="宋体" w:hAnsi="宋体"/>
                <w:color w:val="auto"/>
                <w:highlight w:val="none"/>
                <w:u w:val="single"/>
                <w:lang w:val="en-US" w:eastAsia="zh-CN"/>
              </w:rPr>
              <w:t>28</w:t>
            </w:r>
            <w:r>
              <w:rPr>
                <w:rFonts w:hint="eastAsia" w:ascii="宋体" w:hAnsi="宋体"/>
                <w:color w:val="auto"/>
                <w:highlight w:val="none"/>
                <w:u w:val="single"/>
              </w:rPr>
              <w:t xml:space="preserve"> 日 </w:t>
            </w:r>
            <w:r>
              <w:rPr>
                <w:rFonts w:hint="eastAsia" w:ascii="宋体" w:hAnsi="宋体"/>
                <w:color w:val="auto"/>
                <w:highlight w:val="none"/>
                <w:u w:val="single"/>
                <w:lang w:val="en-US" w:eastAsia="zh-CN"/>
              </w:rPr>
              <w:t>9</w:t>
            </w:r>
            <w:r>
              <w:rPr>
                <w:rFonts w:hint="eastAsia" w:ascii="宋体" w:hAnsi="宋体"/>
                <w:color w:val="auto"/>
                <w:highlight w:val="none"/>
                <w:u w:val="single"/>
              </w:rPr>
              <w:t xml:space="preserve"> 时 </w:t>
            </w:r>
            <w:r>
              <w:rPr>
                <w:rFonts w:hint="eastAsia" w:ascii="宋体" w:hAnsi="宋体"/>
                <w:color w:val="auto"/>
                <w:highlight w:val="none"/>
                <w:u w:val="single"/>
                <w:lang w:val="en-US" w:eastAsia="zh-CN"/>
              </w:rPr>
              <w:t>30</w:t>
            </w:r>
            <w:r>
              <w:rPr>
                <w:rFonts w:hint="eastAsia" w:ascii="宋体" w:hAnsi="宋体"/>
                <w:color w:val="auto"/>
                <w:highlight w:val="none"/>
                <w:u w:val="single"/>
              </w:rPr>
              <w:t xml:space="preserve"> 分</w:t>
            </w:r>
          </w:p>
        </w:tc>
      </w:tr>
      <w:tr>
        <w:tblPrEx>
          <w:tblCellMar>
            <w:top w:w="0" w:type="dxa"/>
            <w:left w:w="108" w:type="dxa"/>
            <w:bottom w:w="0" w:type="dxa"/>
            <w:right w:w="108" w:type="dxa"/>
          </w:tblCellMar>
        </w:tblPrEx>
        <w:trPr>
          <w:trHeight w:val="66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递交比选申请文件地点</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单位：</w:t>
            </w:r>
            <w:r>
              <w:rPr>
                <w:rFonts w:asciiTheme="minorEastAsia" w:hAnsiTheme="minorEastAsia" w:eastAsiaTheme="minorEastAsia"/>
                <w:color w:val="auto"/>
                <w:highlight w:val="none"/>
              </w:rPr>
              <w:t>南宁轨道交通</w:t>
            </w:r>
            <w:r>
              <w:rPr>
                <w:rFonts w:hint="eastAsia" w:asciiTheme="minorEastAsia" w:hAnsiTheme="minorEastAsia" w:eastAsiaTheme="minorEastAsia"/>
                <w:color w:val="auto"/>
                <w:highlight w:val="none"/>
              </w:rPr>
              <w:t>运营</w:t>
            </w:r>
            <w:r>
              <w:rPr>
                <w:rFonts w:asciiTheme="minorEastAsia" w:hAnsiTheme="minorEastAsia" w:eastAsiaTheme="minorEastAsia"/>
                <w:color w:val="auto"/>
                <w:highlight w:val="none"/>
              </w:rPr>
              <w:t>有限公司</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地址：</w:t>
            </w:r>
            <w:r>
              <w:rPr>
                <w:rFonts w:ascii="宋体" w:hAnsi="宋体"/>
                <w:color w:val="auto"/>
                <w:highlight w:val="none"/>
              </w:rPr>
              <w:t>南宁市青秀区云景路</w:t>
            </w:r>
            <w:r>
              <w:rPr>
                <w:rFonts w:hint="eastAsia" w:ascii="宋体" w:hAnsi="宋体"/>
                <w:color w:val="auto"/>
                <w:highlight w:val="none"/>
              </w:rPr>
              <w:t>83</w:t>
            </w:r>
            <w:r>
              <w:rPr>
                <w:rFonts w:ascii="宋体" w:hAnsi="宋体"/>
                <w:color w:val="auto"/>
                <w:highlight w:val="none"/>
              </w:rPr>
              <w:t>号</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评审方法</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宋体" w:hAnsi="宋体" w:cs="Arial"/>
                <w:color w:val="auto"/>
                <w:highlight w:val="none"/>
              </w:rPr>
              <w:t>最低评审价法</w:t>
            </w:r>
            <w:r>
              <w:rPr>
                <w:rFonts w:hint="eastAsia" w:asciiTheme="minorEastAsia" w:hAnsiTheme="minorEastAsia" w:eastAsiaTheme="minorEastAsia"/>
                <w:color w:val="auto"/>
                <w:highlight w:val="none"/>
              </w:rPr>
              <w:t>（评审价以不含税总报价为基准）</w:t>
            </w:r>
          </w:p>
        </w:tc>
      </w:tr>
      <w:tr>
        <w:tblPrEx>
          <w:tblCellMar>
            <w:top w:w="0" w:type="dxa"/>
            <w:left w:w="108" w:type="dxa"/>
            <w:bottom w:w="0" w:type="dxa"/>
            <w:right w:w="108" w:type="dxa"/>
          </w:tblCellMar>
        </w:tblPrEx>
        <w:trPr>
          <w:trHeight w:val="579"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放弃中选人资格</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w:t>
            </w:r>
          </w:p>
        </w:tc>
        <w:tc>
          <w:tcPr>
            <w:tcW w:w="1843" w:type="dxa"/>
            <w:vMerge w:val="restart"/>
            <w:tcBorders>
              <w:top w:val="single" w:color="auto" w:sz="4" w:space="0"/>
              <w:left w:val="nil"/>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需要补充的其他内容</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1.比选申请人在递交比选申请文件时，同时递交比选申请文件电子版。</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2.比选申请文件电子版内容：</w:t>
            </w:r>
            <w:r>
              <w:rPr>
                <w:rFonts w:hint="eastAsia" w:cs="Arial" w:asciiTheme="minorEastAsia" w:hAnsiTheme="minorEastAsia" w:eastAsiaTheme="minorEastAsia"/>
                <w:color w:val="auto"/>
                <w:highlight w:val="none"/>
              </w:rPr>
              <w:t>资格审查文件、价格文件和技术文件</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比选申请文件电子版份数：1份。</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比选申请文件电子版形式：每份包括</w:t>
            </w:r>
            <w:r>
              <w:rPr>
                <w:rFonts w:asciiTheme="minorEastAsia" w:hAnsiTheme="minorEastAsia" w:eastAsiaTheme="minorEastAsia"/>
                <w:color w:val="auto"/>
                <w:highlight w:val="none"/>
              </w:rPr>
              <w:t>office</w:t>
            </w:r>
            <w:r>
              <w:rPr>
                <w:rFonts w:hint="eastAsia" w:asciiTheme="minorEastAsia" w:hAnsiTheme="minorEastAsia" w:eastAsiaTheme="minorEastAsia"/>
                <w:color w:val="auto"/>
                <w:highlight w:val="none"/>
              </w:rPr>
              <w:t>版本（文本内容为</w:t>
            </w:r>
            <w:r>
              <w:rPr>
                <w:rFonts w:asciiTheme="minorEastAsia" w:hAnsiTheme="minorEastAsia" w:eastAsiaTheme="minorEastAsia"/>
                <w:color w:val="auto"/>
                <w:highlight w:val="none"/>
              </w:rPr>
              <w:t>Word</w:t>
            </w:r>
            <w:r>
              <w:rPr>
                <w:rFonts w:hint="eastAsia" w:asciiTheme="minorEastAsia" w:hAnsiTheme="minorEastAsia" w:eastAsiaTheme="minorEastAsia"/>
                <w:color w:val="auto"/>
                <w:highlight w:val="none"/>
              </w:rPr>
              <w:t>格式，工程量清单为</w:t>
            </w:r>
            <w:r>
              <w:rPr>
                <w:rFonts w:asciiTheme="minorEastAsia" w:hAnsiTheme="minorEastAsia" w:eastAsiaTheme="minorEastAsia"/>
                <w:color w:val="auto"/>
                <w:highlight w:val="none"/>
              </w:rPr>
              <w:t>word</w:t>
            </w:r>
            <w:r>
              <w:rPr>
                <w:rFonts w:hint="eastAsia" w:asciiTheme="minorEastAsia" w:hAnsiTheme="minorEastAsia" w:eastAsiaTheme="minorEastAsia"/>
                <w:color w:val="auto"/>
                <w:highlight w:val="none"/>
              </w:rPr>
              <w:t>或</w:t>
            </w:r>
            <w:r>
              <w:rPr>
                <w:rFonts w:asciiTheme="minorEastAsia" w:hAnsiTheme="minorEastAsia" w:eastAsiaTheme="minorEastAsia"/>
                <w:color w:val="auto"/>
                <w:highlight w:val="none"/>
              </w:rPr>
              <w:t>Excel</w:t>
            </w:r>
            <w:r>
              <w:rPr>
                <w:rFonts w:hint="eastAsia" w:asciiTheme="minorEastAsia" w:hAnsiTheme="minorEastAsia" w:eastAsiaTheme="minorEastAsia"/>
                <w:color w:val="auto"/>
                <w:highlight w:val="none"/>
              </w:rPr>
              <w:t>格式）的全套比选申请文件</w:t>
            </w:r>
            <w:r>
              <w:rPr>
                <w:rFonts w:hint="eastAsia" w:asciiTheme="minorEastAsia" w:hAnsiTheme="minorEastAsia" w:eastAsiaTheme="minorEastAsia"/>
                <w:color w:val="auto"/>
                <w:highlight w:val="none"/>
                <w:lang w:eastAsia="zh-CN"/>
              </w:rPr>
              <w:t>（</w:t>
            </w:r>
            <w:r>
              <w:rPr>
                <w:rFonts w:hint="eastAsia" w:cs="Arial" w:asciiTheme="minorEastAsia" w:hAnsiTheme="minorEastAsia" w:eastAsiaTheme="minorEastAsia"/>
                <w:color w:val="auto"/>
                <w:highlight w:val="none"/>
              </w:rPr>
              <w:t>资格审查文件、价格文件和技术文件</w:t>
            </w:r>
            <w:r>
              <w:rPr>
                <w:rFonts w:hint="eastAsia" w:cs="Arial"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和盖章后的全套比选申请文件</w:t>
            </w:r>
            <w:r>
              <w:rPr>
                <w:rFonts w:hint="eastAsia" w:asciiTheme="minorEastAsia" w:hAnsiTheme="minorEastAsia" w:eastAsiaTheme="minorEastAsia"/>
                <w:color w:val="auto"/>
                <w:highlight w:val="none"/>
                <w:lang w:eastAsia="zh-CN"/>
              </w:rPr>
              <w:t>（</w:t>
            </w:r>
            <w:r>
              <w:rPr>
                <w:rFonts w:hint="eastAsia" w:cs="Arial" w:asciiTheme="minorEastAsia" w:hAnsiTheme="minorEastAsia" w:eastAsiaTheme="minorEastAsia"/>
                <w:color w:val="auto"/>
                <w:highlight w:val="none"/>
              </w:rPr>
              <w:t>资格审查文件、价格文件和技术文件</w:t>
            </w:r>
            <w:r>
              <w:rPr>
                <w:rFonts w:hint="eastAsia" w:cs="Arial"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正本的</w:t>
            </w:r>
            <w:r>
              <w:rPr>
                <w:rFonts w:asciiTheme="minorEastAsia" w:hAnsiTheme="minorEastAsia" w:eastAsiaTheme="minorEastAsia"/>
                <w:color w:val="auto"/>
                <w:highlight w:val="none"/>
              </w:rPr>
              <w:t>PDF</w:t>
            </w:r>
            <w:r>
              <w:rPr>
                <w:rFonts w:hint="eastAsia" w:asciiTheme="minorEastAsia" w:hAnsiTheme="minorEastAsia" w:eastAsiaTheme="minorEastAsia"/>
                <w:color w:val="auto"/>
                <w:highlight w:val="none"/>
              </w:rPr>
              <w:t>版本扫描件。</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保存介质：</w:t>
            </w:r>
            <w:r>
              <w:rPr>
                <w:rFonts w:asciiTheme="minorEastAsia" w:hAnsiTheme="minorEastAsia" w:eastAsiaTheme="minorEastAsia"/>
                <w:color w:val="auto"/>
                <w:highlight w:val="none"/>
              </w:rPr>
              <w:t>U</w:t>
            </w:r>
            <w:r>
              <w:rPr>
                <w:rFonts w:hint="eastAsia" w:asciiTheme="minorEastAsia" w:hAnsiTheme="minorEastAsia" w:eastAsiaTheme="minorEastAsia"/>
                <w:color w:val="auto"/>
                <w:highlight w:val="none"/>
              </w:rPr>
              <w:t>盘。</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rPr>
                <w:rFonts w:asciiTheme="minorEastAsia" w:hAnsiTheme="minorEastAsia" w:eastAsiaTheme="minorEastAsia"/>
                <w:color w:val="auto"/>
                <w:highlight w:val="none"/>
              </w:rPr>
            </w:pPr>
          </w:p>
        </w:tc>
        <w:tc>
          <w:tcPr>
            <w:tcW w:w="1843" w:type="dxa"/>
            <w:vMerge w:val="continue"/>
            <w:tcBorders>
              <w:left w:val="nil"/>
              <w:right w:val="single" w:color="auto" w:sz="4" w:space="0"/>
            </w:tcBorders>
            <w:vAlign w:val="center"/>
          </w:tcPr>
          <w:p>
            <w:pPr>
              <w:rPr>
                <w:rFonts w:asciiTheme="minorEastAsia" w:hAnsiTheme="minorEastAsia" w:eastAsiaTheme="minorEastAsia"/>
                <w:color w:val="auto"/>
                <w:highlight w:val="none"/>
              </w:rPr>
            </w:pP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1.本比选文件中描述比选申请人的</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公章</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2.本比选文件中描述比选申请人的</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签字</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p>
        </w:tc>
        <w:tc>
          <w:tcPr>
            <w:tcW w:w="1843" w:type="dxa"/>
            <w:vMerge w:val="continue"/>
            <w:tcBorders>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1.本项目比选文件的最终解释权归比选人。</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签订本项目合同时，中选人须按比选人要求，与资金支付方签订三方支付协议。</w:t>
            </w:r>
          </w:p>
        </w:tc>
      </w:tr>
      <w:bookmarkEnd w:id="5"/>
    </w:tbl>
    <w:p>
      <w:pPr>
        <w:pStyle w:val="5"/>
        <w:spacing w:after="0" w:line="360" w:lineRule="auto"/>
        <w:ind w:firstLine="482" w:firstLineChars="200"/>
        <w:rPr>
          <w:rFonts w:asciiTheme="minorEastAsia" w:hAnsiTheme="minorEastAsia" w:eastAsiaTheme="minorEastAsia"/>
          <w:color w:val="auto"/>
          <w:sz w:val="24"/>
          <w:szCs w:val="24"/>
          <w:highlight w:val="none"/>
        </w:rPr>
      </w:pPr>
      <w:bookmarkStart w:id="7" w:name="_Toc25750590"/>
      <w:bookmarkStart w:id="8" w:name="_Toc114052339"/>
      <w:bookmarkStart w:id="9" w:name="_Toc114052413"/>
      <w:bookmarkStart w:id="10" w:name="_Toc392862474"/>
      <w:bookmarkStart w:id="11" w:name="_Toc286386833"/>
      <w:r>
        <w:rPr>
          <w:rFonts w:hint="eastAsia" w:asciiTheme="minorEastAsia" w:hAnsiTheme="minorEastAsia" w:eastAsiaTheme="minorEastAsia"/>
          <w:color w:val="auto"/>
          <w:sz w:val="24"/>
          <w:szCs w:val="24"/>
          <w:highlight w:val="none"/>
        </w:rPr>
        <w:t>一、</w:t>
      </w:r>
      <w:r>
        <w:rPr>
          <w:rFonts w:asciiTheme="minorEastAsia" w:hAnsiTheme="minorEastAsia" w:eastAsiaTheme="minorEastAsia"/>
          <w:color w:val="auto"/>
          <w:sz w:val="24"/>
          <w:szCs w:val="24"/>
          <w:highlight w:val="none"/>
        </w:rPr>
        <w:t>说明</w:t>
      </w:r>
      <w:bookmarkEnd w:id="7"/>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12" w:name="_Toc17845"/>
      <w:bookmarkStart w:id="13" w:name="_Toc375039064"/>
      <w:bookmarkStart w:id="14" w:name="_Toc5495"/>
      <w:bookmarkStart w:id="15" w:name="_Toc7778"/>
      <w:bookmarkStart w:id="16" w:name="_Toc14066"/>
      <w:bookmarkStart w:id="17" w:name="_Toc8166"/>
      <w:bookmarkStart w:id="18" w:name="_Toc390098419"/>
      <w:bookmarkStart w:id="19" w:name="_Toc12983505"/>
      <w:bookmarkStart w:id="20" w:name="_Toc9366"/>
      <w:bookmarkStart w:id="21" w:name="_Toc3364"/>
      <w:bookmarkStart w:id="22" w:name="_Toc463"/>
      <w:bookmarkStart w:id="23" w:name="_Toc11224"/>
      <w:bookmarkStart w:id="24" w:name="_Toc27079"/>
      <w:bookmarkStart w:id="25" w:name="_Toc6861"/>
      <w:bookmarkStart w:id="26" w:name="_Toc383891168"/>
      <w:bookmarkStart w:id="27" w:name="_Toc12526"/>
      <w:bookmarkStart w:id="28" w:name="_Toc28326"/>
      <w:bookmarkStart w:id="29" w:name="_Toc21139"/>
      <w:bookmarkStart w:id="30" w:name="_Toc31563"/>
      <w:bookmarkStart w:id="31" w:name="_Toc25750591"/>
      <w:bookmarkStart w:id="32" w:name="_Toc385427793"/>
      <w:bookmarkStart w:id="33" w:name="_Toc492478718"/>
      <w:bookmarkStart w:id="34" w:name="_Toc30570"/>
      <w:bookmarkStart w:id="35" w:name="_Toc3804"/>
      <w:r>
        <w:rPr>
          <w:rFonts w:hint="eastAsia" w:asciiTheme="minorEastAsia" w:hAnsiTheme="minorEastAsia" w:eastAsiaTheme="minorEastAsia"/>
          <w:color w:val="auto"/>
          <w:sz w:val="21"/>
          <w:szCs w:val="21"/>
          <w:highlight w:val="none"/>
        </w:rPr>
        <w:t xml:space="preserve">1. </w:t>
      </w:r>
      <w:r>
        <w:rPr>
          <w:rFonts w:asciiTheme="minorEastAsia" w:hAnsiTheme="minorEastAsia" w:eastAsiaTheme="minorEastAsia"/>
          <w:color w:val="auto"/>
          <w:sz w:val="21"/>
          <w:szCs w:val="21"/>
          <w:highlight w:val="none"/>
        </w:rPr>
        <w:t>项目说明</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 比选人</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 项目名称</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 项目编号</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 比选范围：</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 服务期：</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 资金来源情况：</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 上限控制价</w:t>
      </w:r>
      <w:r>
        <w:rPr>
          <w:rFonts w:asciiTheme="minorEastAsia" w:hAnsiTheme="minorEastAsia" w:eastAsiaTheme="minorEastAsia"/>
          <w:color w:val="auto"/>
          <w:highlight w:val="none"/>
        </w:rPr>
        <w:t>：详见比选申请须知前附表。</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36" w:name="_Toc21874"/>
      <w:bookmarkStart w:id="37" w:name="_Toc10907"/>
      <w:bookmarkStart w:id="38" w:name="_Toc16860"/>
      <w:bookmarkStart w:id="39" w:name="_Toc1552"/>
      <w:bookmarkStart w:id="40" w:name="_Toc4780"/>
      <w:bookmarkStart w:id="41" w:name="_Toc6985"/>
      <w:bookmarkStart w:id="42" w:name="_Toc6038"/>
      <w:bookmarkStart w:id="43" w:name="_Toc31314"/>
      <w:bookmarkStart w:id="44" w:name="_Toc22987"/>
      <w:bookmarkStart w:id="45" w:name="_Toc8052"/>
      <w:bookmarkStart w:id="46" w:name="_Toc385427794"/>
      <w:bookmarkStart w:id="47" w:name="_Toc25750592"/>
      <w:bookmarkStart w:id="48" w:name="_Toc27845"/>
      <w:bookmarkStart w:id="49" w:name="_Toc12983506"/>
      <w:bookmarkStart w:id="50" w:name="_Toc390098420"/>
      <w:bookmarkStart w:id="51" w:name="_Toc27847"/>
      <w:bookmarkStart w:id="52" w:name="_Toc492478719"/>
      <w:bookmarkStart w:id="53" w:name="_Toc24429"/>
      <w:bookmarkStart w:id="54" w:name="_Toc383891169"/>
      <w:bookmarkStart w:id="55" w:name="_Toc375039065"/>
      <w:r>
        <w:rPr>
          <w:rFonts w:hint="eastAsia" w:asciiTheme="minorEastAsia" w:hAnsiTheme="minorEastAsia" w:eastAsiaTheme="minorEastAsia"/>
          <w:color w:val="auto"/>
          <w:sz w:val="21"/>
          <w:szCs w:val="21"/>
          <w:highlight w:val="none"/>
        </w:rPr>
        <w:t>2. 定义.</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本比选文件使用的下列词汇具有如下规定的意义。</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2.1 </w:t>
      </w:r>
      <w:r>
        <w:rPr>
          <w:rFonts w:asciiTheme="minorEastAsia" w:hAnsiTheme="minorEastAsia" w:eastAsiaTheme="minorEastAsia"/>
          <w:color w:val="auto"/>
          <w:highlight w:val="none"/>
        </w:rPr>
        <w:t>“比选人”系指提出</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采购</w:t>
      </w:r>
      <w:r>
        <w:rPr>
          <w:rFonts w:hint="eastAsia" w:asciiTheme="minorEastAsia" w:hAnsiTheme="minorEastAsia" w:eastAsiaTheme="minorEastAsia"/>
          <w:color w:val="auto"/>
          <w:highlight w:val="none"/>
        </w:rPr>
        <w:t>服务</w:t>
      </w:r>
      <w:r>
        <w:rPr>
          <w:rFonts w:asciiTheme="minorEastAsia" w:hAnsiTheme="minorEastAsia" w:eastAsiaTheme="minorEastAsia"/>
          <w:color w:val="auto"/>
          <w:highlight w:val="none"/>
        </w:rPr>
        <w:t>的国家机关、企业、事业单位或其它组织。本比选文件中比选人是指南宁轨道交通</w:t>
      </w:r>
      <w:r>
        <w:rPr>
          <w:rFonts w:hint="eastAsia" w:asciiTheme="minorEastAsia" w:hAnsiTheme="minorEastAsia" w:eastAsiaTheme="minorEastAsia"/>
          <w:color w:val="auto"/>
          <w:highlight w:val="none"/>
        </w:rPr>
        <w:t>运营</w:t>
      </w:r>
      <w:r>
        <w:rPr>
          <w:rFonts w:asciiTheme="minorEastAsia" w:hAnsiTheme="minorEastAsia" w:eastAsiaTheme="minorEastAsia"/>
          <w:color w:val="auto"/>
          <w:highlight w:val="none"/>
        </w:rPr>
        <w:t>有限公司。如无特别说明本比选文件中的“发包人、业主、甲方和比选人”均指：南宁轨道交通</w:t>
      </w:r>
      <w:r>
        <w:rPr>
          <w:rFonts w:hint="eastAsia" w:asciiTheme="minorEastAsia" w:hAnsiTheme="minorEastAsia" w:eastAsiaTheme="minorEastAsia"/>
          <w:color w:val="auto"/>
          <w:highlight w:val="none"/>
        </w:rPr>
        <w:t>运营</w:t>
      </w:r>
      <w:r>
        <w:rPr>
          <w:rFonts w:asciiTheme="minorEastAsia" w:hAnsiTheme="minorEastAsia" w:eastAsiaTheme="minorEastAsia"/>
          <w:color w:val="auto"/>
          <w:highlight w:val="none"/>
        </w:rPr>
        <w:t>有限公司。</w:t>
      </w:r>
    </w:p>
    <w:p>
      <w:pPr>
        <w:tabs>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 xml:space="preserve"> “比选申请人”</w:t>
      </w:r>
      <w:r>
        <w:rPr>
          <w:rFonts w:hint="eastAsia" w:asciiTheme="minorEastAsia" w:hAnsiTheme="minorEastAsia" w:eastAsiaTheme="minorEastAsia"/>
          <w:color w:val="auto"/>
          <w:highlight w:val="none"/>
        </w:rPr>
        <w:t>系指响应比选、参加比选申请竞争的法人</w:t>
      </w:r>
      <w:r>
        <w:rPr>
          <w:rFonts w:asciiTheme="minorEastAsia" w:hAnsiTheme="minorEastAsia" w:eastAsiaTheme="minorEastAsia"/>
          <w:color w:val="auto"/>
          <w:highlight w:val="none"/>
        </w:rPr>
        <w:t>。</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2.3 </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服务</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系指招标文件规定比选申请人须承担的一切合同标的内容及配套工作。</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2.4 </w:t>
      </w:r>
      <w:r>
        <w:rPr>
          <w:rFonts w:asciiTheme="minorEastAsia" w:hAnsiTheme="minorEastAsia" w:eastAsiaTheme="minorEastAsia"/>
          <w:color w:val="auto"/>
          <w:highlight w:val="none"/>
        </w:rPr>
        <w:t>“电子文件”系指将比选申请文件全部内容以</w:t>
      </w:r>
      <w:r>
        <w:rPr>
          <w:rFonts w:hint="eastAsia" w:asciiTheme="minorEastAsia" w:hAnsiTheme="minorEastAsia" w:eastAsiaTheme="minorEastAsia"/>
          <w:color w:val="auto"/>
          <w:highlight w:val="none"/>
        </w:rPr>
        <w:t>OFFICE</w:t>
      </w:r>
      <w:r>
        <w:rPr>
          <w:rFonts w:asciiTheme="minorEastAsia" w:hAnsiTheme="minorEastAsia" w:eastAsiaTheme="minorEastAsia"/>
          <w:color w:val="auto"/>
          <w:highlight w:val="none"/>
        </w:rPr>
        <w:t>的WORD、PROJECT、EXCEL等格式书写的可读电子介质</w:t>
      </w:r>
      <w:r>
        <w:rPr>
          <w:rFonts w:hint="eastAsia" w:asciiTheme="minorEastAsia" w:hAnsiTheme="minorEastAsia" w:eastAsiaTheme="minorEastAsia"/>
          <w:color w:val="auto"/>
          <w:highlight w:val="none"/>
        </w:rPr>
        <w:t>及PDF扫描版本（盖章版）</w:t>
      </w:r>
      <w:r>
        <w:rPr>
          <w:rFonts w:asciiTheme="minorEastAsia" w:hAnsiTheme="minorEastAsia" w:eastAsiaTheme="minorEastAsia"/>
          <w:color w:val="auto"/>
          <w:highlight w:val="none"/>
        </w:rPr>
        <w:t>。</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2.5 </w:t>
      </w:r>
      <w:r>
        <w:rPr>
          <w:rFonts w:asciiTheme="minorEastAsia" w:hAnsiTheme="minorEastAsia" w:eastAsiaTheme="minorEastAsia"/>
          <w:color w:val="auto"/>
          <w:highlight w:val="none"/>
        </w:rPr>
        <w:t>“书面形式”系指打字或印刷的函件，包括传真、电报等。</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2.6 </w:t>
      </w:r>
      <w:r>
        <w:rPr>
          <w:rFonts w:asciiTheme="minorEastAsia" w:hAnsiTheme="minorEastAsia" w:eastAsiaTheme="minorEastAsia"/>
          <w:color w:val="auto"/>
          <w:highlight w:val="none"/>
        </w:rPr>
        <w:t>“日</w:t>
      </w:r>
      <w:r>
        <w:rPr>
          <w:rFonts w:hint="eastAsia" w:asciiTheme="minorEastAsia" w:hAnsiTheme="minorEastAsia" w:eastAsiaTheme="minorEastAsia"/>
          <w:color w:val="auto"/>
          <w:highlight w:val="none"/>
          <w:lang w:eastAsia="zh-CN"/>
        </w:rPr>
        <w:t>”“</w:t>
      </w:r>
      <w:r>
        <w:rPr>
          <w:rFonts w:asciiTheme="minorEastAsia" w:hAnsiTheme="minorEastAsia" w:eastAsiaTheme="minorEastAsia"/>
          <w:color w:val="auto"/>
          <w:highlight w:val="none"/>
        </w:rPr>
        <w:t>天”系指日历天。</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56" w:name="_Toc390098421"/>
      <w:bookmarkStart w:id="57" w:name="_Toc385427795"/>
      <w:bookmarkStart w:id="58" w:name="_Toc375039066"/>
      <w:bookmarkStart w:id="59" w:name="_Toc492478720"/>
      <w:bookmarkStart w:id="60" w:name="_Toc383891170"/>
      <w:bookmarkStart w:id="61" w:name="_Toc25750593"/>
      <w:bookmarkStart w:id="62" w:name="_Toc30498"/>
      <w:bookmarkStart w:id="63" w:name="_Toc17568"/>
      <w:bookmarkStart w:id="64" w:name="_Toc7306"/>
      <w:bookmarkStart w:id="65" w:name="_Toc24844"/>
      <w:bookmarkStart w:id="66" w:name="_Toc7797"/>
      <w:bookmarkStart w:id="67" w:name="_Toc12940"/>
      <w:bookmarkStart w:id="68" w:name="_Toc29859"/>
      <w:bookmarkStart w:id="69" w:name="_Toc307"/>
      <w:bookmarkStart w:id="70" w:name="_Toc22115"/>
      <w:bookmarkStart w:id="71" w:name="_Toc10653"/>
      <w:bookmarkStart w:id="72" w:name="_Toc22845"/>
      <w:bookmarkStart w:id="73" w:name="_Toc17075"/>
      <w:bookmarkStart w:id="74" w:name="_Toc9929"/>
      <w:bookmarkStart w:id="75" w:name="_Toc29401"/>
      <w:bookmarkStart w:id="76" w:name="_Toc31477"/>
      <w:bookmarkStart w:id="77" w:name="_Toc8288"/>
      <w:bookmarkStart w:id="78" w:name="_Toc25786"/>
      <w:bookmarkStart w:id="79" w:name="_Toc12983507"/>
      <w:r>
        <w:rPr>
          <w:rFonts w:asciiTheme="minorEastAsia" w:hAnsiTheme="minorEastAsia" w:eastAsiaTheme="minorEastAsia"/>
          <w:color w:val="auto"/>
          <w:sz w:val="21"/>
          <w:szCs w:val="21"/>
          <w:highlight w:val="none"/>
        </w:rPr>
        <w:t>3. 比选申请人</w:t>
      </w:r>
      <w:bookmarkEnd w:id="56"/>
      <w:bookmarkEnd w:id="57"/>
      <w:bookmarkEnd w:id="58"/>
      <w:bookmarkEnd w:id="59"/>
      <w:bookmarkEnd w:id="60"/>
      <w:r>
        <w:rPr>
          <w:rFonts w:hint="eastAsia" w:asciiTheme="minorEastAsia" w:hAnsiTheme="minorEastAsia" w:eastAsiaTheme="minorEastAsia"/>
          <w:color w:val="auto"/>
          <w:sz w:val="21"/>
          <w:szCs w:val="21"/>
          <w:highlight w:val="none"/>
        </w:rPr>
        <w:t>应具备的资格条件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3.1 </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3.2 </w:t>
      </w:r>
      <w:r>
        <w:rPr>
          <w:rFonts w:hint="eastAsia" w:asciiTheme="minorEastAsia" w:hAnsiTheme="minorEastAsia" w:eastAsiaTheme="minorEastAsia"/>
          <w:color w:val="auto"/>
          <w:highlight w:val="none"/>
        </w:rPr>
        <w:t>比选申请人不得存在以下情况之一，否则其比选申请将被否决：</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）为比选人不具有独立法人资格的附属机构（单位）；</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（2）处于被责令停业，或比选申请资格被</w:t>
      </w:r>
      <w:r>
        <w:rPr>
          <w:rFonts w:hint="eastAsia" w:ascii="Times New Roman" w:hAnsi="Times New Roman"/>
          <w:color w:val="auto"/>
          <w:szCs w:val="21"/>
          <w:highlight w:val="none"/>
        </w:rPr>
        <w:t>中国银行保险监督管理委员会和中国保险监督管理委员会或其地方监管局</w:t>
      </w:r>
      <w:r>
        <w:rPr>
          <w:rFonts w:hint="eastAsia" w:asciiTheme="minorEastAsia" w:hAnsiTheme="minorEastAsia" w:eastAsiaTheme="minorEastAsia"/>
          <w:color w:val="auto"/>
          <w:highlight w:val="none"/>
        </w:rPr>
        <w:t>取消，或财产被接管、破产状态；</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（3）有骗取中选、严重违约或重大质量安全责任事故；</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（4）单位负责人为同一人或者存在控股、管理关系的不同单位，不得同时参加比选项目比选申请；</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（5）比选申请人向比选人或评审委员会成员以行贿的手段谋取中选的；</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（6）串通比选申请或弄虚作假或有其他违法行为的；</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（7）在比选申请文件中提供虚假文件和</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或资料的。</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80" w:name="_Toc375039067"/>
      <w:bookmarkStart w:id="81" w:name="_Toc19709"/>
      <w:bookmarkStart w:id="82" w:name="_Toc1125"/>
      <w:bookmarkStart w:id="83" w:name="_Toc25750594"/>
      <w:bookmarkStart w:id="84" w:name="_Toc18668"/>
      <w:bookmarkStart w:id="85" w:name="_Toc390098422"/>
      <w:bookmarkStart w:id="86" w:name="_Toc7103"/>
      <w:bookmarkStart w:id="87" w:name="_Toc21215"/>
      <w:bookmarkStart w:id="88" w:name="_Toc616"/>
      <w:bookmarkStart w:id="89" w:name="_Toc7832"/>
      <w:bookmarkStart w:id="90" w:name="_Toc19081"/>
      <w:bookmarkStart w:id="91" w:name="_Toc383891171"/>
      <w:bookmarkStart w:id="92" w:name="_Toc23146"/>
      <w:bookmarkStart w:id="93" w:name="_Toc4438"/>
      <w:bookmarkStart w:id="94" w:name="_Toc3292"/>
      <w:bookmarkStart w:id="95" w:name="_Toc24103"/>
      <w:bookmarkStart w:id="96" w:name="_Toc385427796"/>
      <w:bookmarkStart w:id="97" w:name="_Toc21602"/>
      <w:bookmarkStart w:id="98" w:name="_Toc12983508"/>
      <w:bookmarkStart w:id="99" w:name="_Toc31789"/>
      <w:bookmarkStart w:id="100" w:name="_Toc1737"/>
      <w:bookmarkStart w:id="101" w:name="_Toc30752"/>
      <w:bookmarkStart w:id="102" w:name="_Toc492478721"/>
      <w:bookmarkStart w:id="103" w:name="_Toc25914"/>
      <w:r>
        <w:rPr>
          <w:rFonts w:hint="eastAsia" w:asciiTheme="minorEastAsia" w:hAnsiTheme="minorEastAsia" w:eastAsiaTheme="minorEastAsia"/>
          <w:color w:val="auto"/>
          <w:sz w:val="21"/>
          <w:szCs w:val="21"/>
          <w:highlight w:val="none"/>
        </w:rPr>
        <w:t xml:space="preserve">4. </w:t>
      </w:r>
      <w:r>
        <w:rPr>
          <w:rFonts w:asciiTheme="minorEastAsia" w:hAnsiTheme="minorEastAsia" w:eastAsiaTheme="minorEastAsia"/>
          <w:color w:val="auto"/>
          <w:sz w:val="21"/>
          <w:szCs w:val="21"/>
          <w:highlight w:val="none"/>
        </w:rPr>
        <w:t>比选申请费用</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比选申请人准备和参加比选申请活动发生的费用自理</w:t>
      </w:r>
      <w:r>
        <w:rPr>
          <w:rFonts w:asciiTheme="minorEastAsia" w:hAnsiTheme="minorEastAsia" w:eastAsiaTheme="minorEastAsia"/>
          <w:color w:val="auto"/>
          <w:highlight w:val="none"/>
        </w:rPr>
        <w:t>。</w:t>
      </w:r>
      <w:bookmarkStart w:id="104" w:name="_Toc5160"/>
      <w:bookmarkStart w:id="105" w:name="_Toc16530"/>
      <w:bookmarkStart w:id="106" w:name="_Toc25750595"/>
      <w:bookmarkStart w:id="107" w:name="_Toc492478722"/>
      <w:bookmarkStart w:id="108" w:name="_Toc18528"/>
      <w:bookmarkStart w:id="109" w:name="_Toc9677"/>
      <w:bookmarkStart w:id="110" w:name="_Toc2609"/>
      <w:bookmarkStart w:id="111" w:name="_Toc15763"/>
      <w:bookmarkStart w:id="112" w:name="_Toc28220"/>
      <w:bookmarkStart w:id="113" w:name="_Toc8562"/>
      <w:bookmarkStart w:id="114" w:name="_Toc390098423"/>
      <w:bookmarkStart w:id="115" w:name="_Toc5487"/>
      <w:bookmarkStart w:id="116" w:name="_Toc12983509"/>
      <w:bookmarkStart w:id="117" w:name="_Toc29160"/>
      <w:bookmarkStart w:id="118" w:name="_Toc6528"/>
      <w:bookmarkStart w:id="119" w:name="_Toc375039068"/>
      <w:bookmarkStart w:id="120" w:name="_Toc19617"/>
      <w:bookmarkStart w:id="121" w:name="_Toc16131"/>
      <w:bookmarkStart w:id="122" w:name="_Toc385427797"/>
      <w:bookmarkStart w:id="123" w:name="_Toc383891172"/>
      <w:bookmarkStart w:id="124" w:name="_Toc3854"/>
      <w:bookmarkStart w:id="125" w:name="_Toc16608"/>
      <w:bookmarkStart w:id="126" w:name="_Toc2986"/>
      <w:bookmarkStart w:id="127" w:name="_Toc7339"/>
    </w:p>
    <w:p>
      <w:pPr>
        <w:tabs>
          <w:tab w:val="left" w:pos="1134"/>
          <w:tab w:val="left" w:pos="8364"/>
        </w:tabs>
        <w:spacing w:line="360" w:lineRule="auto"/>
        <w:ind w:firstLine="482"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二、</w:t>
      </w:r>
      <w:r>
        <w:rPr>
          <w:rFonts w:asciiTheme="minorEastAsia" w:hAnsiTheme="minorEastAsia" w:eastAsiaTheme="minorEastAsia"/>
          <w:b/>
          <w:bCs/>
          <w:color w:val="auto"/>
          <w:sz w:val="24"/>
          <w:szCs w:val="24"/>
          <w:highlight w:val="none"/>
        </w:rPr>
        <w:t>比选文件</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Theme="minorEastAsia" w:hAnsiTheme="minorEastAsia" w:eastAsiaTheme="minorEastAsia"/>
          <w:b/>
          <w:bCs/>
          <w:color w:val="auto"/>
          <w:sz w:val="24"/>
          <w:szCs w:val="24"/>
          <w:highlight w:val="none"/>
        </w:rPr>
        <w:t xml:space="preserve"> </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128" w:name="_Toc5877"/>
      <w:bookmarkStart w:id="129" w:name="_Toc27870"/>
      <w:bookmarkStart w:id="130" w:name="_Toc25750596"/>
      <w:bookmarkStart w:id="131" w:name="_Toc6764"/>
      <w:bookmarkStart w:id="132" w:name="_Toc21811"/>
      <w:bookmarkStart w:id="133" w:name="_Toc6637"/>
      <w:bookmarkStart w:id="134" w:name="_Toc30401"/>
      <w:bookmarkStart w:id="135" w:name="_Toc9756"/>
      <w:bookmarkStart w:id="136" w:name="_Toc19561"/>
      <w:bookmarkStart w:id="137" w:name="_Toc26333"/>
      <w:bookmarkStart w:id="138" w:name="_Toc839"/>
      <w:bookmarkStart w:id="139" w:name="_Toc18436"/>
      <w:bookmarkStart w:id="140" w:name="_Toc29472"/>
      <w:bookmarkStart w:id="141" w:name="_Toc385427798"/>
      <w:bookmarkStart w:id="142" w:name="_Toc12983510"/>
      <w:bookmarkStart w:id="143" w:name="_Toc492478723"/>
      <w:bookmarkStart w:id="144" w:name="_Toc390098424"/>
      <w:bookmarkStart w:id="145" w:name="_Toc375039069"/>
      <w:bookmarkStart w:id="146" w:name="_Toc29225"/>
      <w:bookmarkStart w:id="147" w:name="_Toc383891173"/>
      <w:bookmarkStart w:id="148" w:name="_Toc25378"/>
      <w:bookmarkStart w:id="149" w:name="_Toc32710"/>
      <w:bookmarkStart w:id="150" w:name="_Toc4157"/>
      <w:bookmarkStart w:id="151" w:name="_Toc13114"/>
      <w:r>
        <w:rPr>
          <w:rFonts w:hint="eastAsia" w:asciiTheme="minorEastAsia" w:hAnsiTheme="minorEastAsia" w:eastAsiaTheme="minorEastAsia"/>
          <w:color w:val="auto"/>
          <w:sz w:val="21"/>
          <w:szCs w:val="21"/>
          <w:highlight w:val="none"/>
        </w:rPr>
        <w:t xml:space="preserve">5. </w:t>
      </w:r>
      <w:r>
        <w:rPr>
          <w:rFonts w:asciiTheme="minorEastAsia" w:hAnsiTheme="minorEastAsia" w:eastAsiaTheme="minorEastAsia"/>
          <w:color w:val="auto"/>
          <w:sz w:val="21"/>
          <w:szCs w:val="21"/>
          <w:highlight w:val="none"/>
        </w:rPr>
        <w:t>比选文件构成</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5.1 </w:t>
      </w:r>
      <w:r>
        <w:rPr>
          <w:rFonts w:asciiTheme="minorEastAsia" w:hAnsiTheme="minorEastAsia" w:eastAsiaTheme="minorEastAsia"/>
          <w:color w:val="auto"/>
          <w:highlight w:val="none"/>
        </w:rPr>
        <w:t>比选文件包括下列内容：</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第一章 </w:t>
      </w:r>
      <w:r>
        <w:rPr>
          <w:rFonts w:asciiTheme="minorEastAsia" w:hAnsiTheme="minorEastAsia" w:eastAsiaTheme="minorEastAsia"/>
          <w:color w:val="auto"/>
          <w:highlight w:val="none"/>
        </w:rPr>
        <w:t>比选公告</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第二章 </w:t>
      </w:r>
      <w:r>
        <w:rPr>
          <w:rFonts w:asciiTheme="minorEastAsia" w:hAnsiTheme="minorEastAsia" w:eastAsiaTheme="minorEastAsia"/>
          <w:color w:val="auto"/>
          <w:highlight w:val="none"/>
        </w:rPr>
        <w:t>比选申请须知</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第三章 </w:t>
      </w:r>
      <w:r>
        <w:rPr>
          <w:rFonts w:asciiTheme="minorEastAsia" w:hAnsiTheme="minorEastAsia" w:eastAsiaTheme="minorEastAsia"/>
          <w:color w:val="auto"/>
          <w:highlight w:val="none"/>
        </w:rPr>
        <w:t>合同条款</w:t>
      </w:r>
      <w:r>
        <w:rPr>
          <w:rFonts w:hint="eastAsia" w:asciiTheme="minorEastAsia" w:hAnsiTheme="minorEastAsia" w:eastAsiaTheme="minorEastAsia"/>
          <w:color w:val="auto"/>
          <w:highlight w:val="none"/>
        </w:rPr>
        <w:t>及格式</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第四章 </w:t>
      </w:r>
      <w:r>
        <w:rPr>
          <w:rFonts w:asciiTheme="minorEastAsia" w:hAnsiTheme="minorEastAsia" w:eastAsiaTheme="minorEastAsia"/>
          <w:color w:val="auto"/>
          <w:highlight w:val="none"/>
        </w:rPr>
        <w:t>比选申请文件格式</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第五章 </w:t>
      </w:r>
      <w:r>
        <w:rPr>
          <w:rFonts w:asciiTheme="minorEastAsia" w:hAnsiTheme="minorEastAsia" w:eastAsiaTheme="minorEastAsia"/>
          <w:color w:val="auto"/>
          <w:highlight w:val="none"/>
        </w:rPr>
        <w:t>用户需求书</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第六章 </w:t>
      </w:r>
      <w:r>
        <w:rPr>
          <w:rFonts w:asciiTheme="minorEastAsia" w:hAnsiTheme="minorEastAsia" w:eastAsiaTheme="minorEastAsia"/>
          <w:color w:val="auto"/>
          <w:highlight w:val="none"/>
        </w:rPr>
        <w:t>评</w:t>
      </w:r>
      <w:r>
        <w:rPr>
          <w:rFonts w:hint="eastAsia" w:asciiTheme="minorEastAsia" w:hAnsiTheme="minorEastAsia" w:eastAsiaTheme="minorEastAsia"/>
          <w:color w:val="auto"/>
          <w:highlight w:val="none"/>
        </w:rPr>
        <w:t>分</w:t>
      </w:r>
      <w:r>
        <w:rPr>
          <w:rFonts w:asciiTheme="minorEastAsia" w:hAnsiTheme="minorEastAsia" w:eastAsiaTheme="minorEastAsia"/>
          <w:color w:val="auto"/>
          <w:highlight w:val="none"/>
        </w:rPr>
        <w:t>办法</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5.2 </w:t>
      </w:r>
      <w:r>
        <w:rPr>
          <w:rFonts w:asciiTheme="minorEastAsia" w:hAnsiTheme="minorEastAsia" w:eastAsiaTheme="minorEastAsia"/>
          <w:color w:val="auto"/>
          <w:highlight w:val="none"/>
        </w:rPr>
        <w:t>比选申请人应认真检阅比选文件中所有的章节、条款、格式、图纸、附表和附件等。如果在收到比选文件后发现有缺页、印刷不清楚或对其中内容不理解而未向</w:t>
      </w:r>
      <w:r>
        <w:rPr>
          <w:rFonts w:hint="eastAsia" w:asciiTheme="minorEastAsia" w:hAnsiTheme="minorEastAsia" w:eastAsiaTheme="minorEastAsia"/>
          <w:color w:val="auto"/>
          <w:highlight w:val="none"/>
        </w:rPr>
        <w:t>比选人</w:t>
      </w:r>
      <w:r>
        <w:rPr>
          <w:rFonts w:asciiTheme="minorEastAsia" w:hAnsiTheme="minorEastAsia" w:eastAsiaTheme="minorEastAsia"/>
          <w:color w:val="auto"/>
          <w:highlight w:val="none"/>
        </w:rPr>
        <w:t>提出，由此导致的比选申请失误，其责任由比选申请人自负。</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5.3 </w:t>
      </w:r>
      <w:r>
        <w:rPr>
          <w:rFonts w:asciiTheme="minorEastAsia" w:hAnsiTheme="minorEastAsia" w:eastAsiaTheme="minorEastAsia"/>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152" w:name="_Toc21365"/>
      <w:bookmarkStart w:id="153" w:name="_Toc383891174"/>
      <w:bookmarkStart w:id="154" w:name="_Toc2789"/>
      <w:bookmarkStart w:id="155" w:name="_Toc12983511"/>
      <w:bookmarkStart w:id="156" w:name="_Toc29001"/>
      <w:bookmarkStart w:id="157" w:name="_Toc2489"/>
      <w:bookmarkStart w:id="158" w:name="_Toc14426"/>
      <w:bookmarkStart w:id="159" w:name="_Toc17279"/>
      <w:bookmarkStart w:id="160" w:name="_Toc26909"/>
      <w:bookmarkStart w:id="161" w:name="_Toc25750597"/>
      <w:bookmarkStart w:id="162" w:name="_Toc492478724"/>
      <w:bookmarkStart w:id="163" w:name="_Toc385427799"/>
      <w:bookmarkStart w:id="164" w:name="_Toc18631"/>
      <w:bookmarkStart w:id="165" w:name="_Toc20903"/>
      <w:bookmarkStart w:id="166" w:name="_Toc390098425"/>
      <w:bookmarkStart w:id="167" w:name="_Toc26811"/>
      <w:bookmarkStart w:id="168" w:name="_Toc375039070"/>
      <w:bookmarkStart w:id="169" w:name="_Toc15154"/>
      <w:bookmarkStart w:id="170" w:name="_Toc10162"/>
      <w:bookmarkStart w:id="171" w:name="_Toc28270"/>
      <w:bookmarkStart w:id="172" w:name="_Toc2664"/>
      <w:bookmarkStart w:id="173" w:name="_Toc11896"/>
      <w:bookmarkStart w:id="174" w:name="_Toc31386"/>
      <w:bookmarkStart w:id="175" w:name="_Toc31848"/>
      <w:r>
        <w:rPr>
          <w:rFonts w:hint="eastAsia" w:asciiTheme="minorEastAsia" w:hAnsiTheme="minorEastAsia" w:eastAsiaTheme="minorEastAsia"/>
          <w:color w:val="auto"/>
          <w:sz w:val="21"/>
          <w:szCs w:val="21"/>
          <w:highlight w:val="none"/>
        </w:rPr>
        <w:t xml:space="preserve">6. </w:t>
      </w:r>
      <w:r>
        <w:rPr>
          <w:rFonts w:asciiTheme="minorEastAsia" w:hAnsiTheme="minorEastAsia" w:eastAsiaTheme="minorEastAsia"/>
          <w:color w:val="auto"/>
          <w:sz w:val="21"/>
          <w:szCs w:val="21"/>
          <w:highlight w:val="none"/>
        </w:rPr>
        <w:t>比选文件的澄清</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6.1 </w:t>
      </w:r>
      <w:r>
        <w:rPr>
          <w:rFonts w:asciiTheme="minorEastAsia" w:hAnsiTheme="minorEastAsia" w:eastAsiaTheme="minorEastAsia"/>
          <w:color w:val="auto"/>
          <w:highlight w:val="none"/>
        </w:rPr>
        <w:t>任何要求对比选文件进行澄清的比选申请人，应在比选申请须知前附表所规定的时间</w:t>
      </w:r>
      <w:r>
        <w:rPr>
          <w:rFonts w:hint="eastAsia" w:asciiTheme="minorEastAsia" w:hAnsiTheme="minorEastAsia" w:eastAsiaTheme="minorEastAsia"/>
          <w:color w:val="auto"/>
          <w:highlight w:val="none"/>
        </w:rPr>
        <w:t>及形式向比选人提出。</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6.2 比选人</w:t>
      </w:r>
      <w:r>
        <w:rPr>
          <w:rFonts w:asciiTheme="minorEastAsia" w:hAnsiTheme="minorEastAsia" w:eastAsiaTheme="minorEastAsia"/>
          <w:color w:val="auto"/>
          <w:highlight w:val="none"/>
        </w:rPr>
        <w:t>将根据比选申请人的</w:t>
      </w:r>
      <w:r>
        <w:rPr>
          <w:rFonts w:hint="eastAsia" w:asciiTheme="minorEastAsia" w:hAnsiTheme="minorEastAsia" w:eastAsiaTheme="minorEastAsia"/>
          <w:color w:val="auto"/>
          <w:highlight w:val="none"/>
        </w:rPr>
        <w:t>书面</w:t>
      </w:r>
      <w:r>
        <w:rPr>
          <w:rFonts w:asciiTheme="minorEastAsia" w:hAnsiTheme="minorEastAsia" w:eastAsiaTheme="minorEastAsia"/>
          <w:color w:val="auto"/>
          <w:highlight w:val="none"/>
        </w:rPr>
        <w:t>澄清要求</w:t>
      </w:r>
      <w:r>
        <w:rPr>
          <w:rFonts w:hint="eastAsia" w:asciiTheme="minorEastAsia" w:hAnsiTheme="minorEastAsia" w:eastAsiaTheme="minorEastAsia"/>
          <w:color w:val="auto"/>
          <w:highlight w:val="none"/>
        </w:rPr>
        <w:t>进行澄清答复，答复的方式及比选申请人确认的方式详见比选申请须知前附表，比选人</w:t>
      </w:r>
      <w:r>
        <w:rPr>
          <w:rFonts w:asciiTheme="minorEastAsia" w:hAnsiTheme="minorEastAsia" w:eastAsiaTheme="minorEastAsia"/>
          <w:color w:val="auto"/>
          <w:highlight w:val="none"/>
        </w:rPr>
        <w:t>只答复与比选文件内容有关的问题，并有权对任何与比选文件无关的问题不作回答。</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176" w:name="_Toc492478725"/>
      <w:bookmarkStart w:id="177" w:name="_Toc7063"/>
      <w:bookmarkStart w:id="178" w:name="_Toc29795"/>
      <w:bookmarkStart w:id="179" w:name="_Toc27124"/>
      <w:bookmarkStart w:id="180" w:name="_Toc385427800"/>
      <w:bookmarkStart w:id="181" w:name="_Toc19345"/>
      <w:bookmarkStart w:id="182" w:name="_Toc26952"/>
      <w:bookmarkStart w:id="183" w:name="_Toc15498"/>
      <w:bookmarkStart w:id="184" w:name="_Toc24191"/>
      <w:bookmarkStart w:id="185" w:name="_Toc383891175"/>
      <w:bookmarkStart w:id="186" w:name="_Toc24128"/>
      <w:bookmarkStart w:id="187" w:name="_Toc15137"/>
      <w:bookmarkStart w:id="188" w:name="_Toc2976"/>
      <w:bookmarkStart w:id="189" w:name="_Toc30378"/>
      <w:bookmarkStart w:id="190" w:name="_Toc375039071"/>
      <w:bookmarkStart w:id="191" w:name="_Toc2072"/>
      <w:bookmarkStart w:id="192" w:name="_Toc15674"/>
      <w:bookmarkStart w:id="193" w:name="_Toc25750598"/>
      <w:bookmarkStart w:id="194" w:name="_Toc24583"/>
      <w:bookmarkStart w:id="195" w:name="_Toc12983512"/>
      <w:bookmarkStart w:id="196" w:name="_Toc5364"/>
      <w:bookmarkStart w:id="197" w:name="_Toc390098426"/>
      <w:bookmarkStart w:id="198" w:name="_Toc22529"/>
      <w:bookmarkStart w:id="199" w:name="_Toc14181"/>
      <w:r>
        <w:rPr>
          <w:rFonts w:hint="eastAsia" w:asciiTheme="minorEastAsia" w:hAnsiTheme="minorEastAsia" w:eastAsiaTheme="minorEastAsia"/>
          <w:color w:val="auto"/>
          <w:sz w:val="21"/>
          <w:szCs w:val="21"/>
          <w:highlight w:val="none"/>
        </w:rPr>
        <w:t xml:space="preserve">7. </w:t>
      </w:r>
      <w:r>
        <w:rPr>
          <w:rFonts w:asciiTheme="minorEastAsia" w:hAnsiTheme="minorEastAsia" w:eastAsiaTheme="minorEastAsia"/>
          <w:color w:val="auto"/>
          <w:sz w:val="21"/>
          <w:szCs w:val="21"/>
          <w:highlight w:val="none"/>
        </w:rPr>
        <w:t>比选文件的补遗或修改</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7.1 </w:t>
      </w:r>
      <w:r>
        <w:rPr>
          <w:rFonts w:asciiTheme="minorEastAsia" w:hAnsiTheme="minorEastAsia" w:eastAsiaTheme="minorEastAsia"/>
          <w:color w:val="auto"/>
          <w:highlight w:val="none"/>
        </w:rPr>
        <w:t>在比选申请截止期前，无论出于何种原因，</w:t>
      </w:r>
      <w:r>
        <w:rPr>
          <w:rFonts w:hint="eastAsia" w:asciiTheme="minorEastAsia" w:hAnsiTheme="minorEastAsia" w:eastAsiaTheme="minorEastAsia"/>
          <w:color w:val="auto"/>
          <w:highlight w:val="none"/>
        </w:rPr>
        <w:t>比选人</w:t>
      </w:r>
      <w:r>
        <w:rPr>
          <w:rFonts w:asciiTheme="minorEastAsia" w:hAnsiTheme="minorEastAsia" w:eastAsiaTheme="minorEastAsia"/>
          <w:color w:val="auto"/>
          <w:highlight w:val="none"/>
        </w:rPr>
        <w:t>可以主动或应比选申请人澄清要求对比选文件进行必要的补遗或修改。</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7.2 </w:t>
      </w:r>
      <w:r>
        <w:rPr>
          <w:rFonts w:asciiTheme="minorEastAsia" w:hAnsiTheme="minorEastAsia" w:eastAsiaTheme="minorEastAsia"/>
          <w:color w:val="auto"/>
          <w:highlight w:val="none"/>
        </w:rPr>
        <w:t>比选文件的补遗或修改通知是比选文件的组成部分，补充比选文件在</w:t>
      </w:r>
      <w:r>
        <w:rPr>
          <w:rFonts w:hint="eastAsia" w:asciiTheme="minorEastAsia" w:hAnsiTheme="minorEastAsia" w:eastAsiaTheme="minorEastAsia"/>
          <w:bCs/>
          <w:color w:val="auto"/>
          <w:highlight w:val="none"/>
        </w:rPr>
        <w:t>发布公告的媒介</w:t>
      </w:r>
      <w:r>
        <w:rPr>
          <w:rFonts w:asciiTheme="minorEastAsia" w:hAnsiTheme="minorEastAsia" w:eastAsiaTheme="minorEastAsia"/>
          <w:color w:val="auto"/>
          <w:highlight w:val="none"/>
        </w:rPr>
        <w:t>上发布之日起，视为比选申请人已收到该补充比选文件。比选申请人未及时关注</w:t>
      </w:r>
      <w:r>
        <w:rPr>
          <w:rFonts w:hint="eastAsia" w:asciiTheme="minorEastAsia" w:hAnsiTheme="minorEastAsia" w:eastAsiaTheme="minorEastAsia"/>
          <w:color w:val="auto"/>
          <w:highlight w:val="none"/>
        </w:rPr>
        <w:t>南宁轨道交通集团有限责任公司官网</w:t>
      </w:r>
      <w:r>
        <w:rPr>
          <w:rFonts w:asciiTheme="minorEastAsia" w:hAnsiTheme="minorEastAsia" w:eastAsiaTheme="minorEastAsia"/>
          <w:color w:val="auto"/>
          <w:highlight w:val="none"/>
        </w:rPr>
        <w:t>上发布的补充比选文件造成的损失，由比选申请人自行负责。</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7.3 </w:t>
      </w:r>
      <w:r>
        <w:rPr>
          <w:rFonts w:asciiTheme="minorEastAsia" w:hAnsiTheme="minorEastAsia" w:eastAsiaTheme="minorEastAsia"/>
          <w:color w:val="auto"/>
          <w:highlight w:val="none"/>
        </w:rPr>
        <w:t>当后发的补遗或修改通知与原比选文件或此前发出的补遗或修改通知之间存有不一致时，应以后发的补遗或修改通知为准。</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7.4 </w:t>
      </w:r>
      <w:r>
        <w:rPr>
          <w:rFonts w:asciiTheme="minorEastAsia" w:hAnsiTheme="minorEastAsia" w:eastAsiaTheme="minorEastAsia"/>
          <w:color w:val="auto"/>
          <w:highlight w:val="none"/>
        </w:rPr>
        <w:t>为使比选申请人准备比选申请时有充分时间对比选文件的补遗或修改部分进行研究，</w:t>
      </w:r>
      <w:r>
        <w:rPr>
          <w:rFonts w:hint="eastAsia" w:asciiTheme="minorEastAsia" w:hAnsiTheme="minorEastAsia" w:eastAsiaTheme="minorEastAsia"/>
          <w:color w:val="auto"/>
          <w:highlight w:val="none"/>
        </w:rPr>
        <w:t>比选人</w:t>
      </w:r>
      <w:r>
        <w:rPr>
          <w:rFonts w:asciiTheme="minorEastAsia" w:hAnsiTheme="minorEastAsia" w:eastAsiaTheme="minorEastAsia"/>
          <w:color w:val="auto"/>
          <w:highlight w:val="none"/>
        </w:rPr>
        <w:t>可适当推迟比选申请截止</w:t>
      </w:r>
      <w:r>
        <w:rPr>
          <w:rFonts w:hint="eastAsia" w:asciiTheme="minorEastAsia" w:hAnsiTheme="minorEastAsia" w:eastAsiaTheme="minorEastAsia"/>
          <w:color w:val="auto"/>
          <w:highlight w:val="none"/>
        </w:rPr>
        <w:t>时间</w:t>
      </w:r>
      <w:r>
        <w:rPr>
          <w:rFonts w:asciiTheme="minorEastAsia" w:hAnsiTheme="minorEastAsia" w:eastAsiaTheme="minorEastAsia"/>
          <w:color w:val="auto"/>
          <w:highlight w:val="none"/>
        </w:rPr>
        <w:t>。</w:t>
      </w:r>
      <w:bookmarkStart w:id="200" w:name="_Toc2902"/>
      <w:bookmarkStart w:id="201" w:name="_Toc30363"/>
      <w:bookmarkStart w:id="202" w:name="_Toc385427801"/>
      <w:bookmarkStart w:id="203" w:name="_Toc7604"/>
      <w:bookmarkStart w:id="204" w:name="_Toc17692"/>
      <w:bookmarkStart w:id="205" w:name="_Toc375039072"/>
      <w:bookmarkStart w:id="206" w:name="_Toc16406"/>
      <w:bookmarkStart w:id="207" w:name="_Toc27913"/>
      <w:bookmarkStart w:id="208" w:name="_Toc17335"/>
      <w:bookmarkStart w:id="209" w:name="_Toc10869"/>
      <w:bookmarkStart w:id="210" w:name="_Toc18679"/>
      <w:bookmarkStart w:id="211" w:name="_Toc24759"/>
      <w:bookmarkStart w:id="212" w:name="_Toc4718"/>
      <w:bookmarkStart w:id="213" w:name="_Toc24557"/>
      <w:bookmarkStart w:id="214" w:name="_Toc14185"/>
      <w:bookmarkStart w:id="215" w:name="_Toc25750599"/>
      <w:bookmarkStart w:id="216" w:name="_Toc25361"/>
      <w:bookmarkStart w:id="217" w:name="_Toc28044"/>
      <w:bookmarkStart w:id="218" w:name="_Toc390098427"/>
      <w:bookmarkStart w:id="219" w:name="_Toc492478726"/>
      <w:bookmarkStart w:id="220" w:name="_Toc12983513"/>
      <w:bookmarkStart w:id="221" w:name="_Toc383891176"/>
      <w:bookmarkStart w:id="222" w:name="_Toc5805"/>
      <w:bookmarkStart w:id="223" w:name="_Toc95"/>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bCs/>
          <w:color w:val="auto"/>
          <w:sz w:val="24"/>
          <w:szCs w:val="24"/>
          <w:highlight w:val="none"/>
        </w:rPr>
        <w:t>三、比选申请文件的编制</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224" w:name="_Toc20025"/>
      <w:bookmarkStart w:id="225" w:name="_Toc12074"/>
      <w:bookmarkStart w:id="226" w:name="_Toc29862"/>
      <w:bookmarkStart w:id="227" w:name="_Toc1733"/>
      <w:bookmarkStart w:id="228" w:name="_Toc13418"/>
      <w:bookmarkStart w:id="229" w:name="_Toc492478727"/>
      <w:bookmarkStart w:id="230" w:name="_Toc383891177"/>
      <w:bookmarkStart w:id="231" w:name="_Toc25750600"/>
      <w:bookmarkStart w:id="232" w:name="_Toc9592"/>
      <w:bookmarkStart w:id="233" w:name="_Toc11259"/>
      <w:bookmarkStart w:id="234" w:name="_Toc375039073"/>
      <w:bookmarkStart w:id="235" w:name="_Toc16186"/>
      <w:bookmarkStart w:id="236" w:name="_Toc26680"/>
      <w:bookmarkStart w:id="237" w:name="_Toc16435"/>
      <w:bookmarkStart w:id="238" w:name="_Toc26150"/>
      <w:bookmarkStart w:id="239" w:name="_Toc12983514"/>
      <w:bookmarkStart w:id="240" w:name="_Toc18350"/>
      <w:bookmarkStart w:id="241" w:name="_Toc21673"/>
      <w:bookmarkStart w:id="242" w:name="_Toc385427802"/>
      <w:bookmarkStart w:id="243" w:name="_Toc23794"/>
      <w:bookmarkStart w:id="244" w:name="_Toc4384"/>
      <w:bookmarkStart w:id="245" w:name="_Toc390098428"/>
      <w:bookmarkStart w:id="246" w:name="_Toc2819"/>
      <w:bookmarkStart w:id="247" w:name="_Toc12456"/>
      <w:r>
        <w:rPr>
          <w:rFonts w:hint="eastAsia" w:asciiTheme="minorEastAsia" w:hAnsiTheme="minorEastAsia" w:eastAsiaTheme="minorEastAsia"/>
          <w:color w:val="auto"/>
          <w:sz w:val="21"/>
          <w:szCs w:val="21"/>
          <w:highlight w:val="none"/>
        </w:rPr>
        <w:t xml:space="preserve">8. </w:t>
      </w:r>
      <w:r>
        <w:rPr>
          <w:rFonts w:asciiTheme="minorEastAsia" w:hAnsiTheme="minorEastAsia" w:eastAsiaTheme="minorEastAsia"/>
          <w:color w:val="auto"/>
          <w:sz w:val="21"/>
          <w:szCs w:val="21"/>
          <w:highlight w:val="none"/>
        </w:rPr>
        <w:t>编制要求</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7"/>
        <w:numPr>
          <w:ilvl w:val="0"/>
          <w:numId w:val="4"/>
        </w:numPr>
        <w:spacing w:before="0" w:after="0" w:line="360" w:lineRule="auto"/>
        <w:ind w:firstLine="422" w:firstLineChars="200"/>
        <w:rPr>
          <w:rFonts w:asciiTheme="minorEastAsia" w:hAnsiTheme="minorEastAsia" w:eastAsiaTheme="minorEastAsia"/>
          <w:color w:val="auto"/>
          <w:sz w:val="21"/>
          <w:szCs w:val="21"/>
          <w:highlight w:val="none"/>
        </w:rPr>
      </w:pPr>
      <w:bookmarkStart w:id="248" w:name="_Toc390098429"/>
      <w:bookmarkStart w:id="249" w:name="_Toc383891178"/>
      <w:bookmarkStart w:id="250" w:name="_Toc19885"/>
      <w:bookmarkStart w:id="251" w:name="_Toc15570"/>
      <w:bookmarkStart w:id="252" w:name="_Toc11161"/>
      <w:bookmarkStart w:id="253" w:name="_Toc24935"/>
      <w:bookmarkStart w:id="254" w:name="_Toc25770"/>
      <w:bookmarkStart w:id="255" w:name="_Toc16237"/>
      <w:bookmarkStart w:id="256" w:name="_Toc24857"/>
      <w:bookmarkStart w:id="257" w:name="_Toc25750601"/>
      <w:bookmarkStart w:id="258" w:name="_Toc9887"/>
      <w:bookmarkStart w:id="259" w:name="_Toc1047"/>
      <w:bookmarkStart w:id="260" w:name="_Toc11040"/>
      <w:bookmarkStart w:id="261" w:name="_Toc12207"/>
      <w:bookmarkStart w:id="262" w:name="_Toc26753"/>
      <w:bookmarkStart w:id="263" w:name="_Toc28296"/>
      <w:bookmarkStart w:id="264" w:name="_Toc385427803"/>
      <w:bookmarkStart w:id="265" w:name="_Toc375039074"/>
      <w:bookmarkStart w:id="266" w:name="_Toc3492"/>
      <w:bookmarkStart w:id="267" w:name="_Toc492478728"/>
      <w:bookmarkStart w:id="268" w:name="_Toc6261"/>
      <w:bookmarkStart w:id="269" w:name="_Toc22026"/>
      <w:bookmarkStart w:id="270" w:name="_Toc28065"/>
      <w:bookmarkStart w:id="271" w:name="_Toc12983515"/>
      <w:r>
        <w:rPr>
          <w:rFonts w:asciiTheme="minorEastAsia" w:hAnsiTheme="minorEastAsia" w:eastAsiaTheme="minorEastAsia"/>
          <w:color w:val="auto"/>
          <w:sz w:val="21"/>
          <w:szCs w:val="21"/>
          <w:highlight w:val="none"/>
        </w:rPr>
        <w:t>比选申请语言及计量单位</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9.1 </w:t>
      </w:r>
      <w:r>
        <w:rPr>
          <w:rFonts w:asciiTheme="minorEastAsia" w:hAnsiTheme="minorEastAsia" w:eastAsiaTheme="minorEastAsia"/>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9.2 </w:t>
      </w:r>
      <w:r>
        <w:rPr>
          <w:rFonts w:asciiTheme="minorEastAsia" w:hAnsiTheme="minorEastAsia" w:eastAsiaTheme="minorEastAsia"/>
          <w:color w:val="auto"/>
          <w:highlight w:val="none"/>
        </w:rPr>
        <w:t>除在比选文件另有规定外，计量单位应使用中华人民共和国法定计量单位。</w:t>
      </w:r>
    </w:p>
    <w:p>
      <w:pPr>
        <w:pStyle w:val="7"/>
        <w:numPr>
          <w:ilvl w:val="0"/>
          <w:numId w:val="4"/>
        </w:numPr>
        <w:spacing w:before="0" w:after="0" w:line="360" w:lineRule="auto"/>
        <w:ind w:firstLine="422" w:firstLineChars="200"/>
        <w:rPr>
          <w:rFonts w:asciiTheme="minorEastAsia" w:hAnsiTheme="minorEastAsia" w:eastAsiaTheme="minorEastAsia"/>
          <w:color w:val="auto"/>
          <w:sz w:val="21"/>
          <w:szCs w:val="21"/>
          <w:highlight w:val="none"/>
        </w:rPr>
      </w:pPr>
      <w:bookmarkStart w:id="272" w:name="_Toc15809"/>
      <w:bookmarkStart w:id="273" w:name="_Toc25750602"/>
      <w:bookmarkStart w:id="274" w:name="_Toc22476"/>
      <w:bookmarkStart w:id="275" w:name="_Toc24760"/>
      <w:bookmarkStart w:id="276" w:name="_Toc19681"/>
      <w:bookmarkStart w:id="277" w:name="_Toc18149"/>
      <w:bookmarkStart w:id="278" w:name="_Toc14323"/>
      <w:bookmarkStart w:id="279" w:name="_Toc23364"/>
      <w:bookmarkStart w:id="280" w:name="_Toc12983516"/>
      <w:bookmarkStart w:id="281" w:name="_Toc29881"/>
      <w:bookmarkStart w:id="282" w:name="_Toc3411"/>
      <w:bookmarkStart w:id="283" w:name="_Toc53"/>
      <w:bookmarkStart w:id="284" w:name="_Toc383891179"/>
      <w:bookmarkStart w:id="285" w:name="_Toc3877"/>
      <w:bookmarkStart w:id="286" w:name="_Toc23229"/>
      <w:bookmarkStart w:id="287" w:name="_Toc30991"/>
      <w:bookmarkStart w:id="288" w:name="_Toc492478729"/>
      <w:bookmarkStart w:id="289" w:name="_Toc3464"/>
      <w:bookmarkStart w:id="290" w:name="_Toc385427804"/>
      <w:bookmarkStart w:id="291" w:name="_Toc390098430"/>
      <w:bookmarkStart w:id="292" w:name="_Toc375039075"/>
      <w:bookmarkStart w:id="293" w:name="_Toc30356"/>
      <w:bookmarkStart w:id="294" w:name="_Toc16307"/>
      <w:bookmarkStart w:id="295" w:name="_Toc28164"/>
      <w:r>
        <w:rPr>
          <w:rFonts w:asciiTheme="minorEastAsia" w:hAnsiTheme="minorEastAsia" w:eastAsiaTheme="minorEastAsia"/>
          <w:color w:val="auto"/>
          <w:sz w:val="21"/>
          <w:szCs w:val="21"/>
          <w:highlight w:val="none"/>
        </w:rPr>
        <w:t>比选申请文件组成</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tabs>
          <w:tab w:val="left" w:pos="1134"/>
          <w:tab w:val="left" w:pos="1701"/>
          <w:tab w:val="left" w:pos="1843"/>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10.1 </w:t>
      </w:r>
      <w:r>
        <w:rPr>
          <w:rFonts w:asciiTheme="minorEastAsia" w:hAnsiTheme="minorEastAsia" w:eastAsiaTheme="minorEastAsia"/>
          <w:color w:val="auto"/>
          <w:highlight w:val="none"/>
        </w:rPr>
        <w:t>比选申请文件应提供足够、准确和真实的信息，以供评审委员会判断比选申请人是否具备承担本项目的能力。比选申请人递交的比选申请文件</w:t>
      </w:r>
      <w:r>
        <w:rPr>
          <w:rFonts w:hint="eastAsia" w:asciiTheme="minorEastAsia" w:hAnsiTheme="minorEastAsia" w:eastAsiaTheme="minorEastAsia"/>
          <w:color w:val="auto"/>
          <w:highlight w:val="none"/>
        </w:rPr>
        <w:t>组成详见比选申请须知前附表</w:t>
      </w:r>
      <w:r>
        <w:rPr>
          <w:rFonts w:asciiTheme="minorEastAsia" w:hAnsiTheme="minorEastAsia" w:eastAsiaTheme="minorEastAsia"/>
          <w:color w:val="auto"/>
          <w:highlight w:val="none"/>
        </w:rPr>
        <w:t>。</w:t>
      </w:r>
    </w:p>
    <w:p>
      <w:pPr>
        <w:tabs>
          <w:tab w:val="left" w:pos="1134"/>
          <w:tab w:val="left" w:pos="1701"/>
          <w:tab w:val="left" w:pos="1843"/>
        </w:tabs>
        <w:spacing w:line="360" w:lineRule="auto"/>
        <w:ind w:firstLine="422" w:firstLineChars="200"/>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10.2资格审查文件和技术文件不得透露有关报价的任何信息，否则导致其比选申请被否决。</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296" w:name="_Toc27019"/>
      <w:bookmarkStart w:id="297" w:name="_Toc2395"/>
      <w:bookmarkStart w:id="298" w:name="_Toc492478730"/>
      <w:bookmarkStart w:id="299" w:name="_Toc375039076"/>
      <w:bookmarkStart w:id="300" w:name="_Toc25750603"/>
      <w:bookmarkStart w:id="301" w:name="_Toc20490"/>
      <w:bookmarkStart w:id="302" w:name="_Toc14630"/>
      <w:bookmarkStart w:id="303" w:name="_Toc12983517"/>
      <w:bookmarkStart w:id="304" w:name="_Toc27194"/>
      <w:bookmarkStart w:id="305" w:name="_Toc385427805"/>
      <w:bookmarkStart w:id="306" w:name="_Toc15448"/>
      <w:bookmarkStart w:id="307" w:name="_Toc16783"/>
      <w:bookmarkStart w:id="308" w:name="_Toc383891180"/>
      <w:bookmarkStart w:id="309" w:name="_Toc14308"/>
      <w:bookmarkStart w:id="310" w:name="_Toc15919"/>
      <w:bookmarkStart w:id="311" w:name="_Toc11211"/>
      <w:bookmarkStart w:id="312" w:name="_Toc8151"/>
      <w:bookmarkStart w:id="313" w:name="_Toc23002"/>
      <w:bookmarkStart w:id="314" w:name="_Toc390098431"/>
      <w:bookmarkStart w:id="315" w:name="_Toc675"/>
      <w:bookmarkStart w:id="316" w:name="_Toc3670"/>
      <w:bookmarkStart w:id="317" w:name="_Toc21144"/>
      <w:bookmarkStart w:id="318" w:name="_Toc20248"/>
      <w:bookmarkStart w:id="319" w:name="_Toc7608"/>
      <w:r>
        <w:rPr>
          <w:rFonts w:hint="eastAsia" w:asciiTheme="minorEastAsia" w:hAnsiTheme="minorEastAsia" w:eastAsiaTheme="minorEastAsia"/>
          <w:color w:val="auto"/>
          <w:sz w:val="21"/>
          <w:szCs w:val="21"/>
          <w:highlight w:val="none"/>
        </w:rPr>
        <w:t xml:space="preserve">11. </w:t>
      </w:r>
      <w:r>
        <w:rPr>
          <w:rFonts w:asciiTheme="minorEastAsia" w:hAnsiTheme="minorEastAsia" w:eastAsiaTheme="minorEastAsia"/>
          <w:color w:val="auto"/>
          <w:sz w:val="21"/>
          <w:szCs w:val="21"/>
          <w:highlight w:val="none"/>
        </w:rPr>
        <w:t>比选申请文件格式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11.1 </w:t>
      </w:r>
      <w:r>
        <w:rPr>
          <w:rFonts w:asciiTheme="minorEastAsia" w:hAnsiTheme="minorEastAsia" w:eastAsiaTheme="minorEastAsia"/>
          <w:color w:val="auto"/>
          <w:highlight w:val="none"/>
        </w:rPr>
        <w:t>比选申请人应按本比选申请须知</w:t>
      </w:r>
      <w:r>
        <w:rPr>
          <w:rFonts w:hint="eastAsia" w:asciiTheme="minorEastAsia" w:hAnsiTheme="minorEastAsia" w:eastAsiaTheme="minorEastAsia"/>
          <w:color w:val="auto"/>
          <w:highlight w:val="none"/>
        </w:rPr>
        <w:t>前附表</w:t>
      </w:r>
      <w:r>
        <w:rPr>
          <w:rFonts w:asciiTheme="minorEastAsia" w:hAnsiTheme="minorEastAsia" w:eastAsiaTheme="minorEastAsia"/>
          <w:color w:val="auto"/>
          <w:highlight w:val="none"/>
        </w:rPr>
        <w:t>第10条的内容与要求和提供的格式编写其比选申请文件，比选申请人不得缺少或留空任何比选文件要求填写的表格或提交的资料。</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11.2 </w:t>
      </w:r>
      <w:r>
        <w:rPr>
          <w:rFonts w:asciiTheme="minorEastAsia" w:hAnsiTheme="minorEastAsia" w:eastAsiaTheme="minorEastAsia"/>
          <w:color w:val="auto"/>
          <w:highlight w:val="none"/>
        </w:rPr>
        <w:t>比选申请人应将比选申请文件按本比选申请须知</w:t>
      </w:r>
      <w:r>
        <w:rPr>
          <w:rFonts w:hint="eastAsia" w:asciiTheme="minorEastAsia" w:hAnsiTheme="minorEastAsia" w:eastAsiaTheme="minorEastAsia"/>
          <w:color w:val="auto"/>
          <w:highlight w:val="none"/>
        </w:rPr>
        <w:t>前附表</w:t>
      </w:r>
      <w:r>
        <w:rPr>
          <w:rFonts w:asciiTheme="minorEastAsia" w:hAnsiTheme="minorEastAsia" w:eastAsiaTheme="minorEastAsia"/>
          <w:color w:val="auto"/>
          <w:highlight w:val="none"/>
        </w:rPr>
        <w:t>第10条规定的顺序编排、编制目录、逐页标注连续页码、并装订成册，各分册前须有分册目录。</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11.3 </w:t>
      </w:r>
      <w:r>
        <w:rPr>
          <w:rFonts w:asciiTheme="minorEastAsia" w:hAnsiTheme="minorEastAsia" w:eastAsiaTheme="minorEastAsia"/>
          <w:color w:val="auto"/>
          <w:highlight w:val="none"/>
        </w:rPr>
        <w:t>比选申请文件的规格：统一为A4印刷本，纸质封面，印刷本厚度</w:t>
      </w:r>
      <w:r>
        <w:rPr>
          <w:rFonts w:hint="eastAsia" w:asciiTheme="minorEastAsia" w:hAnsiTheme="minorEastAsia" w:eastAsiaTheme="minorEastAsia"/>
          <w:color w:val="auto"/>
          <w:highlight w:val="none"/>
        </w:rPr>
        <w:t>宜</w:t>
      </w:r>
      <w:r>
        <w:rPr>
          <w:rFonts w:asciiTheme="minorEastAsia" w:hAnsiTheme="minorEastAsia" w:eastAsiaTheme="minorEastAsia"/>
          <w:color w:val="auto"/>
          <w:highlight w:val="none"/>
        </w:rPr>
        <w:t>控制在</w:t>
      </w:r>
      <w:r>
        <w:rPr>
          <w:rFonts w:hint="eastAsia" w:asciiTheme="minorEastAsia" w:hAnsiTheme="minorEastAsia" w:eastAsiaTheme="minorEastAsia"/>
          <w:color w:val="auto"/>
          <w:highlight w:val="none"/>
        </w:rPr>
        <w:t>5</w:t>
      </w:r>
      <w:r>
        <w:rPr>
          <w:rFonts w:asciiTheme="minorEastAsia" w:hAnsiTheme="minorEastAsia" w:eastAsiaTheme="minorEastAsia"/>
          <w:color w:val="auto"/>
          <w:highlight w:val="none"/>
        </w:rPr>
        <w:t>公分以内，超过厚度</w:t>
      </w:r>
      <w:r>
        <w:rPr>
          <w:rFonts w:hint="eastAsia" w:asciiTheme="minorEastAsia" w:hAnsiTheme="minorEastAsia" w:eastAsiaTheme="minorEastAsia"/>
          <w:color w:val="auto"/>
          <w:highlight w:val="none"/>
        </w:rPr>
        <w:t>可</w:t>
      </w:r>
      <w:r>
        <w:rPr>
          <w:rFonts w:asciiTheme="minorEastAsia" w:hAnsiTheme="minorEastAsia" w:eastAsiaTheme="minorEastAsia"/>
          <w:color w:val="auto"/>
          <w:highlight w:val="none"/>
        </w:rPr>
        <w:t>分册装订。封面标明文件题名、编号、比选申请人名称、比选申请时间，</w:t>
      </w:r>
      <w:r>
        <w:rPr>
          <w:rFonts w:hint="eastAsia" w:asciiTheme="minorEastAsia" w:hAnsiTheme="minorEastAsia" w:eastAsiaTheme="minorEastAsia"/>
          <w:color w:val="auto"/>
          <w:highlight w:val="none"/>
        </w:rPr>
        <w:t>封面上标明</w:t>
      </w:r>
      <w:r>
        <w:rPr>
          <w:rFonts w:asciiTheme="minorEastAsia" w:hAnsiTheme="minorEastAsia" w:eastAsiaTheme="minorEastAsia"/>
          <w:color w:val="auto"/>
          <w:highlight w:val="none"/>
        </w:rPr>
        <w:t>正本（或副本）。</w:t>
      </w:r>
      <w:r>
        <w:rPr>
          <w:rFonts w:hint="eastAsia" w:asciiTheme="minorEastAsia" w:hAnsiTheme="minorEastAsia" w:eastAsiaTheme="minorEastAsia"/>
          <w:color w:val="auto"/>
          <w:highlight w:val="none"/>
        </w:rPr>
        <w:t>使用不锈钢书钉或拉线装订或无线胶装</w:t>
      </w:r>
      <w:r>
        <w:rPr>
          <w:rFonts w:asciiTheme="minorEastAsia" w:hAnsiTheme="minorEastAsia" w:eastAsiaTheme="minorEastAsia"/>
          <w:color w:val="auto"/>
          <w:highlight w:val="none"/>
        </w:rPr>
        <w:t>，装订时书钉不外露；不能使用塑料面或塑料胶条装订。</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11.4</w:t>
      </w:r>
      <w:r>
        <w:rPr>
          <w:rFonts w:asciiTheme="minorEastAsia" w:hAnsiTheme="minorEastAsia" w:eastAsiaTheme="minorEastAsia"/>
          <w:color w:val="auto"/>
          <w:highlight w:val="none"/>
        </w:rPr>
        <w:t>比选申请文件的页码：必须按每本</w:t>
      </w:r>
      <w:r>
        <w:rPr>
          <w:rFonts w:hint="eastAsia" w:asciiTheme="minorEastAsia" w:hAnsiTheme="minorEastAsia" w:eastAsiaTheme="minorEastAsia"/>
          <w:color w:val="auto"/>
          <w:highlight w:val="none"/>
        </w:rPr>
        <w:t>正文</w:t>
      </w:r>
      <w:r>
        <w:rPr>
          <w:rFonts w:asciiTheme="minorEastAsia" w:hAnsiTheme="minorEastAsia" w:eastAsiaTheme="minorEastAsia"/>
          <w:color w:val="auto"/>
          <w:highlight w:val="none"/>
        </w:rPr>
        <w:t>逐页从1开始，按照流水号编号。</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11.5</w:t>
      </w:r>
      <w:r>
        <w:rPr>
          <w:rFonts w:asciiTheme="minorEastAsia" w:hAnsiTheme="minorEastAsia" w:eastAsiaTheme="minorEastAsia"/>
          <w:color w:val="auto"/>
          <w:highlight w:val="none"/>
        </w:rPr>
        <w:t>图纸的整理：图纸横向按手风琴折叠，竖向按顺时针方向折叠，折叠后图标露在右下角，每本图纸厚度不</w:t>
      </w:r>
      <w:r>
        <w:rPr>
          <w:rFonts w:hint="eastAsia" w:asciiTheme="minorEastAsia" w:hAnsiTheme="minorEastAsia" w:eastAsiaTheme="minorEastAsia"/>
          <w:color w:val="auto"/>
          <w:highlight w:val="none"/>
        </w:rPr>
        <w:t>宜</w:t>
      </w:r>
      <w:r>
        <w:rPr>
          <w:rFonts w:asciiTheme="minorEastAsia" w:hAnsiTheme="minorEastAsia" w:eastAsiaTheme="minorEastAsia"/>
          <w:color w:val="auto"/>
          <w:highlight w:val="none"/>
        </w:rPr>
        <w:t>超过4公分，超过</w:t>
      </w:r>
      <w:r>
        <w:rPr>
          <w:rFonts w:hint="eastAsia" w:asciiTheme="minorEastAsia" w:hAnsiTheme="minorEastAsia" w:eastAsiaTheme="minorEastAsia"/>
          <w:color w:val="auto"/>
          <w:highlight w:val="none"/>
        </w:rPr>
        <w:t>可</w:t>
      </w:r>
      <w:r>
        <w:rPr>
          <w:rFonts w:asciiTheme="minorEastAsia" w:hAnsiTheme="minorEastAsia" w:eastAsiaTheme="minorEastAsia"/>
          <w:color w:val="auto"/>
          <w:highlight w:val="none"/>
        </w:rPr>
        <w:t>分卷装订，每卷图纸从图纸封面起逐张从1开始</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按照流水号编号。</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320" w:name="_Toc17526"/>
      <w:bookmarkStart w:id="321" w:name="_Toc492478731"/>
      <w:bookmarkStart w:id="322" w:name="_Toc26482"/>
      <w:bookmarkStart w:id="323" w:name="_Toc12983518"/>
      <w:bookmarkStart w:id="324" w:name="_Toc20685"/>
      <w:bookmarkStart w:id="325" w:name="_Toc3813"/>
      <w:bookmarkStart w:id="326" w:name="_Toc14123"/>
      <w:bookmarkStart w:id="327" w:name="_Toc7857"/>
      <w:bookmarkStart w:id="328" w:name="_Toc390098432"/>
      <w:bookmarkStart w:id="329" w:name="_Toc385427806"/>
      <w:bookmarkStart w:id="330" w:name="_Toc26974"/>
      <w:bookmarkStart w:id="331" w:name="_Toc16653"/>
      <w:bookmarkStart w:id="332" w:name="_Toc375039077"/>
      <w:bookmarkStart w:id="333" w:name="_Toc21084"/>
      <w:bookmarkStart w:id="334" w:name="_Toc22295"/>
      <w:bookmarkStart w:id="335" w:name="_Toc6671"/>
      <w:bookmarkStart w:id="336" w:name="_Toc383891181"/>
      <w:bookmarkStart w:id="337" w:name="_Toc24264"/>
      <w:bookmarkStart w:id="338" w:name="_Toc17338"/>
      <w:bookmarkStart w:id="339" w:name="_Toc9416"/>
      <w:bookmarkStart w:id="340" w:name="_Toc31743"/>
      <w:bookmarkStart w:id="341" w:name="_Toc17379"/>
      <w:bookmarkStart w:id="342" w:name="_Toc25750604"/>
      <w:bookmarkStart w:id="343" w:name="_Toc3799"/>
      <w:r>
        <w:rPr>
          <w:rFonts w:hint="eastAsia" w:asciiTheme="minorEastAsia" w:hAnsiTheme="minorEastAsia" w:eastAsiaTheme="minorEastAsia"/>
          <w:color w:val="auto"/>
          <w:sz w:val="21"/>
          <w:szCs w:val="21"/>
          <w:highlight w:val="none"/>
        </w:rPr>
        <w:t xml:space="preserve">12. </w:t>
      </w:r>
      <w:r>
        <w:rPr>
          <w:rFonts w:asciiTheme="minorEastAsia" w:hAnsiTheme="minorEastAsia" w:eastAsiaTheme="minorEastAsia"/>
          <w:color w:val="auto"/>
          <w:sz w:val="21"/>
          <w:szCs w:val="21"/>
          <w:highlight w:val="none"/>
        </w:rPr>
        <w:t>比选申请报价</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tabs>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12.1 </w:t>
      </w:r>
      <w:r>
        <w:rPr>
          <w:rFonts w:hint="eastAsia" w:asciiTheme="minorEastAsia" w:hAnsiTheme="minorEastAsia" w:eastAsiaTheme="minorEastAsia"/>
          <w:color w:val="auto"/>
          <w:highlight w:val="none"/>
        </w:rPr>
        <w:t>本项目采用</w:t>
      </w:r>
      <w:r>
        <w:rPr>
          <w:rFonts w:hint="eastAsia" w:asciiTheme="minorEastAsia" w:hAnsiTheme="minorEastAsia" w:eastAsiaTheme="minorEastAsia"/>
          <w:color w:val="auto"/>
          <w:highlight w:val="none"/>
          <w:lang w:val="en-US" w:eastAsia="zh-CN"/>
        </w:rPr>
        <w:t>不</w:t>
      </w:r>
      <w:r>
        <w:rPr>
          <w:rFonts w:hint="eastAsia" w:asciiTheme="minorEastAsia" w:hAnsiTheme="minorEastAsia" w:eastAsiaTheme="minorEastAsia"/>
          <w:color w:val="auto"/>
          <w:highlight w:val="none"/>
        </w:rPr>
        <w:t>含税报价。该报价为合同固定总价。比选申请人应完整地填写比选文件中提供的“比选申请报价一览表”及“比选申请报价表”。按“比选申请报价表”的要求报价。比选申请人在“比选申请报价表”及“比选申请报价一览表”内所填报的总价应相一致。如大写金额与小写金额不一致，以大写金额为准。</w:t>
      </w:r>
    </w:p>
    <w:p>
      <w:pPr>
        <w:tabs>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12.2 </w:t>
      </w:r>
      <w:r>
        <w:rPr>
          <w:rFonts w:hint="eastAsia" w:asciiTheme="minorEastAsia" w:hAnsiTheme="minorEastAsia" w:eastAsiaTheme="minorEastAsia"/>
          <w:color w:val="auto"/>
          <w:highlight w:val="none"/>
        </w:rPr>
        <w:t>比选申请报价应包括履行合同标的全过程产生的所有成本和费用以及比选申请人应承担的费用。</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12.3所有与本项目有关的未列入配合费细目的工作内容，均被认为已经包含在其他细目及比选申请总价中。</w:t>
      </w:r>
    </w:p>
    <w:p>
      <w:pPr>
        <w:tabs>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12.</w:t>
      </w:r>
      <w:r>
        <w:rPr>
          <w:rFonts w:hint="eastAsia" w:asciiTheme="minorEastAsia" w:hAnsiTheme="minorEastAsia" w:eastAsiaTheme="minorEastAsia"/>
          <w:color w:val="auto"/>
          <w:highlight w:val="none"/>
        </w:rPr>
        <w:t>4</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项目不接受</w:t>
      </w:r>
      <w:r>
        <w:rPr>
          <w:rFonts w:asciiTheme="minorEastAsia" w:hAnsiTheme="minorEastAsia" w:eastAsiaTheme="minorEastAsia"/>
          <w:color w:val="auto"/>
          <w:highlight w:val="none"/>
        </w:rPr>
        <w:t>比选申请人免费</w:t>
      </w:r>
      <w:r>
        <w:rPr>
          <w:rFonts w:hint="eastAsia" w:asciiTheme="minorEastAsia" w:hAnsiTheme="minorEastAsia" w:eastAsiaTheme="minorEastAsia"/>
          <w:color w:val="auto"/>
          <w:highlight w:val="none"/>
        </w:rPr>
        <w:t>、赠送、打折</w:t>
      </w:r>
      <w:r>
        <w:rPr>
          <w:rFonts w:asciiTheme="minorEastAsia" w:hAnsiTheme="minorEastAsia" w:eastAsiaTheme="minorEastAsia"/>
          <w:color w:val="auto"/>
          <w:highlight w:val="none"/>
        </w:rPr>
        <w:t>提供</w:t>
      </w:r>
      <w:r>
        <w:rPr>
          <w:rFonts w:hint="eastAsia" w:asciiTheme="minorEastAsia" w:hAnsiTheme="minorEastAsia" w:eastAsiaTheme="minorEastAsia"/>
          <w:color w:val="auto"/>
          <w:highlight w:val="none"/>
        </w:rPr>
        <w:t>任何形式的服务。</w:t>
      </w:r>
    </w:p>
    <w:p>
      <w:pPr>
        <w:spacing w:line="360" w:lineRule="auto"/>
        <w:ind w:firstLine="420" w:firstLineChars="200"/>
        <w:rPr>
          <w:rFonts w:cs="宋体" w:asciiTheme="minorEastAsia" w:hAnsiTheme="minorEastAsia" w:eastAsiaTheme="minorEastAsia"/>
          <w:color w:val="auto"/>
          <w:highlight w:val="none"/>
        </w:rPr>
      </w:pPr>
      <w:r>
        <w:rPr>
          <w:rFonts w:asciiTheme="minorEastAsia" w:hAnsiTheme="minorEastAsia" w:eastAsiaTheme="minorEastAsia"/>
          <w:color w:val="auto"/>
          <w:highlight w:val="none"/>
        </w:rPr>
        <w:t>12.</w:t>
      </w:r>
      <w:r>
        <w:rPr>
          <w:rFonts w:hint="eastAsia" w:asciiTheme="minorEastAsia" w:hAnsiTheme="minorEastAsia" w:eastAsiaTheme="minorEastAsia"/>
          <w:color w:val="auto"/>
          <w:highlight w:val="none"/>
        </w:rPr>
        <w:t>5</w:t>
      </w:r>
      <w:r>
        <w:rPr>
          <w:rFonts w:asciiTheme="minorEastAsia" w:hAnsiTheme="minorEastAsia" w:eastAsiaTheme="minorEastAsia"/>
          <w:color w:val="auto"/>
          <w:highlight w:val="none"/>
        </w:rPr>
        <w:t xml:space="preserve"> </w:t>
      </w:r>
      <w:r>
        <w:rPr>
          <w:rFonts w:cs="宋体" w:asciiTheme="minorEastAsia" w:hAnsiTheme="minorEastAsia" w:eastAsiaTheme="minorEastAsia"/>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line="360" w:lineRule="auto"/>
        <w:ind w:firstLine="420" w:firstLineChars="200"/>
        <w:rPr>
          <w:rFonts w:asciiTheme="minorEastAsia" w:hAnsiTheme="minorEastAsia" w:eastAsiaTheme="minorEastAsia"/>
          <w:b/>
          <w:color w:val="auto"/>
          <w:highlight w:val="none"/>
        </w:rPr>
      </w:pPr>
      <w:r>
        <w:rPr>
          <w:rFonts w:asciiTheme="minorEastAsia" w:hAnsiTheme="minorEastAsia" w:eastAsiaTheme="minorEastAsia"/>
          <w:color w:val="auto"/>
          <w:highlight w:val="none"/>
        </w:rPr>
        <w:t>12.</w:t>
      </w: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 xml:space="preserve"> </w:t>
      </w:r>
      <w:r>
        <w:rPr>
          <w:rFonts w:hint="eastAsia" w:asciiTheme="minorEastAsia" w:hAnsiTheme="minorEastAsia" w:eastAsiaTheme="minorEastAsia"/>
          <w:b/>
          <w:color w:val="auto"/>
          <w:highlight w:val="none"/>
        </w:rPr>
        <w:t>比选申请人不得以低于成本的报价竞标，也不得以他人名义比选申请或者以其他方式弄虚作假，骗取中选。</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12.7 比选申请人不得在价格文件之外的比选申请文件中出现任何有关本项目的报价信息。</w:t>
      </w:r>
    </w:p>
    <w:p>
      <w:pPr>
        <w:pStyle w:val="7"/>
        <w:numPr>
          <w:ilvl w:val="0"/>
          <w:numId w:val="5"/>
        </w:numPr>
        <w:spacing w:before="0" w:after="0" w:line="360" w:lineRule="auto"/>
        <w:ind w:firstLine="422" w:firstLineChars="200"/>
        <w:rPr>
          <w:rFonts w:asciiTheme="minorEastAsia" w:hAnsiTheme="minorEastAsia" w:eastAsiaTheme="minorEastAsia"/>
          <w:color w:val="auto"/>
          <w:sz w:val="21"/>
          <w:szCs w:val="21"/>
          <w:highlight w:val="none"/>
        </w:rPr>
      </w:pPr>
      <w:bookmarkStart w:id="344" w:name="_Toc21430"/>
      <w:bookmarkStart w:id="345" w:name="_Toc375039078"/>
      <w:bookmarkStart w:id="346" w:name="_Toc383891182"/>
      <w:bookmarkStart w:id="347" w:name="_Toc28880"/>
      <w:bookmarkStart w:id="348" w:name="_Toc390098433"/>
      <w:bookmarkStart w:id="349" w:name="_Toc12947"/>
      <w:bookmarkStart w:id="350" w:name="_Toc15940"/>
      <w:bookmarkStart w:id="351" w:name="_Toc10220"/>
      <w:bookmarkStart w:id="352" w:name="_Toc28476"/>
      <w:bookmarkStart w:id="353" w:name="_Toc18875"/>
      <w:bookmarkStart w:id="354" w:name="_Toc7428"/>
      <w:bookmarkStart w:id="355" w:name="_Toc492478732"/>
      <w:bookmarkStart w:id="356" w:name="_Toc25459"/>
      <w:bookmarkStart w:id="357" w:name="_Toc385427807"/>
      <w:bookmarkStart w:id="358" w:name="_Toc1664"/>
      <w:bookmarkStart w:id="359" w:name="_Toc20156"/>
      <w:bookmarkStart w:id="360" w:name="_Toc21706"/>
      <w:bookmarkStart w:id="361" w:name="_Toc25750605"/>
      <w:bookmarkStart w:id="362" w:name="_Toc21448"/>
      <w:bookmarkStart w:id="363" w:name="_Toc26064"/>
      <w:bookmarkStart w:id="364" w:name="_Toc12762"/>
      <w:bookmarkStart w:id="365" w:name="_Toc5836"/>
      <w:bookmarkStart w:id="366" w:name="_Toc2710"/>
      <w:bookmarkStart w:id="367" w:name="_Toc12983519"/>
      <w:r>
        <w:rPr>
          <w:rFonts w:asciiTheme="minorEastAsia" w:hAnsiTheme="minorEastAsia" w:eastAsiaTheme="minorEastAsia"/>
          <w:color w:val="auto"/>
          <w:sz w:val="21"/>
          <w:szCs w:val="21"/>
          <w:highlight w:val="none"/>
        </w:rPr>
        <w:t>比选申请货币</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13.1</w:t>
      </w:r>
      <w:r>
        <w:rPr>
          <w:rFonts w:asciiTheme="minorEastAsia" w:hAnsiTheme="minorEastAsia" w:eastAsiaTheme="minorEastAsia"/>
          <w:color w:val="auto"/>
          <w:highlight w:val="none"/>
        </w:rPr>
        <w:t>比选申请人提供的服务用人民币报价。在比选申请文件中的报价一律用人民币币种填报，比选人不接受任何非人民币币种的比选申请报价。</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13.2</w:t>
      </w:r>
      <w:r>
        <w:rPr>
          <w:rFonts w:asciiTheme="minorEastAsia" w:hAnsiTheme="minorEastAsia" w:eastAsiaTheme="minorEastAsia"/>
          <w:color w:val="auto"/>
          <w:highlight w:val="none"/>
        </w:rPr>
        <w:t>比选人将以人民币与中选的比选申请人签订合同。</w:t>
      </w:r>
    </w:p>
    <w:p>
      <w:pPr>
        <w:pStyle w:val="7"/>
        <w:numPr>
          <w:ilvl w:val="0"/>
          <w:numId w:val="5"/>
        </w:numPr>
        <w:spacing w:before="0" w:after="0" w:line="360" w:lineRule="auto"/>
        <w:ind w:firstLine="422" w:firstLineChars="200"/>
        <w:rPr>
          <w:rFonts w:asciiTheme="minorEastAsia" w:hAnsiTheme="minorEastAsia" w:eastAsiaTheme="minorEastAsia"/>
          <w:color w:val="auto"/>
          <w:sz w:val="21"/>
          <w:szCs w:val="21"/>
          <w:highlight w:val="none"/>
        </w:rPr>
      </w:pPr>
      <w:bookmarkStart w:id="368" w:name="_Toc22051"/>
      <w:bookmarkStart w:id="369" w:name="_Toc12049"/>
      <w:bookmarkStart w:id="370" w:name="_Toc375039081"/>
      <w:bookmarkStart w:id="371" w:name="_Toc30606"/>
      <w:bookmarkStart w:id="372" w:name="_Toc390098436"/>
      <w:bookmarkStart w:id="373" w:name="_Toc1624"/>
      <w:bookmarkStart w:id="374" w:name="_Toc27508"/>
      <w:bookmarkStart w:id="375" w:name="_Toc1530"/>
      <w:bookmarkStart w:id="376" w:name="_Toc14922"/>
      <w:bookmarkStart w:id="377" w:name="_Toc14309"/>
      <w:bookmarkStart w:id="378" w:name="_Toc9237"/>
      <w:bookmarkStart w:id="379" w:name="_Toc492478735"/>
      <w:bookmarkStart w:id="380" w:name="_Toc30848"/>
      <w:bookmarkStart w:id="381" w:name="_Toc16314"/>
      <w:bookmarkStart w:id="382" w:name="_Toc5974"/>
      <w:bookmarkStart w:id="383" w:name="_Toc383891185"/>
      <w:bookmarkStart w:id="384" w:name="_Toc30040"/>
      <w:bookmarkStart w:id="385" w:name="_Toc28665"/>
      <w:bookmarkStart w:id="386" w:name="_Toc25750606"/>
      <w:bookmarkStart w:id="387" w:name="_Toc7417"/>
      <w:bookmarkStart w:id="388" w:name="_Toc12983520"/>
      <w:bookmarkStart w:id="389" w:name="_Toc11690"/>
      <w:bookmarkStart w:id="390" w:name="_Toc385427810"/>
      <w:bookmarkStart w:id="391" w:name="_Toc24199"/>
      <w:r>
        <w:rPr>
          <w:rFonts w:asciiTheme="minorEastAsia" w:hAnsiTheme="minorEastAsia" w:eastAsiaTheme="minorEastAsia"/>
          <w:color w:val="auto"/>
          <w:sz w:val="21"/>
          <w:szCs w:val="21"/>
          <w:highlight w:val="none"/>
        </w:rPr>
        <w:t>比选保证金</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2"/>
        <w:spacing w:line="360" w:lineRule="auto"/>
        <w:ind w:firstLine="420" w:firstLineChars="200"/>
        <w:rPr>
          <w:rFonts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本项目</w:t>
      </w:r>
      <w:r>
        <w:rPr>
          <w:rFonts w:hint="eastAsia" w:asciiTheme="minorEastAsia" w:hAnsiTheme="minorEastAsia" w:eastAsiaTheme="minorEastAsia"/>
          <w:color w:val="auto"/>
          <w:szCs w:val="21"/>
          <w:highlight w:val="none"/>
        </w:rPr>
        <w:t>不要求递交比选保证金。</w:t>
      </w:r>
    </w:p>
    <w:p>
      <w:pPr>
        <w:spacing w:line="360" w:lineRule="auto"/>
        <w:ind w:firstLine="422" w:firstLineChars="200"/>
        <w:outlineLvl w:val="1"/>
        <w:rPr>
          <w:rFonts w:ascii="宋体" w:hAnsi="宋体"/>
          <w:b/>
          <w:color w:val="auto"/>
          <w:szCs w:val="21"/>
          <w:highlight w:val="none"/>
        </w:rPr>
      </w:pPr>
      <w:bookmarkStart w:id="392" w:name="_Toc3919"/>
      <w:r>
        <w:rPr>
          <w:rFonts w:hint="eastAsia" w:ascii="宋体" w:hAnsi="宋体"/>
          <w:b/>
          <w:color w:val="auto"/>
          <w:szCs w:val="21"/>
          <w:highlight w:val="none"/>
        </w:rPr>
        <w:t>15</w:t>
      </w:r>
      <w:r>
        <w:rPr>
          <w:rFonts w:hint="eastAsia" w:asciiTheme="minorEastAsia" w:hAnsiTheme="minorEastAsia" w:eastAsiaTheme="minorEastAsia"/>
          <w:color w:val="auto"/>
          <w:sz w:val="21"/>
          <w:szCs w:val="21"/>
          <w:highlight w:val="none"/>
        </w:rPr>
        <w:t xml:space="preserve">. </w:t>
      </w:r>
      <w:r>
        <w:rPr>
          <w:rFonts w:hint="eastAsia" w:ascii="宋体" w:hAnsi="宋体"/>
          <w:b/>
          <w:color w:val="auto"/>
          <w:szCs w:val="21"/>
          <w:highlight w:val="none"/>
        </w:rPr>
        <w:t>履约担保</w:t>
      </w:r>
      <w:bookmarkEnd w:id="392"/>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15.1履约担保的金额：合同总价的2.</w:t>
      </w:r>
      <w:r>
        <w:rPr>
          <w:rFonts w:ascii="宋体" w:hAnsi="宋体"/>
          <w:color w:val="auto"/>
          <w:kern w:val="0"/>
          <w:szCs w:val="21"/>
          <w:highlight w:val="none"/>
        </w:rPr>
        <w:t>5%</w:t>
      </w:r>
      <w:r>
        <w:rPr>
          <w:rFonts w:hint="eastAsia" w:ascii="宋体" w:hAnsi="宋体"/>
          <w:color w:val="auto"/>
          <w:kern w:val="0"/>
          <w:szCs w:val="21"/>
          <w:highlight w:val="none"/>
        </w:rPr>
        <w:t>。</w:t>
      </w:r>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15.2履约担保的形式：转账或电汇或银行保函。</w:t>
      </w:r>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15.3银行保函由中国境内各商业银行支行及其以上的银行开具的银行保函。</w:t>
      </w:r>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15.4递交地点：南宁市青秀区云景路83号；</w:t>
      </w:r>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15.5提交履约担保的时间：应在合同签订前、且最迟应在中选通知书发出之日起</w:t>
      </w:r>
      <w:r>
        <w:rPr>
          <w:rFonts w:ascii="宋体" w:hAnsi="宋体"/>
          <w:color w:val="auto"/>
          <w:kern w:val="0"/>
          <w:szCs w:val="21"/>
          <w:highlight w:val="none"/>
        </w:rPr>
        <w:t>20</w:t>
      </w:r>
      <w:r>
        <w:rPr>
          <w:rFonts w:hint="eastAsia" w:ascii="宋体" w:hAnsi="宋体"/>
          <w:color w:val="auto"/>
          <w:kern w:val="0"/>
          <w:szCs w:val="21"/>
          <w:highlight w:val="none"/>
        </w:rPr>
        <w:t>日内。</w:t>
      </w:r>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15.6若中选人未在规定时间内足额缴纳履约担保，比选人有权取消其中选资格。</w:t>
      </w:r>
    </w:p>
    <w:p>
      <w:pPr>
        <w:widowControl/>
        <w:tabs>
          <w:tab w:val="left" w:pos="1134"/>
          <w:tab w:val="left" w:pos="8364"/>
        </w:tabs>
        <w:spacing w:line="360" w:lineRule="auto"/>
        <w:ind w:firstLine="420" w:firstLineChars="200"/>
        <w:rPr>
          <w:color w:val="auto"/>
          <w:highlight w:val="none"/>
        </w:rPr>
      </w:pPr>
      <w:r>
        <w:rPr>
          <w:rFonts w:hint="eastAsia" w:ascii="宋体" w:hAnsi="宋体"/>
          <w:color w:val="auto"/>
          <w:kern w:val="0"/>
          <w:szCs w:val="21"/>
          <w:highlight w:val="none"/>
        </w:rPr>
        <w:t>15.7履约保函应采用合同规定格式，其开具银行应为中国境内商业银行地市级以上支行（含地市级支行），并须是以甲方为受益人，见索即付无条件付款的、不可撤销的银行保函。</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393" w:name="_Toc383891186"/>
      <w:bookmarkStart w:id="394" w:name="_Toc23114"/>
      <w:bookmarkStart w:id="395" w:name="_Toc375039082"/>
      <w:bookmarkStart w:id="396" w:name="_Toc10918"/>
      <w:bookmarkStart w:id="397" w:name="_Toc20493"/>
      <w:bookmarkStart w:id="398" w:name="_Toc492478736"/>
      <w:bookmarkStart w:id="399" w:name="_Toc691"/>
      <w:bookmarkStart w:id="400" w:name="_Toc4433"/>
      <w:bookmarkStart w:id="401" w:name="_Toc845"/>
      <w:bookmarkStart w:id="402" w:name="_Toc390098437"/>
      <w:bookmarkStart w:id="403" w:name="_Toc1604"/>
      <w:bookmarkStart w:id="404" w:name="_Toc9117"/>
      <w:bookmarkStart w:id="405" w:name="_Toc24656"/>
      <w:bookmarkStart w:id="406" w:name="_Toc2268"/>
      <w:bookmarkStart w:id="407" w:name="_Toc385427811"/>
      <w:bookmarkStart w:id="408" w:name="_Toc28555"/>
      <w:bookmarkStart w:id="409" w:name="_Toc30499"/>
      <w:bookmarkStart w:id="410" w:name="_Toc7808"/>
      <w:bookmarkStart w:id="411" w:name="_Toc28997"/>
      <w:bookmarkStart w:id="412" w:name="_Toc25750607"/>
      <w:bookmarkStart w:id="413" w:name="_Toc12983521"/>
      <w:bookmarkStart w:id="414" w:name="_Toc20643"/>
      <w:bookmarkStart w:id="415" w:name="_Toc20070"/>
      <w:bookmarkStart w:id="416" w:name="_Toc5690"/>
      <w:r>
        <w:rPr>
          <w:rFonts w:hint="eastAsia" w:asciiTheme="minorEastAsia" w:hAnsiTheme="minorEastAsia" w:eastAsiaTheme="minorEastAsia"/>
          <w:color w:val="auto"/>
          <w:sz w:val="21"/>
          <w:szCs w:val="21"/>
          <w:highlight w:val="none"/>
        </w:rPr>
        <w:t xml:space="preserve">16. </w:t>
      </w:r>
      <w:r>
        <w:rPr>
          <w:rFonts w:asciiTheme="minorEastAsia" w:hAnsiTheme="minorEastAsia" w:eastAsiaTheme="minorEastAsia"/>
          <w:color w:val="auto"/>
          <w:sz w:val="21"/>
          <w:szCs w:val="21"/>
          <w:highlight w:val="none"/>
        </w:rPr>
        <w:t>比选申请有效期</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16.1 </w:t>
      </w:r>
      <w:r>
        <w:rPr>
          <w:rFonts w:asciiTheme="minorEastAsia" w:hAnsiTheme="minorEastAsia" w:eastAsiaTheme="minorEastAsia"/>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16.2 </w:t>
      </w:r>
      <w:r>
        <w:rPr>
          <w:rFonts w:asciiTheme="minorEastAsia" w:hAnsiTheme="minorEastAsia" w:eastAsiaTheme="minorEastAsia"/>
          <w:color w:val="auto"/>
          <w:highlight w:val="none"/>
        </w:rPr>
        <w:t>特殊情况下，</w:t>
      </w:r>
      <w:r>
        <w:rPr>
          <w:rFonts w:hint="eastAsia" w:asciiTheme="minorEastAsia" w:hAnsiTheme="minorEastAsia" w:eastAsiaTheme="minorEastAsia"/>
          <w:color w:val="auto"/>
          <w:highlight w:val="none"/>
        </w:rPr>
        <w:t>比选人</w:t>
      </w:r>
      <w:r>
        <w:rPr>
          <w:rFonts w:asciiTheme="minorEastAsia" w:hAnsiTheme="minorEastAsia" w:eastAsiaTheme="minorEastAsia"/>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 xml:space="preserve"> </w:t>
      </w:r>
    </w:p>
    <w:p>
      <w:pPr>
        <w:tabs>
          <w:tab w:val="left" w:pos="1134"/>
          <w:tab w:val="left" w:pos="8364"/>
        </w:tabs>
        <w:spacing w:line="360" w:lineRule="auto"/>
        <w:ind w:firstLine="422" w:firstLineChars="200"/>
        <w:rPr>
          <w:rFonts w:asciiTheme="minorEastAsia" w:hAnsiTheme="minorEastAsia" w:eastAsiaTheme="minorEastAsia"/>
          <w:b/>
          <w:bCs/>
          <w:color w:val="auto"/>
          <w:highlight w:val="none"/>
        </w:rPr>
      </w:pPr>
      <w:bookmarkStart w:id="417" w:name="_Toc4216"/>
      <w:bookmarkStart w:id="418" w:name="_Toc27730"/>
      <w:bookmarkStart w:id="419" w:name="_Toc492478737"/>
      <w:bookmarkStart w:id="420" w:name="_Toc383891187"/>
      <w:bookmarkStart w:id="421" w:name="_Toc24922"/>
      <w:bookmarkStart w:id="422" w:name="_Toc301"/>
      <w:bookmarkStart w:id="423" w:name="_Toc12506"/>
      <w:bookmarkStart w:id="424" w:name="_Toc19044"/>
      <w:bookmarkStart w:id="425" w:name="_Toc29108"/>
      <w:bookmarkStart w:id="426" w:name="_Toc12435"/>
      <w:bookmarkStart w:id="427" w:name="_Toc32020"/>
      <w:bookmarkStart w:id="428" w:name="_Toc390098438"/>
      <w:bookmarkStart w:id="429" w:name="_Toc8100"/>
      <w:bookmarkStart w:id="430" w:name="_Toc25684"/>
      <w:bookmarkStart w:id="431" w:name="_Toc19603"/>
      <w:bookmarkStart w:id="432" w:name="_Toc375039083"/>
      <w:bookmarkStart w:id="433" w:name="_Toc385427812"/>
      <w:bookmarkStart w:id="434" w:name="_Toc14672"/>
      <w:bookmarkStart w:id="435" w:name="_Toc6065"/>
      <w:bookmarkStart w:id="436" w:name="_Toc3414"/>
      <w:bookmarkStart w:id="437" w:name="_Toc32525"/>
      <w:bookmarkStart w:id="438" w:name="_Toc12983522"/>
      <w:bookmarkStart w:id="439" w:name="_Toc25468"/>
      <w:r>
        <w:rPr>
          <w:rFonts w:hint="eastAsia" w:asciiTheme="minorEastAsia" w:hAnsiTheme="minorEastAsia" w:eastAsiaTheme="minorEastAsia"/>
          <w:b/>
          <w:bCs/>
          <w:color w:val="auto"/>
          <w:highlight w:val="none"/>
        </w:rPr>
        <w:t xml:space="preserve">17. </w:t>
      </w:r>
      <w:r>
        <w:rPr>
          <w:rFonts w:asciiTheme="minorEastAsia" w:hAnsiTheme="minorEastAsia" w:eastAsiaTheme="minorEastAsia"/>
          <w:b/>
          <w:bCs/>
          <w:color w:val="auto"/>
          <w:highlight w:val="none"/>
        </w:rPr>
        <w:t>比选申请文件的制作和签署</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17.1 </w:t>
      </w:r>
      <w:r>
        <w:rPr>
          <w:rFonts w:asciiTheme="minorEastAsia" w:hAnsiTheme="minorEastAsia" w:eastAsiaTheme="minorEastAsia"/>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w:t>
      </w:r>
      <w:r>
        <w:rPr>
          <w:rFonts w:hint="eastAsia" w:asciiTheme="minorEastAsia" w:hAnsiTheme="minorEastAsia" w:eastAsiaTheme="minorEastAsia"/>
          <w:color w:val="auto"/>
          <w:highlight w:val="none"/>
          <w:lang w:eastAsia="zh-CN"/>
        </w:rPr>
        <w:t>”“</w:t>
      </w:r>
      <w:r>
        <w:rPr>
          <w:rFonts w:asciiTheme="minorEastAsia" w:hAnsiTheme="minorEastAsia" w:eastAsiaTheme="minorEastAsia"/>
          <w:color w:val="auto"/>
          <w:highlight w:val="none"/>
        </w:rPr>
        <w:t>副本”或“电子文件”。若正本和副本不符，以正本为准，电子版与纸</w:t>
      </w:r>
      <w:r>
        <w:rPr>
          <w:rFonts w:hint="eastAsia" w:asciiTheme="minorEastAsia" w:hAnsiTheme="minorEastAsia" w:eastAsiaTheme="minorEastAsia"/>
          <w:color w:val="auto"/>
          <w:highlight w:val="none"/>
        </w:rPr>
        <w:t>质</w:t>
      </w:r>
      <w:r>
        <w:rPr>
          <w:rFonts w:asciiTheme="minorEastAsia" w:hAnsiTheme="minorEastAsia" w:eastAsiaTheme="minorEastAsia"/>
          <w:color w:val="auto"/>
          <w:highlight w:val="none"/>
        </w:rPr>
        <w:t>文件不符以纸</w:t>
      </w:r>
      <w:r>
        <w:rPr>
          <w:rFonts w:hint="eastAsia" w:asciiTheme="minorEastAsia" w:hAnsiTheme="minorEastAsia" w:eastAsiaTheme="minorEastAsia"/>
          <w:color w:val="auto"/>
          <w:highlight w:val="none"/>
        </w:rPr>
        <w:t>质</w:t>
      </w:r>
      <w:r>
        <w:rPr>
          <w:rFonts w:asciiTheme="minorEastAsia" w:hAnsiTheme="minorEastAsia" w:eastAsiaTheme="minorEastAsia"/>
          <w:color w:val="auto"/>
          <w:highlight w:val="none"/>
        </w:rPr>
        <w:t>文件为准。</w:t>
      </w:r>
      <w:r>
        <w:rPr>
          <w:rFonts w:hint="eastAsia" w:asciiTheme="minorEastAsia" w:hAnsiTheme="minorEastAsia" w:eastAsiaTheme="minorEastAsia"/>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line="360" w:lineRule="auto"/>
        <w:ind w:firstLine="42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 xml:space="preserve">17.2 </w:t>
      </w:r>
      <w:r>
        <w:rPr>
          <w:rFonts w:asciiTheme="minorEastAsia" w:hAnsiTheme="minorEastAsia" w:eastAsiaTheme="minorEastAsia"/>
          <w:b/>
          <w:color w:val="auto"/>
          <w:highlight w:val="none"/>
        </w:rPr>
        <w:t>比选申请文件的正本需打印，并由比选申请人法定代表人或其授权委托人</w:t>
      </w:r>
      <w:r>
        <w:rPr>
          <w:rFonts w:hint="eastAsia" w:asciiTheme="minorEastAsia" w:hAnsiTheme="minorEastAsia" w:eastAsiaTheme="minorEastAsia"/>
          <w:b/>
          <w:color w:val="auto"/>
          <w:highlight w:val="none"/>
        </w:rPr>
        <w:t>在比选文件规定的相关位置</w:t>
      </w:r>
      <w:r>
        <w:rPr>
          <w:rFonts w:asciiTheme="minorEastAsia" w:hAnsiTheme="minorEastAsia" w:eastAsiaTheme="minorEastAsia"/>
          <w:b/>
          <w:color w:val="auto"/>
          <w:highlight w:val="none"/>
        </w:rPr>
        <w:t>签字并加盖公章。授权委托人应将以书面形式出具的“法定代表人授权书”附在比选申请文件中。</w:t>
      </w:r>
      <w:r>
        <w:rPr>
          <w:rFonts w:hint="eastAsia" w:asciiTheme="minorEastAsia" w:hAnsiTheme="minorEastAsia" w:eastAsiaTheme="minorEastAsia"/>
          <w:b/>
          <w:color w:val="auto"/>
          <w:highlight w:val="none"/>
        </w:rPr>
        <w:t>比选申请文件正本需</w:t>
      </w:r>
      <w:r>
        <w:rPr>
          <w:rFonts w:asciiTheme="minorEastAsia" w:hAnsiTheme="minorEastAsia" w:eastAsiaTheme="minorEastAsia"/>
          <w:b/>
          <w:color w:val="auto"/>
          <w:highlight w:val="none"/>
        </w:rPr>
        <w:t>骑缝加盖比选申请人单位公章</w:t>
      </w:r>
      <w:r>
        <w:rPr>
          <w:rFonts w:hint="eastAsia" w:asciiTheme="minorEastAsia" w:hAnsiTheme="minorEastAsia" w:eastAsiaTheme="minorEastAsia"/>
          <w:b/>
          <w:color w:val="auto"/>
          <w:highlight w:val="none"/>
        </w:rPr>
        <w:t>，</w:t>
      </w:r>
      <w:r>
        <w:rPr>
          <w:rFonts w:asciiTheme="minorEastAsia" w:hAnsiTheme="minorEastAsia" w:eastAsiaTheme="minorEastAsia"/>
          <w:b/>
          <w:color w:val="auto"/>
          <w:highlight w:val="none"/>
        </w:rPr>
        <w:t>比选申请文件的副本可采用正本的复印件</w:t>
      </w:r>
      <w:r>
        <w:rPr>
          <w:rFonts w:hint="eastAsia" w:asciiTheme="minorEastAsia" w:hAnsiTheme="minorEastAsia" w:eastAsiaTheme="minorEastAsia"/>
          <w:b/>
          <w:color w:val="auto"/>
          <w:highlight w:val="none"/>
        </w:rPr>
        <w:t>（需</w:t>
      </w:r>
      <w:r>
        <w:rPr>
          <w:rFonts w:asciiTheme="minorEastAsia" w:hAnsiTheme="minorEastAsia" w:eastAsiaTheme="minorEastAsia"/>
          <w:b/>
          <w:color w:val="auto"/>
          <w:highlight w:val="none"/>
        </w:rPr>
        <w:t>骑缝加盖比选申请人单位公章</w:t>
      </w:r>
      <w:r>
        <w:rPr>
          <w:rFonts w:hint="eastAsia" w:asciiTheme="minorEastAsia" w:hAnsiTheme="minorEastAsia" w:eastAsiaTheme="minorEastAsia"/>
          <w:b/>
          <w:color w:val="auto"/>
          <w:highlight w:val="none"/>
        </w:rPr>
        <w:t>）</w:t>
      </w:r>
      <w:r>
        <w:rPr>
          <w:rFonts w:asciiTheme="minorEastAsia" w:hAnsiTheme="minorEastAsia" w:eastAsiaTheme="minorEastAsia"/>
          <w:b/>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17.3 </w:t>
      </w:r>
      <w:r>
        <w:rPr>
          <w:rFonts w:asciiTheme="minorEastAsia" w:hAnsiTheme="minorEastAsia" w:eastAsiaTheme="minorEastAsia"/>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17.4 </w:t>
      </w:r>
      <w:r>
        <w:rPr>
          <w:rFonts w:asciiTheme="minorEastAsia" w:hAnsiTheme="minorEastAsia" w:eastAsiaTheme="minorEastAsia"/>
          <w:color w:val="auto"/>
          <w:highlight w:val="none"/>
        </w:rPr>
        <w:t>比选人拒绝接受以</w:t>
      </w:r>
      <w:r>
        <w:rPr>
          <w:rFonts w:hint="eastAsia" w:asciiTheme="minorEastAsia" w:hAnsiTheme="minorEastAsia" w:eastAsiaTheme="minorEastAsia"/>
          <w:color w:val="auto"/>
          <w:highlight w:val="none"/>
        </w:rPr>
        <w:t>邮寄、</w:t>
      </w:r>
      <w:r>
        <w:rPr>
          <w:rFonts w:asciiTheme="minorEastAsia" w:hAnsiTheme="minorEastAsia" w:eastAsiaTheme="minorEastAsia"/>
          <w:color w:val="auto"/>
          <w:highlight w:val="none"/>
        </w:rPr>
        <w:t>电报、电话、传真、电子邮件形式的比选申请。</w:t>
      </w:r>
    </w:p>
    <w:p>
      <w:pPr>
        <w:spacing w:line="360" w:lineRule="auto"/>
        <w:ind w:firstLine="482" w:firstLineChars="200"/>
        <w:rPr>
          <w:rFonts w:asciiTheme="minorEastAsia" w:hAnsiTheme="minorEastAsia" w:eastAsiaTheme="minorEastAsia"/>
          <w:b/>
          <w:bCs/>
          <w:color w:val="auto"/>
          <w:sz w:val="24"/>
          <w:szCs w:val="24"/>
          <w:highlight w:val="none"/>
        </w:rPr>
      </w:pPr>
      <w:bookmarkStart w:id="440" w:name="_Toc375039084"/>
      <w:bookmarkStart w:id="441" w:name="_Toc385427813"/>
      <w:bookmarkStart w:id="442" w:name="_Toc383891188"/>
      <w:bookmarkStart w:id="443" w:name="_Toc390098439"/>
      <w:bookmarkStart w:id="444" w:name="_Toc30452"/>
      <w:bookmarkStart w:id="445" w:name="_Toc25750608"/>
      <w:bookmarkStart w:id="446" w:name="_Toc30962"/>
      <w:bookmarkStart w:id="447" w:name="_Toc6101"/>
      <w:bookmarkStart w:id="448" w:name="_Toc26551"/>
      <w:bookmarkStart w:id="449" w:name="_Toc492478738"/>
      <w:bookmarkStart w:id="450" w:name="_Toc16409"/>
      <w:bookmarkStart w:id="451" w:name="_Toc1952"/>
      <w:bookmarkStart w:id="452" w:name="_Toc32054"/>
      <w:bookmarkStart w:id="453" w:name="_Toc30187"/>
      <w:bookmarkStart w:id="454" w:name="_Toc2113"/>
      <w:bookmarkStart w:id="455" w:name="_Toc10234"/>
      <w:bookmarkStart w:id="456" w:name="_Toc18322"/>
      <w:bookmarkStart w:id="457" w:name="_Toc2975"/>
      <w:bookmarkStart w:id="458" w:name="_Toc12983523"/>
      <w:bookmarkStart w:id="459" w:name="_Toc15116"/>
      <w:bookmarkStart w:id="460" w:name="_Toc759"/>
      <w:bookmarkStart w:id="461" w:name="_Toc26776"/>
      <w:bookmarkStart w:id="462" w:name="_Toc23177"/>
      <w:bookmarkStart w:id="463" w:name="_Toc1315"/>
      <w:r>
        <w:rPr>
          <w:rFonts w:hint="eastAsia" w:asciiTheme="minorEastAsia" w:hAnsiTheme="minorEastAsia" w:eastAsiaTheme="minorEastAsia"/>
          <w:b/>
          <w:bCs/>
          <w:color w:val="auto"/>
          <w:sz w:val="24"/>
          <w:szCs w:val="24"/>
          <w:highlight w:val="none"/>
        </w:rPr>
        <w:t>四、比选申请文件</w:t>
      </w:r>
      <w:bookmarkEnd w:id="440"/>
      <w:bookmarkEnd w:id="441"/>
      <w:bookmarkEnd w:id="442"/>
      <w:bookmarkEnd w:id="443"/>
      <w:r>
        <w:rPr>
          <w:rFonts w:hint="eastAsia" w:asciiTheme="minorEastAsia" w:hAnsiTheme="minorEastAsia" w:eastAsiaTheme="minorEastAsia"/>
          <w:b/>
          <w:bCs/>
          <w:color w:val="auto"/>
          <w:sz w:val="24"/>
          <w:szCs w:val="24"/>
          <w:highlight w:val="none"/>
        </w:rPr>
        <w:t>的密封和递交</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464" w:name="_Toc25750609"/>
      <w:bookmarkStart w:id="465" w:name="_Toc24648"/>
      <w:bookmarkStart w:id="466" w:name="_Toc383891189"/>
      <w:bookmarkStart w:id="467" w:name="_Toc13829"/>
      <w:bookmarkStart w:id="468" w:name="_Toc30196"/>
      <w:bookmarkStart w:id="469" w:name="_Toc12983524"/>
      <w:bookmarkStart w:id="470" w:name="_Toc18616"/>
      <w:bookmarkStart w:id="471" w:name="_Toc13875"/>
      <w:bookmarkStart w:id="472" w:name="_Toc17200"/>
      <w:bookmarkStart w:id="473" w:name="_Toc9307"/>
      <w:bookmarkStart w:id="474" w:name="_Toc5922"/>
      <w:bookmarkStart w:id="475" w:name="_Toc15663"/>
      <w:bookmarkStart w:id="476" w:name="_Toc385427814"/>
      <w:bookmarkStart w:id="477" w:name="_Toc12329"/>
      <w:bookmarkStart w:id="478" w:name="_Toc12117"/>
      <w:bookmarkStart w:id="479" w:name="_Toc13621"/>
      <w:bookmarkStart w:id="480" w:name="_Toc390098440"/>
      <w:bookmarkStart w:id="481" w:name="_Toc15071"/>
      <w:bookmarkStart w:id="482" w:name="_Toc15650"/>
      <w:bookmarkStart w:id="483" w:name="_Toc26249"/>
      <w:bookmarkStart w:id="484" w:name="_Toc19495"/>
      <w:bookmarkStart w:id="485" w:name="_Toc15735"/>
      <w:bookmarkStart w:id="486" w:name="_Toc492478739"/>
      <w:bookmarkStart w:id="487" w:name="_Toc375039085"/>
      <w:r>
        <w:rPr>
          <w:rFonts w:hint="eastAsia" w:asciiTheme="minorEastAsia" w:hAnsiTheme="minorEastAsia" w:eastAsiaTheme="minorEastAsia"/>
          <w:color w:val="auto"/>
          <w:sz w:val="21"/>
          <w:szCs w:val="21"/>
          <w:highlight w:val="none"/>
        </w:rPr>
        <w:t xml:space="preserve">18. </w:t>
      </w:r>
      <w:r>
        <w:rPr>
          <w:rFonts w:asciiTheme="minorEastAsia" w:hAnsiTheme="minorEastAsia" w:eastAsiaTheme="minorEastAsia"/>
          <w:color w:val="auto"/>
          <w:sz w:val="21"/>
          <w:szCs w:val="21"/>
          <w:highlight w:val="none"/>
        </w:rPr>
        <w:t>比选申请文件</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tabs>
          <w:tab w:val="left" w:pos="1134"/>
          <w:tab w:val="left" w:pos="8364"/>
        </w:tabs>
        <w:spacing w:line="360" w:lineRule="auto"/>
        <w:ind w:firstLine="420" w:firstLineChars="200"/>
        <w:rPr>
          <w:rFonts w:asciiTheme="minorEastAsia" w:hAnsiTheme="minorEastAsia" w:eastAsiaTheme="minorEastAsia"/>
          <w:color w:val="auto"/>
          <w:highlight w:val="none"/>
        </w:rPr>
      </w:pPr>
      <w:bookmarkStart w:id="488" w:name="_Toc375039086"/>
      <w:bookmarkStart w:id="489" w:name="_Toc385427815"/>
      <w:bookmarkStart w:id="490" w:name="_Toc383891190"/>
      <w:bookmarkStart w:id="491" w:name="_Toc390098441"/>
      <w:r>
        <w:rPr>
          <w:rFonts w:hint="eastAsia" w:asciiTheme="minorEastAsia" w:hAnsiTheme="minorEastAsia" w:eastAsiaTheme="minorEastAsia"/>
          <w:color w:val="auto"/>
          <w:highlight w:val="none"/>
        </w:rPr>
        <w:t xml:space="preserve">18.1 </w:t>
      </w:r>
      <w:r>
        <w:rPr>
          <w:rFonts w:asciiTheme="minorEastAsia" w:hAnsiTheme="minorEastAsia" w:eastAsiaTheme="minorEastAsia"/>
          <w:color w:val="auto"/>
          <w:highlight w:val="none"/>
        </w:rPr>
        <w:t>封装方式</w:t>
      </w:r>
    </w:p>
    <w:p>
      <w:pPr>
        <w:tabs>
          <w:tab w:val="left" w:pos="420"/>
          <w:tab w:val="left" w:pos="720"/>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（1）比选申请文件正本与副本应分别装订成册，封面上应分别标明“正本”和“副本”字样。</w:t>
      </w:r>
    </w:p>
    <w:p>
      <w:pPr>
        <w:tabs>
          <w:tab w:val="left" w:pos="420"/>
          <w:tab w:val="left" w:pos="720"/>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）比选申请人可将比选申请文件封装为</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个包。</w:t>
      </w:r>
    </w:p>
    <w:p>
      <w:pPr>
        <w:tabs>
          <w:tab w:val="left" w:pos="420"/>
          <w:tab w:val="left" w:pos="720"/>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（3）所有密封箱/袋应保证其密封性，并骑缝加盖比选申请人单位公章。</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8</w:t>
      </w:r>
      <w:r>
        <w:rPr>
          <w:rFonts w:hint="eastAsia" w:asciiTheme="minorEastAsia" w:hAnsiTheme="minorEastAsia" w:eastAsiaTheme="minorEastAsia"/>
          <w:color w:val="auto"/>
          <w:highlight w:val="none"/>
        </w:rPr>
        <w:t xml:space="preserve">.2 </w:t>
      </w:r>
      <w:r>
        <w:rPr>
          <w:rFonts w:asciiTheme="minorEastAsia" w:hAnsiTheme="minorEastAsia" w:eastAsiaTheme="minorEastAsia"/>
          <w:color w:val="auto"/>
          <w:highlight w:val="none"/>
        </w:rPr>
        <w:t>所有密封箱/袋都应具有下列识别标志：</w:t>
      </w:r>
    </w:p>
    <w:p>
      <w:pPr>
        <w:tabs>
          <w:tab w:val="left" w:pos="1155"/>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项目名称：</w:t>
      </w:r>
      <w:r>
        <w:rPr>
          <w:rFonts w:asciiTheme="minorEastAsia" w:hAnsiTheme="minorEastAsia" w:eastAsiaTheme="minorEastAsia"/>
          <w:color w:val="auto"/>
          <w:highlight w:val="none"/>
          <w:u w:val="single"/>
        </w:rPr>
        <w:t>（填入项目名称）</w:t>
      </w:r>
      <w:r>
        <w:rPr>
          <w:rFonts w:asciiTheme="minorEastAsia" w:hAnsiTheme="minorEastAsia" w:eastAsiaTheme="minorEastAsia"/>
          <w:color w:val="auto"/>
          <w:highlight w:val="none"/>
        </w:rPr>
        <w:t>；</w:t>
      </w:r>
    </w:p>
    <w:p>
      <w:pPr>
        <w:tabs>
          <w:tab w:val="left" w:pos="420"/>
          <w:tab w:val="left" w:pos="720"/>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项目编号：</w:t>
      </w:r>
      <w:r>
        <w:rPr>
          <w:rFonts w:asciiTheme="minorEastAsia" w:hAnsiTheme="minorEastAsia" w:eastAsiaTheme="minorEastAsia"/>
          <w:color w:val="auto"/>
          <w:highlight w:val="none"/>
          <w:u w:val="single"/>
        </w:rPr>
        <w:t>（填入项目编号）</w:t>
      </w:r>
      <w:r>
        <w:rPr>
          <w:rFonts w:asciiTheme="minorEastAsia" w:hAnsiTheme="minorEastAsia" w:eastAsiaTheme="minorEastAsia"/>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18.3 </w:t>
      </w:r>
      <w:r>
        <w:rPr>
          <w:rFonts w:asciiTheme="minorEastAsia" w:hAnsiTheme="minorEastAsia" w:eastAsiaTheme="minorEastAsia"/>
          <w:color w:val="auto"/>
          <w:highlight w:val="none"/>
        </w:rPr>
        <w:t>所有密封箱</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袋上均应写明比选申请人的名称与地址，以便比选申请被宣布迟到时，能原封退回。</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18.4 </w:t>
      </w:r>
      <w:r>
        <w:rPr>
          <w:rFonts w:asciiTheme="minorEastAsia" w:hAnsiTheme="minorEastAsia" w:eastAsiaTheme="minorEastAsia"/>
          <w:color w:val="auto"/>
          <w:highlight w:val="none"/>
        </w:rPr>
        <w:t>如果密封箱</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7"/>
        <w:numPr>
          <w:ilvl w:val="0"/>
          <w:numId w:val="0"/>
        </w:numPr>
        <w:spacing w:before="0" w:after="0" w:line="360" w:lineRule="auto"/>
        <w:ind w:left="420" w:leftChars="0"/>
        <w:rPr>
          <w:rFonts w:asciiTheme="minorEastAsia" w:hAnsiTheme="minorEastAsia" w:eastAsiaTheme="minorEastAsia"/>
          <w:color w:val="auto"/>
          <w:sz w:val="21"/>
          <w:szCs w:val="21"/>
          <w:highlight w:val="none"/>
        </w:rPr>
      </w:pPr>
      <w:bookmarkStart w:id="492" w:name="_Toc11096"/>
      <w:bookmarkStart w:id="493" w:name="_Toc13883"/>
      <w:bookmarkStart w:id="494" w:name="_Toc16755"/>
      <w:bookmarkStart w:id="495" w:name="_Toc16266"/>
      <w:bookmarkStart w:id="496" w:name="_Toc23859"/>
      <w:bookmarkStart w:id="497" w:name="_Toc16818"/>
      <w:bookmarkStart w:id="498" w:name="_Toc12983525"/>
      <w:bookmarkStart w:id="499" w:name="_Toc25750610"/>
      <w:bookmarkStart w:id="500" w:name="_Toc11255"/>
      <w:bookmarkStart w:id="501" w:name="_Toc6482"/>
      <w:bookmarkStart w:id="502" w:name="_Toc28071"/>
      <w:bookmarkStart w:id="503" w:name="_Toc492478740"/>
      <w:bookmarkStart w:id="504" w:name="_Toc6339"/>
      <w:bookmarkStart w:id="505" w:name="_Toc22445"/>
      <w:bookmarkStart w:id="506" w:name="_Toc4735"/>
      <w:bookmarkStart w:id="507" w:name="_Toc11039"/>
      <w:bookmarkStart w:id="508" w:name="_Toc2337"/>
      <w:bookmarkStart w:id="509" w:name="_Toc22180"/>
      <w:bookmarkStart w:id="510" w:name="_Toc32760"/>
      <w:bookmarkStart w:id="511" w:name="_Toc642"/>
      <w:r>
        <w:rPr>
          <w:rFonts w:hint="eastAsia" w:asciiTheme="minorEastAsia" w:hAnsiTheme="minorEastAsia" w:eastAsiaTheme="minorEastAsia"/>
          <w:color w:val="auto"/>
          <w:sz w:val="21"/>
          <w:szCs w:val="21"/>
          <w:highlight w:val="none"/>
          <w:lang w:val="en-US" w:eastAsia="zh-CN"/>
        </w:rPr>
        <w:t>19.</w:t>
      </w:r>
      <w:r>
        <w:rPr>
          <w:rFonts w:asciiTheme="minorEastAsia" w:hAnsiTheme="minorEastAsia" w:eastAsiaTheme="minorEastAsia"/>
          <w:color w:val="auto"/>
          <w:sz w:val="21"/>
          <w:szCs w:val="21"/>
          <w:highlight w:val="none"/>
        </w:rPr>
        <w:t>比选申请截止期</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9</w:t>
      </w:r>
      <w:r>
        <w:rPr>
          <w:rFonts w:hint="eastAsia" w:asciiTheme="minorEastAsia" w:hAnsiTheme="minorEastAsia" w:eastAsiaTheme="minorEastAsia"/>
          <w:color w:val="auto"/>
          <w:highlight w:val="none"/>
        </w:rPr>
        <w:t xml:space="preserve">.1 </w:t>
      </w:r>
      <w:r>
        <w:rPr>
          <w:rFonts w:asciiTheme="minorEastAsia" w:hAnsiTheme="minorEastAsia" w:eastAsiaTheme="minorEastAsia"/>
          <w:color w:val="auto"/>
          <w:highlight w:val="none"/>
        </w:rPr>
        <w:t>所有比选申请文件应派专人送交，并须按“比选申请须知前附表”中规定的比选申请截止时间</w:t>
      </w:r>
      <w:r>
        <w:rPr>
          <w:rFonts w:hint="eastAsia" w:asciiTheme="minorEastAsia" w:hAnsiTheme="minorEastAsia" w:eastAsiaTheme="minorEastAsia"/>
          <w:color w:val="auto"/>
          <w:highlight w:val="none"/>
        </w:rPr>
        <w:t>前</w:t>
      </w:r>
      <w:r>
        <w:rPr>
          <w:rFonts w:asciiTheme="minorEastAsia" w:hAnsiTheme="minorEastAsia" w:eastAsiaTheme="minorEastAsia"/>
          <w:color w:val="auto"/>
          <w:highlight w:val="none"/>
        </w:rPr>
        <w:t>送至</w:t>
      </w:r>
      <w:r>
        <w:rPr>
          <w:rFonts w:hint="eastAsia" w:asciiTheme="minorEastAsia" w:hAnsiTheme="minorEastAsia" w:eastAsiaTheme="minorEastAsia"/>
          <w:color w:val="auto"/>
          <w:highlight w:val="none"/>
        </w:rPr>
        <w:t>比选文件规定的</w:t>
      </w:r>
      <w:r>
        <w:rPr>
          <w:rFonts w:asciiTheme="minorEastAsia" w:hAnsiTheme="minorEastAsia" w:eastAsiaTheme="minorEastAsia"/>
          <w:color w:val="auto"/>
          <w:highlight w:val="none"/>
        </w:rPr>
        <w:t>地点。如有必要，比选申请人可事先自行到该场地进行察看。</w:t>
      </w:r>
    </w:p>
    <w:p>
      <w:pPr>
        <w:tabs>
          <w:tab w:val="left" w:pos="1134"/>
          <w:tab w:val="left" w:pos="8364"/>
        </w:tabs>
        <w:spacing w:line="360" w:lineRule="auto"/>
        <w:ind w:firstLine="422" w:firstLineChars="200"/>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 xml:space="preserve">19.2 </w:t>
      </w:r>
      <w:r>
        <w:rPr>
          <w:rFonts w:asciiTheme="minorEastAsia" w:hAnsiTheme="minorEastAsia" w:eastAsiaTheme="minorEastAsia"/>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19.3 </w:t>
      </w:r>
      <w:r>
        <w:rPr>
          <w:rFonts w:asciiTheme="minorEastAsia" w:hAnsiTheme="minorEastAsia" w:eastAsiaTheme="minorEastAsia"/>
          <w:color w:val="auto"/>
          <w:highlight w:val="none"/>
        </w:rPr>
        <w:t>出现</w:t>
      </w:r>
      <w:r>
        <w:rPr>
          <w:rFonts w:hint="eastAsia" w:asciiTheme="minorEastAsia" w:hAnsiTheme="minorEastAsia" w:eastAsiaTheme="minorEastAsia"/>
          <w:color w:val="auto"/>
          <w:highlight w:val="none"/>
        </w:rPr>
        <w:t>本</w:t>
      </w:r>
      <w:r>
        <w:rPr>
          <w:rFonts w:asciiTheme="minorEastAsia" w:hAnsiTheme="minorEastAsia" w:eastAsiaTheme="minorEastAsia"/>
          <w:color w:val="auto"/>
          <w:highlight w:val="none"/>
        </w:rPr>
        <w:t>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512" w:name="_Toc492478741"/>
      <w:bookmarkStart w:id="513" w:name="_Toc11373"/>
      <w:bookmarkStart w:id="514" w:name="_Toc12983526"/>
      <w:bookmarkStart w:id="515" w:name="_Toc32252"/>
      <w:bookmarkStart w:id="516" w:name="_Toc26431"/>
      <w:bookmarkStart w:id="517" w:name="_Toc21960"/>
      <w:bookmarkStart w:id="518" w:name="_Toc22945"/>
      <w:bookmarkStart w:id="519" w:name="_Toc29066"/>
      <w:bookmarkStart w:id="520" w:name="_Toc9522"/>
      <w:bookmarkStart w:id="521" w:name="_Toc15252"/>
      <w:bookmarkStart w:id="522" w:name="_Toc14239"/>
      <w:bookmarkStart w:id="523" w:name="_Toc23404"/>
      <w:bookmarkStart w:id="524" w:name="_Toc390098442"/>
      <w:bookmarkStart w:id="525" w:name="_Toc383891191"/>
      <w:bookmarkStart w:id="526" w:name="_Toc29473"/>
      <w:bookmarkStart w:id="527" w:name="_Toc10818"/>
      <w:bookmarkStart w:id="528" w:name="_Toc13581"/>
      <w:bookmarkStart w:id="529" w:name="_Toc25750611"/>
      <w:bookmarkStart w:id="530" w:name="_Toc375039087"/>
      <w:bookmarkStart w:id="531" w:name="_Toc324"/>
      <w:bookmarkStart w:id="532" w:name="_Toc32621"/>
      <w:bookmarkStart w:id="533" w:name="_Toc385427816"/>
      <w:bookmarkStart w:id="534" w:name="_Toc2226"/>
      <w:bookmarkStart w:id="535" w:name="_Toc3597"/>
      <w:r>
        <w:rPr>
          <w:rFonts w:hint="eastAsia" w:asciiTheme="minorEastAsia" w:hAnsiTheme="minorEastAsia" w:eastAsiaTheme="minorEastAsia"/>
          <w:color w:val="auto"/>
          <w:sz w:val="21"/>
          <w:szCs w:val="21"/>
          <w:highlight w:val="none"/>
        </w:rPr>
        <w:t xml:space="preserve">20. </w:t>
      </w:r>
      <w:r>
        <w:rPr>
          <w:rFonts w:asciiTheme="minorEastAsia" w:hAnsiTheme="minorEastAsia" w:eastAsiaTheme="minorEastAsia"/>
          <w:color w:val="auto"/>
          <w:sz w:val="21"/>
          <w:szCs w:val="21"/>
          <w:highlight w:val="none"/>
        </w:rPr>
        <w:t>迟交的比选申请文件</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20.1 比选人</w:t>
      </w:r>
      <w:r>
        <w:rPr>
          <w:rFonts w:asciiTheme="minorEastAsia" w:hAnsiTheme="minorEastAsia" w:eastAsiaTheme="minorEastAsia"/>
          <w:color w:val="auto"/>
          <w:highlight w:val="none"/>
        </w:rPr>
        <w:t>将拒绝并原封退回在</w:t>
      </w:r>
      <w:r>
        <w:rPr>
          <w:rFonts w:hint="eastAsia" w:asciiTheme="minorEastAsia" w:hAnsiTheme="minorEastAsia" w:eastAsiaTheme="minorEastAsia"/>
          <w:color w:val="auto"/>
          <w:highlight w:val="none"/>
        </w:rPr>
        <w:t>本须知</w:t>
      </w:r>
      <w:r>
        <w:rPr>
          <w:rFonts w:asciiTheme="minorEastAsia" w:hAnsiTheme="minorEastAsia" w:eastAsiaTheme="minorEastAsia"/>
          <w:color w:val="auto"/>
          <w:highlight w:val="none"/>
        </w:rPr>
        <w:t>18.</w:t>
      </w:r>
      <w:r>
        <w:rPr>
          <w:rFonts w:hint="eastAsia" w:asciiTheme="minorEastAsia" w:hAnsiTheme="minorEastAsia" w:eastAsiaTheme="minorEastAsia"/>
          <w:color w:val="auto"/>
          <w:highlight w:val="none"/>
          <w:lang w:val="en-US" w:eastAsia="zh-CN"/>
        </w:rPr>
        <w:t>3</w:t>
      </w:r>
      <w:r>
        <w:rPr>
          <w:rFonts w:hint="eastAsia" w:asciiTheme="minorEastAsia" w:hAnsiTheme="minorEastAsia" w:eastAsiaTheme="minorEastAsia"/>
          <w:color w:val="auto"/>
          <w:highlight w:val="none"/>
        </w:rPr>
        <w:t>条</w:t>
      </w:r>
      <w:r>
        <w:rPr>
          <w:rFonts w:asciiTheme="minorEastAsia" w:hAnsiTheme="minorEastAsia" w:eastAsiaTheme="minorEastAsia"/>
          <w:color w:val="auto"/>
          <w:highlight w:val="none"/>
        </w:rPr>
        <w:t>规定的比选申请截止时间后收到的任何比选申请文件。</w:t>
      </w:r>
    </w:p>
    <w:p>
      <w:pPr>
        <w:pStyle w:val="7"/>
        <w:spacing w:before="0" w:after="0" w:line="360" w:lineRule="auto"/>
        <w:ind w:left="420"/>
        <w:rPr>
          <w:rFonts w:asciiTheme="minorEastAsia" w:hAnsiTheme="minorEastAsia" w:eastAsiaTheme="minorEastAsia"/>
          <w:color w:val="auto"/>
          <w:sz w:val="21"/>
          <w:szCs w:val="21"/>
          <w:highlight w:val="none"/>
        </w:rPr>
      </w:pPr>
      <w:bookmarkStart w:id="536" w:name="_Toc383891192"/>
      <w:bookmarkStart w:id="537" w:name="_Toc21796"/>
      <w:bookmarkStart w:id="538" w:name="_Toc12983527"/>
      <w:bookmarkStart w:id="539" w:name="_Toc8636"/>
      <w:bookmarkStart w:id="540" w:name="_Toc375039088"/>
      <w:bookmarkStart w:id="541" w:name="_Toc17797"/>
      <w:bookmarkStart w:id="542" w:name="_Toc492478742"/>
      <w:bookmarkStart w:id="543" w:name="_Toc23449"/>
      <w:bookmarkStart w:id="544" w:name="_Toc4605"/>
      <w:bookmarkStart w:id="545" w:name="_Toc27195"/>
      <w:bookmarkStart w:id="546" w:name="_Toc12682"/>
      <w:bookmarkStart w:id="547" w:name="_Toc28452"/>
      <w:bookmarkStart w:id="548" w:name="_Toc243"/>
      <w:bookmarkStart w:id="549" w:name="_Toc14522"/>
      <w:bookmarkStart w:id="550" w:name="_Toc31033"/>
      <w:bookmarkStart w:id="551" w:name="_Toc390098443"/>
      <w:bookmarkStart w:id="552" w:name="_Toc9706"/>
      <w:bookmarkStart w:id="553" w:name="_Toc14411"/>
      <w:bookmarkStart w:id="554" w:name="_Toc24030"/>
      <w:bookmarkStart w:id="555" w:name="_Toc385427817"/>
      <w:bookmarkStart w:id="556" w:name="_Toc29208"/>
      <w:bookmarkStart w:id="557" w:name="_Toc26282"/>
      <w:bookmarkStart w:id="558" w:name="_Toc25750612"/>
      <w:bookmarkStart w:id="559" w:name="_Toc25427"/>
      <w:r>
        <w:rPr>
          <w:rFonts w:hint="eastAsia" w:asciiTheme="minorEastAsia" w:hAnsiTheme="minorEastAsia" w:eastAsiaTheme="minorEastAsia"/>
          <w:color w:val="auto"/>
          <w:sz w:val="21"/>
          <w:szCs w:val="21"/>
          <w:highlight w:val="none"/>
        </w:rPr>
        <w:t xml:space="preserve">21. </w:t>
      </w:r>
      <w:r>
        <w:rPr>
          <w:rFonts w:asciiTheme="minorEastAsia" w:hAnsiTheme="minorEastAsia" w:eastAsiaTheme="minorEastAsia"/>
          <w:color w:val="auto"/>
          <w:sz w:val="21"/>
          <w:szCs w:val="21"/>
          <w:highlight w:val="none"/>
        </w:rPr>
        <w:t>比选申请文件的修改和撤回</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21.1 </w:t>
      </w:r>
      <w:r>
        <w:rPr>
          <w:rFonts w:asciiTheme="minorEastAsia" w:hAnsiTheme="minorEastAsia" w:eastAsiaTheme="minorEastAsia"/>
          <w:color w:val="auto"/>
          <w:highlight w:val="none"/>
        </w:rPr>
        <w:t>比选申请人在提交比选申请文件后可对其比选申请文件进行修改或撤回，但该修改或撤回的书面通知须在比选申请截止时间之前送达</w:t>
      </w:r>
      <w:r>
        <w:rPr>
          <w:rFonts w:hint="eastAsia" w:asciiTheme="minorEastAsia" w:hAnsiTheme="minorEastAsia" w:eastAsiaTheme="minorEastAsia"/>
          <w:color w:val="auto"/>
          <w:highlight w:val="none"/>
        </w:rPr>
        <w:t>比选单位</w:t>
      </w:r>
      <w:r>
        <w:rPr>
          <w:rFonts w:asciiTheme="minorEastAsia" w:hAnsiTheme="minorEastAsia" w:eastAsiaTheme="minorEastAsia"/>
          <w:color w:val="auto"/>
          <w:highlight w:val="none"/>
        </w:rPr>
        <w:t>；且该通知需经正式授权的比选申请人代表签字方为有效。</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21.2 </w:t>
      </w:r>
      <w:r>
        <w:rPr>
          <w:rFonts w:asciiTheme="minorEastAsia" w:hAnsiTheme="minorEastAsia" w:eastAsiaTheme="minorEastAsia"/>
          <w:color w:val="auto"/>
          <w:highlight w:val="none"/>
        </w:rPr>
        <w:t>比选申请人对比选申请文件修改的书面材料或撤回的通知应按本比选申请须知</w:t>
      </w:r>
      <w:r>
        <w:rPr>
          <w:rFonts w:hint="eastAsia" w:asciiTheme="minorEastAsia" w:hAnsiTheme="minorEastAsia" w:eastAsiaTheme="minorEastAsia"/>
          <w:color w:val="auto"/>
          <w:highlight w:val="none"/>
        </w:rPr>
        <w:t>16</w:t>
      </w:r>
      <w:r>
        <w:rPr>
          <w:rFonts w:asciiTheme="minorEastAsia" w:hAnsiTheme="minorEastAsia" w:eastAsiaTheme="minorEastAsia"/>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t>规定进行编写、密封、标注和递送，并注明“修改比选申请文件”或“撤回比选申请书面通知”字样。</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21.3 </w:t>
      </w:r>
      <w:r>
        <w:rPr>
          <w:rFonts w:asciiTheme="minorEastAsia" w:hAnsiTheme="minorEastAsia" w:eastAsiaTheme="minorEastAsia"/>
          <w:color w:val="auto"/>
          <w:highlight w:val="none"/>
        </w:rPr>
        <w:t>比选申请截止时间以后比选申请人不得修改比选申请文件。</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21.4 </w:t>
      </w:r>
      <w:r>
        <w:rPr>
          <w:rFonts w:asciiTheme="minorEastAsia" w:hAnsiTheme="minorEastAsia" w:eastAsiaTheme="minorEastAsia"/>
          <w:color w:val="auto"/>
          <w:highlight w:val="none"/>
        </w:rPr>
        <w:t>比选申请人不得在比选申请截止时间至比选申请有效期期满前撤销比选申请文件。否则</w:t>
      </w:r>
      <w:r>
        <w:rPr>
          <w:rFonts w:hint="eastAsia" w:asciiTheme="minorEastAsia" w:hAnsiTheme="minorEastAsia" w:eastAsiaTheme="minorEastAsia"/>
          <w:color w:val="auto"/>
          <w:highlight w:val="none"/>
        </w:rPr>
        <w:t>比选人有权</w:t>
      </w:r>
      <w:r>
        <w:rPr>
          <w:rFonts w:asciiTheme="minorEastAsia" w:hAnsiTheme="minorEastAsia" w:eastAsiaTheme="minorEastAsia"/>
          <w:color w:val="auto"/>
          <w:highlight w:val="none"/>
        </w:rPr>
        <w:t>要求</w:t>
      </w:r>
      <w:r>
        <w:rPr>
          <w:rFonts w:hint="eastAsia" w:asciiTheme="minorEastAsia" w:hAnsiTheme="minorEastAsia" w:eastAsiaTheme="minorEastAsia"/>
          <w:color w:val="auto"/>
          <w:highlight w:val="none"/>
        </w:rPr>
        <w:t>比选申请人</w:t>
      </w:r>
      <w:r>
        <w:rPr>
          <w:rFonts w:asciiTheme="minorEastAsia" w:hAnsiTheme="minorEastAsia" w:eastAsiaTheme="minorEastAsia"/>
          <w:color w:val="auto"/>
          <w:highlight w:val="none"/>
        </w:rPr>
        <w:t>对损失给予赔偿。</w:t>
      </w:r>
      <w:bookmarkStart w:id="560" w:name="_Toc2306"/>
      <w:bookmarkStart w:id="561" w:name="_Toc12983528"/>
      <w:bookmarkStart w:id="562" w:name="_Toc5592"/>
      <w:bookmarkStart w:id="563" w:name="_Toc390098444"/>
      <w:bookmarkStart w:id="564" w:name="_Toc10325"/>
      <w:bookmarkStart w:id="565" w:name="_Toc25433"/>
      <w:bookmarkStart w:id="566" w:name="_Toc492478743"/>
      <w:bookmarkStart w:id="567" w:name="_Toc9549"/>
      <w:bookmarkStart w:id="568" w:name="_Toc4291"/>
      <w:bookmarkStart w:id="569" w:name="_Toc375039089"/>
      <w:bookmarkStart w:id="570" w:name="_Toc29264"/>
      <w:bookmarkStart w:id="571" w:name="_Toc12182"/>
      <w:bookmarkStart w:id="572" w:name="_Toc385427818"/>
      <w:bookmarkStart w:id="573" w:name="_Toc31978"/>
      <w:bookmarkStart w:id="574" w:name="_Toc24485"/>
      <w:bookmarkStart w:id="575" w:name="_Toc11529"/>
      <w:bookmarkStart w:id="576" w:name="_Toc9728"/>
      <w:bookmarkStart w:id="577" w:name="_Toc22587"/>
      <w:bookmarkStart w:id="578" w:name="_Toc3006"/>
      <w:bookmarkStart w:id="579" w:name="_Toc383891193"/>
      <w:bookmarkStart w:id="580" w:name="_Toc18076"/>
      <w:bookmarkStart w:id="581" w:name="_Toc16856"/>
      <w:bookmarkStart w:id="582" w:name="_Toc28694"/>
      <w:bookmarkStart w:id="583" w:name="_Toc25750613"/>
    </w:p>
    <w:p>
      <w:pPr>
        <w:tabs>
          <w:tab w:val="left" w:pos="1134"/>
          <w:tab w:val="left" w:pos="8364"/>
        </w:tabs>
        <w:spacing w:line="360" w:lineRule="auto"/>
        <w:ind w:firstLine="482"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五、</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Fonts w:hint="eastAsia" w:asciiTheme="minorEastAsia" w:hAnsiTheme="minorEastAsia" w:eastAsiaTheme="minorEastAsia"/>
          <w:b/>
          <w:bCs/>
          <w:color w:val="auto"/>
          <w:sz w:val="24"/>
          <w:szCs w:val="24"/>
          <w:highlight w:val="none"/>
        </w:rPr>
        <w:t>比选申请文件递交</w:t>
      </w:r>
      <w:bookmarkEnd w:id="583"/>
      <w:r>
        <w:rPr>
          <w:rFonts w:hint="eastAsia" w:asciiTheme="minorEastAsia" w:hAnsiTheme="minorEastAsia" w:eastAsiaTheme="minorEastAsia"/>
          <w:b/>
          <w:bCs/>
          <w:color w:val="auto"/>
          <w:sz w:val="24"/>
          <w:szCs w:val="24"/>
          <w:highlight w:val="none"/>
        </w:rPr>
        <w:t>与评审</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584" w:name="_Toc895"/>
      <w:bookmarkStart w:id="585" w:name="_Toc6974"/>
      <w:bookmarkStart w:id="586" w:name="_Toc10883"/>
      <w:bookmarkStart w:id="587" w:name="_Toc4825"/>
      <w:bookmarkStart w:id="588" w:name="_Toc23705"/>
      <w:bookmarkStart w:id="589" w:name="_Toc6839"/>
      <w:bookmarkStart w:id="590" w:name="_Toc9264"/>
      <w:bookmarkStart w:id="591" w:name="_Toc18919"/>
      <w:bookmarkStart w:id="592" w:name="_Toc4638"/>
      <w:bookmarkStart w:id="593" w:name="_Toc5182"/>
      <w:bookmarkStart w:id="594" w:name="_Toc4365"/>
      <w:bookmarkStart w:id="595" w:name="_Toc375039090"/>
      <w:bookmarkStart w:id="596" w:name="_Toc24196"/>
      <w:bookmarkStart w:id="597" w:name="_Toc492478744"/>
      <w:bookmarkStart w:id="598" w:name="_Toc390098445"/>
      <w:bookmarkStart w:id="599" w:name="_Toc10292"/>
      <w:bookmarkStart w:id="600" w:name="_Toc9309"/>
      <w:bookmarkStart w:id="601" w:name="_Toc4674"/>
      <w:bookmarkStart w:id="602" w:name="_Toc383891194"/>
      <w:bookmarkStart w:id="603" w:name="_Toc25116"/>
      <w:bookmarkStart w:id="604" w:name="_Toc6377"/>
      <w:bookmarkStart w:id="605" w:name="_Toc385427819"/>
      <w:bookmarkStart w:id="606" w:name="_Toc12983529"/>
      <w:bookmarkStart w:id="607" w:name="_Toc25750614"/>
      <w:r>
        <w:rPr>
          <w:rFonts w:hint="eastAsia" w:asciiTheme="minorEastAsia" w:hAnsiTheme="minorEastAsia" w:eastAsiaTheme="minorEastAsia"/>
          <w:color w:val="auto"/>
          <w:sz w:val="21"/>
          <w:szCs w:val="21"/>
          <w:highlight w:val="none"/>
        </w:rPr>
        <w:t xml:space="preserve">22. </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Fonts w:hint="eastAsia" w:asciiTheme="minorEastAsia" w:hAnsiTheme="minorEastAsia" w:eastAsiaTheme="minorEastAsia"/>
          <w:color w:val="auto"/>
          <w:sz w:val="21"/>
          <w:szCs w:val="21"/>
          <w:highlight w:val="none"/>
        </w:rPr>
        <w:t>比选申请文件递交</w:t>
      </w:r>
      <w:bookmarkEnd w:id="607"/>
    </w:p>
    <w:p>
      <w:pPr>
        <w:tabs>
          <w:tab w:val="left" w:pos="945"/>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22.1 比选人将按本须知</w:t>
      </w:r>
      <w:r>
        <w:rPr>
          <w:rFonts w:asciiTheme="minorEastAsia" w:hAnsiTheme="minorEastAsia" w:eastAsiaTheme="minorEastAsia"/>
          <w:color w:val="auto"/>
          <w:highlight w:val="none"/>
        </w:rPr>
        <w:t>18.1</w:t>
      </w:r>
      <w:r>
        <w:rPr>
          <w:rFonts w:hint="eastAsia" w:asciiTheme="minorEastAsia" w:hAnsiTheme="minorEastAsia" w:eastAsiaTheme="minorEastAsia"/>
          <w:color w:val="auto"/>
          <w:highlight w:val="none"/>
        </w:rPr>
        <w:t>条项规定的时间和地址，对所有按时递交并已签收达三个或以上比选申请人的比选申请文件进行核查。</w:t>
      </w:r>
    </w:p>
    <w:p>
      <w:pPr>
        <w:tabs>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比选申请文件有下列情形之一的，比选人应当拒收：</w:t>
      </w:r>
    </w:p>
    <w:p>
      <w:pPr>
        <w:snapToGrid w:val="0"/>
        <w:spacing w:line="360" w:lineRule="auto"/>
        <w:ind w:firstLine="422" w:firstLineChars="200"/>
        <w:jc w:val="left"/>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2</w:t>
      </w:r>
      <w:r>
        <w:rPr>
          <w:rFonts w:hint="eastAsia" w:asciiTheme="minorEastAsia" w:hAnsiTheme="minorEastAsia" w:eastAsiaTheme="minorEastAsia"/>
          <w:b/>
          <w:color w:val="auto"/>
          <w:highlight w:val="none"/>
        </w:rPr>
        <w:t>2</w:t>
      </w:r>
      <w:r>
        <w:rPr>
          <w:rFonts w:asciiTheme="minorEastAsia" w:hAnsiTheme="minorEastAsia" w:eastAsiaTheme="minorEastAsia"/>
          <w:b/>
          <w:color w:val="auto"/>
          <w:highlight w:val="none"/>
        </w:rPr>
        <w:t>.1.1</w:t>
      </w:r>
      <w:r>
        <w:rPr>
          <w:rFonts w:hint="eastAsia" w:asciiTheme="minorEastAsia" w:hAnsiTheme="minorEastAsia" w:eastAsiaTheme="minorEastAsia"/>
          <w:b/>
          <w:color w:val="auto"/>
          <w:highlight w:val="none"/>
        </w:rPr>
        <w:t xml:space="preserve"> </w:t>
      </w:r>
      <w:r>
        <w:rPr>
          <w:rFonts w:asciiTheme="minorEastAsia" w:hAnsiTheme="minorEastAsia" w:eastAsiaTheme="minorEastAsia"/>
          <w:b/>
          <w:color w:val="auto"/>
          <w:highlight w:val="none"/>
        </w:rPr>
        <w:t>逾期送达的或者未送达指定地点的比选申请文件</w:t>
      </w:r>
      <w:r>
        <w:rPr>
          <w:rFonts w:hint="eastAsia" w:asciiTheme="minorEastAsia" w:hAnsiTheme="minorEastAsia" w:eastAsiaTheme="minorEastAsia"/>
          <w:b/>
          <w:color w:val="auto"/>
          <w:highlight w:val="none"/>
        </w:rPr>
        <w:t>；</w:t>
      </w:r>
    </w:p>
    <w:p>
      <w:pPr>
        <w:snapToGrid w:val="0"/>
        <w:spacing w:line="360" w:lineRule="auto"/>
        <w:ind w:firstLine="422" w:firstLineChars="200"/>
        <w:jc w:val="left"/>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2</w:t>
      </w:r>
      <w:r>
        <w:rPr>
          <w:rFonts w:hint="eastAsia" w:asciiTheme="minorEastAsia" w:hAnsiTheme="minorEastAsia" w:eastAsiaTheme="minorEastAsia"/>
          <w:b/>
          <w:color w:val="auto"/>
          <w:highlight w:val="none"/>
        </w:rPr>
        <w:t>2</w:t>
      </w:r>
      <w:r>
        <w:rPr>
          <w:rFonts w:asciiTheme="minorEastAsia" w:hAnsiTheme="minorEastAsia" w:eastAsiaTheme="minorEastAsia"/>
          <w:b/>
          <w:color w:val="auto"/>
          <w:highlight w:val="none"/>
        </w:rPr>
        <w:t>.1.2</w:t>
      </w:r>
      <w:r>
        <w:rPr>
          <w:rFonts w:hint="eastAsia" w:asciiTheme="minorEastAsia" w:hAnsiTheme="minorEastAsia" w:eastAsiaTheme="minorEastAsia"/>
          <w:b/>
          <w:color w:val="auto"/>
          <w:highlight w:val="none"/>
        </w:rPr>
        <w:t xml:space="preserve"> 比选申请文件外包封</w:t>
      </w:r>
      <w:r>
        <w:rPr>
          <w:rFonts w:asciiTheme="minorEastAsia" w:hAnsiTheme="minorEastAsia" w:eastAsiaTheme="minorEastAsia"/>
          <w:b/>
          <w:color w:val="auto"/>
          <w:highlight w:val="none"/>
        </w:rPr>
        <w:t>未按比选文件要求密封的</w:t>
      </w:r>
      <w:r>
        <w:rPr>
          <w:rFonts w:hint="eastAsia" w:asciiTheme="minorEastAsia" w:hAnsiTheme="minorEastAsia" w:eastAsiaTheme="minorEastAsia"/>
          <w:b/>
          <w:color w:val="auto"/>
          <w:highlight w:val="none"/>
        </w:rPr>
        <w:t>。</w:t>
      </w:r>
    </w:p>
    <w:p>
      <w:pPr>
        <w:tabs>
          <w:tab w:val="left" w:pos="945"/>
          <w:tab w:val="left" w:pos="1134"/>
          <w:tab w:val="left" w:pos="8364"/>
        </w:tabs>
        <w:spacing w:line="360" w:lineRule="auto"/>
        <w:ind w:firstLine="422" w:firstLineChars="200"/>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 xml:space="preserve">22.2 </w:t>
      </w:r>
      <w:r>
        <w:rPr>
          <w:rFonts w:asciiTheme="minorEastAsia" w:hAnsiTheme="minorEastAsia" w:eastAsiaTheme="minorEastAsia"/>
          <w:b/>
          <w:color w:val="auto"/>
          <w:highlight w:val="none"/>
        </w:rPr>
        <w:t>比选申请人的法定代表人或其授权代表（以下统称</w:t>
      </w:r>
      <w:r>
        <w:rPr>
          <w:rFonts w:hint="eastAsia" w:asciiTheme="minorEastAsia" w:hAnsiTheme="minorEastAsia" w:eastAsiaTheme="minorEastAsia"/>
          <w:b/>
          <w:color w:val="auto"/>
          <w:highlight w:val="none"/>
        </w:rPr>
        <w:t>“</w:t>
      </w:r>
      <w:r>
        <w:rPr>
          <w:rFonts w:asciiTheme="minorEastAsia" w:hAnsiTheme="minorEastAsia" w:eastAsiaTheme="minorEastAsia"/>
          <w:b/>
          <w:color w:val="auto"/>
          <w:highlight w:val="none"/>
        </w:rPr>
        <w:t>比选申请人代表</w:t>
      </w:r>
      <w:r>
        <w:rPr>
          <w:rFonts w:hint="eastAsia" w:asciiTheme="minorEastAsia" w:hAnsiTheme="minorEastAsia" w:eastAsiaTheme="minorEastAsia"/>
          <w:b/>
          <w:color w:val="auto"/>
          <w:highlight w:val="none"/>
        </w:rPr>
        <w:t>”</w:t>
      </w:r>
      <w:r>
        <w:rPr>
          <w:rFonts w:asciiTheme="minorEastAsia" w:hAnsiTheme="minorEastAsia" w:eastAsiaTheme="minorEastAsia"/>
          <w:b/>
          <w:color w:val="auto"/>
          <w:highlight w:val="none"/>
        </w:rPr>
        <w:t>）在</w:t>
      </w:r>
      <w:r>
        <w:rPr>
          <w:rFonts w:hint="eastAsia" w:asciiTheme="minorEastAsia" w:hAnsiTheme="minorEastAsia" w:eastAsiaTheme="minorEastAsia"/>
          <w:b/>
          <w:color w:val="auto"/>
          <w:highlight w:val="none"/>
        </w:rPr>
        <w:t>递交比选申请文件时，必须</w:t>
      </w:r>
      <w:r>
        <w:rPr>
          <w:rFonts w:asciiTheme="minorEastAsia" w:hAnsiTheme="minorEastAsia" w:eastAsiaTheme="minorEastAsia"/>
          <w:b/>
          <w:color w:val="auto"/>
          <w:highlight w:val="none"/>
        </w:rPr>
        <w:t>出示本人有效身份证（</w:t>
      </w:r>
      <w:r>
        <w:rPr>
          <w:rFonts w:hint="eastAsia" w:asciiTheme="minorEastAsia" w:hAnsiTheme="minorEastAsia" w:eastAsiaTheme="minorEastAsia"/>
          <w:b/>
          <w:color w:val="auto"/>
          <w:highlight w:val="none"/>
        </w:rPr>
        <w:t>限中国公民居民身份证、外籍有效护照</w:t>
      </w:r>
      <w:r>
        <w:rPr>
          <w:rFonts w:asciiTheme="minorEastAsia" w:hAnsiTheme="minorEastAsia" w:eastAsiaTheme="minorEastAsia"/>
          <w:b/>
          <w:color w:val="auto"/>
          <w:highlight w:val="none"/>
        </w:rPr>
        <w:t>，下同）的原件，比选申请人授权代表还必须同时出示比选申请授权书原件，以证明授权代表的身份和被授权范围，并由比选人验证确认。</w:t>
      </w:r>
      <w:bookmarkStart w:id="608" w:name="_Toc251051540"/>
      <w:r>
        <w:rPr>
          <w:rFonts w:asciiTheme="minorEastAsia" w:hAnsiTheme="minorEastAsia" w:eastAsiaTheme="minorEastAsia"/>
          <w:b/>
          <w:color w:val="auto"/>
          <w:highlight w:val="none"/>
        </w:rPr>
        <w:t>否则</w:t>
      </w:r>
      <w:r>
        <w:rPr>
          <w:rFonts w:hint="eastAsia" w:asciiTheme="minorEastAsia" w:hAnsiTheme="minorEastAsia" w:eastAsiaTheme="minorEastAsia"/>
          <w:b/>
          <w:color w:val="auto"/>
          <w:highlight w:val="none"/>
        </w:rPr>
        <w:t>拒收其比选申请文件</w:t>
      </w:r>
      <w:bookmarkEnd w:id="608"/>
      <w:r>
        <w:rPr>
          <w:rFonts w:hint="eastAsia" w:asciiTheme="minorEastAsia" w:hAnsiTheme="minorEastAsia" w:eastAsiaTheme="minorEastAsia"/>
          <w:b/>
          <w:color w:val="auto"/>
          <w:highlight w:val="none"/>
        </w:rPr>
        <w:t>。</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609" w:name="_Toc383891195"/>
      <w:bookmarkStart w:id="610" w:name="_Toc385427820"/>
      <w:bookmarkStart w:id="611" w:name="_Toc390098446"/>
      <w:bookmarkStart w:id="612" w:name="_Toc375039091"/>
      <w:bookmarkStart w:id="613" w:name="_Toc15466"/>
      <w:bookmarkStart w:id="614" w:name="_Toc13202"/>
      <w:bookmarkStart w:id="615" w:name="_Toc30671"/>
      <w:bookmarkStart w:id="616" w:name="_Toc25750615"/>
      <w:bookmarkStart w:id="617" w:name="_Toc24687"/>
      <w:bookmarkStart w:id="618" w:name="_Toc12983530"/>
      <w:bookmarkStart w:id="619" w:name="_Toc5267"/>
      <w:bookmarkStart w:id="620" w:name="_Toc25270"/>
      <w:bookmarkStart w:id="621" w:name="_Toc11263"/>
      <w:bookmarkStart w:id="622" w:name="_Toc16068"/>
      <w:bookmarkStart w:id="623" w:name="_Toc17785"/>
      <w:bookmarkStart w:id="624" w:name="_Toc11013"/>
      <w:bookmarkStart w:id="625" w:name="_Toc1920"/>
      <w:bookmarkStart w:id="626" w:name="_Toc21819"/>
      <w:bookmarkStart w:id="627" w:name="_Toc492478745"/>
      <w:bookmarkStart w:id="628" w:name="_Toc24630"/>
      <w:bookmarkStart w:id="629" w:name="_Toc9391"/>
      <w:bookmarkStart w:id="630" w:name="_Toc23699"/>
      <w:bookmarkStart w:id="631" w:name="_Toc27636"/>
      <w:bookmarkStart w:id="632" w:name="_Toc16601"/>
      <w:r>
        <w:rPr>
          <w:rFonts w:hint="eastAsia" w:asciiTheme="minorEastAsia" w:hAnsiTheme="minorEastAsia" w:eastAsiaTheme="minorEastAsia"/>
          <w:color w:val="auto"/>
          <w:sz w:val="21"/>
          <w:szCs w:val="21"/>
          <w:highlight w:val="none"/>
        </w:rPr>
        <w:t>23.</w:t>
      </w:r>
      <w:r>
        <w:rPr>
          <w:rFonts w:asciiTheme="minorEastAsia" w:hAnsiTheme="minorEastAsia" w:eastAsiaTheme="minorEastAsia"/>
          <w:color w:val="auto"/>
          <w:sz w:val="21"/>
          <w:szCs w:val="21"/>
          <w:highlight w:val="none"/>
        </w:rPr>
        <w:t>评审</w:t>
      </w:r>
      <w:bookmarkEnd w:id="609"/>
      <w:bookmarkEnd w:id="610"/>
      <w:bookmarkEnd w:id="611"/>
      <w:bookmarkEnd w:id="612"/>
      <w:r>
        <w:rPr>
          <w:rFonts w:asciiTheme="minorEastAsia" w:hAnsiTheme="minorEastAsia" w:eastAsiaTheme="minorEastAsia"/>
          <w:color w:val="auto"/>
          <w:sz w:val="21"/>
          <w:szCs w:val="21"/>
          <w:highlight w:val="none"/>
        </w:rPr>
        <w:t>程序</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tabs>
          <w:tab w:val="left" w:pos="8364"/>
        </w:tabs>
        <w:spacing w:line="360" w:lineRule="auto"/>
        <w:ind w:firstLine="420" w:firstLineChars="200"/>
        <w:rPr>
          <w:rFonts w:asciiTheme="minorEastAsia" w:hAnsiTheme="minorEastAsia" w:eastAsiaTheme="minorEastAsia"/>
          <w:b/>
          <w:color w:val="auto"/>
          <w:highlight w:val="none"/>
        </w:rPr>
      </w:pPr>
      <w:bookmarkStart w:id="633" w:name="_Toc375039092"/>
      <w:r>
        <w:rPr>
          <w:rFonts w:hint="eastAsia" w:asciiTheme="minorEastAsia" w:hAnsiTheme="minorEastAsia" w:eastAsiaTheme="minorEastAsia"/>
          <w:color w:val="auto"/>
          <w:highlight w:val="none"/>
        </w:rPr>
        <w:t>详见第六章《评分办法》。</w:t>
      </w:r>
      <w:bookmarkEnd w:id="633"/>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634" w:name="_Toc11716"/>
      <w:bookmarkStart w:id="635" w:name="_Toc27570"/>
      <w:bookmarkStart w:id="636" w:name="_Toc18063"/>
      <w:bookmarkStart w:id="637" w:name="_Toc1456"/>
      <w:bookmarkStart w:id="638" w:name="_Toc375039093"/>
      <w:bookmarkStart w:id="639" w:name="_Toc25750616"/>
      <w:bookmarkStart w:id="640" w:name="_Toc833"/>
      <w:bookmarkStart w:id="641" w:name="_Toc13421"/>
      <w:bookmarkStart w:id="642" w:name="_Toc14719"/>
      <w:bookmarkStart w:id="643" w:name="_Toc26137"/>
      <w:bookmarkStart w:id="644" w:name="_Toc390098447"/>
      <w:bookmarkStart w:id="645" w:name="_Toc12983531"/>
      <w:bookmarkStart w:id="646" w:name="_Toc24755"/>
      <w:bookmarkStart w:id="647" w:name="_Toc17980"/>
      <w:bookmarkStart w:id="648" w:name="_Toc383891196"/>
      <w:bookmarkStart w:id="649" w:name="_Toc16072"/>
      <w:bookmarkStart w:id="650" w:name="_Toc5386"/>
      <w:bookmarkStart w:id="651" w:name="_Toc25047"/>
      <w:bookmarkStart w:id="652" w:name="_Toc29929"/>
      <w:bookmarkStart w:id="653" w:name="_Toc385427821"/>
      <w:bookmarkStart w:id="654" w:name="_Toc492478746"/>
      <w:bookmarkStart w:id="655" w:name="_Toc18803"/>
      <w:bookmarkStart w:id="656" w:name="_Toc8295"/>
      <w:bookmarkStart w:id="657" w:name="_Toc15"/>
      <w:r>
        <w:rPr>
          <w:rFonts w:hint="eastAsia" w:asciiTheme="minorEastAsia" w:hAnsiTheme="minorEastAsia" w:eastAsiaTheme="minorEastAsia"/>
          <w:color w:val="auto"/>
          <w:sz w:val="21"/>
          <w:szCs w:val="21"/>
          <w:highlight w:val="none"/>
        </w:rPr>
        <w:t xml:space="preserve">24. </w:t>
      </w:r>
      <w:r>
        <w:rPr>
          <w:rFonts w:asciiTheme="minorEastAsia" w:hAnsiTheme="minorEastAsia" w:eastAsiaTheme="minorEastAsia"/>
          <w:color w:val="auto"/>
          <w:sz w:val="21"/>
          <w:szCs w:val="21"/>
          <w:highlight w:val="none"/>
        </w:rPr>
        <w:t>与比选人和评审委员会的接触</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 xml:space="preserve">24.1 </w:t>
      </w:r>
      <w:r>
        <w:rPr>
          <w:rFonts w:cs="Arial" w:asciiTheme="minorEastAsia" w:hAnsiTheme="minorEastAsia" w:eastAsiaTheme="minorEastAsia"/>
          <w:color w:val="auto"/>
          <w:highlight w:val="none"/>
        </w:rPr>
        <w:t>从比选申请截止日起至授予合同期间，未经书面要求，比选申请人不得就与其比选申请文件有关的事项与评审委员会、比选人接触（包括直接接触</w:t>
      </w:r>
      <w:r>
        <w:rPr>
          <w:rFonts w:hint="eastAsia" w:cs="Arial" w:asciiTheme="minorEastAsia" w:hAnsiTheme="minorEastAsia" w:eastAsiaTheme="minorEastAsia"/>
          <w:color w:val="auto"/>
          <w:highlight w:val="none"/>
        </w:rPr>
        <w:t>或</w:t>
      </w:r>
      <w:r>
        <w:rPr>
          <w:rFonts w:cs="Arial" w:asciiTheme="minorEastAsia" w:hAnsiTheme="minorEastAsia" w:eastAsiaTheme="minorEastAsia"/>
          <w:color w:val="auto"/>
          <w:highlight w:val="none"/>
        </w:rPr>
        <w:t>间接接触）。</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 xml:space="preserve">24.2 </w:t>
      </w:r>
      <w:r>
        <w:rPr>
          <w:rFonts w:cs="Arial" w:asciiTheme="minorEastAsia" w:hAnsiTheme="minorEastAsia" w:eastAsiaTheme="minorEastAsia"/>
          <w:color w:val="auto"/>
          <w:highlight w:val="none"/>
        </w:rPr>
        <w:t>比选申请人试图对评审委员会的评审、比较或授予合同的决定进行影响，都可能导致其比选申请文件被否决。</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 xml:space="preserve">24.3 </w:t>
      </w:r>
      <w:r>
        <w:rPr>
          <w:rFonts w:cs="Arial" w:asciiTheme="minorEastAsia" w:hAnsiTheme="minorEastAsia" w:eastAsiaTheme="minorEastAsia"/>
          <w:color w:val="auto"/>
          <w:highlight w:val="none"/>
        </w:rPr>
        <w:t>比选申请人不得以任何方式干扰比选人的</w:t>
      </w:r>
      <w:r>
        <w:rPr>
          <w:rFonts w:hint="eastAsia" w:cs="Arial" w:asciiTheme="minorEastAsia" w:hAnsiTheme="minorEastAsia" w:eastAsiaTheme="minorEastAsia"/>
          <w:color w:val="auto"/>
          <w:highlight w:val="none"/>
        </w:rPr>
        <w:t>比选</w:t>
      </w:r>
      <w:r>
        <w:rPr>
          <w:rFonts w:cs="Arial" w:asciiTheme="minorEastAsia" w:hAnsiTheme="minorEastAsia" w:eastAsiaTheme="minorEastAsia"/>
          <w:color w:val="auto"/>
          <w:highlight w:val="none"/>
        </w:rPr>
        <w:t>和评审活动，否则其比选申请无效并追究其法律责任。</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 xml:space="preserve">24.4 </w:t>
      </w:r>
      <w:r>
        <w:rPr>
          <w:rFonts w:cs="Arial" w:asciiTheme="minorEastAsia" w:hAnsiTheme="minorEastAsia" w:eastAsiaTheme="minorEastAsia"/>
          <w:color w:val="auto"/>
          <w:highlight w:val="none"/>
        </w:rPr>
        <w:t>有关比选申请文件的审查、澄清、评估和比较以及有关授予合同的意向的一切情况都不得透露给任一比选申请人。</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658" w:name="_Toc492478747"/>
      <w:bookmarkStart w:id="659" w:name="_Toc12983532"/>
      <w:bookmarkStart w:id="660" w:name="_Toc383891197"/>
      <w:bookmarkStart w:id="661" w:name="_Toc15988"/>
      <w:bookmarkStart w:id="662" w:name="_Toc390098448"/>
      <w:bookmarkStart w:id="663" w:name="_Toc654"/>
      <w:bookmarkStart w:id="664" w:name="_Toc25750617"/>
      <w:bookmarkStart w:id="665" w:name="_Toc7858"/>
      <w:bookmarkStart w:id="666" w:name="_Toc21167"/>
      <w:bookmarkStart w:id="667" w:name="_Toc18515"/>
      <w:bookmarkStart w:id="668" w:name="_Toc29504"/>
      <w:bookmarkStart w:id="669" w:name="_Toc30207"/>
      <w:bookmarkStart w:id="670" w:name="_Toc25734"/>
      <w:bookmarkStart w:id="671" w:name="_Toc19810"/>
      <w:bookmarkStart w:id="672" w:name="_Toc12960"/>
      <w:bookmarkStart w:id="673" w:name="_Toc12671"/>
      <w:bookmarkStart w:id="674" w:name="_Toc16963"/>
      <w:bookmarkStart w:id="675" w:name="_Toc12555"/>
      <w:bookmarkStart w:id="676" w:name="_Toc20523"/>
      <w:bookmarkStart w:id="677" w:name="_Toc9941"/>
      <w:bookmarkStart w:id="678" w:name="_Toc12909"/>
      <w:bookmarkStart w:id="679" w:name="_Toc385427822"/>
      <w:bookmarkStart w:id="680" w:name="_Toc9602"/>
      <w:bookmarkStart w:id="681" w:name="_Toc378514937"/>
      <w:bookmarkStart w:id="682" w:name="_Toc294723156"/>
      <w:bookmarkStart w:id="683" w:name="_Toc375039094"/>
      <w:r>
        <w:rPr>
          <w:rFonts w:hint="eastAsia" w:asciiTheme="minorEastAsia" w:hAnsiTheme="minorEastAsia" w:eastAsiaTheme="minorEastAsia"/>
          <w:color w:val="auto"/>
          <w:sz w:val="21"/>
          <w:szCs w:val="21"/>
          <w:highlight w:val="none"/>
        </w:rPr>
        <w:t>25. 评审过程保密</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25.1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25.2 比选申请人在比选申请文件的审查、澄清、评价和比较以及授予合同的过程中，对比选人和评审专家施加影响的任何行为，都将导致取消比选申请资格。</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684" w:name="_Toc12983533"/>
      <w:bookmarkStart w:id="685" w:name="_Toc24327"/>
      <w:bookmarkStart w:id="686" w:name="_Toc383891198"/>
      <w:bookmarkStart w:id="687" w:name="_Toc13743"/>
      <w:bookmarkStart w:id="688" w:name="_Toc22510"/>
      <w:bookmarkStart w:id="689" w:name="_Toc28843"/>
      <w:bookmarkStart w:id="690" w:name="_Toc14799"/>
      <w:bookmarkStart w:id="691" w:name="_Toc5983"/>
      <w:bookmarkStart w:id="692" w:name="_Toc30429"/>
      <w:bookmarkStart w:id="693" w:name="_Toc11077"/>
      <w:bookmarkStart w:id="694" w:name="_Toc14860"/>
      <w:bookmarkStart w:id="695" w:name="_Toc8827"/>
      <w:bookmarkStart w:id="696" w:name="_Toc13768"/>
      <w:bookmarkStart w:id="697" w:name="_Toc6624"/>
      <w:bookmarkStart w:id="698" w:name="_Toc385427823"/>
      <w:bookmarkStart w:id="699" w:name="_Toc25750618"/>
      <w:bookmarkStart w:id="700" w:name="_Toc1983"/>
      <w:bookmarkStart w:id="701" w:name="_Toc390098449"/>
      <w:bookmarkStart w:id="702" w:name="_Toc492478748"/>
      <w:bookmarkStart w:id="703" w:name="_Toc27670"/>
      <w:bookmarkStart w:id="704" w:name="_Toc23267"/>
      <w:bookmarkStart w:id="705" w:name="_Toc28701"/>
      <w:bookmarkStart w:id="706" w:name="_Toc28898"/>
      <w:r>
        <w:rPr>
          <w:rFonts w:hint="eastAsia" w:asciiTheme="minorEastAsia" w:hAnsiTheme="minorEastAsia" w:eastAsiaTheme="minorEastAsia"/>
          <w:color w:val="auto"/>
          <w:sz w:val="21"/>
          <w:szCs w:val="21"/>
          <w:highlight w:val="none"/>
        </w:rPr>
        <w:t>26. 比选申请文件的澄清</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26.1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707" w:name="_Toc492478749"/>
      <w:bookmarkStart w:id="708" w:name="_Toc22681"/>
      <w:bookmarkStart w:id="709" w:name="_Toc383891199"/>
      <w:bookmarkStart w:id="710" w:name="_Toc25750619"/>
      <w:bookmarkStart w:id="711" w:name="_Toc5607"/>
      <w:bookmarkStart w:id="712" w:name="_Toc5926"/>
      <w:bookmarkStart w:id="713" w:name="_Toc12983534"/>
      <w:bookmarkStart w:id="714" w:name="_Toc5437"/>
      <w:bookmarkStart w:id="715" w:name="_Toc12795"/>
      <w:bookmarkStart w:id="716" w:name="_Toc385427824"/>
      <w:bookmarkStart w:id="717" w:name="_Toc16884"/>
      <w:bookmarkStart w:id="718" w:name="_Toc26070"/>
      <w:bookmarkStart w:id="719" w:name="_Toc20519"/>
      <w:bookmarkStart w:id="720" w:name="_Toc29146"/>
      <w:bookmarkStart w:id="721" w:name="_Toc4397"/>
      <w:bookmarkStart w:id="722" w:name="_Toc28992"/>
      <w:bookmarkStart w:id="723" w:name="_Toc390098450"/>
      <w:bookmarkStart w:id="724" w:name="_Toc1915"/>
      <w:bookmarkStart w:id="725" w:name="_Toc30017"/>
      <w:bookmarkStart w:id="726" w:name="_Toc26318"/>
      <w:bookmarkStart w:id="727" w:name="_Toc9040"/>
      <w:bookmarkStart w:id="728" w:name="_Toc6908"/>
      <w:bookmarkStart w:id="729" w:name="_Toc18093"/>
      <w:r>
        <w:rPr>
          <w:rFonts w:hint="eastAsia" w:asciiTheme="minorEastAsia" w:hAnsiTheme="minorEastAsia" w:eastAsiaTheme="minorEastAsia"/>
          <w:color w:val="auto"/>
          <w:sz w:val="21"/>
          <w:szCs w:val="21"/>
          <w:highlight w:val="none"/>
        </w:rPr>
        <w:t>27. 比选申请文件响应性的确定</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27.1 在详细评审之前，评审委员会将首先审定每份比选申请文件是否在实质上响应了比选文件的要求和规定。</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27.2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27.3 如果比选申请文件实质上不响应比选文件的要求，比选人将予以拒绝，并且不允许比选申请人通过修正或撤销其不符要求的差异或保留使之成为具有响应性的比选申请。</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730" w:name="_Toc20874"/>
      <w:bookmarkStart w:id="731" w:name="_Toc23808"/>
      <w:bookmarkStart w:id="732" w:name="_Toc31646"/>
      <w:bookmarkStart w:id="733" w:name="_Toc26239"/>
      <w:bookmarkStart w:id="734" w:name="_Toc385427825"/>
      <w:bookmarkStart w:id="735" w:name="_Toc15051"/>
      <w:bookmarkStart w:id="736" w:name="_Toc21468"/>
      <w:bookmarkStart w:id="737" w:name="_Toc20912"/>
      <w:bookmarkStart w:id="738" w:name="_Toc383891200"/>
      <w:bookmarkStart w:id="739" w:name="_Toc12983535"/>
      <w:bookmarkStart w:id="740" w:name="_Toc17236"/>
      <w:bookmarkStart w:id="741" w:name="_Toc390098451"/>
      <w:bookmarkStart w:id="742" w:name="_Toc1027"/>
      <w:bookmarkStart w:id="743" w:name="_Toc22063"/>
      <w:bookmarkStart w:id="744" w:name="_Toc20810"/>
      <w:bookmarkStart w:id="745" w:name="_Toc29398"/>
      <w:bookmarkStart w:id="746" w:name="_Toc19477"/>
      <w:bookmarkStart w:id="747" w:name="_Toc492478750"/>
      <w:bookmarkStart w:id="748" w:name="_Toc23999"/>
      <w:bookmarkStart w:id="749" w:name="_Toc23956"/>
      <w:bookmarkStart w:id="750" w:name="_Toc12167"/>
      <w:bookmarkStart w:id="751" w:name="_Toc25750620"/>
      <w:bookmarkStart w:id="752" w:name="_Toc22146"/>
      <w:r>
        <w:rPr>
          <w:rFonts w:hint="eastAsia" w:asciiTheme="minorEastAsia" w:hAnsiTheme="minorEastAsia" w:eastAsiaTheme="minorEastAsia"/>
          <w:color w:val="auto"/>
          <w:sz w:val="21"/>
          <w:szCs w:val="21"/>
          <w:highlight w:val="none"/>
        </w:rPr>
        <w:t>28. 比选申请文件计算错误的修正</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28.1 比选申请报价大写金额与小写金额不一致的，以大写金额为准；</w:t>
      </w:r>
      <w:r>
        <w:rPr>
          <w:rFonts w:asciiTheme="minorEastAsia" w:hAnsiTheme="minorEastAsia" w:eastAsiaTheme="minorEastAsia"/>
          <w:color w:val="auto"/>
          <w:highlight w:val="none"/>
        </w:rPr>
        <w:t>总价金额与单价</w:t>
      </w:r>
      <w:r>
        <w:rPr>
          <w:rFonts w:hint="eastAsia" w:asciiTheme="minorEastAsia" w:hAnsiTheme="minorEastAsia" w:eastAsiaTheme="minorEastAsia"/>
          <w:color w:val="auto"/>
          <w:highlight w:val="none"/>
        </w:rPr>
        <w:t>乘以数量的合计</w:t>
      </w:r>
      <w:r>
        <w:rPr>
          <w:rFonts w:asciiTheme="minorEastAsia" w:hAnsiTheme="minorEastAsia" w:eastAsiaTheme="minorEastAsia"/>
          <w:color w:val="auto"/>
          <w:highlight w:val="none"/>
        </w:rPr>
        <w:t>计算出的结果不一致的，以单价为准修正总价，但单价金额小数点有明显错误的除外。</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28.2 按上述修正错误的原则及方法修正后的总价经比选申请人书面确认后作为评审价，比选申请人不接受修正价格的，其比选申请</w:t>
      </w:r>
      <w:r>
        <w:rPr>
          <w:rFonts w:hint="eastAsia" w:asciiTheme="minorEastAsia" w:hAnsiTheme="minorEastAsia" w:eastAsiaTheme="minorEastAsia"/>
          <w:color w:val="auto"/>
          <w:highlight w:val="none"/>
        </w:rPr>
        <w:t>将按否决比选申请处理</w:t>
      </w:r>
      <w:r>
        <w:rPr>
          <w:rFonts w:hint="eastAsia" w:cs="Arial" w:asciiTheme="minorEastAsia" w:hAnsiTheme="minorEastAsia" w:eastAsiaTheme="minorEastAsia"/>
          <w:color w:val="auto"/>
          <w:highlight w:val="none"/>
        </w:rPr>
        <w:t>。</w:t>
      </w:r>
      <w:r>
        <w:rPr>
          <w:rFonts w:hint="eastAsia" w:asciiTheme="minorEastAsia" w:hAnsiTheme="minorEastAsia" w:eastAsiaTheme="minorEastAsia"/>
          <w:color w:val="auto"/>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cs="Arial" w:asciiTheme="minorEastAsia" w:hAnsiTheme="minorEastAsia" w:eastAsiaTheme="minorEastAsia"/>
          <w:color w:val="auto"/>
          <w:highlight w:val="none"/>
        </w:rPr>
        <w:t>，但并不减免中选人应承担的工作。</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753" w:name="_Toc25750621"/>
      <w:bookmarkStart w:id="754" w:name="_Toc23907"/>
      <w:bookmarkStart w:id="755" w:name="_Toc20854"/>
      <w:bookmarkStart w:id="756" w:name="_Toc20444"/>
      <w:bookmarkStart w:id="757" w:name="_Toc8959"/>
      <w:bookmarkStart w:id="758" w:name="_Toc492478751"/>
      <w:bookmarkStart w:id="759" w:name="_Toc22994"/>
      <w:bookmarkStart w:id="760" w:name="_Toc20881"/>
      <w:bookmarkStart w:id="761" w:name="_Toc12983536"/>
      <w:bookmarkStart w:id="762" w:name="_Toc27112"/>
      <w:bookmarkStart w:id="763" w:name="_Toc24176"/>
      <w:bookmarkStart w:id="764" w:name="_Toc19936"/>
      <w:bookmarkStart w:id="765" w:name="_Toc9812"/>
      <w:bookmarkStart w:id="766" w:name="_Toc4958"/>
      <w:bookmarkStart w:id="767" w:name="_Toc9737"/>
      <w:bookmarkStart w:id="768" w:name="_Toc383891201"/>
      <w:bookmarkStart w:id="769" w:name="_Toc1004"/>
      <w:bookmarkStart w:id="770" w:name="_Toc385427826"/>
      <w:bookmarkStart w:id="771" w:name="_Toc16418"/>
      <w:bookmarkStart w:id="772" w:name="_Toc29276"/>
      <w:bookmarkStart w:id="773" w:name="_Toc390098452"/>
      <w:bookmarkStart w:id="774" w:name="_Toc3258"/>
      <w:bookmarkStart w:id="775" w:name="_Toc5319"/>
      <w:r>
        <w:rPr>
          <w:rFonts w:hint="eastAsia" w:asciiTheme="minorEastAsia" w:hAnsiTheme="minorEastAsia" w:eastAsiaTheme="minorEastAsia"/>
          <w:color w:val="auto"/>
          <w:sz w:val="21"/>
          <w:szCs w:val="21"/>
          <w:highlight w:val="none"/>
        </w:rPr>
        <w:t>29. 比选申请文件的评价与比较</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29.1 《评审办法》详见比选文件第六章，比选人将按照《评审办法》对本须知第26条确定为实质上响应比选文件要求的比选申请文件进行评价与比较。</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29.2 评审将按《评审办法》规定执行。</w:t>
      </w:r>
      <w:bookmarkEnd w:id="681"/>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776" w:name="_Toc31774"/>
      <w:bookmarkStart w:id="777" w:name="_Toc14300"/>
      <w:bookmarkStart w:id="778" w:name="_Toc32344"/>
      <w:bookmarkStart w:id="779" w:name="_Toc8074"/>
      <w:bookmarkStart w:id="780" w:name="_Toc27803"/>
      <w:bookmarkStart w:id="781" w:name="_Toc8845"/>
      <w:bookmarkStart w:id="782" w:name="_Toc17460"/>
      <w:bookmarkStart w:id="783" w:name="_Toc28489"/>
      <w:bookmarkStart w:id="784" w:name="_Toc11010"/>
      <w:bookmarkStart w:id="785" w:name="_Toc15146"/>
      <w:bookmarkStart w:id="786" w:name="_Toc507"/>
      <w:bookmarkStart w:id="787" w:name="_Toc385427827"/>
      <w:bookmarkStart w:id="788" w:name="_Toc25750622"/>
      <w:bookmarkStart w:id="789" w:name="_Toc492478752"/>
      <w:bookmarkStart w:id="790" w:name="_Toc383891202"/>
      <w:bookmarkStart w:id="791" w:name="_Toc22500"/>
      <w:bookmarkStart w:id="792" w:name="_Toc11657"/>
      <w:bookmarkStart w:id="793" w:name="_Toc19322"/>
      <w:bookmarkStart w:id="794" w:name="_Toc27289"/>
      <w:bookmarkStart w:id="795" w:name="_Toc1450"/>
      <w:bookmarkStart w:id="796" w:name="_Toc3358"/>
      <w:bookmarkStart w:id="797" w:name="_Toc12983537"/>
      <w:bookmarkStart w:id="798" w:name="_Toc390098453"/>
      <w:r>
        <w:rPr>
          <w:rFonts w:hint="eastAsia" w:asciiTheme="minorEastAsia" w:hAnsiTheme="minorEastAsia" w:eastAsiaTheme="minorEastAsia"/>
          <w:color w:val="auto"/>
          <w:sz w:val="21"/>
          <w:szCs w:val="21"/>
          <w:highlight w:val="none"/>
        </w:rPr>
        <w:t>30. 定标</w:t>
      </w:r>
      <w:bookmarkEnd w:id="682"/>
      <w:bookmarkEnd w:id="683"/>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spacing w:line="360" w:lineRule="auto"/>
        <w:ind w:firstLine="420" w:firstLineChars="200"/>
        <w:rPr>
          <w:rFonts w:hint="eastAsia"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30</w:t>
      </w:r>
      <w:r>
        <w:rPr>
          <w:rFonts w:cs="Arial" w:asciiTheme="minorEastAsia" w:hAnsiTheme="minorEastAsia" w:eastAsiaTheme="minorEastAsia"/>
          <w:color w:val="auto"/>
          <w:highlight w:val="none"/>
        </w:rPr>
        <w:t>.1</w:t>
      </w:r>
      <w:r>
        <w:rPr>
          <w:rFonts w:hint="eastAsia" w:cs="Arial" w:asciiTheme="minorEastAsia" w:hAnsiTheme="minorEastAsia" w:eastAsiaTheme="minorEastAsia"/>
          <w:color w:val="auto"/>
          <w:highlight w:val="none"/>
        </w:rPr>
        <w:t>若</w:t>
      </w:r>
      <w:r>
        <w:rPr>
          <w:rFonts w:hint="eastAsia" w:asciiTheme="minorEastAsia" w:hAnsiTheme="minorEastAsia" w:eastAsiaTheme="minorEastAsia"/>
          <w:color w:val="auto"/>
          <w:highlight w:val="none"/>
        </w:rPr>
        <w:t>有</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个或</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个以上的比选申请人报价相同的</w:t>
      </w:r>
      <w:r>
        <w:rPr>
          <w:rFonts w:hint="eastAsia" w:cs="Arial" w:asciiTheme="minorEastAsia" w:hAnsiTheme="minorEastAsia" w:eastAsiaTheme="minorEastAsia"/>
          <w:color w:val="auto"/>
          <w:highlight w:val="none"/>
        </w:rPr>
        <w:t>，以评标委员会记名投票的方式按少数服从多数的原则决定其排名顺序。</w:t>
      </w:r>
    </w:p>
    <w:p>
      <w:pPr>
        <w:tabs>
          <w:tab w:val="left" w:pos="1134"/>
          <w:tab w:val="left" w:pos="8364"/>
        </w:tabs>
        <w:spacing w:line="360" w:lineRule="auto"/>
        <w:ind w:firstLine="420" w:firstLineChars="200"/>
        <w:rPr>
          <w:rFonts w:hint="eastAsia" w:cs="Arial" w:asciiTheme="minorEastAsia" w:hAnsiTheme="minorEastAsia" w:eastAsiaTheme="minorEastAsia"/>
          <w:color w:val="auto"/>
          <w:highlight w:val="none"/>
          <w:lang w:eastAsia="zh-CN"/>
        </w:rPr>
      </w:pPr>
      <w:r>
        <w:rPr>
          <w:rFonts w:hint="eastAsia" w:cs="Arial" w:asciiTheme="minorEastAsia" w:hAnsiTheme="minorEastAsia" w:eastAsiaTheme="minorEastAsia"/>
          <w:color w:val="auto"/>
          <w:highlight w:val="none"/>
        </w:rPr>
        <w:t>30</w:t>
      </w:r>
      <w:r>
        <w:rPr>
          <w:rFonts w:cs="Arial" w:asciiTheme="minorEastAsia" w:hAnsiTheme="minorEastAsia" w:eastAsiaTheme="minorEastAsia"/>
          <w:color w:val="auto"/>
          <w:highlight w:val="none"/>
        </w:rPr>
        <w:t>.2</w:t>
      </w:r>
      <w:r>
        <w:rPr>
          <w:rFonts w:hint="eastAsia" w:cs="Arial" w:asciiTheme="minorEastAsia" w:hAnsiTheme="minorEastAsia" w:eastAsiaTheme="minorEastAsia"/>
          <w:color w:val="auto"/>
          <w:highlight w:val="none"/>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r>
        <w:rPr>
          <w:rFonts w:hint="eastAsia" w:cs="Arial" w:asciiTheme="minorEastAsia" w:hAnsiTheme="minorEastAsia" w:eastAsiaTheme="minorEastAsia"/>
          <w:color w:val="auto"/>
          <w:highlight w:val="none"/>
          <w:lang w:eastAsia="zh-CN"/>
        </w:rPr>
        <w:t>。</w:t>
      </w:r>
    </w:p>
    <w:p>
      <w:pPr>
        <w:tabs>
          <w:tab w:val="left" w:pos="1134"/>
          <w:tab w:val="left" w:pos="836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30</w:t>
      </w:r>
      <w:r>
        <w:rPr>
          <w:rFonts w:cs="Arial" w:asciiTheme="minorEastAsia" w:hAnsiTheme="minorEastAsia" w:eastAsiaTheme="minorEastAsia"/>
          <w:color w:val="auto"/>
          <w:highlight w:val="none"/>
        </w:rPr>
        <w:t>.3</w:t>
      </w:r>
      <w:r>
        <w:rPr>
          <w:rFonts w:hint="eastAsia" w:cs="Arial" w:asciiTheme="minorEastAsia" w:hAnsiTheme="minorEastAsia" w:eastAsiaTheme="minorEastAsia"/>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30</w:t>
      </w:r>
      <w:r>
        <w:rPr>
          <w:rFonts w:cs="Arial" w:asciiTheme="minorEastAsia" w:hAnsiTheme="minorEastAsia" w:eastAsiaTheme="minorEastAsia"/>
          <w:color w:val="auto"/>
          <w:highlight w:val="none"/>
        </w:rPr>
        <w:t>.4</w:t>
      </w:r>
      <w:r>
        <w:rPr>
          <w:rFonts w:hint="eastAsia" w:cs="Arial" w:asciiTheme="minorEastAsia" w:hAnsiTheme="minorEastAsia" w:eastAsiaTheme="minorEastAsia"/>
          <w:color w:val="auto"/>
          <w:highlight w:val="none"/>
        </w:rPr>
        <w:t xml:space="preserve"> 比选人确定的中选人必须按有关规定进行公示。</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30</w:t>
      </w:r>
      <w:r>
        <w:rPr>
          <w:rFonts w:cs="Arial" w:asciiTheme="minorEastAsia" w:hAnsiTheme="minorEastAsia" w:eastAsiaTheme="minorEastAsia"/>
          <w:color w:val="auto"/>
          <w:highlight w:val="none"/>
        </w:rPr>
        <w:t>.5</w:t>
      </w:r>
      <w:r>
        <w:rPr>
          <w:rFonts w:hint="eastAsia" w:cs="Arial" w:asciiTheme="minorEastAsia" w:hAnsiTheme="minorEastAsia" w:eastAsiaTheme="minorEastAsia"/>
          <w:color w:val="auto"/>
          <w:highlight w:val="none"/>
        </w:rPr>
        <w:t xml:space="preserve"> 评审委员会评审结束后，比选人经审查发现评审过程中有明显错误，可以组织原评审委员会进行复评。</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799" w:name="_Toc14042"/>
      <w:bookmarkStart w:id="800" w:name="_Toc26470"/>
      <w:bookmarkStart w:id="801" w:name="_Toc390098454"/>
      <w:bookmarkStart w:id="802" w:name="_Toc385427828"/>
      <w:bookmarkStart w:id="803" w:name="_Toc16732"/>
      <w:bookmarkStart w:id="804" w:name="_Toc37"/>
      <w:bookmarkStart w:id="805" w:name="_Toc22182"/>
      <w:bookmarkStart w:id="806" w:name="_Toc18192"/>
      <w:bookmarkStart w:id="807" w:name="_Toc15932"/>
      <w:bookmarkStart w:id="808" w:name="_Toc17823"/>
      <w:bookmarkStart w:id="809" w:name="_Toc13986"/>
      <w:bookmarkStart w:id="810" w:name="_Toc19634"/>
      <w:bookmarkStart w:id="811" w:name="_Toc1215"/>
      <w:bookmarkStart w:id="812" w:name="_Toc492478753"/>
      <w:bookmarkStart w:id="813" w:name="_Toc383891203"/>
      <w:bookmarkStart w:id="814" w:name="_Toc12983538"/>
      <w:bookmarkStart w:id="815" w:name="_Toc21947"/>
      <w:bookmarkStart w:id="816" w:name="_Toc375039095"/>
      <w:bookmarkStart w:id="817" w:name="_Toc27664"/>
      <w:bookmarkStart w:id="818" w:name="_Toc21142"/>
      <w:bookmarkStart w:id="819" w:name="_Toc3761"/>
      <w:bookmarkStart w:id="820" w:name="_Toc5172"/>
      <w:bookmarkStart w:id="821" w:name="_Toc5257"/>
      <w:bookmarkStart w:id="822" w:name="_Toc25750623"/>
      <w:r>
        <w:rPr>
          <w:rFonts w:hint="eastAsia" w:asciiTheme="minorEastAsia" w:hAnsiTheme="minorEastAsia" w:eastAsiaTheme="minorEastAsia"/>
          <w:color w:val="auto"/>
          <w:sz w:val="21"/>
          <w:szCs w:val="21"/>
          <w:highlight w:val="none"/>
        </w:rPr>
        <w:t>31. 重新</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Fonts w:hint="eastAsia" w:asciiTheme="minorEastAsia" w:hAnsiTheme="minorEastAsia" w:eastAsiaTheme="minorEastAsia"/>
          <w:color w:val="auto"/>
          <w:sz w:val="21"/>
          <w:szCs w:val="21"/>
          <w:highlight w:val="none"/>
        </w:rPr>
        <w:t>比选</w:t>
      </w:r>
      <w:bookmarkEnd w:id="822"/>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出现下列特殊情况之一时，可重新</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31.1 </w:t>
      </w:r>
      <w:r>
        <w:rPr>
          <w:rFonts w:asciiTheme="minorEastAsia" w:hAnsiTheme="minorEastAsia" w:eastAsiaTheme="minorEastAsia"/>
          <w:color w:val="auto"/>
          <w:highlight w:val="none"/>
        </w:rPr>
        <w:t>在比选申请截止时间到达时提交比选申请文件的比选申请人</w:t>
      </w:r>
      <w:r>
        <w:rPr>
          <w:rFonts w:hint="eastAsia" w:asciiTheme="minorEastAsia" w:hAnsiTheme="minorEastAsia" w:eastAsiaTheme="minorEastAsia"/>
          <w:color w:val="auto"/>
          <w:highlight w:val="none"/>
        </w:rPr>
        <w:t>不足3家</w:t>
      </w:r>
      <w:r>
        <w:rPr>
          <w:rFonts w:asciiTheme="minorEastAsia" w:hAnsiTheme="minorEastAsia" w:eastAsiaTheme="minorEastAsia"/>
          <w:color w:val="auto"/>
          <w:highlight w:val="none"/>
        </w:rPr>
        <w:t>的；</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31.2 </w:t>
      </w:r>
      <w:r>
        <w:rPr>
          <w:rFonts w:asciiTheme="minorEastAsia" w:hAnsiTheme="minorEastAsia" w:eastAsiaTheme="minorEastAsia"/>
          <w:color w:val="auto"/>
          <w:highlight w:val="none"/>
        </w:rPr>
        <w:t>评审委员会否决不合格比选申请或者界定为否决比选申请后，因有效比选申请不足三</w:t>
      </w:r>
      <w:r>
        <w:rPr>
          <w:rFonts w:hint="eastAsia" w:asciiTheme="minorEastAsia" w:hAnsiTheme="minorEastAsia" w:eastAsiaTheme="minorEastAsia"/>
          <w:color w:val="auto"/>
          <w:highlight w:val="none"/>
        </w:rPr>
        <w:t>家</w:t>
      </w:r>
      <w:r>
        <w:rPr>
          <w:rFonts w:asciiTheme="minorEastAsia" w:hAnsiTheme="minorEastAsia" w:eastAsiaTheme="minorEastAsia"/>
          <w:color w:val="auto"/>
          <w:highlight w:val="none"/>
        </w:rPr>
        <w:t>使得比选申请明显缺乏竞争性的（当有效比选申请不足三</w:t>
      </w:r>
      <w:r>
        <w:rPr>
          <w:rFonts w:hint="eastAsia" w:asciiTheme="minorEastAsia" w:hAnsiTheme="minorEastAsia" w:eastAsiaTheme="minorEastAsia"/>
          <w:color w:val="auto"/>
          <w:highlight w:val="none"/>
        </w:rPr>
        <w:t>家</w:t>
      </w:r>
      <w:r>
        <w:rPr>
          <w:rFonts w:asciiTheme="minorEastAsia" w:hAnsiTheme="minorEastAsia" w:eastAsiaTheme="minorEastAsia"/>
          <w:color w:val="auto"/>
          <w:highlight w:val="none"/>
        </w:rPr>
        <w:t>时，评审委员会认为剩余的比选申请文件仍具有竞争性的，应继续评审）；</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31</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 xml:space="preserve"> 评审委员会决定否决全部比选申请的；</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31.4 </w:t>
      </w:r>
      <w:r>
        <w:rPr>
          <w:rFonts w:asciiTheme="minorEastAsia" w:hAnsiTheme="minorEastAsia" w:eastAsiaTheme="minorEastAsia"/>
          <w:color w:val="auto"/>
          <w:highlight w:val="none"/>
        </w:rPr>
        <w:t>中选候选人均放弃中选资格</w:t>
      </w:r>
      <w:r>
        <w:rPr>
          <w:rFonts w:hint="eastAsia" w:asciiTheme="minorEastAsia" w:hAnsiTheme="minorEastAsia" w:eastAsiaTheme="minorEastAsia"/>
          <w:color w:val="auto"/>
          <w:highlight w:val="none"/>
        </w:rPr>
        <w:t>的</w:t>
      </w:r>
      <w:r>
        <w:rPr>
          <w:rFonts w:asciiTheme="minorEastAsia" w:hAnsiTheme="minorEastAsia" w:eastAsiaTheme="minorEastAsia"/>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31.5 </w:t>
      </w:r>
      <w:r>
        <w:rPr>
          <w:rFonts w:asciiTheme="minorEastAsia" w:hAnsiTheme="minorEastAsia" w:eastAsiaTheme="minorEastAsia"/>
          <w:color w:val="auto"/>
          <w:highlight w:val="none"/>
        </w:rPr>
        <w:t>根据本须知15</w:t>
      </w: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条规定，</w:t>
      </w:r>
      <w:r>
        <w:rPr>
          <w:rFonts w:hint="eastAsia" w:asciiTheme="minorEastAsia" w:hAnsiTheme="minorEastAsia" w:eastAsiaTheme="minorEastAsia"/>
          <w:color w:val="auto"/>
          <w:highlight w:val="none"/>
        </w:rPr>
        <w:t>所有中选候选人均不同意在比选申请有效期内延长比选申请有效期的。</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31.6 比选文件中规定的其他情况。</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823" w:name="_Toc375039096"/>
      <w:bookmarkStart w:id="824" w:name="_Toc26919"/>
      <w:bookmarkStart w:id="825" w:name="_Toc3769"/>
      <w:bookmarkStart w:id="826" w:name="_Toc385427829"/>
      <w:bookmarkStart w:id="827" w:name="_Toc25257"/>
      <w:bookmarkStart w:id="828" w:name="_Toc390098455"/>
      <w:bookmarkStart w:id="829" w:name="_Toc17042"/>
      <w:bookmarkStart w:id="830" w:name="_Toc6886"/>
      <w:bookmarkStart w:id="831" w:name="_Toc5959"/>
      <w:bookmarkStart w:id="832" w:name="_Toc12031"/>
      <w:bookmarkStart w:id="833" w:name="_Toc31757"/>
      <w:bookmarkStart w:id="834" w:name="_Toc2422"/>
      <w:bookmarkStart w:id="835" w:name="_Toc14454"/>
      <w:bookmarkStart w:id="836" w:name="_Toc492478754"/>
      <w:bookmarkStart w:id="837" w:name="_Toc10962"/>
      <w:bookmarkStart w:id="838" w:name="_Toc20979"/>
      <w:bookmarkStart w:id="839" w:name="_Toc1945"/>
      <w:bookmarkStart w:id="840" w:name="_Toc11126"/>
      <w:bookmarkStart w:id="841" w:name="_Toc26954"/>
      <w:bookmarkStart w:id="842" w:name="_Toc1116"/>
      <w:bookmarkStart w:id="843" w:name="_Toc14235"/>
      <w:bookmarkStart w:id="844" w:name="_Toc383891204"/>
      <w:bookmarkStart w:id="845" w:name="_Toc12983539"/>
      <w:bookmarkStart w:id="846" w:name="_Toc25750624"/>
      <w:r>
        <w:rPr>
          <w:rFonts w:hint="eastAsia" w:asciiTheme="minorEastAsia" w:hAnsiTheme="minorEastAsia" w:eastAsiaTheme="minorEastAsia"/>
          <w:color w:val="auto"/>
          <w:sz w:val="21"/>
          <w:szCs w:val="21"/>
          <w:highlight w:val="none"/>
        </w:rPr>
        <w:t>32. 不再</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Fonts w:hint="eastAsia" w:asciiTheme="minorEastAsia" w:hAnsiTheme="minorEastAsia" w:eastAsiaTheme="minorEastAsia"/>
          <w:color w:val="auto"/>
          <w:sz w:val="21"/>
          <w:szCs w:val="21"/>
          <w:highlight w:val="none"/>
        </w:rPr>
        <w:t>比选</w:t>
      </w:r>
      <w:bookmarkEnd w:id="846"/>
    </w:p>
    <w:p>
      <w:pPr>
        <w:tabs>
          <w:tab w:val="left" w:pos="1155"/>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项目</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经两次发布信息后比选申请人仍少于三个或重新</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后有效比选申请人仍少于三个或者所有比选申请被否决的，比选人可不再进行</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w:t>
      </w:r>
      <w:bookmarkStart w:id="847" w:name="_Toc24580"/>
      <w:bookmarkStart w:id="848" w:name="_Toc2326"/>
      <w:bookmarkStart w:id="849" w:name="_Toc31958"/>
      <w:bookmarkStart w:id="850" w:name="_Toc385427830"/>
      <w:bookmarkStart w:id="851" w:name="_Toc30278"/>
      <w:bookmarkStart w:id="852" w:name="_Toc375039097"/>
      <w:bookmarkStart w:id="853" w:name="_Toc19952"/>
      <w:bookmarkStart w:id="854" w:name="_Toc27839"/>
      <w:bookmarkStart w:id="855" w:name="_Toc24681"/>
      <w:bookmarkStart w:id="856" w:name="_Toc25750625"/>
      <w:bookmarkStart w:id="857" w:name="_Toc492478755"/>
      <w:bookmarkStart w:id="858" w:name="_Toc9113"/>
      <w:bookmarkStart w:id="859" w:name="_Toc22975"/>
      <w:bookmarkStart w:id="860" w:name="_Toc12421"/>
      <w:bookmarkStart w:id="861" w:name="_Toc26653"/>
      <w:bookmarkStart w:id="862" w:name="_Toc390098456"/>
      <w:bookmarkStart w:id="863" w:name="_Toc4743"/>
      <w:bookmarkStart w:id="864" w:name="_Toc383891205"/>
      <w:bookmarkStart w:id="865" w:name="_Toc12983540"/>
      <w:bookmarkStart w:id="866" w:name="_Toc25431"/>
      <w:bookmarkStart w:id="867" w:name="_Toc18800"/>
      <w:bookmarkStart w:id="868" w:name="_Toc21516"/>
      <w:bookmarkStart w:id="869" w:name="_Toc6000"/>
      <w:bookmarkStart w:id="870" w:name="_Toc8834"/>
    </w:p>
    <w:p>
      <w:pPr>
        <w:tabs>
          <w:tab w:val="left" w:pos="1155"/>
          <w:tab w:val="left" w:pos="8364"/>
        </w:tabs>
        <w:spacing w:line="360" w:lineRule="auto"/>
        <w:ind w:firstLine="482"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六、</w:t>
      </w:r>
      <w:r>
        <w:rPr>
          <w:rFonts w:asciiTheme="minorEastAsia" w:hAnsiTheme="minorEastAsia" w:eastAsiaTheme="minorEastAsia"/>
          <w:b/>
          <w:bCs/>
          <w:color w:val="auto"/>
          <w:sz w:val="24"/>
          <w:szCs w:val="24"/>
          <w:highlight w:val="none"/>
        </w:rPr>
        <w:t>授予合同</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871" w:name="_Toc21728"/>
      <w:bookmarkStart w:id="872" w:name="_Toc390098457"/>
      <w:bookmarkStart w:id="873" w:name="_Toc22688"/>
      <w:bookmarkStart w:id="874" w:name="_Toc12983541"/>
      <w:bookmarkStart w:id="875" w:name="_Toc8938"/>
      <w:bookmarkStart w:id="876" w:name="_Toc1269"/>
      <w:bookmarkStart w:id="877" w:name="_Toc28661"/>
      <w:bookmarkStart w:id="878" w:name="_Toc26525"/>
      <w:bookmarkStart w:id="879" w:name="_Toc30743"/>
      <w:bookmarkStart w:id="880" w:name="_Toc375039098"/>
      <w:bookmarkStart w:id="881" w:name="_Toc10522"/>
      <w:bookmarkStart w:id="882" w:name="_Toc492478756"/>
      <w:bookmarkStart w:id="883" w:name="_Toc385427831"/>
      <w:bookmarkStart w:id="884" w:name="_Toc22323"/>
      <w:bookmarkStart w:id="885" w:name="_Toc25750626"/>
      <w:bookmarkStart w:id="886" w:name="_Toc21975"/>
      <w:bookmarkStart w:id="887" w:name="_Toc383891206"/>
      <w:bookmarkStart w:id="888" w:name="_Toc13914"/>
      <w:bookmarkStart w:id="889" w:name="_Toc18878"/>
      <w:bookmarkStart w:id="890" w:name="_Toc11795"/>
      <w:bookmarkStart w:id="891" w:name="_Toc31011"/>
      <w:bookmarkStart w:id="892" w:name="_Toc20642"/>
      <w:bookmarkStart w:id="893" w:name="_Toc30026"/>
      <w:bookmarkStart w:id="894" w:name="_Toc26143"/>
      <w:r>
        <w:rPr>
          <w:rFonts w:hint="eastAsia" w:asciiTheme="minorEastAsia" w:hAnsiTheme="minorEastAsia" w:eastAsiaTheme="minorEastAsia"/>
          <w:color w:val="auto"/>
          <w:sz w:val="21"/>
          <w:szCs w:val="21"/>
          <w:highlight w:val="none"/>
        </w:rPr>
        <w:t>33. 合同授予标准</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33.1 </w:t>
      </w:r>
      <w:r>
        <w:rPr>
          <w:rFonts w:asciiTheme="minorEastAsia" w:hAnsiTheme="minorEastAsia" w:eastAsiaTheme="minorEastAsia"/>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33.2 </w:t>
      </w:r>
      <w:r>
        <w:rPr>
          <w:rFonts w:asciiTheme="minorEastAsia" w:hAnsiTheme="minorEastAsia" w:eastAsiaTheme="minorEastAsia"/>
          <w:color w:val="auto"/>
          <w:highlight w:val="none"/>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895" w:name="_Toc19128"/>
      <w:bookmarkStart w:id="896" w:name="_Toc385427832"/>
      <w:bookmarkStart w:id="897" w:name="_Toc12983542"/>
      <w:bookmarkStart w:id="898" w:name="_Toc377"/>
      <w:bookmarkStart w:id="899" w:name="_Toc13417"/>
      <w:bookmarkStart w:id="900" w:name="_Toc19774"/>
      <w:bookmarkStart w:id="901" w:name="_Toc24183"/>
      <w:bookmarkStart w:id="902" w:name="_Toc23649"/>
      <w:bookmarkStart w:id="903" w:name="_Toc11913"/>
      <w:bookmarkStart w:id="904" w:name="_Toc18977"/>
      <w:bookmarkStart w:id="905" w:name="_Toc17153"/>
      <w:bookmarkStart w:id="906" w:name="_Toc17818"/>
      <w:bookmarkStart w:id="907" w:name="_Toc16111"/>
      <w:bookmarkStart w:id="908" w:name="_Toc1873"/>
      <w:bookmarkStart w:id="909" w:name="_Toc14325"/>
      <w:bookmarkStart w:id="910" w:name="_Toc14301"/>
      <w:bookmarkStart w:id="911" w:name="_Toc390098458"/>
      <w:bookmarkStart w:id="912" w:name="_Toc14832"/>
      <w:bookmarkStart w:id="913" w:name="_Toc31336"/>
      <w:bookmarkStart w:id="914" w:name="_Toc25750627"/>
      <w:bookmarkStart w:id="915" w:name="_Toc375039099"/>
      <w:bookmarkStart w:id="916" w:name="_Toc383891207"/>
      <w:bookmarkStart w:id="917" w:name="_Toc25797"/>
      <w:bookmarkStart w:id="918" w:name="_Toc492478757"/>
      <w:r>
        <w:rPr>
          <w:rFonts w:hint="eastAsia" w:asciiTheme="minorEastAsia" w:hAnsiTheme="minorEastAsia" w:eastAsiaTheme="minorEastAsia"/>
          <w:color w:val="auto"/>
          <w:sz w:val="21"/>
          <w:szCs w:val="21"/>
          <w:highlight w:val="none"/>
        </w:rPr>
        <w:t>34. 接受和否决任何或所有比选申请的权力</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7"/>
        <w:numPr>
          <w:ilvl w:val="0"/>
          <w:numId w:val="6"/>
        </w:numPr>
        <w:spacing w:before="0" w:after="0" w:line="360" w:lineRule="auto"/>
        <w:ind w:firstLine="422" w:firstLineChars="200"/>
        <w:rPr>
          <w:rFonts w:asciiTheme="minorEastAsia" w:hAnsiTheme="minorEastAsia" w:eastAsiaTheme="minorEastAsia"/>
          <w:color w:val="auto"/>
          <w:sz w:val="21"/>
          <w:szCs w:val="21"/>
          <w:highlight w:val="none"/>
        </w:rPr>
      </w:pPr>
      <w:bookmarkStart w:id="919" w:name="_Toc383891208"/>
      <w:bookmarkStart w:id="920" w:name="_Toc385427833"/>
      <w:bookmarkStart w:id="921" w:name="_Toc9636"/>
      <w:bookmarkStart w:id="922" w:name="_Toc25750628"/>
      <w:bookmarkStart w:id="923" w:name="_Toc390098459"/>
      <w:bookmarkStart w:id="924" w:name="_Toc10348"/>
      <w:bookmarkStart w:id="925" w:name="_Toc375039100"/>
      <w:bookmarkStart w:id="926" w:name="_Toc2061"/>
      <w:bookmarkStart w:id="927" w:name="_Toc32424"/>
      <w:bookmarkStart w:id="928" w:name="_Toc13596"/>
      <w:bookmarkStart w:id="929" w:name="_Toc921"/>
      <w:bookmarkStart w:id="930" w:name="_Toc12065"/>
      <w:bookmarkStart w:id="931" w:name="_Toc673"/>
      <w:bookmarkStart w:id="932" w:name="_Toc22657"/>
      <w:bookmarkStart w:id="933" w:name="_Toc17953"/>
      <w:bookmarkStart w:id="934" w:name="_Toc13605"/>
      <w:bookmarkStart w:id="935" w:name="_Toc21798"/>
      <w:bookmarkStart w:id="936" w:name="_Toc492478758"/>
      <w:bookmarkStart w:id="937" w:name="_Toc27683"/>
      <w:bookmarkStart w:id="938" w:name="_Toc5061"/>
      <w:bookmarkStart w:id="939" w:name="_Toc19556"/>
      <w:bookmarkStart w:id="940" w:name="_Toc19943"/>
      <w:bookmarkStart w:id="941" w:name="_Toc20680"/>
      <w:bookmarkStart w:id="942" w:name="_Toc12983543"/>
      <w:r>
        <w:rPr>
          <w:rFonts w:hint="eastAsia" w:asciiTheme="minorEastAsia" w:hAnsiTheme="minorEastAsia" w:eastAsiaTheme="minorEastAsia"/>
          <w:color w:val="auto"/>
          <w:sz w:val="21"/>
          <w:szCs w:val="21"/>
          <w:highlight w:val="none"/>
        </w:rPr>
        <w:t>中选通知书</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tabs>
          <w:tab w:val="left" w:pos="450"/>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35.1 </w:t>
      </w:r>
      <w:r>
        <w:rPr>
          <w:rFonts w:asciiTheme="minorEastAsia" w:hAnsiTheme="minorEastAsia" w:eastAsiaTheme="minorEastAsia"/>
          <w:color w:val="auto"/>
          <w:highlight w:val="none"/>
        </w:rPr>
        <w:t>在比选申请有效期截止前，</w:t>
      </w:r>
      <w:r>
        <w:rPr>
          <w:rFonts w:hint="eastAsia" w:asciiTheme="minorEastAsia" w:hAnsiTheme="minorEastAsia" w:eastAsiaTheme="minorEastAsia"/>
          <w:color w:val="auto"/>
          <w:highlight w:val="none"/>
        </w:rPr>
        <w:t>在本须知第</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6</w:t>
      </w:r>
      <w:r>
        <w:rPr>
          <w:rFonts w:asciiTheme="minorEastAsia" w:hAnsiTheme="minorEastAsia" w:eastAsiaTheme="minorEastAsia"/>
          <w:color w:val="auto"/>
          <w:highlight w:val="none"/>
        </w:rPr>
        <w:t>条</w:t>
      </w:r>
      <w:r>
        <w:rPr>
          <w:rFonts w:hint="eastAsia" w:asciiTheme="minorEastAsia" w:hAnsiTheme="minorEastAsia" w:eastAsiaTheme="minorEastAsia"/>
          <w:color w:val="auto"/>
          <w:highlight w:val="none"/>
        </w:rPr>
        <w:t>规定的比选申请有效期内，比选人以书面形式向中选人发出中选通知书。</w:t>
      </w:r>
    </w:p>
    <w:p>
      <w:pPr>
        <w:tabs>
          <w:tab w:val="left" w:pos="450"/>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35.2 </w:t>
      </w:r>
      <w:r>
        <w:rPr>
          <w:rFonts w:asciiTheme="minorEastAsia" w:hAnsiTheme="minorEastAsia" w:eastAsiaTheme="minorEastAsia"/>
          <w:color w:val="auto"/>
          <w:highlight w:val="none"/>
        </w:rPr>
        <w:t>中选通知书将作为签订合同的依据，并是合同的一个组成部分。</w:t>
      </w:r>
    </w:p>
    <w:p>
      <w:pPr>
        <w:tabs>
          <w:tab w:val="left" w:pos="450"/>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35.3 </w:t>
      </w:r>
      <w:r>
        <w:rPr>
          <w:rFonts w:asciiTheme="minorEastAsia" w:hAnsiTheme="minorEastAsia" w:eastAsiaTheme="minorEastAsia"/>
          <w:color w:val="auto"/>
          <w:highlight w:val="none"/>
        </w:rPr>
        <w:t>对未中选者，比选人不对未中选原因做出解释，同时亦不退还比选申请文件。</w:t>
      </w:r>
    </w:p>
    <w:p>
      <w:pPr>
        <w:tabs>
          <w:tab w:val="left" w:pos="450"/>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35.4放弃中选人资格的处罚详见前附表。</w:t>
      </w:r>
    </w:p>
    <w:p>
      <w:pPr>
        <w:pStyle w:val="7"/>
        <w:numPr>
          <w:ilvl w:val="0"/>
          <w:numId w:val="6"/>
        </w:numPr>
        <w:spacing w:before="0" w:after="0" w:line="360" w:lineRule="auto"/>
        <w:ind w:firstLine="422" w:firstLineChars="200"/>
        <w:rPr>
          <w:rFonts w:asciiTheme="minorEastAsia" w:hAnsiTheme="minorEastAsia" w:eastAsiaTheme="minorEastAsia"/>
          <w:color w:val="auto"/>
          <w:sz w:val="21"/>
          <w:szCs w:val="21"/>
          <w:highlight w:val="none"/>
        </w:rPr>
      </w:pPr>
      <w:bookmarkStart w:id="943" w:name="_Toc12983544"/>
      <w:bookmarkStart w:id="944" w:name="_Toc4190"/>
      <w:bookmarkStart w:id="945" w:name="_Toc22442"/>
      <w:bookmarkStart w:id="946" w:name="_Toc21217"/>
      <w:bookmarkStart w:id="947" w:name="_Toc385427834"/>
      <w:bookmarkStart w:id="948" w:name="_Toc492478759"/>
      <w:bookmarkStart w:id="949" w:name="_Toc21570"/>
      <w:bookmarkStart w:id="950" w:name="_Toc18694"/>
      <w:bookmarkStart w:id="951" w:name="_Toc8628"/>
      <w:bookmarkStart w:id="952" w:name="_Toc28815"/>
      <w:bookmarkStart w:id="953" w:name="_Toc375039101"/>
      <w:bookmarkStart w:id="954" w:name="_Toc383891209"/>
      <w:bookmarkStart w:id="955" w:name="_Toc1862"/>
      <w:bookmarkStart w:id="956" w:name="_Toc5767"/>
      <w:bookmarkStart w:id="957" w:name="_Toc390098460"/>
      <w:bookmarkStart w:id="958" w:name="_Toc24240"/>
      <w:bookmarkStart w:id="959" w:name="_Toc24885"/>
      <w:bookmarkStart w:id="960" w:name="_Toc15048"/>
      <w:bookmarkStart w:id="961" w:name="_Toc29993"/>
      <w:bookmarkStart w:id="962" w:name="_Toc30862"/>
      <w:bookmarkStart w:id="963" w:name="_Toc1780"/>
      <w:bookmarkStart w:id="964" w:name="_Toc5617"/>
      <w:bookmarkStart w:id="965" w:name="_Toc25750629"/>
      <w:bookmarkStart w:id="966" w:name="_Toc25208"/>
      <w:r>
        <w:rPr>
          <w:rFonts w:hint="eastAsia" w:asciiTheme="minorEastAsia" w:hAnsiTheme="minorEastAsia" w:eastAsiaTheme="minorEastAsia"/>
          <w:color w:val="auto"/>
          <w:sz w:val="21"/>
          <w:szCs w:val="21"/>
          <w:highlight w:val="none"/>
        </w:rPr>
        <w:t>签订合同</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36.1 中选人在收到中选通知书后的30天内，按比选文件的要求与比选人签订合同</w:t>
      </w:r>
      <w:r>
        <w:rPr>
          <w:rFonts w:asciiTheme="minorEastAsia" w:hAnsiTheme="minorEastAsia" w:eastAsiaTheme="minorEastAsia"/>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36.2 </w:t>
      </w:r>
      <w:r>
        <w:rPr>
          <w:rFonts w:asciiTheme="minorEastAsia" w:hAnsiTheme="minorEastAsia" w:eastAsiaTheme="minorEastAsia"/>
          <w:color w:val="auto"/>
          <w:highlight w:val="none"/>
        </w:rPr>
        <w:t>比选文件、中选通知书、中选人的比选申请文件及双方确认的澄清文件等，均为有法律约束力的合同的组成部分。</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36.3 </w:t>
      </w:r>
      <w:r>
        <w:rPr>
          <w:rFonts w:asciiTheme="minorEastAsia" w:hAnsiTheme="minorEastAsia" w:eastAsiaTheme="minorEastAsia"/>
          <w:color w:val="auto"/>
          <w:highlight w:val="none"/>
        </w:rPr>
        <w:t>如果中选人没有按照</w:t>
      </w:r>
      <w:r>
        <w:rPr>
          <w:rFonts w:hint="eastAsia" w:asciiTheme="minorEastAsia" w:hAnsiTheme="minorEastAsia" w:eastAsiaTheme="minorEastAsia"/>
          <w:color w:val="auto"/>
          <w:highlight w:val="none"/>
        </w:rPr>
        <w:t>本须知第</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3</w:t>
      </w:r>
      <w:r>
        <w:rPr>
          <w:rFonts w:asciiTheme="minorEastAsia" w:hAnsiTheme="minorEastAsia" w:eastAsiaTheme="minorEastAsia"/>
          <w:color w:val="auto"/>
          <w:highlight w:val="none"/>
        </w:rPr>
        <w:t>条</w:t>
      </w:r>
      <w:r>
        <w:rPr>
          <w:rFonts w:hint="eastAsia" w:asciiTheme="minorEastAsia" w:hAnsiTheme="minorEastAsia" w:eastAsiaTheme="minorEastAsia"/>
          <w:color w:val="auto"/>
          <w:highlight w:val="none"/>
        </w:rPr>
        <w:t>规定</w:t>
      </w:r>
      <w:r>
        <w:rPr>
          <w:rFonts w:asciiTheme="minorEastAsia" w:hAnsiTheme="minorEastAsia" w:eastAsiaTheme="minorEastAsia"/>
          <w:color w:val="auto"/>
          <w:highlight w:val="none"/>
        </w:rPr>
        <w:t>执行，比选人将有充分理由取消该中选决定。在此情况下，比选人可以按照评审委员会提出的中选候选人名单排序依次确定其他中选候选人为中选人，也可以重新</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36.4 </w:t>
      </w:r>
      <w:r>
        <w:rPr>
          <w:rFonts w:asciiTheme="minorEastAsia" w:hAnsiTheme="minorEastAsia" w:eastAsiaTheme="minorEastAsia"/>
          <w:color w:val="auto"/>
          <w:highlight w:val="none"/>
        </w:rPr>
        <w:t>中选人若未在比选申请文件“</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响应表”中</w:t>
      </w:r>
      <w:r>
        <w:rPr>
          <w:rFonts w:hint="eastAsia" w:asciiTheme="minorEastAsia" w:hAnsiTheme="minorEastAsia" w:eastAsiaTheme="minorEastAsia"/>
          <w:color w:val="auto"/>
          <w:highlight w:val="none"/>
        </w:rPr>
        <w:t>完全响应的</w:t>
      </w:r>
      <w:r>
        <w:rPr>
          <w:rFonts w:asciiTheme="minorEastAsia" w:hAnsiTheme="minorEastAsia" w:eastAsiaTheme="minorEastAsia"/>
          <w:color w:val="auto"/>
          <w:highlight w:val="none"/>
        </w:rPr>
        <w:t>，即使其在比选申请文件的其他部分说明与比选文件要求有所不同或回避不答，则视作放弃中选资格。</w:t>
      </w:r>
    </w:p>
    <w:p>
      <w:pPr>
        <w:pStyle w:val="7"/>
        <w:spacing w:before="0" w:after="0" w:line="360" w:lineRule="auto"/>
        <w:ind w:firstLine="422" w:firstLineChars="200"/>
        <w:rPr>
          <w:rFonts w:asciiTheme="minorEastAsia" w:hAnsiTheme="minorEastAsia" w:eastAsiaTheme="minorEastAsia"/>
          <w:color w:val="auto"/>
          <w:sz w:val="21"/>
          <w:szCs w:val="21"/>
          <w:highlight w:val="none"/>
        </w:rPr>
      </w:pPr>
      <w:bookmarkStart w:id="967" w:name="_Toc19122"/>
      <w:bookmarkStart w:id="968" w:name="_Toc23115"/>
      <w:bookmarkStart w:id="969" w:name="_Toc390098462"/>
      <w:bookmarkStart w:id="970" w:name="_Toc375039103"/>
      <w:bookmarkStart w:id="971" w:name="_Toc492478761"/>
      <w:bookmarkStart w:id="972" w:name="_Toc12983546"/>
      <w:bookmarkStart w:id="973" w:name="_Toc16584"/>
      <w:bookmarkStart w:id="974" w:name="_Toc20351"/>
      <w:bookmarkStart w:id="975" w:name="_Toc385427836"/>
      <w:bookmarkStart w:id="976" w:name="_Toc10399"/>
      <w:bookmarkStart w:id="977" w:name="_Toc13615"/>
      <w:bookmarkStart w:id="978" w:name="_Toc16212"/>
      <w:bookmarkStart w:id="979" w:name="_Toc8178"/>
      <w:bookmarkStart w:id="980" w:name="_Toc383891211"/>
      <w:bookmarkStart w:id="981" w:name="_Toc21294"/>
      <w:bookmarkStart w:id="982" w:name="_Toc25750631"/>
      <w:bookmarkStart w:id="983" w:name="_Toc2637"/>
      <w:bookmarkStart w:id="984" w:name="_Toc24400"/>
      <w:bookmarkStart w:id="985" w:name="_Toc26808"/>
      <w:bookmarkStart w:id="986" w:name="_Toc10480"/>
      <w:bookmarkStart w:id="987" w:name="_Toc25990"/>
      <w:bookmarkStart w:id="988" w:name="_Toc25988"/>
      <w:bookmarkStart w:id="989" w:name="_Toc30169"/>
      <w:bookmarkStart w:id="990" w:name="_Toc11354"/>
      <w:r>
        <w:rPr>
          <w:rFonts w:hint="eastAsia" w:asciiTheme="minorEastAsia" w:hAnsiTheme="minorEastAsia" w:eastAsiaTheme="minorEastAsia"/>
          <w:color w:val="auto"/>
          <w:sz w:val="21"/>
          <w:szCs w:val="21"/>
          <w:highlight w:val="none"/>
        </w:rPr>
        <w:t>37. 其他</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37.1 </w:t>
      </w:r>
      <w:r>
        <w:rPr>
          <w:rFonts w:asciiTheme="minorEastAsia" w:hAnsiTheme="minorEastAsia" w:eastAsiaTheme="minorEastAsia"/>
          <w:color w:val="auto"/>
          <w:highlight w:val="none"/>
        </w:rPr>
        <w:t>知识产权和专利权</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37.1.1 </w:t>
      </w:r>
      <w:r>
        <w:rPr>
          <w:rFonts w:asciiTheme="minorEastAsia" w:hAnsiTheme="minorEastAsia" w:eastAsiaTheme="minorEastAsia"/>
          <w:color w:val="auto"/>
          <w:highlight w:val="none"/>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37.1.2 </w:t>
      </w:r>
      <w:r>
        <w:rPr>
          <w:rFonts w:asciiTheme="minorEastAsia" w:hAnsiTheme="minorEastAsia" w:eastAsiaTheme="minorEastAsia"/>
          <w:color w:val="auto"/>
          <w:highlight w:val="none"/>
        </w:rPr>
        <w:t>比选申请报价已包括所有应支付的，对专利权、著作权、注册商标专有使用权、计算机软件登记或其他知识产权而需要向其他方支付</w:t>
      </w:r>
      <w:r>
        <w:rPr>
          <w:rFonts w:hint="eastAsia" w:asciiTheme="minorEastAsia" w:hAnsiTheme="minorEastAsia" w:eastAsiaTheme="minorEastAsia"/>
          <w:color w:val="auto"/>
          <w:highlight w:val="none"/>
          <w:lang w:eastAsia="zh-CN"/>
        </w:rPr>
        <w:t>等各项</w:t>
      </w:r>
      <w:r>
        <w:rPr>
          <w:rFonts w:asciiTheme="minorEastAsia" w:hAnsiTheme="minorEastAsia" w:eastAsiaTheme="minorEastAsia"/>
          <w:color w:val="auto"/>
          <w:highlight w:val="none"/>
        </w:rPr>
        <w:t>费用。</w:t>
      </w:r>
    </w:p>
    <w:p>
      <w:pPr>
        <w:tabs>
          <w:tab w:val="left" w:pos="425"/>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37.2 </w:t>
      </w:r>
      <w:r>
        <w:rPr>
          <w:rFonts w:asciiTheme="minorEastAsia" w:hAnsiTheme="minorEastAsia" w:eastAsiaTheme="minorEastAsia"/>
          <w:color w:val="auto"/>
          <w:highlight w:val="none"/>
        </w:rPr>
        <w:t>保密</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37.2.1 </w:t>
      </w:r>
      <w:r>
        <w:rPr>
          <w:rFonts w:asciiTheme="minorEastAsia" w:hAnsiTheme="minorEastAsia" w:eastAsiaTheme="minorEastAsia"/>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37.2.2 </w:t>
      </w:r>
      <w:r>
        <w:rPr>
          <w:rFonts w:asciiTheme="minorEastAsia" w:hAnsiTheme="minorEastAsia" w:eastAsiaTheme="minorEastAsia"/>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37.3 </w:t>
      </w:r>
      <w:r>
        <w:rPr>
          <w:rFonts w:asciiTheme="minorEastAsia" w:hAnsiTheme="minorEastAsia" w:eastAsiaTheme="minorEastAsia"/>
          <w:color w:val="auto"/>
          <w:highlight w:val="none"/>
        </w:rPr>
        <w:t>比选申请人知悉</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37.3.1 </w:t>
      </w:r>
      <w:r>
        <w:rPr>
          <w:rFonts w:asciiTheme="minorEastAsia" w:hAnsiTheme="minorEastAsia" w:eastAsiaTheme="minorEastAsia"/>
          <w:color w:val="auto"/>
          <w:highlight w:val="none"/>
        </w:rPr>
        <w:t>比选申请人将被视为已合理地充分了解了对所有影响本项目的事项，包括任何与</w:t>
      </w:r>
      <w:r>
        <w:rPr>
          <w:rFonts w:hint="eastAsia" w:asciiTheme="minorEastAsia" w:hAnsiTheme="minorEastAsia" w:eastAsiaTheme="minorEastAsia"/>
          <w:color w:val="auto"/>
          <w:highlight w:val="none"/>
        </w:rPr>
        <w:t>项目</w:t>
      </w:r>
      <w:r>
        <w:rPr>
          <w:rFonts w:asciiTheme="minorEastAsia" w:hAnsiTheme="minorEastAsia" w:eastAsiaTheme="minorEastAsia"/>
          <w:color w:val="auto"/>
          <w:highlight w:val="none"/>
        </w:rPr>
        <w:t>和项目时间表有关的特殊困难。</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37.3.2 </w:t>
      </w:r>
      <w:r>
        <w:rPr>
          <w:rFonts w:asciiTheme="minorEastAsia" w:hAnsiTheme="minorEastAsia" w:eastAsiaTheme="minorEastAsia"/>
          <w:color w:val="auto"/>
          <w:highlight w:val="none"/>
        </w:rPr>
        <w:t>如果比选申请人在比选申请过程中有欺诈行为，则比选人有权否决比选申请人的比选申请。</w:t>
      </w:r>
    </w:p>
    <w:p>
      <w:pPr>
        <w:tabs>
          <w:tab w:val="left" w:pos="425"/>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37.4 分包：本项目不允许分包、禁止转包。</w:t>
      </w:r>
    </w:p>
    <w:p>
      <w:pPr>
        <w:pStyle w:val="25"/>
        <w:spacing w:line="360" w:lineRule="auto"/>
        <w:ind w:firstLine="0" w:firstLineChars="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37.5 需要补充的其他内容：详见比选申请须知前附表</w:t>
      </w:r>
    </w:p>
    <w:p>
      <w:pPr>
        <w:spacing w:line="276" w:lineRule="auto"/>
        <w:jc w:val="left"/>
        <w:rPr>
          <w:rStyle w:val="36"/>
          <w:rFonts w:asciiTheme="minorEastAsia" w:hAnsiTheme="minorEastAsia" w:eastAsiaTheme="minorEastAsia"/>
          <w:color w:val="auto"/>
          <w:sz w:val="44"/>
          <w:szCs w:val="44"/>
          <w:highlight w:val="none"/>
        </w:rPr>
      </w:pPr>
      <w:bookmarkStart w:id="991" w:name="_Toc4402"/>
      <w:bookmarkStart w:id="992" w:name="_Toc100643455"/>
      <w:bookmarkStart w:id="993" w:name="_Toc436771465"/>
    </w:p>
    <w:p>
      <w:pPr>
        <w:spacing w:line="276" w:lineRule="auto"/>
        <w:jc w:val="center"/>
        <w:rPr>
          <w:rStyle w:val="36"/>
          <w:rFonts w:asciiTheme="minorEastAsia" w:hAnsiTheme="minorEastAsia" w:eastAsiaTheme="minorEastAsia"/>
          <w:color w:val="auto"/>
          <w:sz w:val="44"/>
          <w:szCs w:val="44"/>
          <w:highlight w:val="none"/>
        </w:rPr>
      </w:pPr>
    </w:p>
    <w:p>
      <w:pPr>
        <w:spacing w:line="276" w:lineRule="auto"/>
        <w:jc w:val="center"/>
        <w:rPr>
          <w:rStyle w:val="36"/>
          <w:rFonts w:asciiTheme="minorEastAsia" w:hAnsiTheme="minorEastAsia" w:eastAsiaTheme="minorEastAsia"/>
          <w:color w:val="auto"/>
          <w:sz w:val="44"/>
          <w:szCs w:val="44"/>
          <w:highlight w:val="none"/>
        </w:rPr>
      </w:pPr>
    </w:p>
    <w:p>
      <w:pPr>
        <w:spacing w:line="276" w:lineRule="auto"/>
        <w:jc w:val="center"/>
        <w:rPr>
          <w:rStyle w:val="36"/>
          <w:rFonts w:asciiTheme="minorEastAsia" w:hAnsiTheme="minorEastAsia" w:eastAsiaTheme="minorEastAsia"/>
          <w:color w:val="auto"/>
          <w:sz w:val="44"/>
          <w:szCs w:val="44"/>
          <w:highlight w:val="none"/>
        </w:rPr>
      </w:pPr>
    </w:p>
    <w:p>
      <w:pPr>
        <w:spacing w:line="276" w:lineRule="auto"/>
        <w:jc w:val="center"/>
        <w:rPr>
          <w:rStyle w:val="36"/>
          <w:rFonts w:asciiTheme="minorEastAsia" w:hAnsiTheme="minorEastAsia" w:eastAsiaTheme="minorEastAsia"/>
          <w:color w:val="auto"/>
          <w:sz w:val="44"/>
          <w:szCs w:val="44"/>
          <w:highlight w:val="none"/>
        </w:rPr>
      </w:pPr>
    </w:p>
    <w:p>
      <w:pPr>
        <w:spacing w:line="276" w:lineRule="auto"/>
        <w:jc w:val="both"/>
        <w:rPr>
          <w:rStyle w:val="36"/>
          <w:rFonts w:asciiTheme="minorEastAsia" w:hAnsiTheme="minorEastAsia" w:eastAsiaTheme="minorEastAsia"/>
          <w:color w:val="auto"/>
          <w:sz w:val="44"/>
          <w:szCs w:val="44"/>
          <w:highlight w:val="none"/>
        </w:rPr>
      </w:pPr>
    </w:p>
    <w:p>
      <w:pPr>
        <w:spacing w:line="276" w:lineRule="auto"/>
        <w:jc w:val="both"/>
        <w:rPr>
          <w:rStyle w:val="36"/>
          <w:rFonts w:hint="eastAsia" w:asciiTheme="minorEastAsia" w:hAnsiTheme="minorEastAsia" w:eastAsiaTheme="minorEastAsia"/>
          <w:color w:val="auto"/>
          <w:sz w:val="44"/>
          <w:szCs w:val="44"/>
          <w:highlight w:val="none"/>
        </w:rPr>
      </w:pPr>
    </w:p>
    <w:p>
      <w:pPr>
        <w:spacing w:line="276" w:lineRule="auto"/>
        <w:jc w:val="center"/>
        <w:rPr>
          <w:rStyle w:val="36"/>
          <w:rFonts w:hint="eastAsia" w:asciiTheme="minorEastAsia" w:hAnsiTheme="minorEastAsia" w:eastAsiaTheme="minorEastAsia"/>
          <w:color w:val="auto"/>
          <w:sz w:val="44"/>
          <w:szCs w:val="44"/>
          <w:highlight w:val="none"/>
        </w:rPr>
      </w:pPr>
    </w:p>
    <w:p>
      <w:pPr>
        <w:spacing w:line="276" w:lineRule="auto"/>
        <w:jc w:val="center"/>
        <w:rPr>
          <w:rFonts w:asciiTheme="minorEastAsia" w:hAnsiTheme="minorEastAsia" w:eastAsiaTheme="minorEastAsia"/>
          <w:bCs/>
          <w:color w:val="auto"/>
          <w:sz w:val="24"/>
          <w:szCs w:val="24"/>
          <w:highlight w:val="none"/>
        </w:rPr>
      </w:pPr>
      <w:r>
        <w:rPr>
          <w:rStyle w:val="36"/>
          <w:rFonts w:hint="eastAsia" w:asciiTheme="minorEastAsia" w:hAnsiTheme="minorEastAsia" w:eastAsiaTheme="minorEastAsia"/>
          <w:color w:val="auto"/>
          <w:sz w:val="44"/>
          <w:szCs w:val="44"/>
          <w:highlight w:val="none"/>
        </w:rPr>
        <w:t>第三章 合同条款及格式</w:t>
      </w:r>
      <w:bookmarkEnd w:id="991"/>
      <w:bookmarkEnd w:id="992"/>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after="120" w:afterLines="50"/>
        <w:ind w:right="448"/>
        <w:jc w:val="right"/>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【×本】</w:t>
      </w:r>
    </w:p>
    <w:p>
      <w:pPr>
        <w:snapToGrid w:val="0"/>
        <w:spacing w:line="800" w:lineRule="exact"/>
        <w:ind w:left="1493" w:right="-28" w:hanging="1493" w:hangingChars="338"/>
        <w:jc w:val="center"/>
        <w:rPr>
          <w:rFonts w:asciiTheme="minorEastAsia" w:hAnsiTheme="minorEastAsia" w:eastAsiaTheme="minorEastAsia"/>
          <w:b/>
          <w:color w:val="auto"/>
          <w:sz w:val="44"/>
          <w:szCs w:val="44"/>
          <w:highlight w:val="none"/>
        </w:rPr>
      </w:pPr>
      <w:r>
        <w:rPr>
          <w:rFonts w:hint="eastAsia" w:asciiTheme="minorEastAsia" w:hAnsiTheme="minorEastAsia" w:eastAsiaTheme="minorEastAsia"/>
          <w:b/>
          <w:color w:val="auto"/>
          <w:sz w:val="44"/>
          <w:szCs w:val="44"/>
          <w:highlight w:val="none"/>
        </w:rPr>
        <w:t>××项目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Theme="minorEastAsia" w:hAnsiTheme="minorEastAsia" w:eastAsiaTheme="minorEastAsia"/>
                <w:color w:val="auto"/>
                <w:sz w:val="28"/>
                <w:szCs w:val="30"/>
                <w:highlight w:val="none"/>
              </w:rPr>
            </w:pPr>
            <w:r>
              <w:rPr>
                <w:rFonts w:hint="eastAsia" w:asciiTheme="minorEastAsia" w:hAnsiTheme="minorEastAsia" w:eastAsiaTheme="minorEastAsia"/>
                <w:color w:val="auto"/>
                <w:sz w:val="28"/>
                <w:szCs w:val="30"/>
                <w:highlight w:val="none"/>
              </w:rPr>
              <w:t>项目编号：</w:t>
            </w:r>
          </w:p>
        </w:tc>
        <w:tc>
          <w:tcPr>
            <w:tcW w:w="4761" w:type="dxa"/>
          </w:tcPr>
          <w:p>
            <w:pPr>
              <w:spacing w:line="300" w:lineRule="exact"/>
              <w:jc w:val="left"/>
              <w:rPr>
                <w:rFonts w:asciiTheme="minorEastAsia" w:hAnsiTheme="minorEastAsia" w:eastAsiaTheme="minorEastAsia"/>
                <w:color w:val="auto"/>
                <w:sz w:val="28"/>
                <w:szCs w:val="3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Theme="minorEastAsia" w:hAnsiTheme="minorEastAsia" w:eastAsiaTheme="minorEastAsia"/>
                <w:color w:val="auto"/>
                <w:sz w:val="28"/>
                <w:szCs w:val="30"/>
                <w:highlight w:val="none"/>
              </w:rPr>
            </w:pPr>
            <w:r>
              <w:rPr>
                <w:rFonts w:hint="eastAsia" w:asciiTheme="minorEastAsia" w:hAnsiTheme="minorEastAsia" w:eastAsiaTheme="minorEastAsia"/>
                <w:color w:val="auto"/>
                <w:sz w:val="28"/>
                <w:szCs w:val="30"/>
                <w:highlight w:val="none"/>
              </w:rPr>
              <w:t>合同编号：</w:t>
            </w:r>
          </w:p>
        </w:tc>
        <w:tc>
          <w:tcPr>
            <w:tcW w:w="4761" w:type="dxa"/>
          </w:tcPr>
          <w:p>
            <w:pPr>
              <w:spacing w:line="300" w:lineRule="exact"/>
              <w:jc w:val="left"/>
              <w:rPr>
                <w:rFonts w:asciiTheme="minorEastAsia" w:hAnsiTheme="minorEastAsia" w:eastAsiaTheme="minorEastAsia"/>
                <w:color w:val="auto"/>
                <w:sz w:val="28"/>
                <w:szCs w:val="30"/>
                <w:highlight w:val="none"/>
              </w:rPr>
            </w:pPr>
          </w:p>
        </w:tc>
      </w:tr>
    </w:tbl>
    <w:p>
      <w:pPr>
        <w:spacing w:line="800" w:lineRule="exact"/>
        <w:ind w:left="2443" w:right="-28" w:hanging="2443" w:hangingChars="338"/>
        <w:jc w:val="center"/>
        <w:rPr>
          <w:rFonts w:asciiTheme="minorEastAsia" w:hAnsiTheme="minorEastAsia" w:eastAsiaTheme="minorEastAsia"/>
          <w:b/>
          <w:color w:val="auto"/>
          <w:sz w:val="72"/>
          <w:szCs w:val="52"/>
          <w:highlight w:val="none"/>
        </w:rPr>
      </w:pPr>
      <w:r>
        <w:rPr>
          <w:rFonts w:hint="eastAsia" w:asciiTheme="minorEastAsia" w:hAnsiTheme="minorEastAsia" w:eastAsiaTheme="minorEastAsia"/>
          <w:b/>
          <w:color w:val="auto"/>
          <w:sz w:val="72"/>
          <w:szCs w:val="52"/>
          <w:highlight w:val="none"/>
        </w:rPr>
        <w:t>合</w:t>
      </w:r>
    </w:p>
    <w:p>
      <w:pPr>
        <w:spacing w:line="800" w:lineRule="exact"/>
        <w:ind w:left="2443" w:right="-28" w:hanging="2443" w:hangingChars="338"/>
        <w:jc w:val="center"/>
        <w:rPr>
          <w:rFonts w:asciiTheme="minorEastAsia" w:hAnsiTheme="minorEastAsia" w:eastAsiaTheme="minorEastAsia"/>
          <w:b/>
          <w:color w:val="auto"/>
          <w:sz w:val="72"/>
          <w:szCs w:val="52"/>
          <w:highlight w:val="none"/>
        </w:rPr>
      </w:pPr>
      <w:r>
        <w:rPr>
          <w:rFonts w:hint="eastAsia" w:asciiTheme="minorEastAsia" w:hAnsiTheme="minorEastAsia" w:eastAsiaTheme="minorEastAsia"/>
          <w:b/>
          <w:color w:val="auto"/>
          <w:sz w:val="72"/>
          <w:szCs w:val="52"/>
          <w:highlight w:val="none"/>
        </w:rPr>
        <w:t>同</w:t>
      </w:r>
    </w:p>
    <w:p>
      <w:pPr>
        <w:spacing w:line="800" w:lineRule="exact"/>
        <w:ind w:left="2443" w:right="-28" w:hanging="2443" w:hangingChars="338"/>
        <w:jc w:val="center"/>
        <w:rPr>
          <w:rFonts w:asciiTheme="minorEastAsia" w:hAnsiTheme="minorEastAsia" w:eastAsiaTheme="minorEastAsia"/>
          <w:b/>
          <w:color w:val="auto"/>
          <w:sz w:val="72"/>
          <w:szCs w:val="52"/>
          <w:highlight w:val="none"/>
        </w:rPr>
      </w:pPr>
      <w:r>
        <w:rPr>
          <w:rFonts w:hint="eastAsia" w:asciiTheme="minorEastAsia" w:hAnsiTheme="minorEastAsia" w:eastAsiaTheme="minorEastAsia"/>
          <w:b/>
          <w:color w:val="auto"/>
          <w:sz w:val="72"/>
          <w:szCs w:val="52"/>
          <w:highlight w:val="none"/>
        </w:rPr>
        <w:t>书</w:t>
      </w:r>
    </w:p>
    <w:p>
      <w:pPr>
        <w:jc w:val="center"/>
        <w:rPr>
          <w:rFonts w:asciiTheme="minorEastAsia" w:hAnsiTheme="minorEastAsia" w:eastAsiaTheme="minorEastAsia"/>
          <w:b/>
          <w:color w:val="auto"/>
          <w:sz w:val="52"/>
          <w:highlight w:val="none"/>
        </w:rPr>
      </w:pPr>
      <w:r>
        <w:rPr>
          <w:rFonts w:hint="eastAsia" w:asciiTheme="minorEastAsia" w:hAnsiTheme="minorEastAsia" w:eastAsiaTheme="minorEastAsia"/>
          <w:b/>
          <w:color w:val="auto"/>
          <w:sz w:val="52"/>
          <w:highlight w:val="none"/>
        </w:rPr>
        <w:drawing>
          <wp:inline distT="0" distB="0" distL="0" distR="0">
            <wp:extent cx="1551940" cy="1725295"/>
            <wp:effectExtent l="0" t="0" r="1016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line="400" w:lineRule="exact"/>
        <w:ind w:firstLine="1405" w:firstLineChars="5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甲    方：</w:t>
      </w:r>
      <w:r>
        <w:rPr>
          <w:rFonts w:hint="eastAsia" w:asciiTheme="minorEastAsia" w:hAnsiTheme="minorEastAsia" w:eastAsiaTheme="minorEastAsia"/>
          <w:color w:val="auto"/>
          <w:sz w:val="28"/>
          <w:szCs w:val="28"/>
          <w:highlight w:val="none"/>
        </w:rPr>
        <w:t>南宁轨道交通运营有限公司</w:t>
      </w:r>
    </w:p>
    <w:p>
      <w:pPr>
        <w:snapToGrid w:val="0"/>
        <w:spacing w:line="400" w:lineRule="exact"/>
        <w:ind w:firstLine="1405" w:firstLineChars="500"/>
        <w:rPr>
          <w:rFonts w:asciiTheme="minorEastAsia" w:hAnsiTheme="minorEastAsia" w:eastAsiaTheme="minorEastAsia"/>
          <w:color w:val="auto"/>
          <w:sz w:val="28"/>
          <w:szCs w:val="28"/>
          <w:highlight w:val="none"/>
        </w:rPr>
      </w:pPr>
      <w:r>
        <w:rPr>
          <w:rFonts w:hint="eastAsia" w:asciiTheme="minorEastAsia" w:hAnsiTheme="minorEastAsia" w:eastAsiaTheme="minorEastAsia"/>
          <w:b/>
          <w:color w:val="auto"/>
          <w:sz w:val="28"/>
          <w:szCs w:val="28"/>
          <w:highlight w:val="none"/>
        </w:rPr>
        <w:t>乙    方：</w:t>
      </w:r>
      <w:r>
        <w:rPr>
          <w:rFonts w:asciiTheme="minorEastAsia" w:hAnsiTheme="minorEastAsia" w:eastAsiaTheme="minorEastAsia"/>
          <w:color w:val="auto"/>
          <w:sz w:val="28"/>
          <w:szCs w:val="28"/>
          <w:highlight w:val="none"/>
        </w:rPr>
        <w:t xml:space="preserve"> </w:t>
      </w:r>
    </w:p>
    <w:p>
      <w:pPr>
        <w:snapToGrid w:val="0"/>
        <w:spacing w:line="400" w:lineRule="exact"/>
        <w:ind w:firstLine="1405" w:firstLineChars="5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签约日期：</w:t>
      </w:r>
      <w:r>
        <w:rPr>
          <w:rFonts w:hint="eastAsia" w:asciiTheme="minorEastAsia" w:hAnsiTheme="minorEastAsia" w:eastAsiaTheme="minorEastAsia"/>
          <w:b/>
          <w:color w:val="auto"/>
          <w:sz w:val="28"/>
          <w:szCs w:val="28"/>
          <w:highlight w:val="none"/>
          <w:u w:val="single"/>
        </w:rPr>
        <w:t xml:space="preserve">       </w:t>
      </w:r>
      <w:r>
        <w:rPr>
          <w:rFonts w:hint="eastAsia" w:asciiTheme="minorEastAsia" w:hAnsiTheme="minorEastAsia" w:eastAsiaTheme="minorEastAsia"/>
          <w:color w:val="auto"/>
          <w:sz w:val="28"/>
          <w:szCs w:val="28"/>
          <w:highlight w:val="none"/>
        </w:rPr>
        <w:t>年</w:t>
      </w:r>
      <w:r>
        <w:rPr>
          <w:rFonts w:hint="eastAsia" w:asciiTheme="minorEastAsia" w:hAnsiTheme="minorEastAsia" w:eastAsiaTheme="minorEastAsia"/>
          <w:b/>
          <w:bCs/>
          <w:color w:val="auto"/>
          <w:sz w:val="28"/>
          <w:szCs w:val="28"/>
          <w:highlight w:val="none"/>
          <w:u w:val="single"/>
        </w:rPr>
        <w:t xml:space="preserve">　 </w:t>
      </w:r>
      <w:r>
        <w:rPr>
          <w:rFonts w:hint="eastAsia" w:asciiTheme="minorEastAsia" w:hAnsiTheme="minorEastAsia" w:eastAsiaTheme="minorEastAsia"/>
          <w:color w:val="auto"/>
          <w:sz w:val="28"/>
          <w:szCs w:val="28"/>
          <w:highlight w:val="none"/>
          <w:u w:val="single"/>
        </w:rPr>
        <w:t>　</w:t>
      </w:r>
      <w:r>
        <w:rPr>
          <w:rFonts w:hint="eastAsia" w:asciiTheme="minorEastAsia" w:hAnsiTheme="minorEastAsia" w:eastAsiaTheme="minorEastAsia"/>
          <w:color w:val="auto"/>
          <w:sz w:val="28"/>
          <w:szCs w:val="28"/>
          <w:highlight w:val="none"/>
        </w:rPr>
        <w:t>月</w:t>
      </w:r>
      <w:r>
        <w:rPr>
          <w:rFonts w:hint="eastAsia" w:asciiTheme="minorEastAsia" w:hAnsiTheme="minorEastAsia" w:eastAsiaTheme="minorEastAsia"/>
          <w:color w:val="auto"/>
          <w:sz w:val="28"/>
          <w:szCs w:val="28"/>
          <w:highlight w:val="none"/>
          <w:u w:val="single"/>
        </w:rPr>
        <w:t xml:space="preserve">　    </w:t>
      </w:r>
      <w:r>
        <w:rPr>
          <w:rFonts w:hint="eastAsia" w:asciiTheme="minorEastAsia" w:hAnsiTheme="minorEastAsia" w:eastAsiaTheme="minorEastAsia"/>
          <w:color w:val="auto"/>
          <w:sz w:val="28"/>
          <w:szCs w:val="28"/>
          <w:highlight w:val="none"/>
        </w:rPr>
        <w:t>日</w:t>
      </w:r>
    </w:p>
    <w:p>
      <w:pPr>
        <w:spacing w:line="276" w:lineRule="auto"/>
        <w:ind w:firstLine="1405" w:firstLineChars="500"/>
        <w:jc w:val="left"/>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8"/>
          <w:szCs w:val="28"/>
          <w:highlight w:val="none"/>
        </w:rPr>
        <w:t>签约</w:t>
      </w:r>
      <w:r>
        <w:rPr>
          <w:rFonts w:hint="eastAsia" w:asciiTheme="minorEastAsia" w:hAnsiTheme="minorEastAsia" w:eastAsiaTheme="minorEastAsia"/>
          <w:b/>
          <w:bCs/>
          <w:color w:val="auto"/>
          <w:sz w:val="28"/>
          <w:szCs w:val="28"/>
          <w:highlight w:val="none"/>
        </w:rPr>
        <w:t>地点：</w:t>
      </w:r>
      <w:r>
        <w:rPr>
          <w:rFonts w:asciiTheme="minorEastAsia" w:hAnsiTheme="minorEastAsia" w:eastAsiaTheme="minorEastAsia"/>
          <w:b/>
          <w:color w:val="auto"/>
          <w:sz w:val="28"/>
          <w:szCs w:val="28"/>
          <w:highlight w:val="none"/>
        </w:rPr>
        <w:t xml:space="preserve"> </w:t>
      </w:r>
      <w:r>
        <w:rPr>
          <w:rFonts w:hint="eastAsia" w:asciiTheme="minorEastAsia" w:hAnsiTheme="minorEastAsia" w:eastAsiaTheme="minorEastAsia"/>
          <w:color w:val="auto"/>
          <w:sz w:val="28"/>
          <w:szCs w:val="28"/>
          <w:highlight w:val="none"/>
        </w:rPr>
        <w:t>广西壮族自治区南宁市</w:t>
      </w: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pStyle w:val="6"/>
        <w:rPr>
          <w:color w:val="auto"/>
          <w:highlight w:val="none"/>
        </w:rPr>
      </w:pPr>
    </w:p>
    <w:p>
      <w:pPr>
        <w:spacing w:line="276" w:lineRule="auto"/>
        <w:jc w:val="left"/>
        <w:rPr>
          <w:rFonts w:asciiTheme="minorEastAsia" w:hAnsiTheme="minorEastAsia" w:eastAsiaTheme="minorEastAsia"/>
          <w:bCs/>
          <w:color w:val="auto"/>
          <w:sz w:val="24"/>
          <w:szCs w:val="24"/>
          <w:highlight w:val="none"/>
        </w:rPr>
      </w:pPr>
    </w:p>
    <w:p>
      <w:pPr>
        <w:spacing w:line="276" w:lineRule="auto"/>
        <w:ind w:firstLine="482" w:firstLineChars="200"/>
        <w:jc w:val="center"/>
        <w:rPr>
          <w:rFonts w:asciiTheme="minorEastAsia" w:hAnsiTheme="minorEastAsia" w:eastAsiaTheme="minorEastAsia"/>
          <w:bCs/>
          <w:color w:val="auto"/>
          <w:sz w:val="24"/>
          <w:szCs w:val="24"/>
          <w:highlight w:val="none"/>
        </w:rPr>
      </w:pPr>
      <w:bookmarkStart w:id="994" w:name="_Toc6190"/>
      <w:bookmarkStart w:id="995" w:name="_Toc3488"/>
      <w:bookmarkStart w:id="996" w:name="_Toc25828"/>
      <w:bookmarkStart w:id="997" w:name="_Toc4026"/>
      <w:bookmarkStart w:id="998" w:name="_Toc6950"/>
      <w:bookmarkStart w:id="999" w:name="_Toc14463"/>
      <w:bookmarkStart w:id="1000" w:name="_Toc15840"/>
      <w:bookmarkStart w:id="1001" w:name="_Toc13761"/>
      <w:bookmarkStart w:id="1002" w:name="_Toc8999"/>
      <w:bookmarkStart w:id="1003" w:name="_Toc29797"/>
      <w:bookmarkStart w:id="1004" w:name="_Toc2618"/>
      <w:bookmarkStart w:id="1005" w:name="_Toc31368"/>
      <w:bookmarkStart w:id="1006" w:name="_Toc20060"/>
      <w:bookmarkStart w:id="1007" w:name="_Toc25750633"/>
      <w:bookmarkStart w:id="1008" w:name="_Toc12983547"/>
      <w:bookmarkStart w:id="1009" w:name="_Toc7587"/>
      <w:bookmarkStart w:id="1010" w:name="_Toc32403"/>
      <w:bookmarkStart w:id="1011" w:name="_Toc7236"/>
      <w:bookmarkStart w:id="1012" w:name="_Toc1289"/>
      <w:r>
        <w:rPr>
          <w:rFonts w:hint="eastAsia" w:asciiTheme="minorEastAsia" w:hAnsiTheme="minorEastAsia" w:eastAsiaTheme="minorEastAsia"/>
          <w:b/>
          <w:color w:val="auto"/>
          <w:sz w:val="24"/>
          <w:szCs w:val="24"/>
          <w:highlight w:val="none"/>
        </w:rPr>
        <w:t>一、合同协议书</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snapToGrid w:val="0"/>
        <w:spacing w:line="360" w:lineRule="auto"/>
        <w:rPr>
          <w:rFonts w:asciiTheme="minorEastAsia" w:hAnsiTheme="minorEastAsia" w:eastAsiaTheme="minorEastAsia"/>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甲方：</w:t>
      </w:r>
      <w:r>
        <w:rPr>
          <w:rFonts w:hint="eastAsia" w:cs="宋体" w:asciiTheme="minorEastAsia" w:hAnsiTheme="minorEastAsia" w:eastAsiaTheme="minorEastAsia"/>
          <w:color w:val="auto"/>
          <w:szCs w:val="21"/>
          <w:highlight w:val="none"/>
          <w:u w:val="single"/>
        </w:rPr>
        <w:t xml:space="preserve">   南宁轨道交通运营有限公司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乙方：</w:t>
      </w:r>
      <w:r>
        <w:rPr>
          <w:rFonts w:hint="eastAsia" w:cs="宋体" w:asciiTheme="minorEastAsia" w:hAnsiTheme="minorEastAsia" w:eastAsiaTheme="minorEastAsia"/>
          <w:color w:val="auto"/>
          <w:szCs w:val="21"/>
          <w:highlight w:val="none"/>
          <w:u w:val="single"/>
        </w:rPr>
        <w:t xml:space="preserve">          （中选单位全称）          </w:t>
      </w:r>
    </w:p>
    <w:p>
      <w:pPr>
        <w:keepNext w:val="0"/>
        <w:keepLines w:val="0"/>
        <w:pageBreakBefore w:val="0"/>
        <w:widowControl w:val="0"/>
        <w:kinsoku/>
        <w:wordWrap/>
        <w:overflowPunct/>
        <w:topLinePunct w:val="0"/>
        <w:autoSpaceDE/>
        <w:autoSpaceDN/>
        <w:bidi w:val="0"/>
        <w:adjustRightInd/>
        <w:spacing w:line="360" w:lineRule="auto"/>
        <w:ind w:firstLine="420" w:firstLineChars="200"/>
        <w:jc w:val="left"/>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本协议由南宁轨道交通运营有限公司（下称“甲方”或业主）与（下称“乙方”），双方根据</w:t>
      </w:r>
      <w:r>
        <w:rPr>
          <w:rFonts w:hint="eastAsia" w:cs="宋体" w:asciiTheme="minorEastAsia" w:hAnsiTheme="minorEastAsia" w:eastAsiaTheme="minorEastAsia"/>
          <w:color w:val="auto"/>
          <w:szCs w:val="21"/>
          <w:highlight w:val="none"/>
          <w:u w:val="single"/>
        </w:rPr>
        <w:t>南宁轨道交通运营有限公司员工食堂除“四害”消杀服务采购项目</w:t>
      </w:r>
      <w:r>
        <w:rPr>
          <w:rFonts w:hint="eastAsia" w:asciiTheme="minorEastAsia" w:hAnsiTheme="minorEastAsia" w:eastAsiaTheme="minorEastAsia"/>
          <w:color w:val="auto"/>
          <w:szCs w:val="21"/>
          <w:highlight w:val="none"/>
        </w:rPr>
        <w:t>（项目编号：</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rPr>
        <w:t>202208030003</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）比选结果，依据《中华人民共和国民法典》的规定，签订协议。具体内容如下：</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1.甲方同意接受，乙方同意作为中选方并以下列第2条所述价格提供南宁轨道交通运营有限公司员工食堂除“四害”消杀服务采购</w:t>
      </w:r>
      <w:r>
        <w:rPr>
          <w:rFonts w:hint="eastAsia" w:cs="Arial" w:asciiTheme="minorEastAsia" w:hAnsiTheme="minorEastAsia" w:eastAsiaTheme="minorEastAsia"/>
          <w:color w:val="auto"/>
          <w:szCs w:val="21"/>
          <w:highlight w:val="none"/>
          <w:lang w:eastAsia="zh-CN"/>
        </w:rPr>
        <w:t>项目下</w:t>
      </w:r>
      <w:r>
        <w:rPr>
          <w:rFonts w:hint="eastAsia" w:cs="Arial" w:asciiTheme="minorEastAsia" w:hAnsiTheme="minorEastAsia" w:eastAsiaTheme="minorEastAsia"/>
          <w:color w:val="auto"/>
          <w:szCs w:val="21"/>
          <w:highlight w:val="none"/>
        </w:rPr>
        <w:t>的服务。</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2.甲方接受乙方提供上述服务的价格。不含税价：人民币       (¥  )；税费：人民币       (¥  )；税率：  %；含税总价：人民币       (¥  )，（下文称“合同价格”</w:t>
      </w:r>
      <w:r>
        <w:rPr>
          <w:rFonts w:hint="eastAsia" w:cs="Arial" w:asciiTheme="minorEastAsia" w:hAnsiTheme="minorEastAsia" w:eastAsiaTheme="minorEastAsia"/>
          <w:color w:val="auto"/>
          <w:szCs w:val="21"/>
          <w:highlight w:val="none"/>
          <w:lang w:eastAsia="zh-CN"/>
        </w:rPr>
        <w:t>）</w:t>
      </w:r>
      <w:r>
        <w:rPr>
          <w:rFonts w:hint="eastAsia" w:cs="Arial" w:asciiTheme="minorEastAsia" w:hAnsiTheme="minorEastAsia" w:eastAsiaTheme="minorEastAsia"/>
          <w:color w:val="auto"/>
          <w:szCs w:val="21"/>
          <w:highlight w:val="none"/>
        </w:rPr>
        <w:t>。在合同履约过程中，本合同税率将遵照国家现行税法执行。本合同最终税金在结算阶段，按实际产生的税金进行核算，但合同不含税价格不因国家税率调整而调整。</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3.本合同由下列文件构成：</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）本合同协议书（含合同谈判过程中的澄清文件和补充资料）；</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）中选通知书；</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）合同条款；</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（4）价格组成文件；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（5）技术规格书（用户需求书）；</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（6）其他与本合同相关的资料。</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5.考虑到甲方将按照本合同向乙方支付，乙方在此保证全部按照合同的规定向甲方提供服务。</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6.甲方在此保证按照合同规定的时间和方式向乙方支付合同价格或其他按合同规定应支付的金额。</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7.甲乙双方承诺，遵守合同条款关于合同标的、数量质量、合同价格、进度计划等双方各自义务及关于违约责任与索赔、解决争议方式等各项约定。</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8.本合同用中文书写，正本</w:t>
      </w:r>
      <w:r>
        <w:rPr>
          <w:rFonts w:hint="eastAsia" w:cs="Arial" w:asciiTheme="minorEastAsia" w:hAnsiTheme="minorEastAsia" w:eastAsiaTheme="minorEastAsia"/>
          <w:color w:val="auto"/>
          <w:szCs w:val="21"/>
          <w:highlight w:val="none"/>
          <w:u w:val="single"/>
        </w:rPr>
        <w:t>2</w:t>
      </w:r>
      <w:r>
        <w:rPr>
          <w:rFonts w:hint="eastAsia" w:cs="Arial" w:asciiTheme="minorEastAsia" w:hAnsiTheme="minorEastAsia" w:eastAsiaTheme="minorEastAsia"/>
          <w:color w:val="auto"/>
          <w:szCs w:val="21"/>
          <w:highlight w:val="none"/>
        </w:rPr>
        <w:t>份，甲乙方各</w:t>
      </w:r>
      <w:r>
        <w:rPr>
          <w:rFonts w:hint="eastAsia" w:cs="Arial" w:asciiTheme="minorEastAsia" w:hAnsiTheme="minorEastAsia" w:eastAsiaTheme="minorEastAsia"/>
          <w:color w:val="auto"/>
          <w:szCs w:val="21"/>
          <w:highlight w:val="none"/>
          <w:u w:val="single"/>
        </w:rPr>
        <w:t>1</w:t>
      </w:r>
      <w:r>
        <w:rPr>
          <w:rFonts w:hint="eastAsia" w:cs="Arial" w:asciiTheme="minorEastAsia" w:hAnsiTheme="minorEastAsia" w:eastAsiaTheme="minorEastAsia"/>
          <w:color w:val="auto"/>
          <w:szCs w:val="21"/>
          <w:highlight w:val="none"/>
        </w:rPr>
        <w:t>份；副本</w:t>
      </w:r>
      <w:r>
        <w:rPr>
          <w:rFonts w:hint="eastAsia" w:cs="Arial" w:asciiTheme="minorEastAsia" w:hAnsiTheme="minorEastAsia" w:eastAsiaTheme="minorEastAsia"/>
          <w:color w:val="auto"/>
          <w:szCs w:val="21"/>
          <w:highlight w:val="none"/>
          <w:u w:val="single"/>
        </w:rPr>
        <w:t xml:space="preserve"> 8 </w:t>
      </w:r>
      <w:r>
        <w:rPr>
          <w:rFonts w:hint="eastAsia" w:cs="Arial" w:asciiTheme="minorEastAsia" w:hAnsiTheme="minorEastAsia" w:eastAsiaTheme="minorEastAsia"/>
          <w:color w:val="auto"/>
          <w:szCs w:val="21"/>
          <w:highlight w:val="none"/>
        </w:rPr>
        <w:t>份，甲方持</w:t>
      </w:r>
      <w:r>
        <w:rPr>
          <w:rFonts w:hint="eastAsia" w:cs="Arial" w:asciiTheme="minorEastAsia" w:hAnsiTheme="minorEastAsia" w:eastAsiaTheme="minorEastAsia"/>
          <w:color w:val="auto"/>
          <w:szCs w:val="21"/>
          <w:highlight w:val="none"/>
          <w:u w:val="single"/>
        </w:rPr>
        <w:t xml:space="preserve"> 7 </w:t>
      </w:r>
      <w:r>
        <w:rPr>
          <w:rFonts w:hint="eastAsia" w:cs="Arial" w:asciiTheme="minorEastAsia" w:hAnsiTheme="minorEastAsia" w:eastAsiaTheme="minorEastAsia"/>
          <w:color w:val="auto"/>
          <w:szCs w:val="21"/>
          <w:highlight w:val="none"/>
        </w:rPr>
        <w:t>份，乙方持</w:t>
      </w:r>
      <w:r>
        <w:rPr>
          <w:rFonts w:hint="eastAsia" w:cs="Arial" w:asciiTheme="minorEastAsia" w:hAnsiTheme="minorEastAsia" w:eastAsiaTheme="minorEastAsia"/>
          <w:color w:val="auto"/>
          <w:szCs w:val="21"/>
          <w:highlight w:val="none"/>
          <w:u w:val="single"/>
        </w:rPr>
        <w:t xml:space="preserve"> 1 </w:t>
      </w:r>
      <w:r>
        <w:rPr>
          <w:rFonts w:hint="eastAsia" w:cs="Arial" w:asciiTheme="minorEastAsia" w:hAnsiTheme="minorEastAsia" w:eastAsiaTheme="minorEastAsia"/>
          <w:color w:val="auto"/>
          <w:szCs w:val="21"/>
          <w:highlight w:val="none"/>
        </w:rPr>
        <w:t>份。</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9.本合同经双方法定代表人或授权代表签字</w:t>
      </w:r>
      <w:r>
        <w:rPr>
          <w:rFonts w:hint="eastAsia" w:cs="Arial" w:asciiTheme="minorEastAsia" w:hAnsiTheme="minorEastAsia" w:eastAsiaTheme="minorEastAsia"/>
          <w:color w:val="auto"/>
          <w:szCs w:val="21"/>
          <w:highlight w:val="none"/>
          <w:lang w:eastAsia="zh-CN"/>
        </w:rPr>
        <w:t>（</w:t>
      </w:r>
      <w:r>
        <w:rPr>
          <w:rFonts w:hint="eastAsia" w:cs="Arial" w:asciiTheme="minorEastAsia" w:hAnsiTheme="minorEastAsia" w:eastAsiaTheme="minorEastAsia"/>
          <w:color w:val="auto"/>
          <w:szCs w:val="21"/>
          <w:highlight w:val="none"/>
        </w:rPr>
        <w:t>盖章</w:t>
      </w:r>
      <w:r>
        <w:rPr>
          <w:rFonts w:hint="eastAsia" w:cs="Arial" w:asciiTheme="minorEastAsia" w:hAnsiTheme="minorEastAsia" w:eastAsiaTheme="minorEastAsia"/>
          <w:color w:val="auto"/>
          <w:szCs w:val="21"/>
          <w:highlight w:val="none"/>
          <w:lang w:eastAsia="zh-CN"/>
        </w:rPr>
        <w:t>）</w:t>
      </w:r>
      <w:r>
        <w:rPr>
          <w:rFonts w:hint="eastAsia" w:cs="Arial" w:asciiTheme="minorEastAsia" w:hAnsiTheme="minorEastAsia" w:eastAsiaTheme="minorEastAsia"/>
          <w:color w:val="auto"/>
          <w:szCs w:val="21"/>
          <w:highlight w:val="none"/>
        </w:rPr>
        <w:t>、加盖单位公章后生效。</w:t>
      </w:r>
    </w:p>
    <w:p>
      <w:pPr>
        <w:pStyle w:val="25"/>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（以下无正文）</w:t>
      </w:r>
    </w:p>
    <w:p>
      <w:pPr>
        <w:keepNext w:val="0"/>
        <w:keepLines w:val="0"/>
        <w:pageBreakBefore w:val="0"/>
        <w:widowControl w:val="0"/>
        <w:kinsoku/>
        <w:wordWrap/>
        <w:overflowPunct/>
        <w:topLinePunct w:val="0"/>
        <w:autoSpaceDE/>
        <w:autoSpaceDN/>
        <w:bidi w:val="0"/>
        <w:adjustRightInd/>
        <w:spacing w:line="360" w:lineRule="auto"/>
        <w:ind w:firstLine="200"/>
        <w:textAlignment w:val="auto"/>
        <w:rPr>
          <w:rFonts w:cs="Arial" w:asciiTheme="minorEastAsia" w:hAnsiTheme="minorEastAsia" w:eastAsiaTheme="minorEastAsia"/>
          <w:color w:val="auto"/>
          <w:highlight w:val="none"/>
        </w:rPr>
      </w:pPr>
    </w:p>
    <w:p>
      <w:pPr>
        <w:pStyle w:val="6"/>
        <w:keepNext w:val="0"/>
        <w:keepLines w:val="0"/>
        <w:pageBreakBefore w:val="0"/>
        <w:widowControl w:val="0"/>
        <w:kinsoku/>
        <w:wordWrap/>
        <w:overflowPunct/>
        <w:topLinePunct w:val="0"/>
        <w:autoSpaceDE/>
        <w:autoSpaceDN/>
        <w:bidi w:val="0"/>
        <w:adjustRightInd/>
        <w:spacing w:line="360" w:lineRule="auto"/>
        <w:textAlignment w:val="auto"/>
        <w:rPr>
          <w:color w:val="auto"/>
          <w:highlight w:val="none"/>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line="480" w:lineRule="auto"/>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甲方：</w:t>
            </w:r>
            <w:r>
              <w:rPr>
                <w:rFonts w:hint="eastAsia" w:cs="Courier New" w:asciiTheme="minorEastAsia" w:hAnsiTheme="minorEastAsia" w:eastAsiaTheme="minorEastAsia"/>
                <w:color w:val="auto"/>
                <w:szCs w:val="21"/>
                <w:highlight w:val="none"/>
                <w:u w:val="single"/>
              </w:rPr>
              <w:t>南宁轨道交通运营有限公司</w:t>
            </w:r>
          </w:p>
          <w:p>
            <w:pPr>
              <w:pStyle w:val="2"/>
              <w:spacing w:line="480" w:lineRule="auto"/>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法定代表人或授权人：</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地址：</w:t>
            </w:r>
            <w:r>
              <w:rPr>
                <w:rFonts w:hint="eastAsia" w:cs="Courier New" w:asciiTheme="minorEastAsia" w:hAnsiTheme="minorEastAsia" w:eastAsiaTheme="minorEastAsia"/>
                <w:color w:val="auto"/>
                <w:szCs w:val="21"/>
                <w:highlight w:val="none"/>
                <w:u w:val="single"/>
              </w:rPr>
              <w:t>广西南宁市青秀区云景路</w:t>
            </w:r>
            <w:r>
              <w:rPr>
                <w:rFonts w:cs="Courier New" w:asciiTheme="minorEastAsia" w:hAnsiTheme="minorEastAsia" w:eastAsiaTheme="minorEastAsia"/>
                <w:color w:val="auto"/>
                <w:szCs w:val="21"/>
                <w:highlight w:val="none"/>
                <w:u w:val="single"/>
              </w:rPr>
              <w:t>83</w:t>
            </w:r>
            <w:r>
              <w:rPr>
                <w:rFonts w:hint="eastAsia" w:cs="Courier New" w:asciiTheme="minorEastAsia" w:hAnsiTheme="minorEastAsia" w:eastAsiaTheme="minorEastAsia"/>
                <w:color w:val="auto"/>
                <w:szCs w:val="21"/>
                <w:highlight w:val="none"/>
                <w:u w:val="single"/>
              </w:rPr>
              <w:t>号</w:t>
            </w:r>
          </w:p>
          <w:p>
            <w:pPr>
              <w:pStyle w:val="2"/>
              <w:spacing w:line="480" w:lineRule="auto"/>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邮政编码：</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联系人：</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联系电话：</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传真：</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开户银行：</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银行账号：</w:t>
            </w:r>
            <w:r>
              <w:rPr>
                <w:rFonts w:hint="eastAsia" w:cs="Courier New" w:asciiTheme="minorEastAsia" w:hAnsiTheme="minorEastAsia" w:eastAsiaTheme="minorEastAsia"/>
                <w:color w:val="auto"/>
                <w:szCs w:val="21"/>
                <w:highlight w:val="none"/>
                <w:u w:val="single"/>
              </w:rPr>
              <w:t xml:space="preserve">                        </w:t>
            </w:r>
          </w:p>
        </w:tc>
        <w:tc>
          <w:tcPr>
            <w:tcW w:w="4261" w:type="dxa"/>
          </w:tcPr>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乙方：</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法定代表人或授权人：</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地址：</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邮政编码：</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联系人：</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联系电话：</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传真：</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开户银行：</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left="708" w:hanging="707"/>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 xml:space="preserve">  银行账号：</w:t>
            </w:r>
            <w:r>
              <w:rPr>
                <w:rFonts w:hint="eastAsia" w:cs="Courier New" w:asciiTheme="minorEastAsia" w:hAnsiTheme="minorEastAsia" w:eastAsiaTheme="minorEastAsia"/>
                <w:color w:val="auto"/>
                <w:szCs w:val="21"/>
                <w:highlight w:val="none"/>
                <w:u w:val="single"/>
              </w:rPr>
              <w:t xml:space="preserve">                         </w:t>
            </w:r>
          </w:p>
        </w:tc>
      </w:tr>
    </w:tbl>
    <w:p>
      <w:pPr>
        <w:ind w:firstLine="200"/>
        <w:rPr>
          <w:rFonts w:asciiTheme="minorEastAsia" w:hAnsiTheme="minorEastAsia" w:eastAsiaTheme="minorEastAsia"/>
          <w:b/>
          <w:color w:val="auto"/>
          <w:highlight w:val="none"/>
        </w:rPr>
      </w:pPr>
    </w:p>
    <w:p>
      <w:pPr>
        <w:pStyle w:val="2"/>
        <w:spacing w:line="400" w:lineRule="exact"/>
        <w:ind w:firstLine="2108" w:firstLineChars="1000"/>
        <w:rPr>
          <w:rFonts w:cs="宋体" w:asciiTheme="minorEastAsia" w:hAnsiTheme="minorEastAsia" w:eastAsiaTheme="minorEastAsia"/>
          <w:color w:val="auto"/>
          <w:sz w:val="24"/>
          <w:szCs w:val="24"/>
          <w:highlight w:val="none"/>
        </w:rPr>
      </w:pPr>
      <w:r>
        <w:rPr>
          <w:rFonts w:hint="eastAsia" w:asciiTheme="minorEastAsia" w:hAnsiTheme="minorEastAsia" w:eastAsiaTheme="minorEastAsia"/>
          <w:b/>
          <w:color w:val="auto"/>
          <w:highlight w:val="none"/>
        </w:rPr>
        <w:t>签订时间：</w:t>
      </w:r>
      <w:r>
        <w:rPr>
          <w:rFonts w:hint="eastAsia" w:asciiTheme="minorEastAsia" w:hAnsiTheme="minorEastAsia" w:eastAsiaTheme="minorEastAsia"/>
          <w:b/>
          <w:color w:val="auto"/>
          <w:highlight w:val="none"/>
          <w:u w:val="single"/>
        </w:rPr>
        <w:t xml:space="preserve">                       </w:t>
      </w:r>
    </w:p>
    <w:p>
      <w:pPr>
        <w:pStyle w:val="12"/>
        <w:snapToGrid w:val="0"/>
        <w:spacing w:line="360" w:lineRule="auto"/>
        <w:ind w:firstLine="480" w:firstLineChars="200"/>
        <w:jc w:val="left"/>
        <w:rPr>
          <w:rFonts w:cs="宋体" w:asciiTheme="minorEastAsia" w:hAnsiTheme="minorEastAsia" w:eastAsiaTheme="minorEastAsia"/>
          <w:color w:val="auto"/>
          <w:sz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ind w:firstLine="200"/>
        <w:jc w:val="center"/>
        <w:outlineLvl w:val="1"/>
        <w:rPr>
          <w:rFonts w:hint="eastAsia" w:asciiTheme="minorEastAsia" w:hAnsiTheme="minorEastAsia" w:eastAsiaTheme="minorEastAsia"/>
          <w:b/>
          <w:color w:val="auto"/>
          <w:sz w:val="24"/>
          <w:szCs w:val="24"/>
          <w:highlight w:val="none"/>
        </w:rPr>
      </w:pPr>
      <w:bookmarkStart w:id="1013" w:name="_Toc9188"/>
      <w:bookmarkStart w:id="1014" w:name="_Toc25942"/>
      <w:bookmarkStart w:id="1015" w:name="_Toc29876"/>
      <w:bookmarkStart w:id="1016" w:name="_Toc11253"/>
      <w:bookmarkStart w:id="1017" w:name="_Toc7529"/>
      <w:bookmarkStart w:id="1018" w:name="_Toc4133"/>
      <w:bookmarkStart w:id="1019" w:name="_Toc14469"/>
      <w:bookmarkStart w:id="1020" w:name="_Toc9438"/>
      <w:bookmarkStart w:id="1021" w:name="_Toc24098"/>
      <w:bookmarkStart w:id="1022" w:name="_Toc18460"/>
      <w:bookmarkStart w:id="1023" w:name="_Toc258"/>
      <w:bookmarkStart w:id="1024" w:name="_Toc12155"/>
      <w:bookmarkStart w:id="1025" w:name="_Toc25750634"/>
      <w:bookmarkStart w:id="1026" w:name="_Toc997"/>
      <w:bookmarkStart w:id="1027" w:name="_Toc10196"/>
      <w:bookmarkStart w:id="1028" w:name="_Toc16743"/>
      <w:bookmarkStart w:id="1029" w:name="_Toc7689"/>
      <w:bookmarkStart w:id="1030" w:name="_Toc24973"/>
    </w:p>
    <w:p>
      <w:pPr>
        <w:ind w:firstLine="200"/>
        <w:jc w:val="center"/>
        <w:outlineLvl w:val="1"/>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二、合同条款</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keepNext/>
        <w:keepLines/>
        <w:pageBreakBefore w:val="0"/>
        <w:kinsoku/>
        <w:wordWrap/>
        <w:overflowPunct/>
        <w:topLinePunct w:val="0"/>
        <w:autoSpaceDE/>
        <w:autoSpaceDN/>
        <w:bidi w:val="0"/>
        <w:snapToGrid/>
        <w:spacing w:before="240" w:beforeLines="100" w:after="120" w:afterLines="50" w:line="360" w:lineRule="auto"/>
        <w:outlineLvl w:val="1"/>
        <w:rPr>
          <w:rFonts w:asciiTheme="minorEastAsia" w:hAnsiTheme="minorEastAsia" w:eastAsiaTheme="minorEastAsia"/>
          <w:b/>
          <w:color w:val="auto"/>
          <w:szCs w:val="21"/>
          <w:highlight w:val="none"/>
        </w:rPr>
      </w:pPr>
      <w:bookmarkStart w:id="1031" w:name="_Toc369786982"/>
      <w:bookmarkStart w:id="1032" w:name="_Toc18055"/>
      <w:bookmarkStart w:id="1033" w:name="_Toc437544533"/>
      <w:r>
        <w:rPr>
          <w:rFonts w:asciiTheme="minorEastAsia" w:hAnsiTheme="minorEastAsia" w:eastAsiaTheme="minorEastAsia"/>
          <w:b/>
          <w:color w:val="auto"/>
          <w:szCs w:val="21"/>
          <w:highlight w:val="none"/>
        </w:rPr>
        <w:t>1.</w:t>
      </w:r>
      <w:r>
        <w:rPr>
          <w:rFonts w:hint="eastAsia" w:asciiTheme="minorEastAsia" w:hAnsiTheme="minorEastAsia" w:eastAsiaTheme="minorEastAsia"/>
          <w:b/>
          <w:color w:val="auto"/>
          <w:szCs w:val="21"/>
          <w:highlight w:val="none"/>
        </w:rPr>
        <w:t>定义</w:t>
      </w:r>
      <w:bookmarkEnd w:id="1031"/>
      <w:r>
        <w:rPr>
          <w:rFonts w:hint="eastAsia" w:asciiTheme="minorEastAsia" w:hAnsiTheme="minorEastAsia" w:eastAsiaTheme="minorEastAsia"/>
          <w:b/>
          <w:color w:val="auto"/>
          <w:szCs w:val="21"/>
          <w:highlight w:val="none"/>
        </w:rPr>
        <w:t>和法律</w:t>
      </w:r>
      <w:bookmarkEnd w:id="1032"/>
      <w:bookmarkEnd w:id="1033"/>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“合同”系指甲方和乙方已签署的协议，即由双方签订的合同格式中的文件，包括所有的附件、附录和组成合同部分的所有其它文件。</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“服务”系指合同规定乙方须承担的相关服务，包括但不限于本项目规定的工作内容及其它乙方应承担的义务。</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1.3</w:t>
      </w:r>
      <w:r>
        <w:rPr>
          <w:rFonts w:hint="eastAsia" w:asciiTheme="minorEastAsia" w:hAnsiTheme="minorEastAsia" w:eastAsiaTheme="minorEastAsia"/>
          <w:color w:val="auto"/>
          <w:highlight w:val="none"/>
        </w:rPr>
        <w:t>“现场”系指合同项下完成服务的现场。</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1.4</w:t>
      </w:r>
      <w:r>
        <w:rPr>
          <w:rFonts w:hint="eastAsia" w:asciiTheme="minorEastAsia" w:hAnsiTheme="minorEastAsia" w:eastAsiaTheme="minorEastAsia"/>
          <w:color w:val="auto"/>
          <w:highlight w:val="none"/>
        </w:rPr>
        <w:t>“验收”系指甲方依据本合同规定接收服务成果所依据的程序和条件。</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1.5</w:t>
      </w:r>
      <w:r>
        <w:rPr>
          <w:rFonts w:hint="eastAsia" w:asciiTheme="minorEastAsia" w:hAnsiTheme="minorEastAsia" w:eastAsiaTheme="minorEastAsia"/>
          <w:color w:val="auto"/>
          <w:highlight w:val="none"/>
        </w:rPr>
        <w:t>本合同适用的是中国的法律、法规，及部门规章、项目所在地的地方法规、地方规章。</w:t>
      </w:r>
      <w:bookmarkStart w:id="1034" w:name="_Toc437544534"/>
      <w:bookmarkStart w:id="1035" w:name="_Toc369786983"/>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2</w:t>
      </w:r>
      <w:r>
        <w:rPr>
          <w:rFonts w:asciiTheme="minorEastAsia" w:hAnsiTheme="minorEastAsia" w:eastAsiaTheme="minorEastAsia"/>
          <w:b/>
          <w:color w:val="auto"/>
          <w:szCs w:val="21"/>
          <w:highlight w:val="none"/>
        </w:rPr>
        <w:t>.</w:t>
      </w:r>
      <w:bookmarkEnd w:id="1034"/>
      <w:bookmarkEnd w:id="1035"/>
      <w:r>
        <w:rPr>
          <w:rFonts w:hint="eastAsia" w:asciiTheme="minorEastAsia" w:hAnsiTheme="minorEastAsia" w:eastAsiaTheme="minorEastAsia"/>
          <w:b/>
          <w:color w:val="auto"/>
          <w:szCs w:val="21"/>
          <w:highlight w:val="none"/>
        </w:rPr>
        <w:t>服务项目概况、范围、期限</w:t>
      </w:r>
    </w:p>
    <w:p>
      <w:pPr>
        <w:pStyle w:val="77"/>
        <w:pageBreakBefore w:val="0"/>
        <w:tabs>
          <w:tab w:val="right" w:leader="dot" w:pos="8306"/>
        </w:tabs>
        <w:kinsoku/>
        <w:wordWrap/>
        <w:overflowPunct/>
        <w:topLinePunct w:val="0"/>
        <w:autoSpaceDE/>
        <w:autoSpaceDN/>
        <w:bidi w:val="0"/>
        <w:snapToGrid/>
        <w:spacing w:line="360" w:lineRule="auto"/>
        <w:ind w:left="0" w:leftChars="0"/>
        <w:rPr>
          <w:rFonts w:ascii="宋体" w:hAnsi="宋体"/>
          <w:color w:val="auto"/>
          <w:szCs w:val="21"/>
          <w:highlight w:val="none"/>
        </w:rPr>
      </w:pPr>
      <w:r>
        <w:rPr>
          <w:rFonts w:hint="eastAsia" w:ascii="宋体" w:hAnsi="宋体" w:cs="宋体"/>
          <w:color w:val="auto"/>
          <w:szCs w:val="21"/>
          <w:highlight w:val="none"/>
        </w:rPr>
        <w:t>2.1对</w:t>
      </w:r>
      <w:r>
        <w:rPr>
          <w:rStyle w:val="78"/>
          <w:rFonts w:ascii="宋体" w:hAnsi="宋体"/>
          <w:color w:val="auto"/>
          <w:szCs w:val="21"/>
          <w:highlight w:val="none"/>
        </w:rPr>
        <w:t>控制中心食堂</w:t>
      </w:r>
      <w:r>
        <w:rPr>
          <w:rStyle w:val="78"/>
          <w:rFonts w:hint="eastAsia" w:ascii="宋体" w:hAnsi="宋体"/>
          <w:color w:val="auto"/>
          <w:szCs w:val="21"/>
          <w:highlight w:val="none"/>
        </w:rPr>
        <w:t>、</w:t>
      </w:r>
      <w:r>
        <w:rPr>
          <w:rStyle w:val="78"/>
          <w:rFonts w:ascii="宋体" w:hAnsi="宋体"/>
          <w:color w:val="auto"/>
          <w:szCs w:val="21"/>
          <w:highlight w:val="none"/>
        </w:rPr>
        <w:t>屯里车辆段食堂</w:t>
      </w:r>
      <w:r>
        <w:rPr>
          <w:rStyle w:val="78"/>
          <w:rFonts w:hint="eastAsia" w:ascii="宋体" w:hAnsi="宋体"/>
          <w:color w:val="auto"/>
          <w:szCs w:val="21"/>
          <w:highlight w:val="none"/>
        </w:rPr>
        <w:t>、</w:t>
      </w:r>
      <w:r>
        <w:rPr>
          <w:rStyle w:val="78"/>
          <w:rFonts w:ascii="宋体" w:hAnsi="宋体"/>
          <w:color w:val="auto"/>
          <w:szCs w:val="21"/>
          <w:highlight w:val="none"/>
        </w:rPr>
        <w:t>西乡塘停车场食堂</w:t>
      </w:r>
      <w:r>
        <w:rPr>
          <w:rStyle w:val="78"/>
          <w:rFonts w:hint="eastAsia" w:ascii="宋体" w:hAnsi="宋体"/>
          <w:color w:val="auto"/>
          <w:szCs w:val="21"/>
          <w:highlight w:val="none"/>
        </w:rPr>
        <w:t>、</w:t>
      </w:r>
      <w:r>
        <w:rPr>
          <w:rStyle w:val="78"/>
          <w:rFonts w:ascii="宋体" w:hAnsi="宋体"/>
          <w:color w:val="auto"/>
          <w:szCs w:val="21"/>
          <w:highlight w:val="none"/>
        </w:rPr>
        <w:t>安吉综合基地食堂</w:t>
      </w:r>
      <w:r>
        <w:rPr>
          <w:rStyle w:val="78"/>
          <w:rFonts w:hint="eastAsia" w:ascii="宋体" w:hAnsi="宋体"/>
          <w:color w:val="auto"/>
          <w:szCs w:val="21"/>
          <w:highlight w:val="none"/>
        </w:rPr>
        <w:t>、</w:t>
      </w:r>
      <w:r>
        <w:rPr>
          <w:rStyle w:val="78"/>
          <w:rFonts w:ascii="宋体" w:hAnsi="宋体"/>
          <w:color w:val="auto"/>
          <w:szCs w:val="21"/>
          <w:highlight w:val="none"/>
        </w:rPr>
        <w:t>新村停车场食堂</w:t>
      </w:r>
      <w:r>
        <w:rPr>
          <w:rStyle w:val="78"/>
          <w:rFonts w:hint="eastAsia" w:ascii="宋体" w:hAnsi="宋体"/>
          <w:color w:val="auto"/>
          <w:szCs w:val="21"/>
          <w:highlight w:val="none"/>
        </w:rPr>
        <w:t>、</w:t>
      </w:r>
      <w:r>
        <w:rPr>
          <w:rStyle w:val="78"/>
          <w:rFonts w:ascii="宋体" w:hAnsi="宋体"/>
          <w:color w:val="auto"/>
          <w:szCs w:val="21"/>
          <w:highlight w:val="none"/>
        </w:rPr>
        <w:t>心圩车辆段食堂</w:t>
      </w:r>
      <w:r>
        <w:rPr>
          <w:rStyle w:val="78"/>
          <w:rFonts w:hint="eastAsia" w:ascii="宋体" w:hAnsi="宋体"/>
          <w:color w:val="auto"/>
          <w:szCs w:val="21"/>
          <w:highlight w:val="none"/>
        </w:rPr>
        <w:t>、</w:t>
      </w:r>
      <w:r>
        <w:rPr>
          <w:rStyle w:val="78"/>
          <w:rFonts w:ascii="宋体" w:hAnsi="宋体"/>
          <w:color w:val="auto"/>
          <w:szCs w:val="21"/>
          <w:highlight w:val="none"/>
        </w:rPr>
        <w:t>五象车辆段食堂</w:t>
      </w:r>
      <w:r>
        <w:rPr>
          <w:rStyle w:val="78"/>
          <w:rFonts w:hint="eastAsia" w:ascii="宋体" w:hAnsi="宋体"/>
          <w:color w:val="auto"/>
          <w:szCs w:val="21"/>
          <w:highlight w:val="none"/>
        </w:rPr>
        <w:t>、</w:t>
      </w:r>
      <w:r>
        <w:rPr>
          <w:rStyle w:val="78"/>
          <w:rFonts w:ascii="宋体" w:hAnsi="宋体"/>
          <w:color w:val="auto"/>
          <w:szCs w:val="21"/>
          <w:highlight w:val="none"/>
        </w:rPr>
        <w:t>那洪车辆段食堂</w:t>
      </w:r>
      <w:r>
        <w:rPr>
          <w:rStyle w:val="78"/>
          <w:rFonts w:hint="eastAsia" w:ascii="宋体" w:hAnsi="宋体"/>
          <w:color w:val="auto"/>
          <w:kern w:val="0"/>
          <w:szCs w:val="21"/>
          <w:highlight w:val="none"/>
        </w:rPr>
        <w:t>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p>
      <w:pPr>
        <w:pStyle w:val="77"/>
        <w:pageBreakBefore w:val="0"/>
        <w:tabs>
          <w:tab w:val="right" w:leader="dot" w:pos="8306"/>
        </w:tabs>
        <w:kinsoku/>
        <w:wordWrap/>
        <w:overflowPunct/>
        <w:topLinePunct w:val="0"/>
        <w:autoSpaceDE/>
        <w:autoSpaceDN/>
        <w:bidi w:val="0"/>
        <w:snapToGrid/>
        <w:spacing w:line="360" w:lineRule="auto"/>
        <w:ind w:left="0" w:leftChars="0"/>
        <w:rPr>
          <w:rFonts w:eastAsiaTheme="minorEastAsia"/>
          <w:color w:val="auto"/>
          <w:highlight w:val="none"/>
        </w:rPr>
      </w:pPr>
      <w:r>
        <w:rPr>
          <w:rFonts w:hint="eastAsia" w:cs="宋体" w:asciiTheme="minorEastAsia" w:hAnsiTheme="minorEastAsia" w:eastAsiaTheme="minorEastAsia"/>
          <w:color w:val="auto"/>
          <w:szCs w:val="21"/>
          <w:highlight w:val="none"/>
        </w:rPr>
        <w:t>2.2</w:t>
      </w:r>
      <w:r>
        <w:rPr>
          <w:rFonts w:hint="eastAsia" w:cs="宋体" w:asciiTheme="minorEastAsia" w:hAnsiTheme="minorEastAsia" w:eastAsiaTheme="minorEastAsia"/>
          <w:color w:val="auto"/>
          <w:szCs w:val="21"/>
          <w:highlight w:val="none"/>
          <w:lang w:val="en-US" w:eastAsia="zh-CN"/>
        </w:rPr>
        <w:t>服务</w:t>
      </w:r>
      <w:r>
        <w:rPr>
          <w:rFonts w:hint="eastAsia" w:cs="宋体" w:asciiTheme="minorEastAsia" w:hAnsiTheme="minorEastAsia" w:eastAsiaTheme="minorEastAsia"/>
          <w:color w:val="auto"/>
          <w:szCs w:val="21"/>
          <w:highlight w:val="none"/>
        </w:rPr>
        <w:t>期限：24个月。</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3乙方提供的所有服务必须完全满足合同的要求</w:t>
      </w:r>
      <w:r>
        <w:rPr>
          <w:rFonts w:hint="eastAsia" w:asciiTheme="minorEastAsia" w:hAnsiTheme="minorEastAsia" w:eastAsiaTheme="minorEastAsia"/>
          <w:color w:val="auto"/>
          <w:sz w:val="24"/>
          <w:highlight w:val="none"/>
        </w:rPr>
        <w:t>。</w:t>
      </w:r>
    </w:p>
    <w:p>
      <w:pPr>
        <w:pageBreakBefore w:val="0"/>
        <w:kinsoku/>
        <w:wordWrap/>
        <w:overflowPunct/>
        <w:topLinePunct w:val="0"/>
        <w:autoSpaceDE/>
        <w:autoSpaceDN/>
        <w:bidi w:val="0"/>
        <w:snapToGrid/>
        <w:spacing w:line="360" w:lineRule="auto"/>
        <w:rPr>
          <w:rFonts w:ascii="宋体" w:hAnsi="宋体" w:cs="宋体"/>
          <w:color w:val="auto"/>
          <w:szCs w:val="21"/>
          <w:highlight w:val="none"/>
        </w:rPr>
      </w:pPr>
      <w:r>
        <w:rPr>
          <w:rFonts w:hint="eastAsia" w:asciiTheme="minorEastAsia" w:hAnsiTheme="minorEastAsia" w:eastAsiaTheme="minorEastAsia"/>
          <w:b/>
          <w:color w:val="auto"/>
          <w:szCs w:val="21"/>
          <w:highlight w:val="none"/>
        </w:rPr>
        <w:t>3.承包方式：</w:t>
      </w:r>
      <w:r>
        <w:rPr>
          <w:rFonts w:hint="eastAsia" w:ascii="宋体" w:hAnsi="宋体" w:cs="宋体"/>
          <w:color w:val="auto"/>
          <w:szCs w:val="21"/>
          <w:highlight w:val="none"/>
        </w:rPr>
        <w:t>由乙方包工包料、包安全、包质量、包工期、包承包风险等所有费用包干。</w:t>
      </w:r>
      <w:bookmarkStart w:id="1036" w:name="_Toc437544535"/>
      <w:bookmarkStart w:id="1037" w:name="_Toc369786984"/>
      <w:bookmarkStart w:id="1038" w:name="_Toc30985"/>
    </w:p>
    <w:p>
      <w:pPr>
        <w:pageBreakBefore w:val="0"/>
        <w:kinsoku/>
        <w:wordWrap/>
        <w:overflowPunct/>
        <w:topLinePunct w:val="0"/>
        <w:autoSpaceDE/>
        <w:autoSpaceDN/>
        <w:bidi w:val="0"/>
        <w:snapToGrid/>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4.合同价格</w:t>
      </w:r>
      <w:bookmarkEnd w:id="1036"/>
      <w:bookmarkEnd w:id="1037"/>
      <w:bookmarkEnd w:id="1038"/>
    </w:p>
    <w:p>
      <w:pPr>
        <w:pageBreakBefore w:val="0"/>
        <w:widowControl/>
        <w:kinsoku/>
        <w:wordWrap/>
        <w:overflowPunct/>
        <w:topLinePunct w:val="0"/>
        <w:autoSpaceDE/>
        <w:autoSpaceDN/>
        <w:bidi w:val="0"/>
        <w:snapToGrid/>
        <w:spacing w:line="360" w:lineRule="auto"/>
        <w:rPr>
          <w:rStyle w:val="78"/>
          <w:rFonts w:ascii="宋体" w:hAnsi="宋体"/>
          <w:color w:val="auto"/>
          <w:szCs w:val="21"/>
          <w:highlight w:val="none"/>
        </w:rPr>
      </w:pPr>
      <w:bookmarkStart w:id="1039" w:name="_Toc437544880"/>
      <w:bookmarkEnd w:id="1039"/>
      <w:bookmarkStart w:id="1040" w:name="_Toc437544763"/>
      <w:bookmarkEnd w:id="1040"/>
      <w:bookmarkStart w:id="1041" w:name="_Toc437544536"/>
      <w:bookmarkEnd w:id="1041"/>
      <w:bookmarkStart w:id="1042" w:name="_Toc437544169"/>
      <w:bookmarkEnd w:id="1042"/>
      <w:bookmarkStart w:id="1043" w:name="_Toc437545048"/>
      <w:bookmarkEnd w:id="1043"/>
      <w:bookmarkStart w:id="1044" w:name="_Toc437545089"/>
      <w:bookmarkEnd w:id="1044"/>
      <w:r>
        <w:rPr>
          <w:rStyle w:val="78"/>
          <w:rFonts w:hint="eastAsia" w:ascii="宋体" w:hAnsi="宋体"/>
          <w:color w:val="auto"/>
          <w:szCs w:val="21"/>
          <w:highlight w:val="none"/>
        </w:rPr>
        <w:t>4.1本合同总价格为（大写）：不含税价：人民币       (¥  )；税费：人民币       (¥  )；税率：  %；含税总价：人民币       (¥  )。在合同履约过程中，本合同税率将遵照国家现行税法执行。本合同最终税金在结算阶段，按实际产生的税金进行核算，但合同不含税价格不因国家税率调整而调整。</w:t>
      </w:r>
    </w:p>
    <w:p>
      <w:pPr>
        <w:pageBreakBefore w:val="0"/>
        <w:kinsoku/>
        <w:wordWrap/>
        <w:overflowPunct/>
        <w:topLinePunct w:val="0"/>
        <w:autoSpaceDE/>
        <w:autoSpaceDN/>
        <w:bidi w:val="0"/>
        <w:snapToGrid/>
        <w:spacing w:before="120" w:beforeLines="50" w:after="120" w:afterLines="50" w:line="360" w:lineRule="auto"/>
        <w:rPr>
          <w:rStyle w:val="78"/>
          <w:rFonts w:ascii="宋体" w:hAnsi="宋体"/>
          <w:color w:val="auto"/>
          <w:szCs w:val="21"/>
          <w:highlight w:val="none"/>
        </w:rPr>
      </w:pPr>
      <w:r>
        <w:rPr>
          <w:rStyle w:val="78"/>
          <w:rFonts w:hint="eastAsia" w:ascii="宋体" w:hAnsi="宋体"/>
          <w:color w:val="auto"/>
          <w:szCs w:val="21"/>
          <w:highlight w:val="none"/>
        </w:rPr>
        <w:t>4.2本合同约定的单价为固定价格，在合同执行期间不受任何其他因素（物价指数浮动、甲方调整采购数量等）影响而变动。</w:t>
      </w:r>
    </w:p>
    <w:p>
      <w:pPr>
        <w:pageBreakBefore w:val="0"/>
        <w:kinsoku/>
        <w:wordWrap/>
        <w:overflowPunct/>
        <w:topLinePunct w:val="0"/>
        <w:autoSpaceDE/>
        <w:autoSpaceDN/>
        <w:bidi w:val="0"/>
        <w:snapToGrid/>
        <w:spacing w:before="120" w:beforeLines="50" w:after="120" w:afterLines="50" w:line="360" w:lineRule="auto"/>
        <w:rPr>
          <w:rStyle w:val="78"/>
          <w:rFonts w:ascii="宋体" w:hAnsi="宋体"/>
          <w:color w:val="auto"/>
          <w:szCs w:val="21"/>
          <w:highlight w:val="none"/>
        </w:rPr>
      </w:pPr>
      <w:r>
        <w:rPr>
          <w:rStyle w:val="78"/>
          <w:rFonts w:hint="eastAsia" w:ascii="宋体" w:hAnsi="宋体"/>
          <w:color w:val="auto"/>
          <w:szCs w:val="21"/>
          <w:highlight w:val="none"/>
        </w:rPr>
        <w:t>4.3本合同合同总价为履行合同过程中产生的所有成本和费用以及乙方应承担的一切税费。对于未填报单价的项目，甲方均认为已包含在合同价格内。</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b/>
          <w:color w:val="auto"/>
          <w:szCs w:val="21"/>
          <w:highlight w:val="none"/>
        </w:rPr>
        <w:t>5.履约保证金：</w:t>
      </w:r>
      <w:r>
        <w:rPr>
          <w:rFonts w:hint="eastAsia" w:asciiTheme="minorEastAsia" w:hAnsiTheme="minorEastAsia" w:eastAsiaTheme="minorEastAsia"/>
          <w:color w:val="auto"/>
          <w:highlight w:val="none"/>
        </w:rPr>
        <w:t>签订合同前5个工作日内，乙方按合同总金额的2.5%向甲方提交履约保证金，履约完成乙方向甲方提供纸质申请之日起45日历天后全额返还履约保证金（无息）。</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6.付款方式：</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6.1本合同项下的支付按合同条款规定方式进行</w:t>
      </w:r>
      <w:r>
        <w:rPr>
          <w:rFonts w:asciiTheme="minorEastAsia" w:hAnsiTheme="minorEastAsia" w:eastAsiaTheme="minorEastAsia"/>
          <w:color w:val="auto"/>
          <w:highlight w:val="none"/>
        </w:rPr>
        <w:t>。</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6.2付款方式。</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6.2.1本项目每月消杀一次，按季度计量。乙方按照甲方要求对8个食堂进行消杀，并通过甲方验收。乙方配合甲方完成计量工作，且向甲方提供以下材料，经审定通过后，20个工作日内向乙方支付合同计量款。    </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①乙方开具相应金额的增值税普通发票。</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②乙方出具的支付申请书。</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③经甲方审核的计量材料。</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④服务验收合格证明。</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6.3乙方按甲方要求完成所有消杀工作，并通过验收，乙方配合甲方完成项目结算计量。且提供以下材料后，甲方在45个工作日内向乙方支付合同结算审定金额余款。</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①乙方开具相应金额的增值税普通发票。</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②乙方出具的支付申请书。</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③经甲方审核的结算及计量材料。</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④服务验收合格证明。</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6.4乙方在完成相应合同义务后以书面形式向甲方申请付款，同时随附注明已完服务内容的发票和合同条款规定的单据。如乙方未按约定向甲方提供付款申请、足额发票及相关单据的，甲方有权顺延付款时间，且无需承担逾期付款的违约责任。</w:t>
      </w:r>
    </w:p>
    <w:p>
      <w:pPr>
        <w:pageBreakBefore w:val="0"/>
        <w:widowControl/>
        <w:tabs>
          <w:tab w:val="left" w:pos="960"/>
          <w:tab w:val="left" w:pos="8364"/>
        </w:tabs>
        <w:kinsoku/>
        <w:wordWrap/>
        <w:overflowPunct/>
        <w:topLinePunct w:val="0"/>
        <w:autoSpaceDE/>
        <w:autoSpaceDN/>
        <w:bidi w:val="0"/>
        <w:snapToGrid/>
        <w:spacing w:line="360" w:lineRule="auto"/>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6.5支付的货币为人民币，支付形式不限于银行转账、汇票、国内信用证、供应链金融产品等。</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b/>
          <w:color w:val="auto"/>
          <w:szCs w:val="21"/>
          <w:highlight w:val="none"/>
        </w:rPr>
      </w:pPr>
      <w:bookmarkStart w:id="1045" w:name="_Toc369786994"/>
      <w:bookmarkStart w:id="1046" w:name="_Toc12443"/>
      <w:bookmarkStart w:id="1047" w:name="_Toc437544547"/>
      <w:r>
        <w:rPr>
          <w:rFonts w:hint="eastAsia" w:asciiTheme="minorEastAsia" w:hAnsiTheme="minorEastAsia" w:eastAsiaTheme="minorEastAsia"/>
          <w:b/>
          <w:color w:val="auto"/>
          <w:szCs w:val="21"/>
          <w:highlight w:val="none"/>
        </w:rPr>
        <w:t>7.质量保证</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7.1乙方所提供的服务内容、数量等质量必须与竞争性磋商文件和承诺相一致。</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7.2乙方所提供的服务各项指标均达到质量合格要求。</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7.3达到《国家爱国卫生运动委员会除害标准》规定的除害工作管理目标。</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8.权力保证</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8.1乙方应保证所提供服务内容不会侵犯任何第三方的专利权、商标权、工业设计权或其他权利。</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9.乙方义务</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9.1乙方的防治程序：根据现场情况，选择消杀器械、药物剂型、浓度、施药方法，保护人员、食品、电器设备和其它物品的安全；实施消杀时先室内后室外，先地面后墙壁、先重点后一般的综合措施控制蚊、蝇、蟑螂、老鼠的密度。</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9.2乙方保证其派出的消杀人员遵守甲方的规章制度，并保证其能够接受甲方提出的合理化建议；积极主动做好安全生产防范工作，如发生安全生产问题，由乙方自行承担。</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9.3乙方应使用国家有关部门批准的化学药剂，不得使用假冒或“三无”产品，并随时接受甲方的监督。</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9.4由于虫害和鼠害是一个动态的过程，因此，在乙方进行定期消杀后，如甲方发现任何蚊、蝇、蟑螂、老鼠的问题，可及时与乙方联系，乙方要及时派出工作人员进行处理。</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9.5乙方要到现场了解现状情况，充分听取有关部门意见，现场勘查及结合前期作业经验等实际情况，制定百色干部学院全年有害生物预防、控制工作的详细计划。</w:t>
      </w:r>
    </w:p>
    <w:p>
      <w:pPr>
        <w:pageBreakBefore w:val="0"/>
        <w:kinsoku/>
        <w:wordWrap/>
        <w:overflowPunct/>
        <w:topLinePunct w:val="0"/>
        <w:autoSpaceDE/>
        <w:autoSpaceDN/>
        <w:bidi w:val="0"/>
        <w:snapToGrid/>
        <w:spacing w:line="360" w:lineRule="auto"/>
        <w:ind w:right="-86" w:rightChars="-41"/>
        <w:rPr>
          <w:rFonts w:hint="eastAsia" w:ascii="宋体" w:hAnsi="宋体" w:cs="宋体"/>
          <w:color w:val="auto"/>
          <w:kern w:val="0"/>
          <w:szCs w:val="21"/>
          <w:highlight w:val="none"/>
        </w:rPr>
      </w:pPr>
      <w:r>
        <w:rPr>
          <w:rFonts w:hint="eastAsia" w:ascii="宋体" w:hAnsi="宋体" w:cs="宋体"/>
          <w:color w:val="auto"/>
          <w:kern w:val="0"/>
          <w:szCs w:val="21"/>
          <w:highlight w:val="none"/>
        </w:rPr>
        <w:t>9.6乙方积极与甲方沟通协调，及时向甲方反映项目实施进展情况。</w:t>
      </w:r>
    </w:p>
    <w:p>
      <w:pPr>
        <w:pageBreakBefore w:val="0"/>
        <w:kinsoku/>
        <w:wordWrap/>
        <w:overflowPunct/>
        <w:topLinePunct w:val="0"/>
        <w:autoSpaceDE/>
        <w:autoSpaceDN/>
        <w:bidi w:val="0"/>
        <w:snapToGrid/>
        <w:spacing w:line="360" w:lineRule="auto"/>
        <w:ind w:right="-86" w:rightChars="-41"/>
        <w:rPr>
          <w:rFonts w:hint="eastAsia" w:ascii="宋体" w:hAnsi="宋体" w:cs="宋体"/>
          <w:color w:val="auto"/>
          <w:kern w:val="0"/>
          <w:szCs w:val="21"/>
          <w:highlight w:val="none"/>
        </w:rPr>
      </w:pPr>
      <w:r>
        <w:rPr>
          <w:rFonts w:hint="eastAsia" w:ascii="宋体" w:hAnsi="宋体" w:cs="宋体"/>
          <w:color w:val="auto"/>
          <w:kern w:val="0"/>
          <w:szCs w:val="21"/>
          <w:highlight w:val="none"/>
        </w:rPr>
        <w:t>9.7乙方需按照甲方要求更换不满足工作要求或不服从管理的人员，更换后的人员资格条件不得低于比选时的资历且符合甲方的相关要求。</w:t>
      </w:r>
    </w:p>
    <w:p>
      <w:pPr>
        <w:pageBreakBefore w:val="0"/>
        <w:kinsoku/>
        <w:wordWrap/>
        <w:overflowPunct/>
        <w:topLinePunct w:val="0"/>
        <w:autoSpaceDE/>
        <w:autoSpaceDN/>
        <w:bidi w:val="0"/>
        <w:snapToGrid/>
        <w:spacing w:line="360" w:lineRule="auto"/>
        <w:ind w:right="-86" w:rightChars="-41"/>
        <w:rPr>
          <w:rFonts w:hint="eastAsia" w:ascii="宋体" w:hAnsi="宋体" w:cs="宋体"/>
          <w:color w:val="auto"/>
          <w:kern w:val="0"/>
          <w:szCs w:val="21"/>
          <w:highlight w:val="none"/>
        </w:rPr>
      </w:pPr>
      <w:r>
        <w:rPr>
          <w:rFonts w:hint="eastAsia" w:ascii="宋体" w:hAnsi="宋体" w:cs="宋体"/>
          <w:color w:val="auto"/>
          <w:kern w:val="0"/>
          <w:szCs w:val="21"/>
          <w:highlight w:val="none"/>
        </w:rPr>
        <w:t>9.8乙方需按规定时间完成“四害”消杀服务或每轮次施工完成后，如仍有虫害密度过高的情况，应补充施工一轮次，直至达到验收标准为止。</w:t>
      </w:r>
    </w:p>
    <w:p>
      <w:pPr>
        <w:pageBreakBefore w:val="0"/>
        <w:kinsoku/>
        <w:wordWrap/>
        <w:overflowPunct/>
        <w:topLinePunct w:val="0"/>
        <w:autoSpaceDE/>
        <w:autoSpaceDN/>
        <w:bidi w:val="0"/>
        <w:snapToGrid/>
        <w:spacing w:line="360" w:lineRule="auto"/>
        <w:ind w:right="-86" w:rightChars="-41"/>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9.10乙方在当月四害消杀工作未通过甲方验收，经过免费消杀</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lang w:val="en-US" w:eastAsia="zh-CN"/>
        </w:rPr>
        <w:t>轮次仍未通过验收，则本月消杀费用顺延支付或不支付。</w:t>
      </w:r>
    </w:p>
    <w:p>
      <w:pPr>
        <w:pageBreakBefore w:val="0"/>
        <w:kinsoku/>
        <w:wordWrap/>
        <w:overflowPunct/>
        <w:topLinePunct w:val="0"/>
        <w:autoSpaceDE/>
        <w:autoSpaceDN/>
        <w:bidi w:val="0"/>
        <w:snapToGrid/>
        <w:spacing w:line="360" w:lineRule="auto"/>
        <w:ind w:right="-86" w:rightChars="-4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r>
        <w:rPr>
          <w:rFonts w:hint="eastAsia" w:ascii="宋体" w:hAnsi="宋体" w:eastAsia="宋体" w:cs="宋体"/>
          <w:color w:val="auto"/>
          <w:kern w:val="0"/>
          <w:szCs w:val="21"/>
          <w:highlight w:val="none"/>
          <w:lang w:val="en-US" w:eastAsia="zh-CN"/>
        </w:rPr>
        <w:t>11</w:t>
      </w:r>
      <w:r>
        <w:rPr>
          <w:rFonts w:hint="eastAsia" w:ascii="宋体" w:hAnsi="宋体" w:eastAsia="宋体" w:cs="宋体"/>
          <w:color w:val="auto"/>
          <w:kern w:val="0"/>
          <w:szCs w:val="21"/>
          <w:highlight w:val="none"/>
        </w:rPr>
        <w:t>乙方须严格遵守</w:t>
      </w:r>
      <w:r>
        <w:rPr>
          <w:rFonts w:hint="eastAsia" w:ascii="宋体" w:hAnsi="宋体" w:eastAsia="宋体" w:cs="宋体"/>
          <w:color w:val="auto"/>
          <w:kern w:val="0"/>
          <w:szCs w:val="21"/>
          <w:highlight w:val="none"/>
          <w:lang w:val="en-US" w:eastAsia="zh-CN"/>
        </w:rPr>
        <w:t>甲方</w:t>
      </w:r>
      <w:r>
        <w:rPr>
          <w:rFonts w:hint="eastAsia" w:ascii="宋体" w:hAnsi="宋体" w:eastAsia="宋体" w:cs="宋体"/>
          <w:color w:val="auto"/>
          <w:kern w:val="0"/>
          <w:szCs w:val="21"/>
          <w:highlight w:val="none"/>
        </w:rPr>
        <w:t>保密制度，出现泄密行为将按签订的保密协议条款处理。</w:t>
      </w:r>
    </w:p>
    <w:p>
      <w:pPr>
        <w:pageBreakBefore w:val="0"/>
        <w:kinsoku/>
        <w:wordWrap/>
        <w:overflowPunct/>
        <w:topLinePunct w:val="0"/>
        <w:autoSpaceDE/>
        <w:autoSpaceDN/>
        <w:bidi w:val="0"/>
        <w:snapToGrid/>
        <w:spacing w:line="360" w:lineRule="auto"/>
        <w:ind w:right="-86" w:rightChars="-41"/>
        <w:rPr>
          <w:rFonts w:ascii="宋体" w:hAnsi="宋体"/>
          <w:color w:val="auto"/>
          <w:kern w:val="0"/>
          <w:szCs w:val="21"/>
          <w:highlight w:val="none"/>
        </w:rPr>
      </w:pPr>
      <w:r>
        <w:rPr>
          <w:rFonts w:hint="eastAsia" w:asciiTheme="minorEastAsia" w:hAnsiTheme="minorEastAsia" w:eastAsiaTheme="minorEastAsia"/>
          <w:b/>
          <w:color w:val="auto"/>
          <w:szCs w:val="21"/>
          <w:highlight w:val="none"/>
        </w:rPr>
        <w:t>10.甲方义务</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10.1甲方应将本方的相关规章制度告知乙方，有权要求乙方严格遵守，并对乙方工作人员的虫害防治进行监督。</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10.2甲方应指派专人协助乙方开展工作，特别是做好甲方内部各部门之间的协调配合工作。</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10.3甲方为乙方的工作人员提供在甲方现场工作的方便，如水、电等必要条件。</w:t>
      </w:r>
    </w:p>
    <w:p>
      <w:pPr>
        <w:pageBreakBefore w:val="0"/>
        <w:kinsoku/>
        <w:wordWrap/>
        <w:overflowPunct/>
        <w:topLinePunct w:val="0"/>
        <w:autoSpaceDE/>
        <w:autoSpaceDN/>
        <w:bidi w:val="0"/>
        <w:snapToGrid/>
        <w:spacing w:line="360" w:lineRule="auto"/>
        <w:ind w:right="-86" w:rightChars="-41"/>
        <w:rPr>
          <w:rFonts w:hint="eastAsia" w:ascii="宋体" w:hAnsi="宋体" w:cs="宋体"/>
          <w:color w:val="auto"/>
          <w:kern w:val="0"/>
          <w:szCs w:val="21"/>
          <w:highlight w:val="none"/>
        </w:rPr>
      </w:pPr>
      <w:r>
        <w:rPr>
          <w:rFonts w:hint="eastAsia" w:ascii="宋体" w:hAnsi="宋体" w:cs="宋体"/>
          <w:color w:val="auto"/>
          <w:kern w:val="0"/>
          <w:szCs w:val="21"/>
          <w:highlight w:val="none"/>
        </w:rPr>
        <w:t>10.4甲方应按本合同规定的付款方式及时结款。</w:t>
      </w:r>
      <w:bookmarkEnd w:id="1045"/>
      <w:bookmarkEnd w:id="1046"/>
      <w:bookmarkEnd w:id="1047"/>
      <w:bookmarkStart w:id="1048" w:name="_Toc437544548"/>
      <w:bookmarkStart w:id="1049" w:name="_Toc21774"/>
      <w:bookmarkStart w:id="1050" w:name="_Toc369786995"/>
    </w:p>
    <w:p>
      <w:pPr>
        <w:pageBreakBefore w:val="0"/>
        <w:kinsoku/>
        <w:wordWrap/>
        <w:overflowPunct/>
        <w:topLinePunct w:val="0"/>
        <w:autoSpaceDE/>
        <w:autoSpaceDN/>
        <w:bidi w:val="0"/>
        <w:snapToGrid/>
        <w:spacing w:line="360" w:lineRule="auto"/>
        <w:ind w:right="-86" w:rightChars="-4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11.违约责任</w:t>
      </w:r>
      <w:bookmarkEnd w:id="1048"/>
      <w:bookmarkEnd w:id="1049"/>
      <w:bookmarkEnd w:id="1050"/>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11.1甲方不履行本合同约定相关义务，造成乙方损失的，需赔偿乙方由此造成的所有损失，且乙方有权单方面终止合同。</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11.2乙方不履行本合同约定相关义务，造成甲方损失的，需赔偿甲方由此造成的所有损失，且甲方有权单方面终止合同。</w:t>
      </w:r>
    </w:p>
    <w:p>
      <w:pPr>
        <w:pageBreakBefore w:val="0"/>
        <w:kinsoku/>
        <w:wordWrap/>
        <w:overflowPunct/>
        <w:topLinePunct w:val="0"/>
        <w:autoSpaceDE/>
        <w:autoSpaceDN/>
        <w:bidi w:val="0"/>
        <w:snapToGrid/>
        <w:spacing w:line="360" w:lineRule="auto"/>
        <w:ind w:right="-86" w:rightChars="-41"/>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11.3乙方所提供服务内容、数量等不合格的，应及时纠正，纠正不及时的，应向甲方支付违约部分金额的5%作为违约金并赔偿甲方经济损失（包括但不限于甲方因主张权利而产生的诉讼费、律师费、公告费、鉴定费、评估费、保全费、差旅费、保全保险费等）</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同时甲方有权选择解除合同。</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11.4乙方提供的服务如侵犯了第三方合法权益而引发的任何纠纷或诉讼，均由乙方负责交涉并承担全部责任。</w:t>
      </w:r>
      <w:bookmarkStart w:id="1051" w:name="_Toc14495"/>
      <w:bookmarkStart w:id="1052" w:name="_Toc437544551"/>
      <w:bookmarkStart w:id="1053" w:name="_Toc369786998"/>
    </w:p>
    <w:p>
      <w:pPr>
        <w:pageBreakBefore w:val="0"/>
        <w:kinsoku/>
        <w:wordWrap/>
        <w:overflowPunct/>
        <w:topLinePunct w:val="0"/>
        <w:autoSpaceDE/>
        <w:autoSpaceDN/>
        <w:bidi w:val="0"/>
        <w:snapToGrid/>
        <w:spacing w:line="360" w:lineRule="auto"/>
        <w:ind w:right="-86" w:rightChars="-41"/>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11.5乙方如借用甲方备件、材料及工具等没有归还，每月从应支付费用中罚扣相应备件、材料及工具金额的25%，直至归还</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前述扣罚金额为每月累计扣罚。</w:t>
      </w:r>
    </w:p>
    <w:p>
      <w:pPr>
        <w:pStyle w:val="2"/>
        <w:pageBreakBefore w:val="0"/>
        <w:shd w:val="clear" w:color="auto" w:fill="FFFFFF"/>
        <w:kinsoku/>
        <w:wordWrap/>
        <w:overflowPunct/>
        <w:topLinePunct w:val="0"/>
        <w:autoSpaceDE/>
        <w:autoSpaceDN/>
        <w:bidi w:val="0"/>
        <w:snapToGrid/>
        <w:spacing w:line="360" w:lineRule="auto"/>
        <w:rPr>
          <w:rFonts w:hint="eastAsia" w:hAnsi="宋体" w:cs="宋体"/>
          <w:color w:val="auto"/>
          <w:highlight w:val="none"/>
        </w:rPr>
      </w:pPr>
      <w:r>
        <w:rPr>
          <w:rFonts w:hint="eastAsia"/>
          <w:color w:val="auto"/>
          <w:highlight w:val="none"/>
        </w:rPr>
        <w:t>11.6</w:t>
      </w:r>
      <w:r>
        <w:rPr>
          <w:rFonts w:hint="eastAsia" w:hAnsi="宋体" w:cs="宋体"/>
          <w:color w:val="auto"/>
          <w:highlight w:val="none"/>
        </w:rPr>
        <w:t>乙方未经</w:t>
      </w:r>
      <w:r>
        <w:rPr>
          <w:rFonts w:hint="eastAsia" w:hAnsi="宋体" w:cs="宋体"/>
          <w:color w:val="auto"/>
          <w:highlight w:val="none"/>
          <w:lang w:val="en-US" w:eastAsia="zh-CN"/>
        </w:rPr>
        <w:t>甲方</w:t>
      </w:r>
      <w:r>
        <w:rPr>
          <w:rFonts w:hint="eastAsia" w:hAnsi="宋体" w:cs="宋体"/>
          <w:color w:val="auto"/>
          <w:highlight w:val="none"/>
        </w:rPr>
        <w:t>同意不得擅自更换项目负责人或未配置项目负责人的，在该项目负责人未按照比选文件条件配置到位之前，乙方需向甲方缴纳违约金，违约金计算标准为：500元/天。</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11.7</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由乙方工作失误造成设备及其附件故障的，乙方负责按</w:t>
      </w:r>
      <w:r>
        <w:rPr>
          <w:rFonts w:hint="eastAsia" w:ascii="宋体" w:hAnsi="宋体" w:cs="宋体"/>
          <w:color w:val="auto"/>
          <w:kern w:val="0"/>
          <w:szCs w:val="21"/>
          <w:highlight w:val="none"/>
          <w:lang w:val="en-US" w:eastAsia="zh-CN"/>
        </w:rPr>
        <w:t>甲方</w:t>
      </w:r>
      <w:r>
        <w:rPr>
          <w:rFonts w:hint="eastAsia" w:ascii="宋体" w:hAnsi="宋体" w:cs="宋体"/>
          <w:color w:val="auto"/>
          <w:kern w:val="0"/>
          <w:szCs w:val="21"/>
          <w:highlight w:val="none"/>
        </w:rPr>
        <w:t>要求的时间内修复并承担相应费用。因该故障导致甲方监管部门受到上级考核的，乙方需向</w:t>
      </w:r>
      <w:r>
        <w:rPr>
          <w:rFonts w:hint="eastAsia" w:ascii="宋体" w:hAnsi="宋体" w:cs="宋体"/>
          <w:color w:val="auto"/>
          <w:kern w:val="0"/>
          <w:szCs w:val="21"/>
          <w:highlight w:val="none"/>
          <w:lang w:val="en-US" w:eastAsia="zh-CN"/>
        </w:rPr>
        <w:t>甲方</w:t>
      </w:r>
      <w:r>
        <w:rPr>
          <w:rFonts w:hint="eastAsia" w:ascii="宋体" w:hAnsi="宋体" w:cs="宋体"/>
          <w:color w:val="auto"/>
          <w:kern w:val="0"/>
          <w:szCs w:val="21"/>
          <w:highlight w:val="none"/>
        </w:rPr>
        <w:t>扣除违约金1000元/次；对运营造成影响的，</w:t>
      </w:r>
      <w:r>
        <w:rPr>
          <w:rFonts w:hint="eastAsia" w:ascii="宋体" w:hAnsi="宋体" w:cs="宋体"/>
          <w:color w:val="auto"/>
          <w:kern w:val="0"/>
          <w:szCs w:val="21"/>
          <w:highlight w:val="none"/>
          <w:lang w:val="en-US" w:eastAsia="zh-CN"/>
        </w:rPr>
        <w:t>甲方</w:t>
      </w:r>
      <w:r>
        <w:rPr>
          <w:rFonts w:hint="eastAsia" w:ascii="宋体" w:hAnsi="宋体" w:cs="宋体"/>
          <w:color w:val="auto"/>
          <w:kern w:val="0"/>
          <w:szCs w:val="21"/>
          <w:highlight w:val="none"/>
        </w:rPr>
        <w:t>按5000元/次对乙方进行处罚，并有权根据该故障影响程度追加处罚。</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11.8</w:t>
      </w:r>
      <w:r>
        <w:rPr>
          <w:rFonts w:hint="eastAsia" w:ascii="宋体" w:hAnsi="宋体" w:eastAsia="宋体" w:cs="宋体"/>
          <w:color w:val="auto"/>
          <w:sz w:val="21"/>
          <w:szCs w:val="21"/>
          <w:highlight w:val="none"/>
          <w:lang w:eastAsia="zh-Hans"/>
        </w:rPr>
        <w:t>乙方负责按照甲方安全生产的有关规定，落实安全生产责任制，做好消杀工作并承担安全责任，包含履行合同期间非甲方原因造成的乙方人员人身财产安全等所有责任。</w:t>
      </w:r>
      <w:r>
        <w:rPr>
          <w:rFonts w:hint="eastAsia" w:ascii="宋体" w:hAnsi="宋体" w:cs="宋体"/>
          <w:color w:val="auto"/>
          <w:kern w:val="0"/>
          <w:szCs w:val="21"/>
          <w:highlight w:val="none"/>
        </w:rPr>
        <w:t>因乙方原因造成甲方或第三方财产或人身损害的，乙方除负责赔偿责任外，尚需向甲方赔付由甲方依据安全事故的性质，受伤的人数，受伤害的程度以及甲方的名誉、形象受损的范围和程度等确定的费用，并承担甲方因此发生的诉讼费、律师费等一切费用。</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11.9乙方违反国家、行业各类管理规定及法律法规（以国家最新规定为准，甲方不负责通知），扣除乙方当期合同款5000元/次。造成甲方的其他损失，甲方还将向乙方索赔。除非乙方有充分证据证明以上事件与自身无关，否则无条件承担上述责任。</w:t>
      </w:r>
    </w:p>
    <w:p>
      <w:pPr>
        <w:pStyle w:val="2"/>
        <w:pageBreakBefore w:val="0"/>
        <w:numPr>
          <w:ilvl w:val="0"/>
          <w:numId w:val="0"/>
        </w:numPr>
        <w:kinsoku/>
        <w:wordWrap/>
        <w:overflowPunct/>
        <w:topLinePunct w:val="0"/>
        <w:autoSpaceDE/>
        <w:autoSpaceDN/>
        <w:bidi w:val="0"/>
        <w:snapToGrid/>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11.10</w:t>
      </w:r>
      <w:r>
        <w:rPr>
          <w:rFonts w:hint="eastAsia" w:hAnsi="宋体" w:cs="宋体"/>
          <w:color w:val="auto"/>
          <w:szCs w:val="21"/>
          <w:highlight w:val="none"/>
          <w:lang w:eastAsia="zh-Hans"/>
        </w:rPr>
        <w:t>若乙方不按合同履行职责，甲方有权解除本合同，甲方无须向乙方支付任何费用并有权没收履约保证金；</w:t>
      </w:r>
      <w:r>
        <w:rPr>
          <w:rFonts w:hint="eastAsia" w:ascii="宋体" w:hAnsi="宋体" w:cs="宋体"/>
          <w:color w:val="auto"/>
          <w:kern w:val="0"/>
          <w:szCs w:val="21"/>
          <w:highlight w:val="none"/>
        </w:rPr>
        <w:t>乙方须补偿甲方的损失，并且甲方有权扣除应支付给乙方的费用作为处罚。</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11.11乙方应保证提供真实可靠的评估资料，违反规定存在</w:t>
      </w:r>
      <w:r>
        <w:rPr>
          <w:rFonts w:hint="eastAsia" w:ascii="宋体" w:hAnsi="宋体" w:cs="宋体"/>
          <w:color w:val="auto"/>
          <w:kern w:val="0"/>
          <w:szCs w:val="21"/>
          <w:highlight w:val="none"/>
          <w:lang w:eastAsia="zh-CN"/>
        </w:rPr>
        <w:t>作假</w:t>
      </w:r>
      <w:r>
        <w:rPr>
          <w:rFonts w:hint="eastAsia" w:ascii="宋体" w:hAnsi="宋体" w:cs="宋体"/>
          <w:color w:val="auto"/>
          <w:kern w:val="0"/>
          <w:szCs w:val="21"/>
          <w:highlight w:val="none"/>
        </w:rPr>
        <w:t>行为，则扣除乙方当期合同款1000元/次，若乙方不改正，甲方可终止合同关系并追究相关责任。</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11.12乙方违反</w:t>
      </w:r>
      <w:r>
        <w:rPr>
          <w:rFonts w:hint="eastAsia" w:ascii="宋体" w:hAnsi="宋体" w:cs="宋体"/>
          <w:color w:val="auto"/>
          <w:kern w:val="0"/>
          <w:szCs w:val="21"/>
          <w:highlight w:val="none"/>
          <w:lang w:val="en-US" w:eastAsia="zh-CN"/>
        </w:rPr>
        <w:t>甲方</w:t>
      </w:r>
      <w:r>
        <w:rPr>
          <w:rFonts w:hint="eastAsia" w:ascii="宋体" w:hAnsi="宋体" w:cs="宋体"/>
          <w:color w:val="auto"/>
          <w:kern w:val="0"/>
          <w:szCs w:val="21"/>
          <w:highlight w:val="none"/>
        </w:rPr>
        <w:t>各类安全、生产管理规定</w:t>
      </w:r>
      <w:r>
        <w:rPr>
          <w:rFonts w:hint="eastAsia" w:ascii="宋体" w:hAnsi="宋体" w:eastAsia="宋体" w:cs="宋体"/>
          <w:color w:val="auto"/>
          <w:kern w:val="2"/>
          <w:sz w:val="21"/>
          <w:szCs w:val="21"/>
          <w:highlight w:val="none"/>
          <w:lang w:val="en-US" w:eastAsia="zh-Hans" w:bidi="ar-SA"/>
        </w:rPr>
        <w:t>（详见用户需求书3.3，以最新规定为准，甲方负责通知）</w:t>
      </w:r>
      <w:r>
        <w:rPr>
          <w:rFonts w:hint="eastAsia" w:ascii="宋体" w:hAnsi="宋体" w:cs="宋体"/>
          <w:color w:val="auto"/>
          <w:kern w:val="0"/>
          <w:szCs w:val="21"/>
          <w:highlight w:val="none"/>
        </w:rPr>
        <w:t>，甲方可扣除乙方当期合同款2000元/次。</w:t>
      </w:r>
    </w:p>
    <w:p>
      <w:pPr>
        <w:pStyle w:val="74"/>
        <w:pageBreakBefore w:val="0"/>
        <w:kinsoku/>
        <w:wordWrap/>
        <w:overflowPunct/>
        <w:topLinePunct w:val="0"/>
        <w:autoSpaceDE/>
        <w:autoSpaceDN/>
        <w:bidi w:val="0"/>
        <w:snapToGrid/>
        <w:spacing w:line="360" w:lineRule="auto"/>
        <w:ind w:firstLine="0" w:firstLineChars="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11.13乙方须提供符合税务部门规定的，合法有效的发票，由于乙方提供的发票不符合税务部门的要求，从而给甲方造成的经济损失，由乙方负责赔偿。</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11.14</w:t>
      </w:r>
      <w:r>
        <w:rPr>
          <w:rFonts w:ascii="宋体" w:hAnsi="宋体" w:cs="宋体"/>
          <w:color w:val="auto"/>
          <w:kern w:val="0"/>
          <w:szCs w:val="21"/>
          <w:highlight w:val="none"/>
        </w:rPr>
        <w:t>合同违约处罚通知单详见附件《合同违约处罚通知单》</w:t>
      </w:r>
    </w:p>
    <w:p>
      <w:pPr>
        <w:pStyle w:val="2"/>
        <w:pageBreakBefore w:val="0"/>
        <w:numPr>
          <w:ilvl w:val="0"/>
          <w:numId w:val="0"/>
        </w:numPr>
        <w:kinsoku/>
        <w:wordWrap/>
        <w:overflowPunct/>
        <w:topLinePunct w:val="0"/>
        <w:autoSpaceDE/>
        <w:autoSpaceDN/>
        <w:bidi w:val="0"/>
        <w:snapToGrid/>
        <w:spacing w:line="360" w:lineRule="auto"/>
        <w:rPr>
          <w:rFonts w:ascii="宋体" w:hAnsi="宋体" w:cs="宋体"/>
          <w:color w:val="auto"/>
          <w:kern w:val="0"/>
          <w:szCs w:val="21"/>
          <w:highlight w:val="none"/>
        </w:rPr>
      </w:pPr>
      <w:r>
        <w:rPr>
          <w:rFonts w:hint="eastAsia"/>
          <w:color w:val="auto"/>
          <w:highlight w:val="none"/>
          <w:lang w:val="en-US" w:eastAsia="zh-CN"/>
        </w:rPr>
        <w:t>11.15</w:t>
      </w:r>
      <w:r>
        <w:rPr>
          <w:rFonts w:hint="eastAsia"/>
          <w:color w:val="auto"/>
          <w:highlight w:val="none"/>
          <w:lang w:eastAsia="zh-Hans"/>
        </w:rPr>
        <w:t>甲、乙任何一方违反本协议约定给对方造成损失的，违约方应承担因此产生的一切责任，如给守约方造成损失的，守约方有权向违约方追偿，并承担守约方维护合法权益所支出的费用（包括但不限于律师费、诉讼费、保全费、差旅费、保全保险费等）。</w:t>
      </w:r>
    </w:p>
    <w:p>
      <w:pPr>
        <w:pageBreakBefore w:val="0"/>
        <w:kinsoku/>
        <w:wordWrap/>
        <w:overflowPunct/>
        <w:topLinePunct w:val="0"/>
        <w:autoSpaceDE/>
        <w:autoSpaceDN/>
        <w:bidi w:val="0"/>
        <w:snapToGrid/>
        <w:spacing w:line="360" w:lineRule="auto"/>
        <w:ind w:right="-86" w:rightChars="-4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12.变更指示</w:t>
      </w:r>
      <w:bookmarkEnd w:id="1051"/>
      <w:bookmarkEnd w:id="1052"/>
      <w:bookmarkEnd w:id="1053"/>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1任何对合同条件的变更或修改均须根据双方协商达成的协议，以规定的标准修改书形式由双方授权代表签字盖章来完成，并作为本合同不可分割的组成部分，具有与合同本身同样的效力。</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2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3乙方收到甲方通知后应在十天内向甲方提供变更所带来的费用变化，乙方所提的费用应是最优惠的。</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4如甲方根据本条款要做出合同变更，甲方应将此类变更的性质和方式通知乙方。乙方向甲方提供“变更建议书”，内容包括：</w:t>
      </w:r>
    </w:p>
    <w:p>
      <w:pPr>
        <w:pageBreakBefore w:val="0"/>
        <w:kinsoku/>
        <w:wordWrap/>
        <w:overflowPunct/>
        <w:topLinePunct w:val="0"/>
        <w:autoSpaceDE/>
        <w:autoSpaceDN/>
        <w:bidi w:val="0"/>
        <w:snapToGrid/>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12.4.</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对进度计划或对本合同项下的乙方义务进行任何必要的修改建议；</w:t>
      </w:r>
    </w:p>
    <w:p>
      <w:pPr>
        <w:pageBreakBefore w:val="0"/>
        <w:kinsoku/>
        <w:wordWrap/>
        <w:overflowPunct/>
        <w:topLinePunct w:val="0"/>
        <w:autoSpaceDE/>
        <w:autoSpaceDN/>
        <w:bidi w:val="0"/>
        <w:snapToGrid/>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12.4.</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乙方对合同价格调整的建议。</w:t>
      </w:r>
    </w:p>
    <w:p>
      <w:pPr>
        <w:pageBreakBefore w:val="0"/>
        <w:tabs>
          <w:tab w:val="left" w:pos="1558"/>
        </w:tabs>
        <w:kinsoku/>
        <w:wordWrap/>
        <w:overflowPunct/>
        <w:topLinePunct w:val="0"/>
        <w:autoSpaceDE/>
        <w:autoSpaceDN/>
        <w:bidi w:val="0"/>
        <w:snapToGrid/>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12.4.3</w:t>
      </w:r>
      <w:r>
        <w:rPr>
          <w:rFonts w:hint="eastAsia" w:asciiTheme="minorEastAsia" w:hAnsiTheme="minorEastAsia" w:eastAsiaTheme="minorEastAsia"/>
          <w:color w:val="auto"/>
          <w:highlight w:val="none"/>
        </w:rPr>
        <w:t>收到乙方的上述递呈，并在与乙方适当协商后，甲方应尽快决定是否进行变更。</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5对合同条款</w:t>
      </w:r>
      <w:r>
        <w:rPr>
          <w:rFonts w:hint="eastAsia" w:asciiTheme="minorEastAsia" w:hAnsiTheme="minorEastAsia" w:eastAsiaTheme="minorEastAsia"/>
          <w:color w:val="auto"/>
          <w:highlight w:val="none"/>
          <w:lang w:eastAsia="zh-CN"/>
        </w:rPr>
        <w:t>作出</w:t>
      </w:r>
      <w:r>
        <w:rPr>
          <w:rFonts w:hint="eastAsia" w:asciiTheme="minorEastAsia" w:hAnsiTheme="minorEastAsia" w:eastAsiaTheme="minorEastAsia"/>
          <w:color w:val="auto"/>
          <w:highlight w:val="none"/>
        </w:rPr>
        <w:t>任何改动或偏离，均须由甲乙双方签署书面协议或合同。</w:t>
      </w:r>
    </w:p>
    <w:p>
      <w:pPr>
        <w:pageBreakBefore w:val="0"/>
        <w:kinsoku/>
        <w:wordWrap/>
        <w:overflowPunct/>
        <w:topLinePunct w:val="0"/>
        <w:autoSpaceDE/>
        <w:autoSpaceDN/>
        <w:bidi w:val="0"/>
        <w:snapToGrid/>
        <w:spacing w:line="360" w:lineRule="auto"/>
        <w:ind w:right="-86" w:rightChars="-41"/>
        <w:rPr>
          <w:rFonts w:asciiTheme="minorEastAsia" w:hAnsiTheme="minorEastAsia" w:eastAsiaTheme="minorEastAsia"/>
          <w:b/>
          <w:color w:val="auto"/>
          <w:szCs w:val="21"/>
          <w:highlight w:val="none"/>
        </w:rPr>
      </w:pPr>
      <w:bookmarkStart w:id="1054" w:name="_Toc437544552"/>
      <w:bookmarkStart w:id="1055" w:name="_Toc19660"/>
      <w:bookmarkStart w:id="1056" w:name="_Toc369786999"/>
      <w:r>
        <w:rPr>
          <w:rFonts w:hint="eastAsia" w:asciiTheme="minorEastAsia" w:hAnsiTheme="minorEastAsia" w:eastAsiaTheme="minorEastAsia"/>
          <w:b/>
          <w:color w:val="auto"/>
          <w:szCs w:val="21"/>
          <w:highlight w:val="none"/>
        </w:rPr>
        <w:t>13.转让和分包</w:t>
      </w:r>
      <w:bookmarkEnd w:id="1054"/>
      <w:bookmarkEnd w:id="1055"/>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除甲方事先书面同意外，乙方不得将其合同权利、责任和义务部分转让或全部转让或转移给第三方。</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除合同另有约定外，</w:t>
      </w:r>
      <w:r>
        <w:rPr>
          <w:rFonts w:hint="eastAsia" w:cs="Arial" w:asciiTheme="minorEastAsia" w:hAnsiTheme="minorEastAsia" w:eastAsiaTheme="minorEastAsia"/>
          <w:color w:val="auto"/>
          <w:highlight w:val="none"/>
        </w:rPr>
        <w:t>乙方不得将本项目的</w:t>
      </w:r>
      <w:r>
        <w:rPr>
          <w:rFonts w:hint="eastAsia" w:asciiTheme="minorEastAsia" w:hAnsiTheme="minorEastAsia" w:eastAsiaTheme="minorEastAsia"/>
          <w:color w:val="auto"/>
          <w:highlight w:val="none"/>
        </w:rPr>
        <w:t>全部或部分工作</w:t>
      </w:r>
      <w:r>
        <w:rPr>
          <w:rFonts w:hint="eastAsia" w:cs="Arial" w:asciiTheme="minorEastAsia" w:hAnsiTheme="minorEastAsia" w:eastAsiaTheme="minorEastAsia"/>
          <w:color w:val="auto"/>
          <w:highlight w:val="none"/>
        </w:rPr>
        <w:t>分包给第三方</w:t>
      </w:r>
      <w:r>
        <w:rPr>
          <w:rFonts w:hint="eastAsia" w:asciiTheme="minorEastAsia" w:hAnsiTheme="minorEastAsia" w:eastAsiaTheme="minorEastAsia"/>
          <w:color w:val="auto"/>
          <w:highlight w:val="none"/>
        </w:rPr>
        <w:t>。</w:t>
      </w:r>
    </w:p>
    <w:bookmarkEnd w:id="1056"/>
    <w:p>
      <w:pPr>
        <w:keepNext/>
        <w:keepLines/>
        <w:pageBreakBefore w:val="0"/>
        <w:kinsoku/>
        <w:wordWrap/>
        <w:overflowPunct/>
        <w:topLinePunct w:val="0"/>
        <w:autoSpaceDE/>
        <w:autoSpaceDN/>
        <w:bidi w:val="0"/>
        <w:snapToGrid/>
        <w:spacing w:before="240" w:beforeLines="100" w:after="120" w:afterLines="50" w:line="360" w:lineRule="auto"/>
        <w:outlineLvl w:val="1"/>
        <w:rPr>
          <w:rFonts w:asciiTheme="minorEastAsia" w:hAnsiTheme="minorEastAsia" w:eastAsiaTheme="minorEastAsia"/>
          <w:b/>
          <w:color w:val="auto"/>
          <w:szCs w:val="21"/>
          <w:highlight w:val="none"/>
        </w:rPr>
      </w:pPr>
      <w:bookmarkStart w:id="1057" w:name="_Toc16437"/>
      <w:bookmarkStart w:id="1058" w:name="_Toc437544553"/>
      <w:bookmarkStart w:id="1059" w:name="_Toc369787000"/>
      <w:r>
        <w:rPr>
          <w:rFonts w:hint="eastAsia" w:asciiTheme="minorEastAsia" w:hAnsiTheme="minorEastAsia" w:eastAsiaTheme="minorEastAsia"/>
          <w:b/>
          <w:color w:val="auto"/>
          <w:szCs w:val="21"/>
          <w:highlight w:val="none"/>
        </w:rPr>
        <w:t>14.争端处理</w:t>
      </w:r>
      <w:bookmarkEnd w:id="1057"/>
      <w:bookmarkEnd w:id="1058"/>
    </w:p>
    <w:p>
      <w:pPr>
        <w:pStyle w:val="2"/>
        <w:keepNext w:val="0"/>
        <w:keepLines w:val="0"/>
        <w:pageBreakBefore w:val="0"/>
        <w:widowControl w:val="0"/>
        <w:numPr>
          <w:ilvl w:val="0"/>
          <w:numId w:val="0"/>
        </w:numPr>
        <w:kinsoku/>
        <w:wordWrap/>
        <w:overflowPunct/>
        <w:topLinePunct w:val="0"/>
        <w:autoSpaceDE/>
        <w:autoSpaceDN/>
        <w:bidi w:val="0"/>
        <w:snapToGrid/>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r>
        <w:rPr>
          <w:rFonts w:asciiTheme="minorEastAsia" w:hAnsiTheme="minorEastAsia" w:eastAsiaTheme="minorEastAsia"/>
          <w:color w:val="auto"/>
          <w:highlight w:val="none"/>
        </w:rPr>
        <w:t>.1</w:t>
      </w:r>
      <w:r>
        <w:rPr>
          <w:rFonts w:hint="eastAsia"/>
          <w:color w:val="auto"/>
          <w:highlight w:val="none"/>
          <w:lang w:eastAsia="zh-Hans"/>
        </w:rPr>
        <w:t>因本合同引起的或与本合同有关的合同争议，由甲、乙双方协商解决，协商不成的，可向甲方住所地有管辖权的人民法院提起诉讼。</w:t>
      </w:r>
    </w:p>
    <w:p>
      <w:pPr>
        <w:keepNext w:val="0"/>
        <w:keepLines w:val="0"/>
        <w:pageBreakBefore w:val="0"/>
        <w:widowControl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除非各方另有约定，诉讼语言应为汉语。</w:t>
      </w:r>
    </w:p>
    <w:p>
      <w:pPr>
        <w:keepNext w:val="0"/>
        <w:keepLines w:val="0"/>
        <w:pageBreakBefore w:val="0"/>
        <w:widowControl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法院判决应为最终裁决，对双方均具有约束力。</w:t>
      </w:r>
    </w:p>
    <w:p>
      <w:pPr>
        <w:keepNext w:val="0"/>
        <w:keepLines w:val="0"/>
        <w:pageBreakBefore w:val="0"/>
        <w:widowControl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诉讼费应由败诉方负担。</w:t>
      </w:r>
    </w:p>
    <w:p>
      <w:pPr>
        <w:keepNext w:val="0"/>
        <w:keepLines w:val="0"/>
        <w:pageBreakBefore w:val="0"/>
        <w:widowControl w:val="0"/>
        <w:kinsoku/>
        <w:wordWrap/>
        <w:overflowPunct/>
        <w:topLinePunct w:val="0"/>
        <w:autoSpaceDE/>
        <w:autoSpaceDN/>
        <w:bidi w:val="0"/>
        <w:snapToGrid/>
        <w:spacing w:before="120" w:beforeLines="50" w:after="120" w:afterLines="50"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highlight w:val="none"/>
        </w:rPr>
        <w:t>14</w:t>
      </w: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协商、调解和诉讼期间，合同应继续执行，合同双方不得以争议为由拒绝执行</w:t>
      </w:r>
      <w:r>
        <w:rPr>
          <w:rFonts w:hint="eastAsia"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snapToGrid/>
        <w:spacing w:before="120" w:beforeLines="50" w:after="120" w:afterLines="50" w:line="360" w:lineRule="auto"/>
        <w:rPr>
          <w:rFonts w:hint="eastAsia" w:asciiTheme="minorEastAsia" w:hAnsiTheme="minorEastAsia" w:eastAsiaTheme="minorEastAsia" w:cstheme="minorBidi"/>
          <w:color w:val="auto"/>
          <w:kern w:val="2"/>
          <w:sz w:val="21"/>
          <w:szCs w:val="22"/>
          <w:highlight w:val="none"/>
          <w:lang w:val="en-US" w:eastAsia="zh-CN" w:bidi="ar-SA"/>
        </w:rPr>
      </w:pPr>
      <w:r>
        <w:rPr>
          <w:rFonts w:hint="eastAsia" w:asciiTheme="minorEastAsia" w:hAnsiTheme="minorEastAsia" w:eastAsiaTheme="minorEastAsia"/>
          <w:b/>
          <w:color w:val="auto"/>
          <w:szCs w:val="21"/>
          <w:highlight w:val="none"/>
          <w:lang w:val="en-US" w:eastAsia="zh-CN"/>
        </w:rPr>
        <w:t>15</w:t>
      </w:r>
      <w:r>
        <w:rPr>
          <w:rFonts w:hint="eastAsia" w:asciiTheme="minorEastAsia" w:hAnsiTheme="minorEastAsia" w:eastAsiaTheme="minorEastAsia"/>
          <w:b/>
          <w:color w:val="auto"/>
          <w:szCs w:val="21"/>
          <w:highlight w:val="none"/>
        </w:rPr>
        <w:t>通知与送达</w:t>
      </w:r>
      <w:r>
        <w:rPr>
          <w:rFonts w:hint="eastAsia" w:ascii="微软雅黑" w:hAnsi="微软雅黑" w:eastAsia="微软雅黑" w:cs="微软雅黑"/>
          <w:i w:val="0"/>
          <w:iCs w:val="0"/>
          <w:caps w:val="0"/>
          <w:color w:val="auto"/>
          <w:spacing w:val="0"/>
          <w:sz w:val="21"/>
          <w:szCs w:val="21"/>
          <w:highlight w:val="none"/>
          <w:shd w:val="clear" w:fill="FFFFFF"/>
        </w:rPr>
        <w:br w:type="textWrapping"/>
      </w:r>
      <w:r>
        <w:rPr>
          <w:rFonts w:hint="eastAsia" w:asciiTheme="minorEastAsia" w:hAnsiTheme="minorEastAsia" w:eastAsiaTheme="minorEastAsia" w:cstheme="minorBidi"/>
          <w:color w:val="auto"/>
          <w:kern w:val="2"/>
          <w:sz w:val="21"/>
          <w:szCs w:val="22"/>
          <w:highlight w:val="none"/>
          <w:lang w:val="en-US" w:eastAsia="zh-CN" w:bidi="ar-SA"/>
        </w:rPr>
        <w:t>15.1一方当事人发给另一方的任何通知、要求、指令或是其他文件，应是书面形式的并且以人员送达或是通过EMS信函，或以传真或其他电子通讯形式发至所列的联系地址。</w:t>
      </w:r>
      <w:r>
        <w:rPr>
          <w:rFonts w:hint="eastAsia" w:asciiTheme="minorEastAsia" w:hAnsiTheme="minorEastAsia" w:eastAsiaTheme="minorEastAsia" w:cstheme="minorBidi"/>
          <w:color w:val="auto"/>
          <w:kern w:val="2"/>
          <w:sz w:val="21"/>
          <w:szCs w:val="22"/>
          <w:highlight w:val="none"/>
          <w:lang w:val="en-US" w:eastAsia="zh-CN" w:bidi="ar-SA"/>
        </w:rPr>
        <w:br w:type="textWrapping"/>
      </w:r>
      <w:r>
        <w:rPr>
          <w:rFonts w:hint="eastAsia" w:asciiTheme="minorEastAsia" w:hAnsiTheme="minorEastAsia" w:eastAsiaTheme="minorEastAsia" w:cstheme="minorBidi"/>
          <w:color w:val="auto"/>
          <w:kern w:val="2"/>
          <w:sz w:val="21"/>
          <w:szCs w:val="22"/>
          <w:highlight w:val="none"/>
          <w:lang w:val="en-US" w:eastAsia="zh-CN" w:bidi="ar-SA"/>
        </w:rPr>
        <w:t>15.2在无证据证明通知或其他通讯已经送达时，该通知或其他通讯应在下述情况下视为送达：以EMS信函形式发送的，交付规定的地址的，自发出之日起5日内视为送达；以传真或电子邮件传送，则发送日后的第二个工作日即为送达日。</w:t>
      </w:r>
      <w:r>
        <w:rPr>
          <w:rFonts w:hint="eastAsia" w:asciiTheme="minorEastAsia" w:hAnsiTheme="minorEastAsia" w:eastAsiaTheme="minorEastAsia" w:cstheme="minorBidi"/>
          <w:color w:val="auto"/>
          <w:kern w:val="2"/>
          <w:sz w:val="21"/>
          <w:szCs w:val="22"/>
          <w:highlight w:val="none"/>
          <w:lang w:val="en-US" w:eastAsia="zh-CN" w:bidi="ar-SA"/>
        </w:rPr>
        <w:br w:type="textWrapping"/>
      </w:r>
      <w:r>
        <w:rPr>
          <w:rFonts w:hint="eastAsia" w:asciiTheme="minorEastAsia" w:hAnsiTheme="minorEastAsia" w:eastAsiaTheme="minorEastAsia" w:cstheme="minorBidi"/>
          <w:color w:val="auto"/>
          <w:kern w:val="2"/>
          <w:sz w:val="21"/>
          <w:szCs w:val="22"/>
          <w:highlight w:val="none"/>
          <w:lang w:val="en-US" w:eastAsia="zh-CN" w:bidi="ar-SA"/>
        </w:rPr>
        <w:t>15.3收到文件的一方如果发现文件袋内的文件与文件袋封面所标注的内容不一致的，应当在收到文件之日起二日内向发出文件的一方提出，否则视为内容一致。</w:t>
      </w:r>
      <w:r>
        <w:rPr>
          <w:rFonts w:hint="eastAsia" w:asciiTheme="minorEastAsia" w:hAnsiTheme="minorEastAsia" w:eastAsiaTheme="minorEastAsia" w:cstheme="minorBidi"/>
          <w:color w:val="auto"/>
          <w:kern w:val="2"/>
          <w:sz w:val="21"/>
          <w:szCs w:val="22"/>
          <w:highlight w:val="none"/>
          <w:lang w:val="en-US" w:eastAsia="zh-CN" w:bidi="ar-SA"/>
        </w:rPr>
        <w:br w:type="textWrapping"/>
      </w:r>
      <w:r>
        <w:rPr>
          <w:rFonts w:hint="eastAsia" w:asciiTheme="minorEastAsia" w:hAnsiTheme="minorEastAsia" w:eastAsiaTheme="minorEastAsia" w:cstheme="minorBidi"/>
          <w:color w:val="auto"/>
          <w:kern w:val="2"/>
          <w:sz w:val="21"/>
          <w:szCs w:val="22"/>
          <w:highlight w:val="none"/>
          <w:lang w:val="en-US" w:eastAsia="zh-CN" w:bidi="ar-SA"/>
        </w:rPr>
        <w:t>15.4在本合同期限内，每一方均有权在任何时候更改其接收通知的地址，但应立即将更改后的地址通知另一方。如果通讯地址或联络方式发生变动的一方（简称“变动一方”），未将有关变化及时通知其他方，协议另一方按未通知前的联系方法送达文件、通讯和通知等，该文件、通讯和通知等按照本条约定方式送达的，视为已经有效送达，变动一方应对由此而造成的影响和损失负责。</w:t>
      </w:r>
      <w:bookmarkEnd w:id="1059"/>
      <w:bookmarkStart w:id="1060" w:name="_Toc437544554"/>
      <w:bookmarkStart w:id="1061" w:name="_Toc21022"/>
      <w:bookmarkStart w:id="1062" w:name="_Toc369787001"/>
    </w:p>
    <w:p>
      <w:pPr>
        <w:keepNext/>
        <w:keepLines/>
        <w:pageBreakBefore w:val="0"/>
        <w:numPr>
          <w:ilvl w:val="0"/>
          <w:numId w:val="0"/>
        </w:numPr>
        <w:kinsoku/>
        <w:wordWrap/>
        <w:overflowPunct/>
        <w:topLinePunct w:val="0"/>
        <w:autoSpaceDE/>
        <w:autoSpaceDN/>
        <w:bidi w:val="0"/>
        <w:snapToGrid/>
        <w:spacing w:before="240" w:beforeLines="100" w:after="120" w:afterLines="50" w:line="360" w:lineRule="auto"/>
        <w:outlineLvl w:val="1"/>
        <w:rPr>
          <w:rFonts w:hint="eastAsia" w:asciiTheme="minorEastAsia" w:hAnsiTheme="minorEastAsia" w:eastAsiaTheme="minorEastAsia"/>
          <w:b/>
          <w:color w:val="auto"/>
          <w:szCs w:val="21"/>
          <w:highlight w:val="none"/>
        </w:rPr>
      </w:pPr>
      <w:r>
        <w:rPr>
          <w:rFonts w:hint="eastAsia" w:asciiTheme="minorEastAsia" w:hAnsiTheme="minorEastAsia" w:eastAsiaTheme="minorEastAsia" w:cstheme="minorBidi"/>
          <w:color w:val="auto"/>
          <w:kern w:val="2"/>
          <w:sz w:val="21"/>
          <w:szCs w:val="22"/>
          <w:highlight w:val="none"/>
          <w:lang w:val="en-US" w:eastAsia="zh-CN" w:bidi="ar-SA"/>
        </w:rPr>
        <w:t>16</w:t>
      </w:r>
      <w:r>
        <w:rPr>
          <w:rFonts w:hint="eastAsia" w:asciiTheme="minorEastAsia" w:hAnsiTheme="minorEastAsia" w:eastAsiaTheme="minorEastAsia"/>
          <w:b/>
          <w:color w:val="auto"/>
          <w:szCs w:val="21"/>
          <w:highlight w:val="none"/>
        </w:rPr>
        <w:t>合同生效及其它</w:t>
      </w:r>
      <w:bookmarkEnd w:id="1060"/>
      <w:bookmarkEnd w:id="1061"/>
    </w:p>
    <w:p>
      <w:pPr>
        <w:keepNext/>
        <w:keepLines/>
        <w:pageBreakBefore w:val="0"/>
        <w:numPr>
          <w:ilvl w:val="0"/>
          <w:numId w:val="0"/>
        </w:numPr>
        <w:kinsoku/>
        <w:wordWrap/>
        <w:overflowPunct/>
        <w:topLinePunct w:val="0"/>
        <w:autoSpaceDE/>
        <w:autoSpaceDN/>
        <w:bidi w:val="0"/>
        <w:snapToGrid/>
        <w:spacing w:before="240" w:beforeLines="100" w:after="120" w:afterLines="50" w:line="360" w:lineRule="auto"/>
        <w:outlineLvl w:val="1"/>
        <w:rPr>
          <w:rFonts w:hint="eastAsia" w:asciiTheme="minorEastAsia" w:hAnsiTheme="minorEastAsia" w:eastAsiaTheme="minorEastAsia" w:cstheme="minorBidi"/>
          <w:color w:val="auto"/>
          <w:kern w:val="2"/>
          <w:sz w:val="21"/>
          <w:szCs w:val="22"/>
          <w:highlight w:val="none"/>
          <w:lang w:val="en-US" w:eastAsia="zh-CN" w:bidi="ar-SA"/>
        </w:rPr>
      </w:pPr>
      <w:r>
        <w:rPr>
          <w:rFonts w:hint="eastAsia" w:asciiTheme="minorEastAsia" w:hAnsiTheme="minorEastAsia" w:eastAsiaTheme="minorEastAsia" w:cstheme="minorBidi"/>
          <w:color w:val="auto"/>
          <w:kern w:val="2"/>
          <w:sz w:val="21"/>
          <w:szCs w:val="22"/>
          <w:highlight w:val="none"/>
          <w:lang w:val="en-US" w:eastAsia="zh-CN" w:bidi="ar-SA"/>
        </w:rPr>
        <w:t>16.1本合同生效的时间以双方签署的合同书上的最后日期为准。</w:t>
      </w:r>
    </w:p>
    <w:p>
      <w:pPr>
        <w:keepNext/>
        <w:keepLines/>
        <w:pageBreakBefore w:val="0"/>
        <w:numPr>
          <w:ilvl w:val="0"/>
          <w:numId w:val="0"/>
        </w:numPr>
        <w:kinsoku/>
        <w:wordWrap/>
        <w:overflowPunct/>
        <w:topLinePunct w:val="0"/>
        <w:autoSpaceDE/>
        <w:autoSpaceDN/>
        <w:bidi w:val="0"/>
        <w:snapToGrid/>
        <w:spacing w:before="240" w:beforeLines="100" w:after="120" w:afterLines="50" w:line="360" w:lineRule="auto"/>
        <w:outlineLvl w:val="1"/>
        <w:rPr>
          <w:rFonts w:hint="eastAsia" w:asciiTheme="minorEastAsia" w:hAnsiTheme="minorEastAsia" w:eastAsiaTheme="minorEastAsia" w:cstheme="minorBidi"/>
          <w:color w:val="auto"/>
          <w:kern w:val="2"/>
          <w:sz w:val="21"/>
          <w:szCs w:val="22"/>
          <w:highlight w:val="none"/>
          <w:lang w:val="en-US" w:eastAsia="zh-CN" w:bidi="ar-SA"/>
        </w:rPr>
      </w:pPr>
      <w:r>
        <w:rPr>
          <w:rFonts w:hint="eastAsia" w:asciiTheme="minorEastAsia" w:hAnsiTheme="minorEastAsia" w:eastAsiaTheme="minorEastAsia" w:cstheme="minorBidi"/>
          <w:color w:val="auto"/>
          <w:kern w:val="2"/>
          <w:sz w:val="21"/>
          <w:szCs w:val="22"/>
          <w:highlight w:val="none"/>
          <w:lang w:val="en-US" w:eastAsia="zh-CN" w:bidi="ar-SA"/>
        </w:rPr>
        <w:t>16.2所有合同附件为合同不可分割的一部分。所有附件、修改、补充、改动条款和执行合同的条件均应以书面形式列明，双方经过协商达成一致意见，并由双方授权代表签字（盖章），是合同执行中不可分割的一部分，与合同具有同等效力。</w:t>
      </w:r>
      <w:bookmarkEnd w:id="1062"/>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tabs>
          <w:tab w:val="left" w:pos="1134"/>
          <w:tab w:val="left" w:pos="8364"/>
        </w:tabs>
        <w:ind w:right="-57"/>
        <w:rPr>
          <w:rFonts w:ascii="宋体" w:hAnsi="宋体"/>
          <w:color w:val="auto"/>
          <w:highlight w:val="none"/>
        </w:rPr>
      </w:pPr>
    </w:p>
    <w:p>
      <w:pPr>
        <w:pStyle w:val="2"/>
        <w:pageBreakBefore/>
        <w:ind w:right="-57"/>
        <w:jc w:val="center"/>
        <w:outlineLvl w:val="0"/>
        <w:rPr>
          <w:rStyle w:val="76"/>
          <w:rFonts w:hAnsi="宋体"/>
          <w:color w:val="auto"/>
          <w:highlight w:val="none"/>
        </w:rPr>
      </w:pPr>
      <w:bookmarkStart w:id="1063" w:name="_Toc14790"/>
      <w:bookmarkStart w:id="1064" w:name="_Toc25750673"/>
      <w:bookmarkStart w:id="1065" w:name="_Toc28285"/>
      <w:bookmarkStart w:id="1066" w:name="_Toc25306"/>
      <w:bookmarkStart w:id="1067" w:name="_Toc30920"/>
      <w:bookmarkStart w:id="1068" w:name="_Toc6151"/>
      <w:bookmarkStart w:id="1069" w:name="_Toc13167"/>
      <w:bookmarkStart w:id="1070" w:name="_Toc11320"/>
      <w:bookmarkStart w:id="1071" w:name="_Toc17261"/>
      <w:bookmarkStart w:id="1072" w:name="_Toc4374"/>
      <w:bookmarkStart w:id="1073" w:name="_Toc28677"/>
      <w:bookmarkStart w:id="1074" w:name="_Toc32011"/>
      <w:bookmarkStart w:id="1075" w:name="_Toc21689"/>
      <w:bookmarkStart w:id="1076" w:name="_Toc29546"/>
      <w:bookmarkStart w:id="1077" w:name="_Toc31574"/>
      <w:bookmarkStart w:id="1078" w:name="_Toc31873"/>
      <w:bookmarkStart w:id="1079" w:name="_Toc17396"/>
      <w:bookmarkStart w:id="1080" w:name="_Toc27263"/>
      <w:r>
        <w:rPr>
          <w:rStyle w:val="76"/>
          <w:rFonts w:hint="eastAsia" w:hAnsi="宋体"/>
          <w:color w:val="auto"/>
          <w:highlight w:val="none"/>
        </w:rPr>
        <w:t>第四章比选申请文件格式</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4"/>
        <w:spacing w:after="100"/>
        <w:ind w:right="-57"/>
        <w:jc w:val="center"/>
        <w:rPr>
          <w:rFonts w:asciiTheme="minorEastAsia" w:hAnsiTheme="minorEastAsia" w:eastAsiaTheme="minorEastAsia"/>
          <w:color w:val="auto"/>
          <w:sz w:val="24"/>
          <w:szCs w:val="24"/>
          <w:highlight w:val="none"/>
        </w:rPr>
      </w:pPr>
      <w:bookmarkStart w:id="1081" w:name="_Toc25750674"/>
      <w:r>
        <w:rPr>
          <w:rFonts w:asciiTheme="minorEastAsia" w:hAnsiTheme="minorEastAsia" w:eastAsiaTheme="minorEastAsia"/>
          <w:color w:val="auto"/>
          <w:sz w:val="24"/>
          <w:szCs w:val="24"/>
          <w:highlight w:val="none"/>
        </w:rPr>
        <w:t>A  资格审查</w:t>
      </w:r>
      <w:r>
        <w:rPr>
          <w:rFonts w:hint="eastAsia" w:asciiTheme="minorEastAsia" w:hAnsiTheme="minorEastAsia" w:eastAsiaTheme="minorEastAsia"/>
          <w:color w:val="auto"/>
          <w:sz w:val="24"/>
          <w:szCs w:val="24"/>
          <w:highlight w:val="none"/>
        </w:rPr>
        <w:t>文件</w:t>
      </w:r>
      <w:bookmarkEnd w:id="1081"/>
    </w:p>
    <w:p>
      <w:pPr>
        <w:spacing w:line="360" w:lineRule="auto"/>
        <w:ind w:firstLine="422" w:firstLineChars="200"/>
        <w:jc w:val="left"/>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资格审查文件格式</w:t>
      </w:r>
    </w:p>
    <w:p>
      <w:pPr>
        <w:tabs>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（2）比选申请人有效的营业执照副本复印件；</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承诺书（格式见A</w:t>
      </w: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（4）比选申请人认为应提交的其他比选申请资料（如有）。</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w:t>
      </w:r>
      <w:r>
        <w:rPr>
          <w:rFonts w:asciiTheme="minorEastAsia" w:hAnsiTheme="minorEastAsia" w:eastAsiaTheme="minorEastAsia"/>
          <w:color w:val="auto"/>
          <w:highlight w:val="none"/>
        </w:rPr>
        <w:t>以上提供的复印件必须加盖比选申请人公章。</w:t>
      </w:r>
    </w:p>
    <w:p>
      <w:pPr>
        <w:ind w:firstLine="420" w:firstLineChars="200"/>
        <w:rPr>
          <w:rFonts w:hAnsi="宋体"/>
          <w:color w:val="auto"/>
          <w:highlight w:val="none"/>
        </w:rPr>
        <w:sectPr>
          <w:footerReference r:id="rId3" w:type="default"/>
          <w:pgSz w:w="11905" w:h="16838"/>
          <w:pgMar w:top="1417" w:right="1417" w:bottom="1417" w:left="1417" w:header="454" w:footer="567" w:gutter="0"/>
          <w:pgNumType w:start="1"/>
          <w:cols w:space="720" w:num="1"/>
          <w:docGrid w:linePitch="312" w:charSpace="0"/>
        </w:sectPr>
      </w:pPr>
    </w:p>
    <w:p>
      <w:pPr>
        <w:widowControl/>
        <w:numPr>
          <w:ilvl w:val="1"/>
          <w:numId w:val="7"/>
        </w:numPr>
        <w:snapToGrid w:val="0"/>
        <w:spacing w:after="100" w:afterAutospacing="1"/>
        <w:ind w:firstLine="0"/>
        <w:jc w:val="left"/>
        <w:outlineLvl w:val="0"/>
        <w:rPr>
          <w:rFonts w:ascii="宋体" w:hAnsi="宋体"/>
          <w:b/>
          <w:color w:val="auto"/>
          <w:highlight w:val="none"/>
        </w:rPr>
      </w:pPr>
      <w:bookmarkStart w:id="1082" w:name="_Toc3499"/>
      <w:bookmarkStart w:id="1083" w:name="_Toc7057"/>
      <w:bookmarkStart w:id="1084" w:name="_Toc32455"/>
      <w:bookmarkStart w:id="1085" w:name="_Toc13389"/>
      <w:bookmarkStart w:id="1086" w:name="_Toc956"/>
      <w:bookmarkStart w:id="1087" w:name="_Toc20029"/>
      <w:bookmarkStart w:id="1088" w:name="_Toc9658"/>
      <w:bookmarkStart w:id="1089" w:name="_Toc22533"/>
      <w:bookmarkStart w:id="1090" w:name="_Toc10789"/>
      <w:bookmarkStart w:id="1091" w:name="_Toc4125"/>
      <w:bookmarkStart w:id="1092" w:name="_Toc10433"/>
      <w:bookmarkStart w:id="1093" w:name="_Toc24436"/>
      <w:bookmarkStart w:id="1094" w:name="_Toc16089"/>
      <w:bookmarkStart w:id="1095" w:name="_Toc414290522"/>
      <w:bookmarkStart w:id="1096" w:name="_Toc10238"/>
      <w:bookmarkStart w:id="1097" w:name="_Toc12984807"/>
      <w:bookmarkStart w:id="1098" w:name="_Toc20671"/>
      <w:bookmarkStart w:id="1099" w:name="_Toc20283"/>
      <w:bookmarkStart w:id="1100" w:name="_Toc492478804"/>
      <w:bookmarkStart w:id="1101" w:name="_Toc8868"/>
      <w:bookmarkStart w:id="1102" w:name="_Toc15696"/>
      <w:bookmarkStart w:id="1103" w:name="_Toc375564351"/>
      <w:bookmarkStart w:id="1104" w:name="_Toc25750675"/>
      <w:r>
        <w:rPr>
          <w:rFonts w:ascii="宋体" w:hAnsi="宋体"/>
          <w:b/>
          <w:color w:val="auto"/>
          <w:highlight w:val="none"/>
        </w:rPr>
        <w:t>法定代表人授权书格式</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spacing w:before="240" w:after="240"/>
        <w:jc w:val="center"/>
        <w:rPr>
          <w:rFonts w:ascii="宋体" w:hAnsi="宋体"/>
          <w:b/>
          <w:color w:val="auto"/>
          <w:sz w:val="32"/>
          <w:szCs w:val="32"/>
          <w:highlight w:val="none"/>
        </w:rPr>
      </w:pPr>
    </w:p>
    <w:p>
      <w:pPr>
        <w:spacing w:before="240" w:after="24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spacing w:line="360" w:lineRule="auto"/>
        <w:ind w:left="500" w:hanging="499"/>
        <w:rPr>
          <w:rFonts w:ascii="宋体" w:hAnsi="宋体"/>
          <w:color w:val="auto"/>
          <w:highlight w:val="none"/>
        </w:rPr>
      </w:pPr>
      <w:r>
        <w:rPr>
          <w:rFonts w:ascii="宋体" w:hAnsi="宋体"/>
          <w:color w:val="auto"/>
          <w:highlight w:val="none"/>
        </w:rPr>
        <w:t>致：南宁轨道交通</w:t>
      </w:r>
      <w:r>
        <w:rPr>
          <w:rFonts w:hint="eastAsia" w:ascii="宋体" w:hAnsi="宋体"/>
          <w:color w:val="auto"/>
          <w:highlight w:val="none"/>
        </w:rPr>
        <w:t>运营</w:t>
      </w:r>
      <w:r>
        <w:rPr>
          <w:rFonts w:ascii="宋体" w:hAnsi="宋体"/>
          <w:color w:val="auto"/>
          <w:highlight w:val="none"/>
        </w:rPr>
        <w:t>有限公司</w:t>
      </w:r>
    </w:p>
    <w:p>
      <w:pPr>
        <w:tabs>
          <w:tab w:val="left" w:pos="8364"/>
        </w:tabs>
        <w:snapToGrid w:val="0"/>
        <w:spacing w:line="360" w:lineRule="auto"/>
        <w:ind w:firstLine="420" w:firstLineChars="200"/>
        <w:rPr>
          <w:rFonts w:ascii="宋体" w:hAnsi="宋体"/>
          <w:color w:val="auto"/>
          <w:highlight w:val="none"/>
        </w:rPr>
      </w:pPr>
      <w:r>
        <w:rPr>
          <w:rFonts w:ascii="宋体" w:hAnsi="宋体"/>
          <w:color w:val="auto"/>
          <w:highlight w:val="none"/>
        </w:rPr>
        <w:t>本授权书声明：注册于</w:t>
      </w:r>
      <w:r>
        <w:rPr>
          <w:rFonts w:hint="eastAsia" w:ascii="宋体" w:hAnsi="宋体"/>
          <w:color w:val="auto"/>
          <w:highlight w:val="none"/>
          <w:lang w:eastAsia="zh-CN"/>
        </w:rPr>
        <w:t>（</w:t>
      </w:r>
      <w:r>
        <w:rPr>
          <w:rFonts w:ascii="宋体" w:hAnsi="宋体"/>
          <w:color w:val="auto"/>
          <w:highlight w:val="none"/>
          <w:u w:val="single"/>
        </w:rPr>
        <w:t>国家或地区</w:t>
      </w:r>
      <w:r>
        <w:rPr>
          <w:rFonts w:hint="eastAsia" w:ascii="宋体" w:hAnsi="宋体"/>
          <w:color w:val="auto"/>
          <w:highlight w:val="none"/>
          <w:u w:val="single"/>
          <w:lang w:eastAsia="zh-CN"/>
        </w:rPr>
        <w:t>）</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ascii="宋体" w:hAnsi="宋体"/>
          <w:color w:val="auto"/>
          <w:highlight w:val="none"/>
          <w:u w:val="single"/>
        </w:rPr>
        <w:t xml:space="preserve">   </w:t>
      </w:r>
      <w:r>
        <w:rPr>
          <w:rFonts w:ascii="宋体" w:hAnsi="宋体"/>
          <w:color w:val="auto"/>
          <w:highlight w:val="none"/>
        </w:rPr>
        <w:t>的项目的服务的比选申请和合同执行，作为比选申请人代表以本公司的名义处理一切与之有关的事宜。</w:t>
      </w:r>
    </w:p>
    <w:p>
      <w:pPr>
        <w:tabs>
          <w:tab w:val="left" w:pos="8364"/>
        </w:tabs>
        <w:snapToGrid w:val="0"/>
        <w:spacing w:line="360" w:lineRule="auto"/>
        <w:ind w:firstLine="420" w:firstLineChars="200"/>
        <w:rPr>
          <w:rFonts w:ascii="宋体" w:hAnsi="宋体"/>
          <w:color w:val="auto"/>
          <w:highlight w:val="none"/>
        </w:rPr>
      </w:pPr>
    </w:p>
    <w:p>
      <w:pPr>
        <w:tabs>
          <w:tab w:val="left" w:pos="8364"/>
        </w:tabs>
        <w:snapToGrid w:val="0"/>
        <w:spacing w:line="360" w:lineRule="auto"/>
        <w:ind w:firstLine="210" w:firstLineChars="1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日签字生效，特此声明。</w:t>
      </w:r>
    </w:p>
    <w:p>
      <w:pPr>
        <w:tabs>
          <w:tab w:val="left" w:pos="8364"/>
        </w:tabs>
        <w:snapToGrid w:val="0"/>
        <w:spacing w:line="360" w:lineRule="auto"/>
        <w:ind w:firstLine="200"/>
        <w:rPr>
          <w:rFonts w:ascii="宋体" w:hAnsi="宋体"/>
          <w:color w:val="auto"/>
          <w:highlight w:val="none"/>
        </w:rPr>
      </w:pP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法定代表人签字或盖章：</w:t>
      </w:r>
      <w:r>
        <w:rPr>
          <w:rFonts w:hint="eastAsia" w:ascii="宋体" w:hAnsi="宋体"/>
          <w:color w:val="auto"/>
          <w:highlight w:val="none"/>
          <w:u w:val="single"/>
        </w:rPr>
        <w:t xml:space="preserve">                    </w:t>
      </w: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职务：</w:t>
      </w:r>
      <w:r>
        <w:rPr>
          <w:rFonts w:hint="eastAsia" w:ascii="宋体" w:hAnsi="宋体"/>
          <w:color w:val="auto"/>
          <w:highlight w:val="none"/>
          <w:u w:val="single"/>
        </w:rPr>
        <w:t xml:space="preserve">                     </w:t>
      </w:r>
    </w:p>
    <w:p>
      <w:pPr>
        <w:tabs>
          <w:tab w:val="left" w:pos="8364"/>
        </w:tabs>
        <w:snapToGrid w:val="0"/>
        <w:spacing w:line="600" w:lineRule="auto"/>
        <w:ind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r>
        <w:rPr>
          <w:rFonts w:hint="eastAsia" w:ascii="宋体" w:hAnsi="宋体"/>
          <w:color w:val="auto"/>
          <w:highlight w:val="none"/>
          <w:u w:val="single"/>
        </w:rPr>
        <w:t xml:space="preserve">            </w:t>
      </w: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tabs>
          <w:tab w:val="left" w:pos="8364"/>
        </w:tabs>
        <w:snapToGrid w:val="0"/>
        <w:spacing w:line="480" w:lineRule="auto"/>
        <w:ind w:firstLine="200"/>
        <w:rPr>
          <w:rFonts w:ascii="宋体" w:hAnsi="宋体"/>
          <w:color w:val="auto"/>
          <w:highlight w:val="none"/>
        </w:rPr>
      </w:pP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比选申请人代表（被授权人）签字或盖章：</w:t>
      </w:r>
      <w:r>
        <w:rPr>
          <w:rFonts w:hint="eastAsia" w:ascii="宋体" w:hAnsi="宋体"/>
          <w:color w:val="auto"/>
          <w:highlight w:val="none"/>
          <w:u w:val="single"/>
        </w:rPr>
        <w:t xml:space="preserve">                    </w:t>
      </w: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职务：</w:t>
      </w:r>
      <w:r>
        <w:rPr>
          <w:rFonts w:hint="eastAsia" w:ascii="宋体" w:hAnsi="宋体"/>
          <w:color w:val="auto"/>
          <w:highlight w:val="none"/>
          <w:u w:val="single"/>
        </w:rPr>
        <w:t xml:space="preserve">                    </w:t>
      </w:r>
    </w:p>
    <w:p>
      <w:pPr>
        <w:tabs>
          <w:tab w:val="left" w:pos="8364"/>
        </w:tabs>
        <w:snapToGrid w:val="0"/>
        <w:spacing w:line="600" w:lineRule="auto"/>
        <w:ind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r>
        <w:rPr>
          <w:rFonts w:hint="eastAsia" w:ascii="宋体" w:hAnsi="宋体"/>
          <w:color w:val="auto"/>
          <w:highlight w:val="none"/>
          <w:u w:val="single"/>
        </w:rPr>
        <w:t xml:space="preserve">                </w:t>
      </w:r>
      <w:r>
        <w:rPr>
          <w:rFonts w:hint="eastAsia" w:ascii="宋体" w:hAnsi="宋体"/>
          <w:color w:val="auto"/>
          <w:highlight w:val="none"/>
        </w:rPr>
        <w:t xml:space="preserve"> </w:t>
      </w: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line="600" w:lineRule="auto"/>
        <w:ind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firstLine="200"/>
        <w:rPr>
          <w:rFonts w:ascii="宋体" w:hAnsi="宋体"/>
          <w:color w:val="auto"/>
          <w:highlight w:val="none"/>
          <w:u w:val="singl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widowControl/>
        <w:numPr>
          <w:ilvl w:val="1"/>
          <w:numId w:val="7"/>
        </w:numPr>
        <w:snapToGrid w:val="0"/>
        <w:spacing w:after="100" w:afterAutospacing="1"/>
        <w:ind w:firstLine="0"/>
        <w:jc w:val="left"/>
        <w:outlineLvl w:val="0"/>
        <w:rPr>
          <w:rFonts w:ascii="宋体" w:hAnsi="宋体"/>
          <w:b/>
          <w:color w:val="auto"/>
          <w:highlight w:val="none"/>
        </w:rPr>
      </w:pPr>
      <w:bookmarkStart w:id="1105" w:name="_Toc7753"/>
      <w:bookmarkStart w:id="1106" w:name="_Toc13798"/>
      <w:bookmarkStart w:id="1107" w:name="_Toc9757"/>
      <w:bookmarkStart w:id="1108" w:name="_Toc7273"/>
      <w:bookmarkStart w:id="1109" w:name="_Toc15980"/>
      <w:bookmarkStart w:id="1110" w:name="_Toc24322"/>
      <w:bookmarkStart w:id="1111" w:name="_Toc492478805"/>
      <w:bookmarkStart w:id="1112" w:name="_Toc26713"/>
      <w:bookmarkStart w:id="1113" w:name="_Toc27722"/>
      <w:bookmarkStart w:id="1114" w:name="_Toc375564352"/>
      <w:bookmarkStart w:id="1115" w:name="_Toc9583"/>
      <w:bookmarkStart w:id="1116" w:name="_Toc414290523"/>
      <w:bookmarkStart w:id="1117" w:name="_Toc31808"/>
      <w:bookmarkStart w:id="1118" w:name="_Toc27657"/>
      <w:bookmarkStart w:id="1119" w:name="_Toc19744"/>
      <w:bookmarkStart w:id="1120" w:name="_Toc13606"/>
      <w:bookmarkStart w:id="1121" w:name="_Toc13634"/>
      <w:bookmarkStart w:id="1122" w:name="_Toc15572"/>
      <w:bookmarkStart w:id="1123" w:name="_Toc12984808"/>
      <w:bookmarkStart w:id="1124" w:name="_Toc25750676"/>
      <w:bookmarkStart w:id="1125" w:name="_Toc8654"/>
      <w:bookmarkStart w:id="1126" w:name="_Toc17964"/>
      <w:bookmarkStart w:id="1127" w:name="_Toc20436"/>
      <w:r>
        <w:rPr>
          <w:rFonts w:ascii="宋体" w:hAnsi="宋体"/>
          <w:b/>
          <w:color w:val="auto"/>
          <w:highlight w:val="none"/>
        </w:rPr>
        <w:t>法定代表人资格证明书格式</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ind w:firstLine="200"/>
        <w:rPr>
          <w:rFonts w:ascii="宋体" w:hAnsi="宋体"/>
          <w:color w:val="auto"/>
          <w:highlight w:val="none"/>
        </w:rPr>
      </w:pPr>
    </w:p>
    <w:p>
      <w:pPr>
        <w:spacing w:before="240" w:after="24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spacing w:line="600" w:lineRule="auto"/>
        <w:ind w:firstLine="200"/>
        <w:rPr>
          <w:rFonts w:ascii="宋体" w:hAnsi="宋体"/>
          <w:color w:val="auto"/>
          <w:highlight w:val="none"/>
          <w:u w:val="single"/>
        </w:rPr>
      </w:pPr>
      <w:r>
        <w:rPr>
          <w:rFonts w:ascii="宋体" w:hAnsi="宋体"/>
          <w:color w:val="auto"/>
          <w:highlight w:val="none"/>
        </w:rPr>
        <w:t>单位名称：</w:t>
      </w:r>
      <w:r>
        <w:rPr>
          <w:rFonts w:hint="eastAsia" w:ascii="宋体" w:hAnsi="宋体"/>
          <w:color w:val="auto"/>
          <w:highlight w:val="none"/>
          <w:u w:val="single"/>
        </w:rPr>
        <w:t xml:space="preserve">                      </w:t>
      </w:r>
    </w:p>
    <w:p>
      <w:pPr>
        <w:spacing w:line="600" w:lineRule="auto"/>
        <w:ind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line="600" w:lineRule="auto"/>
        <w:ind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u w:val="single"/>
        </w:rPr>
        <w:t xml:space="preserve">            </w:t>
      </w:r>
      <w:r>
        <w:rPr>
          <w:rFonts w:ascii="宋体" w:hAnsi="宋体"/>
          <w:color w:val="auto"/>
          <w:highlight w:val="none"/>
        </w:rPr>
        <w:t>性别：</w:t>
      </w:r>
      <w:r>
        <w:rPr>
          <w:rFonts w:hint="eastAsia" w:ascii="宋体" w:hAnsi="宋体"/>
          <w:color w:val="auto"/>
          <w:highlight w:val="none"/>
          <w:u w:val="single"/>
        </w:rPr>
        <w:t xml:space="preserve">             </w:t>
      </w:r>
      <w:r>
        <w:rPr>
          <w:rFonts w:ascii="宋体" w:hAnsi="宋体"/>
          <w:color w:val="auto"/>
          <w:highlight w:val="none"/>
        </w:rPr>
        <w:t>年龄：</w:t>
      </w:r>
      <w:r>
        <w:rPr>
          <w:rFonts w:hint="eastAsia" w:ascii="宋体" w:hAnsi="宋体"/>
          <w:color w:val="auto"/>
          <w:highlight w:val="none"/>
          <w:u w:val="single"/>
        </w:rPr>
        <w:t xml:space="preserve">           </w:t>
      </w:r>
      <w:r>
        <w:rPr>
          <w:rFonts w:ascii="宋体" w:hAnsi="宋体"/>
          <w:color w:val="auto"/>
          <w:highlight w:val="none"/>
        </w:rPr>
        <w:t>职务：</w:t>
      </w:r>
      <w:r>
        <w:rPr>
          <w:rFonts w:hint="eastAsia" w:ascii="宋体" w:hAnsi="宋体"/>
          <w:color w:val="auto"/>
          <w:highlight w:val="none"/>
          <w:u w:val="single"/>
        </w:rPr>
        <w:t xml:space="preserve">          </w:t>
      </w:r>
    </w:p>
    <w:p>
      <w:pPr>
        <w:spacing w:line="600" w:lineRule="auto"/>
        <w:ind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w:t>
      </w:r>
      <w:r>
        <w:rPr>
          <w:rFonts w:ascii="宋体" w:hAnsi="宋体"/>
          <w:color w:val="auto"/>
          <w:highlight w:val="none"/>
        </w:rPr>
        <w:t>的法定代表人。</w:t>
      </w:r>
    </w:p>
    <w:p>
      <w:pPr>
        <w:spacing w:line="600" w:lineRule="auto"/>
        <w:ind w:firstLine="200"/>
        <w:rPr>
          <w:rFonts w:ascii="宋体" w:hAnsi="宋体"/>
          <w:color w:val="auto"/>
          <w:highlight w:val="none"/>
        </w:rPr>
      </w:pPr>
      <w:r>
        <w:rPr>
          <w:rFonts w:ascii="宋体" w:hAnsi="宋体"/>
          <w:color w:val="auto"/>
          <w:highlight w:val="none"/>
        </w:rPr>
        <w:t>特此证明。</w:t>
      </w:r>
    </w:p>
    <w:p>
      <w:pPr>
        <w:ind w:firstLine="200"/>
        <w:rPr>
          <w:rFonts w:ascii="宋体" w:hAnsi="宋体"/>
          <w:color w:val="auto"/>
          <w:highlight w:val="none"/>
        </w:rPr>
      </w:pPr>
    </w:p>
    <w:p>
      <w:pPr>
        <w:spacing w:line="600" w:lineRule="auto"/>
        <w:ind w:firstLine="200"/>
        <w:rPr>
          <w:rFonts w:ascii="宋体" w:hAnsi="宋体"/>
          <w:color w:val="auto"/>
          <w:highlight w:val="none"/>
          <w:u w:val="single"/>
        </w:rPr>
      </w:pPr>
      <w:r>
        <w:rPr>
          <w:rFonts w:ascii="宋体" w:hAnsi="宋体"/>
          <w:color w:val="auto"/>
          <w:highlight w:val="none"/>
        </w:rPr>
        <w:t>比选申请人：（盖章）</w:t>
      </w:r>
      <w:r>
        <w:rPr>
          <w:rFonts w:hint="eastAsia" w:ascii="宋体" w:hAnsi="宋体"/>
          <w:color w:val="auto"/>
          <w:highlight w:val="none"/>
          <w:u w:val="single"/>
        </w:rPr>
        <w:t xml:space="preserve">                   </w:t>
      </w:r>
    </w:p>
    <w:p>
      <w:pPr>
        <w:spacing w:line="600" w:lineRule="auto"/>
        <w:ind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spacing w:line="600" w:lineRule="auto"/>
        <w:ind w:firstLine="211" w:firstLineChars="100"/>
        <w:rPr>
          <w:rFonts w:ascii="宋体" w:hAnsi="宋体"/>
          <w:b/>
          <w:color w:val="auto"/>
          <w:highlight w:val="none"/>
        </w:rPr>
      </w:pPr>
      <w:bookmarkStart w:id="1128" w:name="_Toc12984809"/>
      <w:r>
        <w:rPr>
          <w:rFonts w:hint="eastAsia" w:ascii="宋体" w:hAnsi="宋体"/>
          <w:b/>
          <w:color w:val="auto"/>
          <w:highlight w:val="none"/>
        </w:rPr>
        <w:t>附</w:t>
      </w:r>
      <w:r>
        <w:rPr>
          <w:rFonts w:hint="eastAsia" w:ascii="宋体" w:hAnsi="宋体"/>
          <w:b/>
          <w:color w:val="auto"/>
          <w:highlight w:val="none"/>
          <w:lang w:eastAsia="zh-CN"/>
        </w:rPr>
        <w:t>：</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firstLine="422" w:firstLineChars="200"/>
        <w:jc w:val="left"/>
        <w:outlineLvl w:val="0"/>
        <w:rPr>
          <w:rFonts w:ascii="宋体" w:hAnsi="宋体"/>
          <w:b/>
          <w:color w:val="auto"/>
          <w:highlight w:val="none"/>
        </w:rPr>
      </w:pPr>
      <w:bookmarkStart w:id="1129" w:name="_Toc16467"/>
      <w:bookmarkStart w:id="1130" w:name="_Toc24848"/>
      <w:bookmarkStart w:id="1131" w:name="_Toc492478806"/>
      <w:bookmarkStart w:id="1132" w:name="_Toc3426"/>
      <w:bookmarkStart w:id="1133" w:name="_Toc15609"/>
      <w:bookmarkStart w:id="1134" w:name="_Toc15394"/>
      <w:bookmarkStart w:id="1135" w:name="_Toc31448"/>
      <w:bookmarkStart w:id="1136" w:name="_Toc26907"/>
      <w:bookmarkStart w:id="1137" w:name="_Toc6033"/>
      <w:bookmarkStart w:id="1138" w:name="_Toc414290524"/>
      <w:bookmarkStart w:id="1139" w:name="_Toc17745"/>
      <w:bookmarkStart w:id="1140" w:name="_Toc32062"/>
      <w:bookmarkStart w:id="1141" w:name="_Toc375564353"/>
      <w:bookmarkStart w:id="1142" w:name="_Toc11425"/>
      <w:bookmarkStart w:id="1143" w:name="_Toc26097"/>
      <w:bookmarkStart w:id="1144" w:name="_Toc4894"/>
      <w:bookmarkStart w:id="1145" w:name="_Toc7712"/>
      <w:bookmarkStart w:id="1146" w:name="_Toc29246"/>
      <w:bookmarkStart w:id="1147" w:name="_Toc1932"/>
      <w:bookmarkStart w:id="1148" w:name="_Toc21307"/>
      <w:bookmarkStart w:id="1149" w:name="_Toc19721"/>
      <w:bookmarkStart w:id="1150" w:name="_Toc25750677"/>
      <w:r>
        <w:rPr>
          <w:rFonts w:hint="eastAsia" w:ascii="宋体" w:hAnsi="宋体"/>
          <w:b/>
          <w:color w:val="auto"/>
          <w:highlight w:val="none"/>
        </w:rPr>
        <w:t xml:space="preserve">A3 </w:t>
      </w:r>
      <w:r>
        <w:rPr>
          <w:rFonts w:ascii="宋体" w:hAnsi="宋体"/>
          <w:b/>
          <w:color w:val="auto"/>
          <w:highlight w:val="none"/>
        </w:rPr>
        <w:t>承诺书格式</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spacing w:before="240" w:after="240" w:line="360" w:lineRule="exact"/>
        <w:jc w:val="center"/>
        <w:rPr>
          <w:rFonts w:ascii="宋体" w:hAnsi="宋体"/>
          <w:b/>
          <w:color w:val="auto"/>
          <w:sz w:val="32"/>
          <w:szCs w:val="32"/>
          <w:highlight w:val="none"/>
        </w:rPr>
      </w:pPr>
      <w:r>
        <w:rPr>
          <w:rFonts w:ascii="宋体" w:hAnsi="宋体"/>
          <w:b/>
          <w:color w:val="auto"/>
          <w:sz w:val="32"/>
          <w:szCs w:val="32"/>
          <w:highlight w:val="none"/>
        </w:rPr>
        <w:t>承诺书</w:t>
      </w:r>
    </w:p>
    <w:p>
      <w:pPr>
        <w:spacing w:line="360" w:lineRule="auto"/>
        <w:ind w:firstLine="420" w:firstLineChars="200"/>
        <w:jc w:val="left"/>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运营</w:t>
      </w:r>
      <w:r>
        <w:rPr>
          <w:rFonts w:ascii="宋体" w:hAnsi="宋体"/>
          <w:color w:val="auto"/>
          <w:highlight w:val="none"/>
          <w:u w:val="single"/>
        </w:rPr>
        <w:t>有限公司</w:t>
      </w:r>
    </w:p>
    <w:p>
      <w:pPr>
        <w:spacing w:line="360" w:lineRule="auto"/>
        <w:ind w:firstLine="420" w:firstLineChars="200"/>
        <w:jc w:val="left"/>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运营</w:t>
      </w:r>
      <w:r>
        <w:rPr>
          <w:rFonts w:ascii="宋体" w:hAnsi="宋体"/>
          <w:color w:val="auto"/>
          <w:highlight w:val="none"/>
        </w:rPr>
        <w:t>有限公司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项目的招比选申请</w:t>
      </w:r>
      <w:r>
        <w:rPr>
          <w:rFonts w:ascii="宋体" w:hAnsi="宋体"/>
          <w:color w:val="auto"/>
          <w:highlight w:val="none"/>
        </w:rPr>
        <w:t>活动。</w:t>
      </w:r>
    </w:p>
    <w:p>
      <w:pPr>
        <w:spacing w:line="360" w:lineRule="auto"/>
        <w:ind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line="360" w:lineRule="auto"/>
        <w:ind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没有处于被责令停业，或比选申请资格被中国银行保险监督管理委员会和中国保险监督管理委员会或其地方监管局取消，或财产被接管、破产状态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line="360" w:lineRule="auto"/>
        <w:ind w:firstLine="420" w:firstLineChars="200"/>
        <w:jc w:val="left"/>
        <w:rPr>
          <w:rFonts w:ascii="宋体" w:hAnsi="宋体"/>
          <w:color w:val="auto"/>
          <w:highlight w:val="none"/>
        </w:rPr>
      </w:pPr>
      <w:r>
        <w:rPr>
          <w:rFonts w:hint="eastAsia" w:ascii="宋体" w:hAnsi="宋体"/>
          <w:b w:val="0"/>
          <w:color w:val="auto"/>
          <w:highlight w:val="none"/>
        </w:rPr>
        <w:t>5、</w:t>
      </w:r>
      <w:r>
        <w:rPr>
          <w:rFonts w:ascii="宋体" w:hAnsi="宋体"/>
          <w:color w:val="auto"/>
          <w:highlight w:val="none"/>
        </w:rPr>
        <w:t>如果</w:t>
      </w:r>
      <w:r>
        <w:rPr>
          <w:rFonts w:hint="eastAsia" w:ascii="宋体" w:hAnsi="宋体"/>
          <w:color w:val="auto"/>
          <w:highlight w:val="none"/>
        </w:rPr>
        <w:t>比选人</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w:t>
      </w:r>
      <w:r>
        <w:rPr>
          <w:rFonts w:hint="eastAsia" w:ascii="宋体" w:hAnsi="宋体"/>
          <w:color w:val="auto"/>
          <w:highlight w:val="none"/>
        </w:rPr>
        <w:t>比选人</w:t>
      </w:r>
      <w:r>
        <w:rPr>
          <w:rFonts w:ascii="宋体" w:hAnsi="宋体"/>
          <w:color w:val="auto"/>
          <w:highlight w:val="none"/>
        </w:rPr>
        <w:t>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视为比选人违约，比选人愿意接受</w:t>
      </w:r>
      <w:r>
        <w:rPr>
          <w:rFonts w:ascii="宋体" w:hAnsi="宋体"/>
          <w:color w:val="auto"/>
          <w:highlight w:val="none"/>
        </w:rPr>
        <w:t>比选人或有管辖权的监管机构的处罚；如果</w:t>
      </w:r>
      <w:r>
        <w:rPr>
          <w:rFonts w:hint="eastAsia" w:ascii="宋体" w:hAnsi="宋体"/>
          <w:color w:val="auto"/>
          <w:highlight w:val="none"/>
        </w:rPr>
        <w:t>比选人</w:t>
      </w:r>
      <w:r>
        <w:rPr>
          <w:rFonts w:ascii="宋体" w:hAnsi="宋体"/>
          <w:color w:val="auto"/>
          <w:highlight w:val="none"/>
        </w:rPr>
        <w:t>已</w:t>
      </w:r>
      <w:r>
        <w:rPr>
          <w:rFonts w:hint="eastAsia" w:ascii="宋体" w:hAnsi="宋体"/>
          <w:color w:val="auto"/>
          <w:highlight w:val="none"/>
        </w:rPr>
        <w:t>与比选人签订合同，则视为比选人违约，</w:t>
      </w:r>
      <w:r>
        <w:rPr>
          <w:rFonts w:ascii="宋体" w:hAnsi="宋体"/>
          <w:color w:val="auto"/>
          <w:highlight w:val="none"/>
        </w:rPr>
        <w:t>由此造成的任何后果和损失均由</w:t>
      </w:r>
      <w:r>
        <w:rPr>
          <w:rFonts w:hint="eastAsia" w:ascii="宋体" w:hAnsi="宋体"/>
          <w:color w:val="auto"/>
          <w:highlight w:val="none"/>
        </w:rPr>
        <w:t>比选人</w:t>
      </w:r>
      <w:r>
        <w:rPr>
          <w:rFonts w:ascii="宋体" w:hAnsi="宋体"/>
          <w:color w:val="auto"/>
          <w:highlight w:val="none"/>
        </w:rPr>
        <w:t>承担。本段承诺既是</w:t>
      </w:r>
      <w:r>
        <w:rPr>
          <w:rFonts w:hint="eastAsia" w:ascii="宋体" w:hAnsi="宋体"/>
          <w:color w:val="auto"/>
          <w:highlight w:val="none"/>
        </w:rPr>
        <w:t>比选人比选申请文件</w:t>
      </w:r>
      <w:r>
        <w:rPr>
          <w:rFonts w:ascii="宋体" w:hAnsi="宋体"/>
          <w:color w:val="auto"/>
          <w:highlight w:val="none"/>
        </w:rPr>
        <w:t>的有效组成内容，也是</w:t>
      </w:r>
      <w:r>
        <w:rPr>
          <w:rFonts w:hint="eastAsia" w:ascii="宋体" w:hAnsi="宋体"/>
          <w:color w:val="auto"/>
          <w:highlight w:val="none"/>
        </w:rPr>
        <w:t>比选人</w:t>
      </w:r>
      <w:r>
        <w:rPr>
          <w:rFonts w:ascii="宋体" w:hAnsi="宋体"/>
          <w:color w:val="auto"/>
          <w:highlight w:val="none"/>
        </w:rPr>
        <w:t>真实意思的表示，对</w:t>
      </w:r>
      <w:r>
        <w:rPr>
          <w:rFonts w:hint="eastAsia" w:ascii="宋体" w:hAnsi="宋体"/>
          <w:color w:val="auto"/>
          <w:highlight w:val="none"/>
        </w:rPr>
        <w:t>比选人</w:t>
      </w:r>
      <w:r>
        <w:rPr>
          <w:rFonts w:ascii="宋体" w:hAnsi="宋体"/>
          <w:color w:val="auto"/>
          <w:highlight w:val="none"/>
        </w:rPr>
        <w:t>在与该项目有关的任何行为中始终具有优先的法律约束力。</w:t>
      </w:r>
    </w:p>
    <w:p>
      <w:pPr>
        <w:spacing w:line="360" w:lineRule="auto"/>
        <w:ind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line="360" w:lineRule="auto"/>
        <w:ind w:firstLine="420" w:firstLineChars="200"/>
        <w:rPr>
          <w:rFonts w:ascii="宋体" w:hAnsi="宋体"/>
          <w:color w:val="auto"/>
          <w:highlight w:val="none"/>
        </w:rPr>
      </w:pPr>
      <w:r>
        <w:rPr>
          <w:rFonts w:hint="eastAsia" w:ascii="宋体" w:hAnsi="宋体"/>
          <w:color w:val="auto"/>
          <w:highlight w:val="none"/>
        </w:rPr>
        <w:t>7、我方保证本次比选申请的保险拥有合法的销售权，并保证比选人在中华人民共和国使用该比选申请服务或其任何一部分时，免受第三方提出侵犯其任何专利权、著作权、注册商标专有使用权或计算机软件登记或反不正当竞争的起诉及索赔。</w:t>
      </w:r>
    </w:p>
    <w:p>
      <w:pPr>
        <w:pStyle w:val="25"/>
        <w:ind w:left="0" w:leftChars="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、我方承诺将完全按照贵方用户需求书中的全部内容来完成承保服务。</w:t>
      </w:r>
    </w:p>
    <w:p>
      <w:pPr>
        <w:spacing w:line="360" w:lineRule="auto"/>
        <w:ind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line="480" w:lineRule="auto"/>
        <w:ind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r>
        <w:rPr>
          <w:rFonts w:hint="eastAsia" w:ascii="宋体" w:hAnsi="宋体"/>
          <w:color w:val="auto"/>
          <w:highlight w:val="none"/>
          <w:u w:val="single"/>
        </w:rPr>
        <w:t xml:space="preserve">                        </w:t>
      </w:r>
    </w:p>
    <w:p>
      <w:pPr>
        <w:spacing w:line="480" w:lineRule="auto"/>
        <w:ind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lang w:eastAsia="zh-CN"/>
        </w:rPr>
        <w:t>（</w:t>
      </w:r>
      <w:r>
        <w:rPr>
          <w:rFonts w:hint="eastAsia" w:ascii="宋体" w:hAnsi="宋体"/>
          <w:color w:val="auto"/>
          <w:highlight w:val="none"/>
          <w:u w:val="single"/>
        </w:rPr>
        <w:t>盖单位公章</w:t>
      </w:r>
      <w:r>
        <w:rPr>
          <w:rFonts w:hint="eastAsia" w:ascii="宋体" w:hAnsi="宋体"/>
          <w:color w:val="auto"/>
          <w:highlight w:val="none"/>
          <w:u w:val="single"/>
          <w:lang w:eastAsia="zh-CN"/>
        </w:rPr>
        <w:t>）</w:t>
      </w:r>
      <w:r>
        <w:rPr>
          <w:rFonts w:hint="eastAsia" w:ascii="宋体" w:hAnsi="宋体"/>
          <w:color w:val="auto"/>
          <w:highlight w:val="none"/>
          <w:u w:val="single"/>
        </w:rPr>
        <w:t xml:space="preserve">       </w:t>
      </w:r>
    </w:p>
    <w:p>
      <w:pPr>
        <w:spacing w:line="480" w:lineRule="auto"/>
        <w:ind w:firstLine="200"/>
        <w:rPr>
          <w:rFonts w:ascii="宋体" w:hAnsi="宋体"/>
          <w:color w:val="auto"/>
          <w:highlight w:val="none"/>
          <w:u w:val="single"/>
        </w:rPr>
      </w:pPr>
      <w:r>
        <w:rPr>
          <w:rFonts w:ascii="宋体" w:hAnsi="宋体"/>
          <w:color w:val="auto"/>
          <w:highlight w:val="none"/>
        </w:rPr>
        <w:t>邮政编码：</w:t>
      </w:r>
      <w:r>
        <w:rPr>
          <w:rFonts w:hint="eastAsia" w:ascii="宋体" w:hAnsi="宋体"/>
          <w:color w:val="auto"/>
          <w:highlight w:val="none"/>
          <w:u w:val="single"/>
        </w:rPr>
        <w:t xml:space="preserve">                   </w:t>
      </w:r>
    </w:p>
    <w:p>
      <w:pPr>
        <w:spacing w:line="480" w:lineRule="auto"/>
        <w:ind w:firstLine="200"/>
        <w:rPr>
          <w:rFonts w:ascii="宋体" w:hAnsi="宋体"/>
          <w:color w:val="auto"/>
          <w:highlight w:val="none"/>
          <w:u w:val="single"/>
        </w:rPr>
      </w:pPr>
      <w:r>
        <w:rPr>
          <w:rFonts w:hint="eastAsia" w:ascii="宋体" w:hAnsi="宋体"/>
          <w:color w:val="auto"/>
          <w:highlight w:val="none"/>
        </w:rPr>
        <w:t>法定代表人（或委托代理人）：</w:t>
      </w:r>
      <w:r>
        <w:rPr>
          <w:rFonts w:hint="eastAsia" w:ascii="宋体" w:hAnsi="宋体"/>
          <w:color w:val="auto"/>
          <w:highlight w:val="none"/>
          <w:u w:val="single"/>
        </w:rPr>
        <w:t xml:space="preserve">    </w:t>
      </w:r>
      <w:r>
        <w:rPr>
          <w:rFonts w:hint="eastAsia" w:ascii="宋体" w:hAnsi="宋体"/>
          <w:color w:val="auto"/>
          <w:highlight w:val="none"/>
          <w:u w:val="single"/>
          <w:lang w:eastAsia="zh-CN"/>
        </w:rPr>
        <w:t>（</w:t>
      </w:r>
      <w:r>
        <w:rPr>
          <w:rFonts w:ascii="宋体" w:hAnsi="宋体"/>
          <w:color w:val="auto"/>
          <w:highlight w:val="none"/>
          <w:u w:val="single"/>
        </w:rPr>
        <w:t>签字</w:t>
      </w:r>
      <w:r>
        <w:rPr>
          <w:rFonts w:hint="eastAsia" w:ascii="宋体" w:hAnsi="宋体"/>
          <w:color w:val="auto"/>
          <w:highlight w:val="none"/>
          <w:u w:val="single"/>
        </w:rPr>
        <w:t>或盖章</w:t>
      </w:r>
      <w:r>
        <w:rPr>
          <w:rFonts w:hint="eastAsia" w:ascii="宋体" w:hAnsi="宋体"/>
          <w:color w:val="auto"/>
          <w:highlight w:val="none"/>
          <w:u w:val="single"/>
          <w:lang w:eastAsia="zh-CN"/>
        </w:rPr>
        <w:t>）</w:t>
      </w:r>
    </w:p>
    <w:p>
      <w:pPr>
        <w:spacing w:line="480" w:lineRule="auto"/>
        <w:ind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r>
        <w:rPr>
          <w:rFonts w:hint="eastAsia" w:ascii="宋体" w:hAnsi="宋体"/>
          <w:color w:val="auto"/>
          <w:highlight w:val="none"/>
          <w:u w:val="single"/>
        </w:rPr>
        <w:t xml:space="preserve">             </w:t>
      </w:r>
    </w:p>
    <w:p>
      <w:pPr>
        <w:spacing w:line="480" w:lineRule="auto"/>
        <w:ind w:firstLine="200"/>
        <w:rPr>
          <w:rFonts w:ascii="宋体" w:hAnsi="宋体"/>
          <w:color w:val="auto"/>
          <w:highlight w:val="none"/>
          <w:u w:val="single"/>
        </w:rPr>
      </w:pPr>
      <w:r>
        <w:rPr>
          <w:rFonts w:ascii="宋体" w:hAnsi="宋体"/>
          <w:color w:val="auto"/>
          <w:highlight w:val="none"/>
        </w:rPr>
        <w:t>传真：</w:t>
      </w:r>
      <w:r>
        <w:rPr>
          <w:rFonts w:hint="eastAsia" w:ascii="宋体" w:hAnsi="宋体"/>
          <w:color w:val="auto"/>
          <w:highlight w:val="none"/>
          <w:u w:val="single"/>
        </w:rPr>
        <w:t xml:space="preserve">                        </w:t>
      </w:r>
    </w:p>
    <w:p>
      <w:pPr>
        <w:pStyle w:val="75"/>
        <w:widowControl/>
        <w:snapToGrid w:val="0"/>
        <w:spacing w:before="0" w:line="360" w:lineRule="auto"/>
        <w:ind w:left="0" w:right="720" w:firstLine="240" w:firstLineChars="100"/>
        <w:outlineLvl w:val="1"/>
        <w:rPr>
          <w:rFonts w:cs="宋体" w:asciiTheme="minorEastAsia" w:hAnsiTheme="minorEastAsia" w:eastAsiaTheme="minorEastAsia"/>
          <w:color w:val="auto"/>
          <w:szCs w:val="24"/>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pStyle w:val="4"/>
        <w:pageBreakBefore/>
        <w:spacing w:after="100"/>
        <w:ind w:right="-57"/>
        <w:jc w:val="center"/>
        <w:rPr>
          <w:rFonts w:ascii="宋体" w:hAnsi="宋体"/>
          <w:color w:val="auto"/>
          <w:sz w:val="24"/>
          <w:szCs w:val="24"/>
          <w:highlight w:val="none"/>
        </w:rPr>
      </w:pPr>
      <w:bookmarkStart w:id="1151" w:name="_Toc24971"/>
      <w:bookmarkStart w:id="1152" w:name="_Toc11582"/>
      <w:bookmarkStart w:id="1153" w:name="_Toc16676"/>
      <w:bookmarkStart w:id="1154" w:name="_Toc12677"/>
      <w:bookmarkStart w:id="1155" w:name="_Toc23770"/>
      <w:bookmarkStart w:id="1156" w:name="_Toc8451"/>
      <w:bookmarkStart w:id="1157" w:name="_Toc29358"/>
      <w:bookmarkStart w:id="1158" w:name="_Toc492478807"/>
      <w:bookmarkStart w:id="1159" w:name="_Toc12983551"/>
      <w:bookmarkStart w:id="1160" w:name="_Toc14586"/>
      <w:bookmarkStart w:id="1161" w:name="_Toc8874"/>
      <w:bookmarkStart w:id="1162" w:name="_Toc414290525"/>
      <w:bookmarkStart w:id="1163" w:name="_Toc18876"/>
      <w:bookmarkStart w:id="1164" w:name="_Toc12984811"/>
      <w:bookmarkStart w:id="1165" w:name="_Toc27820"/>
      <w:bookmarkStart w:id="1166" w:name="_Toc13328"/>
      <w:bookmarkStart w:id="1167" w:name="_Toc28662"/>
      <w:bookmarkStart w:id="1168" w:name="_Toc17687"/>
      <w:bookmarkStart w:id="1169" w:name="_Toc10812"/>
      <w:bookmarkStart w:id="1170" w:name="_Toc14988"/>
      <w:bookmarkStart w:id="1171" w:name="_Toc8914"/>
      <w:bookmarkStart w:id="1172" w:name="_Toc25750679"/>
      <w:r>
        <w:rPr>
          <w:rFonts w:ascii="宋体" w:hAnsi="宋体"/>
          <w:color w:val="auto"/>
          <w:sz w:val="24"/>
          <w:szCs w:val="24"/>
          <w:highlight w:val="none"/>
        </w:rPr>
        <w:t xml:space="preserve">B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Fonts w:hint="eastAsia" w:ascii="宋体" w:hAnsi="宋体"/>
          <w:color w:val="auto"/>
          <w:sz w:val="24"/>
          <w:szCs w:val="24"/>
          <w:highlight w:val="none"/>
        </w:rPr>
        <w:t>价格文件</w:t>
      </w:r>
      <w:bookmarkEnd w:id="1172"/>
    </w:p>
    <w:p>
      <w:pPr>
        <w:spacing w:line="360" w:lineRule="auto"/>
        <w:ind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line="36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line="36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line="36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pStyle w:val="75"/>
        <w:widowControl/>
        <w:snapToGrid w:val="0"/>
        <w:spacing w:before="0" w:line="360" w:lineRule="auto"/>
        <w:ind w:left="0" w:right="720" w:firstLine="420" w:firstLineChars="200"/>
        <w:outlineLvl w:val="1"/>
        <w:rPr>
          <w:rFonts w:cs="宋体" w:asciiTheme="minorEastAsia" w:hAnsiTheme="minorEastAsia" w:eastAsiaTheme="minorEastAsia"/>
          <w:color w:val="auto"/>
          <w:sz w:val="21"/>
          <w:szCs w:val="21"/>
          <w:highlight w:val="none"/>
        </w:rPr>
      </w:pPr>
      <w:r>
        <w:rPr>
          <w:rFonts w:hint="eastAsia"/>
          <w:color w:val="auto"/>
          <w:sz w:val="21"/>
          <w:szCs w:val="21"/>
          <w:highlight w:val="none"/>
        </w:rPr>
        <w:t>（4）比选申请人认为应提交的其他比选申请资料（如有）。</w:t>
      </w: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5"/>
        <w:tabs>
          <w:tab w:val="left" w:pos="567"/>
          <w:tab w:val="left" w:pos="720"/>
        </w:tabs>
        <w:snapToGrid w:val="0"/>
        <w:spacing w:after="100" w:line="360" w:lineRule="auto"/>
        <w:ind w:right="-57"/>
        <w:jc w:val="left"/>
        <w:rPr>
          <w:rFonts w:ascii="宋体" w:hAnsi="宋体" w:eastAsia="宋体"/>
          <w:color w:val="auto"/>
          <w:sz w:val="21"/>
          <w:szCs w:val="21"/>
          <w:highlight w:val="none"/>
        </w:rPr>
      </w:pPr>
      <w:bookmarkStart w:id="1173" w:name="_Toc9861"/>
      <w:bookmarkStart w:id="1174" w:name="_Toc9560"/>
      <w:bookmarkStart w:id="1175" w:name="_Toc29688"/>
      <w:bookmarkStart w:id="1176" w:name="_Toc12983552"/>
      <w:bookmarkStart w:id="1177" w:name="_Toc375564355"/>
      <w:bookmarkStart w:id="1178" w:name="_Toc1158"/>
      <w:bookmarkStart w:id="1179" w:name="_Toc12951"/>
      <w:bookmarkStart w:id="1180" w:name="_Toc24326"/>
      <w:bookmarkStart w:id="1181" w:name="_Toc18340"/>
      <w:bookmarkStart w:id="1182" w:name="_Toc7004"/>
      <w:bookmarkStart w:id="1183" w:name="_Toc24487"/>
      <w:bookmarkStart w:id="1184" w:name="_Toc10991"/>
      <w:bookmarkStart w:id="1185" w:name="_Toc27610"/>
      <w:bookmarkStart w:id="1186" w:name="_Toc12984812"/>
      <w:bookmarkStart w:id="1187" w:name="_Toc16489"/>
      <w:bookmarkStart w:id="1188" w:name="_Toc29231"/>
      <w:bookmarkStart w:id="1189" w:name="_Toc492478808"/>
      <w:bookmarkStart w:id="1190" w:name="_Toc414290526"/>
      <w:bookmarkStart w:id="1191" w:name="_Toc18516"/>
      <w:bookmarkStart w:id="1192" w:name="_Toc25750680"/>
      <w:bookmarkStart w:id="1193" w:name="_Toc23615"/>
      <w:bookmarkStart w:id="1194" w:name="_Toc25419"/>
      <w:bookmarkStart w:id="1195" w:name="_Toc6992"/>
      <w:bookmarkStart w:id="1196" w:name="_Toc13980"/>
      <w:r>
        <w:rPr>
          <w:rFonts w:ascii="宋体" w:hAnsi="宋体" w:eastAsia="宋体"/>
          <w:color w:val="auto"/>
          <w:sz w:val="21"/>
          <w:szCs w:val="21"/>
          <w:highlight w:val="none"/>
        </w:rPr>
        <w:t>B1比选申请报价一览表</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snapToGrid w:val="0"/>
        <w:spacing w:after="50"/>
        <w:ind w:right="-57"/>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snapToGrid w:val="0"/>
        <w:spacing w:line="360" w:lineRule="auto"/>
        <w:ind w:right="-57" w:rightChars="-27"/>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 xml:space="preserve"> </w:t>
      </w:r>
      <w:r>
        <w:rPr>
          <w:rFonts w:hint="eastAsia" w:cs="宋体" w:asciiTheme="minorEastAsia" w:hAnsiTheme="minorEastAsia" w:eastAsiaTheme="minorEastAsia"/>
          <w:color w:val="auto"/>
          <w:szCs w:val="21"/>
          <w:highlight w:val="none"/>
          <w:u w:val="single"/>
        </w:rPr>
        <w:t>南宁轨道交通运营有限公司员工食堂除“四害”消杀服务采购项目</w:t>
      </w:r>
      <w:r>
        <w:rPr>
          <w:rFonts w:hint="eastAsia" w:ascii="宋体" w:hAnsi="宋体"/>
          <w:color w:val="auto"/>
          <w:highlight w:val="none"/>
          <w:u w:val="single"/>
        </w:rPr>
        <w:t xml:space="preserve"> </w:t>
      </w:r>
    </w:p>
    <w:p>
      <w:pPr>
        <w:snapToGrid w:val="0"/>
        <w:spacing w:line="360" w:lineRule="auto"/>
        <w:ind w:right="-57" w:rightChars="-27"/>
        <w:rPr>
          <w:rFonts w:ascii="宋体" w:hAnsi="宋体"/>
          <w:color w:val="auto"/>
          <w:highlight w:val="none"/>
        </w:rPr>
      </w:pPr>
      <w:r>
        <w:rPr>
          <w:rFonts w:hint="eastAsia" w:ascii="宋体" w:hAnsi="宋体"/>
          <w:color w:val="auto"/>
          <w:highlight w:val="none"/>
        </w:rPr>
        <w:t>项目编号：</w:t>
      </w:r>
      <w:r>
        <w:rPr>
          <w:rFonts w:hint="eastAsia" w:ascii="宋体" w:hAnsi="宋体"/>
          <w:color w:val="auto"/>
          <w:highlight w:val="none"/>
          <w:u w:val="single"/>
        </w:rPr>
        <w:t xml:space="preserve">         202208030003          </w:t>
      </w:r>
    </w:p>
    <w:p>
      <w:pPr>
        <w:snapToGrid w:val="0"/>
        <w:spacing w:line="360" w:lineRule="auto"/>
        <w:ind w:right="-57" w:rightChars="-27"/>
        <w:rPr>
          <w:rFonts w:ascii="宋体" w:hAnsi="宋体"/>
          <w:color w:val="auto"/>
          <w:highlight w:val="none"/>
        </w:rPr>
      </w:pPr>
      <w:r>
        <w:rPr>
          <w:rFonts w:hint="eastAsia" w:ascii="宋体" w:hAnsi="宋体"/>
          <w:color w:val="auto"/>
          <w:highlight w:val="none"/>
        </w:rPr>
        <w:t>比选申请人名称：</w:t>
      </w:r>
      <w:r>
        <w:rPr>
          <w:rFonts w:hint="eastAsia" w:ascii="宋体" w:hAnsi="宋体"/>
          <w:color w:val="auto"/>
          <w:highlight w:val="none"/>
          <w:u w:val="single"/>
        </w:rPr>
        <w:t xml:space="preserve">                           </w:t>
      </w:r>
      <w:r>
        <w:rPr>
          <w:rFonts w:hint="eastAsia" w:ascii="宋体" w:hAnsi="宋体"/>
          <w:color w:val="auto"/>
          <w:highlight w:val="none"/>
        </w:rPr>
        <w:t xml:space="preserve">                   单位：元</w:t>
      </w:r>
    </w:p>
    <w:tbl>
      <w:tblPr>
        <w:tblStyle w:val="26"/>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snapToGrid w:val="0"/>
              <w:spacing w:line="360" w:lineRule="auto"/>
              <w:ind w:right="-57" w:rightChars="-27"/>
              <w:jc w:val="center"/>
              <w:rPr>
                <w:rFonts w:ascii="宋体" w:hAnsi="宋体"/>
                <w:b/>
                <w:color w:val="auto"/>
                <w:highlight w:val="none"/>
                <w:u w:val="single"/>
              </w:rPr>
            </w:pPr>
            <w:r>
              <w:rPr>
                <w:rFonts w:hint="eastAsia" w:ascii="宋体" w:hAnsi="宋体"/>
                <w:b/>
                <w:bCs/>
                <w:color w:val="auto"/>
                <w:highlight w:val="none"/>
              </w:rPr>
              <w:t>不含税报价</w:t>
            </w:r>
          </w:p>
        </w:tc>
        <w:tc>
          <w:tcPr>
            <w:tcW w:w="1981" w:type="dxa"/>
            <w:tcBorders>
              <w:bottom w:val="single" w:color="auto" w:sz="4" w:space="0"/>
            </w:tcBorders>
            <w:vAlign w:val="center"/>
          </w:tcPr>
          <w:p>
            <w:pPr>
              <w:snapToGrid w:val="0"/>
              <w:spacing w:line="360" w:lineRule="auto"/>
              <w:ind w:right="-57" w:rightChars="-27"/>
              <w:jc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446" w:type="dxa"/>
            <w:tcBorders>
              <w:bottom w:val="single" w:color="auto" w:sz="4" w:space="0"/>
            </w:tcBorders>
            <w:vAlign w:val="center"/>
          </w:tcPr>
          <w:p>
            <w:pPr>
              <w:snapToGrid w:val="0"/>
              <w:spacing w:line="360" w:lineRule="auto"/>
              <w:ind w:right="-57" w:rightChars="-27"/>
              <w:jc w:val="center"/>
              <w:rPr>
                <w:rFonts w:ascii="宋体" w:hAnsi="宋体"/>
                <w:b/>
                <w:bCs/>
                <w:color w:val="auto"/>
                <w:highlight w:val="none"/>
              </w:rPr>
            </w:pPr>
            <w:r>
              <w:rPr>
                <w:rFonts w:hint="eastAsia" w:ascii="宋体" w:hAnsi="宋体"/>
                <w:b/>
                <w:bCs/>
                <w:color w:val="auto"/>
                <w:highlight w:val="none"/>
              </w:rPr>
              <w:t>比选申请总报价</w:t>
            </w:r>
          </w:p>
        </w:tc>
        <w:tc>
          <w:tcPr>
            <w:tcW w:w="5131" w:type="dxa"/>
            <w:tcBorders>
              <w:bottom w:val="single" w:color="auto" w:sz="4" w:space="0"/>
            </w:tcBorders>
            <w:vAlign w:val="center"/>
          </w:tcPr>
          <w:p>
            <w:pPr>
              <w:snapToGrid w:val="0"/>
              <w:spacing w:line="360" w:lineRule="auto"/>
              <w:ind w:right="-57" w:rightChars="-27"/>
              <w:jc w:val="left"/>
              <w:rPr>
                <w:rFonts w:ascii="宋体" w:hAnsi="宋体"/>
                <w:b/>
                <w:color w:val="auto"/>
                <w:highlight w:val="none"/>
                <w:u w:val="single"/>
              </w:rPr>
            </w:pPr>
            <w:r>
              <w:rPr>
                <w:rFonts w:hint="eastAsia" w:ascii="宋体" w:hAnsi="宋体"/>
                <w:b/>
                <w:color w:val="auto"/>
                <w:highlight w:val="none"/>
              </w:rPr>
              <w:t>小写：</w:t>
            </w:r>
            <w:r>
              <w:rPr>
                <w:rFonts w:ascii="宋体" w:hAnsi="宋体"/>
                <w:b/>
                <w:color w:val="auto"/>
                <w:highlight w:val="none"/>
                <w:u w:val="single"/>
              </w:rPr>
              <w:t xml:space="preserve">              </w:t>
            </w:r>
          </w:p>
          <w:p>
            <w:pPr>
              <w:snapToGrid w:val="0"/>
              <w:spacing w:line="360" w:lineRule="auto"/>
              <w:ind w:right="-57" w:rightChars="-27"/>
              <w:jc w:val="left"/>
              <w:rPr>
                <w:rFonts w:ascii="宋体" w:hAnsi="宋体"/>
                <w:b/>
                <w:color w:val="auto"/>
                <w:highlight w:val="none"/>
              </w:rPr>
            </w:pPr>
            <w:r>
              <w:rPr>
                <w:rFonts w:hint="eastAsia" w:ascii="宋体" w:hAnsi="宋体"/>
                <w:b/>
                <w:color w:val="auto"/>
                <w:highlight w:val="none"/>
              </w:rPr>
              <w:t>大写：</w:t>
            </w:r>
            <w:r>
              <w:rPr>
                <w:rFonts w:ascii="宋体" w:hAnsi="宋体"/>
                <w:b/>
                <w:color w:val="auto"/>
                <w:highlight w:val="none"/>
                <w:u w:val="single"/>
              </w:rPr>
              <w:t xml:space="preserve">              </w:t>
            </w:r>
          </w:p>
        </w:tc>
        <w:tc>
          <w:tcPr>
            <w:tcW w:w="1981" w:type="dxa"/>
            <w:tcBorders>
              <w:bottom w:val="single" w:color="auto" w:sz="4" w:space="0"/>
            </w:tcBorders>
            <w:vAlign w:val="center"/>
          </w:tcPr>
          <w:p>
            <w:pPr>
              <w:snapToGrid w:val="0"/>
              <w:spacing w:line="360" w:lineRule="auto"/>
              <w:ind w:right="-57" w:rightChars="-27"/>
              <w:rPr>
                <w:rFonts w:ascii="宋体" w:hAnsi="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snapToGrid w:val="0"/>
              <w:spacing w:line="360" w:lineRule="auto"/>
              <w:ind w:right="-57" w:rightChars="-27"/>
              <w:jc w:val="center"/>
              <w:rPr>
                <w:rFonts w:ascii="宋体" w:hAnsi="宋体"/>
                <w:b/>
                <w:color w:val="auto"/>
                <w:highlight w:val="none"/>
              </w:rPr>
            </w:pPr>
            <w:r>
              <w:rPr>
                <w:rFonts w:hint="eastAsia" w:ascii="宋体" w:hAnsi="宋体"/>
                <w:b/>
                <w:color w:val="auto"/>
                <w:highlight w:val="none"/>
              </w:rPr>
              <w:t>增值税率</w:t>
            </w:r>
          </w:p>
        </w:tc>
        <w:tc>
          <w:tcPr>
            <w:tcW w:w="7112" w:type="dxa"/>
            <w:gridSpan w:val="2"/>
            <w:vAlign w:val="center"/>
          </w:tcPr>
          <w:p>
            <w:pPr>
              <w:snapToGrid w:val="0"/>
              <w:spacing w:line="360" w:lineRule="auto"/>
              <w:ind w:right="-57" w:rightChars="-27"/>
              <w:rPr>
                <w:rFonts w:ascii="宋体" w:hAnsi="宋体"/>
                <w:b/>
                <w:color w:val="auto"/>
                <w:highlight w:val="none"/>
              </w:rPr>
            </w:pPr>
            <w:r>
              <w:rPr>
                <w:rFonts w:hint="eastAsia" w:ascii="宋体" w:hAnsi="宋体"/>
                <w:color w:val="auto"/>
                <w:highlight w:val="none"/>
                <w:u w:val="single"/>
              </w:rPr>
              <w:t xml:space="preserve">        </w:t>
            </w:r>
            <w:r>
              <w:rPr>
                <w:rFonts w:hint="eastAsia" w:ascii="宋体" w:hAnsi="宋体"/>
                <w:b/>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snapToGrid w:val="0"/>
              <w:spacing w:line="360" w:lineRule="auto"/>
              <w:ind w:right="-57" w:rightChars="-27"/>
              <w:jc w:val="center"/>
              <w:rPr>
                <w:rFonts w:ascii="宋体" w:hAnsi="宋体"/>
                <w:b/>
                <w:color w:val="auto"/>
                <w:highlight w:val="none"/>
              </w:rPr>
            </w:pPr>
            <w:r>
              <w:rPr>
                <w:rFonts w:hint="eastAsia" w:ascii="宋体" w:hAnsi="宋体"/>
                <w:b/>
                <w:color w:val="auto"/>
                <w:highlight w:val="none"/>
              </w:rPr>
              <w:t>服务期</w:t>
            </w:r>
          </w:p>
        </w:tc>
        <w:tc>
          <w:tcPr>
            <w:tcW w:w="7112" w:type="dxa"/>
            <w:gridSpan w:val="2"/>
            <w:vAlign w:val="center"/>
          </w:tcPr>
          <w:p>
            <w:pPr>
              <w:snapToGrid w:val="0"/>
              <w:spacing w:line="360" w:lineRule="auto"/>
              <w:ind w:right="-57" w:rightChars="-27"/>
              <w:rPr>
                <w:rFonts w:ascii="宋体" w:hAnsi="宋体"/>
                <w:b/>
                <w:color w:val="auto"/>
                <w:highlight w:val="none"/>
              </w:rPr>
            </w:pPr>
            <w:r>
              <w:rPr>
                <w:rFonts w:hint="eastAsia" w:ascii="宋体" w:hAnsi="宋体"/>
                <w:b/>
                <w:color w:val="auto"/>
                <w:highlight w:val="none"/>
              </w:rPr>
              <w:t>24个月</w:t>
            </w:r>
          </w:p>
        </w:tc>
      </w:tr>
    </w:tbl>
    <w:p>
      <w:pPr>
        <w:spacing w:line="360" w:lineRule="auto"/>
        <w:rPr>
          <w:rFonts w:ascii="宋体" w:hAnsi="宋体"/>
          <w:color w:val="auto"/>
          <w:highlight w:val="none"/>
        </w:rPr>
      </w:pPr>
      <w:r>
        <w:rPr>
          <w:rFonts w:hint="eastAsia" w:ascii="宋体" w:hAnsi="宋体"/>
          <w:color w:val="auto"/>
          <w:highlight w:val="none"/>
        </w:rPr>
        <w:t>注</w:t>
      </w:r>
      <w:r>
        <w:rPr>
          <w:rFonts w:hint="eastAsia" w:ascii="宋体" w:hAnsi="宋体"/>
          <w:color w:val="auto"/>
          <w:highlight w:val="none"/>
          <w:lang w:eastAsia="zh-CN"/>
        </w:rPr>
        <w:t>：</w:t>
      </w:r>
      <w:r>
        <w:rPr>
          <w:rFonts w:hint="eastAsia" w:ascii="宋体" w:hAnsi="宋体"/>
          <w:color w:val="auto"/>
          <w:highlight w:val="none"/>
        </w:rPr>
        <w:t xml:space="preserve"> </w:t>
      </w:r>
      <w:r>
        <w:rPr>
          <w:rFonts w:hint="eastAsia" w:asciiTheme="minorEastAsia" w:hAnsiTheme="minorEastAsia" w:eastAsiaTheme="minorEastAsia"/>
          <w:color w:val="auto"/>
          <w:highlight w:val="none"/>
        </w:rPr>
        <w:t>比选申请报价应包括履行合同标的全过程产生的所有成本和费用以及比选申请人应承担的费用。</w:t>
      </w:r>
    </w:p>
    <w:p>
      <w:pPr>
        <w:spacing w:line="360" w:lineRule="auto"/>
        <w:ind w:right="-57" w:firstLine="420"/>
        <w:rPr>
          <w:rFonts w:ascii="宋体" w:hAnsi="宋体"/>
          <w:color w:val="auto"/>
          <w:sz w:val="24"/>
          <w:szCs w:val="24"/>
          <w:highlight w:val="none"/>
        </w:rPr>
      </w:pPr>
    </w:p>
    <w:p>
      <w:pPr>
        <w:snapToGrid w:val="0"/>
        <w:spacing w:after="50" w:line="360" w:lineRule="auto"/>
        <w:ind w:left="953" w:right="-817" w:firstLine="1443"/>
        <w:rPr>
          <w:rFonts w:ascii="宋体" w:hAnsi="宋体"/>
          <w:color w:val="auto"/>
          <w:highlight w:val="none"/>
        </w:rPr>
      </w:pPr>
    </w:p>
    <w:p>
      <w:pPr>
        <w:snapToGrid w:val="0"/>
        <w:spacing w:after="50" w:line="360" w:lineRule="auto"/>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50" w:line="360" w:lineRule="auto"/>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r>
        <w:rPr>
          <w:rFonts w:hint="eastAsia" w:ascii="宋体" w:hAnsi="宋体"/>
          <w:color w:val="auto"/>
          <w:highlight w:val="none"/>
          <w:u w:val="single"/>
        </w:rPr>
        <w:t xml:space="preserve">              </w:t>
      </w:r>
    </w:p>
    <w:p>
      <w:pPr>
        <w:spacing w:line="360" w:lineRule="auto"/>
        <w:ind w:right="-57"/>
        <w:jc w:val="center"/>
        <w:rPr>
          <w:rFonts w:ascii="宋体" w:hAnsi="宋体"/>
          <w:color w:val="auto"/>
          <w:highlight w:val="none"/>
        </w:rPr>
      </w:pPr>
      <w:r>
        <w:rPr>
          <w:rFonts w:hint="eastAsia" w:ascii="宋体" w:hAnsi="宋体"/>
          <w:color w:val="auto"/>
          <w:highlight w:val="none"/>
        </w:rPr>
        <w:t xml:space="preserve">    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5"/>
        <w:tabs>
          <w:tab w:val="left" w:pos="567"/>
          <w:tab w:val="left" w:pos="720"/>
        </w:tabs>
        <w:snapToGrid w:val="0"/>
        <w:spacing w:after="0" w:line="360" w:lineRule="auto"/>
        <w:jc w:val="left"/>
        <w:rPr>
          <w:rFonts w:ascii="宋体" w:hAnsi="宋体" w:eastAsia="宋体" w:cs="Arial"/>
          <w:color w:val="auto"/>
          <w:highlight w:val="none"/>
        </w:rPr>
      </w:pPr>
      <w:r>
        <w:rPr>
          <w:rFonts w:ascii="宋体" w:hAnsi="宋体" w:eastAsia="宋体"/>
          <w:color w:val="auto"/>
          <w:highlight w:val="none"/>
        </w:rPr>
        <w:br w:type="page"/>
      </w:r>
      <w:bookmarkStart w:id="1197" w:name="_Toc61680485"/>
      <w:bookmarkStart w:id="1198" w:name="_Toc110413986"/>
      <w:bookmarkStart w:id="1199" w:name="_Toc58124833"/>
      <w:bookmarkStart w:id="1200" w:name="_Toc68859063"/>
      <w:bookmarkStart w:id="1201" w:name="_Toc32224"/>
      <w:bookmarkStart w:id="1202" w:name="_Toc17112"/>
      <w:bookmarkStart w:id="1203" w:name="_Toc10260"/>
      <w:bookmarkStart w:id="1204" w:name="_Toc492478809"/>
      <w:bookmarkStart w:id="1205" w:name="_Toc241920153"/>
      <w:bookmarkStart w:id="1206" w:name="_Toc414290527"/>
      <w:bookmarkStart w:id="1207" w:name="_Toc2585"/>
      <w:bookmarkStart w:id="1208" w:name="_Toc11065"/>
      <w:bookmarkStart w:id="1209" w:name="_Toc29702"/>
      <w:bookmarkStart w:id="1210" w:name="_Toc6833"/>
      <w:bookmarkStart w:id="1211" w:name="_Toc2257"/>
      <w:bookmarkStart w:id="1212" w:name="_Toc25869"/>
      <w:bookmarkStart w:id="1213" w:name="_Toc8713"/>
      <w:bookmarkStart w:id="1214" w:name="_Toc25750681"/>
      <w:bookmarkStart w:id="1215" w:name="_Toc4976"/>
      <w:bookmarkStart w:id="1216" w:name="_Toc15419"/>
      <w:bookmarkStart w:id="1217" w:name="_Toc12984813"/>
      <w:bookmarkStart w:id="1218" w:name="_Toc14503"/>
      <w:bookmarkStart w:id="1219" w:name="_Toc14859"/>
      <w:bookmarkStart w:id="1220" w:name="_Toc21109"/>
      <w:bookmarkStart w:id="1221" w:name="_Toc6270"/>
      <w:bookmarkStart w:id="1222" w:name="_Toc375564356"/>
      <w:bookmarkStart w:id="1223" w:name="_Toc20737"/>
      <w:bookmarkStart w:id="1224" w:name="_Toc20864"/>
      <w:bookmarkStart w:id="1225" w:name="_Toc12983553"/>
      <w:r>
        <w:rPr>
          <w:rFonts w:ascii="宋体" w:hAnsi="宋体" w:eastAsia="宋体"/>
          <w:color w:val="auto"/>
          <w:sz w:val="21"/>
          <w:szCs w:val="21"/>
          <w:highlight w:val="none"/>
        </w:rPr>
        <w:t>B2比选申请</w:t>
      </w:r>
      <w:bookmarkEnd w:id="1197"/>
      <w:bookmarkEnd w:id="1198"/>
      <w:bookmarkEnd w:id="1199"/>
      <w:bookmarkEnd w:id="1200"/>
      <w:r>
        <w:rPr>
          <w:rFonts w:ascii="宋体" w:hAnsi="宋体" w:eastAsia="宋体"/>
          <w:color w:val="auto"/>
          <w:sz w:val="21"/>
          <w:szCs w:val="21"/>
          <w:highlight w:val="none"/>
        </w:rPr>
        <w:t>函格式</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jc w:val="center"/>
        <w:rPr>
          <w:rFonts w:ascii="宋体" w:hAnsi="宋体"/>
          <w:b/>
          <w:color w:val="auto"/>
          <w:sz w:val="32"/>
          <w:szCs w:val="32"/>
          <w:highlight w:val="none"/>
        </w:rPr>
      </w:pPr>
      <w:r>
        <w:rPr>
          <w:rFonts w:ascii="宋体" w:hAnsi="宋体"/>
          <w:b/>
          <w:color w:val="auto"/>
          <w:sz w:val="32"/>
          <w:szCs w:val="32"/>
          <w:highlight w:val="none"/>
        </w:rPr>
        <w:t>比选申请函</w:t>
      </w:r>
    </w:p>
    <w:p>
      <w:pPr>
        <w:rPr>
          <w:rFonts w:ascii="宋体" w:hAnsi="宋体"/>
          <w:color w:val="auto"/>
          <w:highlight w:val="none"/>
        </w:rPr>
      </w:pPr>
    </w:p>
    <w:p>
      <w:pPr>
        <w:spacing w:line="360" w:lineRule="auto"/>
        <w:rPr>
          <w:rFonts w:ascii="宋体" w:hAnsi="宋体"/>
          <w:color w:val="auto"/>
          <w:highlight w:val="none"/>
        </w:rPr>
      </w:pPr>
      <w:r>
        <w:rPr>
          <w:rFonts w:ascii="宋体" w:hAnsi="宋体"/>
          <w:color w:val="auto"/>
          <w:highlight w:val="none"/>
        </w:rPr>
        <w:t>致：南宁轨道交通</w:t>
      </w:r>
      <w:r>
        <w:rPr>
          <w:rFonts w:hint="eastAsia" w:ascii="宋体" w:hAnsi="宋体"/>
          <w:color w:val="auto"/>
          <w:highlight w:val="none"/>
        </w:rPr>
        <w:t>运营</w:t>
      </w:r>
      <w:r>
        <w:rPr>
          <w:rFonts w:ascii="宋体" w:hAnsi="宋体"/>
          <w:color w:val="auto"/>
          <w:highlight w:val="none"/>
        </w:rPr>
        <w:t>有限公司</w:t>
      </w:r>
    </w:p>
    <w:p>
      <w:pPr>
        <w:spacing w:line="360" w:lineRule="auto"/>
        <w:ind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采购服务的比选申请邀请</w:t>
      </w:r>
      <w:r>
        <w:rPr>
          <w:rFonts w:hint="eastAsia" w:ascii="宋体" w:hAnsi="宋体"/>
          <w:color w:val="auto"/>
          <w:highlight w:val="none"/>
          <w:lang w:eastAsia="zh-CN"/>
        </w:rPr>
        <w:t>（</w:t>
      </w:r>
      <w:r>
        <w:rPr>
          <w:rFonts w:ascii="宋体" w:hAnsi="宋体"/>
          <w:color w:val="auto"/>
          <w:highlight w:val="none"/>
        </w:rPr>
        <w:t>项目编号：</w:t>
      </w:r>
      <w:r>
        <w:rPr>
          <w:rFonts w:ascii="宋体" w:hAnsi="宋体"/>
          <w:color w:val="auto"/>
          <w:highlight w:val="none"/>
          <w:u w:val="single"/>
        </w:rPr>
        <w:t xml:space="preserve">   </w:t>
      </w:r>
      <w:r>
        <w:rPr>
          <w:rFonts w:hint="eastAsia" w:ascii="宋体" w:hAnsi="宋体"/>
          <w:color w:val="auto"/>
          <w:highlight w:val="none"/>
          <w:u w:val="single"/>
        </w:rPr>
        <w:t>202208030003</w:t>
      </w:r>
      <w:r>
        <w:rPr>
          <w:rFonts w:ascii="宋体" w:hAnsi="宋体"/>
          <w:color w:val="auto"/>
          <w:highlight w:val="none"/>
          <w:u w:val="single"/>
        </w:rPr>
        <w:t xml:space="preserve">  </w:t>
      </w:r>
      <w:r>
        <w:rPr>
          <w:rFonts w:ascii="宋体" w:hAnsi="宋体"/>
          <w:color w:val="auto"/>
          <w:highlight w:val="none"/>
        </w:rPr>
        <w:t>)，签字人</w:t>
      </w:r>
      <w:r>
        <w:rPr>
          <w:rFonts w:hint="eastAsia" w:ascii="宋体" w:hAnsi="宋体"/>
          <w:color w:val="auto"/>
          <w:highlight w:val="none"/>
          <w:lang w:eastAsia="zh-CN"/>
        </w:rPr>
        <w:t>（</w:t>
      </w:r>
      <w:r>
        <w:rPr>
          <w:rFonts w:ascii="宋体" w:hAnsi="宋体"/>
          <w:color w:val="auto"/>
          <w:highlight w:val="none"/>
          <w:u w:val="single"/>
        </w:rPr>
        <w:t>全名、职务</w:t>
      </w:r>
      <w:r>
        <w:rPr>
          <w:rFonts w:hint="eastAsia" w:ascii="宋体" w:hAnsi="宋体"/>
          <w:color w:val="auto"/>
          <w:highlight w:val="none"/>
          <w:u w:val="single"/>
          <w:lang w:eastAsia="zh-CN"/>
        </w:rPr>
        <w:t>）</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rPr>
        <w:t>1</w:t>
      </w:r>
      <w:r>
        <w:rPr>
          <w:rFonts w:ascii="宋体" w:hAnsi="宋体"/>
          <w:color w:val="auto"/>
          <w:highlight w:val="none"/>
          <w:u w:val="single"/>
        </w:rPr>
        <w:t xml:space="preserve"> </w:t>
      </w:r>
      <w:r>
        <w:rPr>
          <w:rFonts w:ascii="宋体" w:hAnsi="宋体"/>
          <w:color w:val="auto"/>
          <w:highlight w:val="none"/>
        </w:rPr>
        <w:t>份（U盘）。</w:t>
      </w:r>
    </w:p>
    <w:p>
      <w:pPr>
        <w:spacing w:line="360" w:lineRule="auto"/>
        <w:ind w:firstLine="420" w:firstLineChars="200"/>
        <w:rPr>
          <w:rFonts w:ascii="宋体" w:hAnsi="宋体"/>
          <w:color w:val="auto"/>
          <w:highlight w:val="none"/>
        </w:rPr>
      </w:pPr>
      <w:r>
        <w:rPr>
          <w:rFonts w:ascii="宋体" w:hAnsi="宋体"/>
          <w:color w:val="auto"/>
          <w:highlight w:val="none"/>
        </w:rPr>
        <w:t>据此，签字人宣布同意如下：</w:t>
      </w:r>
    </w:p>
    <w:p>
      <w:pPr>
        <w:spacing w:line="360" w:lineRule="auto"/>
        <w:ind w:firstLine="420" w:firstLineChars="200"/>
        <w:rPr>
          <w:rFonts w:ascii="宋体" w:hAnsi="宋体"/>
          <w:color w:val="auto"/>
          <w:highlight w:val="none"/>
        </w:rPr>
      </w:pPr>
      <w:bookmarkStart w:id="1226" w:name="_Toc375564357"/>
      <w:r>
        <w:rPr>
          <w:rFonts w:ascii="宋体" w:hAnsi="宋体"/>
          <w:color w:val="auto"/>
          <w:highlight w:val="none"/>
        </w:rPr>
        <w:t>1. 按比选文件要求规定的应提交和交付的服务并履行全部合同义务的比选申请总价如本比选申请文件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226"/>
    </w:p>
    <w:p>
      <w:pPr>
        <w:spacing w:line="360" w:lineRule="auto"/>
        <w:ind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line="360" w:lineRule="auto"/>
        <w:ind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line="360" w:lineRule="auto"/>
        <w:ind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u w:val="single"/>
        </w:rPr>
        <w:t>9</w:t>
      </w:r>
      <w:r>
        <w:rPr>
          <w:rFonts w:ascii="宋体" w:hAnsi="宋体"/>
          <w:color w:val="auto"/>
          <w:highlight w:val="none"/>
          <w:u w:val="single"/>
        </w:rPr>
        <w:t>0</w:t>
      </w:r>
      <w:r>
        <w:rPr>
          <w:rFonts w:ascii="宋体" w:hAnsi="宋体"/>
          <w:color w:val="auto"/>
          <w:highlight w:val="none"/>
        </w:rPr>
        <w:t>天内。</w:t>
      </w:r>
    </w:p>
    <w:p>
      <w:pPr>
        <w:spacing w:line="360" w:lineRule="auto"/>
        <w:ind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比选人</w:t>
      </w:r>
      <w:r>
        <w:rPr>
          <w:rFonts w:ascii="宋体" w:hAnsi="宋体"/>
          <w:color w:val="auto"/>
          <w:highlight w:val="none"/>
        </w:rPr>
        <w:t>在比选申请有效期内撤销比选申请，</w:t>
      </w:r>
      <w:r>
        <w:rPr>
          <w:rFonts w:hint="eastAsia" w:ascii="宋体" w:hAnsi="宋体"/>
          <w:color w:val="auto"/>
          <w:highlight w:val="none"/>
        </w:rPr>
        <w:t>所造成的损失比选人承担</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line="360" w:lineRule="auto"/>
        <w:ind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.与本比选申请有关的一切正式往来通讯请发往：</w:t>
      </w:r>
      <w:r>
        <w:rPr>
          <w:rFonts w:ascii="宋体" w:hAnsi="宋体"/>
          <w:color w:val="auto"/>
          <w:highlight w:val="none"/>
        </w:rPr>
        <w:tab/>
      </w:r>
    </w:p>
    <w:p>
      <w:pPr>
        <w:spacing w:line="360" w:lineRule="auto"/>
        <w:ind w:firstLine="420" w:firstLineChars="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ascii="宋体" w:hAnsi="宋体"/>
          <w:color w:val="auto"/>
          <w:highlight w:val="none"/>
        </w:rPr>
        <w:t>邮编：</w:t>
      </w:r>
      <w:r>
        <w:rPr>
          <w:rFonts w:hint="eastAsia" w:ascii="宋体" w:hAnsi="宋体"/>
          <w:color w:val="auto"/>
          <w:highlight w:val="none"/>
          <w:u w:val="single"/>
        </w:rPr>
        <w:t xml:space="preserve">                     </w:t>
      </w:r>
      <w:r>
        <w:rPr>
          <w:rFonts w:ascii="宋体" w:hAnsi="宋体"/>
          <w:color w:val="auto"/>
          <w:highlight w:val="none"/>
        </w:rPr>
        <w:t>传真：</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ascii="宋体" w:hAnsi="宋体"/>
          <w:color w:val="auto"/>
          <w:highlight w:val="none"/>
        </w:rPr>
        <w:t>电话：</w:t>
      </w:r>
      <w:r>
        <w:rPr>
          <w:rFonts w:hint="eastAsia" w:ascii="宋体" w:hAnsi="宋体"/>
          <w:color w:val="auto"/>
          <w:highlight w:val="none"/>
          <w:u w:val="single"/>
        </w:rPr>
        <w:t xml:space="preserve">                     </w:t>
      </w:r>
      <w:r>
        <w:rPr>
          <w:rFonts w:ascii="宋体" w:hAnsi="宋体"/>
          <w:color w:val="auto"/>
          <w:highlight w:val="none"/>
        </w:rPr>
        <w:t>电子邮件：</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r>
        <w:rPr>
          <w:rFonts w:hint="eastAsia" w:ascii="宋体" w:hAnsi="宋体"/>
          <w:color w:val="auto"/>
          <w:highlight w:val="none"/>
          <w:u w:val="single"/>
        </w:rPr>
        <w:t xml:space="preserve">              </w:t>
      </w:r>
    </w:p>
    <w:p>
      <w:pPr>
        <w:spacing w:line="360" w:lineRule="auto"/>
        <w:ind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hint="eastAsia" w:ascii="宋体" w:hAnsi="宋体" w:cs="Arial"/>
          <w:color w:val="auto"/>
          <w:highlight w:val="none"/>
        </w:rPr>
        <w:t>日期：</w:t>
      </w:r>
      <w:r>
        <w:rPr>
          <w:rFonts w:hint="eastAsia" w:ascii="宋体" w:hAnsi="宋体" w:cs="Arial"/>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75"/>
        <w:widowControl/>
        <w:snapToGrid w:val="0"/>
        <w:spacing w:before="0" w:line="360" w:lineRule="auto"/>
        <w:ind w:left="0" w:right="720" w:firstLine="211" w:firstLineChars="100"/>
        <w:outlineLvl w:val="1"/>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B</w:t>
      </w:r>
      <w:r>
        <w:rPr>
          <w:rFonts w:cs="宋体" w:asciiTheme="minorEastAsia" w:hAnsiTheme="minorEastAsia" w:eastAsiaTheme="minorEastAsia"/>
          <w:b/>
          <w:color w:val="auto"/>
          <w:sz w:val="21"/>
          <w:szCs w:val="21"/>
          <w:highlight w:val="none"/>
        </w:rPr>
        <w:t>3</w:t>
      </w:r>
      <w:r>
        <w:rPr>
          <w:rFonts w:hint="eastAsia" w:cs="宋体" w:asciiTheme="minorEastAsia" w:hAnsiTheme="minorEastAsia" w:eastAsiaTheme="minorEastAsia"/>
          <w:b/>
          <w:color w:val="auto"/>
          <w:sz w:val="21"/>
          <w:szCs w:val="21"/>
          <w:highlight w:val="none"/>
        </w:rPr>
        <w:t>比选申请报价表格式</w:t>
      </w:r>
    </w:p>
    <w:p>
      <w:pPr>
        <w:snapToGrid w:val="0"/>
        <w:ind w:right="-57"/>
        <w:jc w:val="center"/>
        <w:rPr>
          <w:rFonts w:ascii="宋体" w:hAnsi="宋体"/>
          <w:b/>
          <w:color w:val="auto"/>
          <w:highlight w:val="none"/>
        </w:rPr>
      </w:pPr>
      <w:r>
        <w:rPr>
          <w:rFonts w:hint="eastAsia" w:ascii="宋体" w:hAnsi="宋体"/>
          <w:b/>
          <w:color w:val="auto"/>
          <w:highlight w:val="none"/>
        </w:rPr>
        <w:t>比选申请报价表</w:t>
      </w:r>
    </w:p>
    <w:p>
      <w:pPr>
        <w:pStyle w:val="6"/>
        <w:rPr>
          <w:rFonts w:ascii="宋体" w:hAnsi="宋体"/>
          <w:b/>
          <w:color w:val="auto"/>
          <w:highlight w:val="none"/>
        </w:rPr>
      </w:pPr>
      <w:r>
        <w:rPr>
          <w:rFonts w:hint="eastAsia" w:ascii="宋体" w:hAnsi="宋体"/>
          <w:b/>
          <w:color w:val="auto"/>
          <w:highlight w:val="none"/>
        </w:rPr>
        <w:t xml:space="preserve">                               </w:t>
      </w:r>
    </w:p>
    <w:p>
      <w:pPr>
        <w:snapToGrid w:val="0"/>
        <w:ind w:left="7421" w:leftChars="3534" w:right="-57" w:firstLine="6291" w:firstLineChars="2984"/>
        <w:rPr>
          <w:rFonts w:ascii="宋体" w:hAnsi="宋体"/>
          <w:b/>
          <w:color w:val="auto"/>
          <w:highlight w:val="none"/>
        </w:rPr>
      </w:pPr>
      <w:r>
        <w:rPr>
          <w:rFonts w:hint="eastAsia" w:ascii="宋体" w:hAnsi="宋体"/>
          <w:b/>
          <w:color w:val="auto"/>
          <w:highlight w:val="none"/>
        </w:rPr>
        <w:t xml:space="preserve">                                                                      </w:t>
      </w:r>
      <w:r>
        <w:rPr>
          <w:rFonts w:hint="eastAsia" w:ascii="宋体" w:hAnsi="宋体"/>
          <w:bCs/>
          <w:color w:val="auto"/>
          <w:highlight w:val="none"/>
        </w:rPr>
        <w:t>单位：元</w:t>
      </w:r>
    </w:p>
    <w:tbl>
      <w:tblPr>
        <w:tblStyle w:val="26"/>
        <w:tblpPr w:leftFromText="180" w:rightFromText="180" w:vertAnchor="text" w:horzAnchor="page" w:tblpX="1517" w:tblpY="642"/>
        <w:tblOverlap w:val="never"/>
        <w:tblW w:w="9075" w:type="dxa"/>
        <w:tblInd w:w="0" w:type="dxa"/>
        <w:tblLayout w:type="fixed"/>
        <w:tblCellMar>
          <w:top w:w="0" w:type="dxa"/>
          <w:left w:w="108" w:type="dxa"/>
          <w:bottom w:w="0" w:type="dxa"/>
          <w:right w:w="108" w:type="dxa"/>
        </w:tblCellMar>
      </w:tblPr>
      <w:tblGrid>
        <w:gridCol w:w="540"/>
        <w:gridCol w:w="2100"/>
        <w:gridCol w:w="2340"/>
        <w:gridCol w:w="1020"/>
        <w:gridCol w:w="1410"/>
        <w:gridCol w:w="1665"/>
      </w:tblGrid>
      <w:tr>
        <w:tblPrEx>
          <w:tblCellMar>
            <w:top w:w="0" w:type="dxa"/>
            <w:left w:w="108" w:type="dxa"/>
            <w:bottom w:w="0" w:type="dxa"/>
            <w:right w:w="108" w:type="dxa"/>
          </w:tblCellMar>
        </w:tblPrEx>
        <w:trPr>
          <w:trHeight w:val="645"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序号</w:t>
            </w:r>
          </w:p>
        </w:tc>
        <w:tc>
          <w:tcPr>
            <w:tcW w:w="21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食堂名称</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消杀内容及范围</w:t>
            </w:r>
          </w:p>
        </w:tc>
        <w:tc>
          <w:tcPr>
            <w:tcW w:w="102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数量（次）</w:t>
            </w:r>
          </w:p>
        </w:tc>
        <w:tc>
          <w:tcPr>
            <w:tcW w:w="14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color w:val="auto"/>
                <w:sz w:val="22"/>
                <w:highlight w:val="none"/>
              </w:rPr>
              <w:t>不含税单价</w:t>
            </w:r>
          </w:p>
        </w:tc>
        <w:tc>
          <w:tcPr>
            <w:tcW w:w="166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color w:val="auto"/>
                <w:sz w:val="22"/>
                <w:highlight w:val="none"/>
              </w:rPr>
              <w:t xml:space="preserve">不含税合价 </w:t>
            </w: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控制中心食堂</w:t>
            </w:r>
          </w:p>
        </w:tc>
        <w:tc>
          <w:tcPr>
            <w:tcW w:w="2340" w:type="dxa"/>
            <w:vMerge w:val="restart"/>
            <w:tcBorders>
              <w:top w:val="single" w:color="auto" w:sz="4" w:space="0"/>
              <w:left w:val="single" w:color="auto" w:sz="4" w:space="0"/>
              <w:right w:val="single" w:color="auto" w:sz="4" w:space="0"/>
            </w:tcBorders>
            <w:shd w:val="clear" w:color="auto" w:fill="auto"/>
            <w:vAlign w:val="center"/>
          </w:tcPr>
          <w:p>
            <w:pPr>
              <w:pStyle w:val="77"/>
              <w:tabs>
                <w:tab w:val="right" w:leader="dot" w:pos="8306"/>
              </w:tabs>
              <w:spacing w:line="360" w:lineRule="auto"/>
              <w:ind w:left="0" w:leftChars="0" w:firstLine="420" w:firstLineChars="200"/>
              <w:rPr>
                <w:rFonts w:ascii="宋体" w:hAnsi="宋体" w:cs="宋体"/>
                <w:color w:val="auto"/>
                <w:sz w:val="18"/>
                <w:szCs w:val="18"/>
                <w:highlight w:val="none"/>
              </w:rPr>
            </w:pPr>
            <w:r>
              <w:rPr>
                <w:rStyle w:val="78"/>
                <w:rFonts w:hint="eastAsia" w:ascii="宋体" w:hAnsi="宋体"/>
                <w:color w:val="auto"/>
                <w:kern w:val="0"/>
                <w:szCs w:val="21"/>
                <w:highlight w:val="none"/>
              </w:rPr>
              <w:t>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屯里车辆段食堂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西乡塘停车场食堂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安吉综合基地食堂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新村停车场食堂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心圩车辆段食堂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7</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五象车辆段食堂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8</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那洪车辆段食堂</w:t>
            </w:r>
          </w:p>
        </w:tc>
        <w:tc>
          <w:tcPr>
            <w:tcW w:w="234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74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cs="宋体" w:asciiTheme="minorEastAsia" w:hAnsiTheme="minorEastAsia" w:eastAsiaTheme="minorEastAsia"/>
                <w:b/>
                <w:color w:val="auto"/>
                <w:kern w:val="0"/>
                <w:szCs w:val="21"/>
                <w:highlight w:val="none"/>
              </w:rPr>
              <w:t>不含税合计（总价）</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bl>
    <w:p>
      <w:pPr>
        <w:snapToGrid w:val="0"/>
        <w:ind w:left="7421" w:leftChars="3534" w:right="-57" w:firstLine="6291" w:firstLineChars="2984"/>
        <w:rPr>
          <w:color w:val="auto"/>
          <w:highlight w:val="none"/>
        </w:rPr>
      </w:pPr>
      <w:r>
        <w:rPr>
          <w:rFonts w:hint="eastAsia" w:ascii="宋体" w:hAnsi="宋体"/>
          <w:b/>
          <w:color w:val="auto"/>
          <w:highlight w:val="none"/>
        </w:rPr>
        <w:t xml:space="preserve">                                                                     </w:t>
      </w:r>
    </w:p>
    <w:p>
      <w:pPr>
        <w:pStyle w:val="25"/>
        <w:ind w:left="0" w:leftChars="0" w:firstLine="0" w:firstLineChars="0"/>
        <w:rPr>
          <w:color w:val="auto"/>
          <w:highlight w:val="none"/>
        </w:rPr>
      </w:pPr>
    </w:p>
    <w:p>
      <w:pPr>
        <w:spacing w:line="276" w:lineRule="auto"/>
        <w:jc w:val="left"/>
        <w:rPr>
          <w:rFonts w:asciiTheme="minorEastAsia" w:hAnsiTheme="minorEastAsia" w:eastAsiaTheme="minorEastAsia"/>
          <w:color w:val="auto"/>
          <w:szCs w:val="21"/>
          <w:highlight w:val="none"/>
        </w:rPr>
      </w:pPr>
    </w:p>
    <w:p>
      <w:pPr>
        <w:snapToGrid w:val="0"/>
        <w:ind w:right="-816"/>
        <w:jc w:val="center"/>
        <w:rPr>
          <w:rFonts w:ascii="宋体" w:hAnsi="宋体"/>
          <w:color w:val="auto"/>
          <w:highlight w:val="none"/>
        </w:rPr>
      </w:pPr>
      <w:r>
        <w:rPr>
          <w:rFonts w:hint="eastAsia" w:ascii="宋体" w:hAnsi="宋体"/>
          <w:color w:val="auto"/>
          <w:highlight w:val="none"/>
        </w:rPr>
        <w:t xml:space="preserve"> </w:t>
      </w:r>
      <w:r>
        <w:rPr>
          <w:rFonts w:ascii="宋体" w:hAnsi="宋体"/>
          <w:color w:val="auto"/>
          <w:highlight w:val="none"/>
        </w:rPr>
        <w:t xml:space="preserve">            </w:t>
      </w:r>
    </w:p>
    <w:p>
      <w:pPr>
        <w:snapToGrid w:val="0"/>
        <w:ind w:right="-816"/>
        <w:jc w:val="center"/>
        <w:rPr>
          <w:rFonts w:ascii="宋体" w:hAnsi="宋体"/>
          <w:color w:val="auto"/>
          <w:highlight w:val="none"/>
        </w:rPr>
      </w:pPr>
    </w:p>
    <w:p>
      <w:pPr>
        <w:snapToGrid w:val="0"/>
        <w:ind w:right="-816"/>
        <w:jc w:val="center"/>
        <w:rPr>
          <w:rFonts w:ascii="宋体" w:hAnsi="宋体"/>
          <w:color w:val="auto"/>
          <w:highlight w:val="none"/>
        </w:rPr>
      </w:pPr>
    </w:p>
    <w:p>
      <w:pPr>
        <w:snapToGrid w:val="0"/>
        <w:ind w:right="-816"/>
        <w:jc w:val="center"/>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pacing w:line="276" w:lineRule="auto"/>
        <w:ind w:firstLine="420" w:firstLineChars="200"/>
        <w:jc w:val="left"/>
        <w:rPr>
          <w:rFonts w:ascii="宋体" w:hAnsi="宋体"/>
          <w:color w:val="auto"/>
          <w:highlight w:val="none"/>
        </w:rPr>
      </w:pPr>
      <w:r>
        <w:rPr>
          <w:rFonts w:hint="eastAsia" w:ascii="宋体" w:hAnsi="宋体"/>
          <w:color w:val="auto"/>
          <w:highlight w:val="none"/>
        </w:rPr>
        <w:t xml:space="preserve">  </w:t>
      </w:r>
      <w:r>
        <w:rPr>
          <w:rFonts w:ascii="宋体" w:hAnsi="宋体"/>
          <w:color w:val="auto"/>
          <w:highlight w:val="none"/>
        </w:rPr>
        <w:t xml:space="preserve">                               </w:t>
      </w:r>
    </w:p>
    <w:p>
      <w:pPr>
        <w:spacing w:line="276" w:lineRule="auto"/>
        <w:ind w:firstLine="5460" w:firstLineChars="2600"/>
        <w:jc w:val="left"/>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5"/>
        <w:ind w:firstLine="470"/>
        <w:rPr>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asciiTheme="minorEastAsia" w:hAnsiTheme="minorEastAsia" w:eastAsiaTheme="minorEastAsia"/>
          <w:b/>
          <w:color w:val="auto"/>
          <w:highlight w:val="none"/>
        </w:rPr>
      </w:pPr>
      <w:bookmarkStart w:id="1227" w:name="_Toc492478827"/>
      <w:bookmarkStart w:id="1228" w:name="_Toc19107"/>
      <w:bookmarkStart w:id="1229" w:name="_Toc414290562"/>
      <w:bookmarkStart w:id="1230" w:name="_Toc14091"/>
      <w:bookmarkStart w:id="1231" w:name="_Toc9876"/>
      <w:bookmarkStart w:id="1232" w:name="_Toc22423"/>
      <w:bookmarkStart w:id="1233" w:name="_Toc25220"/>
      <w:bookmarkStart w:id="1234" w:name="_Toc2327"/>
      <w:bookmarkStart w:id="1235" w:name="_Toc15451"/>
      <w:bookmarkStart w:id="1236" w:name="_Toc17664"/>
      <w:bookmarkStart w:id="1237" w:name="_Toc32381"/>
      <w:bookmarkStart w:id="1238" w:name="_Toc19413"/>
      <w:bookmarkStart w:id="1239" w:name="_Toc25635"/>
      <w:bookmarkStart w:id="1240" w:name="_Toc8563"/>
      <w:bookmarkStart w:id="1241" w:name="_Toc30812"/>
      <w:bookmarkStart w:id="1242" w:name="_Toc29577"/>
      <w:bookmarkStart w:id="1243" w:name="_Toc13870"/>
      <w:bookmarkStart w:id="1244" w:name="_Toc6034"/>
      <w:bookmarkStart w:id="1245" w:name="_Toc3307"/>
      <w:bookmarkStart w:id="1246" w:name="_Toc25750683"/>
    </w:p>
    <w:p>
      <w:pPr>
        <w:pStyle w:val="25"/>
        <w:ind w:left="0" w:leftChars="0" w:firstLine="3855" w:firstLineChars="16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C</w:t>
      </w:r>
      <w:r>
        <w:rPr>
          <w:rFonts w:asciiTheme="minorEastAsia" w:hAnsiTheme="minorEastAsia" w:eastAsiaTheme="minorEastAsia"/>
          <w:b/>
          <w:color w:val="auto"/>
          <w:highlight w:val="none"/>
        </w:rPr>
        <w:t>技术</w:t>
      </w:r>
      <w:bookmarkEnd w:id="1227"/>
      <w:bookmarkEnd w:id="1228"/>
      <w:bookmarkEnd w:id="1229"/>
      <w:r>
        <w:rPr>
          <w:rFonts w:hint="eastAsia" w:asciiTheme="minorEastAsia" w:hAnsiTheme="minorEastAsia" w:eastAsiaTheme="minorEastAsia"/>
          <w:b/>
          <w:color w:val="auto"/>
          <w:highlight w:val="none"/>
        </w:rPr>
        <w:t>文件</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widowControl/>
        <w:spacing w:line="360" w:lineRule="auto"/>
        <w:ind w:firstLine="422" w:firstLineChars="200"/>
        <w:jc w:val="left"/>
        <w:rPr>
          <w:rFonts w:ascii="Times New Roman" w:hAnsi="宋体"/>
          <w:b/>
          <w:color w:val="auto"/>
          <w:kern w:val="0"/>
          <w:szCs w:val="21"/>
          <w:highlight w:val="none"/>
        </w:rPr>
      </w:pPr>
      <w:r>
        <w:rPr>
          <w:rFonts w:hint="eastAsia" w:ascii="Times New Roman" w:hAnsi="宋体"/>
          <w:b/>
          <w:color w:val="auto"/>
          <w:kern w:val="0"/>
          <w:szCs w:val="21"/>
          <w:highlight w:val="none"/>
        </w:rPr>
        <w:t>技术文件格式</w:t>
      </w:r>
    </w:p>
    <w:p>
      <w:pPr>
        <w:widowControl/>
        <w:spacing w:line="360" w:lineRule="auto"/>
        <w:ind w:firstLine="420" w:firstLineChars="200"/>
        <w:jc w:val="left"/>
        <w:rPr>
          <w:rFonts w:ascii="Times New Roman" w:hAnsi="宋体"/>
          <w:bCs/>
          <w:color w:val="auto"/>
          <w:kern w:val="0"/>
          <w:szCs w:val="21"/>
          <w:highlight w:val="none"/>
        </w:rPr>
      </w:pPr>
      <w:r>
        <w:rPr>
          <w:rFonts w:hint="eastAsia" w:ascii="Times New Roman" w:hAnsi="宋体"/>
          <w:bCs/>
          <w:color w:val="auto"/>
          <w:kern w:val="0"/>
          <w:szCs w:val="21"/>
          <w:highlight w:val="none"/>
        </w:rPr>
        <w:t>（1）</w:t>
      </w:r>
      <w:r>
        <w:rPr>
          <w:rFonts w:hint="eastAsia" w:ascii="Times New Roman" w:hAnsi="宋体"/>
          <w:bCs/>
          <w:color w:val="auto"/>
          <w:kern w:val="0"/>
          <w:szCs w:val="21"/>
          <w:highlight w:val="none"/>
          <w:lang w:val="en-US" w:eastAsia="zh-CN"/>
        </w:rPr>
        <w:t>消杀</w:t>
      </w:r>
      <w:r>
        <w:rPr>
          <w:rFonts w:hint="eastAsia" w:ascii="Times New Roman" w:hAnsi="宋体"/>
          <w:bCs/>
          <w:color w:val="auto"/>
          <w:kern w:val="0"/>
          <w:szCs w:val="21"/>
          <w:highlight w:val="none"/>
        </w:rPr>
        <w:t>服务实施方案（格式见C1）</w:t>
      </w:r>
    </w:p>
    <w:p>
      <w:pPr>
        <w:widowControl/>
        <w:spacing w:line="360" w:lineRule="auto"/>
        <w:ind w:firstLine="420" w:firstLineChars="200"/>
        <w:jc w:val="left"/>
        <w:rPr>
          <w:rFonts w:ascii="Times New Roman" w:hAnsi="宋体"/>
          <w:bCs/>
          <w:color w:val="auto"/>
          <w:kern w:val="0"/>
          <w:szCs w:val="21"/>
          <w:highlight w:val="none"/>
        </w:rPr>
      </w:pPr>
      <w:r>
        <w:rPr>
          <w:rFonts w:hint="eastAsia" w:ascii="Times New Roman" w:hAnsi="宋体"/>
          <w:bCs/>
          <w:color w:val="auto"/>
          <w:kern w:val="0"/>
          <w:szCs w:val="21"/>
          <w:highlight w:val="none"/>
        </w:rPr>
        <w:t>（2）比选响应表（格式见C2）</w:t>
      </w:r>
    </w:p>
    <w:p>
      <w:pPr>
        <w:widowControl/>
        <w:spacing w:line="360" w:lineRule="auto"/>
        <w:ind w:firstLine="420" w:firstLineChars="200"/>
        <w:jc w:val="left"/>
        <w:rPr>
          <w:rFonts w:ascii="Times New Roman" w:hAnsi="宋体"/>
          <w:bCs/>
          <w:color w:val="auto"/>
          <w:kern w:val="0"/>
          <w:szCs w:val="21"/>
          <w:highlight w:val="none"/>
        </w:rPr>
      </w:pPr>
      <w:r>
        <w:rPr>
          <w:rFonts w:hint="eastAsia" w:ascii="Times New Roman" w:hAnsi="宋体"/>
          <w:bCs/>
          <w:color w:val="auto"/>
          <w:kern w:val="0"/>
          <w:szCs w:val="21"/>
          <w:highlight w:val="none"/>
        </w:rPr>
        <w:t>（</w:t>
      </w:r>
      <w:r>
        <w:rPr>
          <w:rFonts w:hint="eastAsia" w:ascii="Times New Roman" w:hAnsi="宋体"/>
          <w:bCs/>
          <w:color w:val="auto"/>
          <w:kern w:val="0"/>
          <w:szCs w:val="21"/>
          <w:highlight w:val="none"/>
          <w:lang w:val="en-US" w:eastAsia="zh-CN"/>
        </w:rPr>
        <w:t>3</w:t>
      </w:r>
      <w:r>
        <w:rPr>
          <w:rFonts w:hint="eastAsia" w:ascii="Times New Roman" w:hAnsi="宋体"/>
          <w:bCs/>
          <w:color w:val="auto"/>
          <w:kern w:val="0"/>
          <w:szCs w:val="21"/>
          <w:highlight w:val="none"/>
        </w:rPr>
        <w:t>）比选申请人认为应提交的其他比选申请资料（如有）。</w:t>
      </w: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5"/>
        <w:tabs>
          <w:tab w:val="left" w:pos="567"/>
          <w:tab w:val="left" w:pos="720"/>
        </w:tabs>
        <w:snapToGrid w:val="0"/>
        <w:spacing w:after="100" w:line="360" w:lineRule="auto"/>
        <w:ind w:right="-57"/>
        <w:jc w:val="left"/>
        <w:rPr>
          <w:rFonts w:ascii="宋体" w:hAnsi="宋体" w:eastAsia="宋体"/>
          <w:color w:val="auto"/>
          <w:sz w:val="21"/>
          <w:szCs w:val="21"/>
          <w:highlight w:val="none"/>
        </w:rPr>
      </w:pPr>
      <w:bookmarkStart w:id="1247" w:name="_Toc25750684"/>
      <w:r>
        <w:rPr>
          <w:rFonts w:hint="eastAsia" w:ascii="宋体" w:hAnsi="宋体" w:eastAsia="宋体"/>
          <w:color w:val="auto"/>
          <w:sz w:val="21"/>
          <w:szCs w:val="21"/>
          <w:highlight w:val="none"/>
        </w:rPr>
        <w:t xml:space="preserve">C1 </w:t>
      </w:r>
      <w:bookmarkEnd w:id="1247"/>
      <w:r>
        <w:rPr>
          <w:rFonts w:hint="eastAsia" w:ascii="宋体" w:hAnsi="宋体" w:eastAsia="宋体"/>
          <w:color w:val="auto"/>
          <w:sz w:val="21"/>
          <w:szCs w:val="21"/>
          <w:highlight w:val="none"/>
        </w:rPr>
        <w:t>服务实施方案</w:t>
      </w:r>
    </w:p>
    <w:p>
      <w:pPr>
        <w:widowControl/>
        <w:spacing w:line="360" w:lineRule="auto"/>
        <w:ind w:firstLine="420" w:firstLineChars="200"/>
        <w:jc w:val="left"/>
        <w:rPr>
          <w:rFonts w:ascii="Times New Roman" w:hAnsi="宋体"/>
          <w:bCs/>
          <w:color w:val="auto"/>
          <w:kern w:val="0"/>
          <w:szCs w:val="21"/>
          <w:highlight w:val="none"/>
        </w:rPr>
      </w:pPr>
      <w:r>
        <w:rPr>
          <w:rFonts w:hint="eastAsia" w:ascii="Times New Roman" w:hAnsi="宋体"/>
          <w:bCs/>
          <w:color w:val="auto"/>
          <w:kern w:val="0"/>
          <w:szCs w:val="21"/>
          <w:highlight w:val="none"/>
        </w:rPr>
        <w:t>注：主要从项目相关管理方案（项目实施消杀技术及服务方案、质量控制方案及保障措施、设备配备、人员投入、虫害消杀资质等相关证件、消杀服务所需人员数量、消杀时间、服务承诺内容、服务保证措施、购买意外保险、业绩等方面进行阐述）。</w:t>
      </w: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422" w:firstLineChars="200"/>
        <w:rPr>
          <w:rFonts w:asciiTheme="minorEastAsia" w:hAnsiTheme="minorEastAsia" w:eastAsiaTheme="minorEastAsia"/>
          <w:b/>
          <w:color w:val="auto"/>
          <w:sz w:val="21"/>
          <w:szCs w:val="21"/>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hint="eastAsia" w:asciiTheme="minorEastAsia" w:hAnsiTheme="minorEastAsia" w:eastAsiaTheme="minorEastAsia"/>
          <w:b/>
          <w:color w:val="auto"/>
          <w:sz w:val="21"/>
          <w:szCs w:val="21"/>
          <w:highlight w:val="none"/>
        </w:rPr>
      </w:pPr>
    </w:p>
    <w:p>
      <w:pPr>
        <w:pStyle w:val="25"/>
        <w:ind w:left="0" w:leftChars="0" w:firstLine="0" w:firstLineChars="0"/>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C2比选响应表格式</w:t>
      </w:r>
    </w:p>
    <w:p>
      <w:pPr>
        <w:pStyle w:val="25"/>
        <w:ind w:firstLine="470"/>
        <w:rPr>
          <w:rFonts w:eastAsiaTheme="minorEastAsia"/>
          <w:color w:val="auto"/>
          <w:highlight w:val="none"/>
        </w:rPr>
      </w:pPr>
    </w:p>
    <w:p>
      <w:pPr>
        <w:ind w:right="-57"/>
        <w:jc w:val="center"/>
        <w:rPr>
          <w:rFonts w:ascii="宋体" w:hAnsi="宋体"/>
          <w:b/>
          <w:color w:val="auto"/>
          <w:highlight w:val="none"/>
        </w:rPr>
      </w:pPr>
      <w:r>
        <w:rPr>
          <w:rFonts w:hint="eastAsia" w:ascii="宋体" w:hAnsi="宋体"/>
          <w:b/>
          <w:color w:val="auto"/>
          <w:highlight w:val="none"/>
        </w:rPr>
        <w:t>比选响应表</w:t>
      </w:r>
    </w:p>
    <w:p>
      <w:pPr>
        <w:pStyle w:val="25"/>
        <w:ind w:firstLine="470"/>
        <w:rPr>
          <w:rFonts w:eastAsiaTheme="minorEastAsia"/>
          <w:color w:val="auto"/>
          <w:highlight w:val="none"/>
        </w:rPr>
      </w:pPr>
    </w:p>
    <w:p>
      <w:pPr>
        <w:ind w:right="-57"/>
        <w:jc w:val="left"/>
        <w:rPr>
          <w:rFonts w:ascii="宋体" w:hAnsi="宋体"/>
          <w:color w:val="auto"/>
          <w:highlight w:val="none"/>
          <w:u w:val="single"/>
        </w:rPr>
      </w:pPr>
      <w:r>
        <w:rPr>
          <w:rFonts w:hint="eastAsia" w:ascii="宋体" w:hAnsi="宋体"/>
          <w:color w:val="auto"/>
          <w:highlight w:val="none"/>
        </w:rPr>
        <w:t>项目名称：</w:t>
      </w:r>
      <w:r>
        <w:rPr>
          <w:rFonts w:ascii="宋体" w:hAnsi="宋体"/>
          <w:color w:val="auto"/>
          <w:highlight w:val="none"/>
          <w:u w:val="single"/>
        </w:rPr>
        <w:t xml:space="preserve"> </w:t>
      </w:r>
      <w:r>
        <w:rPr>
          <w:rFonts w:hint="eastAsia" w:cs="宋体" w:asciiTheme="minorEastAsia" w:hAnsiTheme="minorEastAsia" w:eastAsiaTheme="minorEastAsia"/>
          <w:color w:val="auto"/>
          <w:szCs w:val="21"/>
          <w:highlight w:val="none"/>
          <w:u w:val="single"/>
        </w:rPr>
        <w:t>南宁轨道交通运营有限公司员工食堂除“四害”消杀服务采购项目</w:t>
      </w:r>
      <w:r>
        <w:rPr>
          <w:rFonts w:ascii="宋体" w:hAnsi="宋体"/>
          <w:color w:val="auto"/>
          <w:highlight w:val="none"/>
          <w:u w:val="single"/>
        </w:rPr>
        <w:t xml:space="preserve"> </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第五章</w:t>
            </w:r>
            <w:r>
              <w:rPr>
                <w:rFonts w:ascii="宋体" w:hAnsi="宋体"/>
                <w:color w:val="auto"/>
                <w:highlight w:val="none"/>
              </w:rPr>
              <w:t xml:space="preserve"> </w:t>
            </w:r>
            <w:r>
              <w:rPr>
                <w:rFonts w:hint="eastAsia" w:ascii="宋体" w:hAnsi="宋体"/>
                <w:color w:val="auto"/>
                <w:highlight w:val="none"/>
              </w:rPr>
              <w:t>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用户需求书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bl>
    <w:p>
      <w:pPr>
        <w:snapToGrid w:val="0"/>
        <w:spacing w:after="50"/>
        <w:ind w:right="-57"/>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3255" w:firstLineChars="1550"/>
        <w:rPr>
          <w:rFonts w:ascii="宋体" w:hAnsi="宋体"/>
          <w:color w:val="auto"/>
          <w:highlight w:val="none"/>
          <w:u w:val="single"/>
        </w:rPr>
      </w:pPr>
      <w:r>
        <w:rPr>
          <w:rFonts w:hint="eastAsia" w:ascii="宋体" w:hAnsi="宋体"/>
          <w:color w:val="auto"/>
          <w:highlight w:val="none"/>
        </w:rPr>
        <w:t>比选申请人名称（盖章）：</w:t>
      </w:r>
      <w:r>
        <w:rPr>
          <w:rFonts w:ascii="宋体" w:hAnsi="宋体"/>
          <w:color w:val="auto"/>
          <w:highlight w:val="none"/>
          <w:u w:val="single"/>
        </w:rPr>
        <w:t xml:space="preserve">                   </w:t>
      </w:r>
    </w:p>
    <w:p>
      <w:pPr>
        <w:pStyle w:val="25"/>
        <w:ind w:firstLine="470"/>
        <w:rPr>
          <w:rFonts w:eastAsiaTheme="minorEastAsia"/>
          <w:color w:val="auto"/>
          <w:highlight w:val="none"/>
        </w:rPr>
      </w:pPr>
    </w:p>
    <w:p>
      <w:pPr>
        <w:snapToGrid w:val="0"/>
        <w:spacing w:after="50" w:line="280" w:lineRule="exact"/>
        <w:ind w:left="707" w:right="-817"/>
        <w:jc w:val="center"/>
        <w:rPr>
          <w:rFonts w:ascii="宋体" w:hAnsi="宋体"/>
          <w:color w:val="auto"/>
          <w:highlight w:val="none"/>
          <w:u w:val="single"/>
        </w:rPr>
      </w:pPr>
      <w:r>
        <w:rPr>
          <w:rFonts w:ascii="宋体" w:hAnsi="宋体"/>
          <w:color w:val="auto"/>
          <w:highlight w:val="none"/>
        </w:rPr>
        <w:t xml:space="preserve"> </w:t>
      </w:r>
      <w:r>
        <w:rPr>
          <w:rFonts w:hint="eastAsia" w:ascii="宋体" w:hAnsi="宋体"/>
          <w:color w:val="auto"/>
          <w:highlight w:val="none"/>
        </w:rPr>
        <w:t xml:space="preserve">    </w:t>
      </w:r>
      <w:r>
        <w:rPr>
          <w:rFonts w:ascii="宋体" w:hAnsi="宋体"/>
          <w:color w:val="auto"/>
          <w:highlight w:val="none"/>
        </w:rPr>
        <w:t>法定代表人或被授权人（签字）：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p>
    <w:p>
      <w:pPr>
        <w:pStyle w:val="25"/>
        <w:ind w:firstLine="470"/>
        <w:rPr>
          <w:rFonts w:ascii="宋体" w:hAnsi="宋体"/>
          <w:color w:val="auto"/>
          <w:highlight w:val="none"/>
        </w:rPr>
      </w:pPr>
      <w:r>
        <w:rPr>
          <w:rFonts w:hint="eastAsia" w:ascii="宋体" w:hAnsi="宋体"/>
          <w:color w:val="auto"/>
          <w:highlight w:val="none"/>
        </w:rPr>
        <w:t xml:space="preserve"> </w:t>
      </w:r>
    </w:p>
    <w:p>
      <w:pPr>
        <w:pStyle w:val="25"/>
        <w:ind w:firstLine="3830" w:firstLineChars="1596"/>
        <w:rPr>
          <w:rFonts w:eastAsiaTheme="minorEastAsia"/>
          <w:color w:val="auto"/>
          <w:highlight w:val="none"/>
        </w:rPr>
      </w:pPr>
      <w:r>
        <w:rPr>
          <w:rFonts w:hint="eastAsia" w:ascii="宋体" w:hAnsi="宋体"/>
          <w:color w:val="auto"/>
          <w:highlight w:val="none"/>
        </w:rPr>
        <w:t>日</w:t>
      </w:r>
      <w:r>
        <w:rPr>
          <w:rFonts w:ascii="宋体" w:hAnsi="宋体"/>
          <w:color w:val="auto"/>
          <w:highlight w:val="none"/>
        </w:rPr>
        <w:t xml:space="preserve">  </w:t>
      </w:r>
      <w:r>
        <w:rPr>
          <w:rFonts w:hint="eastAsia" w:ascii="宋体" w:hAnsi="宋体"/>
          <w:color w:val="auto"/>
          <w:highlight w:val="none"/>
        </w:rPr>
        <w:t>期：</w:t>
      </w:r>
      <w:r>
        <w:rPr>
          <w:rFonts w:ascii="宋体" w:hAnsi="宋体"/>
          <w:color w:val="auto"/>
          <w:highlight w:val="none"/>
          <w:u w:val="single"/>
        </w:rPr>
        <w:t xml:space="preserve">  </w:t>
      </w:r>
      <w:r>
        <w:rPr>
          <w:rFonts w:hint="eastAsia" w:ascii="宋体" w:hAnsi="宋体" w:eastAsia="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eastAsia="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eastAsia="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日</w:t>
      </w: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firstLine="470"/>
        <w:rPr>
          <w:rFonts w:eastAsiaTheme="minorEastAsia"/>
          <w:color w:val="auto"/>
          <w:highlight w:val="none"/>
        </w:rPr>
      </w:pPr>
    </w:p>
    <w:p>
      <w:pPr>
        <w:pStyle w:val="25"/>
        <w:ind w:left="0" w:leftChars="0" w:firstLine="0" w:firstLineChars="0"/>
        <w:jc w:val="center"/>
        <w:rPr>
          <w:rStyle w:val="76"/>
          <w:rFonts w:asciiTheme="minorEastAsia" w:hAnsiTheme="minorEastAsia" w:eastAsiaTheme="minorEastAsia"/>
          <w:color w:val="auto"/>
          <w:highlight w:val="none"/>
        </w:rPr>
      </w:pPr>
      <w:bookmarkStart w:id="1248" w:name="_Toc25750688"/>
      <w:r>
        <w:rPr>
          <w:rStyle w:val="76"/>
          <w:rFonts w:hint="eastAsia" w:asciiTheme="minorEastAsia" w:hAnsiTheme="minorEastAsia" w:eastAsiaTheme="minorEastAsia"/>
          <w:color w:val="auto"/>
          <w:highlight w:val="none"/>
        </w:rPr>
        <w:t>第五章用户需求书</w:t>
      </w:r>
      <w:bookmarkEnd w:id="1248"/>
      <w:bookmarkStart w:id="1249" w:name="_Toc15110"/>
      <w:bookmarkStart w:id="1250" w:name="_Toc8126"/>
      <w:bookmarkStart w:id="1251" w:name="_Toc36653687"/>
      <w:bookmarkStart w:id="1252" w:name="_Toc4139"/>
      <w:bookmarkStart w:id="1253" w:name="_Toc12407"/>
      <w:bookmarkStart w:id="1254" w:name="_Toc28890"/>
      <w:bookmarkStart w:id="1255" w:name="_Toc18607"/>
      <w:bookmarkStart w:id="1256" w:name="_Toc4270"/>
      <w:bookmarkStart w:id="1257" w:name="_Toc19312"/>
      <w:bookmarkStart w:id="1258" w:name="_Toc17395"/>
      <w:bookmarkStart w:id="1259" w:name="_Toc22518"/>
      <w:bookmarkStart w:id="1260" w:name="_Toc4935"/>
      <w:bookmarkStart w:id="1261" w:name="_Toc36654441"/>
      <w:bookmarkStart w:id="1262" w:name="_Toc4601"/>
      <w:bookmarkStart w:id="1263" w:name="_Toc876"/>
      <w:bookmarkStart w:id="1264" w:name="_Toc6042"/>
      <w:bookmarkStart w:id="1265" w:name="_Toc18748"/>
      <w:bookmarkStart w:id="1266" w:name="_Toc23082"/>
      <w:bookmarkStart w:id="1267" w:name="_Toc20417"/>
      <w:bookmarkStart w:id="1268" w:name="_Toc13576"/>
      <w:bookmarkStart w:id="1269" w:name="_Toc26539"/>
      <w:bookmarkStart w:id="1270" w:name="_Toc9149"/>
      <w:bookmarkStart w:id="1271" w:name="_Toc15847"/>
      <w:bookmarkStart w:id="1272" w:name="_Toc2834"/>
      <w:bookmarkStart w:id="1273" w:name="_Toc16284"/>
      <w:bookmarkStart w:id="1274" w:name="_Toc20245"/>
      <w:bookmarkStart w:id="1275" w:name="_Toc21324"/>
      <w:bookmarkStart w:id="1276" w:name="_Toc3246"/>
      <w:bookmarkStart w:id="1277" w:name="_Toc22726"/>
      <w:bookmarkStart w:id="1278" w:name="_Toc21013"/>
      <w:bookmarkStart w:id="1279" w:name="_Toc7675"/>
      <w:bookmarkStart w:id="1280" w:name="_Toc28562"/>
      <w:bookmarkStart w:id="1281" w:name="_Toc4733"/>
      <w:bookmarkStart w:id="1282" w:name="_Toc24360"/>
      <w:bookmarkStart w:id="1283" w:name="_Toc19158"/>
      <w:bookmarkStart w:id="1284" w:name="_Toc17048"/>
      <w:bookmarkStart w:id="1285" w:name="_Toc8034"/>
      <w:bookmarkStart w:id="1286" w:name="_Toc31153"/>
      <w:bookmarkStart w:id="1287" w:name="_Toc6674"/>
    </w:p>
    <w:p>
      <w:pPr>
        <w:pStyle w:val="25"/>
        <w:ind w:left="0" w:leftChars="0" w:firstLine="0" w:firstLineChars="0"/>
        <w:jc w:val="center"/>
        <w:rPr>
          <w:rStyle w:val="76"/>
          <w:rFonts w:asciiTheme="minorEastAsia" w:hAnsiTheme="minorEastAsia" w:eastAsiaTheme="minorEastAsia"/>
          <w:color w:val="auto"/>
          <w:highlight w:val="none"/>
        </w:rPr>
      </w:pPr>
    </w:p>
    <w:p>
      <w:pPr>
        <w:pStyle w:val="5"/>
        <w:tabs>
          <w:tab w:val="left" w:pos="0"/>
        </w:tabs>
        <w:spacing w:before="0" w:after="0" w:line="360" w:lineRule="auto"/>
        <w:rPr>
          <w:rFonts w:ascii="黑体" w:hAnsi="黑体" w:cs="黑体"/>
          <w:color w:val="auto"/>
          <w:kern w:val="44"/>
          <w:sz w:val="24"/>
          <w:szCs w:val="24"/>
          <w:highlight w:val="none"/>
        </w:rPr>
      </w:pPr>
      <w:r>
        <w:rPr>
          <w:rFonts w:hint="eastAsia" w:ascii="黑体" w:hAnsi="黑体" w:cs="黑体"/>
          <w:color w:val="auto"/>
          <w:kern w:val="44"/>
          <w:sz w:val="24"/>
          <w:szCs w:val="24"/>
          <w:highlight w:val="none"/>
        </w:rPr>
        <w:t>1 项目概况</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Start w:id="1288" w:name="_Toc30223"/>
      <w:bookmarkStart w:id="1289" w:name="_Toc18319"/>
      <w:bookmarkStart w:id="1290" w:name="_Toc28806"/>
      <w:bookmarkStart w:id="1291" w:name="_Toc21549"/>
      <w:bookmarkStart w:id="1292" w:name="_Toc8490"/>
    </w:p>
    <w:p>
      <w:pPr>
        <w:pStyle w:val="5"/>
        <w:tabs>
          <w:tab w:val="left" w:pos="0"/>
        </w:tabs>
        <w:spacing w:before="0" w:after="0" w:line="360" w:lineRule="auto"/>
        <w:rPr>
          <w:rFonts w:ascii="黑体" w:hAnsi="黑体" w:cs="黑体"/>
          <w:color w:val="auto"/>
          <w:kern w:val="44"/>
          <w:sz w:val="24"/>
          <w:szCs w:val="24"/>
          <w:highlight w:val="none"/>
        </w:rPr>
      </w:pPr>
      <w:r>
        <w:rPr>
          <w:rFonts w:hint="eastAsia" w:ascii="黑体" w:hAnsi="黑体" w:cs="黑体"/>
          <w:color w:val="auto"/>
          <w:kern w:val="44"/>
          <w:sz w:val="24"/>
          <w:szCs w:val="24"/>
          <w:highlight w:val="none"/>
        </w:rPr>
        <w:t>1.1员工食堂概况</w:t>
      </w:r>
      <w:bookmarkEnd w:id="1288"/>
      <w:bookmarkEnd w:id="1289"/>
      <w:bookmarkEnd w:id="1290"/>
      <w:bookmarkEnd w:id="1291"/>
      <w:bookmarkEnd w:id="1292"/>
    </w:p>
    <w:p>
      <w:pPr>
        <w:pStyle w:val="77"/>
        <w:tabs>
          <w:tab w:val="right" w:leader="dot" w:pos="8306"/>
        </w:tabs>
        <w:spacing w:line="360" w:lineRule="auto"/>
        <w:ind w:left="0" w:leftChars="0" w:firstLine="420" w:firstLineChars="200"/>
        <w:rPr>
          <w:rStyle w:val="78"/>
          <w:rFonts w:ascii="宋体" w:hAnsi="宋体"/>
          <w:color w:val="auto"/>
          <w:kern w:val="0"/>
          <w:szCs w:val="21"/>
          <w:highlight w:val="none"/>
        </w:rPr>
      </w:pPr>
      <w:r>
        <w:rPr>
          <w:rStyle w:val="78"/>
          <w:rFonts w:hint="eastAsia" w:ascii="宋体" w:hAnsi="宋体"/>
          <w:color w:val="auto"/>
          <w:kern w:val="0"/>
          <w:szCs w:val="21"/>
          <w:highlight w:val="none"/>
        </w:rPr>
        <w:t>南宁轨道交通运营有限公司员工食堂包括</w:t>
      </w:r>
      <w:r>
        <w:rPr>
          <w:rStyle w:val="78"/>
          <w:rFonts w:ascii="宋体" w:hAnsi="宋体"/>
          <w:color w:val="auto"/>
          <w:kern w:val="0"/>
          <w:szCs w:val="21"/>
          <w:highlight w:val="none"/>
        </w:rPr>
        <w:t>控制中心食堂</w:t>
      </w:r>
      <w:r>
        <w:rPr>
          <w:rStyle w:val="78"/>
          <w:rFonts w:hint="eastAsia" w:ascii="宋体" w:hAnsi="宋体"/>
          <w:color w:val="auto"/>
          <w:kern w:val="0"/>
          <w:szCs w:val="21"/>
          <w:highlight w:val="none"/>
        </w:rPr>
        <w:t>、</w:t>
      </w:r>
      <w:r>
        <w:rPr>
          <w:rStyle w:val="78"/>
          <w:rFonts w:ascii="宋体" w:hAnsi="宋体"/>
          <w:color w:val="auto"/>
          <w:kern w:val="0"/>
          <w:szCs w:val="21"/>
          <w:highlight w:val="none"/>
        </w:rPr>
        <w:t>屯里车辆段食堂</w:t>
      </w:r>
      <w:r>
        <w:rPr>
          <w:rStyle w:val="78"/>
          <w:rFonts w:hint="eastAsia" w:ascii="宋体" w:hAnsi="宋体"/>
          <w:color w:val="auto"/>
          <w:kern w:val="0"/>
          <w:szCs w:val="21"/>
          <w:highlight w:val="none"/>
        </w:rPr>
        <w:t>、</w:t>
      </w:r>
      <w:r>
        <w:rPr>
          <w:rStyle w:val="78"/>
          <w:rFonts w:ascii="宋体" w:hAnsi="宋体"/>
          <w:color w:val="auto"/>
          <w:kern w:val="0"/>
          <w:szCs w:val="21"/>
          <w:highlight w:val="none"/>
        </w:rPr>
        <w:t>西乡</w:t>
      </w:r>
      <w:r>
        <w:rPr>
          <w:rStyle w:val="78"/>
          <w:rFonts w:ascii="宋体" w:hAnsi="宋体"/>
          <w:color w:val="auto"/>
          <w:szCs w:val="21"/>
          <w:highlight w:val="none"/>
        </w:rPr>
        <w:t>塘停车场食堂</w:t>
      </w:r>
      <w:r>
        <w:rPr>
          <w:rStyle w:val="78"/>
          <w:rFonts w:hint="eastAsia" w:ascii="宋体" w:hAnsi="宋体"/>
          <w:color w:val="auto"/>
          <w:szCs w:val="21"/>
          <w:highlight w:val="none"/>
        </w:rPr>
        <w:t>、</w:t>
      </w:r>
      <w:r>
        <w:rPr>
          <w:rStyle w:val="78"/>
          <w:rFonts w:ascii="宋体" w:hAnsi="宋体"/>
          <w:color w:val="auto"/>
          <w:szCs w:val="21"/>
          <w:highlight w:val="none"/>
        </w:rPr>
        <w:t>安吉综合基地食堂</w:t>
      </w:r>
      <w:r>
        <w:rPr>
          <w:rStyle w:val="78"/>
          <w:rFonts w:hint="eastAsia" w:ascii="宋体" w:hAnsi="宋体"/>
          <w:color w:val="auto"/>
          <w:szCs w:val="21"/>
          <w:highlight w:val="none"/>
        </w:rPr>
        <w:t>、</w:t>
      </w:r>
      <w:r>
        <w:rPr>
          <w:rStyle w:val="78"/>
          <w:rFonts w:ascii="宋体" w:hAnsi="宋体"/>
          <w:color w:val="auto"/>
          <w:szCs w:val="21"/>
          <w:highlight w:val="none"/>
        </w:rPr>
        <w:t>新村停车场食堂</w:t>
      </w:r>
      <w:r>
        <w:rPr>
          <w:rStyle w:val="78"/>
          <w:rFonts w:hint="eastAsia" w:ascii="宋体" w:hAnsi="宋体"/>
          <w:color w:val="auto"/>
          <w:szCs w:val="21"/>
          <w:highlight w:val="none"/>
        </w:rPr>
        <w:t>、</w:t>
      </w:r>
      <w:r>
        <w:rPr>
          <w:rStyle w:val="78"/>
          <w:rFonts w:ascii="宋体" w:hAnsi="宋体"/>
          <w:color w:val="auto"/>
          <w:szCs w:val="21"/>
          <w:highlight w:val="none"/>
        </w:rPr>
        <w:t>心圩车辆段食堂</w:t>
      </w:r>
      <w:r>
        <w:rPr>
          <w:rStyle w:val="78"/>
          <w:rFonts w:hint="eastAsia" w:ascii="宋体" w:hAnsi="宋体"/>
          <w:color w:val="auto"/>
          <w:szCs w:val="21"/>
          <w:highlight w:val="none"/>
        </w:rPr>
        <w:t>、</w:t>
      </w:r>
      <w:r>
        <w:rPr>
          <w:rStyle w:val="78"/>
          <w:rFonts w:ascii="宋体" w:hAnsi="宋体"/>
          <w:color w:val="auto"/>
          <w:szCs w:val="21"/>
          <w:highlight w:val="none"/>
        </w:rPr>
        <w:t>五象车辆段食堂</w:t>
      </w:r>
      <w:r>
        <w:rPr>
          <w:rStyle w:val="78"/>
          <w:rFonts w:hint="eastAsia" w:ascii="宋体" w:hAnsi="宋体"/>
          <w:color w:val="auto"/>
          <w:szCs w:val="21"/>
          <w:highlight w:val="none"/>
        </w:rPr>
        <w:t>、</w:t>
      </w:r>
      <w:r>
        <w:rPr>
          <w:rStyle w:val="78"/>
          <w:rFonts w:ascii="宋体" w:hAnsi="宋体"/>
          <w:color w:val="auto"/>
          <w:szCs w:val="21"/>
          <w:highlight w:val="none"/>
        </w:rPr>
        <w:t>那洪车辆段</w:t>
      </w:r>
      <w:r>
        <w:rPr>
          <w:rStyle w:val="78"/>
          <w:rFonts w:ascii="宋体" w:hAnsi="宋体"/>
          <w:color w:val="auto"/>
          <w:kern w:val="0"/>
          <w:szCs w:val="21"/>
          <w:highlight w:val="none"/>
        </w:rPr>
        <w:t>食堂</w:t>
      </w:r>
      <w:r>
        <w:rPr>
          <w:rStyle w:val="78"/>
          <w:rFonts w:hint="eastAsia" w:ascii="宋体" w:hAnsi="宋体"/>
          <w:color w:val="auto"/>
          <w:kern w:val="0"/>
          <w:szCs w:val="21"/>
          <w:highlight w:val="none"/>
        </w:rPr>
        <w:t>。</w:t>
      </w:r>
    </w:p>
    <w:p>
      <w:pPr>
        <w:pStyle w:val="5"/>
        <w:tabs>
          <w:tab w:val="left" w:pos="0"/>
        </w:tabs>
        <w:spacing w:before="0" w:after="0" w:line="360" w:lineRule="auto"/>
        <w:rPr>
          <w:rFonts w:ascii="黑体" w:hAnsi="黑体" w:cs="黑体"/>
          <w:color w:val="auto"/>
          <w:kern w:val="44"/>
          <w:sz w:val="24"/>
          <w:szCs w:val="24"/>
          <w:highlight w:val="none"/>
        </w:rPr>
      </w:pPr>
      <w:bookmarkStart w:id="1293" w:name="_Toc7595"/>
      <w:bookmarkStart w:id="1294" w:name="_Toc10884"/>
      <w:bookmarkStart w:id="1295" w:name="_Toc2607"/>
      <w:bookmarkStart w:id="1296" w:name="_Toc18329"/>
      <w:bookmarkStart w:id="1297" w:name="_Toc20925"/>
      <w:bookmarkStart w:id="1298" w:name="_Toc25696"/>
      <w:bookmarkStart w:id="1299" w:name="_Toc26386"/>
      <w:r>
        <w:rPr>
          <w:rFonts w:hint="eastAsia" w:ascii="黑体" w:hAnsi="黑体" w:cs="黑体"/>
          <w:color w:val="auto"/>
          <w:kern w:val="44"/>
          <w:sz w:val="24"/>
          <w:szCs w:val="24"/>
          <w:highlight w:val="none"/>
        </w:rPr>
        <w:t>1.2 服务项目概况</w:t>
      </w:r>
      <w:bookmarkEnd w:id="1293"/>
      <w:bookmarkEnd w:id="1294"/>
      <w:bookmarkEnd w:id="1295"/>
      <w:bookmarkEnd w:id="1296"/>
      <w:bookmarkEnd w:id="1297"/>
      <w:bookmarkEnd w:id="1298"/>
      <w:bookmarkEnd w:id="1299"/>
    </w:p>
    <w:p>
      <w:pPr>
        <w:pStyle w:val="77"/>
        <w:tabs>
          <w:tab w:val="right" w:leader="dot" w:pos="8306"/>
        </w:tabs>
        <w:spacing w:line="360" w:lineRule="auto"/>
        <w:ind w:left="0" w:leftChars="0" w:firstLine="420" w:firstLineChars="200"/>
        <w:rPr>
          <w:rFonts w:ascii="宋体" w:hAnsi="宋体"/>
          <w:color w:val="auto"/>
          <w:szCs w:val="21"/>
          <w:highlight w:val="none"/>
        </w:rPr>
      </w:pPr>
      <w:bookmarkStart w:id="1300" w:name="_Toc13668"/>
      <w:bookmarkStart w:id="1301" w:name="_Toc2865"/>
      <w:bookmarkStart w:id="1302" w:name="_Toc8367"/>
      <w:bookmarkStart w:id="1303" w:name="_Toc13103"/>
      <w:bookmarkStart w:id="1304" w:name="_Toc18914"/>
      <w:bookmarkStart w:id="1305" w:name="_Toc27369"/>
      <w:r>
        <w:rPr>
          <w:rStyle w:val="78"/>
          <w:rFonts w:hint="eastAsia" w:ascii="宋体" w:hAnsi="宋体"/>
          <w:color w:val="auto"/>
          <w:kern w:val="0"/>
          <w:szCs w:val="21"/>
          <w:highlight w:val="none"/>
        </w:rPr>
        <w:t>员工食堂所辖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p>
      <w:pPr>
        <w:pStyle w:val="5"/>
        <w:tabs>
          <w:tab w:val="left" w:pos="0"/>
        </w:tabs>
        <w:spacing w:before="0" w:after="0" w:line="360" w:lineRule="auto"/>
        <w:rPr>
          <w:rFonts w:ascii="宋体" w:hAnsi="宋体" w:eastAsia="宋体" w:cs="宋体"/>
          <w:color w:val="auto"/>
          <w:kern w:val="0"/>
          <w:szCs w:val="21"/>
          <w:highlight w:val="none"/>
        </w:rPr>
      </w:pPr>
      <w:r>
        <w:rPr>
          <w:rFonts w:hint="eastAsia" w:ascii="黑体" w:hAnsi="黑体" w:cs="黑体"/>
          <w:color w:val="auto"/>
          <w:kern w:val="44"/>
          <w:sz w:val="24"/>
          <w:szCs w:val="24"/>
          <w:highlight w:val="none"/>
        </w:rPr>
        <w:t>1.3 比选人及比选申请人</w:t>
      </w:r>
      <w:bookmarkEnd w:id="1300"/>
      <w:bookmarkEnd w:id="1301"/>
      <w:bookmarkEnd w:id="1302"/>
      <w:bookmarkEnd w:id="1303"/>
      <w:bookmarkEnd w:id="1304"/>
      <w:bookmarkEnd w:id="1305"/>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比选人：南宁轨道交通运营有限公司。</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比选申请人：</w:t>
      </w:r>
      <w:r>
        <w:rPr>
          <w:rFonts w:hint="eastAsia" w:cs="宋体" w:asciiTheme="minorEastAsia" w:hAnsiTheme="minorEastAsia" w:eastAsiaTheme="minorEastAsia"/>
          <w:color w:val="auto"/>
          <w:szCs w:val="21"/>
          <w:highlight w:val="none"/>
        </w:rPr>
        <w:t>为中华人民共和国境内依法设立的法人或其他组织。（若以分公司名义参与比选申请，必须出具总公司授权参与的证明。）</w:t>
      </w:r>
      <w:bookmarkStart w:id="1306" w:name="_Toc24229"/>
      <w:bookmarkStart w:id="1307" w:name="_Toc17677"/>
      <w:bookmarkStart w:id="1308" w:name="_Toc2781"/>
      <w:bookmarkStart w:id="1309" w:name="_Toc29082"/>
      <w:bookmarkStart w:id="1310" w:name="_Toc30217"/>
      <w:bookmarkStart w:id="1311" w:name="_Toc11697"/>
      <w:bookmarkStart w:id="1312" w:name="_Toc18618"/>
      <w:bookmarkStart w:id="1313" w:name="_Toc6466"/>
      <w:bookmarkStart w:id="1314" w:name="_Toc23602"/>
      <w:bookmarkStart w:id="1315" w:name="_Toc32007"/>
      <w:bookmarkStart w:id="1316" w:name="_Toc19829"/>
      <w:bookmarkStart w:id="1317" w:name="_Toc28089"/>
      <w:bookmarkStart w:id="1318" w:name="_Toc8725"/>
      <w:bookmarkStart w:id="1319" w:name="_Toc4472"/>
      <w:bookmarkStart w:id="1320" w:name="_Toc16175"/>
      <w:bookmarkStart w:id="1321" w:name="_Toc36654446"/>
      <w:bookmarkStart w:id="1322" w:name="_Toc6177"/>
      <w:bookmarkStart w:id="1323" w:name="_Toc19632"/>
      <w:bookmarkStart w:id="1324" w:name="_Toc11619"/>
      <w:bookmarkStart w:id="1325" w:name="_Toc3321"/>
      <w:bookmarkStart w:id="1326" w:name="_Toc19130"/>
      <w:bookmarkStart w:id="1327" w:name="_Toc32567"/>
      <w:bookmarkStart w:id="1328" w:name="_Toc12366"/>
      <w:bookmarkStart w:id="1329" w:name="_Toc8912"/>
      <w:bookmarkStart w:id="1330" w:name="_Toc2368"/>
      <w:bookmarkStart w:id="1331" w:name="_Toc21398"/>
      <w:bookmarkStart w:id="1332" w:name="_Toc30337"/>
      <w:bookmarkStart w:id="1333" w:name="_Toc17645"/>
      <w:bookmarkStart w:id="1334" w:name="_Toc16276"/>
      <w:bookmarkStart w:id="1335" w:name="_Toc1019"/>
      <w:bookmarkStart w:id="1336" w:name="_Toc21486"/>
      <w:bookmarkStart w:id="1337" w:name="_Toc36653692"/>
      <w:bookmarkStart w:id="1338" w:name="_Toc20609"/>
      <w:bookmarkStart w:id="1339" w:name="_Toc20540"/>
      <w:bookmarkStart w:id="1340" w:name="_Toc31091"/>
      <w:bookmarkStart w:id="1341" w:name="_Toc31681"/>
      <w:bookmarkStart w:id="1342" w:name="_Toc22135"/>
      <w:bookmarkStart w:id="1343" w:name="_Toc2037"/>
      <w:bookmarkStart w:id="1344" w:name="_Toc8041"/>
    </w:p>
    <w:p>
      <w:pPr>
        <w:pStyle w:val="5"/>
        <w:tabs>
          <w:tab w:val="left" w:pos="0"/>
        </w:tabs>
        <w:spacing w:before="0" w:after="0" w:line="360" w:lineRule="auto"/>
        <w:rPr>
          <w:rFonts w:ascii="黑体" w:hAnsi="黑体" w:cs="黑体"/>
          <w:color w:val="auto"/>
          <w:kern w:val="44"/>
          <w:sz w:val="24"/>
          <w:szCs w:val="24"/>
          <w:highlight w:val="none"/>
        </w:rPr>
      </w:pPr>
      <w:r>
        <w:rPr>
          <w:rFonts w:hint="eastAsia" w:ascii="黑体" w:hAnsi="黑体" w:cs="黑体"/>
          <w:color w:val="auto"/>
          <w:kern w:val="44"/>
          <w:sz w:val="24"/>
          <w:szCs w:val="24"/>
          <w:highlight w:val="none"/>
        </w:rPr>
        <w:t>2 项目范围</w:t>
      </w:r>
      <w:bookmarkEnd w:id="1306"/>
      <w:bookmarkEnd w:id="1307"/>
      <w:bookmarkEnd w:id="1308"/>
      <w:bookmarkEnd w:id="1309"/>
      <w:bookmarkEnd w:id="1310"/>
      <w:bookmarkEnd w:id="1311"/>
      <w:bookmarkEnd w:id="1312"/>
    </w:p>
    <w:p>
      <w:pPr>
        <w:pStyle w:val="5"/>
        <w:tabs>
          <w:tab w:val="left" w:pos="0"/>
        </w:tabs>
        <w:spacing w:before="0" w:after="0" w:line="360" w:lineRule="auto"/>
        <w:rPr>
          <w:rFonts w:ascii="黑体" w:hAnsi="黑体" w:cs="黑体"/>
          <w:color w:val="auto"/>
          <w:kern w:val="44"/>
          <w:sz w:val="24"/>
          <w:szCs w:val="24"/>
          <w:highlight w:val="none"/>
        </w:rPr>
      </w:pPr>
      <w:bookmarkStart w:id="1345" w:name="_Toc2561"/>
      <w:bookmarkStart w:id="1346" w:name="_Toc5699"/>
      <w:bookmarkStart w:id="1347" w:name="_Toc29156"/>
      <w:bookmarkStart w:id="1348" w:name="_Toc15812"/>
      <w:bookmarkStart w:id="1349" w:name="_Toc28875"/>
      <w:bookmarkStart w:id="1350" w:name="_Toc5962"/>
      <w:bookmarkStart w:id="1351" w:name="_Toc1433"/>
      <w:r>
        <w:rPr>
          <w:rFonts w:hint="eastAsia" w:ascii="黑体" w:hAnsi="黑体" w:cs="黑体"/>
          <w:color w:val="auto"/>
          <w:kern w:val="44"/>
          <w:sz w:val="24"/>
          <w:szCs w:val="24"/>
          <w:highlight w:val="none"/>
        </w:rPr>
        <w:t>2.1 项目名称</w:t>
      </w:r>
      <w:bookmarkEnd w:id="1345"/>
      <w:bookmarkEnd w:id="1346"/>
      <w:bookmarkEnd w:id="1347"/>
      <w:bookmarkEnd w:id="1348"/>
      <w:bookmarkEnd w:id="1349"/>
      <w:bookmarkEnd w:id="1350"/>
      <w:bookmarkEnd w:id="1351"/>
    </w:p>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Pr>
        <w:spacing w:line="360" w:lineRule="auto"/>
        <w:ind w:firstLine="420" w:firstLineChars="200"/>
        <w:rPr>
          <w:color w:val="auto"/>
          <w:highlight w:val="none"/>
        </w:rPr>
      </w:pPr>
      <w:r>
        <w:rPr>
          <w:rFonts w:hint="eastAsia"/>
          <w:color w:val="auto"/>
          <w:highlight w:val="none"/>
        </w:rPr>
        <w:t>南宁轨道交通运营有限公司员工食堂除“四害”消杀服务采购项目。</w:t>
      </w:r>
      <w:bookmarkStart w:id="1352" w:name="_Toc20742"/>
      <w:bookmarkStart w:id="1353" w:name="_Toc24197"/>
      <w:bookmarkStart w:id="1354" w:name="_Toc18324"/>
      <w:bookmarkStart w:id="1355" w:name="_Toc24632"/>
      <w:bookmarkStart w:id="1356" w:name="_Toc850"/>
      <w:bookmarkStart w:id="1357" w:name="_Toc30462"/>
      <w:bookmarkStart w:id="1358" w:name="_Toc28619"/>
    </w:p>
    <w:p>
      <w:pPr>
        <w:spacing w:line="360" w:lineRule="auto"/>
        <w:rPr>
          <w:rFonts w:ascii="宋体" w:hAnsi="宋体" w:cs="宋体"/>
          <w:color w:val="auto"/>
          <w:kern w:val="0"/>
          <w:szCs w:val="21"/>
          <w:highlight w:val="none"/>
        </w:rPr>
      </w:pPr>
      <w:r>
        <w:rPr>
          <w:rFonts w:hint="eastAsia" w:ascii="黑体" w:hAnsi="黑体" w:eastAsia="黑体" w:cs="黑体"/>
          <w:b/>
          <w:color w:val="auto"/>
          <w:kern w:val="44"/>
          <w:sz w:val="24"/>
          <w:szCs w:val="24"/>
          <w:highlight w:val="none"/>
        </w:rPr>
        <w:t>2.2 项目地点及范围</w:t>
      </w:r>
      <w:bookmarkEnd w:id="1352"/>
      <w:bookmarkEnd w:id="1353"/>
      <w:bookmarkEnd w:id="1354"/>
      <w:bookmarkEnd w:id="1355"/>
      <w:bookmarkEnd w:id="1356"/>
      <w:bookmarkEnd w:id="1357"/>
      <w:bookmarkEnd w:id="1358"/>
    </w:p>
    <w:p>
      <w:pPr>
        <w:spacing w:line="360" w:lineRule="auto"/>
        <w:ind w:firstLine="420" w:firstLineChars="200"/>
        <w:jc w:val="left"/>
        <w:rPr>
          <w:color w:val="auto"/>
          <w:highlight w:val="none"/>
        </w:rPr>
      </w:pPr>
      <w:r>
        <w:rPr>
          <w:rFonts w:hint="eastAsia"/>
          <w:color w:val="auto"/>
          <w:highlight w:val="none"/>
        </w:rPr>
        <w:t>项目地点：南宁轨道交通运营有限公司控制中心食堂、屯里车辆段食堂、西乡塘停车场食堂、安吉综合基地食堂、新村停车场食堂、心圩车辆段食堂、五象车辆段食堂、那洪车辆段食堂。项目范围详见表2-1。</w:t>
      </w:r>
    </w:p>
    <w:p>
      <w:pPr>
        <w:spacing w:line="360" w:lineRule="auto"/>
        <w:ind w:firstLine="2310" w:firstLineChars="1100"/>
        <w:jc w:val="left"/>
        <w:rPr>
          <w:color w:val="auto"/>
          <w:highlight w:val="none"/>
        </w:rPr>
      </w:pPr>
      <w:r>
        <w:rPr>
          <w:rFonts w:hint="eastAsia" w:ascii="宋体" w:hAnsi="宋体" w:cs="宋体"/>
          <w:color w:val="auto"/>
          <w:szCs w:val="21"/>
          <w:highlight w:val="none"/>
        </w:rPr>
        <w:t>表2-1南宁轨道交通运营有限公司员工食堂</w:t>
      </w:r>
    </w:p>
    <w:tbl>
      <w:tblPr>
        <w:tblStyle w:val="26"/>
        <w:tblpPr w:leftFromText="180" w:rightFromText="180" w:vertAnchor="text" w:horzAnchor="margin" w:tblpY="500"/>
        <w:tblOverlap w:val="never"/>
        <w:tblW w:w="885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98"/>
        <w:gridCol w:w="1297"/>
        <w:gridCol w:w="2640"/>
        <w:gridCol w:w="1020"/>
        <w:gridCol w:w="930"/>
        <w:gridCol w:w="1290"/>
        <w:gridCol w:w="97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序号</w:t>
            </w:r>
          </w:p>
        </w:tc>
        <w:tc>
          <w:tcPr>
            <w:tcW w:w="129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场所</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地点</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消杀面积（平方米）</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消杀频次</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消杀数量（每月1次，两年共24次）</w:t>
            </w:r>
          </w:p>
        </w:tc>
        <w:tc>
          <w:tcPr>
            <w:tcW w:w="97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1</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 xml:space="preserve"> 控制中心食堂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南宁市青秀区云景路69号轨道交通集团</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3691</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restart"/>
            <w:tcBorders>
              <w:top w:val="single" w:color="000000" w:sz="4" w:space="0"/>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负责食堂所辖区域</w:t>
            </w:r>
            <w:r>
              <w:rPr>
                <w:rStyle w:val="78"/>
                <w:rFonts w:hint="eastAsia" w:ascii="宋体" w:hAnsi="宋体" w:cs="宋体"/>
                <w:color w:val="auto"/>
                <w:sz w:val="18"/>
                <w:szCs w:val="18"/>
                <w:highlight w:val="none"/>
              </w:rPr>
              <w:t>灭鼠、灭蟑、灭蚊、灭蝇</w:t>
            </w:r>
            <w:r>
              <w:rPr>
                <w:rStyle w:val="78"/>
                <w:rFonts w:hint="eastAsia" w:ascii="宋体" w:hAnsi="宋体" w:cs="宋体"/>
                <w:color w:val="auto"/>
                <w:kern w:val="0"/>
                <w:sz w:val="18"/>
                <w:szCs w:val="18"/>
                <w:highlight w:val="none"/>
              </w:rPr>
              <w:t>工作。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70"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2</w:t>
            </w:r>
          </w:p>
        </w:tc>
        <w:tc>
          <w:tcPr>
            <w:tcW w:w="129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屯里车辆段食堂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南宁市青秀区云景路83号</w:t>
            </w:r>
          </w:p>
        </w:tc>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2268</w:t>
            </w: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3</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西乡塘停车场食堂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南宁市西乡塘区石埠南路互通150米西乡塘停车场</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1676</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4</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安吉综合基地食堂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南宁市西乡塘区安吉大道西津村安吉综合基地及车辆段</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2010</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5</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新村停车场食堂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南宁市平乐大道华润二十四城对面二号线东延新村停车场</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1280</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6</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心圩车辆段食堂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南宁市西乡塘区新际路心圩车辆段</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2390</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7</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sz w:val="18"/>
                <w:szCs w:val="18"/>
                <w:highlight w:val="none"/>
              </w:rPr>
              <w:t>五象车辆段食堂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南宁市良庆区梁村大道75号辅路四号线五象车辆段</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2210</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8</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sz w:val="18"/>
                <w:szCs w:val="18"/>
                <w:highlight w:val="none"/>
              </w:rPr>
              <w:t>那洪车辆段食堂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南宁市江南区苏盆村轨道5号线那洪车辆段</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3310</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single" w:color="000000" w:sz="4" w:space="0"/>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bl>
    <w:p>
      <w:pPr>
        <w:pStyle w:val="2"/>
        <w:rPr>
          <w:color w:val="auto"/>
          <w:highlight w:val="none"/>
        </w:rPr>
      </w:pPr>
    </w:p>
    <w:p>
      <w:pPr>
        <w:pStyle w:val="5"/>
        <w:tabs>
          <w:tab w:val="left" w:pos="0"/>
        </w:tabs>
        <w:spacing w:before="0" w:after="0" w:line="360" w:lineRule="auto"/>
        <w:rPr>
          <w:rFonts w:ascii="黑体" w:hAnsi="黑体" w:cs="黑体"/>
          <w:color w:val="auto"/>
          <w:kern w:val="44"/>
          <w:sz w:val="24"/>
          <w:szCs w:val="24"/>
          <w:highlight w:val="none"/>
        </w:rPr>
      </w:pPr>
      <w:bookmarkStart w:id="1359" w:name="_Toc29552"/>
      <w:bookmarkStart w:id="1360" w:name="_Toc12003"/>
      <w:bookmarkStart w:id="1361" w:name="_Toc10131"/>
      <w:bookmarkStart w:id="1362" w:name="_Toc21382"/>
      <w:bookmarkStart w:id="1363" w:name="_Toc27648"/>
      <w:bookmarkStart w:id="1364" w:name="_Toc18980"/>
      <w:bookmarkStart w:id="1365" w:name="_Toc9621"/>
      <w:bookmarkStart w:id="1366" w:name="_Toc20320"/>
      <w:bookmarkStart w:id="1367" w:name="_Toc3627"/>
      <w:bookmarkStart w:id="1368" w:name="_Toc8739"/>
      <w:bookmarkStart w:id="1369" w:name="_Toc28019"/>
      <w:bookmarkStart w:id="1370" w:name="_Toc28409"/>
      <w:bookmarkStart w:id="1371" w:name="_Toc13626"/>
      <w:bookmarkStart w:id="1372" w:name="_Toc897"/>
      <w:bookmarkStart w:id="1373" w:name="_Toc22459"/>
      <w:bookmarkStart w:id="1374" w:name="_Toc25893"/>
      <w:bookmarkStart w:id="1375" w:name="_Toc13999"/>
      <w:bookmarkStart w:id="1376" w:name="_Toc15079"/>
      <w:bookmarkStart w:id="1377" w:name="_Toc20191"/>
      <w:bookmarkStart w:id="1378" w:name="_Toc6278"/>
      <w:bookmarkStart w:id="1379" w:name="_Toc9150"/>
      <w:bookmarkStart w:id="1380" w:name="_Toc32628"/>
      <w:bookmarkStart w:id="1381" w:name="_Toc438"/>
      <w:bookmarkStart w:id="1382" w:name="_Toc10810"/>
      <w:bookmarkStart w:id="1383" w:name="_Toc15660"/>
      <w:bookmarkStart w:id="1384" w:name="_Toc21275"/>
      <w:bookmarkStart w:id="1385" w:name="_Toc36654449"/>
      <w:bookmarkStart w:id="1386" w:name="_Toc30811"/>
      <w:bookmarkStart w:id="1387" w:name="_Toc32535"/>
      <w:bookmarkStart w:id="1388" w:name="_Toc32180"/>
      <w:bookmarkStart w:id="1389" w:name="_Toc26895"/>
      <w:bookmarkStart w:id="1390" w:name="_Toc36653695"/>
      <w:bookmarkStart w:id="1391" w:name="_Toc11988"/>
      <w:bookmarkStart w:id="1392" w:name="_Toc20045"/>
      <w:bookmarkStart w:id="1393" w:name="_Toc3637"/>
      <w:bookmarkStart w:id="1394" w:name="_Toc15522"/>
      <w:bookmarkStart w:id="1395" w:name="_Toc709"/>
      <w:r>
        <w:rPr>
          <w:rFonts w:hint="eastAsia" w:ascii="黑体" w:hAnsi="黑体" w:cs="黑体"/>
          <w:color w:val="auto"/>
          <w:kern w:val="44"/>
          <w:sz w:val="24"/>
          <w:szCs w:val="24"/>
          <w:highlight w:val="none"/>
        </w:rPr>
        <w:t>2.3 项目模式</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5"/>
        <w:tabs>
          <w:tab w:val="left" w:pos="0"/>
        </w:tabs>
        <w:spacing w:before="0" w:after="0" w:line="360" w:lineRule="auto"/>
        <w:ind w:firstLine="420" w:firstLineChars="200"/>
        <w:rPr>
          <w:rFonts w:ascii="Calibri" w:hAnsi="Calibri" w:eastAsia="宋体"/>
          <w:b w:val="0"/>
          <w:color w:val="auto"/>
          <w:sz w:val="21"/>
          <w:szCs w:val="22"/>
          <w:highlight w:val="none"/>
        </w:rPr>
      </w:pPr>
      <w:r>
        <w:rPr>
          <w:rFonts w:hint="eastAsia" w:ascii="Calibri" w:hAnsi="Calibri" w:eastAsia="宋体"/>
          <w:b w:val="0"/>
          <w:color w:val="auto"/>
          <w:sz w:val="21"/>
          <w:szCs w:val="22"/>
          <w:highlight w:val="none"/>
        </w:rPr>
        <w:t>本项目为委外模式，比选申请人应满足比选人的设立项目的目标，完成南宁轨道交通运营有限公司员工食堂共有8处“四害”消杀工作。</w:t>
      </w:r>
    </w:p>
    <w:p>
      <w:pPr>
        <w:pStyle w:val="5"/>
        <w:tabs>
          <w:tab w:val="left" w:pos="0"/>
        </w:tabs>
        <w:spacing w:before="0" w:after="0" w:line="360" w:lineRule="auto"/>
        <w:rPr>
          <w:rFonts w:ascii="黑体" w:hAnsi="黑体" w:cs="黑体"/>
          <w:color w:val="auto"/>
          <w:kern w:val="44"/>
          <w:sz w:val="24"/>
          <w:szCs w:val="24"/>
          <w:highlight w:val="none"/>
        </w:rPr>
      </w:pPr>
      <w:bookmarkStart w:id="1396" w:name="_Toc30287"/>
      <w:bookmarkStart w:id="1397" w:name="_Toc15322"/>
      <w:bookmarkStart w:id="1398" w:name="_Toc21891"/>
      <w:bookmarkStart w:id="1399" w:name="_Toc16256"/>
      <w:bookmarkStart w:id="1400" w:name="_Toc16347"/>
      <w:bookmarkStart w:id="1401" w:name="_Toc36653696"/>
      <w:bookmarkStart w:id="1402" w:name="_Toc23970"/>
      <w:bookmarkStart w:id="1403" w:name="_Toc6276"/>
      <w:bookmarkStart w:id="1404" w:name="_Toc19065"/>
      <w:bookmarkStart w:id="1405" w:name="_Toc17991"/>
      <w:bookmarkStart w:id="1406" w:name="_Toc24352"/>
      <w:bookmarkStart w:id="1407" w:name="_Toc21935"/>
      <w:bookmarkStart w:id="1408" w:name="_Toc23958"/>
      <w:bookmarkStart w:id="1409" w:name="_Toc21086"/>
      <w:bookmarkStart w:id="1410" w:name="_Toc29479"/>
      <w:bookmarkStart w:id="1411" w:name="_Toc5998"/>
      <w:bookmarkStart w:id="1412" w:name="_Toc18092"/>
      <w:bookmarkStart w:id="1413" w:name="_Toc29220"/>
      <w:bookmarkStart w:id="1414" w:name="_Toc25899"/>
      <w:bookmarkStart w:id="1415" w:name="_Toc8534"/>
      <w:bookmarkStart w:id="1416" w:name="_Toc11294"/>
      <w:bookmarkStart w:id="1417" w:name="_Toc14179"/>
      <w:bookmarkStart w:id="1418" w:name="_Toc7550"/>
      <w:bookmarkStart w:id="1419" w:name="_Toc11470"/>
      <w:bookmarkStart w:id="1420" w:name="_Toc29403"/>
      <w:bookmarkStart w:id="1421" w:name="_Toc9251"/>
      <w:bookmarkStart w:id="1422" w:name="_Toc19182"/>
      <w:bookmarkStart w:id="1423" w:name="_Toc17616"/>
      <w:bookmarkStart w:id="1424" w:name="_Toc428"/>
      <w:bookmarkStart w:id="1425" w:name="_Toc30482"/>
      <w:bookmarkStart w:id="1426" w:name="_Toc12820"/>
      <w:bookmarkStart w:id="1427" w:name="_Toc36654450"/>
      <w:bookmarkStart w:id="1428" w:name="_Toc4974"/>
      <w:bookmarkStart w:id="1429" w:name="_Toc27801"/>
      <w:bookmarkStart w:id="1430" w:name="_Toc14927"/>
      <w:bookmarkStart w:id="1431" w:name="_Toc4895"/>
      <w:bookmarkStart w:id="1432" w:name="_Toc32551"/>
      <w:bookmarkStart w:id="1433" w:name="_Toc17649"/>
      <w:r>
        <w:rPr>
          <w:rFonts w:hint="eastAsia" w:ascii="黑体" w:hAnsi="黑体" w:cs="黑体"/>
          <w:color w:val="auto"/>
          <w:kern w:val="44"/>
          <w:sz w:val="24"/>
          <w:szCs w:val="24"/>
          <w:highlight w:val="none"/>
        </w:rPr>
        <w:t>2.4 承包方式</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5"/>
        <w:tabs>
          <w:tab w:val="left" w:pos="0"/>
        </w:tabs>
        <w:spacing w:before="0" w:after="0" w:line="360" w:lineRule="auto"/>
        <w:ind w:firstLine="420" w:firstLineChars="200"/>
        <w:rPr>
          <w:rFonts w:ascii="Calibri" w:hAnsi="Calibri" w:eastAsia="宋体"/>
          <w:b w:val="0"/>
          <w:color w:val="auto"/>
          <w:sz w:val="21"/>
          <w:szCs w:val="22"/>
          <w:highlight w:val="none"/>
        </w:rPr>
      </w:pPr>
      <w:r>
        <w:rPr>
          <w:rFonts w:hint="eastAsia" w:ascii="Calibri" w:hAnsi="Calibri" w:eastAsia="宋体"/>
          <w:b w:val="0"/>
          <w:color w:val="auto"/>
          <w:sz w:val="21"/>
          <w:szCs w:val="22"/>
          <w:highlight w:val="none"/>
        </w:rPr>
        <w:t>本项目采用单价包干模式，包括服务过程中相关的一切费用包含在合同单价内，比选人不再另行提供。</w:t>
      </w:r>
    </w:p>
    <w:p>
      <w:pPr>
        <w:pStyle w:val="5"/>
        <w:tabs>
          <w:tab w:val="left" w:pos="0"/>
        </w:tabs>
        <w:spacing w:before="0" w:after="0" w:line="360" w:lineRule="auto"/>
        <w:rPr>
          <w:rFonts w:ascii="黑体" w:hAnsi="黑体" w:cs="黑体"/>
          <w:color w:val="auto"/>
          <w:kern w:val="44"/>
          <w:sz w:val="24"/>
          <w:szCs w:val="24"/>
          <w:highlight w:val="none"/>
        </w:rPr>
      </w:pPr>
      <w:bookmarkStart w:id="1434" w:name="_Toc31523"/>
      <w:bookmarkStart w:id="1435" w:name="_Toc16836"/>
      <w:bookmarkStart w:id="1436" w:name="_Toc15694"/>
      <w:bookmarkStart w:id="1437" w:name="_Toc14175"/>
      <w:bookmarkStart w:id="1438" w:name="_Toc30116"/>
      <w:bookmarkStart w:id="1439" w:name="_Toc27122"/>
      <w:bookmarkStart w:id="1440" w:name="_Toc16378"/>
      <w:bookmarkStart w:id="1441" w:name="_Toc36654451"/>
      <w:bookmarkStart w:id="1442" w:name="_Toc1417"/>
      <w:bookmarkStart w:id="1443" w:name="_Toc20379"/>
      <w:bookmarkStart w:id="1444" w:name="_Toc36653697"/>
      <w:bookmarkStart w:id="1445" w:name="_Toc6529"/>
      <w:bookmarkStart w:id="1446" w:name="_Toc5677"/>
      <w:bookmarkStart w:id="1447" w:name="_Toc28664"/>
      <w:bookmarkStart w:id="1448" w:name="_Toc25094"/>
      <w:bookmarkStart w:id="1449" w:name="_Toc22899"/>
      <w:bookmarkStart w:id="1450" w:name="_Toc16709"/>
      <w:bookmarkStart w:id="1451" w:name="_Toc18832"/>
      <w:bookmarkStart w:id="1452" w:name="_Toc2904"/>
      <w:bookmarkStart w:id="1453" w:name="_Toc26232"/>
      <w:bookmarkStart w:id="1454" w:name="_Toc29575"/>
      <w:bookmarkStart w:id="1455" w:name="_Toc18052"/>
      <w:bookmarkStart w:id="1456" w:name="_Toc283"/>
      <w:bookmarkStart w:id="1457" w:name="_Toc22334"/>
      <w:bookmarkStart w:id="1458" w:name="_Toc24742"/>
      <w:bookmarkStart w:id="1459" w:name="_Toc28790"/>
      <w:bookmarkStart w:id="1460" w:name="_Toc45"/>
      <w:bookmarkStart w:id="1461" w:name="_Toc28648"/>
      <w:bookmarkStart w:id="1462" w:name="_Toc29614"/>
      <w:bookmarkStart w:id="1463" w:name="_Toc22545"/>
      <w:bookmarkStart w:id="1464" w:name="_Toc2371"/>
      <w:bookmarkStart w:id="1465" w:name="_Toc16670"/>
      <w:bookmarkStart w:id="1466" w:name="_Toc17014"/>
      <w:bookmarkStart w:id="1467" w:name="_Toc16727"/>
      <w:bookmarkStart w:id="1468" w:name="_Toc28668"/>
      <w:bookmarkStart w:id="1469" w:name="_Toc26091"/>
      <w:bookmarkStart w:id="1470" w:name="_Toc20382"/>
      <w:bookmarkStart w:id="1471" w:name="_Toc21504"/>
      <w:r>
        <w:rPr>
          <w:rFonts w:hint="eastAsia" w:ascii="黑体" w:hAnsi="黑体" w:cs="黑体"/>
          <w:color w:val="auto"/>
          <w:kern w:val="44"/>
          <w:sz w:val="24"/>
          <w:szCs w:val="24"/>
          <w:highlight w:val="none"/>
        </w:rPr>
        <w:t>2.5 项目分包</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5"/>
        <w:tabs>
          <w:tab w:val="left" w:pos="0"/>
        </w:tabs>
        <w:spacing w:before="0" w:after="0" w:line="360" w:lineRule="auto"/>
        <w:ind w:firstLine="420" w:firstLineChars="200"/>
        <w:rPr>
          <w:rFonts w:ascii="Calibri" w:hAnsi="Calibri" w:eastAsia="宋体"/>
          <w:b w:val="0"/>
          <w:color w:val="auto"/>
          <w:sz w:val="21"/>
          <w:szCs w:val="22"/>
          <w:highlight w:val="none"/>
        </w:rPr>
      </w:pPr>
      <w:r>
        <w:rPr>
          <w:rFonts w:hint="eastAsia" w:ascii="Calibri" w:hAnsi="Calibri" w:eastAsia="宋体"/>
          <w:b w:val="0"/>
          <w:color w:val="auto"/>
          <w:sz w:val="21"/>
          <w:szCs w:val="22"/>
          <w:highlight w:val="none"/>
        </w:rPr>
        <w:t>本项目不允许任何形式的转包或分包。</w:t>
      </w:r>
    </w:p>
    <w:p>
      <w:pPr>
        <w:pStyle w:val="5"/>
        <w:tabs>
          <w:tab w:val="left" w:pos="0"/>
        </w:tabs>
        <w:spacing w:before="0" w:after="0" w:line="360" w:lineRule="auto"/>
        <w:rPr>
          <w:rFonts w:ascii="黑体" w:hAnsi="黑体" w:cs="黑体"/>
          <w:color w:val="auto"/>
          <w:kern w:val="44"/>
          <w:sz w:val="24"/>
          <w:szCs w:val="24"/>
          <w:highlight w:val="none"/>
        </w:rPr>
      </w:pPr>
      <w:bookmarkStart w:id="1472" w:name="_Toc3786"/>
      <w:bookmarkStart w:id="1473" w:name="_Toc16557"/>
      <w:bookmarkStart w:id="1474" w:name="_Toc8401"/>
      <w:bookmarkStart w:id="1475" w:name="_Toc16500"/>
      <w:bookmarkStart w:id="1476" w:name="_Toc15275"/>
      <w:bookmarkStart w:id="1477" w:name="_Toc30573"/>
      <w:bookmarkStart w:id="1478" w:name="_Toc821"/>
      <w:bookmarkStart w:id="1479" w:name="_Toc17997"/>
      <w:bookmarkStart w:id="1480" w:name="_Toc23510"/>
      <w:bookmarkStart w:id="1481" w:name="_Toc24481"/>
      <w:bookmarkStart w:id="1482" w:name="_Toc820"/>
      <w:bookmarkStart w:id="1483" w:name="_Toc20117"/>
      <w:bookmarkStart w:id="1484" w:name="_Toc29706"/>
      <w:bookmarkStart w:id="1485" w:name="_Toc12270"/>
      <w:bookmarkStart w:id="1486" w:name="_Toc11695"/>
      <w:bookmarkStart w:id="1487" w:name="_Toc22193"/>
      <w:bookmarkStart w:id="1488" w:name="_Toc24702"/>
      <w:bookmarkStart w:id="1489" w:name="_Toc18422"/>
      <w:bookmarkStart w:id="1490" w:name="_Toc25758"/>
      <w:bookmarkStart w:id="1491" w:name="_Toc9648"/>
      <w:bookmarkStart w:id="1492" w:name="_Toc23754"/>
      <w:bookmarkStart w:id="1493" w:name="_Toc18917"/>
      <w:bookmarkStart w:id="1494" w:name="_Toc29361"/>
      <w:bookmarkStart w:id="1495" w:name="_Toc22098"/>
      <w:bookmarkStart w:id="1496" w:name="_Toc7612"/>
      <w:bookmarkStart w:id="1497" w:name="_Toc36654452"/>
      <w:bookmarkStart w:id="1498" w:name="_Toc31182"/>
      <w:bookmarkStart w:id="1499" w:name="_Toc15793"/>
      <w:bookmarkStart w:id="1500" w:name="_Toc29086"/>
      <w:bookmarkStart w:id="1501" w:name="_Toc24375"/>
      <w:bookmarkStart w:id="1502" w:name="_Toc13725"/>
      <w:bookmarkStart w:id="1503" w:name="_Toc18904"/>
      <w:bookmarkStart w:id="1504" w:name="_Toc36653698"/>
      <w:bookmarkStart w:id="1505" w:name="_Toc28227"/>
      <w:bookmarkStart w:id="1506" w:name="_Toc19272"/>
      <w:bookmarkStart w:id="1507" w:name="_Toc14817"/>
      <w:bookmarkStart w:id="1508" w:name="_Toc6222"/>
      <w:bookmarkStart w:id="1509" w:name="_Toc27296"/>
      <w:bookmarkStart w:id="1510" w:name="_Toc27257"/>
      <w:r>
        <w:rPr>
          <w:rFonts w:hint="eastAsia" w:ascii="黑体" w:hAnsi="黑体" w:cs="黑体"/>
          <w:color w:val="auto"/>
          <w:kern w:val="44"/>
          <w:sz w:val="24"/>
          <w:szCs w:val="24"/>
          <w:highlight w:val="none"/>
        </w:rPr>
        <w:t>2.6 计划服务期</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5"/>
        <w:tabs>
          <w:tab w:val="left" w:pos="0"/>
        </w:tabs>
        <w:spacing w:before="0" w:after="0" w:line="360" w:lineRule="auto"/>
        <w:rPr>
          <w:color w:val="auto"/>
          <w:highlight w:val="none"/>
        </w:rPr>
      </w:pPr>
      <w:r>
        <w:rPr>
          <w:rFonts w:hint="eastAsia" w:ascii="Calibri" w:hAnsi="Calibri" w:eastAsia="宋体"/>
          <w:b w:val="0"/>
          <w:color w:val="auto"/>
          <w:sz w:val="21"/>
          <w:szCs w:val="22"/>
          <w:highlight w:val="none"/>
        </w:rPr>
        <w:t>计划服务期：自合同签订之日起24个月。</w:t>
      </w:r>
    </w:p>
    <w:p>
      <w:pPr>
        <w:pStyle w:val="5"/>
        <w:tabs>
          <w:tab w:val="left" w:pos="0"/>
        </w:tabs>
        <w:spacing w:before="0" w:after="0" w:line="360" w:lineRule="auto"/>
        <w:rPr>
          <w:rFonts w:ascii="黑体" w:hAnsi="黑体" w:cs="黑体"/>
          <w:color w:val="auto"/>
          <w:kern w:val="44"/>
          <w:sz w:val="24"/>
          <w:szCs w:val="24"/>
          <w:highlight w:val="none"/>
        </w:rPr>
      </w:pPr>
      <w:bookmarkStart w:id="1511" w:name="_Toc13294"/>
      <w:bookmarkStart w:id="1512" w:name="_Toc20253"/>
      <w:bookmarkStart w:id="1513" w:name="_Toc14432"/>
      <w:bookmarkStart w:id="1514" w:name="_Toc11438"/>
      <w:bookmarkStart w:id="1515" w:name="_Toc32150"/>
      <w:bookmarkStart w:id="1516" w:name="_Toc14617"/>
      <w:bookmarkStart w:id="1517" w:name="_Toc25661"/>
      <w:r>
        <w:rPr>
          <w:rFonts w:hint="eastAsia" w:ascii="黑体" w:hAnsi="黑体" w:cs="黑体"/>
          <w:color w:val="auto"/>
          <w:kern w:val="44"/>
          <w:sz w:val="24"/>
          <w:szCs w:val="24"/>
          <w:highlight w:val="none"/>
        </w:rPr>
        <w:t>3项目标准、规范</w:t>
      </w:r>
      <w:bookmarkEnd w:id="1511"/>
      <w:bookmarkEnd w:id="1512"/>
      <w:bookmarkEnd w:id="1513"/>
      <w:bookmarkEnd w:id="1514"/>
      <w:bookmarkEnd w:id="1515"/>
      <w:bookmarkEnd w:id="1516"/>
      <w:bookmarkEnd w:id="1517"/>
    </w:p>
    <w:p>
      <w:pPr>
        <w:pStyle w:val="5"/>
        <w:tabs>
          <w:tab w:val="left" w:pos="0"/>
        </w:tabs>
        <w:spacing w:before="0" w:after="0" w:line="360" w:lineRule="auto"/>
        <w:rPr>
          <w:rFonts w:ascii="黑体" w:hAnsi="黑体" w:cs="黑体"/>
          <w:color w:val="auto"/>
          <w:kern w:val="44"/>
          <w:sz w:val="24"/>
          <w:szCs w:val="24"/>
          <w:highlight w:val="none"/>
        </w:rPr>
      </w:pPr>
      <w:bookmarkStart w:id="1518" w:name="_Toc31439"/>
      <w:bookmarkStart w:id="1519" w:name="_Toc18900"/>
      <w:bookmarkStart w:id="1520" w:name="_Toc4236"/>
      <w:bookmarkStart w:id="1521" w:name="_Toc4126"/>
      <w:bookmarkStart w:id="1522" w:name="_Toc20197"/>
      <w:bookmarkStart w:id="1523" w:name="_Toc28372"/>
      <w:r>
        <w:rPr>
          <w:rFonts w:hint="eastAsia" w:ascii="黑体" w:hAnsi="黑体" w:cs="黑体"/>
          <w:color w:val="auto"/>
          <w:kern w:val="44"/>
          <w:sz w:val="24"/>
          <w:szCs w:val="24"/>
          <w:highlight w:val="none"/>
        </w:rPr>
        <w:t>3.1标准适用原则</w:t>
      </w:r>
      <w:bookmarkEnd w:id="1518"/>
      <w:bookmarkEnd w:id="1519"/>
      <w:bookmarkEnd w:id="1520"/>
      <w:bookmarkEnd w:id="1521"/>
      <w:bookmarkEnd w:id="1522"/>
      <w:bookmarkEnd w:id="1523"/>
    </w:p>
    <w:p>
      <w:pPr>
        <w:pStyle w:val="5"/>
        <w:tabs>
          <w:tab w:val="left" w:pos="0"/>
        </w:tabs>
        <w:spacing w:before="0" w:after="0" w:line="360" w:lineRule="auto"/>
        <w:ind w:firstLine="420" w:firstLineChars="200"/>
        <w:rPr>
          <w:rFonts w:ascii="Calibri" w:hAnsi="Calibri" w:eastAsia="宋体"/>
          <w:b w:val="0"/>
          <w:color w:val="auto"/>
          <w:sz w:val="21"/>
          <w:szCs w:val="22"/>
          <w:highlight w:val="none"/>
        </w:rPr>
      </w:pPr>
      <w:r>
        <w:rPr>
          <w:rFonts w:hint="eastAsia" w:ascii="Calibri" w:hAnsi="Calibri" w:eastAsia="宋体"/>
          <w:b w:val="0"/>
          <w:color w:val="auto"/>
          <w:sz w:val="21"/>
          <w:szCs w:val="22"/>
          <w:highlight w:val="none"/>
        </w:rPr>
        <w:t>1.本项目须满足各类国家及行业标准，包括但不限于国家相关标准、轨道交通行业通用和专用标准、自治区及南宁市轨道交通相关标准等。</w:t>
      </w:r>
    </w:p>
    <w:p>
      <w:pPr>
        <w:spacing w:line="360" w:lineRule="auto"/>
        <w:ind w:firstLine="420" w:firstLineChars="200"/>
        <w:outlineLvl w:val="0"/>
        <w:rPr>
          <w:color w:val="auto"/>
          <w:highlight w:val="none"/>
        </w:rPr>
      </w:pPr>
      <w:bookmarkStart w:id="1524" w:name="_Toc5251"/>
      <w:bookmarkStart w:id="1525" w:name="_Toc25253"/>
      <w:bookmarkStart w:id="1526" w:name="_Toc24546"/>
      <w:bookmarkStart w:id="1527" w:name="_Toc20777"/>
      <w:bookmarkStart w:id="1528" w:name="_Toc14760"/>
      <w:bookmarkStart w:id="1529" w:name="_Toc4182"/>
      <w:bookmarkStart w:id="1530" w:name="_Toc6157"/>
      <w:r>
        <w:rPr>
          <w:rFonts w:hint="eastAsia"/>
          <w:color w:val="auto"/>
          <w:highlight w:val="none"/>
        </w:rPr>
        <w:t>2.本项目须满足招标方单位的相关标准或要求：</w:t>
      </w:r>
      <w:bookmarkEnd w:id="1524"/>
      <w:bookmarkEnd w:id="1525"/>
      <w:bookmarkEnd w:id="1526"/>
      <w:bookmarkEnd w:id="1527"/>
      <w:bookmarkEnd w:id="1528"/>
      <w:bookmarkEnd w:id="1529"/>
      <w:bookmarkEnd w:id="1530"/>
    </w:p>
    <w:p>
      <w:pPr>
        <w:spacing w:line="360" w:lineRule="auto"/>
        <w:ind w:firstLine="420" w:firstLineChars="200"/>
        <w:rPr>
          <w:color w:val="auto"/>
          <w:highlight w:val="none"/>
        </w:rPr>
      </w:pPr>
      <w:r>
        <w:rPr>
          <w:rFonts w:hint="eastAsia"/>
          <w:color w:val="auto"/>
          <w:highlight w:val="none"/>
        </w:rPr>
        <w:t>（1）比选人单位的企业标准；</w:t>
      </w:r>
    </w:p>
    <w:p>
      <w:pPr>
        <w:spacing w:line="360" w:lineRule="auto"/>
        <w:ind w:firstLine="420" w:firstLineChars="200"/>
        <w:rPr>
          <w:color w:val="auto"/>
          <w:highlight w:val="none"/>
        </w:rPr>
      </w:pPr>
      <w:r>
        <w:rPr>
          <w:rFonts w:hint="eastAsia"/>
          <w:color w:val="auto"/>
          <w:highlight w:val="none"/>
        </w:rPr>
        <w:t>（2）比选人单位的规章制度；</w:t>
      </w:r>
    </w:p>
    <w:p>
      <w:pPr>
        <w:spacing w:line="360" w:lineRule="auto"/>
        <w:ind w:firstLine="420" w:firstLineChars="200"/>
        <w:rPr>
          <w:color w:val="auto"/>
          <w:highlight w:val="none"/>
        </w:rPr>
      </w:pPr>
      <w:r>
        <w:rPr>
          <w:rFonts w:hint="eastAsia"/>
          <w:color w:val="auto"/>
          <w:highlight w:val="none"/>
        </w:rPr>
        <w:t>（3）比选人单位的各种会议纪要、决议、通知等；</w:t>
      </w:r>
    </w:p>
    <w:p>
      <w:pPr>
        <w:spacing w:line="360" w:lineRule="auto"/>
        <w:ind w:firstLine="420" w:firstLineChars="200"/>
        <w:rPr>
          <w:color w:val="auto"/>
          <w:highlight w:val="none"/>
        </w:rPr>
      </w:pPr>
      <w:r>
        <w:rPr>
          <w:rFonts w:hint="eastAsia"/>
          <w:color w:val="auto"/>
          <w:highlight w:val="none"/>
        </w:rPr>
        <w:t>（4）比选人制定的设备检修规程、设备操作指南、故障处理指南、工作手册、规章制度等；</w:t>
      </w:r>
    </w:p>
    <w:p>
      <w:pPr>
        <w:spacing w:line="360" w:lineRule="auto"/>
        <w:ind w:firstLine="420" w:firstLineChars="200"/>
        <w:rPr>
          <w:color w:val="auto"/>
          <w:highlight w:val="none"/>
        </w:rPr>
      </w:pPr>
      <w:r>
        <w:rPr>
          <w:rFonts w:hint="eastAsia"/>
          <w:color w:val="auto"/>
          <w:highlight w:val="none"/>
        </w:rPr>
        <w:t>（5）以上均未涉及的，由比选人与比选申请人共同商定。</w:t>
      </w:r>
    </w:p>
    <w:p>
      <w:pPr>
        <w:spacing w:line="360" w:lineRule="auto"/>
        <w:ind w:firstLine="420" w:firstLineChars="200"/>
        <w:rPr>
          <w:color w:val="auto"/>
          <w:highlight w:val="none"/>
        </w:rPr>
      </w:pPr>
      <w:r>
        <w:rPr>
          <w:rFonts w:hint="eastAsia"/>
          <w:color w:val="auto"/>
          <w:highlight w:val="none"/>
        </w:rPr>
        <w:t>3.本项目采用的各类标准或要求，如有最新版本，则按新版本执行，同一权威等级取标准高者。</w:t>
      </w:r>
    </w:p>
    <w:p>
      <w:pPr>
        <w:spacing w:line="360" w:lineRule="auto"/>
        <w:ind w:firstLine="420" w:firstLineChars="200"/>
        <w:rPr>
          <w:color w:val="auto"/>
          <w:highlight w:val="none"/>
        </w:rPr>
      </w:pPr>
      <w:r>
        <w:rPr>
          <w:rFonts w:hint="eastAsia"/>
          <w:color w:val="auto"/>
          <w:highlight w:val="none"/>
        </w:rPr>
        <w:t>4.</w:t>
      </w:r>
      <w:r>
        <w:rPr>
          <w:rFonts w:hint="eastAsia"/>
          <w:color w:val="auto"/>
          <w:highlight w:val="none"/>
          <w:lang w:eastAsia="zh-CN"/>
        </w:rPr>
        <w:t>广西壮族自治区</w:t>
      </w:r>
      <w:r>
        <w:rPr>
          <w:rFonts w:hint="eastAsia"/>
          <w:color w:val="auto"/>
          <w:highlight w:val="none"/>
        </w:rPr>
        <w:t>、南宁市有关规程、规定及要求，未尽部分符合国家现行的有关标准和规范，且当上述标准的内容与其他文件或具体条款描述矛盾时，按较高要求执行。</w:t>
      </w:r>
    </w:p>
    <w:p>
      <w:pPr>
        <w:spacing w:line="360" w:lineRule="auto"/>
        <w:ind w:firstLine="420" w:firstLineChars="200"/>
        <w:rPr>
          <w:color w:val="auto"/>
          <w:highlight w:val="none"/>
        </w:rPr>
      </w:pPr>
      <w:r>
        <w:rPr>
          <w:rFonts w:hint="eastAsia"/>
          <w:color w:val="auto"/>
          <w:highlight w:val="none"/>
        </w:rPr>
        <w:t>5.本项目所用产品的消杀施工、安全至少满足下列标准、规范及相关引用标准和规范。如果有新的标准，则按照新的标准执行，比选申请人不能因此要求增加任何费用。</w:t>
      </w:r>
      <w:bookmarkStart w:id="1531" w:name="_Toc9057"/>
      <w:bookmarkStart w:id="1532" w:name="_Toc10571"/>
      <w:bookmarkStart w:id="1533" w:name="_Toc19957"/>
      <w:bookmarkStart w:id="1534" w:name="_Toc27990"/>
      <w:bookmarkStart w:id="1535" w:name="_Toc849"/>
      <w:bookmarkStart w:id="1536" w:name="_Toc31964"/>
      <w:bookmarkStart w:id="1537" w:name="_Toc19025"/>
    </w:p>
    <w:p>
      <w:pPr>
        <w:spacing w:line="360" w:lineRule="auto"/>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3.2 国家技术标准及行业规范</w:t>
      </w:r>
      <w:bookmarkEnd w:id="1531"/>
      <w:bookmarkEnd w:id="1532"/>
      <w:bookmarkEnd w:id="1533"/>
      <w:bookmarkEnd w:id="1534"/>
      <w:bookmarkEnd w:id="1535"/>
      <w:bookmarkEnd w:id="1536"/>
      <w:bookmarkEnd w:id="1537"/>
    </w:p>
    <w:p>
      <w:pPr>
        <w:pStyle w:val="77"/>
        <w:tabs>
          <w:tab w:val="right" w:leader="dot" w:pos="8306"/>
        </w:tabs>
        <w:spacing w:line="360" w:lineRule="auto"/>
        <w:rPr>
          <w:rStyle w:val="78"/>
          <w:rFonts w:ascii="宋体" w:hAnsi="宋体"/>
          <w:color w:val="auto"/>
          <w:szCs w:val="21"/>
          <w:highlight w:val="none"/>
        </w:rPr>
      </w:pPr>
      <w:bookmarkStart w:id="1538" w:name="_Toc19428"/>
      <w:bookmarkStart w:id="1539" w:name="_Toc14349"/>
      <w:bookmarkStart w:id="1540" w:name="_Toc534613559"/>
      <w:bookmarkStart w:id="1541" w:name="_Toc29827"/>
      <w:bookmarkStart w:id="1542" w:name="_Toc2341"/>
      <w:bookmarkStart w:id="1543" w:name="_Toc28628"/>
      <w:bookmarkStart w:id="1544" w:name="_Toc17580"/>
      <w:bookmarkStart w:id="1545" w:name="_Toc6124"/>
      <w:bookmarkStart w:id="1546" w:name="_Toc23841"/>
      <w:bookmarkStart w:id="1547" w:name="_Toc28510"/>
      <w:bookmarkStart w:id="1548" w:name="_Toc4075"/>
      <w:bookmarkStart w:id="1549" w:name="_Toc12109"/>
      <w:bookmarkStart w:id="1550" w:name="_Toc31835"/>
      <w:bookmarkStart w:id="1551" w:name="_Toc10942"/>
      <w:bookmarkStart w:id="1552" w:name="_Toc29808"/>
      <w:bookmarkStart w:id="1553" w:name="_Toc26910"/>
      <w:bookmarkStart w:id="1554" w:name="_Toc16683"/>
      <w:bookmarkStart w:id="1555" w:name="_Toc533760367"/>
      <w:bookmarkStart w:id="1556" w:name="_Toc27743"/>
      <w:bookmarkStart w:id="1557" w:name="_Toc26028"/>
      <w:bookmarkStart w:id="1558" w:name="_Toc21225"/>
      <w:bookmarkStart w:id="1559" w:name="_Toc16161"/>
      <w:bookmarkStart w:id="1560" w:name="_Toc534612222"/>
      <w:bookmarkStart w:id="1561" w:name="_Toc5467"/>
      <w:bookmarkStart w:id="1562" w:name="_Toc20638"/>
      <w:bookmarkStart w:id="1563" w:name="_Toc20990"/>
      <w:bookmarkStart w:id="1564" w:name="_Toc29976"/>
      <w:bookmarkStart w:id="1565" w:name="_Toc16160"/>
      <w:bookmarkStart w:id="1566" w:name="_Toc9179"/>
      <w:bookmarkStart w:id="1567" w:name="_Toc24501"/>
      <w:bookmarkStart w:id="1568" w:name="_Toc19842"/>
      <w:bookmarkStart w:id="1569" w:name="_Toc12842"/>
      <w:bookmarkStart w:id="1570" w:name="_Toc18384"/>
      <w:bookmarkStart w:id="1571" w:name="_Toc8045"/>
      <w:bookmarkStart w:id="1572" w:name="_Toc26869"/>
      <w:bookmarkStart w:id="1573" w:name="_Toc24447"/>
      <w:bookmarkStart w:id="1574" w:name="_Toc32257"/>
      <w:bookmarkStart w:id="1575" w:name="_Toc4441"/>
      <w:bookmarkStart w:id="1576" w:name="_Toc27985"/>
      <w:r>
        <w:rPr>
          <w:rStyle w:val="78"/>
          <w:rFonts w:ascii="宋体" w:hAnsi="宋体"/>
          <w:color w:val="auto"/>
          <w:szCs w:val="21"/>
          <w:highlight w:val="none"/>
        </w:rPr>
        <w:t>病媒生物密度控制水平 C 级标准国标（ 2011版）</w:t>
      </w:r>
    </w:p>
    <w:p>
      <w:pPr>
        <w:pStyle w:val="77"/>
        <w:tabs>
          <w:tab w:val="right" w:leader="dot" w:pos="8306"/>
        </w:tabs>
        <w:spacing w:line="360" w:lineRule="auto"/>
        <w:rPr>
          <w:rStyle w:val="78"/>
          <w:rFonts w:ascii="宋体" w:hAnsi="宋体"/>
          <w:color w:val="auto"/>
          <w:szCs w:val="21"/>
          <w:highlight w:val="none"/>
        </w:rPr>
      </w:pPr>
      <w:r>
        <w:rPr>
          <w:rStyle w:val="78"/>
          <w:rFonts w:ascii="宋体" w:hAnsi="宋体"/>
          <w:color w:val="auto"/>
          <w:szCs w:val="21"/>
          <w:highlight w:val="none"/>
        </w:rPr>
        <w:t>GBT27770-2011病媒生物密度控制水平鼠类标准</w:t>
      </w:r>
    </w:p>
    <w:p>
      <w:pPr>
        <w:pStyle w:val="77"/>
        <w:tabs>
          <w:tab w:val="right" w:leader="dot" w:pos="8306"/>
        </w:tabs>
        <w:spacing w:line="360" w:lineRule="auto"/>
        <w:rPr>
          <w:rStyle w:val="78"/>
          <w:rFonts w:ascii="宋体" w:hAnsi="宋体"/>
          <w:color w:val="auto"/>
          <w:szCs w:val="21"/>
          <w:highlight w:val="none"/>
        </w:rPr>
      </w:pPr>
      <w:r>
        <w:rPr>
          <w:rStyle w:val="78"/>
          <w:rFonts w:ascii="宋体" w:hAnsi="宋体"/>
          <w:color w:val="auto"/>
          <w:szCs w:val="21"/>
          <w:highlight w:val="none"/>
        </w:rPr>
        <w:t>GBT27771-2011病媒生物密度控制水平蚊虫标准</w:t>
      </w:r>
    </w:p>
    <w:p>
      <w:pPr>
        <w:pStyle w:val="77"/>
        <w:tabs>
          <w:tab w:val="right" w:leader="dot" w:pos="8306"/>
        </w:tabs>
        <w:spacing w:line="360" w:lineRule="auto"/>
        <w:rPr>
          <w:rStyle w:val="78"/>
          <w:rFonts w:ascii="宋体" w:hAnsi="宋体"/>
          <w:color w:val="auto"/>
          <w:szCs w:val="21"/>
          <w:highlight w:val="none"/>
        </w:rPr>
      </w:pPr>
      <w:r>
        <w:rPr>
          <w:rStyle w:val="78"/>
          <w:rFonts w:ascii="宋体" w:hAnsi="宋体"/>
          <w:color w:val="auto"/>
          <w:szCs w:val="21"/>
          <w:highlight w:val="none"/>
        </w:rPr>
        <w:t>GBT27772-2011病媒生物密度控制水平蝇类标准</w:t>
      </w:r>
    </w:p>
    <w:p>
      <w:pPr>
        <w:numPr>
          <w:ilvl w:val="255"/>
          <w:numId w:val="0"/>
        </w:numPr>
        <w:spacing w:line="360" w:lineRule="auto"/>
        <w:ind w:firstLine="420" w:firstLineChars="200"/>
        <w:rPr>
          <w:rStyle w:val="78"/>
          <w:rFonts w:ascii="宋体" w:hAnsi="宋体"/>
          <w:color w:val="auto"/>
          <w:szCs w:val="21"/>
          <w:highlight w:val="none"/>
        </w:rPr>
      </w:pPr>
      <w:r>
        <w:rPr>
          <w:rStyle w:val="78"/>
          <w:rFonts w:ascii="宋体" w:hAnsi="宋体"/>
          <w:color w:val="auto"/>
          <w:szCs w:val="21"/>
          <w:highlight w:val="none"/>
        </w:rPr>
        <w:t>GBT27773-2011病媒生物密度控制水平蜚蠊标准</w:t>
      </w:r>
    </w:p>
    <w:p>
      <w:pPr>
        <w:pStyle w:val="5"/>
        <w:numPr>
          <w:ilvl w:val="255"/>
          <w:numId w:val="0"/>
        </w:numPr>
        <w:spacing w:before="0" w:after="0" w:line="360" w:lineRule="auto"/>
        <w:rPr>
          <w:rFonts w:hint="eastAsia" w:ascii="黑体" w:hAnsi="黑体" w:cs="黑体"/>
          <w:color w:val="auto"/>
          <w:kern w:val="44"/>
          <w:sz w:val="24"/>
          <w:szCs w:val="24"/>
          <w:highlight w:val="none"/>
        </w:rPr>
      </w:pPr>
      <w:bookmarkStart w:id="1577" w:name="_Toc9965"/>
      <w:bookmarkStart w:id="1578" w:name="_Toc32755"/>
      <w:bookmarkStart w:id="1579" w:name="_Toc13996"/>
      <w:bookmarkStart w:id="1580" w:name="_Toc23042"/>
      <w:bookmarkStart w:id="1581" w:name="_Toc3428"/>
      <w:r>
        <w:rPr>
          <w:rFonts w:hint="eastAsia" w:ascii="黑体" w:hAnsi="黑体" w:cs="黑体"/>
          <w:color w:val="auto"/>
          <w:kern w:val="44"/>
          <w:sz w:val="24"/>
          <w:szCs w:val="24"/>
          <w:highlight w:val="none"/>
        </w:rPr>
        <w:t>3.3南宁轨道交通相关规章</w:t>
      </w:r>
      <w:bookmarkEnd w:id="1577"/>
      <w:bookmarkEnd w:id="1578"/>
      <w:bookmarkEnd w:id="1579"/>
      <w:bookmarkEnd w:id="1580"/>
      <w:bookmarkEnd w:id="1581"/>
      <w:r>
        <w:rPr>
          <w:rFonts w:hint="eastAsia" w:ascii="黑体" w:hAnsi="黑体" w:cs="黑体"/>
          <w:color w:val="auto"/>
          <w:kern w:val="44"/>
          <w:sz w:val="24"/>
          <w:szCs w:val="24"/>
          <w:highlight w:val="none"/>
        </w:rPr>
        <w:t>包括但不限于：</w:t>
      </w:r>
    </w:p>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运营公司保洁</w:t>
      </w:r>
      <w:r>
        <w:rPr>
          <w:rFonts w:hint="eastAsia" w:ascii="宋体" w:hAnsi="宋体" w:cs="宋体"/>
          <w:color w:val="auto"/>
          <w:szCs w:val="21"/>
          <w:highlight w:val="none"/>
          <w:lang w:eastAsia="zh-CN"/>
        </w:rPr>
        <w:t>管理</w:t>
      </w:r>
      <w:r>
        <w:rPr>
          <w:rFonts w:hint="eastAsia" w:ascii="宋体" w:hAnsi="宋体" w:cs="宋体"/>
          <w:color w:val="auto"/>
          <w:szCs w:val="21"/>
          <w:highlight w:val="none"/>
        </w:rPr>
        <w:t>办法</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运营公司场段物业管理制度</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运营公司安全生产责任制管理规定</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运营公司化学危险品安全管理实施细则（试行）管理规定</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运营公司突发事件综合应急预案处理程序</w:t>
      </w:r>
      <w:bookmarkStart w:id="1582" w:name="_Toc2859"/>
      <w:bookmarkStart w:id="1583" w:name="_Toc26417"/>
      <w:bookmarkStart w:id="1584" w:name="_Toc4817"/>
      <w:bookmarkStart w:id="1585" w:name="_Toc6744"/>
      <w:bookmarkStart w:id="1586" w:name="_Toc30830"/>
      <w:bookmarkStart w:id="1587" w:name="_Toc4194"/>
      <w:bookmarkStart w:id="1588" w:name="_Toc7953"/>
    </w:p>
    <w:p>
      <w:pPr>
        <w:spacing w:line="360" w:lineRule="auto"/>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4项目管理</w:t>
      </w:r>
      <w:bookmarkEnd w:id="1582"/>
      <w:bookmarkEnd w:id="1583"/>
      <w:bookmarkEnd w:id="1584"/>
      <w:bookmarkEnd w:id="1585"/>
      <w:bookmarkEnd w:id="1586"/>
      <w:bookmarkEnd w:id="1587"/>
      <w:bookmarkEnd w:id="1588"/>
      <w:bookmarkStart w:id="1589" w:name="_Toc24450"/>
      <w:bookmarkStart w:id="1590" w:name="_Toc23830"/>
      <w:bookmarkStart w:id="1591" w:name="_Toc26908"/>
      <w:bookmarkStart w:id="1592" w:name="_Toc6701"/>
      <w:bookmarkStart w:id="1593" w:name="_Toc23604"/>
      <w:bookmarkStart w:id="1594" w:name="_Toc7824"/>
      <w:bookmarkStart w:id="1595" w:name="_Toc25441"/>
    </w:p>
    <w:p>
      <w:pPr>
        <w:spacing w:line="360" w:lineRule="auto"/>
        <w:rPr>
          <w:rFonts w:ascii="黑体" w:hAnsi="黑体" w:eastAsia="黑体" w:cs="黑体"/>
          <w:b/>
          <w:color w:val="auto"/>
          <w:kern w:val="44"/>
          <w:sz w:val="24"/>
          <w:szCs w:val="24"/>
          <w:highlight w:val="none"/>
        </w:rPr>
      </w:pPr>
      <w:r>
        <w:rPr>
          <w:rFonts w:hint="eastAsia" w:ascii="黑体" w:hAnsi="黑体" w:cs="黑体"/>
          <w:color w:val="auto"/>
          <w:kern w:val="44"/>
          <w:sz w:val="24"/>
          <w:szCs w:val="24"/>
          <w:highlight w:val="none"/>
        </w:rPr>
        <w:t>4.1 比选人资质、组织架构要求</w:t>
      </w:r>
      <w:bookmarkEnd w:id="1589"/>
      <w:bookmarkEnd w:id="1590"/>
      <w:bookmarkEnd w:id="1591"/>
      <w:bookmarkEnd w:id="1592"/>
      <w:bookmarkEnd w:id="1593"/>
      <w:bookmarkEnd w:id="1594"/>
      <w:bookmarkEnd w:id="1595"/>
    </w:p>
    <w:p>
      <w:pPr>
        <w:numPr>
          <w:ilvl w:val="255"/>
          <w:numId w:val="0"/>
        </w:numPr>
        <w:spacing w:line="360" w:lineRule="auto"/>
        <w:ind w:firstLine="420" w:firstLineChars="200"/>
        <w:jc w:val="left"/>
        <w:outlineLvl w:val="2"/>
        <w:rPr>
          <w:rFonts w:ascii="宋体" w:hAnsi="宋体" w:cs="宋体"/>
          <w:bCs/>
          <w:color w:val="auto"/>
          <w:szCs w:val="32"/>
          <w:highlight w:val="none"/>
        </w:rPr>
      </w:pPr>
      <w:r>
        <w:rPr>
          <w:rFonts w:hint="eastAsia" w:ascii="宋体" w:hAnsi="宋体" w:cs="宋体"/>
          <w:bCs/>
          <w:color w:val="auto"/>
          <w:szCs w:val="32"/>
          <w:highlight w:val="none"/>
        </w:rPr>
        <w:t>4.1.1 比选申请人资质要求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highlight w:val="none"/>
        </w:rPr>
        <w:t>4.1.1.1</w:t>
      </w:r>
      <w:r>
        <w:rPr>
          <w:rFonts w:hint="eastAsia" w:ascii="宋体" w:hAnsi="宋体" w:cs="宋体"/>
          <w:color w:val="auto"/>
          <w:highlight w:val="none"/>
          <w:lang w:val="en-US" w:eastAsia="zh-CN"/>
        </w:rPr>
        <w:t>比选申请人</w:t>
      </w:r>
      <w:r>
        <w:rPr>
          <w:rFonts w:hint="eastAsia" w:cs="宋体" w:asciiTheme="minorEastAsia" w:hAnsiTheme="minorEastAsia" w:eastAsiaTheme="minorEastAsia"/>
          <w:color w:val="auto"/>
          <w:szCs w:val="21"/>
          <w:highlight w:val="none"/>
        </w:rPr>
        <w:t>为中华人民共和国境内依法设立的法人或其他组织。（若以分公司名义参与比选申请，必须出具总公司授权参与的证明。）</w:t>
      </w:r>
    </w:p>
    <w:p>
      <w:pPr>
        <w:numPr>
          <w:ilvl w:val="255"/>
          <w:numId w:val="0"/>
        </w:numPr>
        <w:spacing w:line="360" w:lineRule="auto"/>
        <w:ind w:firstLine="420" w:firstLineChars="200"/>
        <w:jc w:val="left"/>
        <w:outlineLvl w:val="2"/>
        <w:rPr>
          <w:rFonts w:hint="eastAsia" w:ascii="宋体" w:hAnsi="宋体" w:cs="宋体"/>
          <w:bCs/>
          <w:color w:val="auto"/>
          <w:szCs w:val="32"/>
          <w:highlight w:val="none"/>
        </w:rPr>
      </w:pPr>
      <w:r>
        <w:rPr>
          <w:rFonts w:hint="eastAsia" w:ascii="宋体" w:hAnsi="宋体" w:cs="宋体"/>
          <w:bCs/>
          <w:color w:val="auto"/>
          <w:szCs w:val="32"/>
          <w:highlight w:val="none"/>
        </w:rPr>
        <w:t>4.1.1.2比选申请人须满足以下要求：</w:t>
      </w:r>
    </w:p>
    <w:p>
      <w:pPr>
        <w:numPr>
          <w:ilvl w:val="255"/>
          <w:numId w:val="0"/>
        </w:numPr>
        <w:spacing w:line="360" w:lineRule="auto"/>
        <w:ind w:firstLine="420" w:firstLineChars="200"/>
        <w:jc w:val="left"/>
        <w:outlineLvl w:val="2"/>
        <w:rPr>
          <w:rFonts w:hint="eastAsia" w:ascii="宋体" w:hAnsi="宋体" w:cs="宋体"/>
          <w:bCs/>
          <w:color w:val="auto"/>
          <w:szCs w:val="32"/>
          <w:highlight w:val="none"/>
        </w:rPr>
      </w:pPr>
      <w:r>
        <w:rPr>
          <w:rFonts w:hint="eastAsia" w:ascii="宋体" w:hAnsi="宋体" w:cs="宋体"/>
          <w:bCs/>
          <w:color w:val="auto"/>
          <w:szCs w:val="32"/>
          <w:highlight w:val="none"/>
        </w:rPr>
        <w:t>1）具有合法有效的营业执照</w:t>
      </w:r>
      <w:r>
        <w:rPr>
          <w:rFonts w:hint="eastAsia" w:ascii="宋体" w:hAnsi="宋体" w:cs="宋体"/>
          <w:bCs/>
          <w:color w:val="auto"/>
          <w:szCs w:val="32"/>
          <w:highlight w:val="none"/>
          <w:lang w:eastAsia="zh-CN"/>
        </w:rPr>
        <w:t>，</w:t>
      </w:r>
      <w:r>
        <w:rPr>
          <w:rFonts w:hint="eastAsia" w:ascii="宋体" w:hAnsi="宋体" w:cs="宋体"/>
          <w:bCs/>
          <w:color w:val="auto"/>
          <w:szCs w:val="32"/>
          <w:highlight w:val="none"/>
        </w:rPr>
        <w:t>经营范围含虫害防治工作等内容；</w:t>
      </w:r>
    </w:p>
    <w:p>
      <w:pPr>
        <w:numPr>
          <w:ilvl w:val="255"/>
          <w:numId w:val="0"/>
        </w:numPr>
        <w:spacing w:line="360" w:lineRule="auto"/>
        <w:ind w:firstLine="420" w:firstLineChars="200"/>
        <w:jc w:val="left"/>
        <w:outlineLvl w:val="2"/>
        <w:rPr>
          <w:rFonts w:hint="eastAsia" w:ascii="宋体" w:hAnsi="宋体" w:cs="宋体"/>
          <w:bCs/>
          <w:color w:val="auto"/>
          <w:szCs w:val="32"/>
          <w:highlight w:val="none"/>
        </w:rPr>
      </w:pPr>
      <w:r>
        <w:rPr>
          <w:rFonts w:hint="eastAsia" w:ascii="宋体" w:hAnsi="宋体" w:cs="宋体"/>
          <w:bCs/>
          <w:color w:val="auto"/>
          <w:szCs w:val="32"/>
          <w:highlight w:val="none"/>
        </w:rPr>
        <w:t>2）具有病媒生物预防控制服务机构备案凭证（提供复印件）；</w:t>
      </w:r>
    </w:p>
    <w:p>
      <w:pPr>
        <w:numPr>
          <w:ilvl w:val="255"/>
          <w:numId w:val="0"/>
        </w:numPr>
        <w:spacing w:line="360" w:lineRule="auto"/>
        <w:ind w:firstLine="420" w:firstLineChars="200"/>
        <w:jc w:val="left"/>
        <w:outlineLvl w:val="2"/>
        <w:rPr>
          <w:rFonts w:hint="eastAsia" w:ascii="宋体" w:hAnsi="宋体" w:cs="宋体"/>
          <w:bCs/>
          <w:color w:val="auto"/>
          <w:szCs w:val="32"/>
          <w:highlight w:val="none"/>
        </w:rPr>
      </w:pPr>
      <w:r>
        <w:rPr>
          <w:rFonts w:hint="eastAsia" w:ascii="宋体" w:hAnsi="宋体" w:cs="宋体"/>
          <w:bCs/>
          <w:color w:val="auto"/>
          <w:szCs w:val="32"/>
          <w:highlight w:val="none"/>
        </w:rPr>
        <w:t>4.1.1.3比选申请人在近5年（自中标通知书或合同签署之日至本工程投标截止之日止）内承担的类似业绩。</w:t>
      </w:r>
    </w:p>
    <w:p>
      <w:pPr>
        <w:numPr>
          <w:ilvl w:val="255"/>
          <w:numId w:val="0"/>
        </w:numPr>
        <w:spacing w:line="360" w:lineRule="auto"/>
        <w:ind w:firstLine="420" w:firstLineChars="200"/>
        <w:jc w:val="left"/>
        <w:outlineLvl w:val="2"/>
        <w:rPr>
          <w:rFonts w:ascii="宋体" w:hAnsi="宋体" w:cs="宋体"/>
          <w:color w:val="auto"/>
          <w:szCs w:val="21"/>
          <w:highlight w:val="none"/>
        </w:rPr>
      </w:pPr>
      <w:bookmarkStart w:id="1596" w:name="_Toc29288198"/>
      <w:r>
        <w:rPr>
          <w:rFonts w:hint="eastAsia" w:ascii="宋体" w:hAnsi="宋体" w:cs="宋体"/>
          <w:color w:val="auto"/>
          <w:szCs w:val="21"/>
          <w:highlight w:val="none"/>
        </w:rPr>
        <w:t>4.1.2 比选</w:t>
      </w:r>
      <w:r>
        <w:rPr>
          <w:rFonts w:hint="eastAsia" w:ascii="宋体" w:hAnsi="宋体" w:cs="宋体"/>
          <w:bCs/>
          <w:color w:val="auto"/>
          <w:szCs w:val="32"/>
          <w:highlight w:val="none"/>
        </w:rPr>
        <w:t>申请</w:t>
      </w:r>
      <w:r>
        <w:rPr>
          <w:rFonts w:hint="eastAsia" w:ascii="宋体" w:hAnsi="宋体" w:cs="宋体"/>
          <w:color w:val="auto"/>
          <w:szCs w:val="21"/>
          <w:highlight w:val="none"/>
        </w:rPr>
        <w:t>人需配置的组织架构及人员要求</w:t>
      </w:r>
      <w:bookmarkEnd w:id="1596"/>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为保证项目顺利、安全、高效、可靠地实施完成，比选</w:t>
      </w:r>
      <w:r>
        <w:rPr>
          <w:rFonts w:hint="eastAsia" w:ascii="宋体" w:hAnsi="宋体" w:cs="宋体"/>
          <w:bCs/>
          <w:color w:val="auto"/>
          <w:szCs w:val="32"/>
          <w:highlight w:val="none"/>
        </w:rPr>
        <w:t>申请</w:t>
      </w:r>
      <w:r>
        <w:rPr>
          <w:rFonts w:hint="eastAsia" w:ascii="宋体" w:hAnsi="宋体" w:cs="宋体"/>
          <w:color w:val="auto"/>
          <w:szCs w:val="21"/>
          <w:highlight w:val="none"/>
        </w:rPr>
        <w:t>人需结合本项目的工作内容及技术难点成立专门的项目组，项目组设立项目负责人1人，项目技术人员至少4人。项目人员的配备以满足比选人对项目管理的要求为准，项目组组织架构如表4-1所示：</w:t>
      </w:r>
    </w:p>
    <w:p>
      <w:pPr>
        <w:spacing w:line="360" w:lineRule="auto"/>
        <w:ind w:firstLine="420" w:firstLineChars="200"/>
        <w:jc w:val="center"/>
        <w:rPr>
          <w:rFonts w:ascii="宋体" w:hAnsi="宋体" w:cs="宋体"/>
          <w:bCs/>
          <w:color w:val="auto"/>
          <w:szCs w:val="21"/>
          <w:highlight w:val="none"/>
        </w:rPr>
      </w:pPr>
      <w:r>
        <w:rPr>
          <w:rFonts w:hint="eastAsia" w:ascii="宋体" w:hAnsi="宋体" w:cs="宋体"/>
          <w:bCs/>
          <w:color w:val="auto"/>
          <w:szCs w:val="21"/>
          <w:highlight w:val="none"/>
        </w:rPr>
        <w:t>表4-1项目组织架构及要求</w:t>
      </w:r>
    </w:p>
    <w:tbl>
      <w:tblPr>
        <w:tblStyle w:val="2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901"/>
        <w:gridCol w:w="5824"/>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blHeader/>
          <w:jc w:val="center"/>
        </w:trPr>
        <w:tc>
          <w:tcPr>
            <w:tcW w:w="1394"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类别</w:t>
            </w:r>
          </w:p>
        </w:tc>
        <w:tc>
          <w:tcPr>
            <w:tcW w:w="901"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岗位</w:t>
            </w:r>
          </w:p>
        </w:tc>
        <w:tc>
          <w:tcPr>
            <w:tcW w:w="5824"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岗位要求</w:t>
            </w:r>
          </w:p>
        </w:tc>
        <w:tc>
          <w:tcPr>
            <w:tcW w:w="806"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394"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项目管理人员</w:t>
            </w:r>
          </w:p>
        </w:tc>
        <w:tc>
          <w:tcPr>
            <w:tcW w:w="901"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项目</w:t>
            </w:r>
          </w:p>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负责人</w:t>
            </w:r>
          </w:p>
        </w:tc>
        <w:tc>
          <w:tcPr>
            <w:tcW w:w="5824" w:type="dxa"/>
            <w:vAlign w:val="center"/>
          </w:tcPr>
          <w:p>
            <w:pPr>
              <w:numPr>
                <w:ilvl w:val="0"/>
                <w:numId w:val="8"/>
              </w:numPr>
              <w:shd w:val="clear" w:color="auto" w:fill="FFFFFF"/>
              <w:rPr>
                <w:rFonts w:ascii="宋体" w:hAnsi="宋体" w:cs="宋体"/>
                <w:color w:val="auto"/>
                <w:sz w:val="18"/>
                <w:szCs w:val="18"/>
                <w:highlight w:val="none"/>
              </w:rPr>
            </w:pPr>
            <w:r>
              <w:rPr>
                <w:rFonts w:hint="eastAsia" w:ascii="宋体" w:hAnsi="宋体" w:cs="宋体"/>
                <w:color w:val="auto"/>
                <w:sz w:val="18"/>
                <w:szCs w:val="18"/>
                <w:highlight w:val="none"/>
              </w:rPr>
              <w:t>具有有害生物防制员职业资格证书（提供复印件）。</w:t>
            </w:r>
          </w:p>
          <w:p>
            <w:pPr>
              <w:shd w:val="clear" w:color="auto" w:fill="FFFFFF"/>
              <w:rPr>
                <w:rFonts w:ascii="宋体" w:hAnsi="宋体" w:cs="宋体"/>
                <w:color w:val="auto"/>
                <w:sz w:val="18"/>
                <w:szCs w:val="18"/>
                <w:highlight w:val="none"/>
              </w:rPr>
            </w:pPr>
            <w:r>
              <w:rPr>
                <w:rFonts w:hint="eastAsia" w:ascii="宋体" w:hAnsi="宋体" w:cs="宋体"/>
                <w:color w:val="auto"/>
                <w:sz w:val="18"/>
                <w:szCs w:val="18"/>
                <w:highlight w:val="none"/>
              </w:rPr>
              <w:t>2、具有10年以上“四害”消杀从业工作经验，且承担或参加过市级或以上的虫害防治等类似项目。</w:t>
            </w:r>
          </w:p>
        </w:tc>
        <w:tc>
          <w:tcPr>
            <w:tcW w:w="806"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394"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项目技术人员</w:t>
            </w:r>
          </w:p>
        </w:tc>
        <w:tc>
          <w:tcPr>
            <w:tcW w:w="901"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技术人员</w:t>
            </w:r>
          </w:p>
          <w:p>
            <w:pPr>
              <w:shd w:val="clear" w:color="auto" w:fill="FFFFFF"/>
              <w:jc w:val="center"/>
              <w:rPr>
                <w:rFonts w:ascii="宋体" w:hAnsi="宋体" w:cs="宋体"/>
                <w:color w:val="auto"/>
                <w:sz w:val="18"/>
                <w:szCs w:val="18"/>
                <w:highlight w:val="none"/>
              </w:rPr>
            </w:pPr>
          </w:p>
        </w:tc>
        <w:tc>
          <w:tcPr>
            <w:tcW w:w="5824" w:type="dxa"/>
            <w:vAlign w:val="center"/>
          </w:tcPr>
          <w:p>
            <w:pPr>
              <w:shd w:val="clear" w:color="auto" w:fill="FFFFFF"/>
              <w:jc w:val="left"/>
              <w:rPr>
                <w:rFonts w:ascii="宋体" w:hAnsi="宋体" w:cs="宋体"/>
                <w:color w:val="auto"/>
                <w:sz w:val="18"/>
                <w:szCs w:val="18"/>
                <w:highlight w:val="none"/>
              </w:rPr>
            </w:pPr>
            <w:r>
              <w:rPr>
                <w:rFonts w:hint="eastAsia" w:ascii="宋体" w:hAnsi="宋体" w:cs="宋体"/>
                <w:color w:val="auto"/>
                <w:sz w:val="18"/>
                <w:szCs w:val="18"/>
                <w:highlight w:val="none"/>
              </w:rPr>
              <w:t>1、具有有害生物防制员职业资格证书（提供复印件）。</w:t>
            </w:r>
          </w:p>
          <w:p>
            <w:pPr>
              <w:shd w:val="clear" w:color="auto" w:fill="FFFFFF"/>
              <w:jc w:val="left"/>
              <w:rPr>
                <w:rFonts w:ascii="宋体" w:hAnsi="宋体" w:cs="宋体"/>
                <w:color w:val="auto"/>
                <w:sz w:val="18"/>
                <w:szCs w:val="18"/>
                <w:highlight w:val="none"/>
              </w:rPr>
            </w:pPr>
            <w:r>
              <w:rPr>
                <w:rFonts w:hint="eastAsia" w:ascii="宋体" w:hAnsi="宋体" w:cs="宋体"/>
                <w:color w:val="auto"/>
                <w:sz w:val="18"/>
                <w:szCs w:val="18"/>
                <w:highlight w:val="none"/>
              </w:rPr>
              <w:t>2、具有1年以上“四害”消杀工作经验。</w:t>
            </w:r>
          </w:p>
          <w:p>
            <w:pPr>
              <w:shd w:val="clear" w:color="auto" w:fill="FFFFFF"/>
              <w:jc w:val="left"/>
              <w:rPr>
                <w:rFonts w:ascii="宋体" w:hAnsi="宋体" w:cs="宋体"/>
                <w:color w:val="auto"/>
                <w:sz w:val="18"/>
                <w:szCs w:val="18"/>
                <w:highlight w:val="none"/>
              </w:rPr>
            </w:pPr>
            <w:r>
              <w:rPr>
                <w:rFonts w:hint="eastAsia" w:ascii="宋体" w:hAnsi="宋体" w:cs="宋体"/>
                <w:color w:val="auto"/>
                <w:sz w:val="18"/>
                <w:szCs w:val="18"/>
                <w:highlight w:val="none"/>
              </w:rPr>
              <w:t>3、施工人员年龄18-50周岁。</w:t>
            </w:r>
          </w:p>
        </w:tc>
        <w:tc>
          <w:tcPr>
            <w:tcW w:w="806"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至少4人</w:t>
            </w:r>
          </w:p>
        </w:tc>
      </w:tr>
    </w:tbl>
    <w:p>
      <w:pPr>
        <w:spacing w:line="240" w:lineRule="exact"/>
        <w:jc w:val="left"/>
        <w:rPr>
          <w:rFonts w:ascii="宋体" w:hAnsi="宋体" w:cs="宋体"/>
          <w:color w:val="auto"/>
          <w:sz w:val="18"/>
          <w:szCs w:val="18"/>
          <w:highlight w:val="none"/>
        </w:rPr>
      </w:pPr>
      <w:r>
        <w:rPr>
          <w:rFonts w:ascii="宋体" w:hAnsi="宋体" w:cs="宋体"/>
          <w:color w:val="auto"/>
          <w:sz w:val="18"/>
          <w:szCs w:val="18"/>
          <w:highlight w:val="none"/>
        </w:rPr>
        <w:t>备注：</w:t>
      </w:r>
    </w:p>
    <w:p>
      <w:pPr>
        <w:spacing w:line="240" w:lineRule="exact"/>
        <w:ind w:firstLine="360" w:firstLineChars="200"/>
        <w:jc w:val="left"/>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岗位人员应与投标承诺一致，若需更换，应获得</w:t>
      </w:r>
      <w:r>
        <w:rPr>
          <w:rFonts w:hint="eastAsia" w:ascii="宋体" w:hAnsi="宋体" w:cs="宋体"/>
          <w:color w:val="auto"/>
          <w:sz w:val="18"/>
          <w:szCs w:val="18"/>
          <w:highlight w:val="none"/>
        </w:rPr>
        <w:t>比选人</w:t>
      </w:r>
      <w:r>
        <w:rPr>
          <w:rFonts w:ascii="宋体" w:hAnsi="宋体" w:cs="宋体"/>
          <w:color w:val="auto"/>
          <w:sz w:val="18"/>
          <w:szCs w:val="18"/>
          <w:highlight w:val="none"/>
        </w:rPr>
        <w:t>同意，且更换后的人员资格条件不得低于投标时的资历。</w:t>
      </w:r>
    </w:p>
    <w:p>
      <w:pPr>
        <w:spacing w:line="240" w:lineRule="exact"/>
        <w:ind w:firstLine="360" w:firstLineChars="200"/>
        <w:jc w:val="left"/>
        <w:rPr>
          <w:rFonts w:ascii="宋体" w:hAnsi="宋体" w:cs="宋体"/>
          <w:color w:val="auto"/>
          <w:sz w:val="18"/>
          <w:szCs w:val="18"/>
          <w:highlight w:val="none"/>
        </w:rPr>
      </w:pPr>
      <w:bookmarkStart w:id="1597" w:name="_Toc36653705"/>
      <w:r>
        <w:rPr>
          <w:rFonts w:hint="eastAsia" w:ascii="宋体" w:hAnsi="宋体" w:cs="宋体"/>
          <w:color w:val="auto"/>
          <w:sz w:val="18"/>
          <w:szCs w:val="18"/>
          <w:highlight w:val="none"/>
        </w:rPr>
        <w:t>2.</w:t>
      </w:r>
      <w:bookmarkEnd w:id="1597"/>
      <w:r>
        <w:rPr>
          <w:rFonts w:hint="eastAsia" w:ascii="宋体" w:hAnsi="宋体" w:cs="宋体"/>
          <w:color w:val="auto"/>
          <w:sz w:val="18"/>
          <w:szCs w:val="18"/>
          <w:highlight w:val="none"/>
        </w:rPr>
        <w:t>拟投入本工程的项目负责人必须提供本年度的职工养老保险个人账户对账单或社保部门出具的开标当月前连续三个月的参保缴费凭证（须提供原件备查）。项目负责人</w:t>
      </w:r>
      <w:r>
        <w:rPr>
          <w:rFonts w:ascii="宋体" w:hAnsi="宋体" w:cs="宋体"/>
          <w:color w:val="auto"/>
          <w:sz w:val="18"/>
          <w:szCs w:val="18"/>
          <w:highlight w:val="none"/>
        </w:rPr>
        <w:t>必须及时到位，不得随意更换或退场。</w:t>
      </w:r>
    </w:p>
    <w:p>
      <w:pPr>
        <w:spacing w:line="240" w:lineRule="exact"/>
        <w:ind w:firstLine="360" w:firstLineChars="200"/>
        <w:jc w:val="left"/>
        <w:rPr>
          <w:rFonts w:ascii="宋体" w:hAnsi="宋体" w:cs="宋体"/>
          <w:color w:val="auto"/>
          <w:sz w:val="18"/>
          <w:szCs w:val="18"/>
          <w:highlight w:val="none"/>
        </w:rPr>
      </w:pPr>
      <w:r>
        <w:rPr>
          <w:rFonts w:hint="eastAsia" w:ascii="宋体" w:hAnsi="宋体" w:cs="宋体"/>
          <w:color w:val="auto"/>
          <w:sz w:val="18"/>
          <w:szCs w:val="18"/>
          <w:highlight w:val="none"/>
        </w:rPr>
        <w:t>3.比选申请人不得以“南宁轨道交通”或“南宁地铁”的任何名义开展任何形式的招聘，比选申请人应在招聘公告信息中明确用工单位，告知应聘者项目承包单位与我公司三方之间的关系，违者将追究相关法律责任。</w:t>
      </w:r>
    </w:p>
    <w:p>
      <w:pPr>
        <w:spacing w:line="240" w:lineRule="exact"/>
        <w:ind w:firstLine="360" w:firstLineChars="200"/>
        <w:jc w:val="left"/>
        <w:rPr>
          <w:rFonts w:ascii="宋体" w:hAnsi="宋体" w:cs="宋体"/>
          <w:color w:val="auto"/>
          <w:sz w:val="18"/>
          <w:szCs w:val="18"/>
          <w:highlight w:val="none"/>
        </w:rPr>
      </w:pPr>
      <w:r>
        <w:rPr>
          <w:rFonts w:hint="eastAsia" w:ascii="宋体" w:hAnsi="宋体" w:cs="宋体"/>
          <w:color w:val="auto"/>
          <w:sz w:val="18"/>
          <w:szCs w:val="18"/>
          <w:highlight w:val="none"/>
        </w:rPr>
        <w:t>4.每个食堂每次消杀（一班次）人员应不低于5人，项目负责人1人，作业人员4人，因食堂供餐的特殊性，食堂每天供五餐（除控制中心食堂外），每餐除掉用餐时间和收市时间，间隔最多3小时，不得影响食堂供餐需要，从业人员必须经过职业培训，熟悉卫生杀虫器械的使用，并熟知所用药物说明书上的注意事项和急救措施，必须持有病媒生物防治工资格证书及上岗证。做好消杀前准备工作，跟进好消杀过程，消杀结束后配合食堂管理人员恢复食堂卫生工作，不影响食堂供餐需求。</w:t>
      </w:r>
      <w:bookmarkStart w:id="1598" w:name="_Toc11560"/>
      <w:bookmarkStart w:id="1599" w:name="_Toc14407"/>
      <w:bookmarkStart w:id="1600" w:name="_Toc9495"/>
      <w:bookmarkStart w:id="1601" w:name="_Toc18819"/>
      <w:bookmarkStart w:id="1602" w:name="_Toc18474"/>
      <w:bookmarkStart w:id="1603" w:name="_Toc18401"/>
      <w:bookmarkStart w:id="1604" w:name="_Toc6387"/>
    </w:p>
    <w:p>
      <w:pPr>
        <w:pStyle w:val="2"/>
        <w:rPr>
          <w:color w:val="auto"/>
          <w:highlight w:val="none"/>
        </w:rPr>
      </w:pPr>
    </w:p>
    <w:p>
      <w:pPr>
        <w:pStyle w:val="5"/>
        <w:numPr>
          <w:ilvl w:val="255"/>
          <w:numId w:val="0"/>
        </w:numPr>
        <w:spacing w:before="0" w:after="0" w:line="360" w:lineRule="auto"/>
        <w:rPr>
          <w:rFonts w:ascii="黑体" w:hAnsi="黑体" w:cs="黑体"/>
          <w:color w:val="auto"/>
          <w:kern w:val="44"/>
          <w:sz w:val="24"/>
          <w:szCs w:val="24"/>
          <w:highlight w:val="none"/>
        </w:rPr>
      </w:pPr>
      <w:r>
        <w:rPr>
          <w:rFonts w:hint="eastAsia" w:ascii="黑体" w:hAnsi="黑体" w:cs="黑体"/>
          <w:color w:val="auto"/>
          <w:kern w:val="44"/>
          <w:sz w:val="24"/>
          <w:szCs w:val="24"/>
          <w:highlight w:val="none"/>
        </w:rPr>
        <w:t>4.2 费用计算方式</w:t>
      </w:r>
      <w:bookmarkEnd w:id="1598"/>
      <w:bookmarkEnd w:id="1599"/>
      <w:bookmarkEnd w:id="1600"/>
      <w:bookmarkEnd w:id="1601"/>
      <w:bookmarkEnd w:id="1602"/>
      <w:bookmarkEnd w:id="1603"/>
      <w:bookmarkEnd w:id="1604"/>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4.2.1 比选申请人自行进行现场踏勘。比选申请</w:t>
      </w:r>
      <w:r>
        <w:rPr>
          <w:rFonts w:hint="eastAsia" w:ascii="宋体" w:hAnsi="宋体" w:cs="宋体"/>
          <w:color w:val="auto"/>
          <w:szCs w:val="21"/>
          <w:highlight w:val="none"/>
          <w:lang w:eastAsia="zh-CN"/>
        </w:rPr>
        <w:t>人</w:t>
      </w:r>
      <w:r>
        <w:rPr>
          <w:rFonts w:hint="eastAsia" w:ascii="宋体" w:hAnsi="宋体" w:cs="宋体"/>
          <w:color w:val="auto"/>
          <w:szCs w:val="21"/>
          <w:highlight w:val="none"/>
        </w:rPr>
        <w:t>应对该项目现场和周围环境进行现场踏勘，以便编制报价文件。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4.2.2 比选申请人的任何人员为了踏勘现场而需要进入比选人单位所管辖的场地时，需事先经比选人单位同意。除由于比选申请人的原因外，在现场踏勘中所发生的人员伤亡和财产损失应由比选申请人自行负责。</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4.2.3比选申请人现场踏勘所发生的一切费用由比选申请人负责。</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4.2.4 比选申请人应充分重视和认真地考察现场，收集编制报价所需的有关信息，一旦选中即被认为考察结果已充分体现在报价中，比选申请人在中选后以不清楚现场而提出的增加费用或延长工期的申请将不获批准。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4.2.5 在采购除“四害”服务时，对各个食堂面积，各上述区域等虫害种类、虫害分布等情况有大致了解，除“四害”服务价格根据实际需要由比选人自行确定。</w:t>
      </w:r>
    </w:p>
    <w:p>
      <w:pPr>
        <w:pStyle w:val="5"/>
        <w:numPr>
          <w:ilvl w:val="255"/>
          <w:numId w:val="0"/>
        </w:numPr>
        <w:spacing w:before="0" w:after="0" w:line="360" w:lineRule="auto"/>
        <w:rPr>
          <w:rFonts w:ascii="黑体" w:hAnsi="黑体" w:cs="黑体"/>
          <w:color w:val="auto"/>
          <w:kern w:val="44"/>
          <w:sz w:val="24"/>
          <w:szCs w:val="24"/>
          <w:highlight w:val="none"/>
        </w:rPr>
      </w:pPr>
      <w:bookmarkStart w:id="1605" w:name="_Toc15424"/>
      <w:bookmarkStart w:id="1606" w:name="_Toc2925"/>
      <w:bookmarkStart w:id="1607" w:name="_Toc8789"/>
      <w:bookmarkStart w:id="1608" w:name="_Toc5918"/>
      <w:bookmarkStart w:id="1609" w:name="_Toc20800"/>
      <w:bookmarkStart w:id="1610" w:name="_Toc18017"/>
      <w:bookmarkStart w:id="1611" w:name="_Toc4011"/>
      <w:bookmarkStart w:id="1612" w:name="_Toc20957"/>
      <w:bookmarkStart w:id="1613" w:name="_Toc19776"/>
      <w:bookmarkStart w:id="1614" w:name="_Toc31975"/>
      <w:bookmarkStart w:id="1615" w:name="_Toc28660"/>
      <w:bookmarkStart w:id="1616" w:name="_Toc22692"/>
      <w:bookmarkStart w:id="1617" w:name="_Toc28126"/>
      <w:bookmarkStart w:id="1618" w:name="_Toc3224"/>
      <w:bookmarkStart w:id="1619" w:name="_Toc18152"/>
      <w:bookmarkStart w:id="1620" w:name="_Toc15144"/>
      <w:bookmarkStart w:id="1621" w:name="_Toc22359"/>
      <w:bookmarkStart w:id="1622" w:name="_Toc315"/>
      <w:bookmarkStart w:id="1623" w:name="_Toc7924"/>
      <w:bookmarkStart w:id="1624" w:name="_Toc26684"/>
      <w:bookmarkStart w:id="1625" w:name="_Toc13689"/>
      <w:bookmarkStart w:id="1626" w:name="_Toc18159"/>
      <w:bookmarkStart w:id="1627" w:name="_Toc4079"/>
      <w:bookmarkStart w:id="1628" w:name="_Toc26457043"/>
      <w:bookmarkStart w:id="1629" w:name="_Toc36653707"/>
      <w:bookmarkStart w:id="1630" w:name="_Toc12800"/>
      <w:bookmarkStart w:id="1631" w:name="_Toc16078"/>
      <w:bookmarkStart w:id="1632" w:name="_Toc22648"/>
      <w:bookmarkStart w:id="1633" w:name="_Toc15265"/>
      <w:bookmarkStart w:id="1634" w:name="_Toc8399"/>
      <w:bookmarkStart w:id="1635" w:name="_Toc12880"/>
      <w:bookmarkStart w:id="1636" w:name="_Toc11768"/>
      <w:bookmarkStart w:id="1637" w:name="_Toc9821"/>
      <w:bookmarkStart w:id="1638" w:name="_Toc18058"/>
      <w:bookmarkStart w:id="1639" w:name="_Toc16412"/>
      <w:bookmarkStart w:id="1640" w:name="_Toc6691"/>
      <w:bookmarkStart w:id="1641" w:name="_Toc27153"/>
      <w:bookmarkStart w:id="1642" w:name="_Toc21173"/>
      <w:bookmarkStart w:id="1643" w:name="_Toc10562"/>
      <w:bookmarkStart w:id="1644" w:name="_Toc30618"/>
      <w:bookmarkStart w:id="1645" w:name="_Toc2965"/>
      <w:bookmarkStart w:id="1646" w:name="_Toc24182"/>
      <w:bookmarkStart w:id="1647" w:name="_Toc36654460"/>
      <w:r>
        <w:rPr>
          <w:rFonts w:hint="eastAsia" w:ascii="黑体" w:hAnsi="黑体" w:cs="黑体"/>
          <w:color w:val="auto"/>
          <w:kern w:val="44"/>
          <w:sz w:val="24"/>
          <w:szCs w:val="24"/>
          <w:highlight w:val="none"/>
        </w:rPr>
        <w:t>4.3项目质量管理</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4.3.1 必须保证四害药品、机械的安全使用，不得使用国家、自治区禁止使用的灭鼠、灭蟑、灭蝇、灭蚊的药物。</w:t>
      </w:r>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4.3.2 消杀期间，负责协助业主做好消杀场所的清理工作（填鼠洞，清理四害痕迹等）。</w:t>
      </w:r>
      <w:r>
        <w:rPr>
          <w:rFonts w:hint="eastAsia" w:ascii="宋体" w:hAnsi="宋体" w:cs="宋体"/>
          <w:color w:val="auto"/>
          <w:highlight w:val="none"/>
        </w:rPr>
        <w:br w:type="textWrapping"/>
      </w:r>
      <w:r>
        <w:rPr>
          <w:rFonts w:hint="eastAsia" w:ascii="宋体" w:hAnsi="宋体" w:cs="宋体"/>
          <w:color w:val="auto"/>
          <w:highlight w:val="none"/>
        </w:rPr>
        <w:t>4.3.3 企业应具备足够的各类施工及技术人员、器械、车辆等，并利用各种有效的常规或创新的消杀技术、方法或装置，安全、环保、高效地完成消杀工作，达到消杀质量标准。</w:t>
      </w:r>
    </w:p>
    <w:p>
      <w:pPr>
        <w:shd w:val="clear" w:color="auto" w:fill="FFFFFF"/>
        <w:spacing w:line="360" w:lineRule="auto"/>
        <w:ind w:firstLine="420" w:firstLineChars="200"/>
        <w:jc w:val="left"/>
        <w:rPr>
          <w:color w:val="auto"/>
          <w:highlight w:val="none"/>
        </w:rPr>
      </w:pPr>
      <w:r>
        <w:rPr>
          <w:rFonts w:hint="eastAsia" w:ascii="宋体" w:hAnsi="宋体" w:cs="宋体"/>
          <w:color w:val="auto"/>
          <w:highlight w:val="none"/>
        </w:rPr>
        <w:t>4.3.4 协助开展食堂所辖范围内“鼠、蟑、蝇、蚊”类孳生地调查、统计，负责对“四害”孳生地进行消杀并设置已消杀标示牌。</w:t>
      </w:r>
    </w:p>
    <w:p>
      <w:pPr>
        <w:pStyle w:val="5"/>
        <w:numPr>
          <w:ilvl w:val="255"/>
          <w:numId w:val="0"/>
        </w:numPr>
        <w:spacing w:before="0" w:after="0" w:line="360" w:lineRule="auto"/>
        <w:rPr>
          <w:rFonts w:ascii="黑体" w:hAnsi="黑体" w:cs="黑体"/>
          <w:color w:val="auto"/>
          <w:kern w:val="44"/>
          <w:sz w:val="24"/>
          <w:szCs w:val="24"/>
          <w:highlight w:val="none"/>
        </w:rPr>
      </w:pPr>
      <w:bookmarkStart w:id="1648" w:name="_Toc2521"/>
      <w:bookmarkStart w:id="1649" w:name="_Toc18989"/>
      <w:bookmarkStart w:id="1650" w:name="_Toc1264"/>
      <w:bookmarkStart w:id="1651" w:name="_Toc27858"/>
      <w:bookmarkStart w:id="1652" w:name="_Toc8954"/>
      <w:bookmarkStart w:id="1653" w:name="_Toc20148"/>
      <w:bookmarkStart w:id="1654" w:name="_Toc27624"/>
      <w:bookmarkStart w:id="1655" w:name="_Toc11289"/>
      <w:bookmarkStart w:id="1656" w:name="_Toc3518"/>
      <w:bookmarkStart w:id="1657" w:name="_Toc471"/>
      <w:bookmarkStart w:id="1658" w:name="_Toc15001"/>
      <w:bookmarkStart w:id="1659" w:name="_Toc15701"/>
      <w:bookmarkStart w:id="1660" w:name="_Toc16763"/>
      <w:bookmarkStart w:id="1661" w:name="_Toc4259"/>
      <w:bookmarkStart w:id="1662" w:name="_Toc13145"/>
      <w:bookmarkStart w:id="1663" w:name="_Toc25519"/>
      <w:bookmarkStart w:id="1664" w:name="_Toc1270"/>
      <w:bookmarkStart w:id="1665" w:name="_Toc1372"/>
      <w:bookmarkStart w:id="1666" w:name="_Toc14287"/>
      <w:bookmarkStart w:id="1667" w:name="_Toc856"/>
      <w:r>
        <w:rPr>
          <w:rFonts w:hint="eastAsia" w:ascii="黑体" w:hAnsi="黑体" w:cs="黑体"/>
          <w:color w:val="auto"/>
          <w:kern w:val="44"/>
          <w:sz w:val="24"/>
          <w:szCs w:val="24"/>
          <w:highlight w:val="none"/>
        </w:rPr>
        <w:t>4.4项目安全管理</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shd w:val="clear" w:color="auto" w:fill="FFFFFF"/>
        <w:spacing w:line="360" w:lineRule="auto"/>
        <w:ind w:firstLine="420" w:firstLineChars="200"/>
        <w:rPr>
          <w:rFonts w:ascii="宋体" w:hAnsi="宋体" w:cs="宋体"/>
          <w:color w:val="auto"/>
          <w:highlight w:val="none"/>
        </w:rPr>
      </w:pPr>
      <w:r>
        <w:rPr>
          <w:rFonts w:hint="eastAsia" w:ascii="宋体" w:hAnsi="宋体" w:cs="宋体"/>
          <w:color w:val="auto"/>
          <w:highlight w:val="none"/>
        </w:rPr>
        <w:t>4.4.1严格遵守执行国家、地方、行业的相关法律、法规、规范、规程。遵守比选人安全管理相关规章制度，并按安全管理架构要求组建安全管理体系。</w:t>
      </w:r>
    </w:p>
    <w:p>
      <w:pPr>
        <w:shd w:val="clear" w:color="auto" w:fill="FFFFFF"/>
        <w:spacing w:line="360" w:lineRule="auto"/>
        <w:ind w:firstLine="420" w:firstLineChars="200"/>
        <w:jc w:val="left"/>
        <w:rPr>
          <w:rFonts w:ascii="宋体" w:hAnsi="宋体" w:cs="宋体"/>
          <w:color w:val="auto"/>
          <w:highlight w:val="none"/>
        </w:rPr>
      </w:pPr>
      <w:bookmarkStart w:id="1668" w:name="_Toc2686"/>
      <w:r>
        <w:rPr>
          <w:rFonts w:hint="eastAsia" w:ascii="宋体" w:hAnsi="宋体" w:cs="宋体"/>
          <w:color w:val="auto"/>
          <w:highlight w:val="none"/>
        </w:rPr>
        <w:t>4.4.2比选申请人与比选人签订安全协议。</w:t>
      </w:r>
      <w:bookmarkEnd w:id="1668"/>
    </w:p>
    <w:p>
      <w:pPr>
        <w:shd w:val="clear" w:color="auto" w:fill="FFFFFF"/>
        <w:spacing w:line="360" w:lineRule="auto"/>
        <w:ind w:firstLine="420" w:firstLineChars="200"/>
        <w:jc w:val="left"/>
        <w:rPr>
          <w:rFonts w:ascii="宋体" w:hAnsi="宋体" w:cs="宋体"/>
          <w:color w:val="auto"/>
          <w:highlight w:val="none"/>
        </w:rPr>
      </w:pPr>
      <w:bookmarkStart w:id="1669" w:name="_Toc14977"/>
      <w:r>
        <w:rPr>
          <w:rFonts w:hint="eastAsia" w:ascii="宋体" w:hAnsi="宋体" w:cs="宋体"/>
          <w:color w:val="auto"/>
          <w:highlight w:val="none"/>
        </w:rPr>
        <w:t>4.4.3在正常作业过程中凡比选申请人人员出现伤亡情况及因此导致的所有损失均由比选申请人自行负责。由于事故造成比选人或第三方人身伤亡或财产损失，可能引发争议，由比选申请人承担责任。产生诉讼的，比选申请人应独立应诉，承担一切诉讼后果。</w:t>
      </w:r>
      <w:bookmarkEnd w:id="1669"/>
    </w:p>
    <w:p>
      <w:pPr>
        <w:shd w:val="clear" w:color="auto" w:fill="FFFFFF"/>
        <w:spacing w:line="360" w:lineRule="auto"/>
        <w:ind w:firstLine="420" w:firstLineChars="200"/>
        <w:jc w:val="left"/>
        <w:rPr>
          <w:rFonts w:ascii="宋体" w:hAnsi="宋体" w:cs="宋体"/>
          <w:color w:val="auto"/>
          <w:highlight w:val="none"/>
        </w:rPr>
      </w:pPr>
      <w:bookmarkStart w:id="1670" w:name="_Toc27445"/>
      <w:r>
        <w:rPr>
          <w:rFonts w:hint="eastAsia" w:ascii="宋体" w:hAnsi="宋体" w:cs="宋体"/>
          <w:color w:val="auto"/>
          <w:highlight w:val="none"/>
        </w:rPr>
        <w:t>4.4.4比选申请人对合同范围内的消杀工作有失误或渎职而引发的事故/事件，由比选申请人负全部责任，承担因此给比选人造成的直接和间接经济损失。</w:t>
      </w:r>
      <w:bookmarkEnd w:id="1670"/>
    </w:p>
    <w:p>
      <w:pPr>
        <w:shd w:val="clear" w:color="auto" w:fill="FFFFFF"/>
        <w:spacing w:line="360" w:lineRule="auto"/>
        <w:ind w:firstLine="420" w:firstLineChars="200"/>
        <w:jc w:val="left"/>
        <w:rPr>
          <w:rFonts w:ascii="宋体" w:hAnsi="宋体" w:cs="宋体"/>
          <w:color w:val="auto"/>
          <w:highlight w:val="none"/>
        </w:rPr>
      </w:pPr>
      <w:bookmarkStart w:id="1671" w:name="_Toc23184"/>
      <w:r>
        <w:rPr>
          <w:rFonts w:hint="eastAsia" w:ascii="宋体" w:hAnsi="宋体" w:cs="宋体"/>
          <w:color w:val="auto"/>
          <w:highlight w:val="none"/>
        </w:rPr>
        <w:t>4.5.5所有作业的消杀人员应遵守比选人的企业标准《运营公司施工管理规定》，全员持证上岗，按照施工规范、方案和各项安全操作规程进行作业。比选申请人施工负责人上岗前必须经过比选人的三级安全培训。</w:t>
      </w:r>
      <w:bookmarkEnd w:id="1671"/>
    </w:p>
    <w:p>
      <w:pPr>
        <w:shd w:val="clear" w:color="auto" w:fill="FFFFFF"/>
        <w:spacing w:line="360" w:lineRule="auto"/>
        <w:ind w:firstLine="420" w:firstLineChars="200"/>
        <w:jc w:val="left"/>
        <w:rPr>
          <w:rFonts w:ascii="宋体" w:hAnsi="宋体" w:cs="宋体"/>
          <w:color w:val="auto"/>
          <w:highlight w:val="none"/>
        </w:rPr>
      </w:pPr>
      <w:bookmarkStart w:id="1672" w:name="_Toc9534"/>
      <w:r>
        <w:rPr>
          <w:rFonts w:hint="eastAsia" w:ascii="宋体" w:hAnsi="宋体" w:cs="宋体"/>
          <w:color w:val="auto"/>
          <w:highlight w:val="none"/>
        </w:rPr>
        <w:t>4.5.6在施工现场，实行每次班前15分钟安全交底会，由施工负责人负责，签施工确认书，并完成签字手续及保存资料。</w:t>
      </w:r>
      <w:bookmarkEnd w:id="1672"/>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4.5.7比选申请人消杀人员在施工现场必须全程穿戴防护用品，遵守劳动纪律，服从安全人员的指挥。</w:t>
      </w:r>
    </w:p>
    <w:p>
      <w:pPr>
        <w:shd w:val="clear" w:color="auto" w:fill="FFFFFF"/>
        <w:spacing w:line="360" w:lineRule="auto"/>
        <w:ind w:firstLine="420" w:firstLineChars="200"/>
        <w:jc w:val="left"/>
        <w:rPr>
          <w:rFonts w:ascii="宋体" w:hAnsi="宋体" w:cs="宋体"/>
          <w:color w:val="auto"/>
          <w:highlight w:val="none"/>
        </w:rPr>
      </w:pPr>
      <w:bookmarkStart w:id="1673" w:name="_Toc24579"/>
      <w:r>
        <w:rPr>
          <w:rFonts w:hint="eastAsia" w:ascii="宋体" w:hAnsi="宋体" w:cs="宋体"/>
          <w:color w:val="auto"/>
          <w:highlight w:val="none"/>
        </w:rPr>
        <w:t>4.5.8密闭作业应采取安全可靠的措施，严格按照规范要求进行消杀工作，不得盲目下井，不得单人作业。</w:t>
      </w:r>
      <w:bookmarkEnd w:id="1673"/>
    </w:p>
    <w:p>
      <w:pPr>
        <w:shd w:val="clear" w:color="auto" w:fill="FFFFFF"/>
        <w:spacing w:line="360" w:lineRule="auto"/>
        <w:ind w:firstLine="420" w:firstLineChars="200"/>
        <w:jc w:val="left"/>
        <w:rPr>
          <w:rFonts w:ascii="宋体" w:hAnsi="宋体" w:cs="宋体"/>
          <w:color w:val="auto"/>
          <w:highlight w:val="none"/>
        </w:rPr>
      </w:pPr>
      <w:bookmarkStart w:id="1674" w:name="_Toc23784"/>
      <w:r>
        <w:rPr>
          <w:rFonts w:hint="eastAsia" w:ascii="宋体" w:hAnsi="宋体" w:cs="宋体"/>
          <w:color w:val="auto"/>
          <w:highlight w:val="none"/>
        </w:rPr>
        <w:t>4.5.9比选申请人消杀人员只能在合同约定的作业范围内使用临时出入证，如违规使用则按照比选人相关规定处理。</w:t>
      </w:r>
      <w:bookmarkEnd w:id="1674"/>
      <w:bookmarkStart w:id="1675" w:name="_Toc1263"/>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4.5.10比选申请人消杀人员在工程开工前，应充分考察现场环境，并就集水井、沉沙井、管廊位置位置与比选人进行充分沟通并确认。</w:t>
      </w:r>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4.5.11施工方需做好现场的成品保护措施，施工过程中如造成现场设备设施的损坏，施工方需按原价赔偿，并复原损坏的设备设施。</w:t>
      </w:r>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4.5.12比选人为比选申请人提供的相关规章和制度文本资料，比选申请人不得外泄。比选申请人造成资料外泄的应承担全部责任。</w:t>
      </w:r>
      <w:bookmarkEnd w:id="1675"/>
      <w:bookmarkStart w:id="1676" w:name="_Toc26317"/>
      <w:bookmarkStart w:id="1677" w:name="_Toc9069"/>
      <w:bookmarkStart w:id="1678" w:name="_Toc18669"/>
      <w:bookmarkStart w:id="1679" w:name="_Toc16985"/>
      <w:bookmarkStart w:id="1680" w:name="_Toc29110"/>
      <w:bookmarkStart w:id="1681" w:name="_Toc26411"/>
      <w:bookmarkStart w:id="1682" w:name="_Toc22066"/>
      <w:bookmarkStart w:id="1683" w:name="_Toc13741"/>
    </w:p>
    <w:bookmarkEnd w:id="1676"/>
    <w:bookmarkEnd w:id="1677"/>
    <w:bookmarkEnd w:id="1678"/>
    <w:bookmarkEnd w:id="1679"/>
    <w:bookmarkEnd w:id="1680"/>
    <w:bookmarkEnd w:id="1681"/>
    <w:bookmarkEnd w:id="1682"/>
    <w:bookmarkEnd w:id="1683"/>
    <w:p>
      <w:pPr>
        <w:pStyle w:val="5"/>
        <w:numPr>
          <w:ilvl w:val="255"/>
          <w:numId w:val="0"/>
        </w:numPr>
        <w:spacing w:before="0" w:after="0" w:line="360" w:lineRule="auto"/>
        <w:rPr>
          <w:rFonts w:ascii="黑体" w:hAnsi="黑体" w:cs="黑体"/>
          <w:color w:val="auto"/>
          <w:kern w:val="44"/>
          <w:sz w:val="24"/>
          <w:szCs w:val="24"/>
          <w:highlight w:val="none"/>
        </w:rPr>
      </w:pPr>
      <w:bookmarkStart w:id="1684" w:name="_Toc13560"/>
      <w:bookmarkStart w:id="1685" w:name="_Toc14443"/>
      <w:bookmarkStart w:id="1686" w:name="_Toc11850"/>
      <w:bookmarkStart w:id="1687" w:name="_Toc27201"/>
      <w:bookmarkStart w:id="1688" w:name="_Toc15690"/>
      <w:bookmarkStart w:id="1689" w:name="_Toc20315"/>
      <w:bookmarkStart w:id="1690" w:name="_Toc28507"/>
      <w:bookmarkStart w:id="1691" w:name="_Toc18430"/>
      <w:bookmarkStart w:id="1692" w:name="_Toc12392"/>
      <w:bookmarkStart w:id="1693" w:name="_Toc10955"/>
      <w:bookmarkStart w:id="1694" w:name="_Toc31668"/>
      <w:bookmarkStart w:id="1695" w:name="_Toc29418"/>
      <w:bookmarkStart w:id="1696" w:name="_Toc10451"/>
      <w:bookmarkStart w:id="1697" w:name="_Toc648"/>
      <w:bookmarkStart w:id="1698" w:name="_Toc8445"/>
      <w:bookmarkStart w:id="1699" w:name="_Toc2222"/>
      <w:bookmarkStart w:id="1700" w:name="_Toc24029"/>
      <w:bookmarkStart w:id="1701" w:name="_Toc24652"/>
      <w:bookmarkStart w:id="1702" w:name="_Toc13849"/>
      <w:bookmarkStart w:id="1703" w:name="_Toc25596"/>
      <w:bookmarkStart w:id="1704" w:name="_Toc12548"/>
      <w:bookmarkStart w:id="1705" w:name="_Toc27778"/>
      <w:bookmarkStart w:id="1706" w:name="_Toc28595"/>
      <w:bookmarkStart w:id="1707" w:name="_Toc32399"/>
      <w:bookmarkStart w:id="1708" w:name="_Toc30039"/>
      <w:bookmarkStart w:id="1709" w:name="_Toc11187"/>
      <w:bookmarkStart w:id="1710" w:name="_Toc30589"/>
      <w:bookmarkStart w:id="1711" w:name="_Toc18950"/>
      <w:bookmarkStart w:id="1712" w:name="_Toc26867"/>
      <w:bookmarkStart w:id="1713" w:name="_Toc27863"/>
      <w:bookmarkStart w:id="1714" w:name="_Toc13446"/>
      <w:bookmarkStart w:id="1715" w:name="_Toc14850"/>
      <w:bookmarkStart w:id="1716" w:name="_Toc5265"/>
      <w:bookmarkStart w:id="1717" w:name="_Toc3586"/>
      <w:bookmarkStart w:id="1718" w:name="_Toc17071"/>
      <w:bookmarkStart w:id="1719" w:name="_Toc32203"/>
      <w:bookmarkStart w:id="1720" w:name="_Toc11506"/>
      <w:bookmarkStart w:id="1721" w:name="_Toc15784"/>
      <w:bookmarkStart w:id="1722" w:name="_Toc25269"/>
      <w:bookmarkStart w:id="1723" w:name="_Toc3239"/>
      <w:bookmarkStart w:id="1724" w:name="_Toc30331"/>
      <w:bookmarkStart w:id="1725" w:name="_Toc21181"/>
      <w:r>
        <w:rPr>
          <w:rFonts w:hint="eastAsia" w:ascii="黑体" w:hAnsi="黑体" w:cs="黑体"/>
          <w:color w:val="auto"/>
          <w:kern w:val="44"/>
          <w:sz w:val="24"/>
          <w:szCs w:val="24"/>
          <w:highlight w:val="none"/>
        </w:rPr>
        <w:t>4.5项目文明管理</w:t>
      </w:r>
      <w:bookmarkEnd w:id="1684"/>
      <w:bookmarkEnd w:id="1685"/>
      <w:bookmarkEnd w:id="1686"/>
      <w:bookmarkEnd w:id="1687"/>
      <w:bookmarkEnd w:id="1688"/>
    </w:p>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4.5.1 作业过程中，严格按照“规范化管理、标准化作业”规定要求，实施文明作业管理。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4.5.2 作业过程中，中标方应合理地保持作业现场中不出现不必要的障碍，处置好作业设备及多余材料，保持现场整洁和道路通畅。</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4.5.3 作业区域内各种设备设施等，不得随意破坏、操作、占用。如与其他维修作业发生矛盾，应事先通知比选人，在得到比选人同意后方可按要求执行，发现未经请示同意擅自行事，将视其具体情况予以考核。</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4.5.4 作业人员须严格执行《运营公司承包商安全生产协议书》中相关文明施工条款规定。</w:t>
      </w:r>
    </w:p>
    <w:p>
      <w:pPr>
        <w:pStyle w:val="5"/>
        <w:numPr>
          <w:ilvl w:val="255"/>
          <w:numId w:val="0"/>
        </w:numPr>
        <w:spacing w:before="0" w:after="0" w:line="360" w:lineRule="auto"/>
        <w:rPr>
          <w:rFonts w:ascii="黑体" w:hAnsi="黑体" w:cs="黑体"/>
          <w:color w:val="auto"/>
          <w:kern w:val="44"/>
          <w:sz w:val="24"/>
          <w:szCs w:val="24"/>
          <w:highlight w:val="none"/>
        </w:rPr>
      </w:pPr>
      <w:bookmarkStart w:id="1726" w:name="_Toc22972"/>
      <w:bookmarkStart w:id="1727" w:name="_Toc15571"/>
      <w:bookmarkStart w:id="1728" w:name="_Toc10060"/>
      <w:bookmarkStart w:id="1729" w:name="_Toc18768"/>
      <w:bookmarkStart w:id="1730" w:name="_Toc14487"/>
      <w:bookmarkStart w:id="1731" w:name="_Toc28315"/>
      <w:bookmarkStart w:id="1732" w:name="_Toc13300"/>
      <w:bookmarkStart w:id="1733" w:name="_Toc6341"/>
      <w:bookmarkStart w:id="1734" w:name="_Toc6970"/>
      <w:r>
        <w:rPr>
          <w:rFonts w:hint="eastAsia" w:ascii="黑体" w:hAnsi="黑体" w:cs="黑体"/>
          <w:color w:val="auto"/>
          <w:kern w:val="44"/>
          <w:sz w:val="24"/>
          <w:szCs w:val="24"/>
          <w:highlight w:val="none"/>
        </w:rPr>
        <w:t>4.6疫情防控要求</w:t>
      </w:r>
      <w:bookmarkEnd w:id="1726"/>
      <w:bookmarkEnd w:id="1727"/>
      <w:bookmarkEnd w:id="1728"/>
      <w:bookmarkEnd w:id="1729"/>
      <w:bookmarkEnd w:id="1730"/>
      <w:bookmarkEnd w:id="1731"/>
      <w:bookmarkEnd w:id="1732"/>
      <w:bookmarkEnd w:id="1733"/>
      <w:bookmarkEnd w:id="1734"/>
    </w:p>
    <w:p>
      <w:pPr>
        <w:wordWrap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4.6.1在疫情期间，根据南宁市政府及比选人要求，比选申请人服务人员在上岗期间，全程佩戴口罩及手套，应为服务人员落实好足额的应急防疫物资，提前采购足量口罩、消杀物品、手套等防疫物资，储备一定数量的防护服、护目镜等应急物资，比选申请人开展维保服务期间所需的防疫物资包含在投标总价内。</w:t>
      </w:r>
    </w:p>
    <w:p>
      <w:pPr>
        <w:wordWrap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4.6.2 在疫情期间，根据南宁市政府及比选人要求，比选申请人服务人员应落实好车站、车辆段</w:t>
      </w:r>
      <w:r>
        <w:rPr>
          <w:rFonts w:hint="eastAsia" w:ascii="宋体" w:hAnsi="宋体" w:cs="宋体"/>
          <w:color w:val="auto"/>
          <w:szCs w:val="21"/>
          <w:highlight w:val="none"/>
          <w:lang w:eastAsia="zh-CN"/>
        </w:rPr>
        <w:t>（</w:t>
      </w:r>
      <w:r>
        <w:rPr>
          <w:rFonts w:hint="eastAsia" w:ascii="宋体" w:hAnsi="宋体" w:cs="宋体"/>
          <w:color w:val="auto"/>
          <w:szCs w:val="21"/>
          <w:highlight w:val="none"/>
        </w:rPr>
        <w:t>停车场</w:t>
      </w:r>
      <w:r>
        <w:rPr>
          <w:rFonts w:hint="eastAsia" w:ascii="宋体" w:hAnsi="宋体" w:cs="宋体"/>
          <w:color w:val="auto"/>
          <w:szCs w:val="21"/>
          <w:highlight w:val="none"/>
          <w:lang w:eastAsia="zh-CN"/>
        </w:rPr>
        <w:t>）</w:t>
      </w:r>
      <w:r>
        <w:rPr>
          <w:rFonts w:hint="eastAsia" w:ascii="宋体" w:hAnsi="宋体" w:cs="宋体"/>
          <w:color w:val="auto"/>
          <w:szCs w:val="21"/>
          <w:highlight w:val="none"/>
        </w:rPr>
        <w:t>、综合基地等区域的疫情防控防范措施，进入地铁站、场段配合实施测体温、佩戴口罩、核查健康码等防控措施，积极主动配合属地管理部门做好疫情防控的相关工作。</w:t>
      </w:r>
    </w:p>
    <w:p>
      <w:pPr>
        <w:wordWrap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4.6.3在疫情期间，根据南宁市政府及比选人要求，比选申请人服务人员发现“红码、黄码”，要做到早发现、早报告、早处置，具体处置流程应严格按照招标方有关新型冠状病毒感染的肺炎疫情应急预案执行。</w:t>
      </w:r>
    </w:p>
    <w:p>
      <w:pPr>
        <w:wordWrap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4.6.4在疫情期间，根据南宁市政府及比选人要求，比选申请人应提前做好内部员工出行动态排查及每日体温检测工作，形成防疫台账并做好记录，并根据地方的疫情防控管理要求开展对服务人员的管理。</w:t>
      </w:r>
    </w:p>
    <w:p>
      <w:pPr>
        <w:pStyle w:val="5"/>
        <w:numPr>
          <w:ilvl w:val="255"/>
          <w:numId w:val="0"/>
        </w:numPr>
        <w:spacing w:before="0" w:after="0" w:line="360" w:lineRule="auto"/>
        <w:rPr>
          <w:rFonts w:ascii="黑体" w:hAnsi="黑体" w:cs="黑体"/>
          <w:color w:val="auto"/>
          <w:kern w:val="44"/>
          <w:sz w:val="24"/>
          <w:szCs w:val="24"/>
          <w:highlight w:val="none"/>
        </w:rPr>
      </w:pPr>
      <w:bookmarkStart w:id="1735" w:name="_Toc9463"/>
      <w:bookmarkStart w:id="1736" w:name="_Toc2619"/>
      <w:r>
        <w:rPr>
          <w:rFonts w:hint="eastAsia" w:ascii="黑体" w:hAnsi="黑体" w:cs="黑体"/>
          <w:color w:val="auto"/>
          <w:kern w:val="44"/>
          <w:sz w:val="24"/>
          <w:szCs w:val="24"/>
          <w:highlight w:val="none"/>
        </w:rPr>
        <w:t>4.7知识产权</w:t>
      </w:r>
      <w:bookmarkEnd w:id="1735"/>
      <w:bookmarkEnd w:id="1736"/>
    </w:p>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4.7.1因比选申请人为实施本合同而向比选人提供的任何产品、资料、物件及服务引起的知识产权纠纷，由比选申请人承担由此引起的一切法律和经济上的责任。</w:t>
      </w:r>
    </w:p>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4.7.2比选申请人保证依据本合同所提供的任何产品、资料、服务等内容均不构成对第三方合法权益的侵犯，包括但不限于知识产权。即比选人在中国使用比选申请人提供的产品、产品的任何一部分，资料或服务时，免受第三方提出的侵犯其专利权、商标权、工业设计权和其他知识产权的起诉。</w:t>
      </w:r>
    </w:p>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4.7.3比选申请人为实施本合同及其缺陷修补，需使用或增加使用第三人专利、专有技术、技术秘密、商业秘密、著作权、商标权等知识产权的，比选申请人应取得比选人同意第三人专利，专有技术、技术秘密、商业秘密、著作权、商标权等知识产权的，在签订合同时，应向比选人说明知识产权的权利人，名称等权利状况，相应知识产权使用费由比选申请人负责支付。</w:t>
      </w:r>
    </w:p>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4.7.4因比选申请人提供的任何产品、资料、物件及服务引起的知识产权纠纷，由比选申请人负责与第三人交涉、参加诉讼、进行辩护，并承担由此引起的一切法律和经济上的责任。上述纠纷包括但不限于因比选申请人拥有或者有权许可的知识产权存在瑕疵导致产品瑕疵引起的索赔、诉讼或损失，因上述知识产权未在中国申请知识产权保护或海关备案而引起的侵权纠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4.7.5如比选申请人拒绝或怠于履行上述义务的，比选人有权解除合同。比选人被第三方起诉或以其它方式追究责任，比选申请人应赔偿因比选人被第三方索赔所引起的一切损失，包括但不限于比选人所支付的侵权损害赔偿费、律师费、诉讼费、仲裁费、办案差旅费等因应诉、沟通协调所发的一切费用。</w:t>
      </w:r>
      <w:bookmarkStart w:id="1737" w:name="_Toc11869"/>
      <w:bookmarkStart w:id="1738" w:name="_Toc29100"/>
      <w:bookmarkStart w:id="1739" w:name="_Toc23457"/>
      <w:bookmarkStart w:id="1740" w:name="_Toc16974"/>
      <w:bookmarkStart w:id="1741" w:name="_Toc30148"/>
      <w:bookmarkStart w:id="1742" w:name="_Toc8733"/>
      <w:bookmarkStart w:id="1743" w:name="_Toc31110"/>
    </w:p>
    <w:p>
      <w:pPr>
        <w:spacing w:line="360" w:lineRule="auto"/>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5项目消杀作业</w:t>
      </w:r>
      <w:bookmarkEnd w:id="1737"/>
      <w:bookmarkEnd w:id="1738"/>
      <w:bookmarkEnd w:id="1739"/>
      <w:bookmarkEnd w:id="1740"/>
      <w:bookmarkEnd w:id="1741"/>
      <w:bookmarkEnd w:id="1742"/>
      <w:bookmarkEnd w:id="1743"/>
      <w:bookmarkStart w:id="1744" w:name="_Toc7499"/>
      <w:bookmarkStart w:id="1745" w:name="_Toc7995"/>
      <w:bookmarkStart w:id="1746" w:name="_Toc23610"/>
      <w:bookmarkStart w:id="1747" w:name="_Toc15633"/>
      <w:bookmarkStart w:id="1748" w:name="_Toc22388"/>
      <w:bookmarkStart w:id="1749" w:name="_Toc30061"/>
      <w:bookmarkStart w:id="1750" w:name="_Toc20781"/>
    </w:p>
    <w:p>
      <w:pPr>
        <w:spacing w:line="360" w:lineRule="auto"/>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5.1消杀工作内容</w:t>
      </w:r>
      <w:bookmarkEnd w:id="1744"/>
      <w:bookmarkEnd w:id="1745"/>
      <w:bookmarkEnd w:id="1746"/>
      <w:bookmarkEnd w:id="1747"/>
      <w:bookmarkEnd w:id="1748"/>
      <w:bookmarkEnd w:id="1749"/>
      <w:bookmarkEnd w:id="1750"/>
    </w:p>
    <w:p>
      <w:pPr>
        <w:pStyle w:val="77"/>
        <w:tabs>
          <w:tab w:val="right" w:leader="dot" w:pos="8306"/>
        </w:tabs>
        <w:spacing w:line="360" w:lineRule="auto"/>
        <w:ind w:left="0" w:leftChars="0" w:firstLine="420" w:firstLineChars="200"/>
        <w:rPr>
          <w:rFonts w:ascii="宋体" w:hAnsi="宋体"/>
          <w:color w:val="auto"/>
          <w:szCs w:val="21"/>
          <w:highlight w:val="none"/>
        </w:rPr>
      </w:pPr>
      <w:r>
        <w:rPr>
          <w:rStyle w:val="78"/>
          <w:rFonts w:hint="eastAsia" w:ascii="宋体" w:hAnsi="宋体"/>
          <w:color w:val="auto"/>
          <w:szCs w:val="21"/>
          <w:highlight w:val="none"/>
        </w:rPr>
        <w:t>员工</w:t>
      </w:r>
      <w:r>
        <w:rPr>
          <w:rStyle w:val="78"/>
          <w:rFonts w:ascii="宋体" w:hAnsi="宋体"/>
          <w:color w:val="auto"/>
          <w:szCs w:val="21"/>
          <w:highlight w:val="none"/>
        </w:rPr>
        <w:t>食堂</w:t>
      </w:r>
      <w:r>
        <w:rPr>
          <w:rStyle w:val="78"/>
          <w:rFonts w:hint="eastAsia" w:ascii="宋体" w:hAnsi="宋体"/>
          <w:color w:val="auto"/>
          <w:kern w:val="0"/>
          <w:szCs w:val="21"/>
          <w:highlight w:val="none"/>
        </w:rPr>
        <w:t>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ascii="宋体" w:hAnsi="宋体" w:cs="Times New Roman"/>
          <w:color w:val="auto"/>
          <w:sz w:val="21"/>
          <w:szCs w:val="21"/>
          <w:highlight w:val="none"/>
        </w:rPr>
        <w:t>以上所有范围均需进行相关作业。由委外方提供消杀防治工具器械、药品</w:t>
      </w:r>
      <w:r>
        <w:rPr>
          <w:rStyle w:val="78"/>
          <w:rFonts w:hint="eastAsia" w:ascii="宋体" w:hAnsi="宋体" w:cs="Times New Roman"/>
          <w:color w:val="auto"/>
          <w:sz w:val="21"/>
          <w:szCs w:val="21"/>
          <w:highlight w:val="none"/>
        </w:rPr>
        <w:t>（</w:t>
      </w:r>
      <w:r>
        <w:rPr>
          <w:rStyle w:val="78"/>
          <w:rFonts w:ascii="宋体" w:hAnsi="宋体" w:cs="Times New Roman"/>
          <w:color w:val="auto"/>
          <w:sz w:val="21"/>
          <w:szCs w:val="21"/>
          <w:highlight w:val="none"/>
        </w:rPr>
        <w:t>详见附件2</w:t>
      </w:r>
      <w:r>
        <w:rPr>
          <w:rStyle w:val="78"/>
          <w:rFonts w:hint="eastAsia" w:ascii="宋体" w:hAnsi="宋体" w:cs="Times New Roman"/>
          <w:color w:val="auto"/>
          <w:sz w:val="21"/>
          <w:szCs w:val="21"/>
          <w:highlight w:val="none"/>
        </w:rPr>
        <w:t>）</w:t>
      </w:r>
      <w:r>
        <w:rPr>
          <w:rStyle w:val="78"/>
          <w:rFonts w:ascii="宋体" w:hAnsi="宋体" w:cs="Times New Roman"/>
          <w:color w:val="auto"/>
          <w:sz w:val="21"/>
          <w:szCs w:val="21"/>
          <w:highlight w:val="none"/>
        </w:rPr>
        <w:t>、服务人员等，对委外范围区域的蚊、蝇、蟑、鼠四害进行消杀防治服务。</w:t>
      </w:r>
      <w:bookmarkStart w:id="1751" w:name="_Toc17671"/>
      <w:bookmarkStart w:id="1752" w:name="_Toc9041"/>
      <w:bookmarkStart w:id="1753" w:name="_Toc2762"/>
      <w:bookmarkStart w:id="1754" w:name="_Toc22233"/>
      <w:bookmarkStart w:id="1755" w:name="_Toc17562"/>
      <w:bookmarkStart w:id="1756" w:name="_Toc14830"/>
      <w:bookmarkStart w:id="1757" w:name="_Toc32445"/>
    </w:p>
    <w:p>
      <w:pPr>
        <w:pStyle w:val="82"/>
        <w:spacing w:line="360" w:lineRule="auto"/>
        <w:jc w:val="both"/>
        <w:rPr>
          <w:rFonts w:ascii="黑体" w:hAnsi="黑体" w:eastAsia="黑体" w:cs="黑体"/>
          <w:b/>
          <w:color w:val="auto"/>
          <w:kern w:val="44"/>
          <w:highlight w:val="none"/>
        </w:rPr>
      </w:pPr>
      <w:r>
        <w:rPr>
          <w:rFonts w:hint="eastAsia" w:ascii="黑体" w:hAnsi="黑体" w:eastAsia="黑体" w:cs="黑体"/>
          <w:b/>
          <w:color w:val="auto"/>
          <w:kern w:val="44"/>
          <w:highlight w:val="none"/>
        </w:rPr>
        <w:t>5.2用药要求</w:t>
      </w:r>
      <w:bookmarkEnd w:id="1751"/>
      <w:bookmarkEnd w:id="1752"/>
      <w:bookmarkEnd w:id="1753"/>
      <w:bookmarkEnd w:id="1754"/>
      <w:bookmarkEnd w:id="1755"/>
      <w:bookmarkEnd w:id="1756"/>
      <w:bookmarkEnd w:id="1757"/>
    </w:p>
    <w:p>
      <w:pPr>
        <w:pStyle w:val="82"/>
        <w:spacing w:line="360" w:lineRule="auto"/>
        <w:ind w:firstLine="420" w:firstLineChars="200"/>
        <w:jc w:val="both"/>
        <w:rPr>
          <w:rStyle w:val="78"/>
          <w:rFonts w:ascii="宋体" w:hAnsi="宋体"/>
          <w:color w:val="auto"/>
          <w:kern w:val="2"/>
          <w:sz w:val="21"/>
          <w:szCs w:val="21"/>
          <w:highlight w:val="none"/>
        </w:rPr>
      </w:pPr>
      <w:r>
        <w:rPr>
          <w:rStyle w:val="78"/>
          <w:rFonts w:hint="eastAsia" w:ascii="宋体" w:hAnsi="宋体"/>
          <w:color w:val="auto"/>
          <w:kern w:val="2"/>
          <w:sz w:val="21"/>
          <w:szCs w:val="21"/>
          <w:highlight w:val="none"/>
        </w:rPr>
        <w:t>比选申请人</w:t>
      </w:r>
      <w:r>
        <w:rPr>
          <w:rStyle w:val="78"/>
          <w:rFonts w:ascii="宋体" w:hAnsi="宋体"/>
          <w:color w:val="auto"/>
          <w:kern w:val="2"/>
          <w:sz w:val="21"/>
          <w:szCs w:val="21"/>
          <w:highlight w:val="none"/>
        </w:rPr>
        <w:t>对于消杀药品的选用，</w:t>
      </w:r>
      <w:r>
        <w:rPr>
          <w:rStyle w:val="78"/>
          <w:rFonts w:hint="eastAsia" w:ascii="宋体" w:hAnsi="宋体"/>
          <w:color w:val="auto"/>
          <w:kern w:val="2"/>
          <w:sz w:val="21"/>
          <w:szCs w:val="21"/>
          <w:highlight w:val="none"/>
        </w:rPr>
        <w:t>应根据比选人规定使用药品（具体详见附件</w:t>
      </w:r>
      <w:r>
        <w:rPr>
          <w:rStyle w:val="78"/>
          <w:rFonts w:hint="eastAsia"/>
          <w:color w:val="auto"/>
          <w:kern w:val="2"/>
          <w:sz w:val="21"/>
          <w:highlight w:val="none"/>
        </w:rPr>
        <w:t>2</w:t>
      </w:r>
      <w:r>
        <w:rPr>
          <w:rStyle w:val="78"/>
          <w:rFonts w:hint="eastAsia" w:ascii="宋体" w:hAnsi="宋体"/>
          <w:color w:val="auto"/>
          <w:kern w:val="2"/>
          <w:sz w:val="21"/>
          <w:szCs w:val="21"/>
          <w:highlight w:val="none"/>
        </w:rPr>
        <w:t>），</w:t>
      </w:r>
      <w:r>
        <w:rPr>
          <w:rStyle w:val="78"/>
          <w:rFonts w:ascii="宋体" w:hAnsi="宋体"/>
          <w:color w:val="auto"/>
          <w:kern w:val="2"/>
          <w:sz w:val="21"/>
          <w:szCs w:val="21"/>
          <w:highlight w:val="none"/>
        </w:rPr>
        <w:t>并结合本项目不同环境类别通过合法途径以高效、低毒、环保、安全、精准投放为原则，杜绝选用低劣（已失效或批次质量不稳定）、非法（法规禁用、来源不明或未经许可自配）、高毒等的卫生杀虫剂及过度用药。</w:t>
      </w:r>
      <w:r>
        <w:rPr>
          <w:rStyle w:val="78"/>
          <w:rFonts w:hint="eastAsia" w:ascii="宋体" w:hAnsi="宋体"/>
          <w:color w:val="auto"/>
          <w:kern w:val="2"/>
          <w:sz w:val="21"/>
          <w:szCs w:val="21"/>
          <w:highlight w:val="none"/>
        </w:rPr>
        <w:t>比选申请人</w:t>
      </w:r>
      <w:r>
        <w:rPr>
          <w:rStyle w:val="78"/>
          <w:rFonts w:ascii="宋体" w:hAnsi="宋体"/>
          <w:color w:val="auto"/>
          <w:kern w:val="2"/>
          <w:sz w:val="21"/>
          <w:szCs w:val="21"/>
          <w:highlight w:val="none"/>
        </w:rPr>
        <w:t>在服务区域使用的消杀药品类别要根据国家对农药的有关管理规定，响应文件必须提供有效三证（农药登记证（或农药临时登记证）、生产企业的农药生产批准证（或农药生产许可证）、技术监督部门备案的企业标准）</w:t>
      </w:r>
      <w:bookmarkStart w:id="1758" w:name="_Toc23181"/>
      <w:bookmarkStart w:id="1759" w:name="_Toc25259"/>
      <w:bookmarkStart w:id="1760" w:name="_Toc24645"/>
      <w:bookmarkStart w:id="1761" w:name="_Toc23567"/>
      <w:bookmarkStart w:id="1762" w:name="_Toc8532"/>
      <w:bookmarkStart w:id="1763" w:name="_Toc14051"/>
      <w:bookmarkStart w:id="1764" w:name="_Toc2396"/>
      <w:r>
        <w:rPr>
          <w:rStyle w:val="78"/>
          <w:rFonts w:hint="eastAsia"/>
          <w:color w:val="auto"/>
          <w:kern w:val="2"/>
          <w:sz w:val="21"/>
          <w:highlight w:val="none"/>
        </w:rPr>
        <w:t>。</w:t>
      </w:r>
    </w:p>
    <w:p>
      <w:pPr>
        <w:pStyle w:val="82"/>
        <w:spacing w:line="360" w:lineRule="auto"/>
        <w:jc w:val="both"/>
        <w:rPr>
          <w:rFonts w:ascii="黑体" w:hAnsi="黑体" w:eastAsia="黑体" w:cs="黑体"/>
          <w:b/>
          <w:color w:val="auto"/>
          <w:kern w:val="44"/>
          <w:highlight w:val="none"/>
        </w:rPr>
      </w:pPr>
      <w:r>
        <w:rPr>
          <w:rFonts w:hint="eastAsia" w:ascii="黑体" w:hAnsi="黑体" w:eastAsia="黑体" w:cs="黑体"/>
          <w:b/>
          <w:color w:val="auto"/>
          <w:kern w:val="44"/>
          <w:highlight w:val="none"/>
        </w:rPr>
        <w:t>5.3消杀工作准备</w:t>
      </w:r>
      <w:bookmarkEnd w:id="1758"/>
      <w:bookmarkEnd w:id="1759"/>
      <w:bookmarkEnd w:id="1760"/>
      <w:bookmarkEnd w:id="1761"/>
      <w:bookmarkEnd w:id="1762"/>
      <w:bookmarkEnd w:id="1763"/>
      <w:bookmarkEnd w:id="1764"/>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hint="eastAsia" w:ascii="宋体" w:hAnsi="宋体" w:cs="Times New Roman"/>
          <w:color w:val="auto"/>
          <w:sz w:val="21"/>
          <w:szCs w:val="21"/>
          <w:highlight w:val="none"/>
        </w:rPr>
        <w:t>5.3.1 消毒前要做好人员防护，穿戴好手套、口罩、防水围裙、胶靴等防护用品。</w:t>
      </w:r>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hint="eastAsia" w:ascii="宋体" w:hAnsi="宋体" w:cs="Times New Roman"/>
          <w:color w:val="auto"/>
          <w:sz w:val="21"/>
          <w:szCs w:val="21"/>
          <w:highlight w:val="none"/>
        </w:rPr>
        <w:t>5.3.2 购买资质齐全且在有效期内的消毒产品，阅读使用说明书，重点看清浓度和使用范围，按照说明书要求进行配制和使用。</w:t>
      </w:r>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hint="eastAsia" w:ascii="宋体" w:hAnsi="宋体" w:cs="Times New Roman"/>
          <w:color w:val="auto"/>
          <w:sz w:val="21"/>
          <w:szCs w:val="21"/>
          <w:highlight w:val="none"/>
        </w:rPr>
        <w:t>5.3.3 消毒之前首先清洁整理工作，尤其要把食物、菜蔬、调料等放到安全的地方去，远离消毒品，并将厨具、设备进行有效遮盖。</w:t>
      </w:r>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hint="eastAsia" w:ascii="宋体" w:hAnsi="宋体" w:cs="Times New Roman"/>
          <w:color w:val="auto"/>
          <w:sz w:val="21"/>
          <w:szCs w:val="21"/>
          <w:highlight w:val="none"/>
        </w:rPr>
        <w:t>5.3.4 “四害”消杀药品由专人管理，放置在相对安全地方，避免误食。</w:t>
      </w:r>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hint="eastAsia" w:ascii="宋体" w:hAnsi="宋体" w:cs="Times New Roman"/>
          <w:color w:val="auto"/>
          <w:sz w:val="21"/>
          <w:szCs w:val="21"/>
          <w:highlight w:val="none"/>
        </w:rPr>
        <w:t>5.3.5开展“四害”消杀时间以提前2个工作日通知为准。</w:t>
      </w:r>
      <w:bookmarkStart w:id="1765" w:name="_Toc30402"/>
      <w:bookmarkStart w:id="1766" w:name="_Toc26446"/>
      <w:bookmarkStart w:id="1767" w:name="_Toc24443"/>
      <w:bookmarkStart w:id="1768" w:name="_Toc31146"/>
      <w:bookmarkStart w:id="1769" w:name="_Toc5968"/>
      <w:bookmarkStart w:id="1770" w:name="_Toc29542"/>
      <w:bookmarkStart w:id="1771" w:name="_Toc28169"/>
    </w:p>
    <w:p>
      <w:pPr>
        <w:pStyle w:val="82"/>
        <w:spacing w:line="360" w:lineRule="auto"/>
        <w:jc w:val="both"/>
        <w:rPr>
          <w:rFonts w:ascii="黑体" w:hAnsi="黑体" w:eastAsia="黑体" w:cs="黑体"/>
          <w:b/>
          <w:color w:val="auto"/>
          <w:kern w:val="44"/>
          <w:highlight w:val="none"/>
        </w:rPr>
      </w:pPr>
      <w:r>
        <w:rPr>
          <w:rFonts w:hint="eastAsia" w:ascii="黑体" w:hAnsi="黑体" w:eastAsia="黑体" w:cs="黑体"/>
          <w:b/>
          <w:color w:val="auto"/>
          <w:kern w:val="44"/>
          <w:highlight w:val="none"/>
        </w:rPr>
        <w:t>5.4消杀工作频次及进度安排</w:t>
      </w:r>
      <w:bookmarkEnd w:id="1765"/>
      <w:bookmarkEnd w:id="1766"/>
      <w:bookmarkEnd w:id="1767"/>
      <w:bookmarkEnd w:id="1768"/>
      <w:bookmarkEnd w:id="1769"/>
      <w:bookmarkEnd w:id="1770"/>
      <w:bookmarkEnd w:id="1771"/>
    </w:p>
    <w:p>
      <w:pPr>
        <w:spacing w:line="360" w:lineRule="auto"/>
        <w:ind w:firstLine="420" w:firstLineChars="200"/>
        <w:rPr>
          <w:rStyle w:val="78"/>
          <w:color w:val="auto"/>
          <w:highlight w:val="none"/>
        </w:rPr>
      </w:pPr>
      <w:r>
        <w:rPr>
          <w:rStyle w:val="78"/>
          <w:rFonts w:hint="eastAsia" w:ascii="宋体" w:hAnsi="Courier New"/>
          <w:color w:val="auto"/>
          <w:szCs w:val="21"/>
          <w:highlight w:val="none"/>
        </w:rPr>
        <w:t xml:space="preserve">5.4.1 </w:t>
      </w:r>
      <w:r>
        <w:rPr>
          <w:rStyle w:val="78"/>
          <w:rFonts w:hint="eastAsia"/>
          <w:color w:val="auto"/>
          <w:highlight w:val="none"/>
        </w:rPr>
        <w:t>员工</w:t>
      </w:r>
      <w:r>
        <w:rPr>
          <w:rStyle w:val="78"/>
          <w:rFonts w:hint="eastAsia"/>
          <w:color w:val="auto"/>
          <w:highlight w:val="none"/>
          <w:lang w:eastAsia="zh-CN"/>
        </w:rPr>
        <w:t>食堂每</w:t>
      </w:r>
      <w:r>
        <w:rPr>
          <w:rStyle w:val="78"/>
          <w:rFonts w:hint="eastAsia"/>
          <w:color w:val="auto"/>
          <w:highlight w:val="none"/>
        </w:rPr>
        <w:t>月进行一次消杀工作，每次时间间隔大于20天。</w:t>
      </w:r>
    </w:p>
    <w:p>
      <w:pPr>
        <w:spacing w:line="360" w:lineRule="auto"/>
        <w:ind w:firstLine="420" w:firstLineChars="200"/>
        <w:rPr>
          <w:rStyle w:val="78"/>
          <w:color w:val="auto"/>
          <w:highlight w:val="none"/>
        </w:rPr>
      </w:pPr>
      <w:r>
        <w:rPr>
          <w:rStyle w:val="78"/>
          <w:rFonts w:hint="eastAsia" w:ascii="宋体" w:hAnsi="Courier New"/>
          <w:color w:val="auto"/>
          <w:szCs w:val="21"/>
          <w:highlight w:val="none"/>
        </w:rPr>
        <w:t xml:space="preserve">5.4.2 </w:t>
      </w:r>
      <w:r>
        <w:rPr>
          <w:rStyle w:val="78"/>
          <w:color w:val="auto"/>
          <w:highlight w:val="none"/>
        </w:rPr>
        <w:t>委外消杀单位在遇到法定节假日时应提前对接采购人落实具体消杀时间，并提前做好相关工作安排。</w:t>
      </w:r>
    </w:p>
    <w:p>
      <w:pPr>
        <w:pStyle w:val="2"/>
        <w:spacing w:line="360" w:lineRule="auto"/>
        <w:ind w:firstLine="420" w:firstLineChars="200"/>
        <w:rPr>
          <w:color w:val="auto"/>
          <w:highlight w:val="none"/>
        </w:rPr>
      </w:pPr>
      <w:r>
        <w:rPr>
          <w:rStyle w:val="78"/>
          <w:rFonts w:hint="eastAsia" w:cs="Times New Roman"/>
          <w:color w:val="auto"/>
          <w:szCs w:val="21"/>
          <w:highlight w:val="none"/>
        </w:rPr>
        <w:t xml:space="preserve">5.4.3 </w:t>
      </w:r>
      <w:r>
        <w:rPr>
          <w:rStyle w:val="78"/>
          <w:rFonts w:hint="eastAsia" w:ascii="Calibri" w:hAnsi="Calibri"/>
          <w:color w:val="auto"/>
          <w:highlight w:val="none"/>
        </w:rPr>
        <w:t>“四害”消杀时间须选择无人用餐的时间进行。</w:t>
      </w:r>
    </w:p>
    <w:p>
      <w:pPr>
        <w:pStyle w:val="80"/>
        <w:spacing w:line="360" w:lineRule="auto"/>
        <w:ind w:firstLine="420" w:firstLineChars="200"/>
        <w:rPr>
          <w:rFonts w:ascii="黑体" w:hAnsi="黑体" w:eastAsia="黑体" w:cs="黑体"/>
          <w:b/>
          <w:color w:val="auto"/>
          <w:kern w:val="44"/>
          <w:sz w:val="24"/>
          <w:szCs w:val="24"/>
          <w:highlight w:val="none"/>
        </w:rPr>
      </w:pPr>
      <w:r>
        <w:rPr>
          <w:rStyle w:val="78"/>
          <w:color w:val="auto"/>
          <w:highlight w:val="none"/>
        </w:rPr>
        <w:t>5.</w:t>
      </w:r>
      <w:r>
        <w:rPr>
          <w:rStyle w:val="78"/>
          <w:rFonts w:hint="eastAsia"/>
          <w:color w:val="auto"/>
          <w:highlight w:val="none"/>
        </w:rPr>
        <w:t xml:space="preserve">4.3 </w:t>
      </w:r>
      <w:r>
        <w:rPr>
          <w:rStyle w:val="78"/>
          <w:color w:val="auto"/>
          <w:highlight w:val="none"/>
        </w:rPr>
        <w:t>如遇偶发性</w:t>
      </w:r>
      <w:r>
        <w:rPr>
          <w:rStyle w:val="78"/>
          <w:rFonts w:hAnsi="宋体"/>
          <w:color w:val="auto"/>
          <w:highlight w:val="none"/>
        </w:rPr>
        <w:t>接到采购人需要处理问题时，通知后3小时内到达采购人指定现场跟进问题。</w:t>
      </w:r>
      <w:bookmarkStart w:id="1772" w:name="_Toc26564"/>
      <w:bookmarkStart w:id="1773" w:name="_Toc24260"/>
      <w:bookmarkStart w:id="1774" w:name="_Toc31223"/>
      <w:bookmarkStart w:id="1775" w:name="_Toc10199"/>
      <w:bookmarkStart w:id="1776" w:name="_Toc375"/>
      <w:bookmarkStart w:id="1777" w:name="_Toc17648"/>
      <w:bookmarkStart w:id="1778" w:name="_Toc19892"/>
      <w:r>
        <w:rPr>
          <w:rFonts w:hint="eastAsia" w:ascii="黑体" w:hAnsi="黑体" w:eastAsia="黑体" w:cs="黑体"/>
          <w:b/>
          <w:color w:val="auto"/>
          <w:kern w:val="44"/>
          <w:sz w:val="24"/>
          <w:szCs w:val="24"/>
          <w:highlight w:val="none"/>
        </w:rPr>
        <w:t>5.5消杀工程量</w:t>
      </w:r>
      <w:bookmarkEnd w:id="1772"/>
      <w:bookmarkEnd w:id="1773"/>
      <w:bookmarkEnd w:id="1774"/>
      <w:bookmarkEnd w:id="1775"/>
      <w:bookmarkEnd w:id="1776"/>
      <w:bookmarkEnd w:id="1777"/>
      <w:bookmarkEnd w:id="1778"/>
    </w:p>
    <w:p>
      <w:pPr>
        <w:tabs>
          <w:tab w:val="left" w:pos="180"/>
          <w:tab w:val="left" w:pos="1620"/>
        </w:tabs>
        <w:spacing w:line="360" w:lineRule="auto"/>
        <w:ind w:firstLine="420" w:firstLineChars="200"/>
        <w:rPr>
          <w:rStyle w:val="78"/>
          <w:rFonts w:ascii="宋体" w:hAnsi="宋体"/>
          <w:color w:val="auto"/>
          <w:szCs w:val="21"/>
          <w:highlight w:val="none"/>
        </w:rPr>
      </w:pPr>
      <w:bookmarkStart w:id="1779" w:name="_Toc5463"/>
      <w:bookmarkStart w:id="1780" w:name="_Toc24444"/>
      <w:bookmarkStart w:id="1781" w:name="_Toc29623"/>
      <w:bookmarkStart w:id="1782" w:name="_Toc711"/>
      <w:bookmarkStart w:id="1783" w:name="_Toc7835"/>
      <w:bookmarkStart w:id="1784" w:name="_Toc27279"/>
      <w:bookmarkStart w:id="1785" w:name="_Toc842"/>
      <w:bookmarkStart w:id="1786" w:name="_Toc23080"/>
      <w:bookmarkStart w:id="1787" w:name="_Toc18872"/>
      <w:r>
        <w:rPr>
          <w:rStyle w:val="78"/>
          <w:rFonts w:hint="eastAsia" w:ascii="宋体" w:hAnsi="宋体"/>
          <w:color w:val="auto"/>
          <w:szCs w:val="21"/>
          <w:highlight w:val="none"/>
        </w:rPr>
        <w:t>5.5.1食堂所辖环境</w:t>
      </w:r>
      <w:r>
        <w:rPr>
          <w:rStyle w:val="78"/>
          <w:rFonts w:ascii="宋体" w:hAnsi="宋体"/>
          <w:color w:val="auto"/>
          <w:szCs w:val="21"/>
          <w:highlight w:val="none"/>
        </w:rPr>
        <w:t>污积水体蚊幼虫孳生地要求使用颗粒剂投放</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5.5.2食堂所辖</w:t>
      </w:r>
      <w:r>
        <w:rPr>
          <w:rStyle w:val="78"/>
          <w:rFonts w:ascii="宋体" w:hAnsi="宋体"/>
          <w:color w:val="auto"/>
          <w:szCs w:val="21"/>
          <w:highlight w:val="none"/>
        </w:rPr>
        <w:t>环境的绿植、垃圾桶放置场所、卫生死角、卫生间等成蚊栖息地利用绿篱技术进行滞留喷洒</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 xml:space="preserve">5.5.3 </w:t>
      </w:r>
      <w:r>
        <w:rPr>
          <w:rStyle w:val="78"/>
          <w:rFonts w:ascii="宋体" w:hAnsi="宋体"/>
          <w:color w:val="auto"/>
          <w:szCs w:val="21"/>
          <w:highlight w:val="none"/>
        </w:rPr>
        <w:t>食品区域等室内场所的蟑螂成若虫或成蝇成蚊使用残效时间长、接触毒性低、气味小的高效水乳剂处理</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5.5.4</w:t>
      </w:r>
      <w:r>
        <w:rPr>
          <w:rStyle w:val="78"/>
          <w:rFonts w:ascii="宋体" w:hAnsi="宋体"/>
          <w:color w:val="auto"/>
          <w:szCs w:val="21"/>
          <w:highlight w:val="none"/>
        </w:rPr>
        <w:t>餐厅、配餐间、办公室、过道、卫生间，更衣室等室内环境使用超低容量喷洒进行灭蚊蝇</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 xml:space="preserve">5.5.5 </w:t>
      </w:r>
      <w:r>
        <w:rPr>
          <w:rStyle w:val="78"/>
          <w:rFonts w:ascii="宋体" w:hAnsi="宋体"/>
          <w:color w:val="auto"/>
          <w:szCs w:val="21"/>
          <w:highlight w:val="none"/>
        </w:rPr>
        <w:t>货架、操作台等视场</w:t>
      </w:r>
      <w:r>
        <w:rPr>
          <w:rStyle w:val="78"/>
          <w:rFonts w:hint="eastAsia" w:ascii="宋体" w:hAnsi="宋体"/>
          <w:color w:val="auto"/>
          <w:szCs w:val="21"/>
          <w:highlight w:val="none"/>
          <w:lang w:eastAsia="zh-CN"/>
        </w:rPr>
        <w:t>的情况</w:t>
      </w:r>
      <w:r>
        <w:rPr>
          <w:rStyle w:val="78"/>
          <w:rFonts w:ascii="宋体" w:hAnsi="宋体"/>
          <w:color w:val="auto"/>
          <w:szCs w:val="21"/>
          <w:highlight w:val="none"/>
        </w:rPr>
        <w:t>使用灭蟑饵剂或灭蟑胶饵进行成虫诱杀</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 xml:space="preserve">5.5.6 </w:t>
      </w:r>
      <w:r>
        <w:rPr>
          <w:rStyle w:val="78"/>
          <w:rFonts w:ascii="宋体" w:hAnsi="宋体"/>
          <w:color w:val="auto"/>
          <w:szCs w:val="21"/>
          <w:highlight w:val="none"/>
        </w:rPr>
        <w:t>下水道、化粪池、各类地井等封闭场所中的蚊虫、蟑螂成若虫使用高效热雾剂进行常规热烟雾施放杀灭（每个井盖施药时间不低于30秒）</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5.5.7</w:t>
      </w:r>
      <w:r>
        <w:rPr>
          <w:rStyle w:val="78"/>
          <w:rFonts w:ascii="宋体" w:hAnsi="宋体"/>
          <w:color w:val="auto"/>
          <w:szCs w:val="21"/>
          <w:highlight w:val="none"/>
        </w:rPr>
        <w:t>外环境或一般室内环境中发现的鼠迹地、鼠活动场所集中杀灭时使用在我国南方对鼠类适口性较好的杀鼠剂（饵剂）进行饱和投放。</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 xml:space="preserve">5.5.8 </w:t>
      </w:r>
      <w:r>
        <w:rPr>
          <w:rStyle w:val="78"/>
          <w:rFonts w:ascii="宋体" w:hAnsi="宋体"/>
          <w:color w:val="auto"/>
          <w:szCs w:val="21"/>
          <w:highlight w:val="none"/>
        </w:rPr>
        <w:t>室内布放粘鼠板，室外设置毒饵站（每10-15米设置一个毒饵站，垃圾桶周边每6米设置一个毒饵站，每个毒饵站投放不低于</w:t>
      </w:r>
      <w:r>
        <w:rPr>
          <w:rStyle w:val="78"/>
          <w:rFonts w:hint="eastAsia" w:ascii="宋体" w:hAnsi="宋体"/>
          <w:color w:val="auto"/>
          <w:szCs w:val="21"/>
          <w:highlight w:val="none"/>
        </w:rPr>
        <w:t>60</w:t>
      </w:r>
      <w:r>
        <w:rPr>
          <w:rStyle w:val="78"/>
          <w:rFonts w:ascii="宋体" w:hAnsi="宋体"/>
          <w:color w:val="auto"/>
          <w:szCs w:val="21"/>
          <w:highlight w:val="none"/>
        </w:rPr>
        <w:t>克毒饵</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第一轮次施工完成后第5天复检一次，更换鼠药，吃完鼠药的加倍投放，即更换时投放至120克；检测室内粘鼠板情况，并把阳性粘鼠板更换成新的</w:t>
      </w:r>
      <w:r>
        <w:rPr>
          <w:rStyle w:val="78"/>
          <w:rFonts w:ascii="宋体" w:hAnsi="宋体"/>
          <w:color w:val="auto"/>
          <w:szCs w:val="21"/>
          <w:highlight w:val="none"/>
        </w:rPr>
        <w:t>）</w:t>
      </w:r>
      <w:r>
        <w:rPr>
          <w:rStyle w:val="78"/>
          <w:rFonts w:hint="eastAsia" w:ascii="宋体" w:hAnsi="宋体"/>
          <w:color w:val="auto"/>
          <w:szCs w:val="21"/>
          <w:highlight w:val="none"/>
        </w:rPr>
        <w:t>。</w:t>
      </w:r>
    </w:p>
    <w:p>
      <w:pPr>
        <w:widowControl/>
        <w:tabs>
          <w:tab w:val="left" w:pos="180"/>
          <w:tab w:val="left" w:pos="1620"/>
        </w:tabs>
        <w:spacing w:line="360" w:lineRule="auto"/>
        <w:ind w:firstLine="420" w:firstLineChars="200"/>
        <w:textAlignment w:val="baseline"/>
        <w:rPr>
          <w:rFonts w:ascii="宋体" w:hAnsi="宋体" w:cs="宋体"/>
          <w:color w:val="auto"/>
          <w:szCs w:val="21"/>
          <w:highlight w:val="none"/>
        </w:rPr>
      </w:pPr>
      <w:r>
        <w:rPr>
          <w:rStyle w:val="78"/>
          <w:rFonts w:hint="eastAsia" w:ascii="宋体" w:hAnsi="宋体"/>
          <w:color w:val="auto"/>
          <w:szCs w:val="21"/>
          <w:highlight w:val="none"/>
        </w:rPr>
        <w:t xml:space="preserve">5.5.9 </w:t>
      </w:r>
      <w:r>
        <w:rPr>
          <w:rFonts w:hint="eastAsia" w:ascii="宋体" w:hAnsi="宋体" w:cs="宋体"/>
          <w:color w:val="auto"/>
          <w:szCs w:val="21"/>
          <w:highlight w:val="none"/>
        </w:rPr>
        <w:t>食堂墙体以外30米范围内的绿化带、明沟暗渠、化粪池、隔油池、集水井、沉沙井等室外空间）提供消杀服务。</w:t>
      </w:r>
    </w:p>
    <w:p>
      <w:pPr>
        <w:pStyle w:val="5"/>
        <w:numPr>
          <w:ilvl w:val="255"/>
          <w:numId w:val="0"/>
        </w:numPr>
        <w:spacing w:line="360" w:lineRule="auto"/>
        <w:rPr>
          <w:rFonts w:ascii="黑体" w:hAnsi="黑体" w:cs="黑体"/>
          <w:color w:val="auto"/>
          <w:kern w:val="44"/>
          <w:sz w:val="24"/>
          <w:szCs w:val="24"/>
          <w:highlight w:val="none"/>
        </w:rPr>
      </w:pPr>
      <w:bookmarkStart w:id="1788" w:name="_Toc26858"/>
      <w:bookmarkStart w:id="1789" w:name="_Toc1822"/>
      <w:bookmarkStart w:id="1790" w:name="_Toc20515"/>
      <w:bookmarkStart w:id="1791" w:name="_Toc17345"/>
      <w:bookmarkStart w:id="1792" w:name="_Toc16343"/>
      <w:bookmarkStart w:id="1793" w:name="_Toc3109"/>
      <w:bookmarkStart w:id="1794" w:name="_Toc12602"/>
      <w:r>
        <w:rPr>
          <w:rFonts w:hint="eastAsia" w:ascii="黑体" w:hAnsi="黑体" w:cs="黑体"/>
          <w:color w:val="auto"/>
          <w:kern w:val="44"/>
          <w:sz w:val="24"/>
          <w:szCs w:val="24"/>
          <w:highlight w:val="none"/>
        </w:rPr>
        <w:t>5.6器械、车辆情况</w:t>
      </w:r>
      <w:bookmarkEnd w:id="1788"/>
      <w:bookmarkEnd w:id="1789"/>
      <w:bookmarkEnd w:id="1790"/>
      <w:bookmarkEnd w:id="1791"/>
      <w:bookmarkEnd w:id="1792"/>
      <w:bookmarkEnd w:id="1793"/>
      <w:bookmarkEnd w:id="1794"/>
    </w:p>
    <w:p>
      <w:pPr>
        <w:spacing w:line="360" w:lineRule="auto"/>
        <w:ind w:firstLine="420" w:firstLineChars="200"/>
        <w:jc w:val="center"/>
        <w:rPr>
          <w:rStyle w:val="78"/>
          <w:rFonts w:ascii="宋体" w:hAnsi="宋体" w:cs="宋体"/>
          <w:b/>
          <w:bCs/>
          <w:color w:val="auto"/>
          <w:kern w:val="0"/>
          <w:szCs w:val="21"/>
          <w:highlight w:val="none"/>
        </w:rPr>
      </w:pPr>
      <w:r>
        <w:rPr>
          <w:rFonts w:hint="eastAsia" w:ascii="宋体" w:hAnsi="宋体" w:cs="宋体"/>
          <w:bCs/>
          <w:color w:val="auto"/>
          <w:szCs w:val="21"/>
          <w:highlight w:val="none"/>
        </w:rPr>
        <w:t>表5-1 器械、车辆情况</w:t>
      </w:r>
    </w:p>
    <w:tbl>
      <w:tblPr>
        <w:tblStyle w:val="27"/>
        <w:tblW w:w="8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3997"/>
        <w:gridCol w:w="154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序号</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名称</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单位</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ind w:firstLineChars="200"/>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1</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热烟雾机</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台</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ind w:firstLineChars="200"/>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2</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电池背负式超低容器喷雾器</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台</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3</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电动背负式喷雾机</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台</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4</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手提插电式超低容量喷雾器</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台</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5</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手提式常量喷雾器</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台</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6</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根据需要调动其他辅助器械</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无</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待定</w:t>
            </w:r>
          </w:p>
        </w:tc>
      </w:tr>
    </w:tbl>
    <w:p>
      <w:pPr>
        <w:pStyle w:val="79"/>
        <w:spacing w:line="360" w:lineRule="auto"/>
        <w:rPr>
          <w:rStyle w:val="78"/>
          <w:rFonts w:ascii="宋体" w:hAnsi="宋体" w:eastAsia="宋体"/>
          <w:color w:val="auto"/>
          <w:sz w:val="18"/>
          <w:szCs w:val="18"/>
          <w:highlight w:val="none"/>
        </w:rPr>
      </w:pPr>
      <w:r>
        <w:rPr>
          <w:rStyle w:val="78"/>
          <w:rFonts w:ascii="宋体" w:hAnsi="宋体" w:eastAsia="宋体"/>
          <w:color w:val="auto"/>
          <w:sz w:val="18"/>
          <w:szCs w:val="18"/>
          <w:highlight w:val="none"/>
        </w:rPr>
        <w:t>备注：机械设备配备齐全且证件齐全，以满足一个食堂消杀最低配置需求，可优于此配置。</w:t>
      </w:r>
      <w:bookmarkEnd w:id="1779"/>
      <w:bookmarkEnd w:id="1780"/>
      <w:bookmarkEnd w:id="1781"/>
      <w:bookmarkEnd w:id="1782"/>
      <w:bookmarkEnd w:id="1783"/>
      <w:bookmarkEnd w:id="1784"/>
      <w:bookmarkEnd w:id="1785"/>
      <w:bookmarkEnd w:id="1786"/>
      <w:bookmarkEnd w:id="1787"/>
      <w:bookmarkStart w:id="1795" w:name="_Toc15440"/>
      <w:bookmarkStart w:id="1796" w:name="_Toc11801"/>
      <w:bookmarkStart w:id="1797" w:name="_Toc7945"/>
      <w:bookmarkStart w:id="1798" w:name="_Toc12075"/>
      <w:bookmarkStart w:id="1799" w:name="_Toc20604"/>
      <w:bookmarkStart w:id="1800" w:name="_Toc10678"/>
    </w:p>
    <w:p>
      <w:pPr>
        <w:pStyle w:val="79"/>
        <w:spacing w:line="360" w:lineRule="auto"/>
        <w:ind w:firstLine="0"/>
        <w:rPr>
          <w:rFonts w:ascii="宋体" w:hAnsi="宋体" w:eastAsia="宋体"/>
          <w:color w:val="auto"/>
          <w:sz w:val="18"/>
          <w:szCs w:val="18"/>
          <w:highlight w:val="none"/>
        </w:rPr>
      </w:pPr>
      <w:r>
        <w:rPr>
          <w:rFonts w:hint="eastAsia" w:ascii="黑体" w:hAnsi="黑体" w:eastAsia="黑体" w:cs="黑体"/>
          <w:b/>
          <w:color w:val="auto"/>
          <w:kern w:val="44"/>
          <w:sz w:val="24"/>
          <w:szCs w:val="24"/>
          <w:highlight w:val="none"/>
        </w:rPr>
        <w:t>5.7 消杀标准</w:t>
      </w:r>
    </w:p>
    <w:p>
      <w:pPr>
        <w:pStyle w:val="74"/>
        <w:spacing w:line="360" w:lineRule="auto"/>
        <w:ind w:left="0" w:leftChars="0" w:firstLine="0" w:firstLineChars="0"/>
        <w:rPr>
          <w:rStyle w:val="78"/>
          <w:rFonts w:hint="eastAsia" w:ascii="宋体" w:hAnsi="宋体"/>
          <w:color w:val="auto"/>
          <w:szCs w:val="21"/>
          <w:highlight w:val="none"/>
        </w:rPr>
      </w:pPr>
      <w:r>
        <w:rPr>
          <w:rStyle w:val="78"/>
          <w:rFonts w:ascii="宋体" w:hAnsi="宋体"/>
          <w:color w:val="auto"/>
          <w:szCs w:val="21"/>
          <w:highlight w:val="none"/>
        </w:rPr>
        <w:t>“四害”控制效果必须达到《病媒生物密度控制水平国家标准》</w:t>
      </w:r>
      <w:r>
        <w:rPr>
          <w:rStyle w:val="78"/>
          <w:rFonts w:hint="eastAsia" w:ascii="宋体" w:hAnsi="宋体"/>
          <w:color w:val="auto"/>
          <w:szCs w:val="21"/>
          <w:highlight w:val="none"/>
        </w:rPr>
        <w:t>。</w:t>
      </w:r>
    </w:p>
    <w:p>
      <w:pPr>
        <w:pStyle w:val="79"/>
        <w:spacing w:line="360" w:lineRule="auto"/>
        <w:ind w:firstLine="0"/>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6考核条款</w:t>
      </w:r>
      <w:bookmarkEnd w:id="1795"/>
      <w:bookmarkEnd w:id="1796"/>
      <w:bookmarkEnd w:id="1797"/>
      <w:bookmarkEnd w:id="1798"/>
      <w:bookmarkEnd w:id="1799"/>
      <w:bookmarkEnd w:id="1800"/>
      <w:bookmarkStart w:id="1801" w:name="_Toc36654470"/>
      <w:bookmarkStart w:id="1802" w:name="_Toc29549"/>
      <w:bookmarkStart w:id="1803" w:name="_Toc26287"/>
      <w:bookmarkStart w:id="1804" w:name="_Toc20344"/>
      <w:bookmarkStart w:id="1805" w:name="_Toc21390"/>
      <w:bookmarkStart w:id="1806" w:name="_Toc14594"/>
      <w:bookmarkStart w:id="1807" w:name="_Toc6358"/>
      <w:bookmarkStart w:id="1808" w:name="_Toc36653722"/>
      <w:bookmarkStart w:id="1809" w:name="_Toc19513"/>
      <w:bookmarkStart w:id="1810" w:name="_Toc28420"/>
      <w:bookmarkStart w:id="1811" w:name="_Toc4639"/>
      <w:bookmarkStart w:id="1812" w:name="_Toc26528"/>
      <w:bookmarkStart w:id="1813" w:name="_Toc7357"/>
      <w:bookmarkStart w:id="1814" w:name="_Toc12569"/>
      <w:bookmarkStart w:id="1815" w:name="_Toc15873"/>
      <w:bookmarkStart w:id="1816" w:name="_Toc26457059"/>
      <w:bookmarkStart w:id="1817" w:name="_Toc24909"/>
      <w:bookmarkStart w:id="1818" w:name="_Toc25630"/>
      <w:bookmarkStart w:id="1819" w:name="_Toc15928"/>
      <w:bookmarkStart w:id="1820" w:name="_Toc27072"/>
      <w:bookmarkStart w:id="1821" w:name="_Toc15679"/>
      <w:bookmarkStart w:id="1822" w:name="_Toc31171"/>
      <w:bookmarkStart w:id="1823" w:name="_Toc25411"/>
      <w:bookmarkStart w:id="1824" w:name="_Toc1185"/>
      <w:bookmarkStart w:id="1825" w:name="_Toc20145"/>
      <w:bookmarkStart w:id="1826" w:name="_Toc21264"/>
      <w:bookmarkStart w:id="1827" w:name="_Toc22921"/>
      <w:bookmarkStart w:id="1828" w:name="_Toc31804"/>
      <w:bookmarkStart w:id="1829" w:name="_Toc9469"/>
      <w:bookmarkStart w:id="1830" w:name="_Toc9334"/>
      <w:bookmarkStart w:id="1831" w:name="_Toc28783"/>
      <w:bookmarkStart w:id="1832" w:name="_Toc24586"/>
      <w:bookmarkStart w:id="1833" w:name="_Toc19918"/>
      <w:bookmarkStart w:id="1834" w:name="_Toc3507"/>
      <w:bookmarkStart w:id="1835" w:name="_Toc25960"/>
      <w:bookmarkStart w:id="1836" w:name="_Toc18411"/>
      <w:bookmarkStart w:id="1837" w:name="_Toc20718"/>
      <w:bookmarkStart w:id="1838" w:name="_Toc7930"/>
      <w:bookmarkStart w:id="1839" w:name="_Toc6360"/>
      <w:bookmarkStart w:id="1840" w:name="_Toc31393"/>
      <w:bookmarkStart w:id="1841" w:name="_Toc26263"/>
      <w:bookmarkStart w:id="1842" w:name="_Toc24272"/>
      <w:bookmarkStart w:id="1843" w:name="_Toc17407"/>
    </w:p>
    <w:p>
      <w:pPr>
        <w:pStyle w:val="79"/>
        <w:spacing w:line="360" w:lineRule="auto"/>
        <w:ind w:firstLine="0"/>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6.1人员要求违约处理</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bookmarkEnd w:id="1843"/>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比选人有权要求比选申请人更换不满足工作要求或不服从管理的人员，更换后的人员资格条件不得低于比选时的资历且符合比选人的相关要求。比选申请人未经比选人同意不得擅自更换项目负责人或未配置项目负责人的，在该项目负责人未按照比选文件条件配置到位之前，比选申请人需向比选人缴纳违约金，违约金计算标准为：500元/天。</w:t>
      </w:r>
    </w:p>
    <w:p>
      <w:pPr>
        <w:pStyle w:val="5"/>
        <w:spacing w:before="0" w:after="0" w:line="360" w:lineRule="auto"/>
        <w:jc w:val="left"/>
        <w:rPr>
          <w:rFonts w:ascii="宋体" w:hAnsi="宋体" w:eastAsia="宋体" w:cs="宋体"/>
          <w:color w:val="auto"/>
          <w:kern w:val="0"/>
          <w:szCs w:val="21"/>
          <w:highlight w:val="none"/>
        </w:rPr>
      </w:pPr>
      <w:bookmarkStart w:id="1844" w:name="_Toc19175"/>
      <w:bookmarkStart w:id="1845" w:name="_Toc26457061"/>
      <w:bookmarkStart w:id="1846" w:name="_Toc16544"/>
      <w:bookmarkStart w:id="1847" w:name="_Toc5613"/>
      <w:bookmarkStart w:id="1848" w:name="_Toc8533"/>
      <w:bookmarkStart w:id="1849" w:name="_Toc20763"/>
      <w:bookmarkStart w:id="1850" w:name="_Toc9291"/>
      <w:bookmarkStart w:id="1851" w:name="_Toc27462"/>
      <w:bookmarkStart w:id="1852" w:name="_Toc7631"/>
      <w:bookmarkStart w:id="1853" w:name="_Toc12689"/>
      <w:bookmarkStart w:id="1854" w:name="_Toc13393"/>
      <w:bookmarkStart w:id="1855" w:name="_Toc17627"/>
      <w:bookmarkStart w:id="1856" w:name="_Toc28990"/>
      <w:bookmarkStart w:id="1857" w:name="_Toc8119"/>
      <w:bookmarkStart w:id="1858" w:name="_Toc19993"/>
      <w:bookmarkStart w:id="1859" w:name="_Toc29783"/>
      <w:bookmarkStart w:id="1860" w:name="_Toc22012"/>
      <w:bookmarkStart w:id="1861" w:name="_Toc19484"/>
      <w:bookmarkStart w:id="1862" w:name="_Toc6465"/>
      <w:bookmarkStart w:id="1863" w:name="_Toc19729"/>
      <w:bookmarkStart w:id="1864" w:name="_Toc21801"/>
      <w:bookmarkStart w:id="1865" w:name="_Toc2393"/>
      <w:bookmarkStart w:id="1866" w:name="_Toc26099"/>
      <w:bookmarkStart w:id="1867" w:name="_Toc17125"/>
      <w:bookmarkStart w:id="1868" w:name="_Toc6810"/>
      <w:bookmarkStart w:id="1869" w:name="_Toc17059"/>
      <w:bookmarkStart w:id="1870" w:name="_Toc2099"/>
      <w:bookmarkStart w:id="1871" w:name="_Toc8051"/>
      <w:bookmarkStart w:id="1872" w:name="_Toc36653723"/>
      <w:bookmarkStart w:id="1873" w:name="_Toc18250"/>
      <w:bookmarkStart w:id="1874" w:name="_Toc21108"/>
      <w:bookmarkStart w:id="1875" w:name="_Toc12628"/>
      <w:bookmarkStart w:id="1876" w:name="_Toc22479"/>
      <w:bookmarkStart w:id="1877" w:name="_Toc3845"/>
      <w:bookmarkStart w:id="1878" w:name="_Toc490"/>
      <w:bookmarkStart w:id="1879" w:name="_Toc36654471"/>
      <w:bookmarkStart w:id="1880" w:name="_Toc5887"/>
      <w:bookmarkStart w:id="1881" w:name="_Toc18548"/>
      <w:bookmarkStart w:id="1882" w:name="_Toc12558"/>
      <w:bookmarkStart w:id="1883" w:name="_Toc11160"/>
      <w:bookmarkStart w:id="1884" w:name="_Toc22952"/>
      <w:bookmarkStart w:id="1885" w:name="_Toc22717"/>
      <w:bookmarkStart w:id="1886" w:name="_Toc19737"/>
      <w:r>
        <w:rPr>
          <w:rFonts w:hint="eastAsia" w:ascii="黑体" w:hAnsi="黑体" w:cs="黑体"/>
          <w:color w:val="auto"/>
          <w:kern w:val="44"/>
          <w:sz w:val="24"/>
          <w:szCs w:val="24"/>
          <w:highlight w:val="none"/>
        </w:rPr>
        <w:t>6.2物资管理</w:t>
      </w:r>
      <w:bookmarkEnd w:id="1844"/>
      <w:bookmarkEnd w:id="1845"/>
      <w:bookmarkEnd w:id="1846"/>
      <w:bookmarkEnd w:id="1847"/>
      <w:r>
        <w:rPr>
          <w:rFonts w:hint="eastAsia" w:ascii="黑体" w:hAnsi="黑体" w:cs="黑体"/>
          <w:color w:val="auto"/>
          <w:kern w:val="44"/>
          <w:sz w:val="24"/>
          <w:szCs w:val="24"/>
          <w:highlight w:val="none"/>
        </w:rPr>
        <w:t>考核</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比选申请人如借用比选人备件、材料及工具等没有归还，每月从应支付费用中罚扣相应备件、材料及工具金额的25%，直至归还。</w:t>
      </w:r>
    </w:p>
    <w:p>
      <w:pPr>
        <w:pStyle w:val="5"/>
        <w:spacing w:before="0" w:after="0" w:line="360" w:lineRule="auto"/>
        <w:jc w:val="left"/>
        <w:rPr>
          <w:rFonts w:ascii="黑体" w:hAnsi="黑体" w:cs="黑体"/>
          <w:color w:val="auto"/>
          <w:kern w:val="44"/>
          <w:sz w:val="24"/>
          <w:szCs w:val="24"/>
          <w:highlight w:val="none"/>
        </w:rPr>
      </w:pPr>
      <w:bookmarkStart w:id="1887" w:name="_Toc289"/>
      <w:bookmarkStart w:id="1888" w:name="_Toc26457062"/>
      <w:bookmarkStart w:id="1889" w:name="_Toc8629"/>
      <w:bookmarkStart w:id="1890" w:name="_Toc30441"/>
      <w:bookmarkStart w:id="1891" w:name="_Toc21131"/>
      <w:bookmarkStart w:id="1892" w:name="_Toc21226"/>
      <w:bookmarkStart w:id="1893" w:name="_Toc9324"/>
      <w:bookmarkStart w:id="1894" w:name="_Toc9090"/>
      <w:bookmarkStart w:id="1895" w:name="_Toc13781"/>
      <w:bookmarkStart w:id="1896" w:name="_Toc25906"/>
      <w:bookmarkStart w:id="1897" w:name="_Toc11631"/>
      <w:bookmarkStart w:id="1898" w:name="_Toc19050"/>
      <w:bookmarkStart w:id="1899" w:name="_Toc3686"/>
      <w:bookmarkStart w:id="1900" w:name="_Toc23545"/>
      <w:bookmarkStart w:id="1901" w:name="_Toc23810"/>
      <w:bookmarkStart w:id="1902" w:name="_Toc24660"/>
      <w:bookmarkStart w:id="1903" w:name="_Toc26642"/>
      <w:bookmarkStart w:id="1904" w:name="_Toc25911"/>
      <w:bookmarkStart w:id="1905" w:name="_Toc23676"/>
      <w:bookmarkStart w:id="1906" w:name="_Toc16687"/>
      <w:bookmarkStart w:id="1907" w:name="_Toc13873"/>
      <w:bookmarkStart w:id="1908" w:name="_Toc14205"/>
      <w:bookmarkStart w:id="1909" w:name="_Toc20415"/>
      <w:bookmarkStart w:id="1910" w:name="_Toc9995"/>
      <w:bookmarkStart w:id="1911" w:name="_Toc19648"/>
      <w:bookmarkStart w:id="1912" w:name="_Toc27572"/>
      <w:bookmarkStart w:id="1913" w:name="_Toc5490"/>
      <w:bookmarkStart w:id="1914" w:name="_Toc36653724"/>
      <w:bookmarkStart w:id="1915" w:name="_Toc26545"/>
      <w:bookmarkStart w:id="1916" w:name="_Toc2391"/>
      <w:bookmarkStart w:id="1917" w:name="_Toc22953"/>
      <w:bookmarkStart w:id="1918" w:name="_Toc712"/>
      <w:bookmarkStart w:id="1919" w:name="_Toc5376"/>
      <w:bookmarkStart w:id="1920" w:name="_Toc28349"/>
      <w:bookmarkStart w:id="1921" w:name="_Toc14609"/>
      <w:bookmarkStart w:id="1922" w:name="_Toc27773"/>
      <w:bookmarkStart w:id="1923" w:name="_Toc36654472"/>
      <w:bookmarkStart w:id="1924" w:name="_Toc15258"/>
      <w:bookmarkStart w:id="1925" w:name="_Toc22087"/>
      <w:bookmarkStart w:id="1926" w:name="_Toc30166"/>
      <w:r>
        <w:rPr>
          <w:rFonts w:hint="eastAsia" w:ascii="黑体" w:hAnsi="黑体" w:cs="黑体"/>
          <w:color w:val="auto"/>
          <w:kern w:val="44"/>
          <w:sz w:val="24"/>
          <w:szCs w:val="24"/>
          <w:highlight w:val="none"/>
        </w:rPr>
        <w:t>6.3工作纪律</w:t>
      </w:r>
      <w:bookmarkEnd w:id="1887"/>
      <w:bookmarkEnd w:id="1888"/>
      <w:bookmarkEnd w:id="1889"/>
      <w:bookmarkEnd w:id="1890"/>
      <w:r>
        <w:rPr>
          <w:rFonts w:hint="eastAsia" w:ascii="黑体" w:hAnsi="黑体" w:cs="黑体"/>
          <w:color w:val="auto"/>
          <w:kern w:val="44"/>
          <w:sz w:val="24"/>
          <w:szCs w:val="24"/>
          <w:highlight w:val="none"/>
        </w:rPr>
        <w:t>考核</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6.3.1比选申请人未按规定时间完成“四害”消杀服务或每轮次施工完成后，如仍有虫害密度过高的情况，应补充施工一轮次，直至达到验收标准为止。</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6.3.2由比选申请人工作失误造成设备及其附件故障的，比选申请人负责按比选人要求的时间内修复并承担相应费用。因该故障导致比选人监管部门受到上级考核的，比选申请人需向比选人扣除违约金1000元/次；对运营造成影响的，比选人按5000元/次对比选申请人进行处罚，并有权根据该故障影响程度追加处罚。</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6.3.3因比选申请人原因造成比选人或第三方财产或人身损害的，比选申请人除负责赔偿责任外，尚需向比选人赔付由比选人依据安全事故的性质，受伤的人数，受伤害的程度以及比选人的名誉、形象受损的范围和程度等确定的费用，并承担比选人因此发生的诉讼费、律师费等一切费用。</w:t>
      </w:r>
    </w:p>
    <w:p>
      <w:pPr>
        <w:pStyle w:val="5"/>
        <w:spacing w:before="0" w:after="0" w:line="360" w:lineRule="auto"/>
        <w:jc w:val="left"/>
        <w:rPr>
          <w:rFonts w:ascii="黑体" w:hAnsi="黑体" w:cs="黑体"/>
          <w:color w:val="auto"/>
          <w:kern w:val="44"/>
          <w:sz w:val="24"/>
          <w:szCs w:val="24"/>
          <w:highlight w:val="none"/>
        </w:rPr>
      </w:pPr>
      <w:bookmarkStart w:id="1927" w:name="_Toc36653725"/>
      <w:bookmarkStart w:id="1928" w:name="_Toc31742"/>
      <w:bookmarkStart w:id="1929" w:name="_Toc12251"/>
      <w:bookmarkStart w:id="1930" w:name="_Toc36654473"/>
      <w:bookmarkStart w:id="1931" w:name="_Toc18865"/>
      <w:bookmarkStart w:id="1932" w:name="_Toc19581"/>
      <w:bookmarkStart w:id="1933" w:name="_Toc26635"/>
      <w:bookmarkStart w:id="1934" w:name="_Toc31640"/>
      <w:bookmarkStart w:id="1935" w:name="_Toc17959"/>
      <w:bookmarkStart w:id="1936" w:name="_Toc21629"/>
      <w:bookmarkStart w:id="1937" w:name="_Toc19391"/>
      <w:bookmarkStart w:id="1938" w:name="_Toc21262"/>
      <w:bookmarkStart w:id="1939" w:name="_Toc9946"/>
      <w:bookmarkStart w:id="1940" w:name="_Toc9813"/>
      <w:bookmarkStart w:id="1941" w:name="_Toc18321"/>
      <w:bookmarkStart w:id="1942" w:name="_Toc25810"/>
      <w:bookmarkStart w:id="1943" w:name="_Toc8043"/>
      <w:bookmarkStart w:id="1944" w:name="_Toc23133"/>
      <w:bookmarkStart w:id="1945" w:name="_Toc23188"/>
      <w:bookmarkStart w:id="1946" w:name="_Toc31401"/>
      <w:bookmarkStart w:id="1947" w:name="_Toc7245"/>
      <w:bookmarkStart w:id="1948" w:name="_Toc20538"/>
      <w:bookmarkStart w:id="1949" w:name="_Toc22347"/>
      <w:bookmarkStart w:id="1950" w:name="_Toc30471"/>
      <w:bookmarkStart w:id="1951" w:name="_Toc3634"/>
      <w:bookmarkStart w:id="1952" w:name="_Toc12946"/>
      <w:bookmarkStart w:id="1953" w:name="_Toc19150"/>
      <w:bookmarkStart w:id="1954" w:name="_Toc23661"/>
      <w:bookmarkStart w:id="1955" w:name="_Toc3871"/>
      <w:bookmarkStart w:id="1956" w:name="_Toc5729"/>
      <w:bookmarkStart w:id="1957" w:name="_Toc16701"/>
      <w:bookmarkStart w:id="1958" w:name="_Toc7872"/>
      <w:bookmarkStart w:id="1959" w:name="_Toc26265"/>
      <w:bookmarkStart w:id="1960" w:name="_Toc22919"/>
      <w:bookmarkStart w:id="1961" w:name="_Toc23375"/>
      <w:bookmarkStart w:id="1962" w:name="_Toc25059"/>
      <w:bookmarkStart w:id="1963" w:name="_Toc5664"/>
      <w:r>
        <w:rPr>
          <w:rFonts w:hint="eastAsia" w:ascii="黑体" w:hAnsi="黑体" w:cs="黑体"/>
          <w:color w:val="auto"/>
          <w:kern w:val="44"/>
          <w:sz w:val="24"/>
          <w:szCs w:val="24"/>
          <w:highlight w:val="none"/>
        </w:rPr>
        <w:t>6.4其他考核</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6.4.1比选申请人违反国家、行业各类管理规定及法律法规（以国家最新规定为准，比选人不负责通知），扣除比选申请人当期合同款5000元/次。造成比选人的其他损失，比选人还将向比选申请人索赔。除非比选申请人有充分证据证明以上事件与自身无关，否则无条件承担上述责任。</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6.4.2若比选申请人不按合同履行职责，比选人有权撤销同比选申请人合同关系；比选申请人须补偿比选人的损失，并且比选人有权扣除应支付给比选申请人的费用作为处罚。</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6.4.3比选申请人应保证提供真实可靠的评估资料，违反规定存在</w:t>
      </w:r>
      <w:r>
        <w:rPr>
          <w:rFonts w:hint="eastAsia" w:ascii="宋体" w:hAnsi="宋体" w:cs="宋体"/>
          <w:color w:val="auto"/>
          <w:szCs w:val="21"/>
          <w:highlight w:val="none"/>
          <w:lang w:eastAsia="zh-CN"/>
        </w:rPr>
        <w:t>作假</w:t>
      </w:r>
      <w:r>
        <w:rPr>
          <w:rFonts w:hint="eastAsia" w:ascii="宋体" w:hAnsi="宋体" w:cs="宋体"/>
          <w:color w:val="auto"/>
          <w:szCs w:val="21"/>
          <w:highlight w:val="none"/>
        </w:rPr>
        <w:t>行为，则扣除比选申请人当期合同款1000元/次，若比选申请人不改正，比选人可终止合同关系并追究相关责任。</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6.4.4比选申请人违反比选人各类安全、生产管理规定（以地铁最新规定为准，比选人负责通知），比选人可扣除比选申请人当期合同款2000元/次。</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6.4.5 比选申请人须提供符合税务部门规定的，合法有效的发票，由于比选申请人提供的发票不符合税务部门的要求，从而给比选人造成的经济损失，由比选申请人负责赔偿。</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6.4.6 比选申请人须严格遵守比选人保密制度，出现泄密行为将按签订的保密协议条款处理。</w:t>
      </w:r>
    </w:p>
    <w:p>
      <w:pPr>
        <w:pStyle w:val="74"/>
        <w:spacing w:line="360" w:lineRule="auto"/>
        <w:rPr>
          <w:rFonts w:ascii="宋体" w:hAnsi="宋体" w:cs="宋体"/>
          <w:color w:val="auto"/>
          <w:szCs w:val="21"/>
          <w:highlight w:val="none"/>
        </w:rPr>
      </w:pPr>
      <w:r>
        <w:rPr>
          <w:rFonts w:ascii="宋体" w:hAnsi="宋体" w:cs="宋体"/>
          <w:color w:val="auto"/>
          <w:szCs w:val="21"/>
          <w:highlight w:val="none"/>
        </w:rPr>
        <w:t>6.4.</w:t>
      </w:r>
      <w:r>
        <w:rPr>
          <w:rFonts w:hint="eastAsia" w:ascii="宋体" w:hAnsi="宋体" w:cs="宋体"/>
          <w:color w:val="auto"/>
          <w:szCs w:val="21"/>
          <w:highlight w:val="none"/>
        </w:rPr>
        <w:t>7</w:t>
      </w:r>
      <w:r>
        <w:rPr>
          <w:rFonts w:ascii="宋体" w:hAnsi="宋体" w:cs="宋体"/>
          <w:color w:val="auto"/>
          <w:szCs w:val="21"/>
          <w:highlight w:val="none"/>
        </w:rPr>
        <w:t xml:space="preserve"> 合同违约处罚通知单详见附件《合同违约处罚通知单》</w:t>
      </w:r>
      <w:bookmarkStart w:id="1964" w:name="_Toc28350"/>
      <w:bookmarkStart w:id="1965" w:name="_Toc26387"/>
      <w:bookmarkStart w:id="1966" w:name="_Toc7200"/>
      <w:bookmarkStart w:id="1967" w:name="_Toc25303"/>
      <w:bookmarkStart w:id="1968" w:name="_Toc21992"/>
      <w:bookmarkStart w:id="1969" w:name="_Toc14756"/>
      <w:bookmarkStart w:id="1970" w:name="_Toc9378"/>
    </w:p>
    <w:p>
      <w:pPr>
        <w:pStyle w:val="74"/>
        <w:spacing w:line="360" w:lineRule="auto"/>
        <w:ind w:firstLine="0" w:firstLineChars="0"/>
        <w:rPr>
          <w:rStyle w:val="78"/>
          <w:rFonts w:ascii="宋体" w:hAnsi="宋体"/>
          <w:color w:val="auto"/>
          <w:szCs w:val="21"/>
          <w:highlight w:val="none"/>
        </w:rPr>
      </w:pPr>
      <w:r>
        <w:rPr>
          <w:rFonts w:hint="eastAsia" w:ascii="黑体" w:hAnsi="黑体" w:eastAsia="黑体" w:cs="黑体"/>
          <w:b/>
          <w:color w:val="auto"/>
          <w:kern w:val="44"/>
          <w:sz w:val="24"/>
          <w:szCs w:val="24"/>
          <w:highlight w:val="none"/>
        </w:rPr>
        <w:t>7验收要求</w:t>
      </w:r>
      <w:bookmarkEnd w:id="1964"/>
      <w:bookmarkEnd w:id="1965"/>
      <w:bookmarkEnd w:id="1966"/>
      <w:bookmarkEnd w:id="1967"/>
      <w:bookmarkEnd w:id="1968"/>
      <w:bookmarkEnd w:id="1969"/>
      <w:bookmarkEnd w:id="1970"/>
    </w:p>
    <w:p>
      <w:pPr>
        <w:pStyle w:val="74"/>
        <w:spacing w:line="360" w:lineRule="auto"/>
        <w:ind w:left="420" w:firstLine="0" w:firstLineChars="0"/>
        <w:rPr>
          <w:rStyle w:val="78"/>
          <w:rFonts w:hint="eastAsia" w:ascii="宋体" w:hAnsi="宋体"/>
          <w:color w:val="auto"/>
          <w:szCs w:val="21"/>
          <w:highlight w:val="none"/>
          <w:lang w:val="en-US" w:eastAsia="zh-CN"/>
        </w:rPr>
      </w:pPr>
      <w:r>
        <w:rPr>
          <w:rStyle w:val="78"/>
          <w:rFonts w:hint="eastAsia" w:ascii="宋体" w:hAnsi="宋体"/>
          <w:color w:val="auto"/>
          <w:szCs w:val="21"/>
          <w:highlight w:val="none"/>
        </w:rPr>
        <w:t>7.1需要提供食堂名称、消杀时间、消杀过程图片作为附件留底。</w:t>
      </w:r>
      <w:r>
        <w:rPr>
          <w:rStyle w:val="78"/>
          <w:rFonts w:hint="eastAsia" w:ascii="宋体" w:hAnsi="宋体"/>
          <w:color w:val="auto"/>
          <w:szCs w:val="21"/>
          <w:highlight w:val="none"/>
          <w:lang w:val="en-US" w:eastAsia="zh-CN"/>
        </w:rPr>
        <w:t>消杀过程图表如下表：</w:t>
      </w: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r>
        <w:rPr>
          <w:rStyle w:val="78"/>
          <w:rFonts w:hint="eastAsia" w:ascii="宋体" w:hAnsi="宋体"/>
          <w:color w:val="auto"/>
          <w:szCs w:val="21"/>
          <w:highlight w:val="none"/>
          <w:lang w:val="en-US" w:eastAsia="zh-CN"/>
        </w:rPr>
        <w:t>7.1.1消杀过程图表</w:t>
      </w:r>
    </w:p>
    <w:tbl>
      <w:tblPr>
        <w:tblStyle w:val="27"/>
        <w:tblW w:w="9772"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5"/>
        <w:gridCol w:w="1271"/>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2" w:type="dxa"/>
            <w:gridSpan w:val="3"/>
          </w:tcPr>
          <w:p>
            <w:pPr>
              <w:pStyle w:val="74"/>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南宁轨道</w:t>
            </w:r>
            <w:r>
              <w:rPr>
                <w:rFonts w:hint="eastAsia" w:ascii="宋体" w:hAnsi="宋体" w:cs="宋体"/>
                <w:color w:val="auto"/>
                <w:szCs w:val="21"/>
                <w:highlight w:val="none"/>
                <w:lang w:eastAsia="zh-CN"/>
              </w:rPr>
              <w:t>交通运营有限公司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vAlign w:val="center"/>
          </w:tcPr>
          <w:p>
            <w:pPr>
              <w:pStyle w:val="74"/>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食堂名称</w:t>
            </w:r>
          </w:p>
        </w:tc>
        <w:tc>
          <w:tcPr>
            <w:tcW w:w="6157" w:type="dxa"/>
            <w:gridSpan w:val="2"/>
            <w:vAlign w:val="center"/>
          </w:tcPr>
          <w:p>
            <w:pPr>
              <w:pStyle w:val="74"/>
              <w:spacing w:line="360"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vAlign w:val="center"/>
          </w:tcPr>
          <w:p>
            <w:pPr>
              <w:pStyle w:val="74"/>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消杀时间</w:t>
            </w:r>
          </w:p>
        </w:tc>
        <w:tc>
          <w:tcPr>
            <w:tcW w:w="6157" w:type="dxa"/>
            <w:gridSpan w:val="2"/>
            <w:vAlign w:val="center"/>
          </w:tcPr>
          <w:p>
            <w:pPr>
              <w:pStyle w:val="74"/>
              <w:spacing w:line="360"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2" w:type="dxa"/>
            <w:gridSpan w:val="3"/>
            <w:vAlign w:val="center"/>
          </w:tcPr>
          <w:p>
            <w:pPr>
              <w:pStyle w:val="74"/>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消杀过程图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trPr>
        <w:tc>
          <w:tcPr>
            <w:tcW w:w="4886" w:type="dxa"/>
            <w:gridSpan w:val="2"/>
          </w:tcPr>
          <w:p>
            <w:pPr>
              <w:spacing w:line="220" w:lineRule="atLeast"/>
              <w:jc w:val="center"/>
              <w:rPr>
                <w:color w:val="auto"/>
                <w:sz w:val="36"/>
                <w:szCs w:val="36"/>
                <w:highlight w:val="none"/>
                <w:vertAlign w:val="baseline"/>
              </w:rPr>
            </w:pPr>
          </w:p>
        </w:tc>
        <w:tc>
          <w:tcPr>
            <w:tcW w:w="4886" w:type="dxa"/>
          </w:tcPr>
          <w:p>
            <w:pPr>
              <w:spacing w:line="220" w:lineRule="atLeast"/>
              <w:jc w:val="center"/>
              <w:rPr>
                <w:color w:val="auto"/>
                <w:sz w:val="36"/>
                <w:szCs w:val="36"/>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trPr>
        <w:tc>
          <w:tcPr>
            <w:tcW w:w="4886" w:type="dxa"/>
            <w:gridSpan w:val="2"/>
          </w:tcPr>
          <w:p>
            <w:pPr>
              <w:spacing w:line="220" w:lineRule="atLeast"/>
              <w:jc w:val="center"/>
              <w:rPr>
                <w:color w:val="auto"/>
                <w:sz w:val="36"/>
                <w:szCs w:val="36"/>
                <w:highlight w:val="none"/>
                <w:vertAlign w:val="baseline"/>
              </w:rPr>
            </w:pPr>
          </w:p>
        </w:tc>
        <w:tc>
          <w:tcPr>
            <w:tcW w:w="4886" w:type="dxa"/>
          </w:tcPr>
          <w:p>
            <w:pPr>
              <w:spacing w:line="220" w:lineRule="atLeast"/>
              <w:jc w:val="center"/>
              <w:rPr>
                <w:color w:val="auto"/>
                <w:sz w:val="36"/>
                <w:szCs w:val="36"/>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4" w:hRule="atLeast"/>
        </w:trPr>
        <w:tc>
          <w:tcPr>
            <w:tcW w:w="4886" w:type="dxa"/>
            <w:gridSpan w:val="2"/>
          </w:tcPr>
          <w:p>
            <w:pPr>
              <w:spacing w:line="220" w:lineRule="atLeast"/>
              <w:jc w:val="center"/>
              <w:rPr>
                <w:color w:val="auto"/>
                <w:sz w:val="36"/>
                <w:szCs w:val="36"/>
                <w:highlight w:val="none"/>
                <w:vertAlign w:val="baseline"/>
              </w:rPr>
            </w:pPr>
          </w:p>
        </w:tc>
        <w:tc>
          <w:tcPr>
            <w:tcW w:w="4886" w:type="dxa"/>
          </w:tcPr>
          <w:p>
            <w:pPr>
              <w:spacing w:line="220" w:lineRule="atLeast"/>
              <w:jc w:val="center"/>
              <w:rPr>
                <w:color w:val="auto"/>
                <w:sz w:val="36"/>
                <w:szCs w:val="36"/>
                <w:highlight w:val="none"/>
                <w:vertAlign w:val="baseline"/>
              </w:rPr>
            </w:pPr>
          </w:p>
        </w:tc>
      </w:tr>
    </w:tbl>
    <w:p>
      <w:pPr>
        <w:pStyle w:val="74"/>
        <w:spacing w:line="360" w:lineRule="auto"/>
        <w:ind w:left="0" w:leftChars="0" w:firstLine="0" w:firstLineChars="0"/>
        <w:rPr>
          <w:rStyle w:val="78"/>
          <w:rFonts w:hint="eastAsia" w:ascii="宋体" w:hAnsi="宋体"/>
          <w:color w:val="auto"/>
          <w:szCs w:val="21"/>
          <w:highlight w:val="none"/>
        </w:rPr>
      </w:pPr>
    </w:p>
    <w:p>
      <w:pPr>
        <w:pStyle w:val="74"/>
        <w:spacing w:line="360" w:lineRule="auto"/>
        <w:ind w:left="0" w:leftChars="0" w:firstLine="0" w:firstLineChars="0"/>
        <w:rPr>
          <w:rStyle w:val="78"/>
          <w:rFonts w:hint="eastAsia" w:ascii="宋体" w:hAnsi="宋体"/>
          <w:color w:val="auto"/>
          <w:szCs w:val="21"/>
          <w:highlight w:val="none"/>
        </w:rPr>
      </w:pPr>
    </w:p>
    <w:p>
      <w:pPr>
        <w:pStyle w:val="74"/>
        <w:spacing w:line="360" w:lineRule="auto"/>
        <w:ind w:left="0" w:leftChars="0" w:firstLine="0" w:firstLineChars="0"/>
        <w:rPr>
          <w:rStyle w:val="78"/>
          <w:rFonts w:hint="eastAsia" w:ascii="宋体" w:hAnsi="宋体"/>
          <w:color w:val="auto"/>
          <w:szCs w:val="21"/>
          <w:highlight w:val="none"/>
          <w:lang w:val="en-US" w:eastAsia="zh-CN"/>
        </w:rPr>
      </w:pPr>
      <w:r>
        <w:rPr>
          <w:rStyle w:val="78"/>
          <w:rFonts w:hint="eastAsia" w:ascii="宋体" w:hAnsi="宋体"/>
          <w:color w:val="auto"/>
          <w:szCs w:val="21"/>
          <w:highlight w:val="none"/>
        </w:rPr>
        <w:t>7.2消杀结束后一周内进行验收</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lang w:val="en-US" w:eastAsia="zh-CN"/>
        </w:rPr>
        <w:t>如出现鼠、蚊、蝇、蟑验收项目其中任何一项不合格，需要在次日尽快安排免费消杀一轮次，待消杀后一周内再次进行复验，如验收合格，本次消杀工作为合格且完成，如验收不合格，继续免费消杀，直至验收合格为止。</w:t>
      </w:r>
      <w:r>
        <w:rPr>
          <w:rStyle w:val="78"/>
          <w:rFonts w:hint="eastAsia" w:ascii="宋体" w:hAnsi="宋体"/>
          <w:color w:val="auto"/>
          <w:szCs w:val="21"/>
          <w:highlight w:val="none"/>
        </w:rPr>
        <w:t>验收表如</w:t>
      </w:r>
      <w:r>
        <w:rPr>
          <w:rStyle w:val="78"/>
          <w:rFonts w:hint="eastAsia" w:ascii="宋体" w:hAnsi="宋体"/>
          <w:color w:val="auto"/>
          <w:szCs w:val="21"/>
          <w:highlight w:val="none"/>
          <w:lang w:val="en-US" w:eastAsia="zh-CN"/>
        </w:rPr>
        <w:t>下表</w:t>
      </w:r>
      <w:r>
        <w:rPr>
          <w:rStyle w:val="78"/>
          <w:rFonts w:hint="eastAsia" w:ascii="宋体" w:hAnsi="宋体"/>
          <w:color w:val="auto"/>
          <w:szCs w:val="21"/>
          <w:highlight w:val="none"/>
        </w:rPr>
        <w:t>：</w:t>
      </w:r>
    </w:p>
    <w:p>
      <w:pPr>
        <w:pStyle w:val="74"/>
        <w:spacing w:line="360" w:lineRule="auto"/>
        <w:ind w:left="0" w:leftChars="0" w:firstLine="0" w:firstLineChars="0"/>
        <w:rPr>
          <w:rStyle w:val="78"/>
          <w:rFonts w:hint="eastAsia" w:ascii="宋体" w:hAnsi="宋体"/>
          <w:color w:val="auto"/>
          <w:szCs w:val="21"/>
          <w:highlight w:val="none"/>
        </w:rPr>
      </w:pPr>
      <w:r>
        <w:rPr>
          <w:rStyle w:val="78"/>
          <w:rFonts w:hint="eastAsia" w:ascii="宋体" w:hAnsi="宋体"/>
          <w:color w:val="auto"/>
          <w:szCs w:val="21"/>
          <w:highlight w:val="none"/>
          <w:lang w:val="en-US" w:eastAsia="zh-CN"/>
        </w:rPr>
        <w:t>7.2.1消杀验收表</w:t>
      </w:r>
    </w:p>
    <w:p>
      <w:pPr>
        <w:pStyle w:val="74"/>
        <w:spacing w:line="360" w:lineRule="auto"/>
        <w:ind w:left="420" w:firstLine="0" w:firstLineChars="0"/>
        <w:rPr>
          <w:rStyle w:val="78"/>
          <w:rFonts w:ascii="宋体" w:hAnsi="宋体"/>
          <w:color w:val="auto"/>
          <w:szCs w:val="21"/>
          <w:highlight w:val="none"/>
        </w:rPr>
      </w:pPr>
    </w:p>
    <w:p>
      <w:pPr>
        <w:pStyle w:val="2"/>
        <w:rPr>
          <w:color w:val="auto"/>
          <w:highlight w:val="none"/>
        </w:rPr>
      </w:pPr>
    </w:p>
    <w:tbl>
      <w:tblPr>
        <w:tblStyle w:val="27"/>
        <w:tblpPr w:leftFromText="180" w:rightFromText="180" w:vertAnchor="page" w:horzAnchor="page" w:tblpX="1237" w:tblpY="2261"/>
        <w:tblOverlap w:val="never"/>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533"/>
        <w:gridCol w:w="1034"/>
        <w:gridCol w:w="1868"/>
        <w:gridCol w:w="945"/>
        <w:gridCol w:w="720"/>
        <w:gridCol w:w="275"/>
        <w:gridCol w:w="103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690" w:type="dxa"/>
            <w:gridSpan w:val="9"/>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员工食堂除“四害”消杀验收表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972" w:type="dxa"/>
            <w:gridSpan w:val="3"/>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食堂名称</w:t>
            </w:r>
          </w:p>
        </w:tc>
        <w:tc>
          <w:tcPr>
            <w:tcW w:w="2813" w:type="dxa"/>
            <w:gridSpan w:val="2"/>
            <w:vAlign w:val="center"/>
          </w:tcPr>
          <w:p>
            <w:pPr>
              <w:jc w:val="center"/>
              <w:rPr>
                <w:rFonts w:ascii="宋体" w:hAnsi="宋体" w:cs="宋体"/>
                <w:color w:val="auto"/>
                <w:szCs w:val="21"/>
                <w:highlight w:val="none"/>
              </w:rPr>
            </w:pPr>
          </w:p>
        </w:tc>
        <w:tc>
          <w:tcPr>
            <w:tcW w:w="2030" w:type="dxa"/>
            <w:gridSpan w:val="3"/>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消杀时间</w:t>
            </w:r>
          </w:p>
        </w:tc>
        <w:tc>
          <w:tcPr>
            <w:tcW w:w="1875"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85" w:type="dxa"/>
            <w:gridSpan w:val="5"/>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验收项目</w:t>
            </w:r>
          </w:p>
        </w:tc>
        <w:tc>
          <w:tcPr>
            <w:tcW w:w="995"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合格（是）</w:t>
            </w:r>
          </w:p>
        </w:tc>
        <w:tc>
          <w:tcPr>
            <w:tcW w:w="103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不合格（否）</w:t>
            </w:r>
          </w:p>
        </w:tc>
        <w:tc>
          <w:tcPr>
            <w:tcW w:w="187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备注</w:t>
            </w:r>
          </w:p>
          <w:p>
            <w:pPr>
              <w:jc w:val="center"/>
              <w:rPr>
                <w:rFonts w:ascii="宋体" w:hAnsi="宋体" w:cs="宋体"/>
                <w:color w:val="auto"/>
                <w:szCs w:val="21"/>
                <w:highlight w:val="none"/>
              </w:rPr>
            </w:pPr>
            <w:r>
              <w:rPr>
                <w:rFonts w:hint="eastAsia" w:ascii="宋体" w:hAnsi="宋体" w:cs="宋体"/>
                <w:color w:val="auto"/>
                <w:szCs w:val="21"/>
                <w:highlight w:val="none"/>
              </w:rPr>
              <w:t>（不合格情况）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405"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灭鼠后验收方法</w:t>
            </w: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室外：鼠药（毒鼠屋内有新鲜鼠药、周边无散落的鼠药），绕食堂外转100米，鼠迹（鼠洞、鼠粪、鼠咬痕等）不超过3处。</w:t>
            </w:r>
          </w:p>
        </w:tc>
        <w:tc>
          <w:tcPr>
            <w:tcW w:w="995" w:type="dxa"/>
            <w:gridSpan w:val="2"/>
          </w:tcPr>
          <w:p>
            <w:pPr>
              <w:rPr>
                <w:rFonts w:ascii="宋体" w:hAnsi="宋体" w:cs="宋体"/>
                <w:color w:val="auto"/>
                <w:szCs w:val="21"/>
                <w:highlight w:val="none"/>
              </w:rPr>
            </w:pPr>
          </w:p>
        </w:tc>
        <w:tc>
          <w:tcPr>
            <w:tcW w:w="1035" w:type="dxa"/>
          </w:tcPr>
          <w:p>
            <w:pPr>
              <w:rPr>
                <w:rFonts w:ascii="宋体" w:hAnsi="宋体" w:cs="宋体"/>
                <w:color w:val="auto"/>
                <w:szCs w:val="21"/>
                <w:highlight w:val="none"/>
              </w:rPr>
            </w:pPr>
          </w:p>
        </w:tc>
        <w:tc>
          <w:tcPr>
            <w:tcW w:w="1875"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05" w:type="dxa"/>
            <w:vMerge w:val="continue"/>
            <w:vAlign w:val="center"/>
          </w:tcPr>
          <w:p>
            <w:pPr>
              <w:jc w:val="center"/>
              <w:rPr>
                <w:rFonts w:ascii="宋体" w:hAnsi="宋体" w:cs="宋体"/>
                <w:color w:val="auto"/>
                <w:szCs w:val="21"/>
                <w:highlight w:val="none"/>
              </w:rPr>
            </w:pP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室内：抽查5个房间（每15</w:t>
            </w:r>
            <w:r>
              <w:rPr>
                <w:rFonts w:hint="eastAsia" w:ascii="宋体" w:hAnsi="宋体" w:cs="宋体"/>
                <w:color w:val="auto"/>
                <w:szCs w:val="21"/>
                <w:highlight w:val="none"/>
                <w:u w:val="none"/>
                <w:lang w:val="en-US" w:eastAsia="zh-CN"/>
              </w:rPr>
              <w:t>平方米</w:t>
            </w:r>
            <w:r>
              <w:rPr>
                <w:rFonts w:hint="eastAsia" w:ascii="宋体" w:hAnsi="宋体" w:cs="宋体"/>
                <w:color w:val="auto"/>
                <w:szCs w:val="21"/>
                <w:highlight w:val="none"/>
              </w:rPr>
              <w:t>为1间房）鼠迹不超过（鼠洞、鼠粪、鼠咬痕等）2处。</w:t>
            </w:r>
          </w:p>
        </w:tc>
        <w:tc>
          <w:tcPr>
            <w:tcW w:w="995" w:type="dxa"/>
            <w:gridSpan w:val="2"/>
          </w:tcPr>
          <w:p>
            <w:pPr>
              <w:rPr>
                <w:rFonts w:hint="default" w:ascii="宋体" w:hAnsi="宋体" w:cs="宋体"/>
                <w:color w:val="auto"/>
                <w:szCs w:val="21"/>
                <w:highlight w:val="none"/>
              </w:rPr>
            </w:pPr>
          </w:p>
        </w:tc>
        <w:tc>
          <w:tcPr>
            <w:tcW w:w="1035" w:type="dxa"/>
          </w:tcPr>
          <w:p>
            <w:pPr>
              <w:rPr>
                <w:rFonts w:ascii="宋体" w:hAnsi="宋体" w:cs="宋体"/>
                <w:color w:val="auto"/>
                <w:szCs w:val="21"/>
                <w:highlight w:val="none"/>
              </w:rPr>
            </w:pPr>
          </w:p>
        </w:tc>
        <w:tc>
          <w:tcPr>
            <w:tcW w:w="1875"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0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灭蚊后验收方法</w:t>
            </w: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室内外：停留5分钟，蚊子叮咬不超过2只。外围积水无蚊子孳生地（积水内看不见蚊子幼虫）。</w:t>
            </w:r>
          </w:p>
        </w:tc>
        <w:tc>
          <w:tcPr>
            <w:tcW w:w="995" w:type="dxa"/>
            <w:gridSpan w:val="2"/>
          </w:tcPr>
          <w:p>
            <w:pPr>
              <w:rPr>
                <w:rFonts w:ascii="宋体" w:hAnsi="宋体" w:cs="宋体"/>
                <w:color w:val="auto"/>
                <w:szCs w:val="21"/>
                <w:highlight w:val="none"/>
              </w:rPr>
            </w:pPr>
          </w:p>
        </w:tc>
        <w:tc>
          <w:tcPr>
            <w:tcW w:w="1035" w:type="dxa"/>
          </w:tcPr>
          <w:p>
            <w:pPr>
              <w:rPr>
                <w:rFonts w:ascii="宋体" w:hAnsi="宋体" w:cs="宋体"/>
                <w:color w:val="auto"/>
                <w:szCs w:val="21"/>
                <w:highlight w:val="none"/>
              </w:rPr>
            </w:pPr>
          </w:p>
        </w:tc>
        <w:tc>
          <w:tcPr>
            <w:tcW w:w="1875"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05"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灭蝇后验收方法</w:t>
            </w: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室外：水沟、垃圾桶周边无苍蝇孳生地（水沟内壁、垃圾桶底及周边无肉眼可见的幼蛆）。</w:t>
            </w:r>
          </w:p>
        </w:tc>
        <w:tc>
          <w:tcPr>
            <w:tcW w:w="995" w:type="dxa"/>
            <w:gridSpan w:val="2"/>
          </w:tcPr>
          <w:p>
            <w:pPr>
              <w:rPr>
                <w:rFonts w:ascii="宋体" w:hAnsi="宋体" w:cs="宋体"/>
                <w:color w:val="auto"/>
                <w:szCs w:val="21"/>
                <w:highlight w:val="none"/>
              </w:rPr>
            </w:pPr>
          </w:p>
        </w:tc>
        <w:tc>
          <w:tcPr>
            <w:tcW w:w="1035" w:type="dxa"/>
          </w:tcPr>
          <w:p>
            <w:pPr>
              <w:rPr>
                <w:rFonts w:ascii="宋体" w:hAnsi="宋体" w:cs="宋体"/>
                <w:color w:val="auto"/>
                <w:szCs w:val="21"/>
                <w:highlight w:val="none"/>
              </w:rPr>
            </w:pPr>
          </w:p>
        </w:tc>
        <w:tc>
          <w:tcPr>
            <w:tcW w:w="1875"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405" w:type="dxa"/>
            <w:vMerge w:val="continue"/>
            <w:vAlign w:val="center"/>
          </w:tcPr>
          <w:p>
            <w:pPr>
              <w:jc w:val="center"/>
              <w:rPr>
                <w:rFonts w:ascii="宋体" w:hAnsi="宋体" w:cs="宋体"/>
                <w:color w:val="auto"/>
                <w:szCs w:val="21"/>
                <w:highlight w:val="none"/>
              </w:rPr>
            </w:pPr>
          </w:p>
        </w:tc>
        <w:tc>
          <w:tcPr>
            <w:tcW w:w="4380" w:type="dxa"/>
            <w:gridSpan w:val="4"/>
            <w:vAlign w:val="top"/>
          </w:tcPr>
          <w:p>
            <w:pPr>
              <w:pStyle w:val="74"/>
              <w:spacing w:line="360" w:lineRule="auto"/>
              <w:ind w:firstLine="0" w:firstLineChars="0"/>
              <w:jc w:val="both"/>
              <w:rPr>
                <w:rFonts w:ascii="宋体" w:hAnsi="宋体" w:cs="宋体"/>
                <w:color w:val="auto"/>
                <w:szCs w:val="21"/>
                <w:highlight w:val="none"/>
              </w:rPr>
            </w:pPr>
            <w:r>
              <w:rPr>
                <w:rFonts w:hint="eastAsia" w:ascii="宋体" w:hAnsi="宋体" w:cs="宋体"/>
                <w:color w:val="auto"/>
                <w:szCs w:val="21"/>
                <w:highlight w:val="none"/>
              </w:rPr>
              <w:t>室内：抽查5个房间（每15</w:t>
            </w:r>
            <w:r>
              <w:rPr>
                <w:rFonts w:hint="eastAsia" w:ascii="宋体" w:hAnsi="宋体" w:cs="宋体"/>
                <w:color w:val="auto"/>
                <w:szCs w:val="21"/>
                <w:highlight w:val="none"/>
                <w:lang w:val="en-US" w:eastAsia="zh-CN"/>
              </w:rPr>
              <w:t>平方米</w:t>
            </w:r>
            <w:r>
              <w:rPr>
                <w:rFonts w:hint="eastAsia" w:ascii="宋体" w:hAnsi="宋体" w:cs="宋体"/>
                <w:color w:val="auto"/>
                <w:szCs w:val="21"/>
                <w:highlight w:val="none"/>
              </w:rPr>
              <w:t>为1间房）肉眼发现苍蝇不超过2只。</w:t>
            </w:r>
          </w:p>
        </w:tc>
        <w:tc>
          <w:tcPr>
            <w:tcW w:w="995" w:type="dxa"/>
            <w:gridSpan w:val="2"/>
          </w:tcPr>
          <w:p>
            <w:pPr>
              <w:pStyle w:val="22"/>
              <w:spacing w:before="0" w:beforeAutospacing="0" w:after="0" w:afterAutospacing="0" w:line="360" w:lineRule="auto"/>
              <w:ind w:right="-89"/>
              <w:rPr>
                <w:color w:val="auto"/>
                <w:kern w:val="2"/>
                <w:sz w:val="21"/>
                <w:szCs w:val="21"/>
                <w:highlight w:val="none"/>
              </w:rPr>
            </w:pPr>
          </w:p>
        </w:tc>
        <w:tc>
          <w:tcPr>
            <w:tcW w:w="1035" w:type="dxa"/>
          </w:tcPr>
          <w:p>
            <w:pPr>
              <w:pStyle w:val="22"/>
              <w:spacing w:before="0" w:beforeAutospacing="0" w:after="0" w:afterAutospacing="0" w:line="360" w:lineRule="auto"/>
              <w:ind w:right="-89"/>
              <w:rPr>
                <w:color w:val="auto"/>
                <w:kern w:val="2"/>
                <w:sz w:val="21"/>
                <w:szCs w:val="21"/>
                <w:highlight w:val="none"/>
              </w:rPr>
            </w:pPr>
          </w:p>
        </w:tc>
        <w:tc>
          <w:tcPr>
            <w:tcW w:w="1875" w:type="dxa"/>
          </w:tcPr>
          <w:p>
            <w:pPr>
              <w:pStyle w:val="22"/>
              <w:spacing w:before="0" w:beforeAutospacing="0" w:after="0" w:afterAutospacing="0" w:line="360" w:lineRule="auto"/>
              <w:ind w:right="-89"/>
              <w:rPr>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405"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灭蟑后验收方法</w:t>
            </w: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室外：化粪池、隔油池等下水井、打开井盖发现蟑螂数，每十个井盖不超过5只。</w:t>
            </w:r>
          </w:p>
        </w:tc>
        <w:tc>
          <w:tcPr>
            <w:tcW w:w="995" w:type="dxa"/>
            <w:gridSpan w:val="2"/>
          </w:tcPr>
          <w:p>
            <w:pPr>
              <w:pStyle w:val="22"/>
              <w:spacing w:before="0" w:beforeAutospacing="0" w:after="0" w:afterAutospacing="0" w:line="360" w:lineRule="auto"/>
              <w:ind w:left="1" w:right="-108"/>
              <w:rPr>
                <w:color w:val="auto"/>
                <w:kern w:val="2"/>
                <w:sz w:val="21"/>
                <w:szCs w:val="21"/>
                <w:highlight w:val="none"/>
              </w:rPr>
            </w:pPr>
          </w:p>
        </w:tc>
        <w:tc>
          <w:tcPr>
            <w:tcW w:w="1035" w:type="dxa"/>
          </w:tcPr>
          <w:p>
            <w:pPr>
              <w:pStyle w:val="22"/>
              <w:spacing w:before="0" w:beforeAutospacing="0" w:after="0" w:afterAutospacing="0" w:line="360" w:lineRule="auto"/>
              <w:ind w:left="1" w:right="-108"/>
              <w:rPr>
                <w:color w:val="auto"/>
                <w:kern w:val="2"/>
                <w:sz w:val="21"/>
                <w:szCs w:val="21"/>
                <w:highlight w:val="none"/>
              </w:rPr>
            </w:pPr>
          </w:p>
        </w:tc>
        <w:tc>
          <w:tcPr>
            <w:tcW w:w="1875" w:type="dxa"/>
          </w:tcPr>
          <w:p>
            <w:pPr>
              <w:pStyle w:val="22"/>
              <w:spacing w:before="0" w:beforeAutospacing="0" w:after="0" w:afterAutospacing="0" w:line="360" w:lineRule="auto"/>
              <w:ind w:left="1" w:right="-108"/>
              <w:rPr>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405" w:type="dxa"/>
            <w:vMerge w:val="continue"/>
          </w:tcPr>
          <w:p>
            <w:pPr>
              <w:rPr>
                <w:rFonts w:ascii="宋体" w:hAnsi="宋体" w:cs="宋体"/>
                <w:color w:val="auto"/>
                <w:szCs w:val="21"/>
                <w:highlight w:val="none"/>
              </w:rPr>
            </w:pP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室内：抽查5个房间（每15</w:t>
            </w:r>
            <w:r>
              <w:rPr>
                <w:rFonts w:hint="eastAsia" w:ascii="宋体" w:hAnsi="宋体" w:cs="宋体"/>
                <w:color w:val="auto"/>
                <w:szCs w:val="21"/>
                <w:highlight w:val="none"/>
                <w:lang w:val="en-US" w:eastAsia="zh-CN"/>
              </w:rPr>
              <w:t>平方米</w:t>
            </w:r>
            <w:r>
              <w:rPr>
                <w:rFonts w:hint="eastAsia" w:ascii="宋体" w:hAnsi="宋体" w:cs="宋体"/>
                <w:color w:val="auto"/>
                <w:szCs w:val="21"/>
                <w:highlight w:val="none"/>
              </w:rPr>
              <w:t>为1间房）检查货物柜、操作台等地方，肉眼发现不超过（蟑螂成若虫、卵鞘、蟑迹）3处。</w:t>
            </w:r>
          </w:p>
        </w:tc>
        <w:tc>
          <w:tcPr>
            <w:tcW w:w="995" w:type="dxa"/>
            <w:gridSpan w:val="2"/>
          </w:tcPr>
          <w:p>
            <w:pPr>
              <w:rPr>
                <w:rFonts w:ascii="宋体" w:hAnsi="宋体" w:cs="宋体"/>
                <w:color w:val="auto"/>
                <w:szCs w:val="21"/>
                <w:highlight w:val="none"/>
              </w:rPr>
            </w:pPr>
          </w:p>
        </w:tc>
        <w:tc>
          <w:tcPr>
            <w:tcW w:w="1035" w:type="dxa"/>
          </w:tcPr>
          <w:p>
            <w:pPr>
              <w:rPr>
                <w:rFonts w:ascii="宋体" w:hAnsi="宋体" w:cs="宋体"/>
                <w:color w:val="auto"/>
                <w:szCs w:val="21"/>
                <w:highlight w:val="none"/>
              </w:rPr>
            </w:pPr>
          </w:p>
        </w:tc>
        <w:tc>
          <w:tcPr>
            <w:tcW w:w="1875"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938" w:type="dxa"/>
            <w:gridSpan w:val="2"/>
            <w:vAlign w:val="center"/>
          </w:tcPr>
          <w:p>
            <w:pPr>
              <w:widowControl w:val="0"/>
              <w:spacing w:before="0" w:after="0" w:afterAutospacing="0" w:line="240" w:lineRule="auto"/>
              <w:ind w:left="0" w:leftChars="0" w:right="0" w:rightChars="0" w:firstLine="0" w:firstLineChars="0"/>
              <w:rPr>
                <w:rFonts w:ascii="宋体" w:hAnsi="宋体" w:cs="宋体"/>
                <w:color w:val="auto"/>
                <w:szCs w:val="21"/>
                <w:highlight w:val="none"/>
              </w:rPr>
            </w:pPr>
            <w:r>
              <w:rPr>
                <w:rFonts w:hint="eastAsia" w:ascii="宋体" w:hAnsi="宋体" w:cs="宋体"/>
                <w:color w:val="auto"/>
                <w:kern w:val="2"/>
                <w:sz w:val="22"/>
                <w:szCs w:val="22"/>
                <w:highlight w:val="none"/>
              </w:rPr>
              <w:t>乙方</w:t>
            </w:r>
            <w:r>
              <w:rPr>
                <w:rFonts w:hint="eastAsia" w:ascii="宋体" w:hAnsi="宋体" w:cs="宋体"/>
                <w:color w:val="auto"/>
                <w:kern w:val="2"/>
                <w:sz w:val="22"/>
                <w:szCs w:val="22"/>
                <w:highlight w:val="none"/>
                <w:lang w:val="en-US" w:eastAsia="zh-CN"/>
              </w:rPr>
              <w:t>验收</w:t>
            </w:r>
            <w:r>
              <w:rPr>
                <w:rFonts w:hint="eastAsia" w:ascii="宋体" w:hAnsi="宋体" w:cs="宋体"/>
                <w:color w:val="auto"/>
                <w:kern w:val="2"/>
                <w:sz w:val="22"/>
                <w:szCs w:val="22"/>
                <w:highlight w:val="none"/>
              </w:rPr>
              <w:t>人：</w:t>
            </w:r>
          </w:p>
        </w:tc>
        <w:tc>
          <w:tcPr>
            <w:tcW w:w="2902" w:type="dxa"/>
            <w:gridSpan w:val="2"/>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p>
        </w:tc>
        <w:tc>
          <w:tcPr>
            <w:tcW w:w="1665" w:type="dxa"/>
            <w:gridSpan w:val="2"/>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r>
              <w:rPr>
                <w:rFonts w:hint="eastAsia" w:ascii="宋体" w:hAnsi="宋体" w:cs="宋体"/>
                <w:color w:val="auto"/>
                <w:kern w:val="2"/>
                <w:sz w:val="22"/>
                <w:szCs w:val="22"/>
                <w:highlight w:val="none"/>
              </w:rPr>
              <w:t>甲方验收人：</w:t>
            </w:r>
          </w:p>
        </w:tc>
        <w:tc>
          <w:tcPr>
            <w:tcW w:w="3185" w:type="dxa"/>
            <w:gridSpan w:val="3"/>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938" w:type="dxa"/>
            <w:gridSpan w:val="2"/>
            <w:vAlign w:val="center"/>
          </w:tcPr>
          <w:p>
            <w:pPr>
              <w:widowControl w:val="0"/>
              <w:spacing w:before="0" w:after="0" w:afterAutospacing="0" w:line="240" w:lineRule="auto"/>
              <w:ind w:left="0" w:leftChars="0" w:right="0" w:rightChars="0" w:firstLine="0" w:firstLineChars="0"/>
              <w:jc w:val="both"/>
              <w:rPr>
                <w:rFonts w:hint="eastAsia" w:ascii="宋体" w:hAnsi="宋体" w:eastAsia="宋体" w:cs="宋体"/>
                <w:color w:val="auto"/>
                <w:kern w:val="2"/>
                <w:sz w:val="22"/>
                <w:szCs w:val="22"/>
                <w:highlight w:val="none"/>
                <w:lang w:val="en-US" w:eastAsia="zh-CN"/>
              </w:rPr>
            </w:pPr>
            <w:r>
              <w:rPr>
                <w:rFonts w:hint="eastAsia" w:ascii="宋体" w:hAnsi="宋体" w:cs="宋体"/>
                <w:color w:val="auto"/>
                <w:kern w:val="2"/>
                <w:sz w:val="22"/>
                <w:szCs w:val="22"/>
                <w:highlight w:val="none"/>
                <w:lang w:val="en-US" w:eastAsia="zh-CN"/>
              </w:rPr>
              <w:t>日 期</w:t>
            </w:r>
          </w:p>
        </w:tc>
        <w:tc>
          <w:tcPr>
            <w:tcW w:w="2902" w:type="dxa"/>
            <w:gridSpan w:val="2"/>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p>
        </w:tc>
        <w:tc>
          <w:tcPr>
            <w:tcW w:w="1665" w:type="dxa"/>
            <w:gridSpan w:val="2"/>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r>
              <w:rPr>
                <w:rFonts w:hint="eastAsia" w:ascii="宋体" w:hAnsi="宋体" w:cs="宋体"/>
                <w:color w:val="auto"/>
                <w:kern w:val="2"/>
                <w:sz w:val="22"/>
                <w:szCs w:val="22"/>
                <w:highlight w:val="none"/>
                <w:lang w:val="en-US" w:eastAsia="zh-CN"/>
              </w:rPr>
              <w:t>日 期</w:t>
            </w:r>
          </w:p>
        </w:tc>
        <w:tc>
          <w:tcPr>
            <w:tcW w:w="3185" w:type="dxa"/>
            <w:gridSpan w:val="3"/>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p>
        </w:tc>
      </w:tr>
    </w:tbl>
    <w:p>
      <w:pPr>
        <w:spacing w:line="360" w:lineRule="auto"/>
        <w:rPr>
          <w:rFonts w:ascii="宋体" w:hAnsi="宋体" w:cs="宋体"/>
          <w:color w:val="auto"/>
          <w:szCs w:val="21"/>
          <w:highlight w:val="none"/>
        </w:rPr>
      </w:pPr>
      <w:r>
        <w:rPr>
          <w:rFonts w:hint="eastAsia" w:ascii="宋体" w:hAnsi="宋体" w:cs="宋体"/>
          <w:color w:val="auto"/>
          <w:szCs w:val="21"/>
          <w:highlight w:val="none"/>
        </w:rPr>
        <w:t>注：1.验收时间在消杀结束后一周内进行。</w:t>
      </w:r>
    </w:p>
    <w:p>
      <w:pPr>
        <w:pStyle w:val="6"/>
        <w:spacing w:line="360" w:lineRule="auto"/>
        <w:ind w:left="420"/>
        <w:rPr>
          <w:rFonts w:ascii="宋体" w:hAnsi="宋体" w:cs="宋体"/>
          <w:color w:val="auto"/>
          <w:szCs w:val="21"/>
          <w:highlight w:val="none"/>
        </w:rPr>
      </w:pPr>
      <w:r>
        <w:rPr>
          <w:rFonts w:hint="eastAsia" w:ascii="宋体" w:hAnsi="宋体" w:cs="宋体"/>
          <w:color w:val="auto"/>
          <w:szCs w:val="21"/>
          <w:highlight w:val="none"/>
        </w:rPr>
        <w:t>2.验收人员由各食堂管理员、比选申请人共同验收。</w:t>
      </w:r>
    </w:p>
    <w:p>
      <w:pPr>
        <w:pStyle w:val="6"/>
        <w:spacing w:line="360" w:lineRule="auto"/>
        <w:ind w:left="420"/>
        <w:rPr>
          <w:rFonts w:ascii="宋体" w:hAnsi="宋体" w:cs="宋体"/>
          <w:color w:val="auto"/>
          <w:szCs w:val="21"/>
          <w:highlight w:val="none"/>
        </w:rPr>
      </w:pPr>
      <w:r>
        <w:rPr>
          <w:rFonts w:hint="eastAsia" w:ascii="宋体" w:hAnsi="宋体" w:cs="宋体"/>
          <w:color w:val="auto"/>
          <w:szCs w:val="21"/>
          <w:highlight w:val="none"/>
        </w:rPr>
        <w:t>3.验收表中出现任何一项不合格，比选申请人需要免费消杀，直至验收合格。</w:t>
      </w:r>
    </w:p>
    <w:p>
      <w:pPr>
        <w:pStyle w:val="74"/>
        <w:spacing w:line="360" w:lineRule="auto"/>
        <w:ind w:left="420" w:firstLine="0" w:firstLineChars="0"/>
        <w:rPr>
          <w:rStyle w:val="78"/>
          <w:rFonts w:ascii="宋体" w:hAnsi="宋体"/>
          <w:color w:val="auto"/>
          <w:szCs w:val="21"/>
          <w:highlight w:val="none"/>
        </w:rPr>
      </w:pPr>
    </w:p>
    <w:p>
      <w:pPr>
        <w:pStyle w:val="74"/>
        <w:spacing w:line="360" w:lineRule="auto"/>
        <w:ind w:left="0" w:leftChars="0" w:firstLine="0" w:firstLineChars="0"/>
        <w:rPr>
          <w:rStyle w:val="78"/>
          <w:rFonts w:ascii="宋体" w:hAnsi="宋体"/>
          <w:color w:val="auto"/>
          <w:szCs w:val="21"/>
          <w:highlight w:val="none"/>
        </w:rPr>
      </w:pPr>
    </w:p>
    <w:p>
      <w:pPr>
        <w:pStyle w:val="5"/>
        <w:spacing w:before="0" w:after="0" w:line="360" w:lineRule="auto"/>
        <w:jc w:val="left"/>
        <w:rPr>
          <w:color w:val="auto"/>
          <w:highlight w:val="none"/>
        </w:rPr>
      </w:pPr>
      <w:bookmarkStart w:id="1971" w:name="_Toc10478"/>
      <w:bookmarkStart w:id="1972" w:name="_Toc32196"/>
      <w:bookmarkStart w:id="1973" w:name="_Toc26465"/>
      <w:bookmarkStart w:id="1974" w:name="_Toc749"/>
      <w:bookmarkStart w:id="1975" w:name="_Toc16318"/>
      <w:bookmarkStart w:id="1976" w:name="_Toc31272"/>
      <w:bookmarkStart w:id="1977" w:name="_Toc21944"/>
      <w:r>
        <w:rPr>
          <w:rFonts w:hint="eastAsia" w:ascii="黑体" w:hAnsi="黑体" w:cs="黑体"/>
          <w:color w:val="auto"/>
          <w:kern w:val="44"/>
          <w:sz w:val="24"/>
          <w:szCs w:val="24"/>
          <w:highlight w:val="none"/>
        </w:rPr>
        <w:t>8</w:t>
      </w:r>
      <w:bookmarkEnd w:id="1971"/>
      <w:bookmarkEnd w:id="1972"/>
      <w:bookmarkEnd w:id="1973"/>
      <w:bookmarkEnd w:id="1974"/>
      <w:bookmarkEnd w:id="1975"/>
      <w:bookmarkEnd w:id="1976"/>
      <w:bookmarkEnd w:id="1977"/>
      <w:r>
        <w:rPr>
          <w:rFonts w:hint="eastAsia" w:ascii="黑体" w:hAnsi="黑体" w:cs="黑体"/>
          <w:color w:val="auto"/>
          <w:kern w:val="44"/>
          <w:sz w:val="24"/>
          <w:szCs w:val="24"/>
          <w:highlight w:val="none"/>
        </w:rPr>
        <w:t xml:space="preserve"> 南宁轨道交通运营有限公司员工食堂除“四害”药品使用规定</w:t>
      </w:r>
      <w:r>
        <w:rPr>
          <w:rFonts w:hint="eastAsia" w:ascii="宋体" w:hAnsi="宋体" w:cs="宋体"/>
          <w:color w:val="auto"/>
          <w:szCs w:val="21"/>
          <w:highlight w:val="none"/>
        </w:rPr>
        <w:t xml:space="preserve">                                                                                                             </w:t>
      </w:r>
    </w:p>
    <w:p>
      <w:pPr>
        <w:pStyle w:val="2"/>
        <w:ind w:left="1365" w:hanging="1365" w:hangingChars="650"/>
        <w:rPr>
          <w:rFonts w:hAnsi="宋体" w:cs="宋体"/>
          <w:color w:val="auto"/>
          <w:szCs w:val="21"/>
          <w:highlight w:val="none"/>
        </w:rPr>
      </w:pPr>
      <w:r>
        <w:rPr>
          <w:rFonts w:hint="eastAsia"/>
          <w:color w:val="auto"/>
          <w:highlight w:val="none"/>
        </w:rPr>
        <w:t xml:space="preserve">                                                                                               </w:t>
      </w:r>
      <w:r>
        <w:rPr>
          <w:rFonts w:hint="eastAsia"/>
          <w:color w:val="auto"/>
          <w:highlight w:val="none"/>
          <w:lang w:val="en-US" w:eastAsia="zh-CN"/>
        </w:rPr>
        <w:t>8.1</w:t>
      </w:r>
      <w:r>
        <w:rPr>
          <w:rFonts w:hint="eastAsia" w:hAnsi="宋体" w:cs="宋体"/>
          <w:color w:val="auto"/>
          <w:szCs w:val="21"/>
          <w:highlight w:val="none"/>
        </w:rPr>
        <w:t>南宁轨道交通运营有限公司员工食堂除“四害”药品使用规定</w:t>
      </w:r>
    </w:p>
    <w:tbl>
      <w:tblPr>
        <w:tblStyle w:val="26"/>
        <w:tblpPr w:leftFromText="180" w:rightFromText="180" w:vertAnchor="text" w:horzAnchor="page" w:tblpX="1139" w:tblpY="360"/>
        <w:tblOverlap w:val="never"/>
        <w:tblW w:w="9630" w:type="dxa"/>
        <w:tblInd w:w="0" w:type="dxa"/>
        <w:tblLayout w:type="fixed"/>
        <w:tblCellMar>
          <w:top w:w="0" w:type="dxa"/>
          <w:left w:w="0" w:type="dxa"/>
          <w:bottom w:w="0" w:type="dxa"/>
          <w:right w:w="0" w:type="dxa"/>
        </w:tblCellMar>
      </w:tblPr>
      <w:tblGrid>
        <w:gridCol w:w="2690"/>
        <w:gridCol w:w="1845"/>
        <w:gridCol w:w="2460"/>
        <w:gridCol w:w="2635"/>
      </w:tblGrid>
      <w:tr>
        <w:tblPrEx>
          <w:tblCellMar>
            <w:top w:w="0" w:type="dxa"/>
            <w:left w:w="0" w:type="dxa"/>
            <w:bottom w:w="0" w:type="dxa"/>
            <w:right w:w="0" w:type="dxa"/>
          </w:tblCellMar>
        </w:tblPrEx>
        <w:trPr>
          <w:trHeight w:val="9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品</w:t>
            </w:r>
            <w:r>
              <w:rPr>
                <w:rStyle w:val="78"/>
                <w:rFonts w:ascii="宋体" w:hAnsi="宋体"/>
                <w:color w:val="auto"/>
                <w:szCs w:val="21"/>
                <w:highlight w:val="none"/>
              </w:rPr>
              <w:t>名</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防制对象</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用量</w:t>
            </w:r>
            <w:r>
              <w:rPr>
                <w:rStyle w:val="78"/>
                <w:rFonts w:hint="eastAsia" w:ascii="宋体" w:hAnsi="宋体"/>
                <w:color w:val="auto"/>
                <w:szCs w:val="21"/>
                <w:highlight w:val="none"/>
              </w:rPr>
              <w:t>（预估）</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参考厂家/品牌</w:t>
            </w:r>
          </w:p>
        </w:tc>
      </w:tr>
      <w:tr>
        <w:tblPrEx>
          <w:tblCellMar>
            <w:top w:w="0" w:type="dxa"/>
            <w:left w:w="0" w:type="dxa"/>
            <w:bottom w:w="0" w:type="dxa"/>
            <w:right w:w="0" w:type="dxa"/>
          </w:tblCellMar>
        </w:tblPrEx>
        <w:trPr>
          <w:trHeight w:val="9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ind w:firstLine="843" w:firstLineChars="400"/>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控制中心食堂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30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8kg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360g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50张（部分食堂留存）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50张（部分食堂留存）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20个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20个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屯里车辆段食堂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w:t>
            </w:r>
            <w:r>
              <w:rPr>
                <w:rStyle w:val="78"/>
                <w:rFonts w:ascii="宋体" w:hAnsi="宋体"/>
                <w:color w:val="auto"/>
                <w:szCs w:val="21"/>
                <w:highlight w:val="none"/>
              </w:rPr>
              <w:t>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w:t>
            </w:r>
            <w:r>
              <w:rPr>
                <w:rStyle w:val="78"/>
                <w:rFonts w:ascii="宋体" w:hAnsi="宋体"/>
                <w:color w:val="auto"/>
                <w:szCs w:val="21"/>
                <w:highlight w:val="none"/>
              </w:rPr>
              <w:t>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w:t>
            </w:r>
            <w:r>
              <w:rPr>
                <w:rStyle w:val="78"/>
                <w:rFonts w:ascii="宋体" w:hAnsi="宋体"/>
                <w:color w:val="auto"/>
                <w:szCs w:val="21"/>
                <w:highlight w:val="none"/>
              </w:rPr>
              <w:t>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35</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300g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西乡塘停车场食堂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4Kg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w:t>
            </w:r>
            <w:r>
              <w:rPr>
                <w:rStyle w:val="78"/>
                <w:rFonts w:ascii="宋体" w:hAnsi="宋体"/>
                <w:color w:val="auto"/>
                <w:szCs w:val="21"/>
                <w:highlight w:val="none"/>
              </w:rPr>
              <w:t>0</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w:t>
            </w:r>
            <w:r>
              <w:rPr>
                <w:rStyle w:val="78"/>
                <w:rFonts w:ascii="宋体" w:hAnsi="宋体"/>
                <w:color w:val="auto"/>
                <w:szCs w:val="21"/>
                <w:highlight w:val="none"/>
              </w:rPr>
              <w:t>0</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12个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12个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安吉综合基地食堂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7KG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35</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300g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9630" w:type="dxa"/>
            <w:gridSpan w:val="4"/>
            <w:tcBorders>
              <w:top w:val="single" w:color="000000" w:sz="8" w:space="0"/>
              <w:left w:val="single" w:color="000000" w:sz="8" w:space="0"/>
              <w:bottom w:val="single" w:color="000000" w:sz="8" w:space="0"/>
              <w:right w:val="single" w:color="000000" w:sz="4" w:space="0"/>
            </w:tcBorders>
            <w:noWrap/>
            <w:vAlign w:val="center"/>
          </w:tcPr>
          <w:p>
            <w:pPr>
              <w:tabs>
                <w:tab w:val="left" w:pos="3728"/>
              </w:tabs>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新村停车场食堂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30</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30</w:t>
            </w:r>
            <w:r>
              <w:rPr>
                <w:rStyle w:val="78"/>
                <w:rFonts w:ascii="宋体" w:hAnsi="宋体"/>
                <w:color w:val="auto"/>
                <w:szCs w:val="21"/>
                <w:highlight w:val="none"/>
              </w:rPr>
              <w:t>0</w:t>
            </w:r>
            <w:r>
              <w:rPr>
                <w:rStyle w:val="78"/>
                <w:rFonts w:hint="eastAsia" w:ascii="宋体" w:hAnsi="宋体"/>
                <w:color w:val="auto"/>
                <w:szCs w:val="21"/>
                <w:highlight w:val="none"/>
              </w:rPr>
              <w:t>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12个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12个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心圩车辆段食堂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4KG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35</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300g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五象车辆段食堂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6Kg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35</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300g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15个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15个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tabs>
                <w:tab w:val="left" w:pos="3707"/>
              </w:tabs>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那洪车辆段食堂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color w:val="auto"/>
                <w:highlight w:val="none"/>
              </w:rPr>
            </w:pPr>
            <w:r>
              <w:rPr>
                <w:rFonts w:hint="eastAsia"/>
                <w:color w:val="auto"/>
                <w:highlight w:val="none"/>
              </w:rPr>
              <w:t>2.5L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Fonts w:hint="eastAsia"/>
                <w:color w:val="auto"/>
                <w:highlight w:val="none"/>
              </w:rPr>
              <w:t>2.5L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8kg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360g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50张（部分食堂留存）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50张（部分食堂留存）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405"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color w:val="auto"/>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color w:val="auto"/>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405"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color w:val="auto"/>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bl>
    <w:p>
      <w:pPr>
        <w:pStyle w:val="6"/>
        <w:rPr>
          <w:rStyle w:val="78"/>
          <w:rFonts w:ascii="宋体" w:hAnsi="宋体"/>
          <w:color w:val="auto"/>
          <w:sz w:val="18"/>
          <w:szCs w:val="18"/>
          <w:highlight w:val="none"/>
        </w:rPr>
      </w:pPr>
    </w:p>
    <w:p>
      <w:pPr>
        <w:pStyle w:val="6"/>
        <w:rPr>
          <w:color w:val="auto"/>
          <w:highlight w:val="none"/>
        </w:rPr>
      </w:pPr>
      <w:r>
        <w:rPr>
          <w:rStyle w:val="78"/>
          <w:rFonts w:ascii="宋体" w:hAnsi="宋体"/>
          <w:color w:val="auto"/>
          <w:sz w:val="18"/>
          <w:szCs w:val="18"/>
          <w:highlight w:val="none"/>
        </w:rPr>
        <w:t>备注：</w:t>
      </w:r>
      <w:r>
        <w:rPr>
          <w:rStyle w:val="78"/>
          <w:rFonts w:hint="eastAsia" w:ascii="宋体" w:hAnsi="宋体"/>
          <w:color w:val="auto"/>
          <w:sz w:val="18"/>
          <w:szCs w:val="18"/>
          <w:highlight w:val="none"/>
        </w:rPr>
        <w:t>药品</w:t>
      </w:r>
      <w:r>
        <w:rPr>
          <w:rStyle w:val="78"/>
          <w:rFonts w:ascii="宋体" w:hAnsi="宋体"/>
          <w:color w:val="auto"/>
          <w:sz w:val="18"/>
          <w:szCs w:val="18"/>
          <w:highlight w:val="none"/>
        </w:rPr>
        <w:t>配置</w:t>
      </w:r>
      <w:r>
        <w:rPr>
          <w:rStyle w:val="78"/>
          <w:rFonts w:hint="eastAsia" w:ascii="宋体" w:hAnsi="宋体"/>
          <w:color w:val="auto"/>
          <w:sz w:val="18"/>
          <w:szCs w:val="18"/>
          <w:highlight w:val="none"/>
        </w:rPr>
        <w:t>是每次</w:t>
      </w:r>
      <w:r>
        <w:rPr>
          <w:rStyle w:val="78"/>
          <w:rFonts w:ascii="宋体" w:hAnsi="宋体"/>
          <w:color w:val="auto"/>
          <w:sz w:val="18"/>
          <w:szCs w:val="18"/>
          <w:highlight w:val="none"/>
        </w:rPr>
        <w:t>需求</w:t>
      </w:r>
      <w:r>
        <w:rPr>
          <w:rStyle w:val="78"/>
          <w:rFonts w:hint="eastAsia" w:ascii="宋体" w:hAnsi="宋体"/>
          <w:color w:val="auto"/>
          <w:sz w:val="18"/>
          <w:szCs w:val="18"/>
          <w:highlight w:val="none"/>
        </w:rPr>
        <w:t>量</w:t>
      </w:r>
      <w:r>
        <w:rPr>
          <w:rStyle w:val="78"/>
          <w:rFonts w:ascii="宋体" w:hAnsi="宋体"/>
          <w:color w:val="auto"/>
          <w:sz w:val="18"/>
          <w:szCs w:val="18"/>
          <w:highlight w:val="none"/>
        </w:rPr>
        <w:t>，</w:t>
      </w:r>
      <w:r>
        <w:rPr>
          <w:rStyle w:val="78"/>
          <w:rFonts w:hint="eastAsia" w:ascii="宋体" w:hAnsi="宋体"/>
          <w:color w:val="auto"/>
          <w:sz w:val="18"/>
          <w:szCs w:val="18"/>
          <w:highlight w:val="none"/>
        </w:rPr>
        <w:t>毒鼠屋、双门鼠笼是一次提供，如破损、遗失即刻更换和补充</w:t>
      </w:r>
      <w:r>
        <w:rPr>
          <w:rStyle w:val="78"/>
          <w:rFonts w:ascii="宋体" w:hAnsi="宋体"/>
          <w:color w:val="auto"/>
          <w:sz w:val="18"/>
          <w:szCs w:val="18"/>
          <w:highlight w:val="none"/>
        </w:rPr>
        <w:t>。</w:t>
      </w:r>
    </w:p>
    <w:p>
      <w:pPr>
        <w:pStyle w:val="25"/>
        <w:ind w:left="0" w:leftChars="0" w:firstLine="0" w:firstLineChars="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left="0" w:leftChars="0" w:firstLine="0" w:firstLineChars="0"/>
        <w:rPr>
          <w:rFonts w:eastAsiaTheme="minorEastAsia"/>
          <w:color w:val="auto"/>
          <w:highlight w:val="none"/>
        </w:rPr>
      </w:pPr>
    </w:p>
    <w:p>
      <w:pPr>
        <w:pStyle w:val="2"/>
        <w:pageBreakBefore/>
        <w:ind w:right="-57"/>
        <w:jc w:val="center"/>
        <w:outlineLvl w:val="0"/>
        <w:rPr>
          <w:rStyle w:val="76"/>
          <w:rFonts w:asciiTheme="minorEastAsia" w:hAnsiTheme="minorEastAsia" w:eastAsiaTheme="minorEastAsia"/>
          <w:color w:val="auto"/>
          <w:highlight w:val="none"/>
        </w:rPr>
      </w:pPr>
      <w:bookmarkStart w:id="1978" w:name="_Toc3174"/>
      <w:bookmarkStart w:id="1979" w:name="_Toc22547"/>
      <w:bookmarkStart w:id="1980" w:name="_Toc14738"/>
      <w:bookmarkStart w:id="1981" w:name="_Toc531"/>
      <w:bookmarkStart w:id="1982" w:name="_Toc25908"/>
      <w:bookmarkStart w:id="1983" w:name="_Toc6090"/>
      <w:bookmarkStart w:id="1984" w:name="_Toc26286"/>
      <w:bookmarkStart w:id="1985" w:name="_Toc1104"/>
      <w:bookmarkStart w:id="1986" w:name="_Toc1777"/>
      <w:bookmarkStart w:id="1987" w:name="_Toc21231"/>
      <w:bookmarkStart w:id="1988" w:name="_Toc4284"/>
      <w:bookmarkStart w:id="1989" w:name="_Toc147"/>
      <w:bookmarkStart w:id="1990" w:name="_Toc17186"/>
      <w:bookmarkStart w:id="1991" w:name="_Toc3551"/>
      <w:bookmarkStart w:id="1992" w:name="_Toc9329"/>
      <w:bookmarkStart w:id="1993" w:name="_Toc5008"/>
      <w:bookmarkStart w:id="1994" w:name="_Toc25750691"/>
      <w:bookmarkStart w:id="1995" w:name="_Toc14104"/>
      <w:r>
        <w:rPr>
          <w:rStyle w:val="76"/>
          <w:rFonts w:hint="eastAsia" w:asciiTheme="minorEastAsia" w:hAnsiTheme="minorEastAsia" w:eastAsiaTheme="minorEastAsia"/>
          <w:color w:val="auto"/>
          <w:highlight w:val="none"/>
        </w:rPr>
        <w:t>第六章</w:t>
      </w:r>
      <w:r>
        <w:rPr>
          <w:rStyle w:val="76"/>
          <w:rFonts w:asciiTheme="minorEastAsia" w:hAnsiTheme="minorEastAsia" w:eastAsiaTheme="minorEastAsia"/>
          <w:color w:val="auto"/>
          <w:highlight w:val="none"/>
        </w:rPr>
        <w:t xml:space="preserve"> </w:t>
      </w:r>
      <w:r>
        <w:rPr>
          <w:rStyle w:val="76"/>
          <w:rFonts w:hint="eastAsia" w:asciiTheme="minorEastAsia" w:hAnsiTheme="minorEastAsia" w:eastAsiaTheme="minorEastAsia"/>
          <w:color w:val="auto"/>
          <w:highlight w:val="none"/>
        </w:rPr>
        <w:t>评分办法</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ind w:firstLine="562" w:firstLineChars="200"/>
        <w:outlineLvl w:val="1"/>
        <w:rPr>
          <w:rFonts w:cs="Arial" w:asciiTheme="minorEastAsia" w:hAnsiTheme="minorEastAsia" w:eastAsiaTheme="minorEastAsia"/>
          <w:b/>
          <w:bCs/>
          <w:color w:val="auto"/>
          <w:sz w:val="28"/>
          <w:szCs w:val="28"/>
          <w:highlight w:val="none"/>
        </w:rPr>
      </w:pPr>
      <w:bookmarkStart w:id="1996" w:name="_Toc25750692"/>
    </w:p>
    <w:bookmarkEnd w:id="1996"/>
    <w:p>
      <w:pPr>
        <w:spacing w:line="360" w:lineRule="auto"/>
        <w:outlineLvl w:val="1"/>
        <w:rPr>
          <w:rFonts w:cs="Arial" w:asciiTheme="minorEastAsia" w:hAnsiTheme="minorEastAsia" w:eastAsiaTheme="minorEastAsia"/>
          <w:b/>
          <w:bCs/>
          <w:color w:val="auto"/>
          <w:sz w:val="28"/>
          <w:szCs w:val="28"/>
          <w:highlight w:val="none"/>
        </w:rPr>
      </w:pPr>
      <w:r>
        <w:rPr>
          <w:rFonts w:hint="eastAsia" w:cs="Arial" w:asciiTheme="minorEastAsia" w:hAnsiTheme="minorEastAsia" w:eastAsiaTheme="minorEastAsia"/>
          <w:b/>
          <w:bCs/>
          <w:color w:val="auto"/>
          <w:sz w:val="28"/>
          <w:szCs w:val="28"/>
          <w:highlight w:val="none"/>
        </w:rPr>
        <w:t>一、评审原则</w:t>
      </w:r>
    </w:p>
    <w:p>
      <w:pPr>
        <w:spacing w:line="360" w:lineRule="auto"/>
        <w:rPr>
          <w:rFonts w:cs="Arial" w:asciiTheme="minorEastAsia" w:hAnsiTheme="minorEastAsia" w:eastAsiaTheme="minorEastAsia"/>
          <w:color w:val="auto"/>
          <w:highlight w:val="none"/>
        </w:rPr>
      </w:pPr>
      <w:r>
        <w:rPr>
          <w:rFonts w:cs="Arial" w:asciiTheme="minorEastAsia" w:hAnsiTheme="minorEastAsia" w:eastAsiaTheme="minorEastAsia"/>
          <w:color w:val="auto"/>
          <w:highlight w:val="none"/>
        </w:rPr>
        <w:t>1.1</w:t>
      </w:r>
      <w:r>
        <w:rPr>
          <w:rFonts w:hint="eastAsia" w:cs="Arial" w:asciiTheme="minorEastAsia" w:hAnsiTheme="minorEastAsia" w:eastAsiaTheme="minorEastAsia"/>
          <w:bCs/>
          <w:color w:val="auto"/>
          <w:highlight w:val="none"/>
        </w:rPr>
        <w:t>评审委员会成员构成：本项目由南宁轨道交通运营有限公司5人及以上单数组成评审小组，对比选申请文件按评审标准进行评审；由南宁轨道交通运营有限公司合约法规部人员作为评审会议主持人，纪检监察部门进行监督。</w:t>
      </w:r>
    </w:p>
    <w:p>
      <w:pPr>
        <w:spacing w:line="360" w:lineRule="auto"/>
        <w:rPr>
          <w:rFonts w:cs="Arial" w:asciiTheme="minorEastAsia" w:hAnsiTheme="minorEastAsia" w:eastAsiaTheme="minorEastAsia"/>
          <w:color w:val="auto"/>
          <w:highlight w:val="none"/>
        </w:rPr>
      </w:pPr>
      <w:r>
        <w:rPr>
          <w:rFonts w:cs="Arial" w:asciiTheme="minorEastAsia" w:hAnsiTheme="minorEastAsia" w:eastAsiaTheme="minorEastAsia"/>
          <w:color w:val="auto"/>
          <w:highlight w:val="none"/>
        </w:rPr>
        <w:t>1.2</w:t>
      </w:r>
      <w:r>
        <w:rPr>
          <w:rFonts w:hint="eastAsia" w:cs="Arial" w:asciiTheme="minorEastAsia" w:hAnsiTheme="minorEastAsia" w:eastAsiaTheme="minorEastAsia"/>
          <w:bCs/>
          <w:color w:val="auto"/>
          <w:highlight w:val="none"/>
        </w:rPr>
        <w:t>评审依据：评审委员会以比选文件、比选申请文件为评审依据。</w:t>
      </w:r>
    </w:p>
    <w:p>
      <w:pPr>
        <w:spacing w:line="360" w:lineRule="auto"/>
        <w:rPr>
          <w:rFonts w:cs="Arial" w:asciiTheme="minorEastAsia" w:hAnsiTheme="minorEastAsia" w:eastAsiaTheme="minorEastAsia"/>
          <w:bCs/>
          <w:color w:val="auto"/>
          <w:highlight w:val="none"/>
        </w:rPr>
      </w:pPr>
      <w:r>
        <w:rPr>
          <w:rFonts w:cs="Arial" w:asciiTheme="minorEastAsia" w:hAnsiTheme="minorEastAsia" w:eastAsiaTheme="minorEastAsia"/>
          <w:color w:val="auto"/>
          <w:highlight w:val="none"/>
        </w:rPr>
        <w:t>1.3</w:t>
      </w:r>
      <w:r>
        <w:rPr>
          <w:rFonts w:hint="eastAsia" w:cs="Arial" w:asciiTheme="minorEastAsia" w:hAnsiTheme="minorEastAsia" w:eastAsiaTheme="minorEastAsia"/>
          <w:bCs/>
          <w:color w:val="auto"/>
          <w:highlight w:val="none"/>
        </w:rPr>
        <w:t>评审方式：以封闭方式进行。</w:t>
      </w:r>
    </w:p>
    <w:p>
      <w:pPr>
        <w:spacing w:line="360" w:lineRule="auto"/>
        <w:outlineLvl w:val="1"/>
        <w:rPr>
          <w:rFonts w:cs="Arial" w:asciiTheme="minorEastAsia" w:hAnsiTheme="minorEastAsia" w:eastAsiaTheme="minorEastAsia"/>
          <w:b/>
          <w:color w:val="auto"/>
          <w:highlight w:val="none"/>
        </w:rPr>
      </w:pPr>
      <w:bookmarkStart w:id="1997" w:name="_Toc478566177"/>
      <w:bookmarkStart w:id="1998" w:name="_Toc5136"/>
      <w:bookmarkStart w:id="1999" w:name="_Toc11240"/>
      <w:bookmarkStart w:id="2000" w:name="_Toc29000"/>
      <w:bookmarkStart w:id="2001" w:name="_Toc25750693"/>
      <w:bookmarkStart w:id="2002" w:name="_Toc15880"/>
      <w:r>
        <w:rPr>
          <w:rFonts w:hint="eastAsia" w:cs="Arial" w:asciiTheme="minorEastAsia" w:hAnsiTheme="minorEastAsia" w:eastAsiaTheme="minorEastAsia"/>
          <w:b/>
          <w:bCs/>
          <w:color w:val="auto"/>
          <w:sz w:val="28"/>
          <w:szCs w:val="28"/>
          <w:highlight w:val="none"/>
        </w:rPr>
        <w:t>二、评定方法</w:t>
      </w:r>
      <w:bookmarkEnd w:id="1997"/>
      <w:bookmarkEnd w:id="1998"/>
      <w:bookmarkEnd w:id="1999"/>
      <w:bookmarkEnd w:id="2000"/>
      <w:bookmarkEnd w:id="2001"/>
      <w:bookmarkEnd w:id="2002"/>
    </w:p>
    <w:p>
      <w:pPr>
        <w:spacing w:line="360" w:lineRule="auto"/>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2.1对资格性和符合性检查合格的比选申请文件，采用最低评审价法进行评审。</w:t>
      </w:r>
    </w:p>
    <w:p>
      <w:pPr>
        <w:spacing w:line="360" w:lineRule="auto"/>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2.2评审委员会将依照本比选文件相关规定对质量和服务均能满足实质性响应要求的比选申请人所提交的报价按照由低到高的顺序提出</w:t>
      </w:r>
      <w:r>
        <w:rPr>
          <w:rFonts w:cs="Arial" w:asciiTheme="minorEastAsia" w:hAnsiTheme="minorEastAsia" w:eastAsiaTheme="minorEastAsia"/>
          <w:color w:val="auto"/>
          <w:highlight w:val="none"/>
        </w:rPr>
        <w:t>1-</w:t>
      </w:r>
      <w:r>
        <w:rPr>
          <w:rFonts w:hint="eastAsia" w:cs="Arial" w:asciiTheme="minorEastAsia" w:hAnsiTheme="minorEastAsia" w:eastAsiaTheme="minorEastAsia"/>
          <w:color w:val="auto"/>
          <w:highlight w:val="none"/>
        </w:rPr>
        <w:t>3名中选候选人，并编写评审报告。</w:t>
      </w:r>
    </w:p>
    <w:p>
      <w:pPr>
        <w:spacing w:line="360" w:lineRule="auto"/>
        <w:ind w:left="0" w:leftChars="0" w:firstLine="0" w:firstLineChars="0"/>
        <w:rPr>
          <w:color w:val="auto"/>
          <w:highlight w:val="none"/>
        </w:rPr>
      </w:pPr>
      <w:r>
        <w:rPr>
          <w:rFonts w:hint="eastAsia" w:cs="Arial" w:asciiTheme="minorEastAsia" w:hAnsiTheme="minorEastAsia" w:eastAsiaTheme="minorEastAsia"/>
          <w:color w:val="auto"/>
          <w:highlight w:val="none"/>
        </w:rPr>
        <w:t>2.3若</w:t>
      </w:r>
      <w:r>
        <w:rPr>
          <w:rFonts w:hint="eastAsia" w:asciiTheme="minorEastAsia" w:hAnsiTheme="minorEastAsia" w:eastAsiaTheme="minorEastAsia"/>
          <w:color w:val="auto"/>
          <w:highlight w:val="none"/>
        </w:rPr>
        <w:t>有</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个或</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个以上的比选申请人报价相同的</w:t>
      </w:r>
      <w:r>
        <w:rPr>
          <w:rFonts w:hint="eastAsia" w:cs="Arial" w:asciiTheme="minorEastAsia" w:hAnsiTheme="minorEastAsia" w:eastAsiaTheme="minorEastAsia"/>
          <w:color w:val="auto"/>
          <w:highlight w:val="none"/>
        </w:rPr>
        <w:t>，以评标委员会记名投票的方式按少数服从多数的原则决定其排名顺序。</w:t>
      </w:r>
    </w:p>
    <w:p>
      <w:pPr>
        <w:spacing w:line="360" w:lineRule="auto"/>
        <w:rPr>
          <w:rFonts w:cs="Arial" w:asciiTheme="minorEastAsia" w:hAnsiTheme="minorEastAsia" w:eastAsiaTheme="minorEastAsia"/>
          <w:b/>
          <w:bCs/>
          <w:color w:val="auto"/>
          <w:sz w:val="28"/>
          <w:szCs w:val="28"/>
          <w:highlight w:val="none"/>
        </w:rPr>
      </w:pPr>
      <w:r>
        <w:rPr>
          <w:rFonts w:hint="eastAsia" w:cs="Arial" w:asciiTheme="minorEastAsia" w:hAnsiTheme="minorEastAsia" w:eastAsiaTheme="minorEastAsia"/>
          <w:b/>
          <w:bCs/>
          <w:color w:val="auto"/>
          <w:sz w:val="28"/>
          <w:szCs w:val="28"/>
          <w:highlight w:val="none"/>
        </w:rPr>
        <w:t>三、评审流程</w:t>
      </w:r>
    </w:p>
    <w:p>
      <w:pPr>
        <w:tabs>
          <w:tab w:val="left" w:pos="567"/>
        </w:tabs>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3.1资格审查</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资格审查采用定性评审法，审查比选申请人是否符合</w:t>
      </w:r>
      <w:r>
        <w:rPr>
          <w:rFonts w:hint="eastAsia" w:asciiTheme="minorEastAsia" w:hAnsiTheme="minorEastAsia" w:eastAsiaTheme="minorEastAsia"/>
          <w:color w:val="auto"/>
          <w:highlight w:val="none"/>
          <w:lang w:eastAsia="zh-CN"/>
        </w:rPr>
        <w:t>法律法规</w:t>
      </w:r>
      <w:r>
        <w:rPr>
          <w:rFonts w:hint="eastAsia" w:asciiTheme="minorEastAsia" w:hAnsiTheme="minorEastAsia" w:eastAsiaTheme="minorEastAsia"/>
          <w:color w:val="auto"/>
          <w:highlight w:val="none"/>
        </w:rPr>
        <w:t>、规章及比选文件对企业资质、业绩和其他强制性标准，是否处于正常的经营状况等情况。</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在本阶段不符合任何一项资格评审标准的比选申请人将被比选人拒绝，不得进入下一阶段的评审。评审标准详见附表一《资格审查表》。</w:t>
      </w:r>
    </w:p>
    <w:p>
      <w:pPr>
        <w:tabs>
          <w:tab w:val="left" w:pos="567"/>
        </w:tabs>
        <w:spacing w:line="360" w:lineRule="auto"/>
        <w:rPr>
          <w:rFonts w:asciiTheme="minorEastAsia" w:hAnsiTheme="minorEastAsia" w:eastAsiaTheme="minorEastAsia"/>
          <w:b/>
          <w:color w:val="auto"/>
          <w:highlight w:val="none"/>
        </w:rPr>
      </w:pPr>
      <w:bookmarkStart w:id="2003" w:name="_Toc27271"/>
      <w:bookmarkStart w:id="2004" w:name="_Toc23314"/>
      <w:bookmarkStart w:id="2005" w:name="_Toc19557"/>
      <w:bookmarkStart w:id="2006" w:name="_Toc25750694"/>
      <w:bookmarkStart w:id="2007" w:name="_Toc9730"/>
      <w:bookmarkStart w:id="2008" w:name="_Toc10968"/>
      <w:bookmarkStart w:id="2009" w:name="_Toc22464"/>
      <w:bookmarkStart w:id="2010" w:name="_Toc31611"/>
      <w:bookmarkStart w:id="2011" w:name="_Toc434"/>
      <w:bookmarkStart w:id="2012" w:name="_Toc492478849"/>
      <w:bookmarkStart w:id="2013" w:name="_Toc28404"/>
      <w:bookmarkStart w:id="2014" w:name="_Toc16364"/>
      <w:bookmarkStart w:id="2015" w:name="_Toc29923"/>
      <w:bookmarkStart w:id="2016" w:name="_Toc414290583"/>
      <w:bookmarkStart w:id="2017" w:name="_Toc15224"/>
      <w:bookmarkStart w:id="2018" w:name="_Toc29245"/>
      <w:bookmarkStart w:id="2019" w:name="_Toc9588"/>
      <w:bookmarkStart w:id="2020" w:name="_Toc9189"/>
      <w:bookmarkStart w:id="2021" w:name="_Toc15073"/>
      <w:bookmarkStart w:id="2022" w:name="_Toc18096"/>
      <w:r>
        <w:rPr>
          <w:rFonts w:hint="eastAsia" w:asciiTheme="minorEastAsia" w:hAnsiTheme="minorEastAsia" w:eastAsiaTheme="minorEastAsia"/>
          <w:b/>
          <w:color w:val="auto"/>
          <w:highlight w:val="none"/>
        </w:rPr>
        <w:t>3.2初步评审</w:t>
      </w:r>
    </w:p>
    <w:p>
      <w:pPr>
        <w:tabs>
          <w:tab w:val="left" w:pos="851"/>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（1）评审委员会将对比选申请文件的实质性内容进行初步评审，判定其内容是否真实、完整，是否满足比选文件要求并在实质性内容上予以响应。</w:t>
      </w:r>
    </w:p>
    <w:p>
      <w:pPr>
        <w:tabs>
          <w:tab w:val="left" w:pos="851"/>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评审委员会根据</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文件的要求对</w:t>
      </w:r>
      <w:r>
        <w:rPr>
          <w:rFonts w:hint="eastAsia" w:asciiTheme="minorEastAsia" w:hAnsiTheme="minorEastAsia" w:eastAsiaTheme="minorEastAsia"/>
          <w:color w:val="auto"/>
          <w:highlight w:val="none"/>
        </w:rPr>
        <w:t>比选申请</w:t>
      </w:r>
      <w:r>
        <w:rPr>
          <w:rFonts w:asciiTheme="minorEastAsia" w:hAnsiTheme="minorEastAsia" w:eastAsiaTheme="minorEastAsia"/>
          <w:color w:val="auto"/>
          <w:highlight w:val="none"/>
        </w:rPr>
        <w:t>人进行</w:t>
      </w:r>
      <w:r>
        <w:rPr>
          <w:rFonts w:hint="eastAsia" w:asciiTheme="minorEastAsia" w:hAnsiTheme="minorEastAsia" w:eastAsiaTheme="minorEastAsia"/>
          <w:color w:val="auto"/>
          <w:highlight w:val="none"/>
        </w:rPr>
        <w:t>符合性</w:t>
      </w:r>
      <w:r>
        <w:rPr>
          <w:rFonts w:asciiTheme="minorEastAsia" w:hAnsiTheme="minorEastAsia" w:eastAsiaTheme="minorEastAsia"/>
          <w:color w:val="auto"/>
          <w:highlight w:val="none"/>
        </w:rPr>
        <w:t>评审，未通过</w:t>
      </w:r>
      <w:r>
        <w:rPr>
          <w:rFonts w:hint="eastAsia" w:asciiTheme="minorEastAsia" w:hAnsiTheme="minorEastAsia" w:eastAsiaTheme="minorEastAsia"/>
          <w:color w:val="auto"/>
          <w:highlight w:val="none"/>
        </w:rPr>
        <w:t>符合性</w:t>
      </w:r>
      <w:r>
        <w:rPr>
          <w:rFonts w:asciiTheme="minorEastAsia" w:hAnsiTheme="minorEastAsia" w:eastAsiaTheme="minorEastAsia"/>
          <w:color w:val="auto"/>
          <w:highlight w:val="none"/>
        </w:rPr>
        <w:t>评审的</w:t>
      </w:r>
      <w:r>
        <w:rPr>
          <w:rFonts w:hint="eastAsia" w:asciiTheme="minorEastAsia" w:hAnsiTheme="minorEastAsia" w:eastAsiaTheme="minorEastAsia"/>
          <w:color w:val="auto"/>
          <w:highlight w:val="none"/>
        </w:rPr>
        <w:t>比选申请</w:t>
      </w:r>
      <w:r>
        <w:rPr>
          <w:rFonts w:asciiTheme="minorEastAsia" w:hAnsiTheme="minorEastAsia" w:eastAsiaTheme="minorEastAsia"/>
          <w:color w:val="auto"/>
          <w:highlight w:val="none"/>
        </w:rPr>
        <w:t>人不得进入下一阶段的评审。评审</w:t>
      </w:r>
      <w:r>
        <w:rPr>
          <w:rFonts w:hint="eastAsia" w:asciiTheme="minorEastAsia" w:hAnsiTheme="minorEastAsia" w:eastAsiaTheme="minorEastAsia"/>
          <w:color w:val="auto"/>
          <w:highlight w:val="none"/>
        </w:rPr>
        <w:t>标准</w:t>
      </w:r>
      <w:r>
        <w:rPr>
          <w:rFonts w:asciiTheme="minorEastAsia" w:hAnsiTheme="minorEastAsia" w:eastAsiaTheme="minorEastAsia"/>
          <w:color w:val="auto"/>
          <w:highlight w:val="none"/>
        </w:rPr>
        <w:t>见附表二《</w:t>
      </w:r>
      <w:r>
        <w:rPr>
          <w:rFonts w:hint="eastAsia" w:asciiTheme="minorEastAsia" w:hAnsiTheme="minorEastAsia" w:eastAsiaTheme="minorEastAsia"/>
          <w:color w:val="auto"/>
          <w:highlight w:val="none"/>
        </w:rPr>
        <w:t>符合性</w:t>
      </w:r>
      <w:r>
        <w:rPr>
          <w:rFonts w:asciiTheme="minorEastAsia" w:hAnsiTheme="minorEastAsia" w:eastAsiaTheme="minorEastAsia"/>
          <w:color w:val="auto"/>
          <w:highlight w:val="none"/>
        </w:rPr>
        <w:t>评审表》。</w:t>
      </w:r>
    </w:p>
    <w:p>
      <w:pPr>
        <w:tabs>
          <w:tab w:val="left" w:pos="851"/>
          <w:tab w:val="left" w:pos="1134"/>
        </w:tabs>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3.3价格评审</w:t>
      </w:r>
    </w:p>
    <w:p>
      <w:pPr>
        <w:tabs>
          <w:tab w:val="left" w:pos="851"/>
        </w:tabs>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3.3.1评审委员会</w:t>
      </w:r>
      <w:r>
        <w:rPr>
          <w:rFonts w:hint="eastAsia" w:asciiTheme="minorEastAsia" w:hAnsiTheme="minorEastAsia" w:eastAsiaTheme="minorEastAsia"/>
          <w:color w:val="auto"/>
          <w:highlight w:val="none"/>
        </w:rPr>
        <w:t>评审比选申请人的各项报价和清单是否清楚、完整，对报价和清单有重大偏差或缺漏项或不清晰而又不能做出合理解释的，其比选申请作否决比选申请处理。</w:t>
      </w:r>
    </w:p>
    <w:p>
      <w:pPr>
        <w:tabs>
          <w:tab w:val="left" w:pos="851"/>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.2评审委员会</w:t>
      </w:r>
      <w:r>
        <w:rPr>
          <w:rFonts w:hint="eastAsia" w:asciiTheme="minorEastAsia" w:hAnsiTheme="minorEastAsia" w:eastAsiaTheme="minorEastAsia"/>
          <w:color w:val="auto"/>
          <w:highlight w:val="none"/>
        </w:rPr>
        <w:t xml:space="preserve">对资格审查合格且通过初步评审的比选申请人比选申请报价进行算术修正，计算出评审总价。算术修正的原则如下： </w:t>
      </w:r>
    </w:p>
    <w:p>
      <w:pPr>
        <w:tabs>
          <w:tab w:val="left" w:pos="851"/>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）评审价以不含税总报价为基准。</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asciiTheme="minorEastAsia" w:hAnsiTheme="minorEastAsia" w:eastAsiaTheme="minorEastAsia"/>
          <w:color w:val="auto"/>
          <w:highlight w:val="none"/>
        </w:rPr>
        <w:t>（2）比选申请报价大写金额与小写金额不一致的，以大写金额为准</w:t>
      </w:r>
      <w:r>
        <w:rPr>
          <w:rFonts w:asciiTheme="minorEastAsia" w:hAnsiTheme="minorEastAsia" w:eastAsiaTheme="minorEastAsia"/>
          <w:color w:val="auto"/>
          <w:highlight w:val="none"/>
        </w:rPr>
        <w:t>。</w:t>
      </w:r>
    </w:p>
    <w:p>
      <w:pPr>
        <w:pStyle w:val="74"/>
        <w:tabs>
          <w:tab w:val="left" w:pos="567"/>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3.3.3出现下列情况的将不通过价格评审：</w:t>
      </w:r>
    </w:p>
    <w:p>
      <w:pPr>
        <w:pStyle w:val="74"/>
        <w:tabs>
          <w:tab w:val="left" w:pos="567"/>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3.3.4价格评审结果</w:t>
      </w:r>
    </w:p>
    <w:p>
      <w:pPr>
        <w:tabs>
          <w:tab w:val="left" w:pos="851"/>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通过价格评审计算出比选申请人的实际评审总价，填写《比选申请价格评审表》（见附表三），由评审委员根据通过资格审查及符合性评审的比选申请人报价</w:t>
      </w:r>
      <w:r>
        <w:rPr>
          <w:rFonts w:hint="eastAsia" w:cs="Arial" w:asciiTheme="minorEastAsia" w:hAnsiTheme="minorEastAsia" w:eastAsiaTheme="minorEastAsia"/>
          <w:color w:val="auto"/>
          <w:highlight w:val="none"/>
        </w:rPr>
        <w:t>按照由低到高的顺序提出</w:t>
      </w:r>
      <w:r>
        <w:rPr>
          <w:rFonts w:cs="Arial" w:asciiTheme="minorEastAsia" w:hAnsiTheme="minorEastAsia" w:eastAsiaTheme="minorEastAsia"/>
          <w:color w:val="auto"/>
          <w:highlight w:val="none"/>
        </w:rPr>
        <w:t>1-3</w:t>
      </w:r>
      <w:r>
        <w:rPr>
          <w:rFonts w:hint="eastAsia" w:cs="Arial" w:asciiTheme="minorEastAsia" w:hAnsiTheme="minorEastAsia" w:eastAsiaTheme="minorEastAsia"/>
          <w:color w:val="auto"/>
          <w:highlight w:val="none"/>
        </w:rPr>
        <w:t>名中选候选人，并编写评审报告。</w:t>
      </w:r>
    </w:p>
    <w:p>
      <w:pPr>
        <w:tabs>
          <w:tab w:val="left" w:pos="567"/>
        </w:tabs>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3.4</w:t>
      </w:r>
      <w:r>
        <w:rPr>
          <w:rFonts w:asciiTheme="minorEastAsia" w:hAnsiTheme="minorEastAsia" w:eastAsiaTheme="minorEastAsia"/>
          <w:b/>
          <w:color w:val="auto"/>
          <w:highlight w:val="none"/>
        </w:rPr>
        <w:t>澄清或补正</w:t>
      </w:r>
    </w:p>
    <w:p>
      <w:pPr>
        <w:tabs>
          <w:tab w:val="left" w:pos="851"/>
          <w:tab w:val="left" w:pos="1134"/>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3.4.2</w:t>
      </w:r>
      <w:r>
        <w:rPr>
          <w:rFonts w:asciiTheme="minorEastAsia" w:hAnsiTheme="minorEastAsia" w:eastAsiaTheme="minorEastAsia"/>
          <w:color w:val="auto"/>
          <w:highlight w:val="none"/>
        </w:rPr>
        <w:t>比选申请人须以书面形式提供澄清或补正文件，经评审委员会确认方可作为比选申请文件的组成部分。</w:t>
      </w:r>
    </w:p>
    <w:p>
      <w:pPr>
        <w:tabs>
          <w:tab w:val="left" w:pos="851"/>
          <w:tab w:val="left" w:pos="1134"/>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3.4.3</w:t>
      </w:r>
      <w:r>
        <w:rPr>
          <w:rFonts w:asciiTheme="minorEastAsia" w:hAnsiTheme="minorEastAsia" w:eastAsiaTheme="minorEastAsia"/>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3.4.4</w:t>
      </w:r>
      <w:r>
        <w:rPr>
          <w:rFonts w:asciiTheme="minorEastAsia" w:hAnsiTheme="minorEastAsia" w:eastAsiaTheme="minorEastAsia"/>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3.4.5</w:t>
      </w:r>
      <w:r>
        <w:rPr>
          <w:rFonts w:asciiTheme="minorEastAsia" w:hAnsiTheme="minorEastAsia" w:eastAsiaTheme="minorEastAsia"/>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3.5</w:t>
      </w:r>
      <w:r>
        <w:rPr>
          <w:rFonts w:asciiTheme="minorEastAsia" w:hAnsiTheme="minorEastAsia" w:eastAsiaTheme="minorEastAsia"/>
          <w:b/>
          <w:color w:val="auto"/>
          <w:highlight w:val="none"/>
        </w:rPr>
        <w:t>评审报告</w:t>
      </w:r>
    </w:p>
    <w:p>
      <w:pPr>
        <w:tabs>
          <w:tab w:val="left" w:pos="993"/>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Theme="minorEastAsia" w:hAnsiTheme="minorEastAsia" w:eastAsiaTheme="minorEastAsia"/>
          <w:color w:val="auto"/>
          <w:highlight w:val="none"/>
        </w:rPr>
        <w:t>。</w:t>
      </w:r>
    </w:p>
    <w:p>
      <w:pPr>
        <w:spacing w:line="360" w:lineRule="auto"/>
        <w:ind w:firstLine="420" w:firstLineChars="200"/>
        <w:rPr>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）评审委员会根据报价按由低到高的顺序进行排序。</w:t>
      </w:r>
      <w:r>
        <w:rPr>
          <w:rFonts w:asciiTheme="minorEastAsia" w:hAnsiTheme="minorEastAsia" w:eastAsiaTheme="minorEastAsia"/>
          <w:color w:val="auto"/>
          <w:highlight w:val="none"/>
        </w:rPr>
        <w:t>并在评审报告中</w:t>
      </w:r>
      <w:r>
        <w:rPr>
          <w:rFonts w:hint="eastAsia" w:asciiTheme="minorEastAsia" w:hAnsiTheme="minorEastAsia" w:eastAsiaTheme="minorEastAsia"/>
          <w:color w:val="auto"/>
          <w:highlight w:val="none"/>
        </w:rPr>
        <w:t>推荐报价最低的比选申请人为第一中选候选人，推荐第二低者为第二中选候选人，第三低者为第三中选候选人。如果有</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个或</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个以上的比选申请人报价相同的</w:t>
      </w:r>
      <w:r>
        <w:rPr>
          <w:rFonts w:hint="eastAsia" w:cs="Arial" w:asciiTheme="minorEastAsia" w:hAnsiTheme="minorEastAsia" w:eastAsiaTheme="minorEastAsia"/>
          <w:color w:val="auto"/>
          <w:highlight w:val="none"/>
        </w:rPr>
        <w:t>，以评标委员会记名投票的方式按少数服从多数的原则决定其排名顺序。</w:t>
      </w:r>
    </w:p>
    <w:p>
      <w:pPr>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3.6</w:t>
      </w:r>
      <w:r>
        <w:rPr>
          <w:rFonts w:asciiTheme="minorEastAsia" w:hAnsiTheme="minorEastAsia" w:eastAsiaTheme="minorEastAsia"/>
          <w:b/>
          <w:color w:val="auto"/>
          <w:highlight w:val="none"/>
        </w:rPr>
        <w:t>否决比选申请条件</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比选申请文件有下列情形之一的，评审委员会应按否决比选申请处理：</w:t>
      </w:r>
    </w:p>
    <w:p>
      <w:pPr>
        <w:tabs>
          <w:tab w:val="left" w:pos="1276"/>
        </w:tabs>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（1）不符合附表一《资格审查表》规定的；</w:t>
      </w:r>
    </w:p>
    <w:p>
      <w:pPr>
        <w:tabs>
          <w:tab w:val="left" w:pos="1276"/>
        </w:tabs>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（2）不符合附表二《符合性评审表》规定的；</w:t>
      </w:r>
    </w:p>
    <w:p>
      <w:pPr>
        <w:tabs>
          <w:tab w:val="left" w:pos="1276"/>
        </w:tabs>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（3）法定代表人未按规定出具授权委托书的</w:t>
      </w:r>
      <w:r>
        <w:rPr>
          <w:rFonts w:hint="eastAsia" w:asciiTheme="minorEastAsia" w:hAnsiTheme="minorEastAsia" w:eastAsiaTheme="minorEastAsia"/>
          <w:b/>
          <w:color w:val="auto"/>
          <w:highlight w:val="none"/>
          <w:lang w:eastAsia="zh-CN"/>
        </w:rPr>
        <w:t>（</w:t>
      </w:r>
      <w:r>
        <w:rPr>
          <w:rFonts w:hint="eastAsia" w:asciiTheme="minorEastAsia" w:hAnsiTheme="minorEastAsia" w:eastAsiaTheme="minorEastAsia"/>
          <w:b/>
          <w:color w:val="auto"/>
          <w:highlight w:val="none"/>
        </w:rPr>
        <w:t>采用委托代理人形式的</w:t>
      </w:r>
      <w:r>
        <w:rPr>
          <w:rFonts w:hint="eastAsia" w:asciiTheme="minorEastAsia" w:hAnsiTheme="minorEastAsia" w:eastAsiaTheme="minorEastAsia"/>
          <w:b/>
          <w:color w:val="auto"/>
          <w:highlight w:val="none"/>
          <w:lang w:eastAsia="zh-CN"/>
        </w:rPr>
        <w:t>）</w:t>
      </w:r>
      <w:r>
        <w:rPr>
          <w:rFonts w:hint="eastAsia" w:asciiTheme="minorEastAsia" w:hAnsiTheme="minorEastAsia" w:eastAsiaTheme="minorEastAsia"/>
          <w:b/>
          <w:color w:val="auto"/>
          <w:highlight w:val="none"/>
        </w:rPr>
        <w:t>；</w:t>
      </w:r>
    </w:p>
    <w:p>
      <w:pPr>
        <w:tabs>
          <w:tab w:val="left" w:pos="1276"/>
        </w:tabs>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（4）在比选申请文件中有虚假文件和/或资料的；</w:t>
      </w:r>
    </w:p>
    <w:p>
      <w:pPr>
        <w:tabs>
          <w:tab w:val="left" w:pos="1276"/>
        </w:tabs>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（5）比选申请文件中附有比选人不能接受的条件；</w:t>
      </w:r>
    </w:p>
    <w:p>
      <w:pPr>
        <w:tabs>
          <w:tab w:val="left" w:pos="1276"/>
        </w:tabs>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（6）比选申请文件实质上不响应比选文件的要求的</w:t>
      </w:r>
    </w:p>
    <w:p>
      <w:pPr>
        <w:tabs>
          <w:tab w:val="left" w:pos="1276"/>
        </w:tabs>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 xml:space="preserve">（7）比选申请人以经评审委员会评审认定为低于成本的报价竞标； </w:t>
      </w:r>
    </w:p>
    <w:p>
      <w:pPr>
        <w:tabs>
          <w:tab w:val="left" w:pos="1276"/>
        </w:tabs>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（8）比选申请人扰乱会场秩序，经劝阻仍然无理取闹的；</w:t>
      </w:r>
    </w:p>
    <w:p>
      <w:pPr>
        <w:tabs>
          <w:tab w:val="left" w:pos="1276"/>
        </w:tabs>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（9）比选申请人未能按照评审委员会要求，对其比选申请文件进行澄清、说明和补正的；</w:t>
      </w:r>
    </w:p>
    <w:p>
      <w:pPr>
        <w:tabs>
          <w:tab w:val="left" w:pos="1276"/>
        </w:tabs>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（10）比选申请人以他人的名义比选申请、串通比选申请、以行贿手段谋取中选或者以其他弄虚作假方式比选申请的。</w:t>
      </w:r>
    </w:p>
    <w:p>
      <w:pPr>
        <w:tabs>
          <w:tab w:val="left" w:pos="1276"/>
        </w:tabs>
        <w:ind w:left="420"/>
        <w:jc w:val="left"/>
        <w:rPr>
          <w:rFonts w:asciiTheme="minorEastAsia" w:hAnsiTheme="minorEastAsia" w:eastAsiaTheme="minorEastAsia"/>
          <w:b/>
          <w:color w:val="auto"/>
          <w:highlight w:val="none"/>
        </w:rPr>
        <w:sectPr>
          <w:pgSz w:w="11905" w:h="16838"/>
          <w:pgMar w:top="1418" w:right="1418" w:bottom="1304" w:left="1418" w:header="454" w:footer="567" w:gutter="0"/>
          <w:cols w:space="720" w:num="1"/>
          <w:docGrid w:linePitch="312" w:charSpace="0"/>
        </w:sectPr>
      </w:pPr>
    </w:p>
    <w:p>
      <w:pPr>
        <w:pStyle w:val="4"/>
        <w:spacing w:after="0" w:line="360" w:lineRule="auto"/>
        <w:ind w:right="-57"/>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附表一 资格审查表</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snapToGrid w:val="0"/>
        <w:spacing w:line="360" w:lineRule="exact"/>
        <w:ind w:left="420" w:right="240"/>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703"/>
        <w:gridCol w:w="4440"/>
        <w:gridCol w:w="885"/>
        <w:gridCol w:w="735"/>
        <w:gridCol w:w="20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703" w:type="dxa"/>
            <w:vAlign w:val="center"/>
          </w:tcPr>
          <w:p>
            <w:pPr>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w:t>
            </w:r>
          </w:p>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内容</w:t>
            </w:r>
          </w:p>
        </w:tc>
        <w:tc>
          <w:tcPr>
            <w:tcW w:w="4440"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合格条件标准</w:t>
            </w:r>
          </w:p>
        </w:tc>
        <w:tc>
          <w:tcPr>
            <w:tcW w:w="88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评审依据</w:t>
            </w:r>
          </w:p>
        </w:tc>
        <w:tc>
          <w:tcPr>
            <w:tcW w:w="73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评审结果（合格</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不合格）</w:t>
            </w:r>
          </w:p>
        </w:tc>
        <w:tc>
          <w:tcPr>
            <w:tcW w:w="2060"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p>
        </w:tc>
        <w:tc>
          <w:tcPr>
            <w:tcW w:w="703"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身份证明材料</w:t>
            </w:r>
          </w:p>
        </w:tc>
        <w:tc>
          <w:tcPr>
            <w:tcW w:w="4440"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比选申请人为中华人民共和国境内依法设立的法人或其他组织。（若以分公司名义参与比选申请，必须出具总公司授权参与的证明。）</w:t>
            </w:r>
          </w:p>
        </w:tc>
        <w:tc>
          <w:tcPr>
            <w:tcW w:w="885"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法定代表人授权书，法定代表人资格证明书和身份证复印件</w:t>
            </w:r>
          </w:p>
        </w:tc>
        <w:tc>
          <w:tcPr>
            <w:tcW w:w="735" w:type="dxa"/>
            <w:vAlign w:val="center"/>
          </w:tcPr>
          <w:p>
            <w:pPr>
              <w:rPr>
                <w:rFonts w:hint="eastAsia"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11" w:hRule="atLeast"/>
          <w:jc w:val="center"/>
        </w:trPr>
        <w:tc>
          <w:tcPr>
            <w:tcW w:w="437" w:type="dxa"/>
            <w:vAlign w:val="center"/>
          </w:tcPr>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p>
        </w:tc>
        <w:tc>
          <w:tcPr>
            <w:tcW w:w="703"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经营范围</w:t>
            </w:r>
          </w:p>
        </w:tc>
        <w:tc>
          <w:tcPr>
            <w:tcW w:w="4440"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包含虫害防治、消毒杀菌服务（以上项目除国家有专项规定外）</w:t>
            </w:r>
            <w:r>
              <w:rPr>
                <w:rFonts w:hint="eastAsia" w:asciiTheme="minorEastAsia" w:hAnsiTheme="minorEastAsia" w:eastAsiaTheme="minorEastAsia"/>
                <w:color w:val="auto"/>
                <w:highlight w:val="none"/>
                <w:lang w:val="en-US" w:eastAsia="zh-CN"/>
              </w:rPr>
              <w:t>等类似范围</w:t>
            </w:r>
            <w:r>
              <w:rPr>
                <w:rFonts w:hint="eastAsia" w:asciiTheme="minorEastAsia" w:hAnsiTheme="minorEastAsia" w:eastAsiaTheme="minorEastAsia"/>
                <w:color w:val="auto"/>
                <w:highlight w:val="none"/>
                <w:lang w:eastAsia="zh-CN"/>
              </w:rPr>
              <w:t>。</w:t>
            </w:r>
          </w:p>
        </w:tc>
        <w:tc>
          <w:tcPr>
            <w:tcW w:w="885" w:type="dxa"/>
            <w:vAlign w:val="center"/>
          </w:tcPr>
          <w:p>
            <w:pP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营业执照副本</w:t>
            </w:r>
            <w:r>
              <w:rPr>
                <w:rFonts w:hint="eastAsia" w:asciiTheme="minorEastAsia" w:hAnsiTheme="minorEastAsia" w:eastAsiaTheme="minorEastAsia"/>
                <w:color w:val="auto"/>
                <w:highlight w:val="none"/>
                <w:lang w:eastAsia="zh-CN"/>
              </w:rPr>
              <w:t>，原件备查</w:t>
            </w:r>
          </w:p>
        </w:tc>
        <w:tc>
          <w:tcPr>
            <w:tcW w:w="735" w:type="dxa"/>
            <w:vAlign w:val="center"/>
          </w:tcPr>
          <w:p>
            <w:pPr>
              <w:rPr>
                <w:rFonts w:hint="eastAsia"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3</w:t>
            </w:r>
          </w:p>
        </w:tc>
        <w:tc>
          <w:tcPr>
            <w:tcW w:w="703"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业绩</w:t>
            </w:r>
          </w:p>
        </w:tc>
        <w:tc>
          <w:tcPr>
            <w:tcW w:w="4440" w:type="dxa"/>
            <w:vAlign w:val="center"/>
          </w:tcPr>
          <w:p>
            <w:pP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比选申请人自2018年1月1日起（自中标通知书或合同签署之日至本工程投标截止之日止）承担的</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四害</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消杀项目业绩</w:t>
            </w:r>
            <w:r>
              <w:rPr>
                <w:rFonts w:hint="eastAsia"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szCs w:val="21"/>
                <w:highlight w:val="none"/>
                <w:u w:val="none"/>
                <w:lang w:val="en-US" w:eastAsia="zh-CN"/>
              </w:rPr>
              <w:t>至少1项业绩</w:t>
            </w:r>
            <w:r>
              <w:rPr>
                <w:rFonts w:hint="eastAsia" w:asciiTheme="minorEastAsia" w:hAnsiTheme="minorEastAsia" w:eastAsiaTheme="minorEastAsia"/>
                <w:color w:val="auto"/>
                <w:highlight w:val="none"/>
                <w:lang w:eastAsia="zh-CN"/>
              </w:rPr>
              <w:t>。</w:t>
            </w:r>
          </w:p>
        </w:tc>
        <w:tc>
          <w:tcPr>
            <w:tcW w:w="885"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证书复印件，原件备查</w:t>
            </w:r>
          </w:p>
        </w:tc>
        <w:tc>
          <w:tcPr>
            <w:tcW w:w="735" w:type="dxa"/>
            <w:vAlign w:val="center"/>
          </w:tcPr>
          <w:p>
            <w:pPr>
              <w:rPr>
                <w:rFonts w:hint="eastAsia"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合同或中标通知书（</w:t>
            </w:r>
            <w:r>
              <w:rPr>
                <w:rFonts w:hint="eastAsia" w:asciiTheme="minorEastAsia" w:hAnsiTheme="minorEastAsia" w:eastAsiaTheme="minorEastAsia"/>
                <w:color w:val="auto"/>
                <w:highlight w:val="none"/>
                <w:lang w:val="en-US" w:eastAsia="zh-CN"/>
              </w:rPr>
              <w:t>复印件</w:t>
            </w:r>
            <w:r>
              <w:rPr>
                <w:rFonts w:hint="eastAsia" w:asciiTheme="minorEastAsia" w:hAnsiTheme="minorEastAsia" w:eastAsiaTheme="minorEastAsia"/>
                <w:color w:val="auto"/>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4</w:t>
            </w:r>
          </w:p>
        </w:tc>
        <w:tc>
          <w:tcPr>
            <w:tcW w:w="703" w:type="dxa"/>
            <w:vAlign w:val="center"/>
          </w:tcPr>
          <w:p>
            <w:pP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申请人资格1</w:t>
            </w:r>
          </w:p>
        </w:tc>
        <w:tc>
          <w:tcPr>
            <w:tcW w:w="4440" w:type="dxa"/>
            <w:vAlign w:val="center"/>
          </w:tcPr>
          <w:p>
            <w:pP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比选申请人持有有害生物防治服务企业资质证书国家A级，可在国家标准化管理委员会（http://www.sac.gov.cn/）</w:t>
            </w:r>
            <w:r>
              <w:rPr>
                <w:rFonts w:hint="eastAsia" w:asciiTheme="minorEastAsia" w:hAnsiTheme="minorEastAsia" w:eastAsiaTheme="minorEastAsia"/>
                <w:color w:val="auto"/>
                <w:highlight w:val="none"/>
                <w:lang w:val="en-US" w:eastAsia="zh-CN"/>
              </w:rPr>
              <w:t>查询，</w:t>
            </w:r>
            <w:r>
              <w:rPr>
                <w:rFonts w:hint="default" w:asciiTheme="minorEastAsia" w:hAnsiTheme="minorEastAsia" w:eastAsiaTheme="minorEastAsia"/>
                <w:color w:val="auto"/>
                <w:highlight w:val="none"/>
              </w:rPr>
              <w:t>提供复印件，原件备查</w:t>
            </w:r>
            <w:r>
              <w:rPr>
                <w:rFonts w:hint="eastAsia" w:asciiTheme="minorEastAsia" w:hAnsiTheme="minorEastAsia" w:eastAsiaTheme="minorEastAsia"/>
                <w:color w:val="auto"/>
                <w:highlight w:val="none"/>
                <w:lang w:eastAsia="zh-CN"/>
              </w:rPr>
              <w:t>。</w:t>
            </w:r>
          </w:p>
        </w:tc>
        <w:tc>
          <w:tcPr>
            <w:tcW w:w="885"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证书复印件，原件备查</w:t>
            </w:r>
          </w:p>
        </w:tc>
        <w:tc>
          <w:tcPr>
            <w:tcW w:w="735" w:type="dxa"/>
            <w:vAlign w:val="center"/>
          </w:tcPr>
          <w:p>
            <w:pPr>
              <w:rPr>
                <w:rFonts w:hint="eastAsia"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有害生物防治服务企业资质证书国家A级</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lang w:val="en-US" w:eastAsia="zh-CN"/>
              </w:rPr>
              <w:t>复印件</w:t>
            </w:r>
            <w:r>
              <w:rPr>
                <w:rFonts w:hint="eastAsia" w:asciiTheme="minorEastAsia" w:hAnsiTheme="minorEastAsia" w:eastAsiaTheme="minorEastAsia"/>
                <w:color w:val="auto"/>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5</w:t>
            </w:r>
          </w:p>
        </w:tc>
        <w:tc>
          <w:tcPr>
            <w:tcW w:w="703" w:type="dxa"/>
            <w:vAlign w:val="center"/>
          </w:tcPr>
          <w:p>
            <w:pP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eastAsia="zh-CN"/>
              </w:rPr>
              <w:t>申请人资格</w:t>
            </w:r>
            <w:r>
              <w:rPr>
                <w:rFonts w:hint="eastAsia" w:asciiTheme="minorEastAsia" w:hAnsiTheme="minorEastAsia" w:eastAsiaTheme="minorEastAsia"/>
                <w:color w:val="auto"/>
                <w:highlight w:val="none"/>
                <w:lang w:val="en-US" w:eastAsia="zh-CN"/>
              </w:rPr>
              <w:t>2</w:t>
            </w:r>
          </w:p>
        </w:tc>
        <w:tc>
          <w:tcPr>
            <w:tcW w:w="4440"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fldChar w:fldCharType="begin"/>
            </w:r>
            <w:r>
              <w:rPr>
                <w:rFonts w:hint="eastAsia" w:asciiTheme="minorEastAsia" w:hAnsiTheme="minorEastAsia" w:eastAsiaTheme="minorEastAsia"/>
                <w:color w:val="auto"/>
                <w:highlight w:val="none"/>
              </w:rPr>
              <w:instrText xml:space="preserve"> HYPERLINK "http://www.sac.gov.cn/）环境管理体系认证证书" \t "_blank" </w:instrText>
            </w:r>
            <w:r>
              <w:rPr>
                <w:rFonts w:hint="eastAsia" w:asciiTheme="minorEastAsia" w:hAnsiTheme="minorEastAsia" w:eastAsiaTheme="minorEastAsia"/>
                <w:color w:val="auto"/>
                <w:highlight w:val="none"/>
              </w:rPr>
              <w:fldChar w:fldCharType="separate"/>
            </w:r>
            <w:r>
              <w:rPr>
                <w:rFonts w:hint="eastAsia" w:asciiTheme="minorEastAsia" w:hAnsiTheme="minorEastAsia" w:eastAsiaTheme="minorEastAsia"/>
                <w:color w:val="auto"/>
                <w:highlight w:val="none"/>
                <w:lang w:val="en-US" w:eastAsia="zh-CN"/>
              </w:rPr>
              <w:t>比选申请人持有</w:t>
            </w:r>
            <w:r>
              <w:rPr>
                <w:rFonts w:hint="eastAsia" w:asciiTheme="minorEastAsia" w:hAnsiTheme="minorEastAsia" w:eastAsiaTheme="minorEastAsia"/>
                <w:color w:val="auto"/>
                <w:highlight w:val="none"/>
              </w:rPr>
              <w:t>环境管理体系认证证书</w:t>
            </w:r>
            <w:r>
              <w:rPr>
                <w:rFonts w:hint="eastAsia" w:asciiTheme="minorEastAsia" w:hAnsiTheme="minorEastAsia" w:eastAsiaTheme="minorEastAsia"/>
                <w:color w:val="auto"/>
                <w:highlight w:val="none"/>
              </w:rPr>
              <w:fldChar w:fldCharType="end"/>
            </w:r>
            <w:r>
              <w:rPr>
                <w:rFonts w:hint="eastAsia" w:asciiTheme="minorEastAsia" w:hAnsiTheme="minorEastAsia" w:eastAsiaTheme="minorEastAsia"/>
                <w:color w:val="auto"/>
                <w:highlight w:val="none"/>
              </w:rPr>
              <w:t>，职业健康安全管理体系认证证书，质量管理体系认证证书。证书在国家认证认可监督管理委员</w:t>
            </w:r>
            <w:r>
              <w:rPr>
                <w:rFonts w:hint="eastAsia" w:asciiTheme="minorEastAsia" w:hAnsiTheme="minorEastAsia" w:eastAsiaTheme="minorEastAsia"/>
                <w:color w:val="auto"/>
                <w:highlight w:val="none"/>
                <w:lang w:eastAsia="zh-CN"/>
              </w:rPr>
              <w:t>会（</w:t>
            </w:r>
            <w:r>
              <w:rPr>
                <w:rFonts w:hint="eastAsia" w:asciiTheme="minorEastAsia" w:hAnsiTheme="minorEastAsia" w:eastAsiaTheme="minorEastAsia"/>
                <w:color w:val="auto"/>
                <w:highlight w:val="none"/>
              </w:rPr>
              <w:fldChar w:fldCharType="begin"/>
            </w:r>
            <w:r>
              <w:rPr>
                <w:rFonts w:hint="eastAsia" w:asciiTheme="minorEastAsia" w:hAnsiTheme="minorEastAsia" w:eastAsiaTheme="minorEastAsia"/>
                <w:color w:val="auto"/>
                <w:highlight w:val="none"/>
              </w:rPr>
              <w:instrText xml:space="preserve"> HYPERLINK "http://www.cnca.gov.cn/" \t "_blank" </w:instrText>
            </w:r>
            <w:r>
              <w:rPr>
                <w:rFonts w:hint="eastAsia" w:asciiTheme="minorEastAsia" w:hAnsiTheme="minorEastAsia" w:eastAsiaTheme="minorEastAsia"/>
                <w:color w:val="auto"/>
                <w:highlight w:val="none"/>
              </w:rPr>
              <w:fldChar w:fldCharType="separate"/>
            </w:r>
            <w:r>
              <w:rPr>
                <w:rFonts w:hint="eastAsia" w:asciiTheme="minorEastAsia" w:hAnsiTheme="minorEastAsia" w:eastAsiaTheme="minorEastAsia"/>
                <w:color w:val="auto"/>
                <w:highlight w:val="none"/>
              </w:rPr>
              <w:t>http://www.cnca.gov.cn/</w:t>
            </w:r>
            <w:r>
              <w:rPr>
                <w:rFonts w:hint="eastAsia" w:asciiTheme="minorEastAsia" w:hAnsiTheme="minorEastAsia" w:eastAsiaTheme="minorEastAsia"/>
                <w:color w:val="auto"/>
                <w:highlight w:val="none"/>
              </w:rPr>
              <w:fldChar w:fldCharType="end"/>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lang w:val="en-US" w:eastAsia="zh-CN"/>
              </w:rPr>
              <w:t>或</w:t>
            </w:r>
            <w:r>
              <w:rPr>
                <w:rFonts w:hint="eastAsia" w:asciiTheme="minorEastAsia" w:hAnsiTheme="minorEastAsia" w:eastAsiaTheme="minorEastAsia"/>
                <w:color w:val="auto"/>
                <w:highlight w:val="none"/>
              </w:rPr>
              <w:t>亚马逊国际认证公示网（ https://www.aws-iso.com）</w:t>
            </w:r>
            <w:r>
              <w:rPr>
                <w:rFonts w:hint="eastAsia" w:asciiTheme="minorEastAsia" w:hAnsiTheme="minorEastAsia" w:eastAsiaTheme="minorEastAsia"/>
                <w:color w:val="auto"/>
                <w:highlight w:val="none"/>
                <w:lang w:val="en-US" w:eastAsia="zh-CN"/>
              </w:rPr>
              <w:t>查询，</w:t>
            </w:r>
            <w:r>
              <w:rPr>
                <w:rFonts w:hint="default" w:asciiTheme="minorEastAsia" w:hAnsiTheme="minorEastAsia" w:eastAsiaTheme="minorEastAsia"/>
                <w:color w:val="auto"/>
                <w:highlight w:val="none"/>
              </w:rPr>
              <w:t>提供复印件，原件备查</w:t>
            </w:r>
            <w:r>
              <w:rPr>
                <w:rFonts w:hint="eastAsia" w:asciiTheme="minorEastAsia" w:hAnsiTheme="minorEastAsia" w:eastAsiaTheme="minorEastAsia"/>
                <w:color w:val="auto"/>
                <w:highlight w:val="none"/>
                <w:lang w:eastAsia="zh-CN"/>
              </w:rPr>
              <w:t>。</w:t>
            </w:r>
          </w:p>
          <w:p>
            <w:pPr>
              <w:rPr>
                <w:rFonts w:hint="eastAsia" w:asciiTheme="minorEastAsia" w:hAnsiTheme="minorEastAsia" w:eastAsiaTheme="minorEastAsia"/>
                <w:color w:val="auto"/>
                <w:highlight w:val="none"/>
                <w:lang w:val="en-US" w:eastAsia="zh-CN"/>
              </w:rPr>
            </w:pPr>
          </w:p>
        </w:tc>
        <w:tc>
          <w:tcPr>
            <w:tcW w:w="885"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证书复印件，原件备查</w:t>
            </w:r>
          </w:p>
        </w:tc>
        <w:tc>
          <w:tcPr>
            <w:tcW w:w="735" w:type="dxa"/>
            <w:vAlign w:val="center"/>
          </w:tcPr>
          <w:p>
            <w:pPr>
              <w:rPr>
                <w:rFonts w:hint="eastAsia"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fldChar w:fldCharType="begin"/>
            </w:r>
            <w:r>
              <w:rPr>
                <w:rFonts w:hint="eastAsia" w:asciiTheme="minorEastAsia" w:hAnsiTheme="minorEastAsia" w:eastAsiaTheme="minorEastAsia"/>
                <w:color w:val="auto"/>
                <w:highlight w:val="none"/>
              </w:rPr>
              <w:instrText xml:space="preserve"> HYPERLINK "http://www.sac.gov.cn/）环境管理体系认证证书" \t "_blank" </w:instrText>
            </w:r>
            <w:r>
              <w:rPr>
                <w:rFonts w:hint="eastAsia" w:asciiTheme="minorEastAsia" w:hAnsiTheme="minorEastAsia" w:eastAsiaTheme="minorEastAsia"/>
                <w:color w:val="auto"/>
                <w:highlight w:val="none"/>
              </w:rPr>
              <w:fldChar w:fldCharType="separate"/>
            </w:r>
            <w:r>
              <w:rPr>
                <w:rFonts w:hint="eastAsia" w:asciiTheme="minorEastAsia" w:hAnsiTheme="minorEastAsia" w:eastAsiaTheme="minorEastAsia"/>
                <w:color w:val="auto"/>
                <w:highlight w:val="none"/>
              </w:rPr>
              <w:t>环境管理体系认证证书</w:t>
            </w:r>
            <w:r>
              <w:rPr>
                <w:rFonts w:hint="eastAsia" w:asciiTheme="minorEastAsia" w:hAnsiTheme="minorEastAsia" w:eastAsiaTheme="minorEastAsia"/>
                <w:color w:val="auto"/>
                <w:highlight w:val="none"/>
              </w:rPr>
              <w:fldChar w:fldCharType="end"/>
            </w:r>
            <w:r>
              <w:rPr>
                <w:rFonts w:hint="eastAsia" w:asciiTheme="minorEastAsia" w:hAnsiTheme="minorEastAsia" w:eastAsiaTheme="minorEastAsia"/>
                <w:color w:val="auto"/>
                <w:highlight w:val="none"/>
              </w:rPr>
              <w:t>，职业健康安全管理体系认证证书，质量管理体系认证证书。</w:t>
            </w:r>
            <w:r>
              <w:rPr>
                <w:rFonts w:hint="eastAsia" w:asciiTheme="minorEastAsia" w:hAnsiTheme="minorEastAsia" w:eastAsiaTheme="minorEastAsia"/>
                <w:color w:val="auto"/>
                <w:highlight w:val="none"/>
                <w:lang w:eastAsia="zh-CN"/>
              </w:rPr>
              <w:t>（复印件）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6</w:t>
            </w:r>
          </w:p>
        </w:tc>
        <w:tc>
          <w:tcPr>
            <w:tcW w:w="703" w:type="dxa"/>
            <w:vAlign w:val="center"/>
          </w:tcPr>
          <w:p>
            <w:pPr>
              <w:rPr>
                <w:rFonts w:hint="default" w:asciiTheme="minorEastAsia" w:hAnsiTheme="minorEastAsia" w:eastAsiaTheme="minorEastAsia"/>
                <w:color w:val="auto"/>
                <w:highlight w:val="none"/>
                <w:lang w:val="en-US" w:eastAsia="zh-CN"/>
              </w:rPr>
            </w:pPr>
            <w:r>
              <w:rPr>
                <w:rFonts w:hint="eastAsia" w:cs="宋体" w:asciiTheme="minorEastAsia" w:hAnsiTheme="minorEastAsia" w:eastAsiaTheme="minorEastAsia"/>
                <w:color w:val="auto"/>
                <w:szCs w:val="21"/>
                <w:highlight w:val="none"/>
                <w:lang w:eastAsia="zh-CN"/>
              </w:rPr>
              <w:t>承诺书</w:t>
            </w:r>
          </w:p>
        </w:tc>
        <w:tc>
          <w:tcPr>
            <w:tcW w:w="4440" w:type="dxa"/>
            <w:vAlign w:val="center"/>
          </w:tcPr>
          <w:p>
            <w:pPr>
              <w:spacing w:line="360" w:lineRule="auto"/>
              <w:jc w:val="left"/>
              <w:rPr>
                <w:rFonts w:hint="eastAsia" w:ascii="Calibri" w:hAnsi="Calibri" w:eastAsia="宋体" w:cs="Times New Roman"/>
                <w:color w:val="auto"/>
                <w:kern w:val="2"/>
                <w:sz w:val="21"/>
                <w:szCs w:val="22"/>
                <w:highlight w:val="none"/>
                <w:lang w:val="en-US" w:eastAsia="zh-CN" w:bidi="ar-SA"/>
              </w:rPr>
            </w:pPr>
            <w:r>
              <w:rPr>
                <w:rFonts w:hint="eastAsia" w:cs="宋体" w:asciiTheme="minorEastAsia" w:hAnsiTheme="minorEastAsia" w:eastAsiaTheme="minorEastAsia"/>
                <w:color w:val="auto"/>
                <w:szCs w:val="21"/>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r>
              <w:rPr>
                <w:rFonts w:hint="eastAsia" w:cs="宋体" w:asciiTheme="minorEastAsia" w:hAnsiTheme="minorEastAsia" w:eastAsiaTheme="minorEastAsia"/>
                <w:color w:val="auto"/>
                <w:szCs w:val="21"/>
                <w:highlight w:val="none"/>
                <w:lang w:eastAsia="zh-CN"/>
              </w:rPr>
              <w:t>。</w:t>
            </w:r>
          </w:p>
        </w:tc>
        <w:tc>
          <w:tcPr>
            <w:tcW w:w="885"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承诺书原件</w:t>
            </w:r>
          </w:p>
        </w:tc>
        <w:tc>
          <w:tcPr>
            <w:tcW w:w="735" w:type="dxa"/>
            <w:vAlign w:val="center"/>
          </w:tcPr>
          <w:p>
            <w:pPr>
              <w:rPr>
                <w:rFonts w:asciiTheme="minorEastAsia" w:hAnsiTheme="minorEastAsia" w:eastAsiaTheme="minorEastAsia"/>
                <w:color w:val="auto"/>
                <w:highlight w:val="none"/>
              </w:rPr>
            </w:pPr>
          </w:p>
        </w:tc>
        <w:tc>
          <w:tcPr>
            <w:tcW w:w="206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rPr>
                <w:rFonts w:hint="eastAsia" w:asciiTheme="minorEastAsia" w:hAnsiTheme="minorEastAsia" w:eastAsiaTheme="minorEastAsia"/>
                <w:color w:val="auto"/>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71" w:hRule="atLeast"/>
          <w:jc w:val="center"/>
        </w:trPr>
        <w:tc>
          <w:tcPr>
            <w:tcW w:w="437" w:type="dxa"/>
            <w:vAlign w:val="center"/>
          </w:tcPr>
          <w:p>
            <w:pP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7</w:t>
            </w:r>
          </w:p>
        </w:tc>
        <w:tc>
          <w:tcPr>
            <w:tcW w:w="703" w:type="dxa"/>
            <w:vAlign w:val="center"/>
          </w:tcPr>
          <w:p>
            <w:pPr>
              <w:rPr>
                <w:rFonts w:hint="eastAsia" w:eastAsia="宋体" w:asciiTheme="minorEastAsia" w:hAnsiTheme="minorEastAsia"/>
                <w:color w:val="auto"/>
                <w:highlight w:val="none"/>
                <w:lang w:val="en-US" w:eastAsia="zh-CN"/>
              </w:rPr>
            </w:pPr>
            <w:r>
              <w:rPr>
                <w:rFonts w:hint="eastAsia" w:ascii="宋体" w:hAnsi="宋体"/>
                <w:color w:val="auto"/>
                <w:highlight w:val="none"/>
              </w:rPr>
              <w:t>申请人资格</w:t>
            </w:r>
            <w:r>
              <w:rPr>
                <w:rFonts w:hint="eastAsia" w:ascii="宋体" w:hAnsi="宋体"/>
                <w:color w:val="auto"/>
                <w:highlight w:val="none"/>
                <w:lang w:val="en-US" w:eastAsia="zh-CN"/>
              </w:rPr>
              <w:t>3</w:t>
            </w:r>
          </w:p>
        </w:tc>
        <w:tc>
          <w:tcPr>
            <w:tcW w:w="4440" w:type="dxa"/>
            <w:vAlign w:val="center"/>
          </w:tcPr>
          <w:p>
            <w:pPr>
              <w:spacing w:line="360" w:lineRule="auto"/>
              <w:jc w:val="left"/>
              <w:rPr>
                <w:rFonts w:hint="eastAsia" w:ascii="Calibri" w:hAnsi="Calibri" w:cs="Times New Roman" w:eastAsiaTheme="minorEastAsia"/>
                <w:color w:val="auto"/>
                <w:kern w:val="2"/>
                <w:sz w:val="21"/>
                <w:szCs w:val="22"/>
                <w:highlight w:val="none"/>
                <w:lang w:val="en-US" w:eastAsia="zh-CN" w:bidi="ar-SA"/>
              </w:rPr>
            </w:pPr>
            <w:r>
              <w:rPr>
                <w:rFonts w:hint="eastAsia" w:cs="宋体" w:asciiTheme="minorEastAsia" w:hAnsiTheme="minorEastAsia" w:eastAsiaTheme="minorEastAsia"/>
                <w:color w:val="auto"/>
                <w:szCs w:val="21"/>
                <w:highlight w:val="none"/>
              </w:rPr>
              <w:t>单位负责人为同一人或者存在控股、管理关系的不同单位，不得参加同一标段比选申请或者未划分标段的同一比选项目比选申请</w:t>
            </w:r>
            <w:r>
              <w:rPr>
                <w:rFonts w:hint="eastAsia" w:cs="宋体" w:asciiTheme="minorEastAsia" w:hAnsiTheme="minorEastAsia" w:eastAsiaTheme="minorEastAsia"/>
                <w:color w:val="auto"/>
                <w:szCs w:val="21"/>
                <w:highlight w:val="none"/>
                <w:lang w:eastAsia="zh-CN"/>
              </w:rPr>
              <w:t>。</w:t>
            </w:r>
          </w:p>
        </w:tc>
        <w:tc>
          <w:tcPr>
            <w:tcW w:w="885" w:type="dxa"/>
            <w:vAlign w:val="center"/>
          </w:tcPr>
          <w:p>
            <w:pPr>
              <w:rPr>
                <w:rFonts w:hint="eastAsia" w:asciiTheme="minorEastAsia" w:hAnsiTheme="minorEastAsia" w:eastAsiaTheme="minorEastAsia"/>
                <w:color w:val="auto"/>
                <w:highlight w:val="none"/>
              </w:rPr>
            </w:pPr>
            <w:r>
              <w:rPr>
                <w:rFonts w:hint="eastAsia" w:ascii="宋体" w:hAnsi="宋体"/>
                <w:color w:val="auto"/>
                <w:highlight w:val="none"/>
              </w:rPr>
              <w:t>营业执照副本或事业单位法人证书等证明文件</w:t>
            </w:r>
          </w:p>
        </w:tc>
        <w:tc>
          <w:tcPr>
            <w:tcW w:w="735" w:type="dxa"/>
            <w:vAlign w:val="center"/>
          </w:tcPr>
          <w:p>
            <w:pPr>
              <w:rPr>
                <w:rFonts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u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40" w:hRule="atLeast"/>
          <w:jc w:val="center"/>
        </w:trPr>
        <w:tc>
          <w:tcPr>
            <w:tcW w:w="437"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val="en-US" w:eastAsia="zh-CN"/>
              </w:rPr>
              <w:t>8</w:t>
            </w:r>
          </w:p>
        </w:tc>
        <w:tc>
          <w:tcPr>
            <w:tcW w:w="703" w:type="dxa"/>
            <w:vAlign w:val="center"/>
          </w:tcPr>
          <w:p>
            <w:pPr>
              <w:jc w:val="center"/>
              <w:rPr>
                <w:rFonts w:hint="eastAsia" w:eastAsia="宋体" w:asciiTheme="minorEastAsia" w:hAnsiTheme="minorEastAsia"/>
                <w:color w:val="auto"/>
                <w:highlight w:val="none"/>
                <w:lang w:val="en-US" w:eastAsia="zh-CN"/>
              </w:rPr>
            </w:pPr>
            <w:r>
              <w:rPr>
                <w:rFonts w:hint="eastAsia" w:ascii="宋体" w:hAnsi="宋体"/>
                <w:color w:val="auto"/>
                <w:highlight w:val="none"/>
              </w:rPr>
              <w:t>申请人资格</w:t>
            </w:r>
            <w:r>
              <w:rPr>
                <w:rFonts w:hint="eastAsia" w:ascii="宋体" w:hAnsi="宋体"/>
                <w:color w:val="auto"/>
                <w:highlight w:val="none"/>
                <w:lang w:val="en-US" w:eastAsia="zh-CN"/>
              </w:rPr>
              <w:t>4</w:t>
            </w:r>
          </w:p>
        </w:tc>
        <w:tc>
          <w:tcPr>
            <w:tcW w:w="4440" w:type="dxa"/>
            <w:vAlign w:val="center"/>
          </w:tcPr>
          <w:p>
            <w:pPr>
              <w:rPr>
                <w:rFonts w:asciiTheme="minorEastAsia" w:hAnsiTheme="minorEastAsia" w:eastAsiaTheme="minorEastAsia"/>
                <w:color w:val="auto"/>
                <w:highlight w:val="none"/>
              </w:rPr>
            </w:pPr>
            <w:r>
              <w:rPr>
                <w:rFonts w:hint="eastAsia" w:cs="宋体" w:asciiTheme="minorEastAsia" w:hAnsiTheme="minorEastAsia" w:eastAsiaTheme="minorEastAsia"/>
                <w:color w:val="auto"/>
                <w:sz w:val="21"/>
                <w:szCs w:val="21"/>
                <w:highlight w:val="none"/>
              </w:rPr>
              <w:t>本项目不接受联合体比选申请。</w:t>
            </w:r>
            <w:r>
              <w:rPr>
                <w:rFonts w:asciiTheme="minorEastAsia" w:hAnsiTheme="minorEastAsia" w:eastAsiaTheme="minorEastAsia"/>
                <w:color w:val="auto"/>
                <w:highlight w:val="none"/>
              </w:rPr>
              <w:br w:type="page"/>
            </w:r>
          </w:p>
        </w:tc>
        <w:tc>
          <w:tcPr>
            <w:tcW w:w="885" w:type="dxa"/>
            <w:vAlign w:val="center"/>
          </w:tcPr>
          <w:p>
            <w:pPr>
              <w:rPr>
                <w:rFonts w:asciiTheme="minorEastAsia" w:hAnsiTheme="minorEastAsia" w:eastAsiaTheme="minorEastAsia"/>
                <w:color w:val="auto"/>
                <w:highlight w:val="none"/>
              </w:rPr>
            </w:pPr>
            <w:r>
              <w:rPr>
                <w:rFonts w:hint="eastAsia" w:ascii="宋体" w:hAnsi="宋体"/>
                <w:color w:val="auto"/>
                <w:highlight w:val="none"/>
              </w:rPr>
              <w:t>营业执照副本或事业单位法人证书等证明文件</w:t>
            </w:r>
          </w:p>
        </w:tc>
        <w:tc>
          <w:tcPr>
            <w:tcW w:w="735" w:type="dxa"/>
            <w:vAlign w:val="center"/>
          </w:tcPr>
          <w:p>
            <w:pPr>
              <w:rPr>
                <w:rFonts w:asciiTheme="minorEastAsia" w:hAnsiTheme="minorEastAsia" w:eastAsiaTheme="minorEastAsia"/>
                <w:color w:val="auto"/>
                <w:highlight w:val="none"/>
              </w:rPr>
            </w:pPr>
          </w:p>
        </w:tc>
        <w:tc>
          <w:tcPr>
            <w:tcW w:w="2060" w:type="dxa"/>
            <w:vAlign w:val="center"/>
          </w:tcPr>
          <w:p>
            <w:pPr>
              <w:rPr>
                <w:rFonts w:asciiTheme="minorEastAsia" w:hAnsiTheme="minorEastAsia" w:eastAsiaTheme="minorEastAsia"/>
                <w:color w:val="auto"/>
                <w:highlight w:val="none"/>
              </w:rPr>
            </w:pPr>
            <w:r>
              <w:rPr>
                <w:rFonts w:hint="eastAsia" w:ascii="宋体" w:hAnsi="宋体"/>
                <w:color w:val="auto"/>
                <w:highlight w:val="none"/>
              </w:rPr>
              <w:t>比选申请人有效的营业执照或事业单位法人证书复印件等证明文件，并加盖公章。</w:t>
            </w:r>
          </w:p>
        </w:tc>
      </w:tr>
    </w:tbl>
    <w:p>
      <w:pPr>
        <w:snapToGrid w:val="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注：1.以上所有证明资料原件备查。</w:t>
      </w:r>
    </w:p>
    <w:p>
      <w:pPr>
        <w:numPr>
          <w:ilvl w:val="0"/>
          <w:numId w:val="0"/>
        </w:numPr>
        <w:snapToGrid w:val="0"/>
        <w:ind w:firstLine="422" w:firstLineChars="200"/>
        <w:rPr>
          <w:rFonts w:hint="eastAsia" w:asciiTheme="minorEastAsia" w:hAnsiTheme="minorEastAsia" w:eastAsiaTheme="minorEastAsia"/>
          <w:b/>
          <w:color w:val="auto"/>
          <w:highlight w:val="none"/>
        </w:rPr>
      </w:pPr>
      <w:r>
        <w:rPr>
          <w:rFonts w:hint="eastAsia" w:asciiTheme="minorEastAsia" w:hAnsiTheme="minorEastAsia" w:eastAsiaTheme="minorEastAsia"/>
          <w:b/>
          <w:color w:val="auto"/>
          <w:highlight w:val="none"/>
          <w:lang w:val="en-US" w:eastAsia="zh-CN"/>
        </w:rPr>
        <w:t>2.</w:t>
      </w:r>
      <w:r>
        <w:rPr>
          <w:rFonts w:hint="eastAsia" w:asciiTheme="minorEastAsia" w:hAnsiTheme="minorEastAsia" w:eastAsiaTheme="minorEastAsia"/>
          <w:b/>
          <w:color w:val="auto"/>
          <w:highlight w:val="none"/>
        </w:rPr>
        <w:t>比选申请人如未通过上述资格审查，则作比选申请被否决处理并不得进入下一阶段评审。</w:t>
      </w:r>
    </w:p>
    <w:p>
      <w:pPr>
        <w:numPr>
          <w:ilvl w:val="0"/>
          <w:numId w:val="9"/>
        </w:numPr>
        <w:snapToGrid w:val="0"/>
        <w:ind w:firstLine="42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highlight w:val="none"/>
        </w:rPr>
        <w:br w:type="page"/>
      </w:r>
      <w:bookmarkStart w:id="2023" w:name="_Toc25750695"/>
      <w:bookmarkStart w:id="2024" w:name="_Toc15103"/>
      <w:bookmarkStart w:id="2025" w:name="_Toc22635"/>
      <w:bookmarkStart w:id="2026" w:name="_Toc19299"/>
      <w:bookmarkStart w:id="2027" w:name="_Toc25123"/>
      <w:bookmarkStart w:id="2028" w:name="_Toc31487"/>
      <w:bookmarkStart w:id="2029" w:name="_Toc3409"/>
      <w:bookmarkStart w:id="2030" w:name="_Toc29670"/>
      <w:bookmarkStart w:id="2031" w:name="_Toc1459"/>
      <w:bookmarkStart w:id="2032" w:name="_Toc6612"/>
      <w:bookmarkStart w:id="2033" w:name="_Toc7852"/>
      <w:bookmarkStart w:id="2034" w:name="_Toc20215"/>
      <w:bookmarkStart w:id="2035" w:name="_Toc5811"/>
      <w:bookmarkStart w:id="2036" w:name="_Toc12984826"/>
      <w:bookmarkStart w:id="2037" w:name="_Toc9343"/>
      <w:bookmarkStart w:id="2038" w:name="_Toc492478850"/>
      <w:bookmarkStart w:id="2039" w:name="_Toc5737"/>
      <w:bookmarkStart w:id="2040" w:name="_Toc191"/>
      <w:bookmarkStart w:id="2041" w:name="_Toc12983557"/>
      <w:bookmarkStart w:id="2042" w:name="_Toc8945"/>
      <w:bookmarkStart w:id="2043" w:name="_Toc6102"/>
      <w:r>
        <w:rPr>
          <w:rFonts w:hint="eastAsia" w:cs="Times New Roman" w:asciiTheme="minorEastAsia" w:hAnsiTheme="minorEastAsia" w:eastAsiaTheme="minorEastAsia"/>
          <w:b/>
          <w:color w:val="auto"/>
          <w:kern w:val="44"/>
          <w:sz w:val="21"/>
          <w:szCs w:val="21"/>
          <w:highlight w:val="none"/>
          <w:lang w:val="en-US" w:eastAsia="zh-CN" w:bidi="ar-SA"/>
        </w:rPr>
        <w:t>附表二 符合性评审表</w:t>
      </w:r>
      <w:bookmarkEnd w:id="2023"/>
    </w:p>
    <w:p>
      <w:pPr>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符合性</w:t>
      </w:r>
      <w:r>
        <w:rPr>
          <w:rFonts w:asciiTheme="minorEastAsia" w:hAnsiTheme="minorEastAsia" w:eastAsiaTheme="minorEastAsia"/>
          <w:b/>
          <w:color w:val="auto"/>
          <w:sz w:val="24"/>
          <w:szCs w:val="24"/>
          <w:highlight w:val="none"/>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序号</w:t>
            </w:r>
          </w:p>
        </w:tc>
        <w:tc>
          <w:tcPr>
            <w:tcW w:w="6096" w:type="dxa"/>
            <w:tcBorders>
              <w:top w:val="single" w:color="auto" w:sz="12"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评审项目</w:t>
            </w:r>
          </w:p>
        </w:tc>
        <w:tc>
          <w:tcPr>
            <w:tcW w:w="1134" w:type="dxa"/>
            <w:tcBorders>
              <w:top w:val="single" w:color="auto" w:sz="12"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评审结果</w:t>
            </w:r>
          </w:p>
        </w:tc>
        <w:tc>
          <w:tcPr>
            <w:tcW w:w="1098" w:type="dxa"/>
            <w:tcBorders>
              <w:top w:val="single" w:color="auto" w:sz="12"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比选申请文件未按要求在规定的位置签字（或盖章）并加盖比选申请人单位公章的</w:t>
            </w:r>
          </w:p>
        </w:tc>
        <w:tc>
          <w:tcPr>
            <w:tcW w:w="1134" w:type="dxa"/>
          </w:tcPr>
          <w:p>
            <w:pPr>
              <w:rPr>
                <w:rFonts w:asciiTheme="minorEastAsia" w:hAnsiTheme="minorEastAsia" w:eastAsiaTheme="minorEastAsia"/>
                <w:color w:val="auto"/>
                <w:highlight w:val="none"/>
              </w:rPr>
            </w:pPr>
          </w:p>
        </w:tc>
        <w:tc>
          <w:tcPr>
            <w:tcW w:w="1098" w:type="dxa"/>
            <w:vMerge w:val="restart"/>
            <w:vAlign w:val="center"/>
          </w:tcPr>
          <w:p>
            <w:pPr>
              <w:rPr>
                <w:rFonts w:asciiTheme="minorEastAsia" w:hAnsiTheme="minorEastAsia" w:eastAsia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比选申请文件的实质性内容未按规定填写、内容不全的；（未按比选文件第四章节规定格式填写的）</w:t>
            </w:r>
          </w:p>
        </w:tc>
        <w:tc>
          <w:tcPr>
            <w:tcW w:w="1134" w:type="dxa"/>
          </w:tcPr>
          <w:p>
            <w:pPr>
              <w:rPr>
                <w:rFonts w:asciiTheme="minorEastAsia" w:hAnsiTheme="minorEastAsia" w:eastAsiaTheme="minorEastAsia"/>
                <w:color w:val="auto"/>
                <w:highlight w:val="none"/>
              </w:rPr>
            </w:pPr>
          </w:p>
        </w:tc>
        <w:tc>
          <w:tcPr>
            <w:tcW w:w="1098" w:type="dxa"/>
            <w:vMerge w:val="continue"/>
            <w:vAlign w:val="center"/>
          </w:tcPr>
          <w:p>
            <w:pPr>
              <w:rPr>
                <w:rFonts w:asciiTheme="minorEastAsia" w:hAnsiTheme="minorEastAsia" w:eastAsia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在比选申请文件中有虚假文件和</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或资料的</w:t>
            </w:r>
          </w:p>
        </w:tc>
        <w:tc>
          <w:tcPr>
            <w:tcW w:w="1134" w:type="dxa"/>
          </w:tcPr>
          <w:p>
            <w:pPr>
              <w:rPr>
                <w:rFonts w:asciiTheme="minorEastAsia" w:hAnsiTheme="minorEastAsia" w:eastAsiaTheme="minorEastAsia"/>
                <w:color w:val="auto"/>
                <w:highlight w:val="none"/>
              </w:rPr>
            </w:pPr>
          </w:p>
        </w:tc>
        <w:tc>
          <w:tcPr>
            <w:tcW w:w="1098" w:type="dxa"/>
            <w:vMerge w:val="continue"/>
            <w:vAlign w:val="center"/>
          </w:tcPr>
          <w:p>
            <w:pPr>
              <w:rPr>
                <w:rFonts w:asciiTheme="minorEastAsia" w:hAnsiTheme="minorEastAsia" w:eastAsia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未</w:t>
            </w:r>
            <w:r>
              <w:rPr>
                <w:rFonts w:asciiTheme="minorEastAsia" w:hAnsiTheme="minorEastAsia" w:eastAsiaTheme="minorEastAsia"/>
                <w:color w:val="auto"/>
                <w:highlight w:val="none"/>
              </w:rPr>
              <w:t>满足《用户需求书》中的实质性条款。</w:t>
            </w:r>
          </w:p>
        </w:tc>
        <w:tc>
          <w:tcPr>
            <w:tcW w:w="1134" w:type="dxa"/>
            <w:tcBorders>
              <w:bottom w:val="single" w:color="auto" w:sz="4" w:space="0"/>
            </w:tcBorders>
          </w:tcPr>
          <w:p>
            <w:pPr>
              <w:rPr>
                <w:rFonts w:asciiTheme="minorEastAsia" w:hAnsiTheme="minorEastAsia" w:eastAsiaTheme="minorEastAsia"/>
                <w:color w:val="auto"/>
                <w:highlight w:val="none"/>
              </w:rPr>
            </w:pPr>
          </w:p>
        </w:tc>
        <w:tc>
          <w:tcPr>
            <w:tcW w:w="1098" w:type="dxa"/>
            <w:vMerge w:val="continue"/>
            <w:vAlign w:val="center"/>
          </w:tcPr>
          <w:p>
            <w:pPr>
              <w:rPr>
                <w:rFonts w:asciiTheme="minorEastAsia" w:hAnsiTheme="minorEastAsia" w:eastAsia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比选响应表未“完全响应”的</w:t>
            </w:r>
          </w:p>
        </w:tc>
        <w:tc>
          <w:tcPr>
            <w:tcW w:w="1134" w:type="dxa"/>
            <w:tcBorders>
              <w:bottom w:val="single" w:color="auto" w:sz="4" w:space="0"/>
            </w:tcBorders>
          </w:tcPr>
          <w:p>
            <w:pPr>
              <w:rPr>
                <w:rFonts w:asciiTheme="minorEastAsia" w:hAnsiTheme="minorEastAsia" w:eastAsiaTheme="minorEastAsia"/>
                <w:color w:val="auto"/>
                <w:highlight w:val="none"/>
              </w:rPr>
            </w:pPr>
          </w:p>
        </w:tc>
        <w:tc>
          <w:tcPr>
            <w:tcW w:w="1098" w:type="dxa"/>
            <w:vMerge w:val="continue"/>
            <w:vAlign w:val="center"/>
          </w:tcPr>
          <w:p>
            <w:pPr>
              <w:rPr>
                <w:rFonts w:asciiTheme="minorEastAsia" w:hAnsiTheme="minorEastAsia" w:eastAsia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比选文件、法律、法规规定的其他否决比选申请条件</w:t>
            </w:r>
          </w:p>
        </w:tc>
        <w:tc>
          <w:tcPr>
            <w:tcW w:w="1134" w:type="dxa"/>
          </w:tcPr>
          <w:p>
            <w:pPr>
              <w:rPr>
                <w:rFonts w:asciiTheme="minorEastAsia" w:hAnsiTheme="minorEastAsia" w:eastAsiaTheme="minorEastAsia"/>
                <w:color w:val="auto"/>
                <w:highlight w:val="none"/>
              </w:rPr>
            </w:pPr>
          </w:p>
        </w:tc>
        <w:tc>
          <w:tcPr>
            <w:tcW w:w="1098" w:type="dxa"/>
            <w:vMerge w:val="continue"/>
            <w:vAlign w:val="center"/>
          </w:tcPr>
          <w:p>
            <w:pPr>
              <w:rPr>
                <w:rFonts w:asciiTheme="minorEastAsia" w:hAnsiTheme="minorEastAsia" w:eastAsiaTheme="minorEastAsia"/>
                <w:color w:val="auto"/>
                <w:highlight w:val="none"/>
              </w:rPr>
            </w:pPr>
          </w:p>
        </w:tc>
      </w:tr>
    </w:tbl>
    <w:p>
      <w:pPr>
        <w:jc w:val="left"/>
        <w:rPr>
          <w:rFonts w:asciiTheme="minorEastAsia" w:hAnsiTheme="minorEastAsia" w:eastAsiaTheme="minorEastAsia"/>
          <w:color w:val="auto"/>
          <w:sz w:val="24"/>
          <w:szCs w:val="24"/>
          <w:highlight w:val="none"/>
        </w:rPr>
      </w:pPr>
      <w:r>
        <w:rPr>
          <w:rFonts w:asciiTheme="minorEastAsia" w:hAnsiTheme="minorEastAsia" w:eastAsiaTheme="minorEastAsia"/>
          <w:color w:val="auto"/>
          <w:highlight w:val="none"/>
        </w:rPr>
        <w:t>注：</w:t>
      </w: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评审结果填写合格打√，不合格打×，凡评审结果有一项不合格者，结论为不通过。</w:t>
      </w:r>
    </w:p>
    <w:p>
      <w:pPr>
        <w:jc w:val="center"/>
        <w:rPr>
          <w:rFonts w:asciiTheme="minorEastAsia" w:hAnsiTheme="minorEastAsia" w:eastAsiaTheme="minorEastAsia"/>
          <w:b/>
          <w:color w:val="auto"/>
          <w:sz w:val="24"/>
          <w:szCs w:val="24"/>
          <w:highlight w:val="none"/>
        </w:rPr>
      </w:pPr>
    </w:p>
    <w:p>
      <w:pPr>
        <w:jc w:val="center"/>
        <w:rPr>
          <w:rFonts w:asciiTheme="minorEastAsia" w:hAnsiTheme="minorEastAsia" w:eastAsiaTheme="minorEastAsia"/>
          <w:b/>
          <w:color w:val="auto"/>
          <w:sz w:val="24"/>
          <w:szCs w:val="24"/>
          <w:highlight w:val="none"/>
        </w:rPr>
      </w:pPr>
      <w:r>
        <w:rPr>
          <w:rFonts w:asciiTheme="minorEastAsia" w:hAnsiTheme="minorEastAsia" w:eastAsiaTheme="minorEastAsia"/>
          <w:color w:val="auto"/>
          <w:highlight w:val="none"/>
        </w:rPr>
        <w:br w:type="page"/>
      </w:r>
    </w:p>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Pr>
        <w:jc w:val="left"/>
        <w:rPr>
          <w:rFonts w:asciiTheme="minorEastAsia" w:hAnsiTheme="minorEastAsia" w:eastAsiaTheme="minorEastAsia"/>
          <w:b/>
          <w:color w:val="auto"/>
          <w:highlight w:val="none"/>
        </w:rPr>
        <w:sectPr>
          <w:footerReference r:id="rId4" w:type="default"/>
          <w:pgSz w:w="11905" w:h="16838"/>
          <w:pgMar w:top="1418" w:right="1418" w:bottom="1418" w:left="1418" w:header="454" w:footer="567" w:gutter="0"/>
          <w:cols w:space="720" w:num="1"/>
          <w:docGrid w:linePitch="319" w:charSpace="0"/>
        </w:sectPr>
      </w:pPr>
    </w:p>
    <w:p>
      <w:pPr>
        <w:rPr>
          <w:rFonts w:ascii="宋体" w:hAnsi="宋体"/>
          <w:b/>
          <w:color w:val="auto"/>
          <w:highlight w:val="none"/>
        </w:rPr>
      </w:pPr>
      <w:bookmarkStart w:id="2044" w:name="_Toc1145"/>
      <w:bookmarkStart w:id="2045" w:name="_Toc1480"/>
      <w:bookmarkStart w:id="2046" w:name="_Toc27431"/>
      <w:bookmarkStart w:id="2047" w:name="_Toc11048"/>
      <w:bookmarkStart w:id="2048" w:name="_Toc10654"/>
      <w:bookmarkStart w:id="2049" w:name="_Toc24793"/>
      <w:bookmarkStart w:id="2050" w:name="_Toc6932"/>
      <w:bookmarkStart w:id="2051" w:name="_Toc21541"/>
      <w:bookmarkStart w:id="2052" w:name="_Toc8803"/>
      <w:bookmarkStart w:id="2053" w:name="_Toc22896"/>
      <w:bookmarkStart w:id="2054" w:name="_Toc32725"/>
      <w:bookmarkStart w:id="2055" w:name="_Toc22594"/>
      <w:bookmarkStart w:id="2056" w:name="_Toc9220"/>
      <w:bookmarkStart w:id="2057" w:name="_Toc20211"/>
      <w:bookmarkStart w:id="2058" w:name="_Toc4223"/>
      <w:bookmarkStart w:id="2059" w:name="_Toc492478858"/>
      <w:bookmarkStart w:id="2060" w:name="_Toc414290588"/>
      <w:bookmarkStart w:id="2061" w:name="_Toc6960"/>
      <w:bookmarkStart w:id="2062" w:name="_Toc10414"/>
      <w:r>
        <w:rPr>
          <w:rFonts w:hint="eastAsia" w:ascii="宋体" w:hAnsi="宋体"/>
          <w:b/>
          <w:color w:val="auto"/>
          <w:highlight w:val="none"/>
        </w:rPr>
        <w:t>附表三 比选申请价格评审表</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spacing w:before="159"/>
        <w:ind w:right="-57"/>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color w:val="auto"/>
                <w:highlight w:val="none"/>
              </w:rPr>
            </w:pPr>
          </w:p>
        </w:tc>
        <w:tc>
          <w:tcPr>
            <w:tcW w:w="4536" w:type="dxa"/>
            <w:tcBorders>
              <w:left w:val="single" w:color="auto" w:sz="4" w:space="0"/>
              <w:right w:val="single" w:color="auto" w:sz="4" w:space="0"/>
            </w:tcBorders>
            <w:vAlign w:val="center"/>
          </w:tcPr>
          <w:p>
            <w:pPr>
              <w:rPr>
                <w:rFonts w:ascii="宋体" w:hAnsi="宋体"/>
                <w:color w:val="auto"/>
                <w:highlight w:val="none"/>
              </w:rPr>
            </w:pPr>
          </w:p>
        </w:tc>
        <w:tc>
          <w:tcPr>
            <w:tcW w:w="2268" w:type="dxa"/>
            <w:tcBorders>
              <w:left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color w:val="auto"/>
                <w:highlight w:val="none"/>
              </w:rPr>
            </w:pPr>
          </w:p>
        </w:tc>
        <w:tc>
          <w:tcPr>
            <w:tcW w:w="4536" w:type="dxa"/>
            <w:tcBorders>
              <w:left w:val="single" w:color="auto" w:sz="4" w:space="0"/>
              <w:right w:val="single" w:color="auto" w:sz="4" w:space="0"/>
            </w:tcBorders>
            <w:vAlign w:val="center"/>
          </w:tcPr>
          <w:p>
            <w:pPr>
              <w:rPr>
                <w:rFonts w:ascii="宋体" w:hAnsi="宋体"/>
                <w:color w:val="auto"/>
                <w:highlight w:val="none"/>
              </w:rPr>
            </w:pPr>
          </w:p>
        </w:tc>
        <w:tc>
          <w:tcPr>
            <w:tcW w:w="2268" w:type="dxa"/>
            <w:tcBorders>
              <w:left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color w:val="auto"/>
                <w:highlight w:val="none"/>
              </w:rPr>
            </w:pPr>
          </w:p>
        </w:tc>
        <w:tc>
          <w:tcPr>
            <w:tcW w:w="4536" w:type="dxa"/>
            <w:tcBorders>
              <w:left w:val="single" w:color="auto" w:sz="4" w:space="0"/>
              <w:right w:val="single" w:color="auto" w:sz="4" w:space="0"/>
            </w:tcBorders>
            <w:vAlign w:val="center"/>
          </w:tcPr>
          <w:p>
            <w:pPr>
              <w:rPr>
                <w:rFonts w:ascii="宋体" w:hAnsi="宋体"/>
                <w:color w:val="auto"/>
                <w:highlight w:val="none"/>
              </w:rPr>
            </w:pPr>
          </w:p>
        </w:tc>
        <w:tc>
          <w:tcPr>
            <w:tcW w:w="2268" w:type="dxa"/>
            <w:tcBorders>
              <w:left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color w:val="auto"/>
                <w:highlight w:val="none"/>
              </w:rPr>
            </w:pPr>
          </w:p>
        </w:tc>
        <w:tc>
          <w:tcPr>
            <w:tcW w:w="4536" w:type="dxa"/>
            <w:tcBorders>
              <w:left w:val="single" w:color="auto" w:sz="4" w:space="0"/>
              <w:right w:val="single" w:color="auto" w:sz="4" w:space="0"/>
            </w:tcBorders>
            <w:vAlign w:val="center"/>
          </w:tcPr>
          <w:p>
            <w:pPr>
              <w:rPr>
                <w:rFonts w:ascii="宋体" w:hAnsi="宋体"/>
                <w:color w:val="auto"/>
                <w:highlight w:val="none"/>
              </w:rPr>
            </w:pPr>
          </w:p>
        </w:tc>
        <w:tc>
          <w:tcPr>
            <w:tcW w:w="2268" w:type="dxa"/>
            <w:tcBorders>
              <w:left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bl>
    <w:p>
      <w:pPr>
        <w:spacing w:line="360" w:lineRule="auto"/>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pStyle w:val="25"/>
        <w:spacing w:line="360" w:lineRule="auto"/>
        <w:ind w:firstLine="0" w:firstLineChars="0"/>
        <w:rPr>
          <w:rFonts w:eastAsiaTheme="minorEastAsia"/>
          <w:color w:val="auto"/>
          <w:sz w:val="21"/>
          <w:szCs w:val="21"/>
          <w:highlight w:val="none"/>
        </w:rPr>
      </w:pPr>
      <w:r>
        <w:rPr>
          <w:rFonts w:hint="eastAsia" w:ascii="宋体" w:hAnsi="宋体"/>
          <w:color w:val="auto"/>
          <w:sz w:val="21"/>
          <w:szCs w:val="21"/>
          <w:highlight w:val="none"/>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ind w:firstLine="643" w:firstLineChars="200"/>
        <w:jc w:val="center"/>
        <w:outlineLvl w:val="0"/>
        <w:rPr>
          <w:rStyle w:val="36"/>
          <w:rFonts w:asciiTheme="minorEastAsia" w:hAnsiTheme="minorEastAsia"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
        <w:rPr>
          <w:rFonts w:hint="eastAsia" w:ascii="宋体" w:hAnsi="宋体"/>
          <w:b/>
          <w:color w:val="auto"/>
          <w:highlight w:val="none"/>
        </w:rPr>
        <w:sectPr>
          <w:headerReference r:id="rId5" w:type="default"/>
          <w:footerReference r:id="rId6" w:type="default"/>
          <w:pgSz w:w="16838" w:h="11906" w:orient="landscape"/>
          <w:pgMar w:top="851" w:right="1134" w:bottom="1134" w:left="1134" w:header="851" w:footer="567" w:gutter="0"/>
          <w:cols w:space="720" w:num="1"/>
          <w:docGrid w:linePitch="312" w:charSpace="0"/>
        </w:sectPr>
      </w:pPr>
    </w:p>
    <w:p>
      <w:pPr>
        <w:pStyle w:val="3"/>
        <w:numPr>
          <w:ilvl w:val="3"/>
          <w:numId w:val="0"/>
        </w:numPr>
        <w:ind w:leftChars="0"/>
        <w:rPr>
          <w:rFonts w:hint="eastAsia"/>
          <w:color w:val="auto"/>
          <w:highlight w:val="none"/>
        </w:rPr>
        <w:sectPr>
          <w:type w:val="continuous"/>
          <w:pgSz w:w="16838" w:h="11906" w:orient="landscape"/>
          <w:pgMar w:top="851" w:right="1134" w:bottom="1134" w:left="1134" w:header="851" w:footer="567" w:gutter="0"/>
          <w:cols w:space="720" w:num="1"/>
          <w:docGrid w:linePitch="312" w:charSpace="0"/>
        </w:sectPr>
      </w:pPr>
    </w:p>
    <w:p>
      <w:pPr>
        <w:spacing w:before="159"/>
        <w:ind w:right="-57"/>
        <w:jc w:val="both"/>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6"/>
        <w:tblW w:w="147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3101"/>
        <w:gridCol w:w="3872"/>
        <w:gridCol w:w="5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bottom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101" w:type="dxa"/>
            <w:tcBorders>
              <w:left w:val="single" w:color="auto" w:sz="4" w:space="0"/>
              <w:bottom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5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color w:val="auto"/>
                <w:highlight w:val="none"/>
              </w:rPr>
            </w:pPr>
          </w:p>
        </w:tc>
        <w:tc>
          <w:tcPr>
            <w:tcW w:w="3101" w:type="dxa"/>
            <w:tcBorders>
              <w:left w:val="single" w:color="auto" w:sz="4" w:space="0"/>
              <w:right w:val="single" w:color="auto" w:sz="4" w:space="0"/>
            </w:tcBorders>
            <w:vAlign w:val="center"/>
          </w:tcPr>
          <w:p>
            <w:pPr>
              <w:jc w:val="left"/>
              <w:rPr>
                <w:rFonts w:ascii="宋体" w:hAnsi="宋体"/>
                <w:color w:val="auto"/>
                <w:highlight w:val="none"/>
              </w:rPr>
            </w:pPr>
          </w:p>
        </w:tc>
        <w:tc>
          <w:tcPr>
            <w:tcW w:w="3872" w:type="dxa"/>
            <w:tcBorders>
              <w:left w:val="single" w:color="auto" w:sz="4" w:space="0"/>
              <w:right w:val="single" w:color="auto" w:sz="4" w:space="0"/>
            </w:tcBorders>
            <w:vAlign w:val="center"/>
          </w:tcPr>
          <w:p>
            <w:pPr>
              <w:rPr>
                <w:rFonts w:ascii="宋体" w:hAnsi="宋体"/>
                <w:color w:val="auto"/>
                <w:highlight w:val="none"/>
              </w:rPr>
            </w:pPr>
          </w:p>
        </w:tc>
        <w:tc>
          <w:tcPr>
            <w:tcW w:w="5218" w:type="dxa"/>
            <w:tcBorders>
              <w:top w:val="single" w:color="auto" w:sz="4" w:space="0"/>
              <w:left w:val="single" w:color="auto" w:sz="4" w:space="0"/>
              <w:bottom w:val="single" w:color="auto" w:sz="4" w:space="0"/>
              <w:right w:val="single" w:color="auto" w:sz="4" w:space="0"/>
            </w:tcBorders>
          </w:tcPr>
          <w:p>
            <w:pPr>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color w:val="auto"/>
                <w:highlight w:val="none"/>
              </w:rPr>
            </w:pPr>
          </w:p>
        </w:tc>
        <w:tc>
          <w:tcPr>
            <w:tcW w:w="3101" w:type="dxa"/>
            <w:tcBorders>
              <w:left w:val="single" w:color="auto" w:sz="4" w:space="0"/>
              <w:right w:val="single" w:color="auto" w:sz="4" w:space="0"/>
            </w:tcBorders>
            <w:vAlign w:val="center"/>
          </w:tcPr>
          <w:p>
            <w:pPr>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jc w:val="center"/>
              <w:rPr>
                <w:rFonts w:ascii="宋体" w:hAnsi="宋体" w:cs="宋体"/>
                <w:color w:val="auto"/>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color w:val="auto"/>
                <w:highlight w:val="none"/>
              </w:rPr>
            </w:pPr>
          </w:p>
        </w:tc>
        <w:tc>
          <w:tcPr>
            <w:tcW w:w="3101" w:type="dxa"/>
            <w:tcBorders>
              <w:left w:val="single" w:color="auto" w:sz="4" w:space="0"/>
              <w:right w:val="single" w:color="auto" w:sz="4" w:space="0"/>
            </w:tcBorders>
            <w:vAlign w:val="center"/>
          </w:tcPr>
          <w:p>
            <w:pPr>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jc w:val="center"/>
              <w:rPr>
                <w:rFonts w:ascii="宋体" w:hAnsi="宋体" w:cs="宋体"/>
                <w:color w:val="auto"/>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color w:val="auto"/>
                <w:highlight w:val="none"/>
              </w:rPr>
            </w:pPr>
          </w:p>
        </w:tc>
        <w:tc>
          <w:tcPr>
            <w:tcW w:w="3101" w:type="dxa"/>
            <w:tcBorders>
              <w:left w:val="single" w:color="auto" w:sz="4" w:space="0"/>
              <w:right w:val="single" w:color="auto" w:sz="4" w:space="0"/>
            </w:tcBorders>
            <w:vAlign w:val="center"/>
          </w:tcPr>
          <w:p>
            <w:pPr>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jc w:val="center"/>
              <w:rPr>
                <w:rFonts w:ascii="宋体" w:hAnsi="宋体" w:cs="宋体"/>
                <w:color w:val="auto"/>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color w:val="auto"/>
                <w:highlight w:val="none"/>
              </w:rPr>
            </w:pPr>
          </w:p>
        </w:tc>
        <w:tc>
          <w:tcPr>
            <w:tcW w:w="3101" w:type="dxa"/>
            <w:tcBorders>
              <w:left w:val="single" w:color="auto" w:sz="4" w:space="0"/>
              <w:right w:val="single" w:color="auto" w:sz="4" w:space="0"/>
            </w:tcBorders>
            <w:vAlign w:val="center"/>
          </w:tcPr>
          <w:p>
            <w:pPr>
              <w:jc w:val="center"/>
              <w:rPr>
                <w:rFonts w:ascii="宋体" w:hAnsi="宋体"/>
                <w:color w:val="auto"/>
                <w:highlight w:val="none"/>
              </w:rPr>
            </w:pPr>
          </w:p>
        </w:tc>
        <w:tc>
          <w:tcPr>
            <w:tcW w:w="3872" w:type="dxa"/>
            <w:tcBorders>
              <w:left w:val="single" w:color="auto" w:sz="4" w:space="0"/>
              <w:right w:val="single" w:color="auto" w:sz="4" w:space="0"/>
            </w:tcBorders>
            <w:vAlign w:val="center"/>
          </w:tcPr>
          <w:p>
            <w:pPr>
              <w:jc w:val="left"/>
              <w:rPr>
                <w:rFonts w:ascii="宋体" w:hAnsi="宋体"/>
                <w:b/>
                <w:color w:val="auto"/>
                <w:sz w:val="24"/>
                <w:szCs w:val="24"/>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2191" w:type="dxa"/>
            <w:gridSpan w:val="3"/>
            <w:tcBorders>
              <w:left w:val="single" w:color="auto" w:sz="4" w:space="0"/>
              <w:right w:val="single" w:color="auto" w:sz="4" w:space="0"/>
            </w:tcBorders>
            <w:vAlign w:val="center"/>
          </w:tcPr>
          <w:p>
            <w:pPr>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2191" w:type="dxa"/>
            <w:gridSpan w:val="3"/>
            <w:tcBorders>
              <w:left w:val="single" w:color="auto" w:sz="4" w:space="0"/>
              <w:right w:val="single" w:color="auto" w:sz="4" w:space="0"/>
            </w:tcBorders>
            <w:vAlign w:val="center"/>
          </w:tcPr>
          <w:p>
            <w:pPr>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比选申请人代表签字</w:t>
            </w:r>
          </w:p>
        </w:tc>
        <w:tc>
          <w:tcPr>
            <w:tcW w:w="12191" w:type="dxa"/>
            <w:gridSpan w:val="3"/>
            <w:tcBorders>
              <w:left w:val="single" w:color="auto" w:sz="4" w:space="0"/>
              <w:right w:val="single" w:color="auto" w:sz="4" w:space="0"/>
            </w:tcBorders>
            <w:vAlign w:val="center"/>
          </w:tcPr>
          <w:p>
            <w:pPr>
              <w:rPr>
                <w:rFonts w:ascii="宋体" w:hAnsi="宋体" w:cs="宋体"/>
                <w:b/>
                <w:color w:val="auto"/>
                <w:sz w:val="24"/>
                <w:szCs w:val="24"/>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pStyle w:val="25"/>
        <w:spacing w:line="360" w:lineRule="auto"/>
        <w:ind w:left="0" w:leftChars="0" w:firstLine="0" w:firstLineChars="0"/>
        <w:rPr>
          <w:rFonts w:eastAsiaTheme="minorEastAsia"/>
          <w:color w:val="auto"/>
          <w:sz w:val="21"/>
          <w:szCs w:val="21"/>
          <w:highlight w:val="none"/>
        </w:rPr>
      </w:pPr>
      <w:r>
        <w:rPr>
          <w:rFonts w:hint="eastAsia" w:ascii="宋体" w:hAnsi="宋体"/>
          <w:color w:val="auto"/>
          <w:sz w:val="21"/>
          <w:szCs w:val="21"/>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bookmarkEnd w:id="8"/>
      <w:bookmarkEnd w:id="9"/>
      <w:bookmarkEnd w:id="10"/>
      <w:bookmarkEnd w:id="11"/>
      <w:bookmarkEnd w:id="993"/>
      <w:bookmarkEnd w:id="1287"/>
    </w:p>
    <w:sectPr>
      <w:pgSz w:w="16838" w:h="11906" w:orient="landscape"/>
      <w:pgMar w:top="851" w:right="1134" w:bottom="1134" w:left="1134" w:header="851"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57"/>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57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57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jc w:val="center"/>
                    </w:pPr>
                  </w:p>
                </w:txbxContent>
              </v:textbox>
            </v:shape>
          </w:pict>
        </mc:Fallback>
      </mc:AlternateContent>
    </w:r>
  </w:p>
  <w:p>
    <w:pPr>
      <w:pStyle w:val="17"/>
      <w:jc w:val="both"/>
      <w:rPr>
        <w:kern w:val="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F188B"/>
    <w:multiLevelType w:val="multilevel"/>
    <w:tmpl w:val="921F188B"/>
    <w:lvl w:ilvl="0" w:tentative="0">
      <w:start w:val="1"/>
      <w:numFmt w:val="decimal"/>
      <w:lvlText w:val="%1"/>
      <w:lvlJc w:val="left"/>
      <w:pPr>
        <w:tabs>
          <w:tab w:val="left" w:pos="0"/>
        </w:tabs>
        <w:ind w:left="240" w:firstLine="0"/>
      </w:pPr>
      <w:rPr>
        <w:rFonts w:hint="default" w:ascii="宋体" w:hAnsi="宋体" w:eastAsia="宋体" w:cs="宋体"/>
      </w:rPr>
    </w:lvl>
    <w:lvl w:ilvl="1" w:tentative="0">
      <w:start w:val="1"/>
      <w:numFmt w:val="decimal"/>
      <w:lvlText w:val="%1.%2"/>
      <w:lvlJc w:val="left"/>
      <w:pPr>
        <w:ind w:left="0" w:firstLine="0"/>
      </w:pPr>
      <w:rPr>
        <w:rFonts w:hint="default" w:ascii="宋体" w:hAnsi="宋体" w:eastAsia="宋体" w:cs="宋体"/>
        <w:sz w:val="24"/>
        <w:szCs w:val="24"/>
      </w:rPr>
    </w:lvl>
    <w:lvl w:ilvl="2" w:tentative="0">
      <w:start w:val="1"/>
      <w:numFmt w:val="decimal"/>
      <w:lvlText w:val="%1.%2.%3"/>
      <w:lvlJc w:val="left"/>
      <w:pPr>
        <w:ind w:left="862" w:hanging="720"/>
      </w:pPr>
      <w:rPr>
        <w:rFonts w:hint="default" w:ascii="宋体" w:hAnsi="宋体" w:eastAsia="宋体" w:cs="宋体"/>
        <w:sz w:val="24"/>
        <w:szCs w:val="24"/>
      </w:rPr>
    </w:lvl>
    <w:lvl w:ilvl="3" w:tentative="0">
      <w:start w:val="1"/>
      <w:numFmt w:val="decimal"/>
      <w:pStyle w:val="3"/>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D14C23F2"/>
    <w:multiLevelType w:val="singleLevel"/>
    <w:tmpl w:val="D14C23F2"/>
    <w:lvl w:ilvl="0" w:tentative="0">
      <w:start w:val="1"/>
      <w:numFmt w:val="decimal"/>
      <w:suff w:val="nothing"/>
      <w:lvlText w:val="%1、"/>
      <w:lvlJc w:val="left"/>
    </w:lvl>
  </w:abstractNum>
  <w:abstractNum w:abstractNumId="2">
    <w:nsid w:val="0AE981D2"/>
    <w:multiLevelType w:val="singleLevel"/>
    <w:tmpl w:val="0AE981D2"/>
    <w:lvl w:ilvl="0" w:tentative="0">
      <w:start w:val="2"/>
      <w:numFmt w:val="decimal"/>
      <w:lvlText w:val="%1."/>
      <w:lvlJc w:val="left"/>
      <w:pPr>
        <w:tabs>
          <w:tab w:val="left" w:pos="312"/>
        </w:tabs>
      </w:pPr>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6">
    <w:nsid w:val="57BB63FC"/>
    <w:multiLevelType w:val="singleLevel"/>
    <w:tmpl w:val="57BB63FC"/>
    <w:lvl w:ilvl="0" w:tentative="0">
      <w:start w:val="35"/>
      <w:numFmt w:val="decimal"/>
      <w:suff w:val="space"/>
      <w:lvlText w:val="%1."/>
      <w:lvlJc w:val="left"/>
    </w:lvl>
  </w:abstractNum>
  <w:abstractNum w:abstractNumId="7">
    <w:nsid w:val="582BA484"/>
    <w:multiLevelType w:val="multilevel"/>
    <w:tmpl w:val="582BA484"/>
    <w:lvl w:ilvl="0" w:tentative="0">
      <w:start w:val="1"/>
      <w:numFmt w:val="decimal"/>
      <w:lvlText w:val="%1"/>
      <w:lvlJc w:val="left"/>
      <w:pPr>
        <w:widowControl/>
        <w:ind w:left="432" w:hanging="432"/>
        <w:textAlignment w:val="baseline"/>
      </w:pPr>
      <w:rPr>
        <w:rFonts w:ascii="Times New Roman" w:hAnsi="Times New Roman" w:eastAsia="宋体"/>
        <w:b/>
      </w:rPr>
    </w:lvl>
    <w:lvl w:ilvl="1" w:tentative="0">
      <w:start w:val="1"/>
      <w:numFmt w:val="decimal"/>
      <w:lvlText w:val="%1.%2"/>
      <w:lvlJc w:val="left"/>
      <w:pPr>
        <w:widowControl/>
        <w:ind w:left="575" w:hanging="575"/>
        <w:textAlignment w:val="baseline"/>
      </w:pPr>
      <w:rPr>
        <w:rFonts w:ascii="宋体" w:hAnsi="宋体" w:eastAsia="宋体"/>
        <w:b/>
        <w:sz w:val="21"/>
        <w:szCs w:val="21"/>
      </w:rPr>
    </w:lvl>
    <w:lvl w:ilvl="2" w:tentative="0">
      <w:start w:val="1"/>
      <w:numFmt w:val="decimal"/>
      <w:lvlText w:val="%1.%2.%3"/>
      <w:lvlJc w:val="left"/>
      <w:pPr>
        <w:widowControl/>
        <w:ind w:left="720" w:hanging="720"/>
        <w:textAlignment w:val="baseline"/>
      </w:pPr>
      <w:rPr>
        <w:rFonts w:ascii="宋体" w:hAnsi="宋体" w:eastAsia="宋体" w:cs="宋体"/>
        <w:b w:val="0"/>
        <w:bCs/>
        <w:sz w:val="21"/>
        <w:szCs w:val="21"/>
      </w:rPr>
    </w:lvl>
    <w:lvl w:ilvl="3" w:tentative="0">
      <w:start w:val="1"/>
      <w:numFmt w:val="decimal"/>
      <w:pStyle w:val="81"/>
      <w:lvlText w:val="%1.%2.%3.%4"/>
      <w:lvlJc w:val="left"/>
      <w:pPr>
        <w:widowControl/>
        <w:ind w:left="864" w:hanging="864"/>
        <w:textAlignment w:val="baseline"/>
      </w:pPr>
      <w:rPr>
        <w:rFonts w:ascii="Times New Roman" w:hAnsi="Times New Roman" w:eastAsia="宋体"/>
      </w:rPr>
    </w:lvl>
    <w:lvl w:ilvl="4" w:tentative="0">
      <w:start w:val="1"/>
      <w:numFmt w:val="decimal"/>
      <w:lvlText w:val="%1.%2.%3.%4.%5."/>
      <w:lvlJc w:val="left"/>
      <w:pPr>
        <w:widowControl/>
        <w:ind w:left="1008" w:hanging="1008"/>
        <w:textAlignment w:val="baseline"/>
      </w:pPr>
    </w:lvl>
    <w:lvl w:ilvl="5" w:tentative="0">
      <w:start w:val="1"/>
      <w:numFmt w:val="decimal"/>
      <w:lvlText w:val="%1.%2.%3.%4.%5.%6."/>
      <w:lvlJc w:val="left"/>
      <w:pPr>
        <w:widowControl/>
        <w:ind w:left="1151" w:hanging="1151"/>
        <w:textAlignment w:val="baseline"/>
      </w:pPr>
    </w:lvl>
    <w:lvl w:ilvl="6" w:tentative="0">
      <w:start w:val="1"/>
      <w:numFmt w:val="decimal"/>
      <w:lvlText w:val="%1.%2.%3.%4.%5.%6.%7."/>
      <w:lvlJc w:val="left"/>
      <w:pPr>
        <w:widowControl/>
        <w:ind w:left="1296" w:hanging="1296"/>
        <w:textAlignment w:val="baseline"/>
      </w:pPr>
    </w:lvl>
    <w:lvl w:ilvl="7" w:tentative="0">
      <w:start w:val="1"/>
      <w:numFmt w:val="decimal"/>
      <w:lvlText w:val="%1.%2.%3.%4.%5.%6.%7.%8."/>
      <w:lvlJc w:val="left"/>
      <w:pPr>
        <w:widowControl/>
        <w:ind w:left="1440" w:hanging="1440"/>
        <w:textAlignment w:val="baseline"/>
      </w:pPr>
    </w:lvl>
    <w:lvl w:ilvl="8" w:tentative="0">
      <w:start w:val="1"/>
      <w:numFmt w:val="decimal"/>
      <w:lvlText w:val="%1.%2.%3.%4.%5.%6.%7.%8.%9."/>
      <w:lvlJc w:val="left"/>
      <w:pPr>
        <w:widowControl/>
        <w:ind w:left="1583" w:hanging="1583"/>
        <w:textAlignment w:val="baseline"/>
      </w:pPr>
    </w:lvl>
  </w:abstractNum>
  <w:abstractNum w:abstractNumId="8">
    <w:nsid w:val="77F8CDD6"/>
    <w:multiLevelType w:val="singleLevel"/>
    <w:tmpl w:val="77F8CDD6"/>
    <w:lvl w:ilvl="0" w:tentative="0">
      <w:start w:val="2"/>
      <w:numFmt w:val="chineseCounting"/>
      <w:suff w:val="space"/>
      <w:lvlText w:val="第%1章"/>
      <w:lvlJc w:val="left"/>
      <w:rPr>
        <w:rFonts w:hint="eastAsia"/>
      </w:rPr>
    </w:lvl>
  </w:abstractNum>
  <w:num w:numId="1">
    <w:abstractNumId w:val="0"/>
  </w:num>
  <w:num w:numId="2">
    <w:abstractNumId w:val="7"/>
  </w:num>
  <w:num w:numId="3">
    <w:abstractNumId w:val="8"/>
  </w:num>
  <w:num w:numId="4">
    <w:abstractNumId w:val="5"/>
  </w:num>
  <w:num w:numId="5">
    <w:abstractNumId w:val="3"/>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ZGE3MzJiNGE5Njg2MGVjY2RjNzNhNjgzYTY0MzgifQ=="/>
  </w:docVars>
  <w:rsids>
    <w:rsidRoot w:val="00834952"/>
    <w:rsid w:val="00012855"/>
    <w:rsid w:val="0001577F"/>
    <w:rsid w:val="000363BA"/>
    <w:rsid w:val="00037530"/>
    <w:rsid w:val="0004327F"/>
    <w:rsid w:val="00045389"/>
    <w:rsid w:val="000478BD"/>
    <w:rsid w:val="00055D0F"/>
    <w:rsid w:val="00060B64"/>
    <w:rsid w:val="00063716"/>
    <w:rsid w:val="0006566D"/>
    <w:rsid w:val="00090511"/>
    <w:rsid w:val="000A6B3A"/>
    <w:rsid w:val="000C0B7C"/>
    <w:rsid w:val="001321A5"/>
    <w:rsid w:val="001345D8"/>
    <w:rsid w:val="00135225"/>
    <w:rsid w:val="0014535A"/>
    <w:rsid w:val="00180CFF"/>
    <w:rsid w:val="00193C8E"/>
    <w:rsid w:val="00196678"/>
    <w:rsid w:val="001A0670"/>
    <w:rsid w:val="001B79BE"/>
    <w:rsid w:val="001C708D"/>
    <w:rsid w:val="001D0D4D"/>
    <w:rsid w:val="001D36B4"/>
    <w:rsid w:val="002309A8"/>
    <w:rsid w:val="0025580E"/>
    <w:rsid w:val="002738CF"/>
    <w:rsid w:val="002A024A"/>
    <w:rsid w:val="002B37BB"/>
    <w:rsid w:val="002C5F0B"/>
    <w:rsid w:val="002F70C4"/>
    <w:rsid w:val="003053FF"/>
    <w:rsid w:val="003128C0"/>
    <w:rsid w:val="00312F90"/>
    <w:rsid w:val="00320F94"/>
    <w:rsid w:val="00322095"/>
    <w:rsid w:val="00330065"/>
    <w:rsid w:val="00333149"/>
    <w:rsid w:val="00350CC2"/>
    <w:rsid w:val="00365FB8"/>
    <w:rsid w:val="00371FAF"/>
    <w:rsid w:val="003727EC"/>
    <w:rsid w:val="003B376B"/>
    <w:rsid w:val="003B48AC"/>
    <w:rsid w:val="003B5EA8"/>
    <w:rsid w:val="003B6D36"/>
    <w:rsid w:val="00452B23"/>
    <w:rsid w:val="00467F0F"/>
    <w:rsid w:val="004805A4"/>
    <w:rsid w:val="00490762"/>
    <w:rsid w:val="004A5324"/>
    <w:rsid w:val="004A6CF5"/>
    <w:rsid w:val="004C3B2B"/>
    <w:rsid w:val="004D1D49"/>
    <w:rsid w:val="004D2BD1"/>
    <w:rsid w:val="00500CB1"/>
    <w:rsid w:val="005451B2"/>
    <w:rsid w:val="00560D08"/>
    <w:rsid w:val="005624BB"/>
    <w:rsid w:val="00575AEF"/>
    <w:rsid w:val="005A03A9"/>
    <w:rsid w:val="005A20CD"/>
    <w:rsid w:val="005B052B"/>
    <w:rsid w:val="005C0F6A"/>
    <w:rsid w:val="005D6FD5"/>
    <w:rsid w:val="005E4E3F"/>
    <w:rsid w:val="005F30F2"/>
    <w:rsid w:val="005F3E37"/>
    <w:rsid w:val="005F4B51"/>
    <w:rsid w:val="0061073A"/>
    <w:rsid w:val="006301C1"/>
    <w:rsid w:val="00684851"/>
    <w:rsid w:val="006A51B6"/>
    <w:rsid w:val="006B3D36"/>
    <w:rsid w:val="006E2D99"/>
    <w:rsid w:val="006F1D4E"/>
    <w:rsid w:val="00704301"/>
    <w:rsid w:val="007162D4"/>
    <w:rsid w:val="00720D0E"/>
    <w:rsid w:val="00721272"/>
    <w:rsid w:val="007367D0"/>
    <w:rsid w:val="00752CC6"/>
    <w:rsid w:val="007B3779"/>
    <w:rsid w:val="007B4195"/>
    <w:rsid w:val="007B6386"/>
    <w:rsid w:val="007E0164"/>
    <w:rsid w:val="00801687"/>
    <w:rsid w:val="00801CE2"/>
    <w:rsid w:val="00810104"/>
    <w:rsid w:val="00834952"/>
    <w:rsid w:val="00835B14"/>
    <w:rsid w:val="00835B3A"/>
    <w:rsid w:val="00854106"/>
    <w:rsid w:val="00890046"/>
    <w:rsid w:val="00895C43"/>
    <w:rsid w:val="008B67E7"/>
    <w:rsid w:val="008C0A04"/>
    <w:rsid w:val="0090342A"/>
    <w:rsid w:val="00904AB8"/>
    <w:rsid w:val="0091231C"/>
    <w:rsid w:val="00915DA8"/>
    <w:rsid w:val="00921D56"/>
    <w:rsid w:val="00936A76"/>
    <w:rsid w:val="00941BF0"/>
    <w:rsid w:val="009509EA"/>
    <w:rsid w:val="009556A2"/>
    <w:rsid w:val="0099179B"/>
    <w:rsid w:val="00993886"/>
    <w:rsid w:val="009A44D5"/>
    <w:rsid w:val="009B3299"/>
    <w:rsid w:val="009C24A7"/>
    <w:rsid w:val="009C4DF1"/>
    <w:rsid w:val="009F15D9"/>
    <w:rsid w:val="009F724B"/>
    <w:rsid w:val="00A10900"/>
    <w:rsid w:val="00A351ED"/>
    <w:rsid w:val="00A4046B"/>
    <w:rsid w:val="00A46483"/>
    <w:rsid w:val="00A73BFF"/>
    <w:rsid w:val="00AA0E00"/>
    <w:rsid w:val="00AE337E"/>
    <w:rsid w:val="00AE7A23"/>
    <w:rsid w:val="00B02DCE"/>
    <w:rsid w:val="00B061DC"/>
    <w:rsid w:val="00B0737E"/>
    <w:rsid w:val="00B11C95"/>
    <w:rsid w:val="00B2245A"/>
    <w:rsid w:val="00B444CB"/>
    <w:rsid w:val="00B56E9B"/>
    <w:rsid w:val="00B606B3"/>
    <w:rsid w:val="00B649D4"/>
    <w:rsid w:val="00B733B6"/>
    <w:rsid w:val="00BD1FF8"/>
    <w:rsid w:val="00BF173E"/>
    <w:rsid w:val="00BF3211"/>
    <w:rsid w:val="00C008A1"/>
    <w:rsid w:val="00C03491"/>
    <w:rsid w:val="00C16FAA"/>
    <w:rsid w:val="00C64865"/>
    <w:rsid w:val="00C71489"/>
    <w:rsid w:val="00C748F9"/>
    <w:rsid w:val="00C75877"/>
    <w:rsid w:val="00C84121"/>
    <w:rsid w:val="00C933A4"/>
    <w:rsid w:val="00CB686F"/>
    <w:rsid w:val="00CB70B9"/>
    <w:rsid w:val="00CC3CB7"/>
    <w:rsid w:val="00CD12F0"/>
    <w:rsid w:val="00CE16BE"/>
    <w:rsid w:val="00CE73D3"/>
    <w:rsid w:val="00CF0570"/>
    <w:rsid w:val="00D00AD6"/>
    <w:rsid w:val="00D00DCC"/>
    <w:rsid w:val="00D06E3D"/>
    <w:rsid w:val="00D2683A"/>
    <w:rsid w:val="00D30220"/>
    <w:rsid w:val="00D412B3"/>
    <w:rsid w:val="00D75C62"/>
    <w:rsid w:val="00D85797"/>
    <w:rsid w:val="00D945F7"/>
    <w:rsid w:val="00DA032D"/>
    <w:rsid w:val="00DA2685"/>
    <w:rsid w:val="00DA5989"/>
    <w:rsid w:val="00DE717F"/>
    <w:rsid w:val="00DF4674"/>
    <w:rsid w:val="00DF72F1"/>
    <w:rsid w:val="00E77D99"/>
    <w:rsid w:val="00EB7A88"/>
    <w:rsid w:val="00ED68FF"/>
    <w:rsid w:val="00EF4649"/>
    <w:rsid w:val="00F0677E"/>
    <w:rsid w:val="00F13047"/>
    <w:rsid w:val="00F54236"/>
    <w:rsid w:val="00F61477"/>
    <w:rsid w:val="00F66852"/>
    <w:rsid w:val="00F82587"/>
    <w:rsid w:val="00F92F8C"/>
    <w:rsid w:val="00F945C2"/>
    <w:rsid w:val="00FA0487"/>
    <w:rsid w:val="00FA0997"/>
    <w:rsid w:val="00FC02BF"/>
    <w:rsid w:val="010076BC"/>
    <w:rsid w:val="01076D26"/>
    <w:rsid w:val="011E3D92"/>
    <w:rsid w:val="0136732D"/>
    <w:rsid w:val="0160084E"/>
    <w:rsid w:val="01B464A4"/>
    <w:rsid w:val="01B85F94"/>
    <w:rsid w:val="02105DD0"/>
    <w:rsid w:val="022D0392"/>
    <w:rsid w:val="027832B7"/>
    <w:rsid w:val="02B079EB"/>
    <w:rsid w:val="02DA55E0"/>
    <w:rsid w:val="03126D8C"/>
    <w:rsid w:val="031F1D9E"/>
    <w:rsid w:val="03201DBA"/>
    <w:rsid w:val="03525F75"/>
    <w:rsid w:val="03793F97"/>
    <w:rsid w:val="038A3A0E"/>
    <w:rsid w:val="03990047"/>
    <w:rsid w:val="04E505BF"/>
    <w:rsid w:val="04F73278"/>
    <w:rsid w:val="05351E6A"/>
    <w:rsid w:val="05654685"/>
    <w:rsid w:val="05A83716"/>
    <w:rsid w:val="05BE3812"/>
    <w:rsid w:val="05DE7F94"/>
    <w:rsid w:val="06030299"/>
    <w:rsid w:val="063D011D"/>
    <w:rsid w:val="07D72EEC"/>
    <w:rsid w:val="07E21F0A"/>
    <w:rsid w:val="081A668D"/>
    <w:rsid w:val="081B54CF"/>
    <w:rsid w:val="08404F36"/>
    <w:rsid w:val="08425F97"/>
    <w:rsid w:val="0889051B"/>
    <w:rsid w:val="089836A2"/>
    <w:rsid w:val="08D31906"/>
    <w:rsid w:val="091E47CD"/>
    <w:rsid w:val="095073FA"/>
    <w:rsid w:val="097A7FD3"/>
    <w:rsid w:val="099C28C8"/>
    <w:rsid w:val="09C676BC"/>
    <w:rsid w:val="09E431F9"/>
    <w:rsid w:val="0A4F4554"/>
    <w:rsid w:val="0A80083D"/>
    <w:rsid w:val="0A9E5945"/>
    <w:rsid w:val="0B740E51"/>
    <w:rsid w:val="0B7C10CA"/>
    <w:rsid w:val="0BA042DC"/>
    <w:rsid w:val="0BD54C38"/>
    <w:rsid w:val="0BFE313E"/>
    <w:rsid w:val="0C22507E"/>
    <w:rsid w:val="0CB3217A"/>
    <w:rsid w:val="0CBE1BE2"/>
    <w:rsid w:val="0D6E7E4F"/>
    <w:rsid w:val="0DA33F9D"/>
    <w:rsid w:val="0E1A1D85"/>
    <w:rsid w:val="0E2350DD"/>
    <w:rsid w:val="0E7E526A"/>
    <w:rsid w:val="0E9438E5"/>
    <w:rsid w:val="0EA51A59"/>
    <w:rsid w:val="0ECA0C4D"/>
    <w:rsid w:val="0F900551"/>
    <w:rsid w:val="0FCE2E18"/>
    <w:rsid w:val="102A6AC5"/>
    <w:rsid w:val="103B26DF"/>
    <w:rsid w:val="104506BF"/>
    <w:rsid w:val="104D01F0"/>
    <w:rsid w:val="10B85D4C"/>
    <w:rsid w:val="10DE709A"/>
    <w:rsid w:val="111927C8"/>
    <w:rsid w:val="11317B11"/>
    <w:rsid w:val="117213D5"/>
    <w:rsid w:val="118D32CD"/>
    <w:rsid w:val="11E13FB1"/>
    <w:rsid w:val="11F12DFD"/>
    <w:rsid w:val="126A1D6D"/>
    <w:rsid w:val="127952CC"/>
    <w:rsid w:val="12D30FBC"/>
    <w:rsid w:val="12E666D9"/>
    <w:rsid w:val="12F60437"/>
    <w:rsid w:val="13D3745B"/>
    <w:rsid w:val="14005579"/>
    <w:rsid w:val="147549B3"/>
    <w:rsid w:val="14CD7B51"/>
    <w:rsid w:val="14E05AD6"/>
    <w:rsid w:val="14E71CFF"/>
    <w:rsid w:val="14FF3091"/>
    <w:rsid w:val="15A222DC"/>
    <w:rsid w:val="1653052A"/>
    <w:rsid w:val="18F95DBE"/>
    <w:rsid w:val="195C5947"/>
    <w:rsid w:val="19AC242B"/>
    <w:rsid w:val="19B47531"/>
    <w:rsid w:val="19F31E08"/>
    <w:rsid w:val="1A0538E9"/>
    <w:rsid w:val="1A53702C"/>
    <w:rsid w:val="1A8544B5"/>
    <w:rsid w:val="1A857D57"/>
    <w:rsid w:val="1ACC4461"/>
    <w:rsid w:val="1B522B5E"/>
    <w:rsid w:val="1B762CE2"/>
    <w:rsid w:val="1BE66C30"/>
    <w:rsid w:val="1BF43C15"/>
    <w:rsid w:val="1C136791"/>
    <w:rsid w:val="1C9C6787"/>
    <w:rsid w:val="1CAB05D0"/>
    <w:rsid w:val="1CB55473"/>
    <w:rsid w:val="1CEC3EDE"/>
    <w:rsid w:val="1CEF6999"/>
    <w:rsid w:val="1D0065BB"/>
    <w:rsid w:val="1D0A1CFC"/>
    <w:rsid w:val="1D3A26D5"/>
    <w:rsid w:val="1D532BBD"/>
    <w:rsid w:val="1D920D7D"/>
    <w:rsid w:val="1DC5095D"/>
    <w:rsid w:val="1DE037F0"/>
    <w:rsid w:val="1E48649A"/>
    <w:rsid w:val="1ED63AA6"/>
    <w:rsid w:val="1EE14925"/>
    <w:rsid w:val="1FED0AB4"/>
    <w:rsid w:val="20A65EA5"/>
    <w:rsid w:val="21731A80"/>
    <w:rsid w:val="22151481"/>
    <w:rsid w:val="227A06ED"/>
    <w:rsid w:val="227E248B"/>
    <w:rsid w:val="234176A7"/>
    <w:rsid w:val="2342447F"/>
    <w:rsid w:val="239F4DAE"/>
    <w:rsid w:val="23E46C65"/>
    <w:rsid w:val="24042E63"/>
    <w:rsid w:val="24612064"/>
    <w:rsid w:val="246D6C5B"/>
    <w:rsid w:val="249C0E31"/>
    <w:rsid w:val="24B26AFB"/>
    <w:rsid w:val="24FA1411"/>
    <w:rsid w:val="25183359"/>
    <w:rsid w:val="25DD40C3"/>
    <w:rsid w:val="25E62821"/>
    <w:rsid w:val="265A74D1"/>
    <w:rsid w:val="26EF08AD"/>
    <w:rsid w:val="27037402"/>
    <w:rsid w:val="2712015E"/>
    <w:rsid w:val="272A6CC8"/>
    <w:rsid w:val="275F6D2E"/>
    <w:rsid w:val="279E1165"/>
    <w:rsid w:val="27FA6A57"/>
    <w:rsid w:val="28257B21"/>
    <w:rsid w:val="28425D08"/>
    <w:rsid w:val="28450662"/>
    <w:rsid w:val="284E0B51"/>
    <w:rsid w:val="28920A3E"/>
    <w:rsid w:val="289968F9"/>
    <w:rsid w:val="28A91778"/>
    <w:rsid w:val="28CF57EE"/>
    <w:rsid w:val="28D63A99"/>
    <w:rsid w:val="291D0C4F"/>
    <w:rsid w:val="293935AF"/>
    <w:rsid w:val="29BF3AB4"/>
    <w:rsid w:val="2A444CA3"/>
    <w:rsid w:val="2AB70C30"/>
    <w:rsid w:val="2ADC41F2"/>
    <w:rsid w:val="2AE37BE1"/>
    <w:rsid w:val="2AE8528D"/>
    <w:rsid w:val="2B22043C"/>
    <w:rsid w:val="2B536144"/>
    <w:rsid w:val="2B5A131E"/>
    <w:rsid w:val="2B621D5D"/>
    <w:rsid w:val="2BF437BD"/>
    <w:rsid w:val="2C3173BB"/>
    <w:rsid w:val="2CB05936"/>
    <w:rsid w:val="2CD23AFF"/>
    <w:rsid w:val="2CD766F6"/>
    <w:rsid w:val="2CDC2BCF"/>
    <w:rsid w:val="2CE675AA"/>
    <w:rsid w:val="2CFB7C13"/>
    <w:rsid w:val="2D0B5263"/>
    <w:rsid w:val="2DF67CC1"/>
    <w:rsid w:val="2E952C2B"/>
    <w:rsid w:val="2EF97A69"/>
    <w:rsid w:val="2F155F25"/>
    <w:rsid w:val="2F3E7229"/>
    <w:rsid w:val="2F460AE9"/>
    <w:rsid w:val="2F7C5FA4"/>
    <w:rsid w:val="2FE31309"/>
    <w:rsid w:val="302636EE"/>
    <w:rsid w:val="303F76FD"/>
    <w:rsid w:val="30F304E8"/>
    <w:rsid w:val="310E5321"/>
    <w:rsid w:val="3112096E"/>
    <w:rsid w:val="31290838"/>
    <w:rsid w:val="313308E4"/>
    <w:rsid w:val="31411253"/>
    <w:rsid w:val="3163741B"/>
    <w:rsid w:val="31D43E75"/>
    <w:rsid w:val="31FD7870"/>
    <w:rsid w:val="32110C25"/>
    <w:rsid w:val="325D3E6B"/>
    <w:rsid w:val="328533C1"/>
    <w:rsid w:val="32A45F3D"/>
    <w:rsid w:val="32A777DC"/>
    <w:rsid w:val="32B533F0"/>
    <w:rsid w:val="32F963D2"/>
    <w:rsid w:val="33631954"/>
    <w:rsid w:val="338B2C59"/>
    <w:rsid w:val="33A763AA"/>
    <w:rsid w:val="343A5DD7"/>
    <w:rsid w:val="356B6831"/>
    <w:rsid w:val="360F1D32"/>
    <w:rsid w:val="3690502F"/>
    <w:rsid w:val="36966A37"/>
    <w:rsid w:val="371B42F4"/>
    <w:rsid w:val="374B5942"/>
    <w:rsid w:val="37605822"/>
    <w:rsid w:val="37D04D3D"/>
    <w:rsid w:val="387A20F4"/>
    <w:rsid w:val="3894435E"/>
    <w:rsid w:val="38A56AF6"/>
    <w:rsid w:val="38AD5595"/>
    <w:rsid w:val="38D961E8"/>
    <w:rsid w:val="397D20AE"/>
    <w:rsid w:val="39861EF9"/>
    <w:rsid w:val="39DE6F4C"/>
    <w:rsid w:val="3A455E38"/>
    <w:rsid w:val="3A502507"/>
    <w:rsid w:val="3AB02FA5"/>
    <w:rsid w:val="3AFB4C9C"/>
    <w:rsid w:val="3B5A02A3"/>
    <w:rsid w:val="3B7B10AF"/>
    <w:rsid w:val="3B98191D"/>
    <w:rsid w:val="3BAE1BDB"/>
    <w:rsid w:val="3C045C01"/>
    <w:rsid w:val="3C664263"/>
    <w:rsid w:val="3CAA23A2"/>
    <w:rsid w:val="3CB7686D"/>
    <w:rsid w:val="3D1B32A0"/>
    <w:rsid w:val="3D347EBE"/>
    <w:rsid w:val="3D5F13DF"/>
    <w:rsid w:val="3D7E7371"/>
    <w:rsid w:val="3DE16861"/>
    <w:rsid w:val="3DED085D"/>
    <w:rsid w:val="3E546AAD"/>
    <w:rsid w:val="3E8C20B9"/>
    <w:rsid w:val="3EA51073"/>
    <w:rsid w:val="3EC365E0"/>
    <w:rsid w:val="3ECD4126"/>
    <w:rsid w:val="3EEF6792"/>
    <w:rsid w:val="3EF16AD3"/>
    <w:rsid w:val="3EFC4A0B"/>
    <w:rsid w:val="3F353BC1"/>
    <w:rsid w:val="3F5E6F5C"/>
    <w:rsid w:val="3F850EA5"/>
    <w:rsid w:val="3FB41C4F"/>
    <w:rsid w:val="402A69BE"/>
    <w:rsid w:val="40493C5B"/>
    <w:rsid w:val="407C5E04"/>
    <w:rsid w:val="408D0011"/>
    <w:rsid w:val="40A315E2"/>
    <w:rsid w:val="40DC6E17"/>
    <w:rsid w:val="414D7A2B"/>
    <w:rsid w:val="42137FC4"/>
    <w:rsid w:val="422F25A0"/>
    <w:rsid w:val="424B5AB8"/>
    <w:rsid w:val="42687CB8"/>
    <w:rsid w:val="427511A5"/>
    <w:rsid w:val="42B23D5F"/>
    <w:rsid w:val="437238EF"/>
    <w:rsid w:val="437B23A2"/>
    <w:rsid w:val="43A00D2A"/>
    <w:rsid w:val="43A24DD0"/>
    <w:rsid w:val="44901E7E"/>
    <w:rsid w:val="45234D20"/>
    <w:rsid w:val="453E133C"/>
    <w:rsid w:val="45971623"/>
    <w:rsid w:val="45F75F2C"/>
    <w:rsid w:val="4606521C"/>
    <w:rsid w:val="46640A68"/>
    <w:rsid w:val="467D28D5"/>
    <w:rsid w:val="46D82F40"/>
    <w:rsid w:val="47102573"/>
    <w:rsid w:val="471E7C15"/>
    <w:rsid w:val="47633879"/>
    <w:rsid w:val="47947ED7"/>
    <w:rsid w:val="47A660FE"/>
    <w:rsid w:val="48CA0DEE"/>
    <w:rsid w:val="491047F0"/>
    <w:rsid w:val="49A06ABD"/>
    <w:rsid w:val="49A50CCB"/>
    <w:rsid w:val="49B54134"/>
    <w:rsid w:val="49D1188D"/>
    <w:rsid w:val="4A2744D0"/>
    <w:rsid w:val="4A421E6C"/>
    <w:rsid w:val="4A8F4B67"/>
    <w:rsid w:val="4AD056CA"/>
    <w:rsid w:val="4B100D3F"/>
    <w:rsid w:val="4B491947"/>
    <w:rsid w:val="4B851705"/>
    <w:rsid w:val="4C047FAB"/>
    <w:rsid w:val="4C177328"/>
    <w:rsid w:val="4C17747E"/>
    <w:rsid w:val="4C371B43"/>
    <w:rsid w:val="4C5735AF"/>
    <w:rsid w:val="4C654EA9"/>
    <w:rsid w:val="4CAF2F8A"/>
    <w:rsid w:val="4D431A20"/>
    <w:rsid w:val="4D626E6B"/>
    <w:rsid w:val="4E593C28"/>
    <w:rsid w:val="4E6B37FD"/>
    <w:rsid w:val="4ED67027"/>
    <w:rsid w:val="4F245FE4"/>
    <w:rsid w:val="4F710AFD"/>
    <w:rsid w:val="4F766114"/>
    <w:rsid w:val="4F846A83"/>
    <w:rsid w:val="4F8F62A7"/>
    <w:rsid w:val="4F912F4E"/>
    <w:rsid w:val="4FFD05E3"/>
    <w:rsid w:val="5009479D"/>
    <w:rsid w:val="5019366F"/>
    <w:rsid w:val="5082042C"/>
    <w:rsid w:val="50AD5B7D"/>
    <w:rsid w:val="50B72EC9"/>
    <w:rsid w:val="50BB64D4"/>
    <w:rsid w:val="50D17AA6"/>
    <w:rsid w:val="510D2AA8"/>
    <w:rsid w:val="5117253B"/>
    <w:rsid w:val="51226553"/>
    <w:rsid w:val="512E0D41"/>
    <w:rsid w:val="51B00003"/>
    <w:rsid w:val="521925B3"/>
    <w:rsid w:val="5257222D"/>
    <w:rsid w:val="53230361"/>
    <w:rsid w:val="53D745A0"/>
    <w:rsid w:val="54496343"/>
    <w:rsid w:val="54B41BB8"/>
    <w:rsid w:val="54CB658C"/>
    <w:rsid w:val="54F66924"/>
    <w:rsid w:val="555728F3"/>
    <w:rsid w:val="559E63C4"/>
    <w:rsid w:val="55E926C1"/>
    <w:rsid w:val="56162595"/>
    <w:rsid w:val="568630E0"/>
    <w:rsid w:val="569F23F4"/>
    <w:rsid w:val="574B7E86"/>
    <w:rsid w:val="57A856C2"/>
    <w:rsid w:val="581B1F4E"/>
    <w:rsid w:val="58346B6C"/>
    <w:rsid w:val="58523BC2"/>
    <w:rsid w:val="5855720E"/>
    <w:rsid w:val="58580AAD"/>
    <w:rsid w:val="58613E05"/>
    <w:rsid w:val="588B0E82"/>
    <w:rsid w:val="58A14202"/>
    <w:rsid w:val="58A576D9"/>
    <w:rsid w:val="58AB32D2"/>
    <w:rsid w:val="58BE07A7"/>
    <w:rsid w:val="58F24A5D"/>
    <w:rsid w:val="597A4752"/>
    <w:rsid w:val="59943D66"/>
    <w:rsid w:val="5A047DDA"/>
    <w:rsid w:val="5A073B8A"/>
    <w:rsid w:val="5A44578C"/>
    <w:rsid w:val="5A5B5637"/>
    <w:rsid w:val="5B1C4174"/>
    <w:rsid w:val="5B4D4C7A"/>
    <w:rsid w:val="5B58092E"/>
    <w:rsid w:val="5B9535A9"/>
    <w:rsid w:val="5B9A1A58"/>
    <w:rsid w:val="5BB95D06"/>
    <w:rsid w:val="5BD668B8"/>
    <w:rsid w:val="5C124426"/>
    <w:rsid w:val="5C2A0A80"/>
    <w:rsid w:val="5C337866"/>
    <w:rsid w:val="5C4529AC"/>
    <w:rsid w:val="5C86208C"/>
    <w:rsid w:val="5CAB1AF3"/>
    <w:rsid w:val="5CE349B5"/>
    <w:rsid w:val="5CEC5C67"/>
    <w:rsid w:val="5D215911"/>
    <w:rsid w:val="5D6C54A8"/>
    <w:rsid w:val="5D75228F"/>
    <w:rsid w:val="5D7E548D"/>
    <w:rsid w:val="5DD02D37"/>
    <w:rsid w:val="5DF9063C"/>
    <w:rsid w:val="5E074EDC"/>
    <w:rsid w:val="5E0A1696"/>
    <w:rsid w:val="5E3D49CC"/>
    <w:rsid w:val="5E534184"/>
    <w:rsid w:val="5E8E1ADD"/>
    <w:rsid w:val="5E96232F"/>
    <w:rsid w:val="5EF64B7B"/>
    <w:rsid w:val="5F830B05"/>
    <w:rsid w:val="5F8605F5"/>
    <w:rsid w:val="5F8B5E2F"/>
    <w:rsid w:val="5FAD16DE"/>
    <w:rsid w:val="5FAF36A8"/>
    <w:rsid w:val="602730B6"/>
    <w:rsid w:val="60934D78"/>
    <w:rsid w:val="60A778DC"/>
    <w:rsid w:val="60CE4B76"/>
    <w:rsid w:val="613025C6"/>
    <w:rsid w:val="613D2F35"/>
    <w:rsid w:val="61B20A9E"/>
    <w:rsid w:val="61FA48B8"/>
    <w:rsid w:val="62662018"/>
    <w:rsid w:val="62832BCA"/>
    <w:rsid w:val="639C2195"/>
    <w:rsid w:val="63DA4A6C"/>
    <w:rsid w:val="63E52150"/>
    <w:rsid w:val="64146470"/>
    <w:rsid w:val="64912512"/>
    <w:rsid w:val="64A77044"/>
    <w:rsid w:val="64F41B5D"/>
    <w:rsid w:val="65022802"/>
    <w:rsid w:val="65317530"/>
    <w:rsid w:val="653325E9"/>
    <w:rsid w:val="656222DD"/>
    <w:rsid w:val="66280D11"/>
    <w:rsid w:val="66377F53"/>
    <w:rsid w:val="669D1BD8"/>
    <w:rsid w:val="66DE4873"/>
    <w:rsid w:val="671D539B"/>
    <w:rsid w:val="67225192"/>
    <w:rsid w:val="672A648F"/>
    <w:rsid w:val="672A7AB8"/>
    <w:rsid w:val="67362901"/>
    <w:rsid w:val="67B80AF5"/>
    <w:rsid w:val="67DA328C"/>
    <w:rsid w:val="6809591F"/>
    <w:rsid w:val="680D3662"/>
    <w:rsid w:val="685A617B"/>
    <w:rsid w:val="68726A36"/>
    <w:rsid w:val="68B86884"/>
    <w:rsid w:val="68CD3F36"/>
    <w:rsid w:val="68F465CF"/>
    <w:rsid w:val="698A0CE2"/>
    <w:rsid w:val="699F4235"/>
    <w:rsid w:val="69E86446"/>
    <w:rsid w:val="69EE72E6"/>
    <w:rsid w:val="6A2B6021"/>
    <w:rsid w:val="6A627569"/>
    <w:rsid w:val="6AB5197E"/>
    <w:rsid w:val="6B15282D"/>
    <w:rsid w:val="6B765BD3"/>
    <w:rsid w:val="6BD36970"/>
    <w:rsid w:val="6C1D408F"/>
    <w:rsid w:val="6C4038DA"/>
    <w:rsid w:val="6C565206"/>
    <w:rsid w:val="6C944351"/>
    <w:rsid w:val="6CBD4F2A"/>
    <w:rsid w:val="6CC938CF"/>
    <w:rsid w:val="6CCD02D4"/>
    <w:rsid w:val="6E2A4841"/>
    <w:rsid w:val="6E396833"/>
    <w:rsid w:val="6E701C9A"/>
    <w:rsid w:val="6EBF4811"/>
    <w:rsid w:val="6EE00145"/>
    <w:rsid w:val="6F2B0871"/>
    <w:rsid w:val="6F6D6D19"/>
    <w:rsid w:val="6FA277E7"/>
    <w:rsid w:val="6FD17F22"/>
    <w:rsid w:val="6FE54EC4"/>
    <w:rsid w:val="701B2694"/>
    <w:rsid w:val="705D620E"/>
    <w:rsid w:val="70B328CC"/>
    <w:rsid w:val="70D80585"/>
    <w:rsid w:val="713E488C"/>
    <w:rsid w:val="71535E5D"/>
    <w:rsid w:val="71B0763C"/>
    <w:rsid w:val="71D21478"/>
    <w:rsid w:val="71EC32CB"/>
    <w:rsid w:val="7238752D"/>
    <w:rsid w:val="7294672D"/>
    <w:rsid w:val="72963482"/>
    <w:rsid w:val="729641A8"/>
    <w:rsid w:val="72A252EE"/>
    <w:rsid w:val="72C40135"/>
    <w:rsid w:val="72F41416"/>
    <w:rsid w:val="72F84F0E"/>
    <w:rsid w:val="72FF629D"/>
    <w:rsid w:val="733737D8"/>
    <w:rsid w:val="736A2FC8"/>
    <w:rsid w:val="743C0E2B"/>
    <w:rsid w:val="746A5998"/>
    <w:rsid w:val="749A44CF"/>
    <w:rsid w:val="74B314A3"/>
    <w:rsid w:val="74E50B73"/>
    <w:rsid w:val="75A629FF"/>
    <w:rsid w:val="7621652A"/>
    <w:rsid w:val="762322A2"/>
    <w:rsid w:val="763F2515"/>
    <w:rsid w:val="76760624"/>
    <w:rsid w:val="768E0063"/>
    <w:rsid w:val="76FA2478"/>
    <w:rsid w:val="774921DC"/>
    <w:rsid w:val="776502A1"/>
    <w:rsid w:val="77994B3A"/>
    <w:rsid w:val="779C40BA"/>
    <w:rsid w:val="77A64F39"/>
    <w:rsid w:val="77CB26BF"/>
    <w:rsid w:val="7847671C"/>
    <w:rsid w:val="78B66AE3"/>
    <w:rsid w:val="78E35D19"/>
    <w:rsid w:val="79132AA2"/>
    <w:rsid w:val="79690914"/>
    <w:rsid w:val="79984D55"/>
    <w:rsid w:val="799D05BD"/>
    <w:rsid w:val="79DFD2F6"/>
    <w:rsid w:val="79F00D50"/>
    <w:rsid w:val="79F521A7"/>
    <w:rsid w:val="7A4E72B2"/>
    <w:rsid w:val="7A97500D"/>
    <w:rsid w:val="7AC06311"/>
    <w:rsid w:val="7AE55D78"/>
    <w:rsid w:val="7B5B1E3C"/>
    <w:rsid w:val="7BB302F8"/>
    <w:rsid w:val="7C024E52"/>
    <w:rsid w:val="7C122165"/>
    <w:rsid w:val="7C367027"/>
    <w:rsid w:val="7C595195"/>
    <w:rsid w:val="7CC578A6"/>
    <w:rsid w:val="7D4C2098"/>
    <w:rsid w:val="7D741635"/>
    <w:rsid w:val="7DA0067C"/>
    <w:rsid w:val="7DF74740"/>
    <w:rsid w:val="7DFF5D96"/>
    <w:rsid w:val="7E5F1017"/>
    <w:rsid w:val="7EA45F4A"/>
    <w:rsid w:val="7EAD44A4"/>
    <w:rsid w:val="7EC564AB"/>
    <w:rsid w:val="7ECC72E9"/>
    <w:rsid w:val="7F4514DB"/>
    <w:rsid w:val="7F98785D"/>
    <w:rsid w:val="7FFB0706"/>
    <w:rsid w:val="DFDD0549"/>
    <w:rsid w:val="DFF4CA5B"/>
    <w:rsid w:val="E55F8818"/>
    <w:rsid w:val="F6FE526D"/>
    <w:rsid w:val="F8BFE794"/>
    <w:rsid w:val="FD4DD1D3"/>
    <w:rsid w:val="FFED66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qFormat="1"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5"/>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6"/>
    <w:link w:val="36"/>
    <w:qFormat/>
    <w:uiPriority w:val="0"/>
    <w:pPr>
      <w:keepNext/>
      <w:keepLines/>
      <w:spacing w:before="260" w:after="260" w:line="413" w:lineRule="auto"/>
      <w:outlineLvl w:val="1"/>
    </w:pPr>
    <w:rPr>
      <w:rFonts w:ascii="Arial" w:hAnsi="Arial" w:eastAsia="黑体"/>
      <w:b/>
      <w:sz w:val="32"/>
      <w:szCs w:val="20"/>
    </w:rPr>
  </w:style>
  <w:style w:type="paragraph" w:styleId="7">
    <w:name w:val="heading 3"/>
    <w:basedOn w:val="1"/>
    <w:next w:val="1"/>
    <w:link w:val="37"/>
    <w:qFormat/>
    <w:uiPriority w:val="0"/>
    <w:pPr>
      <w:keepNext/>
      <w:keepLines/>
      <w:spacing w:before="260" w:after="260" w:line="413" w:lineRule="auto"/>
      <w:outlineLvl w:val="2"/>
    </w:pPr>
    <w:rPr>
      <w:rFonts w:ascii="Times New Roman" w:hAnsi="Times New Roman"/>
      <w:b/>
      <w:sz w:val="32"/>
      <w:szCs w:val="20"/>
    </w:rPr>
  </w:style>
  <w:style w:type="paragraph" w:styleId="3">
    <w:name w:val="heading 4"/>
    <w:basedOn w:val="1"/>
    <w:next w:val="1"/>
    <w:unhideWhenUsed/>
    <w:qFormat/>
    <w:uiPriority w:val="0"/>
    <w:pPr>
      <w:keepNext/>
      <w:keepLines/>
      <w:numPr>
        <w:ilvl w:val="3"/>
        <w:numId w:val="1"/>
      </w:numPr>
      <w:tabs>
        <w:tab w:val="left" w:pos="0"/>
      </w:tabs>
      <w:spacing w:before="280" w:after="290" w:line="376" w:lineRule="auto"/>
      <w:outlineLvl w:val="3"/>
    </w:pPr>
    <w:rPr>
      <w:rFonts w:asciiTheme="majorHAnsi" w:hAnsiTheme="majorHAnsi" w:eastAsiaTheme="majorEastAsia" w:cstheme="majorBidi"/>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0"/>
    <w:qFormat/>
    <w:uiPriority w:val="0"/>
    <w:pPr>
      <w:adjustRightInd w:val="0"/>
      <w:spacing w:line="312" w:lineRule="atLeast"/>
      <w:textAlignment w:val="baseline"/>
    </w:pPr>
    <w:rPr>
      <w:rFonts w:ascii="宋体" w:hAnsi="Courier New" w:cstheme="minorBidi"/>
    </w:rPr>
  </w:style>
  <w:style w:type="paragraph" w:styleId="6">
    <w:name w:val="Body Text"/>
    <w:basedOn w:val="1"/>
    <w:link w:val="55"/>
    <w:qFormat/>
    <w:uiPriority w:val="0"/>
    <w:pPr>
      <w:spacing w:after="120"/>
    </w:pPr>
  </w:style>
  <w:style w:type="paragraph" w:styleId="8">
    <w:name w:val="toc 7"/>
    <w:basedOn w:val="1"/>
    <w:next w:val="1"/>
    <w:semiHidden/>
    <w:unhideWhenUsed/>
    <w:qFormat/>
    <w:uiPriority w:val="39"/>
    <w:pPr>
      <w:ind w:left="2520" w:leftChars="1200"/>
    </w:pPr>
  </w:style>
  <w:style w:type="paragraph" w:styleId="9">
    <w:name w:val="Normal Indent"/>
    <w:basedOn w:val="1"/>
    <w:link w:val="44"/>
    <w:qFormat/>
    <w:uiPriority w:val="0"/>
    <w:pPr>
      <w:autoSpaceDE w:val="0"/>
      <w:autoSpaceDN w:val="0"/>
      <w:adjustRightInd w:val="0"/>
      <w:spacing w:line="315" w:lineRule="atLeast"/>
      <w:ind w:firstLine="420"/>
      <w:jc w:val="left"/>
    </w:pPr>
    <w:rPr>
      <w:rFonts w:ascii="楷体_GB2312" w:eastAsia="楷体_GB2312" w:hAnsiTheme="minorHAnsi" w:cstheme="minorBidi"/>
      <w:sz w:val="28"/>
    </w:rPr>
  </w:style>
  <w:style w:type="paragraph" w:styleId="10">
    <w:name w:val="Document Map"/>
    <w:basedOn w:val="1"/>
    <w:link w:val="51"/>
    <w:qFormat/>
    <w:uiPriority w:val="0"/>
    <w:pPr>
      <w:shd w:val="clear" w:color="auto" w:fill="000080"/>
    </w:pPr>
    <w:rPr>
      <w:rFonts w:ascii="Times New Roman" w:hAnsi="Times New Roman"/>
      <w:sz w:val="30"/>
      <w:szCs w:val="20"/>
    </w:rPr>
  </w:style>
  <w:style w:type="paragraph" w:styleId="11">
    <w:name w:val="annotation text"/>
    <w:basedOn w:val="1"/>
    <w:link w:val="47"/>
    <w:qFormat/>
    <w:uiPriority w:val="0"/>
    <w:pPr>
      <w:jc w:val="left"/>
    </w:pPr>
    <w:rPr>
      <w:rFonts w:eastAsiaTheme="minorEastAsia" w:cstheme="minorBidi"/>
    </w:rPr>
  </w:style>
  <w:style w:type="paragraph" w:styleId="12">
    <w:name w:val="Body Text Indent"/>
    <w:basedOn w:val="1"/>
    <w:link w:val="43"/>
    <w:qFormat/>
    <w:uiPriority w:val="0"/>
    <w:pPr>
      <w:spacing w:line="480" w:lineRule="exact"/>
      <w:ind w:firstLine="549" w:firstLineChars="196"/>
    </w:pPr>
    <w:rPr>
      <w:rFonts w:ascii="仿宋_GB2312" w:eastAsia="仿宋_GB2312" w:cs="Arial" w:hAnsiTheme="minorHAnsi"/>
      <w:color w:val="000000"/>
      <w:sz w:val="28"/>
      <w:szCs w:val="24"/>
    </w:rPr>
  </w:style>
  <w:style w:type="paragraph" w:styleId="13">
    <w:name w:val="toc 3"/>
    <w:basedOn w:val="1"/>
    <w:next w:val="1"/>
    <w:qFormat/>
    <w:uiPriority w:val="39"/>
    <w:pPr>
      <w:tabs>
        <w:tab w:val="right" w:leader="dot" w:pos="9061"/>
      </w:tabs>
      <w:ind w:firstLine="602" w:firstLineChars="301"/>
      <w:jc w:val="left"/>
    </w:pPr>
    <w:rPr>
      <w:rFonts w:ascii="Times New Roman" w:hAnsi="Times New Roman"/>
      <w:i/>
      <w:sz w:val="20"/>
      <w:szCs w:val="20"/>
    </w:rPr>
  </w:style>
  <w:style w:type="paragraph" w:styleId="14">
    <w:name w:val="Date"/>
    <w:basedOn w:val="1"/>
    <w:next w:val="1"/>
    <w:link w:val="54"/>
    <w:qFormat/>
    <w:uiPriority w:val="0"/>
    <w:rPr>
      <w:rFonts w:ascii="宋体" w:hAnsi="Times New Roman"/>
      <w:color w:val="000000"/>
      <w:kern w:val="0"/>
      <w:sz w:val="30"/>
      <w:szCs w:val="20"/>
    </w:rPr>
  </w:style>
  <w:style w:type="paragraph" w:styleId="15">
    <w:name w:val="Body Text Indent 2"/>
    <w:basedOn w:val="1"/>
    <w:link w:val="57"/>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16">
    <w:name w:val="Balloon Text"/>
    <w:basedOn w:val="1"/>
    <w:link w:val="49"/>
    <w:qFormat/>
    <w:uiPriority w:val="0"/>
    <w:rPr>
      <w:rFonts w:ascii="Times New Roman" w:hAnsi="Times New Roman"/>
      <w:sz w:val="18"/>
      <w:szCs w:val="20"/>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autoSpaceDE w:val="0"/>
      <w:autoSpaceDN w:val="0"/>
      <w:adjustRightInd w:val="0"/>
      <w:spacing w:line="420" w:lineRule="exact"/>
      <w:jc w:val="left"/>
    </w:pPr>
    <w:rPr>
      <w:rFonts w:ascii="宋体" w:hAnsi="宋体"/>
      <w:caps/>
      <w:kern w:val="0"/>
      <w:sz w:val="28"/>
      <w:szCs w:val="20"/>
    </w:rPr>
  </w:style>
  <w:style w:type="paragraph" w:styleId="20">
    <w:name w:val="Body Text Indent 3"/>
    <w:basedOn w:val="1"/>
    <w:link w:val="48"/>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21">
    <w:name w:val="toc 2"/>
    <w:basedOn w:val="1"/>
    <w:next w:val="1"/>
    <w:qFormat/>
    <w:uiPriority w:val="39"/>
    <w:pPr>
      <w:tabs>
        <w:tab w:val="right" w:leader="dot" w:pos="9061"/>
      </w:tabs>
      <w:ind w:firstLine="601" w:firstLineChars="286"/>
      <w:jc w:val="left"/>
    </w:pPr>
    <w:rPr>
      <w:rFonts w:ascii="楷体_GB2312" w:hAnsi="Times New Roman" w:eastAsia="楷体_GB2312"/>
      <w:smallCaps/>
      <w:kern w:val="0"/>
      <w:szCs w:val="20"/>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45"/>
    <w:qFormat/>
    <w:uiPriority w:val="0"/>
    <w:pPr>
      <w:spacing w:before="240" w:after="60"/>
      <w:jc w:val="center"/>
      <w:outlineLvl w:val="0"/>
    </w:pPr>
    <w:rPr>
      <w:rFonts w:ascii="Cambria" w:hAnsi="Cambria" w:eastAsiaTheme="minorEastAsia"/>
      <w:b/>
      <w:bCs/>
      <w:sz w:val="32"/>
      <w:szCs w:val="32"/>
    </w:rPr>
  </w:style>
  <w:style w:type="paragraph" w:styleId="24">
    <w:name w:val="annotation subject"/>
    <w:basedOn w:val="11"/>
    <w:next w:val="11"/>
    <w:link w:val="39"/>
    <w:qFormat/>
    <w:uiPriority w:val="0"/>
    <w:rPr>
      <w:b/>
      <w:bCs/>
    </w:rPr>
  </w:style>
  <w:style w:type="paragraph" w:styleId="25">
    <w:name w:val="Body Text First Indent 2"/>
    <w:basedOn w:val="12"/>
    <w:unhideWhenUsed/>
    <w:qFormat/>
    <w:uiPriority w:val="0"/>
    <w:pPr>
      <w:spacing w:after="120" w:line="240" w:lineRule="auto"/>
      <w:ind w:left="420" w:leftChars="200" w:firstLine="420"/>
    </w:pPr>
    <w:rPr>
      <w:rFonts w:ascii="Calibri" w:hAnsi="Calibri" w:eastAsia="Times New Roman"/>
      <w:color w:val="auto"/>
      <w:sz w:val="24"/>
    </w:rPr>
  </w:style>
  <w:style w:type="table" w:styleId="27">
    <w:name w:val="Table Grid"/>
    <w:basedOn w:val="2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basedOn w:val="28"/>
    <w:qFormat/>
    <w:uiPriority w:val="0"/>
  </w:style>
  <w:style w:type="character" w:styleId="31">
    <w:name w:val="Hyperlink"/>
    <w:qFormat/>
    <w:uiPriority w:val="99"/>
    <w:rPr>
      <w:color w:val="0000FF"/>
      <w:u w:val="single"/>
    </w:rPr>
  </w:style>
  <w:style w:type="character" w:styleId="32">
    <w:name w:val="annotation reference"/>
    <w:basedOn w:val="28"/>
    <w:qFormat/>
    <w:uiPriority w:val="0"/>
    <w:rPr>
      <w:sz w:val="21"/>
      <w:szCs w:val="21"/>
    </w:rPr>
  </w:style>
  <w:style w:type="character" w:customStyle="1" w:styleId="33">
    <w:name w:val="页眉 Char"/>
    <w:basedOn w:val="28"/>
    <w:link w:val="18"/>
    <w:qFormat/>
    <w:uiPriority w:val="99"/>
    <w:rPr>
      <w:sz w:val="18"/>
      <w:szCs w:val="18"/>
    </w:rPr>
  </w:style>
  <w:style w:type="character" w:customStyle="1" w:styleId="34">
    <w:name w:val="页脚 Char"/>
    <w:basedOn w:val="28"/>
    <w:link w:val="17"/>
    <w:qFormat/>
    <w:uiPriority w:val="99"/>
    <w:rPr>
      <w:sz w:val="18"/>
      <w:szCs w:val="18"/>
    </w:rPr>
  </w:style>
  <w:style w:type="character" w:customStyle="1" w:styleId="35">
    <w:name w:val="标题 1 Char"/>
    <w:basedOn w:val="28"/>
    <w:link w:val="4"/>
    <w:qFormat/>
    <w:uiPriority w:val="0"/>
    <w:rPr>
      <w:rFonts w:ascii="Times New Roman" w:hAnsi="Times New Roman" w:eastAsia="宋体" w:cs="Times New Roman"/>
      <w:b/>
      <w:kern w:val="44"/>
      <w:sz w:val="44"/>
      <w:szCs w:val="20"/>
    </w:rPr>
  </w:style>
  <w:style w:type="character" w:customStyle="1" w:styleId="36">
    <w:name w:val="标题 2 Char1"/>
    <w:basedOn w:val="28"/>
    <w:link w:val="5"/>
    <w:qFormat/>
    <w:uiPriority w:val="0"/>
    <w:rPr>
      <w:rFonts w:ascii="Arial" w:hAnsi="Arial" w:eastAsia="黑体" w:cs="Times New Roman"/>
      <w:b/>
      <w:sz w:val="32"/>
      <w:szCs w:val="20"/>
    </w:rPr>
  </w:style>
  <w:style w:type="character" w:customStyle="1" w:styleId="37">
    <w:name w:val="标题 3 Char"/>
    <w:basedOn w:val="28"/>
    <w:link w:val="7"/>
    <w:qFormat/>
    <w:uiPriority w:val="0"/>
    <w:rPr>
      <w:rFonts w:ascii="Times New Roman" w:hAnsi="Times New Roman" w:eastAsia="宋体" w:cs="Times New Roman"/>
      <w:b/>
      <w:sz w:val="32"/>
      <w:szCs w:val="20"/>
    </w:rPr>
  </w:style>
  <w:style w:type="character" w:customStyle="1" w:styleId="38">
    <w:name w:val="纯文本 Char1"/>
    <w:qFormat/>
    <w:uiPriority w:val="0"/>
    <w:rPr>
      <w:rFonts w:ascii="宋体" w:hAnsi="Courier New" w:eastAsia="宋体"/>
      <w:sz w:val="21"/>
      <w:lang w:val="en-US" w:eastAsia="zh-CN" w:bidi="ar-SA"/>
    </w:rPr>
  </w:style>
  <w:style w:type="character" w:customStyle="1" w:styleId="39">
    <w:name w:val="批注主题 Char"/>
    <w:link w:val="24"/>
    <w:qFormat/>
    <w:uiPriority w:val="0"/>
    <w:rPr>
      <w:rFonts w:ascii="Calibri" w:hAnsi="Calibri"/>
      <w:b/>
      <w:bCs/>
    </w:rPr>
  </w:style>
  <w:style w:type="character" w:customStyle="1" w:styleId="40">
    <w:name w:val="纯文本 Char"/>
    <w:link w:val="2"/>
    <w:qFormat/>
    <w:uiPriority w:val="0"/>
    <w:rPr>
      <w:rFonts w:ascii="宋体" w:hAnsi="Courier New" w:eastAsia="宋体"/>
    </w:rPr>
  </w:style>
  <w:style w:type="character" w:customStyle="1" w:styleId="41">
    <w:name w:val="无间隔 Char"/>
    <w:link w:val="42"/>
    <w:qFormat/>
    <w:uiPriority w:val="1"/>
    <w:rPr>
      <w:rFonts w:ascii="Calibri" w:hAnsi="Calibri"/>
      <w:sz w:val="22"/>
    </w:rPr>
  </w:style>
  <w:style w:type="paragraph" w:customStyle="1" w:styleId="42">
    <w:name w:val="无间隔1"/>
    <w:link w:val="41"/>
    <w:qFormat/>
    <w:uiPriority w:val="1"/>
    <w:rPr>
      <w:rFonts w:ascii="Calibri" w:hAnsi="Calibri" w:eastAsiaTheme="minorEastAsia" w:cstheme="minorBidi"/>
      <w:kern w:val="2"/>
      <w:sz w:val="22"/>
      <w:szCs w:val="22"/>
      <w:lang w:val="en-US" w:eastAsia="zh-CN" w:bidi="ar-SA"/>
    </w:rPr>
  </w:style>
  <w:style w:type="character" w:customStyle="1" w:styleId="43">
    <w:name w:val="正文文本缩进 Char"/>
    <w:link w:val="12"/>
    <w:qFormat/>
    <w:locked/>
    <w:uiPriority w:val="0"/>
    <w:rPr>
      <w:rFonts w:ascii="仿宋_GB2312" w:eastAsia="仿宋_GB2312" w:cs="Arial"/>
      <w:color w:val="000000"/>
      <w:sz w:val="28"/>
      <w:szCs w:val="24"/>
    </w:rPr>
  </w:style>
  <w:style w:type="character" w:customStyle="1" w:styleId="44">
    <w:name w:val="正文缩进 Char"/>
    <w:link w:val="9"/>
    <w:qFormat/>
    <w:uiPriority w:val="0"/>
    <w:rPr>
      <w:rFonts w:ascii="楷体_GB2312" w:eastAsia="楷体_GB2312"/>
      <w:sz w:val="28"/>
    </w:rPr>
  </w:style>
  <w:style w:type="character" w:customStyle="1" w:styleId="45">
    <w:name w:val="标题 Char"/>
    <w:link w:val="23"/>
    <w:qFormat/>
    <w:uiPriority w:val="0"/>
    <w:rPr>
      <w:rFonts w:ascii="Cambria" w:hAnsi="Cambria" w:cs="Times New Roman"/>
      <w:b/>
      <w:bCs/>
      <w:sz w:val="32"/>
      <w:szCs w:val="32"/>
    </w:rPr>
  </w:style>
  <w:style w:type="character" w:customStyle="1" w:styleId="46">
    <w:name w:val="普通文字1 Char1"/>
    <w:qFormat/>
    <w:uiPriority w:val="0"/>
    <w:rPr>
      <w:rFonts w:ascii="宋体" w:hAnsi="Courier New" w:eastAsia="宋体"/>
      <w:kern w:val="2"/>
      <w:sz w:val="21"/>
      <w:lang w:val="en-US" w:eastAsia="zh-CN" w:bidi="ar-SA"/>
    </w:rPr>
  </w:style>
  <w:style w:type="character" w:customStyle="1" w:styleId="47">
    <w:name w:val="批注文字 Char"/>
    <w:link w:val="11"/>
    <w:qFormat/>
    <w:uiPriority w:val="0"/>
    <w:rPr>
      <w:rFonts w:ascii="Calibri" w:hAnsi="Calibri"/>
    </w:rPr>
  </w:style>
  <w:style w:type="character" w:customStyle="1" w:styleId="48">
    <w:name w:val="正文文本缩进 3 Char"/>
    <w:basedOn w:val="28"/>
    <w:link w:val="20"/>
    <w:qFormat/>
    <w:uiPriority w:val="0"/>
    <w:rPr>
      <w:rFonts w:ascii="方正仿宋简体" w:hAnsi="Times New Roman" w:eastAsia="方正仿宋简体" w:cs="Times New Roman"/>
      <w:color w:val="000000"/>
      <w:kern w:val="0"/>
      <w:sz w:val="28"/>
      <w:szCs w:val="20"/>
    </w:rPr>
  </w:style>
  <w:style w:type="character" w:customStyle="1" w:styleId="49">
    <w:name w:val="批注框文本 Char"/>
    <w:basedOn w:val="28"/>
    <w:link w:val="16"/>
    <w:qFormat/>
    <w:uiPriority w:val="0"/>
    <w:rPr>
      <w:rFonts w:ascii="Times New Roman" w:hAnsi="Times New Roman" w:eastAsia="宋体" w:cs="Times New Roman"/>
      <w:sz w:val="18"/>
      <w:szCs w:val="20"/>
    </w:rPr>
  </w:style>
  <w:style w:type="character" w:customStyle="1" w:styleId="50">
    <w:name w:val="纯文本 Char2"/>
    <w:basedOn w:val="28"/>
    <w:semiHidden/>
    <w:qFormat/>
    <w:uiPriority w:val="99"/>
    <w:rPr>
      <w:rFonts w:ascii="宋体" w:hAnsi="Courier New" w:eastAsia="宋体" w:cs="Courier New"/>
      <w:szCs w:val="21"/>
    </w:rPr>
  </w:style>
  <w:style w:type="character" w:customStyle="1" w:styleId="51">
    <w:name w:val="文档结构图 Char"/>
    <w:basedOn w:val="28"/>
    <w:link w:val="10"/>
    <w:qFormat/>
    <w:uiPriority w:val="0"/>
    <w:rPr>
      <w:rFonts w:ascii="Times New Roman" w:hAnsi="Times New Roman" w:eastAsia="宋体" w:cs="Times New Roman"/>
      <w:sz w:val="30"/>
      <w:szCs w:val="20"/>
      <w:shd w:val="clear" w:color="auto" w:fill="000080"/>
    </w:rPr>
  </w:style>
  <w:style w:type="character" w:customStyle="1" w:styleId="52">
    <w:name w:val="批注文字 Char1"/>
    <w:basedOn w:val="28"/>
    <w:semiHidden/>
    <w:qFormat/>
    <w:uiPriority w:val="99"/>
    <w:rPr>
      <w:rFonts w:ascii="Calibri" w:hAnsi="Calibri" w:eastAsia="宋体" w:cs="Times New Roman"/>
    </w:rPr>
  </w:style>
  <w:style w:type="character" w:customStyle="1" w:styleId="53">
    <w:name w:val="正文文本缩进 Char1"/>
    <w:basedOn w:val="28"/>
    <w:semiHidden/>
    <w:qFormat/>
    <w:uiPriority w:val="99"/>
    <w:rPr>
      <w:rFonts w:ascii="Calibri" w:hAnsi="Calibri" w:eastAsia="宋体" w:cs="Times New Roman"/>
    </w:rPr>
  </w:style>
  <w:style w:type="character" w:customStyle="1" w:styleId="54">
    <w:name w:val="日期 Char"/>
    <w:basedOn w:val="28"/>
    <w:link w:val="14"/>
    <w:qFormat/>
    <w:uiPriority w:val="0"/>
    <w:rPr>
      <w:rFonts w:ascii="宋体" w:hAnsi="Times New Roman" w:eastAsia="宋体" w:cs="Times New Roman"/>
      <w:color w:val="000000"/>
      <w:kern w:val="0"/>
      <w:sz w:val="30"/>
      <w:szCs w:val="20"/>
    </w:rPr>
  </w:style>
  <w:style w:type="character" w:customStyle="1" w:styleId="55">
    <w:name w:val="正文文本 Char"/>
    <w:basedOn w:val="28"/>
    <w:link w:val="6"/>
    <w:qFormat/>
    <w:uiPriority w:val="0"/>
    <w:rPr>
      <w:rFonts w:ascii="Calibri" w:hAnsi="Calibri" w:eastAsia="宋体" w:cs="Times New Roman"/>
    </w:rPr>
  </w:style>
  <w:style w:type="character" w:customStyle="1" w:styleId="56">
    <w:name w:val="标题 Char1"/>
    <w:basedOn w:val="28"/>
    <w:qFormat/>
    <w:uiPriority w:val="10"/>
    <w:rPr>
      <w:rFonts w:eastAsia="宋体" w:asciiTheme="majorHAnsi" w:hAnsiTheme="majorHAnsi" w:cstheme="majorBidi"/>
      <w:b/>
      <w:bCs/>
      <w:sz w:val="32"/>
      <w:szCs w:val="32"/>
    </w:rPr>
  </w:style>
  <w:style w:type="character" w:customStyle="1" w:styleId="57">
    <w:name w:val="正文文本缩进 2 Char"/>
    <w:basedOn w:val="28"/>
    <w:link w:val="15"/>
    <w:qFormat/>
    <w:uiPriority w:val="0"/>
    <w:rPr>
      <w:rFonts w:ascii="方正仿宋简体" w:hAnsi="Times New Roman" w:eastAsia="方正仿宋简体" w:cs="Times New Roman"/>
      <w:color w:val="000000"/>
      <w:kern w:val="0"/>
      <w:sz w:val="30"/>
      <w:szCs w:val="20"/>
    </w:rPr>
  </w:style>
  <w:style w:type="character" w:customStyle="1" w:styleId="58">
    <w:name w:val="批注主题 Char1"/>
    <w:basedOn w:val="52"/>
    <w:semiHidden/>
    <w:qFormat/>
    <w:uiPriority w:val="99"/>
    <w:rPr>
      <w:rFonts w:ascii="Calibri" w:hAnsi="Calibri" w:eastAsia="宋体" w:cs="Times New Roman"/>
      <w:b/>
      <w:bCs/>
    </w:rPr>
  </w:style>
  <w:style w:type="paragraph" w:customStyle="1" w:styleId="59">
    <w:name w:val="修订1"/>
    <w:unhideWhenUsed/>
    <w:qFormat/>
    <w:uiPriority w:val="99"/>
    <w:rPr>
      <w:rFonts w:ascii="Calibri" w:hAnsi="Calibri" w:eastAsia="宋体" w:cs="Times New Roman"/>
      <w:kern w:val="2"/>
      <w:sz w:val="21"/>
      <w:szCs w:val="22"/>
      <w:lang w:val="en-US" w:eastAsia="zh-CN" w:bidi="ar-SA"/>
    </w:rPr>
  </w:style>
  <w:style w:type="paragraph" w:customStyle="1" w:styleId="60">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61">
    <w:name w:val="Char"/>
    <w:basedOn w:val="10"/>
    <w:qFormat/>
    <w:uiPriority w:val="0"/>
    <w:pPr>
      <w:widowControl/>
      <w:ind w:firstLine="454"/>
      <w:jc w:val="left"/>
    </w:pPr>
    <w:rPr>
      <w:rFonts w:ascii="Tahoma" w:hAnsi="Tahoma"/>
      <w:kern w:val="0"/>
      <w:sz w:val="24"/>
    </w:rPr>
  </w:style>
  <w:style w:type="paragraph" w:customStyle="1" w:styleId="62">
    <w:name w:val="Char Char Char Char Char Char Char Char Char Char Char Char"/>
    <w:basedOn w:val="1"/>
    <w:qFormat/>
    <w:uiPriority w:val="0"/>
    <w:rPr>
      <w:rFonts w:ascii="宋体" w:hAnsi="宋体" w:cs="Courier New"/>
      <w:sz w:val="32"/>
      <w:szCs w:val="32"/>
    </w:rPr>
  </w:style>
  <w:style w:type="paragraph" w:customStyle="1" w:styleId="63">
    <w:name w:val="Inside Address"/>
    <w:basedOn w:val="6"/>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64">
    <w:name w:val="样式1"/>
    <w:basedOn w:val="1"/>
    <w:qFormat/>
    <w:uiPriority w:val="0"/>
    <w:pPr>
      <w:spacing w:before="120" w:after="120" w:line="300" w:lineRule="auto"/>
    </w:pPr>
    <w:rPr>
      <w:rFonts w:ascii="宋体" w:hAnsi="宋体"/>
      <w:b/>
      <w:sz w:val="24"/>
      <w:szCs w:val="20"/>
    </w:rPr>
  </w:style>
  <w:style w:type="paragraph" w:customStyle="1" w:styleId="65">
    <w:name w:val="TOC 标题1"/>
    <w:basedOn w:val="4"/>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66">
    <w:name w:val="2ji"/>
    <w:basedOn w:val="5"/>
    <w:qFormat/>
    <w:uiPriority w:val="0"/>
    <w:pPr>
      <w:adjustRightInd w:val="0"/>
      <w:spacing w:before="0" w:after="0" w:line="360" w:lineRule="auto"/>
      <w:textAlignment w:val="baseline"/>
    </w:pPr>
    <w:rPr>
      <w:rFonts w:ascii="宋体" w:hAnsi="宋体" w:eastAsia="宋体"/>
      <w:bCs/>
      <w:kern w:val="0"/>
      <w:sz w:val="21"/>
      <w:szCs w:val="21"/>
    </w:rPr>
  </w:style>
  <w:style w:type="paragraph" w:customStyle="1" w:styleId="67">
    <w:name w:val="列出段落1"/>
    <w:basedOn w:val="1"/>
    <w:qFormat/>
    <w:uiPriority w:val="0"/>
    <w:pPr>
      <w:ind w:firstLine="420" w:firstLineChars="200"/>
    </w:pPr>
  </w:style>
  <w:style w:type="paragraph" w:customStyle="1" w:styleId="68">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69">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70">
    <w:name w:val="列出段落11"/>
    <w:basedOn w:val="1"/>
    <w:qFormat/>
    <w:uiPriority w:val="34"/>
    <w:pPr>
      <w:ind w:firstLine="420" w:firstLineChars="200"/>
    </w:pPr>
  </w:style>
  <w:style w:type="paragraph" w:customStyle="1" w:styleId="71">
    <w:name w:val="TOC 标题11"/>
    <w:basedOn w:val="4"/>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72">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73">
    <w:name w:val="节"/>
    <w:basedOn w:val="5"/>
    <w:qFormat/>
    <w:uiPriority w:val="0"/>
    <w:pPr>
      <w:tabs>
        <w:tab w:val="left" w:pos="576"/>
      </w:tabs>
      <w:spacing w:line="240" w:lineRule="auto"/>
      <w:ind w:left="840" w:hanging="420"/>
    </w:pPr>
    <w:rPr>
      <w:rFonts w:ascii="黑体"/>
      <w:b w:val="0"/>
      <w:bCs/>
      <w:sz w:val="28"/>
      <w:szCs w:val="28"/>
    </w:rPr>
  </w:style>
  <w:style w:type="paragraph" w:styleId="74">
    <w:name w:val="List Paragraph"/>
    <w:basedOn w:val="1"/>
    <w:qFormat/>
    <w:uiPriority w:val="34"/>
    <w:pPr>
      <w:ind w:firstLine="420" w:firstLineChars="200"/>
    </w:pPr>
  </w:style>
  <w:style w:type="paragraph" w:customStyle="1" w:styleId="75">
    <w:name w:val="Blockquote"/>
    <w:basedOn w:val="1"/>
    <w:qFormat/>
    <w:uiPriority w:val="0"/>
    <w:pPr>
      <w:autoSpaceDE w:val="0"/>
      <w:autoSpaceDN w:val="0"/>
      <w:adjustRightInd w:val="0"/>
      <w:spacing w:before="100"/>
      <w:ind w:left="360" w:right="360"/>
      <w:jc w:val="left"/>
    </w:pPr>
    <w:rPr>
      <w:sz w:val="24"/>
      <w:szCs w:val="20"/>
    </w:rPr>
  </w:style>
  <w:style w:type="character" w:customStyle="1" w:styleId="76">
    <w:name w:val="标题 2 Char"/>
    <w:qFormat/>
    <w:uiPriority w:val="0"/>
    <w:rPr>
      <w:rFonts w:ascii="Arial" w:hAnsi="Arial" w:eastAsia="黑体"/>
      <w:b/>
      <w:sz w:val="32"/>
      <w:szCs w:val="32"/>
    </w:rPr>
  </w:style>
  <w:style w:type="paragraph" w:customStyle="1" w:styleId="77">
    <w:name w:val="TOC2"/>
    <w:basedOn w:val="1"/>
    <w:next w:val="1"/>
    <w:qFormat/>
    <w:uiPriority w:val="0"/>
    <w:pPr>
      <w:ind w:left="420" w:leftChars="200"/>
    </w:pPr>
  </w:style>
  <w:style w:type="character" w:customStyle="1" w:styleId="78">
    <w:name w:val="NormalCharacter"/>
    <w:semiHidden/>
    <w:qFormat/>
    <w:uiPriority w:val="0"/>
  </w:style>
  <w:style w:type="paragraph" w:customStyle="1" w:styleId="79">
    <w:name w:val="NormalIndent"/>
    <w:basedOn w:val="1"/>
    <w:qFormat/>
    <w:uiPriority w:val="0"/>
    <w:pPr>
      <w:spacing w:line="315" w:lineRule="atLeast"/>
      <w:ind w:firstLine="420"/>
      <w:jc w:val="left"/>
    </w:pPr>
    <w:rPr>
      <w:rFonts w:ascii="楷体_GB2312" w:eastAsia="楷体_GB2312"/>
      <w:sz w:val="28"/>
    </w:rPr>
  </w:style>
  <w:style w:type="paragraph" w:customStyle="1" w:styleId="80">
    <w:name w:val="PlainText"/>
    <w:basedOn w:val="1"/>
    <w:next w:val="81"/>
    <w:qFormat/>
    <w:uiPriority w:val="0"/>
    <w:rPr>
      <w:rFonts w:ascii="宋体" w:hAnsi="Courier New"/>
      <w:szCs w:val="21"/>
    </w:rPr>
  </w:style>
  <w:style w:type="paragraph" w:customStyle="1" w:styleId="81">
    <w:name w:val="Heading4"/>
    <w:basedOn w:val="1"/>
    <w:next w:val="1"/>
    <w:qFormat/>
    <w:uiPriority w:val="0"/>
    <w:pPr>
      <w:keepNext/>
      <w:keepLines/>
      <w:numPr>
        <w:ilvl w:val="3"/>
        <w:numId w:val="2"/>
      </w:numPr>
      <w:spacing w:line="360" w:lineRule="auto"/>
      <w:ind w:firstLine="0"/>
      <w:jc w:val="left"/>
    </w:pPr>
    <w:rPr>
      <w:b/>
      <w:bCs/>
      <w:szCs w:val="28"/>
    </w:rPr>
  </w:style>
  <w:style w:type="paragraph" w:customStyle="1" w:styleId="82">
    <w:name w:val="UserStyle_0"/>
    <w:qFormat/>
    <w:uiPriority w:val="0"/>
    <w:pPr>
      <w:textAlignment w:val="baseline"/>
    </w:pPr>
    <w:rPr>
      <w:rFonts w:ascii="Cambria" w:hAnsi="Cambria" w:eastAsia="宋体"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59</Pages>
  <Words>36450</Words>
  <Characters>38735</Characters>
  <Lines>313</Lines>
  <Paragraphs>88</Paragraphs>
  <TotalTime>29</TotalTime>
  <ScaleCrop>false</ScaleCrop>
  <LinksUpToDate>false</LinksUpToDate>
  <CharactersWithSpaces>41490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2020-03-04T10:51:00Z</dcterms:created>
  <dc:creator>陈宏强</dc:creator>
  <cp:lastModifiedBy>我叫魏美丽</cp:lastModifiedBy>
  <cp:lastPrinted>2023-02-21T16:05:00Z</cp:lastPrinted>
  <dcterms:modified xsi:type="dcterms:W3CDTF">2023-04-12T07:28:37Z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C7F0E7A0DB214D539E837C6DAB1BB7E8</vt:lpwstr>
  </property>
</Properties>
</file>