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hint="eastAsia" w:eastAsia="黑体"/>
          <w:b/>
          <w:bCs/>
          <w:spacing w:val="-20"/>
          <w:sz w:val="28"/>
          <w:szCs w:val="28"/>
          <w:highlight w:val="none"/>
          <w:lang w:val="en-US" w:eastAsia="zh-CN"/>
        </w:rPr>
      </w:pPr>
      <w:r>
        <w:rPr>
          <w:rFonts w:hint="eastAsia" w:ascii="黑体" w:eastAsia="黑体"/>
          <w:sz w:val="44"/>
          <w:szCs w:val="48"/>
          <w:highlight w:val="none"/>
        </w:rPr>
        <w:t>南宁轨道</w:t>
      </w:r>
      <w:r>
        <w:rPr>
          <w:rFonts w:hint="eastAsia" w:ascii="黑体" w:eastAsia="黑体"/>
          <w:sz w:val="44"/>
          <w:szCs w:val="48"/>
          <w:highlight w:val="none"/>
          <w:lang w:val="en-US" w:eastAsia="zh-CN"/>
        </w:rPr>
        <w:t>地产</w:t>
      </w:r>
      <w:r>
        <w:rPr>
          <w:rFonts w:hint="eastAsia" w:ascii="黑体" w:eastAsia="黑体"/>
          <w:sz w:val="44"/>
          <w:szCs w:val="48"/>
          <w:highlight w:val="none"/>
        </w:rPr>
        <w:t>集团有限责任公司</w:t>
      </w:r>
      <w:r>
        <w:rPr>
          <w:rFonts w:ascii="黑体" w:eastAsia="黑体"/>
          <w:sz w:val="44"/>
          <w:szCs w:val="48"/>
          <w:highlight w:val="none"/>
        </w:rPr>
        <w:t>202</w:t>
      </w:r>
      <w:r>
        <w:rPr>
          <w:rFonts w:hint="eastAsia" w:ascii="黑体" w:eastAsia="黑体"/>
          <w:sz w:val="44"/>
          <w:szCs w:val="48"/>
          <w:highlight w:val="none"/>
          <w:lang w:val="en-US" w:eastAsia="zh-CN"/>
        </w:rPr>
        <w:t>1</w:t>
      </w:r>
      <w:r>
        <w:rPr>
          <w:rFonts w:hint="eastAsia" w:ascii="黑体" w:eastAsia="黑体"/>
          <w:sz w:val="44"/>
          <w:szCs w:val="48"/>
          <w:highlight w:val="none"/>
        </w:rPr>
        <w:t>年</w:t>
      </w:r>
      <w:r>
        <w:rPr>
          <w:rFonts w:hint="eastAsia" w:ascii="黑体" w:eastAsia="黑体"/>
          <w:sz w:val="44"/>
          <w:szCs w:val="48"/>
          <w:highlight w:val="none"/>
          <w:lang w:eastAsia="zh-CN"/>
        </w:rPr>
        <w:t>至</w:t>
      </w:r>
      <w:r>
        <w:rPr>
          <w:rFonts w:hint="eastAsia" w:ascii="黑体" w:eastAsia="黑体"/>
          <w:sz w:val="44"/>
          <w:szCs w:val="48"/>
          <w:highlight w:val="none"/>
          <w:lang w:val="en-US" w:eastAsia="zh-CN"/>
        </w:rPr>
        <w:t>2022年设计变更管理专项审计</w:t>
      </w:r>
      <w:r>
        <w:rPr>
          <w:rFonts w:hint="eastAsia" w:ascii="黑体" w:eastAsia="黑体"/>
          <w:spacing w:val="-20"/>
          <w:sz w:val="44"/>
          <w:szCs w:val="48"/>
          <w:highlight w:val="none"/>
        </w:rPr>
        <w:t>项目</w:t>
      </w:r>
      <w:r>
        <w:rPr>
          <w:rFonts w:hint="eastAsia" w:ascii="黑体" w:eastAsia="黑体"/>
          <w:spacing w:val="-20"/>
          <w:sz w:val="44"/>
          <w:szCs w:val="48"/>
          <w:highlight w:val="none"/>
          <w:lang w:val="en-US" w:eastAsia="zh-CN"/>
        </w:rPr>
        <w:t>第二次</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32122"/>
      <w:bookmarkStart w:id="1" w:name="_Toc9980"/>
      <w:bookmarkStart w:id="2" w:name="_Toc471482358"/>
      <w:bookmarkStart w:id="3" w:name="_Toc12363"/>
      <w:bookmarkStart w:id="4" w:name="_Toc27692"/>
      <w:bookmarkStart w:id="5" w:name="_Toc21106"/>
      <w:bookmarkStart w:id="6" w:name="_Toc23188"/>
      <w:bookmarkStart w:id="7" w:name="_Toc4954"/>
      <w:bookmarkStart w:id="8" w:name="_Toc18159"/>
      <w:bookmarkStart w:id="9" w:name="_Toc25905"/>
      <w:bookmarkStart w:id="10" w:name="_Toc461525293"/>
      <w:bookmarkStart w:id="11" w:name="_Toc14943"/>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2023年</w:t>
      </w:r>
      <w:r>
        <w:rPr>
          <w:rFonts w:hint="eastAsia" w:ascii="宋体" w:hAnsi="宋体" w:cs="宋体"/>
          <w:b/>
          <w:bCs/>
          <w:sz w:val="32"/>
          <w:szCs w:val="32"/>
          <w:highlight w:val="none"/>
          <w:lang w:val="en-US" w:eastAsia="zh-CN"/>
        </w:rPr>
        <w:t xml:space="preserve"> 4 </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 xml:space="preserve"> 18 </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4000" w:firstLineChars="1250"/>
        <w:jc w:val="both"/>
        <w:rPr>
          <w:rFonts w:ascii="宋体" w:cs="宋体"/>
          <w:szCs w:val="21"/>
          <w:highlight w:val="none"/>
        </w:rPr>
      </w:pPr>
      <w:bookmarkStart w:id="12" w:name="_Toc31734"/>
      <w:bookmarkStart w:id="13" w:name="_Toc19051"/>
      <w:bookmarkStart w:id="14" w:name="_Toc27700"/>
      <w:bookmarkStart w:id="15" w:name="_Toc17397"/>
      <w:bookmarkStart w:id="16" w:name="_Toc16693"/>
      <w:bookmarkStart w:id="17" w:name="_Toc24586"/>
      <w:bookmarkStart w:id="18" w:name="_Toc13153"/>
      <w:r>
        <w:rPr>
          <w:rFonts w:ascii="宋体" w:hAnsi="宋体"/>
          <w:b w:val="0"/>
          <w:sz w:val="32"/>
          <w:szCs w:val="21"/>
          <w:highlight w:val="none"/>
        </w:rPr>
        <w:t xml:space="preserve"> </w:t>
      </w:r>
      <w:bookmarkStart w:id="19" w:name="_Toc2225"/>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highlight w:val="none"/>
        </w:rPr>
        <w:fldChar w:fldCharType="begin"/>
      </w:r>
      <w:r>
        <w:rPr>
          <w:highlight w:val="none"/>
        </w:rPr>
        <w:instrText xml:space="preserve"> HYPERLINK \l "_Toc2225" </w:instrText>
      </w:r>
      <w:r>
        <w:rPr>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_Toc2225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"_Toc31523" </w:instrText>
      </w:r>
      <w:r>
        <w:rPr>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_Toc31523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"_Toc31603" </w:instrText>
      </w:r>
      <w:r>
        <w:rPr>
          <w:highlight w:val="none"/>
        </w:rPr>
        <w:fldChar w:fldCharType="separate"/>
      </w:r>
      <w:r>
        <w:rPr>
          <w:rFonts w:hint="eastAsia"/>
          <w:highlight w:val="none"/>
        </w:rPr>
        <w:t>前附表</w:t>
      </w:r>
      <w:r>
        <w:rPr>
          <w:highlight w:val="none"/>
        </w:rPr>
        <w:tab/>
      </w:r>
      <w:r>
        <w:rPr>
          <w:highlight w:val="none"/>
        </w:rPr>
        <w:fldChar w:fldCharType="begin"/>
      </w:r>
      <w:r>
        <w:rPr>
          <w:highlight w:val="none"/>
        </w:rPr>
        <w:instrText xml:space="preserve"> PAGEREF _Toc31603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"_Toc9900" </w:instrText>
      </w:r>
      <w:r>
        <w:rPr>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_Toc9900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"_Toc18550" </w:instrText>
      </w:r>
      <w:r>
        <w:rPr>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_Toc18550 \h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"_Toc16619" </w:instrText>
      </w:r>
      <w:r>
        <w:rPr>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_Toc16619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"_Toc9601" </w:instrText>
      </w:r>
      <w:r>
        <w:rPr>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9</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"_Toc1268" </w:instrText>
      </w:r>
      <w:r>
        <w:rPr>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_Toc1268 \h </w:instrText>
      </w:r>
      <w:r>
        <w:rPr>
          <w:highlight w:val="none"/>
        </w:rPr>
        <w:fldChar w:fldCharType="separate"/>
      </w:r>
      <w:r>
        <w:rPr>
          <w:highlight w:val="none"/>
        </w:rPr>
        <w:t>10</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"_Toc18764" </w:instrText>
      </w:r>
      <w:r>
        <w:rPr>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_Toc18764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"_Toc4368" </w:instrText>
      </w:r>
      <w:r>
        <w:rPr>
          <w:highlight w:val="none"/>
        </w:rPr>
        <w:fldChar w:fldCharType="separate"/>
      </w:r>
      <w:r>
        <w:rPr>
          <w:rFonts w:hint="eastAsia" w:ascii="宋体" w:hAnsi="宋体"/>
          <w:szCs w:val="28"/>
          <w:highlight w:val="none"/>
        </w:rPr>
        <w:t>第二章</w:t>
      </w:r>
      <w:r>
        <w:rPr>
          <w:rFonts w:ascii="宋体" w:hAnsi="宋体"/>
          <w:szCs w:val="28"/>
          <w:highlight w:val="none"/>
        </w:rPr>
        <w:t xml:space="preserve"> </w:t>
      </w:r>
      <w:r>
        <w:rPr>
          <w:rFonts w:hint="eastAsia" w:ascii="宋体" w:hAnsi="宋体"/>
          <w:szCs w:val="28"/>
          <w:highlight w:val="none"/>
        </w:rPr>
        <w:t>合同条款（格式）</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13</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"_Toc3086" </w:instrText>
      </w:r>
      <w:r>
        <w:rPr>
          <w:highlight w:val="none"/>
        </w:rPr>
        <w:fldChar w:fldCharType="separate"/>
      </w:r>
      <w:r>
        <w:rPr>
          <w:rFonts w:hint="eastAsia" w:ascii="宋体" w:hAnsi="宋体" w:cs="宋体"/>
          <w:szCs w:val="28"/>
          <w:highlight w:val="none"/>
        </w:rPr>
        <w:t>第三章</w:t>
      </w:r>
      <w:r>
        <w:rPr>
          <w:rFonts w:ascii="宋体" w:hAnsi="宋体" w:cs="宋体"/>
          <w:szCs w:val="28"/>
          <w:highlight w:val="none"/>
        </w:rPr>
        <w:t xml:space="preserve">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_Toc3086 \h </w:instrText>
      </w:r>
      <w:r>
        <w:rPr>
          <w:highlight w:val="none"/>
        </w:rPr>
        <w:fldChar w:fldCharType="separate"/>
      </w:r>
      <w:r>
        <w:rPr>
          <w:highlight w:val="none"/>
        </w:rPr>
        <w:t>23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"_Toc12836" </w:instrText>
      </w:r>
      <w:r>
        <w:rPr>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_Toc12836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"_Toc4323" </w:instrText>
      </w:r>
      <w:r>
        <w:rPr>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_Toc4323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"_Toc32531" </w:instrText>
      </w:r>
      <w:r>
        <w:rPr>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_Toc32531 \h </w:instrText>
      </w:r>
      <w:r>
        <w:rPr>
          <w:highlight w:val="none"/>
        </w:rPr>
        <w:fldChar w:fldCharType="separate"/>
      </w:r>
      <w:r>
        <w:rPr>
          <w:highlight w:val="none"/>
        </w:rPr>
        <w:t>40</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"_Toc23786" </w:instrText>
      </w:r>
      <w:r>
        <w:rPr>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_Toc23786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"_Toc13092" </w:instrText>
      </w:r>
      <w:r>
        <w:rPr>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_Toc13092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"_Toc26214" </w:instrText>
      </w:r>
      <w:r>
        <w:rPr>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_Toc26214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"_Toc23358" </w:instrText>
      </w:r>
      <w:r>
        <w:rPr>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_Toc23358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"_Toc32657" </w:instrText>
      </w:r>
      <w:r>
        <w:rPr>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_Toc32657 \h </w:instrText>
      </w:r>
      <w:r>
        <w:rPr>
          <w:highlight w:val="none"/>
        </w:rPr>
        <w:fldChar w:fldCharType="separate"/>
      </w:r>
      <w:r>
        <w:rPr>
          <w:highlight w:val="none"/>
        </w:rPr>
        <w:t>44</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46</w:t>
      </w:r>
      <w:r>
        <w:rPr>
          <w:highlight w:val="none"/>
        </w:rPr>
        <w:fldChar w:fldCharType="end"/>
      </w:r>
      <w:r>
        <w:rPr>
          <w:highlight w:val="none"/>
        </w:rPr>
        <w:fldChar w:fldCharType="end"/>
      </w:r>
    </w:p>
    <w:p>
      <w:pPr>
        <w:pStyle w:val="3"/>
        <w:tabs>
          <w:tab w:val="right" w:leader="dot" w:pos="9219"/>
        </w:tabs>
        <w:spacing w:before="0" w:after="0" w:line="600" w:lineRule="exact"/>
        <w:ind w:firstLine="2490" w:firstLineChars="1181"/>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13623"/>
      <w:bookmarkStart w:id="21" w:name="_Toc24752"/>
      <w:bookmarkStart w:id="22" w:name="_Toc29385"/>
      <w:bookmarkStart w:id="23" w:name="_Toc31020"/>
      <w:bookmarkStart w:id="24" w:name="_Toc24235"/>
      <w:bookmarkStart w:id="25" w:name="_Toc18544"/>
      <w:bookmarkStart w:id="26" w:name="_Toc6747"/>
      <w:bookmarkStart w:id="27" w:name="_Toc9092"/>
      <w:bookmarkStart w:id="28" w:name="_Toc14177"/>
      <w:bookmarkStart w:id="29" w:name="_Toc32719"/>
      <w:bookmarkStart w:id="30" w:name="_Toc27762"/>
      <w:bookmarkStart w:id="31" w:name="_Toc461525294"/>
      <w:bookmarkStart w:id="32" w:name="_Toc12557"/>
      <w:bookmarkStart w:id="33" w:name="_Toc30578"/>
      <w:bookmarkStart w:id="34" w:name="_Toc9851"/>
      <w:bookmarkStart w:id="35" w:name="_Toc30233"/>
      <w:bookmarkStart w:id="36" w:name="_Toc471482359"/>
      <w:bookmarkStart w:id="37" w:name="_Toc11052"/>
      <w:bookmarkStart w:id="38" w:name="_Toc14897"/>
      <w:bookmarkStart w:id="39" w:name="_Toc20342"/>
      <w:bookmarkStart w:id="40" w:name="_Toc32556"/>
      <w:r>
        <w:rPr>
          <w:rFonts w:ascii="宋体" w:cs="宋体"/>
          <w:szCs w:val="28"/>
          <w:highlight w:val="none"/>
        </w:rPr>
        <w:br w:type="page"/>
      </w:r>
    </w:p>
    <w:p>
      <w:pPr>
        <w:pStyle w:val="3"/>
        <w:spacing w:before="0" w:after="0" w:line="600" w:lineRule="exact"/>
        <w:rPr>
          <w:rFonts w:ascii="宋体" w:cs="宋体"/>
          <w:szCs w:val="28"/>
          <w:highlight w:val="none"/>
        </w:rPr>
      </w:pPr>
      <w:bookmarkStart w:id="41" w:name="_Toc31523"/>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31166"/>
      <w:bookmarkStart w:id="43" w:name="_Toc17641"/>
      <w:bookmarkStart w:id="44" w:name="_Toc11337"/>
      <w:bookmarkStart w:id="45" w:name="_Toc18263"/>
      <w:bookmarkStart w:id="46" w:name="_Toc14510"/>
      <w:bookmarkStart w:id="47" w:name="_Toc471482360"/>
      <w:bookmarkStart w:id="48" w:name="_Toc21327"/>
      <w:bookmarkStart w:id="49" w:name="_Toc24239"/>
      <w:bookmarkStart w:id="50" w:name="_Toc18968"/>
      <w:bookmarkStart w:id="51" w:name="_Toc20765"/>
      <w:bookmarkStart w:id="52" w:name="_Toc2162"/>
      <w:bookmarkStart w:id="53" w:name="_Toc2242"/>
      <w:bookmarkStart w:id="54" w:name="_Toc32591"/>
      <w:bookmarkStart w:id="55" w:name="_Toc17254"/>
      <w:bookmarkStart w:id="56" w:name="_Toc25750"/>
      <w:bookmarkStart w:id="57" w:name="_Toc5848"/>
      <w:bookmarkStart w:id="58" w:name="_Toc24301"/>
      <w:bookmarkStart w:id="59" w:name="_Toc14984"/>
      <w:bookmarkStart w:id="60" w:name="_Toc31603"/>
      <w:bookmarkStart w:id="61" w:name="_Toc461525295"/>
      <w:bookmarkStart w:id="62" w:name="_Toc21200"/>
      <w:bookmarkStart w:id="63" w:name="_Toc11329"/>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hint="eastAsia" w:ascii="宋体" w:hAnsi="宋体" w:cs="宋体"/>
                <w:szCs w:val="21"/>
                <w:highlight w:val="none"/>
                <w:u w:val="single"/>
                <w:lang w:val="en-US" w:eastAsia="zh-CN"/>
              </w:rPr>
            </w:pPr>
            <w:r>
              <w:rPr>
                <w:rFonts w:hint="eastAsia" w:ascii="宋体" w:hAnsi="宋体" w:cs="宋体"/>
                <w:szCs w:val="21"/>
                <w:highlight w:val="none"/>
                <w:u w:val="single"/>
              </w:rPr>
              <w:t>南宁轨道</w:t>
            </w:r>
            <w:r>
              <w:rPr>
                <w:rFonts w:hint="eastAsia" w:ascii="宋体" w:hAnsi="宋体" w:cs="宋体"/>
                <w:szCs w:val="21"/>
                <w:highlight w:val="none"/>
                <w:u w:val="single"/>
                <w:lang w:val="en-US" w:eastAsia="zh-CN"/>
              </w:rPr>
              <w:t>地产</w:t>
            </w:r>
            <w:r>
              <w:rPr>
                <w:rFonts w:hint="eastAsia" w:ascii="宋体" w:hAnsi="宋体" w:cs="宋体"/>
                <w:szCs w:val="21"/>
                <w:highlight w:val="none"/>
                <w:u w:val="single"/>
              </w:rPr>
              <w:t>集团有限责任公司</w:t>
            </w:r>
            <w:r>
              <w:rPr>
                <w:rFonts w:hint="eastAsia" w:ascii="宋体" w:hAnsi="宋体" w:cs="宋体"/>
                <w:szCs w:val="21"/>
                <w:highlight w:val="none"/>
                <w:u w:val="single"/>
                <w:lang w:val="en-US" w:eastAsia="zh-CN"/>
              </w:rPr>
              <w:t>2021年至</w:t>
            </w:r>
            <w:r>
              <w:rPr>
                <w:rFonts w:ascii="宋体" w:hAnsi="宋体" w:cs="宋体"/>
                <w:szCs w:val="21"/>
                <w:highlight w:val="none"/>
                <w:u w:val="single"/>
              </w:rPr>
              <w:t>2022</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设计变更管理专项审计</w:t>
            </w:r>
          </w:p>
          <w:p>
            <w:pPr>
              <w:spacing w:line="300" w:lineRule="exact"/>
              <w:ind w:left="210" w:hanging="210" w:hangingChars="100"/>
              <w:rPr>
                <w:rFonts w:ascii="宋体" w:cs="宋体"/>
                <w:b/>
                <w:sz w:val="28"/>
                <w:szCs w:val="21"/>
                <w:highlight w:val="none"/>
              </w:rPr>
            </w:pPr>
            <w:r>
              <w:rPr>
                <w:rFonts w:hint="eastAsia" w:ascii="宋体" w:hAnsi="宋体" w:cs="宋体"/>
                <w:szCs w:val="21"/>
                <w:highlight w:val="none"/>
                <w:u w:val="singl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w:t>
            </w:r>
            <w:r>
              <w:rPr>
                <w:rFonts w:hint="eastAsia" w:ascii="宋体" w:hAnsi="宋体" w:cs="宋体"/>
                <w:szCs w:val="21"/>
                <w:highlight w:val="none"/>
              </w:rPr>
              <w:t>轨道地产</w:t>
            </w:r>
            <w:r>
              <w:rPr>
                <w:rFonts w:hint="eastAsia" w:ascii="宋体" w:hAnsi="宋体" w:cs="宋体"/>
                <w:szCs w:val="21"/>
                <w:highlight w:val="none"/>
                <w:lang w:val="en-US" w:eastAsia="zh-CN"/>
              </w:rPr>
              <w:t>集团有限责任</w:t>
            </w:r>
            <w:r>
              <w:rPr>
                <w:rFonts w:hint="eastAsia" w:ascii="宋体" w:hAnsi="宋体" w:cs="宋体"/>
                <w:szCs w:val="21"/>
                <w:highlight w:val="none"/>
              </w:rPr>
              <w:t>公司202</w:t>
            </w:r>
            <w:r>
              <w:rPr>
                <w:rFonts w:hint="eastAsia" w:ascii="宋体" w:hAnsi="宋体" w:cs="宋体"/>
                <w:szCs w:val="21"/>
                <w:highlight w:val="none"/>
                <w:lang w:val="en-US" w:eastAsia="zh-CN"/>
              </w:rPr>
              <w:t>1</w:t>
            </w:r>
            <w:r>
              <w:rPr>
                <w:rFonts w:hint="eastAsia" w:ascii="宋体" w:hAnsi="宋体" w:cs="宋体"/>
                <w:szCs w:val="21"/>
                <w:highlight w:val="none"/>
              </w:rPr>
              <w:t>年至2022年</w:t>
            </w:r>
            <w:r>
              <w:rPr>
                <w:rFonts w:hint="eastAsia" w:ascii="宋体" w:hAnsi="宋体" w:cs="宋体"/>
                <w:szCs w:val="21"/>
                <w:highlight w:val="none"/>
                <w:lang w:val="en-US" w:eastAsia="zh-CN"/>
              </w:rPr>
              <w:t>设计变更</w:t>
            </w:r>
            <w:r>
              <w:rPr>
                <w:rFonts w:hint="eastAsia" w:ascii="宋体" w:hAnsi="宋体" w:cs="宋体"/>
                <w:szCs w:val="21"/>
                <w:highlight w:val="none"/>
              </w:rPr>
              <w:t>管理情况开展审计，包括设计变更流程的建立和执行中决策、审批、实施、反馈和成本归集分析等环节的规范性、有效性，以及设计变更事项真实性、合理性等情况，作出客观公正、实事求是的评价。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项目内容及成果要求</w:t>
            </w:r>
          </w:p>
        </w:tc>
        <w:tc>
          <w:tcPr>
            <w:tcW w:w="7074" w:type="dxa"/>
          </w:tcPr>
          <w:p>
            <w:pPr>
              <w:pStyle w:val="56"/>
              <w:numPr>
                <w:ilvl w:val="0"/>
                <w:numId w:val="1"/>
              </w:numPr>
              <w:spacing w:line="300" w:lineRule="exact"/>
              <w:ind w:firstLine="0" w:firstLineChars="0"/>
              <w:rPr>
                <w:rFonts w:ascii="宋体" w:cs="宋体"/>
                <w:szCs w:val="21"/>
                <w:highlight w:val="none"/>
              </w:rPr>
            </w:pP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（一）设计变更相关内部控制制度的建立情况，是否健全、完备，是否满足控制要求且满足公司业务需要；</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二）设计变更事项的审议、会签、审批、决策情况，关注设计变更的真实性、必要性，是否存在先施工后办理设计变更的情形，是否存在已经实施完成变更但未办理设计变更手续的情形，是否符合流程审批规定；</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（三）设计变更事项的实施情况，关注设计变更实施是否及时；</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（四）设计变更事项的完工后跟踪反馈、台账日常管理情况，设计变更资料管理、归档情况；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（五）设计变更产生的原因剖析，是否真实、合理，依据是否客观、充分；</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（六）设计变更事项的完整性；</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（七）设计变更事项涉及的工程量增加准确性，关注设计变更对工程造价和建设进度的影响，是否存在工程量只增不减从而提高工程造价的风险；</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（八）设计变更事项涉及的动态成本统计分析工作情况，关注设计变更涉及的成本估算是否合理、结算及时性，对动态成本影响及目标成本控制；</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（九）关注由于预算或概算阶段设计的不完整或不合理，在项目实施过程中进行设计变更，从而使工程合同结算超出原合同，从而影响轨道地产公司项目成本管制水平的情况，分析产生的原因；</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关注是否存在由于设计服务供应商履行设计合同不力从而进行设计变更，导致南宁轨道地产集团有限责任公司的项目成本增加，而南宁轨道地产集团有限责任公司不追究设计服务供应商合同责任的情况；相关设计合同对上述情况是否在合同中对设计服务供应商有相应的合同责任约束；</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（十一）关注设计变更是否有舞弊的发生；</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（十二）关注设计服务采购环节中，是否存在以低价中标，最终通过设计变更提高设计合同的结算价，从而出现“低中高结”的不合理情况，分析产生的原因；</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（十三）以往审计发现问题的整改情况；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（十四）其他需要审计的内容。</w:t>
            </w:r>
          </w:p>
          <w:p>
            <w:pPr>
              <w:spacing w:line="300" w:lineRule="exact"/>
              <w:rPr>
                <w:rFonts w:asci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300" w:lineRule="exact"/>
              <w:ind w:firstLine="420" w:firstLineChars="200"/>
              <w:rPr>
                <w:rFonts w:ascii="宋体" w:cs="宋体"/>
                <w:szCs w:val="21"/>
                <w:highlight w:val="none"/>
              </w:rPr>
            </w:pPr>
            <w:r>
              <w:rPr>
                <w:rFonts w:hint="eastAsia" w:ascii="宋体" w:hAnsi="宋体" w:cs="宋体"/>
                <w:szCs w:val="21"/>
                <w:highlight w:val="none"/>
              </w:rPr>
              <w:t>根据《中华人民共和国民法典》及其他相关法律法规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以及南宁轨道地产集团有限责任公司设计变更、现场签证管理等制度、流程</w:t>
            </w:r>
            <w:r>
              <w:rPr>
                <w:rFonts w:hint="eastAsia" w:ascii="宋体" w:hAnsi="宋体" w:cs="宋体"/>
                <w:szCs w:val="21"/>
                <w:highlight w:val="none"/>
              </w:rPr>
              <w:t>开展工作，对南宁轨道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w:t>
            </w:r>
            <w:r>
              <w:rPr>
                <w:rFonts w:hint="eastAsia" w:ascii="宋体" w:hAnsi="宋体" w:cs="宋体"/>
                <w:szCs w:val="21"/>
                <w:highlight w:val="none"/>
              </w:rPr>
              <w:t>情况作出客观公正、实事求是的评价，出具南宁轨道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设计变更管理专项审计</w:t>
            </w:r>
            <w:r>
              <w:rPr>
                <w:rFonts w:hint="eastAsia" w:ascii="宋体" w:hAnsi="宋体" w:cs="宋体"/>
                <w:szCs w:val="21"/>
                <w:highlight w:val="none"/>
              </w:rPr>
              <w:t>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审核报告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20</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18</w:t>
            </w:r>
            <w:r>
              <w:rPr>
                <w:rFonts w:ascii="宋体" w:hAnsi="宋体" w:cs="宋体"/>
                <w:szCs w:val="21"/>
                <w:highlight w:val="none"/>
              </w:rPr>
              <w:t>,</w:t>
            </w:r>
            <w:r>
              <w:rPr>
                <w:rFonts w:hint="eastAsia" w:ascii="宋体" w:hAnsi="宋体" w:cs="宋体"/>
                <w:szCs w:val="21"/>
                <w:highlight w:val="none"/>
                <w:lang w:val="en-US" w:eastAsia="zh-CN"/>
              </w:rPr>
              <w:t>867.92</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hint="eastAsia" w:ascii="宋体" w:hAnsi="宋体" w:cs="宋体"/>
                <w:szCs w:val="21"/>
                <w:highlight w:val="none"/>
              </w:rPr>
            </w:pPr>
            <w:r>
              <w:rPr>
                <w:rFonts w:ascii="宋体" w:hAnsi="宋体" w:cs="宋体"/>
                <w:szCs w:val="21"/>
                <w:highlight w:val="none"/>
              </w:rPr>
              <w:t>1</w:t>
            </w:r>
            <w:r>
              <w:rPr>
                <w:rFonts w:hint="eastAsia" w:ascii="宋体" w:hAnsi="宋体" w:cs="宋体"/>
                <w:szCs w:val="21"/>
                <w:highlight w:val="none"/>
                <w:lang w:val="en-US" w:eastAsia="zh-CN"/>
              </w:rPr>
              <w:t>.</w:t>
            </w:r>
            <w:r>
              <w:rPr>
                <w:rFonts w:hint="eastAsia" w:ascii="宋体" w:hAnsi="宋体" w:cs="宋体"/>
                <w:szCs w:val="21"/>
                <w:highlight w:val="none"/>
              </w:rPr>
              <w:t>比选申请人为中华人民共和国境内依法设立的法人或其他组织，必须持有合法有效的财政部门颁发的会计师事务所执业证书</w:t>
            </w:r>
            <w:r>
              <w:rPr>
                <w:rFonts w:hint="eastAsia" w:ascii="宋体" w:hAnsi="宋体" w:cs="宋体"/>
                <w:szCs w:val="21"/>
                <w:highlight w:val="none"/>
                <w:lang w:val="en-US" w:eastAsia="zh-CN"/>
              </w:rPr>
              <w:t>或持有合法有效的建设部门颁发的造价工程咨询机构资质证书</w:t>
            </w:r>
            <w:r>
              <w:rPr>
                <w:rFonts w:hint="eastAsia" w:ascii="宋体" w:hAnsi="宋体" w:cs="宋体"/>
                <w:szCs w:val="21"/>
                <w:highlight w:val="none"/>
              </w:rPr>
              <w:t>。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比选申请人派出审计组负责人具有3年以上工程管理、设计管理</w:t>
            </w:r>
            <w:r>
              <w:rPr>
                <w:rFonts w:hint="eastAsia" w:ascii="宋体" w:hAnsi="宋体" w:cs="宋体"/>
                <w:szCs w:val="21"/>
                <w:highlight w:val="none"/>
                <w:lang w:val="en-US" w:eastAsia="zh-CN"/>
              </w:rPr>
              <w:t>及</w:t>
            </w:r>
            <w:r>
              <w:rPr>
                <w:rFonts w:hint="eastAsia" w:ascii="宋体" w:hAnsi="宋体" w:cs="宋体"/>
                <w:szCs w:val="21"/>
                <w:highlight w:val="none"/>
              </w:rPr>
              <w:t>工程造价相关方面的审计经验</w:t>
            </w:r>
            <w:r>
              <w:rPr>
                <w:rFonts w:hint="eastAsia" w:ascii="宋体" w:hAnsi="宋体" w:cs="宋体"/>
                <w:szCs w:val="21"/>
                <w:highlight w:val="none"/>
                <w:lang w:val="en-US" w:eastAsia="zh-CN"/>
              </w:rPr>
              <w:t>或造价咨询经验</w:t>
            </w:r>
            <w:r>
              <w:rPr>
                <w:rFonts w:hint="eastAsia" w:ascii="宋体" w:hAnsi="宋体" w:cs="宋体"/>
                <w:szCs w:val="21"/>
                <w:highlight w:val="none"/>
              </w:rPr>
              <w:t>，其他人员中至少有1名具有2年以上工程管理、设计管理或工程造价相关方面的审计经验</w:t>
            </w:r>
            <w:r>
              <w:rPr>
                <w:rFonts w:hint="eastAsia" w:ascii="宋体" w:hAnsi="宋体" w:cs="宋体"/>
                <w:szCs w:val="21"/>
                <w:highlight w:val="none"/>
                <w:lang w:val="en-US" w:eastAsia="zh-CN"/>
              </w:rPr>
              <w:t>或造价咨询经验</w:t>
            </w:r>
            <w:r>
              <w:rPr>
                <w:rFonts w:hint="eastAsia" w:ascii="宋体" w:hAnsi="宋体" w:cs="宋体"/>
                <w:szCs w:val="21"/>
                <w:highlight w:val="none"/>
              </w:rPr>
              <w:t xml:space="preserve">。 </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lang w:val="en-US" w:eastAsia="zh-CN"/>
              </w:rPr>
              <w:t>.</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r>
              <w:rPr>
                <w:rFonts w:hint="eastAsia" w:ascii="宋体" w:hAnsi="宋体" w:cs="宋体"/>
                <w:szCs w:val="21"/>
                <w:highlight w:val="none"/>
                <w:lang w:eastAsia="zh-CN"/>
              </w:rPr>
              <w:t>（</w:t>
            </w:r>
            <w:r>
              <w:rPr>
                <w:rFonts w:hint="eastAsia" w:ascii="宋体" w:hAnsi="宋体" w:cs="宋体"/>
                <w:szCs w:val="21"/>
                <w:highlight w:val="none"/>
                <w:lang w:val="en-US" w:eastAsia="zh-CN"/>
              </w:rPr>
              <w:t>见本公告附件</w:t>
            </w:r>
            <w:r>
              <w:rPr>
                <w:rFonts w:hint="eastAsia" w:ascii="宋体" w:hAnsi="宋体" w:cs="宋体"/>
                <w:szCs w:val="21"/>
                <w:highlight w:val="none"/>
                <w:lang w:eastAsia="zh-CN"/>
              </w:rPr>
              <w:t>）</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 xml:space="preserve"> 04 </w:t>
            </w:r>
            <w:r>
              <w:rPr>
                <w:rFonts w:hint="eastAsia" w:ascii="宋体" w:hAnsi="宋体" w:cs="宋体"/>
                <w:szCs w:val="21"/>
                <w:highlight w:val="none"/>
              </w:rPr>
              <w:t>月</w:t>
            </w:r>
            <w:r>
              <w:rPr>
                <w:rFonts w:hint="eastAsia" w:ascii="宋体" w:hAnsi="宋体" w:cs="宋体"/>
                <w:szCs w:val="21"/>
                <w:highlight w:val="none"/>
                <w:lang w:val="en-US" w:eastAsia="zh-CN"/>
              </w:rPr>
              <w:t xml:space="preserve"> 27 </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 xml:space="preserve"> 04 </w:t>
            </w:r>
            <w:r>
              <w:rPr>
                <w:rFonts w:hint="eastAsia" w:ascii="宋体" w:hAnsi="宋体" w:cs="宋体"/>
                <w:szCs w:val="21"/>
                <w:highlight w:val="none"/>
              </w:rPr>
              <w:t>月</w:t>
            </w:r>
            <w:r>
              <w:rPr>
                <w:rFonts w:hint="eastAsia" w:ascii="宋体" w:hAnsi="宋体" w:cs="宋体"/>
                <w:szCs w:val="21"/>
                <w:highlight w:val="none"/>
                <w:lang w:val="en-US" w:eastAsia="zh-CN"/>
              </w:rPr>
              <w:t xml:space="preserve"> 27 </w:t>
            </w:r>
            <w:r>
              <w:rPr>
                <w:rFonts w:hint="eastAsia" w:ascii="宋体" w:hAnsi="宋体" w:cs="宋体"/>
                <w:szCs w:val="21"/>
                <w:highlight w:val="none"/>
              </w:rPr>
              <w:t>日上午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金</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2332811</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461525297"/>
      <w:bookmarkStart w:id="65" w:name="_Toc26201"/>
      <w:bookmarkStart w:id="66" w:name="_Toc18983"/>
      <w:bookmarkStart w:id="67" w:name="_Toc16198"/>
      <w:bookmarkStart w:id="68" w:name="_Toc336"/>
      <w:bookmarkStart w:id="69" w:name="_Toc20803"/>
      <w:bookmarkStart w:id="70" w:name="_Toc32363"/>
      <w:bookmarkStart w:id="71" w:name="_Toc12506"/>
      <w:bookmarkStart w:id="72" w:name="_Toc6681"/>
      <w:bookmarkStart w:id="73" w:name="_Toc28086"/>
      <w:bookmarkStart w:id="74" w:name="_Toc30162"/>
      <w:bookmarkStart w:id="75" w:name="_Toc12419"/>
      <w:bookmarkStart w:id="76" w:name="_Toc3861"/>
      <w:bookmarkStart w:id="77" w:name="_Toc47148236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17477"/>
      <w:bookmarkStart w:id="79" w:name="_Toc6713"/>
      <w:bookmarkStart w:id="80" w:name="_Toc31396"/>
      <w:bookmarkStart w:id="81" w:name="_Toc7188"/>
      <w:bookmarkStart w:id="82" w:name="_Toc5182"/>
      <w:bookmarkStart w:id="83" w:name="_Toc9900"/>
      <w:bookmarkStart w:id="84" w:name="_Toc18262"/>
      <w:bookmarkStart w:id="85" w:name="_Toc28512"/>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286386834"/>
      <w:bookmarkStart w:id="87" w:name="_Toc310318572"/>
      <w:bookmarkStart w:id="88" w:name="_Toc114052414"/>
      <w:bookmarkStart w:id="89" w:name="_Toc114052340"/>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对南宁轨道地产集团有限责任公司20</w:t>
      </w:r>
      <w:r>
        <w:rPr>
          <w:rFonts w:hint="eastAsia" w:ascii="宋体" w:hAnsi="宋体" w:cs="宋体"/>
          <w:szCs w:val="21"/>
          <w:highlight w:val="none"/>
          <w:lang w:val="en-US" w:eastAsia="zh-CN"/>
        </w:rPr>
        <w:t>21</w:t>
      </w:r>
      <w:r>
        <w:rPr>
          <w:rFonts w:hint="eastAsia" w:ascii="宋体" w:hAnsi="宋体" w:cs="宋体"/>
          <w:szCs w:val="21"/>
          <w:highlight w:val="none"/>
        </w:rPr>
        <w:t>年至2022年</w:t>
      </w:r>
      <w:r>
        <w:rPr>
          <w:rFonts w:hint="eastAsia" w:ascii="宋体" w:hAnsi="宋体" w:cs="宋体"/>
          <w:szCs w:val="21"/>
          <w:highlight w:val="none"/>
          <w:lang w:val="en-US" w:eastAsia="zh-CN"/>
        </w:rPr>
        <w:t>设计变更</w:t>
      </w:r>
      <w:r>
        <w:rPr>
          <w:rFonts w:hint="eastAsia" w:ascii="宋体" w:hAnsi="宋体" w:cs="宋体"/>
          <w:szCs w:val="21"/>
          <w:highlight w:val="none"/>
        </w:rPr>
        <w:t>管理情况开展审计，</w:t>
      </w:r>
      <w:r>
        <w:rPr>
          <w:rFonts w:hint="eastAsia" w:ascii="宋体" w:hAnsi="宋体" w:cs="宋体"/>
          <w:szCs w:val="21"/>
          <w:highlight w:val="none"/>
          <w:lang w:val="en-US" w:eastAsia="zh-CN"/>
        </w:rPr>
        <w:t>本次审计总体围绕南宁轨道地产集团有限责任公司设计变更管理</w:t>
      </w:r>
      <w:r>
        <w:rPr>
          <w:rFonts w:hint="eastAsia" w:ascii="宋体" w:hAnsi="宋体" w:cs="宋体"/>
          <w:szCs w:val="21"/>
          <w:highlight w:val="none"/>
        </w:rPr>
        <w:t>制度</w:t>
      </w:r>
      <w:r>
        <w:rPr>
          <w:rFonts w:hint="eastAsia" w:ascii="宋体" w:hAnsi="宋体" w:cs="宋体"/>
          <w:szCs w:val="21"/>
          <w:highlight w:val="none"/>
          <w:lang w:eastAsia="zh-CN"/>
        </w:rPr>
        <w:t>、</w:t>
      </w:r>
      <w:r>
        <w:rPr>
          <w:rFonts w:hint="eastAsia" w:ascii="宋体" w:hAnsi="宋体" w:cs="宋体"/>
          <w:szCs w:val="21"/>
          <w:highlight w:val="none"/>
          <w:lang w:val="en-US" w:eastAsia="zh-CN"/>
        </w:rPr>
        <w:t>流程</w:t>
      </w:r>
      <w:r>
        <w:rPr>
          <w:rFonts w:hint="eastAsia" w:ascii="宋体" w:hAnsi="宋体" w:cs="宋体"/>
          <w:szCs w:val="21"/>
          <w:highlight w:val="none"/>
        </w:rPr>
        <w:t>的建立和执行中决策、审批、运行、评价等环节的规范性、有效性，以及设计变更事项真实性、合理性等情况等情况，</w:t>
      </w:r>
      <w:r>
        <w:rPr>
          <w:rFonts w:hint="eastAsia" w:ascii="宋体" w:hAnsi="宋体" w:cs="宋体"/>
          <w:szCs w:val="21"/>
          <w:highlight w:val="none"/>
          <w:lang w:val="en-US" w:eastAsia="zh-CN"/>
        </w:rPr>
        <w:t>对企业设计变更管理情况进行全面审计</w:t>
      </w:r>
      <w:r>
        <w:rPr>
          <w:rFonts w:hint="eastAsia" w:ascii="宋体" w:hAnsi="宋体" w:cs="宋体"/>
          <w:szCs w:val="21"/>
          <w:highlight w:val="none"/>
        </w:rPr>
        <w:t>。包括但不仅限于以下内容：</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）设计变更相关内部控制制度的建立情况，是否健全、完备，是否满足控制要求且满足公司业务需要；</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）设计变更事项的审议、会签、审批、决策情况，关注设计变更的真实性、必要性，是否存在先施工后办理设计变更的情形，是否存在已经实施完成变更但未办理设计变更手续的情形，是否符合流程审批规定；</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）设计变更事项的实施情况，关注设计变更实施是否及时；</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）设计变更事项的完工后跟踪反馈、台账日常管理情况，设计变更资料管理、归档情况；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）设计变更产生的原因剖析，是否真实、合理，依据是否客观、充分；</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）设计变更事项的完整性；</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）设计变更事项涉及的工程量增加准确性，关注设计变更对工程造价和建设进度的影响，是否存在工程量只增不减从而提高工程造价的风险；</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）设计变更事项涉及的动态成本统计分析工作情况，关注设计变更涉及的成本估算是否合理、结算及时性，对动态成本影响及目标成本控制；</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）关注由于预算或概算阶段设计的不完整或不合理，在项目实施过程中进行设计变更，从而使工程合同结算超出原合同，从而影响轨道地产公司项目成本管制水平的情况，分析产生的原因；</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关注是否存在由于设计服务供应商履行设计合同不力从而进行设计变更，导致南宁轨道地产集团有限责任公司的项目成本增加，而南宁轨道地产集团有限责任公司不追究设计服务供应商合同责任的情况；相关设计合同对上述情况是否在合同中对设计服务供应商有相应的合同责任约束；</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）关注设计变更是否有舞弊的发生；</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12</w:t>
      </w:r>
      <w:r>
        <w:rPr>
          <w:rFonts w:hint="eastAsia" w:ascii="宋体" w:hAnsi="宋体" w:cs="宋体"/>
          <w:szCs w:val="21"/>
          <w:highlight w:val="none"/>
        </w:rPr>
        <w:t>）关注设计服务采购环节中，是否存在以低价中标，最终通过设计变更提高设计合同的结算价，从而出现“低中高结”的不合理情况，分析产生的原因；</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13</w:t>
      </w:r>
      <w:r>
        <w:rPr>
          <w:rFonts w:hint="eastAsia" w:ascii="宋体" w:hAnsi="宋体" w:cs="宋体"/>
          <w:szCs w:val="21"/>
          <w:highlight w:val="none"/>
        </w:rPr>
        <w:t>）以往审计发现问题的整改情况；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14</w:t>
      </w:r>
      <w:r>
        <w:rPr>
          <w:rFonts w:hint="eastAsia" w:ascii="宋体" w:hAnsi="宋体" w:cs="宋体"/>
          <w:szCs w:val="21"/>
          <w:highlight w:val="none"/>
        </w:rPr>
        <w:t>）其他需要审计的内容。</w:t>
      </w:r>
    </w:p>
    <w:p>
      <w:pPr>
        <w:spacing w:line="500" w:lineRule="exact"/>
        <w:ind w:firstLine="422" w:firstLineChars="200"/>
        <w:rPr>
          <w:rFonts w:ascii="宋体" w:cs="宋体"/>
          <w:szCs w:val="21"/>
          <w:highlight w:val="none"/>
        </w:rPr>
      </w:pPr>
      <w:r>
        <w:rPr>
          <w:rFonts w:ascii="宋体" w:hAnsi="宋体" w:cs="宋体"/>
          <w:b/>
          <w:bCs/>
          <w:szCs w:val="21"/>
          <w:highlight w:val="none"/>
        </w:rPr>
        <w:t xml:space="preserve">2.2 </w:t>
      </w:r>
      <w:r>
        <w:rPr>
          <w:rFonts w:hint="eastAsia" w:ascii="宋体" w:hAnsi="宋体" w:cs="宋体"/>
          <w:b/>
          <w:bCs/>
          <w:szCs w:val="21"/>
          <w:highlight w:val="none"/>
          <w:lang w:val="en-US" w:eastAsia="zh-CN"/>
        </w:rPr>
        <w:t>审计</w:t>
      </w:r>
      <w:r>
        <w:rPr>
          <w:rFonts w:hint="eastAsia" w:ascii="宋体" w:hAnsi="宋体" w:cs="宋体"/>
          <w:b/>
          <w:bCs/>
          <w:szCs w:val="21"/>
          <w:highlight w:val="none"/>
        </w:rPr>
        <w:t>要求及成果</w:t>
      </w:r>
    </w:p>
    <w:p>
      <w:pPr>
        <w:spacing w:line="500" w:lineRule="exact"/>
        <w:ind w:firstLine="420" w:firstLineChars="200"/>
        <w:rPr>
          <w:rFonts w:hint="eastAsia" w:ascii="宋体" w:hAnsi="宋体" w:cs="宋体"/>
          <w:szCs w:val="21"/>
          <w:highlight w:val="none"/>
          <w:lang w:eastAsia="zh-CN"/>
        </w:rPr>
      </w:pPr>
      <w:r>
        <w:rPr>
          <w:rFonts w:hint="eastAsia" w:ascii="宋体" w:hAnsi="宋体" w:cs="宋体"/>
          <w:szCs w:val="21"/>
          <w:highlight w:val="none"/>
        </w:rPr>
        <w:t>根据《中华人民共和国民法典》及其他相关法律法规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以及南宁轨道地产集团有限责任公司设计变更、现场签证管理等制度、流程</w:t>
      </w:r>
      <w:r>
        <w:rPr>
          <w:rFonts w:hint="eastAsia" w:ascii="宋体" w:hAnsi="宋体" w:cs="宋体"/>
          <w:szCs w:val="21"/>
          <w:highlight w:val="none"/>
        </w:rPr>
        <w:t>开展工作，对南宁轨道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w:t>
      </w:r>
      <w:r>
        <w:rPr>
          <w:rFonts w:hint="eastAsia" w:ascii="宋体" w:hAnsi="宋体" w:cs="宋体"/>
          <w:szCs w:val="21"/>
          <w:highlight w:val="none"/>
        </w:rPr>
        <w:t>情况作出客观公正、实事求是的评价，出具南宁轨道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设计变更管理专项审计</w:t>
      </w:r>
      <w:r>
        <w:rPr>
          <w:rFonts w:hint="eastAsia" w:ascii="宋体" w:hAnsi="宋体" w:cs="宋体"/>
          <w:szCs w:val="21"/>
          <w:highlight w:val="none"/>
        </w:rPr>
        <w:t>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审核报告</w:t>
      </w:r>
      <w:r>
        <w:rPr>
          <w:rFonts w:hint="eastAsia" w:ascii="宋体" w:hAnsi="宋体" w:cs="宋体"/>
          <w:szCs w:val="21"/>
          <w:highlight w:val="none"/>
          <w:lang w:eastAsia="zh-CN"/>
        </w:rPr>
        <w:t>）</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114052416"/>
      <w:bookmarkStart w:id="91" w:name="_Toc286386836"/>
      <w:bookmarkStart w:id="92" w:name="_Toc310318574"/>
      <w:bookmarkStart w:id="93" w:name="_Toc114052342"/>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114052417"/>
      <w:bookmarkStart w:id="95" w:name="_Toc310318575"/>
      <w:bookmarkStart w:id="96" w:name="_Toc286386837"/>
      <w:bookmarkStart w:id="97" w:name="_Toc114052343"/>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4734"/>
      <w:bookmarkStart w:id="99" w:name="_Toc20218"/>
      <w:bookmarkStart w:id="100" w:name="_Toc4989"/>
      <w:bookmarkStart w:id="101" w:name="_Toc11648"/>
      <w:bookmarkStart w:id="102" w:name="_Toc14739"/>
      <w:bookmarkStart w:id="103" w:name="_Toc2963"/>
      <w:bookmarkStart w:id="104" w:name="_Toc18550"/>
      <w:r>
        <w:rPr>
          <w:rFonts w:hint="eastAsia" w:ascii="宋体" w:hAnsi="宋体"/>
          <w:b/>
          <w:sz w:val="21"/>
          <w:szCs w:val="21"/>
          <w:highlight w:val="none"/>
        </w:rPr>
        <w:t>二</w:t>
      </w:r>
      <w:bookmarkStart w:id="105" w:name="_Toc25256"/>
      <w:bookmarkStart w:id="106" w:name="_Toc471482362"/>
      <w:bookmarkStart w:id="107" w:name="_Toc461525298"/>
      <w:bookmarkStart w:id="108" w:name="_Toc15439"/>
      <w:bookmarkStart w:id="109" w:name="_Toc18809"/>
      <w:bookmarkStart w:id="110" w:name="_Toc26124"/>
      <w:bookmarkStart w:id="111" w:name="_Toc5207"/>
      <w:bookmarkStart w:id="112" w:name="_Toc26141"/>
      <w:bookmarkStart w:id="113" w:name="_Toc8029"/>
      <w:bookmarkStart w:id="114" w:name="_Toc17323"/>
      <w:bookmarkStart w:id="115" w:name="_Toc6541"/>
      <w:bookmarkStart w:id="116" w:name="_Toc16023"/>
      <w:bookmarkStart w:id="117" w:name="_Toc3066"/>
      <w:bookmarkStart w:id="118" w:name="_Toc17725"/>
      <w:bookmarkStart w:id="119" w:name="_Toc22143"/>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114052419"/>
      <w:bookmarkStart w:id="121" w:name="_Toc114052345"/>
      <w:bookmarkStart w:id="122" w:name="_Toc310318577"/>
      <w:bookmarkStart w:id="123" w:name="_Toc286386839"/>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286386840"/>
      <w:bookmarkStart w:id="125" w:name="_Toc114052346"/>
      <w:bookmarkStart w:id="126" w:name="_Toc310318578"/>
      <w:bookmarkStart w:id="127" w:name="_Toc114052420"/>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310318579"/>
      <w:bookmarkStart w:id="129" w:name="_Toc114052347"/>
      <w:bookmarkStart w:id="130" w:name="_Toc286386841"/>
      <w:bookmarkStart w:id="131" w:name="_Toc114052421"/>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9684"/>
      <w:bookmarkStart w:id="133" w:name="_Toc23609"/>
      <w:bookmarkStart w:id="134" w:name="_Toc25820"/>
      <w:bookmarkStart w:id="135" w:name="_Toc10523"/>
      <w:bookmarkStart w:id="136" w:name="_Toc471482363"/>
      <w:bookmarkStart w:id="137" w:name="_Toc17382"/>
      <w:bookmarkStart w:id="138" w:name="_Toc26897"/>
      <w:bookmarkStart w:id="139" w:name="_Toc461525299"/>
      <w:bookmarkStart w:id="140" w:name="_Toc6395"/>
      <w:bookmarkStart w:id="141" w:name="_Toc31749"/>
      <w:bookmarkStart w:id="142" w:name="_Toc16619"/>
      <w:bookmarkStart w:id="143" w:name="_Toc22084"/>
      <w:bookmarkStart w:id="144" w:name="_Toc24005"/>
      <w:bookmarkStart w:id="145" w:name="_Toc9453"/>
      <w:bookmarkStart w:id="146" w:name="_Toc8400"/>
      <w:bookmarkStart w:id="147" w:name="_Toc32337"/>
      <w:bookmarkStart w:id="148" w:name="_Toc29216"/>
      <w:bookmarkStart w:id="149" w:name="_Toc18772"/>
      <w:bookmarkStart w:id="150" w:name="_Toc9199"/>
      <w:bookmarkStart w:id="151" w:name="_Toc30617"/>
      <w:bookmarkStart w:id="152" w:name="_Toc24574"/>
      <w:bookmarkStart w:id="153" w:name="_Toc19209"/>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114052423"/>
      <w:bookmarkStart w:id="155" w:name="_Toc114052349"/>
      <w:bookmarkStart w:id="156" w:name="_Toc28638684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26723"/>
      <w:bookmarkStart w:id="159" w:name="_Toc7287"/>
      <w:bookmarkStart w:id="160" w:name="_Toc11943"/>
      <w:bookmarkStart w:id="161" w:name="_Toc17259"/>
      <w:bookmarkStart w:id="162" w:name="_Toc461525300"/>
      <w:bookmarkStart w:id="163" w:name="_Toc23455"/>
      <w:bookmarkStart w:id="164" w:name="_Toc32390"/>
      <w:bookmarkStart w:id="165" w:name="_Toc471482364"/>
      <w:bookmarkStart w:id="166" w:name="_Toc5583"/>
      <w:bookmarkStart w:id="167" w:name="_Toc16264"/>
      <w:bookmarkStart w:id="168" w:name="_Toc18607"/>
      <w:bookmarkStart w:id="169" w:name="_Toc25856"/>
      <w:bookmarkStart w:id="170" w:name="_Toc23191"/>
      <w:bookmarkStart w:id="171" w:name="_Toc17188"/>
      <w:bookmarkStart w:id="172" w:name="_Toc9795"/>
      <w:bookmarkStart w:id="173" w:name="_Toc25487"/>
      <w:bookmarkStart w:id="174" w:name="_Toc17722"/>
      <w:bookmarkStart w:id="175" w:name="_Toc24807"/>
      <w:bookmarkStart w:id="176" w:name="_Toc31461"/>
      <w:bookmarkStart w:id="177" w:name="_Toc9601"/>
      <w:bookmarkStart w:id="178" w:name="_Toc23781"/>
      <w:bookmarkStart w:id="179" w:name="_Toc2346"/>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310318583"/>
      <w:bookmarkStart w:id="181" w:name="_Toc286386845"/>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286386846"/>
      <w:bookmarkStart w:id="183" w:name="_Toc114052352"/>
      <w:bookmarkStart w:id="184" w:name="_Toc310318584"/>
      <w:bookmarkStart w:id="185" w:name="_Toc11405242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w:t>
      </w:r>
      <w:r>
        <w:rPr>
          <w:rFonts w:hint="eastAsia" w:ascii="宋体" w:hAnsi="宋体" w:cs="宋体"/>
          <w:szCs w:val="21"/>
          <w:highlight w:val="none"/>
          <w:lang w:val="en-US" w:eastAsia="zh-CN"/>
        </w:rPr>
        <w:t>总部授权参与证明（</w:t>
      </w:r>
      <w:r>
        <w:rPr>
          <w:rFonts w:hint="eastAsia" w:ascii="宋体" w:hAnsi="宋体" w:cs="宋体"/>
          <w:szCs w:val="21"/>
          <w:highlight w:val="none"/>
        </w:rPr>
        <w:t>复印件加盖单位公章</w:t>
      </w:r>
      <w:r>
        <w:rPr>
          <w:rFonts w:hint="eastAsia" w:ascii="宋体" w:hAnsi="宋体" w:cs="宋体"/>
          <w:szCs w:val="21"/>
          <w:highlight w:val="none"/>
          <w:lang w:val="en-US" w:eastAsia="zh-CN"/>
        </w:rPr>
        <w:t>）；</w:t>
      </w:r>
    </w:p>
    <w:p>
      <w:pPr>
        <w:spacing w:line="500" w:lineRule="exact"/>
        <w:ind w:firstLine="420" w:firstLineChars="200"/>
        <w:rPr>
          <w:rFonts w:asci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8</w:t>
      </w:r>
      <w:r>
        <w:rPr>
          <w:rFonts w:hint="eastAsia" w:ascii="宋体" w:hAnsi="宋体" w:cs="宋体"/>
          <w:szCs w:val="21"/>
          <w:highlight w:val="none"/>
          <w:lang w:eastAsia="zh-CN"/>
        </w:rPr>
        <w:t>）</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w:t>
      </w:r>
      <w:r>
        <w:rPr>
          <w:rFonts w:hint="eastAsia" w:ascii="宋体" w:hAnsi="宋体" w:cs="宋体"/>
          <w:szCs w:val="21"/>
          <w:highlight w:val="none"/>
          <w:lang w:val="en-US" w:eastAsia="zh-CN"/>
        </w:rPr>
        <w:t>拟投入人员中正式员工劳动合同（复印件加盖单位公章）或近3个月社保缴付证明（复印件加盖单位公章）；</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6</w:t>
      </w:r>
      <w:r>
        <w:rPr>
          <w:rFonts w:hint="eastAsia" w:ascii="宋体" w:hAnsi="宋体" w:cs="宋体"/>
          <w:szCs w:val="21"/>
          <w:highlight w:val="none"/>
          <w:lang w:eastAsia="zh-CN"/>
        </w:rPr>
        <w:t>）</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286386847"/>
      <w:bookmarkStart w:id="188" w:name="_Toc114052363"/>
      <w:bookmarkStart w:id="189" w:name="_Toc310318585"/>
      <w:bookmarkStart w:id="190" w:name="_Toc114052427"/>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310318587"/>
      <w:bookmarkStart w:id="192" w:name="_Toc114052365"/>
      <w:bookmarkStart w:id="193" w:name="_Toc286386849"/>
      <w:bookmarkStart w:id="194" w:name="_Toc114052429"/>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114052366"/>
      <w:bookmarkStart w:id="196" w:name="_Toc114052430"/>
      <w:bookmarkStart w:id="197" w:name="_Toc310318588"/>
      <w:bookmarkStart w:id="198" w:name="_Toc28638685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8725"/>
      <w:bookmarkStart w:id="200" w:name="_Toc14726"/>
      <w:bookmarkStart w:id="201" w:name="_Toc7811"/>
      <w:bookmarkStart w:id="202" w:name="_Toc25460"/>
      <w:bookmarkStart w:id="203" w:name="_Toc17030"/>
      <w:bookmarkStart w:id="204" w:name="_Toc5900"/>
      <w:bookmarkStart w:id="205" w:name="_Toc31804"/>
      <w:bookmarkStart w:id="206" w:name="_Toc471482365"/>
      <w:bookmarkStart w:id="207" w:name="_Toc28307"/>
      <w:bookmarkStart w:id="208" w:name="_Toc32046"/>
      <w:bookmarkStart w:id="209" w:name="_Toc2153"/>
      <w:bookmarkStart w:id="210" w:name="_Toc461525301"/>
      <w:bookmarkStart w:id="211" w:name="_Toc6029"/>
      <w:bookmarkStart w:id="212" w:name="_Toc15430"/>
      <w:bookmarkStart w:id="213" w:name="_Toc15955"/>
      <w:bookmarkStart w:id="214" w:name="_Toc23101"/>
      <w:bookmarkStart w:id="215" w:name="_Toc27875"/>
      <w:bookmarkStart w:id="216" w:name="_Toc23604"/>
      <w:bookmarkStart w:id="217" w:name="_Toc11391"/>
      <w:bookmarkStart w:id="218" w:name="_Toc28652"/>
      <w:bookmarkStart w:id="219" w:name="_Toc19276"/>
      <w:bookmarkStart w:id="220" w:name="_Toc16937"/>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31034"/>
      <w:bookmarkStart w:id="222" w:name="_Toc17217"/>
      <w:bookmarkStart w:id="223" w:name="_Toc20601"/>
      <w:bookmarkStart w:id="224" w:name="_Toc32687"/>
      <w:bookmarkStart w:id="225" w:name="_Toc22118"/>
      <w:bookmarkStart w:id="226" w:name="_Toc461525302"/>
      <w:bookmarkStart w:id="227" w:name="_Toc471482366"/>
      <w:bookmarkStart w:id="228" w:name="_Toc30232"/>
      <w:bookmarkStart w:id="229" w:name="_Toc6376"/>
      <w:bookmarkStart w:id="230" w:name="_Toc27095"/>
      <w:bookmarkStart w:id="231" w:name="_Toc29047"/>
      <w:bookmarkStart w:id="232" w:name="_Toc1057"/>
      <w:bookmarkStart w:id="233" w:name="_Toc31139"/>
      <w:bookmarkStart w:id="234" w:name="_Toc20356"/>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26873"/>
      <w:bookmarkStart w:id="236" w:name="_Toc1268"/>
      <w:bookmarkStart w:id="237" w:name="_Toc31410"/>
      <w:bookmarkStart w:id="238" w:name="_Toc26025"/>
      <w:bookmarkStart w:id="239" w:name="_Toc24817"/>
      <w:bookmarkStart w:id="240" w:name="_Toc5184"/>
      <w:bookmarkStart w:id="241" w:name="_Toc16157"/>
      <w:bookmarkStart w:id="242" w:name="_Toc13760"/>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lang w:val="en-US" w:eastAsia="zh-CN"/>
        </w:rPr>
        <w:t>评审小组</w:t>
      </w:r>
      <w:r>
        <w:rPr>
          <w:rFonts w:hint="eastAsia" w:ascii="宋体" w:hAnsi="宋体" w:cs="宋体"/>
          <w:szCs w:val="21"/>
          <w:highlight w:val="none"/>
        </w:rPr>
        <w:t>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436771486"/>
      <w:bookmarkStart w:id="246" w:name="_Toc392862499"/>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20</w:t>
      </w:r>
      <w:r>
        <w:rPr>
          <w:rFonts w:ascii="宋体" w:hAnsi="宋体" w:cs="宋体"/>
          <w:szCs w:val="21"/>
          <w:highlight w:val="none"/>
          <w:u w:val="single"/>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 xml:space="preserve"> 18</w:t>
      </w:r>
      <w:r>
        <w:rPr>
          <w:rFonts w:ascii="宋体" w:hAnsi="宋体" w:cs="宋体"/>
          <w:szCs w:val="21"/>
          <w:highlight w:val="none"/>
          <w:u w:val="single"/>
        </w:rPr>
        <w:t>,</w:t>
      </w:r>
      <w:r>
        <w:rPr>
          <w:rFonts w:hint="eastAsia" w:ascii="宋体" w:hAnsi="宋体" w:cs="宋体"/>
          <w:szCs w:val="21"/>
          <w:highlight w:val="none"/>
          <w:u w:val="single"/>
          <w:lang w:val="en-US" w:eastAsia="zh-CN"/>
        </w:rPr>
        <w:t>867.92</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535961533"/>
      <w:bookmarkStart w:id="249" w:name="_Toc392862500"/>
      <w:bookmarkStart w:id="250" w:name="_Toc114052375"/>
      <w:bookmarkStart w:id="251" w:name="_Toc114052439"/>
      <w:bookmarkStart w:id="252" w:name="_Toc286386859"/>
      <w:bookmarkStart w:id="253" w:name="_Toc436771487"/>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114052377"/>
      <w:bookmarkStart w:id="256" w:name="_Toc286386861"/>
      <w:bookmarkStart w:id="257" w:name="_Toc114052441"/>
      <w:bookmarkStart w:id="258" w:name="_Toc310318599"/>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16935"/>
      <w:bookmarkStart w:id="260" w:name="_Toc20403"/>
      <w:bookmarkStart w:id="261" w:name="_Toc30023"/>
      <w:bookmarkStart w:id="262" w:name="_Toc12010"/>
      <w:bookmarkStart w:id="263" w:name="_Toc4943"/>
      <w:bookmarkStart w:id="264" w:name="_Toc12149"/>
      <w:bookmarkStart w:id="265" w:name="_Toc19549"/>
      <w:bookmarkStart w:id="266" w:name="_Toc28390"/>
      <w:bookmarkStart w:id="267" w:name="_Toc529"/>
      <w:bookmarkStart w:id="268" w:name="_Toc13919"/>
      <w:bookmarkStart w:id="269" w:name="_Toc24316"/>
      <w:bookmarkStart w:id="270" w:name="_Toc24212"/>
      <w:bookmarkStart w:id="271" w:name="_Toc18764"/>
      <w:bookmarkStart w:id="272" w:name="_Toc6141"/>
      <w:bookmarkStart w:id="273" w:name="_Toc17996"/>
      <w:bookmarkStart w:id="274" w:name="_Toc7357"/>
      <w:bookmarkStart w:id="275" w:name="_Toc461525303"/>
      <w:bookmarkStart w:id="276" w:name="_Toc471482367"/>
      <w:bookmarkStart w:id="277" w:name="_Toc16746"/>
      <w:bookmarkStart w:id="278" w:name="_Toc5074"/>
      <w:bookmarkStart w:id="279" w:name="_Toc8363"/>
      <w:bookmarkStart w:id="280" w:name="_Toc15810"/>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3339"/>
      <w:bookmarkStart w:id="282" w:name="_Toc4447"/>
      <w:bookmarkStart w:id="283" w:name="_Toc7444"/>
      <w:bookmarkStart w:id="284" w:name="_Toc19761"/>
      <w:bookmarkStart w:id="285" w:name="_Toc535961544"/>
      <w:bookmarkStart w:id="286" w:name="_Toc30996"/>
      <w:bookmarkStart w:id="287" w:name="_Toc4368"/>
      <w:bookmarkStart w:id="288" w:name="_Toc11246"/>
      <w:bookmarkStart w:id="289" w:name="_Toc23613"/>
      <w:bookmarkStart w:id="290" w:name="_Toc31070"/>
      <w:bookmarkStart w:id="291" w:name="_Toc12854"/>
      <w:bookmarkStart w:id="292" w:name="_Toc21670"/>
      <w:bookmarkStart w:id="293" w:name="_Toc2960"/>
      <w:bookmarkStart w:id="294" w:name="_Toc21358"/>
      <w:bookmarkStart w:id="295" w:name="_Toc16062"/>
      <w:bookmarkStart w:id="296" w:name="_Toc5964"/>
      <w:bookmarkStart w:id="297" w:name="_Toc1354"/>
      <w:bookmarkStart w:id="298" w:name="_Toc471482368"/>
      <w:bookmarkStart w:id="299" w:name="_Toc461525304"/>
      <w:bookmarkStart w:id="300" w:name="_Toc4769"/>
      <w:bookmarkStart w:id="301" w:name="_Toc333307121"/>
      <w:bookmarkStart w:id="302" w:name="_Toc7234"/>
      <w:r>
        <w:rPr>
          <w:rFonts w:hint="eastAsia" w:ascii="宋体" w:hAnsi="宋体"/>
          <w:b/>
          <w:bCs/>
          <w:sz w:val="28"/>
          <w:szCs w:val="28"/>
          <w:highlight w:val="none"/>
        </w:rPr>
        <w:t>第二章</w:t>
      </w:r>
      <w:bookmarkStart w:id="303"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bookmarkEnd w:id="289"/>
    </w:p>
    <w:bookmarkEnd w:id="303"/>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南宁轨道地产集团有限责任公司202</w:t>
      </w:r>
      <w:r>
        <w:rPr>
          <w:rFonts w:hint="eastAsia" w:ascii="宋体" w:hAnsi="宋体"/>
          <w:b/>
          <w:sz w:val="44"/>
          <w:szCs w:val="44"/>
          <w:highlight w:val="none"/>
          <w:lang w:val="en-US" w:eastAsia="zh-CN"/>
        </w:rPr>
        <w:t>1</w:t>
      </w:r>
      <w:r>
        <w:rPr>
          <w:rFonts w:hint="eastAsia" w:ascii="宋体" w:hAnsi="宋体"/>
          <w:b/>
          <w:sz w:val="44"/>
          <w:szCs w:val="44"/>
          <w:highlight w:val="none"/>
        </w:rPr>
        <w:t>年至2022年</w:t>
      </w:r>
      <w:r>
        <w:rPr>
          <w:rFonts w:hint="eastAsia" w:ascii="宋体" w:hAnsi="宋体"/>
          <w:b/>
          <w:sz w:val="44"/>
          <w:szCs w:val="44"/>
          <w:highlight w:val="none"/>
          <w:lang w:val="en-US" w:eastAsia="zh-CN"/>
        </w:rPr>
        <w:t>设计变更</w:t>
      </w:r>
      <w:r>
        <w:rPr>
          <w:rFonts w:hint="eastAsia" w:ascii="宋体" w:hAnsi="宋体"/>
          <w:b/>
          <w:sz w:val="44"/>
          <w:szCs w:val="44"/>
          <w:highlight w:val="none"/>
        </w:rPr>
        <w:t>管理专项审计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4" w:name="_Toc369787000"/>
      <w:bookmarkEnd w:id="304"/>
    </w:p>
    <w:bookmarkEnd w:id="290"/>
    <w:bookmarkEnd w:id="291"/>
    <w:bookmarkEnd w:id="292"/>
    <w:bookmarkEnd w:id="293"/>
    <w:bookmarkEnd w:id="294"/>
    <w:bookmarkEnd w:id="295"/>
    <w:bookmarkEnd w:id="296"/>
    <w:bookmarkEnd w:id="297"/>
    <w:bookmarkEnd w:id="298"/>
    <w:bookmarkEnd w:id="299"/>
    <w:bookmarkEnd w:id="300"/>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南宁轨道地产集团有限责任公司202</w:t>
      </w:r>
      <w:r>
        <w:rPr>
          <w:rFonts w:hint="eastAsia" w:ascii="宋体" w:hAnsi="宋体"/>
          <w:b/>
          <w:sz w:val="36"/>
          <w:szCs w:val="36"/>
          <w:highlight w:val="none"/>
          <w:lang w:val="en-US" w:eastAsia="zh-CN"/>
        </w:rPr>
        <w:t>1</w:t>
      </w:r>
      <w:r>
        <w:rPr>
          <w:rFonts w:hint="eastAsia" w:ascii="宋体" w:hAnsi="宋体"/>
          <w:b/>
          <w:sz w:val="36"/>
          <w:szCs w:val="36"/>
          <w:highlight w:val="none"/>
        </w:rPr>
        <w:t>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lang w:val="en-US" w:eastAsia="zh-CN"/>
        </w:rPr>
        <w:t>设计变更</w:t>
      </w:r>
      <w:r>
        <w:rPr>
          <w:rFonts w:hint="eastAsia" w:ascii="宋体" w:hAnsi="宋体"/>
          <w:b/>
          <w:sz w:val="36"/>
          <w:szCs w:val="36"/>
          <w:highlight w:val="none"/>
        </w:rPr>
        <w:t>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南宁轨道地产集团有限责任公司202</w:t>
      </w:r>
      <w:r>
        <w:rPr>
          <w:rFonts w:hint="eastAsia" w:ascii="宋体" w:hAnsi="宋体"/>
          <w:sz w:val="28"/>
          <w:szCs w:val="28"/>
          <w:highlight w:val="none"/>
          <w:u w:val="single"/>
          <w:lang w:val="en-US" w:eastAsia="zh-CN"/>
        </w:rPr>
        <w:t>1</w:t>
      </w:r>
      <w:r>
        <w:rPr>
          <w:rFonts w:hint="eastAsia" w:ascii="宋体" w:hAnsi="宋体"/>
          <w:sz w:val="28"/>
          <w:szCs w:val="28"/>
          <w:highlight w:val="none"/>
          <w:u w:val="single"/>
        </w:rPr>
        <w:t>年至2022年</w:t>
      </w:r>
      <w:r>
        <w:rPr>
          <w:rFonts w:hint="eastAsia" w:ascii="宋体" w:hAnsi="宋体"/>
          <w:sz w:val="28"/>
          <w:szCs w:val="28"/>
          <w:highlight w:val="none"/>
          <w:u w:val="single"/>
          <w:lang w:val="en-US" w:eastAsia="zh-CN"/>
        </w:rPr>
        <w:t>设计变更</w:t>
      </w:r>
      <w:r>
        <w:rPr>
          <w:rFonts w:hint="eastAsia" w:ascii="宋体" w:hAnsi="宋体"/>
          <w:sz w:val="28"/>
          <w:szCs w:val="28"/>
          <w:highlight w:val="none"/>
          <w:u w:val="single"/>
        </w:rPr>
        <w:t>管理专项审计项目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spacing w:line="540" w:lineRule="exact"/>
        <w:ind w:firstLine="420" w:firstLineChars="150"/>
        <w:rPr>
          <w:rFonts w:hint="eastAsia" w:ascii="宋体" w:hAnsi="宋体" w:cs="仿宋"/>
          <w:sz w:val="28"/>
          <w:szCs w:val="28"/>
          <w:highlight w:val="none"/>
        </w:rPr>
      </w:pPr>
      <w:r>
        <w:rPr>
          <w:rFonts w:hint="eastAsia" w:ascii="宋体" w:hAnsi="宋体" w:cs="仿宋"/>
          <w:sz w:val="28"/>
          <w:szCs w:val="28"/>
          <w:highlight w:val="none"/>
        </w:rPr>
        <w:t>对南宁轨道地产集团有限责任公司2021年至2022年设计变更管理情况开展审计，本次审计总体围绕南宁轨道地产集团有限责任公司设计变更管理制度、流程的建立和执行中决策、审批、运行、评价等环节的规范性、有效性，以及设计变更</w:t>
      </w:r>
      <w:r>
        <w:rPr>
          <w:rFonts w:hint="eastAsia" w:ascii="宋体" w:hAnsi="宋体" w:cs="仿宋"/>
          <w:sz w:val="28"/>
          <w:szCs w:val="28"/>
          <w:highlight w:val="none"/>
          <w:lang w:val="en-US" w:eastAsia="zh-CN"/>
        </w:rPr>
        <w:t>事项真实性、合理性等情况</w:t>
      </w:r>
      <w:r>
        <w:rPr>
          <w:rFonts w:hint="eastAsia" w:ascii="宋体" w:hAnsi="宋体" w:cs="仿宋"/>
          <w:sz w:val="28"/>
          <w:szCs w:val="28"/>
          <w:highlight w:val="none"/>
        </w:rPr>
        <w:t>进行全面审计。包括但不仅限于以下内容：</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设计变更相关内部控制制度的建立情况，是否健全、完备，是否满足控制要求且满足公司业务需要；</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2</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设计变更事项的审议、会签、审批、决策情况，关注设计变更的真实性、必要性，是否存在先施工后办理设计变更的情形，是否存在已经实施完成变更但未办理设计变更手续的情形，是否符合流程审批规定；</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3</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设计变更事项的实施情况，关注设计变更实施是否及时；</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4</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设计变更事项的完工后跟踪反馈、台账日常管理情况，设计变更资料管理、归档情况；</w:t>
      </w:r>
    </w:p>
    <w:p>
      <w:pPr>
        <w:spacing w:line="540" w:lineRule="exact"/>
        <w:ind w:left="559" w:leftChars="266" w:firstLine="0" w:firstLineChars="0"/>
        <w:rPr>
          <w:rFonts w:hint="eastAsia" w:ascii="宋体" w:hAnsi="宋体" w:cs="仿宋"/>
          <w:sz w:val="28"/>
          <w:szCs w:val="28"/>
          <w:highlight w:val="none"/>
        </w:rPr>
      </w:pPr>
      <w:r>
        <w:rPr>
          <w:rFonts w:hint="eastAsia" w:ascii="宋体" w:hAnsi="宋体" w:cs="仿宋"/>
          <w:sz w:val="28"/>
          <w:szCs w:val="28"/>
          <w:highlight w:val="none"/>
        </w:rPr>
        <w:t>5</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设计变更产生的原因剖析，是否真实、合理，依据是否客观、充分；</w:t>
      </w:r>
      <w:r>
        <w:rPr>
          <w:rFonts w:hint="eastAsia" w:ascii="宋体" w:hAnsi="宋体" w:cs="仿宋"/>
          <w:sz w:val="28"/>
          <w:szCs w:val="28"/>
          <w:highlight w:val="none"/>
          <w:lang w:val="en-US" w:eastAsia="zh-CN"/>
        </w:rPr>
        <w:t>6.</w:t>
      </w:r>
      <w:r>
        <w:rPr>
          <w:rFonts w:hint="eastAsia" w:ascii="宋体" w:hAnsi="宋体" w:cs="仿宋"/>
          <w:sz w:val="28"/>
          <w:szCs w:val="28"/>
          <w:highlight w:val="none"/>
        </w:rPr>
        <w:t>设计变更事项的完整性；</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7</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设计变更事项涉及的工程量增加准确性，关注设计变更对工程造价和建设进度的影响，是否存在工程量只增不减从而提高工程造价的风险；</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8</w:t>
      </w:r>
      <w:r>
        <w:rPr>
          <w:rFonts w:hint="eastAsia" w:ascii="宋体" w:hAnsi="宋体" w:cs="仿宋"/>
          <w:sz w:val="28"/>
          <w:szCs w:val="28"/>
          <w:highlight w:val="none"/>
          <w:lang w:val="en-US" w:eastAsia="zh-CN"/>
        </w:rPr>
        <w:t>.</w:t>
      </w:r>
      <w:r>
        <w:rPr>
          <w:rFonts w:hint="eastAsia" w:ascii="宋体" w:hAnsi="宋体" w:cs="仿宋"/>
          <w:sz w:val="28"/>
          <w:szCs w:val="28"/>
          <w:highlight w:val="none"/>
        </w:rPr>
        <w:t>设计变更事项涉及的动态成本统计分析工作情况，关注设计变更涉及的成本估算是否合理、结算及时性，对动态成本影响及目标成本控制；</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9</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关注由于预算或概算阶段设计的不完整或不合理，在项目实施过程中进行设计变更，从而使工程合同结算超出原合同，从而影响轨道地产公司项目成本管制水平的情况，分析产生的原因；</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10</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是否存在由于设计服务供应商履行设计合同不力从而进行设计变更，导致南宁轨道地产集团有限责任公司的项目成本增加，而南宁轨道地产集团有限责任公司不追究设计服务供应商合同责任的情况；相关设计合同对上述情况是否在合同中对设计服务供应商有相应的合同责任约束；</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11</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关注设计变更是否有舞弊的发生；</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12</w:t>
      </w:r>
      <w:r>
        <w:rPr>
          <w:rFonts w:hint="eastAsia" w:ascii="宋体" w:hAnsi="宋体" w:cs="仿宋"/>
          <w:sz w:val="28"/>
          <w:szCs w:val="28"/>
          <w:highlight w:val="none"/>
          <w:lang w:val="en-US" w:eastAsia="zh-CN"/>
        </w:rPr>
        <w:t>.</w:t>
      </w:r>
      <w:r>
        <w:rPr>
          <w:rFonts w:hint="eastAsia" w:ascii="宋体" w:hAnsi="宋体" w:cs="仿宋"/>
          <w:sz w:val="28"/>
          <w:szCs w:val="28"/>
          <w:highlight w:val="none"/>
        </w:rPr>
        <w:t>关注设计服务采购环节中，是否存在以低价中标，最终通过设计变更提高设计合同的结算价，从而出现“低中高结”的不合理情况，分析产生的原因；</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13</w:t>
      </w:r>
      <w:r>
        <w:rPr>
          <w:rFonts w:hint="eastAsia" w:ascii="宋体" w:hAnsi="宋体" w:cs="仿宋"/>
          <w:sz w:val="28"/>
          <w:szCs w:val="28"/>
          <w:highlight w:val="none"/>
          <w:lang w:val="en-US" w:eastAsia="zh-CN"/>
        </w:rPr>
        <w:t>.</w:t>
      </w:r>
      <w:r>
        <w:rPr>
          <w:rFonts w:hint="eastAsia" w:ascii="宋体" w:hAnsi="宋体" w:cs="仿宋"/>
          <w:sz w:val="28"/>
          <w:szCs w:val="28"/>
          <w:highlight w:val="none"/>
        </w:rPr>
        <w:t>以往审计发现问题的整改情况；</w:t>
      </w:r>
    </w:p>
    <w:p>
      <w:pPr>
        <w:spacing w:line="540" w:lineRule="exact"/>
        <w:ind w:firstLine="560" w:firstLineChars="200"/>
        <w:rPr>
          <w:rFonts w:hint="eastAsia" w:ascii="宋体" w:hAnsi="宋体" w:cs="仿宋"/>
          <w:sz w:val="28"/>
          <w:szCs w:val="28"/>
          <w:highlight w:val="none"/>
        </w:rPr>
      </w:pPr>
      <w:r>
        <w:rPr>
          <w:rFonts w:hint="eastAsia" w:ascii="宋体" w:hAnsi="宋体" w:cs="仿宋"/>
          <w:sz w:val="28"/>
          <w:szCs w:val="28"/>
          <w:highlight w:val="none"/>
        </w:rPr>
        <w:t>14</w:t>
      </w:r>
      <w:r>
        <w:rPr>
          <w:rFonts w:hint="eastAsia" w:ascii="宋体" w:hAnsi="宋体" w:cs="仿宋"/>
          <w:sz w:val="28"/>
          <w:szCs w:val="28"/>
          <w:highlight w:val="none"/>
          <w:lang w:val="en-US" w:eastAsia="zh-CN"/>
        </w:rPr>
        <w:t>.</w:t>
      </w:r>
      <w:r>
        <w:rPr>
          <w:rFonts w:hint="eastAsia" w:ascii="宋体" w:hAnsi="宋体" w:cs="仿宋"/>
          <w:sz w:val="28"/>
          <w:szCs w:val="28"/>
          <w:highlight w:val="none"/>
        </w:rPr>
        <w:t>其他需要审计的内容。</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根据《中华人民共和国民法典》及其他相关法律法规，以及南宁轨道地产集团有限责任公司设计变更、现场签证管理等制度、流程开展工作</w:t>
      </w:r>
      <w:r>
        <w:rPr>
          <w:rFonts w:hint="eastAsia" w:ascii="宋体" w:hAnsi="宋体"/>
          <w:sz w:val="28"/>
          <w:szCs w:val="28"/>
          <w:highlight w:val="none"/>
          <w:lang w:eastAsia="zh-CN"/>
        </w:rPr>
        <w:t>，</w:t>
      </w:r>
      <w:r>
        <w:rPr>
          <w:rFonts w:hint="eastAsia" w:ascii="宋体" w:hAnsi="宋体"/>
          <w:sz w:val="28"/>
          <w:szCs w:val="28"/>
          <w:highlight w:val="none"/>
        </w:rPr>
        <w:t>对南宁轨道地产集团有限责任公司202</w:t>
      </w:r>
      <w:r>
        <w:rPr>
          <w:rFonts w:hint="eastAsia" w:ascii="宋体" w:hAnsi="宋体"/>
          <w:sz w:val="28"/>
          <w:szCs w:val="28"/>
          <w:highlight w:val="none"/>
          <w:lang w:val="en-US" w:eastAsia="zh-CN"/>
        </w:rPr>
        <w:t>1</w:t>
      </w:r>
      <w:r>
        <w:rPr>
          <w:rFonts w:hint="eastAsia" w:ascii="宋体" w:hAnsi="宋体"/>
          <w:sz w:val="28"/>
          <w:szCs w:val="28"/>
          <w:highlight w:val="none"/>
        </w:rPr>
        <w:t>年至2022年</w:t>
      </w:r>
      <w:r>
        <w:rPr>
          <w:rFonts w:hint="eastAsia" w:ascii="宋体" w:hAnsi="宋体"/>
          <w:sz w:val="28"/>
          <w:szCs w:val="28"/>
          <w:highlight w:val="none"/>
          <w:lang w:val="en-US" w:eastAsia="zh-CN"/>
        </w:rPr>
        <w:t>设计变更</w:t>
      </w:r>
      <w:r>
        <w:rPr>
          <w:rFonts w:hint="eastAsia" w:ascii="宋体" w:hAnsi="宋体"/>
          <w:sz w:val="28"/>
          <w:szCs w:val="28"/>
          <w:highlight w:val="none"/>
        </w:rPr>
        <w:t>管理情况作出客观公正、实事求是的评价，出具南宁轨道地产集团有限责任公司202</w:t>
      </w:r>
      <w:r>
        <w:rPr>
          <w:rFonts w:hint="eastAsia" w:ascii="宋体" w:hAnsi="宋体"/>
          <w:sz w:val="28"/>
          <w:szCs w:val="28"/>
          <w:highlight w:val="none"/>
          <w:lang w:val="en-US" w:eastAsia="zh-CN"/>
        </w:rPr>
        <w:t>1</w:t>
      </w:r>
      <w:r>
        <w:rPr>
          <w:rFonts w:hint="eastAsia" w:ascii="宋体" w:hAnsi="宋体"/>
          <w:sz w:val="28"/>
          <w:szCs w:val="28"/>
          <w:highlight w:val="none"/>
        </w:rPr>
        <w:t>年至2022年</w:t>
      </w:r>
      <w:r>
        <w:rPr>
          <w:rFonts w:hint="eastAsia" w:ascii="宋体" w:hAnsi="宋体"/>
          <w:sz w:val="28"/>
          <w:szCs w:val="28"/>
          <w:highlight w:val="none"/>
          <w:lang w:val="en-US" w:eastAsia="zh-CN"/>
        </w:rPr>
        <w:t>设计变更</w:t>
      </w:r>
      <w:r>
        <w:rPr>
          <w:rFonts w:hint="eastAsia" w:ascii="宋体" w:hAnsi="宋体"/>
          <w:sz w:val="28"/>
          <w:szCs w:val="28"/>
          <w:highlight w:val="none"/>
        </w:rPr>
        <w:t>管理专项审计报告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w:t>
      </w:r>
      <w:r>
        <w:rPr>
          <w:rFonts w:hint="eastAsia" w:ascii="宋体" w:hAnsi="宋体"/>
          <w:sz w:val="28"/>
          <w:szCs w:val="28"/>
          <w:highlight w:val="none"/>
          <w:lang w:eastAsia="zh-CN"/>
        </w:rPr>
        <w:t>《</w:t>
      </w:r>
      <w:r>
        <w:rPr>
          <w:rFonts w:hint="eastAsia" w:ascii="宋体" w:hAnsi="宋体"/>
          <w:sz w:val="28"/>
          <w:szCs w:val="28"/>
          <w:highlight w:val="none"/>
          <w:lang w:val="en-US" w:eastAsia="zh-CN"/>
        </w:rPr>
        <w:t>注册造价工程师管理办法</w:t>
      </w:r>
      <w:r>
        <w:rPr>
          <w:rFonts w:hint="eastAsia" w:ascii="宋体" w:hAnsi="宋体"/>
          <w:sz w:val="28"/>
          <w:szCs w:val="28"/>
          <w:highlight w:val="none"/>
          <w:lang w:eastAsia="zh-CN"/>
        </w:rPr>
        <w:t>》</w:t>
      </w:r>
      <w:r>
        <w:rPr>
          <w:rFonts w:hint="eastAsia" w:ascii="宋体" w:hAnsi="宋体"/>
          <w:sz w:val="28"/>
          <w:szCs w:val="28"/>
          <w:highlight w:val="none"/>
        </w:rPr>
        <w:t>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工作程序，在约定时间内出具南宁轨道地产集团有限责任公司202</w:t>
      </w:r>
      <w:r>
        <w:rPr>
          <w:rFonts w:hint="eastAsia" w:ascii="宋体" w:hAnsi="宋体"/>
          <w:sz w:val="28"/>
          <w:szCs w:val="28"/>
          <w:highlight w:val="none"/>
          <w:lang w:val="en-US" w:eastAsia="zh-CN"/>
        </w:rPr>
        <w:t>1</w:t>
      </w:r>
      <w:r>
        <w:rPr>
          <w:rFonts w:hint="eastAsia" w:ascii="宋体" w:hAnsi="宋体"/>
          <w:sz w:val="28"/>
          <w:szCs w:val="28"/>
          <w:highlight w:val="none"/>
        </w:rPr>
        <w:t>年至2022年</w:t>
      </w:r>
      <w:r>
        <w:rPr>
          <w:rFonts w:hint="eastAsia" w:ascii="宋体" w:hAnsi="宋体"/>
          <w:sz w:val="28"/>
          <w:szCs w:val="28"/>
          <w:highlight w:val="none"/>
          <w:lang w:val="en-US" w:eastAsia="zh-CN"/>
        </w:rPr>
        <w:t>设计变更</w:t>
      </w:r>
      <w:r>
        <w:rPr>
          <w:rFonts w:hint="eastAsia" w:ascii="宋体" w:hAnsi="宋体"/>
          <w:sz w:val="28"/>
          <w:szCs w:val="28"/>
          <w:highlight w:val="none"/>
        </w:rPr>
        <w:t>专项审计报告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rPr>
        <w:t>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w:t>
      </w:r>
      <w:r>
        <w:rPr>
          <w:rFonts w:hint="eastAsia" w:ascii="宋体" w:hAnsi="宋体"/>
          <w:sz w:val="28"/>
          <w:szCs w:val="28"/>
          <w:highlight w:val="none"/>
          <w:lang w:val="en-US" w:eastAsia="zh-CN"/>
        </w:rPr>
        <w:t>审计</w:t>
      </w:r>
      <w:r>
        <w:rPr>
          <w:rFonts w:hint="eastAsia" w:ascii="宋体" w:hAnsi="宋体"/>
          <w:sz w:val="28"/>
          <w:szCs w:val="28"/>
          <w:highlight w:val="none"/>
        </w:rPr>
        <w:t>费用为人民币：不含税</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增值税税额</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none"/>
          <w:lang w:val="en-US" w:eastAsia="zh-CN"/>
        </w:rPr>
        <w:t>元（</w:t>
      </w:r>
      <w:r>
        <w:rPr>
          <w:rFonts w:hint="eastAsia" w:ascii="宋体" w:hAnsi="宋体"/>
          <w:sz w:val="28"/>
          <w:szCs w:val="28"/>
          <w:highlight w:val="none"/>
        </w:rPr>
        <w:t>税率</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w:t>
      </w:r>
      <w:r>
        <w:rPr>
          <w:rFonts w:hint="eastAsia" w:ascii="宋体" w:hAnsi="宋体"/>
          <w:sz w:val="28"/>
          <w:szCs w:val="28"/>
          <w:highlight w:val="none"/>
          <w:u w:val="none"/>
          <w:lang w:eastAsia="zh-CN"/>
        </w:rPr>
        <w:t>）</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lang w:val="en-US" w:eastAsia="zh-CN"/>
        </w:rPr>
        <w:t>合同不含税价格不因国家政策调整税率而调整</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审核报告</w:t>
      </w:r>
      <w:r>
        <w:rPr>
          <w:rFonts w:hint="eastAsia" w:ascii="宋体" w:hAnsi="宋体"/>
          <w:sz w:val="28"/>
          <w:szCs w:val="28"/>
          <w:highlight w:val="none"/>
          <w:lang w:eastAsia="zh-CN"/>
        </w:rPr>
        <w:t>）</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2"/>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3"/>
        </w:numPr>
        <w:spacing w:before="0" w:after="0" w:line="540" w:lineRule="exact"/>
        <w:rPr>
          <w:rFonts w:ascii="宋体" w:cs="宋体"/>
          <w:szCs w:val="28"/>
          <w:highlight w:val="none"/>
        </w:rPr>
      </w:pPr>
      <w:bookmarkStart w:id="305" w:name="_Toc1897"/>
      <w:bookmarkStart w:id="306" w:name="_Toc30239"/>
      <w:bookmarkStart w:id="307" w:name="_Toc15172"/>
      <w:bookmarkStart w:id="308" w:name="_Toc16386"/>
      <w:bookmarkStart w:id="309" w:name="_Toc26692"/>
      <w:bookmarkStart w:id="310" w:name="_Toc24668"/>
      <w:bookmarkStart w:id="311" w:name="_Toc6779"/>
      <w:bookmarkStart w:id="312" w:name="_Toc27378"/>
      <w:bookmarkStart w:id="313" w:name="_Toc471482369"/>
      <w:bookmarkStart w:id="314" w:name="_Toc29471"/>
      <w:bookmarkStart w:id="315" w:name="_Toc20710"/>
      <w:bookmarkStart w:id="316" w:name="_Toc32280"/>
      <w:bookmarkStart w:id="317" w:name="_Toc23661"/>
      <w:bookmarkStart w:id="318" w:name="_Toc461525321"/>
      <w:r>
        <w:rPr>
          <w:rFonts w:ascii="宋体" w:hAnsi="宋体" w:cs="宋体"/>
          <w:szCs w:val="28"/>
          <w:highlight w:val="none"/>
        </w:rPr>
        <w:t xml:space="preserve"> </w:t>
      </w:r>
      <w:bookmarkStart w:id="319" w:name="_Toc28616"/>
      <w:bookmarkStart w:id="320" w:name="_Toc30463"/>
      <w:bookmarkStart w:id="321" w:name="_Toc21863"/>
      <w:bookmarkStart w:id="322" w:name="_Toc12974"/>
      <w:bookmarkStart w:id="323" w:name="_Toc2650"/>
      <w:bookmarkStart w:id="324" w:name="_Toc3086"/>
      <w:bookmarkStart w:id="325" w:name="_Toc15480"/>
      <w:r>
        <w:rPr>
          <w:rFonts w:hint="eastAsia" w:ascii="宋体" w:hAnsi="宋体" w:cs="宋体"/>
          <w:szCs w:val="28"/>
          <w:highlight w:val="none"/>
        </w:rPr>
        <w:t>比选</w:t>
      </w:r>
      <w:bookmarkEnd w:id="301"/>
      <w:bookmarkEnd w:id="302"/>
      <w:r>
        <w:rPr>
          <w:rFonts w:hint="eastAsia" w:ascii="宋体" w:hAnsi="宋体" w:cs="宋体"/>
          <w:szCs w:val="28"/>
          <w:highlight w:val="none"/>
        </w:rPr>
        <w:t>申请文件（格式）</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Start w:id="326"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7" w:name="_Toc16428"/>
      <w:bookmarkStart w:id="328" w:name="_Toc10669"/>
      <w:bookmarkStart w:id="329" w:name="_Toc6045"/>
      <w:bookmarkStart w:id="330" w:name="_Toc22529"/>
      <w:bookmarkStart w:id="331" w:name="_Toc31417"/>
      <w:bookmarkStart w:id="332" w:name="_Toc24727"/>
      <w:bookmarkStart w:id="333" w:name="_Toc18503"/>
      <w:bookmarkStart w:id="334" w:name="_Toc12677"/>
      <w:bookmarkStart w:id="335" w:name="_Toc461525322"/>
      <w:r>
        <w:rPr>
          <w:rFonts w:hint="eastAsia"/>
          <w:b w:val="0"/>
          <w:bCs w:val="0"/>
          <w:sz w:val="28"/>
          <w:szCs w:val="28"/>
          <w:highlight w:val="none"/>
        </w:rPr>
        <w:t>资格审查部分</w:t>
      </w:r>
      <w:bookmarkEnd w:id="327"/>
      <w:bookmarkEnd w:id="328"/>
      <w:bookmarkEnd w:id="329"/>
      <w:bookmarkEnd w:id="330"/>
      <w:bookmarkEnd w:id="331"/>
      <w:bookmarkEnd w:id="332"/>
      <w:bookmarkEnd w:id="333"/>
      <w:bookmarkEnd w:id="334"/>
      <w:bookmarkEnd w:id="335"/>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6"/>
      <w:r>
        <w:rPr>
          <w:rFonts w:hint="eastAsia" w:ascii="宋体" w:hAnsi="宋体" w:cs="宋体"/>
          <w:sz w:val="28"/>
          <w:szCs w:val="28"/>
          <w:highlight w:val="none"/>
        </w:rPr>
        <w:t>请</w:t>
      </w:r>
      <w:bookmarkStart w:id="336" w:name="_Toc114052392"/>
      <w:r>
        <w:rPr>
          <w:rFonts w:hint="eastAsia" w:ascii="宋体" w:hAnsi="宋体" w:cs="宋体"/>
          <w:sz w:val="28"/>
          <w:szCs w:val="28"/>
          <w:highlight w:val="none"/>
        </w:rPr>
        <w:t>人：</w:t>
      </w:r>
      <w:bookmarkEnd w:id="336"/>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7" w:name="_Toc333307122"/>
      <w:r>
        <w:rPr>
          <w:rFonts w:hint="eastAsia" w:ascii="宋体" w:hAnsi="宋体" w:cs="宋体"/>
          <w:sz w:val="28"/>
          <w:szCs w:val="28"/>
          <w:highlight w:val="none"/>
        </w:rPr>
        <w:t>理人</w:t>
      </w:r>
      <w:bookmarkEnd w:id="337"/>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8" w:name="_Toc7849"/>
      <w:bookmarkStart w:id="339" w:name="_Toc461525323"/>
    </w:p>
    <w:p>
      <w:pPr>
        <w:pStyle w:val="4"/>
        <w:jc w:val="center"/>
        <w:rPr>
          <w:b/>
          <w:highlight w:val="none"/>
        </w:rPr>
      </w:pPr>
      <w:bookmarkStart w:id="340" w:name="_Toc30348"/>
      <w:bookmarkStart w:id="341" w:name="_Toc1883"/>
      <w:bookmarkStart w:id="342" w:name="_Toc471482370"/>
      <w:bookmarkStart w:id="343" w:name="_Toc16191"/>
      <w:bookmarkStart w:id="344" w:name="_Toc7514"/>
      <w:bookmarkStart w:id="345" w:name="_Toc31765"/>
      <w:bookmarkStart w:id="346" w:name="_Toc13042"/>
      <w:bookmarkStart w:id="347" w:name="_Toc29495"/>
      <w:bookmarkStart w:id="348" w:name="_Toc12836"/>
      <w:bookmarkStart w:id="349" w:name="_Toc16376"/>
      <w:bookmarkStart w:id="350" w:name="_Toc28967"/>
      <w:bookmarkStart w:id="351" w:name="_Toc25559"/>
      <w:bookmarkStart w:id="352" w:name="_Toc7031"/>
      <w:bookmarkStart w:id="353" w:name="_Toc17090"/>
      <w:bookmarkStart w:id="354" w:name="_Toc889"/>
      <w:bookmarkStart w:id="355" w:name="_Toc30961"/>
      <w:bookmarkStart w:id="356" w:name="_Toc24695"/>
      <w:r>
        <w:rPr>
          <w:rFonts w:hint="eastAsia"/>
          <w:b/>
          <w:highlight w:val="none"/>
        </w:rPr>
        <w:t>一、资格审查文件目录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6.</w:t>
      </w:r>
      <w:r>
        <w:rPr>
          <w:rFonts w:hint="eastAsia" w:ascii="宋体" w:hAnsi="宋体"/>
          <w:kern w:val="0"/>
          <w:sz w:val="24"/>
          <w:highlight w:val="none"/>
        </w:rPr>
        <w:t>会计师事务所</w:t>
      </w:r>
      <w:r>
        <w:rPr>
          <w:rFonts w:hint="eastAsia" w:ascii="宋体" w:hAnsi="宋体"/>
          <w:kern w:val="0"/>
          <w:sz w:val="24"/>
          <w:highlight w:val="none"/>
          <w:lang w:val="en-US" w:eastAsia="zh-CN"/>
        </w:rPr>
        <w:t>或造价咨询中介机构</w:t>
      </w:r>
      <w:r>
        <w:rPr>
          <w:rFonts w:hint="eastAsia" w:ascii="宋体" w:hAnsi="宋体"/>
          <w:kern w:val="0"/>
          <w:sz w:val="24"/>
          <w:highlight w:val="none"/>
        </w:rPr>
        <w:t>执业证书（提供复印件加盖单位公章）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7" w:name="_Toc27423"/>
      <w:bookmarkStart w:id="358" w:name="_Toc1582"/>
      <w:bookmarkStart w:id="359" w:name="_Toc461525324"/>
      <w:r>
        <w:rPr>
          <w:highlight w:val="none"/>
        </w:rPr>
        <w:br w:type="page"/>
      </w:r>
      <w:bookmarkEnd w:id="357"/>
      <w:bookmarkEnd w:id="358"/>
      <w:bookmarkEnd w:id="359"/>
      <w:bookmarkStart w:id="360" w:name="_Toc15465"/>
      <w:bookmarkStart w:id="361" w:name="_Toc24466"/>
      <w:bookmarkStart w:id="362" w:name="_Toc32325"/>
      <w:bookmarkStart w:id="363" w:name="_Toc15071"/>
      <w:bookmarkStart w:id="364" w:name="_Toc29347"/>
      <w:bookmarkStart w:id="365" w:name="_Toc14714"/>
      <w:bookmarkStart w:id="366" w:name="_Toc17531"/>
      <w:bookmarkStart w:id="367" w:name="_Toc18804"/>
      <w:bookmarkStart w:id="368" w:name="_Toc26924"/>
      <w:bookmarkStart w:id="369" w:name="_Toc29655"/>
      <w:bookmarkStart w:id="370" w:name="_Toc30157"/>
      <w:bookmarkStart w:id="371" w:name="_Toc461525329"/>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lang w:val="en-US" w:eastAsia="zh-CN"/>
        </w:rPr>
        <w:t>审计</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60"/>
    <w:bookmarkEnd w:id="361"/>
    <w:bookmarkEnd w:id="362"/>
    <w:bookmarkEnd w:id="363"/>
    <w:bookmarkEnd w:id="364"/>
    <w:bookmarkEnd w:id="365"/>
    <w:bookmarkEnd w:id="366"/>
    <w:bookmarkEnd w:id="367"/>
    <w:bookmarkEnd w:id="368"/>
    <w:bookmarkEnd w:id="369"/>
    <w:bookmarkEnd w:id="370"/>
    <w:bookmarkEnd w:id="371"/>
    <w:p>
      <w:pPr>
        <w:jc w:val="center"/>
        <w:rPr>
          <w:rFonts w:ascii="宋体"/>
          <w:b/>
          <w:kern w:val="0"/>
          <w:sz w:val="28"/>
          <w:szCs w:val="28"/>
          <w:highlight w:val="none"/>
        </w:rPr>
      </w:pPr>
      <w:bookmarkStart w:id="372" w:name="_Toc7760"/>
      <w:bookmarkStart w:id="373" w:name="_Toc19937"/>
      <w:bookmarkStart w:id="374" w:name="_Toc28436"/>
      <w:bookmarkStart w:id="375" w:name="_Toc6606"/>
      <w:bookmarkStart w:id="376" w:name="_Toc32075"/>
      <w:bookmarkStart w:id="377" w:name="_Toc25670"/>
      <w:bookmarkStart w:id="378" w:name="_Toc3498"/>
      <w:bookmarkStart w:id="379" w:name="_Toc16756"/>
      <w:bookmarkStart w:id="380" w:name="_Toc750"/>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2"/>
      <w:bookmarkEnd w:id="373"/>
      <w:bookmarkEnd w:id="374"/>
      <w:bookmarkEnd w:id="375"/>
      <w:bookmarkEnd w:id="376"/>
      <w:bookmarkEnd w:id="377"/>
      <w:bookmarkEnd w:id="378"/>
      <w:bookmarkEnd w:id="379"/>
      <w:bookmarkEnd w:id="380"/>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1" w:name="_Toc29504"/>
      <w:bookmarkStart w:id="382" w:name="_Toc1509"/>
      <w:bookmarkStart w:id="383" w:name="_Toc11434"/>
      <w:bookmarkStart w:id="384" w:name="_Toc880"/>
      <w:bookmarkStart w:id="385" w:name="_Toc26749"/>
      <w:bookmarkStart w:id="386" w:name="_Toc2475"/>
      <w:bookmarkStart w:id="387" w:name="_Toc30136"/>
      <w:bookmarkStart w:id="388" w:name="_Toc18479"/>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1"/>
    <w:bookmarkEnd w:id="382"/>
    <w:bookmarkEnd w:id="383"/>
    <w:bookmarkEnd w:id="384"/>
    <w:bookmarkEnd w:id="385"/>
    <w:bookmarkEnd w:id="386"/>
    <w:bookmarkEnd w:id="387"/>
    <w:bookmarkEnd w:id="388"/>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jc w:val="center"/>
        <w:textAlignment w:val="auto"/>
        <w:rPr>
          <w:rFonts w:hint="eastAsia" w:ascii="宋体" w:hAns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w:t>
      </w:r>
      <w:r>
        <w:rPr>
          <w:rFonts w:hint="eastAsia" w:ascii="宋体" w:hAnsi="宋体"/>
          <w:b/>
          <w:kern w:val="0"/>
          <w:sz w:val="28"/>
          <w:szCs w:val="28"/>
          <w:highlight w:val="none"/>
          <w:lang w:val="en-US" w:eastAsia="zh-CN"/>
        </w:rPr>
        <w:t>或造价咨询中介机构</w:t>
      </w:r>
      <w:r>
        <w:rPr>
          <w:rFonts w:hint="eastAsia" w:ascii="宋体" w:hAnsi="宋体"/>
          <w:b/>
          <w:kern w:val="0"/>
          <w:sz w:val="28"/>
          <w:szCs w:val="28"/>
          <w:highlight w:val="none"/>
        </w:rPr>
        <w:t>执业证书复印件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jc w:val="center"/>
        <w:textAlignment w:val="auto"/>
        <w:rPr>
          <w:rFonts w:ascii="宋体"/>
          <w:b/>
          <w:kern w:val="0"/>
          <w:sz w:val="28"/>
          <w:szCs w:val="28"/>
          <w:highlight w:val="none"/>
        </w:rPr>
      </w:pPr>
      <w:r>
        <w:rPr>
          <w:rFonts w:hint="eastAsia" w:ascii="宋体" w:hAnsi="宋体"/>
          <w:b/>
          <w:kern w:val="0"/>
          <w:sz w:val="28"/>
          <w:szCs w:val="28"/>
          <w:highlight w:val="none"/>
        </w:rPr>
        <w:t>（加盖单位公章）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jc w:val="center"/>
        <w:rPr>
          <w:rFonts w:hint="eastAsia" w:ascii="宋体" w:hAnsi="宋体"/>
          <w:b/>
          <w:kern w:val="0"/>
          <w:sz w:val="28"/>
          <w:szCs w:val="28"/>
          <w:highlight w:val="none"/>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总部授权参与证明复印件</w:t>
      </w:r>
    </w:p>
    <w:p>
      <w:pPr>
        <w:autoSpaceDE w:val="0"/>
        <w:autoSpaceDN w:val="0"/>
        <w:adjustRightInd w:val="0"/>
        <w:spacing w:line="600" w:lineRule="exact"/>
        <w:jc w:val="center"/>
        <w:rPr>
          <w:rFonts w:hint="eastAsia" w:ascii="宋体" w:hAnsi="宋体"/>
          <w:b/>
          <w:kern w:val="0"/>
          <w:sz w:val="28"/>
          <w:szCs w:val="28"/>
          <w:highlight w:val="none"/>
        </w:rPr>
      </w:pPr>
      <w:r>
        <w:rPr>
          <w:rFonts w:hint="eastAsia" w:ascii="宋体" w:hAnsi="宋体"/>
          <w:b/>
          <w:kern w:val="0"/>
          <w:sz w:val="28"/>
          <w:szCs w:val="28"/>
          <w:highlight w:val="none"/>
          <w:lang w:eastAsia="zh-CN"/>
        </w:rPr>
        <w:t>（</w:t>
      </w:r>
      <w:r>
        <w:rPr>
          <w:rFonts w:hint="eastAsia" w:ascii="宋体" w:hAnsi="宋体"/>
          <w:b/>
          <w:kern w:val="0"/>
          <w:sz w:val="28"/>
          <w:szCs w:val="28"/>
          <w:highlight w:val="none"/>
        </w:rPr>
        <w:t>加盖单位公章）</w:t>
      </w: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ind w:firstLine="1265" w:firstLineChars="450"/>
        <w:jc w:val="left"/>
        <w:rPr>
          <w:rFonts w:hint="eastAsia" w:ascii="宋体" w:hAnsi="宋体"/>
          <w:b/>
          <w:kern w:val="0"/>
          <w:sz w:val="28"/>
          <w:szCs w:val="28"/>
          <w:highlight w:val="none"/>
          <w:lang w:val="en-US" w:eastAsia="zh-CN"/>
        </w:rPr>
      </w:pPr>
    </w:p>
    <w:p>
      <w:pPr>
        <w:autoSpaceDE w:val="0"/>
        <w:autoSpaceDN w:val="0"/>
        <w:adjustRightInd w:val="0"/>
        <w:spacing w:line="600" w:lineRule="exact"/>
        <w:jc w:val="center"/>
        <w:rPr>
          <w:rFonts w:ascii="宋体"/>
          <w:b/>
          <w:kern w:val="0"/>
          <w:sz w:val="28"/>
          <w:szCs w:val="28"/>
          <w:highlight w:val="none"/>
        </w:rPr>
      </w:pPr>
      <w:r>
        <w:rPr>
          <w:rFonts w:hint="eastAsia" w:ascii="宋体" w:hAnsi="宋体"/>
          <w:b/>
          <w:kern w:val="0"/>
          <w:sz w:val="28"/>
          <w:szCs w:val="28"/>
          <w:highlight w:val="none"/>
          <w:lang w:val="en-US" w:eastAsia="zh-CN"/>
        </w:rPr>
        <w:t>8.</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9" w:name="_Toc461525334"/>
      <w:bookmarkStart w:id="390" w:name="_Toc144"/>
      <w:bookmarkStart w:id="391" w:name="_Toc4828"/>
      <w:bookmarkStart w:id="392" w:name="_Toc16451"/>
      <w:bookmarkStart w:id="393" w:name="_Toc23149"/>
      <w:bookmarkStart w:id="394" w:name="_Toc124"/>
      <w:bookmarkStart w:id="395" w:name="_Toc25575"/>
      <w:bookmarkStart w:id="396" w:name="_Toc18631"/>
      <w:bookmarkStart w:id="397" w:name="_Toc31069"/>
      <w:bookmarkStart w:id="398" w:name="_Toc10507"/>
      <w:r>
        <w:rPr>
          <w:rFonts w:hint="eastAsia"/>
          <w:b w:val="0"/>
          <w:bCs w:val="0"/>
          <w:sz w:val="28"/>
          <w:szCs w:val="28"/>
          <w:highlight w:val="none"/>
        </w:rPr>
        <w:t>技术部分</w:t>
      </w:r>
      <w:bookmarkEnd w:id="389"/>
      <w:bookmarkEnd w:id="390"/>
      <w:bookmarkEnd w:id="391"/>
      <w:bookmarkEnd w:id="392"/>
      <w:bookmarkEnd w:id="393"/>
      <w:bookmarkEnd w:id="394"/>
      <w:bookmarkEnd w:id="395"/>
      <w:bookmarkEnd w:id="396"/>
      <w:bookmarkEnd w:id="397"/>
      <w:bookmarkEnd w:id="398"/>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9" w:name="_Toc23508"/>
      <w:bookmarkStart w:id="400" w:name="_Toc26769"/>
      <w:bookmarkStart w:id="401" w:name="_Toc471482371"/>
      <w:bookmarkStart w:id="402" w:name="_Toc1986"/>
      <w:bookmarkStart w:id="403" w:name="_Toc32510"/>
      <w:bookmarkStart w:id="404" w:name="_Toc21144"/>
      <w:bookmarkStart w:id="405" w:name="_Toc31521"/>
      <w:bookmarkStart w:id="406" w:name="_Toc29536"/>
      <w:bookmarkStart w:id="407" w:name="_Toc31582"/>
      <w:bookmarkStart w:id="408" w:name="_Toc9379"/>
    </w:p>
    <w:p>
      <w:pPr>
        <w:rPr>
          <w:highlight w:val="none"/>
        </w:rPr>
      </w:pPr>
    </w:p>
    <w:p>
      <w:pPr>
        <w:pStyle w:val="4"/>
        <w:jc w:val="center"/>
        <w:rPr>
          <w:b/>
          <w:highlight w:val="none"/>
        </w:rPr>
      </w:pPr>
      <w:bookmarkStart w:id="409" w:name="_Toc29703"/>
      <w:bookmarkStart w:id="410" w:name="_Toc3401"/>
      <w:bookmarkStart w:id="411" w:name="_Toc30597"/>
      <w:bookmarkStart w:id="412" w:name="_Toc32476"/>
      <w:bookmarkStart w:id="413" w:name="_Toc22366"/>
      <w:bookmarkStart w:id="414" w:name="_Toc4323"/>
      <w:bookmarkStart w:id="415" w:name="_Toc11499"/>
      <w:bookmarkStart w:id="416" w:name="_Toc31102"/>
      <w:r>
        <w:rPr>
          <w:rFonts w:hint="eastAsia"/>
          <w:b/>
          <w:highlight w:val="none"/>
        </w:rPr>
        <w:t>二、技术部分材料目录</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7" w:name="_Toc25382"/>
      <w:bookmarkStart w:id="418" w:name="_Toc7527"/>
      <w:bookmarkStart w:id="419" w:name="_Toc32624"/>
      <w:bookmarkStart w:id="420" w:name="_Toc9604"/>
      <w:bookmarkStart w:id="421" w:name="_Toc10356"/>
      <w:bookmarkStart w:id="422" w:name="_Toc19216"/>
      <w:bookmarkStart w:id="423" w:name="_Toc24439"/>
      <w:bookmarkStart w:id="424" w:name="_Toc6881"/>
      <w:bookmarkStart w:id="425" w:name="_Toc30501"/>
      <w:bookmarkStart w:id="426" w:name="_Toc461525332"/>
      <w:bookmarkStart w:id="427" w:name="_Toc6862"/>
      <w:bookmarkStart w:id="428" w:name="_Toc31867"/>
      <w:bookmarkStart w:id="429" w:name="_Toc19445"/>
      <w:r>
        <w:rPr>
          <w:rFonts w:ascii="宋体" w:hAnsi="宋体"/>
          <w:b/>
          <w:highlight w:val="none"/>
        </w:rPr>
        <w:t>1.</w:t>
      </w:r>
      <w:r>
        <w:rPr>
          <w:rFonts w:hint="eastAsia" w:ascii="宋体" w:hAnsi="宋体"/>
          <w:b/>
          <w:highlight w:val="none"/>
        </w:rPr>
        <w:t>业绩表</w:t>
      </w:r>
      <w:bookmarkEnd w:id="417"/>
      <w:bookmarkEnd w:id="418"/>
      <w:bookmarkEnd w:id="419"/>
      <w:bookmarkEnd w:id="420"/>
      <w:bookmarkEnd w:id="421"/>
      <w:bookmarkEnd w:id="422"/>
      <w:bookmarkEnd w:id="423"/>
      <w:bookmarkEnd w:id="424"/>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审计（造价咨询）</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480" w:hanging="480" w:hangingChars="200"/>
        <w:jc w:val="lef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30" w:name="_Toc12801"/>
      <w:bookmarkStart w:id="431" w:name="_Toc30796"/>
      <w:bookmarkStart w:id="432" w:name="_Toc5471"/>
      <w:bookmarkStart w:id="433" w:name="_Toc24135"/>
      <w:bookmarkStart w:id="434" w:name="_Toc14359"/>
      <w:bookmarkStart w:id="435" w:name="_Toc27864"/>
      <w:bookmarkStart w:id="436" w:name="_Toc28309"/>
      <w:bookmarkStart w:id="437" w:name="_Toc21426"/>
      <w:r>
        <w:rPr>
          <w:rFonts w:ascii="宋体" w:hAnsi="宋体"/>
          <w:b/>
          <w:highlight w:val="none"/>
        </w:rPr>
        <w:t>2.</w:t>
      </w:r>
      <w:r>
        <w:rPr>
          <w:rFonts w:hint="eastAsia" w:ascii="宋体" w:hAnsi="宋体"/>
          <w:b/>
          <w:highlight w:val="none"/>
        </w:rPr>
        <w:t>拟投入人员配置明细表</w:t>
      </w:r>
      <w:bookmarkEnd w:id="430"/>
      <w:bookmarkEnd w:id="431"/>
      <w:bookmarkEnd w:id="432"/>
      <w:bookmarkEnd w:id="433"/>
      <w:bookmarkEnd w:id="434"/>
      <w:bookmarkEnd w:id="435"/>
      <w:bookmarkEnd w:id="436"/>
      <w:bookmarkEnd w:id="437"/>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5"/>
    <w:bookmarkEnd w:id="426"/>
    <w:bookmarkEnd w:id="427"/>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keepNext w:val="0"/>
              <w:keepLines w:val="0"/>
              <w:pageBreakBefore w:val="0"/>
              <w:widowControl w:val="0"/>
              <w:kinsoku/>
              <w:wordWrap/>
              <w:overflowPunct/>
              <w:topLinePunct w:val="0"/>
              <w:autoSpaceDE/>
              <w:autoSpaceDN/>
              <w:bidi w:val="0"/>
              <w:adjustRightInd/>
              <w:snapToGrid/>
              <w:spacing w:after="0" w:line="320" w:lineRule="exact"/>
              <w:ind w:left="0" w:leftChars="0"/>
              <w:textAlignment w:val="auto"/>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或造价咨询中介机构审计</w:t>
            </w:r>
            <w:r>
              <w:rPr>
                <w:rFonts w:hint="eastAsia" w:ascii="宋体" w:hAnsi="宋体"/>
                <w:szCs w:val="21"/>
                <w:highlight w:val="none"/>
                <w:lang w:eastAsia="zh-CN"/>
              </w:rPr>
              <w:t>、</w:t>
            </w:r>
            <w:r>
              <w:rPr>
                <w:rFonts w:hint="eastAsia" w:ascii="宋体" w:hAnsi="宋体"/>
                <w:szCs w:val="21"/>
                <w:highlight w:val="none"/>
                <w:lang w:val="en-US" w:eastAsia="zh-CN"/>
              </w:rPr>
              <w:t>造价咨询工</w:t>
            </w:r>
            <w:r>
              <w:rPr>
                <w:rFonts w:hint="eastAsia" w:ascii="宋体" w:hAnsi="宋体"/>
                <w:szCs w:val="21"/>
                <w:highlight w:val="none"/>
              </w:rPr>
              <w:t>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w:t>
      </w:r>
      <w:r>
        <w:rPr>
          <w:rFonts w:hint="eastAsia" w:ascii="宋体" w:hAnsi="宋体"/>
          <w:sz w:val="24"/>
          <w:highlight w:val="none"/>
          <w:lang w:val="en-US" w:eastAsia="zh-CN"/>
        </w:rPr>
        <w:t>或造价咨询审核报告</w:t>
      </w:r>
      <w:r>
        <w:rPr>
          <w:rFonts w:hint="eastAsia" w:ascii="宋体" w:hAnsi="宋体"/>
          <w:sz w:val="24"/>
          <w:highlight w:val="none"/>
        </w:rPr>
        <w:t>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hint="eastAsia" w:ascii="宋体" w:hAnsi="宋体"/>
          <w:b/>
          <w:highlight w:val="none"/>
        </w:rPr>
      </w:pPr>
      <w:bookmarkStart w:id="438" w:name="_Toc30924"/>
      <w:bookmarkStart w:id="439" w:name="_Toc28584"/>
      <w:bookmarkStart w:id="440" w:name="_Toc5051"/>
      <w:bookmarkStart w:id="441" w:name="_Toc17903"/>
      <w:bookmarkStart w:id="442" w:name="_Toc17896"/>
      <w:bookmarkStart w:id="443" w:name="_Toc29269"/>
      <w:bookmarkStart w:id="444" w:name="_Toc21725"/>
      <w:bookmarkStart w:id="445" w:name="_Toc597"/>
      <w:r>
        <w:rPr>
          <w:rFonts w:ascii="宋体" w:hAnsi="宋体"/>
          <w:b/>
          <w:highlight w:val="none"/>
        </w:rPr>
        <w:t>4.</w:t>
      </w:r>
      <w:r>
        <w:rPr>
          <w:rFonts w:hint="eastAsia" w:ascii="宋体" w:hAnsi="宋体"/>
          <w:b/>
          <w:highlight w:val="none"/>
        </w:rPr>
        <w:t>拟投入人员中正式员工劳动合同或近3个月社保缴付证明</w:t>
      </w:r>
    </w:p>
    <w:p>
      <w:pPr>
        <w:pStyle w:val="5"/>
        <w:spacing w:line="600" w:lineRule="exact"/>
        <w:jc w:val="center"/>
        <w:rPr>
          <w:rFonts w:hint="eastAsia" w:ascii="宋体" w:hAnsi="宋体"/>
          <w:b/>
          <w:highlight w:val="none"/>
        </w:rPr>
      </w:pPr>
      <w:r>
        <w:rPr>
          <w:rFonts w:hint="eastAsia" w:ascii="宋体" w:hAnsi="宋体"/>
          <w:b/>
          <w:highlight w:val="none"/>
        </w:rPr>
        <w:t>（复印件加盖单位公章）</w:t>
      </w: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hint="eastAsia" w:ascii="宋体" w:hAnsi="宋体"/>
          <w:b/>
          <w:highlight w:val="none"/>
          <w:lang w:val="en-US" w:eastAsia="zh-CN"/>
        </w:rPr>
      </w:pPr>
    </w:p>
    <w:p>
      <w:pPr>
        <w:pStyle w:val="5"/>
        <w:spacing w:line="600" w:lineRule="exact"/>
        <w:jc w:val="center"/>
        <w:rPr>
          <w:rFonts w:ascii="宋体"/>
          <w:b/>
          <w:highlight w:val="none"/>
        </w:rPr>
      </w:pPr>
      <w:r>
        <w:rPr>
          <w:rFonts w:hint="eastAsia" w:ascii="宋体" w:hAnsi="宋体"/>
          <w:b/>
          <w:highlight w:val="none"/>
          <w:lang w:val="en-US" w:eastAsia="zh-CN"/>
        </w:rPr>
        <w:t>5.</w:t>
      </w:r>
      <w:r>
        <w:rPr>
          <w:rFonts w:hint="eastAsia" w:ascii="宋体" w:hAnsi="宋体"/>
          <w:b/>
          <w:highlight w:val="none"/>
        </w:rPr>
        <w:t>服务方案（由比选申请人自行编写）</w:t>
      </w:r>
      <w:bookmarkEnd w:id="438"/>
      <w:bookmarkEnd w:id="439"/>
      <w:bookmarkEnd w:id="440"/>
      <w:bookmarkEnd w:id="441"/>
      <w:bookmarkEnd w:id="442"/>
      <w:bookmarkEnd w:id="443"/>
      <w:bookmarkEnd w:id="444"/>
      <w:bookmarkEnd w:id="445"/>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center"/>
        <w:rPr>
          <w:rFonts w:ascii="宋体" w:cs="宋体"/>
          <w:b/>
          <w:sz w:val="28"/>
          <w:szCs w:val="28"/>
          <w:highlight w:val="none"/>
        </w:rPr>
      </w:pPr>
      <w:r>
        <w:rPr>
          <w:rFonts w:ascii="宋体" w:cs="宋体"/>
          <w:sz w:val="28"/>
          <w:szCs w:val="28"/>
          <w:highlight w:val="none"/>
        </w:rPr>
        <w:br w:type="page"/>
      </w:r>
      <w:r>
        <w:rPr>
          <w:rFonts w:hint="eastAsia" w:ascii="宋体" w:cs="宋体"/>
          <w:b/>
          <w:bCs/>
          <w:sz w:val="28"/>
          <w:szCs w:val="28"/>
          <w:highlight w:val="none"/>
          <w:lang w:val="en-US" w:eastAsia="zh-CN"/>
        </w:rPr>
        <w:t>6</w:t>
      </w:r>
      <w:r>
        <w:rPr>
          <w:rFonts w:ascii="宋体" w:hAnsi="宋体" w:cs="宋体"/>
          <w:b/>
          <w:bCs/>
          <w:sz w:val="28"/>
          <w:szCs w:val="28"/>
          <w:highlight w:val="none"/>
        </w:rPr>
        <w:t>.</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6" w:name="_Toc12434"/>
      <w:bookmarkStart w:id="447" w:name="_Toc24947"/>
      <w:bookmarkStart w:id="448" w:name="_Toc25435"/>
      <w:bookmarkStart w:id="449" w:name="_Toc26103"/>
      <w:bookmarkStart w:id="450" w:name="_Toc9617"/>
      <w:bookmarkStart w:id="451" w:name="_Toc5462"/>
      <w:bookmarkStart w:id="452" w:name="_Toc27920"/>
      <w:bookmarkStart w:id="453" w:name="_Toc15155"/>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4" w:name="_Toc27059"/>
      <w:bookmarkStart w:id="455" w:name="_Toc461525327"/>
      <w:bookmarkStart w:id="456" w:name="_Toc15573"/>
      <w:bookmarkStart w:id="457" w:name="_Toc20460"/>
      <w:bookmarkStart w:id="458" w:name="_Toc3587"/>
      <w:bookmarkStart w:id="459" w:name="_Toc3278"/>
      <w:bookmarkStart w:id="460" w:name="_Toc21287"/>
      <w:bookmarkStart w:id="461" w:name="_Toc196"/>
      <w:bookmarkStart w:id="462" w:name="_Toc10925"/>
      <w:r>
        <w:rPr>
          <w:rFonts w:hint="eastAsia"/>
          <w:b w:val="0"/>
          <w:bCs w:val="0"/>
          <w:sz w:val="28"/>
          <w:szCs w:val="28"/>
          <w:highlight w:val="none"/>
        </w:rPr>
        <w:t>商务部分</w:t>
      </w:r>
      <w:bookmarkEnd w:id="454"/>
      <w:bookmarkEnd w:id="455"/>
      <w:bookmarkEnd w:id="456"/>
      <w:bookmarkEnd w:id="457"/>
      <w:bookmarkEnd w:id="458"/>
      <w:bookmarkEnd w:id="459"/>
      <w:bookmarkEnd w:id="460"/>
      <w:bookmarkEnd w:id="461"/>
      <w:bookmarkEnd w:id="462"/>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w:t>
      </w:r>
      <w:r>
        <w:rPr>
          <w:rFonts w:hint="eastAsia" w:ascii="宋体" w:hAnsi="宋体" w:cs="宋体"/>
          <w:sz w:val="28"/>
          <w:szCs w:val="28"/>
          <w:highlight w:val="none"/>
          <w:lang w:val="en-US" w:eastAsia="zh-CN"/>
        </w:rPr>
        <w:t>公</w:t>
      </w:r>
      <w:r>
        <w:rPr>
          <w:rFonts w:hint="eastAsia" w:ascii="宋体" w:hAnsi="宋体" w:cs="宋体"/>
          <w:sz w:val="28"/>
          <w:szCs w:val="28"/>
          <w:highlight w:val="none"/>
        </w:rPr>
        <w:t>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3"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3"/>
      <w:r>
        <w:rPr>
          <w:rFonts w:hint="eastAsia" w:ascii="宋体" w:hAnsi="宋体" w:cs="宋体"/>
          <w:sz w:val="28"/>
          <w:szCs w:val="28"/>
          <w:highlight w:val="none"/>
        </w:rPr>
        <w:t>月</w:t>
      </w:r>
      <w:bookmarkStart w:id="464"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5" w:name="_Toc461525328"/>
      <w:bookmarkStart w:id="466" w:name="_Toc21835"/>
      <w:bookmarkStart w:id="467" w:name="_Toc24524"/>
      <w:bookmarkStart w:id="468" w:name="_Toc30879"/>
      <w:bookmarkStart w:id="469" w:name="_Toc17346"/>
      <w:bookmarkStart w:id="470" w:name="_Toc11015"/>
      <w:bookmarkStart w:id="471" w:name="_Toc257"/>
      <w:bookmarkStart w:id="472" w:name="_Toc5616"/>
      <w:bookmarkStart w:id="473" w:name="_Toc471482372"/>
      <w:bookmarkStart w:id="474" w:name="_Toc24408"/>
      <w:bookmarkStart w:id="475" w:name="_Toc16542"/>
      <w:bookmarkStart w:id="476" w:name="_Toc2010"/>
      <w:bookmarkStart w:id="477" w:name="_Toc7127"/>
      <w:bookmarkStart w:id="478" w:name="_Toc4901"/>
    </w:p>
    <w:p>
      <w:pPr>
        <w:rPr>
          <w:highlight w:val="none"/>
        </w:rPr>
      </w:pPr>
    </w:p>
    <w:p>
      <w:pPr>
        <w:pStyle w:val="4"/>
        <w:spacing w:before="0" w:after="0" w:line="600" w:lineRule="exact"/>
        <w:jc w:val="center"/>
        <w:rPr>
          <w:b/>
          <w:highlight w:val="none"/>
        </w:rPr>
      </w:pPr>
      <w:bookmarkStart w:id="479" w:name="_Toc25672"/>
      <w:bookmarkStart w:id="480" w:name="_Toc5984"/>
      <w:bookmarkStart w:id="481" w:name="_Toc21708"/>
      <w:bookmarkStart w:id="482" w:name="_Toc8407"/>
      <w:bookmarkStart w:id="483" w:name="_Toc32531"/>
      <w:bookmarkStart w:id="484" w:name="_Toc12276"/>
      <w:bookmarkStart w:id="485" w:name="_Toc9809"/>
      <w:r>
        <w:rPr>
          <w:rFonts w:hint="eastAsia"/>
          <w:b/>
          <w:highlight w:val="none"/>
        </w:rPr>
        <w:t>三、商务部分材料目录</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64"/>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6" w:name="_Toc1148"/>
      <w:bookmarkStart w:id="487" w:name="_Toc26609"/>
      <w:bookmarkStart w:id="488" w:name="_Toc25214"/>
      <w:bookmarkStart w:id="489" w:name="_Toc29844"/>
      <w:bookmarkStart w:id="490" w:name="_Toc6408"/>
      <w:bookmarkStart w:id="491" w:name="_Toc3569"/>
      <w:bookmarkStart w:id="492" w:name="_Toc20415"/>
      <w:bookmarkStart w:id="493" w:name="_Toc29457"/>
      <w:bookmarkStart w:id="494" w:name="_Toc461525330"/>
      <w:bookmarkStart w:id="495" w:name="_Toc17958"/>
      <w:bookmarkStart w:id="496" w:name="_Toc25896"/>
      <w:bookmarkStart w:id="497" w:name="_Toc9748"/>
      <w:r>
        <w:rPr>
          <w:highlight w:val="none"/>
        </w:rPr>
        <w:t>1.</w:t>
      </w:r>
      <w:r>
        <w:rPr>
          <w:rFonts w:hint="eastAsia"/>
          <w:highlight w:val="none"/>
        </w:rPr>
        <w:t>报价表</w:t>
      </w:r>
      <w:bookmarkEnd w:id="486"/>
      <w:bookmarkEnd w:id="487"/>
      <w:r>
        <w:rPr>
          <w:rFonts w:hint="eastAsia"/>
          <w:highlight w:val="none"/>
        </w:rPr>
        <w:t>（格式）</w:t>
      </w:r>
      <w:bookmarkEnd w:id="488"/>
      <w:bookmarkEnd w:id="489"/>
      <w:bookmarkEnd w:id="490"/>
      <w:bookmarkEnd w:id="491"/>
      <w:bookmarkEnd w:id="492"/>
      <w:bookmarkEnd w:id="493"/>
      <w:bookmarkEnd w:id="494"/>
      <w:bookmarkEnd w:id="495"/>
      <w:bookmarkEnd w:id="496"/>
      <w:bookmarkEnd w:id="497"/>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hint="eastAsia" w:ascii="宋体" w:hAnsi="宋体" w:cs="宋体"/>
                <w:szCs w:val="21"/>
                <w:highlight w:val="none"/>
              </w:rPr>
            </w:pPr>
            <w:r>
              <w:rPr>
                <w:rFonts w:hint="eastAsia" w:ascii="宋体" w:hAnsi="宋体" w:cs="宋体"/>
                <w:szCs w:val="21"/>
                <w:highlight w:val="none"/>
              </w:rPr>
              <w:t>报价</w:t>
            </w:r>
          </w:p>
          <w:p>
            <w:pPr>
              <w:jc w:val="center"/>
              <w:rPr>
                <w:rFonts w:hint="eastAsia" w:ascii="宋体" w:eastAsia="宋体" w:cs="宋体"/>
                <w:szCs w:val="21"/>
                <w:highlight w:val="none"/>
                <w:lang w:eastAsia="zh-CN"/>
              </w:rPr>
            </w:pPr>
            <w:r>
              <w:rPr>
                <w:rFonts w:hint="eastAsia" w:ascii="宋体" w:hAnsi="宋体" w:cs="宋体"/>
                <w:szCs w:val="21"/>
                <w:highlight w:val="none"/>
                <w:lang w:eastAsia="zh-CN"/>
              </w:rPr>
              <w:t>（</w:t>
            </w:r>
            <w:r>
              <w:rPr>
                <w:rFonts w:hint="eastAsia" w:ascii="宋体" w:hAnsi="宋体" w:cs="宋体"/>
                <w:szCs w:val="21"/>
                <w:highlight w:val="none"/>
                <w:lang w:val="en-US" w:eastAsia="zh-CN"/>
              </w:rPr>
              <w:t>元</w:t>
            </w:r>
            <w:r>
              <w:rPr>
                <w:rFonts w:hint="eastAsia" w:ascii="宋体" w:hAnsi="宋体" w:cs="宋体"/>
                <w:szCs w:val="21"/>
                <w:highlight w:val="none"/>
                <w:lang w:eastAsia="zh-CN"/>
              </w:rPr>
              <w:t>）</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2021年至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设计变更管理专项审计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8"/>
    <w:bookmarkEnd w:id="429"/>
    <w:bookmarkEnd w:id="446"/>
    <w:bookmarkEnd w:id="447"/>
    <w:bookmarkEnd w:id="448"/>
    <w:bookmarkEnd w:id="449"/>
    <w:bookmarkEnd w:id="450"/>
    <w:bookmarkEnd w:id="451"/>
    <w:bookmarkEnd w:id="452"/>
    <w:bookmarkEnd w:id="453"/>
    <w:p>
      <w:pPr>
        <w:pStyle w:val="3"/>
        <w:spacing w:before="0" w:after="0" w:line="600" w:lineRule="exact"/>
        <w:rPr>
          <w:rFonts w:ascii="宋体" w:cs="宋体"/>
          <w:b w:val="0"/>
          <w:kern w:val="2"/>
          <w:szCs w:val="28"/>
          <w:highlight w:val="none"/>
        </w:rPr>
      </w:pPr>
      <w:bookmarkStart w:id="498" w:name="_Toc2193"/>
      <w:bookmarkStart w:id="499" w:name="_Toc47148237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500" w:name="_Toc23786"/>
      <w:bookmarkStart w:id="501" w:name="_Toc7086"/>
      <w:bookmarkStart w:id="502" w:name="_Toc30863"/>
      <w:bookmarkStart w:id="503" w:name="_Toc3272"/>
      <w:bookmarkStart w:id="504" w:name="_Toc7168"/>
      <w:bookmarkStart w:id="505" w:name="_Toc8240"/>
      <w:bookmarkStart w:id="506" w:name="_Toc29161"/>
      <w:r>
        <w:rPr>
          <w:rFonts w:hint="eastAsia"/>
          <w:highlight w:val="none"/>
        </w:rPr>
        <w:t>第四章</w:t>
      </w:r>
      <w:r>
        <w:rPr>
          <w:highlight w:val="none"/>
        </w:rPr>
        <w:t xml:space="preserve"> </w:t>
      </w:r>
      <w:r>
        <w:rPr>
          <w:rFonts w:hint="eastAsia"/>
          <w:highlight w:val="none"/>
        </w:rPr>
        <w:t>评比办法</w:t>
      </w:r>
      <w:bookmarkEnd w:id="498"/>
      <w:bookmarkEnd w:id="499"/>
      <w:bookmarkEnd w:id="500"/>
      <w:bookmarkEnd w:id="501"/>
      <w:bookmarkEnd w:id="502"/>
      <w:bookmarkEnd w:id="503"/>
      <w:bookmarkEnd w:id="504"/>
      <w:bookmarkEnd w:id="505"/>
      <w:bookmarkEnd w:id="506"/>
    </w:p>
    <w:p>
      <w:pPr>
        <w:pStyle w:val="4"/>
        <w:spacing w:before="0" w:after="0" w:line="540" w:lineRule="exact"/>
        <w:rPr>
          <w:highlight w:val="none"/>
        </w:rPr>
      </w:pPr>
      <w:bookmarkStart w:id="507" w:name="_Toc28938"/>
      <w:bookmarkStart w:id="508" w:name="_Toc3898"/>
      <w:bookmarkStart w:id="509" w:name="_Toc7201"/>
      <w:bookmarkStart w:id="510" w:name="_Toc31412"/>
      <w:bookmarkStart w:id="511" w:name="_Toc2996"/>
      <w:bookmarkStart w:id="512" w:name="_Toc17031"/>
      <w:bookmarkStart w:id="513" w:name="_Toc10015"/>
      <w:bookmarkStart w:id="514" w:name="_Toc2433"/>
      <w:bookmarkStart w:id="515" w:name="_Toc471482374"/>
      <w:bookmarkStart w:id="516" w:name="_Toc16236"/>
      <w:bookmarkStart w:id="517" w:name="_Toc18215"/>
    </w:p>
    <w:p>
      <w:pPr>
        <w:pStyle w:val="4"/>
        <w:spacing w:before="0" w:after="0" w:line="540" w:lineRule="exact"/>
        <w:rPr>
          <w:b/>
          <w:highlight w:val="none"/>
        </w:rPr>
      </w:pPr>
      <w:bookmarkStart w:id="518" w:name="_Toc3261"/>
      <w:bookmarkStart w:id="519" w:name="_Toc25326"/>
      <w:bookmarkStart w:id="520" w:name="_Toc13092"/>
      <w:bookmarkStart w:id="521" w:name="_Toc11093"/>
      <w:bookmarkStart w:id="522" w:name="_Toc6298"/>
      <w:bookmarkStart w:id="523" w:name="_Toc24016"/>
      <w:bookmarkStart w:id="524" w:name="_Toc21341"/>
      <w:r>
        <w:rPr>
          <w:rFonts w:hint="eastAsia"/>
          <w:b/>
          <w:highlight w:val="none"/>
        </w:rPr>
        <w:t>一、综合评分办法</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5" w:name="_Toc14568"/>
      <w:bookmarkStart w:id="526" w:name="_Toc29182"/>
      <w:bookmarkStart w:id="527" w:name="_Toc5190"/>
      <w:bookmarkStart w:id="528" w:name="_Toc18543"/>
      <w:bookmarkStart w:id="529" w:name="_Toc30979"/>
      <w:bookmarkStart w:id="530" w:name="_Toc26214"/>
      <w:bookmarkStart w:id="531" w:name="_Toc32565"/>
      <w:bookmarkStart w:id="532" w:name="_Toc7740"/>
      <w:bookmarkStart w:id="533" w:name="_Toc9093"/>
      <w:bookmarkStart w:id="534" w:name="_Toc471482375"/>
      <w:bookmarkStart w:id="535" w:name="_Toc14401"/>
      <w:bookmarkStart w:id="536" w:name="_Toc15054"/>
      <w:bookmarkStart w:id="537" w:name="_Toc17260"/>
      <w:bookmarkStart w:id="538" w:name="_Toc7245"/>
      <w:bookmarkStart w:id="539" w:name="_Toc5576"/>
      <w:bookmarkStart w:id="540" w:name="_Toc29031"/>
      <w:bookmarkStart w:id="541" w:name="_Toc5579"/>
      <w:bookmarkStart w:id="542" w:name="_Toc20237"/>
      <w:r>
        <w:rPr>
          <w:rFonts w:hint="eastAsia"/>
          <w:b/>
          <w:highlight w:val="none"/>
        </w:rPr>
        <w:t>二、总分计算公式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3" w:name="_Toc10906"/>
      <w:bookmarkStart w:id="544" w:name="_Toc2727"/>
      <w:bookmarkStart w:id="545" w:name="_Toc31078"/>
      <w:bookmarkStart w:id="546" w:name="_Toc2613"/>
      <w:bookmarkStart w:id="547" w:name="_Toc23358"/>
      <w:bookmarkStart w:id="548" w:name="_Toc28207"/>
      <w:bookmarkStart w:id="549" w:name="_Toc2553"/>
      <w:bookmarkStart w:id="550" w:name="_Toc18027"/>
      <w:bookmarkStart w:id="551" w:name="_Toc15930"/>
      <w:bookmarkStart w:id="552" w:name="_Toc13406"/>
      <w:bookmarkStart w:id="553" w:name="_Toc26842"/>
      <w:bookmarkStart w:id="554" w:name="_Toc10918"/>
      <w:bookmarkStart w:id="555" w:name="_Toc9696"/>
      <w:bookmarkStart w:id="556" w:name="_Toc32296"/>
      <w:bookmarkStart w:id="557" w:name="_Toc5094"/>
      <w:bookmarkStart w:id="558" w:name="_Toc471482376"/>
      <w:bookmarkStart w:id="559" w:name="_Toc2392"/>
      <w:bookmarkStart w:id="560" w:name="_Toc25894"/>
      <w:r>
        <w:rPr>
          <w:rFonts w:hint="eastAsia"/>
          <w:b/>
          <w:highlight w:val="none"/>
        </w:rPr>
        <w:t>三、评分细则</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13"/>
        <w:spacing w:line="480" w:lineRule="exact"/>
        <w:rPr>
          <w:sz w:val="28"/>
          <w:szCs w:val="28"/>
          <w:highlight w:val="none"/>
        </w:rPr>
      </w:pPr>
      <w:bookmarkStart w:id="561" w:name="_Toc1358"/>
      <w:bookmarkStart w:id="562" w:name="_Toc15382"/>
      <w:bookmarkStart w:id="563" w:name="_Toc18752"/>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1"/>
      <w:bookmarkEnd w:id="562"/>
      <w:bookmarkEnd w:id="563"/>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设计变更管理审计或工程管理、设计管理及工程造价咨询</w:t>
            </w:r>
            <w:r>
              <w:rPr>
                <w:rFonts w:hint="eastAsia" w:ascii="宋体" w:hAnsi="宋体" w:cs="宋体"/>
                <w:sz w:val="24"/>
                <w:highlight w:val="none"/>
              </w:rPr>
              <w:t>的业绩，每个业绩</w:t>
            </w:r>
            <w:r>
              <w:rPr>
                <w:rFonts w:hint="eastAsia" w:ascii="宋体" w:hAnsi="宋体" w:cs="宋体"/>
                <w:sz w:val="24"/>
                <w:highlight w:val="none"/>
                <w:u w:val="single"/>
                <w:lang w:val="en-US" w:eastAsia="zh-CN"/>
              </w:rPr>
              <w:t xml:space="preserve"> 2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w:t>
            </w:r>
            <w:r>
              <w:rPr>
                <w:rFonts w:hint="eastAsia" w:ascii="宋体" w:hAnsi="宋体"/>
                <w:sz w:val="24"/>
                <w:highlight w:val="none"/>
                <w:lang w:val="en-US" w:eastAsia="zh-CN"/>
              </w:rPr>
              <w:t>或</w:t>
            </w:r>
            <w:r>
              <w:rPr>
                <w:rFonts w:hint="eastAsia" w:ascii="宋体" w:hAnsi="宋体"/>
                <w:sz w:val="24"/>
                <w:highlight w:val="none"/>
              </w:rPr>
              <w:t>持有注册</w:t>
            </w:r>
            <w:r>
              <w:rPr>
                <w:rFonts w:hint="eastAsia" w:ascii="宋体" w:hAnsi="宋体"/>
                <w:sz w:val="24"/>
                <w:highlight w:val="none"/>
                <w:lang w:eastAsia="zh-CN"/>
              </w:rPr>
              <w:t>造价工</w:t>
            </w:r>
            <w:r>
              <w:rPr>
                <w:rFonts w:hint="eastAsia" w:ascii="宋体" w:hAnsi="宋体"/>
                <w:sz w:val="24"/>
                <w:highlight w:val="none"/>
                <w:lang w:val="en-US" w:eastAsia="zh-CN"/>
              </w:rPr>
              <w:t>程</w:t>
            </w:r>
            <w:r>
              <w:rPr>
                <w:rFonts w:hint="eastAsia" w:ascii="宋体" w:hAnsi="宋体"/>
                <w:sz w:val="24"/>
                <w:highlight w:val="none"/>
              </w:rPr>
              <w:t>师执业证书并具有</w:t>
            </w:r>
            <w:r>
              <w:rPr>
                <w:rFonts w:ascii="宋体" w:hAnsi="宋体"/>
                <w:sz w:val="24"/>
                <w:highlight w:val="none"/>
                <w:u w:val="single"/>
              </w:rPr>
              <w:t xml:space="preserve"> 8 </w:t>
            </w:r>
            <w:r>
              <w:rPr>
                <w:rFonts w:hint="eastAsia" w:ascii="宋体" w:hAnsi="宋体"/>
                <w:sz w:val="24"/>
                <w:highlight w:val="none"/>
              </w:rPr>
              <w:t>年（含）以上</w:t>
            </w:r>
            <w:r>
              <w:rPr>
                <w:rFonts w:hint="eastAsia" w:ascii="宋体" w:hAnsi="宋体"/>
                <w:sz w:val="24"/>
                <w:highlight w:val="none"/>
                <w:lang w:val="en-US" w:eastAsia="zh-CN"/>
              </w:rPr>
              <w:t>工程造价咨询机构</w:t>
            </w:r>
            <w:r>
              <w:rPr>
                <w:rFonts w:hint="eastAsia" w:ascii="宋体" w:hAnsi="宋体"/>
                <w:sz w:val="24"/>
                <w:highlight w:val="none"/>
              </w:rPr>
              <w:t>注册</w:t>
            </w:r>
            <w:r>
              <w:rPr>
                <w:rFonts w:hint="eastAsia" w:ascii="宋体" w:hAnsi="宋体"/>
                <w:sz w:val="24"/>
                <w:highlight w:val="none"/>
                <w:lang w:val="en-US" w:eastAsia="zh-CN"/>
              </w:rPr>
              <w:t>造价工程</w:t>
            </w:r>
            <w:r>
              <w:rPr>
                <w:rFonts w:hint="eastAsia" w:ascii="宋体" w:hAnsi="宋体"/>
                <w:sz w:val="24"/>
                <w:highlight w:val="none"/>
              </w:rPr>
              <w:t>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w:t>
            </w:r>
            <w:r>
              <w:rPr>
                <w:rFonts w:hint="eastAsia" w:ascii="宋体" w:hAnsi="宋体"/>
                <w:sz w:val="24"/>
                <w:highlight w:val="none"/>
                <w:lang w:val="en-US" w:eastAsia="zh-CN"/>
              </w:rPr>
              <w:t>或</w:t>
            </w:r>
            <w:r>
              <w:rPr>
                <w:rFonts w:hint="eastAsia" w:ascii="宋体" w:hAnsi="宋体"/>
                <w:sz w:val="24"/>
                <w:highlight w:val="none"/>
              </w:rPr>
              <w:t>持有注册</w:t>
            </w:r>
            <w:r>
              <w:rPr>
                <w:rFonts w:hint="eastAsia" w:ascii="宋体" w:hAnsi="宋体"/>
                <w:sz w:val="24"/>
                <w:highlight w:val="none"/>
                <w:lang w:eastAsia="zh-CN"/>
              </w:rPr>
              <w:t>造价工</w:t>
            </w:r>
            <w:r>
              <w:rPr>
                <w:rFonts w:hint="eastAsia" w:ascii="宋体" w:hAnsi="宋体"/>
                <w:sz w:val="24"/>
                <w:highlight w:val="none"/>
                <w:lang w:val="en-US" w:eastAsia="zh-CN"/>
              </w:rPr>
              <w:t>程</w:t>
            </w:r>
            <w:r>
              <w:rPr>
                <w:rFonts w:hint="eastAsia" w:ascii="宋体" w:hAnsi="宋体"/>
                <w:sz w:val="24"/>
                <w:highlight w:val="none"/>
              </w:rPr>
              <w:t>师执业证书并具有</w:t>
            </w:r>
            <w:r>
              <w:rPr>
                <w:rFonts w:ascii="宋体" w:hAnsi="宋体"/>
                <w:sz w:val="24"/>
                <w:highlight w:val="none"/>
                <w:u w:val="single"/>
              </w:rPr>
              <w:t xml:space="preserve"> </w:t>
            </w:r>
            <w:r>
              <w:rPr>
                <w:rFonts w:hint="eastAsia" w:ascii="宋体" w:hAnsi="宋体"/>
                <w:sz w:val="24"/>
                <w:highlight w:val="none"/>
                <w:u w:val="single"/>
                <w:lang w:val="en-US" w:eastAsia="zh-CN"/>
              </w:rPr>
              <w:t>5</w:t>
            </w:r>
            <w:r>
              <w:rPr>
                <w:rFonts w:ascii="宋体" w:hAnsi="宋体"/>
                <w:sz w:val="24"/>
                <w:highlight w:val="none"/>
                <w:u w:val="single"/>
              </w:rPr>
              <w:t xml:space="preserve"> </w:t>
            </w:r>
            <w:r>
              <w:rPr>
                <w:rFonts w:hint="eastAsia" w:ascii="宋体" w:hAnsi="宋体"/>
                <w:sz w:val="24"/>
                <w:highlight w:val="none"/>
              </w:rPr>
              <w:t>年（含）以上</w:t>
            </w:r>
            <w:r>
              <w:rPr>
                <w:rFonts w:hint="eastAsia" w:ascii="宋体" w:hAnsi="宋体"/>
                <w:sz w:val="24"/>
                <w:highlight w:val="none"/>
                <w:lang w:val="en-US" w:eastAsia="zh-CN"/>
              </w:rPr>
              <w:t>工程造价咨询机构</w:t>
            </w:r>
            <w:r>
              <w:rPr>
                <w:rFonts w:hint="eastAsia" w:ascii="宋体" w:hAnsi="宋体"/>
                <w:sz w:val="24"/>
                <w:highlight w:val="none"/>
              </w:rPr>
              <w:t>注册</w:t>
            </w:r>
            <w:r>
              <w:rPr>
                <w:rFonts w:hint="eastAsia" w:ascii="宋体" w:hAnsi="宋体"/>
                <w:sz w:val="24"/>
                <w:highlight w:val="none"/>
                <w:lang w:val="en-US" w:eastAsia="zh-CN"/>
              </w:rPr>
              <w:t>造价工程</w:t>
            </w:r>
            <w:r>
              <w:rPr>
                <w:rFonts w:hint="eastAsia" w:ascii="宋体" w:hAnsi="宋体"/>
                <w:sz w:val="24"/>
                <w:highlight w:val="none"/>
              </w:rPr>
              <w:t>师执业工作经验得</w:t>
            </w:r>
            <w:r>
              <w:rPr>
                <w:rFonts w:hint="eastAsia" w:ascii="宋体" w:hAnsi="宋体"/>
                <w:sz w:val="24"/>
                <w:highlight w:val="none"/>
                <w:u w:val="single"/>
                <w:lang w:val="en-US" w:eastAsia="zh-CN"/>
              </w:rPr>
              <w:t xml:space="preserve"> 10</w:t>
            </w:r>
            <w:r>
              <w:rPr>
                <w:rFonts w:ascii="宋体" w:hAnsi="宋体"/>
                <w:sz w:val="24"/>
                <w:highlight w:val="none"/>
                <w:u w:val="single"/>
              </w:rPr>
              <w:t xml:space="preserve"> </w:t>
            </w:r>
            <w:r>
              <w:rPr>
                <w:rFonts w:hint="eastAsia" w:ascii="宋体" w:hAnsi="宋体"/>
                <w:sz w:val="24"/>
                <w:highlight w:val="none"/>
              </w:rPr>
              <w:t>分；具有3年以上工程管理</w:t>
            </w:r>
            <w:r>
              <w:rPr>
                <w:rFonts w:hint="eastAsia" w:ascii="宋体" w:hAnsi="宋体"/>
                <w:sz w:val="24"/>
                <w:highlight w:val="none"/>
                <w:lang w:eastAsia="zh-CN"/>
              </w:rPr>
              <w:t>、</w:t>
            </w:r>
            <w:r>
              <w:rPr>
                <w:rFonts w:hint="eastAsia" w:ascii="宋体" w:hAnsi="宋体"/>
                <w:sz w:val="24"/>
                <w:highlight w:val="none"/>
                <w:lang w:val="en-US" w:eastAsia="zh-CN"/>
              </w:rPr>
              <w:t>设计管理及工程造价</w:t>
            </w:r>
            <w:r>
              <w:rPr>
                <w:rFonts w:hint="eastAsia" w:ascii="宋体" w:hAnsi="宋体"/>
                <w:sz w:val="24"/>
                <w:highlight w:val="none"/>
              </w:rPr>
              <w:t>相关方面的审计</w:t>
            </w:r>
            <w:r>
              <w:rPr>
                <w:rFonts w:hint="eastAsia" w:ascii="宋体" w:hAnsi="宋体"/>
                <w:sz w:val="24"/>
                <w:highlight w:val="none"/>
                <w:lang w:val="en-US" w:eastAsia="zh-CN"/>
              </w:rPr>
              <w:t>或造价咨询</w:t>
            </w:r>
            <w:r>
              <w:rPr>
                <w:rFonts w:hint="eastAsia" w:ascii="宋体" w:hAnsi="宋体"/>
                <w:sz w:val="24"/>
                <w:highlight w:val="none"/>
              </w:rPr>
              <w:t>经验得</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5 </w:t>
            </w:r>
            <w:r>
              <w:rPr>
                <w:rFonts w:hint="eastAsia" w:ascii="宋体" w:hAnsi="宋体"/>
                <w:sz w:val="24"/>
                <w:highlight w:val="none"/>
              </w:rPr>
              <w:t>分；其他为</w:t>
            </w:r>
            <w:r>
              <w:rPr>
                <w:rFonts w:hint="eastAsia" w:ascii="宋体" w:hAnsi="宋体"/>
                <w:sz w:val="24"/>
                <w:highlight w:val="none"/>
                <w:u w:val="single"/>
                <w:lang w:val="en-US" w:eastAsia="zh-CN"/>
              </w:rPr>
              <w:t xml:space="preserve"> </w:t>
            </w:r>
            <w:r>
              <w:rPr>
                <w:rFonts w:ascii="宋体" w:hAnsi="宋体"/>
                <w:sz w:val="24"/>
                <w:highlight w:val="none"/>
                <w:u w:val="single"/>
              </w:rPr>
              <w:t>0</w:t>
            </w:r>
            <w:r>
              <w:rPr>
                <w:rFonts w:hint="eastAsia" w:ascii="宋体" w:hAnsi="宋体"/>
                <w:sz w:val="24"/>
                <w:highlight w:val="none"/>
                <w:u w:val="single"/>
                <w:lang w:val="en-US" w:eastAsia="zh-CN"/>
              </w:rPr>
              <w:t xml:space="preserve"> </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w:t>
            </w:r>
            <w:r>
              <w:rPr>
                <w:rFonts w:hint="eastAsia" w:ascii="宋体" w:hAnsi="宋体" w:cs="宋体"/>
                <w:sz w:val="24"/>
                <w:highlight w:val="none"/>
                <w:lang w:val="en-US" w:eastAsia="zh-CN"/>
              </w:rPr>
              <w:t>或造价咨询审核报告</w:t>
            </w:r>
            <w:r>
              <w:rPr>
                <w:rFonts w:hint="eastAsia" w:ascii="宋体" w:hAnsi="宋体" w:cs="宋体"/>
                <w:sz w:val="24"/>
                <w:highlight w:val="none"/>
              </w:rPr>
              <w:t>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hint="eastAsia" w:ascii="宋体" w:hAnsi="宋体" w:cs="宋体"/>
                <w:sz w:val="24"/>
                <w:highlight w:val="none"/>
              </w:rPr>
              <w:t>企业</w:t>
            </w:r>
            <w:r>
              <w:rPr>
                <w:rFonts w:hint="eastAsia" w:ascii="宋体" w:hAnsi="宋体" w:cs="宋体"/>
                <w:sz w:val="24"/>
                <w:highlight w:val="none"/>
                <w:lang w:val="en-US" w:eastAsia="zh-CN"/>
              </w:rPr>
              <w:t>设计变更管理审计或设计变更造价咨询</w:t>
            </w:r>
            <w:r>
              <w:rPr>
                <w:rFonts w:hint="eastAsia" w:ascii="宋体" w:hAnsi="宋体" w:cs="宋体"/>
                <w:sz w:val="24"/>
                <w:highlight w:val="none"/>
              </w:rPr>
              <w:t>的业绩</w:t>
            </w:r>
            <w:r>
              <w:rPr>
                <w:rFonts w:hint="eastAsia" w:ascii="宋体" w:hAnsi="宋体" w:cs="宋体"/>
                <w:sz w:val="24"/>
                <w:highlight w:val="none"/>
                <w:lang w:eastAsia="zh-CN"/>
              </w:rPr>
              <w:t>）</w:t>
            </w:r>
            <w:r>
              <w:rPr>
                <w:rFonts w:hint="eastAsia" w:ascii="宋体" w:hAnsi="宋体" w:cs="宋体"/>
                <w:sz w:val="24"/>
                <w:highlight w:val="none"/>
              </w:rPr>
              <w:t>，每个业绩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u w:val="single"/>
                <w:lang w:val="en-US" w:eastAsia="zh-CN"/>
              </w:rPr>
              <w:t xml:space="preserve"> 7 </w:t>
            </w:r>
            <w:r>
              <w:rPr>
                <w:rFonts w:hint="eastAsia" w:ascii="宋体" w:hAnsi="宋体" w:cs="宋体"/>
                <w:sz w:val="24"/>
                <w:highlight w:val="none"/>
              </w:rPr>
              <w:t>分，</w:t>
            </w:r>
            <w:r>
              <w:rPr>
                <w:rFonts w:hint="eastAsia" w:ascii="宋体" w:hAnsi="宋体" w:cs="宋体"/>
                <w:sz w:val="24"/>
                <w:highlight w:val="none"/>
                <w:lang w:val="en-US" w:eastAsia="zh-CN"/>
              </w:rPr>
              <w:t>成员具有2年以上工程管理</w:t>
            </w:r>
            <w:r>
              <w:rPr>
                <w:rFonts w:hint="eastAsia" w:ascii="宋体" w:hAnsi="宋体"/>
                <w:sz w:val="24"/>
                <w:highlight w:val="none"/>
                <w:lang w:eastAsia="zh-CN"/>
              </w:rPr>
              <w:t>、</w:t>
            </w:r>
            <w:r>
              <w:rPr>
                <w:rFonts w:hint="eastAsia" w:ascii="宋体" w:hAnsi="宋体"/>
                <w:sz w:val="24"/>
                <w:highlight w:val="none"/>
                <w:lang w:val="en-US" w:eastAsia="zh-CN"/>
              </w:rPr>
              <w:t>设计管理及工程造价</w:t>
            </w:r>
            <w:r>
              <w:rPr>
                <w:rFonts w:hint="eastAsia" w:ascii="宋体" w:hAnsi="宋体" w:cs="宋体"/>
                <w:sz w:val="24"/>
                <w:highlight w:val="none"/>
                <w:lang w:val="en-US" w:eastAsia="zh-CN"/>
              </w:rPr>
              <w:t>相关方面的审计经验或造价咨询经验得</w:t>
            </w:r>
            <w:r>
              <w:rPr>
                <w:rFonts w:hint="eastAsia" w:ascii="宋体" w:hAnsi="宋体" w:cs="宋体"/>
                <w:sz w:val="24"/>
                <w:highlight w:val="none"/>
                <w:u w:val="single"/>
                <w:lang w:val="en-US" w:eastAsia="zh-CN"/>
              </w:rPr>
              <w:t xml:space="preserve"> 3 </w:t>
            </w:r>
            <w:r>
              <w:rPr>
                <w:rFonts w:hint="eastAsia" w:ascii="宋体" w:hAnsi="宋体" w:cs="宋体"/>
                <w:sz w:val="24"/>
                <w:highlight w:val="none"/>
                <w:lang w:val="en-US" w:eastAsia="zh-CN"/>
              </w:rPr>
              <w:t>分，</w:t>
            </w:r>
            <w:r>
              <w:rPr>
                <w:rFonts w:hint="eastAsia" w:ascii="宋体" w:hAnsi="宋体" w:cs="宋体"/>
                <w:sz w:val="24"/>
                <w:highlight w:val="none"/>
              </w:rPr>
              <w:t>其他为</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0</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4" w:name="_Toc21685"/>
      <w:bookmarkStart w:id="565" w:name="_Toc19365"/>
      <w:bookmarkStart w:id="566" w:name="_Toc24296"/>
      <w:bookmarkStart w:id="567" w:name="_Toc22367"/>
      <w:bookmarkStart w:id="568" w:name="_Toc19395"/>
      <w:bookmarkStart w:id="569" w:name="_Toc32310"/>
      <w:bookmarkStart w:id="570" w:name="_Toc10183"/>
      <w:bookmarkStart w:id="571" w:name="_Toc15663"/>
      <w:bookmarkStart w:id="572" w:name="_Toc27525"/>
      <w:bookmarkStart w:id="573" w:name="_Toc14432"/>
      <w:bookmarkStart w:id="574" w:name="_Toc27375"/>
      <w:bookmarkStart w:id="575" w:name="_Toc28185"/>
      <w:bookmarkStart w:id="576" w:name="_Toc471482377"/>
      <w:bookmarkStart w:id="577" w:name="_Toc13854"/>
      <w:bookmarkStart w:id="578" w:name="_Toc32657"/>
      <w:bookmarkStart w:id="579" w:name="_Toc7198"/>
      <w:bookmarkStart w:id="580" w:name="_Toc17415"/>
      <w:bookmarkStart w:id="581" w:name="_Toc19593"/>
      <w:r>
        <w:rPr>
          <w:rFonts w:hint="eastAsia" w:ascii="宋体" w:hAnsi="宋体" w:cs="仿宋"/>
          <w:szCs w:val="28"/>
          <w:highlight w:val="none"/>
        </w:rPr>
        <w:t>四、中选标准</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2" w:name="_Toc20298"/>
      <w:bookmarkStart w:id="583" w:name="_Toc1144"/>
      <w:bookmarkStart w:id="584" w:name="_Toc18668"/>
      <w:bookmarkStart w:id="585" w:name="_Toc14566"/>
      <w:bookmarkStart w:id="586" w:name="_Toc30897"/>
      <w:bookmarkStart w:id="587" w:name="_Toc328"/>
      <w:bookmarkStart w:id="588" w:name="_Toc26409"/>
      <w:bookmarkStart w:id="589" w:name="_Toc100643475"/>
      <w:bookmarkStart w:id="590" w:name="_Toc26446"/>
      <w:bookmarkStart w:id="591" w:name="_Toc9597"/>
      <w:bookmarkStart w:id="592" w:name="_Toc31681"/>
      <w:bookmarkStart w:id="593" w:name="_Toc6337"/>
      <w:bookmarkStart w:id="594" w:name="_Toc16754"/>
      <w:bookmarkStart w:id="595" w:name="_Toc26741"/>
      <w:bookmarkStart w:id="596" w:name="_Toc12695"/>
      <w:bookmarkStart w:id="597" w:name="_Toc14659"/>
      <w:bookmarkStart w:id="598" w:name="_Toc492478835"/>
      <w:bookmarkStart w:id="599" w:name="_Toc13941"/>
      <w:bookmarkStart w:id="600" w:name="_Toc8402"/>
      <w:bookmarkStart w:id="601" w:name="_Toc25061"/>
      <w:bookmarkStart w:id="602" w:name="_Toc26468"/>
      <w:bookmarkStart w:id="603" w:name="_Toc15858"/>
      <w:bookmarkStart w:id="604" w:name="_Toc5010"/>
      <w:bookmarkStart w:id="605" w:name="_Toc28135"/>
      <w:bookmarkStart w:id="606" w:name="_Toc6454"/>
      <w:bookmarkStart w:id="607" w:name="_Toc28535"/>
      <w:bookmarkStart w:id="608" w:name="_Toc12314"/>
      <w:bookmarkStart w:id="609" w:name="_Toc21321"/>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10"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10"/>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民法典》及其他相关法律法规，以及南宁轨道地产集团有限责任公司设计变更、现场签证管理等制度、流程开展工作，对南宁轨道地产集团有限责任公司2021年至2022年设计变更管理情况作出客观公正、实事求是的评价，出具南宁轨道地产集团有限责任公司2021年至2022年设计变更管理专项审计报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审核报告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及管理建议书，并经南宁轨道交通集团有限责任公司审批通过。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1.设计变更相关内部控制制度的建立情况，是否健全、完备，是否满足控制要求且满足公司业务需要；</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2.设计变更事项的审议、会签、审批、决策情况，关注设计变更的真实性、必要性，是否存在先施工后办理设计变更的情形，是否存在已经实施完成变更但未办理设计变更手续的情形，是否符合流程审批规定；</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3.设计变更事项的实施情况，关注设计变更实施是否及时；</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4.设计变更事项的完工后跟踪反馈、台账日常管理情况，设计变更资料管理、归档情况；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5.设计变更产生的原因剖析，是否真实、合理，依据是否客观、充分；6.设计变更事项的完整性；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7.设计变更事项涉及的工程量增加准确性，关注设计变更对工程造价和建设进度的影响，是否存在工程量只增不减从而提高工程造价的风险；</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8.设计变更事项涉及的动态成本统计分析工作情况，关注设计变更涉及的成本估算是否合理、结算及时性，对动态成本影响及目标成本控制；</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9.关注由于预算或概算阶段设计的不完整或不合理，在项目实施过程中进行设计变更，从而使工程合同结算超出原合同，从而影响轨道地产公司项目成本管制水平的情况，分析产生的原因；</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10.关注是否存在由于设计服务供应商履行设计合同不力从而进行设计变更，导致</w:t>
      </w:r>
      <w:r>
        <w:rPr>
          <w:rFonts w:hint="eastAsia" w:ascii="仿宋" w:hAnsi="仿宋" w:eastAsia="仿宋" w:cs="仿宋"/>
          <w:sz w:val="28"/>
          <w:szCs w:val="28"/>
          <w:highlight w:val="none"/>
        </w:rPr>
        <w:t>南宁轨道地产集团有限责任公司</w:t>
      </w:r>
      <w:r>
        <w:rPr>
          <w:rFonts w:hint="eastAsia" w:ascii="仿宋" w:hAnsi="仿宋" w:eastAsia="仿宋" w:cs="仿宋"/>
          <w:b w:val="0"/>
          <w:bCs w:val="0"/>
          <w:sz w:val="28"/>
          <w:szCs w:val="28"/>
          <w:highlight w:val="none"/>
          <w:lang w:val="en-US" w:eastAsia="zh-CN"/>
        </w:rPr>
        <w:t>的项目成本增加，而</w:t>
      </w:r>
      <w:r>
        <w:rPr>
          <w:rFonts w:hint="eastAsia" w:ascii="仿宋" w:hAnsi="仿宋" w:eastAsia="仿宋" w:cs="仿宋"/>
          <w:sz w:val="28"/>
          <w:szCs w:val="28"/>
          <w:highlight w:val="none"/>
        </w:rPr>
        <w:t>南宁轨道地产集团有限责任公司</w:t>
      </w:r>
      <w:r>
        <w:rPr>
          <w:rFonts w:hint="eastAsia" w:ascii="仿宋" w:hAnsi="仿宋" w:eastAsia="仿宋" w:cs="仿宋"/>
          <w:b w:val="0"/>
          <w:bCs w:val="0"/>
          <w:sz w:val="28"/>
          <w:szCs w:val="28"/>
          <w:highlight w:val="none"/>
          <w:lang w:val="en-US" w:eastAsia="zh-CN"/>
        </w:rPr>
        <w:t>不追究设计服务供应商合同责任的情况；相关设计合同对上述情况是否在合同中对设计服务供应商有相应的合同责任约束；</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11.关注设计变更是否有舞弊的发生；</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12.关注设计服务采购环节中，是否存在以低价中标，最终通过设计变更提高设计合同的结算价，从而出现“低中高结”的不合理情况，分析产生的原因；</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13.以往审计发现问题的整改情况；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14.其他需要审计的内容。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sz w:val="28"/>
          <w:szCs w:val="28"/>
          <w:highlight w:val="none"/>
          <w:lang w:val="en-US" w:eastAsia="zh-CN"/>
        </w:rPr>
        <w:t>南宁轨道地产集团有限责任公司设计变更管理情况的合法合规性、有效性。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2021年1月至2022年12月，必要时追溯到相关年度或延伸审计有关单位（部门）。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1715C"/>
    <w:multiLevelType w:val="singleLevel"/>
    <w:tmpl w:val="8B31715C"/>
    <w:lvl w:ilvl="0" w:tentative="0">
      <w:start w:val="1"/>
      <w:numFmt w:val="chineseCounting"/>
      <w:suff w:val="nothing"/>
      <w:lvlText w:val="%1、"/>
      <w:lvlJc w:val="left"/>
      <w:rPr>
        <w:rFonts w:hint="eastAsia" w:cs="Times New Roman"/>
      </w:rPr>
    </w:lvl>
  </w:abstractNum>
  <w:abstractNum w:abstractNumId="1">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2">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k1ZmQ5YjUyMTcwMWY2MGIxMGU3MjRkMmM2NTc0ZTQ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1616D37"/>
    <w:rsid w:val="01EE1B6F"/>
    <w:rsid w:val="0222795D"/>
    <w:rsid w:val="0273086B"/>
    <w:rsid w:val="02B33080"/>
    <w:rsid w:val="03516C2A"/>
    <w:rsid w:val="03985C7D"/>
    <w:rsid w:val="039A405D"/>
    <w:rsid w:val="03D72DE7"/>
    <w:rsid w:val="04B31573"/>
    <w:rsid w:val="04CA1B51"/>
    <w:rsid w:val="04EC18AD"/>
    <w:rsid w:val="04F460A8"/>
    <w:rsid w:val="05241B93"/>
    <w:rsid w:val="057712E0"/>
    <w:rsid w:val="0659602B"/>
    <w:rsid w:val="068124F2"/>
    <w:rsid w:val="07AB246B"/>
    <w:rsid w:val="07AE749C"/>
    <w:rsid w:val="07B24321"/>
    <w:rsid w:val="07DB1F40"/>
    <w:rsid w:val="080028EE"/>
    <w:rsid w:val="08D74FC5"/>
    <w:rsid w:val="08FD0388"/>
    <w:rsid w:val="09630D8D"/>
    <w:rsid w:val="09C71513"/>
    <w:rsid w:val="09D300D1"/>
    <w:rsid w:val="0A4C3E0F"/>
    <w:rsid w:val="0A8F02C9"/>
    <w:rsid w:val="0B2B31B8"/>
    <w:rsid w:val="0C094F89"/>
    <w:rsid w:val="0C145AEF"/>
    <w:rsid w:val="0C30025C"/>
    <w:rsid w:val="0D7B6C02"/>
    <w:rsid w:val="0E9028D7"/>
    <w:rsid w:val="0EA23AC8"/>
    <w:rsid w:val="0EDB787F"/>
    <w:rsid w:val="0F4B6B1D"/>
    <w:rsid w:val="0FA61452"/>
    <w:rsid w:val="0FB466B0"/>
    <w:rsid w:val="11050E51"/>
    <w:rsid w:val="116A622C"/>
    <w:rsid w:val="117B1504"/>
    <w:rsid w:val="118D1C38"/>
    <w:rsid w:val="11F37030"/>
    <w:rsid w:val="12062478"/>
    <w:rsid w:val="124962F0"/>
    <w:rsid w:val="1250401C"/>
    <w:rsid w:val="132035A6"/>
    <w:rsid w:val="13270AAD"/>
    <w:rsid w:val="13527FA6"/>
    <w:rsid w:val="13602F23"/>
    <w:rsid w:val="140E6614"/>
    <w:rsid w:val="14B552DF"/>
    <w:rsid w:val="152F2F86"/>
    <w:rsid w:val="156B5E0B"/>
    <w:rsid w:val="15B80938"/>
    <w:rsid w:val="15ED0A50"/>
    <w:rsid w:val="16C931CB"/>
    <w:rsid w:val="16CB6554"/>
    <w:rsid w:val="16E24139"/>
    <w:rsid w:val="170F0C33"/>
    <w:rsid w:val="17497BA2"/>
    <w:rsid w:val="175427B6"/>
    <w:rsid w:val="180B15DA"/>
    <w:rsid w:val="181D3C99"/>
    <w:rsid w:val="199B70C1"/>
    <w:rsid w:val="1A0E7C8C"/>
    <w:rsid w:val="1A6E1B33"/>
    <w:rsid w:val="1A7600F5"/>
    <w:rsid w:val="1ACC2C07"/>
    <w:rsid w:val="1B190BC1"/>
    <w:rsid w:val="1B50328A"/>
    <w:rsid w:val="1B5B21F6"/>
    <w:rsid w:val="1B896C48"/>
    <w:rsid w:val="1BBE19E0"/>
    <w:rsid w:val="1C3B44E8"/>
    <w:rsid w:val="1C592A6B"/>
    <w:rsid w:val="1CEB383B"/>
    <w:rsid w:val="1D157D7A"/>
    <w:rsid w:val="1D78034B"/>
    <w:rsid w:val="1DB40E63"/>
    <w:rsid w:val="1DC01ED4"/>
    <w:rsid w:val="1E5148EB"/>
    <w:rsid w:val="1E841815"/>
    <w:rsid w:val="1EFD752B"/>
    <w:rsid w:val="1F1A0C3B"/>
    <w:rsid w:val="1F2C732E"/>
    <w:rsid w:val="1F5972B0"/>
    <w:rsid w:val="1FAA075C"/>
    <w:rsid w:val="208F6258"/>
    <w:rsid w:val="20EA76DB"/>
    <w:rsid w:val="21964DFD"/>
    <w:rsid w:val="21AB2385"/>
    <w:rsid w:val="225F3F0E"/>
    <w:rsid w:val="231433E7"/>
    <w:rsid w:val="239A6560"/>
    <w:rsid w:val="23F308EE"/>
    <w:rsid w:val="245360EB"/>
    <w:rsid w:val="24670C37"/>
    <w:rsid w:val="247513A1"/>
    <w:rsid w:val="24FC7F7D"/>
    <w:rsid w:val="2524289E"/>
    <w:rsid w:val="25344C05"/>
    <w:rsid w:val="271F1233"/>
    <w:rsid w:val="27394EB2"/>
    <w:rsid w:val="27B02A42"/>
    <w:rsid w:val="281E70EA"/>
    <w:rsid w:val="28496DC7"/>
    <w:rsid w:val="29037CEC"/>
    <w:rsid w:val="290C056A"/>
    <w:rsid w:val="290F13E3"/>
    <w:rsid w:val="29732D2A"/>
    <w:rsid w:val="297629F2"/>
    <w:rsid w:val="2B0A25F1"/>
    <w:rsid w:val="2B20374D"/>
    <w:rsid w:val="2B48769B"/>
    <w:rsid w:val="2BDC13E8"/>
    <w:rsid w:val="2C2F6C5B"/>
    <w:rsid w:val="2CD425E5"/>
    <w:rsid w:val="2D4F0F38"/>
    <w:rsid w:val="2D6476F3"/>
    <w:rsid w:val="2DC74CB6"/>
    <w:rsid w:val="2E5A18B6"/>
    <w:rsid w:val="2E9928E0"/>
    <w:rsid w:val="2EAD63A8"/>
    <w:rsid w:val="2EB95886"/>
    <w:rsid w:val="2EBE6008"/>
    <w:rsid w:val="2F1E5FE3"/>
    <w:rsid w:val="2F4803A8"/>
    <w:rsid w:val="2F984694"/>
    <w:rsid w:val="2F9E1B21"/>
    <w:rsid w:val="2FD7696A"/>
    <w:rsid w:val="301557AF"/>
    <w:rsid w:val="30A82D39"/>
    <w:rsid w:val="31110C1F"/>
    <w:rsid w:val="314B710A"/>
    <w:rsid w:val="31731ED1"/>
    <w:rsid w:val="32B72893"/>
    <w:rsid w:val="32D71C99"/>
    <w:rsid w:val="32FC5E04"/>
    <w:rsid w:val="3309576B"/>
    <w:rsid w:val="337B6D0E"/>
    <w:rsid w:val="33856CD3"/>
    <w:rsid w:val="33A8297E"/>
    <w:rsid w:val="34820AFC"/>
    <w:rsid w:val="34BA2147"/>
    <w:rsid w:val="36306832"/>
    <w:rsid w:val="36483135"/>
    <w:rsid w:val="373C7CDF"/>
    <w:rsid w:val="37BE7040"/>
    <w:rsid w:val="381A3ED0"/>
    <w:rsid w:val="389F5823"/>
    <w:rsid w:val="38EC0857"/>
    <w:rsid w:val="39477140"/>
    <w:rsid w:val="39924D42"/>
    <w:rsid w:val="39A4566F"/>
    <w:rsid w:val="39AA33F1"/>
    <w:rsid w:val="39F57E1C"/>
    <w:rsid w:val="3A0A710D"/>
    <w:rsid w:val="3A3B6F95"/>
    <w:rsid w:val="3A7114AF"/>
    <w:rsid w:val="3AB94700"/>
    <w:rsid w:val="3B5B6D71"/>
    <w:rsid w:val="3B900DC8"/>
    <w:rsid w:val="3B981772"/>
    <w:rsid w:val="3BCD4780"/>
    <w:rsid w:val="3BF44A81"/>
    <w:rsid w:val="3C421154"/>
    <w:rsid w:val="3CED4FAC"/>
    <w:rsid w:val="3D23141F"/>
    <w:rsid w:val="3D593E8C"/>
    <w:rsid w:val="3DAF1262"/>
    <w:rsid w:val="3DED2612"/>
    <w:rsid w:val="3E611883"/>
    <w:rsid w:val="3E9E2E01"/>
    <w:rsid w:val="3F5868E2"/>
    <w:rsid w:val="3F842C17"/>
    <w:rsid w:val="3FCE3382"/>
    <w:rsid w:val="3FFC7C99"/>
    <w:rsid w:val="4039719F"/>
    <w:rsid w:val="40FE18D7"/>
    <w:rsid w:val="41071E4D"/>
    <w:rsid w:val="421678CB"/>
    <w:rsid w:val="42834427"/>
    <w:rsid w:val="42A61B46"/>
    <w:rsid w:val="42B53FDE"/>
    <w:rsid w:val="42DB2BF2"/>
    <w:rsid w:val="430B100B"/>
    <w:rsid w:val="43312BF2"/>
    <w:rsid w:val="43D52B21"/>
    <w:rsid w:val="440C0C76"/>
    <w:rsid w:val="44976E5A"/>
    <w:rsid w:val="45AB1523"/>
    <w:rsid w:val="45F50E41"/>
    <w:rsid w:val="46164319"/>
    <w:rsid w:val="47472A18"/>
    <w:rsid w:val="475B6207"/>
    <w:rsid w:val="476B0FBA"/>
    <w:rsid w:val="478E5F3C"/>
    <w:rsid w:val="480E2214"/>
    <w:rsid w:val="48B81E35"/>
    <w:rsid w:val="49444BDC"/>
    <w:rsid w:val="494F3FF7"/>
    <w:rsid w:val="4A43105C"/>
    <w:rsid w:val="4CF622BD"/>
    <w:rsid w:val="4DA44ADF"/>
    <w:rsid w:val="4DC2042B"/>
    <w:rsid w:val="4DDE719A"/>
    <w:rsid w:val="4DFB2E3E"/>
    <w:rsid w:val="4EA10878"/>
    <w:rsid w:val="4EBC2235"/>
    <w:rsid w:val="4F4B516F"/>
    <w:rsid w:val="4F755271"/>
    <w:rsid w:val="4FBE7BEA"/>
    <w:rsid w:val="5029647A"/>
    <w:rsid w:val="50D80FF9"/>
    <w:rsid w:val="511F0CA5"/>
    <w:rsid w:val="51265F87"/>
    <w:rsid w:val="51332F6A"/>
    <w:rsid w:val="514D1E63"/>
    <w:rsid w:val="51596929"/>
    <w:rsid w:val="51BC507B"/>
    <w:rsid w:val="51E56F20"/>
    <w:rsid w:val="522F631D"/>
    <w:rsid w:val="52631353"/>
    <w:rsid w:val="529F60A4"/>
    <w:rsid w:val="52AF37C9"/>
    <w:rsid w:val="53942531"/>
    <w:rsid w:val="54B924DC"/>
    <w:rsid w:val="54FA7809"/>
    <w:rsid w:val="555B3BB0"/>
    <w:rsid w:val="55B93CA2"/>
    <w:rsid w:val="55F42094"/>
    <w:rsid w:val="58192794"/>
    <w:rsid w:val="58985265"/>
    <w:rsid w:val="58E66F69"/>
    <w:rsid w:val="59312043"/>
    <w:rsid w:val="59505D9C"/>
    <w:rsid w:val="59745E92"/>
    <w:rsid w:val="597C7653"/>
    <w:rsid w:val="59893102"/>
    <w:rsid w:val="5990205B"/>
    <w:rsid w:val="59C65937"/>
    <w:rsid w:val="59E648CF"/>
    <w:rsid w:val="5B2E163E"/>
    <w:rsid w:val="5B4F2CD5"/>
    <w:rsid w:val="5B6414CE"/>
    <w:rsid w:val="5BC32BEB"/>
    <w:rsid w:val="5BE12C55"/>
    <w:rsid w:val="5BFC3D1F"/>
    <w:rsid w:val="5C603089"/>
    <w:rsid w:val="5CA443F9"/>
    <w:rsid w:val="5CA65081"/>
    <w:rsid w:val="5CBE4A16"/>
    <w:rsid w:val="5DCB066D"/>
    <w:rsid w:val="5E52066F"/>
    <w:rsid w:val="5F323236"/>
    <w:rsid w:val="5F8B10A0"/>
    <w:rsid w:val="5F8F47E3"/>
    <w:rsid w:val="600052D9"/>
    <w:rsid w:val="60D32977"/>
    <w:rsid w:val="613715C7"/>
    <w:rsid w:val="626266A7"/>
    <w:rsid w:val="626A3A22"/>
    <w:rsid w:val="62E32DA4"/>
    <w:rsid w:val="634D5CB6"/>
    <w:rsid w:val="635A58FE"/>
    <w:rsid w:val="6383072C"/>
    <w:rsid w:val="63E00724"/>
    <w:rsid w:val="6478698A"/>
    <w:rsid w:val="650B1736"/>
    <w:rsid w:val="652D2AF4"/>
    <w:rsid w:val="654710AE"/>
    <w:rsid w:val="65A268A9"/>
    <w:rsid w:val="65B00BC4"/>
    <w:rsid w:val="666B402A"/>
    <w:rsid w:val="66C343CE"/>
    <w:rsid w:val="66CA20DF"/>
    <w:rsid w:val="67341C19"/>
    <w:rsid w:val="673955E1"/>
    <w:rsid w:val="67440CAB"/>
    <w:rsid w:val="678A5E57"/>
    <w:rsid w:val="67A552C8"/>
    <w:rsid w:val="67B0300C"/>
    <w:rsid w:val="68122C54"/>
    <w:rsid w:val="685C2695"/>
    <w:rsid w:val="68B14C68"/>
    <w:rsid w:val="68C61866"/>
    <w:rsid w:val="69456E74"/>
    <w:rsid w:val="6AA33BCA"/>
    <w:rsid w:val="6AC1218A"/>
    <w:rsid w:val="6B0D446E"/>
    <w:rsid w:val="6B67725F"/>
    <w:rsid w:val="6BAB4E1D"/>
    <w:rsid w:val="6BE712D3"/>
    <w:rsid w:val="6C192926"/>
    <w:rsid w:val="6C321222"/>
    <w:rsid w:val="6C3F217F"/>
    <w:rsid w:val="6D575136"/>
    <w:rsid w:val="6D9E1B77"/>
    <w:rsid w:val="6E1D48F0"/>
    <w:rsid w:val="6E7A1830"/>
    <w:rsid w:val="6EB54C74"/>
    <w:rsid w:val="6EBF3327"/>
    <w:rsid w:val="6ECE3EA8"/>
    <w:rsid w:val="6F0C3B6A"/>
    <w:rsid w:val="700B0DBE"/>
    <w:rsid w:val="71BD2C85"/>
    <w:rsid w:val="71C02CF2"/>
    <w:rsid w:val="7257796A"/>
    <w:rsid w:val="72AD05F6"/>
    <w:rsid w:val="72DE5608"/>
    <w:rsid w:val="72F86392"/>
    <w:rsid w:val="73B94EA3"/>
    <w:rsid w:val="754014EE"/>
    <w:rsid w:val="75567A5E"/>
    <w:rsid w:val="759743BB"/>
    <w:rsid w:val="7625040A"/>
    <w:rsid w:val="762E0625"/>
    <w:rsid w:val="76E55C60"/>
    <w:rsid w:val="773D74D7"/>
    <w:rsid w:val="77C9622C"/>
    <w:rsid w:val="78E8647F"/>
    <w:rsid w:val="79EE5838"/>
    <w:rsid w:val="7A2C6801"/>
    <w:rsid w:val="7A2E4B0E"/>
    <w:rsid w:val="7B0A27FF"/>
    <w:rsid w:val="7B6859D1"/>
    <w:rsid w:val="7B8F4CDB"/>
    <w:rsid w:val="7BAA4093"/>
    <w:rsid w:val="7BD101DF"/>
    <w:rsid w:val="7C043694"/>
    <w:rsid w:val="7CA32F91"/>
    <w:rsid w:val="7CC22809"/>
    <w:rsid w:val="7CC26BCF"/>
    <w:rsid w:val="7D844C59"/>
    <w:rsid w:val="7DA84E33"/>
    <w:rsid w:val="7DFC33EB"/>
    <w:rsid w:val="7E424D76"/>
    <w:rsid w:val="7E673DCD"/>
    <w:rsid w:val="7EAA02A2"/>
    <w:rsid w:val="7F69674F"/>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50</Pages>
  <Words>17405</Words>
  <Characters>18084</Characters>
  <Lines>0</Lines>
  <Paragraphs>0</Paragraphs>
  <TotalTime>12</TotalTime>
  <ScaleCrop>false</ScaleCrop>
  <LinksUpToDate>false</LinksUpToDate>
  <CharactersWithSpaces>18835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噗呲噗呲^_^</cp:lastModifiedBy>
  <cp:lastPrinted>2021-11-12T08:32:00Z</cp:lastPrinted>
  <dcterms:modified xsi:type="dcterms:W3CDTF">2023-04-18T01:29:14Z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C9108F0D9F024D3DB593E2CECFE48426</vt:lpwstr>
  </property>
</Properties>
</file>