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after="120" w:line="600" w:lineRule="exact"/>
        <w:jc w:val="center"/>
        <w:rPr>
          <w:rFonts w:eastAsia="黑体"/>
          <w:b/>
          <w:bCs/>
          <w:spacing w:val="-20"/>
          <w:sz w:val="28"/>
          <w:szCs w:val="28"/>
        </w:rPr>
      </w:pPr>
      <w:r>
        <w:rPr>
          <w:rFonts w:hint="eastAsia" w:ascii="黑体" w:eastAsia="黑体"/>
          <w:sz w:val="44"/>
          <w:szCs w:val="48"/>
        </w:rPr>
        <w:t>南宁慧泊停车场服务有限责任公司2020年至2022年经营情况分析项目</w:t>
      </w:r>
    </w:p>
    <w:p>
      <w:pPr>
        <w:spacing w:line="480" w:lineRule="auto"/>
        <w:jc w:val="center"/>
        <w:rPr>
          <w:rFonts w:eastAsia="黑体"/>
          <w:b/>
          <w:bCs/>
          <w:sz w:val="44"/>
          <w:szCs w:val="44"/>
        </w:rPr>
      </w:pPr>
    </w:p>
    <w:p>
      <w:pPr>
        <w:spacing w:line="480" w:lineRule="auto"/>
        <w:jc w:val="center"/>
        <w:rPr>
          <w:rFonts w:eastAsia="黑体"/>
          <w:b/>
          <w:bCs/>
          <w:sz w:val="44"/>
          <w:szCs w:val="44"/>
        </w:rPr>
      </w:pPr>
      <w:r>
        <w:rPr>
          <w:rFonts w:hint="eastAsia" w:eastAsia="黑体"/>
          <w:b/>
          <w:bCs/>
          <w:sz w:val="44"/>
          <w:szCs w:val="44"/>
        </w:rPr>
        <w:t>比</w:t>
      </w:r>
    </w:p>
    <w:p>
      <w:pPr>
        <w:spacing w:line="480" w:lineRule="auto"/>
        <w:rPr>
          <w:rFonts w:eastAsia="黑体"/>
          <w:b/>
          <w:bCs/>
          <w:sz w:val="44"/>
          <w:szCs w:val="44"/>
        </w:rPr>
      </w:pPr>
    </w:p>
    <w:p>
      <w:pPr>
        <w:spacing w:line="480" w:lineRule="auto"/>
        <w:jc w:val="center"/>
        <w:rPr>
          <w:rFonts w:eastAsia="黑体"/>
          <w:b/>
          <w:bCs/>
          <w:sz w:val="44"/>
          <w:szCs w:val="44"/>
        </w:rPr>
      </w:pPr>
    </w:p>
    <w:p>
      <w:pPr>
        <w:spacing w:line="480" w:lineRule="auto"/>
        <w:jc w:val="center"/>
        <w:rPr>
          <w:rFonts w:eastAsia="黑体"/>
          <w:b/>
          <w:bCs/>
          <w:sz w:val="44"/>
          <w:szCs w:val="44"/>
        </w:rPr>
      </w:pPr>
      <w:r>
        <w:rPr>
          <w:rFonts w:hint="eastAsia" w:eastAsia="黑体"/>
          <w:b/>
          <w:bCs/>
          <w:sz w:val="44"/>
          <w:szCs w:val="44"/>
        </w:rPr>
        <w:t>选</w:t>
      </w:r>
    </w:p>
    <w:p>
      <w:pPr>
        <w:spacing w:line="480" w:lineRule="auto"/>
        <w:jc w:val="center"/>
        <w:rPr>
          <w:rFonts w:eastAsia="黑体"/>
          <w:b/>
          <w:bCs/>
          <w:sz w:val="44"/>
          <w:szCs w:val="44"/>
        </w:rPr>
      </w:pPr>
    </w:p>
    <w:p>
      <w:pPr>
        <w:spacing w:line="480" w:lineRule="auto"/>
        <w:jc w:val="center"/>
        <w:rPr>
          <w:rFonts w:eastAsia="黑体"/>
          <w:b/>
          <w:bCs/>
          <w:sz w:val="44"/>
          <w:szCs w:val="44"/>
        </w:rPr>
      </w:pPr>
    </w:p>
    <w:p>
      <w:pPr>
        <w:spacing w:line="480" w:lineRule="auto"/>
        <w:jc w:val="center"/>
        <w:rPr>
          <w:rFonts w:eastAsia="黑体"/>
          <w:b/>
          <w:bCs/>
          <w:sz w:val="44"/>
          <w:szCs w:val="44"/>
        </w:rPr>
      </w:pPr>
      <w:r>
        <w:rPr>
          <w:rFonts w:hint="eastAsia" w:eastAsia="黑体"/>
          <w:b/>
          <w:bCs/>
          <w:sz w:val="44"/>
          <w:szCs w:val="44"/>
        </w:rPr>
        <w:t>文</w:t>
      </w:r>
    </w:p>
    <w:p>
      <w:pPr>
        <w:jc w:val="center"/>
        <w:rPr>
          <w:rFonts w:eastAsia="黑体"/>
          <w:b/>
          <w:bCs/>
          <w:sz w:val="44"/>
          <w:szCs w:val="44"/>
        </w:rPr>
      </w:pPr>
    </w:p>
    <w:p>
      <w:pPr>
        <w:jc w:val="center"/>
        <w:rPr>
          <w:rFonts w:eastAsia="黑体"/>
          <w:b/>
          <w:bCs/>
          <w:sz w:val="44"/>
          <w:szCs w:val="44"/>
        </w:rPr>
      </w:pPr>
    </w:p>
    <w:p>
      <w:pPr>
        <w:jc w:val="center"/>
        <w:rPr>
          <w:rFonts w:eastAsia="黑体"/>
          <w:b/>
          <w:bCs/>
          <w:sz w:val="44"/>
          <w:szCs w:val="44"/>
        </w:rPr>
      </w:pPr>
      <w:r>
        <w:rPr>
          <w:rFonts w:hint="eastAsia" w:eastAsia="黑体"/>
          <w:b/>
          <w:bCs/>
          <w:sz w:val="44"/>
          <w:szCs w:val="44"/>
        </w:rPr>
        <w:t>件</w:t>
      </w:r>
    </w:p>
    <w:p>
      <w:pPr>
        <w:spacing w:line="360" w:lineRule="auto"/>
        <w:rPr>
          <w:b/>
          <w:bCs/>
          <w:sz w:val="36"/>
          <w:szCs w:val="36"/>
        </w:rPr>
      </w:pPr>
    </w:p>
    <w:p>
      <w:pPr>
        <w:spacing w:line="360" w:lineRule="auto"/>
        <w:ind w:firstLine="1800" w:firstLineChars="498"/>
        <w:rPr>
          <w:b/>
          <w:bCs/>
          <w:sz w:val="36"/>
          <w:szCs w:val="36"/>
        </w:rPr>
      </w:pPr>
    </w:p>
    <w:p>
      <w:pPr>
        <w:pStyle w:val="2"/>
        <w:rPr>
          <w:b/>
          <w:bCs/>
          <w:sz w:val="36"/>
          <w:szCs w:val="36"/>
        </w:rPr>
      </w:pPr>
    </w:p>
    <w:p>
      <w:pPr>
        <w:spacing w:line="360" w:lineRule="auto"/>
        <w:jc w:val="center"/>
        <w:rPr>
          <w:b/>
          <w:bCs/>
          <w:sz w:val="32"/>
          <w:szCs w:val="32"/>
        </w:rPr>
      </w:pPr>
      <w:r>
        <w:rPr>
          <w:rFonts w:hint="eastAsia"/>
          <w:b/>
          <w:bCs/>
          <w:sz w:val="32"/>
          <w:szCs w:val="32"/>
        </w:rPr>
        <w:t>比选发起人：南宁轨道交通集团有限责任公司</w:t>
      </w:r>
    </w:p>
    <w:p>
      <w:pPr>
        <w:spacing w:line="360" w:lineRule="auto"/>
        <w:jc w:val="center"/>
        <w:rPr>
          <w:rFonts w:ascii="宋体" w:hAnsi="宋体" w:cs="宋体"/>
          <w:b/>
          <w:bCs/>
          <w:sz w:val="32"/>
          <w:szCs w:val="32"/>
        </w:rPr>
        <w:sectPr>
          <w:headerReference r:id="rId3" w:type="default"/>
          <w:footerReference r:id="rId4" w:type="default"/>
          <w:pgSz w:w="11906" w:h="16838"/>
          <w:pgMar w:top="2098" w:right="1531" w:bottom="2098" w:left="1531" w:header="851" w:footer="992" w:gutter="0"/>
          <w:pgNumType w:start="1"/>
          <w:cols w:space="720" w:num="1"/>
          <w:docGrid w:type="lines" w:linePitch="312" w:charSpace="0"/>
        </w:sectPr>
      </w:pPr>
      <w:bookmarkStart w:id="0" w:name="_Toc14943"/>
      <w:bookmarkStart w:id="1" w:name="_Toc32122"/>
      <w:bookmarkStart w:id="2" w:name="_Toc27692"/>
      <w:bookmarkStart w:id="3" w:name="_Toc18159"/>
      <w:bookmarkStart w:id="4" w:name="_Toc4954"/>
      <w:bookmarkStart w:id="5" w:name="_Toc471482358"/>
      <w:bookmarkStart w:id="6" w:name="_Toc461525293"/>
      <w:bookmarkStart w:id="7" w:name="_Toc12363"/>
      <w:bookmarkStart w:id="8" w:name="_Toc21106"/>
      <w:bookmarkStart w:id="9" w:name="_Toc23188"/>
      <w:bookmarkStart w:id="10" w:name="_Toc25905"/>
      <w:bookmarkStart w:id="11" w:name="_Toc9980"/>
      <w:r>
        <w:rPr>
          <w:rFonts w:hint="eastAsia" w:ascii="宋体" w:hAnsi="宋体" w:cs="宋体"/>
          <w:b/>
          <w:bCs/>
          <w:sz w:val="32"/>
          <w:szCs w:val="32"/>
        </w:rPr>
        <w:t xml:space="preserve"> 2023年04月</w:t>
      </w:r>
      <w:r>
        <w:rPr>
          <w:rFonts w:hint="eastAsia" w:ascii="宋体" w:hAnsi="宋体" w:cs="宋体"/>
          <w:b/>
          <w:bCs/>
          <w:sz w:val="32"/>
          <w:szCs w:val="32"/>
          <w:lang w:val="en-US" w:eastAsia="zh-CN"/>
        </w:rPr>
        <w:t>26</w:t>
      </w:r>
      <w:r>
        <w:rPr>
          <w:rFonts w:hint="eastAsia" w:ascii="宋体" w:hAnsi="宋体" w:cs="宋体"/>
          <w:b/>
          <w:bCs/>
          <w:sz w:val="32"/>
          <w:szCs w:val="32"/>
        </w:rPr>
        <w:t>日</w:t>
      </w:r>
    </w:p>
    <w:p>
      <w:pPr>
        <w:pStyle w:val="3"/>
        <w:tabs>
          <w:tab w:val="right" w:leader="dot" w:pos="9219"/>
        </w:tabs>
        <w:spacing w:before="0" w:after="0" w:line="600" w:lineRule="exact"/>
        <w:ind w:firstLine="3779" w:firstLineChars="1181"/>
        <w:jc w:val="both"/>
        <w:rPr>
          <w:rFonts w:ascii="宋体" w:hAnsi="宋体" w:cs="宋体"/>
          <w:sz w:val="21"/>
          <w:szCs w:val="21"/>
        </w:rPr>
      </w:pPr>
      <w:bookmarkStart w:id="12" w:name="_Toc24586"/>
      <w:bookmarkStart w:id="13" w:name="_Toc13153"/>
      <w:bookmarkStart w:id="14" w:name="_Toc27700"/>
      <w:bookmarkStart w:id="15" w:name="_Toc17397"/>
      <w:bookmarkStart w:id="16" w:name="_Toc31734"/>
      <w:bookmarkStart w:id="17" w:name="_Toc19051"/>
      <w:bookmarkStart w:id="18" w:name="_Toc16693"/>
      <w:r>
        <w:rPr>
          <w:rFonts w:ascii="宋体" w:hAnsi="宋体"/>
          <w:b w:val="0"/>
          <w:sz w:val="32"/>
          <w:szCs w:val="21"/>
        </w:rPr>
        <w:t xml:space="preserve"> </w:t>
      </w:r>
      <w:bookmarkStart w:id="19" w:name="_Toc19299"/>
      <w:r>
        <w:rPr>
          <w:rFonts w:hint="eastAsia" w:ascii="宋体" w:hAnsi="宋体"/>
          <w:b w:val="0"/>
          <w:sz w:val="32"/>
          <w:szCs w:val="21"/>
        </w:rPr>
        <w:t>目录</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Fonts w:ascii="宋体" w:hAnsi="宋体" w:cs="宋体"/>
          <w:sz w:val="21"/>
          <w:szCs w:val="21"/>
        </w:rPr>
        <w:fldChar w:fldCharType="begin"/>
      </w:r>
      <w:r>
        <w:rPr>
          <w:rFonts w:ascii="宋体" w:hAnsi="宋体" w:cs="宋体"/>
          <w:sz w:val="21"/>
          <w:szCs w:val="21"/>
        </w:rPr>
        <w:instrText xml:space="preserve"> TOC \o "1-2" \h \z \u </w:instrText>
      </w:r>
      <w:r>
        <w:rPr>
          <w:rFonts w:ascii="宋体" w:hAnsi="宋体" w:cs="宋体"/>
          <w:sz w:val="21"/>
          <w:szCs w:val="21"/>
        </w:rPr>
        <w:fldChar w:fldCharType="separate"/>
      </w:r>
    </w:p>
    <w:p>
      <w:pPr>
        <w:pStyle w:val="18"/>
        <w:tabs>
          <w:tab w:val="right" w:leader="dot" w:pos="9219"/>
        </w:tabs>
      </w:pPr>
      <w:r>
        <w:fldChar w:fldCharType="begin"/>
      </w:r>
      <w:r>
        <w:instrText xml:space="preserve"> HYPERLINK \l "_Toc19299" </w:instrText>
      </w:r>
      <w:r>
        <w:fldChar w:fldCharType="separate"/>
      </w:r>
      <w:r>
        <w:rPr>
          <w:rFonts w:hint="eastAsia" w:ascii="宋体" w:hAnsi="宋体"/>
          <w:szCs w:val="21"/>
        </w:rPr>
        <w:t>目录</w:t>
      </w:r>
      <w:r>
        <w:tab/>
      </w:r>
      <w:r>
        <w:fldChar w:fldCharType="begin"/>
      </w:r>
      <w:r>
        <w:instrText xml:space="preserve"> PAGEREF _Toc19299 \h </w:instrText>
      </w:r>
      <w:r>
        <w:fldChar w:fldCharType="separate"/>
      </w:r>
      <w:r>
        <w:t>1</w:t>
      </w:r>
      <w:r>
        <w:fldChar w:fldCharType="end"/>
      </w:r>
      <w:r>
        <w:fldChar w:fldCharType="end"/>
      </w:r>
    </w:p>
    <w:p>
      <w:pPr>
        <w:pStyle w:val="18"/>
        <w:tabs>
          <w:tab w:val="right" w:leader="dot" w:pos="9219"/>
        </w:tabs>
      </w:pPr>
      <w:r>
        <w:fldChar w:fldCharType="begin"/>
      </w:r>
      <w:r>
        <w:instrText xml:space="preserve"> HYPERLINK \l "_Toc20140" </w:instrText>
      </w:r>
      <w:r>
        <w:fldChar w:fldCharType="separate"/>
      </w:r>
      <w:r>
        <w:rPr>
          <w:rFonts w:hint="eastAsia" w:ascii="宋体" w:hAnsi="宋体" w:cs="宋体"/>
          <w:szCs w:val="28"/>
        </w:rPr>
        <w:t>第一章</w:t>
      </w:r>
      <w:r>
        <w:rPr>
          <w:rFonts w:ascii="宋体" w:hAnsi="宋体" w:cs="宋体"/>
          <w:szCs w:val="28"/>
        </w:rPr>
        <w:t xml:space="preserve"> </w:t>
      </w:r>
      <w:r>
        <w:rPr>
          <w:rFonts w:hint="eastAsia" w:ascii="宋体" w:hAnsi="宋体" w:cs="宋体"/>
          <w:szCs w:val="28"/>
        </w:rPr>
        <w:t>比选须知</w:t>
      </w:r>
      <w:r>
        <w:tab/>
      </w:r>
      <w:r>
        <w:fldChar w:fldCharType="begin"/>
      </w:r>
      <w:r>
        <w:instrText xml:space="preserve"> PAGEREF _Toc20140 \h </w:instrText>
      </w:r>
      <w:r>
        <w:fldChar w:fldCharType="separate"/>
      </w:r>
      <w:r>
        <w:t>2</w:t>
      </w:r>
      <w:r>
        <w:fldChar w:fldCharType="end"/>
      </w:r>
      <w:r>
        <w:fldChar w:fldCharType="end"/>
      </w:r>
    </w:p>
    <w:p>
      <w:pPr>
        <w:pStyle w:val="22"/>
        <w:tabs>
          <w:tab w:val="right" w:leader="dot" w:pos="9219"/>
        </w:tabs>
      </w:pPr>
      <w:r>
        <w:fldChar w:fldCharType="begin"/>
      </w:r>
      <w:r>
        <w:instrText xml:space="preserve"> HYPERLINK \l "_Toc8003" </w:instrText>
      </w:r>
      <w:r>
        <w:fldChar w:fldCharType="separate"/>
      </w:r>
      <w:r>
        <w:rPr>
          <w:rFonts w:hint="eastAsia"/>
        </w:rPr>
        <w:t>前附表</w:t>
      </w:r>
      <w:r>
        <w:tab/>
      </w:r>
      <w:r>
        <w:fldChar w:fldCharType="begin"/>
      </w:r>
      <w:r>
        <w:instrText xml:space="preserve"> PAGEREF _Toc8003 \h </w:instrText>
      </w:r>
      <w:r>
        <w:fldChar w:fldCharType="separate"/>
      </w:r>
      <w:r>
        <w:t>2</w:t>
      </w:r>
      <w:r>
        <w:fldChar w:fldCharType="end"/>
      </w:r>
      <w:r>
        <w:fldChar w:fldCharType="end"/>
      </w:r>
    </w:p>
    <w:p>
      <w:pPr>
        <w:pStyle w:val="22"/>
        <w:tabs>
          <w:tab w:val="right" w:leader="dot" w:pos="9219"/>
        </w:tabs>
      </w:pPr>
      <w:r>
        <w:fldChar w:fldCharType="begin"/>
      </w:r>
      <w:r>
        <w:instrText xml:space="preserve"> HYPERLINK \l "_Toc3416" </w:instrText>
      </w:r>
      <w:r>
        <w:fldChar w:fldCharType="separate"/>
      </w:r>
      <w:r>
        <w:rPr>
          <w:rFonts w:hint="eastAsia" w:ascii="宋体" w:hAnsi="宋体"/>
          <w:szCs w:val="21"/>
        </w:rPr>
        <w:t>一、总则</w:t>
      </w:r>
      <w:r>
        <w:tab/>
      </w:r>
      <w:r>
        <w:fldChar w:fldCharType="begin"/>
      </w:r>
      <w:r>
        <w:instrText xml:space="preserve"> PAGEREF _Toc3416 \h </w:instrText>
      </w:r>
      <w:r>
        <w:fldChar w:fldCharType="separate"/>
      </w:r>
      <w:r>
        <w:t>5</w:t>
      </w:r>
      <w:r>
        <w:fldChar w:fldCharType="end"/>
      </w:r>
      <w:r>
        <w:fldChar w:fldCharType="end"/>
      </w:r>
    </w:p>
    <w:p>
      <w:pPr>
        <w:pStyle w:val="22"/>
        <w:tabs>
          <w:tab w:val="right" w:leader="dot" w:pos="9219"/>
        </w:tabs>
      </w:pPr>
      <w:r>
        <w:fldChar w:fldCharType="begin"/>
      </w:r>
      <w:r>
        <w:instrText xml:space="preserve"> HYPERLINK \l "_Toc5628" </w:instrText>
      </w:r>
      <w:r>
        <w:fldChar w:fldCharType="separate"/>
      </w:r>
      <w:r>
        <w:rPr>
          <w:rFonts w:hint="eastAsia" w:ascii="宋体" w:hAnsi="宋体"/>
          <w:szCs w:val="21"/>
        </w:rPr>
        <w:t>二、比选文件</w:t>
      </w:r>
      <w:r>
        <w:tab/>
      </w:r>
      <w:r>
        <w:fldChar w:fldCharType="begin"/>
      </w:r>
      <w:r>
        <w:instrText xml:space="preserve"> PAGEREF _Toc5628 \h </w:instrText>
      </w:r>
      <w:r>
        <w:fldChar w:fldCharType="separate"/>
      </w:r>
      <w:r>
        <w:t>7</w:t>
      </w:r>
      <w:r>
        <w:fldChar w:fldCharType="end"/>
      </w:r>
      <w:r>
        <w:fldChar w:fldCharType="end"/>
      </w:r>
    </w:p>
    <w:p>
      <w:pPr>
        <w:pStyle w:val="22"/>
        <w:tabs>
          <w:tab w:val="right" w:leader="dot" w:pos="9219"/>
        </w:tabs>
      </w:pPr>
      <w:r>
        <w:fldChar w:fldCharType="begin"/>
      </w:r>
      <w:r>
        <w:instrText xml:space="preserve"> HYPERLINK \l "_Toc27671" </w:instrText>
      </w:r>
      <w:r>
        <w:fldChar w:fldCharType="separate"/>
      </w:r>
      <w:r>
        <w:rPr>
          <w:rFonts w:hint="eastAsia" w:ascii="宋体" w:hAnsi="宋体"/>
          <w:szCs w:val="21"/>
        </w:rPr>
        <w:t>三、申请比选报价说明</w:t>
      </w:r>
      <w:r>
        <w:tab/>
      </w:r>
      <w:r>
        <w:fldChar w:fldCharType="begin"/>
      </w:r>
      <w:r>
        <w:instrText xml:space="preserve"> PAGEREF _Toc27671 \h </w:instrText>
      </w:r>
      <w:r>
        <w:fldChar w:fldCharType="separate"/>
      </w:r>
      <w:r>
        <w:t>7</w:t>
      </w:r>
      <w:r>
        <w:fldChar w:fldCharType="end"/>
      </w:r>
      <w:r>
        <w:fldChar w:fldCharType="end"/>
      </w:r>
    </w:p>
    <w:p>
      <w:pPr>
        <w:pStyle w:val="22"/>
        <w:tabs>
          <w:tab w:val="right" w:leader="dot" w:pos="9219"/>
        </w:tabs>
      </w:pPr>
      <w:r>
        <w:fldChar w:fldCharType="begin"/>
      </w:r>
      <w:r>
        <w:instrText xml:space="preserve"> HYPERLINK \l "_Toc8092" </w:instrText>
      </w:r>
      <w:r>
        <w:fldChar w:fldCharType="separate"/>
      </w:r>
      <w:r>
        <w:rPr>
          <w:rFonts w:hint="eastAsia"/>
          <w:szCs w:val="21"/>
        </w:rPr>
        <w:t>四、比选申请文件的编制</w:t>
      </w:r>
      <w:r>
        <w:tab/>
      </w:r>
      <w:r>
        <w:fldChar w:fldCharType="begin"/>
      </w:r>
      <w:r>
        <w:instrText xml:space="preserve"> PAGEREF _Toc8092 \h </w:instrText>
      </w:r>
      <w:r>
        <w:fldChar w:fldCharType="separate"/>
      </w:r>
      <w:r>
        <w:t>7</w:t>
      </w:r>
      <w:r>
        <w:fldChar w:fldCharType="end"/>
      </w:r>
      <w:r>
        <w:fldChar w:fldCharType="end"/>
      </w:r>
    </w:p>
    <w:p>
      <w:pPr>
        <w:pStyle w:val="22"/>
        <w:tabs>
          <w:tab w:val="right" w:leader="dot" w:pos="9219"/>
        </w:tabs>
      </w:pPr>
      <w:r>
        <w:fldChar w:fldCharType="begin"/>
      </w:r>
      <w:r>
        <w:instrText xml:space="preserve"> HYPERLINK \l "_Toc4540" </w:instrText>
      </w:r>
      <w:r>
        <w:fldChar w:fldCharType="separate"/>
      </w:r>
      <w:r>
        <w:rPr>
          <w:rFonts w:hint="eastAsia"/>
          <w:szCs w:val="21"/>
        </w:rPr>
        <w:t>五、比选申请文件的递交</w:t>
      </w:r>
      <w:r>
        <w:tab/>
      </w:r>
      <w:r>
        <w:fldChar w:fldCharType="begin"/>
      </w:r>
      <w:r>
        <w:instrText xml:space="preserve"> PAGEREF _Toc4540 \h </w:instrText>
      </w:r>
      <w:r>
        <w:fldChar w:fldCharType="separate"/>
      </w:r>
      <w:r>
        <w:t>9</w:t>
      </w:r>
      <w:r>
        <w:fldChar w:fldCharType="end"/>
      </w:r>
      <w:r>
        <w:fldChar w:fldCharType="end"/>
      </w:r>
    </w:p>
    <w:p>
      <w:pPr>
        <w:pStyle w:val="22"/>
        <w:tabs>
          <w:tab w:val="right" w:leader="dot" w:pos="9219"/>
        </w:tabs>
      </w:pPr>
      <w:r>
        <w:fldChar w:fldCharType="begin"/>
      </w:r>
      <w:r>
        <w:instrText xml:space="preserve"> HYPERLINK \l "_Toc19136" </w:instrText>
      </w:r>
      <w:r>
        <w:fldChar w:fldCharType="separate"/>
      </w:r>
      <w:r>
        <w:rPr>
          <w:rFonts w:hint="eastAsia"/>
          <w:szCs w:val="21"/>
        </w:rPr>
        <w:t>六、评审</w:t>
      </w:r>
      <w:r>
        <w:tab/>
      </w:r>
      <w:r>
        <w:fldChar w:fldCharType="begin"/>
      </w:r>
      <w:r>
        <w:instrText xml:space="preserve"> PAGEREF _Toc19136 \h </w:instrText>
      </w:r>
      <w:r>
        <w:fldChar w:fldCharType="separate"/>
      </w:r>
      <w:r>
        <w:t>10</w:t>
      </w:r>
      <w:r>
        <w:fldChar w:fldCharType="end"/>
      </w:r>
      <w:r>
        <w:fldChar w:fldCharType="end"/>
      </w:r>
    </w:p>
    <w:p>
      <w:pPr>
        <w:pStyle w:val="22"/>
        <w:tabs>
          <w:tab w:val="right" w:leader="dot" w:pos="9219"/>
        </w:tabs>
      </w:pPr>
      <w:r>
        <w:fldChar w:fldCharType="begin"/>
      </w:r>
      <w:r>
        <w:instrText xml:space="preserve"> HYPERLINK \l "_Toc4410" </w:instrText>
      </w:r>
      <w:r>
        <w:fldChar w:fldCharType="separate"/>
      </w:r>
      <w:r>
        <w:rPr>
          <w:rFonts w:hint="eastAsia"/>
          <w:szCs w:val="21"/>
        </w:rPr>
        <w:t>七、授予合同</w:t>
      </w:r>
      <w:r>
        <w:tab/>
      </w:r>
      <w:r>
        <w:fldChar w:fldCharType="begin"/>
      </w:r>
      <w:r>
        <w:instrText xml:space="preserve"> PAGEREF _Toc4410 \h </w:instrText>
      </w:r>
      <w:r>
        <w:fldChar w:fldCharType="separate"/>
      </w:r>
      <w:r>
        <w:t>12</w:t>
      </w:r>
      <w:r>
        <w:fldChar w:fldCharType="end"/>
      </w:r>
      <w:r>
        <w:fldChar w:fldCharType="end"/>
      </w:r>
    </w:p>
    <w:p>
      <w:pPr>
        <w:pStyle w:val="18"/>
        <w:tabs>
          <w:tab w:val="right" w:leader="dot" w:pos="9219"/>
        </w:tabs>
      </w:pPr>
      <w:r>
        <w:fldChar w:fldCharType="begin"/>
      </w:r>
      <w:r>
        <w:instrText xml:space="preserve"> HYPERLINK \l "_Toc18993" </w:instrText>
      </w:r>
      <w:r>
        <w:fldChar w:fldCharType="separate"/>
      </w:r>
      <w:r>
        <w:rPr>
          <w:rFonts w:ascii="宋体"/>
          <w:szCs w:val="28"/>
        </w:rPr>
        <w:t xml:space="preserve">第三章 </w:t>
      </w:r>
      <w:r>
        <w:rPr>
          <w:rFonts w:hint="eastAsia" w:ascii="宋体" w:hAnsi="宋体" w:cs="宋体"/>
          <w:szCs w:val="28"/>
        </w:rPr>
        <w:t>比选申请文件（格式）</w:t>
      </w:r>
      <w:r>
        <w:tab/>
      </w:r>
      <w:r>
        <w:fldChar w:fldCharType="begin"/>
      </w:r>
      <w:r>
        <w:instrText xml:space="preserve"> PAGEREF _Toc18993 \h </w:instrText>
      </w:r>
      <w:r>
        <w:fldChar w:fldCharType="separate"/>
      </w:r>
      <w:r>
        <w:t>24</w:t>
      </w:r>
      <w:r>
        <w:fldChar w:fldCharType="end"/>
      </w:r>
      <w:r>
        <w:fldChar w:fldCharType="end"/>
      </w:r>
    </w:p>
    <w:p>
      <w:pPr>
        <w:pStyle w:val="22"/>
        <w:tabs>
          <w:tab w:val="right" w:leader="dot" w:pos="9219"/>
        </w:tabs>
      </w:pPr>
      <w:r>
        <w:fldChar w:fldCharType="begin"/>
      </w:r>
      <w:r>
        <w:instrText xml:space="preserve"> HYPERLINK \l "_Toc5961" </w:instrText>
      </w:r>
      <w:r>
        <w:fldChar w:fldCharType="separate"/>
      </w:r>
      <w:r>
        <w:rPr>
          <w:rFonts w:hint="eastAsia"/>
        </w:rPr>
        <w:t>一、资格审查文件目录</w:t>
      </w:r>
      <w:r>
        <w:tab/>
      </w:r>
      <w:r>
        <w:fldChar w:fldCharType="begin"/>
      </w:r>
      <w:r>
        <w:instrText xml:space="preserve"> PAGEREF _Toc5961 \h </w:instrText>
      </w:r>
      <w:r>
        <w:fldChar w:fldCharType="separate"/>
      </w:r>
      <w:r>
        <w:t>25</w:t>
      </w:r>
      <w:r>
        <w:fldChar w:fldCharType="end"/>
      </w:r>
      <w:r>
        <w:fldChar w:fldCharType="end"/>
      </w:r>
    </w:p>
    <w:p>
      <w:pPr>
        <w:pStyle w:val="22"/>
        <w:tabs>
          <w:tab w:val="right" w:leader="dot" w:pos="9219"/>
        </w:tabs>
      </w:pPr>
      <w:r>
        <w:fldChar w:fldCharType="begin"/>
      </w:r>
      <w:r>
        <w:instrText xml:space="preserve"> HYPERLINK \l "_Toc12404" </w:instrText>
      </w:r>
      <w:r>
        <w:fldChar w:fldCharType="separate"/>
      </w:r>
      <w:r>
        <w:rPr>
          <w:rFonts w:hint="eastAsia"/>
        </w:rPr>
        <w:t>二、技术部分材料目录</w:t>
      </w:r>
      <w:r>
        <w:tab/>
      </w:r>
      <w:r>
        <w:fldChar w:fldCharType="begin"/>
      </w:r>
      <w:r>
        <w:instrText xml:space="preserve"> PAGEREF _Toc12404 \h </w:instrText>
      </w:r>
      <w:r>
        <w:fldChar w:fldCharType="separate"/>
      </w:r>
      <w:r>
        <w:t>35</w:t>
      </w:r>
      <w:r>
        <w:fldChar w:fldCharType="end"/>
      </w:r>
      <w:r>
        <w:fldChar w:fldCharType="end"/>
      </w:r>
    </w:p>
    <w:p>
      <w:pPr>
        <w:pStyle w:val="22"/>
        <w:tabs>
          <w:tab w:val="right" w:leader="dot" w:pos="9219"/>
        </w:tabs>
      </w:pPr>
      <w:r>
        <w:fldChar w:fldCharType="begin"/>
      </w:r>
      <w:r>
        <w:instrText xml:space="preserve"> HYPERLINK \l "_Toc27214" </w:instrText>
      </w:r>
      <w:r>
        <w:fldChar w:fldCharType="separate"/>
      </w:r>
      <w:r>
        <w:rPr>
          <w:rFonts w:hint="eastAsia"/>
        </w:rPr>
        <w:t>三、商务部分材料目录</w:t>
      </w:r>
      <w:r>
        <w:tab/>
      </w:r>
      <w:r>
        <w:fldChar w:fldCharType="begin"/>
      </w:r>
      <w:r>
        <w:instrText xml:space="preserve"> PAGEREF _Toc27214 \h </w:instrText>
      </w:r>
      <w:r>
        <w:fldChar w:fldCharType="separate"/>
      </w:r>
      <w:r>
        <w:t>43</w:t>
      </w:r>
      <w:r>
        <w:fldChar w:fldCharType="end"/>
      </w:r>
      <w:r>
        <w:fldChar w:fldCharType="end"/>
      </w:r>
    </w:p>
    <w:p>
      <w:pPr>
        <w:pStyle w:val="18"/>
        <w:tabs>
          <w:tab w:val="right" w:leader="dot" w:pos="9219"/>
        </w:tabs>
      </w:pPr>
      <w:r>
        <w:fldChar w:fldCharType="begin"/>
      </w:r>
      <w:r>
        <w:instrText xml:space="preserve"> HYPERLINK \l "_Toc22689" </w:instrText>
      </w:r>
      <w:r>
        <w:fldChar w:fldCharType="separate"/>
      </w:r>
      <w:r>
        <w:rPr>
          <w:rFonts w:hint="eastAsia"/>
        </w:rPr>
        <w:t>第四章</w:t>
      </w:r>
      <w:r>
        <w:t xml:space="preserve"> </w:t>
      </w:r>
      <w:r>
        <w:rPr>
          <w:rFonts w:hint="eastAsia"/>
        </w:rPr>
        <w:t>评比办法</w:t>
      </w:r>
      <w:r>
        <w:tab/>
      </w:r>
      <w:r>
        <w:fldChar w:fldCharType="begin"/>
      </w:r>
      <w:r>
        <w:instrText xml:space="preserve"> PAGEREF _Toc22689 \h </w:instrText>
      </w:r>
      <w:r>
        <w:fldChar w:fldCharType="separate"/>
      </w:r>
      <w:r>
        <w:t>45</w:t>
      </w:r>
      <w:r>
        <w:fldChar w:fldCharType="end"/>
      </w:r>
      <w:r>
        <w:fldChar w:fldCharType="end"/>
      </w:r>
    </w:p>
    <w:p>
      <w:pPr>
        <w:pStyle w:val="22"/>
        <w:tabs>
          <w:tab w:val="right" w:leader="dot" w:pos="9219"/>
        </w:tabs>
      </w:pPr>
      <w:r>
        <w:fldChar w:fldCharType="begin"/>
      </w:r>
      <w:r>
        <w:instrText xml:space="preserve"> HYPERLINK \l "_Toc30260" </w:instrText>
      </w:r>
      <w:r>
        <w:fldChar w:fldCharType="separate"/>
      </w:r>
      <w:r>
        <w:rPr>
          <w:rFonts w:hint="eastAsia"/>
        </w:rPr>
        <w:t>一、综合评分办法</w:t>
      </w:r>
      <w:r>
        <w:tab/>
      </w:r>
      <w:r>
        <w:fldChar w:fldCharType="begin"/>
      </w:r>
      <w:r>
        <w:instrText xml:space="preserve"> PAGEREF _Toc30260 \h </w:instrText>
      </w:r>
      <w:r>
        <w:fldChar w:fldCharType="separate"/>
      </w:r>
      <w:r>
        <w:t>45</w:t>
      </w:r>
      <w:r>
        <w:fldChar w:fldCharType="end"/>
      </w:r>
      <w:r>
        <w:fldChar w:fldCharType="end"/>
      </w:r>
    </w:p>
    <w:p>
      <w:pPr>
        <w:pStyle w:val="22"/>
        <w:tabs>
          <w:tab w:val="right" w:leader="dot" w:pos="9219"/>
        </w:tabs>
      </w:pPr>
      <w:r>
        <w:fldChar w:fldCharType="begin"/>
      </w:r>
      <w:r>
        <w:instrText xml:space="preserve"> HYPERLINK \l "_Toc28487" </w:instrText>
      </w:r>
      <w:r>
        <w:fldChar w:fldCharType="separate"/>
      </w:r>
      <w:r>
        <w:rPr>
          <w:rFonts w:hint="eastAsia"/>
        </w:rPr>
        <w:t>二、总分计算公式</w:t>
      </w:r>
      <w:r>
        <w:tab/>
      </w:r>
      <w:r>
        <w:fldChar w:fldCharType="begin"/>
      </w:r>
      <w:r>
        <w:instrText xml:space="preserve"> PAGEREF _Toc28487 \h </w:instrText>
      </w:r>
      <w:r>
        <w:fldChar w:fldCharType="separate"/>
      </w:r>
      <w:r>
        <w:t>46</w:t>
      </w:r>
      <w:r>
        <w:fldChar w:fldCharType="end"/>
      </w:r>
      <w:r>
        <w:fldChar w:fldCharType="end"/>
      </w:r>
    </w:p>
    <w:p>
      <w:pPr>
        <w:pStyle w:val="22"/>
        <w:tabs>
          <w:tab w:val="right" w:leader="dot" w:pos="9219"/>
        </w:tabs>
      </w:pPr>
      <w:r>
        <w:fldChar w:fldCharType="begin"/>
      </w:r>
      <w:r>
        <w:instrText xml:space="preserve"> HYPERLINK \l "_Toc11354" </w:instrText>
      </w:r>
      <w:r>
        <w:fldChar w:fldCharType="separate"/>
      </w:r>
      <w:r>
        <w:rPr>
          <w:rFonts w:hint="eastAsia"/>
        </w:rPr>
        <w:t>三、评分细则</w:t>
      </w:r>
      <w:r>
        <w:tab/>
      </w:r>
      <w:r>
        <w:fldChar w:fldCharType="begin"/>
      </w:r>
      <w:r>
        <w:instrText xml:space="preserve"> PAGEREF _Toc11354 \h </w:instrText>
      </w:r>
      <w:r>
        <w:fldChar w:fldCharType="separate"/>
      </w:r>
      <w:r>
        <w:t>46</w:t>
      </w:r>
      <w:r>
        <w:fldChar w:fldCharType="end"/>
      </w:r>
      <w:r>
        <w:fldChar w:fldCharType="end"/>
      </w:r>
    </w:p>
    <w:p>
      <w:pPr>
        <w:pStyle w:val="22"/>
        <w:tabs>
          <w:tab w:val="right" w:leader="dot" w:pos="9219"/>
        </w:tabs>
      </w:pPr>
      <w:r>
        <w:fldChar w:fldCharType="begin"/>
      </w:r>
      <w:r>
        <w:instrText xml:space="preserve"> HYPERLINK \l "_Toc25386" </w:instrText>
      </w:r>
      <w:r>
        <w:fldChar w:fldCharType="separate"/>
      </w:r>
      <w:r>
        <w:rPr>
          <w:rFonts w:hint="eastAsia" w:ascii="宋体" w:hAnsi="宋体" w:cs="仿宋"/>
          <w:szCs w:val="28"/>
        </w:rPr>
        <w:t>四、中选标准</w:t>
      </w:r>
      <w:r>
        <w:tab/>
      </w:r>
      <w:r>
        <w:fldChar w:fldCharType="begin"/>
      </w:r>
      <w:r>
        <w:instrText xml:space="preserve"> PAGEREF _Toc25386 \h </w:instrText>
      </w:r>
      <w:r>
        <w:fldChar w:fldCharType="separate"/>
      </w:r>
      <w:r>
        <w:t>47</w:t>
      </w:r>
      <w:r>
        <w:fldChar w:fldCharType="end"/>
      </w:r>
      <w:r>
        <w:fldChar w:fldCharType="end"/>
      </w:r>
    </w:p>
    <w:p>
      <w:pPr>
        <w:pStyle w:val="18"/>
        <w:tabs>
          <w:tab w:val="right" w:leader="dot" w:pos="9219"/>
        </w:tabs>
      </w:pPr>
      <w:r>
        <w:fldChar w:fldCharType="begin"/>
      </w:r>
      <w:r>
        <w:instrText xml:space="preserve"> HYPERLINK \l "_Toc1299" </w:instrText>
      </w:r>
      <w:r>
        <w:fldChar w:fldCharType="separate"/>
      </w:r>
      <w:r>
        <w:rPr>
          <w:rFonts w:hint="eastAsia" w:ascii="宋体" w:hAnsi="宋体" w:cs="方正小标宋简体"/>
          <w:bCs/>
          <w:szCs w:val="28"/>
        </w:rPr>
        <w:t>第五章</w:t>
      </w:r>
      <w:r>
        <w:rPr>
          <w:rFonts w:ascii="宋体" w:hAnsi="宋体" w:cs="方正小标宋简体"/>
          <w:bCs/>
          <w:szCs w:val="28"/>
        </w:rPr>
        <w:t xml:space="preserve"> </w:t>
      </w:r>
      <w:r>
        <w:rPr>
          <w:rFonts w:hint="eastAsia" w:ascii="宋体" w:hAnsi="宋体" w:cs="方正小标宋简体"/>
          <w:bCs/>
          <w:szCs w:val="28"/>
        </w:rPr>
        <w:t>用户需求书</w:t>
      </w:r>
      <w:r>
        <w:tab/>
      </w:r>
      <w:r>
        <w:fldChar w:fldCharType="begin"/>
      </w:r>
      <w:r>
        <w:instrText xml:space="preserve"> PAGEREF _Toc1299 \h </w:instrText>
      </w:r>
      <w:r>
        <w:fldChar w:fldCharType="separate"/>
      </w:r>
      <w:r>
        <w:t>48</w:t>
      </w:r>
      <w:r>
        <w:fldChar w:fldCharType="end"/>
      </w:r>
      <w:r>
        <w:fldChar w:fldCharType="end"/>
      </w:r>
    </w:p>
    <w:p>
      <w:pPr>
        <w:pStyle w:val="3"/>
        <w:tabs>
          <w:tab w:val="right" w:leader="dot" w:pos="9219"/>
        </w:tabs>
        <w:spacing w:before="0" w:after="0" w:line="600" w:lineRule="exact"/>
        <w:ind w:firstLine="2635" w:firstLineChars="1250"/>
        <w:jc w:val="both"/>
        <w:rPr>
          <w:rStyle w:val="28"/>
          <w:rFonts w:ascii="宋体"/>
          <w:szCs w:val="21"/>
        </w:rPr>
      </w:pPr>
      <w:r>
        <w:rPr>
          <w:rFonts w:ascii="宋体" w:hAnsi="宋体" w:cs="宋体"/>
          <w:sz w:val="21"/>
          <w:szCs w:val="21"/>
        </w:rPr>
        <w:fldChar w:fldCharType="end"/>
      </w:r>
    </w:p>
    <w:p>
      <w:pPr>
        <w:jc w:val="left"/>
        <w:rPr>
          <w:rFonts w:ascii="宋体" w:cs="宋体"/>
          <w:szCs w:val="21"/>
        </w:rPr>
      </w:pPr>
    </w:p>
    <w:p>
      <w:pPr>
        <w:jc w:val="left"/>
        <w:rPr>
          <w:rFonts w:ascii="宋体" w:cs="宋体"/>
          <w:szCs w:val="28"/>
        </w:rPr>
      </w:pPr>
    </w:p>
    <w:p>
      <w:pPr>
        <w:jc w:val="center"/>
        <w:rPr>
          <w:rFonts w:ascii="宋体" w:cs="宋体"/>
          <w:szCs w:val="28"/>
        </w:rPr>
      </w:pPr>
    </w:p>
    <w:p>
      <w:pPr>
        <w:jc w:val="left"/>
        <w:rPr>
          <w:rFonts w:ascii="宋体" w:cs="宋体"/>
          <w:szCs w:val="28"/>
        </w:rPr>
      </w:pPr>
    </w:p>
    <w:p>
      <w:pPr>
        <w:jc w:val="left"/>
        <w:rPr>
          <w:rFonts w:ascii="宋体" w:cs="宋体"/>
          <w:szCs w:val="28"/>
        </w:rPr>
      </w:pPr>
    </w:p>
    <w:p>
      <w:pPr>
        <w:jc w:val="left"/>
        <w:rPr>
          <w:rFonts w:ascii="宋体" w:cs="宋体"/>
          <w:szCs w:val="28"/>
        </w:rPr>
      </w:pPr>
    </w:p>
    <w:p>
      <w:pPr>
        <w:jc w:val="left"/>
        <w:rPr>
          <w:rFonts w:ascii="宋体" w:cs="宋体"/>
          <w:szCs w:val="28"/>
        </w:rPr>
      </w:pPr>
    </w:p>
    <w:p>
      <w:pPr>
        <w:rPr>
          <w:rFonts w:ascii="宋体" w:cs="宋体"/>
          <w:szCs w:val="28"/>
        </w:rPr>
      </w:pPr>
      <w:bookmarkStart w:id="20" w:name="_Toc14177"/>
      <w:bookmarkStart w:id="21" w:name="_Toc13623"/>
      <w:bookmarkStart w:id="22" w:name="_Toc32719"/>
      <w:bookmarkStart w:id="23" w:name="_Toc24752"/>
      <w:bookmarkStart w:id="24" w:name="_Toc32556"/>
      <w:bookmarkStart w:id="25" w:name="_Toc9851"/>
      <w:bookmarkStart w:id="26" w:name="_Toc31020"/>
      <w:bookmarkStart w:id="27" w:name="_Toc18544"/>
      <w:bookmarkStart w:id="28" w:name="_Toc9092"/>
      <w:bookmarkStart w:id="29" w:name="_Toc6747"/>
      <w:bookmarkStart w:id="30" w:name="_Toc14897"/>
      <w:bookmarkStart w:id="31" w:name="_Toc461525294"/>
      <w:bookmarkStart w:id="32" w:name="_Toc12557"/>
      <w:bookmarkStart w:id="33" w:name="_Toc11052"/>
      <w:bookmarkStart w:id="34" w:name="_Toc471482359"/>
      <w:bookmarkStart w:id="35" w:name="_Toc30578"/>
      <w:bookmarkStart w:id="36" w:name="_Toc30233"/>
      <w:bookmarkStart w:id="37" w:name="_Toc27762"/>
      <w:bookmarkStart w:id="38" w:name="_Toc24235"/>
      <w:bookmarkStart w:id="39" w:name="_Toc20342"/>
      <w:bookmarkStart w:id="40" w:name="_Toc29385"/>
      <w:r>
        <w:rPr>
          <w:rFonts w:ascii="宋体" w:cs="宋体"/>
          <w:szCs w:val="28"/>
        </w:rPr>
        <w:br w:type="page"/>
      </w:r>
    </w:p>
    <w:p>
      <w:pPr>
        <w:pStyle w:val="3"/>
        <w:spacing w:before="0" w:after="0" w:line="600" w:lineRule="exact"/>
        <w:rPr>
          <w:rFonts w:ascii="宋体" w:cs="宋体"/>
          <w:szCs w:val="28"/>
        </w:rPr>
      </w:pPr>
      <w:bookmarkStart w:id="41" w:name="_Toc20140"/>
      <w:r>
        <w:rPr>
          <w:rFonts w:hint="eastAsia" w:ascii="宋体" w:hAnsi="宋体" w:cs="宋体"/>
          <w:szCs w:val="28"/>
        </w:rPr>
        <w:t>第一章</w:t>
      </w:r>
      <w:r>
        <w:rPr>
          <w:rFonts w:ascii="宋体" w:hAnsi="宋体" w:cs="宋体"/>
          <w:szCs w:val="28"/>
        </w:rPr>
        <w:t xml:space="preserve"> </w:t>
      </w:r>
      <w:r>
        <w:rPr>
          <w:rFonts w:hint="eastAsia" w:ascii="宋体" w:hAnsi="宋体" w:cs="宋体"/>
          <w:szCs w:val="28"/>
        </w:rPr>
        <w:t>比选须知</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4"/>
        <w:spacing w:before="120" w:after="120" w:line="540" w:lineRule="exact"/>
        <w:jc w:val="left"/>
        <w:rPr>
          <w:sz w:val="24"/>
          <w:szCs w:val="24"/>
        </w:rPr>
      </w:pPr>
      <w:bookmarkStart w:id="42" w:name="_Toc14984"/>
      <w:bookmarkStart w:id="43" w:name="_Toc21327"/>
      <w:bookmarkStart w:id="44" w:name="_Toc17641"/>
      <w:bookmarkStart w:id="45" w:name="_Toc17254"/>
      <w:bookmarkStart w:id="46" w:name="_Toc21200"/>
      <w:bookmarkStart w:id="47" w:name="_Toc24239"/>
      <w:bookmarkStart w:id="48" w:name="_Toc471482360"/>
      <w:bookmarkStart w:id="49" w:name="_Toc8003"/>
      <w:bookmarkStart w:id="50" w:name="_Toc5848"/>
      <w:bookmarkStart w:id="51" w:name="_Toc25750"/>
      <w:bookmarkStart w:id="52" w:name="_Toc2242"/>
      <w:bookmarkStart w:id="53" w:name="_Toc18968"/>
      <w:bookmarkStart w:id="54" w:name="_Toc461525295"/>
      <w:bookmarkStart w:id="55" w:name="_Toc32591"/>
      <w:bookmarkStart w:id="56" w:name="_Toc11337"/>
      <w:bookmarkStart w:id="57" w:name="_Toc20765"/>
      <w:bookmarkStart w:id="58" w:name="_Toc2162"/>
      <w:bookmarkStart w:id="59" w:name="_Toc18263"/>
      <w:bookmarkStart w:id="60" w:name="_Toc31166"/>
      <w:bookmarkStart w:id="61" w:name="_Toc11329"/>
      <w:bookmarkStart w:id="62" w:name="_Toc14510"/>
      <w:bookmarkStart w:id="63" w:name="_Toc24301"/>
      <w:r>
        <w:rPr>
          <w:rFonts w:hint="eastAsia"/>
          <w:sz w:val="24"/>
          <w:szCs w:val="24"/>
        </w:rPr>
        <w:t>前附表</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tbl>
      <w:tblPr>
        <w:tblStyle w:val="25"/>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
        <w:gridCol w:w="1732"/>
        <w:gridCol w:w="7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970" w:type="dxa"/>
            <w:vAlign w:val="center"/>
          </w:tcPr>
          <w:p>
            <w:pPr>
              <w:jc w:val="center"/>
              <w:rPr>
                <w:rFonts w:ascii="宋体" w:cs="宋体"/>
                <w:b/>
                <w:szCs w:val="21"/>
              </w:rPr>
            </w:pPr>
            <w:r>
              <w:rPr>
                <w:rFonts w:hint="eastAsia" w:ascii="宋体" w:hAnsi="宋体" w:cs="宋体"/>
                <w:b/>
                <w:szCs w:val="21"/>
              </w:rPr>
              <w:t>序号</w:t>
            </w:r>
          </w:p>
        </w:tc>
        <w:tc>
          <w:tcPr>
            <w:tcW w:w="1732" w:type="dxa"/>
            <w:vAlign w:val="center"/>
          </w:tcPr>
          <w:p>
            <w:pPr>
              <w:jc w:val="left"/>
              <w:rPr>
                <w:rFonts w:ascii="宋体" w:cs="宋体"/>
                <w:b/>
                <w:szCs w:val="21"/>
              </w:rPr>
            </w:pPr>
          </w:p>
        </w:tc>
        <w:tc>
          <w:tcPr>
            <w:tcW w:w="7074" w:type="dxa"/>
            <w:vAlign w:val="center"/>
          </w:tcPr>
          <w:p>
            <w:pPr>
              <w:jc w:val="center"/>
              <w:rPr>
                <w:rFonts w:ascii="宋体" w:cs="宋体"/>
                <w:b/>
                <w:szCs w:val="21"/>
              </w:rPr>
            </w:pPr>
            <w:r>
              <w:rPr>
                <w:rFonts w:hint="eastAsia" w:ascii="宋体" w:hAnsi="宋体" w:cs="宋体"/>
                <w:b/>
                <w:szCs w:val="21"/>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70" w:type="dxa"/>
            <w:vAlign w:val="center"/>
          </w:tcPr>
          <w:p>
            <w:pPr>
              <w:jc w:val="center"/>
              <w:rPr>
                <w:rFonts w:ascii="宋体" w:cs="宋体"/>
                <w:szCs w:val="21"/>
              </w:rPr>
            </w:pPr>
            <w:r>
              <w:rPr>
                <w:rFonts w:ascii="宋体" w:hAnsi="宋体" w:cs="宋体"/>
                <w:szCs w:val="21"/>
              </w:rPr>
              <w:t>1</w:t>
            </w:r>
          </w:p>
        </w:tc>
        <w:tc>
          <w:tcPr>
            <w:tcW w:w="1732" w:type="dxa"/>
            <w:vAlign w:val="center"/>
          </w:tcPr>
          <w:p>
            <w:pPr>
              <w:jc w:val="left"/>
              <w:rPr>
                <w:rFonts w:ascii="宋体" w:cs="宋体"/>
                <w:szCs w:val="21"/>
              </w:rPr>
            </w:pPr>
            <w:r>
              <w:rPr>
                <w:rFonts w:hint="eastAsia" w:ascii="宋体" w:hAnsi="宋体" w:cs="宋体"/>
                <w:szCs w:val="21"/>
              </w:rPr>
              <w:t>项目名称</w:t>
            </w:r>
          </w:p>
        </w:tc>
        <w:tc>
          <w:tcPr>
            <w:tcW w:w="7074" w:type="dxa"/>
            <w:vAlign w:val="center"/>
          </w:tcPr>
          <w:p>
            <w:pPr>
              <w:spacing w:line="300" w:lineRule="exact"/>
              <w:ind w:left="210" w:hanging="210" w:hangingChars="100"/>
              <w:rPr>
                <w:rFonts w:ascii="宋体" w:cs="宋体"/>
                <w:b/>
                <w:sz w:val="28"/>
                <w:szCs w:val="21"/>
              </w:rPr>
            </w:pPr>
            <w:r>
              <w:rPr>
                <w:rFonts w:hint="eastAsia" w:ascii="宋体" w:hAnsi="宋体" w:cs="宋体"/>
                <w:szCs w:val="21"/>
                <w:u w:val="single"/>
              </w:rPr>
              <w:t>南宁慧泊停车场服务有限责任公司2020年至2022年经营情况分析项目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vAlign w:val="center"/>
          </w:tcPr>
          <w:p>
            <w:pPr>
              <w:jc w:val="center"/>
              <w:rPr>
                <w:rFonts w:ascii="宋体" w:cs="宋体"/>
                <w:szCs w:val="21"/>
              </w:rPr>
            </w:pPr>
            <w:r>
              <w:rPr>
                <w:rFonts w:ascii="宋体" w:hAnsi="宋体" w:cs="宋体"/>
                <w:szCs w:val="21"/>
              </w:rPr>
              <w:t>2</w:t>
            </w:r>
          </w:p>
        </w:tc>
        <w:tc>
          <w:tcPr>
            <w:tcW w:w="1732" w:type="dxa"/>
            <w:vAlign w:val="center"/>
          </w:tcPr>
          <w:p>
            <w:pPr>
              <w:jc w:val="left"/>
              <w:rPr>
                <w:rFonts w:ascii="宋体" w:cs="宋体"/>
                <w:szCs w:val="21"/>
              </w:rPr>
            </w:pPr>
            <w:r>
              <w:rPr>
                <w:rFonts w:hint="eastAsia" w:ascii="宋体" w:hAnsi="宋体" w:cs="宋体"/>
                <w:szCs w:val="21"/>
              </w:rPr>
              <w:t>项目范围</w:t>
            </w:r>
          </w:p>
        </w:tc>
        <w:tc>
          <w:tcPr>
            <w:tcW w:w="7074" w:type="dxa"/>
          </w:tcPr>
          <w:p>
            <w:pPr>
              <w:spacing w:line="300" w:lineRule="exact"/>
              <w:rPr>
                <w:rFonts w:ascii="宋体" w:cs="宋体"/>
                <w:szCs w:val="21"/>
              </w:rPr>
            </w:pPr>
            <w:r>
              <w:rPr>
                <w:rFonts w:hint="eastAsia" w:ascii="宋体" w:cs="宋体"/>
                <w:szCs w:val="21"/>
              </w:rPr>
              <w:t>通过对南宁慧泊停车场服务有限责任公司2020年至2022年经营情况进行分析，包括经营总体情况分析，主要成绩及亮点，收入、成本、利润、资产、劳动效率等主要指标分析，行业对标、存在差距及原因分析，相关任务及指标完成情况分析，对慧泊公司的经营提出改进建议和提升措施，促进慧泊公司健康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vAlign w:val="center"/>
          </w:tcPr>
          <w:p>
            <w:pPr>
              <w:jc w:val="center"/>
              <w:rPr>
                <w:rFonts w:ascii="宋体" w:cs="宋体"/>
                <w:szCs w:val="21"/>
              </w:rPr>
            </w:pPr>
            <w:r>
              <w:rPr>
                <w:rFonts w:ascii="宋体" w:hAnsi="宋体" w:cs="宋体"/>
                <w:szCs w:val="21"/>
              </w:rPr>
              <w:t>3</w:t>
            </w:r>
          </w:p>
        </w:tc>
        <w:tc>
          <w:tcPr>
            <w:tcW w:w="1732" w:type="dxa"/>
            <w:vAlign w:val="center"/>
          </w:tcPr>
          <w:p>
            <w:pPr>
              <w:spacing w:line="300" w:lineRule="exact"/>
              <w:rPr>
                <w:rFonts w:ascii="宋体" w:hAnsi="宋体" w:cs="宋体"/>
                <w:szCs w:val="21"/>
              </w:rPr>
            </w:pPr>
            <w:r>
              <w:rPr>
                <w:rFonts w:hint="eastAsia" w:ascii="宋体" w:hAnsi="宋体" w:cs="宋体"/>
                <w:szCs w:val="21"/>
              </w:rPr>
              <w:t>项目内容及成果要求</w:t>
            </w:r>
          </w:p>
        </w:tc>
        <w:tc>
          <w:tcPr>
            <w:tcW w:w="7074" w:type="dxa"/>
          </w:tcPr>
          <w:p>
            <w:pPr>
              <w:numPr>
                <w:ilvl w:val="0"/>
                <w:numId w:val="1"/>
              </w:numPr>
              <w:spacing w:line="300" w:lineRule="exact"/>
              <w:ind w:firstLine="420"/>
              <w:rPr>
                <w:rFonts w:ascii="宋体" w:hAnsi="宋体" w:cs="宋体"/>
                <w:szCs w:val="21"/>
              </w:rPr>
            </w:pPr>
            <w:r>
              <w:rPr>
                <w:rFonts w:hint="eastAsia" w:ascii="宋体" w:hAnsi="宋体" w:cs="宋体"/>
                <w:szCs w:val="21"/>
              </w:rPr>
              <w:t>项目内容</w:t>
            </w:r>
          </w:p>
          <w:p>
            <w:pPr>
              <w:spacing w:line="300" w:lineRule="exact"/>
              <w:ind w:firstLine="420" w:firstLineChars="200"/>
              <w:rPr>
                <w:rFonts w:ascii="宋体" w:hAnsi="宋体" w:cs="宋体"/>
                <w:szCs w:val="21"/>
              </w:rPr>
            </w:pPr>
            <w:r>
              <w:rPr>
                <w:rFonts w:hint="eastAsia" w:ascii="宋体" w:cs="宋体"/>
                <w:szCs w:val="21"/>
              </w:rPr>
              <w:t>对南宁慧泊停车场服务有限责任公司2020年至2022年经营情况进行分析，包括：</w:t>
            </w:r>
          </w:p>
          <w:p>
            <w:pPr>
              <w:spacing w:line="300" w:lineRule="exact"/>
              <w:ind w:firstLine="420" w:firstLineChars="200"/>
              <w:rPr>
                <w:rFonts w:ascii="宋体" w:hAnsi="宋体" w:cs="宋体"/>
                <w:szCs w:val="21"/>
              </w:rPr>
            </w:pPr>
            <w:r>
              <w:rPr>
                <w:rFonts w:hint="eastAsia" w:ascii="宋体" w:hAnsi="宋体" w:cs="宋体"/>
                <w:szCs w:val="21"/>
              </w:rPr>
              <w:t>（一）经营总体情况分析，包括主要财务指标和经营指标分析，与行业平均水平及龙头企业对比；重点关注企业盈利水平分析，与同等城市行业水平的对比分析；</w:t>
            </w:r>
          </w:p>
          <w:p>
            <w:pPr>
              <w:spacing w:line="300" w:lineRule="exact"/>
              <w:ind w:firstLine="420" w:firstLineChars="200"/>
              <w:rPr>
                <w:rFonts w:ascii="宋体" w:hAnsi="宋体" w:cs="宋体"/>
                <w:szCs w:val="21"/>
              </w:rPr>
            </w:pPr>
            <w:r>
              <w:rPr>
                <w:rFonts w:hint="eastAsia" w:ascii="宋体" w:hAnsi="宋体" w:cs="宋体"/>
                <w:szCs w:val="21"/>
              </w:rPr>
              <w:t>（二）主营业务收入、毛利分析，包括结构、规模及增减变动原因分析，与行业平均水平及龙头企业对比；重点关注主营业务收入的完整性分析；</w:t>
            </w:r>
          </w:p>
          <w:p>
            <w:pPr>
              <w:spacing w:line="300" w:lineRule="exact"/>
              <w:ind w:firstLine="420" w:firstLineChars="200"/>
              <w:rPr>
                <w:rFonts w:ascii="宋体" w:hAnsi="宋体" w:cs="宋体"/>
                <w:szCs w:val="21"/>
              </w:rPr>
            </w:pPr>
            <w:r>
              <w:rPr>
                <w:rFonts w:hint="eastAsia" w:ascii="宋体" w:hAnsi="宋体" w:cs="宋体"/>
                <w:szCs w:val="21"/>
              </w:rPr>
              <w:t>（三）其他业务收入、毛利分析，包括结构、规模及增减变动原因分析；重点关注其他业务收入的完整性分析；</w:t>
            </w:r>
          </w:p>
          <w:p>
            <w:pPr>
              <w:spacing w:line="300" w:lineRule="exact"/>
              <w:ind w:firstLine="420" w:firstLineChars="200"/>
              <w:rPr>
                <w:rFonts w:ascii="宋体" w:hAnsi="宋体" w:cs="宋体"/>
                <w:szCs w:val="21"/>
              </w:rPr>
            </w:pPr>
            <w:r>
              <w:rPr>
                <w:rFonts w:hint="eastAsia" w:ascii="宋体" w:hAnsi="宋体" w:cs="宋体"/>
                <w:szCs w:val="21"/>
              </w:rPr>
              <w:t>（四）主营业务成本、其他业务成本分析，包括结构、规模及增减变动原因分析，与行业平均水平及龙头企业对比；重点关注相关成本的真实性与合理性分析；重点关注企业经营权确认与摊销的正确性；</w:t>
            </w:r>
          </w:p>
          <w:p>
            <w:pPr>
              <w:spacing w:line="300" w:lineRule="exact"/>
              <w:ind w:firstLine="420" w:firstLineChars="200"/>
              <w:rPr>
                <w:rFonts w:ascii="宋体" w:hAnsi="宋体" w:cs="宋体"/>
                <w:szCs w:val="21"/>
              </w:rPr>
            </w:pPr>
            <w:r>
              <w:rPr>
                <w:rFonts w:hint="eastAsia" w:ascii="宋体" w:hAnsi="宋体" w:cs="宋体"/>
                <w:szCs w:val="21"/>
              </w:rPr>
              <w:t>（五）销售费用、管理费用、财务费用分析，包括结构、规模及增减变动原因分析，与行业平均水平及龙头企业对比；重点关注相关费用的真实性与合理性分析；</w:t>
            </w:r>
          </w:p>
          <w:p>
            <w:pPr>
              <w:spacing w:line="300" w:lineRule="exact"/>
              <w:ind w:firstLine="420" w:firstLineChars="200"/>
              <w:rPr>
                <w:rFonts w:ascii="宋体" w:hAnsi="宋体" w:cs="宋体"/>
                <w:szCs w:val="21"/>
              </w:rPr>
            </w:pPr>
            <w:r>
              <w:rPr>
                <w:rFonts w:hint="eastAsia" w:ascii="宋体" w:hAnsi="宋体" w:cs="宋体"/>
                <w:szCs w:val="21"/>
              </w:rPr>
              <w:t>（六）营业外收支结构、规模及变动分析；</w:t>
            </w:r>
          </w:p>
          <w:p>
            <w:pPr>
              <w:spacing w:line="300" w:lineRule="exact"/>
              <w:ind w:firstLine="420" w:firstLineChars="200"/>
              <w:rPr>
                <w:rFonts w:ascii="宋体" w:hAnsi="宋体" w:cs="宋体"/>
                <w:szCs w:val="21"/>
              </w:rPr>
            </w:pPr>
            <w:r>
              <w:rPr>
                <w:rFonts w:hint="eastAsia" w:ascii="宋体" w:hAnsi="宋体" w:cs="宋体"/>
                <w:szCs w:val="21"/>
              </w:rPr>
              <w:t>（七）现金流管理情况分析，包括经营、投资、筹资活动现金流入和流出情况，现金流的规模和结构，流入资金的主要来源，流出资金的主要用途，各年度对现金流产生重大影响的事项，关联方资金拆借情况，与行业平均水平及龙头企业对比；</w:t>
            </w:r>
          </w:p>
          <w:p>
            <w:pPr>
              <w:spacing w:line="300" w:lineRule="exact"/>
              <w:ind w:firstLine="420" w:firstLineChars="200"/>
              <w:rPr>
                <w:rFonts w:ascii="宋体" w:hAnsi="宋体" w:cs="宋体"/>
                <w:szCs w:val="21"/>
              </w:rPr>
            </w:pPr>
            <w:r>
              <w:rPr>
                <w:rFonts w:hint="eastAsia" w:ascii="宋体" w:hAnsi="宋体" w:cs="宋体"/>
                <w:szCs w:val="21"/>
              </w:rPr>
              <w:t>（八）主要资产，负债分析，包括明细构成、规模及增减变动分析，资产和负债完整性，资产负债率，资产和负债周转率，资产减值风险，偿债能力及债务风险，与行业平均水平及龙头企业对比；</w:t>
            </w:r>
          </w:p>
          <w:p>
            <w:pPr>
              <w:spacing w:line="300" w:lineRule="exact"/>
              <w:ind w:firstLine="420" w:firstLineChars="200"/>
              <w:rPr>
                <w:rFonts w:ascii="宋体" w:hAnsi="宋体" w:cs="宋体"/>
                <w:szCs w:val="21"/>
              </w:rPr>
            </w:pPr>
            <w:r>
              <w:rPr>
                <w:rFonts w:hint="eastAsia" w:ascii="宋体" w:hAnsi="宋体" w:cs="宋体"/>
                <w:szCs w:val="21"/>
              </w:rPr>
              <w:t>（九）资产经营管理效率分析，包括重大经济项目的投资、建设、运营管理及效益情况（含软件），各类型、各区域资产利用效率、资产收益、经营款收支情况分析、资产单位产出等；重点对停车费实收率进行分析，并与行业优秀水平进行分析；</w:t>
            </w:r>
          </w:p>
          <w:p>
            <w:pPr>
              <w:spacing w:line="300" w:lineRule="exact"/>
              <w:ind w:firstLine="420" w:firstLineChars="200"/>
              <w:rPr>
                <w:rFonts w:ascii="宋体" w:hAnsi="宋体" w:cs="宋体"/>
                <w:szCs w:val="21"/>
              </w:rPr>
            </w:pPr>
            <w:r>
              <w:rPr>
                <w:rFonts w:hint="eastAsia" w:ascii="宋体" w:hAnsi="宋体" w:cs="宋体"/>
                <w:szCs w:val="21"/>
              </w:rPr>
              <w:t>（十）资本结构分析，包括资本来源，出资方式，资本利用情况，资本和资产结构配置，资本回报情况（含债务资本和权益资本）；</w:t>
            </w:r>
          </w:p>
          <w:p>
            <w:pPr>
              <w:spacing w:line="300" w:lineRule="exact"/>
              <w:ind w:firstLine="420" w:firstLineChars="200"/>
              <w:rPr>
                <w:rFonts w:ascii="宋体" w:hAnsi="宋体" w:cs="宋体"/>
                <w:szCs w:val="21"/>
              </w:rPr>
            </w:pPr>
            <w:r>
              <w:rPr>
                <w:rFonts w:hint="eastAsia" w:ascii="宋体" w:hAnsi="宋体" w:cs="宋体"/>
                <w:szCs w:val="21"/>
              </w:rPr>
              <w:t>（十一）人工效率分析，包括人员规模、人员结构、人员成本、人均成本、人均产出分析，与行业平均水平及龙头企业对比；重点关注泊车位管理员劳动效率分析、岗位设置合理性分析、劳务外包的成本效益性分析；</w:t>
            </w:r>
          </w:p>
          <w:p>
            <w:pPr>
              <w:spacing w:line="300" w:lineRule="exact"/>
              <w:ind w:firstLine="420" w:firstLineChars="200"/>
              <w:rPr>
                <w:rFonts w:ascii="宋体" w:hAnsi="宋体" w:cs="宋体"/>
                <w:szCs w:val="21"/>
              </w:rPr>
            </w:pPr>
            <w:r>
              <w:rPr>
                <w:rFonts w:hint="eastAsia" w:ascii="宋体" w:hAnsi="宋体" w:cs="宋体"/>
                <w:szCs w:val="21"/>
              </w:rPr>
              <w:t>（十二）持续经营能力分析，包括行业现状，公司面临的主要风险、机遇与挑战，压力测试；</w:t>
            </w:r>
          </w:p>
          <w:p>
            <w:pPr>
              <w:spacing w:line="300" w:lineRule="exact"/>
              <w:ind w:firstLine="420" w:firstLineChars="200"/>
              <w:rPr>
                <w:rFonts w:ascii="宋体" w:hAnsi="宋体" w:cs="宋体"/>
                <w:szCs w:val="21"/>
              </w:rPr>
            </w:pPr>
            <w:r>
              <w:rPr>
                <w:rFonts w:hint="eastAsia" w:ascii="宋体" w:hAnsi="宋体" w:cs="宋体"/>
                <w:szCs w:val="21"/>
              </w:rPr>
              <w:t>（十三）缴纳税费分析，重点关注增值税、所得税各年度缴纳规模，应缴和实缴情况，税费减免情况；</w:t>
            </w:r>
          </w:p>
          <w:p>
            <w:pPr>
              <w:spacing w:line="300" w:lineRule="exact"/>
              <w:ind w:firstLine="420" w:firstLineChars="200"/>
              <w:rPr>
                <w:rFonts w:ascii="宋体" w:hAnsi="宋体" w:cs="宋体"/>
                <w:szCs w:val="21"/>
              </w:rPr>
            </w:pPr>
            <w:r>
              <w:rPr>
                <w:rFonts w:hint="eastAsia" w:ascii="宋体" w:hAnsi="宋体" w:cs="宋体"/>
                <w:szCs w:val="21"/>
              </w:rPr>
              <w:t>（十四）企业经营提质增效措施有效性，重点关注成本费用压控、“两金”压降、“两非”剥离、“两资”清理等进展情况；重点对企业应收停车费进行分析，关注应收停车费的拖欠和清收情况；</w:t>
            </w:r>
          </w:p>
          <w:p>
            <w:pPr>
              <w:spacing w:line="300" w:lineRule="exact"/>
              <w:ind w:firstLine="420" w:firstLineChars="200"/>
              <w:rPr>
                <w:rFonts w:ascii="宋体" w:hAnsi="宋体" w:cs="宋体"/>
                <w:szCs w:val="21"/>
              </w:rPr>
            </w:pPr>
            <w:r>
              <w:rPr>
                <w:rFonts w:hint="eastAsia" w:ascii="宋体" w:hAnsi="宋体" w:cs="宋体"/>
                <w:szCs w:val="21"/>
              </w:rPr>
              <w:t>（十五）有关目标责任制完成情况；</w:t>
            </w:r>
          </w:p>
          <w:p>
            <w:pPr>
              <w:spacing w:line="300" w:lineRule="exact"/>
              <w:ind w:firstLine="420" w:firstLineChars="200"/>
              <w:rPr>
                <w:rFonts w:hint="eastAsia" w:ascii="宋体" w:hAnsi="宋体" w:cs="宋体"/>
                <w:szCs w:val="21"/>
              </w:rPr>
            </w:pPr>
            <w:r>
              <w:rPr>
                <w:rFonts w:hint="eastAsia" w:ascii="宋体" w:hAnsi="宋体" w:cs="宋体"/>
                <w:szCs w:val="21"/>
              </w:rPr>
              <w:t>（十六）管理优化建议；</w:t>
            </w:r>
          </w:p>
          <w:p>
            <w:pPr>
              <w:spacing w:line="300" w:lineRule="exact"/>
              <w:ind w:firstLine="420" w:firstLineChars="200"/>
              <w:rPr>
                <w:rFonts w:ascii="宋体" w:hAnsi="宋体" w:cs="宋体"/>
                <w:szCs w:val="21"/>
              </w:rPr>
            </w:pPr>
            <w:r>
              <w:rPr>
                <w:rFonts w:hint="eastAsia" w:ascii="宋体" w:hAnsi="宋体" w:cs="宋体"/>
                <w:szCs w:val="21"/>
              </w:rPr>
              <w:t>（十</w:t>
            </w:r>
            <w:r>
              <w:rPr>
                <w:rFonts w:hint="eastAsia" w:ascii="宋体" w:hAnsi="宋体" w:cs="宋体"/>
                <w:szCs w:val="21"/>
                <w:lang w:val="en-US" w:eastAsia="zh-CN"/>
              </w:rPr>
              <w:t>七</w:t>
            </w:r>
            <w:r>
              <w:rPr>
                <w:rFonts w:hint="eastAsia" w:ascii="宋体" w:hAnsi="宋体" w:cs="宋体"/>
                <w:szCs w:val="21"/>
              </w:rPr>
              <w:t>）其他需要的内容。</w:t>
            </w:r>
          </w:p>
          <w:p>
            <w:pPr>
              <w:spacing w:line="300" w:lineRule="exact"/>
              <w:ind w:firstLine="420" w:firstLineChars="200"/>
              <w:rPr>
                <w:rFonts w:ascii="宋体" w:hAnsi="宋体" w:cs="宋体"/>
                <w:szCs w:val="21"/>
              </w:rPr>
            </w:pPr>
            <w:r>
              <w:rPr>
                <w:rFonts w:hint="eastAsia" w:ascii="宋体" w:hAnsi="宋体" w:cs="宋体"/>
                <w:szCs w:val="21"/>
              </w:rPr>
              <w:t>二、项目要求及成果</w:t>
            </w:r>
          </w:p>
          <w:p>
            <w:pPr>
              <w:spacing w:line="300" w:lineRule="exact"/>
              <w:ind w:firstLine="420" w:firstLineChars="200"/>
              <w:rPr>
                <w:rFonts w:ascii="宋体" w:hAnsi="宋体" w:cs="宋体"/>
                <w:szCs w:val="21"/>
              </w:rPr>
            </w:pPr>
            <w:r>
              <w:rPr>
                <w:rFonts w:hint="eastAsia" w:ascii="宋体" w:hAnsi="宋体" w:cs="宋体"/>
                <w:szCs w:val="21"/>
              </w:rPr>
              <w:t>根据《中华人民共和国企业国有资产法》《企业国有资产监督管理暂行条例》《南宁市企业国有资产监督管理暂行办法》《南宁市国资委关于印发监管企业违规经营投资责任追究实施办法（试行）的通知》的规定和要求及其他相关法律法规，以及南宁轨道交通集团有限责任公司相关制度开展工作，对</w:t>
            </w:r>
            <w:r>
              <w:rPr>
                <w:rFonts w:hint="eastAsia" w:ascii="宋体" w:cs="宋体"/>
                <w:szCs w:val="21"/>
              </w:rPr>
              <w:t>南宁慧泊停车场服务有限责任公司2020年至2022年经营情况进行分析</w:t>
            </w:r>
            <w:r>
              <w:rPr>
                <w:rFonts w:hint="eastAsia" w:ascii="宋体" w:hAnsi="宋体" w:cs="宋体"/>
                <w:szCs w:val="21"/>
              </w:rPr>
              <w:t>，出具南宁慧泊停车场服务有限责任公司2020年至2022年经营情况分析报告，并经南宁轨道交通集团有限责任公司审批通过。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shd w:val="clear" w:color="auto" w:fill="FFFFFF"/>
            <w:vAlign w:val="center"/>
          </w:tcPr>
          <w:p>
            <w:pPr>
              <w:jc w:val="center"/>
              <w:rPr>
                <w:rFonts w:ascii="宋体" w:cs="宋体"/>
                <w:szCs w:val="21"/>
              </w:rPr>
            </w:pPr>
            <w:r>
              <w:rPr>
                <w:rFonts w:ascii="宋体" w:hAnsi="宋体" w:cs="宋体"/>
                <w:szCs w:val="21"/>
              </w:rPr>
              <w:t>4</w:t>
            </w:r>
          </w:p>
        </w:tc>
        <w:tc>
          <w:tcPr>
            <w:tcW w:w="1732" w:type="dxa"/>
            <w:shd w:val="clear" w:color="auto" w:fill="FFFFFF"/>
            <w:vAlign w:val="center"/>
          </w:tcPr>
          <w:p>
            <w:pPr>
              <w:jc w:val="left"/>
              <w:rPr>
                <w:rFonts w:ascii="宋体" w:cs="宋体"/>
                <w:szCs w:val="21"/>
              </w:rPr>
            </w:pPr>
            <w:r>
              <w:rPr>
                <w:rFonts w:hint="eastAsia" w:ascii="宋体" w:hAnsi="宋体" w:cs="宋体"/>
                <w:szCs w:val="21"/>
              </w:rPr>
              <w:t>资金来源</w:t>
            </w:r>
          </w:p>
        </w:tc>
        <w:tc>
          <w:tcPr>
            <w:tcW w:w="7074" w:type="dxa"/>
            <w:shd w:val="clear" w:color="auto" w:fill="FFFFFF"/>
          </w:tcPr>
          <w:p>
            <w:pPr>
              <w:ind w:right="-3"/>
              <w:jc w:val="left"/>
              <w:rPr>
                <w:rFonts w:ascii="宋体" w:cs="宋体"/>
                <w:szCs w:val="21"/>
              </w:rPr>
            </w:pPr>
            <w:r>
              <w:rPr>
                <w:rFonts w:hint="eastAsia" w:ascii="宋体" w:hAnsi="宋体" w:cs="宋体"/>
                <w:szCs w:val="21"/>
              </w:rPr>
              <w:t>企业自有资金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vAlign w:val="center"/>
          </w:tcPr>
          <w:p>
            <w:pPr>
              <w:jc w:val="center"/>
              <w:rPr>
                <w:rFonts w:ascii="宋体" w:cs="宋体"/>
                <w:szCs w:val="21"/>
              </w:rPr>
            </w:pPr>
            <w:r>
              <w:rPr>
                <w:rFonts w:ascii="宋体" w:hAnsi="宋体" w:cs="宋体"/>
                <w:szCs w:val="21"/>
              </w:rPr>
              <w:t>5</w:t>
            </w:r>
          </w:p>
        </w:tc>
        <w:tc>
          <w:tcPr>
            <w:tcW w:w="1732" w:type="dxa"/>
            <w:vAlign w:val="center"/>
          </w:tcPr>
          <w:p>
            <w:pPr>
              <w:jc w:val="left"/>
              <w:rPr>
                <w:rFonts w:ascii="宋体" w:cs="宋体"/>
                <w:szCs w:val="21"/>
              </w:rPr>
            </w:pPr>
            <w:r>
              <w:rPr>
                <w:rFonts w:hint="eastAsia" w:ascii="宋体" w:hAnsi="宋体" w:cs="宋体"/>
                <w:szCs w:val="21"/>
              </w:rPr>
              <w:t>计费方式</w:t>
            </w:r>
          </w:p>
        </w:tc>
        <w:tc>
          <w:tcPr>
            <w:tcW w:w="7074" w:type="dxa"/>
          </w:tcPr>
          <w:p>
            <w:pPr>
              <w:ind w:right="-3"/>
              <w:jc w:val="left"/>
              <w:rPr>
                <w:rFonts w:ascii="宋体" w:cs="宋体"/>
                <w:szCs w:val="21"/>
              </w:rPr>
            </w:pPr>
            <w:r>
              <w:rPr>
                <w:rFonts w:hint="eastAsia" w:ascii="宋体" w:hAnsi="宋体" w:cs="宋体"/>
                <w:szCs w:val="21"/>
              </w:rPr>
              <w:t>采用总价包干（包括但不限于税费、交通费、食宿费、差旅费等），费用不予调整。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vAlign w:val="center"/>
          </w:tcPr>
          <w:p>
            <w:pPr>
              <w:jc w:val="center"/>
              <w:rPr>
                <w:rFonts w:ascii="宋体" w:cs="宋体"/>
                <w:szCs w:val="21"/>
              </w:rPr>
            </w:pPr>
            <w:r>
              <w:rPr>
                <w:rFonts w:ascii="宋体" w:hAnsi="宋体" w:cs="宋体"/>
                <w:szCs w:val="21"/>
              </w:rPr>
              <w:t>6</w:t>
            </w:r>
          </w:p>
        </w:tc>
        <w:tc>
          <w:tcPr>
            <w:tcW w:w="1732" w:type="dxa"/>
            <w:vAlign w:val="center"/>
          </w:tcPr>
          <w:p>
            <w:pPr>
              <w:jc w:val="left"/>
              <w:rPr>
                <w:rFonts w:ascii="宋体" w:cs="宋体"/>
                <w:szCs w:val="21"/>
              </w:rPr>
            </w:pPr>
            <w:r>
              <w:rPr>
                <w:rFonts w:hint="eastAsia" w:ascii="宋体" w:hAnsi="宋体" w:cs="宋体"/>
                <w:szCs w:val="21"/>
              </w:rPr>
              <w:t>上限控制价</w:t>
            </w:r>
          </w:p>
        </w:tc>
        <w:tc>
          <w:tcPr>
            <w:tcW w:w="7074" w:type="dxa"/>
            <w:vAlign w:val="center"/>
          </w:tcPr>
          <w:p>
            <w:pPr>
              <w:ind w:right="-3"/>
              <w:jc w:val="left"/>
              <w:rPr>
                <w:rFonts w:ascii="宋体" w:cs="宋体"/>
                <w:szCs w:val="21"/>
              </w:rPr>
            </w:pPr>
            <w:r>
              <w:rPr>
                <w:rFonts w:hint="eastAsia" w:ascii="宋体" w:hAnsi="宋体" w:cs="宋体"/>
                <w:szCs w:val="21"/>
              </w:rPr>
              <w:t>人民币：60</w:t>
            </w:r>
            <w:r>
              <w:rPr>
                <w:rFonts w:ascii="宋体" w:hAnsi="宋体" w:cs="宋体"/>
                <w:szCs w:val="21"/>
              </w:rPr>
              <w:t>,000.00</w:t>
            </w:r>
            <w:r>
              <w:rPr>
                <w:rFonts w:hint="eastAsia" w:ascii="宋体" w:hAnsi="宋体" w:cs="宋体"/>
                <w:szCs w:val="21"/>
              </w:rPr>
              <w:t>元（含税），56,603.77元（不含税）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vAlign w:val="center"/>
          </w:tcPr>
          <w:p>
            <w:pPr>
              <w:jc w:val="center"/>
              <w:rPr>
                <w:rFonts w:ascii="宋体" w:cs="宋体"/>
                <w:szCs w:val="21"/>
              </w:rPr>
            </w:pPr>
            <w:r>
              <w:rPr>
                <w:rFonts w:ascii="宋体" w:hAnsi="宋体" w:cs="宋体"/>
                <w:szCs w:val="21"/>
              </w:rPr>
              <w:t>7</w:t>
            </w:r>
          </w:p>
        </w:tc>
        <w:tc>
          <w:tcPr>
            <w:tcW w:w="1732" w:type="dxa"/>
            <w:vAlign w:val="center"/>
          </w:tcPr>
          <w:p>
            <w:pPr>
              <w:jc w:val="left"/>
              <w:rPr>
                <w:rFonts w:ascii="宋体" w:cs="宋体"/>
                <w:szCs w:val="21"/>
              </w:rPr>
            </w:pPr>
            <w:r>
              <w:rPr>
                <w:rFonts w:hint="eastAsia" w:ascii="宋体" w:hAnsi="宋体" w:cs="宋体"/>
                <w:szCs w:val="21"/>
              </w:rPr>
              <w:t>报价方式</w:t>
            </w:r>
          </w:p>
        </w:tc>
        <w:tc>
          <w:tcPr>
            <w:tcW w:w="7074" w:type="dxa"/>
            <w:vAlign w:val="center"/>
          </w:tcPr>
          <w:p>
            <w:pPr>
              <w:ind w:right="-3"/>
              <w:jc w:val="left"/>
              <w:rPr>
                <w:rFonts w:ascii="宋体" w:cs="宋体"/>
                <w:szCs w:val="21"/>
              </w:rPr>
            </w:pPr>
            <w:r>
              <w:rPr>
                <w:rFonts w:hint="eastAsia" w:ascii="宋体" w:hAnsi="宋体" w:cs="宋体"/>
                <w:szCs w:val="21"/>
              </w:rPr>
              <w:t>比选申请人必须对比选项目内容中所有工作内容作完整唯一的报价。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70" w:type="dxa"/>
            <w:vAlign w:val="center"/>
          </w:tcPr>
          <w:p>
            <w:pPr>
              <w:jc w:val="center"/>
              <w:rPr>
                <w:rFonts w:ascii="宋体" w:cs="宋体"/>
                <w:szCs w:val="21"/>
              </w:rPr>
            </w:pPr>
            <w:r>
              <w:rPr>
                <w:rFonts w:ascii="宋体" w:hAnsi="宋体" w:cs="宋体"/>
                <w:szCs w:val="21"/>
              </w:rPr>
              <w:t>8</w:t>
            </w:r>
          </w:p>
        </w:tc>
        <w:tc>
          <w:tcPr>
            <w:tcW w:w="1732" w:type="dxa"/>
            <w:vAlign w:val="center"/>
          </w:tcPr>
          <w:p>
            <w:pPr>
              <w:jc w:val="left"/>
              <w:rPr>
                <w:rFonts w:ascii="宋体" w:cs="宋体"/>
                <w:szCs w:val="21"/>
              </w:rPr>
            </w:pPr>
            <w:r>
              <w:rPr>
                <w:rFonts w:hint="eastAsia" w:ascii="宋体" w:hAnsi="宋体" w:cs="宋体"/>
                <w:szCs w:val="21"/>
              </w:rPr>
              <w:t>服务期限</w:t>
            </w:r>
          </w:p>
        </w:tc>
        <w:tc>
          <w:tcPr>
            <w:tcW w:w="7074" w:type="dxa"/>
            <w:vAlign w:val="center"/>
          </w:tcPr>
          <w:p>
            <w:pPr>
              <w:ind w:right="-3"/>
              <w:jc w:val="left"/>
              <w:rPr>
                <w:rFonts w:ascii="宋体" w:cs="宋体"/>
                <w:szCs w:val="21"/>
              </w:rPr>
            </w:pPr>
            <w:r>
              <w:rPr>
                <w:rFonts w:hint="eastAsia" w:ascii="宋体" w:hAnsi="宋体" w:cs="宋体"/>
                <w:szCs w:val="21"/>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970" w:type="dxa"/>
            <w:vAlign w:val="center"/>
          </w:tcPr>
          <w:p>
            <w:pPr>
              <w:jc w:val="center"/>
              <w:rPr>
                <w:rFonts w:ascii="宋体" w:cs="宋体"/>
                <w:szCs w:val="21"/>
              </w:rPr>
            </w:pPr>
            <w:r>
              <w:rPr>
                <w:rFonts w:ascii="宋体" w:hAnsi="宋体" w:cs="宋体"/>
                <w:szCs w:val="21"/>
              </w:rPr>
              <w:t>9</w:t>
            </w:r>
          </w:p>
        </w:tc>
        <w:tc>
          <w:tcPr>
            <w:tcW w:w="1732" w:type="dxa"/>
            <w:vAlign w:val="center"/>
          </w:tcPr>
          <w:p>
            <w:pPr>
              <w:jc w:val="left"/>
              <w:rPr>
                <w:rFonts w:ascii="宋体" w:cs="宋体"/>
                <w:szCs w:val="21"/>
              </w:rPr>
            </w:pPr>
            <w:r>
              <w:rPr>
                <w:rFonts w:hint="eastAsia" w:ascii="宋体" w:hAnsi="宋体" w:cs="宋体"/>
                <w:szCs w:val="21"/>
              </w:rPr>
              <w:t>比选申请人资格要求</w:t>
            </w:r>
          </w:p>
        </w:tc>
        <w:tc>
          <w:tcPr>
            <w:tcW w:w="7074" w:type="dxa"/>
            <w:vAlign w:val="center"/>
          </w:tcPr>
          <w:p>
            <w:pPr>
              <w:numPr>
                <w:ilvl w:val="0"/>
                <w:numId w:val="2"/>
              </w:numPr>
              <w:ind w:right="-3"/>
              <w:jc w:val="left"/>
              <w:rPr>
                <w:rFonts w:ascii="宋体" w:hAnsi="宋体" w:cs="宋体"/>
                <w:szCs w:val="21"/>
              </w:rPr>
            </w:pPr>
            <w:r>
              <w:rPr>
                <w:rFonts w:hint="eastAsia" w:ascii="宋体" w:hAnsi="宋体" w:cs="宋体"/>
                <w:szCs w:val="21"/>
              </w:rPr>
              <w:t>中华人民共和国境内依法设立的机构（包括但不限于会计师事务所、咨询公司、投资银行、科研院所等），具有企业经营情况分析项目经验。没有处于被行政主管部门或业主取消比选申请资格的处罚期内，且没有处于被责令停业，财产被接管、破产状态；若以分支机构参与投标，必须出具总部授权参与证明；比选申请截止时间前3年内没有骗取中选、严重违约或重大质量安全责任事故的情况。</w:t>
            </w:r>
          </w:p>
          <w:p>
            <w:pPr>
              <w:ind w:right="-3"/>
              <w:jc w:val="left"/>
              <w:rPr>
                <w:rFonts w:ascii="宋体" w:cs="宋体"/>
                <w:szCs w:val="21"/>
              </w:rPr>
            </w:pPr>
            <w:r>
              <w:rPr>
                <w:rFonts w:ascii="宋体" w:hAnsi="宋体" w:cs="宋体"/>
                <w:kern w:val="0"/>
                <w:szCs w:val="21"/>
              </w:rPr>
              <w:t>2</w:t>
            </w:r>
            <w:r>
              <w:rPr>
                <w:rFonts w:hint="eastAsia" w:ascii="宋体" w:hAnsi="宋体" w:cs="宋体"/>
                <w:kern w:val="0"/>
                <w:szCs w:val="21"/>
              </w:rPr>
              <w:t>、本次比选不接受联合体报价，母、子公司只允许其中一家公司参与比选申请；同一法定代表人，只接受一家参与比选申请。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jc w:val="center"/>
        </w:trPr>
        <w:tc>
          <w:tcPr>
            <w:tcW w:w="970" w:type="dxa"/>
            <w:vAlign w:val="center"/>
          </w:tcPr>
          <w:p>
            <w:pPr>
              <w:jc w:val="center"/>
              <w:rPr>
                <w:rFonts w:ascii="宋体" w:cs="宋体"/>
                <w:szCs w:val="21"/>
              </w:rPr>
            </w:pPr>
            <w:r>
              <w:rPr>
                <w:rFonts w:ascii="宋体" w:hAnsi="宋体" w:cs="宋体"/>
                <w:szCs w:val="21"/>
              </w:rPr>
              <w:t>10</w:t>
            </w:r>
          </w:p>
        </w:tc>
        <w:tc>
          <w:tcPr>
            <w:tcW w:w="1732" w:type="dxa"/>
            <w:vAlign w:val="center"/>
          </w:tcPr>
          <w:p>
            <w:pPr>
              <w:jc w:val="left"/>
              <w:rPr>
                <w:rFonts w:ascii="宋体" w:cs="宋体"/>
                <w:szCs w:val="21"/>
              </w:rPr>
            </w:pPr>
            <w:r>
              <w:rPr>
                <w:rFonts w:hint="eastAsia" w:ascii="宋体" w:hAnsi="宋体" w:cs="宋体"/>
                <w:szCs w:val="21"/>
              </w:rPr>
              <w:t>获取比选文件方式</w:t>
            </w:r>
          </w:p>
        </w:tc>
        <w:tc>
          <w:tcPr>
            <w:tcW w:w="7074" w:type="dxa"/>
            <w:vAlign w:val="center"/>
          </w:tcPr>
          <w:p>
            <w:pPr>
              <w:jc w:val="left"/>
              <w:rPr>
                <w:rFonts w:ascii="宋体" w:cs="宋体"/>
                <w:szCs w:val="21"/>
              </w:rPr>
            </w:pPr>
            <w:r>
              <w:rPr>
                <w:rFonts w:hint="eastAsia" w:ascii="宋体" w:hAnsi="宋体" w:cs="宋体"/>
                <w:szCs w:val="21"/>
              </w:rPr>
              <w:t>本项目实行网上发布电子版比选文件，不出售纸质比选文件。凡有意参与的潜在比选申请人，请登录南宁轨道交通集团有限责任公司官网（</w:t>
            </w:r>
            <w:r>
              <w:rPr>
                <w:rFonts w:ascii="宋体" w:hAnsi="宋体" w:cs="宋体"/>
                <w:szCs w:val="21"/>
              </w:rPr>
              <w:t>http://www.nngdjt.com/</w:t>
            </w:r>
            <w:r>
              <w:rPr>
                <w:rFonts w:hint="eastAsia" w:ascii="宋体" w:hAnsi="宋体" w:cs="宋体"/>
                <w:szCs w:val="21"/>
              </w:rPr>
              <w:t>）的招标招商中的招标公告处下载比选文件。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970" w:type="dxa"/>
            <w:vAlign w:val="center"/>
          </w:tcPr>
          <w:p>
            <w:pPr>
              <w:jc w:val="center"/>
              <w:rPr>
                <w:rFonts w:ascii="宋体" w:cs="宋体"/>
                <w:szCs w:val="21"/>
              </w:rPr>
            </w:pPr>
            <w:r>
              <w:rPr>
                <w:rFonts w:ascii="宋体" w:hAnsi="宋体" w:cs="宋体"/>
                <w:szCs w:val="21"/>
              </w:rPr>
              <w:t>11</w:t>
            </w:r>
          </w:p>
        </w:tc>
        <w:tc>
          <w:tcPr>
            <w:tcW w:w="1732" w:type="dxa"/>
            <w:vAlign w:val="center"/>
          </w:tcPr>
          <w:p>
            <w:pPr>
              <w:jc w:val="left"/>
              <w:rPr>
                <w:rFonts w:ascii="宋体" w:cs="宋体"/>
                <w:szCs w:val="21"/>
              </w:rPr>
            </w:pPr>
            <w:r>
              <w:rPr>
                <w:rFonts w:hint="eastAsia" w:ascii="宋体" w:hAnsi="宋体" w:cs="宋体"/>
                <w:szCs w:val="21"/>
              </w:rPr>
              <w:t>比选有效期</w:t>
            </w:r>
            <w:r>
              <w:rPr>
                <w:rFonts w:ascii="宋体" w:hAnsi="宋体" w:cs="宋体"/>
                <w:szCs w:val="21"/>
              </w:rPr>
              <w:t xml:space="preserve"> </w:t>
            </w:r>
          </w:p>
        </w:tc>
        <w:tc>
          <w:tcPr>
            <w:tcW w:w="7074" w:type="dxa"/>
            <w:vAlign w:val="center"/>
          </w:tcPr>
          <w:p>
            <w:pPr>
              <w:ind w:right="-82"/>
              <w:jc w:val="left"/>
              <w:rPr>
                <w:rFonts w:ascii="宋体" w:cs="宋体"/>
                <w:szCs w:val="21"/>
              </w:rPr>
            </w:pPr>
            <w:r>
              <w:rPr>
                <w:rFonts w:ascii="宋体" w:hAnsi="宋体" w:cs="宋体"/>
                <w:szCs w:val="21"/>
              </w:rPr>
              <w:t>90</w:t>
            </w:r>
            <w:r>
              <w:rPr>
                <w:rFonts w:hint="eastAsia" w:ascii="宋体" w:hAnsi="宋体" w:cs="宋体"/>
                <w:szCs w:val="21"/>
              </w:rPr>
              <w:t>天（比选有效期是指为保证比选发起人有足够的时间完成评审和与中选人签订合同而在一定时间内保持有效的期限。比选有效期从比选申请文件递交截止之日算起。）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970" w:type="dxa"/>
            <w:vAlign w:val="center"/>
          </w:tcPr>
          <w:p>
            <w:pPr>
              <w:jc w:val="center"/>
              <w:rPr>
                <w:rFonts w:ascii="宋体" w:cs="宋体"/>
                <w:szCs w:val="21"/>
              </w:rPr>
            </w:pPr>
            <w:r>
              <w:rPr>
                <w:rFonts w:ascii="宋体" w:hAnsi="宋体" w:cs="宋体"/>
                <w:szCs w:val="21"/>
              </w:rPr>
              <w:t>12</w:t>
            </w:r>
          </w:p>
        </w:tc>
        <w:tc>
          <w:tcPr>
            <w:tcW w:w="1732" w:type="dxa"/>
            <w:vAlign w:val="center"/>
          </w:tcPr>
          <w:p>
            <w:pPr>
              <w:jc w:val="left"/>
              <w:rPr>
                <w:rFonts w:ascii="宋体" w:cs="宋体"/>
                <w:szCs w:val="21"/>
              </w:rPr>
            </w:pPr>
            <w:r>
              <w:rPr>
                <w:rFonts w:hint="eastAsia" w:ascii="宋体" w:hAnsi="宋体" w:cs="宋体"/>
                <w:szCs w:val="21"/>
              </w:rPr>
              <w:t>比选申请文件份数</w:t>
            </w:r>
          </w:p>
        </w:tc>
        <w:tc>
          <w:tcPr>
            <w:tcW w:w="7074" w:type="dxa"/>
            <w:vAlign w:val="center"/>
          </w:tcPr>
          <w:p>
            <w:pPr>
              <w:ind w:right="-82"/>
              <w:jc w:val="left"/>
              <w:rPr>
                <w:rFonts w:ascii="宋体" w:cs="宋体"/>
                <w:szCs w:val="21"/>
              </w:rPr>
            </w:pPr>
            <w:r>
              <w:rPr>
                <w:rFonts w:hint="eastAsia" w:ascii="宋体" w:hAnsi="宋体" w:cs="宋体"/>
                <w:szCs w:val="21"/>
              </w:rPr>
              <w:t>纸质版一式五份，其中正本一份、副本四份（中选后提交电子版）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970" w:type="dxa"/>
            <w:vAlign w:val="center"/>
          </w:tcPr>
          <w:p>
            <w:pPr>
              <w:jc w:val="center"/>
              <w:rPr>
                <w:rFonts w:ascii="宋体" w:cs="宋体"/>
                <w:szCs w:val="21"/>
              </w:rPr>
            </w:pPr>
            <w:r>
              <w:rPr>
                <w:rFonts w:ascii="宋体" w:hAnsi="宋体" w:cs="宋体"/>
                <w:szCs w:val="21"/>
              </w:rPr>
              <w:t>13</w:t>
            </w:r>
          </w:p>
        </w:tc>
        <w:tc>
          <w:tcPr>
            <w:tcW w:w="1732" w:type="dxa"/>
            <w:vAlign w:val="center"/>
          </w:tcPr>
          <w:p>
            <w:pPr>
              <w:jc w:val="left"/>
              <w:rPr>
                <w:rFonts w:ascii="宋体" w:cs="宋体"/>
                <w:szCs w:val="21"/>
              </w:rPr>
            </w:pPr>
            <w:r>
              <w:rPr>
                <w:rFonts w:hint="eastAsia" w:ascii="宋体" w:hAnsi="宋体" w:cs="宋体"/>
                <w:szCs w:val="21"/>
              </w:rPr>
              <w:t>比选申请文件递交地址</w:t>
            </w:r>
          </w:p>
        </w:tc>
        <w:tc>
          <w:tcPr>
            <w:tcW w:w="7074" w:type="dxa"/>
            <w:vAlign w:val="center"/>
          </w:tcPr>
          <w:p>
            <w:pPr>
              <w:ind w:right="-3"/>
              <w:jc w:val="left"/>
              <w:rPr>
                <w:rFonts w:ascii="宋体" w:cs="宋体"/>
                <w:b/>
                <w:szCs w:val="21"/>
              </w:rPr>
            </w:pPr>
            <w:r>
              <w:rPr>
                <w:rFonts w:hint="eastAsia" w:ascii="宋体" w:hAnsi="宋体" w:cs="宋体"/>
                <w:b/>
                <w:szCs w:val="21"/>
              </w:rPr>
              <w:t>地点：广西南宁市云景路</w:t>
            </w:r>
            <w:r>
              <w:rPr>
                <w:rFonts w:ascii="宋体" w:hAnsi="宋体" w:cs="宋体"/>
                <w:b/>
                <w:szCs w:val="21"/>
              </w:rPr>
              <w:t>69</w:t>
            </w:r>
            <w:r>
              <w:rPr>
                <w:rFonts w:hint="eastAsia" w:ascii="宋体" w:hAnsi="宋体" w:cs="宋体"/>
                <w:b/>
                <w:szCs w:val="21"/>
              </w:rPr>
              <w:t>号南宁轨道交通集团有限责任公司</w:t>
            </w:r>
            <w:r>
              <w:rPr>
                <w:rFonts w:ascii="宋体" w:hAnsi="宋体" w:cs="宋体"/>
                <w:b/>
                <w:szCs w:val="21"/>
              </w:rPr>
              <w:t>A2</w:t>
            </w:r>
            <w:r>
              <w:rPr>
                <w:rFonts w:hint="eastAsia" w:ascii="宋体" w:hAnsi="宋体" w:cs="宋体"/>
                <w:b/>
                <w:szCs w:val="21"/>
              </w:rPr>
              <w:t>栋</w:t>
            </w:r>
            <w:r>
              <w:rPr>
                <w:rFonts w:ascii="宋体" w:hAnsi="宋体" w:cs="宋体"/>
                <w:b/>
                <w:szCs w:val="21"/>
              </w:rPr>
              <w:t>104</w:t>
            </w:r>
            <w:r>
              <w:rPr>
                <w:rFonts w:hint="eastAsia" w:ascii="宋体" w:hAnsi="宋体" w:cs="宋体"/>
                <w:b/>
                <w:szCs w:val="21"/>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shd w:val="clear" w:color="auto" w:fill="FFFFFF"/>
            <w:vAlign w:val="center"/>
          </w:tcPr>
          <w:p>
            <w:pPr>
              <w:jc w:val="center"/>
              <w:rPr>
                <w:rFonts w:ascii="宋体" w:cs="宋体"/>
                <w:szCs w:val="21"/>
              </w:rPr>
            </w:pPr>
            <w:r>
              <w:rPr>
                <w:rFonts w:ascii="宋体" w:hAnsi="宋体" w:cs="宋体"/>
                <w:szCs w:val="21"/>
              </w:rPr>
              <w:t>14</w:t>
            </w:r>
          </w:p>
        </w:tc>
        <w:tc>
          <w:tcPr>
            <w:tcW w:w="1732" w:type="dxa"/>
            <w:shd w:val="clear" w:color="auto" w:fill="FFFFFF"/>
            <w:vAlign w:val="center"/>
          </w:tcPr>
          <w:p>
            <w:pPr>
              <w:jc w:val="left"/>
              <w:rPr>
                <w:rFonts w:ascii="宋体" w:cs="宋体"/>
                <w:szCs w:val="21"/>
              </w:rPr>
            </w:pPr>
            <w:r>
              <w:rPr>
                <w:rFonts w:hint="eastAsia" w:ascii="宋体" w:hAnsi="宋体" w:cs="宋体"/>
                <w:szCs w:val="21"/>
              </w:rPr>
              <w:t>比选申请文件递交日期</w:t>
            </w:r>
            <w:r>
              <w:rPr>
                <w:rFonts w:ascii="宋体" w:hAnsi="宋体" w:cs="宋体"/>
                <w:szCs w:val="21"/>
              </w:rPr>
              <w:t xml:space="preserve"> </w:t>
            </w:r>
          </w:p>
        </w:tc>
        <w:tc>
          <w:tcPr>
            <w:tcW w:w="7074" w:type="dxa"/>
            <w:shd w:val="clear" w:color="auto" w:fill="FFFFFF"/>
            <w:vAlign w:val="center"/>
          </w:tcPr>
          <w:p>
            <w:pPr>
              <w:ind w:right="753"/>
              <w:jc w:val="left"/>
              <w:rPr>
                <w:rFonts w:ascii="宋体" w:cs="宋体"/>
                <w:szCs w:val="21"/>
              </w:rPr>
            </w:pPr>
            <w:r>
              <w:rPr>
                <w:rFonts w:ascii="宋体" w:hAnsi="宋体" w:cs="宋体"/>
                <w:szCs w:val="21"/>
              </w:rPr>
              <w:t>2023</w:t>
            </w:r>
            <w:r>
              <w:rPr>
                <w:rFonts w:hint="eastAsia" w:ascii="宋体" w:hAnsi="宋体" w:cs="宋体"/>
                <w:szCs w:val="21"/>
              </w:rPr>
              <w:t>年</w:t>
            </w:r>
            <w:r>
              <w:rPr>
                <w:rFonts w:hint="eastAsia" w:ascii="宋体" w:hAnsi="宋体" w:cs="宋体"/>
                <w:szCs w:val="21"/>
                <w:lang w:val="en-US" w:eastAsia="zh-CN"/>
              </w:rPr>
              <w:t>5</w:t>
            </w:r>
            <w:r>
              <w:rPr>
                <w:rFonts w:hint="eastAsia" w:ascii="宋体" w:hAnsi="宋体" w:cs="宋体"/>
                <w:szCs w:val="21"/>
              </w:rPr>
              <w:t>月</w:t>
            </w:r>
            <w:r>
              <w:rPr>
                <w:rFonts w:hint="eastAsia" w:ascii="宋体" w:hAnsi="宋体" w:cs="宋体"/>
                <w:szCs w:val="21"/>
                <w:lang w:val="en-US" w:eastAsia="zh-CN"/>
              </w:rPr>
              <w:t>9</w:t>
            </w:r>
            <w:r>
              <w:rPr>
                <w:rFonts w:hint="eastAsia" w:ascii="宋体" w:hAnsi="宋体" w:cs="宋体"/>
                <w:szCs w:val="21"/>
              </w:rPr>
              <w:t>日上午</w:t>
            </w:r>
            <w:r>
              <w:rPr>
                <w:rFonts w:ascii="宋体" w:hAnsi="宋体" w:cs="宋体"/>
                <w:szCs w:val="21"/>
              </w:rPr>
              <w:t>8:3</w:t>
            </w:r>
            <w:r>
              <w:rPr>
                <w:rFonts w:ascii="宋体" w:cs="宋体"/>
                <w:szCs w:val="21"/>
              </w:rPr>
              <w:t>0</w:t>
            </w:r>
            <w:r>
              <w:rPr>
                <w:rFonts w:hint="eastAsia" w:ascii="宋体" w:cs="宋体"/>
                <w:szCs w:val="21"/>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shd w:val="clear" w:color="auto" w:fill="FFFFFF"/>
            <w:vAlign w:val="center"/>
          </w:tcPr>
          <w:p>
            <w:pPr>
              <w:jc w:val="center"/>
              <w:rPr>
                <w:rFonts w:ascii="宋体" w:cs="宋体"/>
                <w:szCs w:val="21"/>
              </w:rPr>
            </w:pPr>
            <w:r>
              <w:rPr>
                <w:rFonts w:ascii="宋体" w:hAnsi="宋体" w:cs="宋体"/>
                <w:szCs w:val="21"/>
              </w:rPr>
              <w:t>15</w:t>
            </w:r>
          </w:p>
        </w:tc>
        <w:tc>
          <w:tcPr>
            <w:tcW w:w="1732" w:type="dxa"/>
            <w:shd w:val="clear" w:color="auto" w:fill="FFFFFF"/>
            <w:vAlign w:val="center"/>
          </w:tcPr>
          <w:p>
            <w:pPr>
              <w:jc w:val="left"/>
              <w:rPr>
                <w:rFonts w:ascii="宋体" w:cs="宋体"/>
                <w:szCs w:val="21"/>
              </w:rPr>
            </w:pPr>
            <w:r>
              <w:rPr>
                <w:rFonts w:hint="eastAsia" w:ascii="宋体" w:hAnsi="宋体" w:cs="宋体"/>
                <w:szCs w:val="21"/>
              </w:rPr>
              <w:t>比选时间、地点</w:t>
            </w:r>
            <w:r>
              <w:rPr>
                <w:rFonts w:ascii="宋体" w:hAnsi="宋体" w:cs="宋体"/>
                <w:szCs w:val="21"/>
              </w:rPr>
              <w:t xml:space="preserve">          </w:t>
            </w:r>
          </w:p>
        </w:tc>
        <w:tc>
          <w:tcPr>
            <w:tcW w:w="7074" w:type="dxa"/>
            <w:shd w:val="clear" w:color="auto" w:fill="FFFFFF"/>
            <w:vAlign w:val="center"/>
          </w:tcPr>
          <w:p>
            <w:pPr>
              <w:ind w:right="-3"/>
              <w:jc w:val="left"/>
              <w:rPr>
                <w:rFonts w:ascii="宋体" w:cs="宋体"/>
                <w:szCs w:val="21"/>
                <w:highlight w:val="yellow"/>
              </w:rPr>
            </w:pPr>
            <w:r>
              <w:rPr>
                <w:rFonts w:hint="eastAsia" w:ascii="宋体" w:hAnsi="宋体" w:cs="宋体"/>
                <w:szCs w:val="21"/>
              </w:rPr>
              <w:t>时间：</w:t>
            </w:r>
            <w:r>
              <w:rPr>
                <w:rFonts w:ascii="宋体" w:hAnsi="宋体" w:cs="宋体"/>
                <w:szCs w:val="21"/>
              </w:rPr>
              <w:t>2023</w:t>
            </w:r>
            <w:r>
              <w:rPr>
                <w:rFonts w:hint="eastAsia" w:ascii="宋体" w:hAnsi="宋体" w:cs="宋体"/>
                <w:szCs w:val="21"/>
              </w:rPr>
              <w:t>年</w:t>
            </w:r>
            <w:r>
              <w:rPr>
                <w:rFonts w:hint="eastAsia" w:ascii="宋体" w:hAnsi="宋体" w:cs="宋体"/>
                <w:szCs w:val="21"/>
                <w:lang w:val="en-US" w:eastAsia="zh-CN"/>
              </w:rPr>
              <w:t>5</w:t>
            </w:r>
            <w:r>
              <w:rPr>
                <w:rFonts w:hint="eastAsia" w:ascii="宋体" w:hAnsi="宋体" w:cs="宋体"/>
                <w:szCs w:val="21"/>
              </w:rPr>
              <w:t>月</w:t>
            </w:r>
            <w:r>
              <w:rPr>
                <w:rFonts w:hint="eastAsia" w:ascii="宋体" w:hAnsi="宋体" w:cs="宋体"/>
                <w:szCs w:val="21"/>
                <w:lang w:val="en-US" w:eastAsia="zh-CN"/>
              </w:rPr>
              <w:t>9</w:t>
            </w:r>
            <w:bookmarkStart w:id="610" w:name="_GoBack"/>
            <w:bookmarkEnd w:id="610"/>
            <w:r>
              <w:rPr>
                <w:rFonts w:hint="eastAsia" w:ascii="宋体" w:hAnsi="宋体" w:cs="宋体"/>
                <w:szCs w:val="21"/>
              </w:rPr>
              <w:t>日上午</w:t>
            </w:r>
            <w:r>
              <w:rPr>
                <w:rFonts w:ascii="宋体" w:hAnsi="宋体" w:cs="宋体"/>
                <w:szCs w:val="21"/>
              </w:rPr>
              <w:t>9:00</w:t>
            </w:r>
          </w:p>
          <w:p>
            <w:pPr>
              <w:ind w:right="-3"/>
              <w:jc w:val="left"/>
              <w:rPr>
                <w:rFonts w:ascii="宋体" w:cs="宋体"/>
                <w:szCs w:val="21"/>
              </w:rPr>
            </w:pPr>
            <w:r>
              <w:rPr>
                <w:rFonts w:hint="eastAsia" w:ascii="宋体" w:hAnsi="宋体" w:cs="宋体"/>
                <w:szCs w:val="21"/>
              </w:rPr>
              <w:t>地点：广西南宁市云景路</w:t>
            </w:r>
            <w:r>
              <w:rPr>
                <w:rFonts w:ascii="宋体" w:hAnsi="宋体" w:cs="宋体"/>
                <w:szCs w:val="21"/>
              </w:rPr>
              <w:t>69</w:t>
            </w:r>
            <w:r>
              <w:rPr>
                <w:rFonts w:hint="eastAsia" w:ascii="宋体" w:hAnsi="宋体" w:cs="宋体"/>
                <w:szCs w:val="21"/>
              </w:rPr>
              <w:t>号南宁轨道交通集团有限责任公司</w:t>
            </w:r>
            <w:r>
              <w:rPr>
                <w:rFonts w:ascii="宋体" w:hAnsi="宋体" w:cs="宋体"/>
                <w:szCs w:val="21"/>
              </w:rPr>
              <w:t>A2</w:t>
            </w:r>
            <w:r>
              <w:rPr>
                <w:rFonts w:hint="eastAsia" w:ascii="宋体" w:hAnsi="宋体" w:cs="宋体"/>
                <w:szCs w:val="21"/>
              </w:rPr>
              <w:t>栋</w:t>
            </w:r>
            <w:r>
              <w:rPr>
                <w:rFonts w:ascii="宋体" w:hAnsi="宋体" w:cs="宋体"/>
                <w:szCs w:val="21"/>
              </w:rPr>
              <w:t>104</w:t>
            </w:r>
            <w:r>
              <w:rPr>
                <w:rFonts w:hint="eastAsia" w:ascii="宋体" w:hAnsi="宋体" w:cs="宋体"/>
                <w:szCs w:val="21"/>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vAlign w:val="center"/>
          </w:tcPr>
          <w:p>
            <w:pPr>
              <w:jc w:val="center"/>
              <w:rPr>
                <w:rFonts w:ascii="宋体" w:cs="宋体"/>
                <w:szCs w:val="21"/>
              </w:rPr>
            </w:pPr>
            <w:r>
              <w:rPr>
                <w:rFonts w:ascii="宋体" w:hAnsi="宋体" w:cs="宋体"/>
                <w:szCs w:val="21"/>
              </w:rPr>
              <w:t>16</w:t>
            </w:r>
          </w:p>
        </w:tc>
        <w:tc>
          <w:tcPr>
            <w:tcW w:w="1732" w:type="dxa"/>
            <w:vAlign w:val="center"/>
          </w:tcPr>
          <w:p>
            <w:pPr>
              <w:jc w:val="left"/>
              <w:rPr>
                <w:rFonts w:ascii="宋体" w:cs="宋体"/>
                <w:szCs w:val="21"/>
              </w:rPr>
            </w:pPr>
            <w:r>
              <w:rPr>
                <w:rFonts w:hint="eastAsia" w:ascii="宋体" w:hAnsi="宋体" w:cs="宋体"/>
                <w:szCs w:val="21"/>
              </w:rPr>
              <w:t>评比办法</w:t>
            </w:r>
          </w:p>
        </w:tc>
        <w:tc>
          <w:tcPr>
            <w:tcW w:w="7074" w:type="dxa"/>
            <w:vAlign w:val="center"/>
          </w:tcPr>
          <w:p>
            <w:pPr>
              <w:ind w:right="753"/>
              <w:jc w:val="left"/>
              <w:rPr>
                <w:rFonts w:ascii="宋体" w:cs="宋体"/>
                <w:szCs w:val="21"/>
              </w:rPr>
            </w:pPr>
            <w:r>
              <w:rPr>
                <w:rFonts w:hint="eastAsia" w:ascii="宋体" w:hAnsi="宋体" w:cs="宋体"/>
                <w:szCs w:val="21"/>
              </w:rPr>
              <w:t>综合评分办法（详见第四章）</w:t>
            </w:r>
            <w:r>
              <w:rPr>
                <w:rFonts w:ascii="宋体" w:hAnsi="宋体" w:cs="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970" w:type="dxa"/>
            <w:vAlign w:val="center"/>
          </w:tcPr>
          <w:p>
            <w:pPr>
              <w:jc w:val="center"/>
              <w:rPr>
                <w:rFonts w:ascii="宋体" w:cs="宋体"/>
                <w:szCs w:val="21"/>
              </w:rPr>
            </w:pPr>
            <w:r>
              <w:rPr>
                <w:rFonts w:ascii="宋体" w:hAnsi="宋体" w:cs="宋体"/>
                <w:szCs w:val="21"/>
              </w:rPr>
              <w:t>17</w:t>
            </w:r>
          </w:p>
        </w:tc>
        <w:tc>
          <w:tcPr>
            <w:tcW w:w="1732" w:type="dxa"/>
            <w:vAlign w:val="center"/>
          </w:tcPr>
          <w:p>
            <w:pPr>
              <w:jc w:val="left"/>
              <w:rPr>
                <w:rFonts w:ascii="宋体" w:cs="宋体"/>
                <w:szCs w:val="21"/>
              </w:rPr>
            </w:pPr>
            <w:r>
              <w:rPr>
                <w:rFonts w:hint="eastAsia" w:ascii="宋体" w:hAnsi="宋体" w:cs="宋体"/>
                <w:szCs w:val="21"/>
              </w:rPr>
              <w:t>中选通知</w:t>
            </w:r>
          </w:p>
        </w:tc>
        <w:tc>
          <w:tcPr>
            <w:tcW w:w="7074" w:type="dxa"/>
            <w:vAlign w:val="center"/>
          </w:tcPr>
          <w:p>
            <w:pPr>
              <w:ind w:right="-3"/>
              <w:rPr>
                <w:rFonts w:ascii="宋体" w:cs="宋体"/>
                <w:szCs w:val="21"/>
              </w:rPr>
            </w:pPr>
            <w:r>
              <w:rPr>
                <w:rFonts w:hint="eastAsia" w:ascii="宋体" w:hAnsi="宋体" w:cs="宋体"/>
                <w:szCs w:val="21"/>
              </w:rPr>
              <w:t>比选人根据评审小组的评比结果在比选有效期内向中选的比选申请人发出中选通知书。</w:t>
            </w:r>
          </w:p>
          <w:p>
            <w:pPr>
              <w:ind w:right="-3"/>
              <w:rPr>
                <w:rFonts w:ascii="宋体" w:cs="宋体"/>
                <w:szCs w:val="21"/>
              </w:rPr>
            </w:pPr>
            <w:r>
              <w:rPr>
                <w:rFonts w:hint="eastAsia" w:ascii="宋体" w:hAnsi="宋体" w:cs="宋体"/>
                <w:szCs w:val="21"/>
              </w:rPr>
              <w:t>比选人无义务向未中选的比选申请人解释未中选原因和退还其比选文件。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970" w:type="dxa"/>
            <w:vAlign w:val="center"/>
          </w:tcPr>
          <w:p>
            <w:pPr>
              <w:jc w:val="center"/>
              <w:rPr>
                <w:rFonts w:ascii="宋体" w:cs="宋体"/>
                <w:szCs w:val="21"/>
              </w:rPr>
            </w:pPr>
            <w:r>
              <w:rPr>
                <w:rFonts w:ascii="宋体" w:hAnsi="宋体" w:cs="宋体"/>
                <w:szCs w:val="21"/>
              </w:rPr>
              <w:t>18</w:t>
            </w:r>
          </w:p>
        </w:tc>
        <w:tc>
          <w:tcPr>
            <w:tcW w:w="1732" w:type="dxa"/>
            <w:vAlign w:val="center"/>
          </w:tcPr>
          <w:p>
            <w:pPr>
              <w:spacing w:line="240" w:lineRule="exact"/>
              <w:jc w:val="left"/>
              <w:rPr>
                <w:rFonts w:ascii="宋体"/>
                <w:szCs w:val="21"/>
              </w:rPr>
            </w:pPr>
            <w:r>
              <w:rPr>
                <w:rFonts w:hint="eastAsia" w:ascii="宋体" w:hAnsi="宋体"/>
                <w:szCs w:val="21"/>
              </w:rPr>
              <w:t>比选保证金</w:t>
            </w:r>
          </w:p>
        </w:tc>
        <w:tc>
          <w:tcPr>
            <w:tcW w:w="7074" w:type="dxa"/>
            <w:vAlign w:val="center"/>
          </w:tcPr>
          <w:p>
            <w:pPr>
              <w:spacing w:line="240" w:lineRule="exact"/>
              <w:rPr>
                <w:rFonts w:ascii="宋体"/>
                <w:szCs w:val="21"/>
              </w:rPr>
            </w:pPr>
            <w:r>
              <w:rPr>
                <w:rFonts w:hint="eastAsia" w:ascii="宋体" w:hAnsi="宋体"/>
                <w:szCs w:val="21"/>
              </w:rPr>
              <w:t>本项目不设比选保证金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970" w:type="dxa"/>
            <w:vAlign w:val="center"/>
          </w:tcPr>
          <w:p>
            <w:pPr>
              <w:jc w:val="center"/>
              <w:rPr>
                <w:rFonts w:ascii="宋体" w:cs="宋体"/>
                <w:szCs w:val="21"/>
              </w:rPr>
            </w:pPr>
            <w:r>
              <w:rPr>
                <w:rFonts w:ascii="宋体" w:hAnsi="宋体" w:cs="宋体"/>
                <w:szCs w:val="21"/>
              </w:rPr>
              <w:t>19</w:t>
            </w:r>
          </w:p>
        </w:tc>
        <w:tc>
          <w:tcPr>
            <w:tcW w:w="1732" w:type="dxa"/>
            <w:vAlign w:val="center"/>
          </w:tcPr>
          <w:p>
            <w:pPr>
              <w:spacing w:line="240" w:lineRule="exact"/>
              <w:jc w:val="left"/>
              <w:rPr>
                <w:rFonts w:ascii="宋体"/>
                <w:szCs w:val="21"/>
              </w:rPr>
            </w:pPr>
            <w:r>
              <w:rPr>
                <w:rFonts w:hint="eastAsia" w:ascii="宋体" w:hAnsi="宋体"/>
                <w:szCs w:val="21"/>
              </w:rPr>
              <w:t>履约保证金</w:t>
            </w:r>
          </w:p>
        </w:tc>
        <w:tc>
          <w:tcPr>
            <w:tcW w:w="7074" w:type="dxa"/>
            <w:vAlign w:val="center"/>
          </w:tcPr>
          <w:p>
            <w:pPr>
              <w:spacing w:line="240" w:lineRule="exact"/>
              <w:jc w:val="left"/>
              <w:rPr>
                <w:rFonts w:ascii="宋体"/>
                <w:szCs w:val="21"/>
              </w:rPr>
            </w:pPr>
            <w:r>
              <w:rPr>
                <w:rFonts w:hint="eastAsia" w:ascii="宋体" w:hAnsi="宋体"/>
                <w:szCs w:val="21"/>
              </w:rPr>
              <w:t>本项目不设履约保证金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970" w:type="dxa"/>
            <w:vAlign w:val="center"/>
          </w:tcPr>
          <w:p>
            <w:pPr>
              <w:jc w:val="center"/>
              <w:rPr>
                <w:rFonts w:ascii="宋体" w:cs="宋体"/>
                <w:szCs w:val="21"/>
              </w:rPr>
            </w:pPr>
            <w:r>
              <w:rPr>
                <w:rFonts w:ascii="宋体" w:hAnsi="宋体" w:cs="宋体"/>
                <w:szCs w:val="21"/>
              </w:rPr>
              <w:t>20</w:t>
            </w:r>
          </w:p>
        </w:tc>
        <w:tc>
          <w:tcPr>
            <w:tcW w:w="1732" w:type="dxa"/>
            <w:vAlign w:val="center"/>
          </w:tcPr>
          <w:p>
            <w:pPr>
              <w:jc w:val="left"/>
              <w:rPr>
                <w:rFonts w:ascii="宋体" w:cs="宋体"/>
                <w:szCs w:val="21"/>
              </w:rPr>
            </w:pPr>
            <w:r>
              <w:rPr>
                <w:rFonts w:hint="eastAsia" w:ascii="宋体" w:hAnsi="宋体" w:cs="宋体"/>
                <w:szCs w:val="21"/>
              </w:rPr>
              <w:t>联系方式</w:t>
            </w:r>
          </w:p>
        </w:tc>
        <w:tc>
          <w:tcPr>
            <w:tcW w:w="7074" w:type="dxa"/>
            <w:vAlign w:val="center"/>
          </w:tcPr>
          <w:p>
            <w:pPr>
              <w:ind w:right="-82"/>
              <w:jc w:val="left"/>
              <w:rPr>
                <w:rFonts w:ascii="宋体"/>
                <w:szCs w:val="21"/>
              </w:rPr>
            </w:pPr>
            <w:r>
              <w:rPr>
                <w:rFonts w:hint="eastAsia" w:ascii="宋体" w:hAnsi="宋体"/>
                <w:szCs w:val="21"/>
              </w:rPr>
              <w:t>南宁轨道交通集团有限责任公司审计部</w:t>
            </w:r>
            <w:r>
              <w:rPr>
                <w:rFonts w:ascii="宋体" w:hAnsi="宋体"/>
                <w:szCs w:val="21"/>
              </w:rPr>
              <w:t>/</w:t>
            </w:r>
            <w:r>
              <w:rPr>
                <w:rFonts w:hint="eastAsia" w:ascii="宋体" w:hAnsi="宋体"/>
                <w:szCs w:val="21"/>
              </w:rPr>
              <w:t>监事会工作部</w:t>
            </w:r>
            <w:r>
              <w:rPr>
                <w:rFonts w:ascii="宋体" w:hAnsi="宋体"/>
                <w:szCs w:val="21"/>
              </w:rPr>
              <w:t xml:space="preserve"> </w:t>
            </w:r>
          </w:p>
          <w:p>
            <w:pPr>
              <w:ind w:right="-82"/>
              <w:jc w:val="left"/>
              <w:rPr>
                <w:rFonts w:ascii="宋体"/>
                <w:szCs w:val="21"/>
              </w:rPr>
            </w:pPr>
            <w:r>
              <w:rPr>
                <w:rFonts w:hint="eastAsia" w:ascii="宋体" w:hAnsi="宋体"/>
                <w:szCs w:val="21"/>
              </w:rPr>
              <w:t>覃工</w:t>
            </w:r>
            <w:r>
              <w:rPr>
                <w:rFonts w:ascii="宋体" w:hAnsi="宋体"/>
                <w:szCs w:val="21"/>
              </w:rPr>
              <w:t xml:space="preserve">  0771-</w:t>
            </w:r>
            <w:r>
              <w:rPr>
                <w:rFonts w:hint="eastAsia" w:ascii="宋体" w:hAnsi="宋体"/>
                <w:szCs w:val="21"/>
              </w:rPr>
              <w:t>2778524 15201974423</w:t>
            </w:r>
          </w:p>
          <w:p>
            <w:pPr>
              <w:ind w:right="-82"/>
              <w:jc w:val="left"/>
              <w:rPr>
                <w:rFonts w:ascii="宋体" w:cs="宋体"/>
                <w:szCs w:val="21"/>
              </w:rPr>
            </w:pPr>
            <w:r>
              <w:rPr>
                <w:rFonts w:hint="eastAsia" w:ascii="宋体" w:hAnsi="宋体"/>
                <w:szCs w:val="21"/>
              </w:rPr>
              <w:t>邮箱：nngdsjb902@163.com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970" w:type="dxa"/>
            <w:vAlign w:val="center"/>
          </w:tcPr>
          <w:p>
            <w:pPr>
              <w:jc w:val="center"/>
              <w:rPr>
                <w:rFonts w:ascii="宋体" w:cs="宋体"/>
                <w:szCs w:val="21"/>
              </w:rPr>
            </w:pPr>
            <w:r>
              <w:rPr>
                <w:rFonts w:ascii="宋体" w:hAnsi="宋体" w:cs="宋体"/>
                <w:szCs w:val="21"/>
              </w:rPr>
              <w:t>21</w:t>
            </w:r>
          </w:p>
        </w:tc>
        <w:tc>
          <w:tcPr>
            <w:tcW w:w="1732" w:type="dxa"/>
            <w:vAlign w:val="center"/>
          </w:tcPr>
          <w:p>
            <w:pPr>
              <w:jc w:val="left"/>
              <w:rPr>
                <w:rFonts w:ascii="宋体" w:cs="宋体"/>
                <w:szCs w:val="21"/>
              </w:rPr>
            </w:pPr>
            <w:r>
              <w:rPr>
                <w:rFonts w:hint="eastAsia" w:ascii="宋体" w:hAnsi="宋体" w:cs="宋体"/>
                <w:szCs w:val="21"/>
              </w:rPr>
              <w:t>其他事项</w:t>
            </w:r>
          </w:p>
        </w:tc>
        <w:tc>
          <w:tcPr>
            <w:tcW w:w="7074" w:type="dxa"/>
            <w:vAlign w:val="center"/>
          </w:tcPr>
          <w:p>
            <w:pPr>
              <w:ind w:right="-3"/>
              <w:jc w:val="left"/>
              <w:rPr>
                <w:rFonts w:ascii="宋体" w:cs="宋体"/>
                <w:szCs w:val="21"/>
              </w:rPr>
            </w:pPr>
            <w:r>
              <w:rPr>
                <w:rFonts w:hint="eastAsia" w:ascii="宋体" w:hAnsi="宋体" w:cs="宋体"/>
                <w:b/>
                <w:szCs w:val="21"/>
              </w:rPr>
              <w:t>中选单位如放弃中选资格，则比选发起人有权将其列入不良行为记录名单、一年内禁止其参加比选发起人的任何采购活动。</w:t>
            </w:r>
          </w:p>
        </w:tc>
      </w:tr>
    </w:tbl>
    <w:p>
      <w:bookmarkStart w:id="64" w:name="_Toc26201"/>
      <w:bookmarkStart w:id="65" w:name="_Toc461525297"/>
      <w:bookmarkStart w:id="66" w:name="_Toc12419"/>
      <w:bookmarkStart w:id="67" w:name="_Toc471482361"/>
      <w:bookmarkStart w:id="68" w:name="_Toc18983"/>
      <w:bookmarkStart w:id="69" w:name="_Toc20803"/>
      <w:bookmarkStart w:id="70" w:name="_Toc6681"/>
      <w:bookmarkStart w:id="71" w:name="_Toc12506"/>
      <w:bookmarkStart w:id="72" w:name="_Toc32363"/>
      <w:bookmarkStart w:id="73" w:name="_Toc30162"/>
      <w:bookmarkStart w:id="74" w:name="_Toc28086"/>
      <w:bookmarkStart w:id="75" w:name="_Toc16198"/>
      <w:bookmarkStart w:id="76" w:name="_Toc336"/>
      <w:bookmarkStart w:id="77" w:name="_Toc3861"/>
    </w:p>
    <w:p/>
    <w:p/>
    <w:p/>
    <w:p/>
    <w:p/>
    <w:p/>
    <w:p/>
    <w:p/>
    <w:p/>
    <w:p/>
    <w:p/>
    <w:p/>
    <w:p>
      <w:r>
        <w:br w:type="page"/>
      </w:r>
    </w:p>
    <w:p>
      <w:pPr>
        <w:pStyle w:val="4"/>
        <w:spacing w:before="156" w:beforeLines="50" w:after="156" w:afterLines="50" w:line="540" w:lineRule="exact"/>
        <w:jc w:val="center"/>
        <w:rPr>
          <w:rFonts w:ascii="宋体"/>
          <w:b/>
          <w:sz w:val="21"/>
          <w:szCs w:val="21"/>
        </w:rPr>
      </w:pPr>
      <w:bookmarkStart w:id="78" w:name="_Toc5182"/>
      <w:bookmarkStart w:id="79" w:name="_Toc6713"/>
      <w:bookmarkStart w:id="80" w:name="_Toc17477"/>
      <w:bookmarkStart w:id="81" w:name="_Toc7188"/>
      <w:bookmarkStart w:id="82" w:name="_Toc18262"/>
      <w:bookmarkStart w:id="83" w:name="_Toc31396"/>
      <w:bookmarkStart w:id="84" w:name="_Toc28512"/>
      <w:bookmarkStart w:id="85" w:name="_Toc3416"/>
      <w:r>
        <w:rPr>
          <w:rFonts w:hint="eastAsia" w:ascii="宋体" w:hAnsi="宋体"/>
          <w:b/>
          <w:sz w:val="21"/>
          <w:szCs w:val="21"/>
        </w:rPr>
        <w:t>一、总则</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spacing w:line="500" w:lineRule="exact"/>
        <w:ind w:firstLine="316" w:firstLineChars="150"/>
        <w:rPr>
          <w:rFonts w:ascii="宋体" w:cs="宋体"/>
          <w:b/>
          <w:szCs w:val="21"/>
        </w:rPr>
      </w:pPr>
      <w:bookmarkStart w:id="86" w:name="_Toc310318572"/>
      <w:bookmarkStart w:id="87" w:name="_Toc114052414"/>
      <w:bookmarkStart w:id="88" w:name="_Toc286386834"/>
      <w:bookmarkStart w:id="89" w:name="_Toc114052340"/>
      <w:r>
        <w:rPr>
          <w:rFonts w:ascii="宋体" w:hAnsi="宋体" w:cs="宋体"/>
          <w:b/>
          <w:szCs w:val="21"/>
        </w:rPr>
        <w:t>1.</w:t>
      </w:r>
      <w:r>
        <w:rPr>
          <w:rFonts w:hint="eastAsia" w:ascii="宋体" w:hAnsi="宋体" w:cs="宋体"/>
          <w:b/>
          <w:szCs w:val="21"/>
        </w:rPr>
        <w:t>项目比选说明</w:t>
      </w:r>
      <w:bookmarkEnd w:id="86"/>
      <w:bookmarkEnd w:id="87"/>
      <w:bookmarkEnd w:id="88"/>
      <w:bookmarkEnd w:id="89"/>
    </w:p>
    <w:p>
      <w:pPr>
        <w:spacing w:line="500" w:lineRule="exact"/>
        <w:ind w:firstLine="420" w:firstLineChars="200"/>
        <w:rPr>
          <w:rFonts w:ascii="宋体" w:cs="宋体"/>
          <w:szCs w:val="21"/>
        </w:rPr>
      </w:pPr>
      <w:r>
        <w:rPr>
          <w:rFonts w:ascii="宋体" w:hAnsi="宋体" w:cs="宋体"/>
          <w:szCs w:val="21"/>
        </w:rPr>
        <w:t xml:space="preserve">1.1 </w:t>
      </w:r>
      <w:r>
        <w:rPr>
          <w:rFonts w:hint="eastAsia" w:ascii="宋体" w:hAnsi="宋体" w:cs="宋体"/>
          <w:szCs w:val="21"/>
        </w:rPr>
        <w:t>项目比选的说明见比选须知前附表（以下称“前附表”）第</w:t>
      </w:r>
      <w:r>
        <w:rPr>
          <w:rFonts w:ascii="宋体" w:hAnsi="宋体" w:cs="宋体"/>
          <w:szCs w:val="21"/>
        </w:rPr>
        <w:t>1</w:t>
      </w:r>
      <w:r>
        <w:rPr>
          <w:rFonts w:hint="eastAsia" w:ascii="宋体" w:hAnsi="宋体" w:cs="宋体"/>
          <w:szCs w:val="21"/>
        </w:rPr>
        <w:t>项～第</w:t>
      </w:r>
      <w:r>
        <w:rPr>
          <w:rFonts w:ascii="宋体" w:hAnsi="宋体" w:cs="宋体"/>
          <w:szCs w:val="21"/>
        </w:rPr>
        <w:t>21</w:t>
      </w:r>
      <w:r>
        <w:rPr>
          <w:rFonts w:hint="eastAsia" w:ascii="宋体" w:hAnsi="宋体" w:cs="宋体"/>
          <w:szCs w:val="21"/>
        </w:rPr>
        <w:t>项所述。</w:t>
      </w:r>
    </w:p>
    <w:p>
      <w:pPr>
        <w:spacing w:line="500" w:lineRule="exact"/>
        <w:ind w:firstLine="420" w:firstLineChars="200"/>
        <w:rPr>
          <w:rFonts w:ascii="宋体" w:cs="宋体"/>
          <w:szCs w:val="21"/>
        </w:rPr>
      </w:pPr>
      <w:r>
        <w:rPr>
          <w:rFonts w:ascii="宋体" w:hAnsi="宋体" w:cs="宋体"/>
          <w:szCs w:val="21"/>
        </w:rPr>
        <w:t xml:space="preserve">1.2 </w:t>
      </w:r>
      <w:r>
        <w:rPr>
          <w:rFonts w:hint="eastAsia" w:ascii="宋体" w:hAnsi="宋体" w:cs="宋体"/>
          <w:szCs w:val="21"/>
        </w:rPr>
        <w:t>上述项目按照有关规定执行，现通过公开比选来择优选定服务单位。</w:t>
      </w:r>
    </w:p>
    <w:p>
      <w:pPr>
        <w:spacing w:line="500" w:lineRule="exact"/>
        <w:ind w:firstLine="422" w:firstLineChars="200"/>
        <w:rPr>
          <w:rFonts w:ascii="宋体" w:cs="宋体"/>
          <w:b/>
          <w:szCs w:val="21"/>
        </w:rPr>
      </w:pPr>
      <w:r>
        <w:rPr>
          <w:rFonts w:ascii="宋体" w:hAnsi="宋体" w:cs="宋体"/>
          <w:b/>
          <w:szCs w:val="21"/>
        </w:rPr>
        <w:t>2.</w:t>
      </w:r>
      <w:r>
        <w:rPr>
          <w:rFonts w:hint="eastAsia" w:ascii="宋体" w:hAnsi="宋体" w:cs="宋体"/>
          <w:b/>
          <w:szCs w:val="21"/>
        </w:rPr>
        <w:t>工作内容</w:t>
      </w:r>
    </w:p>
    <w:p>
      <w:pPr>
        <w:spacing w:line="500" w:lineRule="exact"/>
        <w:ind w:firstLine="420" w:firstLineChars="200"/>
        <w:rPr>
          <w:rFonts w:ascii="宋体" w:hAnsi="宋体" w:cs="宋体"/>
          <w:szCs w:val="21"/>
        </w:rPr>
      </w:pPr>
      <w:r>
        <w:rPr>
          <w:rFonts w:hint="eastAsia" w:ascii="宋体" w:hAnsi="宋体" w:cs="宋体"/>
          <w:szCs w:val="21"/>
        </w:rPr>
        <w:t>2.1 项目内容</w:t>
      </w:r>
    </w:p>
    <w:p>
      <w:pPr>
        <w:spacing w:line="500" w:lineRule="exact"/>
        <w:ind w:firstLine="420" w:firstLineChars="200"/>
      </w:pPr>
      <w:r>
        <w:rPr>
          <w:rFonts w:hint="eastAsia"/>
        </w:rPr>
        <w:t>对南宁慧泊停车场服务有限责任公司2020年至2022年经营情况进行分析，包括：</w:t>
      </w:r>
    </w:p>
    <w:p>
      <w:pPr>
        <w:spacing w:line="500" w:lineRule="exact"/>
        <w:ind w:firstLine="420" w:firstLineChars="200"/>
        <w:rPr>
          <w:rFonts w:ascii="宋体" w:hAnsi="宋体" w:cs="宋体"/>
          <w:szCs w:val="21"/>
        </w:rPr>
      </w:pPr>
      <w:r>
        <w:rPr>
          <w:rFonts w:hint="eastAsia" w:ascii="宋体" w:hAnsi="宋体" w:cs="宋体"/>
          <w:szCs w:val="21"/>
        </w:rPr>
        <w:t>（1）经营总体情况分析，包括主要财务指标和经营指标分析，与行业平均水平及龙头企业对比；重点关注企业盈利水平分析，与同等城市行业水平的对比分析；</w:t>
      </w:r>
    </w:p>
    <w:p>
      <w:pPr>
        <w:spacing w:line="500" w:lineRule="exact"/>
        <w:ind w:firstLine="420" w:firstLineChars="200"/>
        <w:rPr>
          <w:rFonts w:ascii="宋体" w:hAnsi="宋体" w:cs="宋体"/>
          <w:szCs w:val="21"/>
        </w:rPr>
      </w:pPr>
      <w:r>
        <w:rPr>
          <w:rFonts w:hint="eastAsia" w:ascii="宋体" w:hAnsi="宋体" w:cs="宋体"/>
          <w:szCs w:val="21"/>
        </w:rPr>
        <w:t>（2）主营业务收入、毛利分析，包括结构、规模及增减变动原因分析，与行业平均水平及龙头企业对比；重点关注主营业务收入的完整性分析；</w:t>
      </w:r>
    </w:p>
    <w:p>
      <w:pPr>
        <w:spacing w:line="500" w:lineRule="exact"/>
        <w:ind w:firstLine="420" w:firstLineChars="200"/>
        <w:rPr>
          <w:rFonts w:ascii="宋体" w:hAnsi="宋体" w:cs="宋体"/>
          <w:szCs w:val="21"/>
        </w:rPr>
      </w:pPr>
      <w:r>
        <w:rPr>
          <w:rFonts w:hint="eastAsia" w:ascii="宋体" w:hAnsi="宋体" w:cs="宋体"/>
          <w:szCs w:val="21"/>
        </w:rPr>
        <w:t>（3）其他业务收入、毛利分析，包括结构、规模及增减变动原因分析；重点关注其他业务收入的完整性分析；</w:t>
      </w:r>
    </w:p>
    <w:p>
      <w:pPr>
        <w:spacing w:line="500" w:lineRule="exact"/>
        <w:ind w:firstLine="420" w:firstLineChars="200"/>
        <w:rPr>
          <w:rFonts w:ascii="宋体" w:hAnsi="宋体" w:cs="宋体"/>
          <w:szCs w:val="21"/>
        </w:rPr>
      </w:pPr>
      <w:r>
        <w:rPr>
          <w:rFonts w:hint="eastAsia" w:ascii="宋体" w:hAnsi="宋体" w:cs="宋体"/>
          <w:szCs w:val="21"/>
        </w:rPr>
        <w:t>（4）主营业务成本、其他业务成本分析，包括结构、规模及增减变动原因分析，与行业平均水平及龙头企业对比；重点关注相关成本的真实性与合理性分析；重点关注企业经营权确认与摊销的正确性；</w:t>
      </w:r>
    </w:p>
    <w:p>
      <w:pPr>
        <w:spacing w:line="500" w:lineRule="exact"/>
        <w:ind w:firstLine="420" w:firstLineChars="200"/>
        <w:rPr>
          <w:rFonts w:ascii="宋体" w:hAnsi="宋体" w:cs="宋体"/>
          <w:szCs w:val="21"/>
        </w:rPr>
      </w:pPr>
      <w:r>
        <w:rPr>
          <w:rFonts w:hint="eastAsia" w:ascii="宋体" w:hAnsi="宋体" w:cs="宋体"/>
          <w:szCs w:val="21"/>
        </w:rPr>
        <w:t>（5）销售费用、管理费用、财务费用分析，包括结构、规模及增减变动原因分析，与行业平均水平及龙头企业对比；重点关注相关费用的真实性与合理性分析；</w:t>
      </w:r>
    </w:p>
    <w:p>
      <w:pPr>
        <w:spacing w:line="500" w:lineRule="exact"/>
        <w:ind w:firstLine="420" w:firstLineChars="200"/>
        <w:rPr>
          <w:rFonts w:ascii="宋体" w:hAnsi="宋体" w:cs="宋体"/>
          <w:szCs w:val="21"/>
        </w:rPr>
      </w:pPr>
      <w:r>
        <w:rPr>
          <w:rFonts w:hint="eastAsia" w:ascii="宋体" w:hAnsi="宋体" w:cs="宋体"/>
          <w:szCs w:val="21"/>
        </w:rPr>
        <w:t>（6）营业外收支结构、规模及变动分析；</w:t>
      </w:r>
    </w:p>
    <w:p>
      <w:pPr>
        <w:spacing w:line="500" w:lineRule="exact"/>
        <w:ind w:firstLine="420" w:firstLineChars="200"/>
        <w:rPr>
          <w:rFonts w:ascii="宋体" w:hAnsi="宋体" w:cs="宋体"/>
          <w:szCs w:val="21"/>
        </w:rPr>
      </w:pPr>
      <w:r>
        <w:rPr>
          <w:rFonts w:hint="eastAsia" w:ascii="宋体" w:hAnsi="宋体" w:cs="宋体"/>
          <w:szCs w:val="21"/>
        </w:rPr>
        <w:t>（7）现金流管理情况分析，包括经营、投资、筹资活动现金流入和流出情况，现金流的规模和结构，流入资金的主要来源，流出资金的主要用途，各年度对现金流产生重大影响的事项，关联方资金拆借情况，与行业平均水平及龙头企业对比；</w:t>
      </w:r>
    </w:p>
    <w:p>
      <w:pPr>
        <w:spacing w:line="500" w:lineRule="exact"/>
        <w:ind w:firstLine="420" w:firstLineChars="200"/>
        <w:rPr>
          <w:rFonts w:ascii="宋体" w:hAnsi="宋体" w:cs="宋体"/>
          <w:szCs w:val="21"/>
        </w:rPr>
      </w:pPr>
      <w:r>
        <w:rPr>
          <w:rFonts w:hint="eastAsia" w:ascii="宋体" w:hAnsi="宋体" w:cs="宋体"/>
          <w:szCs w:val="21"/>
        </w:rPr>
        <w:t>（8）主要资产，负债分析，包括明细构成、规模及增减变动分析，资产和负债完整性，资产负债率，资产和负债周转率，资产减值风险，偿债能力及债务风险，与行业平均水平及龙头企业对比；</w:t>
      </w:r>
    </w:p>
    <w:p>
      <w:pPr>
        <w:spacing w:line="500" w:lineRule="exact"/>
        <w:ind w:firstLine="420" w:firstLineChars="200"/>
        <w:rPr>
          <w:rFonts w:ascii="宋体" w:hAnsi="宋体" w:cs="宋体"/>
          <w:szCs w:val="21"/>
        </w:rPr>
      </w:pPr>
      <w:r>
        <w:rPr>
          <w:rFonts w:hint="eastAsia" w:ascii="宋体" w:hAnsi="宋体" w:cs="宋体"/>
          <w:szCs w:val="21"/>
        </w:rPr>
        <w:t>（9）资产经营管理效率分析，包括重大经济项目的投资、建设、运营管理及效益情况（含软件），各类型、各区域资产利用效率、资产收益、经营款收支情况分析、资产单位产出等；重点对停车费实收率进行分析，并与行业优秀水平进行分析；</w:t>
      </w:r>
    </w:p>
    <w:p>
      <w:pPr>
        <w:spacing w:line="500" w:lineRule="exact"/>
        <w:ind w:firstLine="420" w:firstLineChars="200"/>
        <w:rPr>
          <w:rFonts w:ascii="宋体" w:hAnsi="宋体" w:cs="宋体"/>
          <w:szCs w:val="21"/>
        </w:rPr>
      </w:pPr>
      <w:r>
        <w:rPr>
          <w:rFonts w:hint="eastAsia" w:ascii="宋体" w:hAnsi="宋体" w:cs="宋体"/>
          <w:szCs w:val="21"/>
        </w:rPr>
        <w:t>（10）资本结构分析，包括资本来源，出资方式，资本利用情况，资本和资产结构配置，资本回报情况（含债务资本和权益资本）；</w:t>
      </w:r>
    </w:p>
    <w:p>
      <w:pPr>
        <w:spacing w:line="500" w:lineRule="exact"/>
        <w:ind w:firstLine="420" w:firstLineChars="200"/>
        <w:rPr>
          <w:rFonts w:ascii="宋体" w:hAnsi="宋体" w:cs="宋体"/>
          <w:szCs w:val="21"/>
        </w:rPr>
      </w:pPr>
      <w:r>
        <w:rPr>
          <w:rFonts w:hint="eastAsia" w:ascii="宋体" w:hAnsi="宋体" w:cs="宋体"/>
          <w:szCs w:val="21"/>
        </w:rPr>
        <w:t>（11）人工效率分析，包括人员规模、人员结构、人员成本、人均成本、人均产出分析，与行业平均水平及龙头企业对比；重点关注泊车位管理员劳动效率分析、岗位设置合理性分析、劳务外包的成本效益性分析；</w:t>
      </w:r>
    </w:p>
    <w:p>
      <w:pPr>
        <w:spacing w:line="500" w:lineRule="exact"/>
        <w:ind w:firstLine="420" w:firstLineChars="200"/>
        <w:rPr>
          <w:rFonts w:ascii="宋体" w:hAnsi="宋体" w:cs="宋体"/>
          <w:szCs w:val="21"/>
        </w:rPr>
      </w:pPr>
      <w:r>
        <w:rPr>
          <w:rFonts w:hint="eastAsia" w:ascii="宋体" w:hAnsi="宋体" w:cs="宋体"/>
          <w:szCs w:val="21"/>
        </w:rPr>
        <w:t>（12）持续经营能力分析，包括行业现状，公司面临的主要风险、机遇与挑战，压力测试；</w:t>
      </w:r>
    </w:p>
    <w:p>
      <w:pPr>
        <w:spacing w:line="500" w:lineRule="exact"/>
        <w:ind w:firstLine="420" w:firstLineChars="200"/>
        <w:rPr>
          <w:rFonts w:ascii="宋体" w:hAnsi="宋体" w:cs="宋体"/>
          <w:szCs w:val="21"/>
        </w:rPr>
      </w:pPr>
      <w:r>
        <w:rPr>
          <w:rFonts w:hint="eastAsia" w:ascii="宋体" w:hAnsi="宋体" w:cs="宋体"/>
          <w:szCs w:val="21"/>
        </w:rPr>
        <w:t>（13）缴纳税费分析，重点关注增值税、所得税各年度缴纳规模，应缴和实缴情况，税费减免情况；</w:t>
      </w:r>
    </w:p>
    <w:p>
      <w:pPr>
        <w:spacing w:line="500" w:lineRule="exact"/>
        <w:ind w:firstLine="420" w:firstLineChars="200"/>
        <w:rPr>
          <w:rFonts w:ascii="宋体" w:hAnsi="宋体" w:cs="宋体"/>
          <w:szCs w:val="21"/>
        </w:rPr>
      </w:pPr>
      <w:r>
        <w:rPr>
          <w:rFonts w:hint="eastAsia" w:ascii="宋体" w:hAnsi="宋体" w:cs="宋体"/>
          <w:szCs w:val="21"/>
        </w:rPr>
        <w:t>（14）企业经营提质增效措施有效性，重点关注成本费用压控、“两金”压降、“两非”剥离、“两资”清理等进展情况；重点对企业应收停车费进行分析，关注应收停车费的拖欠和清收情况；</w:t>
      </w:r>
    </w:p>
    <w:p>
      <w:pPr>
        <w:spacing w:line="500" w:lineRule="exact"/>
        <w:ind w:firstLine="420" w:firstLineChars="200"/>
        <w:rPr>
          <w:rFonts w:ascii="宋体" w:hAnsi="宋体" w:cs="宋体"/>
          <w:szCs w:val="21"/>
        </w:rPr>
      </w:pPr>
      <w:r>
        <w:rPr>
          <w:rFonts w:hint="eastAsia" w:ascii="宋体" w:hAnsi="宋体" w:cs="宋体"/>
          <w:szCs w:val="21"/>
        </w:rPr>
        <w:t>（15）有关目标责任制完成情况；</w:t>
      </w:r>
    </w:p>
    <w:p>
      <w:pPr>
        <w:spacing w:line="500" w:lineRule="exact"/>
        <w:ind w:firstLine="420" w:firstLineChars="200"/>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16</w:t>
      </w:r>
      <w:r>
        <w:rPr>
          <w:rFonts w:hint="eastAsia" w:ascii="宋体" w:hAnsi="宋体" w:cs="宋体"/>
          <w:szCs w:val="21"/>
        </w:rPr>
        <w:t>）管理优化建议；</w:t>
      </w:r>
    </w:p>
    <w:p>
      <w:pPr>
        <w:spacing w:line="500" w:lineRule="exact"/>
        <w:ind w:firstLine="420" w:firstLineChars="200"/>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17</w:t>
      </w:r>
      <w:r>
        <w:rPr>
          <w:rFonts w:hint="eastAsia" w:ascii="宋体" w:hAnsi="宋体" w:cs="宋体"/>
          <w:szCs w:val="21"/>
        </w:rPr>
        <w:t>）其他需要的内容。</w:t>
      </w:r>
    </w:p>
    <w:p>
      <w:pPr>
        <w:spacing w:line="500" w:lineRule="exact"/>
        <w:ind w:firstLine="420" w:firstLineChars="200"/>
        <w:rPr>
          <w:rFonts w:ascii="宋体" w:hAnsi="宋体" w:cs="宋体"/>
          <w:szCs w:val="21"/>
        </w:rPr>
      </w:pPr>
      <w:r>
        <w:rPr>
          <w:rFonts w:hint="eastAsia" w:ascii="宋体" w:hAnsi="宋体" w:cs="宋体"/>
          <w:szCs w:val="21"/>
        </w:rPr>
        <w:t>2.2 项目要求及成果</w:t>
      </w:r>
    </w:p>
    <w:p>
      <w:pPr>
        <w:spacing w:line="500" w:lineRule="exact"/>
        <w:ind w:firstLine="420" w:firstLineChars="200"/>
        <w:rPr>
          <w:rFonts w:ascii="宋体" w:hAnsi="宋体" w:cs="宋体"/>
          <w:szCs w:val="21"/>
        </w:rPr>
      </w:pPr>
      <w:r>
        <w:rPr>
          <w:rFonts w:hint="eastAsia" w:ascii="宋体" w:hAnsi="宋体" w:cs="宋体"/>
          <w:szCs w:val="21"/>
        </w:rPr>
        <w:t>根据《中华人民共和国企业国有资产法》《企业国有资产监督管理暂行条例》《南宁市企业国有资产监督管理暂行办法》《南宁市国资委关于印发监管企业违规经营投资责任追究实施办法（试行）的通知》的规定和要求及其他相关法律法规，以及南宁轨道交通集团有限责任公司相关制度开展工作，对南宁慧泊停车场服务有限责任公司2020年至2022年经营情况进行分析，出具南宁慧泊停车场服务有限责任公司2020年至2022年经营情况分析报告，并经南宁轨道交通集团有限责任公司审批通过。</w:t>
      </w:r>
    </w:p>
    <w:p>
      <w:pPr>
        <w:spacing w:line="500" w:lineRule="exact"/>
        <w:ind w:firstLine="422" w:firstLineChars="200"/>
        <w:rPr>
          <w:rFonts w:ascii="宋体" w:cs="宋体"/>
          <w:b/>
          <w:szCs w:val="21"/>
        </w:rPr>
      </w:pPr>
      <w:r>
        <w:rPr>
          <w:rFonts w:ascii="宋体" w:hAnsi="宋体" w:cs="宋体"/>
          <w:b/>
          <w:szCs w:val="21"/>
        </w:rPr>
        <w:t>3.</w:t>
      </w:r>
      <w:r>
        <w:rPr>
          <w:rFonts w:hint="eastAsia" w:ascii="宋体" w:hAnsi="宋体" w:cs="宋体"/>
          <w:b/>
          <w:szCs w:val="21"/>
        </w:rPr>
        <w:t>资金来源</w:t>
      </w:r>
    </w:p>
    <w:p>
      <w:pPr>
        <w:spacing w:line="500" w:lineRule="exact"/>
        <w:ind w:firstLine="420" w:firstLineChars="200"/>
        <w:rPr>
          <w:rFonts w:ascii="宋体" w:cs="宋体"/>
          <w:szCs w:val="21"/>
        </w:rPr>
      </w:pPr>
      <w:r>
        <w:rPr>
          <w:rFonts w:ascii="宋体" w:hAnsi="宋体" w:cs="宋体"/>
          <w:szCs w:val="21"/>
        </w:rPr>
        <w:t xml:space="preserve">3.1 </w:t>
      </w:r>
      <w:r>
        <w:rPr>
          <w:rFonts w:hint="eastAsia" w:ascii="宋体" w:hAnsi="宋体" w:cs="宋体"/>
          <w:szCs w:val="21"/>
        </w:rPr>
        <w:t>资金来源见前附表第</w:t>
      </w:r>
      <w:r>
        <w:rPr>
          <w:rFonts w:ascii="宋体" w:hAnsi="宋体" w:cs="宋体"/>
          <w:szCs w:val="21"/>
        </w:rPr>
        <w:t>4</w:t>
      </w:r>
      <w:r>
        <w:rPr>
          <w:rFonts w:hint="eastAsia" w:ascii="宋体" w:hAnsi="宋体" w:cs="宋体"/>
          <w:szCs w:val="21"/>
        </w:rPr>
        <w:t>项所述。</w:t>
      </w:r>
    </w:p>
    <w:p>
      <w:pPr>
        <w:spacing w:line="500" w:lineRule="exact"/>
        <w:ind w:firstLine="422" w:firstLineChars="200"/>
        <w:rPr>
          <w:rFonts w:ascii="宋体" w:cs="宋体"/>
          <w:b/>
          <w:szCs w:val="21"/>
        </w:rPr>
      </w:pPr>
      <w:r>
        <w:rPr>
          <w:rFonts w:ascii="宋体" w:hAnsi="宋体" w:cs="宋体"/>
          <w:b/>
          <w:szCs w:val="21"/>
        </w:rPr>
        <w:t>4.</w:t>
      </w:r>
      <w:bookmarkStart w:id="90" w:name="_Toc114052342"/>
      <w:bookmarkStart w:id="91" w:name="_Toc286386836"/>
      <w:bookmarkStart w:id="92" w:name="_Toc114052416"/>
      <w:bookmarkStart w:id="93" w:name="_Toc310318574"/>
      <w:r>
        <w:rPr>
          <w:rFonts w:hint="eastAsia" w:ascii="宋体" w:hAnsi="宋体" w:cs="宋体"/>
          <w:b/>
          <w:szCs w:val="21"/>
        </w:rPr>
        <w:t>比选申请人资格要求</w:t>
      </w:r>
      <w:bookmarkEnd w:id="90"/>
      <w:bookmarkEnd w:id="91"/>
      <w:bookmarkEnd w:id="92"/>
      <w:bookmarkEnd w:id="93"/>
    </w:p>
    <w:p>
      <w:pPr>
        <w:spacing w:line="500" w:lineRule="exact"/>
        <w:ind w:firstLine="420" w:firstLineChars="200"/>
        <w:rPr>
          <w:rFonts w:ascii="宋体" w:cs="宋体"/>
          <w:szCs w:val="21"/>
        </w:rPr>
      </w:pPr>
      <w:r>
        <w:rPr>
          <w:rFonts w:ascii="宋体" w:hAnsi="宋体" w:cs="宋体"/>
          <w:szCs w:val="21"/>
        </w:rPr>
        <w:t xml:space="preserve">4.1 </w:t>
      </w:r>
      <w:r>
        <w:rPr>
          <w:rFonts w:hint="eastAsia" w:ascii="宋体" w:hAnsi="宋体" w:cs="宋体"/>
          <w:szCs w:val="21"/>
        </w:rPr>
        <w:t>比选申请人必须具有前附表第</w:t>
      </w:r>
      <w:r>
        <w:rPr>
          <w:rFonts w:ascii="宋体" w:hAnsi="宋体" w:cs="宋体"/>
          <w:szCs w:val="21"/>
        </w:rPr>
        <w:t>9</w:t>
      </w:r>
      <w:r>
        <w:rPr>
          <w:rFonts w:hint="eastAsia" w:ascii="宋体" w:hAnsi="宋体" w:cs="宋体"/>
          <w:szCs w:val="21"/>
        </w:rPr>
        <w:t>项相应的资质及要求。</w:t>
      </w:r>
    </w:p>
    <w:p>
      <w:pPr>
        <w:spacing w:line="500" w:lineRule="exact"/>
        <w:ind w:firstLine="422" w:firstLineChars="200"/>
        <w:rPr>
          <w:rFonts w:ascii="宋体" w:cs="宋体"/>
          <w:b/>
          <w:szCs w:val="21"/>
        </w:rPr>
      </w:pPr>
      <w:r>
        <w:rPr>
          <w:rFonts w:ascii="宋体" w:hAnsi="宋体" w:cs="宋体"/>
          <w:b/>
          <w:szCs w:val="21"/>
        </w:rPr>
        <w:t>5.</w:t>
      </w:r>
      <w:bookmarkStart w:id="94" w:name="_Toc310318575"/>
      <w:bookmarkStart w:id="95" w:name="_Toc286386837"/>
      <w:bookmarkStart w:id="96" w:name="_Toc114052343"/>
      <w:bookmarkStart w:id="97" w:name="_Toc114052417"/>
      <w:r>
        <w:rPr>
          <w:rFonts w:hint="eastAsia" w:ascii="宋体" w:hAnsi="宋体" w:cs="宋体"/>
          <w:b/>
          <w:szCs w:val="21"/>
        </w:rPr>
        <w:t>申请比选费用</w:t>
      </w:r>
      <w:bookmarkEnd w:id="94"/>
      <w:bookmarkEnd w:id="95"/>
      <w:bookmarkEnd w:id="96"/>
      <w:bookmarkEnd w:id="97"/>
    </w:p>
    <w:p>
      <w:pPr>
        <w:tabs>
          <w:tab w:val="left" w:pos="8610"/>
        </w:tabs>
        <w:spacing w:line="500" w:lineRule="exact"/>
        <w:ind w:firstLine="420" w:firstLineChars="200"/>
        <w:rPr>
          <w:rFonts w:ascii="宋体" w:cs="宋体"/>
          <w:szCs w:val="21"/>
        </w:rPr>
      </w:pPr>
      <w:r>
        <w:rPr>
          <w:rFonts w:ascii="宋体" w:hAnsi="宋体" w:cs="宋体"/>
          <w:szCs w:val="21"/>
        </w:rPr>
        <w:t xml:space="preserve">5.1 </w:t>
      </w:r>
      <w:r>
        <w:rPr>
          <w:rFonts w:hint="eastAsia" w:ascii="宋体" w:hAnsi="宋体" w:cs="宋体"/>
          <w:szCs w:val="21"/>
        </w:rPr>
        <w:t>比选申请人应承担其编制文件与递交文件所涉及的一切费用。不管评比结果如何，比选人对上述费用不负任何责任。</w:t>
      </w:r>
    </w:p>
    <w:p>
      <w:pPr>
        <w:pStyle w:val="4"/>
        <w:spacing w:before="156" w:beforeLines="50" w:after="156" w:afterLines="50" w:line="500" w:lineRule="exact"/>
        <w:jc w:val="center"/>
        <w:rPr>
          <w:rFonts w:ascii="宋体"/>
          <w:b/>
          <w:sz w:val="21"/>
          <w:szCs w:val="21"/>
        </w:rPr>
      </w:pPr>
      <w:bookmarkStart w:id="98" w:name="_Toc11648"/>
      <w:bookmarkStart w:id="99" w:name="_Toc4734"/>
      <w:bookmarkStart w:id="100" w:name="_Toc14739"/>
      <w:bookmarkStart w:id="101" w:name="_Toc20218"/>
      <w:bookmarkStart w:id="102" w:name="_Toc2963"/>
      <w:bookmarkStart w:id="103" w:name="_Toc4989"/>
      <w:bookmarkStart w:id="104" w:name="_Toc5628"/>
      <w:r>
        <w:rPr>
          <w:rFonts w:hint="eastAsia" w:ascii="宋体" w:hAnsi="宋体"/>
          <w:b/>
          <w:sz w:val="21"/>
          <w:szCs w:val="21"/>
        </w:rPr>
        <w:t>二</w:t>
      </w:r>
      <w:bookmarkStart w:id="105" w:name="_Toc3066"/>
      <w:bookmarkStart w:id="106" w:name="_Toc22143"/>
      <w:bookmarkStart w:id="107" w:name="_Toc16023"/>
      <w:bookmarkStart w:id="108" w:name="_Toc17323"/>
      <w:bookmarkStart w:id="109" w:name="_Toc6541"/>
      <w:bookmarkStart w:id="110" w:name="_Toc5207"/>
      <w:bookmarkStart w:id="111" w:name="_Toc18809"/>
      <w:bookmarkStart w:id="112" w:name="_Toc15439"/>
      <w:bookmarkStart w:id="113" w:name="_Toc26141"/>
      <w:bookmarkStart w:id="114" w:name="_Toc17725"/>
      <w:bookmarkStart w:id="115" w:name="_Toc25256"/>
      <w:bookmarkStart w:id="116" w:name="_Toc461525298"/>
      <w:bookmarkStart w:id="117" w:name="_Toc26124"/>
      <w:bookmarkStart w:id="118" w:name="_Toc471482362"/>
      <w:bookmarkStart w:id="119" w:name="_Toc8029"/>
      <w:r>
        <w:rPr>
          <w:rFonts w:hint="eastAsia" w:ascii="宋体" w:hAnsi="宋体"/>
          <w:b/>
          <w:sz w:val="21"/>
          <w:szCs w:val="21"/>
        </w:rPr>
        <w:t>、比选文件</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spacing w:line="500" w:lineRule="exact"/>
        <w:ind w:firstLine="420" w:firstLineChars="200"/>
        <w:rPr>
          <w:rFonts w:ascii="宋体" w:cs="宋体"/>
          <w:b/>
          <w:szCs w:val="21"/>
        </w:rPr>
      </w:pPr>
      <w:r>
        <w:rPr>
          <w:rFonts w:ascii="宋体" w:hAnsi="宋体" w:cs="宋体"/>
          <w:szCs w:val="21"/>
        </w:rPr>
        <w:t xml:space="preserve"> </w:t>
      </w:r>
      <w:r>
        <w:rPr>
          <w:rFonts w:ascii="宋体" w:hAnsi="宋体" w:cs="宋体"/>
          <w:b/>
          <w:szCs w:val="21"/>
        </w:rPr>
        <w:t>6.</w:t>
      </w:r>
      <w:bookmarkStart w:id="120" w:name="_Toc114052345"/>
      <w:bookmarkStart w:id="121" w:name="_Toc114052419"/>
      <w:bookmarkStart w:id="122" w:name="_Toc286386839"/>
      <w:bookmarkStart w:id="123" w:name="_Toc310318577"/>
      <w:r>
        <w:rPr>
          <w:rFonts w:hint="eastAsia" w:ascii="宋体" w:hAnsi="宋体" w:cs="宋体"/>
          <w:b/>
          <w:szCs w:val="21"/>
        </w:rPr>
        <w:t>比选文件的组成</w:t>
      </w:r>
      <w:bookmarkEnd w:id="120"/>
      <w:bookmarkEnd w:id="121"/>
      <w:bookmarkEnd w:id="122"/>
      <w:bookmarkEnd w:id="123"/>
    </w:p>
    <w:p>
      <w:pPr>
        <w:spacing w:line="500" w:lineRule="exact"/>
        <w:ind w:firstLine="420" w:firstLineChars="200"/>
        <w:rPr>
          <w:rFonts w:ascii="宋体" w:cs="宋体"/>
          <w:szCs w:val="21"/>
        </w:rPr>
      </w:pPr>
      <w:r>
        <w:rPr>
          <w:rFonts w:ascii="宋体" w:hAnsi="宋体" w:cs="宋体"/>
          <w:szCs w:val="21"/>
        </w:rPr>
        <w:t xml:space="preserve"> 6.1 </w:t>
      </w:r>
      <w:r>
        <w:rPr>
          <w:rFonts w:hint="eastAsia" w:ascii="宋体" w:hAnsi="宋体" w:cs="宋体"/>
          <w:szCs w:val="21"/>
        </w:rPr>
        <w:t>比选文件包括比选须知前附表、比选须知、合同条款（格式）、比选申请文件格式、评比办法。</w:t>
      </w:r>
    </w:p>
    <w:p>
      <w:pPr>
        <w:spacing w:line="500" w:lineRule="exact"/>
        <w:ind w:firstLine="422" w:firstLineChars="200"/>
        <w:rPr>
          <w:rFonts w:ascii="宋体" w:cs="宋体"/>
          <w:b/>
          <w:szCs w:val="21"/>
        </w:rPr>
      </w:pPr>
      <w:r>
        <w:rPr>
          <w:rFonts w:ascii="宋体" w:hAnsi="宋体" w:cs="宋体"/>
          <w:b/>
          <w:szCs w:val="21"/>
        </w:rPr>
        <w:t>7.</w:t>
      </w:r>
      <w:bookmarkStart w:id="124" w:name="_Toc286386840"/>
      <w:bookmarkStart w:id="125" w:name="_Toc310318578"/>
      <w:bookmarkStart w:id="126" w:name="_Toc114052346"/>
      <w:bookmarkStart w:id="127" w:name="_Toc114052420"/>
      <w:r>
        <w:rPr>
          <w:rFonts w:hint="eastAsia" w:ascii="宋体" w:hAnsi="宋体" w:cs="宋体"/>
          <w:b/>
          <w:szCs w:val="21"/>
        </w:rPr>
        <w:t>比选文件的解释</w:t>
      </w:r>
      <w:bookmarkEnd w:id="124"/>
      <w:bookmarkEnd w:id="125"/>
      <w:bookmarkEnd w:id="126"/>
      <w:bookmarkEnd w:id="127"/>
    </w:p>
    <w:p>
      <w:pPr>
        <w:spacing w:line="500" w:lineRule="exact"/>
        <w:ind w:firstLine="420" w:firstLineChars="200"/>
        <w:rPr>
          <w:rFonts w:ascii="宋体" w:cs="宋体"/>
          <w:szCs w:val="21"/>
        </w:rPr>
      </w:pPr>
      <w:r>
        <w:rPr>
          <w:rFonts w:ascii="宋体" w:hAnsi="宋体" w:cs="宋体"/>
          <w:szCs w:val="21"/>
        </w:rPr>
        <w:t xml:space="preserve">7.1 </w:t>
      </w:r>
      <w:r>
        <w:rPr>
          <w:rFonts w:hint="eastAsia" w:ascii="宋体" w:hAnsi="宋体" w:cs="宋体"/>
          <w:szCs w:val="21"/>
        </w:rPr>
        <w:t>比选申请人在获取比选文件后，若有问题需要澄清，均应在递交文件截止时间</w:t>
      </w:r>
      <w:r>
        <w:rPr>
          <w:rFonts w:ascii="宋体" w:hAnsi="宋体" w:cs="宋体"/>
          <w:szCs w:val="21"/>
        </w:rPr>
        <w:t xml:space="preserve"> 3</w:t>
      </w:r>
      <w:r>
        <w:rPr>
          <w:rFonts w:hint="eastAsia" w:ascii="宋体" w:hAnsi="宋体" w:cs="宋体"/>
          <w:szCs w:val="21"/>
        </w:rPr>
        <w:t>个工作日前的正常工作时间内，用当面递交或传真书面通知比选人，其他方式为无效。比选人将于递交文件截止时间</w:t>
      </w:r>
      <w:r>
        <w:rPr>
          <w:rFonts w:ascii="宋体" w:hAnsi="宋体" w:cs="宋体"/>
          <w:szCs w:val="21"/>
        </w:rPr>
        <w:t>2</w:t>
      </w:r>
      <w:r>
        <w:rPr>
          <w:rFonts w:hint="eastAsia" w:ascii="宋体" w:hAnsi="宋体" w:cs="宋体"/>
          <w:szCs w:val="21"/>
        </w:rPr>
        <w:t>天前以书面形式，在比选人官网发布，予以答复。</w:t>
      </w:r>
    </w:p>
    <w:p>
      <w:pPr>
        <w:spacing w:line="500" w:lineRule="exact"/>
        <w:ind w:firstLine="527" w:firstLineChars="250"/>
        <w:rPr>
          <w:rFonts w:ascii="宋体" w:cs="宋体"/>
          <w:b/>
          <w:szCs w:val="21"/>
        </w:rPr>
      </w:pPr>
      <w:r>
        <w:rPr>
          <w:rFonts w:ascii="宋体" w:hAnsi="宋体" w:cs="宋体"/>
          <w:b/>
          <w:szCs w:val="21"/>
        </w:rPr>
        <w:t>8.</w:t>
      </w:r>
      <w:bookmarkStart w:id="128" w:name="_Toc286386841"/>
      <w:bookmarkStart w:id="129" w:name="_Toc114052421"/>
      <w:bookmarkStart w:id="130" w:name="_Toc114052347"/>
      <w:bookmarkStart w:id="131" w:name="_Toc310318579"/>
      <w:r>
        <w:rPr>
          <w:rFonts w:hint="eastAsia" w:ascii="宋体" w:hAnsi="宋体" w:cs="宋体"/>
          <w:b/>
          <w:szCs w:val="21"/>
        </w:rPr>
        <w:t>比选文件的修改</w:t>
      </w:r>
      <w:bookmarkEnd w:id="128"/>
      <w:bookmarkEnd w:id="129"/>
      <w:bookmarkEnd w:id="130"/>
      <w:bookmarkEnd w:id="131"/>
    </w:p>
    <w:p>
      <w:pPr>
        <w:spacing w:line="500" w:lineRule="exact"/>
        <w:ind w:firstLine="420" w:firstLineChars="200"/>
        <w:rPr>
          <w:rFonts w:ascii="宋体" w:cs="宋体"/>
          <w:szCs w:val="21"/>
        </w:rPr>
      </w:pPr>
      <w:r>
        <w:rPr>
          <w:rFonts w:ascii="宋体" w:hAnsi="宋体" w:cs="宋体"/>
          <w:szCs w:val="21"/>
        </w:rPr>
        <w:t xml:space="preserve"> 8.1 </w:t>
      </w:r>
      <w:r>
        <w:rPr>
          <w:rFonts w:hint="eastAsia" w:ascii="宋体" w:hAnsi="宋体" w:cs="宋体"/>
          <w:szCs w:val="21"/>
        </w:rPr>
        <w:t>在递交文件截止日期前</w:t>
      </w:r>
      <w:r>
        <w:rPr>
          <w:rFonts w:ascii="宋体" w:hAnsi="宋体" w:cs="宋体"/>
          <w:szCs w:val="21"/>
        </w:rPr>
        <w:t>2</w:t>
      </w:r>
      <w:r>
        <w:rPr>
          <w:rFonts w:hint="eastAsia" w:ascii="宋体" w:hAnsi="宋体" w:cs="宋体"/>
          <w:szCs w:val="21"/>
        </w:rPr>
        <w:t>天，比选人可以采用补充通知的方式修改比选文件。</w:t>
      </w:r>
    </w:p>
    <w:p>
      <w:pPr>
        <w:spacing w:line="500" w:lineRule="exact"/>
        <w:ind w:firstLine="420" w:firstLineChars="200"/>
        <w:rPr>
          <w:rFonts w:ascii="宋体" w:cs="宋体"/>
          <w:szCs w:val="21"/>
        </w:rPr>
      </w:pPr>
      <w:r>
        <w:rPr>
          <w:rFonts w:ascii="宋体" w:hAnsi="宋体" w:cs="宋体"/>
          <w:szCs w:val="21"/>
        </w:rPr>
        <w:t xml:space="preserve"> 8.2 </w:t>
      </w:r>
      <w:r>
        <w:rPr>
          <w:rFonts w:hint="eastAsia" w:ascii="宋体" w:hAnsi="宋体" w:cs="宋体"/>
          <w:szCs w:val="21"/>
        </w:rPr>
        <w:t>补充通知将以书面形式，在比选人官网发布，补充通知作为比选文件的组成部分，对比选申请人起约束作用。</w:t>
      </w:r>
    </w:p>
    <w:p>
      <w:pPr>
        <w:pStyle w:val="4"/>
        <w:tabs>
          <w:tab w:val="left" w:pos="3030"/>
        </w:tabs>
        <w:spacing w:before="156" w:beforeLines="50" w:after="156" w:afterLines="50" w:line="500" w:lineRule="exact"/>
        <w:ind w:firstLine="422" w:firstLineChars="200"/>
        <w:jc w:val="center"/>
        <w:rPr>
          <w:rFonts w:ascii="宋体"/>
          <w:b/>
          <w:sz w:val="21"/>
          <w:szCs w:val="21"/>
        </w:rPr>
      </w:pPr>
      <w:bookmarkStart w:id="132" w:name="_Toc10523"/>
      <w:bookmarkStart w:id="133" w:name="_Toc6395"/>
      <w:bookmarkStart w:id="134" w:name="_Toc26897"/>
      <w:bookmarkStart w:id="135" w:name="_Toc471482363"/>
      <w:bookmarkStart w:id="136" w:name="_Toc27671"/>
      <w:bookmarkStart w:id="137" w:name="_Toc22084"/>
      <w:bookmarkStart w:id="138" w:name="_Toc19209"/>
      <w:bookmarkStart w:id="139" w:name="_Toc18772"/>
      <w:bookmarkStart w:id="140" w:name="_Toc24005"/>
      <w:bookmarkStart w:id="141" w:name="_Toc32337"/>
      <w:bookmarkStart w:id="142" w:name="_Toc9199"/>
      <w:bookmarkStart w:id="143" w:name="_Toc25820"/>
      <w:bookmarkStart w:id="144" w:name="_Toc9453"/>
      <w:bookmarkStart w:id="145" w:name="_Toc8400"/>
      <w:bookmarkStart w:id="146" w:name="_Toc461525299"/>
      <w:bookmarkStart w:id="147" w:name="_Toc9684"/>
      <w:bookmarkStart w:id="148" w:name="_Toc29216"/>
      <w:bookmarkStart w:id="149" w:name="_Toc31749"/>
      <w:bookmarkStart w:id="150" w:name="_Toc17382"/>
      <w:bookmarkStart w:id="151" w:name="_Toc23609"/>
      <w:bookmarkStart w:id="152" w:name="_Toc30617"/>
      <w:bookmarkStart w:id="153" w:name="_Toc24574"/>
      <w:r>
        <w:rPr>
          <w:rFonts w:hint="eastAsia" w:ascii="宋体" w:hAnsi="宋体"/>
          <w:b/>
          <w:sz w:val="21"/>
          <w:szCs w:val="21"/>
        </w:rPr>
        <w:t>三、申请比选报价说明</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Pr>
          <w:rFonts w:ascii="宋体"/>
          <w:b/>
          <w:sz w:val="21"/>
          <w:szCs w:val="21"/>
        </w:rPr>
        <w:tab/>
      </w:r>
    </w:p>
    <w:p>
      <w:pPr>
        <w:spacing w:line="500" w:lineRule="exact"/>
        <w:ind w:firstLine="420" w:firstLineChars="200"/>
        <w:rPr>
          <w:rFonts w:ascii="宋体" w:cs="宋体"/>
          <w:b/>
          <w:szCs w:val="21"/>
        </w:rPr>
      </w:pPr>
      <w:r>
        <w:rPr>
          <w:rFonts w:ascii="宋体" w:hAnsi="宋体" w:cs="宋体"/>
          <w:szCs w:val="21"/>
        </w:rPr>
        <w:t xml:space="preserve"> </w:t>
      </w:r>
      <w:r>
        <w:rPr>
          <w:rFonts w:ascii="宋体" w:hAnsi="宋体" w:cs="宋体"/>
          <w:b/>
          <w:szCs w:val="21"/>
        </w:rPr>
        <w:t>9.</w:t>
      </w:r>
      <w:bookmarkStart w:id="154" w:name="_Toc114052423"/>
      <w:bookmarkStart w:id="155" w:name="_Toc114052349"/>
      <w:bookmarkStart w:id="156" w:name="_Toc286386843"/>
      <w:bookmarkStart w:id="157" w:name="_Toc310318581"/>
      <w:r>
        <w:rPr>
          <w:rFonts w:hint="eastAsia" w:ascii="宋体" w:hAnsi="宋体" w:cs="宋体"/>
          <w:b/>
          <w:szCs w:val="21"/>
        </w:rPr>
        <w:t>申请比选</w:t>
      </w:r>
      <w:bookmarkEnd w:id="154"/>
      <w:bookmarkEnd w:id="155"/>
      <w:bookmarkEnd w:id="156"/>
      <w:r>
        <w:rPr>
          <w:rFonts w:hint="eastAsia" w:ascii="宋体" w:hAnsi="宋体" w:cs="宋体"/>
          <w:b/>
          <w:szCs w:val="21"/>
        </w:rPr>
        <w:t>报价</w:t>
      </w:r>
      <w:bookmarkEnd w:id="157"/>
    </w:p>
    <w:p>
      <w:pPr>
        <w:spacing w:line="500" w:lineRule="exact"/>
        <w:ind w:firstLine="420" w:firstLineChars="200"/>
        <w:rPr>
          <w:rFonts w:ascii="宋体" w:cs="宋体"/>
          <w:szCs w:val="21"/>
        </w:rPr>
      </w:pPr>
      <w:r>
        <w:rPr>
          <w:rFonts w:ascii="宋体" w:hAnsi="宋体" w:cs="宋体"/>
          <w:szCs w:val="21"/>
        </w:rPr>
        <w:t xml:space="preserve"> 9.1 </w:t>
      </w:r>
      <w:r>
        <w:rPr>
          <w:rFonts w:hint="eastAsia" w:ascii="宋体" w:hAnsi="宋体" w:cs="宋体"/>
          <w:szCs w:val="21"/>
        </w:rPr>
        <w:t>申请比选报价见比选须知前附表第</w:t>
      </w:r>
      <w:r>
        <w:rPr>
          <w:rFonts w:ascii="宋体" w:hAnsi="宋体" w:cs="宋体"/>
          <w:szCs w:val="21"/>
        </w:rPr>
        <w:t>7</w:t>
      </w:r>
      <w:r>
        <w:rPr>
          <w:rFonts w:hint="eastAsia" w:ascii="宋体" w:hAnsi="宋体" w:cs="宋体"/>
          <w:szCs w:val="21"/>
        </w:rPr>
        <w:t>项所述。</w:t>
      </w:r>
    </w:p>
    <w:p>
      <w:pPr>
        <w:pStyle w:val="4"/>
        <w:spacing w:before="156" w:beforeLines="50" w:after="156" w:afterLines="50" w:line="500" w:lineRule="exact"/>
        <w:jc w:val="center"/>
        <w:rPr>
          <w:b/>
          <w:sz w:val="21"/>
          <w:szCs w:val="21"/>
        </w:rPr>
      </w:pPr>
      <w:bookmarkStart w:id="158" w:name="_Toc8092"/>
      <w:bookmarkStart w:id="159" w:name="_Toc11943"/>
      <w:bookmarkStart w:id="160" w:name="_Toc7287"/>
      <w:bookmarkStart w:id="161" w:name="_Toc25856"/>
      <w:bookmarkStart w:id="162" w:name="_Toc17259"/>
      <w:bookmarkStart w:id="163" w:name="_Toc32390"/>
      <w:bookmarkStart w:id="164" w:name="_Toc23455"/>
      <w:bookmarkStart w:id="165" w:name="_Toc461525300"/>
      <w:bookmarkStart w:id="166" w:name="_Toc31461"/>
      <w:bookmarkStart w:id="167" w:name="_Toc24807"/>
      <w:bookmarkStart w:id="168" w:name="_Toc471482364"/>
      <w:bookmarkStart w:id="169" w:name="_Toc23781"/>
      <w:bookmarkStart w:id="170" w:name="_Toc25487"/>
      <w:bookmarkStart w:id="171" w:name="_Toc17722"/>
      <w:bookmarkStart w:id="172" w:name="_Toc5583"/>
      <w:bookmarkStart w:id="173" w:name="_Toc23191"/>
      <w:bookmarkStart w:id="174" w:name="_Toc2346"/>
      <w:bookmarkStart w:id="175" w:name="_Toc17188"/>
      <w:bookmarkStart w:id="176" w:name="_Toc18607"/>
      <w:bookmarkStart w:id="177" w:name="_Toc16264"/>
      <w:bookmarkStart w:id="178" w:name="_Toc26723"/>
      <w:bookmarkStart w:id="179" w:name="_Toc9795"/>
      <w:r>
        <w:rPr>
          <w:rFonts w:hint="eastAsia"/>
          <w:b/>
          <w:sz w:val="21"/>
          <w:szCs w:val="21"/>
        </w:rPr>
        <w:t>四、比选申请文件的编制</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spacing w:line="500" w:lineRule="exact"/>
        <w:ind w:firstLine="420" w:firstLineChars="200"/>
        <w:rPr>
          <w:rFonts w:ascii="宋体" w:cs="宋体"/>
          <w:b/>
          <w:szCs w:val="21"/>
        </w:rPr>
      </w:pPr>
      <w:r>
        <w:rPr>
          <w:rFonts w:ascii="宋体" w:hAnsi="宋体" w:cs="宋体"/>
          <w:szCs w:val="21"/>
        </w:rPr>
        <w:t xml:space="preserve"> </w:t>
      </w:r>
      <w:r>
        <w:rPr>
          <w:rFonts w:ascii="宋体" w:hAnsi="宋体" w:cs="宋体"/>
          <w:b/>
          <w:szCs w:val="21"/>
        </w:rPr>
        <w:t>10.</w:t>
      </w:r>
      <w:bookmarkStart w:id="180" w:name="_Toc310318583"/>
      <w:bookmarkStart w:id="181" w:name="_Toc286386845"/>
      <w:r>
        <w:rPr>
          <w:rFonts w:hint="eastAsia" w:ascii="宋体" w:hAnsi="宋体" w:cs="宋体"/>
          <w:b/>
          <w:szCs w:val="21"/>
        </w:rPr>
        <w:t>比选申请文件编写注意事项</w:t>
      </w:r>
      <w:bookmarkEnd w:id="180"/>
      <w:bookmarkEnd w:id="181"/>
    </w:p>
    <w:p>
      <w:pPr>
        <w:spacing w:line="500" w:lineRule="exact"/>
        <w:ind w:firstLine="420" w:firstLineChars="200"/>
        <w:rPr>
          <w:rFonts w:ascii="宋体" w:cs="宋体"/>
          <w:szCs w:val="21"/>
        </w:rPr>
      </w:pPr>
      <w:r>
        <w:rPr>
          <w:rFonts w:ascii="宋体" w:hAnsi="宋体" w:cs="宋体"/>
          <w:szCs w:val="21"/>
        </w:rPr>
        <w:t xml:space="preserve"> 10.1</w:t>
      </w:r>
      <w:r>
        <w:rPr>
          <w:rFonts w:hint="eastAsia" w:ascii="宋体" w:hAnsi="宋体" w:cs="宋体"/>
          <w:szCs w:val="21"/>
        </w:rPr>
        <w:t>比选申请人应认真阅读比选文件，按照比选文件的要求编制比选申请文件。如果没有按照比选文件要求提交比选申请文件，没有对比选文件提出的实质性要求和条件作出响应，有可能导致该比选申请文件被拒绝。</w:t>
      </w:r>
    </w:p>
    <w:p>
      <w:pPr>
        <w:spacing w:line="500" w:lineRule="exact"/>
        <w:ind w:firstLine="420" w:firstLineChars="200"/>
        <w:rPr>
          <w:rFonts w:ascii="宋体" w:cs="宋体"/>
          <w:szCs w:val="21"/>
        </w:rPr>
      </w:pPr>
      <w:r>
        <w:rPr>
          <w:rFonts w:ascii="宋体" w:hAnsi="宋体" w:cs="宋体"/>
          <w:szCs w:val="21"/>
        </w:rPr>
        <w:t xml:space="preserve"> 10.2 </w:t>
      </w:r>
      <w:r>
        <w:rPr>
          <w:rFonts w:hint="eastAsia" w:ascii="宋体" w:hAnsi="宋体" w:cs="宋体"/>
          <w:szCs w:val="21"/>
        </w:rPr>
        <w:t>比选文件提出的实质性要求和条件是指本比选项目所涉及的最低人员配置、价格、服务及其他要求、合同条款等内容。</w:t>
      </w:r>
    </w:p>
    <w:p>
      <w:pPr>
        <w:spacing w:line="500" w:lineRule="exact"/>
        <w:ind w:firstLine="420" w:firstLineChars="200"/>
        <w:rPr>
          <w:rFonts w:ascii="宋体" w:cs="宋体"/>
          <w:szCs w:val="21"/>
        </w:rPr>
      </w:pPr>
      <w:r>
        <w:rPr>
          <w:rFonts w:ascii="宋体" w:hAnsi="宋体" w:cs="宋体"/>
          <w:szCs w:val="21"/>
        </w:rPr>
        <w:t xml:space="preserve">10.3 </w:t>
      </w:r>
      <w:r>
        <w:rPr>
          <w:rFonts w:hint="eastAsia" w:ascii="宋体" w:hAnsi="宋体" w:cs="宋体"/>
          <w:szCs w:val="21"/>
        </w:rPr>
        <w:t>比选申请人的比选申请文件所有来往函件统一使用中文（特别规定除外）。</w:t>
      </w:r>
    </w:p>
    <w:p>
      <w:pPr>
        <w:spacing w:line="500" w:lineRule="exact"/>
        <w:ind w:firstLine="420" w:firstLineChars="200"/>
        <w:rPr>
          <w:rFonts w:ascii="宋体" w:cs="宋体"/>
          <w:szCs w:val="21"/>
        </w:rPr>
      </w:pPr>
      <w:r>
        <w:rPr>
          <w:rFonts w:ascii="宋体" w:hAnsi="宋体" w:cs="宋体"/>
          <w:szCs w:val="21"/>
        </w:rPr>
        <w:t xml:space="preserve">10.4 </w:t>
      </w:r>
      <w:r>
        <w:rPr>
          <w:rFonts w:hint="eastAsia" w:ascii="宋体" w:hAnsi="宋体" w:cs="宋体"/>
          <w:szCs w:val="21"/>
        </w:rPr>
        <w:t>比选申请文件中使用的计量单位除比选文件中有特殊规定外，一律使用法定计量单位。</w:t>
      </w:r>
    </w:p>
    <w:p>
      <w:pPr>
        <w:spacing w:line="500" w:lineRule="exact"/>
        <w:ind w:firstLine="420" w:firstLineChars="200"/>
        <w:rPr>
          <w:rFonts w:ascii="宋体" w:cs="宋体"/>
          <w:szCs w:val="21"/>
        </w:rPr>
      </w:pPr>
      <w:r>
        <w:rPr>
          <w:rFonts w:ascii="宋体" w:hAnsi="宋体" w:cs="宋体"/>
          <w:szCs w:val="21"/>
        </w:rPr>
        <w:t xml:space="preserve">10.5 </w:t>
      </w:r>
      <w:r>
        <w:rPr>
          <w:rFonts w:hint="eastAsia" w:ascii="宋体" w:hAnsi="宋体" w:cs="宋体"/>
          <w:szCs w:val="21"/>
        </w:rPr>
        <w:t>比选申请文件必须装订成册，不允许以活页夹等形式封装。</w:t>
      </w:r>
    </w:p>
    <w:p>
      <w:pPr>
        <w:spacing w:line="500" w:lineRule="exact"/>
        <w:ind w:firstLine="420" w:firstLineChars="200"/>
        <w:rPr>
          <w:rFonts w:ascii="宋体" w:cs="宋体"/>
          <w:szCs w:val="21"/>
        </w:rPr>
      </w:pPr>
      <w:r>
        <w:rPr>
          <w:rFonts w:ascii="宋体" w:hAnsi="宋体" w:cs="宋体"/>
          <w:szCs w:val="21"/>
        </w:rPr>
        <w:t xml:space="preserve">10.6 </w:t>
      </w:r>
      <w:r>
        <w:rPr>
          <w:rFonts w:hint="eastAsia" w:ascii="宋体" w:hAnsi="宋体" w:cs="宋体"/>
          <w:szCs w:val="21"/>
        </w:rPr>
        <w:t>比选申请文件的所有组成部分均须加盖单位公章或骑缝章。</w:t>
      </w:r>
    </w:p>
    <w:p>
      <w:pPr>
        <w:spacing w:line="500" w:lineRule="exact"/>
        <w:ind w:firstLine="422" w:firstLineChars="200"/>
        <w:rPr>
          <w:rFonts w:ascii="宋体" w:cs="宋体"/>
          <w:b/>
          <w:szCs w:val="21"/>
        </w:rPr>
      </w:pPr>
      <w:bookmarkStart w:id="182" w:name="_Toc114052352"/>
      <w:bookmarkStart w:id="183" w:name="_Toc114052426"/>
      <w:bookmarkStart w:id="184" w:name="_Toc286386846"/>
      <w:bookmarkStart w:id="185" w:name="_Toc310318584"/>
      <w:r>
        <w:rPr>
          <w:rFonts w:ascii="宋体" w:hAnsi="宋体" w:cs="宋体"/>
          <w:b/>
          <w:szCs w:val="21"/>
        </w:rPr>
        <w:t>11.</w:t>
      </w:r>
      <w:r>
        <w:rPr>
          <w:rFonts w:hint="eastAsia" w:ascii="宋体" w:hAnsi="宋体" w:cs="宋体"/>
          <w:b/>
          <w:szCs w:val="21"/>
        </w:rPr>
        <w:t>比选申请文件的组成</w:t>
      </w:r>
      <w:bookmarkEnd w:id="182"/>
      <w:bookmarkEnd w:id="183"/>
      <w:bookmarkEnd w:id="184"/>
      <w:bookmarkEnd w:id="185"/>
    </w:p>
    <w:p>
      <w:pPr>
        <w:spacing w:line="500" w:lineRule="exact"/>
        <w:ind w:firstLine="420" w:firstLineChars="200"/>
        <w:rPr>
          <w:rFonts w:ascii="宋体" w:cs="宋体"/>
          <w:szCs w:val="21"/>
        </w:rPr>
      </w:pPr>
      <w:bookmarkStart w:id="186" w:name="_Toc114052354"/>
      <w:r>
        <w:rPr>
          <w:rFonts w:ascii="宋体" w:hAnsi="宋体" w:cs="宋体"/>
          <w:szCs w:val="21"/>
        </w:rPr>
        <w:t xml:space="preserve">11.1 </w:t>
      </w:r>
      <w:r>
        <w:rPr>
          <w:rFonts w:hint="eastAsia" w:ascii="宋体" w:hAnsi="宋体" w:cs="宋体"/>
          <w:szCs w:val="21"/>
        </w:rPr>
        <w:t>比选申请文件由资格审查部分、技术部分、商务部分三部分组成，详细要求与部分格式详见第三章。</w:t>
      </w:r>
    </w:p>
    <w:p>
      <w:pPr>
        <w:spacing w:line="500" w:lineRule="exact"/>
        <w:ind w:firstLine="420" w:firstLineChars="200"/>
        <w:rPr>
          <w:rFonts w:ascii="宋体" w:cs="宋体"/>
          <w:szCs w:val="21"/>
        </w:rPr>
      </w:pPr>
      <w:r>
        <w:rPr>
          <w:rFonts w:ascii="宋体" w:hAnsi="宋体" w:cs="宋体"/>
          <w:szCs w:val="21"/>
        </w:rPr>
        <w:t xml:space="preserve"> 11.2 </w:t>
      </w:r>
      <w:r>
        <w:rPr>
          <w:rFonts w:hint="eastAsia" w:ascii="宋体" w:hAnsi="宋体" w:cs="宋体"/>
          <w:szCs w:val="21"/>
        </w:rPr>
        <w:t>资格审查部分主要包括下列内容：</w:t>
      </w:r>
    </w:p>
    <w:p>
      <w:pPr>
        <w:spacing w:line="500" w:lineRule="exact"/>
        <w:ind w:firstLine="420" w:firstLineChars="200"/>
        <w:rPr>
          <w:rFonts w:ascii="宋体" w:cs="宋体"/>
          <w:szCs w:val="21"/>
        </w:rPr>
      </w:pPr>
      <w:r>
        <w:rPr>
          <w:rFonts w:hint="eastAsia" w:ascii="宋体" w:hAnsi="宋体" w:cs="宋体"/>
          <w:szCs w:val="21"/>
        </w:rPr>
        <w:t>（</w:t>
      </w:r>
      <w:r>
        <w:rPr>
          <w:rFonts w:ascii="宋体" w:hAnsi="宋体" w:cs="宋体"/>
          <w:szCs w:val="21"/>
        </w:rPr>
        <w:t>1</w:t>
      </w:r>
      <w:r>
        <w:rPr>
          <w:rFonts w:hint="eastAsia" w:ascii="宋体" w:hAnsi="宋体" w:cs="宋体"/>
          <w:szCs w:val="21"/>
        </w:rPr>
        <w:t>）诚信声明（原件）；</w:t>
      </w:r>
    </w:p>
    <w:p>
      <w:pPr>
        <w:spacing w:line="500" w:lineRule="exact"/>
        <w:ind w:firstLine="420" w:firstLineChars="200"/>
        <w:rPr>
          <w:rFonts w:ascii="宋体" w:cs="宋体"/>
          <w:szCs w:val="21"/>
        </w:rPr>
      </w:pPr>
      <w:r>
        <w:rPr>
          <w:rFonts w:hint="eastAsia" w:ascii="宋体" w:hAnsi="宋体" w:cs="宋体"/>
          <w:szCs w:val="21"/>
        </w:rPr>
        <w:t>（</w:t>
      </w:r>
      <w:r>
        <w:rPr>
          <w:rFonts w:ascii="宋体" w:hAnsi="宋体" w:cs="宋体"/>
          <w:szCs w:val="21"/>
        </w:rPr>
        <w:t>2</w:t>
      </w:r>
      <w:r>
        <w:rPr>
          <w:rFonts w:hint="eastAsia" w:ascii="宋体" w:hAnsi="宋体" w:cs="宋体"/>
          <w:szCs w:val="21"/>
        </w:rPr>
        <w:t>）法定代表人（负责人）资格证明书（原件）；</w:t>
      </w:r>
    </w:p>
    <w:p>
      <w:pPr>
        <w:spacing w:line="500" w:lineRule="exact"/>
        <w:ind w:firstLine="420" w:firstLineChars="200"/>
        <w:rPr>
          <w:rFonts w:ascii="宋体" w:cs="宋体"/>
          <w:szCs w:val="21"/>
        </w:rPr>
      </w:pPr>
      <w:r>
        <w:rPr>
          <w:rFonts w:hint="eastAsia" w:ascii="宋体" w:hAnsi="宋体" w:cs="宋体"/>
          <w:szCs w:val="21"/>
        </w:rPr>
        <w:t>（</w:t>
      </w:r>
      <w:r>
        <w:rPr>
          <w:rFonts w:ascii="宋体" w:hAnsi="宋体" w:cs="宋体"/>
          <w:szCs w:val="21"/>
        </w:rPr>
        <w:t>3</w:t>
      </w:r>
      <w:r>
        <w:rPr>
          <w:rFonts w:hint="eastAsia" w:ascii="宋体" w:hAnsi="宋体" w:cs="宋体"/>
          <w:szCs w:val="21"/>
        </w:rPr>
        <w:t>）法定代表人（负责人）身份证（复印件加盖单位公章）</w:t>
      </w:r>
      <w:r>
        <w:rPr>
          <w:rFonts w:ascii="宋体" w:hAnsi="宋体" w:cs="宋体"/>
          <w:szCs w:val="21"/>
        </w:rPr>
        <w:t xml:space="preserve"> </w:t>
      </w:r>
      <w:r>
        <w:rPr>
          <w:rFonts w:hint="eastAsia" w:ascii="宋体" w:hAnsi="宋体" w:cs="宋体"/>
          <w:szCs w:val="21"/>
        </w:rPr>
        <w:t>；</w:t>
      </w:r>
    </w:p>
    <w:p>
      <w:pPr>
        <w:spacing w:line="500" w:lineRule="exact"/>
        <w:ind w:firstLine="420" w:firstLineChars="200"/>
        <w:rPr>
          <w:rFonts w:ascii="宋体" w:cs="宋体"/>
          <w:szCs w:val="21"/>
        </w:rPr>
      </w:pPr>
      <w:r>
        <w:rPr>
          <w:rFonts w:hint="eastAsia" w:ascii="宋体" w:hAnsi="宋体" w:cs="宋体"/>
          <w:szCs w:val="21"/>
        </w:rPr>
        <w:t>（</w:t>
      </w:r>
      <w:r>
        <w:rPr>
          <w:rFonts w:ascii="宋体" w:hAnsi="宋体" w:cs="宋体"/>
          <w:szCs w:val="21"/>
        </w:rPr>
        <w:t>4</w:t>
      </w:r>
      <w:r>
        <w:rPr>
          <w:rFonts w:hint="eastAsia" w:ascii="宋体" w:hAnsi="宋体" w:cs="宋体"/>
          <w:szCs w:val="21"/>
        </w:rPr>
        <w:t>）比选申请文件签署授权委托书（原件）；</w:t>
      </w:r>
    </w:p>
    <w:p>
      <w:pPr>
        <w:spacing w:line="500" w:lineRule="exact"/>
        <w:ind w:firstLine="420" w:firstLineChars="200"/>
        <w:rPr>
          <w:rFonts w:ascii="宋体" w:hAnsi="宋体" w:cs="宋体"/>
          <w:szCs w:val="21"/>
        </w:rPr>
      </w:pPr>
      <w:r>
        <w:rPr>
          <w:rFonts w:hint="eastAsia" w:ascii="宋体" w:hAnsi="宋体" w:cs="宋体"/>
          <w:szCs w:val="21"/>
        </w:rPr>
        <w:t>（5）授权代表人身份证（复印件加盖单位公章） ；</w:t>
      </w:r>
    </w:p>
    <w:p>
      <w:pPr>
        <w:spacing w:line="500" w:lineRule="exact"/>
        <w:ind w:firstLine="420" w:firstLineChars="200"/>
        <w:rPr>
          <w:rFonts w:ascii="宋体" w:hAnsi="宋体" w:cs="宋体"/>
          <w:szCs w:val="21"/>
        </w:rPr>
      </w:pPr>
      <w:r>
        <w:rPr>
          <w:rFonts w:hint="eastAsia" w:ascii="宋体" w:hAnsi="宋体" w:cs="宋体"/>
          <w:szCs w:val="21"/>
        </w:rPr>
        <w:t>（6）总部授权参与证明（复印件加盖单位公章）；</w:t>
      </w:r>
    </w:p>
    <w:p>
      <w:pPr>
        <w:spacing w:line="500" w:lineRule="exact"/>
        <w:ind w:firstLine="420" w:firstLineChars="200"/>
        <w:rPr>
          <w:rFonts w:ascii="宋体" w:hAnsi="宋体" w:cs="宋体"/>
          <w:szCs w:val="21"/>
        </w:rPr>
      </w:pPr>
      <w:r>
        <w:rPr>
          <w:rFonts w:hint="eastAsia" w:ascii="宋体" w:hAnsi="宋体" w:cs="宋体"/>
          <w:szCs w:val="21"/>
        </w:rPr>
        <w:t>（7）没有处于被行政主管部门或业主取消比选申请资格的处罚期内，且没有处于被责令停业，财产被接管、破产状态证明（复印件加盖单位公章）；</w:t>
      </w:r>
    </w:p>
    <w:p>
      <w:pPr>
        <w:spacing w:line="500" w:lineRule="exact"/>
        <w:ind w:firstLine="420" w:firstLineChars="200"/>
        <w:rPr>
          <w:rFonts w:ascii="宋体" w:hAnsi="宋体" w:cs="宋体"/>
          <w:szCs w:val="21"/>
        </w:rPr>
      </w:pPr>
      <w:r>
        <w:rPr>
          <w:rFonts w:hint="eastAsia" w:ascii="宋体" w:hAnsi="宋体" w:cs="宋体"/>
          <w:szCs w:val="21"/>
        </w:rPr>
        <w:t>（8）其他。</w:t>
      </w:r>
    </w:p>
    <w:bookmarkEnd w:id="186"/>
    <w:p>
      <w:pPr>
        <w:spacing w:line="500" w:lineRule="exact"/>
        <w:ind w:firstLine="525" w:firstLineChars="250"/>
        <w:rPr>
          <w:rFonts w:ascii="宋体" w:cs="宋体"/>
          <w:szCs w:val="21"/>
        </w:rPr>
      </w:pPr>
      <w:r>
        <w:rPr>
          <w:rFonts w:ascii="宋体" w:hAnsi="宋体" w:cs="宋体"/>
          <w:szCs w:val="21"/>
        </w:rPr>
        <w:t xml:space="preserve">11.3 </w:t>
      </w:r>
      <w:r>
        <w:rPr>
          <w:rFonts w:hint="eastAsia" w:ascii="宋体" w:hAnsi="宋体" w:cs="宋体"/>
          <w:szCs w:val="21"/>
        </w:rPr>
        <w:t>技术部分主要包括下列内容：</w:t>
      </w:r>
    </w:p>
    <w:p>
      <w:pPr>
        <w:spacing w:line="500" w:lineRule="exact"/>
        <w:ind w:firstLine="420" w:firstLineChars="200"/>
        <w:rPr>
          <w:rFonts w:ascii="宋体" w:cs="宋体"/>
          <w:szCs w:val="21"/>
        </w:rPr>
      </w:pPr>
      <w:r>
        <w:rPr>
          <w:rFonts w:hint="eastAsia" w:ascii="宋体" w:hAnsi="宋体" w:cs="宋体"/>
          <w:szCs w:val="21"/>
        </w:rPr>
        <w:t>（</w:t>
      </w:r>
      <w:r>
        <w:rPr>
          <w:rFonts w:ascii="宋体" w:hAnsi="宋体" w:cs="宋体"/>
          <w:szCs w:val="21"/>
        </w:rPr>
        <w:t>1</w:t>
      </w:r>
      <w:r>
        <w:rPr>
          <w:rFonts w:hint="eastAsia" w:ascii="宋体" w:hAnsi="宋体" w:cs="宋体"/>
          <w:szCs w:val="21"/>
        </w:rPr>
        <w:t>）业绩表；</w:t>
      </w:r>
    </w:p>
    <w:p>
      <w:pPr>
        <w:spacing w:line="500" w:lineRule="exact"/>
        <w:ind w:firstLine="420" w:firstLineChars="200"/>
        <w:rPr>
          <w:rFonts w:ascii="宋体" w:cs="宋体"/>
          <w:szCs w:val="21"/>
        </w:rPr>
      </w:pPr>
      <w:r>
        <w:rPr>
          <w:rFonts w:hint="eastAsia" w:ascii="宋体" w:hAnsi="宋体" w:cs="宋体"/>
          <w:szCs w:val="21"/>
        </w:rPr>
        <w:t>（</w:t>
      </w:r>
      <w:r>
        <w:rPr>
          <w:rFonts w:ascii="宋体" w:hAnsi="宋体" w:cs="宋体"/>
          <w:szCs w:val="21"/>
        </w:rPr>
        <w:t>2</w:t>
      </w:r>
      <w:r>
        <w:rPr>
          <w:rFonts w:hint="eastAsia" w:ascii="宋体" w:hAnsi="宋体" w:cs="宋体"/>
          <w:szCs w:val="21"/>
        </w:rPr>
        <w:t>）拟投入人员配置明细表；</w:t>
      </w:r>
      <w:r>
        <w:rPr>
          <w:rFonts w:ascii="宋体" w:hAnsi="宋体" w:cs="宋体"/>
          <w:szCs w:val="21"/>
        </w:rPr>
        <w:t xml:space="preserve"> </w:t>
      </w:r>
    </w:p>
    <w:p>
      <w:pPr>
        <w:spacing w:line="500" w:lineRule="exact"/>
        <w:ind w:firstLine="420" w:firstLineChars="200"/>
        <w:rPr>
          <w:rFonts w:ascii="宋体" w:hAnsi="宋体" w:cs="宋体"/>
          <w:szCs w:val="21"/>
        </w:rPr>
      </w:pPr>
      <w:r>
        <w:rPr>
          <w:rFonts w:hint="eastAsia" w:ascii="宋体" w:hAnsi="宋体" w:cs="宋体"/>
          <w:szCs w:val="21"/>
        </w:rPr>
        <w:t>（</w:t>
      </w:r>
      <w:r>
        <w:rPr>
          <w:rFonts w:ascii="宋体" w:hAnsi="宋体" w:cs="宋体"/>
          <w:szCs w:val="21"/>
        </w:rPr>
        <w:t>3</w:t>
      </w:r>
      <w:r>
        <w:rPr>
          <w:rFonts w:hint="eastAsia" w:ascii="宋体" w:hAnsi="宋体" w:cs="宋体"/>
          <w:szCs w:val="21"/>
        </w:rPr>
        <w:t>）拟投入人员的相关工作资历及能力（由比选申请人自行编写）；</w:t>
      </w:r>
    </w:p>
    <w:p>
      <w:pPr>
        <w:spacing w:line="500" w:lineRule="exact"/>
        <w:ind w:firstLine="420" w:firstLineChars="200"/>
      </w:pPr>
      <w:r>
        <w:rPr>
          <w:rFonts w:hint="eastAsia" w:ascii="宋体" w:hAnsi="宋体" w:cs="宋体"/>
          <w:szCs w:val="21"/>
        </w:rPr>
        <w:t>（</w:t>
      </w:r>
      <w:r>
        <w:rPr>
          <w:rFonts w:ascii="宋体" w:hAnsi="宋体" w:cs="宋体"/>
          <w:szCs w:val="21"/>
        </w:rPr>
        <w:t>4</w:t>
      </w:r>
      <w:r>
        <w:rPr>
          <w:rFonts w:hint="eastAsia" w:ascii="宋体" w:hAnsi="宋体" w:cs="宋体"/>
          <w:szCs w:val="21"/>
        </w:rPr>
        <w:t>）拟投入人员中正式员工劳动合同和近3个月社保缴付证明（复印件加盖单位公章）；</w:t>
      </w:r>
    </w:p>
    <w:p>
      <w:pPr>
        <w:spacing w:line="500" w:lineRule="exact"/>
        <w:ind w:firstLine="420" w:firstLineChars="200"/>
        <w:rPr>
          <w:rFonts w:ascii="宋体" w:cs="宋体"/>
          <w:szCs w:val="21"/>
        </w:rPr>
      </w:pPr>
      <w:r>
        <w:rPr>
          <w:rFonts w:hint="eastAsia" w:ascii="宋体" w:hAnsi="宋体" w:cs="宋体"/>
          <w:szCs w:val="21"/>
        </w:rPr>
        <w:t>（5）服务方案（由比选申请人自行编写）；</w:t>
      </w:r>
    </w:p>
    <w:p>
      <w:pPr>
        <w:spacing w:line="500" w:lineRule="exact"/>
        <w:ind w:firstLine="420" w:firstLineChars="200"/>
        <w:rPr>
          <w:rFonts w:ascii="宋体" w:cs="宋体"/>
          <w:szCs w:val="21"/>
        </w:rPr>
      </w:pPr>
      <w:r>
        <w:rPr>
          <w:rFonts w:hint="eastAsia" w:ascii="宋体" w:hAnsi="宋体" w:cs="宋体"/>
          <w:szCs w:val="21"/>
        </w:rPr>
        <w:t>（6）其他。</w:t>
      </w:r>
    </w:p>
    <w:p>
      <w:pPr>
        <w:spacing w:line="500" w:lineRule="exact"/>
        <w:ind w:firstLine="420" w:firstLineChars="200"/>
        <w:rPr>
          <w:rFonts w:ascii="宋体" w:cs="宋体"/>
          <w:szCs w:val="21"/>
        </w:rPr>
      </w:pPr>
      <w:r>
        <w:rPr>
          <w:rFonts w:ascii="宋体" w:hAnsi="宋体" w:cs="宋体"/>
          <w:szCs w:val="21"/>
        </w:rPr>
        <w:t xml:space="preserve"> 11.4 </w:t>
      </w:r>
      <w:r>
        <w:rPr>
          <w:rFonts w:hint="eastAsia" w:ascii="宋体" w:hAnsi="宋体" w:cs="宋体"/>
          <w:szCs w:val="21"/>
        </w:rPr>
        <w:t>商务部分主要包括下列内容：</w:t>
      </w:r>
    </w:p>
    <w:p>
      <w:pPr>
        <w:spacing w:line="500" w:lineRule="exact"/>
        <w:ind w:firstLine="420" w:firstLineChars="200"/>
        <w:rPr>
          <w:rFonts w:ascii="宋体" w:cs="宋体"/>
          <w:szCs w:val="21"/>
        </w:rPr>
      </w:pPr>
      <w:r>
        <w:rPr>
          <w:rFonts w:hint="eastAsia" w:ascii="宋体" w:hAnsi="宋体" w:cs="宋体"/>
          <w:szCs w:val="21"/>
        </w:rPr>
        <w:t>（</w:t>
      </w:r>
      <w:r>
        <w:rPr>
          <w:rFonts w:ascii="宋体" w:hAnsi="宋体" w:cs="宋体"/>
          <w:szCs w:val="21"/>
        </w:rPr>
        <w:t>1</w:t>
      </w:r>
      <w:r>
        <w:rPr>
          <w:rFonts w:hint="eastAsia" w:ascii="宋体" w:hAnsi="宋体" w:cs="宋体"/>
          <w:szCs w:val="21"/>
        </w:rPr>
        <w:t>）报价表。</w:t>
      </w:r>
    </w:p>
    <w:p>
      <w:pPr>
        <w:spacing w:line="500" w:lineRule="exact"/>
        <w:ind w:firstLine="420" w:firstLineChars="200"/>
        <w:rPr>
          <w:rFonts w:ascii="宋体" w:cs="宋体"/>
          <w:szCs w:val="21"/>
        </w:rPr>
      </w:pPr>
      <w:r>
        <w:rPr>
          <w:rFonts w:ascii="宋体" w:hAnsi="宋体" w:cs="宋体"/>
          <w:szCs w:val="21"/>
        </w:rPr>
        <w:t xml:space="preserve"> 11.5 </w:t>
      </w:r>
      <w:r>
        <w:rPr>
          <w:rFonts w:hint="eastAsia" w:ascii="宋体" w:hAnsi="宋体" w:cs="宋体"/>
          <w:szCs w:val="21"/>
        </w:rPr>
        <w:t>比选申请人需按照比选人提供的比选申请文件格式和顺序另行编制比选申请文件，但表格可以按同样格式扩展。</w:t>
      </w:r>
    </w:p>
    <w:p>
      <w:pPr>
        <w:spacing w:line="500" w:lineRule="exact"/>
        <w:ind w:firstLine="422" w:firstLineChars="200"/>
        <w:rPr>
          <w:rFonts w:ascii="宋体" w:cs="宋体"/>
          <w:b/>
          <w:szCs w:val="21"/>
        </w:rPr>
      </w:pPr>
      <w:r>
        <w:rPr>
          <w:rFonts w:ascii="宋体" w:hAnsi="宋体" w:cs="宋体"/>
          <w:b/>
          <w:szCs w:val="21"/>
        </w:rPr>
        <w:t xml:space="preserve"> 12.</w:t>
      </w:r>
      <w:bookmarkStart w:id="187" w:name="_Toc114052363"/>
      <w:bookmarkStart w:id="188" w:name="_Toc286386847"/>
      <w:bookmarkStart w:id="189" w:name="_Toc114052427"/>
      <w:bookmarkStart w:id="190" w:name="_Toc310318585"/>
      <w:r>
        <w:rPr>
          <w:rFonts w:hint="eastAsia" w:ascii="宋体" w:hAnsi="宋体" w:cs="宋体"/>
          <w:b/>
          <w:szCs w:val="21"/>
        </w:rPr>
        <w:t>比选有效期</w:t>
      </w:r>
      <w:bookmarkEnd w:id="187"/>
      <w:bookmarkEnd w:id="188"/>
      <w:bookmarkEnd w:id="189"/>
      <w:bookmarkEnd w:id="190"/>
    </w:p>
    <w:p>
      <w:pPr>
        <w:spacing w:line="500" w:lineRule="exact"/>
        <w:ind w:firstLine="420" w:firstLineChars="200"/>
        <w:rPr>
          <w:rFonts w:ascii="宋体" w:cs="宋体"/>
          <w:szCs w:val="21"/>
        </w:rPr>
      </w:pPr>
      <w:r>
        <w:rPr>
          <w:rFonts w:ascii="宋体" w:hAnsi="宋体" w:cs="宋体"/>
          <w:szCs w:val="21"/>
        </w:rPr>
        <w:t xml:space="preserve"> 12.1 </w:t>
      </w:r>
      <w:r>
        <w:rPr>
          <w:rFonts w:hint="eastAsia" w:ascii="宋体" w:hAnsi="宋体" w:cs="宋体"/>
          <w:szCs w:val="21"/>
        </w:rPr>
        <w:t>比选申请文件在前附表第</w:t>
      </w:r>
      <w:r>
        <w:rPr>
          <w:rFonts w:ascii="宋体" w:hAnsi="宋体" w:cs="宋体"/>
          <w:szCs w:val="21"/>
        </w:rPr>
        <w:t>11</w:t>
      </w:r>
      <w:r>
        <w:rPr>
          <w:rFonts w:hint="eastAsia" w:ascii="宋体" w:hAnsi="宋体" w:cs="宋体"/>
          <w:szCs w:val="21"/>
        </w:rPr>
        <w:t>条规定的递交比选申请文件日期之后的</w:t>
      </w:r>
      <w:r>
        <w:rPr>
          <w:rFonts w:ascii="宋体" w:hAnsi="宋体" w:cs="宋体"/>
          <w:szCs w:val="21"/>
        </w:rPr>
        <w:t>90</w:t>
      </w:r>
      <w:r>
        <w:rPr>
          <w:rFonts w:hint="eastAsia" w:ascii="宋体" w:hAnsi="宋体" w:cs="宋体"/>
          <w:szCs w:val="21"/>
        </w:rPr>
        <w:t>天内有效。</w:t>
      </w:r>
    </w:p>
    <w:p>
      <w:pPr>
        <w:spacing w:line="500" w:lineRule="exact"/>
        <w:ind w:firstLine="422" w:firstLineChars="200"/>
        <w:rPr>
          <w:rFonts w:ascii="宋体" w:cs="宋体"/>
          <w:b/>
          <w:szCs w:val="21"/>
        </w:rPr>
      </w:pPr>
      <w:r>
        <w:rPr>
          <w:rFonts w:ascii="宋体" w:hAnsi="宋体" w:cs="宋体"/>
          <w:b/>
          <w:szCs w:val="21"/>
        </w:rPr>
        <w:t>13.</w:t>
      </w:r>
      <w:r>
        <w:rPr>
          <w:rFonts w:hint="eastAsia" w:ascii="宋体" w:hAnsi="宋体" w:cs="宋体"/>
          <w:b/>
          <w:szCs w:val="21"/>
        </w:rPr>
        <w:t>比选保证金</w:t>
      </w:r>
    </w:p>
    <w:p>
      <w:pPr>
        <w:spacing w:line="500" w:lineRule="exact"/>
        <w:ind w:firstLine="420" w:firstLineChars="200"/>
        <w:rPr>
          <w:rFonts w:ascii="宋体" w:cs="宋体"/>
          <w:szCs w:val="21"/>
        </w:rPr>
      </w:pPr>
      <w:r>
        <w:rPr>
          <w:rFonts w:ascii="宋体" w:hAnsi="宋体" w:cs="宋体"/>
          <w:szCs w:val="21"/>
        </w:rPr>
        <w:t xml:space="preserve">13.1 </w:t>
      </w:r>
      <w:r>
        <w:rPr>
          <w:rFonts w:hint="eastAsia" w:ascii="宋体" w:hAnsi="宋体" w:cs="宋体"/>
          <w:szCs w:val="21"/>
        </w:rPr>
        <w:t>本项目不设比选保证金。</w:t>
      </w:r>
    </w:p>
    <w:p>
      <w:pPr>
        <w:spacing w:line="500" w:lineRule="exact"/>
        <w:ind w:firstLine="422" w:firstLineChars="200"/>
        <w:rPr>
          <w:rFonts w:ascii="宋体" w:cs="宋体"/>
          <w:b/>
          <w:szCs w:val="21"/>
        </w:rPr>
      </w:pPr>
      <w:r>
        <w:rPr>
          <w:rFonts w:ascii="宋体" w:hAnsi="宋体" w:cs="宋体"/>
          <w:b/>
          <w:szCs w:val="21"/>
        </w:rPr>
        <w:t>14.</w:t>
      </w:r>
      <w:bookmarkStart w:id="191" w:name="_Toc286386849"/>
      <w:bookmarkStart w:id="192" w:name="_Toc310318587"/>
      <w:bookmarkStart w:id="193" w:name="_Toc114052429"/>
      <w:bookmarkStart w:id="194" w:name="_Toc114052365"/>
      <w:r>
        <w:rPr>
          <w:rFonts w:hint="eastAsia" w:ascii="宋体" w:hAnsi="宋体" w:cs="宋体"/>
          <w:b/>
          <w:szCs w:val="21"/>
        </w:rPr>
        <w:t>比选答疑</w:t>
      </w:r>
      <w:bookmarkEnd w:id="191"/>
      <w:bookmarkEnd w:id="192"/>
      <w:bookmarkEnd w:id="193"/>
      <w:bookmarkEnd w:id="194"/>
    </w:p>
    <w:p>
      <w:pPr>
        <w:spacing w:line="500" w:lineRule="exact"/>
        <w:ind w:firstLine="420" w:firstLineChars="200"/>
        <w:rPr>
          <w:rFonts w:ascii="宋体" w:cs="宋体"/>
          <w:szCs w:val="21"/>
        </w:rPr>
      </w:pPr>
      <w:r>
        <w:rPr>
          <w:rFonts w:ascii="宋体" w:hAnsi="宋体" w:cs="宋体"/>
          <w:szCs w:val="21"/>
        </w:rPr>
        <w:t xml:space="preserve">14.1 </w:t>
      </w:r>
      <w:r>
        <w:rPr>
          <w:rFonts w:hint="eastAsia" w:ascii="宋体" w:hAnsi="宋体" w:cs="宋体"/>
          <w:szCs w:val="21"/>
        </w:rPr>
        <w:t>比选申请人提出的与比选有关的任何问题均应在递交文件截止时间</w:t>
      </w:r>
      <w:r>
        <w:rPr>
          <w:rFonts w:ascii="宋体" w:hAnsi="宋体" w:cs="宋体"/>
          <w:szCs w:val="21"/>
        </w:rPr>
        <w:t>3</w:t>
      </w:r>
      <w:r>
        <w:rPr>
          <w:rFonts w:hint="eastAsia" w:ascii="宋体" w:hAnsi="宋体" w:cs="宋体"/>
          <w:szCs w:val="21"/>
        </w:rPr>
        <w:t>个工作日前的正常工作时间内，用当面递交或传真书面通知比选人，其他方式为无效。比选人将以书面形式通过“比选补遗文件”的形式予以答复。</w:t>
      </w:r>
    </w:p>
    <w:p>
      <w:pPr>
        <w:spacing w:line="500" w:lineRule="exact"/>
        <w:ind w:firstLine="420" w:firstLineChars="200"/>
        <w:rPr>
          <w:rFonts w:ascii="宋体" w:cs="宋体"/>
          <w:szCs w:val="21"/>
        </w:rPr>
      </w:pPr>
      <w:r>
        <w:rPr>
          <w:rFonts w:ascii="宋体" w:hAnsi="宋体" w:cs="宋体"/>
          <w:szCs w:val="21"/>
        </w:rPr>
        <w:t xml:space="preserve">14.2 </w:t>
      </w:r>
      <w:r>
        <w:rPr>
          <w:rFonts w:hint="eastAsia" w:ascii="宋体" w:hAnsi="宋体" w:cs="宋体"/>
          <w:szCs w:val="21"/>
        </w:rPr>
        <w:t>比选补遗文件包括所有问题和答复，比选人将于递交文件截止时间</w:t>
      </w:r>
      <w:r>
        <w:rPr>
          <w:rFonts w:ascii="宋体" w:hAnsi="宋体" w:cs="宋体"/>
          <w:szCs w:val="21"/>
        </w:rPr>
        <w:t>2</w:t>
      </w:r>
      <w:r>
        <w:rPr>
          <w:rFonts w:hint="eastAsia" w:ascii="宋体" w:hAnsi="宋体" w:cs="宋体"/>
          <w:szCs w:val="21"/>
        </w:rPr>
        <w:t>天前以书面形式，在比选人官网发布，予以答复。</w:t>
      </w:r>
    </w:p>
    <w:p>
      <w:pPr>
        <w:spacing w:line="500" w:lineRule="exact"/>
        <w:ind w:firstLine="422" w:firstLineChars="200"/>
        <w:rPr>
          <w:rFonts w:ascii="宋体" w:cs="宋体"/>
          <w:b/>
          <w:szCs w:val="21"/>
        </w:rPr>
      </w:pPr>
      <w:r>
        <w:rPr>
          <w:rFonts w:ascii="宋体" w:hAnsi="宋体" w:cs="宋体"/>
          <w:b/>
          <w:szCs w:val="21"/>
        </w:rPr>
        <w:t>15.</w:t>
      </w:r>
      <w:bookmarkStart w:id="195" w:name="_Toc114052430"/>
      <w:bookmarkStart w:id="196" w:name="_Toc114052366"/>
      <w:bookmarkStart w:id="197" w:name="_Toc286386850"/>
      <w:bookmarkStart w:id="198" w:name="_Toc310318588"/>
      <w:r>
        <w:rPr>
          <w:rFonts w:hint="eastAsia" w:ascii="宋体" w:hAnsi="宋体" w:cs="宋体"/>
          <w:b/>
          <w:szCs w:val="21"/>
        </w:rPr>
        <w:t>比选申请文件的份数</w:t>
      </w:r>
      <w:bookmarkEnd w:id="195"/>
      <w:bookmarkEnd w:id="196"/>
      <w:bookmarkEnd w:id="197"/>
      <w:bookmarkEnd w:id="198"/>
      <w:r>
        <w:rPr>
          <w:rFonts w:hint="eastAsia" w:ascii="宋体" w:hAnsi="宋体" w:cs="宋体"/>
          <w:b/>
          <w:szCs w:val="21"/>
        </w:rPr>
        <w:t>和签署</w:t>
      </w:r>
    </w:p>
    <w:p>
      <w:pPr>
        <w:spacing w:line="500" w:lineRule="exact"/>
        <w:ind w:firstLine="420" w:firstLineChars="200"/>
        <w:rPr>
          <w:rFonts w:ascii="宋体" w:cs="宋体"/>
          <w:szCs w:val="21"/>
        </w:rPr>
      </w:pPr>
      <w:r>
        <w:rPr>
          <w:rFonts w:ascii="宋体" w:hAnsi="宋体" w:cs="宋体"/>
          <w:szCs w:val="21"/>
        </w:rPr>
        <w:t xml:space="preserve">15.1 </w:t>
      </w:r>
      <w:r>
        <w:rPr>
          <w:rFonts w:hint="eastAsia" w:ascii="宋体" w:hAnsi="宋体" w:cs="宋体"/>
          <w:szCs w:val="21"/>
        </w:rPr>
        <w:t>比选申请人按比选文件规定，编制一份比选申请文件“正本”和前附表第</w:t>
      </w:r>
      <w:r>
        <w:rPr>
          <w:rFonts w:ascii="宋体" w:hAnsi="宋体" w:cs="宋体"/>
          <w:szCs w:val="21"/>
        </w:rPr>
        <w:t>12</w:t>
      </w:r>
      <w:r>
        <w:rPr>
          <w:rFonts w:hint="eastAsia" w:ascii="宋体" w:hAnsi="宋体" w:cs="宋体"/>
          <w:szCs w:val="21"/>
        </w:rPr>
        <w:t>项所述份数的“副本”，并标明“比选申请文件正本”和“比选申请文件副本”。比选申请文件正本和副本如有不一致之处，以正本为准。</w:t>
      </w:r>
    </w:p>
    <w:p>
      <w:pPr>
        <w:spacing w:line="500" w:lineRule="exact"/>
        <w:ind w:firstLine="420" w:firstLineChars="200"/>
        <w:rPr>
          <w:rFonts w:ascii="宋体" w:cs="宋体"/>
          <w:szCs w:val="21"/>
        </w:rPr>
      </w:pPr>
      <w:r>
        <w:rPr>
          <w:rFonts w:ascii="宋体" w:hAnsi="宋体" w:cs="宋体"/>
          <w:szCs w:val="21"/>
        </w:rPr>
        <w:t xml:space="preserve">15.2 </w:t>
      </w:r>
      <w:r>
        <w:rPr>
          <w:rFonts w:hint="eastAsia" w:ascii="宋体" w:hAnsi="宋体" w:cs="宋体"/>
          <w:szCs w:val="21"/>
        </w:rPr>
        <w:t>比选申请文件正本与副本均应使用不能擦去的黑色墨水打印或书写，装订成册，由比选申请人法定代表人或授权委托代理人亲自签署或加盖印鉴，并加盖比选申请人单位公章。</w:t>
      </w:r>
    </w:p>
    <w:p>
      <w:pPr>
        <w:spacing w:line="500" w:lineRule="exact"/>
        <w:ind w:firstLine="420" w:firstLineChars="200"/>
        <w:rPr>
          <w:rFonts w:ascii="宋体" w:cs="宋体"/>
          <w:szCs w:val="21"/>
        </w:rPr>
      </w:pPr>
      <w:r>
        <w:rPr>
          <w:rFonts w:ascii="宋体" w:hAnsi="宋体" w:cs="宋体"/>
          <w:szCs w:val="21"/>
        </w:rPr>
        <w:t xml:space="preserve">15.3 </w:t>
      </w:r>
      <w:r>
        <w:rPr>
          <w:rFonts w:hint="eastAsia" w:ascii="宋体" w:hAnsi="宋体" w:cs="宋体"/>
          <w:szCs w:val="21"/>
        </w:rPr>
        <w:t>全套比选申请文件应无涂改和行间插字，除非这些删改是根据比选人指示进行的；或者是比选申请人造成的必须修改的错误，但修改处应由比选申请文件签字人签字证明，否则修改无效。</w:t>
      </w:r>
    </w:p>
    <w:p>
      <w:pPr>
        <w:pStyle w:val="4"/>
        <w:spacing w:before="156" w:beforeLines="50" w:after="156" w:afterLines="50" w:line="500" w:lineRule="exact"/>
        <w:jc w:val="center"/>
        <w:rPr>
          <w:b/>
          <w:sz w:val="21"/>
          <w:szCs w:val="21"/>
        </w:rPr>
      </w:pPr>
      <w:bookmarkStart w:id="199" w:name="_Toc17030"/>
      <w:bookmarkStart w:id="200" w:name="_Toc461525301"/>
      <w:bookmarkStart w:id="201" w:name="_Toc25460"/>
      <w:bookmarkStart w:id="202" w:name="_Toc4540"/>
      <w:bookmarkStart w:id="203" w:name="_Toc15955"/>
      <w:bookmarkStart w:id="204" w:name="_Toc5900"/>
      <w:bookmarkStart w:id="205" w:name="_Toc23604"/>
      <w:bookmarkStart w:id="206" w:name="_Toc15430"/>
      <w:bookmarkStart w:id="207" w:name="_Toc28307"/>
      <w:bookmarkStart w:id="208" w:name="_Toc11391"/>
      <w:bookmarkStart w:id="209" w:name="_Toc2153"/>
      <w:bookmarkStart w:id="210" w:name="_Toc14726"/>
      <w:bookmarkStart w:id="211" w:name="_Toc8725"/>
      <w:bookmarkStart w:id="212" w:name="_Toc32046"/>
      <w:bookmarkStart w:id="213" w:name="_Toc7811"/>
      <w:bookmarkStart w:id="214" w:name="_Toc31804"/>
      <w:bookmarkStart w:id="215" w:name="_Toc16937"/>
      <w:bookmarkStart w:id="216" w:name="_Toc23101"/>
      <w:bookmarkStart w:id="217" w:name="_Toc28652"/>
      <w:bookmarkStart w:id="218" w:name="_Toc19276"/>
      <w:bookmarkStart w:id="219" w:name="_Toc471482365"/>
      <w:bookmarkStart w:id="220" w:name="_Toc27875"/>
      <w:r>
        <w:rPr>
          <w:rFonts w:hint="eastAsia"/>
          <w:b/>
          <w:sz w:val="21"/>
          <w:szCs w:val="21"/>
        </w:rPr>
        <w:t>五、比选申请文件的递交</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spacing w:line="500" w:lineRule="exact"/>
        <w:ind w:firstLine="422" w:firstLineChars="200"/>
        <w:rPr>
          <w:rFonts w:ascii="宋体" w:cs="宋体"/>
          <w:b/>
          <w:szCs w:val="21"/>
        </w:rPr>
      </w:pPr>
      <w:r>
        <w:rPr>
          <w:rFonts w:ascii="宋体" w:hAnsi="宋体" w:cs="宋体"/>
          <w:b/>
          <w:szCs w:val="21"/>
        </w:rPr>
        <w:t>16.</w:t>
      </w:r>
      <w:r>
        <w:rPr>
          <w:rFonts w:hint="eastAsia" w:ascii="宋体" w:hAnsi="宋体" w:cs="宋体"/>
          <w:b/>
          <w:szCs w:val="21"/>
        </w:rPr>
        <w:t>比选申请文件的密封与标志</w:t>
      </w:r>
    </w:p>
    <w:p>
      <w:pPr>
        <w:spacing w:line="500" w:lineRule="exact"/>
        <w:ind w:firstLine="420" w:firstLineChars="200"/>
        <w:rPr>
          <w:rFonts w:ascii="宋体" w:cs="宋体"/>
          <w:szCs w:val="21"/>
        </w:rPr>
      </w:pPr>
      <w:r>
        <w:rPr>
          <w:rFonts w:ascii="宋体" w:hAnsi="宋体" w:cs="宋体"/>
          <w:szCs w:val="21"/>
        </w:rPr>
        <w:t xml:space="preserve">16.1 </w:t>
      </w:r>
      <w:r>
        <w:rPr>
          <w:rFonts w:hint="eastAsia" w:ascii="宋体" w:hAnsi="宋体" w:cs="宋体"/>
          <w:szCs w:val="21"/>
        </w:rPr>
        <w:t>比选申请文件装订要求：比选申请文件由资格审查部分、技术部分、商务部分合并装订。</w:t>
      </w:r>
    </w:p>
    <w:p>
      <w:pPr>
        <w:spacing w:line="500" w:lineRule="exact"/>
        <w:ind w:firstLine="420" w:firstLineChars="200"/>
        <w:rPr>
          <w:rFonts w:ascii="宋体" w:cs="宋体"/>
          <w:szCs w:val="21"/>
        </w:rPr>
      </w:pPr>
      <w:r>
        <w:rPr>
          <w:rFonts w:ascii="宋体" w:hAnsi="宋体" w:cs="宋体"/>
          <w:szCs w:val="21"/>
        </w:rPr>
        <w:t xml:space="preserve">16.2 </w:t>
      </w:r>
      <w:r>
        <w:rPr>
          <w:rFonts w:hint="eastAsia" w:ascii="宋体" w:hAnsi="宋体" w:cs="宋体"/>
          <w:szCs w:val="21"/>
        </w:rPr>
        <w:t>比选申请文件的资格审查部分、技术部分、商务部分合并装订成册，并分正、副本，其中正本一册，副本四册，密封在一个比选文件密封袋中。</w:t>
      </w:r>
    </w:p>
    <w:p>
      <w:pPr>
        <w:tabs>
          <w:tab w:val="left" w:pos="8610"/>
        </w:tabs>
        <w:spacing w:line="500" w:lineRule="exact"/>
        <w:ind w:firstLine="420" w:firstLineChars="200"/>
        <w:rPr>
          <w:rFonts w:ascii="宋体" w:cs="宋体"/>
          <w:szCs w:val="21"/>
        </w:rPr>
      </w:pPr>
      <w:r>
        <w:rPr>
          <w:rFonts w:ascii="宋体" w:hAnsi="宋体" w:cs="宋体"/>
          <w:szCs w:val="21"/>
        </w:rPr>
        <w:t xml:space="preserve">16.3 </w:t>
      </w:r>
      <w:r>
        <w:rPr>
          <w:rFonts w:hint="eastAsia" w:ascii="宋体" w:hAnsi="宋体" w:cs="宋体"/>
          <w:szCs w:val="21"/>
        </w:rPr>
        <w:t>密封袋封口处都应加盖比选申请人单位公章或粘贴加盖单位公章的密封条，若密封袋没有加盖单位公章或破损严重，有可能导致比选人的拒收。</w:t>
      </w:r>
    </w:p>
    <w:p>
      <w:pPr>
        <w:spacing w:line="500" w:lineRule="exact"/>
        <w:ind w:firstLine="422" w:firstLineChars="200"/>
        <w:rPr>
          <w:rFonts w:ascii="宋体" w:cs="宋体"/>
          <w:b/>
          <w:szCs w:val="21"/>
        </w:rPr>
      </w:pPr>
      <w:r>
        <w:rPr>
          <w:rFonts w:ascii="宋体" w:hAnsi="宋体" w:cs="宋体"/>
          <w:b/>
          <w:szCs w:val="21"/>
        </w:rPr>
        <w:t>17.</w:t>
      </w:r>
      <w:r>
        <w:rPr>
          <w:rFonts w:hint="eastAsia" w:ascii="宋体" w:hAnsi="宋体" w:cs="宋体"/>
          <w:b/>
          <w:szCs w:val="21"/>
        </w:rPr>
        <w:t>递交比选文件截止期</w:t>
      </w:r>
    </w:p>
    <w:p>
      <w:pPr>
        <w:spacing w:line="500" w:lineRule="exact"/>
        <w:ind w:firstLine="420" w:firstLineChars="200"/>
        <w:rPr>
          <w:rFonts w:ascii="宋体" w:cs="宋体"/>
          <w:szCs w:val="21"/>
        </w:rPr>
      </w:pPr>
      <w:r>
        <w:rPr>
          <w:rFonts w:ascii="宋体" w:hAnsi="宋体" w:cs="宋体"/>
          <w:szCs w:val="21"/>
        </w:rPr>
        <w:t xml:space="preserve">17.1 </w:t>
      </w:r>
      <w:r>
        <w:rPr>
          <w:rFonts w:hint="eastAsia" w:ascii="宋体" w:hAnsi="宋体" w:cs="宋体"/>
          <w:szCs w:val="21"/>
        </w:rPr>
        <w:t>比选申请人应在前附表第</w:t>
      </w:r>
      <w:r>
        <w:rPr>
          <w:rFonts w:ascii="宋体" w:hAnsi="宋体" w:cs="宋体"/>
          <w:szCs w:val="21"/>
        </w:rPr>
        <w:t>14</w:t>
      </w:r>
      <w:r>
        <w:rPr>
          <w:rFonts w:hint="eastAsia" w:ascii="宋体" w:hAnsi="宋体" w:cs="宋体"/>
          <w:szCs w:val="21"/>
        </w:rPr>
        <w:t>项所述规定的时间，将比选申请文件递交至前附表第</w:t>
      </w:r>
      <w:r>
        <w:rPr>
          <w:rFonts w:ascii="宋体" w:hAnsi="宋体" w:cs="宋体"/>
          <w:szCs w:val="21"/>
        </w:rPr>
        <w:t>13</w:t>
      </w:r>
      <w:r>
        <w:rPr>
          <w:rFonts w:hint="eastAsia" w:ascii="宋体" w:hAnsi="宋体" w:cs="宋体"/>
          <w:szCs w:val="21"/>
        </w:rPr>
        <w:t>项所述的单位和地址。</w:t>
      </w:r>
      <w:bookmarkStart w:id="221" w:name="_Toc31034"/>
      <w:bookmarkStart w:id="222" w:name="_Toc27095"/>
      <w:bookmarkStart w:id="223" w:name="_Toc29047"/>
      <w:bookmarkStart w:id="224" w:name="_Toc20601"/>
      <w:bookmarkStart w:id="225" w:name="_Toc6376"/>
      <w:bookmarkStart w:id="226" w:name="_Toc1057"/>
      <w:bookmarkStart w:id="227" w:name="_Toc22118"/>
      <w:bookmarkStart w:id="228" w:name="_Toc471482366"/>
      <w:bookmarkStart w:id="229" w:name="_Toc20356"/>
      <w:bookmarkStart w:id="230" w:name="_Toc17217"/>
      <w:bookmarkStart w:id="231" w:name="_Toc461525302"/>
      <w:bookmarkStart w:id="232" w:name="_Toc31139"/>
      <w:bookmarkStart w:id="233" w:name="_Toc32687"/>
      <w:bookmarkStart w:id="234" w:name="_Toc30232"/>
    </w:p>
    <w:p>
      <w:pPr>
        <w:spacing w:line="500" w:lineRule="exact"/>
        <w:ind w:firstLine="420" w:firstLineChars="200"/>
        <w:rPr>
          <w:rFonts w:ascii="宋体"/>
          <w:szCs w:val="21"/>
        </w:rPr>
      </w:pPr>
      <w:r>
        <w:rPr>
          <w:rFonts w:ascii="宋体" w:hAnsi="宋体" w:cs="宋体"/>
          <w:szCs w:val="21"/>
        </w:rPr>
        <w:t>1</w:t>
      </w:r>
      <w:r>
        <w:rPr>
          <w:rFonts w:ascii="宋体" w:hAnsi="宋体"/>
          <w:szCs w:val="21"/>
        </w:rPr>
        <w:t xml:space="preserve">7.2 </w:t>
      </w:r>
      <w:r>
        <w:rPr>
          <w:rFonts w:hint="eastAsia" w:ascii="宋体" w:hAnsi="宋体"/>
          <w:szCs w:val="21"/>
        </w:rPr>
        <w:t>比选发起人可以以补充通知方式，酌情延长递交比选申请文件的截止日期。在上述情况下，比选发起人与比选申请人在比选截止日期以前拥有的全部权力、责任和义务，将适用于延长后新的递交文件截止日期。</w:t>
      </w:r>
    </w:p>
    <w:p>
      <w:pPr>
        <w:spacing w:line="500" w:lineRule="exact"/>
        <w:ind w:firstLine="420" w:firstLineChars="200"/>
        <w:rPr>
          <w:szCs w:val="21"/>
        </w:rPr>
      </w:pPr>
      <w:r>
        <w:rPr>
          <w:rFonts w:ascii="宋体" w:hAnsi="宋体"/>
          <w:szCs w:val="21"/>
        </w:rPr>
        <w:t xml:space="preserve">17.3 </w:t>
      </w:r>
      <w:r>
        <w:rPr>
          <w:rFonts w:hint="eastAsia" w:ascii="宋体" w:hAnsi="宋体"/>
          <w:szCs w:val="21"/>
        </w:rPr>
        <w:t>凡没有以补</w:t>
      </w:r>
      <w:r>
        <w:rPr>
          <w:rFonts w:hint="eastAsia"/>
          <w:szCs w:val="21"/>
        </w:rPr>
        <w:t>充方式获得酌情延长递交文件截止日期的比选申请人，比选发起人将拒收在递交文件截止日期以后送到的比选申请文件。</w:t>
      </w:r>
    </w:p>
    <w:p>
      <w:pPr>
        <w:pStyle w:val="4"/>
        <w:spacing w:before="156" w:beforeLines="50" w:after="156" w:afterLines="50" w:line="500" w:lineRule="exact"/>
        <w:jc w:val="center"/>
        <w:rPr>
          <w:b/>
          <w:sz w:val="21"/>
          <w:szCs w:val="21"/>
        </w:rPr>
      </w:pPr>
      <w:bookmarkStart w:id="235" w:name="_Toc16157"/>
      <w:bookmarkStart w:id="236" w:name="_Toc13760"/>
      <w:bookmarkStart w:id="237" w:name="_Toc26873"/>
      <w:bookmarkStart w:id="238" w:name="_Toc5184"/>
      <w:bookmarkStart w:id="239" w:name="_Toc31410"/>
      <w:bookmarkStart w:id="240" w:name="_Toc26025"/>
      <w:bookmarkStart w:id="241" w:name="_Toc19136"/>
      <w:bookmarkStart w:id="242" w:name="_Toc24817"/>
      <w:r>
        <w:rPr>
          <w:rFonts w:hint="eastAsia"/>
          <w:b/>
          <w:sz w:val="21"/>
          <w:szCs w:val="21"/>
        </w:rPr>
        <w:t>六、</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Pr>
          <w:rFonts w:hint="eastAsia"/>
          <w:b/>
          <w:sz w:val="21"/>
          <w:szCs w:val="21"/>
        </w:rPr>
        <w:t>评审</w:t>
      </w:r>
      <w:bookmarkEnd w:id="235"/>
      <w:bookmarkEnd w:id="236"/>
      <w:bookmarkEnd w:id="237"/>
      <w:bookmarkEnd w:id="238"/>
      <w:bookmarkEnd w:id="239"/>
      <w:bookmarkEnd w:id="240"/>
      <w:bookmarkEnd w:id="241"/>
      <w:bookmarkEnd w:id="242"/>
    </w:p>
    <w:p>
      <w:pPr>
        <w:tabs>
          <w:tab w:val="left" w:pos="8610"/>
        </w:tabs>
        <w:spacing w:line="500" w:lineRule="exact"/>
        <w:ind w:firstLine="422" w:firstLineChars="200"/>
        <w:rPr>
          <w:rFonts w:ascii="宋体" w:cs="宋体"/>
          <w:b/>
          <w:szCs w:val="21"/>
        </w:rPr>
      </w:pPr>
      <w:bookmarkStart w:id="243" w:name="_Toc436771484"/>
      <w:bookmarkStart w:id="244" w:name="_Toc535961531"/>
      <w:r>
        <w:rPr>
          <w:rFonts w:ascii="宋体" w:hAnsi="宋体" w:cs="宋体"/>
          <w:b/>
          <w:szCs w:val="21"/>
        </w:rPr>
        <w:t>18.</w:t>
      </w:r>
      <w:r>
        <w:rPr>
          <w:rFonts w:hint="eastAsia" w:ascii="宋体" w:hAnsi="宋体" w:cs="宋体"/>
          <w:b/>
          <w:szCs w:val="21"/>
        </w:rPr>
        <w:t>评审</w:t>
      </w:r>
      <w:bookmarkEnd w:id="243"/>
      <w:r>
        <w:rPr>
          <w:rFonts w:hint="eastAsia" w:ascii="宋体" w:hAnsi="宋体" w:cs="宋体"/>
          <w:b/>
          <w:szCs w:val="21"/>
        </w:rPr>
        <w:t>程序</w:t>
      </w:r>
      <w:bookmarkEnd w:id="244"/>
    </w:p>
    <w:p>
      <w:pPr>
        <w:tabs>
          <w:tab w:val="left" w:pos="8610"/>
        </w:tabs>
        <w:spacing w:line="500" w:lineRule="exact"/>
        <w:ind w:firstLine="420" w:firstLineChars="200"/>
        <w:rPr>
          <w:rFonts w:ascii="宋体" w:cs="宋体"/>
          <w:szCs w:val="21"/>
        </w:rPr>
      </w:pPr>
      <w:r>
        <w:rPr>
          <w:rFonts w:ascii="宋体" w:hAnsi="宋体" w:cs="宋体"/>
          <w:szCs w:val="21"/>
        </w:rPr>
        <w:t xml:space="preserve">18.1 </w:t>
      </w:r>
      <w:r>
        <w:rPr>
          <w:rFonts w:hint="eastAsia" w:ascii="宋体" w:hAnsi="宋体" w:cs="宋体"/>
          <w:szCs w:val="21"/>
        </w:rPr>
        <w:t>比选发起人将于前附表第</w:t>
      </w:r>
      <w:r>
        <w:rPr>
          <w:rFonts w:ascii="宋体" w:hAnsi="宋体" w:cs="宋体"/>
          <w:szCs w:val="21"/>
        </w:rPr>
        <w:t>11</w:t>
      </w:r>
      <w:r>
        <w:rPr>
          <w:rFonts w:hint="eastAsia" w:ascii="宋体" w:hAnsi="宋体" w:cs="宋体"/>
          <w:szCs w:val="21"/>
        </w:rPr>
        <w:t>项规定的时间和地点举行评审会议，参加评审的比选申请人的法定代表人或授权委托代理人应签名报到，以证明其出席评审会议，并携带有效证明材料前往，以证实其身份。</w:t>
      </w:r>
    </w:p>
    <w:p>
      <w:pPr>
        <w:tabs>
          <w:tab w:val="left" w:pos="8610"/>
        </w:tabs>
        <w:spacing w:line="500" w:lineRule="exact"/>
        <w:ind w:firstLine="420" w:firstLineChars="200"/>
        <w:rPr>
          <w:rFonts w:ascii="宋体" w:cs="宋体"/>
          <w:szCs w:val="21"/>
        </w:rPr>
      </w:pPr>
      <w:r>
        <w:rPr>
          <w:rFonts w:ascii="宋体" w:hAnsi="宋体" w:cs="宋体"/>
          <w:szCs w:val="21"/>
        </w:rPr>
        <w:t xml:space="preserve">18.2 </w:t>
      </w:r>
      <w:r>
        <w:rPr>
          <w:rFonts w:hint="eastAsia" w:ascii="宋体" w:hAnsi="宋体" w:cs="宋体"/>
          <w:szCs w:val="21"/>
        </w:rPr>
        <w:t>本项目由南宁轨道交通集团有限责任公司相关人员组成评审小组，评审小组由</w:t>
      </w:r>
      <w:r>
        <w:rPr>
          <w:rFonts w:ascii="宋体" w:hAnsi="宋体" w:cs="宋体"/>
          <w:szCs w:val="21"/>
        </w:rPr>
        <w:t>3</w:t>
      </w:r>
      <w:r>
        <w:rPr>
          <w:rFonts w:hint="eastAsia" w:ascii="宋体" w:hAnsi="宋体" w:cs="宋体"/>
          <w:szCs w:val="21"/>
        </w:rPr>
        <w:t>人及以上单数组成，共同对比选申请文件按照评审标准的规定进行评审。</w:t>
      </w:r>
    </w:p>
    <w:p>
      <w:pPr>
        <w:tabs>
          <w:tab w:val="left" w:pos="8610"/>
        </w:tabs>
        <w:spacing w:line="500" w:lineRule="exact"/>
        <w:ind w:firstLine="420" w:firstLineChars="200"/>
        <w:rPr>
          <w:rFonts w:ascii="宋体" w:cs="宋体"/>
          <w:szCs w:val="21"/>
          <w:highlight w:val="none"/>
        </w:rPr>
      </w:pPr>
      <w:r>
        <w:rPr>
          <w:rFonts w:ascii="宋体" w:hAnsi="宋体" w:cs="宋体"/>
          <w:szCs w:val="21"/>
        </w:rPr>
        <w:t xml:space="preserve">18.3 </w:t>
      </w:r>
      <w:r>
        <w:rPr>
          <w:rFonts w:hint="eastAsia" w:ascii="宋体" w:hAnsi="宋体" w:cs="宋体"/>
          <w:szCs w:val="21"/>
        </w:rPr>
        <w:t>评审小组成员应当独立、客观、公正地履行职责，遵守职业道德，对所提出的评审意见承</w:t>
      </w:r>
      <w:r>
        <w:rPr>
          <w:rFonts w:hint="eastAsia" w:ascii="宋体" w:hAnsi="宋体" w:cs="宋体"/>
          <w:szCs w:val="21"/>
          <w:highlight w:val="none"/>
        </w:rPr>
        <w:t>担个人责任；评审小组成员及其他工作人员应对整个评审活动保密。</w:t>
      </w:r>
    </w:p>
    <w:p>
      <w:pPr>
        <w:tabs>
          <w:tab w:val="left" w:pos="8610"/>
        </w:tabs>
        <w:spacing w:line="500" w:lineRule="exact"/>
        <w:ind w:firstLine="420" w:firstLineChars="200"/>
        <w:rPr>
          <w:rFonts w:ascii="宋体" w:cs="宋体"/>
          <w:color w:val="auto"/>
          <w:szCs w:val="21"/>
          <w:highlight w:val="none"/>
        </w:rPr>
      </w:pPr>
      <w:r>
        <w:rPr>
          <w:rFonts w:ascii="宋体" w:hAnsi="宋体" w:cs="宋体"/>
          <w:color w:val="auto"/>
          <w:szCs w:val="21"/>
          <w:highlight w:val="none"/>
        </w:rPr>
        <w:t xml:space="preserve">18.4 </w:t>
      </w:r>
      <w:r>
        <w:rPr>
          <w:rFonts w:hint="eastAsia" w:ascii="宋体" w:hAnsi="宋体" w:cs="宋体"/>
          <w:color w:val="auto"/>
          <w:szCs w:val="21"/>
          <w:highlight w:val="none"/>
        </w:rPr>
        <w:t>评审会议程序：</w:t>
      </w:r>
    </w:p>
    <w:p>
      <w:pPr>
        <w:tabs>
          <w:tab w:val="left" w:pos="8610"/>
        </w:tabs>
        <w:spacing w:line="500" w:lineRule="exact"/>
        <w:ind w:firstLine="315" w:firstLineChars="150"/>
        <w:rPr>
          <w:rFonts w:asci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1</w:t>
      </w:r>
      <w:r>
        <w:rPr>
          <w:rFonts w:hint="eastAsia" w:ascii="宋体" w:hAnsi="宋体" w:cs="宋体"/>
          <w:color w:val="auto"/>
          <w:szCs w:val="21"/>
          <w:highlight w:val="none"/>
        </w:rPr>
        <w:t>）比选申请人的法定代表人或授权委托代理人应签名报到，比选人验证法定代表人资格证明书、授权委托书及有效身份证明，确认文件是否密封，文件外包装签署是否正确</w:t>
      </w:r>
      <w:r>
        <w:rPr>
          <w:rFonts w:hint="eastAsia" w:ascii="宋体" w:hAnsi="宋体" w:cs="宋体"/>
          <w:color w:val="auto"/>
          <w:szCs w:val="21"/>
          <w:highlight w:val="none"/>
          <w:lang w:val="en-US" w:eastAsia="zh-CN"/>
        </w:rPr>
        <w:t>后，比选申请人退场</w:t>
      </w:r>
      <w:r>
        <w:rPr>
          <w:rFonts w:hint="eastAsia" w:ascii="宋体" w:hAnsi="宋体" w:cs="宋体"/>
          <w:color w:val="auto"/>
          <w:szCs w:val="21"/>
          <w:highlight w:val="none"/>
        </w:rPr>
        <w:t>；</w:t>
      </w:r>
    </w:p>
    <w:p>
      <w:pPr>
        <w:tabs>
          <w:tab w:val="left" w:pos="8610"/>
        </w:tabs>
        <w:spacing w:line="500" w:lineRule="exact"/>
        <w:ind w:firstLine="315" w:firstLineChars="150"/>
        <w:rPr>
          <w:rFonts w:asci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）启封比选申请文件，移交评审小组进行资格审查；</w:t>
      </w:r>
    </w:p>
    <w:p>
      <w:pPr>
        <w:tabs>
          <w:tab w:val="left" w:pos="8610"/>
        </w:tabs>
        <w:spacing w:line="500" w:lineRule="exact"/>
        <w:ind w:firstLine="315" w:firstLineChars="150"/>
        <w:rPr>
          <w:rFonts w:asci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）主持人宣布审查结果，并宣读通过资格审查的比选申请人名称以及比选发起人认为需要的其他内容；</w:t>
      </w:r>
    </w:p>
    <w:p>
      <w:pPr>
        <w:tabs>
          <w:tab w:val="left" w:pos="8610"/>
        </w:tabs>
        <w:spacing w:line="500" w:lineRule="exact"/>
        <w:ind w:firstLine="315" w:firstLineChars="150"/>
        <w:rPr>
          <w:rFonts w:asci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）评审小组评审通过资格审查的比选申请文件的技术部分；</w:t>
      </w:r>
    </w:p>
    <w:p>
      <w:pPr>
        <w:tabs>
          <w:tab w:val="left" w:pos="8610"/>
        </w:tabs>
        <w:spacing w:line="500" w:lineRule="exact"/>
        <w:ind w:firstLine="315" w:firstLineChars="150"/>
        <w:rPr>
          <w:rFonts w:asci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）评审小组评审通过资格审查的比选申请文件的商务部分；</w:t>
      </w:r>
    </w:p>
    <w:p>
      <w:pPr>
        <w:tabs>
          <w:tab w:val="left" w:pos="8610"/>
        </w:tabs>
        <w:spacing w:line="500" w:lineRule="exact"/>
        <w:ind w:firstLine="315" w:firstLineChars="150"/>
        <w:rPr>
          <w:rFonts w:asci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）在评审过程中工作人员做比选记录，评审小组在比选记录表上签字确认，主持人宣读比选结果；</w:t>
      </w:r>
    </w:p>
    <w:p>
      <w:pPr>
        <w:tabs>
          <w:tab w:val="left" w:pos="8610"/>
        </w:tabs>
        <w:spacing w:line="500" w:lineRule="exact"/>
        <w:ind w:firstLine="315" w:firstLineChars="150"/>
        <w:rPr>
          <w:rFonts w:asci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7</w:t>
      </w:r>
      <w:r>
        <w:rPr>
          <w:rFonts w:hint="eastAsia" w:ascii="宋体" w:hAnsi="宋体" w:cs="宋体"/>
          <w:color w:val="auto"/>
          <w:szCs w:val="21"/>
          <w:highlight w:val="none"/>
        </w:rPr>
        <w:t>）评审结束。</w:t>
      </w:r>
    </w:p>
    <w:p>
      <w:pPr>
        <w:tabs>
          <w:tab w:val="left" w:pos="8610"/>
        </w:tabs>
        <w:spacing w:line="500" w:lineRule="exact"/>
        <w:ind w:firstLine="422" w:firstLineChars="200"/>
        <w:rPr>
          <w:rFonts w:ascii="宋体" w:cs="宋体"/>
          <w:b/>
          <w:szCs w:val="21"/>
        </w:rPr>
      </w:pPr>
      <w:bookmarkStart w:id="245" w:name="_Toc436771486"/>
      <w:bookmarkStart w:id="246" w:name="_Toc392862499"/>
      <w:bookmarkStart w:id="247" w:name="_Toc535961532"/>
      <w:r>
        <w:rPr>
          <w:rFonts w:ascii="宋体" w:hAnsi="宋体" w:cs="宋体"/>
          <w:b/>
          <w:szCs w:val="21"/>
        </w:rPr>
        <w:t>19.</w:t>
      </w:r>
      <w:r>
        <w:rPr>
          <w:rFonts w:hint="eastAsia" w:ascii="宋体" w:hAnsi="宋体" w:cs="宋体"/>
          <w:b/>
          <w:szCs w:val="21"/>
        </w:rPr>
        <w:t>评审</w:t>
      </w:r>
      <w:bookmarkEnd w:id="245"/>
      <w:bookmarkEnd w:id="246"/>
      <w:r>
        <w:rPr>
          <w:rFonts w:hint="eastAsia" w:ascii="宋体" w:hAnsi="宋体" w:cs="宋体"/>
          <w:b/>
          <w:szCs w:val="21"/>
        </w:rPr>
        <w:t>规则</w:t>
      </w:r>
      <w:bookmarkEnd w:id="247"/>
    </w:p>
    <w:p>
      <w:pPr>
        <w:tabs>
          <w:tab w:val="left" w:pos="8610"/>
        </w:tabs>
        <w:spacing w:line="500" w:lineRule="exact"/>
        <w:ind w:firstLine="420" w:firstLineChars="200"/>
        <w:rPr>
          <w:rFonts w:ascii="宋体" w:cs="宋体"/>
          <w:szCs w:val="21"/>
        </w:rPr>
      </w:pPr>
      <w:r>
        <w:rPr>
          <w:rFonts w:ascii="宋体" w:hAnsi="宋体" w:cs="宋体"/>
          <w:szCs w:val="21"/>
        </w:rPr>
        <w:t xml:space="preserve">19.1 </w:t>
      </w:r>
      <w:r>
        <w:rPr>
          <w:rFonts w:hint="eastAsia" w:ascii="宋体" w:hAnsi="宋体" w:cs="宋体"/>
          <w:szCs w:val="21"/>
        </w:rPr>
        <w:t>本采购项目比选上限控制价为：人民币</w:t>
      </w:r>
      <w:r>
        <w:rPr>
          <w:rFonts w:hint="eastAsia" w:ascii="宋体" w:hAnsi="宋体" w:cs="宋体"/>
          <w:szCs w:val="21"/>
          <w:u w:val="single"/>
        </w:rPr>
        <w:t>60</w:t>
      </w:r>
      <w:r>
        <w:rPr>
          <w:rFonts w:ascii="宋体" w:hAnsi="宋体" w:cs="宋体"/>
          <w:szCs w:val="21"/>
          <w:u w:val="single"/>
        </w:rPr>
        <w:t>,</w:t>
      </w:r>
      <w:r>
        <w:rPr>
          <w:rFonts w:hint="eastAsia" w:ascii="宋体" w:hAnsi="宋体" w:cs="宋体"/>
          <w:szCs w:val="21"/>
          <w:u w:val="single"/>
        </w:rPr>
        <w:t>000.00</w:t>
      </w:r>
      <w:r>
        <w:rPr>
          <w:rFonts w:hint="eastAsia" w:ascii="宋体" w:hAnsi="宋体" w:cs="宋体"/>
          <w:szCs w:val="21"/>
        </w:rPr>
        <w:t>元（含税），</w:t>
      </w:r>
      <w:r>
        <w:rPr>
          <w:rFonts w:hint="eastAsia" w:ascii="宋体" w:hAnsi="宋体" w:cs="宋体"/>
          <w:szCs w:val="21"/>
          <w:u w:val="single"/>
        </w:rPr>
        <w:t>56,603.77</w:t>
      </w:r>
      <w:r>
        <w:rPr>
          <w:rFonts w:hint="eastAsia" w:ascii="宋体" w:hAnsi="宋体" w:cs="宋体"/>
          <w:szCs w:val="21"/>
        </w:rPr>
        <w:t>元（不含税）。当比选申请人报价超过上限控制价时，比选申请文件无效。</w:t>
      </w:r>
      <w:r>
        <w:rPr>
          <w:rFonts w:ascii="宋体" w:hAnsi="宋体" w:cs="宋体"/>
          <w:szCs w:val="21"/>
        </w:rPr>
        <w:t xml:space="preserve"> </w:t>
      </w:r>
    </w:p>
    <w:p>
      <w:pPr>
        <w:tabs>
          <w:tab w:val="left" w:pos="8610"/>
        </w:tabs>
        <w:spacing w:line="500" w:lineRule="exact"/>
        <w:ind w:firstLine="420" w:firstLineChars="200"/>
        <w:rPr>
          <w:rFonts w:ascii="宋体" w:cs="宋体"/>
          <w:szCs w:val="21"/>
        </w:rPr>
      </w:pPr>
      <w:r>
        <w:rPr>
          <w:rFonts w:ascii="宋体" w:hAnsi="宋体" w:cs="宋体"/>
          <w:szCs w:val="21"/>
        </w:rPr>
        <w:t xml:space="preserve">19.2 </w:t>
      </w:r>
      <w:r>
        <w:rPr>
          <w:rFonts w:hint="eastAsia" w:ascii="宋体" w:hAnsi="宋体" w:cs="宋体"/>
          <w:szCs w:val="21"/>
        </w:rPr>
        <w:t>比选申请人在评审过程中所进行的力图影响评审公正性的活动，可能导致其中选无效。</w:t>
      </w:r>
    </w:p>
    <w:p>
      <w:pPr>
        <w:tabs>
          <w:tab w:val="left" w:pos="8610"/>
        </w:tabs>
        <w:spacing w:line="500" w:lineRule="exact"/>
        <w:ind w:firstLine="420" w:firstLineChars="200"/>
        <w:rPr>
          <w:rFonts w:ascii="宋体" w:cs="宋体"/>
          <w:szCs w:val="21"/>
        </w:rPr>
      </w:pPr>
      <w:r>
        <w:rPr>
          <w:rFonts w:ascii="宋体" w:hAnsi="宋体" w:cs="宋体"/>
          <w:szCs w:val="21"/>
        </w:rPr>
        <w:t xml:space="preserve">19.3 </w:t>
      </w:r>
      <w:r>
        <w:rPr>
          <w:rFonts w:hint="eastAsia" w:ascii="宋体" w:hAnsi="宋体" w:cs="宋体"/>
          <w:szCs w:val="21"/>
        </w:rPr>
        <w:t>比选申请文件的澄清或说明：</w:t>
      </w:r>
    </w:p>
    <w:p>
      <w:pPr>
        <w:tabs>
          <w:tab w:val="left" w:pos="8610"/>
        </w:tabs>
        <w:spacing w:line="500" w:lineRule="exact"/>
        <w:ind w:firstLine="315" w:firstLineChars="150"/>
        <w:rPr>
          <w:rFonts w:ascii="宋体" w:cs="宋体"/>
          <w:szCs w:val="21"/>
        </w:rPr>
      </w:pPr>
      <w:r>
        <w:rPr>
          <w:rFonts w:hint="eastAsia" w:ascii="宋体" w:hAnsi="宋体" w:cs="宋体"/>
          <w:szCs w:val="21"/>
        </w:rPr>
        <w:t>（</w:t>
      </w:r>
      <w:r>
        <w:rPr>
          <w:rFonts w:ascii="宋体" w:hAnsi="宋体" w:cs="宋体"/>
          <w:szCs w:val="21"/>
        </w:rPr>
        <w:t>1</w:t>
      </w:r>
      <w:r>
        <w:rPr>
          <w:rFonts w:hint="eastAsia" w:ascii="宋体" w:hAnsi="宋体" w:cs="宋体"/>
          <w:szCs w:val="21"/>
        </w:rPr>
        <w:t>）评审小组将以书面形式要求比选申请人就其比选申请文件中含义不明确、同类问题表述不一致或有明显文字错误等的内容予以澄清或说明；</w:t>
      </w:r>
    </w:p>
    <w:p>
      <w:pPr>
        <w:tabs>
          <w:tab w:val="left" w:pos="8610"/>
        </w:tabs>
        <w:spacing w:line="500" w:lineRule="exact"/>
        <w:ind w:firstLine="315" w:firstLineChars="150"/>
        <w:rPr>
          <w:rFonts w:ascii="宋体" w:cs="宋体"/>
          <w:szCs w:val="21"/>
        </w:rPr>
      </w:pPr>
      <w:r>
        <w:rPr>
          <w:rFonts w:hint="eastAsia" w:ascii="宋体" w:hAnsi="宋体" w:cs="宋体"/>
          <w:szCs w:val="21"/>
        </w:rPr>
        <w:t>（</w:t>
      </w:r>
      <w:r>
        <w:rPr>
          <w:rFonts w:ascii="宋体" w:hAnsi="宋体" w:cs="宋体"/>
          <w:szCs w:val="21"/>
        </w:rPr>
        <w:t>2</w:t>
      </w:r>
      <w:r>
        <w:rPr>
          <w:rFonts w:hint="eastAsia" w:ascii="宋体" w:hAnsi="宋体" w:cs="宋体"/>
          <w:szCs w:val="21"/>
        </w:rPr>
        <w:t>）比选申请人对要求澄清或说明的内容应在评审小组规定的时间内以书面形式予以澄清，该澄清或说明函应有法定代表人或其委托代理人的签名</w:t>
      </w:r>
      <w:r>
        <w:rPr>
          <w:rFonts w:hint="eastAsia"/>
        </w:rPr>
        <w:t>并加盖单位公章</w:t>
      </w:r>
      <w:r>
        <w:rPr>
          <w:rFonts w:hint="eastAsia" w:ascii="宋体" w:hAnsi="宋体" w:cs="宋体"/>
          <w:szCs w:val="21"/>
        </w:rPr>
        <w:t>；</w:t>
      </w:r>
    </w:p>
    <w:p>
      <w:pPr>
        <w:tabs>
          <w:tab w:val="left" w:pos="8610"/>
        </w:tabs>
        <w:spacing w:line="500" w:lineRule="exact"/>
        <w:ind w:firstLine="315" w:firstLineChars="150"/>
        <w:rPr>
          <w:rFonts w:ascii="宋体" w:cs="宋体"/>
          <w:szCs w:val="21"/>
        </w:rPr>
      </w:pPr>
      <w:r>
        <w:rPr>
          <w:rFonts w:hint="eastAsia" w:ascii="宋体" w:hAnsi="宋体" w:cs="宋体"/>
          <w:szCs w:val="21"/>
        </w:rPr>
        <w:t>（</w:t>
      </w:r>
      <w:r>
        <w:rPr>
          <w:rFonts w:ascii="宋体" w:hAnsi="宋体" w:cs="宋体"/>
          <w:szCs w:val="21"/>
        </w:rPr>
        <w:t>3</w:t>
      </w:r>
      <w:r>
        <w:rPr>
          <w:rFonts w:hint="eastAsia" w:ascii="宋体" w:hAnsi="宋体" w:cs="宋体"/>
          <w:szCs w:val="21"/>
        </w:rPr>
        <w:t>）比选申请人的澄清或说明函作为比选申请文件的组成部分；</w:t>
      </w:r>
    </w:p>
    <w:p>
      <w:pPr>
        <w:tabs>
          <w:tab w:val="left" w:pos="8610"/>
        </w:tabs>
        <w:spacing w:line="500" w:lineRule="exact"/>
        <w:ind w:firstLine="315" w:firstLineChars="150"/>
        <w:rPr>
          <w:rFonts w:ascii="宋体" w:cs="宋体"/>
          <w:szCs w:val="21"/>
        </w:rPr>
      </w:pPr>
      <w:r>
        <w:rPr>
          <w:rFonts w:hint="eastAsia" w:ascii="宋体" w:hAnsi="宋体" w:cs="宋体"/>
          <w:szCs w:val="21"/>
        </w:rPr>
        <w:t>（</w:t>
      </w:r>
      <w:r>
        <w:rPr>
          <w:rFonts w:ascii="宋体" w:hAnsi="宋体" w:cs="宋体"/>
          <w:szCs w:val="21"/>
        </w:rPr>
        <w:t>4</w:t>
      </w:r>
      <w:r>
        <w:rPr>
          <w:rFonts w:hint="eastAsia" w:ascii="宋体" w:hAnsi="宋体" w:cs="宋体"/>
          <w:szCs w:val="21"/>
        </w:rPr>
        <w:t>）比选申请人对比选申请文件的澄清或说明不得超出比选申请文件的范围或改变比选的实质内容。</w:t>
      </w:r>
    </w:p>
    <w:p>
      <w:pPr>
        <w:tabs>
          <w:tab w:val="left" w:pos="8610"/>
        </w:tabs>
        <w:spacing w:line="500" w:lineRule="exact"/>
        <w:ind w:firstLine="422" w:firstLineChars="200"/>
        <w:rPr>
          <w:rFonts w:ascii="宋体" w:cs="宋体"/>
          <w:b/>
          <w:szCs w:val="21"/>
        </w:rPr>
      </w:pPr>
      <w:bookmarkStart w:id="248" w:name="_Toc114052375"/>
      <w:bookmarkStart w:id="249" w:name="_Toc286386859"/>
      <w:bookmarkStart w:id="250" w:name="_Toc392862500"/>
      <w:bookmarkStart w:id="251" w:name="_Toc114052439"/>
      <w:bookmarkStart w:id="252" w:name="_Toc535961533"/>
      <w:bookmarkStart w:id="253" w:name="_Toc436771487"/>
      <w:r>
        <w:rPr>
          <w:rFonts w:ascii="宋体" w:hAnsi="宋体" w:cs="宋体"/>
          <w:b/>
          <w:szCs w:val="21"/>
        </w:rPr>
        <w:t>20.</w:t>
      </w:r>
      <w:r>
        <w:rPr>
          <w:rFonts w:hint="eastAsia" w:ascii="宋体" w:hAnsi="宋体" w:cs="宋体"/>
          <w:b/>
          <w:szCs w:val="21"/>
        </w:rPr>
        <w:t>评审保密</w:t>
      </w:r>
      <w:bookmarkEnd w:id="248"/>
      <w:bookmarkEnd w:id="249"/>
      <w:bookmarkEnd w:id="250"/>
      <w:bookmarkEnd w:id="251"/>
      <w:bookmarkEnd w:id="252"/>
      <w:bookmarkEnd w:id="253"/>
    </w:p>
    <w:p>
      <w:pPr>
        <w:tabs>
          <w:tab w:val="left" w:pos="8610"/>
        </w:tabs>
        <w:spacing w:line="500" w:lineRule="exact"/>
        <w:ind w:firstLine="420" w:firstLineChars="200"/>
        <w:rPr>
          <w:rFonts w:ascii="宋体" w:cs="宋体"/>
          <w:szCs w:val="21"/>
        </w:rPr>
      </w:pPr>
      <w:r>
        <w:rPr>
          <w:rFonts w:ascii="宋体" w:hAnsi="宋体" w:cs="宋体"/>
          <w:szCs w:val="21"/>
        </w:rPr>
        <w:t xml:space="preserve">20.1 </w:t>
      </w:r>
      <w:r>
        <w:rPr>
          <w:rFonts w:hint="eastAsia" w:ascii="宋体" w:hAnsi="宋体" w:cs="宋体"/>
          <w:szCs w:val="21"/>
        </w:rPr>
        <w:t>评审全过程内容和比选申请文件的评审结果，不得向比选申请人和与该过程无关的其他单位和个人泄露。</w:t>
      </w:r>
    </w:p>
    <w:p>
      <w:pPr>
        <w:tabs>
          <w:tab w:val="left" w:pos="8610"/>
        </w:tabs>
        <w:spacing w:line="500" w:lineRule="exact"/>
        <w:ind w:firstLine="420" w:firstLineChars="200"/>
        <w:rPr>
          <w:rFonts w:ascii="宋体" w:cs="宋体"/>
          <w:szCs w:val="21"/>
        </w:rPr>
      </w:pPr>
      <w:r>
        <w:rPr>
          <w:rFonts w:ascii="宋体" w:hAnsi="宋体" w:cs="宋体"/>
          <w:szCs w:val="21"/>
        </w:rPr>
        <w:t xml:space="preserve">20.2 </w:t>
      </w:r>
      <w:r>
        <w:rPr>
          <w:rFonts w:hint="eastAsia" w:ascii="宋体" w:hAnsi="宋体" w:cs="宋体"/>
          <w:szCs w:val="21"/>
        </w:rPr>
        <w:t>比选申请人对比选发起人和评审小组成员施加任何有影响的行为，都将被取消比选资格。</w:t>
      </w:r>
    </w:p>
    <w:p>
      <w:pPr>
        <w:spacing w:line="500" w:lineRule="exact"/>
        <w:ind w:firstLine="422" w:firstLineChars="200"/>
        <w:rPr>
          <w:rFonts w:ascii="宋体" w:cs="宋体"/>
          <w:b/>
          <w:szCs w:val="21"/>
        </w:rPr>
      </w:pPr>
      <w:bookmarkStart w:id="254" w:name="_Toc310318598"/>
      <w:r>
        <w:rPr>
          <w:rFonts w:ascii="宋体" w:hAnsi="宋体" w:cs="宋体"/>
          <w:b/>
          <w:szCs w:val="21"/>
        </w:rPr>
        <w:t>21.</w:t>
      </w:r>
      <w:r>
        <w:rPr>
          <w:rFonts w:hint="eastAsia" w:ascii="宋体" w:hAnsi="宋体" w:cs="宋体"/>
          <w:b/>
          <w:szCs w:val="21"/>
        </w:rPr>
        <w:t>比选申请文件评比</w:t>
      </w:r>
      <w:bookmarkEnd w:id="254"/>
      <w:r>
        <w:rPr>
          <w:rFonts w:hint="eastAsia" w:ascii="宋体" w:hAnsi="宋体" w:cs="宋体"/>
          <w:b/>
          <w:szCs w:val="21"/>
        </w:rPr>
        <w:t>相关要求</w:t>
      </w:r>
    </w:p>
    <w:p>
      <w:pPr>
        <w:spacing w:line="500" w:lineRule="exact"/>
        <w:ind w:firstLine="420" w:firstLineChars="200"/>
        <w:rPr>
          <w:rFonts w:ascii="宋体" w:cs="宋体"/>
          <w:szCs w:val="21"/>
        </w:rPr>
      </w:pPr>
      <w:r>
        <w:rPr>
          <w:rFonts w:ascii="宋体" w:hAnsi="宋体" w:cs="宋体"/>
          <w:szCs w:val="21"/>
        </w:rPr>
        <w:t xml:space="preserve">21.1 </w:t>
      </w:r>
      <w:r>
        <w:rPr>
          <w:rFonts w:hint="eastAsia" w:ascii="宋体" w:hAnsi="宋体" w:cs="宋体"/>
          <w:szCs w:val="21"/>
        </w:rPr>
        <w:t>比选申请人资格审查</w:t>
      </w:r>
    </w:p>
    <w:p>
      <w:pPr>
        <w:spacing w:line="500" w:lineRule="exact"/>
        <w:ind w:firstLine="420" w:firstLineChars="200"/>
        <w:rPr>
          <w:rFonts w:ascii="宋体" w:cs="宋体"/>
          <w:szCs w:val="21"/>
        </w:rPr>
      </w:pPr>
      <w:r>
        <w:rPr>
          <w:rFonts w:hint="eastAsia" w:ascii="宋体" w:hAnsi="宋体" w:cs="宋体"/>
          <w:szCs w:val="21"/>
        </w:rPr>
        <w:t>只有通过资格审查才能进入下一步的评比，资格审查资料有任何一项不合格者其资格审查视为不通过。</w:t>
      </w:r>
    </w:p>
    <w:p>
      <w:pPr>
        <w:spacing w:line="500" w:lineRule="exact"/>
        <w:ind w:firstLine="422" w:firstLineChars="200"/>
        <w:rPr>
          <w:rFonts w:ascii="宋体" w:cs="宋体"/>
          <w:b/>
          <w:szCs w:val="21"/>
        </w:rPr>
      </w:pPr>
      <w:r>
        <w:rPr>
          <w:rFonts w:ascii="宋体" w:hAnsi="宋体" w:cs="宋体"/>
          <w:b/>
          <w:szCs w:val="21"/>
        </w:rPr>
        <w:t xml:space="preserve">21.2 </w:t>
      </w:r>
      <w:r>
        <w:rPr>
          <w:rFonts w:hint="eastAsia" w:ascii="宋体" w:hAnsi="宋体" w:cs="宋体"/>
          <w:b/>
          <w:szCs w:val="21"/>
        </w:rPr>
        <w:t>比选申请人或其比选文件有下列情况之一者，其比选申请文件将视为无效或作废处理：</w:t>
      </w:r>
    </w:p>
    <w:p>
      <w:pPr>
        <w:spacing w:line="500" w:lineRule="exact"/>
        <w:ind w:firstLine="310" w:firstLineChars="147"/>
        <w:rPr>
          <w:rFonts w:ascii="宋体" w:cs="宋体"/>
          <w:b/>
          <w:szCs w:val="21"/>
        </w:rPr>
      </w:pPr>
      <w:r>
        <w:rPr>
          <w:rFonts w:hint="eastAsia" w:ascii="宋体" w:hAnsi="宋体" w:cs="宋体"/>
          <w:b/>
          <w:szCs w:val="21"/>
        </w:rPr>
        <w:t>（</w:t>
      </w:r>
      <w:r>
        <w:rPr>
          <w:rFonts w:ascii="宋体" w:hAnsi="宋体" w:cs="宋体"/>
          <w:b/>
          <w:szCs w:val="21"/>
        </w:rPr>
        <w:t>1</w:t>
      </w:r>
      <w:r>
        <w:rPr>
          <w:rFonts w:hint="eastAsia" w:ascii="宋体" w:hAnsi="宋体" w:cs="宋体"/>
          <w:b/>
          <w:szCs w:val="21"/>
        </w:rPr>
        <w:t>）比选申请文件未按照规定的要求装订、密封和标记的；</w:t>
      </w:r>
    </w:p>
    <w:p>
      <w:pPr>
        <w:spacing w:line="500" w:lineRule="exact"/>
        <w:ind w:firstLine="310" w:firstLineChars="147"/>
        <w:rPr>
          <w:rFonts w:ascii="宋体" w:cs="宋体"/>
          <w:b/>
          <w:szCs w:val="21"/>
        </w:rPr>
      </w:pPr>
      <w:r>
        <w:rPr>
          <w:rFonts w:hint="eastAsia" w:ascii="宋体" w:hAnsi="宋体" w:cs="宋体"/>
          <w:b/>
          <w:szCs w:val="21"/>
        </w:rPr>
        <w:t>（</w:t>
      </w:r>
      <w:r>
        <w:rPr>
          <w:rFonts w:ascii="宋体" w:hAnsi="宋体" w:cs="宋体"/>
          <w:b/>
          <w:szCs w:val="21"/>
        </w:rPr>
        <w:t>2</w:t>
      </w:r>
      <w:r>
        <w:rPr>
          <w:rFonts w:hint="eastAsia" w:ascii="宋体" w:hAnsi="宋体" w:cs="宋体"/>
          <w:b/>
          <w:szCs w:val="21"/>
        </w:rPr>
        <w:t>）本须知第</w:t>
      </w:r>
      <w:r>
        <w:rPr>
          <w:rFonts w:ascii="宋体" w:hAnsi="宋体" w:cs="宋体"/>
          <w:b/>
          <w:szCs w:val="21"/>
        </w:rPr>
        <w:t>11</w:t>
      </w:r>
      <w:r>
        <w:rPr>
          <w:rFonts w:hint="eastAsia" w:ascii="宋体" w:hAnsi="宋体" w:cs="宋体"/>
          <w:b/>
          <w:szCs w:val="21"/>
        </w:rPr>
        <w:t>条规定的比选申请文件有关内容未按本须知第</w:t>
      </w:r>
      <w:r>
        <w:rPr>
          <w:rFonts w:ascii="宋体" w:hAnsi="宋体" w:cs="宋体"/>
          <w:b/>
          <w:szCs w:val="21"/>
        </w:rPr>
        <w:t>15</w:t>
      </w:r>
      <w:r>
        <w:rPr>
          <w:rFonts w:hint="eastAsia" w:ascii="宋体" w:hAnsi="宋体" w:cs="宋体"/>
          <w:b/>
          <w:szCs w:val="21"/>
        </w:rPr>
        <w:t>条规定加盖比选申请人公章、未经比选申请人负责人或其委托代理人签字或盖章的；</w:t>
      </w:r>
    </w:p>
    <w:p>
      <w:pPr>
        <w:spacing w:line="500" w:lineRule="exact"/>
        <w:ind w:firstLine="310" w:firstLineChars="147"/>
        <w:rPr>
          <w:rFonts w:ascii="宋体" w:cs="宋体"/>
          <w:b/>
          <w:szCs w:val="21"/>
        </w:rPr>
      </w:pPr>
      <w:r>
        <w:rPr>
          <w:rFonts w:hint="eastAsia" w:ascii="宋体" w:hAnsi="宋体" w:cs="宋体"/>
          <w:b/>
          <w:szCs w:val="21"/>
        </w:rPr>
        <w:t>（</w:t>
      </w:r>
      <w:r>
        <w:rPr>
          <w:rFonts w:ascii="宋体" w:hAnsi="宋体" w:cs="宋体"/>
          <w:b/>
          <w:szCs w:val="21"/>
        </w:rPr>
        <w:t>3</w:t>
      </w:r>
      <w:r>
        <w:rPr>
          <w:rFonts w:hint="eastAsia" w:ascii="宋体" w:hAnsi="宋体" w:cs="宋体"/>
          <w:b/>
          <w:szCs w:val="21"/>
        </w:rPr>
        <w:t>）不按本须知第</w:t>
      </w:r>
      <w:r>
        <w:rPr>
          <w:rFonts w:ascii="宋体" w:hAnsi="宋体" w:cs="宋体"/>
          <w:b/>
          <w:szCs w:val="21"/>
        </w:rPr>
        <w:t>11</w:t>
      </w:r>
      <w:r>
        <w:rPr>
          <w:rFonts w:hint="eastAsia" w:ascii="宋体" w:hAnsi="宋体" w:cs="宋体"/>
          <w:b/>
          <w:szCs w:val="21"/>
        </w:rPr>
        <w:t>条内容提供资料的；逾期递交比选申请文件的；</w:t>
      </w:r>
    </w:p>
    <w:p>
      <w:pPr>
        <w:spacing w:line="500" w:lineRule="exact"/>
        <w:ind w:firstLine="310" w:firstLineChars="147"/>
        <w:rPr>
          <w:rFonts w:ascii="宋体" w:cs="宋体"/>
          <w:b/>
          <w:szCs w:val="21"/>
        </w:rPr>
      </w:pPr>
      <w:r>
        <w:rPr>
          <w:rFonts w:hint="eastAsia" w:ascii="宋体" w:hAnsi="宋体" w:cs="宋体"/>
          <w:b/>
          <w:szCs w:val="21"/>
        </w:rPr>
        <w:t>（</w:t>
      </w:r>
      <w:r>
        <w:rPr>
          <w:rFonts w:ascii="宋体" w:hAnsi="宋体" w:cs="宋体"/>
          <w:b/>
          <w:szCs w:val="21"/>
        </w:rPr>
        <w:t>4</w:t>
      </w:r>
      <w:r>
        <w:rPr>
          <w:rFonts w:hint="eastAsia" w:ascii="宋体" w:hAnsi="宋体" w:cs="宋体"/>
          <w:b/>
          <w:szCs w:val="21"/>
        </w:rPr>
        <w:t>）比选申请文件内容不真实的；</w:t>
      </w:r>
    </w:p>
    <w:p>
      <w:pPr>
        <w:spacing w:line="500" w:lineRule="exact"/>
        <w:ind w:firstLine="310" w:firstLineChars="147"/>
        <w:rPr>
          <w:rFonts w:ascii="宋体" w:cs="宋体"/>
          <w:b/>
          <w:szCs w:val="21"/>
        </w:rPr>
      </w:pPr>
      <w:r>
        <w:rPr>
          <w:rFonts w:hint="eastAsia" w:ascii="宋体" w:hAnsi="宋体" w:cs="宋体"/>
          <w:b/>
          <w:szCs w:val="21"/>
        </w:rPr>
        <w:t>（</w:t>
      </w:r>
      <w:r>
        <w:rPr>
          <w:rFonts w:ascii="宋体" w:hAnsi="宋体" w:cs="宋体"/>
          <w:b/>
          <w:szCs w:val="21"/>
        </w:rPr>
        <w:t>5</w:t>
      </w:r>
      <w:r>
        <w:rPr>
          <w:rFonts w:hint="eastAsia" w:ascii="宋体" w:hAnsi="宋体" w:cs="宋体"/>
          <w:b/>
          <w:szCs w:val="21"/>
        </w:rPr>
        <w:t>）比选申请文件实质上没有响应比选文件的要求的；（包括以下内容：比选项目所涉及的人员配置、业绩、价格、服务内容、合同条款等）；</w:t>
      </w:r>
    </w:p>
    <w:p>
      <w:pPr>
        <w:spacing w:line="500" w:lineRule="exact"/>
        <w:ind w:firstLine="310" w:firstLineChars="147"/>
        <w:rPr>
          <w:rFonts w:ascii="宋体"/>
          <w:szCs w:val="21"/>
        </w:rPr>
      </w:pPr>
      <w:r>
        <w:rPr>
          <w:rFonts w:hint="eastAsia" w:ascii="宋体" w:hAnsi="宋体"/>
          <w:b/>
          <w:szCs w:val="21"/>
        </w:rPr>
        <w:t>（</w:t>
      </w:r>
      <w:r>
        <w:rPr>
          <w:rFonts w:ascii="宋体" w:hAnsi="宋体"/>
          <w:b/>
          <w:szCs w:val="21"/>
        </w:rPr>
        <w:t>6</w:t>
      </w:r>
      <w:r>
        <w:rPr>
          <w:rFonts w:hint="eastAsia" w:ascii="宋体" w:hAnsi="宋体"/>
          <w:b/>
          <w:szCs w:val="21"/>
        </w:rPr>
        <w:t>）比选申请人报价超过上控价的，比选申请文件作无效处理。</w:t>
      </w:r>
    </w:p>
    <w:p>
      <w:pPr>
        <w:spacing w:line="500" w:lineRule="exact"/>
        <w:ind w:firstLine="310" w:firstLineChars="147"/>
        <w:rPr>
          <w:rFonts w:ascii="宋体" w:cs="宋体"/>
          <w:b/>
          <w:szCs w:val="21"/>
        </w:rPr>
      </w:pPr>
      <w:r>
        <w:rPr>
          <w:rFonts w:hint="eastAsia" w:ascii="宋体" w:hAnsi="宋体" w:cs="宋体"/>
          <w:b/>
          <w:szCs w:val="21"/>
        </w:rPr>
        <w:t>（</w:t>
      </w:r>
      <w:r>
        <w:rPr>
          <w:rFonts w:ascii="宋体" w:hAnsi="宋体" w:cs="宋体"/>
          <w:b/>
          <w:szCs w:val="21"/>
        </w:rPr>
        <w:t>7</w:t>
      </w:r>
      <w:r>
        <w:rPr>
          <w:rFonts w:hint="eastAsia" w:ascii="宋体" w:hAnsi="宋体" w:cs="宋体"/>
          <w:b/>
          <w:szCs w:val="21"/>
        </w:rPr>
        <w:t>）比选申请人不符合前附表第</w:t>
      </w:r>
      <w:r>
        <w:rPr>
          <w:rFonts w:ascii="宋体" w:hAnsi="宋体" w:cs="宋体"/>
          <w:b/>
          <w:szCs w:val="21"/>
        </w:rPr>
        <w:t>9</w:t>
      </w:r>
      <w:r>
        <w:rPr>
          <w:rFonts w:hint="eastAsia" w:ascii="宋体" w:hAnsi="宋体" w:cs="宋体"/>
          <w:b/>
          <w:szCs w:val="21"/>
        </w:rPr>
        <w:t>条所述资格要求或比选申请人符合前附表第</w:t>
      </w:r>
      <w:r>
        <w:rPr>
          <w:rFonts w:ascii="宋体" w:hAnsi="宋体" w:cs="宋体"/>
          <w:b/>
          <w:szCs w:val="21"/>
        </w:rPr>
        <w:t>9</w:t>
      </w:r>
      <w:r>
        <w:rPr>
          <w:rFonts w:hint="eastAsia" w:ascii="宋体" w:hAnsi="宋体" w:cs="宋体"/>
          <w:b/>
          <w:szCs w:val="21"/>
        </w:rPr>
        <w:t>条所述资格要求但就本比选项目分别提交两个（每个正本一份、副本四份）及以上的比选申请文件的。</w:t>
      </w:r>
    </w:p>
    <w:p>
      <w:pPr>
        <w:spacing w:line="500" w:lineRule="exact"/>
        <w:ind w:firstLine="420" w:firstLineChars="200"/>
        <w:rPr>
          <w:rFonts w:ascii="宋体" w:cs="宋体"/>
          <w:szCs w:val="21"/>
        </w:rPr>
      </w:pPr>
      <w:r>
        <w:rPr>
          <w:rFonts w:ascii="宋体" w:hAnsi="宋体" w:cs="宋体"/>
          <w:szCs w:val="21"/>
        </w:rPr>
        <w:t xml:space="preserve">21.3 </w:t>
      </w:r>
      <w:r>
        <w:rPr>
          <w:rFonts w:hint="eastAsia" w:ascii="宋体" w:hAnsi="宋体" w:cs="宋体"/>
          <w:szCs w:val="21"/>
        </w:rPr>
        <w:t>评比细则</w:t>
      </w:r>
    </w:p>
    <w:p>
      <w:pPr>
        <w:spacing w:line="500" w:lineRule="exact"/>
        <w:ind w:firstLine="420" w:firstLineChars="200"/>
        <w:rPr>
          <w:rFonts w:ascii="宋体" w:cs="宋体"/>
          <w:szCs w:val="21"/>
        </w:rPr>
      </w:pPr>
      <w:r>
        <w:rPr>
          <w:rFonts w:hint="eastAsia" w:ascii="宋体" w:hAnsi="宋体" w:cs="宋体"/>
          <w:szCs w:val="21"/>
        </w:rPr>
        <w:t>详见第四章。</w:t>
      </w:r>
    </w:p>
    <w:p>
      <w:pPr>
        <w:spacing w:line="500" w:lineRule="exact"/>
        <w:ind w:firstLine="420" w:firstLineChars="200"/>
        <w:rPr>
          <w:rFonts w:ascii="宋体" w:cs="宋体"/>
          <w:szCs w:val="21"/>
        </w:rPr>
      </w:pPr>
      <w:r>
        <w:rPr>
          <w:rFonts w:ascii="宋体" w:hAnsi="宋体" w:cs="宋体"/>
          <w:szCs w:val="21"/>
        </w:rPr>
        <w:t xml:space="preserve">21.4 </w:t>
      </w:r>
      <w:r>
        <w:rPr>
          <w:rFonts w:hint="eastAsia" w:ascii="宋体" w:hAnsi="宋体" w:cs="宋体"/>
          <w:szCs w:val="21"/>
        </w:rPr>
        <w:t>确定中选人</w:t>
      </w:r>
    </w:p>
    <w:p>
      <w:pPr>
        <w:spacing w:line="500" w:lineRule="exact"/>
        <w:ind w:firstLine="420" w:firstLineChars="200"/>
        <w:rPr>
          <w:rFonts w:ascii="宋体" w:cs="宋体"/>
          <w:szCs w:val="21"/>
        </w:rPr>
      </w:pPr>
      <w:r>
        <w:rPr>
          <w:rFonts w:hint="eastAsia" w:ascii="宋体" w:hAnsi="宋体" w:cs="宋体"/>
          <w:szCs w:val="21"/>
        </w:rPr>
        <w:t>评审小组将按照综合得分由低到高进行排序，得分最高的排名第一（当综合得分相同时，按照技术部分得分由高到低顺序排列；当综合得分且技术部分得分相同的，按报价由低到高顺序排列；如意见不一致时，以记名方式投票并按照多数评审意见确定）。如排名第一的比选候选人放弃中选、因不可抗力不能履行合同，或者被查实存在影响比选结果的违法行为等情形，不符合比选条件的，比选发起人可以按照评审小组提出的中选候选人名单排序依次确定其他中选候选人为中选人，也可以重新比选。</w:t>
      </w:r>
    </w:p>
    <w:p>
      <w:pPr>
        <w:spacing w:line="500" w:lineRule="exact"/>
        <w:ind w:firstLine="420" w:firstLineChars="200"/>
        <w:rPr>
          <w:rFonts w:ascii="宋体" w:cs="宋体"/>
          <w:szCs w:val="21"/>
        </w:rPr>
      </w:pPr>
      <w:r>
        <w:rPr>
          <w:rFonts w:ascii="宋体" w:hAnsi="宋体" w:cs="宋体"/>
          <w:szCs w:val="21"/>
        </w:rPr>
        <w:t xml:space="preserve">21.5 </w:t>
      </w:r>
      <w:r>
        <w:rPr>
          <w:rFonts w:hint="eastAsia" w:ascii="宋体" w:hAnsi="宋体" w:cs="宋体"/>
          <w:szCs w:val="21"/>
        </w:rPr>
        <w:t>出现下列特殊情况之一，南宁轨道交通集团有限责任公司将重新组织比选：</w:t>
      </w:r>
    </w:p>
    <w:p>
      <w:pPr>
        <w:spacing w:line="500" w:lineRule="exact"/>
        <w:ind w:firstLine="420" w:firstLineChars="200"/>
        <w:rPr>
          <w:rFonts w:ascii="宋体" w:cs="宋体"/>
          <w:szCs w:val="21"/>
        </w:rPr>
      </w:pPr>
      <w:r>
        <w:rPr>
          <w:rFonts w:ascii="宋体" w:hAnsi="宋体" w:cs="宋体"/>
          <w:szCs w:val="21"/>
        </w:rPr>
        <w:t xml:space="preserve">21.5.1 </w:t>
      </w:r>
      <w:r>
        <w:rPr>
          <w:rFonts w:hint="eastAsia" w:ascii="宋体" w:hAnsi="宋体" w:cs="宋体"/>
          <w:szCs w:val="21"/>
        </w:rPr>
        <w:t>在比选申请文件递交截止时间到达时提交比选申请文件的比选申请人少于</w:t>
      </w:r>
      <w:r>
        <w:rPr>
          <w:rFonts w:ascii="宋体" w:hAnsi="宋体" w:cs="宋体"/>
          <w:szCs w:val="21"/>
        </w:rPr>
        <w:t>3</w:t>
      </w:r>
      <w:r>
        <w:rPr>
          <w:rFonts w:hint="eastAsia" w:ascii="宋体" w:hAnsi="宋体" w:cs="宋体"/>
          <w:szCs w:val="21"/>
        </w:rPr>
        <w:t>家的；</w:t>
      </w:r>
    </w:p>
    <w:p>
      <w:pPr>
        <w:spacing w:line="500" w:lineRule="exact"/>
        <w:ind w:firstLine="420" w:firstLineChars="200"/>
        <w:rPr>
          <w:rFonts w:ascii="宋体" w:cs="宋体"/>
          <w:szCs w:val="21"/>
        </w:rPr>
      </w:pPr>
      <w:r>
        <w:rPr>
          <w:rFonts w:ascii="宋体" w:hAnsi="宋体" w:cs="宋体"/>
          <w:szCs w:val="21"/>
        </w:rPr>
        <w:t xml:space="preserve">21.5.2 </w:t>
      </w:r>
      <w:r>
        <w:rPr>
          <w:rFonts w:hint="eastAsia" w:ascii="宋体" w:hAnsi="宋体" w:cs="宋体"/>
          <w:szCs w:val="21"/>
        </w:rPr>
        <w:t>在比选申请文件有效的比选申请人不足</w:t>
      </w:r>
      <w:r>
        <w:rPr>
          <w:rFonts w:ascii="宋体" w:hAnsi="宋体" w:cs="宋体"/>
          <w:szCs w:val="21"/>
        </w:rPr>
        <w:t>2</w:t>
      </w:r>
      <w:r>
        <w:rPr>
          <w:rFonts w:hint="eastAsia" w:ascii="宋体" w:hAnsi="宋体" w:cs="宋体"/>
          <w:szCs w:val="21"/>
        </w:rPr>
        <w:t>家，且评委认为没有竞争力的；</w:t>
      </w:r>
    </w:p>
    <w:p>
      <w:pPr>
        <w:spacing w:line="500" w:lineRule="exact"/>
        <w:ind w:firstLine="420" w:firstLineChars="200"/>
        <w:rPr>
          <w:rFonts w:ascii="宋体" w:cs="宋体"/>
          <w:szCs w:val="21"/>
        </w:rPr>
      </w:pPr>
      <w:r>
        <w:rPr>
          <w:rFonts w:ascii="宋体" w:hAnsi="宋体" w:cs="宋体"/>
          <w:szCs w:val="21"/>
        </w:rPr>
        <w:t xml:space="preserve">21.5.3 </w:t>
      </w:r>
      <w:r>
        <w:rPr>
          <w:rFonts w:hint="eastAsia" w:ascii="宋体" w:hAnsi="宋体" w:cs="宋体"/>
          <w:szCs w:val="21"/>
        </w:rPr>
        <w:t>有效比选申请文件只有</w:t>
      </w:r>
      <w:r>
        <w:rPr>
          <w:rFonts w:ascii="宋体" w:hAnsi="宋体" w:cs="宋体"/>
          <w:szCs w:val="21"/>
        </w:rPr>
        <w:t>1</w:t>
      </w:r>
      <w:r>
        <w:rPr>
          <w:rFonts w:hint="eastAsia" w:ascii="宋体" w:hAnsi="宋体" w:cs="宋体"/>
          <w:szCs w:val="21"/>
        </w:rPr>
        <w:t>家或</w:t>
      </w:r>
      <w:r>
        <w:rPr>
          <w:rFonts w:ascii="宋体" w:cs="宋体"/>
          <w:szCs w:val="21"/>
        </w:rPr>
        <w:t>0</w:t>
      </w:r>
      <w:r>
        <w:rPr>
          <w:rFonts w:hint="eastAsia" w:ascii="宋体" w:hAnsi="宋体" w:cs="宋体"/>
          <w:szCs w:val="21"/>
        </w:rPr>
        <w:t>家的。</w:t>
      </w:r>
    </w:p>
    <w:p>
      <w:pPr>
        <w:spacing w:line="500" w:lineRule="exact"/>
        <w:ind w:firstLine="422" w:firstLineChars="200"/>
        <w:rPr>
          <w:rFonts w:ascii="宋体" w:cs="宋体"/>
          <w:b/>
          <w:szCs w:val="21"/>
        </w:rPr>
      </w:pPr>
      <w:bookmarkStart w:id="255" w:name="_Toc286386861"/>
      <w:bookmarkStart w:id="256" w:name="_Toc310318599"/>
      <w:bookmarkStart w:id="257" w:name="_Toc114052377"/>
      <w:bookmarkStart w:id="258" w:name="_Toc114052441"/>
      <w:r>
        <w:rPr>
          <w:rFonts w:ascii="宋体" w:hAnsi="宋体" w:cs="宋体"/>
          <w:b/>
          <w:szCs w:val="21"/>
        </w:rPr>
        <w:t>22.</w:t>
      </w:r>
      <w:r>
        <w:rPr>
          <w:rFonts w:hint="eastAsia" w:ascii="宋体" w:hAnsi="宋体" w:cs="宋体"/>
          <w:b/>
          <w:szCs w:val="21"/>
        </w:rPr>
        <w:t>评比结果公示</w:t>
      </w:r>
      <w:bookmarkEnd w:id="255"/>
      <w:bookmarkEnd w:id="256"/>
      <w:bookmarkEnd w:id="257"/>
      <w:bookmarkEnd w:id="258"/>
    </w:p>
    <w:p>
      <w:pPr>
        <w:spacing w:line="500" w:lineRule="exact"/>
        <w:ind w:firstLine="420" w:firstLineChars="200"/>
        <w:rPr>
          <w:rFonts w:ascii="宋体" w:cs="宋体"/>
          <w:szCs w:val="21"/>
        </w:rPr>
      </w:pPr>
      <w:r>
        <w:rPr>
          <w:rFonts w:ascii="宋体" w:hAnsi="宋体" w:cs="宋体"/>
          <w:szCs w:val="21"/>
        </w:rPr>
        <w:t xml:space="preserve">22.1 </w:t>
      </w:r>
      <w:r>
        <w:rPr>
          <w:rFonts w:hint="eastAsia" w:ascii="宋体" w:hAnsi="宋体" w:cs="宋体"/>
          <w:szCs w:val="21"/>
        </w:rPr>
        <w:t>在评比结束后，比选人将在南宁轨道交通集团有限责任公司官网（</w:t>
      </w:r>
      <w:r>
        <w:rPr>
          <w:rFonts w:ascii="宋体" w:hAnsi="宋体" w:cs="宋体"/>
          <w:szCs w:val="21"/>
        </w:rPr>
        <w:t>http://www.nngdjt.com/</w:t>
      </w:r>
      <w:r>
        <w:rPr>
          <w:rFonts w:hint="eastAsia" w:ascii="宋体" w:hAnsi="宋体" w:cs="宋体"/>
          <w:szCs w:val="21"/>
        </w:rPr>
        <w:t>）的招标招商中的中标信息处公示评比结果。</w:t>
      </w:r>
    </w:p>
    <w:p>
      <w:pPr>
        <w:spacing w:line="500" w:lineRule="exact"/>
        <w:ind w:firstLine="315" w:firstLineChars="150"/>
        <w:rPr>
          <w:rFonts w:ascii="宋体" w:cs="宋体"/>
          <w:szCs w:val="21"/>
        </w:rPr>
      </w:pPr>
      <w:r>
        <w:rPr>
          <w:rFonts w:ascii="宋体" w:hAnsi="宋体" w:cs="宋体"/>
          <w:szCs w:val="21"/>
        </w:rPr>
        <w:t xml:space="preserve"> 22.2 </w:t>
      </w:r>
      <w:r>
        <w:rPr>
          <w:rFonts w:hint="eastAsia" w:ascii="宋体" w:hAnsi="宋体" w:cs="宋体"/>
          <w:szCs w:val="21"/>
        </w:rPr>
        <w:t>比选申请人如对评比结果有异议，在评比结果公示</w:t>
      </w:r>
      <w:r>
        <w:rPr>
          <w:rFonts w:ascii="宋体" w:hAnsi="宋体" w:cs="宋体"/>
          <w:szCs w:val="21"/>
        </w:rPr>
        <w:t>3</w:t>
      </w:r>
      <w:r>
        <w:rPr>
          <w:rFonts w:hint="eastAsia" w:ascii="宋体" w:hAnsi="宋体" w:cs="宋体"/>
          <w:szCs w:val="21"/>
        </w:rPr>
        <w:t>天内，可以书面形式向比选人提出质疑。比选人应当在收到比选申请人的书面质疑后</w:t>
      </w:r>
      <w:r>
        <w:rPr>
          <w:rFonts w:ascii="宋体" w:hAnsi="宋体" w:cs="宋体"/>
          <w:szCs w:val="21"/>
        </w:rPr>
        <w:t>5</w:t>
      </w:r>
      <w:r>
        <w:rPr>
          <w:rFonts w:hint="eastAsia" w:ascii="宋体" w:hAnsi="宋体" w:cs="宋体"/>
          <w:szCs w:val="21"/>
        </w:rPr>
        <w:t>个工作日内做出答复，但答复的内容不得涉及商业秘密。</w:t>
      </w:r>
    </w:p>
    <w:p>
      <w:pPr>
        <w:pStyle w:val="4"/>
        <w:spacing w:before="156" w:beforeLines="50" w:after="156" w:afterLines="50" w:line="500" w:lineRule="exact"/>
        <w:jc w:val="center"/>
        <w:rPr>
          <w:b/>
          <w:sz w:val="21"/>
          <w:szCs w:val="21"/>
        </w:rPr>
      </w:pPr>
      <w:bookmarkStart w:id="259" w:name="_Toc16935"/>
      <w:bookmarkStart w:id="260" w:name="_Toc4410"/>
      <w:bookmarkStart w:id="261" w:name="_Toc471482367"/>
      <w:bookmarkStart w:id="262" w:name="_Toc13919"/>
      <w:bookmarkStart w:id="263" w:name="_Toc12149"/>
      <w:bookmarkStart w:id="264" w:name="_Toc28390"/>
      <w:bookmarkStart w:id="265" w:name="_Toc30023"/>
      <w:bookmarkStart w:id="266" w:name="_Toc6141"/>
      <w:bookmarkStart w:id="267" w:name="_Toc529"/>
      <w:bookmarkStart w:id="268" w:name="_Toc24316"/>
      <w:bookmarkStart w:id="269" w:name="_Toc15810"/>
      <w:bookmarkStart w:id="270" w:name="_Toc7357"/>
      <w:bookmarkStart w:id="271" w:name="_Toc461525303"/>
      <w:bookmarkStart w:id="272" w:name="_Toc17996"/>
      <w:bookmarkStart w:id="273" w:name="_Toc16746"/>
      <w:bookmarkStart w:id="274" w:name="_Toc12010"/>
      <w:bookmarkStart w:id="275" w:name="_Toc8363"/>
      <w:bookmarkStart w:id="276" w:name="_Toc20403"/>
      <w:bookmarkStart w:id="277" w:name="_Toc4943"/>
      <w:bookmarkStart w:id="278" w:name="_Toc5074"/>
      <w:bookmarkStart w:id="279" w:name="_Toc24212"/>
      <w:bookmarkStart w:id="280" w:name="_Toc19549"/>
      <w:r>
        <w:rPr>
          <w:rFonts w:hint="eastAsia"/>
          <w:b/>
          <w:sz w:val="21"/>
          <w:szCs w:val="21"/>
        </w:rPr>
        <w:t>七、授予合同</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spacing w:line="460" w:lineRule="exact"/>
        <w:ind w:firstLine="422" w:firstLineChars="200"/>
        <w:rPr>
          <w:rFonts w:ascii="宋体" w:cs="宋体"/>
          <w:szCs w:val="21"/>
        </w:rPr>
      </w:pPr>
      <w:r>
        <w:rPr>
          <w:rFonts w:ascii="宋体" w:hAnsi="宋体" w:cs="宋体"/>
          <w:b/>
          <w:szCs w:val="21"/>
        </w:rPr>
        <w:t>23.</w:t>
      </w:r>
      <w:r>
        <w:rPr>
          <w:rFonts w:hint="eastAsia" w:ascii="宋体" w:hAnsi="宋体" w:cs="宋体"/>
          <w:b/>
          <w:szCs w:val="21"/>
        </w:rPr>
        <w:t>中选通知书</w:t>
      </w:r>
    </w:p>
    <w:p>
      <w:pPr>
        <w:spacing w:line="460" w:lineRule="exact"/>
        <w:ind w:firstLine="420" w:firstLineChars="200"/>
        <w:rPr>
          <w:rFonts w:ascii="宋体" w:cs="宋体"/>
          <w:szCs w:val="21"/>
        </w:rPr>
      </w:pPr>
      <w:r>
        <w:rPr>
          <w:rFonts w:ascii="宋体" w:hAnsi="宋体" w:cs="宋体"/>
          <w:szCs w:val="21"/>
        </w:rPr>
        <w:t xml:space="preserve">23.1 </w:t>
      </w:r>
      <w:r>
        <w:rPr>
          <w:rFonts w:hint="eastAsia" w:ascii="宋体" w:hAnsi="宋体" w:cs="宋体"/>
          <w:szCs w:val="21"/>
        </w:rPr>
        <w:t>比选人将向中选人发出中选通知书。</w:t>
      </w:r>
    </w:p>
    <w:p>
      <w:pPr>
        <w:spacing w:line="460" w:lineRule="exact"/>
        <w:ind w:firstLine="420" w:firstLineChars="200"/>
        <w:rPr>
          <w:rFonts w:ascii="宋体" w:cs="宋体"/>
          <w:szCs w:val="21"/>
        </w:rPr>
      </w:pPr>
      <w:r>
        <w:rPr>
          <w:rFonts w:ascii="宋体" w:hAnsi="宋体" w:cs="宋体"/>
          <w:szCs w:val="21"/>
        </w:rPr>
        <w:t xml:space="preserve">23.2 </w:t>
      </w:r>
      <w:r>
        <w:rPr>
          <w:rFonts w:hint="eastAsia" w:ascii="宋体" w:hAnsi="宋体" w:cs="宋体"/>
          <w:szCs w:val="21"/>
        </w:rPr>
        <w:t>比选人无义务向落选的比选申请人解释落选原因和退还比选申请文件。</w:t>
      </w:r>
    </w:p>
    <w:p>
      <w:pPr>
        <w:spacing w:line="460" w:lineRule="exact"/>
        <w:ind w:firstLine="420" w:firstLineChars="200"/>
        <w:rPr>
          <w:rFonts w:ascii="宋体" w:cs="宋体"/>
          <w:szCs w:val="21"/>
        </w:rPr>
      </w:pPr>
      <w:r>
        <w:rPr>
          <w:rFonts w:ascii="宋体" w:hAnsi="宋体" w:cs="宋体"/>
          <w:szCs w:val="21"/>
        </w:rPr>
        <w:t xml:space="preserve">23.3 </w:t>
      </w:r>
      <w:r>
        <w:rPr>
          <w:rFonts w:hint="eastAsia" w:ascii="宋体" w:hAnsi="宋体" w:cs="宋体"/>
          <w:szCs w:val="21"/>
        </w:rPr>
        <w:t>中选通知书作为合同的组成部分。</w:t>
      </w:r>
    </w:p>
    <w:p>
      <w:pPr>
        <w:spacing w:line="460" w:lineRule="exact"/>
        <w:ind w:firstLine="422" w:firstLineChars="200"/>
        <w:rPr>
          <w:rFonts w:ascii="宋体" w:cs="宋体"/>
          <w:b/>
          <w:szCs w:val="21"/>
        </w:rPr>
      </w:pPr>
      <w:r>
        <w:rPr>
          <w:rFonts w:ascii="宋体" w:hAnsi="宋体" w:cs="宋体"/>
          <w:b/>
          <w:szCs w:val="21"/>
        </w:rPr>
        <w:t>24.</w:t>
      </w:r>
      <w:r>
        <w:rPr>
          <w:rFonts w:hint="eastAsia" w:ascii="宋体" w:hAnsi="宋体" w:cs="宋体"/>
          <w:b/>
          <w:szCs w:val="21"/>
        </w:rPr>
        <w:t>合同的签署</w:t>
      </w:r>
    </w:p>
    <w:p>
      <w:pPr>
        <w:spacing w:line="460" w:lineRule="exact"/>
        <w:ind w:firstLine="420" w:firstLineChars="200"/>
        <w:jc w:val="center"/>
        <w:rPr>
          <w:rFonts w:ascii="宋体" w:hAnsi="宋体" w:cs="宋体"/>
          <w:szCs w:val="21"/>
        </w:rPr>
      </w:pPr>
      <w:r>
        <w:rPr>
          <w:rFonts w:ascii="宋体" w:hAnsi="宋体" w:cs="宋体"/>
          <w:szCs w:val="21"/>
        </w:rPr>
        <w:t>24.1</w:t>
      </w:r>
      <w:r>
        <w:rPr>
          <w:rFonts w:hint="eastAsia" w:ascii="宋体" w:hAnsi="宋体" w:cs="宋体"/>
          <w:szCs w:val="21"/>
        </w:rPr>
        <w:t>中选人收到中选通知书后</w:t>
      </w:r>
      <w:r>
        <w:rPr>
          <w:rFonts w:ascii="宋体" w:hAnsi="宋体" w:cs="宋体"/>
          <w:szCs w:val="21"/>
        </w:rPr>
        <w:t>20</w:t>
      </w:r>
      <w:r>
        <w:rPr>
          <w:rFonts w:hint="eastAsia" w:ascii="宋体" w:hAnsi="宋体" w:cs="宋体"/>
          <w:szCs w:val="21"/>
        </w:rPr>
        <w:t>日内，中选单位法定代表人或授权代理人与比选发起人联系办理合同签订事宜。若逾期比选发起人有权取消其中选资格，并选择评审排名次之的比选申请人为本项目中选人；中选的比选申请人若因自己的原因不能履约签订合同，比选发起人将取消其中选资格并且</w:t>
      </w:r>
    </w:p>
    <w:p>
      <w:pPr>
        <w:spacing w:line="460" w:lineRule="exact"/>
        <w:jc w:val="center"/>
        <w:rPr>
          <w:rFonts w:ascii="宋体"/>
          <w:b/>
          <w:bCs/>
          <w:sz w:val="28"/>
          <w:szCs w:val="28"/>
        </w:rPr>
      </w:pPr>
      <w:r>
        <w:rPr>
          <w:rFonts w:hint="eastAsia" w:ascii="宋体" w:hAnsi="宋体" w:cs="宋体"/>
          <w:szCs w:val="21"/>
        </w:rPr>
        <w:t>列为不诚信单位，并在后续排名中选候选人中依次向上递补确定中选人或重新比选确定中选人。</w:t>
      </w:r>
      <w:r>
        <w:rPr>
          <w:rFonts w:ascii="楷体_GB2312" w:eastAsia="楷体_GB2312"/>
          <w:b/>
          <w:sz w:val="24"/>
        </w:rPr>
        <w:br w:type="page"/>
      </w:r>
      <w:bookmarkStart w:id="281" w:name="_Toc19761"/>
      <w:bookmarkStart w:id="282" w:name="_Toc30996"/>
      <w:bookmarkStart w:id="283" w:name="_Toc3339"/>
      <w:bookmarkStart w:id="284" w:name="_Toc535961544"/>
      <w:bookmarkStart w:id="285" w:name="_Toc11246"/>
      <w:bookmarkStart w:id="286" w:name="_Toc4447"/>
      <w:bookmarkStart w:id="287" w:name="_Toc7444"/>
      <w:bookmarkStart w:id="288" w:name="_Toc23613"/>
      <w:bookmarkStart w:id="289" w:name="_Toc471482368"/>
      <w:bookmarkStart w:id="290" w:name="_Toc16062"/>
      <w:bookmarkStart w:id="291" w:name="_Toc12854"/>
      <w:bookmarkStart w:id="292" w:name="_Toc31070"/>
      <w:bookmarkStart w:id="293" w:name="_Toc4769"/>
      <w:bookmarkStart w:id="294" w:name="_Toc1354"/>
      <w:bookmarkStart w:id="295" w:name="_Toc21358"/>
      <w:bookmarkStart w:id="296" w:name="_Toc461525304"/>
      <w:bookmarkStart w:id="297" w:name="_Toc21670"/>
      <w:bookmarkStart w:id="298" w:name="_Toc2960"/>
      <w:bookmarkStart w:id="299" w:name="_Toc5964"/>
      <w:bookmarkStart w:id="300" w:name="_Toc7234"/>
      <w:bookmarkStart w:id="301" w:name="_Toc333307121"/>
      <w:r>
        <w:rPr>
          <w:rFonts w:hint="eastAsia" w:ascii="宋体" w:hAnsi="宋体"/>
          <w:b/>
          <w:bCs/>
          <w:sz w:val="28"/>
          <w:szCs w:val="28"/>
        </w:rPr>
        <w:t>第二章</w:t>
      </w:r>
      <w:bookmarkStart w:id="302" w:name="_Toc392862509"/>
      <w:r>
        <w:rPr>
          <w:rFonts w:ascii="宋体" w:hAnsi="宋体"/>
          <w:b/>
          <w:bCs/>
          <w:sz w:val="28"/>
          <w:szCs w:val="28"/>
        </w:rPr>
        <w:t xml:space="preserve"> </w:t>
      </w:r>
      <w:r>
        <w:rPr>
          <w:rFonts w:hint="eastAsia" w:ascii="宋体" w:hAnsi="宋体"/>
          <w:b/>
          <w:bCs/>
          <w:sz w:val="28"/>
          <w:szCs w:val="28"/>
        </w:rPr>
        <w:t>合同条款（格式）</w:t>
      </w:r>
      <w:bookmarkEnd w:id="281"/>
      <w:bookmarkEnd w:id="282"/>
      <w:bookmarkEnd w:id="283"/>
      <w:bookmarkEnd w:id="284"/>
      <w:bookmarkEnd w:id="285"/>
      <w:bookmarkEnd w:id="286"/>
      <w:bookmarkEnd w:id="287"/>
      <w:bookmarkEnd w:id="288"/>
    </w:p>
    <w:bookmarkEnd w:id="302"/>
    <w:p>
      <w:pPr>
        <w:widowControl/>
        <w:spacing w:line="600" w:lineRule="exact"/>
        <w:jc w:val="center"/>
        <w:rPr>
          <w:rFonts w:ascii="宋体"/>
          <w:bCs/>
          <w:sz w:val="28"/>
        </w:rPr>
      </w:pPr>
    </w:p>
    <w:p>
      <w:pPr>
        <w:widowControl/>
        <w:spacing w:line="600" w:lineRule="exact"/>
        <w:jc w:val="center"/>
        <w:rPr>
          <w:rFonts w:ascii="宋体"/>
          <w:b/>
          <w:sz w:val="44"/>
          <w:szCs w:val="44"/>
        </w:rPr>
      </w:pPr>
      <w:r>
        <w:rPr>
          <w:rFonts w:hint="eastAsia" w:ascii="宋体" w:hAnsi="宋体"/>
          <w:b/>
          <w:sz w:val="44"/>
          <w:szCs w:val="44"/>
        </w:rPr>
        <w:t>南宁慧泊停车场服务有限责任公司2020年至2022年经营情况分析项目</w:t>
      </w:r>
    </w:p>
    <w:tbl>
      <w:tblPr>
        <w:tblStyle w:val="26"/>
        <w:tblpPr w:leftFromText="180" w:rightFromText="180" w:vertAnchor="text" w:horzAnchor="page" w:tblpX="2742" w:tblpY="435"/>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69"/>
        <w:gridCol w:w="4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trPr>
        <w:tc>
          <w:tcPr>
            <w:tcW w:w="1869" w:type="dxa"/>
          </w:tcPr>
          <w:p>
            <w:pPr>
              <w:snapToGrid w:val="0"/>
              <w:spacing w:line="540" w:lineRule="exact"/>
              <w:jc w:val="center"/>
              <w:textAlignment w:val="baseline"/>
              <w:rPr>
                <w:rFonts w:ascii="宋体" w:hAnsi="宋体"/>
                <w:color w:val="000000"/>
                <w:sz w:val="28"/>
                <w:szCs w:val="30"/>
              </w:rPr>
            </w:pPr>
            <w:r>
              <w:rPr>
                <w:rFonts w:hint="eastAsia" w:ascii="宋体" w:hAnsi="宋体"/>
                <w:color w:val="000000"/>
                <w:sz w:val="28"/>
                <w:szCs w:val="30"/>
              </w:rPr>
              <w:t>项目编号：</w:t>
            </w:r>
          </w:p>
        </w:tc>
        <w:tc>
          <w:tcPr>
            <w:tcW w:w="4761" w:type="dxa"/>
          </w:tcPr>
          <w:p>
            <w:pPr>
              <w:snapToGrid w:val="0"/>
              <w:spacing w:line="540" w:lineRule="exact"/>
              <w:jc w:val="center"/>
              <w:textAlignment w:val="baseline"/>
              <w:rPr>
                <w:rFonts w:ascii="宋体" w:hAnsi="宋体"/>
                <w:color w:val="000000"/>
                <w:sz w:val="28"/>
                <w:szCs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 w:hRule="atLeast"/>
        </w:trPr>
        <w:tc>
          <w:tcPr>
            <w:tcW w:w="1869" w:type="dxa"/>
          </w:tcPr>
          <w:p>
            <w:pPr>
              <w:snapToGrid w:val="0"/>
              <w:spacing w:line="540" w:lineRule="exact"/>
              <w:jc w:val="center"/>
              <w:textAlignment w:val="baseline"/>
              <w:rPr>
                <w:rFonts w:ascii="宋体" w:hAnsi="宋体"/>
                <w:color w:val="000000"/>
                <w:sz w:val="28"/>
                <w:szCs w:val="30"/>
              </w:rPr>
            </w:pPr>
            <w:r>
              <w:rPr>
                <w:rFonts w:hint="eastAsia" w:ascii="宋体" w:hAnsi="宋体"/>
                <w:color w:val="000000"/>
                <w:sz w:val="28"/>
                <w:szCs w:val="30"/>
              </w:rPr>
              <w:t>合同编号：</w:t>
            </w:r>
          </w:p>
        </w:tc>
        <w:tc>
          <w:tcPr>
            <w:tcW w:w="4761" w:type="dxa"/>
          </w:tcPr>
          <w:p>
            <w:pPr>
              <w:snapToGrid w:val="0"/>
              <w:spacing w:line="540" w:lineRule="exact"/>
              <w:jc w:val="center"/>
              <w:textAlignment w:val="baseline"/>
              <w:rPr>
                <w:rFonts w:ascii="宋体" w:hAnsi="宋体"/>
                <w:color w:val="000000"/>
                <w:sz w:val="28"/>
                <w:szCs w:val="30"/>
              </w:rPr>
            </w:pPr>
          </w:p>
        </w:tc>
      </w:tr>
    </w:tbl>
    <w:p>
      <w:pPr>
        <w:spacing w:line="360" w:lineRule="auto"/>
        <w:jc w:val="center"/>
        <w:rPr>
          <w:rFonts w:ascii="宋体"/>
          <w:b/>
          <w:bCs/>
          <w:sz w:val="44"/>
        </w:rPr>
      </w:pPr>
    </w:p>
    <w:p>
      <w:pPr>
        <w:spacing w:line="360" w:lineRule="auto"/>
        <w:jc w:val="center"/>
        <w:rPr>
          <w:rFonts w:ascii="宋体"/>
          <w:b/>
          <w:bCs/>
          <w:sz w:val="44"/>
        </w:rPr>
      </w:pPr>
    </w:p>
    <w:p>
      <w:pPr>
        <w:spacing w:line="360" w:lineRule="auto"/>
        <w:ind w:firstLine="3507" w:firstLineChars="794"/>
        <w:rPr>
          <w:rFonts w:ascii="宋体"/>
          <w:b/>
          <w:bCs/>
          <w:sz w:val="44"/>
        </w:rPr>
      </w:pPr>
    </w:p>
    <w:p>
      <w:pPr>
        <w:snapToGrid w:val="0"/>
        <w:spacing w:after="312" w:line="800" w:lineRule="exact"/>
        <w:ind w:left="2443" w:right="-28" w:hanging="2443" w:hangingChars="338"/>
        <w:jc w:val="center"/>
        <w:textAlignment w:val="baseline"/>
        <w:rPr>
          <w:rFonts w:ascii="楷体_GB2312" w:eastAsia="楷体_GB2312"/>
          <w:b/>
          <w:color w:val="000000"/>
          <w:sz w:val="72"/>
          <w:szCs w:val="52"/>
        </w:rPr>
      </w:pPr>
      <w:r>
        <w:rPr>
          <w:rFonts w:hint="eastAsia"/>
          <w:b/>
          <w:color w:val="000000"/>
          <w:sz w:val="72"/>
          <w:szCs w:val="52"/>
        </w:rPr>
        <w:t>合</w:t>
      </w:r>
    </w:p>
    <w:p>
      <w:pPr>
        <w:snapToGrid w:val="0"/>
        <w:spacing w:after="312" w:line="800" w:lineRule="exact"/>
        <w:ind w:left="2443" w:right="-28" w:hanging="2443" w:hangingChars="338"/>
        <w:jc w:val="center"/>
        <w:textAlignment w:val="baseline"/>
        <w:rPr>
          <w:rFonts w:ascii="宋体" w:hAnsi="宋体"/>
          <w:b/>
          <w:color w:val="000000"/>
          <w:sz w:val="72"/>
          <w:szCs w:val="52"/>
        </w:rPr>
      </w:pPr>
      <w:r>
        <w:rPr>
          <w:rFonts w:hint="eastAsia"/>
          <w:b/>
          <w:color w:val="000000"/>
          <w:sz w:val="72"/>
          <w:szCs w:val="52"/>
        </w:rPr>
        <w:t>同</w:t>
      </w:r>
    </w:p>
    <w:p>
      <w:pPr>
        <w:snapToGrid w:val="0"/>
        <w:spacing w:after="312" w:line="800" w:lineRule="exact"/>
        <w:ind w:left="2443" w:right="-28" w:hanging="2443" w:hangingChars="338"/>
        <w:jc w:val="center"/>
        <w:textAlignment w:val="baseline"/>
        <w:rPr>
          <w:b/>
          <w:color w:val="000000"/>
          <w:sz w:val="72"/>
          <w:szCs w:val="52"/>
        </w:rPr>
      </w:pPr>
      <w:r>
        <w:rPr>
          <w:rFonts w:hint="eastAsia"/>
          <w:b/>
          <w:color w:val="000000"/>
          <w:sz w:val="72"/>
          <w:szCs w:val="52"/>
        </w:rPr>
        <w:t>书</w:t>
      </w:r>
    </w:p>
    <w:p>
      <w:pPr>
        <w:spacing w:line="360" w:lineRule="auto"/>
        <w:jc w:val="center"/>
        <w:rPr>
          <w:rFonts w:ascii="宋体"/>
          <w:b/>
          <w:bCs/>
          <w:sz w:val="44"/>
        </w:rPr>
      </w:pPr>
      <w:r>
        <w:rPr>
          <w:rFonts w:ascii="宋体" w:hAnsi="宋体"/>
          <w:b/>
          <w:color w:val="000000"/>
          <w:sz w:val="52"/>
        </w:rPr>
        <w:pict>
          <v:shape id="_x0000_i1025" o:spt="75" alt="2011101891424664" type="#_x0000_t75" style="height:135.95pt;width:122.7pt;" filled="f" o:preferrelative="t" stroked="f" coordsize="21600,21600">
            <v:path/>
            <v:fill on="f" focussize="0,0"/>
            <v:stroke on="f" joinstyle="miter"/>
            <v:imagedata r:id="rId8" o:title=""/>
            <o:lock v:ext="edit" aspectratio="t"/>
            <w10:wrap type="none"/>
            <w10:anchorlock/>
          </v:shape>
        </w:pict>
      </w:r>
    </w:p>
    <w:p>
      <w:pPr>
        <w:snapToGrid w:val="0"/>
        <w:spacing w:after="312" w:line="400" w:lineRule="exact"/>
        <w:textAlignment w:val="baseline"/>
        <w:rPr>
          <w:rFonts w:ascii="宋体" w:hAnsi="宋体"/>
          <w:b/>
          <w:color w:val="000000"/>
          <w:sz w:val="28"/>
          <w:szCs w:val="28"/>
        </w:rPr>
      </w:pPr>
    </w:p>
    <w:p>
      <w:pPr>
        <w:snapToGrid w:val="0"/>
        <w:spacing w:after="312" w:line="400" w:lineRule="exact"/>
        <w:textAlignment w:val="baseline"/>
        <w:rPr>
          <w:rFonts w:ascii="宋体" w:hAnsi="宋体"/>
          <w:b/>
          <w:color w:val="000000"/>
          <w:sz w:val="28"/>
          <w:szCs w:val="28"/>
        </w:rPr>
      </w:pPr>
      <w:r>
        <w:rPr>
          <w:rFonts w:hint="eastAsia" w:ascii="宋体" w:hAnsi="宋体"/>
          <w:b/>
          <w:color w:val="000000"/>
          <w:sz w:val="28"/>
          <w:szCs w:val="28"/>
        </w:rPr>
        <w:t>甲    方：</w:t>
      </w:r>
      <w:r>
        <w:rPr>
          <w:rFonts w:hint="eastAsia"/>
          <w:color w:val="000000"/>
          <w:sz w:val="28"/>
          <w:szCs w:val="28"/>
        </w:rPr>
        <w:t>南宁轨道交通集团有限责任公司</w:t>
      </w:r>
    </w:p>
    <w:p>
      <w:pPr>
        <w:snapToGrid w:val="0"/>
        <w:spacing w:after="312" w:line="400" w:lineRule="exact"/>
        <w:textAlignment w:val="baseline"/>
        <w:rPr>
          <w:color w:val="000000"/>
          <w:sz w:val="28"/>
          <w:szCs w:val="28"/>
        </w:rPr>
      </w:pPr>
      <w:r>
        <w:rPr>
          <w:rFonts w:hint="eastAsia" w:ascii="宋体" w:hAnsi="宋体"/>
          <w:b/>
          <w:color w:val="000000"/>
          <w:sz w:val="28"/>
          <w:szCs w:val="28"/>
        </w:rPr>
        <w:t>乙    方：</w:t>
      </w:r>
      <w:r>
        <w:rPr>
          <w:color w:val="000000"/>
          <w:sz w:val="28"/>
          <w:szCs w:val="28"/>
        </w:rPr>
        <w:t xml:space="preserve"> </w:t>
      </w:r>
    </w:p>
    <w:p>
      <w:pPr>
        <w:snapToGrid w:val="0"/>
        <w:spacing w:after="312" w:line="400" w:lineRule="exact"/>
        <w:textAlignment w:val="baseline"/>
        <w:rPr>
          <w:rFonts w:ascii="宋体" w:hAnsi="宋体"/>
          <w:b/>
          <w:color w:val="000000"/>
          <w:sz w:val="28"/>
          <w:szCs w:val="28"/>
        </w:rPr>
      </w:pPr>
      <w:r>
        <w:rPr>
          <w:rFonts w:hint="eastAsia" w:ascii="宋体" w:hAnsi="宋体"/>
          <w:b/>
          <w:color w:val="000000"/>
          <w:sz w:val="28"/>
          <w:szCs w:val="28"/>
        </w:rPr>
        <w:t>签约日期：</w:t>
      </w:r>
      <w:r>
        <w:rPr>
          <w:rFonts w:hint="eastAsia" w:ascii="宋体" w:hAnsi="宋体"/>
          <w:b/>
          <w:color w:val="000000"/>
          <w:sz w:val="28"/>
          <w:szCs w:val="28"/>
          <w:u w:val="single" w:color="000000"/>
        </w:rPr>
        <w:t xml:space="preserve">       </w:t>
      </w:r>
      <w:r>
        <w:rPr>
          <w:rFonts w:hint="eastAsia" w:ascii="宋体" w:hAnsi="宋体"/>
          <w:color w:val="000000"/>
          <w:sz w:val="28"/>
          <w:szCs w:val="28"/>
        </w:rPr>
        <w:t>年</w:t>
      </w:r>
      <w:r>
        <w:rPr>
          <w:rFonts w:hint="eastAsia" w:ascii="宋体" w:hAnsi="宋体"/>
          <w:b/>
          <w:bCs/>
          <w:color w:val="000000"/>
          <w:sz w:val="28"/>
          <w:szCs w:val="28"/>
          <w:u w:val="single" w:color="000000"/>
        </w:rPr>
        <w:t xml:space="preserve">　 </w:t>
      </w:r>
      <w:r>
        <w:rPr>
          <w:rFonts w:hint="eastAsia" w:ascii="宋体" w:hAnsi="宋体"/>
          <w:color w:val="000000"/>
          <w:sz w:val="28"/>
          <w:szCs w:val="28"/>
          <w:u w:val="single" w:color="000000"/>
        </w:rPr>
        <w:t>　</w:t>
      </w:r>
      <w:r>
        <w:rPr>
          <w:rFonts w:hint="eastAsia" w:ascii="宋体" w:hAnsi="宋体"/>
          <w:color w:val="000000"/>
          <w:sz w:val="28"/>
          <w:szCs w:val="28"/>
        </w:rPr>
        <w:t>月</w:t>
      </w:r>
      <w:r>
        <w:rPr>
          <w:rFonts w:hint="eastAsia" w:ascii="宋体" w:hAnsi="宋体"/>
          <w:color w:val="000000"/>
          <w:sz w:val="28"/>
          <w:szCs w:val="28"/>
          <w:u w:val="single" w:color="000000"/>
        </w:rPr>
        <w:t xml:space="preserve">　    </w:t>
      </w:r>
      <w:r>
        <w:rPr>
          <w:rFonts w:hint="eastAsia" w:ascii="宋体" w:hAnsi="宋体"/>
          <w:color w:val="000000"/>
          <w:sz w:val="28"/>
          <w:szCs w:val="28"/>
        </w:rPr>
        <w:t>日</w:t>
      </w:r>
    </w:p>
    <w:p>
      <w:pPr>
        <w:snapToGrid w:val="0"/>
        <w:spacing w:after="312" w:line="400" w:lineRule="exact"/>
        <w:ind w:right="-86"/>
        <w:textAlignment w:val="baseline"/>
        <w:rPr>
          <w:rFonts w:ascii="宋体" w:hAnsi="宋体"/>
          <w:b/>
          <w:bCs/>
          <w:sz w:val="28"/>
          <w:szCs w:val="28"/>
        </w:rPr>
      </w:pPr>
      <w:r>
        <w:rPr>
          <w:rFonts w:hint="eastAsia" w:ascii="宋体" w:hAnsi="宋体"/>
          <w:b/>
          <w:color w:val="000000"/>
          <w:sz w:val="28"/>
          <w:szCs w:val="28"/>
        </w:rPr>
        <w:t>签约</w:t>
      </w:r>
      <w:r>
        <w:rPr>
          <w:rFonts w:hint="eastAsia" w:ascii="宋体" w:hAnsi="宋体"/>
          <w:b/>
          <w:bCs/>
          <w:color w:val="000000"/>
          <w:sz w:val="28"/>
          <w:szCs w:val="28"/>
        </w:rPr>
        <w:t>地点：</w:t>
      </w:r>
      <w:r>
        <w:rPr>
          <w:rFonts w:ascii="宋体" w:hAnsi="宋体"/>
          <w:b/>
          <w:color w:val="000000"/>
          <w:sz w:val="28"/>
          <w:szCs w:val="28"/>
        </w:rPr>
        <w:t xml:space="preserve"> </w:t>
      </w:r>
      <w:r>
        <w:rPr>
          <w:rFonts w:hint="eastAsia" w:ascii="宋体" w:hAnsi="宋体"/>
          <w:color w:val="000000"/>
          <w:sz w:val="28"/>
          <w:szCs w:val="28"/>
        </w:rPr>
        <w:t>广西壮族自治区南宁市</w:t>
      </w:r>
      <w:bookmarkStart w:id="303" w:name="_Toc369787000"/>
      <w:bookmarkEnd w:id="303"/>
    </w:p>
    <w:bookmarkEnd w:id="289"/>
    <w:bookmarkEnd w:id="290"/>
    <w:bookmarkEnd w:id="291"/>
    <w:bookmarkEnd w:id="292"/>
    <w:bookmarkEnd w:id="293"/>
    <w:bookmarkEnd w:id="294"/>
    <w:bookmarkEnd w:id="295"/>
    <w:bookmarkEnd w:id="296"/>
    <w:bookmarkEnd w:id="297"/>
    <w:bookmarkEnd w:id="298"/>
    <w:bookmarkEnd w:id="299"/>
    <w:p>
      <w:pPr>
        <w:widowControl/>
        <w:spacing w:line="600" w:lineRule="exact"/>
        <w:jc w:val="center"/>
        <w:rPr>
          <w:rFonts w:ascii="宋体" w:hAnsi="宋体"/>
          <w:b/>
          <w:sz w:val="36"/>
          <w:szCs w:val="36"/>
        </w:rPr>
      </w:pPr>
      <w:r>
        <w:rPr>
          <w:rFonts w:hint="eastAsia" w:ascii="宋体" w:hAnsi="宋体"/>
          <w:b/>
          <w:sz w:val="36"/>
          <w:szCs w:val="36"/>
        </w:rPr>
        <w:t>南宁慧泊停车场服务有限责任公司2020年至2022年</w:t>
      </w:r>
    </w:p>
    <w:p>
      <w:pPr>
        <w:widowControl/>
        <w:spacing w:line="600" w:lineRule="exact"/>
        <w:jc w:val="center"/>
        <w:rPr>
          <w:rFonts w:ascii="宋体"/>
          <w:b/>
          <w:sz w:val="36"/>
          <w:szCs w:val="36"/>
        </w:rPr>
      </w:pPr>
      <w:r>
        <w:rPr>
          <w:rFonts w:hint="eastAsia" w:ascii="宋体" w:hAnsi="宋体"/>
          <w:b/>
          <w:sz w:val="36"/>
          <w:szCs w:val="36"/>
        </w:rPr>
        <w:t>经营情况分析项目合同书</w:t>
      </w:r>
    </w:p>
    <w:p>
      <w:pPr>
        <w:spacing w:line="520" w:lineRule="exact"/>
        <w:rPr>
          <w:rFonts w:ascii="仿宋_GB2312" w:hAnsi="宋体" w:eastAsia="仿宋_GB2312"/>
          <w:sz w:val="28"/>
          <w:szCs w:val="28"/>
        </w:rPr>
      </w:pPr>
    </w:p>
    <w:p>
      <w:pPr>
        <w:spacing w:line="540" w:lineRule="exact"/>
        <w:rPr>
          <w:rFonts w:ascii="宋体"/>
          <w:sz w:val="28"/>
          <w:szCs w:val="28"/>
        </w:rPr>
      </w:pPr>
      <w:r>
        <w:rPr>
          <w:rFonts w:hint="eastAsia" w:ascii="宋体" w:hAnsi="宋体"/>
          <w:sz w:val="28"/>
          <w:szCs w:val="28"/>
        </w:rPr>
        <w:t>甲</w:t>
      </w:r>
      <w:r>
        <w:rPr>
          <w:rFonts w:ascii="宋体" w:hAnsi="宋体"/>
          <w:sz w:val="28"/>
          <w:szCs w:val="28"/>
        </w:rPr>
        <w:t xml:space="preserve">    </w:t>
      </w:r>
      <w:r>
        <w:rPr>
          <w:rFonts w:hint="eastAsia" w:ascii="宋体" w:hAnsi="宋体"/>
          <w:sz w:val="28"/>
          <w:szCs w:val="28"/>
        </w:rPr>
        <w:t>方：南宁轨道交通集团有限责任公司</w:t>
      </w:r>
    </w:p>
    <w:p>
      <w:pPr>
        <w:spacing w:line="540" w:lineRule="exact"/>
        <w:rPr>
          <w:rFonts w:ascii="宋体"/>
          <w:sz w:val="28"/>
          <w:szCs w:val="28"/>
        </w:rPr>
      </w:pPr>
      <w:r>
        <w:rPr>
          <w:rFonts w:hint="eastAsia" w:ascii="宋体" w:hAnsi="宋体"/>
          <w:sz w:val="28"/>
          <w:szCs w:val="28"/>
        </w:rPr>
        <w:t>地</w:t>
      </w:r>
      <w:r>
        <w:rPr>
          <w:rFonts w:ascii="宋体" w:hAnsi="宋体"/>
          <w:sz w:val="28"/>
          <w:szCs w:val="28"/>
        </w:rPr>
        <w:t xml:space="preserve">    </w:t>
      </w:r>
      <w:r>
        <w:rPr>
          <w:rFonts w:hint="eastAsia" w:ascii="宋体" w:hAnsi="宋体"/>
          <w:sz w:val="28"/>
          <w:szCs w:val="28"/>
        </w:rPr>
        <w:t>址：南宁市青秀区云景路</w:t>
      </w:r>
      <w:r>
        <w:rPr>
          <w:rFonts w:ascii="宋体" w:hAnsi="宋体"/>
          <w:sz w:val="28"/>
          <w:szCs w:val="28"/>
        </w:rPr>
        <w:t>69</w:t>
      </w:r>
      <w:r>
        <w:rPr>
          <w:rFonts w:hint="eastAsia" w:ascii="宋体" w:hAnsi="宋体"/>
          <w:sz w:val="28"/>
          <w:szCs w:val="28"/>
        </w:rPr>
        <w:t>号</w:t>
      </w:r>
    </w:p>
    <w:p>
      <w:pPr>
        <w:spacing w:line="540" w:lineRule="exact"/>
        <w:rPr>
          <w:rFonts w:ascii="宋体"/>
          <w:sz w:val="28"/>
          <w:szCs w:val="28"/>
        </w:rPr>
      </w:pPr>
      <w:r>
        <w:rPr>
          <w:rFonts w:hint="eastAsia" w:ascii="宋体" w:hAnsi="宋体"/>
          <w:sz w:val="28"/>
          <w:szCs w:val="28"/>
        </w:rPr>
        <w:t>联系方式：</w:t>
      </w:r>
    </w:p>
    <w:p>
      <w:pPr>
        <w:spacing w:line="540" w:lineRule="exact"/>
        <w:rPr>
          <w:rFonts w:ascii="宋体"/>
          <w:sz w:val="28"/>
          <w:szCs w:val="28"/>
        </w:rPr>
      </w:pPr>
    </w:p>
    <w:p>
      <w:pPr>
        <w:spacing w:line="540" w:lineRule="exact"/>
        <w:rPr>
          <w:rFonts w:ascii="宋体"/>
          <w:sz w:val="28"/>
          <w:szCs w:val="28"/>
        </w:rPr>
      </w:pPr>
      <w:r>
        <w:rPr>
          <w:rFonts w:hint="eastAsia" w:ascii="宋体" w:hAnsi="宋体"/>
          <w:sz w:val="28"/>
          <w:szCs w:val="28"/>
        </w:rPr>
        <w:t>乙</w:t>
      </w:r>
      <w:r>
        <w:rPr>
          <w:rFonts w:ascii="宋体" w:hAnsi="宋体"/>
          <w:sz w:val="28"/>
          <w:szCs w:val="28"/>
        </w:rPr>
        <w:t xml:space="preserve">    </w:t>
      </w:r>
      <w:r>
        <w:rPr>
          <w:rFonts w:hint="eastAsia" w:ascii="宋体" w:hAnsi="宋体"/>
          <w:sz w:val="28"/>
          <w:szCs w:val="28"/>
        </w:rPr>
        <w:t>方：</w:t>
      </w:r>
    </w:p>
    <w:p>
      <w:pPr>
        <w:spacing w:line="540" w:lineRule="exact"/>
        <w:rPr>
          <w:rFonts w:ascii="宋体"/>
          <w:sz w:val="28"/>
          <w:szCs w:val="28"/>
        </w:rPr>
      </w:pPr>
      <w:r>
        <w:rPr>
          <w:rFonts w:hint="eastAsia" w:ascii="宋体" w:hAnsi="宋体"/>
          <w:sz w:val="28"/>
          <w:szCs w:val="28"/>
        </w:rPr>
        <w:t>地</w:t>
      </w:r>
      <w:r>
        <w:rPr>
          <w:rFonts w:ascii="宋体" w:hAnsi="宋体"/>
          <w:sz w:val="28"/>
          <w:szCs w:val="28"/>
        </w:rPr>
        <w:t xml:space="preserve">    </w:t>
      </w:r>
      <w:r>
        <w:rPr>
          <w:rFonts w:hint="eastAsia" w:ascii="宋体" w:hAnsi="宋体"/>
          <w:sz w:val="28"/>
          <w:szCs w:val="28"/>
        </w:rPr>
        <w:t>址：</w:t>
      </w:r>
    </w:p>
    <w:p>
      <w:pPr>
        <w:spacing w:line="540" w:lineRule="exact"/>
        <w:rPr>
          <w:rFonts w:ascii="宋体"/>
          <w:sz w:val="28"/>
          <w:szCs w:val="28"/>
        </w:rPr>
      </w:pPr>
      <w:r>
        <w:rPr>
          <w:rFonts w:hint="eastAsia" w:ascii="宋体" w:hAnsi="宋体"/>
          <w:sz w:val="28"/>
          <w:szCs w:val="28"/>
        </w:rPr>
        <w:t>联系方式：</w:t>
      </w:r>
    </w:p>
    <w:p>
      <w:pPr>
        <w:spacing w:line="540" w:lineRule="exact"/>
        <w:rPr>
          <w:rFonts w:ascii="宋体"/>
          <w:sz w:val="28"/>
          <w:szCs w:val="28"/>
        </w:rPr>
      </w:pPr>
    </w:p>
    <w:p>
      <w:pPr>
        <w:spacing w:line="540" w:lineRule="exact"/>
        <w:ind w:firstLine="560" w:firstLineChars="200"/>
        <w:rPr>
          <w:rFonts w:ascii="宋体"/>
          <w:sz w:val="28"/>
          <w:szCs w:val="28"/>
        </w:rPr>
      </w:pPr>
      <w:r>
        <w:rPr>
          <w:rFonts w:hint="eastAsia" w:ascii="宋体" w:hAnsi="宋体"/>
          <w:sz w:val="28"/>
          <w:szCs w:val="28"/>
        </w:rPr>
        <w:t>甲方因业务发展需要，通过公开比选确定乙方中选</w:t>
      </w:r>
      <w:r>
        <w:rPr>
          <w:rFonts w:hint="eastAsia" w:ascii="宋体" w:hAnsi="宋体"/>
          <w:sz w:val="28"/>
          <w:szCs w:val="28"/>
          <w:u w:val="single"/>
        </w:rPr>
        <w:t>南宁慧泊停车场服务有限责任公司2020年至2022年经营情况分析项目</w:t>
      </w:r>
      <w:r>
        <w:rPr>
          <w:rFonts w:hint="eastAsia" w:ascii="宋体" w:hAnsi="宋体"/>
          <w:sz w:val="28"/>
          <w:szCs w:val="28"/>
        </w:rPr>
        <w:t>，经双方平等友好协商，达成如下协议：</w:t>
      </w:r>
    </w:p>
    <w:p>
      <w:pPr>
        <w:spacing w:line="540" w:lineRule="exact"/>
        <w:ind w:firstLine="562" w:firstLineChars="200"/>
        <w:rPr>
          <w:rFonts w:ascii="宋体"/>
          <w:b/>
          <w:sz w:val="28"/>
          <w:szCs w:val="28"/>
        </w:rPr>
      </w:pPr>
      <w:r>
        <w:rPr>
          <w:rFonts w:hint="eastAsia" w:ascii="宋体" w:hAnsi="宋体"/>
          <w:b/>
          <w:sz w:val="28"/>
          <w:szCs w:val="28"/>
        </w:rPr>
        <w:t>一、合同文件的优先次序</w:t>
      </w:r>
    </w:p>
    <w:p>
      <w:pPr>
        <w:spacing w:line="540" w:lineRule="exact"/>
        <w:ind w:firstLine="560" w:firstLineChars="200"/>
        <w:rPr>
          <w:rFonts w:ascii="宋体"/>
          <w:sz w:val="28"/>
          <w:szCs w:val="28"/>
        </w:rPr>
      </w:pPr>
      <w:r>
        <w:rPr>
          <w:rFonts w:hint="eastAsia" w:ascii="宋体" w:hAnsi="宋体"/>
          <w:sz w:val="28"/>
          <w:szCs w:val="28"/>
        </w:rPr>
        <w:t>（一）下列文件一起构成合同文件</w:t>
      </w:r>
    </w:p>
    <w:p>
      <w:pPr>
        <w:spacing w:line="540" w:lineRule="exact"/>
        <w:ind w:firstLine="560" w:firstLineChars="200"/>
        <w:rPr>
          <w:rFonts w:ascii="宋体"/>
          <w:sz w:val="28"/>
          <w:szCs w:val="28"/>
        </w:rPr>
      </w:pPr>
      <w:r>
        <w:rPr>
          <w:rFonts w:hint="eastAsia" w:ascii="宋体" w:hAnsi="宋体"/>
          <w:sz w:val="28"/>
          <w:szCs w:val="28"/>
        </w:rPr>
        <w:t>1.合同协议书及各种合同附件（含比选评审期间和合同谈判过程中的澄清文件和补充资料）；</w:t>
      </w:r>
    </w:p>
    <w:p>
      <w:pPr>
        <w:spacing w:line="540" w:lineRule="exact"/>
        <w:ind w:firstLine="560" w:firstLineChars="200"/>
        <w:rPr>
          <w:rFonts w:ascii="宋体"/>
          <w:sz w:val="28"/>
          <w:szCs w:val="28"/>
        </w:rPr>
      </w:pPr>
      <w:r>
        <w:rPr>
          <w:rFonts w:hint="eastAsia" w:ascii="宋体" w:hAnsi="宋体"/>
          <w:sz w:val="28"/>
          <w:szCs w:val="28"/>
        </w:rPr>
        <w:t>2.中选通知书；</w:t>
      </w:r>
    </w:p>
    <w:p>
      <w:pPr>
        <w:spacing w:line="540" w:lineRule="exact"/>
        <w:ind w:firstLine="560" w:firstLineChars="200"/>
        <w:rPr>
          <w:rFonts w:ascii="宋体"/>
          <w:sz w:val="28"/>
          <w:szCs w:val="28"/>
        </w:rPr>
      </w:pPr>
      <w:r>
        <w:rPr>
          <w:rFonts w:hint="eastAsia" w:ascii="宋体" w:hAnsi="宋体"/>
          <w:sz w:val="28"/>
          <w:szCs w:val="28"/>
        </w:rPr>
        <w:t>3.比选申请文件及比选申请函；</w:t>
      </w:r>
    </w:p>
    <w:p>
      <w:pPr>
        <w:spacing w:line="540" w:lineRule="exact"/>
        <w:ind w:firstLine="560" w:firstLineChars="200"/>
        <w:rPr>
          <w:rFonts w:ascii="宋体"/>
          <w:sz w:val="28"/>
          <w:szCs w:val="28"/>
        </w:rPr>
      </w:pPr>
      <w:r>
        <w:rPr>
          <w:rFonts w:hint="eastAsia" w:ascii="宋体" w:hAnsi="宋体"/>
          <w:sz w:val="28"/>
          <w:szCs w:val="28"/>
        </w:rPr>
        <w:t>4.比选文件；</w:t>
      </w:r>
    </w:p>
    <w:p>
      <w:pPr>
        <w:spacing w:line="540" w:lineRule="exact"/>
        <w:ind w:firstLine="560" w:firstLineChars="200"/>
        <w:rPr>
          <w:rFonts w:ascii="宋体"/>
          <w:sz w:val="28"/>
          <w:szCs w:val="28"/>
        </w:rPr>
      </w:pPr>
      <w:r>
        <w:rPr>
          <w:rFonts w:hint="eastAsia" w:ascii="宋体" w:hAnsi="宋体"/>
          <w:sz w:val="28"/>
          <w:szCs w:val="28"/>
        </w:rPr>
        <w:t>5.其他合同文件。</w:t>
      </w:r>
    </w:p>
    <w:p>
      <w:pPr>
        <w:spacing w:line="540" w:lineRule="exact"/>
        <w:ind w:firstLine="560" w:firstLineChars="200"/>
        <w:rPr>
          <w:rFonts w:ascii="宋体"/>
          <w:sz w:val="28"/>
          <w:szCs w:val="28"/>
        </w:rPr>
      </w:pPr>
      <w:r>
        <w:rPr>
          <w:rFonts w:hint="eastAsia" w:ascii="宋体" w:hAnsi="宋体"/>
          <w:sz w:val="28"/>
          <w:szCs w:val="28"/>
        </w:rPr>
        <w:t>（二）上述文件互相补充和解释，如有不明确或不一致之处，以上述次序在先者为准；同一次序的文件以时间在后的为准。</w:t>
      </w:r>
    </w:p>
    <w:p>
      <w:pPr>
        <w:spacing w:line="540" w:lineRule="exact"/>
        <w:ind w:firstLine="562" w:firstLineChars="200"/>
        <w:rPr>
          <w:rFonts w:ascii="宋体"/>
          <w:b/>
          <w:sz w:val="28"/>
          <w:szCs w:val="28"/>
        </w:rPr>
      </w:pPr>
      <w:r>
        <w:rPr>
          <w:rFonts w:hint="eastAsia" w:ascii="宋体" w:hAnsi="宋体"/>
          <w:b/>
          <w:sz w:val="28"/>
          <w:szCs w:val="28"/>
        </w:rPr>
        <w:t>二、项目内容和要求</w:t>
      </w:r>
    </w:p>
    <w:p>
      <w:pPr>
        <w:spacing w:line="540" w:lineRule="exact"/>
        <w:ind w:firstLine="420" w:firstLineChars="150"/>
        <w:rPr>
          <w:rFonts w:ascii="宋体"/>
          <w:sz w:val="28"/>
          <w:szCs w:val="28"/>
        </w:rPr>
      </w:pPr>
      <w:r>
        <w:rPr>
          <w:rFonts w:hint="eastAsia" w:ascii="宋体" w:hAnsi="宋体"/>
          <w:sz w:val="28"/>
          <w:szCs w:val="28"/>
        </w:rPr>
        <w:t>（一）项目内容、范围</w:t>
      </w:r>
    </w:p>
    <w:p>
      <w:pPr>
        <w:widowControl/>
        <w:spacing w:line="540" w:lineRule="exact"/>
        <w:ind w:firstLine="560" w:firstLineChars="200"/>
        <w:jc w:val="left"/>
        <w:rPr>
          <w:rFonts w:ascii="宋体" w:hAnsi="宋体"/>
          <w:sz w:val="28"/>
          <w:szCs w:val="28"/>
        </w:rPr>
      </w:pPr>
      <w:r>
        <w:rPr>
          <w:rFonts w:hint="eastAsia" w:ascii="宋体" w:hAnsi="宋体"/>
          <w:sz w:val="28"/>
          <w:szCs w:val="28"/>
        </w:rPr>
        <w:t>对南宁慧泊停车场服务有限责任公司2020年至2022年经营情况进行分析，包括：</w:t>
      </w:r>
    </w:p>
    <w:p>
      <w:pPr>
        <w:widowControl/>
        <w:spacing w:line="540" w:lineRule="exact"/>
        <w:ind w:firstLine="560" w:firstLineChars="200"/>
        <w:jc w:val="left"/>
        <w:rPr>
          <w:rFonts w:ascii="宋体" w:hAnsi="宋体"/>
          <w:sz w:val="28"/>
          <w:szCs w:val="28"/>
        </w:rPr>
      </w:pPr>
      <w:r>
        <w:rPr>
          <w:rFonts w:hint="eastAsia" w:ascii="宋体" w:hAnsi="宋体"/>
          <w:sz w:val="28"/>
          <w:szCs w:val="28"/>
        </w:rPr>
        <w:t>1.经营总体情况分析，包括主要财务指标和经营指标分析，与行业平均水平及龙头企业对比；重点关注企业盈利水平分析，与同等城市行业水平的对比分析；</w:t>
      </w:r>
    </w:p>
    <w:p>
      <w:pPr>
        <w:widowControl/>
        <w:spacing w:line="540" w:lineRule="exact"/>
        <w:ind w:firstLine="560" w:firstLineChars="200"/>
        <w:jc w:val="left"/>
        <w:rPr>
          <w:rFonts w:ascii="宋体" w:hAnsi="宋体"/>
          <w:sz w:val="28"/>
          <w:szCs w:val="28"/>
        </w:rPr>
      </w:pPr>
      <w:r>
        <w:rPr>
          <w:rFonts w:hint="eastAsia" w:ascii="宋体" w:hAnsi="宋体"/>
          <w:sz w:val="28"/>
          <w:szCs w:val="28"/>
        </w:rPr>
        <w:t>2.主营业务收入、毛利分析，包括结构、规模及增减变动原因分析，与行业平均水平及龙头企业对比；重点关注主营业务收入的完整性分析；</w:t>
      </w:r>
    </w:p>
    <w:p>
      <w:pPr>
        <w:widowControl/>
        <w:spacing w:line="540" w:lineRule="exact"/>
        <w:ind w:firstLine="560" w:firstLineChars="200"/>
        <w:jc w:val="left"/>
        <w:rPr>
          <w:rFonts w:ascii="宋体" w:hAnsi="宋体"/>
          <w:sz w:val="28"/>
          <w:szCs w:val="28"/>
        </w:rPr>
      </w:pPr>
      <w:r>
        <w:rPr>
          <w:rFonts w:hint="eastAsia" w:ascii="宋体" w:hAnsi="宋体"/>
          <w:sz w:val="28"/>
          <w:szCs w:val="28"/>
        </w:rPr>
        <w:t>3.其他业务收入、毛利分析，包括结构、规模及增减变动原因分析；重点关注其他业务收入的完整性分析；</w:t>
      </w:r>
    </w:p>
    <w:p>
      <w:pPr>
        <w:widowControl/>
        <w:spacing w:line="540" w:lineRule="exact"/>
        <w:ind w:firstLine="560" w:firstLineChars="200"/>
        <w:jc w:val="left"/>
        <w:rPr>
          <w:rFonts w:ascii="宋体" w:hAnsi="宋体"/>
          <w:sz w:val="28"/>
          <w:szCs w:val="28"/>
        </w:rPr>
      </w:pPr>
      <w:r>
        <w:rPr>
          <w:rFonts w:hint="eastAsia" w:ascii="宋体" w:hAnsi="宋体"/>
          <w:sz w:val="28"/>
          <w:szCs w:val="28"/>
        </w:rPr>
        <w:t>4.主营业务成本、其他业务成本分析，包括结构、规模及增减变动原因分析，与行业平均水平及龙头企业对比；重点关注相关成本的真实性与合理性分析；重点关注企业经营权确认与摊销的正确性；</w:t>
      </w:r>
    </w:p>
    <w:p>
      <w:pPr>
        <w:widowControl/>
        <w:spacing w:line="540" w:lineRule="exact"/>
        <w:ind w:firstLine="560" w:firstLineChars="200"/>
        <w:jc w:val="left"/>
        <w:rPr>
          <w:rFonts w:ascii="宋体" w:hAnsi="宋体"/>
          <w:sz w:val="28"/>
          <w:szCs w:val="28"/>
        </w:rPr>
      </w:pPr>
      <w:r>
        <w:rPr>
          <w:rFonts w:hint="eastAsia" w:ascii="宋体" w:hAnsi="宋体"/>
          <w:sz w:val="28"/>
          <w:szCs w:val="28"/>
        </w:rPr>
        <w:t>5.销售费用、管理费用、财务费用分析，包括结构、规模及增减变动原因分析，与行业平均水平及龙头企业对比；重点关注相关费用的真实性与合理性分析；</w:t>
      </w:r>
    </w:p>
    <w:p>
      <w:pPr>
        <w:widowControl/>
        <w:spacing w:line="540" w:lineRule="exact"/>
        <w:ind w:firstLine="560" w:firstLineChars="200"/>
        <w:jc w:val="left"/>
        <w:rPr>
          <w:rFonts w:ascii="宋体" w:hAnsi="宋体"/>
          <w:sz w:val="28"/>
          <w:szCs w:val="28"/>
        </w:rPr>
      </w:pPr>
      <w:r>
        <w:rPr>
          <w:rFonts w:hint="eastAsia" w:ascii="宋体" w:hAnsi="宋体"/>
          <w:sz w:val="28"/>
          <w:szCs w:val="28"/>
        </w:rPr>
        <w:t>6.营业外收支结构、规模及变动分析；</w:t>
      </w:r>
    </w:p>
    <w:p>
      <w:pPr>
        <w:widowControl/>
        <w:spacing w:line="540" w:lineRule="exact"/>
        <w:ind w:firstLine="560" w:firstLineChars="200"/>
        <w:jc w:val="left"/>
        <w:rPr>
          <w:rFonts w:ascii="宋体" w:hAnsi="宋体"/>
          <w:sz w:val="28"/>
          <w:szCs w:val="28"/>
        </w:rPr>
      </w:pPr>
      <w:r>
        <w:rPr>
          <w:rFonts w:hint="eastAsia" w:ascii="宋体" w:hAnsi="宋体"/>
          <w:sz w:val="28"/>
          <w:szCs w:val="28"/>
        </w:rPr>
        <w:t>7.现金流管理情况分析，包括经营、投资、筹资活动现金流入和流出情况，现金流的规模和结构，流入资金的主要来源，流出资金的主要用途，各年度对现金流产生重大影响的事项，关联方资金拆借情况，与行业平均水平及龙头企业对比；</w:t>
      </w:r>
    </w:p>
    <w:p>
      <w:pPr>
        <w:widowControl/>
        <w:spacing w:line="540" w:lineRule="exact"/>
        <w:ind w:firstLine="560" w:firstLineChars="200"/>
        <w:jc w:val="left"/>
        <w:rPr>
          <w:rFonts w:ascii="宋体" w:hAnsi="宋体"/>
          <w:sz w:val="28"/>
          <w:szCs w:val="28"/>
        </w:rPr>
      </w:pPr>
      <w:r>
        <w:rPr>
          <w:rFonts w:hint="eastAsia" w:ascii="宋体" w:hAnsi="宋体"/>
          <w:sz w:val="28"/>
          <w:szCs w:val="28"/>
        </w:rPr>
        <w:t>8.主要资产，负债分析，包括明细构成、规模及增减变动分析，资产和负债完整性，资产负债率，资产和负债周转率，资产减值风险，偿债能力及债务风险，与行业平均水平及龙头企业对比；</w:t>
      </w:r>
    </w:p>
    <w:p>
      <w:pPr>
        <w:widowControl/>
        <w:spacing w:line="540" w:lineRule="exact"/>
        <w:ind w:firstLine="560" w:firstLineChars="200"/>
        <w:jc w:val="left"/>
        <w:rPr>
          <w:rFonts w:ascii="宋体" w:hAnsi="宋体"/>
          <w:sz w:val="28"/>
          <w:szCs w:val="28"/>
        </w:rPr>
      </w:pPr>
      <w:r>
        <w:rPr>
          <w:rFonts w:hint="eastAsia" w:ascii="宋体" w:hAnsi="宋体"/>
          <w:sz w:val="28"/>
          <w:szCs w:val="28"/>
        </w:rPr>
        <w:t>9.资产经营管理效率分析，包括重大经济项目的投资、建设、运营管理及效益情况（含软件），各类型、各区域资产利用效率、资产收益、经营款收支情况分析、资产单位产出等；重点对停车费实收率进行分析，并与行业优秀水平进行分析；</w:t>
      </w:r>
    </w:p>
    <w:p>
      <w:pPr>
        <w:widowControl/>
        <w:spacing w:line="540" w:lineRule="exact"/>
        <w:ind w:firstLine="560" w:firstLineChars="200"/>
        <w:jc w:val="left"/>
        <w:rPr>
          <w:rFonts w:ascii="宋体" w:hAnsi="宋体"/>
          <w:sz w:val="28"/>
          <w:szCs w:val="28"/>
        </w:rPr>
      </w:pPr>
      <w:r>
        <w:rPr>
          <w:rFonts w:hint="eastAsia" w:ascii="宋体" w:hAnsi="宋体"/>
          <w:sz w:val="28"/>
          <w:szCs w:val="28"/>
        </w:rPr>
        <w:t>10.资本结构分析，包括资本来源，出资方式，资本利用情况，资本和资产结构配置，资本回报情况（含债务资本和权益资本）；</w:t>
      </w:r>
    </w:p>
    <w:p>
      <w:pPr>
        <w:widowControl/>
        <w:spacing w:line="540" w:lineRule="exact"/>
        <w:ind w:firstLine="560" w:firstLineChars="200"/>
        <w:jc w:val="left"/>
        <w:rPr>
          <w:rFonts w:ascii="宋体" w:hAnsi="宋体"/>
          <w:sz w:val="28"/>
          <w:szCs w:val="28"/>
        </w:rPr>
      </w:pPr>
      <w:r>
        <w:rPr>
          <w:rFonts w:hint="eastAsia" w:ascii="宋体" w:hAnsi="宋体"/>
          <w:sz w:val="28"/>
          <w:szCs w:val="28"/>
        </w:rPr>
        <w:t>11.人工效率分析，包括人员规模、人员结构、人员成本、人均成本、人均产出分析，与行业平均水平及龙头企业对比；重点关注泊车位管理员劳动效率分析、岗位设置合理性分析、劳务外包的成本效益性分析；</w:t>
      </w:r>
    </w:p>
    <w:p>
      <w:pPr>
        <w:widowControl/>
        <w:spacing w:line="540" w:lineRule="exact"/>
        <w:ind w:firstLine="560" w:firstLineChars="200"/>
        <w:jc w:val="left"/>
        <w:rPr>
          <w:rFonts w:ascii="宋体" w:hAnsi="宋体"/>
          <w:sz w:val="28"/>
          <w:szCs w:val="28"/>
        </w:rPr>
      </w:pPr>
      <w:r>
        <w:rPr>
          <w:rFonts w:hint="eastAsia" w:ascii="宋体" w:hAnsi="宋体"/>
          <w:sz w:val="28"/>
          <w:szCs w:val="28"/>
        </w:rPr>
        <w:t>12.持续经营能力分析，包括行业现状，公司面临的主要风险、机遇与挑战，压力测试；</w:t>
      </w:r>
    </w:p>
    <w:p>
      <w:pPr>
        <w:widowControl/>
        <w:spacing w:line="540" w:lineRule="exact"/>
        <w:ind w:firstLine="560" w:firstLineChars="200"/>
        <w:jc w:val="left"/>
        <w:rPr>
          <w:rFonts w:ascii="宋体" w:hAnsi="宋体"/>
          <w:sz w:val="28"/>
          <w:szCs w:val="28"/>
        </w:rPr>
      </w:pPr>
      <w:r>
        <w:rPr>
          <w:rFonts w:hint="eastAsia" w:ascii="宋体" w:hAnsi="宋体"/>
          <w:sz w:val="28"/>
          <w:szCs w:val="28"/>
        </w:rPr>
        <w:t>13.缴纳税费分析，重点关注增值税、所得税各年度缴纳规模，应缴和实缴情况，税费减免情况；</w:t>
      </w:r>
    </w:p>
    <w:p>
      <w:pPr>
        <w:widowControl/>
        <w:spacing w:line="540" w:lineRule="exact"/>
        <w:ind w:firstLine="560" w:firstLineChars="200"/>
        <w:jc w:val="left"/>
        <w:rPr>
          <w:rFonts w:ascii="宋体" w:hAnsi="宋体"/>
          <w:sz w:val="28"/>
          <w:szCs w:val="28"/>
        </w:rPr>
      </w:pPr>
      <w:r>
        <w:rPr>
          <w:rFonts w:hint="eastAsia" w:ascii="宋体" w:hAnsi="宋体"/>
          <w:sz w:val="28"/>
          <w:szCs w:val="28"/>
        </w:rPr>
        <w:t>14.企业经营提质增效措施有效性，重点关注成本费用压控、“两金”压降、“两非”剥离、“两资”清理等进展情况；重点对企业应收停车费进行分析，关注应收停车费的拖欠和清收情况；</w:t>
      </w:r>
    </w:p>
    <w:p>
      <w:pPr>
        <w:widowControl/>
        <w:spacing w:line="540" w:lineRule="exact"/>
        <w:ind w:firstLine="560" w:firstLineChars="200"/>
        <w:jc w:val="left"/>
        <w:rPr>
          <w:rFonts w:hint="eastAsia" w:ascii="宋体" w:hAnsi="宋体"/>
          <w:sz w:val="28"/>
          <w:szCs w:val="28"/>
        </w:rPr>
      </w:pPr>
      <w:r>
        <w:rPr>
          <w:rFonts w:hint="eastAsia" w:ascii="宋体" w:hAnsi="宋体"/>
          <w:sz w:val="28"/>
          <w:szCs w:val="28"/>
        </w:rPr>
        <w:t>15.有关目标责任制完成情况；</w:t>
      </w:r>
    </w:p>
    <w:p>
      <w:pPr>
        <w:widowControl/>
        <w:spacing w:line="540" w:lineRule="exact"/>
        <w:ind w:firstLine="560" w:firstLineChars="200"/>
        <w:jc w:val="left"/>
        <w:rPr>
          <w:rFonts w:hint="eastAsia" w:ascii="宋体" w:hAnsi="宋体"/>
          <w:sz w:val="28"/>
          <w:szCs w:val="28"/>
        </w:rPr>
      </w:pPr>
      <w:r>
        <w:rPr>
          <w:rFonts w:hint="eastAsia" w:ascii="宋体" w:hAnsi="宋体"/>
          <w:sz w:val="28"/>
          <w:szCs w:val="28"/>
          <w:lang w:val="en-US" w:eastAsia="zh-CN"/>
        </w:rPr>
        <w:t>16.</w:t>
      </w:r>
      <w:r>
        <w:rPr>
          <w:rFonts w:hint="eastAsia" w:ascii="宋体" w:hAnsi="宋体"/>
          <w:sz w:val="28"/>
          <w:szCs w:val="28"/>
        </w:rPr>
        <w:t>管理优化建议；</w:t>
      </w:r>
    </w:p>
    <w:p>
      <w:pPr>
        <w:widowControl/>
        <w:spacing w:line="540" w:lineRule="exact"/>
        <w:ind w:firstLine="560" w:firstLineChars="200"/>
        <w:jc w:val="left"/>
        <w:rPr>
          <w:rFonts w:hint="eastAsia" w:ascii="宋体" w:hAnsi="宋体"/>
          <w:sz w:val="28"/>
          <w:szCs w:val="28"/>
        </w:rPr>
      </w:pPr>
      <w:r>
        <w:rPr>
          <w:rFonts w:hint="eastAsia" w:ascii="宋体" w:hAnsi="宋体"/>
          <w:sz w:val="28"/>
          <w:szCs w:val="28"/>
          <w:lang w:val="en-US" w:eastAsia="zh-CN"/>
        </w:rPr>
        <w:t>17.</w:t>
      </w:r>
      <w:r>
        <w:rPr>
          <w:rFonts w:hint="eastAsia" w:ascii="宋体" w:hAnsi="宋体"/>
          <w:sz w:val="28"/>
          <w:szCs w:val="28"/>
        </w:rPr>
        <w:t>其他需要的内容。</w:t>
      </w:r>
    </w:p>
    <w:p>
      <w:pPr>
        <w:widowControl/>
        <w:spacing w:line="540" w:lineRule="exact"/>
        <w:ind w:firstLine="420" w:firstLineChars="150"/>
        <w:jc w:val="left"/>
        <w:rPr>
          <w:rFonts w:ascii="宋体" w:hAnsi="宋体"/>
          <w:sz w:val="28"/>
          <w:szCs w:val="28"/>
        </w:rPr>
      </w:pPr>
      <w:r>
        <w:rPr>
          <w:rFonts w:hint="eastAsia" w:ascii="宋体" w:hAnsi="宋体"/>
          <w:sz w:val="28"/>
          <w:szCs w:val="28"/>
        </w:rPr>
        <w:t>（二）项目要求及成果</w:t>
      </w:r>
    </w:p>
    <w:p>
      <w:pPr>
        <w:widowControl/>
        <w:spacing w:line="540" w:lineRule="exact"/>
        <w:ind w:firstLine="420" w:firstLineChars="150"/>
        <w:jc w:val="left"/>
        <w:rPr>
          <w:rFonts w:ascii="宋体" w:hAnsi="宋体"/>
          <w:sz w:val="28"/>
          <w:szCs w:val="28"/>
        </w:rPr>
      </w:pPr>
      <w:r>
        <w:rPr>
          <w:rFonts w:hint="eastAsia" w:ascii="宋体" w:hAnsi="宋体"/>
          <w:sz w:val="28"/>
          <w:szCs w:val="28"/>
        </w:rPr>
        <w:t>根据《中华人民共和国企业国有资产法》《企业国有资产监督管理暂行条例》《南宁市企业国有资产监督管理暂行办法》《南宁市国资委关于印发监管企业违规经营投资责任追究实施办法（试行）的通知》的规定和要求及其他相关法律法规，以及南宁轨道交通集团有限责任公司相关制度开展工作，对南宁慧泊停车场服务有限责任公司2020年至2022年经营情况进行分析，出具南宁慧泊停车场服务有限责任公司2020年至2022年经营情况分析报告，并经南宁轨道交通集团有限责任公司审批通过。</w:t>
      </w:r>
    </w:p>
    <w:p>
      <w:pPr>
        <w:spacing w:line="540" w:lineRule="exact"/>
        <w:ind w:firstLine="562" w:firstLineChars="200"/>
        <w:rPr>
          <w:rFonts w:ascii="宋体"/>
          <w:b/>
          <w:sz w:val="28"/>
          <w:szCs w:val="28"/>
        </w:rPr>
      </w:pPr>
      <w:r>
        <w:rPr>
          <w:rFonts w:hint="eastAsia" w:ascii="宋体" w:hAnsi="宋体"/>
          <w:b/>
          <w:sz w:val="28"/>
          <w:szCs w:val="28"/>
        </w:rPr>
        <w:t>三、乙方权利义务</w:t>
      </w:r>
    </w:p>
    <w:p>
      <w:pPr>
        <w:spacing w:line="540" w:lineRule="exact"/>
        <w:ind w:firstLine="420" w:firstLineChars="150"/>
        <w:rPr>
          <w:rFonts w:ascii="宋体"/>
          <w:b/>
          <w:sz w:val="28"/>
          <w:szCs w:val="28"/>
        </w:rPr>
      </w:pPr>
      <w:r>
        <w:rPr>
          <w:rFonts w:hint="eastAsia" w:ascii="宋体" w:hAnsi="宋体"/>
          <w:sz w:val="28"/>
          <w:szCs w:val="28"/>
        </w:rPr>
        <w:t>（一）乙方应按照《中华人民共和国企业国有资产法》《企业国有资产监督管理暂行条例》《南宁市企业国有资产监督管理暂行办法》《南宁市国资委关于印发监管企业违规经营投资责任追究实施办法（试行）的通知》等法律法规的要求，对被分析单位提供的会计报表及其他有关资料，实施必要的工作程序，在约定时间内出具南宁慧泊停车场服务有限责任公司2020年至2022年经营情况分析报告</w:t>
      </w:r>
      <w:r>
        <w:rPr>
          <w:rFonts w:hint="eastAsia" w:ascii="宋体" w:hAnsi="宋体"/>
          <w:b/>
          <w:sz w:val="28"/>
          <w:szCs w:val="28"/>
          <w:u w:val="single"/>
        </w:rPr>
        <w:t>一式6份</w:t>
      </w:r>
      <w:r>
        <w:rPr>
          <w:rFonts w:hint="eastAsia" w:ascii="宋体" w:hAnsi="宋体"/>
          <w:sz w:val="28"/>
          <w:szCs w:val="28"/>
        </w:rPr>
        <w:t>，报告格式和内容要符合相关规定要求；乙方应当保证分析报告的真实性、合法性、准确性，由于分析报告不真实、不合法、不完整或不符合相关规定要求导致甲方受到损失的，乙方应当承担赔偿责任。</w:t>
      </w:r>
    </w:p>
    <w:p>
      <w:pPr>
        <w:spacing w:line="540" w:lineRule="exact"/>
        <w:ind w:firstLine="420" w:firstLineChars="150"/>
        <w:rPr>
          <w:rFonts w:ascii="宋体"/>
          <w:sz w:val="28"/>
          <w:szCs w:val="28"/>
        </w:rPr>
      </w:pPr>
      <w:r>
        <w:rPr>
          <w:rFonts w:hint="eastAsia" w:ascii="宋体" w:hAnsi="宋体"/>
          <w:sz w:val="28"/>
          <w:szCs w:val="28"/>
        </w:rPr>
        <w:t>（二）乙方对在执行业务过程中知悉的商业秘密负有保密义务。除法律另有规定者外，未经甲方及被分析单位书面同意，乙方不得将相关资料和信息对外公开或泄露给第三方。</w:t>
      </w:r>
    </w:p>
    <w:p>
      <w:pPr>
        <w:spacing w:line="540" w:lineRule="exact"/>
        <w:ind w:firstLine="420" w:firstLineChars="150"/>
        <w:rPr>
          <w:rFonts w:ascii="宋体"/>
          <w:sz w:val="28"/>
          <w:szCs w:val="28"/>
        </w:rPr>
      </w:pPr>
      <w:r>
        <w:rPr>
          <w:rFonts w:hint="eastAsia" w:ascii="宋体" w:hAnsi="宋体"/>
          <w:sz w:val="28"/>
          <w:szCs w:val="28"/>
        </w:rPr>
        <w:t>（三）乙方应在本合同签订</w:t>
      </w:r>
      <w:r>
        <w:rPr>
          <w:rFonts w:ascii="宋体" w:hAnsi="宋体"/>
          <w:b/>
          <w:sz w:val="28"/>
          <w:szCs w:val="28"/>
          <w:u w:val="single"/>
        </w:rPr>
        <w:t xml:space="preserve"> </w:t>
      </w:r>
      <w:r>
        <w:rPr>
          <w:rFonts w:hint="eastAsia" w:ascii="宋体" w:hAnsi="宋体"/>
          <w:b/>
          <w:sz w:val="28"/>
          <w:szCs w:val="28"/>
          <w:u w:val="single"/>
        </w:rPr>
        <w:t>5个工作日</w:t>
      </w:r>
      <w:r>
        <w:rPr>
          <w:rFonts w:ascii="宋体" w:hAnsi="宋体"/>
          <w:b/>
          <w:sz w:val="28"/>
          <w:szCs w:val="28"/>
          <w:u w:val="single"/>
        </w:rPr>
        <w:t xml:space="preserve"> </w:t>
      </w:r>
      <w:r>
        <w:rPr>
          <w:rFonts w:hint="eastAsia" w:ascii="宋体" w:hAnsi="宋体"/>
          <w:sz w:val="28"/>
          <w:szCs w:val="28"/>
        </w:rPr>
        <w:t>内向甲方提交需要提供的资料清单，否则由此造成的工作延误的责任由乙方承担。</w:t>
      </w:r>
    </w:p>
    <w:p>
      <w:pPr>
        <w:spacing w:line="540" w:lineRule="exact"/>
        <w:ind w:firstLine="420" w:firstLineChars="150"/>
        <w:rPr>
          <w:rFonts w:ascii="宋体"/>
          <w:sz w:val="28"/>
          <w:szCs w:val="28"/>
        </w:rPr>
      </w:pPr>
      <w:r>
        <w:rPr>
          <w:rFonts w:hint="eastAsia" w:ascii="宋体" w:hAnsi="宋体"/>
          <w:sz w:val="28"/>
          <w:szCs w:val="28"/>
        </w:rPr>
        <w:t>（四）乙方应按照要求指派足够具有相应业务资格的人员负责本次业务，明确项目人员名单，并将人员名单及人员资质等资料作为报告附件，确保按约定时间和质量完成工作并出具</w:t>
      </w:r>
      <w:r>
        <w:rPr>
          <w:rFonts w:hint="eastAsia" w:ascii="宋体" w:hAnsi="宋体"/>
          <w:sz w:val="28"/>
          <w:szCs w:val="28"/>
          <w:lang w:val="en-US" w:eastAsia="zh-CN"/>
        </w:rPr>
        <w:t>分析</w:t>
      </w:r>
      <w:r>
        <w:rPr>
          <w:rFonts w:hint="eastAsia" w:ascii="宋体" w:hAnsi="宋体"/>
          <w:sz w:val="28"/>
          <w:szCs w:val="28"/>
        </w:rPr>
        <w:t>报告，不得转让或转包本合同权利义务。</w:t>
      </w:r>
    </w:p>
    <w:p>
      <w:pPr>
        <w:spacing w:line="540" w:lineRule="exact"/>
        <w:ind w:firstLine="420" w:firstLineChars="150"/>
        <w:rPr>
          <w:rFonts w:ascii="宋体"/>
          <w:color w:val="auto"/>
          <w:sz w:val="28"/>
          <w:szCs w:val="28"/>
        </w:rPr>
      </w:pPr>
      <w:r>
        <w:rPr>
          <w:rFonts w:hint="eastAsia" w:ascii="宋体" w:hAnsi="宋体"/>
          <w:color w:val="auto"/>
          <w:sz w:val="28"/>
          <w:szCs w:val="28"/>
        </w:rPr>
        <w:t>（五）项目开展过程中乙方根据甲方要求，参与召开不少于以下会议，进点会、沟通会、撤点会、征求意见沟通会。</w:t>
      </w:r>
    </w:p>
    <w:p>
      <w:pPr>
        <w:spacing w:line="540" w:lineRule="exact"/>
        <w:ind w:firstLine="420" w:firstLineChars="150"/>
        <w:rPr>
          <w:rFonts w:ascii="宋体" w:hAnsi="宋体"/>
          <w:color w:val="auto"/>
          <w:sz w:val="28"/>
          <w:szCs w:val="28"/>
        </w:rPr>
      </w:pPr>
      <w:r>
        <w:rPr>
          <w:rFonts w:hint="eastAsia" w:ascii="宋体" w:hAnsi="宋体"/>
          <w:color w:val="auto"/>
          <w:sz w:val="28"/>
          <w:szCs w:val="28"/>
        </w:rPr>
        <w:t>（六）正式报告出具前，乙方向甲方提供包括但不限于完整的工作底稿等</w:t>
      </w:r>
      <w:r>
        <w:rPr>
          <w:rFonts w:hint="eastAsia" w:ascii="宋体" w:hAnsi="宋体"/>
          <w:color w:val="auto"/>
          <w:sz w:val="28"/>
          <w:szCs w:val="28"/>
          <w:lang w:val="en-US" w:eastAsia="zh-CN"/>
        </w:rPr>
        <w:t>资料</w:t>
      </w:r>
      <w:r>
        <w:rPr>
          <w:rFonts w:hint="eastAsia" w:ascii="宋体" w:hAnsi="宋体"/>
          <w:color w:val="auto"/>
          <w:sz w:val="28"/>
          <w:szCs w:val="28"/>
        </w:rPr>
        <w:t>作为</w:t>
      </w:r>
      <w:r>
        <w:rPr>
          <w:rFonts w:hint="eastAsia" w:ascii="宋体" w:hAnsi="宋体"/>
          <w:color w:val="auto"/>
          <w:sz w:val="28"/>
          <w:szCs w:val="28"/>
          <w:lang w:val="en-US" w:eastAsia="zh-CN"/>
        </w:rPr>
        <w:t>项目归档</w:t>
      </w:r>
      <w:r>
        <w:rPr>
          <w:rFonts w:hint="eastAsia" w:ascii="宋体" w:hAnsi="宋体"/>
          <w:color w:val="auto"/>
          <w:sz w:val="28"/>
          <w:szCs w:val="28"/>
        </w:rPr>
        <w:t>档案。</w:t>
      </w:r>
    </w:p>
    <w:p>
      <w:pPr>
        <w:spacing w:line="540" w:lineRule="exact"/>
        <w:ind w:firstLine="420" w:firstLineChars="150"/>
        <w:rPr>
          <w:rFonts w:ascii="宋体"/>
          <w:sz w:val="28"/>
          <w:szCs w:val="28"/>
        </w:rPr>
      </w:pPr>
      <w:r>
        <w:rPr>
          <w:rFonts w:hint="eastAsia" w:ascii="宋体" w:hAnsi="宋体"/>
          <w:sz w:val="28"/>
          <w:szCs w:val="28"/>
        </w:rPr>
        <w:t>（七）如因乙方原因导致出具的报告不合格的，乙方应当负责修正直至合格为止，由此导致工作延误的责任由乙方承担。</w:t>
      </w:r>
    </w:p>
    <w:p>
      <w:pPr>
        <w:spacing w:line="540" w:lineRule="exact"/>
        <w:ind w:firstLine="562" w:firstLineChars="200"/>
        <w:rPr>
          <w:rFonts w:ascii="宋体"/>
          <w:b/>
          <w:sz w:val="28"/>
          <w:szCs w:val="28"/>
        </w:rPr>
      </w:pPr>
      <w:r>
        <w:rPr>
          <w:rFonts w:hint="eastAsia" w:ascii="宋体" w:hAnsi="宋体"/>
          <w:b/>
          <w:sz w:val="28"/>
          <w:szCs w:val="28"/>
        </w:rPr>
        <w:t>四、甲方权利义务</w:t>
      </w:r>
    </w:p>
    <w:p>
      <w:pPr>
        <w:spacing w:line="540" w:lineRule="exact"/>
        <w:ind w:firstLine="420" w:firstLineChars="150"/>
        <w:rPr>
          <w:rFonts w:ascii="宋体"/>
          <w:sz w:val="28"/>
          <w:szCs w:val="28"/>
        </w:rPr>
      </w:pPr>
      <w:r>
        <w:rPr>
          <w:rFonts w:hint="eastAsia" w:ascii="宋体" w:hAnsi="宋体"/>
          <w:sz w:val="28"/>
          <w:szCs w:val="28"/>
        </w:rPr>
        <w:t>（一）甲方应对乙方开展业务工作协调相关各方给予充分的合作，提供必要的条件，并按乙方的要求，协调相关各方提供业务所需的会计凭证、账册、报表以及其他在执业过程中所需要查看的各种文件资料，有权监督、指正乙方的工作。</w:t>
      </w:r>
    </w:p>
    <w:p>
      <w:pPr>
        <w:spacing w:line="540" w:lineRule="exact"/>
        <w:ind w:firstLine="420" w:firstLineChars="150"/>
        <w:rPr>
          <w:rFonts w:ascii="宋体"/>
          <w:sz w:val="28"/>
          <w:szCs w:val="28"/>
        </w:rPr>
      </w:pPr>
      <w:r>
        <w:rPr>
          <w:rFonts w:hint="eastAsia" w:ascii="宋体" w:hAnsi="宋体"/>
          <w:sz w:val="28"/>
          <w:szCs w:val="28"/>
        </w:rPr>
        <w:t>（二）乙方认为需要发函向有关部门询证时，甲方应当提供便利。</w:t>
      </w:r>
    </w:p>
    <w:p>
      <w:pPr>
        <w:spacing w:line="540" w:lineRule="exact"/>
        <w:ind w:firstLine="562" w:firstLineChars="200"/>
        <w:rPr>
          <w:rFonts w:ascii="宋体"/>
          <w:b/>
          <w:bCs/>
          <w:sz w:val="28"/>
          <w:szCs w:val="28"/>
        </w:rPr>
      </w:pPr>
      <w:r>
        <w:rPr>
          <w:rFonts w:hint="eastAsia" w:ascii="宋体" w:hAnsi="宋体"/>
          <w:b/>
          <w:bCs/>
          <w:sz w:val="28"/>
          <w:szCs w:val="28"/>
        </w:rPr>
        <w:t>五、工期进度要求</w:t>
      </w:r>
    </w:p>
    <w:p>
      <w:pPr>
        <w:tabs>
          <w:tab w:val="left" w:pos="720"/>
        </w:tabs>
        <w:spacing w:line="540" w:lineRule="exact"/>
        <w:ind w:firstLine="420" w:firstLineChars="150"/>
        <w:rPr>
          <w:rFonts w:ascii="宋体"/>
          <w:sz w:val="28"/>
          <w:szCs w:val="28"/>
        </w:rPr>
      </w:pPr>
      <w:r>
        <w:rPr>
          <w:rFonts w:hint="eastAsia" w:ascii="宋体" w:hAnsi="宋体"/>
          <w:sz w:val="28"/>
          <w:szCs w:val="28"/>
        </w:rPr>
        <w:t>（一）本合同生效之日起</w:t>
      </w:r>
      <w:r>
        <w:rPr>
          <w:rFonts w:ascii="宋体" w:hAnsi="宋体"/>
          <w:b/>
          <w:sz w:val="28"/>
          <w:szCs w:val="28"/>
          <w:u w:val="single"/>
        </w:rPr>
        <w:t xml:space="preserve"> </w:t>
      </w:r>
      <w:r>
        <w:rPr>
          <w:rFonts w:hint="eastAsia" w:ascii="宋体" w:hAnsi="宋体"/>
          <w:b/>
          <w:sz w:val="28"/>
          <w:szCs w:val="28"/>
          <w:u w:val="single"/>
        </w:rPr>
        <w:t>5个工作日内</w:t>
      </w:r>
      <w:r>
        <w:rPr>
          <w:rFonts w:ascii="宋体" w:hAnsi="宋体"/>
          <w:b/>
          <w:sz w:val="28"/>
          <w:szCs w:val="28"/>
          <w:u w:val="single"/>
        </w:rPr>
        <w:t xml:space="preserve"> </w:t>
      </w:r>
      <w:r>
        <w:rPr>
          <w:rFonts w:hint="eastAsia" w:ascii="宋体" w:hAnsi="宋体"/>
          <w:sz w:val="28"/>
          <w:szCs w:val="28"/>
        </w:rPr>
        <w:t>，项目组进场开展工作。</w:t>
      </w:r>
    </w:p>
    <w:p>
      <w:pPr>
        <w:tabs>
          <w:tab w:val="left" w:pos="720"/>
        </w:tabs>
        <w:spacing w:line="540" w:lineRule="exact"/>
        <w:ind w:firstLine="420" w:firstLineChars="150"/>
        <w:rPr>
          <w:rFonts w:ascii="宋体"/>
          <w:sz w:val="28"/>
          <w:szCs w:val="28"/>
        </w:rPr>
      </w:pPr>
      <w:r>
        <w:rPr>
          <w:rFonts w:hint="eastAsia" w:ascii="宋体" w:hAnsi="宋体"/>
          <w:sz w:val="28"/>
          <w:szCs w:val="28"/>
        </w:rPr>
        <w:t>（二）乙方项目组进场之日起</w:t>
      </w:r>
      <w:r>
        <w:rPr>
          <w:rFonts w:ascii="宋体" w:hAnsi="宋体"/>
          <w:sz w:val="28"/>
          <w:szCs w:val="28"/>
          <w:u w:val="single"/>
        </w:rPr>
        <w:t xml:space="preserve"> </w:t>
      </w:r>
      <w:r>
        <w:rPr>
          <w:rFonts w:hint="eastAsia" w:ascii="宋体" w:hAnsi="宋体"/>
          <w:b/>
          <w:sz w:val="28"/>
          <w:szCs w:val="28"/>
          <w:u w:val="single"/>
        </w:rPr>
        <w:t>30个工作日</w:t>
      </w:r>
      <w:r>
        <w:rPr>
          <w:rFonts w:ascii="宋体" w:hAnsi="宋体"/>
          <w:b/>
          <w:sz w:val="28"/>
          <w:szCs w:val="28"/>
          <w:u w:val="single"/>
        </w:rPr>
        <w:t xml:space="preserve"> </w:t>
      </w:r>
      <w:r>
        <w:rPr>
          <w:rFonts w:hint="eastAsia" w:ascii="宋体" w:hAnsi="宋体"/>
          <w:sz w:val="28"/>
          <w:szCs w:val="28"/>
        </w:rPr>
        <w:t>内出具分析报告初稿，征询甲方的意见，并根据甲方的意见进行修订或补充，经甲方审批通过后</w:t>
      </w:r>
      <w:r>
        <w:rPr>
          <w:rFonts w:ascii="宋体" w:hAnsi="宋体"/>
          <w:sz w:val="28"/>
          <w:szCs w:val="28"/>
          <w:u w:val="single"/>
        </w:rPr>
        <w:t xml:space="preserve"> </w:t>
      </w:r>
      <w:r>
        <w:rPr>
          <w:rFonts w:hint="eastAsia" w:ascii="宋体" w:hAnsi="宋体"/>
          <w:b/>
          <w:bCs/>
          <w:sz w:val="28"/>
          <w:szCs w:val="28"/>
          <w:u w:val="single"/>
        </w:rPr>
        <w:t>5个工作日</w:t>
      </w:r>
      <w:r>
        <w:rPr>
          <w:rFonts w:ascii="宋体" w:hAnsi="宋体"/>
          <w:b/>
          <w:bCs/>
          <w:sz w:val="28"/>
          <w:szCs w:val="28"/>
          <w:u w:val="single"/>
        </w:rPr>
        <w:t xml:space="preserve"> </w:t>
      </w:r>
      <w:r>
        <w:rPr>
          <w:rFonts w:hint="eastAsia" w:ascii="宋体" w:hAnsi="宋体"/>
          <w:sz w:val="28"/>
          <w:szCs w:val="28"/>
        </w:rPr>
        <w:t>内出具正式分析报告</w:t>
      </w:r>
      <w:r>
        <w:rPr>
          <w:rFonts w:ascii="宋体" w:hAnsi="宋体"/>
          <w:sz w:val="28"/>
          <w:szCs w:val="28"/>
          <w:u w:val="single"/>
        </w:rPr>
        <w:t xml:space="preserve"> </w:t>
      </w:r>
      <w:r>
        <w:rPr>
          <w:rFonts w:hint="eastAsia" w:ascii="宋体" w:hAnsi="宋体"/>
          <w:b/>
          <w:sz w:val="28"/>
          <w:szCs w:val="28"/>
          <w:u w:val="single"/>
        </w:rPr>
        <w:t>一式</w:t>
      </w:r>
      <w:r>
        <w:rPr>
          <w:rFonts w:ascii="宋体" w:hAnsi="宋体"/>
          <w:b/>
          <w:sz w:val="28"/>
          <w:szCs w:val="28"/>
          <w:u w:val="single"/>
        </w:rPr>
        <w:t xml:space="preserve"> </w:t>
      </w:r>
      <w:r>
        <w:rPr>
          <w:rFonts w:hint="eastAsia" w:ascii="宋体" w:hAnsi="宋体"/>
          <w:b/>
          <w:sz w:val="28"/>
          <w:szCs w:val="28"/>
          <w:u w:val="single"/>
          <w:lang w:val="en-US" w:eastAsia="zh-CN"/>
        </w:rPr>
        <w:t>6</w:t>
      </w:r>
      <w:r>
        <w:rPr>
          <w:rFonts w:ascii="宋体" w:hAnsi="宋体"/>
          <w:b/>
          <w:sz w:val="28"/>
          <w:szCs w:val="28"/>
          <w:u w:val="single"/>
        </w:rPr>
        <w:t xml:space="preserve"> </w:t>
      </w:r>
      <w:r>
        <w:rPr>
          <w:rFonts w:hint="eastAsia" w:ascii="宋体" w:hAnsi="宋体"/>
          <w:b/>
          <w:sz w:val="28"/>
          <w:szCs w:val="28"/>
          <w:u w:val="single"/>
        </w:rPr>
        <w:t>份</w:t>
      </w:r>
      <w:r>
        <w:rPr>
          <w:rFonts w:ascii="宋体" w:hAnsi="宋体"/>
          <w:b/>
          <w:sz w:val="28"/>
          <w:szCs w:val="28"/>
          <w:u w:val="single"/>
        </w:rPr>
        <w:t xml:space="preserve"> </w:t>
      </w:r>
      <w:r>
        <w:rPr>
          <w:rFonts w:hint="eastAsia" w:ascii="宋体" w:hAnsi="宋体"/>
          <w:sz w:val="28"/>
          <w:szCs w:val="28"/>
        </w:rPr>
        <w:t>和电子文档、扫描文档各一份。</w:t>
      </w:r>
    </w:p>
    <w:p>
      <w:pPr>
        <w:tabs>
          <w:tab w:val="left" w:pos="720"/>
        </w:tabs>
        <w:spacing w:line="540" w:lineRule="exact"/>
        <w:ind w:firstLine="562" w:firstLineChars="200"/>
        <w:rPr>
          <w:rFonts w:ascii="宋体"/>
          <w:b/>
          <w:sz w:val="28"/>
          <w:szCs w:val="28"/>
        </w:rPr>
      </w:pPr>
      <w:r>
        <w:rPr>
          <w:rFonts w:hint="eastAsia" w:ascii="宋体" w:hAnsi="宋体"/>
          <w:b/>
          <w:sz w:val="28"/>
          <w:szCs w:val="28"/>
        </w:rPr>
        <w:t>六、项目费用金额及支付</w:t>
      </w:r>
    </w:p>
    <w:p>
      <w:pPr>
        <w:spacing w:line="540" w:lineRule="exact"/>
        <w:ind w:firstLine="551" w:firstLineChars="197"/>
        <w:rPr>
          <w:rFonts w:ascii="宋体"/>
          <w:sz w:val="28"/>
          <w:szCs w:val="28"/>
        </w:rPr>
      </w:pPr>
      <w:r>
        <w:rPr>
          <w:rFonts w:hint="eastAsia" w:ascii="宋体" w:hAnsi="宋体"/>
          <w:sz w:val="28"/>
          <w:szCs w:val="28"/>
        </w:rPr>
        <w:t>本次分析业务的收费实行固定总价包干的原则，项目费用为人民币：不含税</w:t>
      </w:r>
      <w:r>
        <w:rPr>
          <w:rFonts w:ascii="宋体" w:hAnsi="宋体"/>
          <w:sz w:val="28"/>
          <w:szCs w:val="28"/>
          <w:u w:val="single"/>
        </w:rPr>
        <w:t xml:space="preserve">  </w:t>
      </w:r>
      <w:r>
        <w:rPr>
          <w:rFonts w:hint="eastAsia" w:ascii="宋体" w:hAnsi="宋体"/>
          <w:sz w:val="28"/>
          <w:szCs w:val="28"/>
          <w:u w:val="single"/>
        </w:rPr>
        <w:t xml:space="preserve">   </w:t>
      </w:r>
      <w:r>
        <w:rPr>
          <w:rFonts w:hint="eastAsia" w:ascii="宋体" w:hAnsi="宋体"/>
          <w:sz w:val="28"/>
          <w:szCs w:val="28"/>
        </w:rPr>
        <w:t>元，增值税税额</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rPr>
        <w:t>元（税率</w:t>
      </w:r>
      <w:r>
        <w:rPr>
          <w:rFonts w:ascii="宋体" w:hAnsi="宋体"/>
          <w:sz w:val="28"/>
          <w:szCs w:val="28"/>
        </w:rPr>
        <w:t xml:space="preserve"> </w:t>
      </w:r>
      <w:r>
        <w:rPr>
          <w:rFonts w:ascii="宋体" w:hAnsi="宋体"/>
          <w:sz w:val="28"/>
          <w:szCs w:val="28"/>
          <w:u w:val="single"/>
        </w:rPr>
        <w:t xml:space="preserve">    </w:t>
      </w:r>
      <w:r>
        <w:rPr>
          <w:rFonts w:hint="eastAsia" w:ascii="宋体" w:hAnsi="宋体"/>
          <w:sz w:val="28"/>
          <w:szCs w:val="28"/>
          <w:u w:val="single"/>
        </w:rPr>
        <w:t>%</w:t>
      </w:r>
      <w:r>
        <w:rPr>
          <w:rFonts w:hint="eastAsia" w:ascii="宋体" w:hAnsi="宋体"/>
          <w:sz w:val="28"/>
          <w:szCs w:val="28"/>
        </w:rPr>
        <w:t>），价税合计</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rPr>
        <w:t>元，合同不含税价格不因国家政策调整税率而调整。项目费用由</w:t>
      </w:r>
      <w:r>
        <w:rPr>
          <w:rFonts w:hint="eastAsia" w:ascii="宋体" w:hAnsi="宋体"/>
          <w:sz w:val="28"/>
          <w:szCs w:val="28"/>
          <w:u w:val="single"/>
        </w:rPr>
        <w:t>甲方</w:t>
      </w:r>
      <w:r>
        <w:rPr>
          <w:rFonts w:hint="eastAsia" w:ascii="宋体" w:hAnsi="宋体"/>
          <w:sz w:val="28"/>
          <w:szCs w:val="28"/>
        </w:rPr>
        <w:t>支付，自乙方出具分析报告（正式版），经</w:t>
      </w:r>
      <w:r>
        <w:rPr>
          <w:rFonts w:ascii="宋体" w:hAnsi="宋体"/>
          <w:sz w:val="28"/>
          <w:szCs w:val="28"/>
          <w:u w:val="single"/>
        </w:rPr>
        <w:t xml:space="preserve"> </w:t>
      </w:r>
      <w:r>
        <w:rPr>
          <w:rFonts w:hint="eastAsia" w:ascii="宋体" w:hAnsi="宋体"/>
          <w:sz w:val="28"/>
          <w:szCs w:val="28"/>
          <w:u w:val="single"/>
        </w:rPr>
        <w:t>甲方</w:t>
      </w:r>
      <w:r>
        <w:rPr>
          <w:rFonts w:ascii="宋体" w:hAnsi="宋体"/>
          <w:sz w:val="28"/>
          <w:szCs w:val="28"/>
          <w:u w:val="single"/>
        </w:rPr>
        <w:t xml:space="preserve"> </w:t>
      </w:r>
      <w:r>
        <w:rPr>
          <w:rFonts w:hint="eastAsia" w:ascii="宋体" w:hAnsi="宋体"/>
          <w:sz w:val="28"/>
          <w:szCs w:val="28"/>
        </w:rPr>
        <w:t>审批通过后</w:t>
      </w:r>
      <w:r>
        <w:rPr>
          <w:rFonts w:ascii="宋体" w:hAnsi="宋体"/>
          <w:sz w:val="28"/>
          <w:szCs w:val="28"/>
        </w:rPr>
        <w:t>30</w:t>
      </w:r>
      <w:r>
        <w:rPr>
          <w:rFonts w:hint="eastAsia" w:ascii="宋体" w:hAnsi="宋体"/>
          <w:sz w:val="28"/>
          <w:szCs w:val="28"/>
        </w:rPr>
        <w:t>个工作日内，完成计量结算手续并提供合法等额增值税专用发票后</w:t>
      </w:r>
      <w:r>
        <w:rPr>
          <w:rFonts w:ascii="宋体" w:hAnsi="宋体"/>
          <w:sz w:val="28"/>
          <w:szCs w:val="28"/>
        </w:rPr>
        <w:t>20</w:t>
      </w:r>
      <w:r>
        <w:rPr>
          <w:rFonts w:hint="eastAsia" w:ascii="宋体" w:hAnsi="宋体"/>
          <w:sz w:val="28"/>
          <w:szCs w:val="28"/>
        </w:rPr>
        <w:t>个工作日内一次性支付结算款。如乙方未足额提供增值税专用发票的，甲方有权顺延付款时间直至乙方补足发票之日止再起算付款时间。</w:t>
      </w:r>
    </w:p>
    <w:p>
      <w:pPr>
        <w:spacing w:line="540" w:lineRule="exact"/>
        <w:ind w:firstLine="551" w:firstLineChars="196"/>
        <w:rPr>
          <w:rFonts w:ascii="宋体"/>
          <w:sz w:val="28"/>
          <w:szCs w:val="28"/>
        </w:rPr>
      </w:pPr>
      <w:r>
        <w:rPr>
          <w:rFonts w:hint="eastAsia" w:ascii="宋体" w:hAnsi="宋体"/>
          <w:b/>
          <w:bCs/>
          <w:sz w:val="28"/>
          <w:szCs w:val="28"/>
        </w:rPr>
        <w:t>上述费用包括了项目费用以及项目开展过程中发生其他所有费用（包括但不限于税费、交通费、食宿费、差旅费等），除此之外，乙方不得向甲方或被分析单位另行收取任何费用</w:t>
      </w:r>
      <w:r>
        <w:rPr>
          <w:rFonts w:hint="eastAsia" w:ascii="宋体" w:hAnsi="宋体"/>
          <w:sz w:val="28"/>
          <w:szCs w:val="28"/>
        </w:rPr>
        <w:t>。</w:t>
      </w:r>
    </w:p>
    <w:p>
      <w:pPr>
        <w:spacing w:line="540" w:lineRule="exact"/>
        <w:ind w:firstLine="562" w:firstLineChars="200"/>
        <w:rPr>
          <w:rFonts w:ascii="宋体"/>
          <w:b/>
          <w:sz w:val="28"/>
          <w:szCs w:val="28"/>
        </w:rPr>
      </w:pPr>
      <w:r>
        <w:rPr>
          <w:rFonts w:hint="eastAsia" w:ascii="宋体" w:hAnsi="宋体"/>
          <w:b/>
          <w:sz w:val="28"/>
          <w:szCs w:val="28"/>
        </w:rPr>
        <w:t>七、违约责任</w:t>
      </w:r>
    </w:p>
    <w:p>
      <w:pPr>
        <w:spacing w:line="540" w:lineRule="exact"/>
        <w:ind w:firstLine="420" w:firstLineChars="150"/>
        <w:rPr>
          <w:rFonts w:ascii="宋体"/>
          <w:sz w:val="28"/>
          <w:szCs w:val="28"/>
        </w:rPr>
      </w:pPr>
      <w:r>
        <w:rPr>
          <w:rFonts w:hint="eastAsia" w:ascii="宋体" w:hAnsi="宋体"/>
          <w:sz w:val="28"/>
          <w:szCs w:val="28"/>
        </w:rPr>
        <w:t>（一）本合同正式签订生效后，任何一方不履行或不完全履行本合同约定条款的，即构成违约。任何一方违约不履行本合同，违约方应向守约方支付由于违约造成的一切损失。</w:t>
      </w:r>
    </w:p>
    <w:p>
      <w:pPr>
        <w:spacing w:line="540" w:lineRule="exact"/>
        <w:ind w:firstLine="420" w:firstLineChars="150"/>
        <w:rPr>
          <w:rFonts w:ascii="宋体"/>
          <w:sz w:val="28"/>
          <w:szCs w:val="28"/>
        </w:rPr>
      </w:pPr>
      <w:r>
        <w:rPr>
          <w:rFonts w:hint="eastAsia" w:ascii="宋体" w:hAnsi="宋体"/>
          <w:sz w:val="28"/>
          <w:szCs w:val="28"/>
        </w:rPr>
        <w:t>（二）如乙方不能按照本合同约定履行义务的，甲方有权直接解除合同，剩余项目费用不予支付。甲方有权视情形要求乙方退回已支付的全部或部分项目费用，给甲方造成其他损失的，乙方还应进行赔偿。若乙方延期交付分析报告初稿或正式版，甲方有权按照项目费用总额的千分之三</w:t>
      </w:r>
      <w:r>
        <w:rPr>
          <w:rFonts w:ascii="宋体" w:hAnsi="宋体"/>
          <w:sz w:val="28"/>
          <w:szCs w:val="28"/>
        </w:rPr>
        <w:t>/</w:t>
      </w:r>
      <w:r>
        <w:rPr>
          <w:rFonts w:hint="eastAsia" w:ascii="宋体" w:hAnsi="宋体"/>
          <w:sz w:val="28"/>
          <w:szCs w:val="28"/>
        </w:rPr>
        <w:t>每日</w:t>
      </w:r>
      <w:r>
        <w:rPr>
          <w:rFonts w:ascii="宋体" w:hAnsi="宋体"/>
          <w:sz w:val="28"/>
          <w:szCs w:val="28"/>
        </w:rPr>
        <w:t>*</w:t>
      </w:r>
      <w:r>
        <w:rPr>
          <w:rFonts w:hint="eastAsia" w:ascii="宋体" w:hAnsi="宋体"/>
          <w:sz w:val="28"/>
          <w:szCs w:val="28"/>
        </w:rPr>
        <w:t>（延期天数）向乙方收取违约金。</w:t>
      </w:r>
    </w:p>
    <w:p>
      <w:pPr>
        <w:spacing w:line="540" w:lineRule="exact"/>
        <w:ind w:firstLine="420" w:firstLineChars="150"/>
        <w:rPr>
          <w:rFonts w:ascii="宋体"/>
          <w:sz w:val="28"/>
          <w:szCs w:val="28"/>
        </w:rPr>
      </w:pPr>
      <w:r>
        <w:rPr>
          <w:rFonts w:hint="eastAsia" w:ascii="宋体" w:hAnsi="宋体"/>
          <w:sz w:val="28"/>
          <w:szCs w:val="28"/>
        </w:rPr>
        <w:t>（三）甲方无故逾期办理合同款支付手续的，甲方应按逾期付款总额每日万分之五向乙方支付违约金。</w:t>
      </w:r>
    </w:p>
    <w:p>
      <w:pPr>
        <w:spacing w:line="540" w:lineRule="exact"/>
        <w:ind w:firstLine="420" w:firstLineChars="150"/>
        <w:rPr>
          <w:rFonts w:ascii="宋体"/>
          <w:sz w:val="28"/>
          <w:szCs w:val="28"/>
        </w:rPr>
      </w:pPr>
      <w:r>
        <w:rPr>
          <w:rFonts w:hint="eastAsia" w:ascii="宋体" w:hAnsi="宋体"/>
          <w:sz w:val="28"/>
          <w:szCs w:val="28"/>
        </w:rPr>
        <w:t>（四）乙方不履行保密条款、过失或故意泄露其知悉的甲方保密事项或擅自在合同约定的工作内容之外使用甲方保密事项从而甲方造成损失的，乙方应承担相应的赔偿责任。</w:t>
      </w:r>
    </w:p>
    <w:p>
      <w:pPr>
        <w:spacing w:line="540" w:lineRule="exact"/>
        <w:ind w:firstLine="420" w:firstLineChars="150"/>
        <w:rPr>
          <w:rFonts w:ascii="宋体"/>
          <w:sz w:val="28"/>
          <w:szCs w:val="28"/>
        </w:rPr>
      </w:pPr>
      <w:r>
        <w:rPr>
          <w:rFonts w:hint="eastAsia" w:ascii="宋体" w:hAnsi="宋体"/>
          <w:sz w:val="28"/>
          <w:szCs w:val="28"/>
        </w:rPr>
        <w:t>（五）在本合同内确定的现场负责人原则上不予更换，若要更换需经得甲方同意，未经甲方同意而更换的，甲方可终止合同。现场负责人进驻现场工作时间不得少于</w:t>
      </w:r>
      <w:r>
        <w:rPr>
          <w:rFonts w:ascii="宋体" w:hAnsi="宋体"/>
          <w:sz w:val="28"/>
          <w:szCs w:val="28"/>
        </w:rPr>
        <w:t>10</w:t>
      </w:r>
      <w:r>
        <w:rPr>
          <w:rFonts w:hint="eastAsia" w:ascii="宋体" w:hAnsi="宋体"/>
          <w:sz w:val="28"/>
          <w:szCs w:val="28"/>
        </w:rPr>
        <w:t>个工作日，否则视为乙方违约，并处以</w:t>
      </w:r>
      <w:r>
        <w:rPr>
          <w:rFonts w:ascii="宋体" w:hAnsi="宋体"/>
          <w:sz w:val="28"/>
          <w:szCs w:val="28"/>
        </w:rPr>
        <w:t>5000</w:t>
      </w:r>
      <w:r>
        <w:rPr>
          <w:rFonts w:hint="eastAsia" w:ascii="宋体" w:hAnsi="宋体"/>
          <w:sz w:val="28"/>
          <w:szCs w:val="28"/>
        </w:rPr>
        <w:t>元的违约金。</w:t>
      </w:r>
    </w:p>
    <w:p>
      <w:pPr>
        <w:spacing w:line="540" w:lineRule="exact"/>
        <w:ind w:firstLine="420" w:firstLineChars="150"/>
        <w:rPr>
          <w:rFonts w:ascii="宋体"/>
          <w:sz w:val="28"/>
          <w:szCs w:val="28"/>
        </w:rPr>
      </w:pPr>
      <w:r>
        <w:rPr>
          <w:rFonts w:hint="eastAsia" w:ascii="宋体" w:hAnsi="宋体"/>
          <w:sz w:val="28"/>
          <w:szCs w:val="28"/>
        </w:rPr>
        <w:t>（六）在本合同内确定的项目团队人员不应更换，如未经甲方同意擅自更换项目团队人员的，甲方将视其违约，并处以</w:t>
      </w:r>
      <w:r>
        <w:rPr>
          <w:rFonts w:ascii="宋体" w:hAnsi="宋体"/>
          <w:sz w:val="28"/>
          <w:szCs w:val="28"/>
        </w:rPr>
        <w:t>2000</w:t>
      </w:r>
      <w:r>
        <w:rPr>
          <w:rFonts w:hint="eastAsia" w:ascii="宋体" w:hAnsi="宋体"/>
          <w:sz w:val="28"/>
          <w:szCs w:val="28"/>
        </w:rPr>
        <w:t>元</w:t>
      </w:r>
      <w:r>
        <w:rPr>
          <w:rFonts w:ascii="宋体" w:hAnsi="宋体"/>
          <w:sz w:val="28"/>
          <w:szCs w:val="28"/>
        </w:rPr>
        <w:t>/</w:t>
      </w:r>
      <w:r>
        <w:rPr>
          <w:rFonts w:hint="eastAsia" w:ascii="宋体" w:hAnsi="宋体"/>
          <w:sz w:val="28"/>
          <w:szCs w:val="28"/>
        </w:rPr>
        <w:t>人的违约金。</w:t>
      </w:r>
    </w:p>
    <w:p>
      <w:pPr>
        <w:spacing w:line="540" w:lineRule="exact"/>
        <w:ind w:firstLine="562" w:firstLineChars="200"/>
        <w:rPr>
          <w:rFonts w:ascii="宋体"/>
          <w:b/>
          <w:sz w:val="28"/>
          <w:szCs w:val="28"/>
        </w:rPr>
      </w:pPr>
      <w:r>
        <w:rPr>
          <w:rFonts w:hint="eastAsia" w:ascii="宋体" w:hAnsi="宋体"/>
          <w:b/>
          <w:sz w:val="28"/>
          <w:szCs w:val="28"/>
        </w:rPr>
        <w:t>八、合同有效期</w:t>
      </w:r>
    </w:p>
    <w:p>
      <w:pPr>
        <w:spacing w:line="540" w:lineRule="exact"/>
        <w:ind w:firstLine="560" w:firstLineChars="200"/>
        <w:rPr>
          <w:rFonts w:ascii="宋体"/>
          <w:sz w:val="28"/>
          <w:szCs w:val="28"/>
        </w:rPr>
      </w:pPr>
      <w:r>
        <w:rPr>
          <w:rFonts w:hint="eastAsia" w:ascii="宋体" w:hAnsi="宋体"/>
          <w:sz w:val="28"/>
          <w:szCs w:val="28"/>
        </w:rPr>
        <w:t>本合同书自甲、乙双方法定代表人或授权委托人签字或盖法人章并加盖甲、乙双方公司公章或合同专用章之日起生效，并在双方履行完毕本合同约定的所有义务后终止，但其中第九条第（二）款规定的保密义务并不因本合同终止而失效。</w:t>
      </w:r>
    </w:p>
    <w:p>
      <w:pPr>
        <w:numPr>
          <w:ilvl w:val="0"/>
          <w:numId w:val="3"/>
        </w:numPr>
        <w:spacing w:line="540" w:lineRule="exact"/>
        <w:ind w:firstLine="562" w:firstLineChars="200"/>
        <w:rPr>
          <w:rFonts w:ascii="宋体"/>
          <w:b/>
          <w:bCs/>
          <w:sz w:val="28"/>
          <w:szCs w:val="28"/>
        </w:rPr>
      </w:pPr>
      <w:r>
        <w:rPr>
          <w:rFonts w:hint="eastAsia" w:ascii="宋体" w:hAnsi="宋体"/>
          <w:b/>
          <w:bCs/>
          <w:sz w:val="28"/>
          <w:szCs w:val="28"/>
        </w:rPr>
        <w:t>保密条款</w:t>
      </w:r>
    </w:p>
    <w:p>
      <w:pPr>
        <w:spacing w:line="540" w:lineRule="exact"/>
        <w:ind w:firstLine="420" w:firstLineChars="150"/>
        <w:rPr>
          <w:rFonts w:ascii="宋体"/>
          <w:sz w:val="28"/>
          <w:szCs w:val="28"/>
        </w:rPr>
      </w:pPr>
      <w:r>
        <w:rPr>
          <w:rFonts w:hint="eastAsia" w:ascii="宋体" w:hAnsi="宋体"/>
          <w:sz w:val="28"/>
          <w:szCs w:val="28"/>
        </w:rPr>
        <w:t>（一）乙方在工作过程中发现对象或其所属单位在采购及合同管理、会计核算、财务管理等有重大缺陷，有导致产生重大弊端的可能，应及时将有关情况通报甲方。</w:t>
      </w:r>
    </w:p>
    <w:p>
      <w:pPr>
        <w:spacing w:line="540" w:lineRule="exact"/>
        <w:ind w:firstLine="420" w:firstLineChars="150"/>
        <w:rPr>
          <w:rFonts w:ascii="宋体"/>
          <w:sz w:val="28"/>
          <w:szCs w:val="28"/>
        </w:rPr>
      </w:pPr>
      <w:r>
        <w:rPr>
          <w:rFonts w:hint="eastAsia" w:ascii="宋体" w:hAnsi="宋体"/>
          <w:sz w:val="28"/>
          <w:szCs w:val="28"/>
        </w:rPr>
        <w:t>（二）乙方对工作中知悉的商业秘密保密，不得将所获得的有关资料和文件用于与委托事项无关的活动。本义务在委托事项结束后，仍然有效。保密承诺书作为本合同的附件。</w:t>
      </w:r>
    </w:p>
    <w:p>
      <w:pPr>
        <w:spacing w:line="540" w:lineRule="exact"/>
        <w:ind w:firstLine="562" w:firstLineChars="200"/>
        <w:rPr>
          <w:rFonts w:ascii="宋体"/>
          <w:b/>
          <w:sz w:val="28"/>
          <w:szCs w:val="28"/>
        </w:rPr>
      </w:pPr>
      <w:r>
        <w:rPr>
          <w:rFonts w:hint="eastAsia" w:ascii="宋体" w:hAnsi="宋体"/>
          <w:b/>
          <w:sz w:val="28"/>
          <w:szCs w:val="28"/>
        </w:rPr>
        <w:t>十、争议解决</w:t>
      </w:r>
    </w:p>
    <w:p>
      <w:pPr>
        <w:spacing w:line="540" w:lineRule="exact"/>
        <w:ind w:firstLine="560"/>
        <w:rPr>
          <w:rFonts w:ascii="宋体"/>
          <w:bCs/>
          <w:sz w:val="28"/>
          <w:szCs w:val="28"/>
        </w:rPr>
      </w:pPr>
      <w:r>
        <w:rPr>
          <w:rFonts w:hint="eastAsia" w:ascii="宋体" w:hAnsi="宋体"/>
          <w:bCs/>
          <w:sz w:val="28"/>
          <w:szCs w:val="28"/>
        </w:rPr>
        <w:t>在本</w:t>
      </w:r>
      <w:r>
        <w:rPr>
          <w:rFonts w:hint="eastAsia" w:ascii="宋体" w:hAnsi="宋体"/>
          <w:sz w:val="28"/>
          <w:szCs w:val="28"/>
        </w:rPr>
        <w:t>合同</w:t>
      </w:r>
      <w:r>
        <w:rPr>
          <w:rFonts w:hint="eastAsia" w:ascii="宋体" w:hAnsi="宋体"/>
          <w:bCs/>
          <w:sz w:val="28"/>
          <w:szCs w:val="28"/>
        </w:rPr>
        <w:t>履行过程中发生争议的，应首先友好协商解决，协商不成的，任何一方有权向本</w:t>
      </w:r>
      <w:r>
        <w:rPr>
          <w:rFonts w:hint="eastAsia" w:ascii="宋体" w:hAnsi="宋体"/>
          <w:sz w:val="28"/>
          <w:szCs w:val="28"/>
        </w:rPr>
        <w:t>合同</w:t>
      </w:r>
      <w:r>
        <w:rPr>
          <w:rFonts w:hint="eastAsia" w:ascii="宋体" w:hAnsi="宋体"/>
          <w:bCs/>
          <w:sz w:val="28"/>
          <w:szCs w:val="28"/>
        </w:rPr>
        <w:t>甲方营业执照上记载的经营地址所在地有管辖权的人民法院提起诉讼。</w:t>
      </w:r>
    </w:p>
    <w:p>
      <w:pPr>
        <w:spacing w:line="540" w:lineRule="exact"/>
        <w:ind w:firstLine="560" w:firstLineChars="200"/>
        <w:rPr>
          <w:rFonts w:ascii="宋体"/>
          <w:bCs/>
          <w:sz w:val="28"/>
          <w:szCs w:val="28"/>
        </w:rPr>
      </w:pPr>
      <w:r>
        <w:rPr>
          <w:rFonts w:hint="eastAsia" w:ascii="宋体" w:hAnsi="宋体"/>
          <w:bCs/>
          <w:sz w:val="28"/>
          <w:szCs w:val="28"/>
        </w:rPr>
        <w:t>十一、本</w:t>
      </w:r>
      <w:r>
        <w:rPr>
          <w:rFonts w:hint="eastAsia" w:ascii="宋体" w:hAnsi="宋体"/>
          <w:sz w:val="28"/>
          <w:szCs w:val="28"/>
        </w:rPr>
        <w:t>合同</w:t>
      </w:r>
      <w:r>
        <w:rPr>
          <w:rFonts w:hint="eastAsia" w:ascii="宋体" w:hAnsi="宋体"/>
          <w:bCs/>
          <w:sz w:val="28"/>
          <w:szCs w:val="28"/>
        </w:rPr>
        <w:t>书未尽事宜，经双方协商，签订补充协议。补充协议与本</w:t>
      </w:r>
      <w:r>
        <w:rPr>
          <w:rFonts w:hint="eastAsia" w:ascii="宋体" w:hAnsi="宋体"/>
          <w:sz w:val="28"/>
          <w:szCs w:val="28"/>
        </w:rPr>
        <w:t>合同</w:t>
      </w:r>
      <w:r>
        <w:rPr>
          <w:rFonts w:hint="eastAsia" w:ascii="宋体" w:hAnsi="宋体"/>
          <w:bCs/>
          <w:sz w:val="28"/>
          <w:szCs w:val="28"/>
        </w:rPr>
        <w:t>书具有同等法律效力。</w:t>
      </w:r>
    </w:p>
    <w:p>
      <w:pPr>
        <w:spacing w:line="540" w:lineRule="exact"/>
        <w:ind w:firstLine="560" w:firstLineChars="200"/>
        <w:rPr>
          <w:rFonts w:ascii="宋体"/>
          <w:bCs/>
          <w:sz w:val="28"/>
          <w:szCs w:val="28"/>
        </w:rPr>
      </w:pPr>
      <w:r>
        <w:rPr>
          <w:rFonts w:hint="eastAsia" w:ascii="宋体" w:hAnsi="宋体"/>
          <w:bCs/>
          <w:sz w:val="28"/>
          <w:szCs w:val="28"/>
        </w:rPr>
        <w:t>十二、本</w:t>
      </w:r>
      <w:r>
        <w:rPr>
          <w:rFonts w:hint="eastAsia" w:ascii="宋体" w:hAnsi="宋体"/>
          <w:sz w:val="28"/>
          <w:szCs w:val="28"/>
        </w:rPr>
        <w:t>合同</w:t>
      </w:r>
      <w:r>
        <w:rPr>
          <w:rFonts w:hint="eastAsia" w:ascii="宋体" w:hAnsi="宋体"/>
          <w:bCs/>
          <w:sz w:val="28"/>
          <w:szCs w:val="28"/>
        </w:rPr>
        <w:t>书一式</w:t>
      </w:r>
      <w:r>
        <w:rPr>
          <w:rFonts w:ascii="宋体" w:hAnsi="宋体"/>
          <w:b/>
          <w:bCs/>
          <w:sz w:val="28"/>
          <w:szCs w:val="28"/>
          <w:u w:val="single"/>
        </w:rPr>
        <w:t xml:space="preserve">  </w:t>
      </w:r>
      <w:r>
        <w:rPr>
          <w:rFonts w:hint="eastAsia" w:ascii="宋体" w:hAnsi="宋体"/>
          <w:sz w:val="28"/>
          <w:szCs w:val="28"/>
          <w:u w:val="single"/>
        </w:rPr>
        <w:t>陆</w:t>
      </w:r>
      <w:r>
        <w:rPr>
          <w:rFonts w:ascii="宋体" w:hAnsi="宋体"/>
          <w:b/>
          <w:bCs/>
          <w:sz w:val="28"/>
          <w:szCs w:val="28"/>
          <w:u w:val="single"/>
        </w:rPr>
        <w:t xml:space="preserve">  </w:t>
      </w:r>
      <w:r>
        <w:rPr>
          <w:rFonts w:hint="eastAsia" w:ascii="宋体" w:hAnsi="宋体"/>
          <w:bCs/>
          <w:sz w:val="28"/>
          <w:szCs w:val="28"/>
        </w:rPr>
        <w:t>份，甲方执</w:t>
      </w:r>
      <w:r>
        <w:rPr>
          <w:rFonts w:ascii="宋体" w:hAnsi="宋体"/>
          <w:bCs/>
          <w:sz w:val="28"/>
          <w:szCs w:val="28"/>
          <w:u w:val="single"/>
        </w:rPr>
        <w:t xml:space="preserve"> </w:t>
      </w:r>
      <w:r>
        <w:rPr>
          <w:rFonts w:hint="eastAsia" w:ascii="宋体" w:hAnsi="宋体"/>
          <w:bCs/>
          <w:sz w:val="28"/>
          <w:szCs w:val="28"/>
          <w:u w:val="single"/>
        </w:rPr>
        <w:t>肆</w:t>
      </w:r>
      <w:r>
        <w:rPr>
          <w:rFonts w:ascii="宋体" w:hAnsi="宋体"/>
          <w:bCs/>
          <w:sz w:val="28"/>
          <w:szCs w:val="28"/>
          <w:u w:val="single"/>
        </w:rPr>
        <w:t xml:space="preserve"> </w:t>
      </w:r>
      <w:r>
        <w:rPr>
          <w:rFonts w:hint="eastAsia" w:ascii="宋体" w:hAnsi="宋体"/>
          <w:bCs/>
          <w:sz w:val="28"/>
          <w:szCs w:val="28"/>
        </w:rPr>
        <w:t>份，乙方执</w:t>
      </w:r>
      <w:r>
        <w:rPr>
          <w:rFonts w:ascii="宋体" w:hAnsi="宋体"/>
          <w:b/>
          <w:bCs/>
          <w:sz w:val="28"/>
          <w:szCs w:val="28"/>
          <w:u w:val="single"/>
        </w:rPr>
        <w:t xml:space="preserve"> </w:t>
      </w:r>
      <w:r>
        <w:rPr>
          <w:rFonts w:hint="eastAsia" w:ascii="宋体" w:hAnsi="宋体"/>
          <w:sz w:val="28"/>
          <w:szCs w:val="28"/>
          <w:u w:val="single"/>
        </w:rPr>
        <w:t>贰</w:t>
      </w:r>
      <w:r>
        <w:rPr>
          <w:rFonts w:ascii="宋体" w:hAnsi="宋体"/>
          <w:b/>
          <w:bCs/>
          <w:sz w:val="28"/>
          <w:szCs w:val="28"/>
          <w:u w:val="single"/>
        </w:rPr>
        <w:t xml:space="preserve"> </w:t>
      </w:r>
      <w:r>
        <w:rPr>
          <w:rFonts w:hint="eastAsia" w:ascii="宋体" w:hAnsi="宋体"/>
          <w:bCs/>
          <w:sz w:val="28"/>
          <w:szCs w:val="28"/>
        </w:rPr>
        <w:t>份，并具有同等法律效力。</w:t>
      </w:r>
    </w:p>
    <w:p>
      <w:pPr>
        <w:spacing w:line="540" w:lineRule="exact"/>
        <w:ind w:firstLine="560" w:firstLineChars="200"/>
        <w:rPr>
          <w:rFonts w:ascii="宋体"/>
          <w:sz w:val="28"/>
          <w:szCs w:val="28"/>
        </w:rPr>
      </w:pPr>
      <w:r>
        <w:rPr>
          <w:rFonts w:hint="eastAsia" w:ascii="宋体" w:hAnsi="宋体"/>
          <w:sz w:val="28"/>
          <w:szCs w:val="28"/>
        </w:rPr>
        <w:t>十三、各方在本合同中预留的电话和地址为有效通讯方式。任何一方不得拒收其他的邮件，一方按其他的通讯地址寄出的文件信函，在交寄后第三天即视为对方实际收到，一方改变通讯地址的，最晚应当在变更通讯地址前三日书面告知对方，否则其他方按原通讯地址寄出的文件、信函仍视为有效送达，由此造成的一切不利后果由改变地址的一方承担。</w:t>
      </w:r>
    </w:p>
    <w:p>
      <w:pPr>
        <w:spacing w:line="540" w:lineRule="exact"/>
        <w:ind w:firstLine="560" w:firstLineChars="200"/>
        <w:rPr>
          <w:rFonts w:ascii="宋体"/>
          <w:sz w:val="28"/>
          <w:szCs w:val="28"/>
        </w:rPr>
      </w:pPr>
      <w:r>
        <w:rPr>
          <w:rFonts w:hint="eastAsia" w:ascii="宋体" w:hAnsi="宋体"/>
          <w:sz w:val="28"/>
          <w:szCs w:val="28"/>
        </w:rPr>
        <w:t>附件：保密承诺书</w:t>
      </w:r>
    </w:p>
    <w:p>
      <w:pPr>
        <w:spacing w:line="540" w:lineRule="exact"/>
        <w:rPr>
          <w:rFonts w:ascii="宋体"/>
          <w:sz w:val="28"/>
          <w:szCs w:val="28"/>
        </w:rPr>
      </w:pPr>
      <w:r>
        <w:rPr>
          <w:rFonts w:ascii="宋体"/>
          <w:sz w:val="28"/>
          <w:szCs w:val="28"/>
        </w:rPr>
        <w:br w:type="page"/>
      </w:r>
    </w:p>
    <w:p>
      <w:pPr>
        <w:pStyle w:val="2"/>
        <w:spacing w:after="0" w:line="540" w:lineRule="exact"/>
        <w:rPr>
          <w:rFonts w:ascii="宋体"/>
          <w:sz w:val="28"/>
          <w:szCs w:val="28"/>
        </w:rPr>
      </w:pPr>
      <w:r>
        <w:rPr>
          <w:rFonts w:hint="eastAsia" w:ascii="宋体" w:hAnsi="宋体"/>
          <w:sz w:val="28"/>
          <w:szCs w:val="28"/>
        </w:rPr>
        <w:t>（本页无正文）</w:t>
      </w:r>
    </w:p>
    <w:p>
      <w:pPr>
        <w:pStyle w:val="2"/>
        <w:spacing w:after="0" w:line="540" w:lineRule="exact"/>
        <w:rPr>
          <w:rFonts w:ascii="宋体"/>
          <w:sz w:val="28"/>
          <w:szCs w:val="28"/>
        </w:rPr>
      </w:pPr>
    </w:p>
    <w:p>
      <w:pPr>
        <w:spacing w:line="540" w:lineRule="exact"/>
        <w:ind w:firstLine="420" w:firstLineChars="150"/>
        <w:rPr>
          <w:rFonts w:ascii="宋体"/>
          <w:sz w:val="28"/>
          <w:szCs w:val="28"/>
        </w:rPr>
      </w:pPr>
      <w:r>
        <w:rPr>
          <w:rFonts w:hint="eastAsia" w:ascii="宋体" w:hAnsi="宋体"/>
          <w:sz w:val="28"/>
          <w:szCs w:val="28"/>
        </w:rPr>
        <w:t>甲方：南宁轨道交通集团有限责任公司</w:t>
      </w:r>
    </w:p>
    <w:p>
      <w:pPr>
        <w:spacing w:line="540" w:lineRule="exact"/>
        <w:ind w:firstLine="420" w:firstLineChars="150"/>
        <w:rPr>
          <w:rFonts w:ascii="宋体"/>
          <w:sz w:val="28"/>
          <w:szCs w:val="28"/>
        </w:rPr>
      </w:pPr>
      <w:r>
        <w:rPr>
          <w:rFonts w:hint="eastAsia" w:ascii="宋体" w:hAnsi="宋体"/>
          <w:sz w:val="28"/>
          <w:szCs w:val="28"/>
        </w:rPr>
        <w:t>法定代表人或委托代理人：</w:t>
      </w:r>
    </w:p>
    <w:p>
      <w:pPr>
        <w:spacing w:line="540" w:lineRule="exact"/>
        <w:ind w:firstLine="420" w:firstLineChars="150"/>
        <w:rPr>
          <w:rFonts w:ascii="宋体"/>
          <w:sz w:val="28"/>
          <w:szCs w:val="28"/>
        </w:rPr>
      </w:pPr>
      <w:r>
        <w:rPr>
          <w:rFonts w:hint="eastAsia" w:ascii="宋体" w:hAnsi="宋体"/>
          <w:sz w:val="28"/>
          <w:szCs w:val="28"/>
        </w:rPr>
        <w:t>联系人：</w:t>
      </w:r>
    </w:p>
    <w:p>
      <w:pPr>
        <w:spacing w:line="540" w:lineRule="exact"/>
        <w:ind w:firstLine="420" w:firstLineChars="150"/>
        <w:rPr>
          <w:rFonts w:ascii="宋体"/>
          <w:sz w:val="28"/>
          <w:szCs w:val="28"/>
        </w:rPr>
      </w:pPr>
      <w:r>
        <w:rPr>
          <w:rFonts w:hint="eastAsia" w:ascii="宋体" w:hAnsi="宋体"/>
          <w:sz w:val="28"/>
          <w:szCs w:val="28"/>
        </w:rPr>
        <w:t>联系电话：</w:t>
      </w:r>
      <w:r>
        <w:rPr>
          <w:rFonts w:ascii="宋体" w:hAnsi="宋体"/>
          <w:sz w:val="28"/>
          <w:szCs w:val="28"/>
        </w:rPr>
        <w:t xml:space="preserve">                  </w:t>
      </w:r>
      <w:r>
        <w:rPr>
          <w:rFonts w:hint="eastAsia" w:ascii="宋体" w:hAnsi="宋体"/>
          <w:sz w:val="28"/>
          <w:szCs w:val="28"/>
        </w:rPr>
        <w:t>电子邮件：</w:t>
      </w:r>
    </w:p>
    <w:p>
      <w:pPr>
        <w:widowControl/>
        <w:spacing w:line="540" w:lineRule="exact"/>
        <w:ind w:firstLine="420" w:firstLineChars="150"/>
        <w:rPr>
          <w:rFonts w:ascii="宋体"/>
          <w:sz w:val="28"/>
          <w:szCs w:val="28"/>
        </w:rPr>
      </w:pPr>
      <w:r>
        <w:rPr>
          <w:rFonts w:hint="eastAsia" w:ascii="宋体" w:hAnsi="宋体"/>
          <w:sz w:val="28"/>
          <w:szCs w:val="28"/>
        </w:rPr>
        <w:t>通讯地址：广西南宁市云景路</w:t>
      </w:r>
      <w:r>
        <w:rPr>
          <w:rFonts w:ascii="宋体" w:hAnsi="宋体"/>
          <w:sz w:val="28"/>
          <w:szCs w:val="28"/>
        </w:rPr>
        <w:t>69</w:t>
      </w:r>
      <w:r>
        <w:rPr>
          <w:rFonts w:hint="eastAsia" w:ascii="宋体" w:hAnsi="宋体"/>
          <w:sz w:val="28"/>
          <w:szCs w:val="28"/>
        </w:rPr>
        <w:t>号</w:t>
      </w:r>
    </w:p>
    <w:p>
      <w:pPr>
        <w:widowControl/>
        <w:spacing w:line="540" w:lineRule="exact"/>
        <w:ind w:firstLine="420" w:firstLineChars="150"/>
        <w:rPr>
          <w:rFonts w:ascii="宋体"/>
          <w:sz w:val="28"/>
          <w:szCs w:val="28"/>
        </w:rPr>
      </w:pPr>
      <w:r>
        <w:rPr>
          <w:rFonts w:hint="eastAsia" w:ascii="宋体" w:hAnsi="宋体"/>
          <w:sz w:val="28"/>
          <w:szCs w:val="28"/>
        </w:rPr>
        <w:t>时间：</w:t>
      </w:r>
      <w:r>
        <w:rPr>
          <w:rFonts w:ascii="宋体" w:hAnsi="宋体"/>
          <w:sz w:val="28"/>
          <w:szCs w:val="28"/>
        </w:rPr>
        <w:t xml:space="preserve">     </w:t>
      </w:r>
      <w:r>
        <w:rPr>
          <w:rFonts w:hint="eastAsia" w:ascii="宋体" w:hAnsi="宋体"/>
          <w:sz w:val="28"/>
          <w:szCs w:val="28"/>
        </w:rPr>
        <w:t>年</w:t>
      </w:r>
      <w:r>
        <w:rPr>
          <w:rFonts w:ascii="宋体" w:hAnsi="宋体"/>
          <w:sz w:val="28"/>
          <w:szCs w:val="28"/>
        </w:rPr>
        <w:t xml:space="preserve">   </w:t>
      </w:r>
      <w:r>
        <w:rPr>
          <w:rFonts w:hint="eastAsia" w:ascii="宋体" w:hAnsi="宋体"/>
          <w:sz w:val="28"/>
          <w:szCs w:val="28"/>
        </w:rPr>
        <w:t>月</w:t>
      </w:r>
      <w:r>
        <w:rPr>
          <w:rFonts w:ascii="宋体" w:hAnsi="宋体"/>
          <w:sz w:val="28"/>
          <w:szCs w:val="28"/>
        </w:rPr>
        <w:t xml:space="preserve">   </w:t>
      </w:r>
      <w:r>
        <w:rPr>
          <w:rFonts w:hint="eastAsia" w:ascii="宋体" w:hAnsi="宋体"/>
          <w:sz w:val="28"/>
          <w:szCs w:val="28"/>
        </w:rPr>
        <w:t>日</w:t>
      </w:r>
    </w:p>
    <w:p>
      <w:pPr>
        <w:widowControl/>
        <w:spacing w:line="540" w:lineRule="exact"/>
        <w:ind w:firstLine="420" w:firstLineChars="150"/>
        <w:rPr>
          <w:rFonts w:ascii="宋体" w:hAnsi="宋体"/>
          <w:sz w:val="28"/>
          <w:szCs w:val="28"/>
        </w:rPr>
      </w:pPr>
      <w:r>
        <w:rPr>
          <w:rFonts w:hint="eastAsia" w:ascii="宋体" w:hAnsi="宋体"/>
          <w:sz w:val="28"/>
          <w:szCs w:val="28"/>
        </w:rPr>
        <w:t>纳税人识别号：</w:t>
      </w:r>
      <w:r>
        <w:rPr>
          <w:rFonts w:ascii="宋体" w:hAnsi="宋体"/>
          <w:sz w:val="28"/>
          <w:szCs w:val="28"/>
        </w:rPr>
        <w:t>914501006821248433</w:t>
      </w:r>
    </w:p>
    <w:p>
      <w:pPr>
        <w:spacing w:line="540" w:lineRule="exact"/>
        <w:ind w:firstLine="420" w:firstLineChars="150"/>
        <w:rPr>
          <w:rFonts w:ascii="宋体" w:hAnsi="宋体"/>
          <w:sz w:val="28"/>
          <w:szCs w:val="28"/>
        </w:rPr>
      </w:pPr>
      <w:r>
        <w:rPr>
          <w:rFonts w:hint="eastAsia" w:ascii="宋体" w:hAnsi="宋体"/>
          <w:sz w:val="28"/>
          <w:szCs w:val="28"/>
        </w:rPr>
        <w:t>开户行及账号：建行南宁市朝阳支行营业部</w:t>
      </w:r>
      <w:r>
        <w:rPr>
          <w:rFonts w:ascii="宋体" w:hAnsi="宋体"/>
          <w:sz w:val="28"/>
          <w:szCs w:val="28"/>
        </w:rPr>
        <w:t>45001604473059116688</w:t>
      </w:r>
    </w:p>
    <w:p>
      <w:pPr>
        <w:spacing w:line="540" w:lineRule="exact"/>
        <w:rPr>
          <w:rFonts w:ascii="宋体"/>
          <w:sz w:val="28"/>
          <w:szCs w:val="28"/>
        </w:rPr>
      </w:pPr>
    </w:p>
    <w:p>
      <w:pPr>
        <w:spacing w:line="540" w:lineRule="exact"/>
        <w:ind w:firstLine="480"/>
        <w:rPr>
          <w:rFonts w:ascii="宋体"/>
          <w:sz w:val="28"/>
          <w:szCs w:val="28"/>
        </w:rPr>
      </w:pPr>
    </w:p>
    <w:p>
      <w:pPr>
        <w:spacing w:line="540" w:lineRule="exact"/>
        <w:ind w:firstLine="480"/>
        <w:rPr>
          <w:rFonts w:ascii="宋体"/>
          <w:sz w:val="28"/>
          <w:szCs w:val="28"/>
        </w:rPr>
      </w:pPr>
      <w:r>
        <w:rPr>
          <w:rFonts w:hint="eastAsia" w:ascii="宋体" w:hAnsi="宋体"/>
          <w:sz w:val="28"/>
          <w:szCs w:val="28"/>
        </w:rPr>
        <w:t>乙方：</w:t>
      </w:r>
    </w:p>
    <w:p>
      <w:pPr>
        <w:spacing w:line="540" w:lineRule="exact"/>
        <w:ind w:firstLine="480"/>
        <w:rPr>
          <w:rFonts w:ascii="宋体"/>
          <w:sz w:val="28"/>
          <w:szCs w:val="28"/>
        </w:rPr>
      </w:pPr>
      <w:r>
        <w:rPr>
          <w:rFonts w:hint="eastAsia" w:ascii="宋体" w:hAnsi="宋体"/>
          <w:sz w:val="28"/>
          <w:szCs w:val="28"/>
        </w:rPr>
        <w:t>法定代表人（负责人）或委托代理人：</w:t>
      </w:r>
    </w:p>
    <w:p>
      <w:pPr>
        <w:spacing w:line="540" w:lineRule="exact"/>
        <w:ind w:firstLine="480"/>
        <w:rPr>
          <w:rFonts w:ascii="宋体"/>
          <w:sz w:val="28"/>
          <w:szCs w:val="28"/>
        </w:rPr>
      </w:pPr>
      <w:r>
        <w:rPr>
          <w:rFonts w:hint="eastAsia" w:ascii="宋体" w:hAnsi="宋体"/>
          <w:sz w:val="28"/>
          <w:szCs w:val="28"/>
        </w:rPr>
        <w:t>联系人：</w:t>
      </w:r>
    </w:p>
    <w:p>
      <w:pPr>
        <w:spacing w:line="540" w:lineRule="exact"/>
        <w:ind w:firstLine="480"/>
        <w:rPr>
          <w:rFonts w:ascii="宋体"/>
          <w:sz w:val="28"/>
          <w:szCs w:val="28"/>
        </w:rPr>
      </w:pPr>
      <w:r>
        <w:rPr>
          <w:rFonts w:hint="eastAsia" w:ascii="宋体" w:hAnsi="宋体"/>
          <w:sz w:val="28"/>
          <w:szCs w:val="28"/>
        </w:rPr>
        <w:t>联系电话：</w:t>
      </w:r>
      <w:r>
        <w:rPr>
          <w:rFonts w:ascii="宋体" w:hAnsi="宋体"/>
          <w:sz w:val="28"/>
          <w:szCs w:val="28"/>
        </w:rPr>
        <w:t xml:space="preserve">                  </w:t>
      </w:r>
      <w:r>
        <w:rPr>
          <w:rFonts w:hint="eastAsia" w:ascii="宋体" w:hAnsi="宋体"/>
          <w:sz w:val="28"/>
          <w:szCs w:val="28"/>
        </w:rPr>
        <w:t>电子邮件：</w:t>
      </w:r>
    </w:p>
    <w:p>
      <w:pPr>
        <w:spacing w:line="540" w:lineRule="exact"/>
        <w:ind w:firstLine="480"/>
        <w:rPr>
          <w:rFonts w:ascii="宋体"/>
          <w:sz w:val="28"/>
          <w:szCs w:val="28"/>
        </w:rPr>
      </w:pPr>
      <w:r>
        <w:rPr>
          <w:rFonts w:hint="eastAsia" w:ascii="宋体" w:hAnsi="宋体"/>
          <w:sz w:val="28"/>
          <w:szCs w:val="28"/>
        </w:rPr>
        <w:t>通讯地址：</w:t>
      </w:r>
    </w:p>
    <w:p>
      <w:pPr>
        <w:spacing w:line="540" w:lineRule="exact"/>
        <w:ind w:firstLine="480"/>
        <w:rPr>
          <w:rFonts w:ascii="宋体"/>
          <w:sz w:val="28"/>
          <w:szCs w:val="28"/>
        </w:rPr>
      </w:pPr>
      <w:r>
        <w:rPr>
          <w:rFonts w:hint="eastAsia" w:ascii="宋体" w:hAnsi="宋体"/>
          <w:sz w:val="28"/>
          <w:szCs w:val="28"/>
        </w:rPr>
        <w:t>时间：</w:t>
      </w:r>
      <w:r>
        <w:rPr>
          <w:rFonts w:ascii="宋体" w:hAnsi="宋体"/>
          <w:sz w:val="28"/>
          <w:szCs w:val="28"/>
        </w:rPr>
        <w:t xml:space="preserve">     </w:t>
      </w:r>
      <w:r>
        <w:rPr>
          <w:rFonts w:hint="eastAsia" w:ascii="宋体" w:hAnsi="宋体"/>
          <w:sz w:val="28"/>
          <w:szCs w:val="28"/>
        </w:rPr>
        <w:t>年</w:t>
      </w:r>
      <w:r>
        <w:rPr>
          <w:rFonts w:ascii="宋体" w:hAnsi="宋体"/>
          <w:sz w:val="28"/>
          <w:szCs w:val="28"/>
        </w:rPr>
        <w:t xml:space="preserve">   </w:t>
      </w:r>
      <w:r>
        <w:rPr>
          <w:rFonts w:hint="eastAsia" w:ascii="宋体" w:hAnsi="宋体"/>
          <w:sz w:val="28"/>
          <w:szCs w:val="28"/>
        </w:rPr>
        <w:t>月</w:t>
      </w:r>
      <w:r>
        <w:rPr>
          <w:rFonts w:ascii="宋体" w:hAnsi="宋体"/>
          <w:sz w:val="28"/>
          <w:szCs w:val="28"/>
        </w:rPr>
        <w:t xml:space="preserve">   </w:t>
      </w:r>
      <w:r>
        <w:rPr>
          <w:rFonts w:hint="eastAsia" w:ascii="宋体" w:hAnsi="宋体"/>
          <w:sz w:val="28"/>
          <w:szCs w:val="28"/>
        </w:rPr>
        <w:t>日</w:t>
      </w:r>
    </w:p>
    <w:p>
      <w:pPr>
        <w:spacing w:line="540" w:lineRule="exact"/>
        <w:ind w:firstLine="480"/>
        <w:rPr>
          <w:rFonts w:ascii="宋体"/>
          <w:sz w:val="28"/>
          <w:szCs w:val="28"/>
        </w:rPr>
      </w:pPr>
      <w:r>
        <w:rPr>
          <w:rFonts w:hint="eastAsia" w:ascii="宋体" w:hAnsi="宋体"/>
          <w:sz w:val="28"/>
          <w:szCs w:val="28"/>
        </w:rPr>
        <w:t>纳税人识别号：</w:t>
      </w:r>
    </w:p>
    <w:p>
      <w:pPr>
        <w:spacing w:line="540" w:lineRule="exact"/>
        <w:ind w:firstLine="480"/>
        <w:rPr>
          <w:rFonts w:ascii="仿宋_GB2312" w:hAnsi="宋体" w:eastAsia="仿宋_GB2312"/>
          <w:sz w:val="28"/>
          <w:szCs w:val="28"/>
        </w:rPr>
        <w:sectPr>
          <w:footerReference r:id="rId5" w:type="default"/>
          <w:pgSz w:w="11906" w:h="16838"/>
          <w:pgMar w:top="1440" w:right="1247" w:bottom="1440" w:left="1440" w:header="851" w:footer="992" w:gutter="0"/>
          <w:pgNumType w:start="1"/>
          <w:cols w:space="720" w:num="1"/>
          <w:docGrid w:type="lines" w:linePitch="312" w:charSpace="0"/>
        </w:sectPr>
      </w:pPr>
      <w:r>
        <w:rPr>
          <w:rFonts w:hint="eastAsia" w:ascii="宋体" w:hAnsi="宋体"/>
          <w:sz w:val="28"/>
          <w:szCs w:val="28"/>
        </w:rPr>
        <w:t>开户行及账号：</w:t>
      </w:r>
    </w:p>
    <w:p>
      <w:pPr>
        <w:widowControl/>
        <w:spacing w:line="480" w:lineRule="exact"/>
        <w:ind w:right="420"/>
        <w:jc w:val="left"/>
        <w:rPr>
          <w:rFonts w:ascii="仿宋_GB2312" w:hAnsi="宋体" w:eastAsia="仿宋_GB2312"/>
          <w:sz w:val="28"/>
          <w:szCs w:val="28"/>
        </w:rPr>
      </w:pPr>
      <w:r>
        <w:rPr>
          <w:rFonts w:hint="eastAsia" w:ascii="仿宋_GB2312" w:hAnsi="宋体" w:eastAsia="仿宋_GB2312"/>
          <w:sz w:val="28"/>
          <w:szCs w:val="28"/>
        </w:rPr>
        <w:t>附件：</w:t>
      </w:r>
      <w:r>
        <w:rPr>
          <w:rFonts w:ascii="仿宋_GB2312" w:hAnsi="宋体" w:eastAsia="仿宋_GB2312"/>
          <w:sz w:val="28"/>
          <w:szCs w:val="28"/>
        </w:rPr>
        <w:t xml:space="preserve">  </w:t>
      </w:r>
    </w:p>
    <w:p>
      <w:pPr>
        <w:widowControl/>
        <w:spacing w:line="600" w:lineRule="exact"/>
        <w:jc w:val="center"/>
        <w:rPr>
          <w:rFonts w:ascii="宋体"/>
          <w:b/>
          <w:bCs/>
          <w:sz w:val="36"/>
          <w:szCs w:val="36"/>
        </w:rPr>
      </w:pPr>
      <w:r>
        <w:rPr>
          <w:rFonts w:hint="eastAsia" w:ascii="宋体" w:hAnsi="宋体"/>
          <w:b/>
          <w:bCs/>
          <w:sz w:val="36"/>
          <w:szCs w:val="36"/>
        </w:rPr>
        <w:t>保密承诺书</w:t>
      </w:r>
    </w:p>
    <w:p>
      <w:pPr>
        <w:widowControl/>
        <w:spacing w:line="500" w:lineRule="exact"/>
        <w:ind w:firstLine="560" w:firstLineChars="200"/>
        <w:rPr>
          <w:rFonts w:ascii="仿宋" w:hAnsi="仿宋" w:eastAsia="仿宋"/>
          <w:sz w:val="28"/>
          <w:szCs w:val="28"/>
        </w:rPr>
      </w:pPr>
    </w:p>
    <w:p>
      <w:pPr>
        <w:widowControl/>
        <w:spacing w:line="460" w:lineRule="exact"/>
        <w:rPr>
          <w:rFonts w:ascii="仿宋" w:hAnsi="仿宋" w:eastAsia="仿宋"/>
          <w:sz w:val="28"/>
          <w:szCs w:val="28"/>
        </w:rPr>
      </w:pPr>
      <w:r>
        <w:rPr>
          <w:rFonts w:hint="eastAsia" w:ascii="仿宋" w:hAnsi="仿宋" w:eastAsia="仿宋"/>
          <w:sz w:val="28"/>
          <w:szCs w:val="28"/>
        </w:rPr>
        <w:t>致：南宁轨道交通集团有限责任公司</w:t>
      </w:r>
    </w:p>
    <w:p>
      <w:pPr>
        <w:widowControl/>
        <w:spacing w:line="460" w:lineRule="exact"/>
        <w:ind w:firstLine="560" w:firstLineChars="200"/>
        <w:rPr>
          <w:rFonts w:ascii="仿宋" w:hAnsi="仿宋" w:eastAsia="仿宋"/>
          <w:sz w:val="28"/>
          <w:szCs w:val="28"/>
        </w:rPr>
      </w:pPr>
      <w:r>
        <w:rPr>
          <w:rFonts w:hint="eastAsia" w:ascii="仿宋" w:hAnsi="仿宋" w:eastAsia="仿宋"/>
          <w:sz w:val="28"/>
          <w:szCs w:val="28"/>
        </w:rPr>
        <w:t>我方在实施贵方项目工作期间，就保密事宜做出如下承诺：</w:t>
      </w:r>
    </w:p>
    <w:p>
      <w:pPr>
        <w:widowControl/>
        <w:spacing w:line="460" w:lineRule="exact"/>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我方理解贵方的保密信息。贵方拥有的不为公众所知悉、能为他人带来经济利益或其他利益、具有实用性的信息等均属商业秘密和秘密信息；包括但不限于贵我双方正在或将要签订的合同信息、合同履行、我方提供服务时所接触到的涉及贵方经营管理等事项的信息。</w:t>
      </w:r>
    </w:p>
    <w:p>
      <w:pPr>
        <w:widowControl/>
        <w:spacing w:line="460" w:lineRule="exact"/>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我方自知悉贵方的保密信息之日起，依照法律法规规定及有关约定承担保密义务。</w:t>
      </w:r>
    </w:p>
    <w:p>
      <w:pPr>
        <w:widowControl/>
        <w:spacing w:line="460" w:lineRule="exact"/>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未经贵方同意，我方不擅自保存与贵方保密信息有关的任何物品、资料，也不私自进行复制、交流或者转移。</w:t>
      </w:r>
    </w:p>
    <w:p>
      <w:pPr>
        <w:widowControl/>
        <w:spacing w:line="460" w:lineRule="exact"/>
        <w:ind w:firstLine="560" w:firstLineChars="200"/>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除因合同需要外，未经贵方同意，我方不以泄露、告知、公布、发布、出版、传授、转让或者其他任何方式使任何第三方（包括我方不应或不需知悉该项秘密的雇员）知悉贵方的保密信息，也不在合同过程中不正当使用或者在合同过程之外使用或许可、帮助他人使用贵方的保密信息。</w:t>
      </w:r>
    </w:p>
    <w:p>
      <w:pPr>
        <w:widowControl/>
        <w:spacing w:line="460" w:lineRule="exact"/>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我方不会擅自使用任何属于第三方的保密信息，且保证此类信息不会侵犯任何第三方的知识产权及其他权益。若我方违反本规定而导致贵方遭受第三方的侵权指控时，我方承担法律责任。</w:t>
      </w:r>
    </w:p>
    <w:p>
      <w:pPr>
        <w:widowControl/>
        <w:spacing w:line="460" w:lineRule="exact"/>
        <w:ind w:firstLine="560" w:firstLineChars="200"/>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若我方发现贵方的保密信息可能被泄露或已经被泄露时，会及时通知贵方，并采取有效措施防止保密信息进一步泄露。</w:t>
      </w:r>
    </w:p>
    <w:p>
      <w:pPr>
        <w:widowControl/>
        <w:spacing w:line="460" w:lineRule="exact"/>
        <w:ind w:firstLine="560" w:firstLineChars="200"/>
        <w:rPr>
          <w:rFonts w:ascii="仿宋" w:hAnsi="仿宋" w:eastAsia="仿宋"/>
          <w:sz w:val="28"/>
          <w:szCs w:val="28"/>
        </w:rPr>
      </w:pPr>
      <w:r>
        <w:rPr>
          <w:rFonts w:ascii="仿宋" w:hAnsi="仿宋" w:eastAsia="仿宋"/>
          <w:sz w:val="28"/>
          <w:szCs w:val="28"/>
        </w:rPr>
        <w:t>7.</w:t>
      </w:r>
      <w:r>
        <w:rPr>
          <w:rFonts w:hint="eastAsia" w:ascii="仿宋" w:hAnsi="仿宋" w:eastAsia="仿宋"/>
          <w:sz w:val="28"/>
          <w:szCs w:val="28"/>
        </w:rPr>
        <w:t>无论何种原因导致合同未签订或合同结束，我方均按照本合同约定对接触、知悉的保密信息承担保密义务，该保密义务直至这些保密信息由贵方公开或已实际公开时止。</w:t>
      </w:r>
    </w:p>
    <w:p>
      <w:pPr>
        <w:widowControl/>
        <w:spacing w:line="460" w:lineRule="exact"/>
        <w:ind w:firstLine="2520" w:firstLineChars="900"/>
        <w:rPr>
          <w:rFonts w:ascii="仿宋" w:hAnsi="宋体" w:eastAsia="仿宋"/>
          <w:sz w:val="28"/>
          <w:szCs w:val="28"/>
        </w:rPr>
      </w:pPr>
      <w:r>
        <w:rPr>
          <w:rFonts w:hint="eastAsia" w:ascii="仿宋" w:hAnsi="仿宋" w:eastAsia="仿宋"/>
          <w:sz w:val="28"/>
          <w:szCs w:val="28"/>
        </w:rPr>
        <w:t>乙方：（公章）　</w:t>
      </w:r>
      <w:r>
        <w:rPr>
          <w:rFonts w:ascii="仿宋" w:hAnsi="宋体" w:eastAsia="仿宋"/>
          <w:sz w:val="28"/>
          <w:szCs w:val="28"/>
        </w:rPr>
        <w:t>   </w:t>
      </w:r>
      <w:r>
        <w:rPr>
          <w:rFonts w:ascii="仿宋" w:hAnsi="仿宋" w:eastAsia="仿宋"/>
          <w:sz w:val="28"/>
          <w:szCs w:val="28"/>
        </w:rPr>
        <w:t xml:space="preserve">                   </w:t>
      </w:r>
      <w:r>
        <w:rPr>
          <w:rFonts w:ascii="仿宋" w:hAnsi="宋体" w:eastAsia="仿宋"/>
          <w:sz w:val="28"/>
          <w:szCs w:val="28"/>
        </w:rPr>
        <w:t> </w:t>
      </w:r>
    </w:p>
    <w:p>
      <w:pPr>
        <w:widowControl/>
        <w:spacing w:line="460" w:lineRule="exact"/>
        <w:ind w:firstLine="5600" w:firstLineChars="2000"/>
        <w:rPr>
          <w:rFonts w:ascii="仿宋" w:hAnsi="仿宋" w:eastAsia="仿宋"/>
          <w:sz w:val="28"/>
          <w:szCs w:val="28"/>
        </w:rPr>
      </w:pPr>
      <w:r>
        <w:rPr>
          <w:rFonts w:hint="eastAsia" w:ascii="仿宋" w:hAnsi="仿宋" w:eastAsia="仿宋"/>
          <w:sz w:val="28"/>
          <w:szCs w:val="28"/>
        </w:rPr>
        <w:t>年</w:t>
      </w:r>
      <w:r>
        <w:rPr>
          <w:rFonts w:ascii="仿宋" w:hAnsi="仿宋" w:eastAsia="仿宋"/>
          <w:sz w:val="28"/>
          <w:szCs w:val="28"/>
        </w:rPr>
        <w:t xml:space="preserve">  </w:t>
      </w:r>
      <w:r>
        <w:rPr>
          <w:rFonts w:hint="eastAsia" w:ascii="仿宋" w:hAnsi="仿宋" w:eastAsia="仿宋"/>
          <w:sz w:val="28"/>
          <w:szCs w:val="28"/>
        </w:rPr>
        <w:t>月</w:t>
      </w:r>
      <w:r>
        <w:rPr>
          <w:rFonts w:ascii="仿宋" w:hAnsi="仿宋" w:eastAsia="仿宋"/>
          <w:sz w:val="28"/>
          <w:szCs w:val="28"/>
        </w:rPr>
        <w:t xml:space="preserve">  </w:t>
      </w:r>
      <w:r>
        <w:rPr>
          <w:rFonts w:hint="eastAsia" w:ascii="仿宋" w:hAnsi="仿宋" w:eastAsia="仿宋"/>
          <w:sz w:val="28"/>
          <w:szCs w:val="28"/>
        </w:rPr>
        <w:t>日</w:t>
      </w:r>
    </w:p>
    <w:p>
      <w:pPr>
        <w:pStyle w:val="2"/>
      </w:pPr>
    </w:p>
    <w:p>
      <w:pPr>
        <w:pStyle w:val="3"/>
        <w:numPr>
          <w:ilvl w:val="0"/>
          <w:numId w:val="4"/>
        </w:numPr>
        <w:spacing w:before="0" w:after="0" w:line="540" w:lineRule="exact"/>
        <w:rPr>
          <w:rFonts w:ascii="宋体" w:cs="宋体"/>
          <w:szCs w:val="28"/>
        </w:rPr>
      </w:pPr>
      <w:bookmarkStart w:id="304" w:name="_Toc15172"/>
      <w:bookmarkStart w:id="305" w:name="_Toc461525321"/>
      <w:bookmarkStart w:id="306" w:name="_Toc23661"/>
      <w:bookmarkStart w:id="307" w:name="_Toc24668"/>
      <w:bookmarkStart w:id="308" w:name="_Toc20710"/>
      <w:bookmarkStart w:id="309" w:name="_Toc27378"/>
      <w:bookmarkStart w:id="310" w:name="_Toc26692"/>
      <w:bookmarkStart w:id="311" w:name="_Toc32280"/>
      <w:bookmarkStart w:id="312" w:name="_Toc30239"/>
      <w:bookmarkStart w:id="313" w:name="_Toc6779"/>
      <w:bookmarkStart w:id="314" w:name="_Toc16386"/>
      <w:bookmarkStart w:id="315" w:name="_Toc471482369"/>
      <w:bookmarkStart w:id="316" w:name="_Toc29471"/>
      <w:bookmarkStart w:id="317" w:name="_Toc1897"/>
      <w:r>
        <w:rPr>
          <w:rFonts w:ascii="宋体" w:hAnsi="宋体" w:cs="宋体"/>
          <w:szCs w:val="28"/>
        </w:rPr>
        <w:t xml:space="preserve"> </w:t>
      </w:r>
      <w:bookmarkStart w:id="318" w:name="_Toc21863"/>
      <w:bookmarkStart w:id="319" w:name="_Toc18993"/>
      <w:bookmarkStart w:id="320" w:name="_Toc30463"/>
      <w:bookmarkStart w:id="321" w:name="_Toc28616"/>
      <w:bookmarkStart w:id="322" w:name="_Toc2650"/>
      <w:bookmarkStart w:id="323" w:name="_Toc12974"/>
      <w:bookmarkStart w:id="324" w:name="_Toc15480"/>
      <w:r>
        <w:rPr>
          <w:rFonts w:hint="eastAsia" w:ascii="宋体" w:hAnsi="宋体" w:cs="宋体"/>
          <w:szCs w:val="28"/>
        </w:rPr>
        <w:t>比选</w:t>
      </w:r>
      <w:bookmarkEnd w:id="300"/>
      <w:bookmarkEnd w:id="301"/>
      <w:r>
        <w:rPr>
          <w:rFonts w:hint="eastAsia" w:ascii="宋体" w:hAnsi="宋体" w:cs="宋体"/>
          <w:szCs w:val="28"/>
        </w:rPr>
        <w:t>申请文件（格式）</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Start w:id="325" w:name="_Toc114052391"/>
    </w:p>
    <w:p>
      <w:pPr>
        <w:jc w:val="center"/>
        <w:rPr>
          <w:rFonts w:ascii="宋体" w:cs="宋体"/>
          <w:szCs w:val="28"/>
        </w:rPr>
      </w:pPr>
    </w:p>
    <w:p>
      <w:pPr>
        <w:ind w:right="753"/>
        <w:jc w:val="center"/>
        <w:rPr>
          <w:rFonts w:ascii="宋体" w:cs="宋体"/>
          <w:sz w:val="28"/>
          <w:szCs w:val="28"/>
        </w:rPr>
      </w:pPr>
      <w:r>
        <w:rPr>
          <w:rFonts w:ascii="宋体" w:hAnsi="宋体" w:cs="宋体"/>
          <w:sz w:val="28"/>
          <w:szCs w:val="28"/>
        </w:rPr>
        <w:t xml:space="preserve">  </w:t>
      </w:r>
      <w:r>
        <w:rPr>
          <w:rFonts w:hint="eastAsia" w:ascii="宋体" w:hAnsi="宋体" w:cs="宋体"/>
          <w:sz w:val="28"/>
          <w:szCs w:val="28"/>
        </w:rPr>
        <w:t>（封面格式）</w:t>
      </w:r>
    </w:p>
    <w:p>
      <w:pPr>
        <w:ind w:right="753"/>
        <w:jc w:val="left"/>
        <w:rPr>
          <w:rFonts w:ascii="宋体" w:cs="宋体"/>
          <w:szCs w:val="28"/>
        </w:rPr>
      </w:pPr>
    </w:p>
    <w:p>
      <w:pPr>
        <w:ind w:right="753"/>
        <w:jc w:val="left"/>
        <w:rPr>
          <w:rFonts w:ascii="宋体" w:cs="宋体"/>
          <w:szCs w:val="28"/>
        </w:rPr>
      </w:pPr>
    </w:p>
    <w:p>
      <w:pPr>
        <w:ind w:right="753"/>
        <w:jc w:val="left"/>
        <w:rPr>
          <w:rFonts w:ascii="宋体" w:cs="宋体"/>
          <w:szCs w:val="28"/>
        </w:rPr>
      </w:pPr>
    </w:p>
    <w:p>
      <w:pPr>
        <w:ind w:right="753"/>
        <w:jc w:val="left"/>
        <w:rPr>
          <w:rFonts w:ascii="宋体" w:cs="宋体"/>
          <w:szCs w:val="28"/>
        </w:rPr>
      </w:pPr>
    </w:p>
    <w:p>
      <w:pPr>
        <w:ind w:right="753"/>
        <w:jc w:val="left"/>
        <w:rPr>
          <w:rFonts w:ascii="宋体" w:cs="宋体"/>
          <w:szCs w:val="28"/>
        </w:rPr>
      </w:pPr>
    </w:p>
    <w:p>
      <w:pPr>
        <w:ind w:right="753"/>
        <w:jc w:val="left"/>
        <w:rPr>
          <w:rFonts w:ascii="宋体" w:cs="宋体"/>
          <w:szCs w:val="28"/>
        </w:rPr>
      </w:pPr>
    </w:p>
    <w:p>
      <w:pPr>
        <w:ind w:right="753"/>
        <w:jc w:val="left"/>
        <w:rPr>
          <w:rFonts w:ascii="宋体" w:cs="宋体"/>
          <w:szCs w:val="28"/>
        </w:rPr>
      </w:pPr>
    </w:p>
    <w:p>
      <w:pPr>
        <w:ind w:right="753"/>
        <w:jc w:val="center"/>
        <w:rPr>
          <w:rFonts w:ascii="宋体" w:cs="宋体"/>
          <w:sz w:val="28"/>
          <w:szCs w:val="28"/>
        </w:rPr>
      </w:pPr>
      <w:r>
        <w:rPr>
          <w:rFonts w:ascii="宋体" w:hAnsi="宋体" w:cs="宋体"/>
          <w:sz w:val="28"/>
          <w:szCs w:val="28"/>
        </w:rPr>
        <w:t xml:space="preserve">      </w:t>
      </w:r>
      <w:r>
        <w:rPr>
          <w:rFonts w:hint="eastAsia" w:ascii="宋体" w:hAnsi="宋体" w:cs="宋体"/>
          <w:sz w:val="28"/>
          <w:szCs w:val="28"/>
        </w:rPr>
        <w:t>项目比选申请文件</w:t>
      </w:r>
    </w:p>
    <w:p>
      <w:pPr>
        <w:pStyle w:val="24"/>
        <w:jc w:val="center"/>
        <w:rPr>
          <w:b w:val="0"/>
          <w:bCs w:val="0"/>
          <w:sz w:val="28"/>
          <w:szCs w:val="28"/>
        </w:rPr>
      </w:pPr>
      <w:bookmarkStart w:id="326" w:name="_Toc24727"/>
      <w:bookmarkStart w:id="327" w:name="_Toc6045"/>
      <w:bookmarkStart w:id="328" w:name="_Toc461525322"/>
      <w:bookmarkStart w:id="329" w:name="_Toc16428"/>
      <w:bookmarkStart w:id="330" w:name="_Toc31417"/>
      <w:bookmarkStart w:id="331" w:name="_Toc12677"/>
      <w:bookmarkStart w:id="332" w:name="_Toc22529"/>
      <w:bookmarkStart w:id="333" w:name="_Toc10669"/>
      <w:bookmarkStart w:id="334" w:name="_Toc18503"/>
      <w:r>
        <w:rPr>
          <w:rFonts w:hint="eastAsia"/>
          <w:b w:val="0"/>
          <w:bCs w:val="0"/>
          <w:sz w:val="28"/>
          <w:szCs w:val="28"/>
        </w:rPr>
        <w:t>资格审查部分</w:t>
      </w:r>
      <w:bookmarkEnd w:id="326"/>
      <w:bookmarkEnd w:id="327"/>
      <w:bookmarkEnd w:id="328"/>
      <w:bookmarkEnd w:id="329"/>
      <w:bookmarkEnd w:id="330"/>
      <w:bookmarkEnd w:id="331"/>
      <w:bookmarkEnd w:id="332"/>
      <w:bookmarkEnd w:id="333"/>
      <w:bookmarkEnd w:id="334"/>
    </w:p>
    <w:p>
      <w:pPr>
        <w:ind w:right="753"/>
        <w:jc w:val="left"/>
        <w:rPr>
          <w:rFonts w:ascii="宋体" w:cs="宋体"/>
          <w:sz w:val="28"/>
          <w:szCs w:val="28"/>
        </w:rPr>
      </w:pPr>
    </w:p>
    <w:p>
      <w:pPr>
        <w:ind w:right="753"/>
        <w:jc w:val="left"/>
        <w:rPr>
          <w:rFonts w:ascii="宋体" w:cs="宋体"/>
          <w:sz w:val="28"/>
          <w:szCs w:val="28"/>
        </w:rPr>
      </w:pPr>
    </w:p>
    <w:p>
      <w:pPr>
        <w:ind w:right="753"/>
        <w:jc w:val="left"/>
        <w:rPr>
          <w:rFonts w:ascii="宋体" w:cs="宋体"/>
          <w:sz w:val="28"/>
          <w:szCs w:val="28"/>
        </w:rPr>
      </w:pPr>
    </w:p>
    <w:p>
      <w:pPr>
        <w:ind w:right="753"/>
        <w:jc w:val="left"/>
        <w:rPr>
          <w:rFonts w:ascii="宋体" w:cs="宋体"/>
          <w:sz w:val="28"/>
          <w:szCs w:val="28"/>
        </w:rPr>
      </w:pPr>
    </w:p>
    <w:p>
      <w:pPr>
        <w:ind w:right="753"/>
        <w:jc w:val="left"/>
        <w:rPr>
          <w:rFonts w:ascii="宋体" w:cs="宋体"/>
          <w:sz w:val="28"/>
          <w:szCs w:val="28"/>
        </w:rPr>
      </w:pPr>
      <w:r>
        <w:rPr>
          <w:rFonts w:hint="eastAsia" w:ascii="宋体" w:hAnsi="宋体" w:cs="宋体"/>
          <w:sz w:val="28"/>
          <w:szCs w:val="28"/>
        </w:rPr>
        <w:t>比选申</w:t>
      </w:r>
      <w:bookmarkEnd w:id="325"/>
      <w:r>
        <w:rPr>
          <w:rFonts w:hint="eastAsia" w:ascii="宋体" w:hAnsi="宋体" w:cs="宋体"/>
          <w:sz w:val="28"/>
          <w:szCs w:val="28"/>
        </w:rPr>
        <w:t>请</w:t>
      </w:r>
      <w:bookmarkStart w:id="335" w:name="_Toc114052392"/>
      <w:r>
        <w:rPr>
          <w:rFonts w:hint="eastAsia" w:ascii="宋体" w:hAnsi="宋体" w:cs="宋体"/>
          <w:sz w:val="28"/>
          <w:szCs w:val="28"/>
        </w:rPr>
        <w:t>人：</w:t>
      </w:r>
      <w:bookmarkEnd w:id="335"/>
      <w:r>
        <w:rPr>
          <w:rFonts w:hint="eastAsia" w:ascii="宋体" w:hAnsi="宋体" w:cs="宋体"/>
          <w:sz w:val="28"/>
          <w:szCs w:val="28"/>
        </w:rPr>
        <w:t>（加盖单位公章）</w:t>
      </w:r>
    </w:p>
    <w:p>
      <w:pPr>
        <w:ind w:right="753"/>
        <w:jc w:val="left"/>
        <w:rPr>
          <w:rFonts w:ascii="宋体" w:cs="宋体"/>
          <w:sz w:val="28"/>
          <w:szCs w:val="28"/>
        </w:rPr>
      </w:pPr>
      <w:r>
        <w:rPr>
          <w:rFonts w:hint="eastAsia" w:ascii="宋体" w:hAnsi="宋体" w:cs="宋体"/>
          <w:sz w:val="28"/>
          <w:szCs w:val="28"/>
        </w:rPr>
        <w:t>法定代表人（负责人）或委托代</w:t>
      </w:r>
      <w:bookmarkStart w:id="336" w:name="_Toc333307122"/>
      <w:r>
        <w:rPr>
          <w:rFonts w:hint="eastAsia" w:ascii="宋体" w:hAnsi="宋体" w:cs="宋体"/>
          <w:sz w:val="28"/>
          <w:szCs w:val="28"/>
        </w:rPr>
        <w:t>理人</w:t>
      </w:r>
      <w:bookmarkEnd w:id="336"/>
      <w:r>
        <w:rPr>
          <w:rFonts w:hint="eastAsia" w:ascii="宋体" w:hAnsi="宋体" w:cs="宋体"/>
          <w:sz w:val="28"/>
          <w:szCs w:val="28"/>
        </w:rPr>
        <w:t>：（签字）</w:t>
      </w:r>
    </w:p>
    <w:p>
      <w:pPr>
        <w:ind w:right="753" w:firstLine="1260" w:firstLineChars="450"/>
        <w:jc w:val="left"/>
        <w:rPr>
          <w:rFonts w:ascii="宋体" w:cs="宋体"/>
          <w:sz w:val="28"/>
          <w:szCs w:val="28"/>
        </w:rPr>
      </w:pPr>
    </w:p>
    <w:p>
      <w:pPr>
        <w:ind w:right="753" w:firstLine="2380" w:firstLineChars="850"/>
        <w:jc w:val="left"/>
        <w:rPr>
          <w:rFonts w:ascii="宋体" w:cs="宋体"/>
          <w:sz w:val="28"/>
          <w:szCs w:val="28"/>
        </w:rPr>
      </w:pPr>
      <w:r>
        <w:rPr>
          <w:rFonts w:hint="eastAsia" w:ascii="宋体" w:hAnsi="宋体" w:cs="宋体"/>
          <w:sz w:val="28"/>
          <w:szCs w:val="28"/>
        </w:rPr>
        <w:t>年</w:t>
      </w:r>
      <w:r>
        <w:rPr>
          <w:rFonts w:ascii="宋体" w:hAnsi="宋体" w:cs="宋体"/>
          <w:sz w:val="28"/>
          <w:szCs w:val="28"/>
        </w:rPr>
        <w:t xml:space="preserve">    </w:t>
      </w:r>
      <w:r>
        <w:rPr>
          <w:rFonts w:hint="eastAsia" w:ascii="宋体" w:hAnsi="宋体" w:cs="宋体"/>
          <w:sz w:val="28"/>
          <w:szCs w:val="28"/>
        </w:rPr>
        <w:t>月</w:t>
      </w:r>
      <w:r>
        <w:rPr>
          <w:rFonts w:ascii="宋体" w:hAnsi="宋体" w:cs="宋体"/>
          <w:sz w:val="28"/>
          <w:szCs w:val="28"/>
        </w:rPr>
        <w:t xml:space="preserve">    </w:t>
      </w:r>
      <w:r>
        <w:rPr>
          <w:rFonts w:hint="eastAsia" w:ascii="宋体" w:hAnsi="宋体" w:cs="宋体"/>
          <w:sz w:val="28"/>
          <w:szCs w:val="28"/>
        </w:rPr>
        <w:t>日</w:t>
      </w:r>
    </w:p>
    <w:p>
      <w:pPr>
        <w:ind w:right="753" w:firstLine="1260" w:firstLineChars="450"/>
        <w:jc w:val="left"/>
        <w:rPr>
          <w:rFonts w:ascii="宋体" w:cs="宋体"/>
          <w:sz w:val="28"/>
          <w:szCs w:val="28"/>
        </w:rPr>
      </w:pPr>
    </w:p>
    <w:p>
      <w:pPr>
        <w:ind w:right="753" w:firstLine="1260" w:firstLineChars="450"/>
        <w:jc w:val="left"/>
        <w:rPr>
          <w:rFonts w:ascii="宋体" w:cs="宋体"/>
          <w:sz w:val="28"/>
          <w:szCs w:val="28"/>
        </w:rPr>
      </w:pPr>
    </w:p>
    <w:p>
      <w:pPr>
        <w:ind w:right="753" w:firstLine="1260" w:firstLineChars="450"/>
        <w:jc w:val="left"/>
        <w:rPr>
          <w:rFonts w:ascii="宋体" w:cs="宋体"/>
          <w:sz w:val="28"/>
          <w:szCs w:val="28"/>
        </w:rPr>
      </w:pPr>
    </w:p>
    <w:p>
      <w:pPr>
        <w:ind w:right="753" w:firstLine="1260" w:firstLineChars="450"/>
        <w:jc w:val="left"/>
        <w:rPr>
          <w:rFonts w:ascii="宋体" w:cs="宋体"/>
          <w:sz w:val="28"/>
          <w:szCs w:val="28"/>
        </w:rPr>
      </w:pPr>
    </w:p>
    <w:p>
      <w:pPr>
        <w:pStyle w:val="13"/>
      </w:pPr>
      <w:bookmarkStart w:id="337" w:name="_Toc461525323"/>
      <w:bookmarkStart w:id="338" w:name="_Toc7849"/>
    </w:p>
    <w:p>
      <w:pPr>
        <w:pStyle w:val="4"/>
        <w:jc w:val="center"/>
        <w:rPr>
          <w:b/>
        </w:rPr>
      </w:pPr>
      <w:bookmarkStart w:id="339" w:name="_Toc7514"/>
      <w:bookmarkStart w:id="340" w:name="_Toc24695"/>
      <w:bookmarkStart w:id="341" w:name="_Toc25559"/>
      <w:bookmarkStart w:id="342" w:name="_Toc1883"/>
      <w:bookmarkStart w:id="343" w:name="_Toc17090"/>
      <w:bookmarkStart w:id="344" w:name="_Toc471482370"/>
      <w:bookmarkStart w:id="345" w:name="_Toc5961"/>
      <w:bookmarkStart w:id="346" w:name="_Toc29495"/>
      <w:bookmarkStart w:id="347" w:name="_Toc30348"/>
      <w:bookmarkStart w:id="348" w:name="_Toc16191"/>
      <w:bookmarkStart w:id="349" w:name="_Toc13042"/>
      <w:bookmarkStart w:id="350" w:name="_Toc28967"/>
      <w:bookmarkStart w:id="351" w:name="_Toc7031"/>
      <w:bookmarkStart w:id="352" w:name="_Toc16376"/>
      <w:bookmarkStart w:id="353" w:name="_Toc889"/>
      <w:bookmarkStart w:id="354" w:name="_Toc31765"/>
      <w:bookmarkStart w:id="355" w:name="_Toc30961"/>
      <w:r>
        <w:rPr>
          <w:rFonts w:hint="eastAsia"/>
          <w:b/>
        </w:rPr>
        <w:t>一、资格审查文件目录</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tabs>
          <w:tab w:val="left" w:pos="826"/>
        </w:tabs>
        <w:spacing w:line="560" w:lineRule="exact"/>
        <w:ind w:left="426"/>
        <w:rPr>
          <w:rFonts w:ascii="宋体"/>
          <w:kern w:val="0"/>
          <w:sz w:val="24"/>
        </w:rPr>
      </w:pPr>
      <w:r>
        <w:rPr>
          <w:rFonts w:hint="eastAsia" w:ascii="宋体" w:hAnsi="宋体"/>
          <w:kern w:val="0"/>
          <w:sz w:val="24"/>
        </w:rPr>
        <w:t>1.诚信声明（原件）</w:t>
      </w:r>
    </w:p>
    <w:p>
      <w:pPr>
        <w:tabs>
          <w:tab w:val="left" w:pos="826"/>
        </w:tabs>
        <w:spacing w:line="560" w:lineRule="exact"/>
        <w:ind w:left="426"/>
        <w:rPr>
          <w:rFonts w:ascii="宋体"/>
          <w:sz w:val="24"/>
        </w:rPr>
      </w:pPr>
      <w:r>
        <w:rPr>
          <w:rFonts w:hint="eastAsia" w:ascii="宋体" w:hAnsi="宋体"/>
          <w:sz w:val="24"/>
        </w:rPr>
        <w:t>2.法定代表人（负责人）资格证明书（原件）</w:t>
      </w:r>
    </w:p>
    <w:p>
      <w:pPr>
        <w:tabs>
          <w:tab w:val="left" w:pos="826"/>
        </w:tabs>
        <w:spacing w:line="560" w:lineRule="exact"/>
        <w:ind w:left="426"/>
        <w:rPr>
          <w:rFonts w:ascii="宋体"/>
          <w:sz w:val="24"/>
        </w:rPr>
      </w:pPr>
      <w:r>
        <w:rPr>
          <w:rFonts w:hint="eastAsia" w:ascii="宋体" w:hAnsi="宋体"/>
          <w:sz w:val="24"/>
        </w:rPr>
        <w:t>3.法定代表人（负责人）身份证明文件（提供复印件</w:t>
      </w:r>
      <w:r>
        <w:rPr>
          <w:rFonts w:hint="eastAsia" w:ascii="宋体" w:hAnsi="宋体"/>
          <w:kern w:val="0"/>
          <w:sz w:val="24"/>
        </w:rPr>
        <w:t>加盖单位公章</w:t>
      </w:r>
      <w:r>
        <w:rPr>
          <w:rFonts w:hint="eastAsia" w:ascii="宋体" w:hAnsi="宋体"/>
          <w:sz w:val="24"/>
        </w:rPr>
        <w:t>）</w:t>
      </w:r>
    </w:p>
    <w:p>
      <w:pPr>
        <w:tabs>
          <w:tab w:val="left" w:pos="826"/>
        </w:tabs>
        <w:spacing w:line="560" w:lineRule="exact"/>
        <w:ind w:left="426"/>
        <w:rPr>
          <w:rFonts w:ascii="宋体"/>
          <w:kern w:val="0"/>
          <w:sz w:val="24"/>
        </w:rPr>
      </w:pPr>
      <w:r>
        <w:rPr>
          <w:rFonts w:hint="eastAsia" w:ascii="宋体" w:hAnsi="宋体"/>
          <w:kern w:val="0"/>
          <w:sz w:val="24"/>
        </w:rPr>
        <w:t>4.比选申请文件签署授权委托书（原件）</w:t>
      </w:r>
    </w:p>
    <w:p>
      <w:pPr>
        <w:tabs>
          <w:tab w:val="left" w:pos="826"/>
        </w:tabs>
        <w:spacing w:line="560" w:lineRule="exact"/>
        <w:ind w:left="426"/>
        <w:rPr>
          <w:rFonts w:ascii="宋体"/>
          <w:kern w:val="0"/>
          <w:sz w:val="24"/>
        </w:rPr>
      </w:pPr>
      <w:r>
        <w:rPr>
          <w:rFonts w:hint="eastAsia" w:ascii="宋体" w:hAnsi="宋体"/>
          <w:kern w:val="0"/>
          <w:sz w:val="24"/>
        </w:rPr>
        <w:t>5.授权代理人身份证明文件（提供复印件加盖单位公章）</w:t>
      </w:r>
    </w:p>
    <w:p>
      <w:pPr>
        <w:tabs>
          <w:tab w:val="left" w:pos="826"/>
        </w:tabs>
        <w:spacing w:line="560" w:lineRule="exact"/>
        <w:ind w:left="426"/>
        <w:rPr>
          <w:rFonts w:ascii="宋体" w:hAnsi="宋体"/>
          <w:kern w:val="0"/>
          <w:sz w:val="24"/>
        </w:rPr>
      </w:pPr>
      <w:r>
        <w:rPr>
          <w:rFonts w:hint="eastAsia" w:ascii="宋体" w:hAnsi="宋体"/>
          <w:kern w:val="0"/>
          <w:sz w:val="24"/>
        </w:rPr>
        <w:t>6.总部授权参与证明（提供复印件加盖单位公章）</w:t>
      </w:r>
    </w:p>
    <w:p>
      <w:pPr>
        <w:tabs>
          <w:tab w:val="left" w:pos="826"/>
        </w:tabs>
        <w:spacing w:line="560" w:lineRule="exact"/>
        <w:ind w:left="426"/>
        <w:rPr>
          <w:rFonts w:ascii="宋体" w:hAnsi="宋体"/>
          <w:kern w:val="0"/>
          <w:sz w:val="24"/>
        </w:rPr>
      </w:pPr>
      <w:r>
        <w:rPr>
          <w:rFonts w:hint="eastAsia" w:ascii="宋体" w:hAnsi="宋体"/>
          <w:kern w:val="0"/>
          <w:sz w:val="24"/>
        </w:rPr>
        <w:t>7.没有处于被行政主管部门或业主取消比选申请资格的处罚期内，且没有处于被责令停业，财产被接管、破产状态证明（复印件加盖单位公章）；</w:t>
      </w:r>
    </w:p>
    <w:p>
      <w:pPr>
        <w:tabs>
          <w:tab w:val="left" w:pos="826"/>
        </w:tabs>
        <w:spacing w:line="560" w:lineRule="exact"/>
        <w:ind w:left="426"/>
        <w:rPr>
          <w:rFonts w:ascii="宋体" w:hAnsi="宋体"/>
          <w:kern w:val="0"/>
          <w:sz w:val="24"/>
        </w:rPr>
      </w:pPr>
      <w:r>
        <w:rPr>
          <w:rFonts w:hint="eastAsia" w:ascii="宋体" w:hAnsi="宋体"/>
          <w:kern w:val="0"/>
          <w:sz w:val="24"/>
        </w:rPr>
        <w:t>8.其他</w:t>
      </w:r>
    </w:p>
    <w:p>
      <w:pPr>
        <w:ind w:right="753"/>
        <w:jc w:val="left"/>
        <w:rPr>
          <w:rFonts w:ascii="宋体" w:cs="宋体"/>
          <w:sz w:val="24"/>
        </w:rPr>
      </w:pPr>
    </w:p>
    <w:p>
      <w:pPr>
        <w:ind w:right="-21" w:firstLine="360" w:firstLineChars="150"/>
        <w:jc w:val="left"/>
        <w:rPr>
          <w:rFonts w:ascii="宋体" w:cs="宋体"/>
          <w:sz w:val="24"/>
        </w:rPr>
      </w:pPr>
      <w:r>
        <w:rPr>
          <w:rFonts w:hint="eastAsia" w:ascii="宋体" w:hAnsi="宋体" w:cs="宋体"/>
          <w:sz w:val="24"/>
        </w:rPr>
        <w:t>备注：以上材料均需加盖单位公章，并按照目录顺序编排，标注页码</w:t>
      </w:r>
    </w:p>
    <w:p>
      <w:pPr>
        <w:jc w:val="left"/>
        <w:rPr>
          <w:rFonts w:ascii="宋体" w:cs="宋体"/>
          <w:sz w:val="24"/>
        </w:rPr>
      </w:pPr>
    </w:p>
    <w:p>
      <w:pPr>
        <w:jc w:val="left"/>
        <w:rPr>
          <w:rFonts w:ascii="宋体" w:cs="宋体"/>
          <w:szCs w:val="28"/>
        </w:rPr>
      </w:pPr>
    </w:p>
    <w:p>
      <w:pPr>
        <w:jc w:val="left"/>
        <w:rPr>
          <w:rFonts w:ascii="宋体" w:cs="宋体"/>
          <w:szCs w:val="28"/>
        </w:rPr>
      </w:pPr>
    </w:p>
    <w:p>
      <w:pPr>
        <w:spacing w:line="560" w:lineRule="exact"/>
        <w:ind w:firstLine="420" w:firstLineChars="200"/>
        <w:jc w:val="center"/>
        <w:rPr>
          <w:rFonts w:ascii="宋体"/>
          <w:b/>
          <w:bCs/>
          <w:sz w:val="28"/>
          <w:szCs w:val="28"/>
        </w:rPr>
      </w:pPr>
      <w:bookmarkStart w:id="356" w:name="_Toc1582"/>
      <w:bookmarkStart w:id="357" w:name="_Toc461525324"/>
      <w:bookmarkStart w:id="358" w:name="_Toc27423"/>
      <w:r>
        <w:br w:type="page"/>
      </w:r>
      <w:bookmarkEnd w:id="356"/>
      <w:bookmarkEnd w:id="357"/>
      <w:bookmarkEnd w:id="358"/>
      <w:bookmarkStart w:id="359" w:name="_Toc15465"/>
      <w:bookmarkStart w:id="360" w:name="_Toc26924"/>
      <w:bookmarkStart w:id="361" w:name="_Toc24466"/>
      <w:bookmarkStart w:id="362" w:name="_Toc29347"/>
      <w:bookmarkStart w:id="363" w:name="_Toc32325"/>
      <w:bookmarkStart w:id="364" w:name="_Toc29655"/>
      <w:bookmarkStart w:id="365" w:name="_Toc15071"/>
      <w:bookmarkStart w:id="366" w:name="_Toc30157"/>
      <w:bookmarkStart w:id="367" w:name="_Toc461525329"/>
      <w:bookmarkStart w:id="368" w:name="_Toc17531"/>
      <w:bookmarkStart w:id="369" w:name="_Toc18804"/>
      <w:bookmarkStart w:id="370" w:name="_Toc14714"/>
      <w:r>
        <w:rPr>
          <w:rFonts w:ascii="宋体" w:hAnsi="宋体"/>
          <w:b/>
          <w:bCs/>
          <w:sz w:val="28"/>
          <w:szCs w:val="28"/>
        </w:rPr>
        <w:t>1.</w:t>
      </w:r>
      <w:r>
        <w:rPr>
          <w:rFonts w:hint="eastAsia" w:ascii="宋体" w:hAnsi="宋体"/>
          <w:b/>
          <w:bCs/>
          <w:sz w:val="28"/>
          <w:szCs w:val="28"/>
        </w:rPr>
        <w:t>诚信声明</w:t>
      </w:r>
    </w:p>
    <w:p>
      <w:pPr>
        <w:spacing w:line="560" w:lineRule="exact"/>
        <w:ind w:firstLine="420" w:firstLineChars="200"/>
        <w:rPr>
          <w:rFonts w:ascii="宋体"/>
        </w:rPr>
      </w:pPr>
    </w:p>
    <w:p>
      <w:pPr>
        <w:spacing w:line="540" w:lineRule="exact"/>
        <w:ind w:firstLine="470" w:firstLineChars="196"/>
        <w:rPr>
          <w:rFonts w:ascii="宋体"/>
          <w:sz w:val="24"/>
        </w:rPr>
      </w:pPr>
      <w:r>
        <w:rPr>
          <w:rFonts w:hint="eastAsia" w:ascii="宋体" w:hAnsi="宋体"/>
          <w:sz w:val="24"/>
        </w:rPr>
        <w:t>本人</w:t>
      </w:r>
      <w:r>
        <w:rPr>
          <w:rFonts w:ascii="宋体" w:hAnsi="宋体"/>
          <w:sz w:val="24"/>
        </w:rPr>
        <w:t xml:space="preserve">       </w:t>
      </w:r>
      <w:r>
        <w:rPr>
          <w:rFonts w:hint="eastAsia" w:ascii="宋体" w:hAnsi="宋体"/>
          <w:sz w:val="24"/>
        </w:rPr>
        <w:t>（法定代表人（负责人）、身份证号码</w:t>
      </w:r>
      <w:r>
        <w:rPr>
          <w:rFonts w:ascii="宋体" w:hAnsi="宋体"/>
          <w:sz w:val="24"/>
        </w:rPr>
        <w:t xml:space="preserve">              </w:t>
      </w:r>
      <w:r>
        <w:rPr>
          <w:rFonts w:hint="eastAsia" w:ascii="宋体" w:hAnsi="宋体"/>
          <w:sz w:val="24"/>
        </w:rPr>
        <w:t>）郑重声明：</w:t>
      </w:r>
    </w:p>
    <w:p>
      <w:pPr>
        <w:spacing w:line="540" w:lineRule="exact"/>
        <w:ind w:firstLine="470" w:firstLineChars="196"/>
        <w:rPr>
          <w:rFonts w:ascii="宋体"/>
          <w:sz w:val="24"/>
        </w:rPr>
      </w:pPr>
      <w:r>
        <w:rPr>
          <w:rFonts w:ascii="宋体" w:hAnsi="宋体"/>
          <w:sz w:val="24"/>
        </w:rPr>
        <w:t>1.</w:t>
      </w:r>
      <w:r>
        <w:rPr>
          <w:rFonts w:hint="eastAsia" w:ascii="宋体" w:hAnsi="宋体"/>
          <w:sz w:val="24"/>
        </w:rPr>
        <w:t>本企业参加</w:t>
      </w:r>
      <w:r>
        <w:rPr>
          <w:rFonts w:ascii="宋体" w:hAnsi="宋体"/>
          <w:sz w:val="24"/>
          <w:u w:val="single"/>
        </w:rPr>
        <w:t xml:space="preserve">                   </w:t>
      </w:r>
      <w:r>
        <w:rPr>
          <w:rFonts w:ascii="宋体" w:hAnsi="宋体"/>
          <w:b/>
          <w:sz w:val="24"/>
          <w:u w:val="single"/>
        </w:rPr>
        <w:t xml:space="preserve">  </w:t>
      </w:r>
      <w:r>
        <w:rPr>
          <w:rFonts w:hint="eastAsia" w:ascii="宋体" w:hAnsi="宋体"/>
          <w:sz w:val="24"/>
        </w:rPr>
        <w:t>项目比选活动所提交的所有资料、填写数据及所包含的附件资料内容是真实的、合法的、有效的；</w:t>
      </w:r>
    </w:p>
    <w:p>
      <w:pPr>
        <w:spacing w:line="540" w:lineRule="exact"/>
        <w:ind w:firstLine="470" w:firstLineChars="196"/>
        <w:rPr>
          <w:rFonts w:ascii="宋体"/>
          <w:sz w:val="24"/>
        </w:rPr>
      </w:pPr>
      <w:r>
        <w:rPr>
          <w:rFonts w:ascii="宋体" w:hAnsi="宋体"/>
          <w:sz w:val="24"/>
        </w:rPr>
        <w:t>2.</w:t>
      </w:r>
      <w:r>
        <w:rPr>
          <w:rFonts w:hint="eastAsia" w:ascii="宋体" w:hAnsi="宋体"/>
          <w:sz w:val="24"/>
        </w:rPr>
        <w:t>本企业未被国家、广西壮族自治区、南宁市相关行政主管部门通报停止投标活动，无犯罪行贿记录；</w:t>
      </w:r>
    </w:p>
    <w:p>
      <w:pPr>
        <w:spacing w:line="540" w:lineRule="exact"/>
        <w:ind w:firstLine="470" w:firstLineChars="196"/>
        <w:rPr>
          <w:rFonts w:ascii="宋体"/>
          <w:sz w:val="24"/>
        </w:rPr>
      </w:pPr>
      <w:r>
        <w:rPr>
          <w:rFonts w:ascii="宋体" w:hAnsi="宋体"/>
          <w:sz w:val="24"/>
        </w:rPr>
        <w:t>3.</w:t>
      </w:r>
      <w:r>
        <w:rPr>
          <w:rFonts w:hint="eastAsia" w:ascii="宋体" w:hAnsi="宋体"/>
          <w:sz w:val="24"/>
        </w:rPr>
        <w:t>同时，我方在此所作的声明也是真实有效的，并愿意对在比选过程中有关部门的调查结果承担责任；</w:t>
      </w:r>
    </w:p>
    <w:p>
      <w:pPr>
        <w:spacing w:line="540" w:lineRule="exact"/>
        <w:ind w:firstLine="470" w:firstLineChars="196"/>
        <w:rPr>
          <w:rFonts w:ascii="宋体"/>
          <w:sz w:val="24"/>
        </w:rPr>
      </w:pPr>
      <w:r>
        <w:rPr>
          <w:rFonts w:ascii="宋体" w:hAnsi="宋体"/>
          <w:sz w:val="24"/>
        </w:rPr>
        <w:t>4.</w:t>
      </w:r>
      <w:r>
        <w:rPr>
          <w:rFonts w:hint="eastAsia" w:ascii="宋体" w:hAnsi="宋体"/>
          <w:sz w:val="24"/>
        </w:rPr>
        <w:t>本企业提交的所有比选申请资料如有不实，愿接受相关部门依据有关法律法规给予的处罚。</w:t>
      </w:r>
    </w:p>
    <w:p>
      <w:pPr>
        <w:spacing w:line="540" w:lineRule="exact"/>
        <w:ind w:firstLine="470" w:firstLineChars="196"/>
        <w:rPr>
          <w:rFonts w:ascii="宋体"/>
          <w:sz w:val="24"/>
        </w:rPr>
      </w:pPr>
      <w:r>
        <w:rPr>
          <w:rFonts w:ascii="宋体" w:hAnsi="宋体"/>
          <w:sz w:val="24"/>
        </w:rPr>
        <w:t>5.</w:t>
      </w:r>
      <w:r>
        <w:rPr>
          <w:rFonts w:hint="eastAsia" w:ascii="宋体" w:hAnsi="宋体"/>
          <w:sz w:val="24"/>
        </w:rPr>
        <w:t>本企业提供的服务不存在知识产权或专利纠纷，保证甲方能正常使用本企业所提供的服务。</w:t>
      </w:r>
    </w:p>
    <w:p>
      <w:pPr>
        <w:spacing w:line="540" w:lineRule="exact"/>
        <w:ind w:firstLine="470" w:firstLineChars="196"/>
        <w:rPr>
          <w:rFonts w:ascii="宋体"/>
          <w:sz w:val="24"/>
        </w:rPr>
      </w:pPr>
      <w:r>
        <w:rPr>
          <w:rFonts w:ascii="宋体" w:hAnsi="宋体"/>
          <w:sz w:val="24"/>
        </w:rPr>
        <w:t>6.</w:t>
      </w:r>
      <w:r>
        <w:rPr>
          <w:rFonts w:hint="eastAsia" w:ascii="宋体" w:hAnsi="宋体"/>
          <w:sz w:val="24"/>
        </w:rPr>
        <w:t>其他……</w:t>
      </w:r>
    </w:p>
    <w:p>
      <w:pPr>
        <w:spacing w:line="360" w:lineRule="auto"/>
        <w:ind w:firstLine="470" w:firstLineChars="196"/>
        <w:rPr>
          <w:rFonts w:ascii="宋体"/>
          <w:sz w:val="24"/>
        </w:rPr>
      </w:pPr>
    </w:p>
    <w:p>
      <w:pPr>
        <w:spacing w:line="360" w:lineRule="auto"/>
        <w:ind w:firstLine="470" w:firstLineChars="196"/>
        <w:rPr>
          <w:rFonts w:ascii="宋体"/>
          <w:sz w:val="24"/>
        </w:rPr>
      </w:pPr>
    </w:p>
    <w:p>
      <w:pPr>
        <w:spacing w:line="360" w:lineRule="auto"/>
        <w:rPr>
          <w:rFonts w:ascii="宋体" w:cs="宋体"/>
          <w:sz w:val="24"/>
        </w:rPr>
      </w:pPr>
    </w:p>
    <w:p>
      <w:pPr>
        <w:spacing w:line="360" w:lineRule="auto"/>
        <w:rPr>
          <w:rFonts w:ascii="宋体" w:cs="宋体"/>
          <w:sz w:val="24"/>
        </w:rPr>
      </w:pPr>
      <w:r>
        <w:rPr>
          <w:rFonts w:hint="eastAsia" w:ascii="宋体" w:hAnsi="宋体" w:cs="宋体"/>
          <w:sz w:val="24"/>
        </w:rPr>
        <w:t>比选申请人：（加盖单位公章）</w:t>
      </w:r>
    </w:p>
    <w:p>
      <w:pPr>
        <w:spacing w:line="360" w:lineRule="auto"/>
        <w:ind w:firstLine="470" w:firstLineChars="196"/>
        <w:rPr>
          <w:rFonts w:ascii="宋体"/>
          <w:sz w:val="24"/>
        </w:rPr>
      </w:pPr>
    </w:p>
    <w:p>
      <w:pPr>
        <w:spacing w:line="360" w:lineRule="auto"/>
        <w:rPr>
          <w:rFonts w:ascii="宋体"/>
          <w:sz w:val="24"/>
        </w:rPr>
      </w:pPr>
      <w:r>
        <w:rPr>
          <w:rFonts w:hint="eastAsia" w:ascii="宋体" w:hAnsi="宋体" w:cs="宋体"/>
          <w:sz w:val="24"/>
        </w:rPr>
        <w:t>法定代表人（负责人）或委托代理人</w:t>
      </w:r>
      <w:r>
        <w:rPr>
          <w:rFonts w:hint="eastAsia" w:ascii="宋体" w:hAnsi="宋体"/>
          <w:sz w:val="24"/>
        </w:rPr>
        <w:t>：（签字）</w:t>
      </w:r>
    </w:p>
    <w:p>
      <w:pPr>
        <w:spacing w:line="360" w:lineRule="auto"/>
        <w:ind w:firstLine="470" w:firstLineChars="196"/>
        <w:rPr>
          <w:rFonts w:ascii="宋体"/>
          <w:sz w:val="24"/>
        </w:rPr>
      </w:pPr>
    </w:p>
    <w:p>
      <w:pPr>
        <w:spacing w:line="360" w:lineRule="auto"/>
        <w:rPr>
          <w:rFonts w:ascii="宋体" w:cs="宋体"/>
          <w:sz w:val="24"/>
        </w:rPr>
      </w:pPr>
      <w:r>
        <w:rPr>
          <w:rFonts w:hint="eastAsia" w:ascii="宋体" w:hAnsi="宋体" w:cs="宋体"/>
          <w:sz w:val="24"/>
        </w:rPr>
        <w:t>日期：　　年</w:t>
      </w:r>
      <w:r>
        <w:rPr>
          <w:rFonts w:ascii="宋体" w:hAnsi="宋体" w:cs="宋体"/>
          <w:sz w:val="24"/>
        </w:rPr>
        <w:t xml:space="preserve">   </w:t>
      </w:r>
      <w:r>
        <w:rPr>
          <w:rFonts w:hint="eastAsia" w:ascii="宋体" w:hAnsi="宋体" w:cs="宋体"/>
          <w:sz w:val="24"/>
        </w:rPr>
        <w:t>月</w:t>
      </w:r>
      <w:r>
        <w:rPr>
          <w:rFonts w:ascii="宋体" w:hAnsi="宋体" w:cs="宋体"/>
          <w:sz w:val="24"/>
        </w:rPr>
        <w:t xml:space="preserve">    </w:t>
      </w:r>
      <w:r>
        <w:rPr>
          <w:rFonts w:hint="eastAsia" w:ascii="宋体" w:hAnsi="宋体" w:cs="宋体"/>
          <w:sz w:val="24"/>
        </w:rPr>
        <w:t>日</w:t>
      </w:r>
    </w:p>
    <w:p>
      <w:pPr>
        <w:spacing w:line="360" w:lineRule="auto"/>
        <w:ind w:firstLine="470" w:firstLineChars="196"/>
        <w:rPr>
          <w:sz w:val="24"/>
        </w:rPr>
      </w:pPr>
    </w:p>
    <w:p>
      <w:pPr>
        <w:spacing w:line="360" w:lineRule="auto"/>
        <w:ind w:firstLine="470" w:firstLineChars="196"/>
        <w:rPr>
          <w:sz w:val="24"/>
        </w:rPr>
      </w:pPr>
    </w:p>
    <w:p>
      <w:pPr>
        <w:spacing w:line="360" w:lineRule="auto"/>
        <w:ind w:firstLine="470" w:firstLineChars="196"/>
        <w:rPr>
          <w:sz w:val="24"/>
        </w:rPr>
      </w:pPr>
    </w:p>
    <w:p>
      <w:pPr>
        <w:spacing w:line="360" w:lineRule="auto"/>
        <w:ind w:firstLine="470" w:firstLineChars="196"/>
        <w:rPr>
          <w:sz w:val="24"/>
        </w:rPr>
      </w:pPr>
    </w:p>
    <w:p>
      <w:pPr>
        <w:spacing w:line="360" w:lineRule="auto"/>
        <w:ind w:firstLine="470" w:firstLineChars="196"/>
        <w:rPr>
          <w:sz w:val="24"/>
        </w:rPr>
      </w:pPr>
    </w:p>
    <w:bookmarkEnd w:id="359"/>
    <w:bookmarkEnd w:id="360"/>
    <w:bookmarkEnd w:id="361"/>
    <w:bookmarkEnd w:id="362"/>
    <w:bookmarkEnd w:id="363"/>
    <w:bookmarkEnd w:id="364"/>
    <w:bookmarkEnd w:id="365"/>
    <w:bookmarkEnd w:id="366"/>
    <w:bookmarkEnd w:id="367"/>
    <w:bookmarkEnd w:id="368"/>
    <w:bookmarkEnd w:id="369"/>
    <w:bookmarkEnd w:id="370"/>
    <w:p>
      <w:pPr>
        <w:jc w:val="center"/>
        <w:rPr>
          <w:rFonts w:ascii="宋体"/>
          <w:b/>
          <w:kern w:val="0"/>
          <w:sz w:val="28"/>
          <w:szCs w:val="28"/>
        </w:rPr>
      </w:pPr>
      <w:bookmarkStart w:id="371" w:name="_Toc7760"/>
      <w:bookmarkStart w:id="372" w:name="_Toc6606"/>
      <w:bookmarkStart w:id="373" w:name="_Toc19937"/>
      <w:bookmarkStart w:id="374" w:name="_Toc750"/>
      <w:bookmarkStart w:id="375" w:name="_Toc28436"/>
      <w:bookmarkStart w:id="376" w:name="_Toc3498"/>
      <w:bookmarkStart w:id="377" w:name="_Toc32075"/>
      <w:bookmarkStart w:id="378" w:name="_Toc16756"/>
      <w:bookmarkStart w:id="379" w:name="_Toc25670"/>
      <w:r>
        <w:rPr>
          <w:rFonts w:ascii="宋体" w:hAnsi="宋体"/>
          <w:b/>
          <w:kern w:val="0"/>
          <w:sz w:val="28"/>
          <w:szCs w:val="28"/>
        </w:rPr>
        <w:t>2.</w:t>
      </w:r>
      <w:r>
        <w:rPr>
          <w:rFonts w:hint="eastAsia" w:ascii="宋体" w:hAnsi="宋体"/>
          <w:b/>
          <w:kern w:val="0"/>
          <w:sz w:val="28"/>
          <w:szCs w:val="28"/>
        </w:rPr>
        <w:t>法定代表人（负责人）资格证明书</w:t>
      </w:r>
    </w:p>
    <w:p>
      <w:pPr>
        <w:rPr>
          <w:rFonts w:ascii="宋体"/>
          <w:b/>
          <w:sz w:val="36"/>
        </w:rPr>
      </w:pPr>
    </w:p>
    <w:p>
      <w:pPr>
        <w:rPr>
          <w:rFonts w:ascii="宋体"/>
          <w:b/>
        </w:rPr>
      </w:pPr>
    </w:p>
    <w:p>
      <w:pPr>
        <w:spacing w:line="360" w:lineRule="auto"/>
        <w:ind w:firstLine="612"/>
        <w:rPr>
          <w:rFonts w:ascii="宋体"/>
          <w:sz w:val="24"/>
        </w:rPr>
      </w:pPr>
      <w:r>
        <w:rPr>
          <w:rFonts w:hint="eastAsia" w:ascii="宋体" w:hAnsi="宋体"/>
          <w:sz w:val="24"/>
        </w:rPr>
        <w:t>单位名称：</w:t>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p>
    <w:p>
      <w:pPr>
        <w:spacing w:line="360" w:lineRule="auto"/>
        <w:ind w:firstLine="612"/>
        <w:rPr>
          <w:rFonts w:ascii="宋体"/>
          <w:sz w:val="24"/>
        </w:rPr>
      </w:pPr>
    </w:p>
    <w:p>
      <w:pPr>
        <w:spacing w:line="360" w:lineRule="auto"/>
        <w:ind w:firstLine="610"/>
        <w:rPr>
          <w:rFonts w:ascii="宋体"/>
          <w:sz w:val="24"/>
          <w:u w:val="single"/>
        </w:rPr>
      </w:pPr>
      <w:r>
        <w:rPr>
          <w:rFonts w:hint="eastAsia" w:ascii="宋体" w:hAnsi="宋体"/>
          <w:sz w:val="24"/>
        </w:rPr>
        <w:t>单位性质：</w:t>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p>
    <w:p>
      <w:pPr>
        <w:spacing w:line="360" w:lineRule="auto"/>
        <w:ind w:firstLine="610"/>
        <w:rPr>
          <w:rFonts w:ascii="宋体"/>
          <w:sz w:val="24"/>
        </w:rPr>
      </w:pPr>
    </w:p>
    <w:p>
      <w:pPr>
        <w:spacing w:line="360" w:lineRule="auto"/>
        <w:ind w:firstLine="610"/>
        <w:rPr>
          <w:rFonts w:ascii="宋体"/>
          <w:sz w:val="24"/>
          <w:u w:val="single"/>
        </w:rPr>
      </w:pPr>
      <w:r>
        <w:rPr>
          <w:rFonts w:hint="eastAsia" w:ascii="宋体" w:hAnsi="宋体"/>
          <w:sz w:val="24"/>
        </w:rPr>
        <w:t>地</w:t>
      </w:r>
      <w:r>
        <w:rPr>
          <w:rFonts w:ascii="宋体" w:hAnsi="宋体"/>
          <w:sz w:val="24"/>
        </w:rPr>
        <w:t xml:space="preserve">    </w:t>
      </w:r>
      <w:r>
        <w:rPr>
          <w:rFonts w:hint="eastAsia" w:ascii="宋体" w:hAnsi="宋体"/>
          <w:sz w:val="24"/>
        </w:rPr>
        <w:t>址：</w:t>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hAnsi="宋体"/>
          <w:sz w:val="24"/>
          <w:u w:val="single"/>
        </w:rPr>
        <w:t xml:space="preserve">     </w:t>
      </w:r>
      <w:r>
        <w:rPr>
          <w:rFonts w:ascii="宋体" w:hAnsi="宋体"/>
          <w:sz w:val="24"/>
          <w:u w:val="single"/>
        </w:rPr>
        <w:tab/>
      </w:r>
      <w:r>
        <w:rPr>
          <w:rFonts w:ascii="宋体" w:hAnsi="宋体"/>
          <w:sz w:val="24"/>
          <w:u w:val="single"/>
        </w:rPr>
        <w:tab/>
      </w:r>
    </w:p>
    <w:p>
      <w:pPr>
        <w:spacing w:line="360" w:lineRule="auto"/>
        <w:ind w:firstLine="610"/>
        <w:rPr>
          <w:rFonts w:ascii="宋体"/>
          <w:sz w:val="24"/>
        </w:rPr>
      </w:pPr>
    </w:p>
    <w:p>
      <w:pPr>
        <w:spacing w:line="360" w:lineRule="auto"/>
        <w:ind w:firstLine="610"/>
        <w:rPr>
          <w:rFonts w:ascii="宋体"/>
          <w:sz w:val="24"/>
        </w:rPr>
      </w:pPr>
      <w:r>
        <w:rPr>
          <w:rFonts w:hint="eastAsia" w:ascii="宋体" w:hAnsi="宋体"/>
          <w:sz w:val="24"/>
        </w:rPr>
        <w:t>成立时间：</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spacing w:line="360" w:lineRule="auto"/>
        <w:ind w:firstLine="610"/>
        <w:rPr>
          <w:rFonts w:ascii="宋体"/>
          <w:sz w:val="24"/>
        </w:rPr>
      </w:pPr>
    </w:p>
    <w:p>
      <w:pPr>
        <w:spacing w:line="360" w:lineRule="auto"/>
        <w:ind w:firstLine="610"/>
        <w:rPr>
          <w:rFonts w:ascii="宋体"/>
          <w:sz w:val="24"/>
          <w:u w:val="single"/>
        </w:rPr>
      </w:pPr>
      <w:r>
        <w:rPr>
          <w:rFonts w:hint="eastAsia" w:ascii="宋体" w:hAnsi="宋体"/>
          <w:sz w:val="24"/>
        </w:rPr>
        <w:t>经营期限：</w:t>
      </w:r>
      <w:r>
        <w:rPr>
          <w:rFonts w:ascii="宋体"/>
          <w:sz w:val="24"/>
          <w:u w:val="single"/>
        </w:rPr>
        <w:tab/>
      </w:r>
      <w:r>
        <w:rPr>
          <w:rFonts w:ascii="宋体" w:hAnsi="宋体"/>
          <w:sz w:val="24"/>
          <w:u w:val="single"/>
        </w:rPr>
        <w:t xml:space="preserve">       </w:t>
      </w:r>
      <w:r>
        <w:rPr>
          <w:rFonts w:ascii="宋体" w:hAnsi="宋体"/>
          <w:sz w:val="24"/>
          <w:u w:val="single"/>
        </w:rPr>
        <w:tab/>
      </w:r>
    </w:p>
    <w:p>
      <w:pPr>
        <w:spacing w:line="360" w:lineRule="auto"/>
        <w:ind w:firstLine="610"/>
        <w:rPr>
          <w:rFonts w:ascii="宋体"/>
          <w:sz w:val="24"/>
        </w:rPr>
      </w:pPr>
    </w:p>
    <w:p>
      <w:pPr>
        <w:spacing w:line="360" w:lineRule="auto"/>
        <w:ind w:firstLine="610"/>
        <w:rPr>
          <w:rFonts w:ascii="宋体"/>
          <w:sz w:val="24"/>
          <w:u w:val="single"/>
        </w:rPr>
      </w:pPr>
      <w:r>
        <w:rPr>
          <w:rFonts w:hint="eastAsia" w:ascii="宋体" w:hAnsi="宋体"/>
          <w:sz w:val="24"/>
        </w:rPr>
        <w:t>姓</w:t>
      </w:r>
      <w:r>
        <w:rPr>
          <w:rFonts w:ascii="宋体" w:hAnsi="宋体"/>
          <w:sz w:val="24"/>
        </w:rPr>
        <w:t xml:space="preserve">    </w:t>
      </w:r>
      <w:r>
        <w:rPr>
          <w:rFonts w:hint="eastAsia" w:ascii="宋体" w:hAnsi="宋体"/>
          <w:sz w:val="24"/>
        </w:rPr>
        <w:t>名：</w:t>
      </w:r>
      <w:r>
        <w:rPr>
          <w:rFonts w:ascii="宋体" w:hAnsi="宋体"/>
          <w:sz w:val="24"/>
        </w:rPr>
        <w:t xml:space="preserve">  </w:t>
      </w:r>
      <w:r>
        <w:rPr>
          <w:rFonts w:hint="eastAsia" w:ascii="宋体" w:hAnsi="宋体"/>
          <w:sz w:val="24"/>
        </w:rPr>
        <w:t>性</w:t>
      </w:r>
      <w:r>
        <w:rPr>
          <w:rFonts w:ascii="宋体" w:hAnsi="宋体"/>
          <w:sz w:val="24"/>
        </w:rPr>
        <w:t xml:space="preserve">   </w:t>
      </w:r>
      <w:r>
        <w:rPr>
          <w:rFonts w:hint="eastAsia" w:ascii="宋体" w:hAnsi="宋体"/>
          <w:sz w:val="24"/>
        </w:rPr>
        <w:t>别：</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龄：</w:t>
      </w:r>
      <w:r>
        <w:rPr>
          <w:rFonts w:ascii="宋体" w:hAnsi="宋体"/>
          <w:sz w:val="24"/>
        </w:rPr>
        <w:t xml:space="preserve">   </w:t>
      </w:r>
      <w:r>
        <w:rPr>
          <w:rFonts w:hint="eastAsia" w:ascii="宋体" w:hAnsi="宋体"/>
          <w:sz w:val="24"/>
        </w:rPr>
        <w:t>职务：</w:t>
      </w:r>
      <w:r>
        <w:rPr>
          <w:rFonts w:ascii="宋体"/>
          <w:sz w:val="24"/>
          <w:u w:val="single"/>
        </w:rPr>
        <w:tab/>
      </w:r>
      <w:r>
        <w:rPr>
          <w:rFonts w:ascii="宋体"/>
          <w:sz w:val="24"/>
          <w:u w:val="single"/>
        </w:rPr>
        <w:tab/>
      </w:r>
    </w:p>
    <w:p>
      <w:pPr>
        <w:spacing w:line="360" w:lineRule="auto"/>
        <w:ind w:firstLine="610"/>
        <w:rPr>
          <w:rFonts w:ascii="宋体"/>
          <w:sz w:val="24"/>
        </w:rPr>
      </w:pPr>
    </w:p>
    <w:p>
      <w:pPr>
        <w:spacing w:line="360" w:lineRule="auto"/>
        <w:ind w:firstLine="610"/>
        <w:rPr>
          <w:rFonts w:ascii="宋体"/>
          <w:sz w:val="24"/>
        </w:rPr>
      </w:pPr>
      <w:r>
        <w:rPr>
          <w:rFonts w:hint="eastAsia" w:ascii="宋体" w:hAnsi="宋体"/>
          <w:sz w:val="24"/>
        </w:rPr>
        <w:t>系</w:t>
      </w:r>
      <w:r>
        <w:rPr>
          <w:rFonts w:ascii="宋体" w:hAnsi="宋体"/>
          <w:sz w:val="24"/>
          <w:u w:val="single"/>
        </w:rPr>
        <w:t xml:space="preserve">          </w:t>
      </w:r>
      <w:r>
        <w:rPr>
          <w:rFonts w:hint="eastAsia" w:ascii="宋体" w:hAnsi="宋体"/>
          <w:sz w:val="24"/>
          <w:u w:val="single"/>
        </w:rPr>
        <w:t>（比选申请人单位名称）</w:t>
      </w:r>
      <w:r>
        <w:rPr>
          <w:rFonts w:ascii="宋体" w:hAnsi="宋体"/>
          <w:sz w:val="24"/>
          <w:u w:val="single"/>
        </w:rPr>
        <w:t xml:space="preserve">         </w:t>
      </w:r>
      <w:r>
        <w:rPr>
          <w:rFonts w:hint="eastAsia" w:ascii="宋体" w:hAnsi="宋体"/>
          <w:sz w:val="24"/>
        </w:rPr>
        <w:t>的法定代表人（负责人）。</w:t>
      </w:r>
    </w:p>
    <w:p>
      <w:pPr>
        <w:spacing w:line="360" w:lineRule="auto"/>
        <w:ind w:firstLine="610"/>
        <w:rPr>
          <w:rFonts w:ascii="宋体"/>
          <w:sz w:val="24"/>
        </w:rPr>
      </w:pPr>
    </w:p>
    <w:p>
      <w:pPr>
        <w:spacing w:line="360" w:lineRule="auto"/>
        <w:ind w:firstLine="610"/>
        <w:rPr>
          <w:rFonts w:ascii="宋体"/>
          <w:sz w:val="24"/>
        </w:rPr>
      </w:pPr>
      <w:r>
        <w:rPr>
          <w:rFonts w:hint="eastAsia" w:ascii="宋体" w:hAnsi="宋体"/>
          <w:sz w:val="24"/>
        </w:rPr>
        <w:t>特此证明。</w:t>
      </w:r>
    </w:p>
    <w:p>
      <w:pPr>
        <w:tabs>
          <w:tab w:val="left" w:pos="720"/>
          <w:tab w:val="left" w:pos="900"/>
        </w:tabs>
        <w:spacing w:line="360" w:lineRule="auto"/>
        <w:rPr>
          <w:rFonts w:ascii="宋体"/>
          <w:sz w:val="24"/>
        </w:rPr>
      </w:pPr>
    </w:p>
    <w:p>
      <w:pPr>
        <w:tabs>
          <w:tab w:val="left" w:pos="720"/>
          <w:tab w:val="left" w:pos="900"/>
        </w:tabs>
        <w:spacing w:line="360" w:lineRule="auto"/>
        <w:jc w:val="center"/>
        <w:rPr>
          <w:rFonts w:ascii="宋体"/>
          <w:sz w:val="24"/>
        </w:rPr>
      </w:pPr>
      <w:r>
        <w:rPr>
          <w:rFonts w:ascii="宋体" w:hAnsi="宋体"/>
          <w:sz w:val="24"/>
        </w:rPr>
        <w:t xml:space="preserve">                           </w:t>
      </w:r>
      <w:r>
        <w:rPr>
          <w:rFonts w:hint="eastAsia" w:ascii="宋体" w:hAnsi="宋体"/>
          <w:sz w:val="24"/>
        </w:rPr>
        <w:t>比选申请人：</w:t>
      </w:r>
      <w:r>
        <w:rPr>
          <w:rFonts w:ascii="宋体" w:hAnsi="宋体"/>
          <w:sz w:val="24"/>
          <w:u w:val="single"/>
        </w:rPr>
        <w:t xml:space="preserve">     </w:t>
      </w:r>
      <w:r>
        <w:rPr>
          <w:rFonts w:hint="eastAsia" w:ascii="宋体" w:hAnsi="宋体"/>
          <w:sz w:val="24"/>
          <w:u w:val="single"/>
        </w:rPr>
        <w:t>（加盖单位公章）</w:t>
      </w:r>
      <w:r>
        <w:rPr>
          <w:rFonts w:ascii="宋体" w:hAnsi="宋体"/>
          <w:sz w:val="24"/>
          <w:u w:val="single"/>
        </w:rPr>
        <w:t xml:space="preserve">    </w:t>
      </w:r>
    </w:p>
    <w:p>
      <w:pPr>
        <w:spacing w:line="360" w:lineRule="auto"/>
        <w:jc w:val="center"/>
        <w:rPr>
          <w:rFonts w:ascii="宋体"/>
          <w:sz w:val="24"/>
        </w:rPr>
      </w:pPr>
      <w:r>
        <w:rPr>
          <w:rFonts w:ascii="宋体" w:hAnsi="宋体"/>
          <w:sz w:val="24"/>
        </w:rPr>
        <w:t xml:space="preserve">                                  </w:t>
      </w:r>
      <w:r>
        <w:rPr>
          <w:rFonts w:hint="eastAsia" w:ascii="宋体" w:hAnsi="宋体"/>
          <w:sz w:val="24"/>
        </w:rPr>
        <w:t>日</w:t>
      </w:r>
      <w:r>
        <w:rPr>
          <w:rFonts w:ascii="宋体" w:hAnsi="宋体"/>
          <w:sz w:val="24"/>
        </w:rPr>
        <w:t xml:space="preserve">  </w:t>
      </w:r>
      <w:r>
        <w:rPr>
          <w:rFonts w:hint="eastAsia" w:ascii="宋体" w:hAnsi="宋体"/>
          <w:sz w:val="24"/>
        </w:rPr>
        <w:t>期：</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spacing w:line="600" w:lineRule="exact"/>
        <w:jc w:val="center"/>
        <w:rPr>
          <w:sz w:val="28"/>
          <w:szCs w:val="28"/>
        </w:rPr>
      </w:pPr>
      <w:r>
        <w:rPr>
          <w:rFonts w:ascii="楷体_GB2312" w:eastAsia="楷体_GB2312"/>
          <w:b/>
          <w:sz w:val="24"/>
        </w:rPr>
        <w:br w:type="page"/>
      </w:r>
      <w:bookmarkEnd w:id="371"/>
      <w:bookmarkEnd w:id="372"/>
      <w:bookmarkEnd w:id="373"/>
      <w:bookmarkEnd w:id="374"/>
      <w:bookmarkEnd w:id="375"/>
      <w:bookmarkEnd w:id="376"/>
      <w:bookmarkEnd w:id="377"/>
      <w:bookmarkEnd w:id="378"/>
      <w:bookmarkEnd w:id="379"/>
      <w:r>
        <w:rPr>
          <w:rFonts w:ascii="宋体" w:hAnsi="宋体"/>
          <w:b/>
          <w:kern w:val="0"/>
          <w:sz w:val="28"/>
          <w:szCs w:val="28"/>
        </w:rPr>
        <w:t>3.</w:t>
      </w:r>
      <w:r>
        <w:rPr>
          <w:rFonts w:hint="eastAsia" w:ascii="宋体" w:hAnsi="宋体"/>
          <w:b/>
          <w:kern w:val="0"/>
          <w:sz w:val="28"/>
          <w:szCs w:val="28"/>
        </w:rPr>
        <w:t>法定代表人（负责人）身份证明文件（提供复印件加盖单位公章）</w:t>
      </w:r>
    </w:p>
    <w:p>
      <w:pPr>
        <w:rPr>
          <w:sz w:val="28"/>
          <w:szCs w:val="28"/>
        </w:rPr>
      </w:pPr>
    </w:p>
    <w:p/>
    <w:p/>
    <w:p/>
    <w:p/>
    <w:p/>
    <w:p/>
    <w:p/>
    <w:p/>
    <w:p/>
    <w:p/>
    <w:p/>
    <w:p/>
    <w:p/>
    <w:p/>
    <w:p/>
    <w:p/>
    <w:p/>
    <w:p/>
    <w:p/>
    <w:p/>
    <w:p/>
    <w:p/>
    <w:p/>
    <w:p/>
    <w:p/>
    <w:p/>
    <w:p/>
    <w:p/>
    <w:p/>
    <w:p/>
    <w:p/>
    <w:p/>
    <w:p/>
    <w:p/>
    <w:p/>
    <w:p/>
    <w:p/>
    <w:p/>
    <w:p/>
    <w:p/>
    <w:p>
      <w:pPr>
        <w:autoSpaceDE w:val="0"/>
        <w:autoSpaceDN w:val="0"/>
        <w:adjustRightInd w:val="0"/>
        <w:spacing w:line="480" w:lineRule="auto"/>
        <w:jc w:val="center"/>
        <w:rPr>
          <w:rFonts w:ascii="宋体"/>
          <w:b/>
          <w:kern w:val="0"/>
          <w:sz w:val="28"/>
          <w:szCs w:val="28"/>
        </w:rPr>
      </w:pPr>
      <w:r>
        <w:rPr>
          <w:rFonts w:ascii="宋体" w:hAnsi="宋体"/>
          <w:b/>
          <w:kern w:val="0"/>
          <w:sz w:val="28"/>
          <w:szCs w:val="28"/>
        </w:rPr>
        <w:t>4.</w:t>
      </w:r>
      <w:r>
        <w:rPr>
          <w:rFonts w:hint="eastAsia" w:ascii="宋体" w:hAnsi="宋体"/>
          <w:b/>
          <w:kern w:val="0"/>
          <w:sz w:val="28"/>
          <w:szCs w:val="28"/>
        </w:rPr>
        <w:t>授权委托书</w:t>
      </w:r>
    </w:p>
    <w:p>
      <w:pPr>
        <w:spacing w:line="480" w:lineRule="auto"/>
        <w:jc w:val="center"/>
        <w:rPr>
          <w:rFonts w:ascii="楷体_GB2312" w:eastAsia="楷体_GB2312"/>
          <w:kern w:val="0"/>
          <w:sz w:val="24"/>
        </w:rPr>
      </w:pPr>
    </w:p>
    <w:p>
      <w:pPr>
        <w:autoSpaceDE w:val="0"/>
        <w:autoSpaceDN w:val="0"/>
        <w:adjustRightInd w:val="0"/>
        <w:spacing w:line="480" w:lineRule="auto"/>
        <w:ind w:firstLine="614" w:firstLineChars="256"/>
        <w:rPr>
          <w:rFonts w:ascii="宋体"/>
          <w:kern w:val="0"/>
          <w:sz w:val="24"/>
        </w:rPr>
      </w:pPr>
      <w:r>
        <w:rPr>
          <w:rFonts w:hint="eastAsia" w:ascii="宋体" w:hAnsi="宋体"/>
          <w:kern w:val="0"/>
          <w:sz w:val="24"/>
        </w:rPr>
        <w:t>本授权委托书声明：我</w:t>
      </w:r>
      <w:r>
        <w:rPr>
          <w:rFonts w:ascii="宋体" w:hAnsi="宋体"/>
          <w:kern w:val="0"/>
          <w:sz w:val="24"/>
          <w:u w:val="single"/>
        </w:rPr>
        <w:t xml:space="preserve">   </w:t>
      </w:r>
      <w:r>
        <w:rPr>
          <w:rFonts w:hint="eastAsia" w:ascii="宋体" w:hAnsi="宋体"/>
          <w:kern w:val="0"/>
          <w:sz w:val="24"/>
          <w:u w:val="single"/>
        </w:rPr>
        <w:t>（姓名）</w:t>
      </w:r>
      <w:r>
        <w:rPr>
          <w:rFonts w:ascii="宋体" w:hAnsi="宋体"/>
          <w:kern w:val="0"/>
          <w:sz w:val="24"/>
          <w:u w:val="single"/>
        </w:rPr>
        <w:t xml:space="preserve">    </w:t>
      </w:r>
      <w:r>
        <w:rPr>
          <w:rFonts w:hint="eastAsia" w:ascii="宋体" w:hAnsi="宋体"/>
          <w:kern w:val="0"/>
          <w:sz w:val="24"/>
        </w:rPr>
        <w:t>系</w:t>
      </w:r>
      <w:r>
        <w:rPr>
          <w:rFonts w:hint="eastAsia" w:ascii="宋体" w:hAnsi="宋体"/>
          <w:kern w:val="0"/>
          <w:sz w:val="24"/>
          <w:u w:val="single"/>
        </w:rPr>
        <w:t>（比选申请人名称）</w:t>
      </w:r>
      <w:r>
        <w:rPr>
          <w:rFonts w:hint="eastAsia" w:ascii="宋体" w:hAnsi="宋体"/>
          <w:kern w:val="0"/>
          <w:sz w:val="24"/>
        </w:rPr>
        <w:t>的法定代表人（负责人），现授权委托（</w:t>
      </w:r>
      <w:r>
        <w:rPr>
          <w:rFonts w:hint="eastAsia" w:ascii="宋体" w:hAnsi="宋体"/>
          <w:kern w:val="0"/>
          <w:sz w:val="24"/>
          <w:u w:val="single"/>
        </w:rPr>
        <w:t>比选申请人名称）</w:t>
      </w:r>
      <w:r>
        <w:rPr>
          <w:rFonts w:ascii="宋体" w:hAnsi="宋体"/>
          <w:kern w:val="0"/>
          <w:sz w:val="24"/>
          <w:u w:val="single"/>
        </w:rPr>
        <w:t xml:space="preserve">        </w:t>
      </w:r>
      <w:r>
        <w:rPr>
          <w:rFonts w:hint="eastAsia" w:ascii="宋体" w:hAnsi="宋体"/>
          <w:kern w:val="0"/>
          <w:sz w:val="24"/>
        </w:rPr>
        <w:t>的</w:t>
      </w:r>
      <w:r>
        <w:rPr>
          <w:rFonts w:ascii="宋体" w:hAnsi="宋体"/>
          <w:kern w:val="0"/>
          <w:sz w:val="24"/>
          <w:u w:val="single"/>
        </w:rPr>
        <w:t xml:space="preserve">   </w:t>
      </w:r>
      <w:r>
        <w:rPr>
          <w:rFonts w:hint="eastAsia" w:ascii="宋体" w:hAnsi="宋体"/>
          <w:kern w:val="0"/>
          <w:sz w:val="24"/>
          <w:u w:val="single"/>
        </w:rPr>
        <w:t>（姓名）</w:t>
      </w:r>
      <w:r>
        <w:rPr>
          <w:rFonts w:ascii="宋体" w:hAnsi="宋体"/>
          <w:kern w:val="0"/>
          <w:sz w:val="24"/>
          <w:u w:val="single"/>
        </w:rPr>
        <w:t xml:space="preserve">  </w:t>
      </w:r>
      <w:r>
        <w:rPr>
          <w:rFonts w:hint="eastAsia" w:ascii="宋体" w:hAnsi="宋体"/>
          <w:kern w:val="0"/>
          <w:sz w:val="24"/>
        </w:rPr>
        <w:t>为我公司代理人，以本公司名义参加项目比选活动。代理人在评审、合同过程中所签署的一切文件和处理与之有关的一切事务，我均予以确认。</w:t>
      </w:r>
    </w:p>
    <w:p>
      <w:pPr>
        <w:autoSpaceDE w:val="0"/>
        <w:autoSpaceDN w:val="0"/>
        <w:adjustRightInd w:val="0"/>
        <w:spacing w:line="480" w:lineRule="auto"/>
        <w:ind w:firstLine="614" w:firstLineChars="256"/>
        <w:rPr>
          <w:rFonts w:ascii="宋体"/>
          <w:kern w:val="0"/>
          <w:sz w:val="24"/>
        </w:rPr>
      </w:pPr>
    </w:p>
    <w:p>
      <w:pPr>
        <w:autoSpaceDE w:val="0"/>
        <w:autoSpaceDN w:val="0"/>
        <w:adjustRightInd w:val="0"/>
        <w:spacing w:line="480" w:lineRule="auto"/>
        <w:ind w:firstLine="614" w:firstLineChars="256"/>
        <w:rPr>
          <w:rFonts w:ascii="宋体"/>
          <w:kern w:val="0"/>
          <w:sz w:val="24"/>
        </w:rPr>
      </w:pPr>
      <w:r>
        <w:rPr>
          <w:rFonts w:hint="eastAsia" w:ascii="宋体" w:hAnsi="宋体"/>
          <w:kern w:val="0"/>
          <w:sz w:val="24"/>
        </w:rPr>
        <w:t>代理人无转委托权。特此委托。</w:t>
      </w:r>
    </w:p>
    <w:p>
      <w:pPr>
        <w:autoSpaceDE w:val="0"/>
        <w:autoSpaceDN w:val="0"/>
        <w:adjustRightInd w:val="0"/>
        <w:spacing w:line="480" w:lineRule="auto"/>
        <w:ind w:firstLine="614" w:firstLineChars="256"/>
        <w:rPr>
          <w:rFonts w:ascii="宋体"/>
          <w:kern w:val="0"/>
          <w:sz w:val="24"/>
        </w:rPr>
      </w:pPr>
    </w:p>
    <w:p>
      <w:pPr>
        <w:autoSpaceDE w:val="0"/>
        <w:autoSpaceDN w:val="0"/>
        <w:adjustRightInd w:val="0"/>
        <w:spacing w:line="480" w:lineRule="auto"/>
        <w:ind w:firstLine="614" w:firstLineChars="256"/>
        <w:rPr>
          <w:rFonts w:ascii="宋体"/>
          <w:kern w:val="0"/>
          <w:sz w:val="24"/>
        </w:rPr>
      </w:pPr>
      <w:r>
        <w:rPr>
          <w:rFonts w:hint="eastAsia" w:ascii="宋体" w:hAnsi="宋体"/>
          <w:kern w:val="0"/>
          <w:sz w:val="24"/>
        </w:rPr>
        <w:t>代理人：</w:t>
      </w:r>
      <w:r>
        <w:rPr>
          <w:rFonts w:ascii="宋体" w:hAnsi="宋体"/>
          <w:kern w:val="0"/>
          <w:sz w:val="24"/>
        </w:rPr>
        <w:t xml:space="preserve">    </w:t>
      </w:r>
      <w:r>
        <w:rPr>
          <w:rFonts w:hint="eastAsia" w:ascii="宋体" w:hAnsi="宋体"/>
          <w:kern w:val="0"/>
          <w:sz w:val="24"/>
        </w:rPr>
        <w:t>性别：</w:t>
      </w:r>
      <w:r>
        <w:rPr>
          <w:rFonts w:ascii="宋体" w:hAnsi="宋体"/>
          <w:kern w:val="0"/>
          <w:sz w:val="24"/>
        </w:rPr>
        <w:t xml:space="preserve">     </w:t>
      </w:r>
      <w:r>
        <w:rPr>
          <w:rFonts w:hint="eastAsia" w:ascii="宋体" w:hAnsi="宋体"/>
          <w:kern w:val="0"/>
          <w:sz w:val="24"/>
        </w:rPr>
        <w:t>年龄：</w:t>
      </w:r>
    </w:p>
    <w:p>
      <w:pPr>
        <w:autoSpaceDE w:val="0"/>
        <w:autoSpaceDN w:val="0"/>
        <w:adjustRightInd w:val="0"/>
        <w:spacing w:line="480" w:lineRule="auto"/>
        <w:ind w:firstLine="614" w:firstLineChars="256"/>
        <w:rPr>
          <w:rFonts w:ascii="宋体"/>
          <w:kern w:val="0"/>
          <w:sz w:val="24"/>
        </w:rPr>
      </w:pPr>
      <w:r>
        <w:rPr>
          <w:rFonts w:hint="eastAsia" w:ascii="宋体" w:hAnsi="宋体"/>
          <w:kern w:val="0"/>
          <w:sz w:val="24"/>
        </w:rPr>
        <w:t>单位：</w:t>
      </w:r>
      <w:r>
        <w:rPr>
          <w:rFonts w:ascii="宋体" w:hAnsi="宋体"/>
          <w:kern w:val="0"/>
          <w:sz w:val="24"/>
        </w:rPr>
        <w:t xml:space="preserve">      </w:t>
      </w:r>
      <w:r>
        <w:rPr>
          <w:rFonts w:hint="eastAsia" w:ascii="宋体" w:hAnsi="宋体"/>
          <w:kern w:val="0"/>
          <w:sz w:val="24"/>
        </w:rPr>
        <w:t>部门：</w:t>
      </w:r>
      <w:r>
        <w:rPr>
          <w:rFonts w:ascii="宋体" w:hAnsi="宋体"/>
          <w:kern w:val="0"/>
          <w:sz w:val="24"/>
        </w:rPr>
        <w:t xml:space="preserve">     </w:t>
      </w:r>
      <w:r>
        <w:rPr>
          <w:rFonts w:hint="eastAsia" w:ascii="宋体" w:hAnsi="宋体"/>
          <w:kern w:val="0"/>
          <w:sz w:val="24"/>
        </w:rPr>
        <w:t>职务：</w:t>
      </w:r>
    </w:p>
    <w:p>
      <w:pPr>
        <w:autoSpaceDE w:val="0"/>
        <w:autoSpaceDN w:val="0"/>
        <w:adjustRightInd w:val="0"/>
        <w:spacing w:line="480" w:lineRule="auto"/>
        <w:ind w:firstLine="614" w:firstLineChars="256"/>
        <w:rPr>
          <w:rFonts w:ascii="宋体"/>
          <w:kern w:val="0"/>
          <w:sz w:val="24"/>
        </w:rPr>
      </w:pPr>
    </w:p>
    <w:p>
      <w:pPr>
        <w:autoSpaceDE w:val="0"/>
        <w:autoSpaceDN w:val="0"/>
        <w:adjustRightInd w:val="0"/>
        <w:spacing w:line="480" w:lineRule="auto"/>
        <w:ind w:firstLine="614" w:firstLineChars="256"/>
        <w:rPr>
          <w:rFonts w:ascii="宋体"/>
          <w:kern w:val="0"/>
          <w:sz w:val="24"/>
        </w:rPr>
      </w:pPr>
      <w:r>
        <w:rPr>
          <w:rFonts w:hint="eastAsia" w:ascii="宋体" w:hAnsi="宋体"/>
          <w:kern w:val="0"/>
          <w:sz w:val="24"/>
        </w:rPr>
        <w:t>比选申请人：（加盖单位公章）</w:t>
      </w:r>
    </w:p>
    <w:p>
      <w:pPr>
        <w:autoSpaceDE w:val="0"/>
        <w:autoSpaceDN w:val="0"/>
        <w:adjustRightInd w:val="0"/>
        <w:spacing w:line="480" w:lineRule="auto"/>
        <w:ind w:firstLine="614" w:firstLineChars="256"/>
        <w:rPr>
          <w:rFonts w:ascii="宋体"/>
          <w:kern w:val="0"/>
          <w:sz w:val="24"/>
        </w:rPr>
      </w:pPr>
    </w:p>
    <w:p>
      <w:pPr>
        <w:autoSpaceDE w:val="0"/>
        <w:autoSpaceDN w:val="0"/>
        <w:adjustRightInd w:val="0"/>
        <w:spacing w:line="480" w:lineRule="auto"/>
        <w:ind w:firstLine="614" w:firstLineChars="256"/>
        <w:rPr>
          <w:rFonts w:ascii="宋体"/>
          <w:kern w:val="0"/>
          <w:sz w:val="24"/>
        </w:rPr>
      </w:pPr>
      <w:r>
        <w:rPr>
          <w:rFonts w:hint="eastAsia" w:ascii="宋体" w:hAnsi="宋体"/>
          <w:kern w:val="0"/>
          <w:sz w:val="24"/>
        </w:rPr>
        <w:t>法定代表人（负责人）：（签字）</w:t>
      </w:r>
    </w:p>
    <w:p>
      <w:pPr>
        <w:autoSpaceDE w:val="0"/>
        <w:autoSpaceDN w:val="0"/>
        <w:adjustRightInd w:val="0"/>
        <w:spacing w:line="480" w:lineRule="auto"/>
        <w:ind w:firstLine="614" w:firstLineChars="256"/>
        <w:rPr>
          <w:rFonts w:ascii="宋体"/>
          <w:kern w:val="0"/>
          <w:sz w:val="24"/>
        </w:rPr>
      </w:pPr>
    </w:p>
    <w:p>
      <w:pPr>
        <w:autoSpaceDE w:val="0"/>
        <w:autoSpaceDN w:val="0"/>
        <w:adjustRightInd w:val="0"/>
        <w:spacing w:line="480" w:lineRule="auto"/>
        <w:ind w:firstLine="614" w:firstLineChars="256"/>
        <w:rPr>
          <w:rFonts w:ascii="宋体"/>
          <w:kern w:val="0"/>
          <w:sz w:val="24"/>
        </w:rPr>
      </w:pPr>
      <w:r>
        <w:rPr>
          <w:rFonts w:hint="eastAsia" w:ascii="宋体" w:hAnsi="宋体"/>
          <w:kern w:val="0"/>
          <w:sz w:val="24"/>
        </w:rPr>
        <w:t>日期：</w:t>
      </w:r>
      <w:r>
        <w:rPr>
          <w:rFonts w:ascii="宋体" w:hAnsi="宋体"/>
          <w:kern w:val="0"/>
          <w:sz w:val="24"/>
        </w:rPr>
        <w:t xml:space="preserve">   </w:t>
      </w:r>
      <w:r>
        <w:rPr>
          <w:rFonts w:hint="eastAsia" w:ascii="宋体" w:hAnsi="宋体"/>
          <w:kern w:val="0"/>
          <w:sz w:val="24"/>
        </w:rPr>
        <w:t>年</w:t>
      </w:r>
      <w:r>
        <w:rPr>
          <w:rFonts w:ascii="宋体" w:hAnsi="宋体"/>
          <w:kern w:val="0"/>
          <w:sz w:val="24"/>
        </w:rPr>
        <w:t xml:space="preserve">   </w:t>
      </w:r>
      <w:r>
        <w:rPr>
          <w:rFonts w:hint="eastAsia" w:ascii="宋体" w:hAnsi="宋体"/>
          <w:kern w:val="0"/>
          <w:sz w:val="24"/>
        </w:rPr>
        <w:t>月</w:t>
      </w:r>
      <w:r>
        <w:rPr>
          <w:rFonts w:ascii="宋体" w:hAnsi="宋体"/>
          <w:kern w:val="0"/>
          <w:sz w:val="24"/>
        </w:rPr>
        <w:t xml:space="preserve">   </w:t>
      </w:r>
      <w:r>
        <w:rPr>
          <w:rFonts w:hint="eastAsia" w:ascii="宋体" w:hAnsi="宋体"/>
          <w:kern w:val="0"/>
          <w:sz w:val="24"/>
        </w:rPr>
        <w:t>日</w:t>
      </w:r>
    </w:p>
    <w:p>
      <w:pPr>
        <w:autoSpaceDE w:val="0"/>
        <w:autoSpaceDN w:val="0"/>
        <w:adjustRightInd w:val="0"/>
        <w:spacing w:line="600" w:lineRule="exact"/>
        <w:jc w:val="center"/>
        <w:rPr>
          <w:rStyle w:val="32"/>
          <w:szCs w:val="28"/>
        </w:rPr>
      </w:pPr>
      <w:r>
        <w:rPr>
          <w:rFonts w:ascii="宋体"/>
          <w:kern w:val="0"/>
          <w:sz w:val="24"/>
        </w:rPr>
        <w:br w:type="page"/>
      </w:r>
      <w:bookmarkStart w:id="380" w:name="_Toc26749"/>
      <w:bookmarkStart w:id="381" w:name="_Toc29504"/>
      <w:bookmarkStart w:id="382" w:name="_Toc18479"/>
      <w:bookmarkStart w:id="383" w:name="_Toc2475"/>
      <w:bookmarkStart w:id="384" w:name="_Toc880"/>
      <w:bookmarkStart w:id="385" w:name="_Toc11434"/>
      <w:bookmarkStart w:id="386" w:name="_Toc30136"/>
      <w:bookmarkStart w:id="387" w:name="_Toc1509"/>
      <w:r>
        <w:rPr>
          <w:rFonts w:ascii="宋体" w:hAnsi="宋体"/>
          <w:b/>
          <w:kern w:val="0"/>
          <w:sz w:val="28"/>
          <w:szCs w:val="28"/>
        </w:rPr>
        <w:t>5.</w:t>
      </w:r>
      <w:r>
        <w:rPr>
          <w:rFonts w:hint="eastAsia" w:ascii="宋体" w:hAnsi="宋体"/>
          <w:b/>
          <w:kern w:val="0"/>
          <w:sz w:val="28"/>
          <w:szCs w:val="28"/>
        </w:rPr>
        <w:t>授权代理人身份证明文件（提供复印件加盖单位公章）</w:t>
      </w:r>
    </w:p>
    <w:bookmarkEnd w:id="380"/>
    <w:bookmarkEnd w:id="381"/>
    <w:bookmarkEnd w:id="382"/>
    <w:bookmarkEnd w:id="383"/>
    <w:bookmarkEnd w:id="384"/>
    <w:bookmarkEnd w:id="385"/>
    <w:bookmarkEnd w:id="386"/>
    <w:bookmarkEnd w:id="387"/>
    <w:p>
      <w:pPr>
        <w:spacing w:line="600" w:lineRule="exact"/>
        <w:jc w:val="center"/>
        <w:rPr>
          <w:rFonts w:ascii="宋体" w:cs="宋体"/>
          <w:sz w:val="28"/>
          <w:szCs w:val="28"/>
        </w:rPr>
      </w:pPr>
    </w:p>
    <w:p>
      <w:pPr>
        <w:spacing w:line="600" w:lineRule="exact"/>
        <w:jc w:val="center"/>
        <w:rPr>
          <w:rFonts w:ascii="宋体" w:cs="宋体"/>
          <w:sz w:val="28"/>
          <w:szCs w:val="28"/>
        </w:rPr>
      </w:pPr>
    </w:p>
    <w:p>
      <w:pPr>
        <w:ind w:right="753"/>
        <w:jc w:val="left"/>
        <w:rPr>
          <w:rFonts w:ascii="宋体" w:cs="宋体"/>
          <w:sz w:val="28"/>
          <w:szCs w:val="28"/>
        </w:rPr>
      </w:pPr>
    </w:p>
    <w:p>
      <w:pPr>
        <w:ind w:right="753"/>
        <w:jc w:val="left"/>
        <w:rPr>
          <w:rFonts w:ascii="宋体" w:cs="宋体"/>
          <w:sz w:val="28"/>
          <w:szCs w:val="28"/>
        </w:rPr>
      </w:pPr>
    </w:p>
    <w:p>
      <w:pPr>
        <w:ind w:right="753"/>
        <w:jc w:val="left"/>
        <w:rPr>
          <w:rFonts w:ascii="宋体" w:cs="宋体"/>
          <w:sz w:val="28"/>
          <w:szCs w:val="28"/>
        </w:rPr>
      </w:pPr>
    </w:p>
    <w:p>
      <w:pPr>
        <w:ind w:right="753"/>
        <w:jc w:val="left"/>
        <w:rPr>
          <w:rFonts w:ascii="宋体" w:cs="宋体"/>
          <w:sz w:val="28"/>
          <w:szCs w:val="28"/>
        </w:rPr>
      </w:pPr>
    </w:p>
    <w:p>
      <w:pPr>
        <w:ind w:right="753"/>
        <w:jc w:val="left"/>
        <w:rPr>
          <w:rFonts w:ascii="宋体" w:cs="宋体"/>
          <w:sz w:val="28"/>
          <w:szCs w:val="28"/>
        </w:rPr>
      </w:pPr>
    </w:p>
    <w:p>
      <w:pPr>
        <w:ind w:right="753"/>
        <w:jc w:val="left"/>
        <w:rPr>
          <w:rFonts w:ascii="宋体" w:cs="宋体"/>
          <w:sz w:val="28"/>
          <w:szCs w:val="28"/>
        </w:rPr>
      </w:pPr>
    </w:p>
    <w:p>
      <w:pPr>
        <w:ind w:right="753"/>
        <w:jc w:val="left"/>
        <w:rPr>
          <w:rFonts w:ascii="宋体" w:cs="宋体"/>
          <w:sz w:val="28"/>
          <w:szCs w:val="28"/>
        </w:rPr>
      </w:pPr>
    </w:p>
    <w:p>
      <w:pPr>
        <w:ind w:right="753"/>
        <w:jc w:val="left"/>
        <w:rPr>
          <w:rFonts w:ascii="宋体" w:cs="宋体"/>
          <w:sz w:val="28"/>
          <w:szCs w:val="28"/>
        </w:rPr>
      </w:pPr>
    </w:p>
    <w:p>
      <w:pPr>
        <w:ind w:right="753"/>
        <w:jc w:val="left"/>
        <w:rPr>
          <w:rFonts w:ascii="宋体" w:cs="宋体"/>
          <w:sz w:val="28"/>
          <w:szCs w:val="28"/>
        </w:rPr>
      </w:pPr>
    </w:p>
    <w:p>
      <w:pPr>
        <w:ind w:right="753"/>
        <w:jc w:val="left"/>
        <w:rPr>
          <w:rFonts w:ascii="宋体" w:cs="宋体"/>
          <w:sz w:val="28"/>
          <w:szCs w:val="28"/>
        </w:rPr>
      </w:pPr>
    </w:p>
    <w:p>
      <w:pPr>
        <w:ind w:right="753"/>
        <w:jc w:val="left"/>
        <w:rPr>
          <w:rFonts w:ascii="宋体" w:cs="宋体"/>
          <w:sz w:val="28"/>
          <w:szCs w:val="28"/>
        </w:rPr>
      </w:pPr>
    </w:p>
    <w:p>
      <w:pPr>
        <w:ind w:right="753"/>
        <w:jc w:val="left"/>
        <w:rPr>
          <w:rFonts w:ascii="宋体" w:cs="宋体"/>
          <w:sz w:val="28"/>
          <w:szCs w:val="28"/>
        </w:rPr>
      </w:pPr>
    </w:p>
    <w:p>
      <w:pPr>
        <w:ind w:right="753"/>
        <w:jc w:val="left"/>
        <w:rPr>
          <w:rFonts w:ascii="宋体" w:cs="宋体"/>
          <w:sz w:val="28"/>
          <w:szCs w:val="28"/>
        </w:rPr>
      </w:pPr>
    </w:p>
    <w:p>
      <w:pPr>
        <w:ind w:right="753"/>
        <w:jc w:val="left"/>
        <w:rPr>
          <w:rFonts w:ascii="宋体" w:cs="宋体"/>
          <w:sz w:val="28"/>
          <w:szCs w:val="28"/>
        </w:rPr>
      </w:pPr>
    </w:p>
    <w:p>
      <w:pPr>
        <w:ind w:right="753"/>
        <w:jc w:val="left"/>
        <w:rPr>
          <w:rFonts w:ascii="宋体" w:cs="宋体"/>
          <w:sz w:val="28"/>
          <w:szCs w:val="28"/>
        </w:rPr>
      </w:pPr>
    </w:p>
    <w:p>
      <w:pPr>
        <w:ind w:right="753"/>
        <w:jc w:val="left"/>
        <w:rPr>
          <w:rFonts w:ascii="宋体" w:cs="宋体"/>
          <w:sz w:val="28"/>
          <w:szCs w:val="28"/>
        </w:rPr>
      </w:pPr>
    </w:p>
    <w:p>
      <w:pPr>
        <w:ind w:right="753"/>
        <w:jc w:val="left"/>
        <w:rPr>
          <w:rFonts w:ascii="宋体" w:cs="宋体"/>
          <w:sz w:val="28"/>
          <w:szCs w:val="28"/>
        </w:rPr>
      </w:pPr>
    </w:p>
    <w:p>
      <w:pPr>
        <w:ind w:right="753"/>
        <w:jc w:val="left"/>
        <w:rPr>
          <w:rFonts w:ascii="宋体" w:cs="宋体"/>
          <w:sz w:val="28"/>
          <w:szCs w:val="28"/>
        </w:rPr>
      </w:pPr>
    </w:p>
    <w:p>
      <w:pPr>
        <w:ind w:right="753"/>
        <w:jc w:val="left"/>
        <w:rPr>
          <w:rFonts w:ascii="宋体" w:cs="宋体"/>
          <w:sz w:val="28"/>
          <w:szCs w:val="28"/>
        </w:rPr>
      </w:pPr>
    </w:p>
    <w:p>
      <w:pPr>
        <w:autoSpaceDE w:val="0"/>
        <w:autoSpaceDN w:val="0"/>
        <w:adjustRightInd w:val="0"/>
        <w:spacing w:line="600" w:lineRule="exact"/>
        <w:jc w:val="center"/>
        <w:rPr>
          <w:rFonts w:ascii="宋体" w:hAnsi="宋体"/>
          <w:b/>
          <w:kern w:val="0"/>
          <w:sz w:val="28"/>
          <w:szCs w:val="28"/>
        </w:rPr>
      </w:pPr>
      <w:r>
        <w:rPr>
          <w:rFonts w:hint="eastAsia" w:ascii="宋体" w:hAnsi="宋体"/>
          <w:b/>
          <w:kern w:val="0"/>
          <w:sz w:val="28"/>
          <w:szCs w:val="28"/>
        </w:rPr>
        <w:t>6</w:t>
      </w:r>
      <w:r>
        <w:rPr>
          <w:rFonts w:ascii="宋体" w:hAnsi="宋体"/>
          <w:b/>
          <w:kern w:val="0"/>
          <w:sz w:val="28"/>
          <w:szCs w:val="28"/>
        </w:rPr>
        <w:t>.</w:t>
      </w:r>
      <w:r>
        <w:rPr>
          <w:rFonts w:hint="eastAsia" w:ascii="宋体" w:hAnsi="宋体"/>
          <w:b/>
          <w:kern w:val="0"/>
          <w:sz w:val="28"/>
          <w:szCs w:val="28"/>
        </w:rPr>
        <w:t>总部授权参与证明</w:t>
      </w:r>
    </w:p>
    <w:p>
      <w:pPr>
        <w:autoSpaceDE w:val="0"/>
        <w:autoSpaceDN w:val="0"/>
        <w:adjustRightInd w:val="0"/>
        <w:spacing w:line="600" w:lineRule="exact"/>
        <w:jc w:val="center"/>
        <w:rPr>
          <w:rFonts w:ascii="宋体" w:hAnsi="宋体"/>
          <w:b/>
          <w:kern w:val="0"/>
          <w:sz w:val="28"/>
          <w:szCs w:val="28"/>
        </w:rPr>
      </w:pPr>
      <w:r>
        <w:rPr>
          <w:rFonts w:hint="eastAsia" w:ascii="宋体" w:hAnsi="宋体"/>
          <w:b/>
          <w:kern w:val="0"/>
          <w:sz w:val="28"/>
          <w:szCs w:val="28"/>
        </w:rPr>
        <w:t>（提供复印件加盖单位公章）</w:t>
      </w:r>
    </w:p>
    <w:p>
      <w:pPr>
        <w:tabs>
          <w:tab w:val="left" w:pos="826"/>
        </w:tabs>
        <w:spacing w:line="560" w:lineRule="exact"/>
        <w:ind w:left="426"/>
        <w:jc w:val="center"/>
        <w:rPr>
          <w:rFonts w:ascii="宋体" w:hAnsi="宋体"/>
          <w:b/>
          <w:kern w:val="0"/>
          <w:sz w:val="28"/>
          <w:szCs w:val="28"/>
        </w:rPr>
      </w:pPr>
    </w:p>
    <w:p>
      <w:pPr>
        <w:tabs>
          <w:tab w:val="left" w:pos="826"/>
        </w:tabs>
        <w:spacing w:line="560" w:lineRule="exact"/>
        <w:ind w:left="426"/>
        <w:jc w:val="center"/>
        <w:rPr>
          <w:rFonts w:ascii="宋体" w:hAnsi="宋体"/>
          <w:b/>
          <w:kern w:val="0"/>
          <w:sz w:val="28"/>
          <w:szCs w:val="28"/>
        </w:rPr>
      </w:pPr>
    </w:p>
    <w:p>
      <w:pPr>
        <w:tabs>
          <w:tab w:val="left" w:pos="826"/>
        </w:tabs>
        <w:spacing w:line="560" w:lineRule="exact"/>
        <w:ind w:left="426"/>
        <w:jc w:val="center"/>
        <w:rPr>
          <w:rFonts w:ascii="宋体" w:hAnsi="宋体"/>
          <w:b/>
          <w:kern w:val="0"/>
          <w:sz w:val="28"/>
          <w:szCs w:val="28"/>
        </w:rPr>
      </w:pPr>
    </w:p>
    <w:p>
      <w:pPr>
        <w:tabs>
          <w:tab w:val="left" w:pos="826"/>
        </w:tabs>
        <w:spacing w:line="560" w:lineRule="exact"/>
        <w:ind w:left="426"/>
        <w:jc w:val="center"/>
        <w:rPr>
          <w:rFonts w:ascii="宋体" w:hAnsi="宋体"/>
          <w:b/>
          <w:kern w:val="0"/>
          <w:sz w:val="28"/>
          <w:szCs w:val="28"/>
        </w:rPr>
      </w:pPr>
    </w:p>
    <w:p>
      <w:pPr>
        <w:tabs>
          <w:tab w:val="left" w:pos="826"/>
        </w:tabs>
        <w:spacing w:line="560" w:lineRule="exact"/>
        <w:ind w:left="426"/>
        <w:jc w:val="center"/>
        <w:rPr>
          <w:rFonts w:ascii="宋体" w:hAnsi="宋体"/>
          <w:b/>
          <w:kern w:val="0"/>
          <w:sz w:val="28"/>
          <w:szCs w:val="28"/>
        </w:rPr>
      </w:pPr>
    </w:p>
    <w:p>
      <w:pPr>
        <w:tabs>
          <w:tab w:val="left" w:pos="826"/>
        </w:tabs>
        <w:spacing w:line="560" w:lineRule="exact"/>
        <w:ind w:left="426"/>
        <w:jc w:val="center"/>
        <w:rPr>
          <w:rFonts w:ascii="宋体" w:hAnsi="宋体"/>
          <w:b/>
          <w:kern w:val="0"/>
          <w:sz w:val="28"/>
          <w:szCs w:val="28"/>
        </w:rPr>
      </w:pPr>
    </w:p>
    <w:p>
      <w:pPr>
        <w:tabs>
          <w:tab w:val="left" w:pos="826"/>
        </w:tabs>
        <w:spacing w:line="560" w:lineRule="exact"/>
        <w:ind w:left="426"/>
        <w:jc w:val="center"/>
        <w:rPr>
          <w:rFonts w:ascii="宋体" w:hAnsi="宋体"/>
          <w:b/>
          <w:kern w:val="0"/>
          <w:sz w:val="28"/>
          <w:szCs w:val="28"/>
        </w:rPr>
      </w:pPr>
    </w:p>
    <w:p>
      <w:pPr>
        <w:tabs>
          <w:tab w:val="left" w:pos="826"/>
        </w:tabs>
        <w:spacing w:line="560" w:lineRule="exact"/>
        <w:ind w:left="426"/>
        <w:jc w:val="center"/>
        <w:rPr>
          <w:rFonts w:ascii="宋体" w:hAnsi="宋体"/>
          <w:b/>
          <w:kern w:val="0"/>
          <w:sz w:val="28"/>
          <w:szCs w:val="28"/>
        </w:rPr>
      </w:pPr>
    </w:p>
    <w:p>
      <w:pPr>
        <w:tabs>
          <w:tab w:val="left" w:pos="826"/>
        </w:tabs>
        <w:spacing w:line="560" w:lineRule="exact"/>
        <w:ind w:left="426"/>
        <w:jc w:val="center"/>
        <w:rPr>
          <w:rFonts w:ascii="宋体" w:hAnsi="宋体"/>
          <w:b/>
          <w:kern w:val="0"/>
          <w:sz w:val="28"/>
          <w:szCs w:val="28"/>
        </w:rPr>
      </w:pPr>
    </w:p>
    <w:p>
      <w:pPr>
        <w:tabs>
          <w:tab w:val="left" w:pos="826"/>
        </w:tabs>
        <w:spacing w:line="560" w:lineRule="exact"/>
        <w:ind w:left="426"/>
        <w:jc w:val="center"/>
        <w:rPr>
          <w:rFonts w:ascii="宋体" w:hAnsi="宋体"/>
          <w:b/>
          <w:kern w:val="0"/>
          <w:sz w:val="28"/>
          <w:szCs w:val="28"/>
        </w:rPr>
      </w:pPr>
    </w:p>
    <w:p>
      <w:pPr>
        <w:tabs>
          <w:tab w:val="left" w:pos="826"/>
        </w:tabs>
        <w:spacing w:line="560" w:lineRule="exact"/>
        <w:ind w:left="426"/>
        <w:jc w:val="center"/>
        <w:rPr>
          <w:rFonts w:ascii="宋体" w:hAnsi="宋体"/>
          <w:b/>
          <w:kern w:val="0"/>
          <w:sz w:val="28"/>
          <w:szCs w:val="28"/>
        </w:rPr>
      </w:pPr>
    </w:p>
    <w:p>
      <w:pPr>
        <w:tabs>
          <w:tab w:val="left" w:pos="826"/>
        </w:tabs>
        <w:spacing w:line="560" w:lineRule="exact"/>
        <w:ind w:left="426"/>
        <w:jc w:val="center"/>
        <w:rPr>
          <w:rFonts w:ascii="宋体" w:hAnsi="宋体"/>
          <w:b/>
          <w:kern w:val="0"/>
          <w:sz w:val="28"/>
          <w:szCs w:val="28"/>
        </w:rPr>
      </w:pPr>
    </w:p>
    <w:p>
      <w:pPr>
        <w:tabs>
          <w:tab w:val="left" w:pos="826"/>
        </w:tabs>
        <w:spacing w:line="560" w:lineRule="exact"/>
        <w:ind w:left="426"/>
        <w:jc w:val="center"/>
        <w:rPr>
          <w:rFonts w:ascii="宋体" w:hAnsi="宋体"/>
          <w:b/>
          <w:kern w:val="0"/>
          <w:sz w:val="28"/>
          <w:szCs w:val="28"/>
        </w:rPr>
      </w:pPr>
    </w:p>
    <w:p>
      <w:pPr>
        <w:tabs>
          <w:tab w:val="left" w:pos="826"/>
        </w:tabs>
        <w:spacing w:line="560" w:lineRule="exact"/>
        <w:ind w:left="426"/>
        <w:jc w:val="center"/>
        <w:rPr>
          <w:rFonts w:ascii="宋体" w:hAnsi="宋体"/>
          <w:b/>
          <w:kern w:val="0"/>
          <w:sz w:val="28"/>
          <w:szCs w:val="28"/>
        </w:rPr>
      </w:pPr>
    </w:p>
    <w:p>
      <w:pPr>
        <w:tabs>
          <w:tab w:val="left" w:pos="826"/>
        </w:tabs>
        <w:spacing w:line="560" w:lineRule="exact"/>
        <w:ind w:left="426"/>
        <w:jc w:val="center"/>
        <w:rPr>
          <w:rFonts w:ascii="宋体" w:hAnsi="宋体"/>
          <w:b/>
          <w:kern w:val="0"/>
          <w:sz w:val="28"/>
          <w:szCs w:val="28"/>
        </w:rPr>
      </w:pPr>
    </w:p>
    <w:p>
      <w:pPr>
        <w:tabs>
          <w:tab w:val="left" w:pos="826"/>
        </w:tabs>
        <w:spacing w:line="560" w:lineRule="exact"/>
        <w:ind w:left="426"/>
        <w:jc w:val="center"/>
        <w:rPr>
          <w:rFonts w:ascii="宋体" w:hAnsi="宋体"/>
          <w:b/>
          <w:kern w:val="0"/>
          <w:sz w:val="28"/>
          <w:szCs w:val="28"/>
        </w:rPr>
      </w:pPr>
    </w:p>
    <w:p>
      <w:pPr>
        <w:tabs>
          <w:tab w:val="left" w:pos="826"/>
        </w:tabs>
        <w:spacing w:line="560" w:lineRule="exact"/>
        <w:ind w:left="426"/>
        <w:jc w:val="center"/>
        <w:rPr>
          <w:rFonts w:ascii="宋体" w:hAnsi="宋体"/>
          <w:b/>
          <w:kern w:val="0"/>
          <w:sz w:val="28"/>
          <w:szCs w:val="28"/>
        </w:rPr>
      </w:pPr>
    </w:p>
    <w:p>
      <w:pPr>
        <w:tabs>
          <w:tab w:val="left" w:pos="826"/>
        </w:tabs>
        <w:spacing w:line="560" w:lineRule="exact"/>
        <w:ind w:left="426"/>
        <w:jc w:val="center"/>
        <w:rPr>
          <w:rFonts w:ascii="宋体" w:hAnsi="宋体"/>
          <w:b/>
          <w:kern w:val="0"/>
          <w:sz w:val="28"/>
          <w:szCs w:val="28"/>
        </w:rPr>
      </w:pPr>
    </w:p>
    <w:p>
      <w:pPr>
        <w:tabs>
          <w:tab w:val="left" w:pos="826"/>
        </w:tabs>
        <w:spacing w:line="560" w:lineRule="exact"/>
        <w:ind w:left="426"/>
        <w:jc w:val="center"/>
        <w:rPr>
          <w:rFonts w:ascii="宋体" w:hAnsi="宋体"/>
          <w:b/>
          <w:kern w:val="0"/>
          <w:sz w:val="28"/>
          <w:szCs w:val="28"/>
        </w:rPr>
      </w:pPr>
    </w:p>
    <w:p>
      <w:pPr>
        <w:tabs>
          <w:tab w:val="left" w:pos="826"/>
        </w:tabs>
        <w:spacing w:line="560" w:lineRule="exact"/>
        <w:ind w:left="426"/>
        <w:jc w:val="center"/>
        <w:rPr>
          <w:rFonts w:ascii="宋体" w:hAnsi="宋体"/>
          <w:b/>
          <w:kern w:val="0"/>
          <w:sz w:val="28"/>
          <w:szCs w:val="28"/>
        </w:rPr>
      </w:pPr>
    </w:p>
    <w:p>
      <w:pPr>
        <w:tabs>
          <w:tab w:val="left" w:pos="826"/>
        </w:tabs>
        <w:spacing w:line="560" w:lineRule="exact"/>
        <w:ind w:left="426"/>
        <w:jc w:val="center"/>
        <w:rPr>
          <w:rFonts w:ascii="宋体" w:hAnsi="宋体"/>
          <w:b/>
          <w:kern w:val="0"/>
          <w:sz w:val="28"/>
          <w:szCs w:val="28"/>
        </w:rPr>
      </w:pPr>
    </w:p>
    <w:p>
      <w:pPr>
        <w:tabs>
          <w:tab w:val="left" w:pos="826"/>
        </w:tabs>
        <w:spacing w:line="560" w:lineRule="exact"/>
        <w:ind w:left="426"/>
        <w:jc w:val="center"/>
        <w:rPr>
          <w:rFonts w:ascii="宋体" w:hAnsi="宋体"/>
          <w:b/>
          <w:kern w:val="0"/>
          <w:sz w:val="28"/>
          <w:szCs w:val="28"/>
        </w:rPr>
      </w:pPr>
    </w:p>
    <w:p>
      <w:pPr>
        <w:autoSpaceDE w:val="0"/>
        <w:autoSpaceDN w:val="0"/>
        <w:adjustRightInd w:val="0"/>
        <w:spacing w:line="600" w:lineRule="exact"/>
        <w:jc w:val="center"/>
        <w:rPr>
          <w:rFonts w:ascii="宋体" w:hAnsi="宋体"/>
          <w:b/>
          <w:kern w:val="0"/>
          <w:sz w:val="28"/>
          <w:szCs w:val="28"/>
        </w:rPr>
      </w:pPr>
      <w:r>
        <w:rPr>
          <w:rFonts w:hint="eastAsia" w:ascii="宋体" w:hAnsi="宋体"/>
          <w:b/>
          <w:kern w:val="0"/>
          <w:sz w:val="28"/>
          <w:szCs w:val="28"/>
        </w:rPr>
        <w:t>7.没有处于被行政主管部门或业主取消比选申请资格的处罚期内，且没有处于被责令停业，财产被接管、破产状态证明（提供复印件加盖单位公章）</w:t>
      </w:r>
    </w:p>
    <w:p>
      <w:pPr>
        <w:tabs>
          <w:tab w:val="left" w:pos="826"/>
        </w:tabs>
        <w:spacing w:line="560" w:lineRule="exact"/>
        <w:ind w:left="426"/>
        <w:jc w:val="center"/>
        <w:rPr>
          <w:rFonts w:ascii="宋体" w:hAnsi="宋体"/>
          <w:b/>
          <w:kern w:val="0"/>
          <w:sz w:val="28"/>
          <w:szCs w:val="28"/>
        </w:rPr>
      </w:pPr>
    </w:p>
    <w:p>
      <w:pPr>
        <w:tabs>
          <w:tab w:val="left" w:pos="826"/>
        </w:tabs>
        <w:spacing w:line="560" w:lineRule="exact"/>
        <w:ind w:left="426"/>
        <w:jc w:val="center"/>
        <w:rPr>
          <w:rFonts w:ascii="宋体" w:hAnsi="宋体"/>
          <w:b/>
          <w:kern w:val="0"/>
          <w:sz w:val="28"/>
          <w:szCs w:val="28"/>
        </w:rPr>
      </w:pPr>
    </w:p>
    <w:p>
      <w:pPr>
        <w:tabs>
          <w:tab w:val="left" w:pos="826"/>
        </w:tabs>
        <w:spacing w:line="560" w:lineRule="exact"/>
        <w:ind w:left="426"/>
        <w:jc w:val="center"/>
        <w:rPr>
          <w:rFonts w:ascii="宋体" w:hAnsi="宋体"/>
          <w:b/>
          <w:kern w:val="0"/>
          <w:sz w:val="28"/>
          <w:szCs w:val="28"/>
        </w:rPr>
      </w:pPr>
    </w:p>
    <w:p>
      <w:pPr>
        <w:tabs>
          <w:tab w:val="left" w:pos="826"/>
        </w:tabs>
        <w:spacing w:line="560" w:lineRule="exact"/>
        <w:ind w:left="426"/>
        <w:jc w:val="center"/>
        <w:rPr>
          <w:rFonts w:ascii="宋体" w:hAnsi="宋体"/>
          <w:b/>
          <w:kern w:val="0"/>
          <w:sz w:val="28"/>
          <w:szCs w:val="28"/>
        </w:rPr>
      </w:pPr>
    </w:p>
    <w:p>
      <w:pPr>
        <w:tabs>
          <w:tab w:val="left" w:pos="826"/>
        </w:tabs>
        <w:spacing w:line="560" w:lineRule="exact"/>
        <w:ind w:left="426"/>
        <w:jc w:val="center"/>
        <w:rPr>
          <w:rFonts w:ascii="宋体" w:hAnsi="宋体"/>
          <w:b/>
          <w:kern w:val="0"/>
          <w:sz w:val="28"/>
          <w:szCs w:val="28"/>
        </w:rPr>
      </w:pPr>
    </w:p>
    <w:p>
      <w:pPr>
        <w:tabs>
          <w:tab w:val="left" w:pos="826"/>
        </w:tabs>
        <w:spacing w:line="560" w:lineRule="exact"/>
        <w:ind w:left="426"/>
        <w:jc w:val="center"/>
        <w:rPr>
          <w:rFonts w:ascii="宋体" w:hAnsi="宋体"/>
          <w:b/>
          <w:kern w:val="0"/>
          <w:sz w:val="28"/>
          <w:szCs w:val="28"/>
        </w:rPr>
      </w:pPr>
    </w:p>
    <w:p>
      <w:pPr>
        <w:tabs>
          <w:tab w:val="left" w:pos="826"/>
        </w:tabs>
        <w:spacing w:line="560" w:lineRule="exact"/>
        <w:ind w:left="426"/>
        <w:jc w:val="center"/>
        <w:rPr>
          <w:rFonts w:ascii="宋体" w:hAnsi="宋体"/>
          <w:b/>
          <w:kern w:val="0"/>
          <w:sz w:val="28"/>
          <w:szCs w:val="28"/>
        </w:rPr>
      </w:pPr>
    </w:p>
    <w:p>
      <w:pPr>
        <w:tabs>
          <w:tab w:val="left" w:pos="826"/>
        </w:tabs>
        <w:spacing w:line="560" w:lineRule="exact"/>
        <w:ind w:left="426"/>
        <w:jc w:val="center"/>
        <w:rPr>
          <w:rFonts w:ascii="宋体" w:hAnsi="宋体"/>
          <w:b/>
          <w:kern w:val="0"/>
          <w:sz w:val="28"/>
          <w:szCs w:val="28"/>
        </w:rPr>
      </w:pPr>
    </w:p>
    <w:p>
      <w:pPr>
        <w:tabs>
          <w:tab w:val="left" w:pos="826"/>
        </w:tabs>
        <w:spacing w:line="560" w:lineRule="exact"/>
        <w:ind w:left="426"/>
        <w:jc w:val="center"/>
        <w:rPr>
          <w:rFonts w:ascii="宋体" w:hAnsi="宋体"/>
          <w:b/>
          <w:kern w:val="0"/>
          <w:sz w:val="28"/>
          <w:szCs w:val="28"/>
        </w:rPr>
      </w:pPr>
    </w:p>
    <w:p>
      <w:pPr>
        <w:tabs>
          <w:tab w:val="left" w:pos="826"/>
        </w:tabs>
        <w:spacing w:line="560" w:lineRule="exact"/>
        <w:ind w:left="426"/>
        <w:jc w:val="center"/>
        <w:rPr>
          <w:rFonts w:ascii="宋体" w:hAnsi="宋体"/>
          <w:b/>
          <w:kern w:val="0"/>
          <w:sz w:val="28"/>
          <w:szCs w:val="28"/>
        </w:rPr>
      </w:pPr>
    </w:p>
    <w:p>
      <w:pPr>
        <w:tabs>
          <w:tab w:val="left" w:pos="826"/>
        </w:tabs>
        <w:spacing w:line="560" w:lineRule="exact"/>
        <w:ind w:left="426"/>
        <w:jc w:val="center"/>
        <w:rPr>
          <w:rFonts w:ascii="宋体" w:hAnsi="宋体"/>
          <w:b/>
          <w:kern w:val="0"/>
          <w:sz w:val="28"/>
          <w:szCs w:val="28"/>
        </w:rPr>
      </w:pPr>
    </w:p>
    <w:p>
      <w:pPr>
        <w:tabs>
          <w:tab w:val="left" w:pos="826"/>
        </w:tabs>
        <w:spacing w:line="560" w:lineRule="exact"/>
        <w:ind w:left="426"/>
        <w:jc w:val="center"/>
        <w:rPr>
          <w:rFonts w:ascii="宋体" w:hAnsi="宋体"/>
          <w:b/>
          <w:kern w:val="0"/>
          <w:sz w:val="28"/>
          <w:szCs w:val="28"/>
        </w:rPr>
      </w:pPr>
    </w:p>
    <w:p>
      <w:pPr>
        <w:tabs>
          <w:tab w:val="left" w:pos="826"/>
        </w:tabs>
        <w:spacing w:line="560" w:lineRule="exact"/>
        <w:ind w:left="426"/>
        <w:jc w:val="center"/>
        <w:rPr>
          <w:rFonts w:ascii="宋体" w:hAnsi="宋体"/>
          <w:b/>
          <w:kern w:val="0"/>
          <w:sz w:val="28"/>
          <w:szCs w:val="28"/>
        </w:rPr>
      </w:pPr>
    </w:p>
    <w:p>
      <w:pPr>
        <w:tabs>
          <w:tab w:val="left" w:pos="826"/>
        </w:tabs>
        <w:spacing w:line="560" w:lineRule="exact"/>
        <w:ind w:left="426"/>
        <w:jc w:val="center"/>
        <w:rPr>
          <w:rFonts w:ascii="宋体" w:hAnsi="宋体"/>
          <w:b/>
          <w:kern w:val="0"/>
          <w:sz w:val="28"/>
          <w:szCs w:val="28"/>
        </w:rPr>
      </w:pPr>
    </w:p>
    <w:p>
      <w:pPr>
        <w:tabs>
          <w:tab w:val="left" w:pos="826"/>
        </w:tabs>
        <w:spacing w:line="560" w:lineRule="exact"/>
        <w:ind w:left="426"/>
        <w:jc w:val="center"/>
        <w:rPr>
          <w:rFonts w:ascii="宋体" w:hAnsi="宋体"/>
          <w:b/>
          <w:kern w:val="0"/>
          <w:sz w:val="28"/>
          <w:szCs w:val="28"/>
        </w:rPr>
      </w:pPr>
    </w:p>
    <w:p>
      <w:pPr>
        <w:tabs>
          <w:tab w:val="left" w:pos="826"/>
        </w:tabs>
        <w:spacing w:line="560" w:lineRule="exact"/>
        <w:ind w:left="426"/>
        <w:jc w:val="center"/>
        <w:rPr>
          <w:rFonts w:ascii="宋体" w:hAnsi="宋体"/>
          <w:b/>
          <w:kern w:val="0"/>
          <w:sz w:val="28"/>
          <w:szCs w:val="28"/>
        </w:rPr>
      </w:pPr>
    </w:p>
    <w:p>
      <w:pPr>
        <w:tabs>
          <w:tab w:val="left" w:pos="826"/>
        </w:tabs>
        <w:spacing w:line="560" w:lineRule="exact"/>
        <w:ind w:left="426"/>
        <w:jc w:val="center"/>
        <w:rPr>
          <w:rFonts w:ascii="宋体" w:hAnsi="宋体"/>
          <w:b/>
          <w:kern w:val="0"/>
          <w:sz w:val="28"/>
          <w:szCs w:val="28"/>
        </w:rPr>
      </w:pPr>
    </w:p>
    <w:p>
      <w:pPr>
        <w:tabs>
          <w:tab w:val="left" w:pos="826"/>
        </w:tabs>
        <w:spacing w:line="560" w:lineRule="exact"/>
        <w:ind w:left="426"/>
        <w:jc w:val="center"/>
        <w:rPr>
          <w:rFonts w:ascii="宋体" w:hAnsi="宋体"/>
          <w:b/>
          <w:kern w:val="0"/>
          <w:sz w:val="28"/>
          <w:szCs w:val="28"/>
        </w:rPr>
      </w:pPr>
    </w:p>
    <w:p>
      <w:pPr>
        <w:tabs>
          <w:tab w:val="left" w:pos="826"/>
        </w:tabs>
        <w:spacing w:line="560" w:lineRule="exact"/>
        <w:ind w:left="426"/>
        <w:jc w:val="center"/>
        <w:rPr>
          <w:rFonts w:ascii="宋体" w:hAnsi="宋体"/>
          <w:b/>
          <w:kern w:val="0"/>
          <w:sz w:val="28"/>
          <w:szCs w:val="28"/>
        </w:rPr>
      </w:pPr>
    </w:p>
    <w:p>
      <w:pPr>
        <w:tabs>
          <w:tab w:val="left" w:pos="826"/>
        </w:tabs>
        <w:spacing w:line="560" w:lineRule="exact"/>
        <w:ind w:left="426"/>
        <w:jc w:val="center"/>
        <w:rPr>
          <w:rFonts w:ascii="宋体" w:hAnsi="宋体"/>
          <w:b/>
          <w:kern w:val="0"/>
          <w:sz w:val="28"/>
          <w:szCs w:val="28"/>
        </w:rPr>
      </w:pPr>
    </w:p>
    <w:p>
      <w:pPr>
        <w:tabs>
          <w:tab w:val="left" w:pos="826"/>
        </w:tabs>
        <w:spacing w:line="560" w:lineRule="exact"/>
        <w:ind w:left="426"/>
        <w:jc w:val="center"/>
        <w:rPr>
          <w:rFonts w:ascii="宋体" w:hAnsi="宋体"/>
          <w:b/>
          <w:kern w:val="0"/>
          <w:sz w:val="28"/>
          <w:szCs w:val="28"/>
        </w:rPr>
      </w:pPr>
    </w:p>
    <w:p>
      <w:pPr>
        <w:tabs>
          <w:tab w:val="left" w:pos="826"/>
        </w:tabs>
        <w:spacing w:line="560" w:lineRule="exact"/>
        <w:ind w:left="426"/>
        <w:jc w:val="center"/>
        <w:rPr>
          <w:rFonts w:ascii="宋体" w:hAnsi="宋体"/>
          <w:kern w:val="0"/>
          <w:sz w:val="24"/>
        </w:rPr>
      </w:pPr>
      <w:r>
        <w:rPr>
          <w:rFonts w:hint="eastAsia" w:ascii="宋体" w:hAnsi="宋体"/>
          <w:b/>
          <w:kern w:val="0"/>
          <w:sz w:val="28"/>
          <w:szCs w:val="28"/>
        </w:rPr>
        <w:t>8</w:t>
      </w:r>
      <w:r>
        <w:rPr>
          <w:rFonts w:ascii="宋体" w:hAnsi="宋体"/>
          <w:b/>
          <w:kern w:val="0"/>
          <w:sz w:val="28"/>
          <w:szCs w:val="28"/>
        </w:rPr>
        <w:t>.</w:t>
      </w:r>
      <w:r>
        <w:rPr>
          <w:rFonts w:hint="eastAsia" w:ascii="宋体" w:hAnsi="宋体"/>
          <w:b/>
          <w:kern w:val="0"/>
          <w:sz w:val="28"/>
          <w:szCs w:val="28"/>
        </w:rPr>
        <w:t>其他……</w:t>
      </w:r>
    </w:p>
    <w:p>
      <w:pPr>
        <w:widowControl/>
        <w:jc w:val="left"/>
        <w:rPr>
          <w:rFonts w:ascii="宋体"/>
          <w:i/>
          <w:kern w:val="0"/>
          <w:sz w:val="28"/>
          <w:szCs w:val="28"/>
        </w:rPr>
      </w:pPr>
    </w:p>
    <w:p>
      <w:pPr>
        <w:widowControl/>
        <w:jc w:val="left"/>
        <w:rPr>
          <w:rFonts w:ascii="宋体"/>
          <w:i/>
          <w:kern w:val="0"/>
          <w:sz w:val="28"/>
          <w:szCs w:val="28"/>
        </w:rPr>
      </w:pPr>
      <w:r>
        <w:rPr>
          <w:rFonts w:ascii="宋体"/>
          <w:i/>
          <w:kern w:val="0"/>
          <w:sz w:val="28"/>
          <w:szCs w:val="28"/>
        </w:rPr>
        <w:br w:type="page"/>
      </w:r>
    </w:p>
    <w:p>
      <w:pPr>
        <w:ind w:right="753"/>
        <w:jc w:val="center"/>
        <w:rPr>
          <w:rFonts w:ascii="宋体" w:cs="宋体"/>
          <w:sz w:val="28"/>
          <w:szCs w:val="28"/>
        </w:rPr>
      </w:pPr>
      <w:r>
        <w:rPr>
          <w:rFonts w:hint="eastAsia" w:ascii="宋体" w:hAnsi="宋体" w:cs="宋体"/>
          <w:sz w:val="28"/>
          <w:szCs w:val="28"/>
        </w:rPr>
        <w:t>（封面格式）</w:t>
      </w:r>
    </w:p>
    <w:p>
      <w:pPr>
        <w:ind w:right="753"/>
        <w:jc w:val="left"/>
        <w:rPr>
          <w:rFonts w:ascii="宋体" w:cs="宋体"/>
          <w:szCs w:val="28"/>
        </w:rPr>
      </w:pPr>
    </w:p>
    <w:p>
      <w:pPr>
        <w:ind w:right="753"/>
        <w:jc w:val="left"/>
        <w:rPr>
          <w:rFonts w:ascii="宋体" w:cs="宋体"/>
          <w:szCs w:val="28"/>
        </w:rPr>
      </w:pPr>
    </w:p>
    <w:p>
      <w:pPr>
        <w:ind w:right="753"/>
        <w:jc w:val="left"/>
        <w:rPr>
          <w:rFonts w:ascii="宋体" w:cs="宋体"/>
          <w:szCs w:val="28"/>
        </w:rPr>
      </w:pPr>
    </w:p>
    <w:p>
      <w:pPr>
        <w:ind w:right="753"/>
        <w:jc w:val="left"/>
        <w:rPr>
          <w:rFonts w:ascii="宋体" w:cs="宋体"/>
          <w:szCs w:val="28"/>
        </w:rPr>
      </w:pPr>
    </w:p>
    <w:p>
      <w:pPr>
        <w:ind w:right="753"/>
        <w:jc w:val="left"/>
        <w:rPr>
          <w:rFonts w:ascii="宋体" w:cs="宋体"/>
          <w:szCs w:val="28"/>
        </w:rPr>
      </w:pPr>
    </w:p>
    <w:p>
      <w:pPr>
        <w:ind w:right="753"/>
        <w:jc w:val="left"/>
        <w:rPr>
          <w:rFonts w:ascii="宋体" w:cs="宋体"/>
          <w:szCs w:val="28"/>
        </w:rPr>
      </w:pPr>
    </w:p>
    <w:p>
      <w:pPr>
        <w:ind w:right="753"/>
        <w:jc w:val="left"/>
        <w:rPr>
          <w:rFonts w:ascii="宋体" w:cs="宋体"/>
          <w:szCs w:val="28"/>
        </w:rPr>
      </w:pPr>
    </w:p>
    <w:p>
      <w:pPr>
        <w:ind w:right="753"/>
        <w:jc w:val="left"/>
        <w:rPr>
          <w:rFonts w:ascii="宋体" w:cs="宋体"/>
          <w:szCs w:val="28"/>
        </w:rPr>
      </w:pPr>
    </w:p>
    <w:p>
      <w:pPr>
        <w:ind w:right="753"/>
        <w:jc w:val="left"/>
        <w:rPr>
          <w:rFonts w:ascii="宋体" w:cs="宋体"/>
          <w:szCs w:val="28"/>
        </w:rPr>
      </w:pPr>
    </w:p>
    <w:p>
      <w:pPr>
        <w:ind w:right="753"/>
        <w:jc w:val="left"/>
        <w:rPr>
          <w:rFonts w:ascii="宋体" w:cs="宋体"/>
          <w:szCs w:val="28"/>
        </w:rPr>
      </w:pPr>
    </w:p>
    <w:p>
      <w:pPr>
        <w:ind w:right="753"/>
        <w:jc w:val="left"/>
        <w:rPr>
          <w:rFonts w:ascii="宋体" w:cs="宋体"/>
          <w:szCs w:val="28"/>
        </w:rPr>
      </w:pPr>
    </w:p>
    <w:p>
      <w:pPr>
        <w:jc w:val="center"/>
        <w:rPr>
          <w:rFonts w:ascii="宋体" w:cs="宋体"/>
          <w:szCs w:val="28"/>
        </w:rPr>
      </w:pPr>
    </w:p>
    <w:p>
      <w:pPr>
        <w:jc w:val="center"/>
        <w:rPr>
          <w:rFonts w:ascii="宋体" w:cs="宋体"/>
          <w:szCs w:val="28"/>
        </w:rPr>
      </w:pPr>
      <w:r>
        <w:rPr>
          <w:rFonts w:ascii="宋体" w:hAnsi="宋体" w:cs="宋体"/>
          <w:sz w:val="28"/>
          <w:szCs w:val="28"/>
        </w:rPr>
        <w:t xml:space="preserve"> </w:t>
      </w:r>
      <w:r>
        <w:rPr>
          <w:rFonts w:hint="eastAsia" w:ascii="宋体" w:hAnsi="宋体" w:cs="宋体"/>
          <w:sz w:val="28"/>
          <w:szCs w:val="28"/>
        </w:rPr>
        <w:t>项目比选申请文件</w:t>
      </w:r>
    </w:p>
    <w:p>
      <w:pPr>
        <w:pStyle w:val="24"/>
        <w:jc w:val="center"/>
        <w:rPr>
          <w:b w:val="0"/>
          <w:bCs w:val="0"/>
          <w:sz w:val="28"/>
          <w:szCs w:val="28"/>
        </w:rPr>
      </w:pPr>
      <w:bookmarkStart w:id="388" w:name="_Toc10507"/>
      <w:bookmarkStart w:id="389" w:name="_Toc31069"/>
      <w:bookmarkStart w:id="390" w:name="_Toc4828"/>
      <w:bookmarkStart w:id="391" w:name="_Toc461525334"/>
      <w:bookmarkStart w:id="392" w:name="_Toc18631"/>
      <w:bookmarkStart w:id="393" w:name="_Toc144"/>
      <w:bookmarkStart w:id="394" w:name="_Toc124"/>
      <w:bookmarkStart w:id="395" w:name="_Toc25575"/>
      <w:bookmarkStart w:id="396" w:name="_Toc23149"/>
      <w:bookmarkStart w:id="397" w:name="_Toc16451"/>
      <w:r>
        <w:rPr>
          <w:rFonts w:hint="eastAsia"/>
          <w:b w:val="0"/>
          <w:bCs w:val="0"/>
          <w:sz w:val="28"/>
          <w:szCs w:val="28"/>
        </w:rPr>
        <w:t>技术部分</w:t>
      </w:r>
      <w:bookmarkEnd w:id="388"/>
      <w:bookmarkEnd w:id="389"/>
      <w:bookmarkEnd w:id="390"/>
      <w:bookmarkEnd w:id="391"/>
      <w:bookmarkEnd w:id="392"/>
      <w:bookmarkEnd w:id="393"/>
      <w:bookmarkEnd w:id="394"/>
      <w:bookmarkEnd w:id="395"/>
      <w:bookmarkEnd w:id="396"/>
      <w:bookmarkEnd w:id="397"/>
    </w:p>
    <w:p>
      <w:pPr>
        <w:ind w:right="753"/>
        <w:jc w:val="left"/>
        <w:rPr>
          <w:rFonts w:ascii="宋体" w:cs="宋体"/>
          <w:szCs w:val="28"/>
        </w:rPr>
      </w:pPr>
    </w:p>
    <w:p>
      <w:pPr>
        <w:ind w:right="753"/>
        <w:jc w:val="left"/>
        <w:rPr>
          <w:rFonts w:ascii="宋体" w:cs="宋体"/>
          <w:szCs w:val="28"/>
        </w:rPr>
      </w:pPr>
    </w:p>
    <w:p>
      <w:pPr>
        <w:ind w:right="753"/>
        <w:jc w:val="left"/>
        <w:rPr>
          <w:rFonts w:ascii="宋体" w:cs="宋体"/>
          <w:szCs w:val="28"/>
        </w:rPr>
      </w:pPr>
    </w:p>
    <w:p>
      <w:pPr>
        <w:ind w:right="753"/>
        <w:jc w:val="left"/>
        <w:rPr>
          <w:rFonts w:ascii="宋体" w:cs="宋体"/>
          <w:szCs w:val="28"/>
        </w:rPr>
      </w:pPr>
    </w:p>
    <w:p>
      <w:pPr>
        <w:ind w:right="753"/>
        <w:jc w:val="left"/>
        <w:rPr>
          <w:rFonts w:ascii="宋体" w:cs="宋体"/>
          <w:szCs w:val="28"/>
        </w:rPr>
      </w:pPr>
    </w:p>
    <w:p>
      <w:pPr>
        <w:ind w:right="753"/>
        <w:jc w:val="left"/>
        <w:rPr>
          <w:rFonts w:ascii="宋体" w:cs="宋体"/>
          <w:szCs w:val="28"/>
        </w:rPr>
      </w:pPr>
    </w:p>
    <w:p>
      <w:pPr>
        <w:ind w:right="753"/>
        <w:jc w:val="left"/>
        <w:rPr>
          <w:rFonts w:ascii="宋体" w:cs="宋体"/>
          <w:szCs w:val="28"/>
        </w:rPr>
      </w:pPr>
    </w:p>
    <w:p>
      <w:pPr>
        <w:ind w:right="753"/>
        <w:jc w:val="left"/>
        <w:rPr>
          <w:rFonts w:ascii="宋体" w:cs="宋体"/>
          <w:szCs w:val="28"/>
        </w:rPr>
      </w:pPr>
    </w:p>
    <w:p>
      <w:pPr>
        <w:ind w:right="753"/>
        <w:jc w:val="left"/>
        <w:rPr>
          <w:rFonts w:ascii="宋体" w:cs="宋体"/>
          <w:sz w:val="28"/>
          <w:szCs w:val="28"/>
        </w:rPr>
      </w:pPr>
      <w:r>
        <w:rPr>
          <w:rFonts w:hint="eastAsia" w:ascii="宋体" w:hAnsi="宋体" w:cs="宋体"/>
          <w:sz w:val="28"/>
          <w:szCs w:val="28"/>
        </w:rPr>
        <w:t>比选申请人：（盖单位公章）</w:t>
      </w:r>
    </w:p>
    <w:p>
      <w:pPr>
        <w:ind w:right="753"/>
        <w:jc w:val="left"/>
        <w:rPr>
          <w:rFonts w:ascii="宋体" w:cs="宋体"/>
          <w:sz w:val="28"/>
          <w:szCs w:val="28"/>
        </w:rPr>
      </w:pPr>
      <w:r>
        <w:rPr>
          <w:rFonts w:hint="eastAsia" w:ascii="宋体" w:hAnsi="宋体" w:cs="宋体"/>
          <w:sz w:val="28"/>
          <w:szCs w:val="28"/>
        </w:rPr>
        <w:t>法定代表人（负责人）或委托代理人：（签字）</w:t>
      </w:r>
    </w:p>
    <w:p>
      <w:pPr>
        <w:ind w:right="753"/>
        <w:jc w:val="left"/>
        <w:rPr>
          <w:rFonts w:ascii="宋体" w:cs="宋体"/>
          <w:sz w:val="28"/>
          <w:szCs w:val="28"/>
        </w:rPr>
      </w:pPr>
    </w:p>
    <w:p>
      <w:pPr>
        <w:ind w:right="753"/>
        <w:jc w:val="left"/>
        <w:rPr>
          <w:rFonts w:ascii="宋体" w:cs="宋体"/>
          <w:sz w:val="28"/>
          <w:szCs w:val="28"/>
        </w:rPr>
      </w:pPr>
      <w:r>
        <w:rPr>
          <w:rFonts w:ascii="宋体" w:hAnsi="宋体" w:cs="宋体"/>
          <w:sz w:val="28"/>
          <w:szCs w:val="28"/>
        </w:rPr>
        <w:t xml:space="preserve">      </w:t>
      </w:r>
      <w:r>
        <w:rPr>
          <w:rFonts w:hint="eastAsia" w:ascii="宋体" w:hAnsi="宋体" w:cs="宋体"/>
          <w:sz w:val="28"/>
          <w:szCs w:val="28"/>
        </w:rPr>
        <w:t>年</w:t>
      </w:r>
      <w:r>
        <w:rPr>
          <w:rFonts w:ascii="宋体" w:hAnsi="宋体" w:cs="宋体"/>
          <w:sz w:val="28"/>
          <w:szCs w:val="28"/>
        </w:rPr>
        <w:t xml:space="preserve">    </w:t>
      </w:r>
      <w:r>
        <w:rPr>
          <w:rFonts w:hint="eastAsia" w:ascii="宋体" w:hAnsi="宋体" w:cs="宋体"/>
          <w:sz w:val="28"/>
          <w:szCs w:val="28"/>
        </w:rPr>
        <w:t>月</w:t>
      </w:r>
      <w:r>
        <w:rPr>
          <w:rFonts w:ascii="宋体" w:hAnsi="宋体" w:cs="宋体"/>
          <w:sz w:val="28"/>
          <w:szCs w:val="28"/>
        </w:rPr>
        <w:t xml:space="preserve">    </w:t>
      </w:r>
      <w:r>
        <w:rPr>
          <w:rFonts w:hint="eastAsia" w:ascii="宋体" w:hAnsi="宋体" w:cs="宋体"/>
          <w:sz w:val="28"/>
          <w:szCs w:val="28"/>
        </w:rPr>
        <w:t>日</w:t>
      </w:r>
    </w:p>
    <w:p>
      <w:pPr>
        <w:ind w:right="753"/>
        <w:jc w:val="left"/>
        <w:rPr>
          <w:rFonts w:ascii="宋体" w:cs="宋体"/>
          <w:sz w:val="28"/>
          <w:szCs w:val="28"/>
        </w:rPr>
      </w:pPr>
    </w:p>
    <w:p>
      <w:pPr>
        <w:pStyle w:val="4"/>
        <w:rPr>
          <w:rFonts w:ascii="宋体" w:cs="宋体"/>
          <w:kern w:val="2"/>
          <w:szCs w:val="28"/>
        </w:rPr>
      </w:pPr>
      <w:bookmarkStart w:id="398" w:name="_Toc9379"/>
      <w:bookmarkStart w:id="399" w:name="_Toc31582"/>
      <w:bookmarkStart w:id="400" w:name="_Toc32510"/>
      <w:bookmarkStart w:id="401" w:name="_Toc1986"/>
      <w:bookmarkStart w:id="402" w:name="_Toc26769"/>
      <w:bookmarkStart w:id="403" w:name="_Toc23508"/>
      <w:bookmarkStart w:id="404" w:name="_Toc31521"/>
      <w:bookmarkStart w:id="405" w:name="_Toc471482371"/>
      <w:bookmarkStart w:id="406" w:name="_Toc29536"/>
      <w:bookmarkStart w:id="407" w:name="_Toc21144"/>
    </w:p>
    <w:p/>
    <w:p>
      <w:pPr>
        <w:pStyle w:val="4"/>
        <w:jc w:val="center"/>
        <w:rPr>
          <w:b/>
        </w:rPr>
      </w:pPr>
      <w:bookmarkStart w:id="408" w:name="_Toc31102"/>
      <w:bookmarkStart w:id="409" w:name="_Toc30597"/>
      <w:bookmarkStart w:id="410" w:name="_Toc22366"/>
      <w:bookmarkStart w:id="411" w:name="_Toc3401"/>
      <w:bookmarkStart w:id="412" w:name="_Toc11499"/>
      <w:bookmarkStart w:id="413" w:name="_Toc32476"/>
      <w:bookmarkStart w:id="414" w:name="_Toc12404"/>
      <w:bookmarkStart w:id="415" w:name="_Toc29703"/>
      <w:r>
        <w:rPr>
          <w:rFonts w:hint="eastAsia"/>
          <w:b/>
        </w:rPr>
        <w:t>二、技术部分材料目录</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spacing w:line="540" w:lineRule="exact"/>
        <w:rPr>
          <w:rFonts w:ascii="宋体" w:hAnsi="宋体" w:cs="宋体"/>
          <w:sz w:val="28"/>
          <w:szCs w:val="28"/>
        </w:rPr>
      </w:pPr>
      <w:r>
        <w:rPr>
          <w:rFonts w:hint="eastAsia" w:ascii="宋体" w:hAnsi="宋体" w:cs="宋体"/>
          <w:sz w:val="28"/>
          <w:szCs w:val="28"/>
        </w:rPr>
        <w:t>1.业绩表</w:t>
      </w:r>
    </w:p>
    <w:p>
      <w:pPr>
        <w:spacing w:line="540" w:lineRule="exact"/>
        <w:rPr>
          <w:rFonts w:ascii="宋体" w:hAnsi="宋体" w:cs="宋体"/>
          <w:sz w:val="28"/>
          <w:szCs w:val="28"/>
        </w:rPr>
      </w:pPr>
      <w:r>
        <w:rPr>
          <w:rFonts w:hint="eastAsia" w:ascii="宋体" w:hAnsi="宋体" w:cs="宋体"/>
          <w:sz w:val="28"/>
          <w:szCs w:val="28"/>
        </w:rPr>
        <w:t>2.拟投入人员配置明细表</w:t>
      </w:r>
    </w:p>
    <w:p>
      <w:pPr>
        <w:spacing w:line="540" w:lineRule="exact"/>
        <w:rPr>
          <w:rFonts w:ascii="宋体" w:hAnsi="宋体" w:cs="宋体"/>
          <w:sz w:val="28"/>
          <w:szCs w:val="28"/>
        </w:rPr>
      </w:pPr>
      <w:r>
        <w:rPr>
          <w:rFonts w:hint="eastAsia" w:ascii="宋体" w:hAnsi="宋体" w:cs="宋体"/>
          <w:sz w:val="28"/>
          <w:szCs w:val="28"/>
        </w:rPr>
        <w:t>3.拟投入人员的相关工作资历及能力（由比选申请人自行编写）</w:t>
      </w:r>
    </w:p>
    <w:p>
      <w:pPr>
        <w:spacing w:line="540" w:lineRule="exact"/>
        <w:rPr>
          <w:rFonts w:hint="eastAsia" w:ascii="宋体" w:hAnsi="宋体" w:eastAsia="宋体" w:cs="宋体"/>
          <w:sz w:val="28"/>
          <w:szCs w:val="28"/>
        </w:rPr>
      </w:pPr>
      <w:r>
        <w:rPr>
          <w:rFonts w:hint="eastAsia" w:ascii="宋体" w:hAnsi="宋体" w:cs="宋体"/>
          <w:sz w:val="28"/>
          <w:szCs w:val="28"/>
        </w:rPr>
        <w:t>4.拟投入人员中正式员工劳动合同或近3个月社保缴付证明（复印件加盖</w:t>
      </w:r>
      <w:r>
        <w:rPr>
          <w:rFonts w:hint="eastAsia" w:ascii="宋体" w:hAnsi="宋体" w:eastAsia="宋体" w:cs="宋体"/>
          <w:sz w:val="28"/>
          <w:szCs w:val="28"/>
        </w:rPr>
        <w:t>单位公章）</w:t>
      </w:r>
    </w:p>
    <w:p>
      <w:pPr>
        <w:spacing w:line="540" w:lineRule="exact"/>
        <w:rPr>
          <w:rFonts w:hint="eastAsia" w:ascii="宋体" w:hAnsi="宋体" w:eastAsia="宋体" w:cs="宋体"/>
          <w:sz w:val="28"/>
          <w:szCs w:val="28"/>
        </w:rPr>
      </w:pPr>
      <w:r>
        <w:rPr>
          <w:rFonts w:hint="eastAsia" w:ascii="宋体" w:hAnsi="宋体" w:eastAsia="宋体" w:cs="宋体"/>
          <w:sz w:val="28"/>
          <w:szCs w:val="28"/>
        </w:rPr>
        <w:t>5.服务方案（由比选申请人自行编写）</w:t>
      </w:r>
    </w:p>
    <w:p>
      <w:pPr>
        <w:spacing w:line="540" w:lineRule="exact"/>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6.其他</w:t>
      </w:r>
    </w:p>
    <w:p>
      <w:pPr>
        <w:spacing w:line="540" w:lineRule="exact"/>
        <w:rPr>
          <w:rFonts w:hint="eastAsia" w:ascii="宋体" w:hAnsi="宋体" w:eastAsia="宋体" w:cs="宋体"/>
          <w:sz w:val="28"/>
          <w:szCs w:val="28"/>
        </w:rPr>
      </w:pPr>
    </w:p>
    <w:p>
      <w:pPr>
        <w:spacing w:line="540" w:lineRule="exact"/>
        <w:rPr>
          <w:rFonts w:ascii="宋体" w:cs="宋体"/>
          <w:sz w:val="28"/>
          <w:szCs w:val="28"/>
        </w:rPr>
      </w:pPr>
      <w:r>
        <w:rPr>
          <w:rFonts w:hint="eastAsia" w:ascii="宋体" w:hAnsi="宋体" w:cs="宋体"/>
          <w:sz w:val="28"/>
          <w:szCs w:val="28"/>
        </w:rPr>
        <w:t>备注：以上材料均需加盖单位公章，并按照目录顺序编排，标注页码</w:t>
      </w:r>
    </w:p>
    <w:p>
      <w:pPr>
        <w:ind w:right="753"/>
        <w:jc w:val="left"/>
        <w:rPr>
          <w:rFonts w:ascii="宋体" w:cs="宋体"/>
          <w:sz w:val="28"/>
          <w:szCs w:val="28"/>
        </w:rPr>
      </w:pPr>
    </w:p>
    <w:p>
      <w:pPr>
        <w:ind w:right="753"/>
        <w:jc w:val="left"/>
        <w:rPr>
          <w:rFonts w:ascii="宋体" w:cs="宋体"/>
          <w:sz w:val="28"/>
          <w:szCs w:val="28"/>
        </w:rPr>
      </w:pPr>
    </w:p>
    <w:p>
      <w:pPr>
        <w:ind w:right="753"/>
        <w:jc w:val="left"/>
        <w:rPr>
          <w:rFonts w:ascii="宋体" w:cs="宋体"/>
          <w:sz w:val="28"/>
          <w:szCs w:val="28"/>
        </w:rPr>
      </w:pPr>
    </w:p>
    <w:p>
      <w:pPr>
        <w:ind w:right="753"/>
        <w:jc w:val="left"/>
        <w:rPr>
          <w:rFonts w:ascii="宋体" w:cs="宋体"/>
          <w:sz w:val="28"/>
          <w:szCs w:val="28"/>
        </w:rPr>
      </w:pPr>
    </w:p>
    <w:p>
      <w:pPr>
        <w:ind w:right="753"/>
        <w:jc w:val="left"/>
        <w:rPr>
          <w:rFonts w:ascii="宋体" w:cs="宋体"/>
          <w:sz w:val="28"/>
          <w:szCs w:val="28"/>
        </w:rPr>
      </w:pPr>
    </w:p>
    <w:p>
      <w:pPr>
        <w:ind w:right="753"/>
        <w:jc w:val="left"/>
        <w:rPr>
          <w:rFonts w:ascii="宋体" w:cs="宋体"/>
          <w:sz w:val="28"/>
          <w:szCs w:val="28"/>
        </w:rPr>
      </w:pPr>
    </w:p>
    <w:p>
      <w:pPr>
        <w:ind w:right="753"/>
        <w:jc w:val="left"/>
        <w:rPr>
          <w:rFonts w:ascii="宋体" w:cs="宋体"/>
          <w:sz w:val="28"/>
          <w:szCs w:val="28"/>
        </w:rPr>
      </w:pPr>
    </w:p>
    <w:p>
      <w:pPr>
        <w:ind w:right="753"/>
        <w:jc w:val="left"/>
        <w:rPr>
          <w:rFonts w:ascii="宋体" w:cs="宋体"/>
          <w:sz w:val="28"/>
          <w:szCs w:val="28"/>
        </w:rPr>
      </w:pPr>
    </w:p>
    <w:p>
      <w:pPr>
        <w:ind w:right="753"/>
        <w:jc w:val="left"/>
        <w:rPr>
          <w:rFonts w:ascii="宋体" w:cs="宋体"/>
          <w:sz w:val="28"/>
          <w:szCs w:val="28"/>
        </w:rPr>
      </w:pPr>
    </w:p>
    <w:p>
      <w:pPr>
        <w:ind w:right="753"/>
        <w:jc w:val="left"/>
        <w:rPr>
          <w:rFonts w:ascii="宋体" w:cs="宋体"/>
          <w:sz w:val="28"/>
          <w:szCs w:val="28"/>
        </w:rPr>
      </w:pPr>
    </w:p>
    <w:p>
      <w:pPr>
        <w:ind w:right="753"/>
        <w:jc w:val="left"/>
        <w:rPr>
          <w:rFonts w:ascii="宋体" w:cs="宋体"/>
          <w:sz w:val="28"/>
          <w:szCs w:val="28"/>
        </w:rPr>
      </w:pPr>
    </w:p>
    <w:p>
      <w:pPr>
        <w:pStyle w:val="2"/>
      </w:pPr>
    </w:p>
    <w:p>
      <w:pPr>
        <w:pStyle w:val="5"/>
        <w:spacing w:before="0" w:after="156" w:afterLines="50" w:line="600" w:lineRule="exact"/>
        <w:jc w:val="center"/>
        <w:rPr>
          <w:rFonts w:ascii="宋体"/>
          <w:b/>
        </w:rPr>
      </w:pPr>
      <w:bookmarkStart w:id="416" w:name="_Toc32624"/>
      <w:bookmarkStart w:id="417" w:name="_Toc7527"/>
      <w:bookmarkStart w:id="418" w:name="_Toc10356"/>
      <w:bookmarkStart w:id="419" w:name="_Toc6881"/>
      <w:bookmarkStart w:id="420" w:name="_Toc24439"/>
      <w:bookmarkStart w:id="421" w:name="_Toc19216"/>
      <w:bookmarkStart w:id="422" w:name="_Toc9604"/>
      <w:bookmarkStart w:id="423" w:name="_Toc25382"/>
      <w:bookmarkStart w:id="424" w:name="_Toc461525332"/>
      <w:bookmarkStart w:id="425" w:name="_Toc6862"/>
      <w:bookmarkStart w:id="426" w:name="_Toc30501"/>
      <w:bookmarkStart w:id="427" w:name="_Toc19445"/>
      <w:bookmarkStart w:id="428" w:name="_Toc31867"/>
      <w:r>
        <w:rPr>
          <w:rFonts w:ascii="宋体" w:hAnsi="宋体"/>
          <w:b/>
        </w:rPr>
        <w:t>1.</w:t>
      </w:r>
      <w:r>
        <w:rPr>
          <w:rFonts w:hint="eastAsia" w:ascii="宋体" w:hAnsi="宋体"/>
          <w:b/>
        </w:rPr>
        <w:t>业绩表</w:t>
      </w:r>
      <w:bookmarkEnd w:id="416"/>
      <w:bookmarkEnd w:id="417"/>
      <w:bookmarkEnd w:id="418"/>
      <w:bookmarkEnd w:id="419"/>
      <w:bookmarkEnd w:id="420"/>
      <w:bookmarkEnd w:id="421"/>
      <w:bookmarkEnd w:id="422"/>
      <w:bookmarkEnd w:id="423"/>
    </w:p>
    <w:tbl>
      <w:tblPr>
        <w:tblStyle w:val="25"/>
        <w:tblW w:w="10060" w:type="dxa"/>
        <w:jc w:val="center"/>
        <w:tblLayout w:type="fixed"/>
        <w:tblCellMar>
          <w:top w:w="0" w:type="dxa"/>
          <w:left w:w="108" w:type="dxa"/>
          <w:bottom w:w="0" w:type="dxa"/>
          <w:right w:w="108" w:type="dxa"/>
        </w:tblCellMar>
      </w:tblPr>
      <w:tblGrid>
        <w:gridCol w:w="704"/>
        <w:gridCol w:w="2835"/>
        <w:gridCol w:w="3046"/>
        <w:gridCol w:w="2126"/>
        <w:gridCol w:w="1349"/>
      </w:tblGrid>
      <w:tr>
        <w:tblPrEx>
          <w:tblCellMar>
            <w:top w:w="0" w:type="dxa"/>
            <w:left w:w="108" w:type="dxa"/>
            <w:bottom w:w="0" w:type="dxa"/>
            <w:right w:w="108" w:type="dxa"/>
          </w:tblCellMar>
        </w:tblPrEx>
        <w:trPr>
          <w:trHeight w:val="45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序号</w:t>
            </w:r>
          </w:p>
        </w:tc>
        <w:tc>
          <w:tcPr>
            <w:tcW w:w="2835"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合同对方名称</w:t>
            </w:r>
          </w:p>
        </w:tc>
        <w:tc>
          <w:tcPr>
            <w:tcW w:w="3046"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业务内容</w:t>
            </w: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业绩类型</w:t>
            </w:r>
          </w:p>
        </w:tc>
        <w:tc>
          <w:tcPr>
            <w:tcW w:w="134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合同签订时间</w:t>
            </w:r>
          </w:p>
        </w:tc>
      </w:tr>
      <w:tr>
        <w:tblPrEx>
          <w:tblCellMar>
            <w:top w:w="0" w:type="dxa"/>
            <w:left w:w="108" w:type="dxa"/>
            <w:bottom w:w="0" w:type="dxa"/>
            <w:right w:w="108" w:type="dxa"/>
          </w:tblCellMar>
        </w:tblPrEx>
        <w:trPr>
          <w:trHeight w:val="450"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bl>
    <w:p>
      <w:pPr>
        <w:spacing w:line="480" w:lineRule="exact"/>
        <w:ind w:left="480" w:hanging="480" w:hangingChars="200"/>
        <w:rPr>
          <w:rFonts w:ascii="宋体"/>
          <w:sz w:val="24"/>
        </w:rPr>
      </w:pPr>
      <w:r>
        <w:rPr>
          <w:rFonts w:hint="eastAsia" w:ascii="宋体" w:hAnsi="宋体"/>
          <w:sz w:val="24"/>
        </w:rPr>
        <w:t>注：</w:t>
      </w:r>
      <w:r>
        <w:rPr>
          <w:rFonts w:ascii="宋体" w:hAnsi="宋体"/>
          <w:sz w:val="24"/>
        </w:rPr>
        <w:t>1.</w:t>
      </w:r>
      <w:r>
        <w:rPr>
          <w:rFonts w:hint="eastAsia" w:ascii="宋体" w:hAnsi="宋体"/>
          <w:sz w:val="24"/>
        </w:rPr>
        <w:t>此表业绩是指</w:t>
      </w:r>
      <w:r>
        <w:rPr>
          <w:rFonts w:ascii="宋体" w:hAnsi="宋体"/>
          <w:sz w:val="24"/>
        </w:rPr>
        <w:t>2018</w:t>
      </w:r>
      <w:r>
        <w:rPr>
          <w:rFonts w:hint="eastAsia" w:ascii="宋体" w:hAnsi="宋体"/>
          <w:sz w:val="24"/>
        </w:rPr>
        <w:t>年</w:t>
      </w:r>
      <w:r>
        <w:rPr>
          <w:rFonts w:ascii="宋体" w:hAnsi="宋体"/>
          <w:sz w:val="24"/>
        </w:rPr>
        <w:t>1</w:t>
      </w:r>
      <w:r>
        <w:rPr>
          <w:rFonts w:hint="eastAsia" w:ascii="宋体" w:hAnsi="宋体"/>
          <w:sz w:val="24"/>
        </w:rPr>
        <w:t>月</w:t>
      </w:r>
      <w:r>
        <w:rPr>
          <w:rFonts w:ascii="宋体" w:hAnsi="宋体"/>
          <w:sz w:val="24"/>
        </w:rPr>
        <w:t>1</w:t>
      </w:r>
      <w:r>
        <w:rPr>
          <w:rFonts w:hint="eastAsia" w:ascii="宋体" w:hAnsi="宋体"/>
          <w:sz w:val="24"/>
        </w:rPr>
        <w:t>日至今，与本项目相关或相近的服务经验（参照评分细则）。</w:t>
      </w:r>
    </w:p>
    <w:p>
      <w:pPr>
        <w:spacing w:line="480" w:lineRule="exact"/>
        <w:ind w:left="479" w:leftChars="228"/>
        <w:rPr>
          <w:rFonts w:ascii="宋体"/>
          <w:sz w:val="24"/>
          <w:szCs w:val="28"/>
        </w:rPr>
      </w:pPr>
      <w:r>
        <w:rPr>
          <w:rFonts w:ascii="宋体" w:hAnsi="宋体"/>
          <w:sz w:val="24"/>
        </w:rPr>
        <w:t>2.</w:t>
      </w:r>
      <w:r>
        <w:rPr>
          <w:rFonts w:hint="eastAsia" w:ascii="宋体" w:hAnsi="宋体"/>
          <w:sz w:val="24"/>
        </w:rPr>
        <w:t>此表须附相应合同复印件（必须体现</w:t>
      </w:r>
      <w:r>
        <w:rPr>
          <w:rFonts w:hint="eastAsia" w:ascii="宋体" w:hAnsi="宋体" w:cs="宋体"/>
          <w:kern w:val="0"/>
          <w:sz w:val="24"/>
        </w:rPr>
        <w:t>合同对方名称及签订时间，涉及商业秘密的内容可以隐去</w:t>
      </w:r>
      <w:r>
        <w:rPr>
          <w:rFonts w:hint="eastAsia" w:ascii="宋体" w:hAnsi="宋体"/>
          <w:sz w:val="24"/>
        </w:rPr>
        <w:t>）</w:t>
      </w:r>
      <w:r>
        <w:rPr>
          <w:rFonts w:hint="eastAsia" w:ascii="宋体" w:hAnsi="宋体"/>
          <w:sz w:val="24"/>
          <w:szCs w:val="28"/>
        </w:rPr>
        <w:t>证明材料</w:t>
      </w:r>
      <w:r>
        <w:rPr>
          <w:rFonts w:hint="eastAsia" w:ascii="宋体" w:hAnsi="宋体"/>
          <w:sz w:val="24"/>
        </w:rPr>
        <w:t>。</w:t>
      </w:r>
      <w:r>
        <w:rPr>
          <w:rFonts w:hint="eastAsia" w:ascii="宋体" w:hAnsi="宋体"/>
          <w:sz w:val="24"/>
          <w:szCs w:val="28"/>
        </w:rPr>
        <w:t>未附证明材料的项目视为无效。</w:t>
      </w:r>
    </w:p>
    <w:p>
      <w:pPr>
        <w:spacing w:line="480" w:lineRule="exact"/>
        <w:rPr>
          <w:rFonts w:ascii="宋体" w:cs="宋体"/>
          <w:sz w:val="28"/>
          <w:szCs w:val="28"/>
        </w:rPr>
      </w:pPr>
    </w:p>
    <w:p>
      <w:pPr>
        <w:ind w:right="-21"/>
        <w:jc w:val="left"/>
        <w:rPr>
          <w:rFonts w:ascii="宋体" w:cs="宋体"/>
          <w:sz w:val="28"/>
          <w:szCs w:val="28"/>
        </w:rPr>
      </w:pPr>
    </w:p>
    <w:p>
      <w:pPr>
        <w:ind w:right="-21"/>
        <w:jc w:val="left"/>
        <w:rPr>
          <w:rFonts w:ascii="宋体" w:cs="宋体"/>
          <w:sz w:val="28"/>
          <w:szCs w:val="28"/>
        </w:rPr>
      </w:pPr>
    </w:p>
    <w:p>
      <w:pPr>
        <w:ind w:right="-21"/>
        <w:jc w:val="left"/>
        <w:rPr>
          <w:rFonts w:ascii="宋体" w:cs="宋体"/>
          <w:sz w:val="28"/>
          <w:szCs w:val="28"/>
        </w:rPr>
      </w:pPr>
    </w:p>
    <w:p>
      <w:pPr>
        <w:ind w:right="-21"/>
        <w:jc w:val="left"/>
        <w:rPr>
          <w:rFonts w:ascii="宋体" w:cs="宋体"/>
          <w:sz w:val="28"/>
          <w:szCs w:val="28"/>
        </w:rPr>
      </w:pPr>
    </w:p>
    <w:p>
      <w:pPr>
        <w:pStyle w:val="2"/>
      </w:pPr>
    </w:p>
    <w:p>
      <w:pPr>
        <w:pStyle w:val="5"/>
        <w:spacing w:before="0" w:after="156" w:afterLines="50" w:line="600" w:lineRule="exact"/>
        <w:jc w:val="center"/>
        <w:rPr>
          <w:rFonts w:ascii="宋体"/>
          <w:b/>
        </w:rPr>
      </w:pPr>
      <w:bookmarkStart w:id="429" w:name="_Toc21426"/>
      <w:bookmarkStart w:id="430" w:name="_Toc12801"/>
      <w:bookmarkStart w:id="431" w:name="_Toc24135"/>
      <w:bookmarkStart w:id="432" w:name="_Toc30796"/>
      <w:bookmarkStart w:id="433" w:name="_Toc14359"/>
      <w:bookmarkStart w:id="434" w:name="_Toc5471"/>
      <w:bookmarkStart w:id="435" w:name="_Toc28309"/>
      <w:bookmarkStart w:id="436" w:name="_Toc27864"/>
      <w:r>
        <w:rPr>
          <w:rFonts w:ascii="宋体" w:hAnsi="宋体"/>
          <w:b/>
        </w:rPr>
        <w:t>2.</w:t>
      </w:r>
      <w:r>
        <w:rPr>
          <w:rFonts w:hint="eastAsia" w:ascii="宋体" w:hAnsi="宋体"/>
          <w:b/>
        </w:rPr>
        <w:t>拟投入人员配置明细表</w:t>
      </w:r>
      <w:bookmarkEnd w:id="429"/>
      <w:bookmarkEnd w:id="430"/>
      <w:bookmarkEnd w:id="431"/>
      <w:bookmarkEnd w:id="432"/>
      <w:bookmarkEnd w:id="433"/>
      <w:bookmarkEnd w:id="434"/>
      <w:bookmarkEnd w:id="435"/>
      <w:bookmarkEnd w:id="436"/>
    </w:p>
    <w:tbl>
      <w:tblPr>
        <w:tblStyle w:val="25"/>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993"/>
        <w:gridCol w:w="850"/>
        <w:gridCol w:w="851"/>
        <w:gridCol w:w="992"/>
        <w:gridCol w:w="992"/>
        <w:gridCol w:w="1134"/>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675" w:type="dxa"/>
            <w:vAlign w:val="center"/>
          </w:tcPr>
          <w:p>
            <w:pPr>
              <w:pStyle w:val="10"/>
              <w:spacing w:line="400" w:lineRule="exact"/>
              <w:ind w:left="0" w:leftChars="0"/>
              <w:jc w:val="center"/>
              <w:rPr>
                <w:rFonts w:ascii="宋体"/>
                <w:szCs w:val="21"/>
              </w:rPr>
            </w:pPr>
            <w:r>
              <w:rPr>
                <w:rFonts w:hint="eastAsia" w:ascii="宋体" w:hAnsi="宋体"/>
                <w:szCs w:val="21"/>
              </w:rPr>
              <w:t>序号</w:t>
            </w:r>
          </w:p>
        </w:tc>
        <w:tc>
          <w:tcPr>
            <w:tcW w:w="993" w:type="dxa"/>
            <w:vAlign w:val="center"/>
          </w:tcPr>
          <w:p>
            <w:pPr>
              <w:pStyle w:val="10"/>
              <w:spacing w:line="400" w:lineRule="exact"/>
              <w:ind w:left="0" w:leftChars="0"/>
              <w:jc w:val="center"/>
              <w:rPr>
                <w:rFonts w:ascii="宋体"/>
                <w:szCs w:val="21"/>
              </w:rPr>
            </w:pPr>
            <w:r>
              <w:rPr>
                <w:rFonts w:hint="eastAsia" w:ascii="宋体" w:hAnsi="宋体"/>
                <w:szCs w:val="21"/>
              </w:rPr>
              <w:t>姓名</w:t>
            </w:r>
          </w:p>
        </w:tc>
        <w:tc>
          <w:tcPr>
            <w:tcW w:w="850" w:type="dxa"/>
            <w:vAlign w:val="center"/>
          </w:tcPr>
          <w:p>
            <w:pPr>
              <w:pStyle w:val="10"/>
              <w:spacing w:line="400" w:lineRule="exact"/>
              <w:ind w:left="0" w:leftChars="0"/>
              <w:jc w:val="center"/>
              <w:rPr>
                <w:rFonts w:ascii="宋体"/>
                <w:szCs w:val="21"/>
              </w:rPr>
            </w:pPr>
            <w:r>
              <w:rPr>
                <w:rFonts w:hint="eastAsia" w:ascii="宋体" w:hAnsi="宋体"/>
                <w:szCs w:val="21"/>
              </w:rPr>
              <w:t>年龄</w:t>
            </w:r>
          </w:p>
        </w:tc>
        <w:tc>
          <w:tcPr>
            <w:tcW w:w="851" w:type="dxa"/>
            <w:vAlign w:val="center"/>
          </w:tcPr>
          <w:p>
            <w:pPr>
              <w:pStyle w:val="10"/>
              <w:spacing w:line="400" w:lineRule="exact"/>
              <w:ind w:left="0" w:leftChars="0"/>
              <w:jc w:val="center"/>
              <w:rPr>
                <w:rFonts w:ascii="宋体"/>
                <w:szCs w:val="21"/>
              </w:rPr>
            </w:pPr>
            <w:r>
              <w:rPr>
                <w:rFonts w:hint="eastAsia" w:ascii="宋体" w:hAnsi="宋体"/>
                <w:szCs w:val="21"/>
              </w:rPr>
              <w:t>性别</w:t>
            </w:r>
          </w:p>
        </w:tc>
        <w:tc>
          <w:tcPr>
            <w:tcW w:w="992" w:type="dxa"/>
            <w:vAlign w:val="center"/>
          </w:tcPr>
          <w:p>
            <w:pPr>
              <w:pStyle w:val="10"/>
              <w:spacing w:line="400" w:lineRule="exact"/>
              <w:ind w:left="0" w:leftChars="0"/>
              <w:jc w:val="center"/>
              <w:rPr>
                <w:rFonts w:ascii="宋体"/>
                <w:szCs w:val="21"/>
              </w:rPr>
            </w:pPr>
            <w:r>
              <w:rPr>
                <w:rFonts w:hint="eastAsia" w:ascii="宋体" w:hAnsi="宋体"/>
                <w:szCs w:val="21"/>
              </w:rPr>
              <w:t>学历</w:t>
            </w:r>
          </w:p>
        </w:tc>
        <w:tc>
          <w:tcPr>
            <w:tcW w:w="992" w:type="dxa"/>
            <w:vAlign w:val="center"/>
          </w:tcPr>
          <w:p>
            <w:pPr>
              <w:pStyle w:val="10"/>
              <w:spacing w:line="400" w:lineRule="exact"/>
              <w:ind w:left="0" w:leftChars="0"/>
              <w:jc w:val="center"/>
              <w:rPr>
                <w:rFonts w:ascii="宋体"/>
                <w:szCs w:val="21"/>
              </w:rPr>
            </w:pPr>
            <w:r>
              <w:rPr>
                <w:rFonts w:hint="eastAsia" w:ascii="宋体" w:hAnsi="宋体"/>
                <w:szCs w:val="21"/>
              </w:rPr>
              <w:t>专业</w:t>
            </w:r>
          </w:p>
        </w:tc>
        <w:tc>
          <w:tcPr>
            <w:tcW w:w="1134" w:type="dxa"/>
            <w:vAlign w:val="center"/>
          </w:tcPr>
          <w:p>
            <w:pPr>
              <w:pStyle w:val="10"/>
              <w:spacing w:line="400" w:lineRule="exact"/>
              <w:ind w:left="0" w:leftChars="0"/>
              <w:jc w:val="center"/>
              <w:rPr>
                <w:rFonts w:ascii="宋体"/>
                <w:szCs w:val="21"/>
              </w:rPr>
            </w:pPr>
            <w:r>
              <w:rPr>
                <w:rFonts w:hint="eastAsia" w:ascii="宋体" w:hAnsi="宋体"/>
                <w:szCs w:val="21"/>
              </w:rPr>
              <w:t>资格证/职称</w:t>
            </w:r>
          </w:p>
        </w:tc>
        <w:tc>
          <w:tcPr>
            <w:tcW w:w="2126" w:type="dxa"/>
            <w:vAlign w:val="center"/>
          </w:tcPr>
          <w:p>
            <w:pPr>
              <w:pStyle w:val="10"/>
              <w:spacing w:line="400" w:lineRule="exact"/>
              <w:ind w:left="0" w:leftChars="0"/>
              <w:jc w:val="center"/>
              <w:rPr>
                <w:rFonts w:ascii="宋体"/>
                <w:szCs w:val="21"/>
              </w:rPr>
            </w:pPr>
            <w:r>
              <w:rPr>
                <w:rFonts w:hint="eastAsia" w:ascii="宋体" w:hAnsi="宋体"/>
                <w:szCs w:val="21"/>
              </w:rPr>
              <w:t>工作职责分工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675" w:type="dxa"/>
          </w:tcPr>
          <w:p>
            <w:pPr>
              <w:pStyle w:val="10"/>
              <w:spacing w:line="400" w:lineRule="exact"/>
              <w:ind w:left="0" w:leftChars="0"/>
              <w:rPr>
                <w:rFonts w:ascii="宋体"/>
                <w:szCs w:val="21"/>
              </w:rPr>
            </w:pPr>
          </w:p>
        </w:tc>
        <w:tc>
          <w:tcPr>
            <w:tcW w:w="993" w:type="dxa"/>
          </w:tcPr>
          <w:p>
            <w:pPr>
              <w:pStyle w:val="10"/>
              <w:spacing w:line="400" w:lineRule="exact"/>
              <w:ind w:left="0" w:leftChars="0"/>
              <w:rPr>
                <w:rFonts w:ascii="宋体"/>
                <w:szCs w:val="21"/>
              </w:rPr>
            </w:pPr>
          </w:p>
        </w:tc>
        <w:tc>
          <w:tcPr>
            <w:tcW w:w="850" w:type="dxa"/>
          </w:tcPr>
          <w:p>
            <w:pPr>
              <w:pStyle w:val="10"/>
              <w:spacing w:line="400" w:lineRule="exact"/>
              <w:ind w:left="0" w:leftChars="0"/>
              <w:rPr>
                <w:rFonts w:ascii="宋体"/>
                <w:szCs w:val="21"/>
              </w:rPr>
            </w:pPr>
          </w:p>
        </w:tc>
        <w:tc>
          <w:tcPr>
            <w:tcW w:w="851" w:type="dxa"/>
          </w:tcPr>
          <w:p>
            <w:pPr>
              <w:pStyle w:val="10"/>
              <w:spacing w:line="400" w:lineRule="exact"/>
              <w:ind w:left="0" w:leftChars="0"/>
              <w:rPr>
                <w:rFonts w:ascii="宋体"/>
                <w:szCs w:val="21"/>
              </w:rPr>
            </w:pPr>
          </w:p>
        </w:tc>
        <w:tc>
          <w:tcPr>
            <w:tcW w:w="992" w:type="dxa"/>
          </w:tcPr>
          <w:p>
            <w:pPr>
              <w:pStyle w:val="10"/>
              <w:spacing w:line="400" w:lineRule="exact"/>
              <w:ind w:left="0" w:leftChars="0"/>
              <w:rPr>
                <w:rFonts w:ascii="宋体"/>
                <w:szCs w:val="21"/>
              </w:rPr>
            </w:pPr>
          </w:p>
        </w:tc>
        <w:tc>
          <w:tcPr>
            <w:tcW w:w="992" w:type="dxa"/>
          </w:tcPr>
          <w:p>
            <w:pPr>
              <w:pStyle w:val="10"/>
              <w:spacing w:line="400" w:lineRule="exact"/>
              <w:ind w:left="0" w:leftChars="0"/>
              <w:rPr>
                <w:rFonts w:ascii="宋体"/>
                <w:szCs w:val="21"/>
              </w:rPr>
            </w:pPr>
          </w:p>
        </w:tc>
        <w:tc>
          <w:tcPr>
            <w:tcW w:w="1134" w:type="dxa"/>
          </w:tcPr>
          <w:p>
            <w:pPr>
              <w:pStyle w:val="10"/>
              <w:spacing w:line="400" w:lineRule="exact"/>
              <w:ind w:left="0" w:leftChars="0"/>
              <w:rPr>
                <w:rFonts w:ascii="宋体"/>
                <w:szCs w:val="21"/>
              </w:rPr>
            </w:pPr>
          </w:p>
        </w:tc>
        <w:tc>
          <w:tcPr>
            <w:tcW w:w="2126" w:type="dxa"/>
          </w:tcPr>
          <w:p>
            <w:pPr>
              <w:pStyle w:val="10"/>
              <w:spacing w:line="400" w:lineRule="exact"/>
              <w:ind w:left="0" w:leftChars="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675" w:type="dxa"/>
          </w:tcPr>
          <w:p>
            <w:pPr>
              <w:pStyle w:val="10"/>
              <w:spacing w:line="400" w:lineRule="exact"/>
              <w:ind w:left="0" w:leftChars="0"/>
              <w:rPr>
                <w:rFonts w:ascii="宋体"/>
                <w:szCs w:val="21"/>
              </w:rPr>
            </w:pPr>
          </w:p>
        </w:tc>
        <w:tc>
          <w:tcPr>
            <w:tcW w:w="993" w:type="dxa"/>
          </w:tcPr>
          <w:p>
            <w:pPr>
              <w:pStyle w:val="10"/>
              <w:spacing w:line="400" w:lineRule="exact"/>
              <w:ind w:left="0" w:leftChars="0"/>
              <w:rPr>
                <w:rFonts w:ascii="宋体"/>
                <w:szCs w:val="21"/>
              </w:rPr>
            </w:pPr>
          </w:p>
        </w:tc>
        <w:tc>
          <w:tcPr>
            <w:tcW w:w="850" w:type="dxa"/>
          </w:tcPr>
          <w:p>
            <w:pPr>
              <w:pStyle w:val="10"/>
              <w:spacing w:line="400" w:lineRule="exact"/>
              <w:ind w:left="0" w:leftChars="0"/>
              <w:rPr>
                <w:rFonts w:ascii="宋体"/>
                <w:szCs w:val="21"/>
              </w:rPr>
            </w:pPr>
          </w:p>
        </w:tc>
        <w:tc>
          <w:tcPr>
            <w:tcW w:w="851" w:type="dxa"/>
          </w:tcPr>
          <w:p>
            <w:pPr>
              <w:pStyle w:val="10"/>
              <w:spacing w:line="400" w:lineRule="exact"/>
              <w:ind w:left="0" w:leftChars="0"/>
              <w:rPr>
                <w:rFonts w:ascii="宋体"/>
                <w:szCs w:val="21"/>
              </w:rPr>
            </w:pPr>
          </w:p>
        </w:tc>
        <w:tc>
          <w:tcPr>
            <w:tcW w:w="992" w:type="dxa"/>
          </w:tcPr>
          <w:p>
            <w:pPr>
              <w:pStyle w:val="10"/>
              <w:spacing w:line="400" w:lineRule="exact"/>
              <w:ind w:left="0" w:leftChars="0"/>
              <w:rPr>
                <w:rFonts w:ascii="宋体"/>
                <w:szCs w:val="21"/>
              </w:rPr>
            </w:pPr>
          </w:p>
        </w:tc>
        <w:tc>
          <w:tcPr>
            <w:tcW w:w="992" w:type="dxa"/>
          </w:tcPr>
          <w:p>
            <w:pPr>
              <w:pStyle w:val="10"/>
              <w:spacing w:line="400" w:lineRule="exact"/>
              <w:ind w:left="0" w:leftChars="0"/>
              <w:rPr>
                <w:rFonts w:ascii="宋体"/>
                <w:szCs w:val="21"/>
              </w:rPr>
            </w:pPr>
          </w:p>
        </w:tc>
        <w:tc>
          <w:tcPr>
            <w:tcW w:w="1134" w:type="dxa"/>
          </w:tcPr>
          <w:p>
            <w:pPr>
              <w:pStyle w:val="10"/>
              <w:spacing w:line="400" w:lineRule="exact"/>
              <w:ind w:left="0" w:leftChars="0"/>
              <w:rPr>
                <w:rFonts w:ascii="宋体"/>
                <w:szCs w:val="21"/>
              </w:rPr>
            </w:pPr>
          </w:p>
        </w:tc>
        <w:tc>
          <w:tcPr>
            <w:tcW w:w="2126" w:type="dxa"/>
          </w:tcPr>
          <w:p>
            <w:pPr>
              <w:pStyle w:val="10"/>
              <w:spacing w:line="400" w:lineRule="exact"/>
              <w:ind w:left="0" w:leftChars="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675" w:type="dxa"/>
          </w:tcPr>
          <w:p>
            <w:pPr>
              <w:pStyle w:val="10"/>
              <w:spacing w:line="400" w:lineRule="exact"/>
              <w:ind w:left="0" w:leftChars="0"/>
              <w:rPr>
                <w:rFonts w:ascii="宋体"/>
                <w:szCs w:val="21"/>
              </w:rPr>
            </w:pPr>
          </w:p>
        </w:tc>
        <w:tc>
          <w:tcPr>
            <w:tcW w:w="993" w:type="dxa"/>
          </w:tcPr>
          <w:p>
            <w:pPr>
              <w:pStyle w:val="10"/>
              <w:spacing w:line="400" w:lineRule="exact"/>
              <w:ind w:left="0" w:leftChars="0"/>
              <w:rPr>
                <w:rFonts w:ascii="宋体"/>
                <w:szCs w:val="21"/>
              </w:rPr>
            </w:pPr>
          </w:p>
        </w:tc>
        <w:tc>
          <w:tcPr>
            <w:tcW w:w="850" w:type="dxa"/>
          </w:tcPr>
          <w:p>
            <w:pPr>
              <w:pStyle w:val="10"/>
              <w:spacing w:line="400" w:lineRule="exact"/>
              <w:ind w:left="0" w:leftChars="0"/>
              <w:rPr>
                <w:rFonts w:ascii="宋体"/>
                <w:szCs w:val="21"/>
              </w:rPr>
            </w:pPr>
          </w:p>
        </w:tc>
        <w:tc>
          <w:tcPr>
            <w:tcW w:w="851" w:type="dxa"/>
          </w:tcPr>
          <w:p>
            <w:pPr>
              <w:pStyle w:val="10"/>
              <w:spacing w:line="400" w:lineRule="exact"/>
              <w:ind w:left="0" w:leftChars="0"/>
              <w:rPr>
                <w:rFonts w:ascii="宋体"/>
                <w:szCs w:val="21"/>
              </w:rPr>
            </w:pPr>
          </w:p>
        </w:tc>
        <w:tc>
          <w:tcPr>
            <w:tcW w:w="992" w:type="dxa"/>
          </w:tcPr>
          <w:p>
            <w:pPr>
              <w:pStyle w:val="10"/>
              <w:spacing w:line="400" w:lineRule="exact"/>
              <w:ind w:left="0" w:leftChars="0"/>
              <w:rPr>
                <w:rFonts w:ascii="宋体"/>
                <w:szCs w:val="21"/>
              </w:rPr>
            </w:pPr>
          </w:p>
        </w:tc>
        <w:tc>
          <w:tcPr>
            <w:tcW w:w="992" w:type="dxa"/>
          </w:tcPr>
          <w:p>
            <w:pPr>
              <w:pStyle w:val="10"/>
              <w:spacing w:line="400" w:lineRule="exact"/>
              <w:ind w:left="0" w:leftChars="0"/>
              <w:rPr>
                <w:rFonts w:ascii="宋体"/>
                <w:szCs w:val="21"/>
              </w:rPr>
            </w:pPr>
          </w:p>
        </w:tc>
        <w:tc>
          <w:tcPr>
            <w:tcW w:w="1134" w:type="dxa"/>
          </w:tcPr>
          <w:p>
            <w:pPr>
              <w:pStyle w:val="10"/>
              <w:spacing w:line="400" w:lineRule="exact"/>
              <w:ind w:left="0" w:leftChars="0"/>
              <w:rPr>
                <w:rFonts w:ascii="宋体"/>
                <w:szCs w:val="21"/>
              </w:rPr>
            </w:pPr>
          </w:p>
        </w:tc>
        <w:tc>
          <w:tcPr>
            <w:tcW w:w="2126" w:type="dxa"/>
          </w:tcPr>
          <w:p>
            <w:pPr>
              <w:pStyle w:val="10"/>
              <w:spacing w:line="400" w:lineRule="exact"/>
              <w:ind w:left="0" w:leftChars="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675" w:type="dxa"/>
          </w:tcPr>
          <w:p>
            <w:pPr>
              <w:pStyle w:val="10"/>
              <w:spacing w:line="400" w:lineRule="exact"/>
              <w:ind w:left="0" w:leftChars="0"/>
              <w:rPr>
                <w:rFonts w:ascii="宋体"/>
                <w:szCs w:val="21"/>
              </w:rPr>
            </w:pPr>
          </w:p>
        </w:tc>
        <w:tc>
          <w:tcPr>
            <w:tcW w:w="993" w:type="dxa"/>
          </w:tcPr>
          <w:p>
            <w:pPr>
              <w:pStyle w:val="10"/>
              <w:spacing w:line="400" w:lineRule="exact"/>
              <w:ind w:left="0" w:leftChars="0"/>
              <w:rPr>
                <w:rFonts w:ascii="宋体"/>
                <w:szCs w:val="21"/>
              </w:rPr>
            </w:pPr>
          </w:p>
        </w:tc>
        <w:tc>
          <w:tcPr>
            <w:tcW w:w="850" w:type="dxa"/>
          </w:tcPr>
          <w:p>
            <w:pPr>
              <w:pStyle w:val="10"/>
              <w:spacing w:line="400" w:lineRule="exact"/>
              <w:ind w:left="0" w:leftChars="0"/>
              <w:rPr>
                <w:rFonts w:ascii="宋体"/>
                <w:szCs w:val="21"/>
              </w:rPr>
            </w:pPr>
          </w:p>
        </w:tc>
        <w:tc>
          <w:tcPr>
            <w:tcW w:w="851" w:type="dxa"/>
          </w:tcPr>
          <w:p>
            <w:pPr>
              <w:pStyle w:val="10"/>
              <w:spacing w:line="400" w:lineRule="exact"/>
              <w:ind w:left="0" w:leftChars="0"/>
              <w:rPr>
                <w:rFonts w:ascii="宋体"/>
                <w:szCs w:val="21"/>
              </w:rPr>
            </w:pPr>
          </w:p>
        </w:tc>
        <w:tc>
          <w:tcPr>
            <w:tcW w:w="992" w:type="dxa"/>
          </w:tcPr>
          <w:p>
            <w:pPr>
              <w:pStyle w:val="10"/>
              <w:spacing w:line="400" w:lineRule="exact"/>
              <w:ind w:left="0" w:leftChars="0"/>
              <w:rPr>
                <w:rFonts w:ascii="宋体"/>
                <w:szCs w:val="21"/>
              </w:rPr>
            </w:pPr>
          </w:p>
        </w:tc>
        <w:tc>
          <w:tcPr>
            <w:tcW w:w="992" w:type="dxa"/>
          </w:tcPr>
          <w:p>
            <w:pPr>
              <w:pStyle w:val="10"/>
              <w:spacing w:line="400" w:lineRule="exact"/>
              <w:ind w:left="0" w:leftChars="0"/>
              <w:rPr>
                <w:rFonts w:ascii="宋体"/>
                <w:szCs w:val="21"/>
              </w:rPr>
            </w:pPr>
          </w:p>
        </w:tc>
        <w:tc>
          <w:tcPr>
            <w:tcW w:w="1134" w:type="dxa"/>
          </w:tcPr>
          <w:p>
            <w:pPr>
              <w:pStyle w:val="10"/>
              <w:spacing w:line="400" w:lineRule="exact"/>
              <w:ind w:left="0" w:leftChars="0"/>
              <w:rPr>
                <w:rFonts w:ascii="宋体"/>
                <w:szCs w:val="21"/>
              </w:rPr>
            </w:pPr>
          </w:p>
        </w:tc>
        <w:tc>
          <w:tcPr>
            <w:tcW w:w="2126" w:type="dxa"/>
          </w:tcPr>
          <w:p>
            <w:pPr>
              <w:pStyle w:val="10"/>
              <w:spacing w:line="400" w:lineRule="exact"/>
              <w:ind w:left="0" w:leftChars="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675" w:type="dxa"/>
          </w:tcPr>
          <w:p>
            <w:pPr>
              <w:pStyle w:val="10"/>
              <w:spacing w:line="400" w:lineRule="exact"/>
              <w:ind w:left="0" w:leftChars="0"/>
              <w:rPr>
                <w:rFonts w:ascii="宋体"/>
                <w:szCs w:val="21"/>
              </w:rPr>
            </w:pPr>
          </w:p>
        </w:tc>
        <w:tc>
          <w:tcPr>
            <w:tcW w:w="993" w:type="dxa"/>
          </w:tcPr>
          <w:p>
            <w:pPr>
              <w:pStyle w:val="10"/>
              <w:spacing w:line="400" w:lineRule="exact"/>
              <w:ind w:left="0" w:leftChars="0"/>
              <w:rPr>
                <w:rFonts w:ascii="宋体"/>
                <w:szCs w:val="21"/>
              </w:rPr>
            </w:pPr>
          </w:p>
        </w:tc>
        <w:tc>
          <w:tcPr>
            <w:tcW w:w="850" w:type="dxa"/>
          </w:tcPr>
          <w:p>
            <w:pPr>
              <w:pStyle w:val="10"/>
              <w:spacing w:line="400" w:lineRule="exact"/>
              <w:ind w:left="0" w:leftChars="0"/>
              <w:rPr>
                <w:rFonts w:ascii="宋体"/>
                <w:szCs w:val="21"/>
              </w:rPr>
            </w:pPr>
          </w:p>
        </w:tc>
        <w:tc>
          <w:tcPr>
            <w:tcW w:w="851" w:type="dxa"/>
          </w:tcPr>
          <w:p>
            <w:pPr>
              <w:pStyle w:val="10"/>
              <w:spacing w:line="400" w:lineRule="exact"/>
              <w:ind w:left="0" w:leftChars="0"/>
              <w:rPr>
                <w:rFonts w:ascii="宋体"/>
                <w:szCs w:val="21"/>
              </w:rPr>
            </w:pPr>
          </w:p>
        </w:tc>
        <w:tc>
          <w:tcPr>
            <w:tcW w:w="992" w:type="dxa"/>
          </w:tcPr>
          <w:p>
            <w:pPr>
              <w:pStyle w:val="10"/>
              <w:spacing w:line="400" w:lineRule="exact"/>
              <w:ind w:left="0" w:leftChars="0"/>
              <w:rPr>
                <w:rFonts w:ascii="宋体"/>
                <w:szCs w:val="21"/>
              </w:rPr>
            </w:pPr>
          </w:p>
        </w:tc>
        <w:tc>
          <w:tcPr>
            <w:tcW w:w="992" w:type="dxa"/>
          </w:tcPr>
          <w:p>
            <w:pPr>
              <w:pStyle w:val="10"/>
              <w:spacing w:line="400" w:lineRule="exact"/>
              <w:ind w:left="0" w:leftChars="0"/>
              <w:rPr>
                <w:rFonts w:ascii="宋体"/>
                <w:szCs w:val="21"/>
              </w:rPr>
            </w:pPr>
          </w:p>
        </w:tc>
        <w:tc>
          <w:tcPr>
            <w:tcW w:w="1134" w:type="dxa"/>
          </w:tcPr>
          <w:p>
            <w:pPr>
              <w:pStyle w:val="10"/>
              <w:spacing w:line="400" w:lineRule="exact"/>
              <w:ind w:left="0" w:leftChars="0"/>
              <w:rPr>
                <w:rFonts w:ascii="宋体"/>
                <w:szCs w:val="21"/>
              </w:rPr>
            </w:pPr>
          </w:p>
        </w:tc>
        <w:tc>
          <w:tcPr>
            <w:tcW w:w="2126" w:type="dxa"/>
          </w:tcPr>
          <w:p>
            <w:pPr>
              <w:pStyle w:val="10"/>
              <w:spacing w:line="400" w:lineRule="exact"/>
              <w:ind w:left="0" w:leftChars="0"/>
              <w:rPr>
                <w:rFonts w:ascii="宋体"/>
                <w:szCs w:val="21"/>
              </w:rPr>
            </w:pPr>
          </w:p>
        </w:tc>
      </w:tr>
    </w:tbl>
    <w:p>
      <w:pPr>
        <w:spacing w:line="480" w:lineRule="exact"/>
        <w:rPr>
          <w:rFonts w:ascii="宋体" w:hAnsi="宋体"/>
          <w:sz w:val="24"/>
        </w:rPr>
      </w:pPr>
      <w:r>
        <w:rPr>
          <w:rFonts w:hint="eastAsia" w:ascii="宋体" w:hAnsi="宋体"/>
          <w:sz w:val="24"/>
        </w:rPr>
        <w:t>注：</w:t>
      </w:r>
      <w:r>
        <w:rPr>
          <w:rFonts w:ascii="宋体" w:hAnsi="宋体"/>
          <w:sz w:val="24"/>
        </w:rPr>
        <w:t>1.</w:t>
      </w:r>
      <w:r>
        <w:rPr>
          <w:rFonts w:hint="eastAsia" w:ascii="宋体" w:hAnsi="宋体"/>
          <w:sz w:val="24"/>
        </w:rPr>
        <w:t>此表中有资格证书或职称的，须附执业资格证书或职称复印件等证明材料。</w:t>
      </w:r>
    </w:p>
    <w:p>
      <w:pPr>
        <w:spacing w:line="480" w:lineRule="exact"/>
        <w:ind w:firstLine="480" w:firstLineChars="200"/>
        <w:rPr>
          <w:rFonts w:ascii="宋体"/>
          <w:sz w:val="24"/>
        </w:rPr>
      </w:pPr>
      <w:r>
        <w:rPr>
          <w:rFonts w:hint="eastAsia" w:ascii="宋体" w:hAnsi="宋体"/>
          <w:sz w:val="24"/>
        </w:rPr>
        <w:t>2.</w:t>
      </w:r>
      <w:r>
        <w:rPr>
          <w:rFonts w:hint="eastAsia" w:ascii="宋体" w:hAnsi="宋体"/>
          <w:sz w:val="24"/>
          <w:u w:val="single"/>
        </w:rPr>
        <w:t>此表拟定的项目现场负责人原则上不予更换，若要更换需经甲方同意，未经甲方同意而更换的，甲方可终止合同。</w:t>
      </w:r>
    </w:p>
    <w:p>
      <w:pPr>
        <w:spacing w:line="480" w:lineRule="exact"/>
        <w:rPr>
          <w:rFonts w:ascii="宋体" w:cs="宋体"/>
          <w:sz w:val="28"/>
          <w:szCs w:val="28"/>
        </w:rPr>
      </w:pPr>
    </w:p>
    <w:p>
      <w:pPr>
        <w:rPr>
          <w:rFonts w:ascii="宋体" w:cs="宋体"/>
          <w:sz w:val="28"/>
          <w:szCs w:val="28"/>
        </w:rPr>
      </w:pPr>
    </w:p>
    <w:p>
      <w:pPr>
        <w:rPr>
          <w:rFonts w:ascii="宋体" w:cs="宋体"/>
          <w:sz w:val="28"/>
          <w:szCs w:val="28"/>
        </w:rPr>
      </w:pPr>
    </w:p>
    <w:p>
      <w:pPr>
        <w:rPr>
          <w:rFonts w:ascii="宋体" w:cs="宋体"/>
          <w:sz w:val="28"/>
          <w:szCs w:val="28"/>
        </w:rPr>
      </w:pPr>
    </w:p>
    <w:p>
      <w:pPr>
        <w:rPr>
          <w:rFonts w:ascii="宋体" w:cs="宋体"/>
          <w:sz w:val="28"/>
          <w:szCs w:val="28"/>
        </w:rPr>
      </w:pPr>
    </w:p>
    <w:p/>
    <w:p/>
    <w:p/>
    <w:p/>
    <w:bookmarkEnd w:id="424"/>
    <w:bookmarkEnd w:id="425"/>
    <w:bookmarkEnd w:id="426"/>
    <w:p/>
    <w:p/>
    <w:p>
      <w:pPr>
        <w:pStyle w:val="2"/>
      </w:pPr>
    </w:p>
    <w:p>
      <w:pPr>
        <w:pStyle w:val="2"/>
      </w:pPr>
    </w:p>
    <w:p/>
    <w:p/>
    <w:p>
      <w:pPr>
        <w:pStyle w:val="2"/>
      </w:pPr>
    </w:p>
    <w:p>
      <w:pPr>
        <w:pStyle w:val="5"/>
        <w:spacing w:before="0" w:after="156" w:afterLines="50" w:line="600" w:lineRule="exact"/>
        <w:jc w:val="center"/>
        <w:rPr>
          <w:rFonts w:ascii="宋体"/>
          <w:b/>
        </w:rPr>
      </w:pPr>
      <w:r>
        <w:rPr>
          <w:rFonts w:ascii="宋体" w:hAnsi="宋体"/>
          <w:b/>
        </w:rPr>
        <w:t>3.</w:t>
      </w:r>
      <w:r>
        <w:rPr>
          <w:rFonts w:hint="eastAsia" w:ascii="宋体" w:hAnsi="宋体"/>
          <w:b/>
        </w:rPr>
        <w:t>拟投入人员的相关工作资历及能力</w:t>
      </w:r>
    </w:p>
    <w:tbl>
      <w:tblPr>
        <w:tblStyle w:val="25"/>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464"/>
        <w:gridCol w:w="2507"/>
        <w:gridCol w:w="3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829" w:type="pct"/>
            <w:vAlign w:val="center"/>
          </w:tcPr>
          <w:p>
            <w:pPr>
              <w:pStyle w:val="10"/>
              <w:spacing w:line="340" w:lineRule="exact"/>
              <w:ind w:left="0" w:leftChars="0"/>
              <w:jc w:val="center"/>
              <w:rPr>
                <w:rFonts w:ascii="宋体"/>
                <w:szCs w:val="21"/>
              </w:rPr>
            </w:pPr>
            <w:r>
              <w:rPr>
                <w:rFonts w:hint="eastAsia" w:ascii="宋体" w:hAnsi="宋体"/>
                <w:szCs w:val="21"/>
              </w:rPr>
              <w:t>序号</w:t>
            </w:r>
          </w:p>
        </w:tc>
        <w:tc>
          <w:tcPr>
            <w:tcW w:w="859" w:type="pct"/>
            <w:vAlign w:val="center"/>
          </w:tcPr>
          <w:p>
            <w:pPr>
              <w:pStyle w:val="10"/>
              <w:spacing w:line="340" w:lineRule="exact"/>
              <w:ind w:left="0" w:leftChars="0"/>
              <w:jc w:val="center"/>
              <w:rPr>
                <w:rFonts w:ascii="宋体"/>
                <w:szCs w:val="21"/>
              </w:rPr>
            </w:pPr>
            <w:r>
              <w:rPr>
                <w:rFonts w:hint="eastAsia" w:ascii="宋体" w:hAnsi="宋体"/>
                <w:szCs w:val="21"/>
              </w:rPr>
              <w:t>姓名</w:t>
            </w:r>
          </w:p>
        </w:tc>
        <w:tc>
          <w:tcPr>
            <w:tcW w:w="1471" w:type="pct"/>
            <w:vAlign w:val="center"/>
          </w:tcPr>
          <w:p>
            <w:pPr>
              <w:pStyle w:val="10"/>
              <w:spacing w:line="340" w:lineRule="exact"/>
              <w:ind w:left="0" w:leftChars="0"/>
              <w:jc w:val="center"/>
              <w:rPr>
                <w:rFonts w:ascii="宋体"/>
                <w:szCs w:val="21"/>
              </w:rPr>
            </w:pPr>
            <w:r>
              <w:rPr>
                <w:rFonts w:hint="eastAsia" w:ascii="宋体" w:hAnsi="宋体"/>
                <w:szCs w:val="21"/>
              </w:rPr>
              <w:t>工作职责分工</w:t>
            </w:r>
          </w:p>
        </w:tc>
        <w:tc>
          <w:tcPr>
            <w:tcW w:w="1839" w:type="pct"/>
            <w:vAlign w:val="center"/>
          </w:tcPr>
          <w:p>
            <w:pPr>
              <w:pStyle w:val="10"/>
              <w:spacing w:line="340" w:lineRule="exact"/>
              <w:ind w:left="0" w:leftChars="0"/>
              <w:jc w:val="center"/>
              <w:rPr>
                <w:rFonts w:asci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829" w:type="pct"/>
          </w:tcPr>
          <w:p>
            <w:pPr>
              <w:pStyle w:val="10"/>
              <w:spacing w:line="400" w:lineRule="exact"/>
              <w:ind w:left="0" w:leftChars="0"/>
              <w:rPr>
                <w:rFonts w:ascii="宋体"/>
                <w:szCs w:val="21"/>
              </w:rPr>
            </w:pPr>
          </w:p>
        </w:tc>
        <w:tc>
          <w:tcPr>
            <w:tcW w:w="859" w:type="pct"/>
          </w:tcPr>
          <w:p>
            <w:pPr>
              <w:pStyle w:val="10"/>
              <w:spacing w:line="400" w:lineRule="exact"/>
              <w:ind w:left="0" w:leftChars="0"/>
              <w:rPr>
                <w:rFonts w:ascii="宋体"/>
                <w:szCs w:val="21"/>
              </w:rPr>
            </w:pPr>
          </w:p>
        </w:tc>
        <w:tc>
          <w:tcPr>
            <w:tcW w:w="1471" w:type="pct"/>
          </w:tcPr>
          <w:p>
            <w:pPr>
              <w:pStyle w:val="10"/>
              <w:spacing w:line="400" w:lineRule="exact"/>
              <w:ind w:left="0" w:leftChars="0"/>
              <w:rPr>
                <w:rFonts w:ascii="宋体"/>
                <w:szCs w:val="21"/>
              </w:rPr>
            </w:pPr>
          </w:p>
        </w:tc>
        <w:tc>
          <w:tcPr>
            <w:tcW w:w="1839" w:type="pct"/>
          </w:tcPr>
          <w:p>
            <w:pPr>
              <w:pStyle w:val="10"/>
              <w:spacing w:after="0" w:line="400" w:lineRule="exact"/>
              <w:ind w:left="0" w:leftChars="0"/>
              <w:rPr>
                <w:rFonts w:ascii="宋体"/>
                <w:szCs w:val="21"/>
              </w:rPr>
            </w:pPr>
            <w:r>
              <w:rPr>
                <w:rFonts w:hint="eastAsia" w:ascii="宋体" w:hAnsi="宋体"/>
                <w:szCs w:val="21"/>
              </w:rPr>
              <w:t>提供个人履历（含工作年限、经验证明）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829" w:type="pct"/>
          </w:tcPr>
          <w:p>
            <w:pPr>
              <w:pStyle w:val="10"/>
              <w:spacing w:line="400" w:lineRule="exact"/>
              <w:ind w:left="0" w:leftChars="0"/>
              <w:rPr>
                <w:rFonts w:ascii="宋体"/>
                <w:szCs w:val="21"/>
              </w:rPr>
            </w:pPr>
          </w:p>
        </w:tc>
        <w:tc>
          <w:tcPr>
            <w:tcW w:w="859" w:type="pct"/>
          </w:tcPr>
          <w:p>
            <w:pPr>
              <w:pStyle w:val="10"/>
              <w:spacing w:line="400" w:lineRule="exact"/>
              <w:ind w:left="0" w:leftChars="0"/>
              <w:rPr>
                <w:rFonts w:ascii="宋体"/>
                <w:szCs w:val="21"/>
              </w:rPr>
            </w:pPr>
          </w:p>
        </w:tc>
        <w:tc>
          <w:tcPr>
            <w:tcW w:w="1471" w:type="pct"/>
          </w:tcPr>
          <w:p>
            <w:pPr>
              <w:pStyle w:val="10"/>
              <w:spacing w:line="400" w:lineRule="exact"/>
              <w:ind w:left="0" w:leftChars="0"/>
              <w:rPr>
                <w:rFonts w:ascii="宋体"/>
                <w:szCs w:val="21"/>
              </w:rPr>
            </w:pPr>
          </w:p>
        </w:tc>
        <w:tc>
          <w:tcPr>
            <w:tcW w:w="1839" w:type="pct"/>
          </w:tcPr>
          <w:p>
            <w:pPr>
              <w:pStyle w:val="10"/>
              <w:spacing w:line="400" w:lineRule="exact"/>
              <w:ind w:left="0" w:leftChars="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829" w:type="pct"/>
          </w:tcPr>
          <w:p>
            <w:pPr>
              <w:pStyle w:val="10"/>
              <w:spacing w:line="400" w:lineRule="exact"/>
              <w:ind w:left="0" w:leftChars="0"/>
              <w:rPr>
                <w:rFonts w:ascii="宋体"/>
                <w:szCs w:val="21"/>
              </w:rPr>
            </w:pPr>
          </w:p>
        </w:tc>
        <w:tc>
          <w:tcPr>
            <w:tcW w:w="859" w:type="pct"/>
          </w:tcPr>
          <w:p>
            <w:pPr>
              <w:pStyle w:val="10"/>
              <w:spacing w:line="400" w:lineRule="exact"/>
              <w:ind w:left="0" w:leftChars="0"/>
              <w:rPr>
                <w:rFonts w:ascii="宋体"/>
                <w:szCs w:val="21"/>
              </w:rPr>
            </w:pPr>
          </w:p>
        </w:tc>
        <w:tc>
          <w:tcPr>
            <w:tcW w:w="1471" w:type="pct"/>
          </w:tcPr>
          <w:p>
            <w:pPr>
              <w:pStyle w:val="10"/>
              <w:spacing w:line="400" w:lineRule="exact"/>
              <w:ind w:left="0" w:leftChars="0"/>
              <w:rPr>
                <w:rFonts w:ascii="宋体"/>
                <w:szCs w:val="21"/>
              </w:rPr>
            </w:pPr>
          </w:p>
        </w:tc>
        <w:tc>
          <w:tcPr>
            <w:tcW w:w="1839" w:type="pct"/>
          </w:tcPr>
          <w:p>
            <w:pPr>
              <w:pStyle w:val="10"/>
              <w:spacing w:line="400" w:lineRule="exact"/>
              <w:ind w:left="0" w:leftChars="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829" w:type="pct"/>
          </w:tcPr>
          <w:p>
            <w:pPr>
              <w:pStyle w:val="10"/>
              <w:spacing w:line="400" w:lineRule="exact"/>
              <w:ind w:left="0" w:leftChars="0"/>
              <w:rPr>
                <w:rFonts w:ascii="宋体"/>
                <w:szCs w:val="21"/>
              </w:rPr>
            </w:pPr>
          </w:p>
        </w:tc>
        <w:tc>
          <w:tcPr>
            <w:tcW w:w="859" w:type="pct"/>
          </w:tcPr>
          <w:p>
            <w:pPr>
              <w:pStyle w:val="10"/>
              <w:spacing w:line="400" w:lineRule="exact"/>
              <w:ind w:left="0" w:leftChars="0"/>
              <w:rPr>
                <w:rFonts w:ascii="宋体"/>
                <w:szCs w:val="21"/>
              </w:rPr>
            </w:pPr>
          </w:p>
        </w:tc>
        <w:tc>
          <w:tcPr>
            <w:tcW w:w="1471" w:type="pct"/>
          </w:tcPr>
          <w:p>
            <w:pPr>
              <w:pStyle w:val="10"/>
              <w:spacing w:line="400" w:lineRule="exact"/>
              <w:ind w:left="0" w:leftChars="0"/>
              <w:rPr>
                <w:rFonts w:ascii="宋体"/>
                <w:szCs w:val="21"/>
              </w:rPr>
            </w:pPr>
          </w:p>
        </w:tc>
        <w:tc>
          <w:tcPr>
            <w:tcW w:w="1839" w:type="pct"/>
          </w:tcPr>
          <w:p>
            <w:pPr>
              <w:pStyle w:val="10"/>
              <w:spacing w:line="400" w:lineRule="exact"/>
              <w:ind w:left="0" w:leftChars="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829" w:type="pct"/>
          </w:tcPr>
          <w:p>
            <w:pPr>
              <w:pStyle w:val="10"/>
              <w:spacing w:line="400" w:lineRule="exact"/>
              <w:ind w:left="0" w:leftChars="0"/>
              <w:rPr>
                <w:rFonts w:ascii="宋体"/>
                <w:szCs w:val="21"/>
              </w:rPr>
            </w:pPr>
          </w:p>
        </w:tc>
        <w:tc>
          <w:tcPr>
            <w:tcW w:w="859" w:type="pct"/>
          </w:tcPr>
          <w:p>
            <w:pPr>
              <w:pStyle w:val="10"/>
              <w:spacing w:line="400" w:lineRule="exact"/>
              <w:ind w:left="0" w:leftChars="0"/>
              <w:rPr>
                <w:rFonts w:ascii="宋体"/>
                <w:szCs w:val="21"/>
              </w:rPr>
            </w:pPr>
          </w:p>
        </w:tc>
        <w:tc>
          <w:tcPr>
            <w:tcW w:w="1471" w:type="pct"/>
          </w:tcPr>
          <w:p>
            <w:pPr>
              <w:pStyle w:val="10"/>
              <w:spacing w:line="400" w:lineRule="exact"/>
              <w:ind w:left="0" w:leftChars="0"/>
              <w:rPr>
                <w:rFonts w:ascii="宋体"/>
                <w:szCs w:val="21"/>
              </w:rPr>
            </w:pPr>
          </w:p>
        </w:tc>
        <w:tc>
          <w:tcPr>
            <w:tcW w:w="1839" w:type="pct"/>
          </w:tcPr>
          <w:p>
            <w:pPr>
              <w:pStyle w:val="10"/>
              <w:spacing w:line="400" w:lineRule="exact"/>
              <w:ind w:left="0" w:leftChars="0"/>
              <w:rPr>
                <w:rFonts w:ascii="宋体"/>
                <w:szCs w:val="21"/>
              </w:rPr>
            </w:pPr>
          </w:p>
        </w:tc>
      </w:tr>
    </w:tbl>
    <w:p>
      <w:pPr>
        <w:rPr>
          <w:rFonts w:ascii="宋体" w:hAnsi="宋体"/>
          <w:sz w:val="24"/>
        </w:rPr>
      </w:pPr>
      <w:r>
        <w:rPr>
          <w:rFonts w:hint="eastAsia" w:ascii="宋体" w:hAnsi="宋体"/>
          <w:sz w:val="24"/>
        </w:rPr>
        <w:t>注：1、此表个人履历须附工作年限、经验证明等材料。</w:t>
      </w:r>
    </w:p>
    <w:p>
      <w:pPr>
        <w:pStyle w:val="2"/>
        <w:rPr>
          <w:rFonts w:ascii="宋体" w:cs="宋体"/>
          <w:sz w:val="28"/>
          <w:szCs w:val="28"/>
        </w:rPr>
      </w:pPr>
    </w:p>
    <w:p>
      <w:pPr>
        <w:pStyle w:val="2"/>
        <w:rPr>
          <w:rFonts w:ascii="宋体" w:cs="宋体"/>
          <w:sz w:val="28"/>
          <w:szCs w:val="28"/>
        </w:rPr>
      </w:pPr>
    </w:p>
    <w:p>
      <w:pPr>
        <w:pStyle w:val="2"/>
        <w:rPr>
          <w:rFonts w:ascii="宋体" w:cs="宋体"/>
          <w:sz w:val="28"/>
          <w:szCs w:val="28"/>
        </w:rPr>
      </w:pPr>
    </w:p>
    <w:p>
      <w:pPr>
        <w:ind w:firstLine="420" w:firstLineChars="150"/>
        <w:rPr>
          <w:rFonts w:ascii="宋体" w:cs="宋体"/>
          <w:sz w:val="28"/>
          <w:szCs w:val="28"/>
        </w:rPr>
      </w:pPr>
    </w:p>
    <w:p>
      <w:pPr>
        <w:ind w:firstLine="420" w:firstLineChars="150"/>
        <w:rPr>
          <w:rFonts w:ascii="宋体" w:cs="宋体"/>
          <w:sz w:val="28"/>
          <w:szCs w:val="28"/>
        </w:rPr>
      </w:pPr>
    </w:p>
    <w:p>
      <w:pPr>
        <w:ind w:firstLine="420" w:firstLineChars="150"/>
        <w:rPr>
          <w:rFonts w:ascii="宋体" w:cs="宋体"/>
          <w:sz w:val="28"/>
          <w:szCs w:val="28"/>
        </w:rPr>
      </w:pPr>
    </w:p>
    <w:p>
      <w:pPr>
        <w:ind w:firstLine="420" w:firstLineChars="150"/>
        <w:rPr>
          <w:rFonts w:ascii="宋体" w:cs="宋体"/>
          <w:sz w:val="28"/>
          <w:szCs w:val="28"/>
        </w:rPr>
      </w:pPr>
    </w:p>
    <w:p>
      <w:pPr>
        <w:ind w:firstLine="420" w:firstLineChars="150"/>
        <w:rPr>
          <w:rFonts w:ascii="宋体" w:cs="宋体"/>
          <w:sz w:val="28"/>
          <w:szCs w:val="28"/>
        </w:rPr>
      </w:pPr>
    </w:p>
    <w:p>
      <w:pPr>
        <w:ind w:firstLine="420" w:firstLineChars="150"/>
        <w:rPr>
          <w:rFonts w:ascii="宋体" w:cs="宋体"/>
          <w:sz w:val="28"/>
          <w:szCs w:val="28"/>
        </w:rPr>
      </w:pPr>
    </w:p>
    <w:p>
      <w:pPr>
        <w:ind w:firstLine="420" w:firstLineChars="150"/>
        <w:rPr>
          <w:rFonts w:ascii="宋体" w:cs="宋体"/>
          <w:sz w:val="28"/>
          <w:szCs w:val="28"/>
        </w:rPr>
      </w:pPr>
    </w:p>
    <w:p>
      <w:pPr>
        <w:ind w:firstLine="420" w:firstLineChars="150"/>
        <w:rPr>
          <w:rFonts w:ascii="宋体" w:cs="宋体"/>
          <w:sz w:val="28"/>
          <w:szCs w:val="28"/>
        </w:rPr>
      </w:pPr>
    </w:p>
    <w:p>
      <w:pPr>
        <w:ind w:firstLine="420" w:firstLineChars="150"/>
        <w:rPr>
          <w:rFonts w:ascii="宋体" w:cs="宋体"/>
          <w:sz w:val="28"/>
          <w:szCs w:val="28"/>
        </w:rPr>
      </w:pPr>
    </w:p>
    <w:p>
      <w:pPr>
        <w:pStyle w:val="2"/>
        <w:rPr>
          <w:rFonts w:ascii="宋体" w:cs="宋体"/>
          <w:sz w:val="28"/>
          <w:szCs w:val="28"/>
        </w:rPr>
      </w:pPr>
    </w:p>
    <w:p>
      <w:pPr>
        <w:spacing w:line="540" w:lineRule="exact"/>
        <w:rPr>
          <w:rFonts w:ascii="宋体" w:hAnsi="宋体"/>
          <w:b/>
          <w:kern w:val="0"/>
          <w:sz w:val="28"/>
          <w:szCs w:val="20"/>
        </w:rPr>
      </w:pPr>
      <w:r>
        <w:rPr>
          <w:rFonts w:hint="eastAsia" w:ascii="宋体" w:hAnsi="宋体"/>
          <w:b/>
          <w:kern w:val="0"/>
          <w:sz w:val="28"/>
          <w:szCs w:val="20"/>
        </w:rPr>
        <w:t>4.拟投入人员中正式员工劳动合同和近3个月社保缴付证明（复印件加盖单位公章）</w:t>
      </w:r>
    </w:p>
    <w:p>
      <w:pPr>
        <w:ind w:firstLine="420" w:firstLineChars="150"/>
        <w:rPr>
          <w:rFonts w:ascii="宋体" w:cs="宋体"/>
          <w:sz w:val="28"/>
          <w:szCs w:val="28"/>
        </w:rPr>
      </w:pPr>
    </w:p>
    <w:p>
      <w:pPr>
        <w:pStyle w:val="2"/>
        <w:rPr>
          <w:rFonts w:ascii="宋体" w:cs="宋体"/>
          <w:sz w:val="28"/>
          <w:szCs w:val="28"/>
        </w:rPr>
      </w:pPr>
    </w:p>
    <w:p>
      <w:pPr>
        <w:pStyle w:val="2"/>
        <w:rPr>
          <w:rFonts w:ascii="宋体" w:cs="宋体"/>
          <w:sz w:val="28"/>
          <w:szCs w:val="28"/>
        </w:rPr>
      </w:pPr>
    </w:p>
    <w:p>
      <w:pPr>
        <w:pStyle w:val="2"/>
        <w:rPr>
          <w:rFonts w:ascii="宋体" w:cs="宋体"/>
          <w:sz w:val="28"/>
          <w:szCs w:val="28"/>
        </w:rPr>
      </w:pPr>
    </w:p>
    <w:p>
      <w:pPr>
        <w:pStyle w:val="2"/>
        <w:rPr>
          <w:rFonts w:ascii="宋体" w:cs="宋体"/>
          <w:sz w:val="28"/>
          <w:szCs w:val="28"/>
        </w:rPr>
      </w:pPr>
    </w:p>
    <w:p>
      <w:pPr>
        <w:pStyle w:val="2"/>
        <w:rPr>
          <w:rFonts w:ascii="宋体" w:cs="宋体"/>
          <w:sz w:val="28"/>
          <w:szCs w:val="28"/>
        </w:rPr>
      </w:pPr>
    </w:p>
    <w:p>
      <w:pPr>
        <w:pStyle w:val="2"/>
        <w:rPr>
          <w:rFonts w:ascii="宋体" w:cs="宋体"/>
          <w:sz w:val="28"/>
          <w:szCs w:val="28"/>
        </w:rPr>
      </w:pPr>
    </w:p>
    <w:p>
      <w:pPr>
        <w:pStyle w:val="2"/>
        <w:rPr>
          <w:rFonts w:ascii="宋体" w:cs="宋体"/>
          <w:sz w:val="28"/>
          <w:szCs w:val="28"/>
        </w:rPr>
      </w:pPr>
    </w:p>
    <w:p>
      <w:pPr>
        <w:pStyle w:val="2"/>
        <w:rPr>
          <w:rFonts w:ascii="宋体" w:cs="宋体"/>
          <w:sz w:val="28"/>
          <w:szCs w:val="28"/>
        </w:rPr>
      </w:pPr>
    </w:p>
    <w:p>
      <w:pPr>
        <w:pStyle w:val="2"/>
        <w:rPr>
          <w:rFonts w:ascii="宋体" w:cs="宋体"/>
          <w:sz w:val="28"/>
          <w:szCs w:val="28"/>
        </w:rPr>
      </w:pPr>
    </w:p>
    <w:p>
      <w:pPr>
        <w:pStyle w:val="2"/>
        <w:rPr>
          <w:rFonts w:ascii="宋体" w:cs="宋体"/>
          <w:sz w:val="28"/>
          <w:szCs w:val="28"/>
        </w:rPr>
      </w:pPr>
    </w:p>
    <w:p>
      <w:pPr>
        <w:pStyle w:val="2"/>
        <w:rPr>
          <w:rFonts w:ascii="宋体" w:cs="宋体"/>
          <w:sz w:val="28"/>
          <w:szCs w:val="28"/>
        </w:rPr>
      </w:pPr>
    </w:p>
    <w:p>
      <w:pPr>
        <w:pStyle w:val="2"/>
        <w:rPr>
          <w:rFonts w:ascii="宋体" w:cs="宋体"/>
          <w:sz w:val="28"/>
          <w:szCs w:val="28"/>
        </w:rPr>
      </w:pPr>
    </w:p>
    <w:p>
      <w:pPr>
        <w:pStyle w:val="2"/>
        <w:rPr>
          <w:rFonts w:ascii="宋体" w:cs="宋体"/>
          <w:sz w:val="28"/>
          <w:szCs w:val="28"/>
        </w:rPr>
      </w:pPr>
    </w:p>
    <w:p>
      <w:pPr>
        <w:pStyle w:val="2"/>
        <w:rPr>
          <w:rFonts w:ascii="宋体" w:cs="宋体"/>
          <w:sz w:val="28"/>
          <w:szCs w:val="28"/>
        </w:rPr>
      </w:pPr>
    </w:p>
    <w:p>
      <w:pPr>
        <w:pStyle w:val="2"/>
        <w:rPr>
          <w:rFonts w:ascii="宋体" w:cs="宋体"/>
          <w:sz w:val="28"/>
          <w:szCs w:val="28"/>
        </w:rPr>
      </w:pPr>
    </w:p>
    <w:p>
      <w:pPr>
        <w:pStyle w:val="2"/>
        <w:rPr>
          <w:rFonts w:ascii="宋体" w:cs="宋体"/>
          <w:sz w:val="28"/>
          <w:szCs w:val="28"/>
        </w:rPr>
      </w:pPr>
    </w:p>
    <w:p>
      <w:pPr>
        <w:pStyle w:val="5"/>
        <w:spacing w:line="600" w:lineRule="exact"/>
        <w:jc w:val="center"/>
        <w:rPr>
          <w:rFonts w:ascii="宋体"/>
          <w:b/>
        </w:rPr>
      </w:pPr>
      <w:bookmarkStart w:id="437" w:name="_Toc5051"/>
      <w:bookmarkStart w:id="438" w:name="_Toc17896"/>
      <w:bookmarkStart w:id="439" w:name="_Toc29269"/>
      <w:bookmarkStart w:id="440" w:name="_Toc21725"/>
      <w:bookmarkStart w:id="441" w:name="_Toc17903"/>
      <w:bookmarkStart w:id="442" w:name="_Toc597"/>
      <w:bookmarkStart w:id="443" w:name="_Toc30924"/>
      <w:bookmarkStart w:id="444" w:name="_Toc28584"/>
      <w:r>
        <w:rPr>
          <w:rFonts w:hint="eastAsia" w:ascii="宋体" w:hAnsi="宋体"/>
          <w:b/>
        </w:rPr>
        <w:t>5</w:t>
      </w:r>
      <w:r>
        <w:rPr>
          <w:rFonts w:ascii="宋体" w:hAnsi="宋体"/>
          <w:b/>
        </w:rPr>
        <w:t>.</w:t>
      </w:r>
      <w:r>
        <w:rPr>
          <w:rFonts w:hint="eastAsia" w:ascii="宋体" w:hAnsi="宋体"/>
          <w:b/>
        </w:rPr>
        <w:t>服务方案（由比选申请人自行编写）</w:t>
      </w:r>
      <w:bookmarkEnd w:id="437"/>
      <w:bookmarkEnd w:id="438"/>
      <w:bookmarkEnd w:id="439"/>
      <w:bookmarkEnd w:id="440"/>
      <w:bookmarkEnd w:id="441"/>
      <w:bookmarkEnd w:id="442"/>
      <w:bookmarkEnd w:id="443"/>
      <w:bookmarkEnd w:id="444"/>
    </w:p>
    <w:p>
      <w:pPr>
        <w:spacing w:line="540" w:lineRule="exact"/>
        <w:ind w:firstLine="560" w:firstLineChars="200"/>
        <w:rPr>
          <w:rFonts w:ascii="宋体" w:cs="宋体"/>
          <w:sz w:val="28"/>
          <w:szCs w:val="28"/>
        </w:rPr>
      </w:pPr>
      <w:r>
        <w:rPr>
          <w:rFonts w:hint="eastAsia" w:ascii="宋体" w:hAnsi="宋体" w:cs="宋体"/>
          <w:sz w:val="28"/>
          <w:szCs w:val="28"/>
        </w:rPr>
        <w:t>备注：主要从服务态度、质量控制、进度控制等方面进行阐述。该服务方案将作为合同的附件。</w:t>
      </w:r>
    </w:p>
    <w:p>
      <w:pPr>
        <w:ind w:firstLine="420" w:firstLineChars="150"/>
        <w:rPr>
          <w:rFonts w:ascii="宋体" w:cs="宋体"/>
          <w:sz w:val="28"/>
          <w:szCs w:val="28"/>
        </w:rPr>
      </w:pPr>
    </w:p>
    <w:p>
      <w:pPr>
        <w:ind w:firstLine="420" w:firstLineChars="150"/>
        <w:rPr>
          <w:rFonts w:ascii="宋体" w:cs="宋体"/>
          <w:sz w:val="28"/>
          <w:szCs w:val="28"/>
        </w:rPr>
      </w:pPr>
    </w:p>
    <w:p>
      <w:pPr>
        <w:ind w:firstLine="420" w:firstLineChars="150"/>
        <w:rPr>
          <w:rFonts w:ascii="宋体" w:cs="宋体"/>
          <w:sz w:val="28"/>
          <w:szCs w:val="28"/>
        </w:rPr>
      </w:pPr>
    </w:p>
    <w:p>
      <w:pPr>
        <w:ind w:firstLine="420" w:firstLineChars="150"/>
        <w:rPr>
          <w:rFonts w:ascii="宋体" w:cs="宋体"/>
          <w:sz w:val="28"/>
          <w:szCs w:val="28"/>
        </w:rPr>
      </w:pPr>
    </w:p>
    <w:p>
      <w:pPr>
        <w:ind w:firstLine="420" w:firstLineChars="150"/>
        <w:rPr>
          <w:rFonts w:ascii="宋体" w:cs="宋体"/>
          <w:sz w:val="28"/>
          <w:szCs w:val="28"/>
        </w:rPr>
      </w:pPr>
    </w:p>
    <w:p>
      <w:pPr>
        <w:ind w:firstLine="420" w:firstLineChars="150"/>
        <w:rPr>
          <w:rFonts w:ascii="宋体" w:cs="宋体"/>
          <w:sz w:val="28"/>
          <w:szCs w:val="28"/>
        </w:rPr>
      </w:pPr>
    </w:p>
    <w:p>
      <w:pPr>
        <w:ind w:firstLine="420" w:firstLineChars="150"/>
        <w:rPr>
          <w:rFonts w:ascii="宋体" w:cs="宋体"/>
          <w:sz w:val="28"/>
          <w:szCs w:val="28"/>
        </w:rPr>
      </w:pPr>
    </w:p>
    <w:p>
      <w:pPr>
        <w:ind w:firstLine="420" w:firstLineChars="150"/>
        <w:rPr>
          <w:rFonts w:ascii="宋体" w:cs="宋体"/>
          <w:sz w:val="28"/>
          <w:szCs w:val="28"/>
        </w:rPr>
      </w:pPr>
    </w:p>
    <w:p>
      <w:pPr>
        <w:ind w:firstLine="420" w:firstLineChars="150"/>
        <w:rPr>
          <w:rFonts w:ascii="宋体" w:cs="宋体"/>
          <w:sz w:val="28"/>
          <w:szCs w:val="28"/>
        </w:rPr>
      </w:pPr>
    </w:p>
    <w:p>
      <w:pPr>
        <w:ind w:firstLine="420" w:firstLineChars="150"/>
        <w:rPr>
          <w:rFonts w:ascii="宋体" w:cs="宋体"/>
          <w:sz w:val="28"/>
          <w:szCs w:val="28"/>
        </w:rPr>
      </w:pPr>
    </w:p>
    <w:p>
      <w:pPr>
        <w:ind w:firstLine="420" w:firstLineChars="150"/>
        <w:rPr>
          <w:rFonts w:ascii="宋体" w:cs="宋体"/>
          <w:sz w:val="28"/>
          <w:szCs w:val="28"/>
        </w:rPr>
      </w:pPr>
    </w:p>
    <w:p>
      <w:pPr>
        <w:ind w:firstLine="420" w:firstLineChars="150"/>
        <w:rPr>
          <w:rFonts w:ascii="宋体" w:cs="宋体"/>
          <w:sz w:val="28"/>
          <w:szCs w:val="28"/>
        </w:rPr>
      </w:pPr>
    </w:p>
    <w:p>
      <w:pPr>
        <w:ind w:firstLine="420" w:firstLineChars="150"/>
        <w:rPr>
          <w:rFonts w:ascii="宋体" w:cs="宋体"/>
          <w:sz w:val="28"/>
          <w:szCs w:val="28"/>
        </w:rPr>
      </w:pPr>
    </w:p>
    <w:p>
      <w:pPr>
        <w:ind w:firstLine="420" w:firstLineChars="150"/>
        <w:rPr>
          <w:rFonts w:ascii="宋体" w:cs="宋体"/>
          <w:sz w:val="28"/>
          <w:szCs w:val="28"/>
        </w:rPr>
      </w:pPr>
    </w:p>
    <w:p>
      <w:pPr>
        <w:ind w:firstLine="420" w:firstLineChars="150"/>
        <w:rPr>
          <w:rFonts w:ascii="宋体" w:cs="宋体"/>
          <w:sz w:val="28"/>
          <w:szCs w:val="28"/>
        </w:rPr>
      </w:pPr>
    </w:p>
    <w:p>
      <w:pPr>
        <w:ind w:firstLine="420" w:firstLineChars="150"/>
        <w:rPr>
          <w:rFonts w:ascii="宋体" w:cs="宋体"/>
          <w:sz w:val="28"/>
          <w:szCs w:val="28"/>
        </w:rPr>
      </w:pPr>
    </w:p>
    <w:p>
      <w:pPr>
        <w:ind w:firstLine="420" w:firstLineChars="150"/>
        <w:rPr>
          <w:rFonts w:ascii="宋体" w:cs="宋体"/>
          <w:sz w:val="28"/>
          <w:szCs w:val="28"/>
        </w:rPr>
      </w:pPr>
    </w:p>
    <w:p>
      <w:pPr>
        <w:widowControl/>
        <w:jc w:val="center"/>
        <w:rPr>
          <w:rFonts w:ascii="宋体" w:cs="宋体"/>
          <w:b/>
          <w:sz w:val="28"/>
          <w:szCs w:val="28"/>
        </w:rPr>
      </w:pPr>
      <w:r>
        <w:rPr>
          <w:rFonts w:ascii="宋体" w:cs="宋体"/>
          <w:sz w:val="28"/>
          <w:szCs w:val="28"/>
        </w:rPr>
        <w:br w:type="page"/>
      </w:r>
      <w:r>
        <w:rPr>
          <w:rFonts w:hint="eastAsia" w:ascii="宋体" w:hAnsi="宋体" w:cs="宋体"/>
          <w:b/>
          <w:sz w:val="28"/>
          <w:szCs w:val="28"/>
        </w:rPr>
        <w:t>6</w:t>
      </w:r>
      <w:r>
        <w:rPr>
          <w:rFonts w:ascii="宋体" w:hAnsi="宋体" w:cs="宋体"/>
          <w:b/>
          <w:sz w:val="28"/>
          <w:szCs w:val="28"/>
        </w:rPr>
        <w:t>.</w:t>
      </w:r>
      <w:r>
        <w:rPr>
          <w:rFonts w:hint="eastAsia" w:ascii="宋体" w:hAnsi="宋体" w:cs="宋体"/>
          <w:b/>
          <w:sz w:val="28"/>
          <w:szCs w:val="28"/>
        </w:rPr>
        <w:t>其他</w:t>
      </w:r>
      <w:r>
        <w:rPr>
          <w:rFonts w:hint="eastAsia" w:ascii="宋体" w:cs="宋体"/>
          <w:b/>
          <w:sz w:val="28"/>
          <w:szCs w:val="28"/>
        </w:rPr>
        <w:t>……</w:t>
      </w:r>
    </w:p>
    <w:p>
      <w:pPr>
        <w:widowControl/>
        <w:jc w:val="left"/>
        <w:rPr>
          <w:rFonts w:ascii="宋体" w:cs="宋体"/>
          <w:i/>
          <w:sz w:val="28"/>
          <w:szCs w:val="28"/>
        </w:rPr>
      </w:pPr>
      <w:r>
        <w:rPr>
          <w:rFonts w:ascii="宋体" w:cs="宋体"/>
          <w:i/>
          <w:sz w:val="28"/>
          <w:szCs w:val="28"/>
        </w:rPr>
        <w:br w:type="page"/>
      </w:r>
    </w:p>
    <w:p>
      <w:pPr>
        <w:ind w:right="753"/>
        <w:jc w:val="center"/>
        <w:rPr>
          <w:rFonts w:ascii="宋体" w:cs="宋体"/>
          <w:sz w:val="28"/>
          <w:szCs w:val="28"/>
        </w:rPr>
      </w:pPr>
      <w:bookmarkStart w:id="445" w:name="_Toc9617"/>
      <w:bookmarkStart w:id="446" w:name="_Toc26103"/>
      <w:bookmarkStart w:id="447" w:name="_Toc24947"/>
      <w:bookmarkStart w:id="448" w:name="_Toc25435"/>
      <w:bookmarkStart w:id="449" w:name="_Toc27920"/>
      <w:bookmarkStart w:id="450" w:name="_Toc12434"/>
      <w:bookmarkStart w:id="451" w:name="_Toc15155"/>
      <w:bookmarkStart w:id="452" w:name="_Toc5462"/>
      <w:r>
        <w:rPr>
          <w:rFonts w:hint="eastAsia" w:ascii="宋体" w:hAnsi="宋体" w:cs="宋体"/>
          <w:sz w:val="28"/>
          <w:szCs w:val="28"/>
        </w:rPr>
        <w:t>（封面格式）</w:t>
      </w:r>
    </w:p>
    <w:p>
      <w:pPr>
        <w:ind w:right="753"/>
        <w:jc w:val="left"/>
        <w:rPr>
          <w:rFonts w:ascii="宋体" w:cs="宋体"/>
          <w:szCs w:val="28"/>
        </w:rPr>
      </w:pPr>
    </w:p>
    <w:p>
      <w:pPr>
        <w:ind w:right="753"/>
        <w:jc w:val="center"/>
        <w:rPr>
          <w:rFonts w:ascii="宋体" w:cs="宋体"/>
          <w:sz w:val="28"/>
          <w:szCs w:val="28"/>
        </w:rPr>
      </w:pPr>
      <w:r>
        <w:rPr>
          <w:rFonts w:hint="eastAsia" w:ascii="宋体" w:hAnsi="宋体" w:cs="宋体"/>
          <w:sz w:val="28"/>
          <w:szCs w:val="28"/>
        </w:rPr>
        <w:t>项目比选申请文件</w:t>
      </w:r>
    </w:p>
    <w:p>
      <w:pPr>
        <w:pStyle w:val="24"/>
        <w:ind w:firstLine="3360" w:firstLineChars="1200"/>
        <w:jc w:val="both"/>
      </w:pPr>
      <w:bookmarkStart w:id="453" w:name="_Toc3278"/>
      <w:bookmarkStart w:id="454" w:name="_Toc20460"/>
      <w:bookmarkStart w:id="455" w:name="_Toc10925"/>
      <w:bookmarkStart w:id="456" w:name="_Toc21287"/>
      <w:bookmarkStart w:id="457" w:name="_Toc196"/>
      <w:bookmarkStart w:id="458" w:name="_Toc15573"/>
      <w:bookmarkStart w:id="459" w:name="_Toc3587"/>
      <w:bookmarkStart w:id="460" w:name="_Toc461525327"/>
      <w:bookmarkStart w:id="461" w:name="_Toc27059"/>
      <w:r>
        <w:rPr>
          <w:rFonts w:hint="eastAsia"/>
          <w:b w:val="0"/>
          <w:bCs w:val="0"/>
          <w:sz w:val="28"/>
          <w:szCs w:val="28"/>
        </w:rPr>
        <w:t>商务部分</w:t>
      </w:r>
      <w:bookmarkEnd w:id="453"/>
      <w:bookmarkEnd w:id="454"/>
      <w:bookmarkEnd w:id="455"/>
      <w:bookmarkEnd w:id="456"/>
      <w:bookmarkEnd w:id="457"/>
      <w:bookmarkEnd w:id="458"/>
      <w:bookmarkEnd w:id="459"/>
      <w:bookmarkEnd w:id="460"/>
      <w:bookmarkEnd w:id="461"/>
    </w:p>
    <w:p>
      <w:pPr>
        <w:ind w:right="753"/>
        <w:jc w:val="left"/>
        <w:rPr>
          <w:rFonts w:ascii="宋体" w:cs="宋体"/>
          <w:szCs w:val="28"/>
        </w:rPr>
      </w:pPr>
    </w:p>
    <w:p>
      <w:pPr>
        <w:ind w:right="753"/>
        <w:jc w:val="left"/>
        <w:rPr>
          <w:rFonts w:ascii="宋体" w:cs="宋体"/>
          <w:szCs w:val="28"/>
        </w:rPr>
      </w:pPr>
    </w:p>
    <w:p>
      <w:pPr>
        <w:ind w:right="753"/>
        <w:jc w:val="left"/>
        <w:rPr>
          <w:rFonts w:ascii="宋体" w:cs="宋体"/>
          <w:szCs w:val="28"/>
        </w:rPr>
      </w:pPr>
    </w:p>
    <w:p>
      <w:pPr>
        <w:ind w:right="753"/>
        <w:jc w:val="left"/>
        <w:rPr>
          <w:rFonts w:ascii="宋体" w:cs="宋体"/>
          <w:szCs w:val="28"/>
        </w:rPr>
      </w:pPr>
    </w:p>
    <w:p>
      <w:pPr>
        <w:ind w:right="753"/>
        <w:jc w:val="left"/>
        <w:rPr>
          <w:rFonts w:ascii="宋体" w:cs="宋体"/>
          <w:szCs w:val="28"/>
        </w:rPr>
      </w:pPr>
    </w:p>
    <w:p>
      <w:pPr>
        <w:ind w:right="753"/>
        <w:jc w:val="left"/>
        <w:rPr>
          <w:rFonts w:ascii="宋体" w:cs="宋体"/>
          <w:szCs w:val="28"/>
        </w:rPr>
      </w:pPr>
    </w:p>
    <w:p>
      <w:pPr>
        <w:ind w:right="753"/>
        <w:jc w:val="left"/>
        <w:rPr>
          <w:rFonts w:ascii="宋体" w:cs="宋体"/>
          <w:szCs w:val="28"/>
        </w:rPr>
      </w:pPr>
    </w:p>
    <w:p>
      <w:pPr>
        <w:ind w:right="753"/>
        <w:jc w:val="left"/>
        <w:rPr>
          <w:rFonts w:ascii="宋体" w:cs="宋体"/>
          <w:szCs w:val="28"/>
        </w:rPr>
      </w:pPr>
    </w:p>
    <w:p>
      <w:pPr>
        <w:ind w:right="753"/>
        <w:jc w:val="left"/>
        <w:rPr>
          <w:rFonts w:ascii="宋体" w:cs="宋体"/>
          <w:szCs w:val="28"/>
        </w:rPr>
      </w:pPr>
    </w:p>
    <w:p>
      <w:pPr>
        <w:ind w:right="753"/>
        <w:jc w:val="left"/>
        <w:rPr>
          <w:rFonts w:ascii="宋体" w:cs="宋体"/>
          <w:szCs w:val="28"/>
        </w:rPr>
      </w:pPr>
    </w:p>
    <w:p>
      <w:pPr>
        <w:ind w:right="753"/>
        <w:jc w:val="left"/>
        <w:rPr>
          <w:rFonts w:ascii="宋体" w:cs="宋体"/>
          <w:szCs w:val="28"/>
        </w:rPr>
      </w:pPr>
    </w:p>
    <w:p>
      <w:pPr>
        <w:ind w:right="753"/>
        <w:jc w:val="left"/>
        <w:rPr>
          <w:rFonts w:ascii="宋体" w:cs="宋体"/>
          <w:szCs w:val="28"/>
        </w:rPr>
      </w:pPr>
    </w:p>
    <w:p>
      <w:pPr>
        <w:ind w:right="753"/>
        <w:jc w:val="left"/>
        <w:rPr>
          <w:rFonts w:ascii="宋体" w:cs="宋体"/>
          <w:szCs w:val="28"/>
        </w:rPr>
      </w:pPr>
    </w:p>
    <w:p>
      <w:pPr>
        <w:ind w:right="753"/>
        <w:jc w:val="left"/>
        <w:rPr>
          <w:rFonts w:ascii="宋体" w:cs="宋体"/>
          <w:sz w:val="28"/>
          <w:szCs w:val="28"/>
        </w:rPr>
      </w:pPr>
    </w:p>
    <w:p>
      <w:pPr>
        <w:ind w:right="753"/>
        <w:jc w:val="left"/>
        <w:rPr>
          <w:rFonts w:ascii="宋体" w:cs="宋体"/>
          <w:sz w:val="28"/>
          <w:szCs w:val="28"/>
        </w:rPr>
      </w:pPr>
      <w:r>
        <w:rPr>
          <w:rFonts w:hint="eastAsia" w:ascii="宋体" w:hAnsi="宋体" w:cs="宋体"/>
          <w:sz w:val="28"/>
          <w:szCs w:val="28"/>
        </w:rPr>
        <w:t>比选申请人：（加盖单位章）</w:t>
      </w:r>
    </w:p>
    <w:p>
      <w:pPr>
        <w:ind w:right="753"/>
        <w:jc w:val="left"/>
        <w:rPr>
          <w:rFonts w:ascii="宋体" w:cs="宋体"/>
          <w:sz w:val="28"/>
          <w:szCs w:val="28"/>
        </w:rPr>
      </w:pPr>
      <w:r>
        <w:rPr>
          <w:rFonts w:hint="eastAsia" w:ascii="宋体" w:hAnsi="宋体" w:cs="宋体"/>
          <w:sz w:val="28"/>
          <w:szCs w:val="28"/>
        </w:rPr>
        <w:t>法定代表人（负责人）或委托代理人：（签字）</w:t>
      </w:r>
    </w:p>
    <w:p>
      <w:pPr>
        <w:ind w:right="753"/>
        <w:jc w:val="left"/>
        <w:rPr>
          <w:rFonts w:ascii="宋体" w:cs="宋体"/>
          <w:sz w:val="28"/>
          <w:szCs w:val="28"/>
        </w:rPr>
      </w:pPr>
      <w:bookmarkStart w:id="462" w:name="_Toc333307134"/>
    </w:p>
    <w:p>
      <w:pPr>
        <w:ind w:right="753"/>
        <w:jc w:val="left"/>
        <w:rPr>
          <w:rFonts w:ascii="宋体" w:cs="宋体"/>
          <w:sz w:val="28"/>
          <w:szCs w:val="28"/>
        </w:rPr>
      </w:pPr>
    </w:p>
    <w:p>
      <w:pPr>
        <w:ind w:right="753"/>
        <w:jc w:val="left"/>
        <w:rPr>
          <w:rFonts w:ascii="宋体" w:cs="宋体"/>
          <w:sz w:val="28"/>
          <w:szCs w:val="28"/>
        </w:rPr>
      </w:pPr>
      <w:r>
        <w:rPr>
          <w:rFonts w:ascii="宋体" w:hAnsi="宋体" w:cs="宋体"/>
          <w:sz w:val="28"/>
          <w:szCs w:val="28"/>
        </w:rPr>
        <w:t xml:space="preserve">     </w:t>
      </w:r>
      <w:r>
        <w:rPr>
          <w:rFonts w:hint="eastAsia" w:ascii="宋体" w:hAnsi="宋体" w:cs="宋体"/>
          <w:sz w:val="28"/>
          <w:szCs w:val="28"/>
        </w:rPr>
        <w:t>年</w:t>
      </w:r>
      <w:r>
        <w:rPr>
          <w:rFonts w:ascii="宋体" w:hAnsi="宋体" w:cs="宋体"/>
          <w:sz w:val="28"/>
          <w:szCs w:val="28"/>
        </w:rPr>
        <w:t xml:space="preserve">    </w:t>
      </w:r>
      <w:bookmarkEnd w:id="462"/>
      <w:r>
        <w:rPr>
          <w:rFonts w:hint="eastAsia" w:ascii="宋体" w:hAnsi="宋体" w:cs="宋体"/>
          <w:sz w:val="28"/>
          <w:szCs w:val="28"/>
        </w:rPr>
        <w:t>月</w:t>
      </w:r>
      <w:bookmarkStart w:id="463" w:name="_Toc333307135"/>
      <w:r>
        <w:rPr>
          <w:rFonts w:ascii="宋体" w:hAnsi="宋体" w:cs="宋体"/>
          <w:sz w:val="28"/>
          <w:szCs w:val="28"/>
        </w:rPr>
        <w:t xml:space="preserve">    </w:t>
      </w:r>
      <w:r>
        <w:rPr>
          <w:rFonts w:hint="eastAsia" w:ascii="宋体" w:hAnsi="宋体" w:cs="宋体"/>
          <w:sz w:val="28"/>
          <w:szCs w:val="28"/>
        </w:rPr>
        <w:t>日</w:t>
      </w:r>
    </w:p>
    <w:p>
      <w:pPr>
        <w:ind w:right="753"/>
        <w:jc w:val="left"/>
        <w:rPr>
          <w:rFonts w:ascii="宋体" w:cs="宋体"/>
          <w:sz w:val="28"/>
          <w:szCs w:val="28"/>
        </w:rPr>
      </w:pPr>
    </w:p>
    <w:p>
      <w:pPr>
        <w:ind w:right="753"/>
        <w:jc w:val="left"/>
        <w:rPr>
          <w:rFonts w:ascii="宋体" w:cs="宋体"/>
          <w:sz w:val="28"/>
          <w:szCs w:val="28"/>
        </w:rPr>
      </w:pPr>
    </w:p>
    <w:p>
      <w:pPr>
        <w:ind w:right="753"/>
        <w:jc w:val="left"/>
        <w:rPr>
          <w:rFonts w:ascii="宋体" w:cs="宋体"/>
          <w:sz w:val="28"/>
          <w:szCs w:val="28"/>
        </w:rPr>
      </w:pPr>
    </w:p>
    <w:p>
      <w:pPr>
        <w:pStyle w:val="4"/>
        <w:spacing w:before="0" w:after="0" w:line="600" w:lineRule="exact"/>
        <w:jc w:val="center"/>
        <w:rPr>
          <w:rFonts w:ascii="宋体" w:cs="宋体"/>
          <w:kern w:val="2"/>
          <w:szCs w:val="28"/>
        </w:rPr>
      </w:pPr>
      <w:bookmarkStart w:id="464" w:name="_Toc16542"/>
      <w:bookmarkStart w:id="465" w:name="_Toc17346"/>
      <w:bookmarkStart w:id="466" w:name="_Toc11015"/>
      <w:bookmarkStart w:id="467" w:name="_Toc4901"/>
      <w:bookmarkStart w:id="468" w:name="_Toc21835"/>
      <w:bookmarkStart w:id="469" w:name="_Toc7127"/>
      <w:bookmarkStart w:id="470" w:name="_Toc471482372"/>
      <w:bookmarkStart w:id="471" w:name="_Toc24408"/>
      <w:bookmarkStart w:id="472" w:name="_Toc2010"/>
      <w:bookmarkStart w:id="473" w:name="_Toc24524"/>
      <w:bookmarkStart w:id="474" w:name="_Toc30879"/>
      <w:bookmarkStart w:id="475" w:name="_Toc461525328"/>
      <w:bookmarkStart w:id="476" w:name="_Toc257"/>
      <w:bookmarkStart w:id="477" w:name="_Toc5616"/>
    </w:p>
    <w:p/>
    <w:p>
      <w:pPr>
        <w:pStyle w:val="4"/>
        <w:spacing w:before="0" w:after="0" w:line="600" w:lineRule="exact"/>
        <w:jc w:val="center"/>
        <w:rPr>
          <w:b/>
        </w:rPr>
      </w:pPr>
      <w:bookmarkStart w:id="478" w:name="_Toc12276"/>
      <w:bookmarkStart w:id="479" w:name="_Toc25672"/>
      <w:bookmarkStart w:id="480" w:name="_Toc21708"/>
      <w:bookmarkStart w:id="481" w:name="_Toc8407"/>
      <w:bookmarkStart w:id="482" w:name="_Toc5984"/>
      <w:bookmarkStart w:id="483" w:name="_Toc9809"/>
      <w:bookmarkStart w:id="484" w:name="_Toc27214"/>
      <w:r>
        <w:rPr>
          <w:rFonts w:hint="eastAsia"/>
          <w:b/>
        </w:rPr>
        <w:t>三、商务部分材料目录</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bookmarkEnd w:id="463"/>
    <w:p>
      <w:pPr>
        <w:spacing w:line="540" w:lineRule="exact"/>
        <w:jc w:val="center"/>
        <w:rPr>
          <w:rFonts w:ascii="宋体" w:cs="宋体"/>
          <w:b/>
          <w:sz w:val="28"/>
          <w:szCs w:val="28"/>
        </w:rPr>
      </w:pPr>
      <w:r>
        <w:rPr>
          <w:rFonts w:ascii="宋体" w:hAnsi="宋体" w:cs="宋体"/>
          <w:b/>
          <w:sz w:val="28"/>
          <w:szCs w:val="28"/>
        </w:rPr>
        <w:t>1.</w:t>
      </w:r>
      <w:r>
        <w:rPr>
          <w:rFonts w:hint="eastAsia" w:ascii="宋体" w:hAnsi="宋体" w:cs="宋体"/>
          <w:b/>
          <w:sz w:val="28"/>
          <w:szCs w:val="28"/>
        </w:rPr>
        <w:t>报价表</w:t>
      </w:r>
    </w:p>
    <w:p>
      <w:pPr>
        <w:spacing w:line="540" w:lineRule="exact"/>
        <w:rPr>
          <w:rFonts w:ascii="宋体" w:cs="宋体"/>
          <w:sz w:val="28"/>
          <w:szCs w:val="28"/>
        </w:rPr>
      </w:pPr>
    </w:p>
    <w:p>
      <w:pPr>
        <w:spacing w:line="540" w:lineRule="exact"/>
        <w:rPr>
          <w:rFonts w:ascii="宋体" w:cs="宋体"/>
          <w:sz w:val="28"/>
          <w:szCs w:val="28"/>
        </w:rPr>
      </w:pPr>
      <w:r>
        <w:rPr>
          <w:rFonts w:hint="eastAsia" w:ascii="宋体" w:hAnsi="宋体" w:cs="宋体"/>
          <w:sz w:val="28"/>
          <w:szCs w:val="28"/>
        </w:rPr>
        <w:t>备注：以上材料均需加盖单位公章，并按照目录顺序编排，标注页码。</w:t>
      </w:r>
    </w:p>
    <w:p>
      <w:pPr>
        <w:spacing w:line="540" w:lineRule="exact"/>
        <w:rPr>
          <w:rFonts w:ascii="宋体" w:cs="宋体"/>
          <w:sz w:val="28"/>
          <w:szCs w:val="28"/>
        </w:rPr>
      </w:pPr>
    </w:p>
    <w:p>
      <w:pPr>
        <w:ind w:right="753"/>
        <w:jc w:val="left"/>
        <w:rPr>
          <w:rFonts w:ascii="宋体" w:cs="宋体"/>
          <w:sz w:val="28"/>
          <w:szCs w:val="28"/>
        </w:rPr>
      </w:pPr>
    </w:p>
    <w:p>
      <w:pPr>
        <w:ind w:right="753"/>
        <w:jc w:val="left"/>
        <w:rPr>
          <w:rFonts w:ascii="宋体" w:cs="宋体"/>
          <w:sz w:val="28"/>
          <w:szCs w:val="28"/>
        </w:rPr>
      </w:pPr>
    </w:p>
    <w:p>
      <w:pPr>
        <w:ind w:right="753"/>
        <w:jc w:val="left"/>
        <w:rPr>
          <w:rFonts w:ascii="宋体" w:cs="宋体"/>
          <w:sz w:val="28"/>
          <w:szCs w:val="28"/>
        </w:rPr>
      </w:pPr>
    </w:p>
    <w:p>
      <w:pPr>
        <w:ind w:right="753"/>
        <w:jc w:val="left"/>
        <w:rPr>
          <w:rFonts w:ascii="宋体" w:cs="宋体"/>
          <w:sz w:val="28"/>
          <w:szCs w:val="28"/>
        </w:rPr>
      </w:pPr>
    </w:p>
    <w:p>
      <w:pPr>
        <w:ind w:right="753"/>
        <w:jc w:val="left"/>
        <w:rPr>
          <w:rFonts w:ascii="宋体" w:cs="宋体"/>
          <w:sz w:val="28"/>
          <w:szCs w:val="28"/>
        </w:rPr>
      </w:pPr>
    </w:p>
    <w:p>
      <w:pPr>
        <w:ind w:right="753"/>
        <w:jc w:val="left"/>
        <w:rPr>
          <w:rFonts w:ascii="宋体" w:cs="宋体"/>
          <w:sz w:val="28"/>
          <w:szCs w:val="28"/>
        </w:rPr>
      </w:pPr>
    </w:p>
    <w:p>
      <w:pPr>
        <w:ind w:right="753"/>
        <w:jc w:val="left"/>
        <w:rPr>
          <w:rFonts w:ascii="宋体" w:cs="宋体"/>
          <w:sz w:val="28"/>
          <w:szCs w:val="28"/>
        </w:rPr>
      </w:pPr>
    </w:p>
    <w:p>
      <w:pPr>
        <w:ind w:right="753"/>
        <w:jc w:val="left"/>
        <w:rPr>
          <w:rFonts w:ascii="宋体" w:cs="宋体"/>
          <w:sz w:val="28"/>
          <w:szCs w:val="28"/>
        </w:rPr>
      </w:pPr>
    </w:p>
    <w:p>
      <w:pPr>
        <w:ind w:right="753"/>
        <w:jc w:val="left"/>
        <w:rPr>
          <w:rFonts w:ascii="宋体" w:cs="宋体"/>
          <w:sz w:val="28"/>
          <w:szCs w:val="28"/>
        </w:rPr>
      </w:pPr>
    </w:p>
    <w:p>
      <w:pPr>
        <w:ind w:right="753"/>
        <w:jc w:val="left"/>
        <w:rPr>
          <w:rFonts w:ascii="宋体" w:cs="宋体"/>
          <w:sz w:val="28"/>
          <w:szCs w:val="28"/>
        </w:rPr>
      </w:pPr>
    </w:p>
    <w:p>
      <w:pPr>
        <w:ind w:right="753"/>
        <w:jc w:val="left"/>
        <w:rPr>
          <w:rFonts w:ascii="宋体" w:cs="宋体"/>
          <w:sz w:val="28"/>
          <w:szCs w:val="28"/>
        </w:rPr>
      </w:pPr>
    </w:p>
    <w:p>
      <w:pPr>
        <w:ind w:right="753"/>
        <w:jc w:val="left"/>
        <w:rPr>
          <w:rFonts w:ascii="宋体" w:cs="宋体"/>
          <w:sz w:val="28"/>
          <w:szCs w:val="28"/>
        </w:rPr>
      </w:pPr>
    </w:p>
    <w:p>
      <w:pPr>
        <w:ind w:right="753"/>
        <w:jc w:val="left"/>
        <w:rPr>
          <w:rFonts w:ascii="宋体" w:cs="宋体"/>
          <w:sz w:val="28"/>
          <w:szCs w:val="28"/>
        </w:rPr>
      </w:pPr>
    </w:p>
    <w:p>
      <w:pPr>
        <w:ind w:right="753"/>
        <w:jc w:val="left"/>
        <w:rPr>
          <w:rFonts w:ascii="宋体" w:cs="宋体"/>
          <w:sz w:val="28"/>
          <w:szCs w:val="28"/>
        </w:rPr>
      </w:pPr>
    </w:p>
    <w:p>
      <w:pPr>
        <w:ind w:right="753"/>
        <w:jc w:val="left"/>
        <w:rPr>
          <w:rFonts w:ascii="宋体" w:cs="宋体"/>
          <w:sz w:val="28"/>
          <w:szCs w:val="28"/>
        </w:rPr>
      </w:pPr>
    </w:p>
    <w:p>
      <w:pPr>
        <w:ind w:right="753"/>
        <w:jc w:val="left"/>
        <w:rPr>
          <w:rFonts w:ascii="宋体" w:cs="宋体"/>
          <w:sz w:val="28"/>
          <w:szCs w:val="28"/>
        </w:rPr>
      </w:pPr>
    </w:p>
    <w:p>
      <w:pPr>
        <w:ind w:right="753"/>
        <w:jc w:val="left"/>
        <w:rPr>
          <w:rFonts w:ascii="宋体" w:cs="宋体"/>
          <w:sz w:val="28"/>
          <w:szCs w:val="28"/>
        </w:rPr>
      </w:pPr>
    </w:p>
    <w:p>
      <w:pPr>
        <w:pStyle w:val="5"/>
      </w:pPr>
      <w:bookmarkStart w:id="485" w:name="_Toc26609"/>
      <w:bookmarkStart w:id="486" w:name="_Toc1148"/>
      <w:bookmarkStart w:id="487" w:name="_Toc25896"/>
      <w:bookmarkStart w:id="488" w:name="_Toc17958"/>
      <w:bookmarkStart w:id="489" w:name="_Toc3569"/>
      <w:bookmarkStart w:id="490" w:name="_Toc29844"/>
      <w:bookmarkStart w:id="491" w:name="_Toc461525330"/>
      <w:bookmarkStart w:id="492" w:name="_Toc29457"/>
      <w:bookmarkStart w:id="493" w:name="_Toc25214"/>
      <w:bookmarkStart w:id="494" w:name="_Toc6408"/>
      <w:bookmarkStart w:id="495" w:name="_Toc20415"/>
      <w:bookmarkStart w:id="496" w:name="_Toc9748"/>
      <w:r>
        <w:t>1.</w:t>
      </w:r>
      <w:r>
        <w:rPr>
          <w:rFonts w:hint="eastAsia"/>
        </w:rPr>
        <w:t>报价表</w:t>
      </w:r>
      <w:bookmarkEnd w:id="485"/>
      <w:bookmarkEnd w:id="486"/>
      <w:r>
        <w:rPr>
          <w:rFonts w:hint="eastAsia"/>
        </w:rPr>
        <w:t>（格式）</w:t>
      </w:r>
      <w:bookmarkEnd w:id="487"/>
      <w:bookmarkEnd w:id="488"/>
      <w:bookmarkEnd w:id="489"/>
      <w:bookmarkEnd w:id="490"/>
      <w:bookmarkEnd w:id="491"/>
      <w:bookmarkEnd w:id="492"/>
      <w:bookmarkEnd w:id="493"/>
      <w:bookmarkEnd w:id="494"/>
      <w:bookmarkEnd w:id="495"/>
      <w:bookmarkEnd w:id="496"/>
    </w:p>
    <w:tbl>
      <w:tblPr>
        <w:tblStyle w:val="25"/>
        <w:tblW w:w="99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1"/>
        <w:gridCol w:w="2772"/>
        <w:gridCol w:w="1559"/>
        <w:gridCol w:w="31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051" w:type="dxa"/>
            <w:vAlign w:val="center"/>
          </w:tcPr>
          <w:p>
            <w:pPr>
              <w:jc w:val="center"/>
              <w:rPr>
                <w:rFonts w:ascii="宋体" w:cs="宋体"/>
                <w:szCs w:val="21"/>
              </w:rPr>
            </w:pPr>
            <w:r>
              <w:rPr>
                <w:rFonts w:hint="eastAsia" w:ascii="宋体" w:hAnsi="宋体" w:cs="宋体"/>
                <w:szCs w:val="21"/>
              </w:rPr>
              <w:t>序号</w:t>
            </w:r>
          </w:p>
        </w:tc>
        <w:tc>
          <w:tcPr>
            <w:tcW w:w="2772" w:type="dxa"/>
            <w:vAlign w:val="center"/>
          </w:tcPr>
          <w:p>
            <w:pPr>
              <w:jc w:val="center"/>
              <w:rPr>
                <w:rFonts w:ascii="宋体" w:cs="宋体"/>
                <w:szCs w:val="21"/>
              </w:rPr>
            </w:pPr>
            <w:r>
              <w:rPr>
                <w:rFonts w:hint="eastAsia" w:ascii="宋体" w:hAnsi="宋体" w:cs="宋体"/>
                <w:szCs w:val="21"/>
              </w:rPr>
              <w:t>服务内容</w:t>
            </w:r>
          </w:p>
        </w:tc>
        <w:tc>
          <w:tcPr>
            <w:tcW w:w="1559" w:type="dxa"/>
            <w:vAlign w:val="center"/>
          </w:tcPr>
          <w:p>
            <w:pPr>
              <w:jc w:val="center"/>
              <w:rPr>
                <w:rFonts w:ascii="宋体" w:cs="宋体"/>
                <w:szCs w:val="21"/>
              </w:rPr>
            </w:pPr>
            <w:r>
              <w:rPr>
                <w:rFonts w:hint="eastAsia" w:ascii="宋体" w:hAnsi="宋体" w:cs="宋体"/>
                <w:szCs w:val="21"/>
              </w:rPr>
              <w:t>服务期限</w:t>
            </w:r>
          </w:p>
        </w:tc>
        <w:tc>
          <w:tcPr>
            <w:tcW w:w="3118" w:type="dxa"/>
            <w:vAlign w:val="center"/>
          </w:tcPr>
          <w:p>
            <w:pPr>
              <w:jc w:val="center"/>
              <w:rPr>
                <w:rFonts w:ascii="宋体" w:cs="宋体"/>
                <w:szCs w:val="21"/>
              </w:rPr>
            </w:pPr>
            <w:r>
              <w:rPr>
                <w:rFonts w:hint="eastAsia" w:ascii="宋体" w:hAnsi="宋体" w:cs="宋体"/>
                <w:szCs w:val="21"/>
              </w:rPr>
              <w:t>报价</w:t>
            </w:r>
            <w:r>
              <w:rPr>
                <w:rFonts w:ascii="宋体" w:hAnsi="宋体" w:cs="宋体"/>
                <w:szCs w:val="21"/>
              </w:rPr>
              <w:t xml:space="preserve">  </w:t>
            </w:r>
          </w:p>
        </w:tc>
        <w:tc>
          <w:tcPr>
            <w:tcW w:w="1417" w:type="dxa"/>
          </w:tcPr>
          <w:p>
            <w:pPr>
              <w:jc w:val="center"/>
              <w:rPr>
                <w:rFonts w:asci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6" w:hRule="atLeast"/>
          <w:jc w:val="center"/>
        </w:trPr>
        <w:tc>
          <w:tcPr>
            <w:tcW w:w="1051" w:type="dxa"/>
            <w:vAlign w:val="center"/>
          </w:tcPr>
          <w:p>
            <w:pPr>
              <w:jc w:val="center"/>
              <w:rPr>
                <w:rFonts w:ascii="宋体" w:cs="宋体"/>
                <w:szCs w:val="21"/>
              </w:rPr>
            </w:pPr>
            <w:r>
              <w:rPr>
                <w:rFonts w:ascii="宋体" w:hAnsi="宋体" w:cs="宋体"/>
                <w:szCs w:val="21"/>
              </w:rPr>
              <w:t>1</w:t>
            </w:r>
          </w:p>
        </w:tc>
        <w:tc>
          <w:tcPr>
            <w:tcW w:w="2772" w:type="dxa"/>
            <w:vAlign w:val="center"/>
          </w:tcPr>
          <w:p>
            <w:pPr>
              <w:jc w:val="left"/>
              <w:rPr>
                <w:rFonts w:ascii="宋体" w:cs="宋体"/>
                <w:szCs w:val="21"/>
              </w:rPr>
            </w:pPr>
            <w:r>
              <w:rPr>
                <w:rFonts w:hint="eastAsia" w:ascii="宋体" w:hAnsi="宋体" w:cs="宋体"/>
                <w:szCs w:val="21"/>
              </w:rPr>
              <w:t>南宁慧泊停车场服务有限责任公司2020年至2022年经营情况分析项目</w:t>
            </w:r>
          </w:p>
        </w:tc>
        <w:tc>
          <w:tcPr>
            <w:tcW w:w="1559" w:type="dxa"/>
            <w:vAlign w:val="center"/>
          </w:tcPr>
          <w:p>
            <w:pPr>
              <w:jc w:val="center"/>
              <w:rPr>
                <w:rFonts w:ascii="宋体" w:cs="宋体"/>
                <w:szCs w:val="21"/>
              </w:rPr>
            </w:pPr>
          </w:p>
        </w:tc>
        <w:tc>
          <w:tcPr>
            <w:tcW w:w="3118" w:type="dxa"/>
            <w:vAlign w:val="center"/>
          </w:tcPr>
          <w:p>
            <w:pPr>
              <w:rPr>
                <w:rFonts w:ascii="宋体" w:cs="宋体"/>
                <w:szCs w:val="21"/>
              </w:rPr>
            </w:pPr>
            <w:r>
              <w:rPr>
                <w:rFonts w:hint="eastAsia" w:ascii="宋体" w:hAnsi="宋体" w:cs="宋体"/>
                <w:szCs w:val="21"/>
              </w:rPr>
              <w:t>不含税：</w:t>
            </w:r>
            <w:r>
              <w:rPr>
                <w:rFonts w:hint="eastAsia" w:ascii="宋体" w:hAnsi="宋体" w:cs="宋体"/>
                <w:szCs w:val="21"/>
                <w:u w:val="single"/>
              </w:rPr>
              <w:t xml:space="preserve">      </w:t>
            </w:r>
            <w:r>
              <w:rPr>
                <w:rFonts w:hint="eastAsia" w:ascii="宋体" w:hAnsi="宋体" w:cs="宋体"/>
                <w:szCs w:val="21"/>
              </w:rPr>
              <w:t>元</w:t>
            </w:r>
          </w:p>
          <w:p>
            <w:pPr>
              <w:rPr>
                <w:rFonts w:ascii="宋体" w:cs="宋体"/>
                <w:szCs w:val="21"/>
              </w:rPr>
            </w:pPr>
          </w:p>
          <w:p>
            <w:pPr>
              <w:rPr>
                <w:rFonts w:ascii="宋体" w:cs="宋体"/>
                <w:szCs w:val="21"/>
              </w:rPr>
            </w:pPr>
            <w:r>
              <w:rPr>
                <w:rFonts w:hint="eastAsia" w:ascii="宋体" w:hAnsi="宋体" w:cs="宋体"/>
                <w:szCs w:val="21"/>
              </w:rPr>
              <w:t>税率（</w:t>
            </w:r>
            <w:r>
              <w:rPr>
                <w:rFonts w:ascii="宋体" w:hAnsi="宋体" w:cs="宋体"/>
                <w:szCs w:val="21"/>
              </w:rPr>
              <w:t xml:space="preserve">   %</w:t>
            </w:r>
            <w:r>
              <w:rPr>
                <w:rFonts w:hint="eastAsia" w:ascii="宋体" w:hAnsi="宋体" w:cs="宋体"/>
                <w:szCs w:val="21"/>
              </w:rPr>
              <w:t>）</w:t>
            </w:r>
          </w:p>
          <w:p>
            <w:pPr>
              <w:rPr>
                <w:rFonts w:ascii="宋体" w:cs="宋体"/>
                <w:szCs w:val="21"/>
              </w:rPr>
            </w:pPr>
          </w:p>
          <w:p>
            <w:pPr>
              <w:rPr>
                <w:rFonts w:ascii="宋体" w:cs="宋体"/>
                <w:szCs w:val="21"/>
              </w:rPr>
            </w:pPr>
            <w:r>
              <w:rPr>
                <w:rFonts w:hint="eastAsia" w:ascii="宋体" w:hAnsi="宋体" w:cs="宋体"/>
                <w:szCs w:val="21"/>
              </w:rPr>
              <w:t>价税合计：</w:t>
            </w:r>
            <w:r>
              <w:rPr>
                <w:rFonts w:hint="eastAsia" w:ascii="宋体" w:hAnsi="宋体" w:cs="宋体"/>
                <w:szCs w:val="21"/>
                <w:u w:val="single"/>
              </w:rPr>
              <w:t xml:space="preserve">      </w:t>
            </w:r>
            <w:r>
              <w:rPr>
                <w:rFonts w:hint="eastAsia" w:ascii="宋体" w:hAnsi="宋体" w:cs="宋体"/>
                <w:szCs w:val="21"/>
              </w:rPr>
              <w:t>元</w:t>
            </w:r>
          </w:p>
        </w:tc>
        <w:tc>
          <w:tcPr>
            <w:tcW w:w="1417" w:type="dxa"/>
          </w:tcPr>
          <w:p>
            <w:pPr>
              <w:rPr>
                <w:rFonts w:ascii="宋体" w:cs="宋体"/>
                <w:szCs w:val="21"/>
              </w:rPr>
            </w:pPr>
          </w:p>
        </w:tc>
      </w:tr>
    </w:tbl>
    <w:p>
      <w:pPr>
        <w:spacing w:line="480" w:lineRule="exact"/>
        <w:ind w:left="560" w:hanging="560" w:hangingChars="200"/>
        <w:rPr>
          <w:rFonts w:ascii="宋体" w:cs="宋体"/>
          <w:sz w:val="28"/>
          <w:szCs w:val="28"/>
        </w:rPr>
      </w:pPr>
      <w:r>
        <w:rPr>
          <w:rFonts w:hint="eastAsia" w:ascii="宋体" w:hAnsi="宋体" w:cs="宋体"/>
          <w:sz w:val="28"/>
          <w:szCs w:val="28"/>
        </w:rPr>
        <w:t>注：</w:t>
      </w:r>
      <w:r>
        <w:rPr>
          <w:rFonts w:ascii="宋体" w:hAnsi="宋体" w:cs="宋体"/>
          <w:sz w:val="28"/>
          <w:szCs w:val="28"/>
        </w:rPr>
        <w:t>1.</w:t>
      </w:r>
      <w:r>
        <w:rPr>
          <w:rFonts w:hint="eastAsia" w:ascii="宋体" w:hAnsi="宋体" w:cs="宋体"/>
          <w:sz w:val="28"/>
          <w:szCs w:val="28"/>
        </w:rPr>
        <w:t>本表根据需要可扩展。未按照本比选报价表的格式及要求填写比选报价表的，将视为不满足比选文件要求，从而导致该比选申请人竞选无效。</w:t>
      </w:r>
    </w:p>
    <w:p>
      <w:pPr>
        <w:spacing w:line="480" w:lineRule="exact"/>
        <w:ind w:firstLine="560" w:firstLineChars="200"/>
        <w:rPr>
          <w:rFonts w:ascii="宋体" w:cs="宋体"/>
          <w:sz w:val="28"/>
          <w:szCs w:val="28"/>
          <w:u w:val="single"/>
        </w:rPr>
      </w:pPr>
      <w:r>
        <w:rPr>
          <w:rFonts w:ascii="宋体" w:hAnsi="宋体" w:cs="宋体"/>
          <w:sz w:val="28"/>
          <w:szCs w:val="28"/>
          <w:u w:val="single"/>
        </w:rPr>
        <w:t>2</w:t>
      </w:r>
      <w:r>
        <w:rPr>
          <w:rFonts w:ascii="宋体" w:cs="宋体"/>
          <w:sz w:val="28"/>
          <w:szCs w:val="28"/>
          <w:u w:val="single"/>
        </w:rPr>
        <w:t>.</w:t>
      </w:r>
      <w:r>
        <w:rPr>
          <w:rFonts w:hint="eastAsia" w:ascii="宋体" w:hAnsi="宋体" w:cs="宋体"/>
          <w:sz w:val="28"/>
          <w:szCs w:val="28"/>
          <w:u w:val="single"/>
        </w:rPr>
        <w:t>以本表中不含税报价作为评审基准价以及评分的确定依据。</w:t>
      </w:r>
    </w:p>
    <w:p>
      <w:pPr>
        <w:spacing w:line="480" w:lineRule="exact"/>
        <w:rPr>
          <w:rFonts w:ascii="宋体" w:cs="宋体"/>
          <w:sz w:val="28"/>
          <w:szCs w:val="28"/>
        </w:rPr>
      </w:pPr>
    </w:p>
    <w:p>
      <w:pPr>
        <w:spacing w:line="480" w:lineRule="exact"/>
        <w:rPr>
          <w:rFonts w:ascii="宋体" w:cs="宋体"/>
          <w:sz w:val="28"/>
          <w:szCs w:val="28"/>
        </w:rPr>
      </w:pPr>
      <w:r>
        <w:rPr>
          <w:rFonts w:hint="eastAsia" w:ascii="宋体" w:hAnsi="宋体" w:cs="宋体"/>
          <w:sz w:val="28"/>
          <w:szCs w:val="28"/>
        </w:rPr>
        <w:t>比选申请人：（加盖单位公章）</w:t>
      </w:r>
      <w:r>
        <w:rPr>
          <w:rFonts w:ascii="宋体" w:hAnsi="宋体" w:cs="宋体"/>
          <w:sz w:val="28"/>
          <w:szCs w:val="28"/>
        </w:rPr>
        <w:t xml:space="preserve">                                </w:t>
      </w:r>
    </w:p>
    <w:p>
      <w:pPr>
        <w:spacing w:line="480" w:lineRule="exact"/>
        <w:rPr>
          <w:rFonts w:ascii="宋体" w:cs="宋体"/>
          <w:sz w:val="28"/>
          <w:szCs w:val="28"/>
        </w:rPr>
      </w:pPr>
      <w:r>
        <w:rPr>
          <w:rFonts w:hint="eastAsia" w:ascii="宋体" w:hAnsi="宋体" w:cs="宋体"/>
          <w:sz w:val="28"/>
          <w:szCs w:val="28"/>
        </w:rPr>
        <w:t>法定代表人（负责人）或其委托代理人：（签字）</w:t>
      </w:r>
      <w:r>
        <w:rPr>
          <w:rFonts w:ascii="宋体" w:hAnsi="宋体" w:cs="宋体"/>
          <w:sz w:val="28"/>
          <w:szCs w:val="28"/>
        </w:rPr>
        <w:t xml:space="preserve"> </w:t>
      </w:r>
    </w:p>
    <w:p>
      <w:pPr>
        <w:spacing w:line="480" w:lineRule="exact"/>
        <w:rPr>
          <w:rFonts w:ascii="宋体" w:cs="宋体"/>
          <w:sz w:val="28"/>
          <w:szCs w:val="28"/>
        </w:rPr>
      </w:pPr>
    </w:p>
    <w:p>
      <w:pPr>
        <w:spacing w:line="480" w:lineRule="exact"/>
        <w:rPr>
          <w:rFonts w:ascii="宋体" w:cs="宋体"/>
          <w:sz w:val="28"/>
          <w:szCs w:val="28"/>
        </w:rPr>
      </w:pPr>
    </w:p>
    <w:p>
      <w:pPr>
        <w:spacing w:line="480" w:lineRule="exact"/>
        <w:rPr>
          <w:rFonts w:ascii="宋体" w:cs="宋体"/>
          <w:sz w:val="28"/>
          <w:szCs w:val="28"/>
        </w:rPr>
      </w:pPr>
    </w:p>
    <w:p>
      <w:pPr>
        <w:jc w:val="center"/>
        <w:rPr>
          <w:rFonts w:ascii="宋体" w:cs="宋体"/>
          <w:sz w:val="28"/>
          <w:szCs w:val="28"/>
        </w:rPr>
      </w:pPr>
    </w:p>
    <w:bookmarkEnd w:id="427"/>
    <w:bookmarkEnd w:id="428"/>
    <w:bookmarkEnd w:id="445"/>
    <w:bookmarkEnd w:id="446"/>
    <w:bookmarkEnd w:id="447"/>
    <w:bookmarkEnd w:id="448"/>
    <w:bookmarkEnd w:id="449"/>
    <w:bookmarkEnd w:id="450"/>
    <w:bookmarkEnd w:id="451"/>
    <w:bookmarkEnd w:id="452"/>
    <w:p>
      <w:pPr>
        <w:pStyle w:val="3"/>
        <w:spacing w:before="0" w:after="0" w:line="600" w:lineRule="exact"/>
        <w:rPr>
          <w:rFonts w:ascii="宋体" w:cs="宋体"/>
          <w:b w:val="0"/>
          <w:kern w:val="2"/>
          <w:szCs w:val="28"/>
        </w:rPr>
      </w:pPr>
      <w:bookmarkStart w:id="497" w:name="_Toc2193"/>
      <w:bookmarkStart w:id="498" w:name="_Toc471482373"/>
    </w:p>
    <w:p/>
    <w:p>
      <w:pPr>
        <w:pStyle w:val="2"/>
      </w:pPr>
    </w:p>
    <w:p>
      <w:pPr>
        <w:pStyle w:val="2"/>
      </w:pPr>
    </w:p>
    <w:p>
      <w:pPr>
        <w:pStyle w:val="2"/>
      </w:pPr>
    </w:p>
    <w:p>
      <w:pPr>
        <w:pStyle w:val="3"/>
        <w:spacing w:before="0" w:after="0" w:line="600" w:lineRule="exact"/>
        <w:jc w:val="both"/>
        <w:rPr>
          <w:b w:val="0"/>
          <w:kern w:val="2"/>
          <w:sz w:val="21"/>
          <w:szCs w:val="24"/>
        </w:rPr>
      </w:pPr>
    </w:p>
    <w:p/>
    <w:p>
      <w:pPr>
        <w:pStyle w:val="3"/>
        <w:spacing w:before="0" w:after="0" w:line="600" w:lineRule="exact"/>
      </w:pPr>
      <w:bookmarkStart w:id="499" w:name="_Toc3272"/>
      <w:bookmarkStart w:id="500" w:name="_Toc29161"/>
      <w:bookmarkStart w:id="501" w:name="_Toc7168"/>
      <w:bookmarkStart w:id="502" w:name="_Toc22689"/>
      <w:bookmarkStart w:id="503" w:name="_Toc8240"/>
      <w:bookmarkStart w:id="504" w:name="_Toc7086"/>
      <w:bookmarkStart w:id="505" w:name="_Toc30863"/>
      <w:r>
        <w:rPr>
          <w:rFonts w:hint="eastAsia"/>
        </w:rPr>
        <w:t>第四章</w:t>
      </w:r>
      <w:r>
        <w:t xml:space="preserve"> </w:t>
      </w:r>
      <w:r>
        <w:rPr>
          <w:rFonts w:hint="eastAsia"/>
        </w:rPr>
        <w:t>评比办法</w:t>
      </w:r>
      <w:bookmarkEnd w:id="497"/>
      <w:bookmarkEnd w:id="498"/>
      <w:bookmarkEnd w:id="499"/>
      <w:bookmarkEnd w:id="500"/>
      <w:bookmarkEnd w:id="501"/>
      <w:bookmarkEnd w:id="502"/>
      <w:bookmarkEnd w:id="503"/>
      <w:bookmarkEnd w:id="504"/>
      <w:bookmarkEnd w:id="505"/>
    </w:p>
    <w:p>
      <w:pPr>
        <w:pStyle w:val="4"/>
        <w:spacing w:before="0" w:after="0" w:line="540" w:lineRule="exact"/>
        <w:rPr>
          <w:b/>
        </w:rPr>
      </w:pPr>
      <w:bookmarkStart w:id="506" w:name="_Toc7201"/>
      <w:bookmarkStart w:id="507" w:name="_Toc28938"/>
      <w:bookmarkStart w:id="508" w:name="_Toc24016"/>
      <w:bookmarkStart w:id="509" w:name="_Toc21341"/>
      <w:bookmarkStart w:id="510" w:name="_Toc16236"/>
      <w:bookmarkStart w:id="511" w:name="_Toc6298"/>
      <w:bookmarkStart w:id="512" w:name="_Toc2996"/>
      <w:bookmarkStart w:id="513" w:name="_Toc3898"/>
      <w:bookmarkStart w:id="514" w:name="_Toc10015"/>
      <w:bookmarkStart w:id="515" w:name="_Toc31412"/>
      <w:bookmarkStart w:id="516" w:name="_Toc18215"/>
      <w:bookmarkStart w:id="517" w:name="_Toc25326"/>
      <w:bookmarkStart w:id="518" w:name="_Toc11093"/>
      <w:bookmarkStart w:id="519" w:name="_Toc3261"/>
      <w:bookmarkStart w:id="520" w:name="_Toc30260"/>
      <w:bookmarkStart w:id="521" w:name="_Toc17031"/>
      <w:bookmarkStart w:id="522" w:name="_Toc471482374"/>
      <w:bookmarkStart w:id="523" w:name="_Toc2433"/>
      <w:r>
        <w:rPr>
          <w:rFonts w:hint="eastAsia"/>
          <w:b/>
        </w:rPr>
        <w:t>一、综合评分办法</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spacing w:line="540" w:lineRule="exact"/>
        <w:ind w:firstLine="560" w:firstLineChars="200"/>
        <w:rPr>
          <w:rFonts w:ascii="宋体" w:cs="宋体"/>
          <w:sz w:val="28"/>
          <w:szCs w:val="28"/>
        </w:rPr>
      </w:pPr>
      <w:r>
        <w:rPr>
          <w:rFonts w:hint="eastAsia" w:ascii="宋体" w:hAnsi="宋体" w:cs="宋体"/>
          <w:sz w:val="28"/>
          <w:szCs w:val="28"/>
        </w:rPr>
        <w:t>评审小组首先对比选申请人进行资格审查，评审小组对通过资格审查的比选申请人按相应的评分细则对技术部分、商务部分各自进行打分后进行汇总，比选申请人的最终得分是评审小组每一位成员综合得分计算出来的算术平均值。</w:t>
      </w:r>
    </w:p>
    <w:p>
      <w:pPr>
        <w:spacing w:line="540" w:lineRule="exact"/>
        <w:ind w:firstLine="560" w:firstLineChars="200"/>
        <w:rPr>
          <w:rFonts w:ascii="宋体" w:cs="宋体"/>
          <w:sz w:val="28"/>
          <w:szCs w:val="28"/>
        </w:rPr>
      </w:pPr>
      <w:r>
        <w:rPr>
          <w:rFonts w:ascii="宋体" w:hAnsi="宋体" w:cs="宋体"/>
          <w:sz w:val="28"/>
          <w:szCs w:val="28"/>
        </w:rPr>
        <w:t>1.</w:t>
      </w:r>
      <w:r>
        <w:rPr>
          <w:rFonts w:hint="eastAsia" w:ascii="宋体" w:hAnsi="宋体" w:cs="宋体"/>
          <w:sz w:val="28"/>
          <w:szCs w:val="28"/>
        </w:rPr>
        <w:t>资格评审：对比选申请人的资格条件、比选申请文件的完整性和有效性、比选申请文件的有效期等方面进行审查。通过资格评审的比选申请文件进入技术、商务评审。</w:t>
      </w:r>
    </w:p>
    <w:p>
      <w:pPr>
        <w:spacing w:line="540" w:lineRule="exact"/>
        <w:ind w:firstLine="560" w:firstLineChars="200"/>
        <w:rPr>
          <w:rFonts w:ascii="宋体" w:cs="宋体"/>
          <w:sz w:val="28"/>
          <w:szCs w:val="28"/>
        </w:rPr>
      </w:pPr>
      <w:r>
        <w:rPr>
          <w:rFonts w:ascii="宋体" w:hAnsi="宋体" w:cs="宋体"/>
          <w:sz w:val="28"/>
          <w:szCs w:val="28"/>
        </w:rPr>
        <w:t>2.</w:t>
      </w:r>
      <w:r>
        <w:rPr>
          <w:rFonts w:hint="eastAsia" w:ascii="宋体" w:hAnsi="宋体" w:cs="宋体"/>
          <w:sz w:val="28"/>
          <w:szCs w:val="28"/>
        </w:rPr>
        <w:t>技术、商务评审：由评审小组按照比选文件的要求，对照比选申请文件的应答进行比较，并对各比选申请文件的技术、商务内容进行评审，且技术部分、商务部分由评审小组讨论定档后进行打分。</w:t>
      </w:r>
    </w:p>
    <w:p>
      <w:pPr>
        <w:spacing w:line="540" w:lineRule="exact"/>
        <w:ind w:firstLine="560" w:firstLineChars="200"/>
        <w:rPr>
          <w:rFonts w:ascii="宋体" w:cs="宋体"/>
          <w:sz w:val="28"/>
          <w:szCs w:val="28"/>
        </w:rPr>
      </w:pPr>
      <w:r>
        <w:rPr>
          <w:rFonts w:ascii="宋体" w:hAnsi="宋体" w:cs="宋体"/>
          <w:sz w:val="28"/>
          <w:szCs w:val="28"/>
        </w:rPr>
        <w:t>3.</w:t>
      </w:r>
      <w:r>
        <w:rPr>
          <w:rFonts w:hint="eastAsia" w:ascii="宋体" w:hAnsi="宋体" w:cs="宋体"/>
          <w:sz w:val="28"/>
          <w:szCs w:val="28"/>
        </w:rPr>
        <w:t>如比选申请文件中有含义不明确，对同类问题表达不一致，或有明显的文字、数字计算错误的，评审小组可要求比选申请人进行必要的澄清、说明或补正，并详细记录，但不得改变比选申请文件的实质内容。评审小组对比选申请人提交的澄清、说明或补正有疑问的，可以要求比选申请人进一步澄清、说明或补正，直至满足评审小组的要求。如比选申请人拒绝接受澄清、说明或补正，该报价做无效报价处理。</w:t>
      </w:r>
    </w:p>
    <w:p>
      <w:pPr>
        <w:spacing w:line="540" w:lineRule="exact"/>
        <w:ind w:firstLine="560" w:firstLineChars="200"/>
        <w:rPr>
          <w:rFonts w:ascii="宋体" w:cs="宋体"/>
          <w:sz w:val="28"/>
          <w:szCs w:val="28"/>
        </w:rPr>
      </w:pPr>
      <w:r>
        <w:rPr>
          <w:rFonts w:ascii="宋体" w:hAnsi="宋体" w:cs="宋体"/>
          <w:sz w:val="28"/>
          <w:szCs w:val="28"/>
        </w:rPr>
        <w:t>4.</w:t>
      </w:r>
      <w:r>
        <w:rPr>
          <w:rFonts w:hint="eastAsia" w:ascii="宋体" w:hAnsi="宋体" w:cs="宋体"/>
          <w:sz w:val="28"/>
          <w:szCs w:val="28"/>
        </w:rPr>
        <w:t>商务报价评审应以报价口径范围一致的评审价为依据。评审价应在报价的基础上，按照下列约定的因素和方法进行计算（下述修正属于非实质性修改比选申请文件；比选申请人如拒绝下述修正的，则属重大偏差，按无效报价处理）：</w:t>
      </w:r>
    </w:p>
    <w:p>
      <w:pPr>
        <w:spacing w:line="540" w:lineRule="exact"/>
        <w:ind w:firstLine="420" w:firstLineChars="150"/>
        <w:rPr>
          <w:rFonts w:ascii="宋体" w:cs="宋体"/>
          <w:sz w:val="28"/>
          <w:szCs w:val="28"/>
        </w:rPr>
      </w:pPr>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rPr>
        <w:t>）如果数字表示的金额和用文字表示的金额不一致时，应以文字表示的金额为准；</w:t>
      </w:r>
    </w:p>
    <w:p>
      <w:pPr>
        <w:spacing w:line="540" w:lineRule="exact"/>
        <w:ind w:firstLine="420" w:firstLineChars="150"/>
        <w:rPr>
          <w:rFonts w:ascii="宋体" w:cs="宋体"/>
          <w:sz w:val="28"/>
          <w:szCs w:val="28"/>
        </w:rPr>
      </w:pPr>
      <w:r>
        <w:rPr>
          <w:rFonts w:hint="eastAsia" w:ascii="宋体" w:hAnsi="宋体" w:cs="宋体"/>
          <w:sz w:val="28"/>
          <w:szCs w:val="28"/>
        </w:rPr>
        <w:t>（</w:t>
      </w:r>
      <w:r>
        <w:rPr>
          <w:rFonts w:ascii="宋体" w:hAnsi="宋体" w:cs="宋体"/>
          <w:sz w:val="28"/>
          <w:szCs w:val="28"/>
        </w:rPr>
        <w:t>2</w:t>
      </w:r>
      <w:r>
        <w:rPr>
          <w:rFonts w:hint="eastAsia" w:ascii="宋体" w:hAnsi="宋体" w:cs="宋体"/>
          <w:sz w:val="28"/>
          <w:szCs w:val="28"/>
        </w:rPr>
        <w:t>）当单价与数量的乘积与合价不一致时，以合价为准，并调整单价；</w:t>
      </w:r>
    </w:p>
    <w:p>
      <w:pPr>
        <w:spacing w:line="540" w:lineRule="exact"/>
        <w:ind w:firstLine="420" w:firstLineChars="150"/>
        <w:rPr>
          <w:rFonts w:ascii="宋体" w:cs="宋体"/>
          <w:sz w:val="28"/>
          <w:szCs w:val="28"/>
        </w:rPr>
      </w:pPr>
      <w:r>
        <w:rPr>
          <w:rFonts w:hint="eastAsia" w:ascii="宋体" w:hAnsi="宋体" w:cs="宋体"/>
          <w:sz w:val="28"/>
          <w:szCs w:val="28"/>
        </w:rPr>
        <w:t>（</w:t>
      </w:r>
      <w:r>
        <w:rPr>
          <w:rFonts w:ascii="宋体" w:hAnsi="宋体" w:cs="宋体"/>
          <w:sz w:val="28"/>
          <w:szCs w:val="28"/>
        </w:rPr>
        <w:t>3</w:t>
      </w:r>
      <w:r>
        <w:rPr>
          <w:rFonts w:hint="eastAsia" w:ascii="宋体" w:hAnsi="宋体" w:cs="宋体"/>
          <w:sz w:val="28"/>
          <w:szCs w:val="28"/>
        </w:rPr>
        <w:t>）当合价与报价总价不一致时，以报价总价为准，调整相关合价；</w:t>
      </w:r>
    </w:p>
    <w:p>
      <w:pPr>
        <w:spacing w:line="540" w:lineRule="exact"/>
        <w:ind w:firstLine="420" w:firstLineChars="150"/>
        <w:rPr>
          <w:rFonts w:ascii="宋体" w:cs="宋体"/>
          <w:sz w:val="28"/>
          <w:szCs w:val="28"/>
        </w:rPr>
      </w:pPr>
      <w:r>
        <w:rPr>
          <w:rFonts w:hint="eastAsia" w:ascii="宋体" w:hAnsi="宋体" w:cs="宋体"/>
          <w:sz w:val="28"/>
          <w:szCs w:val="28"/>
        </w:rPr>
        <w:t>（</w:t>
      </w:r>
      <w:r>
        <w:rPr>
          <w:rFonts w:ascii="宋体" w:hAnsi="宋体" w:cs="宋体"/>
          <w:sz w:val="28"/>
          <w:szCs w:val="28"/>
        </w:rPr>
        <w:t>4</w:t>
      </w:r>
      <w:r>
        <w:rPr>
          <w:rFonts w:hint="eastAsia" w:ascii="宋体" w:hAnsi="宋体" w:cs="宋体"/>
          <w:sz w:val="28"/>
          <w:szCs w:val="28"/>
        </w:rPr>
        <w:t>）评审期间，评审小组不接受任何比选申请人主动提出的对报价及单价、合价的调整；</w:t>
      </w:r>
    </w:p>
    <w:p>
      <w:pPr>
        <w:spacing w:line="540" w:lineRule="exact"/>
        <w:ind w:firstLine="420" w:firstLineChars="150"/>
        <w:rPr>
          <w:rFonts w:ascii="宋体" w:cs="宋体"/>
          <w:sz w:val="28"/>
          <w:szCs w:val="28"/>
        </w:rPr>
      </w:pPr>
      <w:r>
        <w:rPr>
          <w:rFonts w:hint="eastAsia" w:ascii="宋体" w:hAnsi="宋体" w:cs="宋体"/>
          <w:sz w:val="28"/>
          <w:szCs w:val="28"/>
        </w:rPr>
        <w:t>（</w:t>
      </w:r>
      <w:r>
        <w:rPr>
          <w:rFonts w:ascii="宋体" w:hAnsi="宋体" w:cs="宋体"/>
          <w:sz w:val="28"/>
          <w:szCs w:val="28"/>
        </w:rPr>
        <w:t>5</w:t>
      </w:r>
      <w:r>
        <w:rPr>
          <w:rFonts w:hint="eastAsia" w:ascii="宋体" w:hAnsi="宋体" w:cs="宋体"/>
          <w:sz w:val="28"/>
          <w:szCs w:val="28"/>
        </w:rPr>
        <w:t>）其他未尽事宜，由评审小组审议确定（如意见不一致时，以记名方式投票确定）。</w:t>
      </w:r>
    </w:p>
    <w:p>
      <w:pPr>
        <w:spacing w:line="540" w:lineRule="exact"/>
        <w:ind w:firstLine="560" w:firstLineChars="200"/>
        <w:rPr>
          <w:rFonts w:ascii="宋体" w:cs="宋体"/>
          <w:sz w:val="28"/>
          <w:szCs w:val="28"/>
        </w:rPr>
      </w:pPr>
      <w:r>
        <w:rPr>
          <w:rFonts w:ascii="宋体" w:hAnsi="宋体" w:cs="宋体"/>
          <w:sz w:val="28"/>
          <w:szCs w:val="28"/>
        </w:rPr>
        <w:t>5.</w:t>
      </w:r>
      <w:r>
        <w:rPr>
          <w:rFonts w:hint="eastAsia" w:ascii="宋体" w:hAnsi="宋体" w:cs="宋体"/>
          <w:sz w:val="28"/>
          <w:szCs w:val="28"/>
        </w:rPr>
        <w:t>在评审过程中，评审小组发现投标人的报价明显低于其他投标报价，使得其投标报价可能低于其成本的，应当要求该比选申请人做出书面说明并提供相关证明材料。比选申请人不能合理说明或者不能提供相关证明材料的，由评审小组认定该比选申请人以低于成本报价，报价不合理，其比选申请文件作无效处理。</w:t>
      </w:r>
    </w:p>
    <w:p>
      <w:pPr>
        <w:pStyle w:val="4"/>
        <w:spacing w:before="0" w:after="0" w:line="540" w:lineRule="exact"/>
        <w:rPr>
          <w:b/>
        </w:rPr>
      </w:pPr>
      <w:bookmarkStart w:id="524" w:name="_Toc32565"/>
      <w:bookmarkStart w:id="525" w:name="_Toc28487"/>
      <w:bookmarkStart w:id="526" w:name="_Toc30979"/>
      <w:bookmarkStart w:id="527" w:name="_Toc471482375"/>
      <w:bookmarkStart w:id="528" w:name="_Toc14401"/>
      <w:bookmarkStart w:id="529" w:name="_Toc17260"/>
      <w:bookmarkStart w:id="530" w:name="_Toc9093"/>
      <w:bookmarkStart w:id="531" w:name="_Toc14568"/>
      <w:bookmarkStart w:id="532" w:name="_Toc15054"/>
      <w:bookmarkStart w:id="533" w:name="_Toc29182"/>
      <w:bookmarkStart w:id="534" w:name="_Toc18543"/>
      <w:bookmarkStart w:id="535" w:name="_Toc5190"/>
      <w:bookmarkStart w:id="536" w:name="_Toc29031"/>
      <w:bookmarkStart w:id="537" w:name="_Toc7740"/>
      <w:bookmarkStart w:id="538" w:name="_Toc20237"/>
      <w:bookmarkStart w:id="539" w:name="_Toc5576"/>
      <w:bookmarkStart w:id="540" w:name="_Toc5579"/>
      <w:bookmarkStart w:id="541" w:name="_Toc7245"/>
      <w:r>
        <w:rPr>
          <w:rFonts w:hint="eastAsia"/>
          <w:b/>
        </w:rPr>
        <w:t>二、总分计算公式</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spacing w:line="540" w:lineRule="exact"/>
        <w:rPr>
          <w:rFonts w:ascii="宋体" w:cs="宋体"/>
          <w:sz w:val="28"/>
          <w:szCs w:val="28"/>
        </w:rPr>
      </w:pPr>
      <w:r>
        <w:rPr>
          <w:rFonts w:ascii="宋体" w:hAnsi="宋体" w:cs="宋体"/>
          <w:sz w:val="28"/>
          <w:szCs w:val="28"/>
        </w:rPr>
        <w:t xml:space="preserve">    </w:t>
      </w:r>
      <w:r>
        <w:rPr>
          <w:rFonts w:hint="eastAsia" w:ascii="宋体" w:hAnsi="宋体" w:cs="宋体"/>
          <w:sz w:val="28"/>
          <w:szCs w:val="28"/>
        </w:rPr>
        <w:t>总分即比选申请人评分综合得分，其计算公式：</w:t>
      </w:r>
    </w:p>
    <w:p>
      <w:pPr>
        <w:spacing w:line="540" w:lineRule="exact"/>
        <w:rPr>
          <w:rFonts w:ascii="宋体" w:cs="宋体"/>
          <w:sz w:val="28"/>
          <w:szCs w:val="28"/>
        </w:rPr>
      </w:pPr>
      <w:r>
        <w:rPr>
          <w:rFonts w:ascii="宋体" w:hAnsi="宋体" w:cs="宋体"/>
          <w:sz w:val="28"/>
          <w:szCs w:val="28"/>
        </w:rPr>
        <w:t xml:space="preserve">    </w:t>
      </w:r>
      <w:r>
        <w:rPr>
          <w:rFonts w:hint="eastAsia" w:ascii="宋体" w:hAnsi="宋体" w:cs="宋体"/>
          <w:sz w:val="28"/>
          <w:szCs w:val="28"/>
        </w:rPr>
        <w:t>总分＝商务部分得分</w:t>
      </w:r>
      <w:r>
        <w:rPr>
          <w:rFonts w:ascii="宋体" w:hAnsi="宋体" w:cs="宋体"/>
          <w:sz w:val="28"/>
          <w:szCs w:val="28"/>
        </w:rPr>
        <w:t>+</w:t>
      </w:r>
      <w:r>
        <w:rPr>
          <w:rFonts w:hint="eastAsia" w:ascii="宋体" w:hAnsi="宋体" w:cs="宋体"/>
          <w:sz w:val="28"/>
          <w:szCs w:val="28"/>
        </w:rPr>
        <w:t>技术部分得分</w:t>
      </w:r>
    </w:p>
    <w:p>
      <w:pPr>
        <w:spacing w:line="480" w:lineRule="exact"/>
        <w:ind w:firstLine="560"/>
        <w:rPr>
          <w:rFonts w:ascii="宋体" w:cs="宋体"/>
          <w:sz w:val="28"/>
          <w:szCs w:val="28"/>
        </w:rPr>
      </w:pPr>
      <w:r>
        <w:rPr>
          <w:rFonts w:hint="eastAsia" w:ascii="宋体" w:hAnsi="宋体" w:cs="宋体"/>
          <w:sz w:val="28"/>
          <w:szCs w:val="28"/>
        </w:rPr>
        <w:t>注：各项指标的分数计算四舍五入，取小数点后两位。</w:t>
      </w:r>
    </w:p>
    <w:p>
      <w:pPr>
        <w:pStyle w:val="4"/>
        <w:spacing w:before="0" w:after="0" w:line="480" w:lineRule="exact"/>
        <w:rPr>
          <w:b/>
        </w:rPr>
      </w:pPr>
      <w:bookmarkStart w:id="542" w:name="_Toc31078"/>
      <w:bookmarkStart w:id="543" w:name="_Toc2727"/>
      <w:bookmarkStart w:id="544" w:name="_Toc26842"/>
      <w:bookmarkStart w:id="545" w:name="_Toc11354"/>
      <w:bookmarkStart w:id="546" w:name="_Toc18027"/>
      <w:bookmarkStart w:id="547" w:name="_Toc10918"/>
      <w:bookmarkStart w:id="548" w:name="_Toc10906"/>
      <w:bookmarkStart w:id="549" w:name="_Toc25894"/>
      <w:bookmarkStart w:id="550" w:name="_Toc471482376"/>
      <w:bookmarkStart w:id="551" w:name="_Toc13406"/>
      <w:bookmarkStart w:id="552" w:name="_Toc2392"/>
      <w:bookmarkStart w:id="553" w:name="_Toc2553"/>
      <w:bookmarkStart w:id="554" w:name="_Toc28207"/>
      <w:bookmarkStart w:id="555" w:name="_Toc2613"/>
      <w:bookmarkStart w:id="556" w:name="_Toc5094"/>
      <w:bookmarkStart w:id="557" w:name="_Toc9696"/>
      <w:bookmarkStart w:id="558" w:name="_Toc32296"/>
      <w:bookmarkStart w:id="559" w:name="_Toc15930"/>
      <w:r>
        <w:rPr>
          <w:rFonts w:hint="eastAsia"/>
          <w:b/>
        </w:rPr>
        <w:t>三、评分细则</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pPr>
        <w:pStyle w:val="13"/>
        <w:spacing w:line="480" w:lineRule="exact"/>
        <w:rPr>
          <w:sz w:val="28"/>
          <w:szCs w:val="28"/>
        </w:rPr>
      </w:pPr>
      <w:bookmarkStart w:id="560" w:name="_Toc15382"/>
      <w:bookmarkStart w:id="561" w:name="_Toc18752"/>
      <w:bookmarkStart w:id="562" w:name="_Toc1358"/>
      <w:r>
        <w:rPr>
          <w:sz w:val="28"/>
          <w:szCs w:val="28"/>
        </w:rPr>
        <w:t>1.</w:t>
      </w:r>
      <w:r>
        <w:rPr>
          <w:rFonts w:hint="eastAsia"/>
          <w:sz w:val="28"/>
          <w:szCs w:val="28"/>
        </w:rPr>
        <w:t>商务部分评分细则（满分20分）</w:t>
      </w:r>
      <w:bookmarkEnd w:id="560"/>
      <w:bookmarkEnd w:id="561"/>
      <w:bookmarkEnd w:id="562"/>
    </w:p>
    <w:tbl>
      <w:tblPr>
        <w:tblStyle w:val="25"/>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260"/>
        <w:gridCol w:w="5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cs="宋体"/>
                <w:kern w:val="0"/>
                <w:sz w:val="24"/>
              </w:rPr>
            </w:pPr>
            <w:r>
              <w:rPr>
                <w:rFonts w:hint="eastAsia" w:ascii="宋体" w:hAnsi="宋体" w:cs="宋体"/>
                <w:kern w:val="0"/>
                <w:sz w:val="24"/>
              </w:rPr>
              <w:t>序号</w:t>
            </w:r>
          </w:p>
        </w:tc>
        <w:tc>
          <w:tcPr>
            <w:tcW w:w="3260" w:type="dxa"/>
            <w:vAlign w:val="center"/>
          </w:tcPr>
          <w:p>
            <w:pPr>
              <w:jc w:val="center"/>
              <w:rPr>
                <w:rFonts w:ascii="宋体" w:cs="宋体"/>
                <w:sz w:val="24"/>
              </w:rPr>
            </w:pPr>
            <w:r>
              <w:rPr>
                <w:rFonts w:hint="eastAsia" w:ascii="宋体" w:hAnsi="宋体" w:cs="宋体"/>
                <w:kern w:val="0"/>
                <w:sz w:val="24"/>
              </w:rPr>
              <w:t>评分因素</w:t>
            </w:r>
          </w:p>
        </w:tc>
        <w:tc>
          <w:tcPr>
            <w:tcW w:w="5358" w:type="dxa"/>
            <w:vAlign w:val="center"/>
          </w:tcPr>
          <w:p>
            <w:pPr>
              <w:jc w:val="center"/>
              <w:rPr>
                <w:rFonts w:ascii="宋体" w:cs="宋体"/>
                <w:sz w:val="24"/>
              </w:rPr>
            </w:pPr>
            <w:r>
              <w:rPr>
                <w:rFonts w:hint="eastAsia" w:ascii="宋体" w:hAnsi="宋体" w:cs="宋体"/>
                <w:kern w:val="0"/>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cs="宋体"/>
                <w:sz w:val="24"/>
              </w:rPr>
            </w:pPr>
            <w:r>
              <w:rPr>
                <w:rFonts w:ascii="宋体" w:hAnsi="宋体" w:cs="宋体"/>
                <w:kern w:val="0"/>
                <w:sz w:val="24"/>
              </w:rPr>
              <w:t>1</w:t>
            </w:r>
          </w:p>
        </w:tc>
        <w:tc>
          <w:tcPr>
            <w:tcW w:w="3260" w:type="dxa"/>
            <w:vAlign w:val="center"/>
          </w:tcPr>
          <w:p>
            <w:pPr>
              <w:jc w:val="center"/>
              <w:rPr>
                <w:rFonts w:ascii="宋体" w:cs="宋体"/>
                <w:kern w:val="0"/>
                <w:sz w:val="24"/>
              </w:rPr>
            </w:pPr>
            <w:r>
              <w:rPr>
                <w:rFonts w:hint="eastAsia" w:ascii="宋体" w:hAnsi="宋体" w:cs="宋体"/>
                <w:kern w:val="0"/>
                <w:sz w:val="24"/>
              </w:rPr>
              <w:t>本项目报价评分</w:t>
            </w:r>
          </w:p>
          <w:p>
            <w:pPr>
              <w:jc w:val="center"/>
              <w:rPr>
                <w:rFonts w:ascii="宋体" w:cs="宋体"/>
                <w:kern w:val="0"/>
                <w:sz w:val="24"/>
              </w:rPr>
            </w:pPr>
            <w:r>
              <w:rPr>
                <w:rFonts w:hint="eastAsia" w:ascii="宋体" w:hAnsi="宋体" w:cs="宋体"/>
                <w:kern w:val="0"/>
                <w:sz w:val="24"/>
              </w:rPr>
              <w:t>（满分20分）</w:t>
            </w:r>
          </w:p>
        </w:tc>
        <w:tc>
          <w:tcPr>
            <w:tcW w:w="5358" w:type="dxa"/>
            <w:vAlign w:val="center"/>
          </w:tcPr>
          <w:p>
            <w:pPr>
              <w:ind w:firstLine="482" w:firstLineChars="200"/>
              <w:jc w:val="left"/>
              <w:rPr>
                <w:rFonts w:ascii="宋体"/>
                <w:b/>
                <w:kern w:val="0"/>
                <w:sz w:val="24"/>
              </w:rPr>
            </w:pPr>
            <w:r>
              <w:rPr>
                <w:rFonts w:hint="eastAsia" w:ascii="宋体" w:hAnsi="宋体"/>
                <w:b/>
                <w:kern w:val="0"/>
                <w:sz w:val="24"/>
              </w:rPr>
              <w:t>比选申请人价格大于上控价时比选申请文件作无效处理。</w:t>
            </w:r>
          </w:p>
          <w:p>
            <w:pPr>
              <w:ind w:firstLine="480" w:firstLineChars="200"/>
              <w:jc w:val="left"/>
              <w:rPr>
                <w:rFonts w:ascii="宋体"/>
                <w:sz w:val="24"/>
              </w:rPr>
            </w:pPr>
            <w:r>
              <w:rPr>
                <w:rFonts w:hint="eastAsia" w:ascii="宋体" w:hAnsi="宋体"/>
                <w:kern w:val="0"/>
                <w:sz w:val="24"/>
              </w:rPr>
              <w:t>当比选申请人价格小于或者等于上控价时，资格审查合格的有效报价投标人在</w:t>
            </w:r>
            <w:r>
              <w:rPr>
                <w:rFonts w:ascii="宋体" w:hAnsi="宋体"/>
                <w:kern w:val="0"/>
                <w:sz w:val="24"/>
              </w:rPr>
              <w:t>5</w:t>
            </w:r>
            <w:r>
              <w:rPr>
                <w:rFonts w:hint="eastAsia" w:ascii="宋体" w:hAnsi="宋体"/>
                <w:kern w:val="0"/>
                <w:sz w:val="24"/>
              </w:rPr>
              <w:t>家以上（不含</w:t>
            </w:r>
            <w:r>
              <w:rPr>
                <w:rFonts w:ascii="宋体" w:hAnsi="宋体"/>
                <w:kern w:val="0"/>
                <w:sz w:val="24"/>
              </w:rPr>
              <w:t>5</w:t>
            </w:r>
            <w:r>
              <w:rPr>
                <w:rFonts w:hint="eastAsia" w:ascii="宋体" w:hAnsi="宋体"/>
                <w:kern w:val="0"/>
                <w:sz w:val="24"/>
              </w:rPr>
              <w:t>家）的，将去掉最高和最低有效报价后，取有效报价的算术平均值作</w:t>
            </w:r>
            <w:r>
              <w:rPr>
                <w:rFonts w:hint="eastAsia" w:ascii="宋体" w:hAnsi="宋体"/>
                <w:sz w:val="24"/>
              </w:rPr>
              <w:t>为评审基准价；资格审查合格的投标人在</w:t>
            </w:r>
            <w:r>
              <w:rPr>
                <w:rFonts w:ascii="宋体" w:hAnsi="宋体"/>
                <w:sz w:val="24"/>
              </w:rPr>
              <w:t>5</w:t>
            </w:r>
            <w:r>
              <w:rPr>
                <w:rFonts w:hint="eastAsia" w:ascii="宋体" w:hAnsi="宋体"/>
                <w:sz w:val="24"/>
              </w:rPr>
              <w:t>家以下（含</w:t>
            </w:r>
            <w:r>
              <w:rPr>
                <w:rFonts w:ascii="宋体" w:hAnsi="宋体"/>
                <w:sz w:val="24"/>
              </w:rPr>
              <w:t>5</w:t>
            </w:r>
            <w:r>
              <w:rPr>
                <w:rFonts w:hint="eastAsia" w:ascii="宋体" w:hAnsi="宋体"/>
                <w:sz w:val="24"/>
              </w:rPr>
              <w:t>家）的，</w:t>
            </w:r>
            <w:r>
              <w:rPr>
                <w:rFonts w:hint="eastAsia" w:ascii="宋体" w:hAnsi="宋体"/>
                <w:kern w:val="0"/>
                <w:sz w:val="24"/>
              </w:rPr>
              <w:t>取有效报价的算术平均值作</w:t>
            </w:r>
            <w:r>
              <w:rPr>
                <w:rFonts w:hint="eastAsia" w:ascii="宋体" w:hAnsi="宋体"/>
                <w:sz w:val="24"/>
              </w:rPr>
              <w:t>为评审基准价。</w:t>
            </w:r>
            <w:r>
              <w:rPr>
                <w:rFonts w:ascii="宋体" w:hAnsi="宋体"/>
                <w:sz w:val="24"/>
              </w:rPr>
              <w:t xml:space="preserve"> </w:t>
            </w:r>
          </w:p>
          <w:p>
            <w:pPr>
              <w:ind w:firstLine="480" w:firstLineChars="200"/>
              <w:jc w:val="left"/>
              <w:rPr>
                <w:rFonts w:ascii="宋体"/>
                <w:sz w:val="24"/>
              </w:rPr>
            </w:pPr>
            <w:r>
              <w:rPr>
                <w:rFonts w:hint="eastAsia" w:ascii="宋体" w:hAnsi="宋体"/>
                <w:sz w:val="24"/>
              </w:rPr>
              <w:t>评审时以经评审的基准价为最高分，采用内插法计算，投标人报价每高于基准价</w:t>
            </w:r>
            <w:r>
              <w:rPr>
                <w:rFonts w:ascii="宋体" w:hAnsi="宋体"/>
                <w:sz w:val="24"/>
              </w:rPr>
              <w:t>1</w:t>
            </w:r>
            <w:r>
              <w:rPr>
                <w:rFonts w:hint="eastAsia" w:ascii="宋体" w:hAnsi="宋体"/>
                <w:sz w:val="24"/>
              </w:rPr>
              <w:t>％的扣</w:t>
            </w:r>
            <w:r>
              <w:rPr>
                <w:rFonts w:ascii="宋体" w:hAnsi="宋体"/>
                <w:sz w:val="24"/>
              </w:rPr>
              <w:t>1</w:t>
            </w:r>
            <w:r>
              <w:rPr>
                <w:rFonts w:hint="eastAsia" w:ascii="宋体" w:hAnsi="宋体"/>
                <w:sz w:val="24"/>
              </w:rPr>
              <w:t>分，每低于基准价</w:t>
            </w:r>
            <w:r>
              <w:rPr>
                <w:rFonts w:ascii="宋体" w:hAnsi="宋体"/>
                <w:sz w:val="24"/>
              </w:rPr>
              <w:t>1</w:t>
            </w:r>
            <w:r>
              <w:rPr>
                <w:rFonts w:hint="eastAsia" w:ascii="宋体" w:hAnsi="宋体"/>
                <w:sz w:val="24"/>
              </w:rPr>
              <w:t>％的扣</w:t>
            </w:r>
            <w:r>
              <w:rPr>
                <w:rFonts w:ascii="宋体" w:hAnsi="宋体"/>
                <w:sz w:val="24"/>
              </w:rPr>
              <w:t>0.5</w:t>
            </w:r>
            <w:r>
              <w:rPr>
                <w:rFonts w:hint="eastAsia" w:ascii="宋体" w:hAnsi="宋体"/>
                <w:sz w:val="24"/>
              </w:rPr>
              <w:t>分，扣完即止。</w:t>
            </w:r>
          </w:p>
        </w:tc>
      </w:tr>
    </w:tbl>
    <w:p>
      <w:pPr>
        <w:spacing w:line="500" w:lineRule="exact"/>
        <w:jc w:val="left"/>
        <w:rPr>
          <w:rFonts w:ascii="宋体" w:hAnsi="宋体" w:cs="宋体"/>
          <w:sz w:val="28"/>
          <w:szCs w:val="28"/>
          <w:u w:val="single"/>
        </w:rPr>
      </w:pPr>
      <w:r>
        <w:rPr>
          <w:rFonts w:hint="eastAsia" w:ascii="宋体" w:hAnsi="宋体" w:cs="宋体"/>
          <w:sz w:val="28"/>
          <w:szCs w:val="28"/>
        </w:rPr>
        <w:t>注：</w:t>
      </w:r>
      <w:r>
        <w:rPr>
          <w:rFonts w:hint="eastAsia" w:ascii="宋体" w:hAnsi="宋体" w:cs="宋体"/>
          <w:sz w:val="28"/>
          <w:szCs w:val="28"/>
          <w:u w:val="single"/>
        </w:rPr>
        <w:t>1.</w:t>
      </w:r>
      <w:r>
        <w:rPr>
          <w:rFonts w:hint="eastAsia" w:ascii="宋体" w:hAnsi="宋体" w:cs="宋体"/>
          <w:kern w:val="0"/>
          <w:sz w:val="28"/>
          <w:szCs w:val="28"/>
          <w:u w:val="single"/>
        </w:rPr>
        <w:t>按四舍五入取小数点后两位。</w:t>
      </w:r>
    </w:p>
    <w:p>
      <w:pPr>
        <w:spacing w:line="500" w:lineRule="exact"/>
        <w:ind w:firstLine="560" w:firstLineChars="200"/>
        <w:jc w:val="left"/>
        <w:rPr>
          <w:rFonts w:ascii="宋体" w:cs="宋体"/>
          <w:sz w:val="28"/>
          <w:szCs w:val="28"/>
          <w:u w:val="single"/>
        </w:rPr>
      </w:pPr>
      <w:r>
        <w:rPr>
          <w:rFonts w:ascii="宋体" w:hAnsi="宋体" w:cs="宋体"/>
          <w:sz w:val="28"/>
          <w:szCs w:val="28"/>
          <w:u w:val="single"/>
        </w:rPr>
        <w:t>2.</w:t>
      </w:r>
      <w:r>
        <w:rPr>
          <w:rFonts w:hint="eastAsia" w:ascii="宋体" w:hAnsi="宋体" w:cs="宋体"/>
          <w:sz w:val="28"/>
          <w:szCs w:val="28"/>
          <w:u w:val="single"/>
        </w:rPr>
        <w:t>以不含税报价作为评审基准价以及评分的确定依据。</w:t>
      </w:r>
    </w:p>
    <w:p>
      <w:pPr>
        <w:jc w:val="left"/>
        <w:rPr>
          <w:rFonts w:ascii="宋体" w:cs="宋体"/>
          <w:sz w:val="28"/>
          <w:szCs w:val="28"/>
        </w:rPr>
      </w:pPr>
      <w:r>
        <w:rPr>
          <w:rFonts w:ascii="宋体" w:hAnsi="宋体" w:cs="宋体"/>
          <w:sz w:val="28"/>
          <w:szCs w:val="28"/>
        </w:rPr>
        <w:t>2.</w:t>
      </w:r>
      <w:r>
        <w:rPr>
          <w:rFonts w:hint="eastAsia" w:ascii="宋体" w:hAnsi="宋体" w:cs="宋体"/>
          <w:sz w:val="28"/>
          <w:szCs w:val="28"/>
        </w:rPr>
        <w:t>技术部分评分细则（满分80分）</w:t>
      </w:r>
    </w:p>
    <w:tbl>
      <w:tblPr>
        <w:tblStyle w:val="25"/>
        <w:tblW w:w="96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871"/>
        <w:gridCol w:w="4819"/>
        <w:gridCol w:w="1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959" w:type="dxa"/>
            <w:vAlign w:val="center"/>
          </w:tcPr>
          <w:p>
            <w:pPr>
              <w:jc w:val="center"/>
              <w:rPr>
                <w:rFonts w:ascii="宋体" w:cs="宋体"/>
                <w:sz w:val="24"/>
              </w:rPr>
            </w:pPr>
            <w:r>
              <w:rPr>
                <w:rFonts w:hint="eastAsia" w:ascii="宋体" w:hAnsi="宋体" w:cs="宋体"/>
                <w:sz w:val="24"/>
              </w:rPr>
              <w:t>序号</w:t>
            </w:r>
          </w:p>
        </w:tc>
        <w:tc>
          <w:tcPr>
            <w:tcW w:w="1871" w:type="dxa"/>
            <w:vAlign w:val="center"/>
          </w:tcPr>
          <w:p>
            <w:pPr>
              <w:jc w:val="center"/>
              <w:rPr>
                <w:rFonts w:ascii="宋体" w:cs="宋体"/>
                <w:sz w:val="24"/>
              </w:rPr>
            </w:pPr>
            <w:r>
              <w:rPr>
                <w:rFonts w:hint="eastAsia" w:ascii="宋体" w:hAnsi="宋体" w:cs="宋体"/>
                <w:sz w:val="24"/>
              </w:rPr>
              <w:t>评分因素</w:t>
            </w:r>
          </w:p>
        </w:tc>
        <w:tc>
          <w:tcPr>
            <w:tcW w:w="6775" w:type="dxa"/>
            <w:gridSpan w:val="2"/>
            <w:vAlign w:val="center"/>
          </w:tcPr>
          <w:p>
            <w:pPr>
              <w:jc w:val="center"/>
              <w:rPr>
                <w:rFonts w:ascii="宋体" w:cs="宋体"/>
                <w:sz w:val="24"/>
              </w:rPr>
            </w:pPr>
            <w:r>
              <w:rPr>
                <w:rFonts w:hint="eastAsia" w:ascii="宋体" w:hAnsi="宋体" w:cs="宋体"/>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959" w:type="dxa"/>
            <w:vAlign w:val="center"/>
          </w:tcPr>
          <w:p>
            <w:pPr>
              <w:jc w:val="center"/>
              <w:rPr>
                <w:rFonts w:ascii="宋体" w:cs="宋体"/>
                <w:kern w:val="0"/>
                <w:sz w:val="24"/>
              </w:rPr>
            </w:pPr>
            <w:r>
              <w:rPr>
                <w:rFonts w:ascii="宋体" w:hAnsi="宋体" w:cs="宋体"/>
                <w:kern w:val="0"/>
                <w:sz w:val="24"/>
              </w:rPr>
              <w:t>1</w:t>
            </w:r>
          </w:p>
        </w:tc>
        <w:tc>
          <w:tcPr>
            <w:tcW w:w="1871" w:type="dxa"/>
            <w:vAlign w:val="center"/>
          </w:tcPr>
          <w:p>
            <w:pPr>
              <w:jc w:val="center"/>
              <w:rPr>
                <w:rFonts w:ascii="宋体" w:cs="宋体"/>
                <w:kern w:val="0"/>
                <w:sz w:val="24"/>
              </w:rPr>
            </w:pPr>
            <w:r>
              <w:rPr>
                <w:rFonts w:hint="eastAsia" w:ascii="宋体" w:hAnsi="宋体" w:cs="宋体"/>
                <w:kern w:val="0"/>
                <w:sz w:val="24"/>
              </w:rPr>
              <w:t>业绩表</w:t>
            </w:r>
          </w:p>
          <w:p>
            <w:pPr>
              <w:jc w:val="center"/>
              <w:rPr>
                <w:rFonts w:ascii="宋体" w:cs="宋体"/>
                <w:kern w:val="0"/>
                <w:sz w:val="24"/>
              </w:rPr>
            </w:pPr>
            <w:r>
              <w:rPr>
                <w:rFonts w:hint="eastAsia" w:ascii="宋体" w:hAnsi="宋体" w:cs="宋体"/>
                <w:kern w:val="0"/>
                <w:sz w:val="24"/>
              </w:rPr>
              <w:t>（满分30分）</w:t>
            </w:r>
          </w:p>
        </w:tc>
        <w:tc>
          <w:tcPr>
            <w:tcW w:w="6775" w:type="dxa"/>
            <w:gridSpan w:val="2"/>
            <w:vAlign w:val="center"/>
          </w:tcPr>
          <w:p>
            <w:pPr>
              <w:jc w:val="left"/>
              <w:rPr>
                <w:rFonts w:ascii="宋体" w:cs="宋体"/>
                <w:sz w:val="24"/>
              </w:rPr>
            </w:pPr>
            <w:r>
              <w:rPr>
                <w:rFonts w:ascii="宋体" w:hAnsi="宋体" w:cs="宋体"/>
                <w:sz w:val="24"/>
                <w:u w:val="single"/>
              </w:rPr>
              <w:t>2018</w:t>
            </w:r>
            <w:r>
              <w:rPr>
                <w:rFonts w:hint="eastAsia" w:ascii="宋体" w:hAnsi="宋体" w:cs="宋体"/>
                <w:sz w:val="24"/>
              </w:rPr>
              <w:t>年</w:t>
            </w:r>
            <w:r>
              <w:rPr>
                <w:rFonts w:ascii="宋体" w:hAnsi="宋体" w:cs="宋体"/>
                <w:sz w:val="24"/>
              </w:rPr>
              <w:t>1</w:t>
            </w:r>
            <w:r>
              <w:rPr>
                <w:rFonts w:hint="eastAsia" w:ascii="宋体" w:hAnsi="宋体" w:cs="宋体"/>
                <w:sz w:val="24"/>
              </w:rPr>
              <w:t>月</w:t>
            </w:r>
            <w:r>
              <w:rPr>
                <w:rFonts w:ascii="宋体" w:hAnsi="宋体" w:cs="宋体"/>
                <w:sz w:val="24"/>
              </w:rPr>
              <w:t>1</w:t>
            </w:r>
            <w:r>
              <w:rPr>
                <w:rFonts w:hint="eastAsia" w:ascii="宋体" w:hAnsi="宋体" w:cs="宋体"/>
                <w:sz w:val="24"/>
              </w:rPr>
              <w:t>日至今，对与本项目相关或相近的服务经验，以提供合同复印件（体现合同对方名称</w:t>
            </w:r>
            <w:r>
              <w:rPr>
                <w:rFonts w:ascii="宋体" w:hAnsi="宋体" w:cs="宋体"/>
                <w:sz w:val="24"/>
              </w:rPr>
              <w:t>/</w:t>
            </w:r>
            <w:r>
              <w:rPr>
                <w:rFonts w:hint="eastAsia" w:ascii="宋体" w:hAnsi="宋体" w:cs="宋体"/>
                <w:sz w:val="24"/>
              </w:rPr>
              <w:t>签订时间</w:t>
            </w:r>
            <w:r>
              <w:rPr>
                <w:rFonts w:ascii="宋体" w:hAnsi="宋体" w:cs="宋体"/>
                <w:sz w:val="24"/>
              </w:rPr>
              <w:t>/</w:t>
            </w:r>
            <w:r>
              <w:rPr>
                <w:rFonts w:hint="eastAsia" w:ascii="宋体" w:hAnsi="宋体" w:cs="宋体"/>
                <w:sz w:val="24"/>
              </w:rPr>
              <w:t>项目内容，涉及商业秘密的内容可以隐去）证明材料为准。不附项目内容或内容要求不明确的不算业绩，该项分值最高为30分。（相关或相近的服务经验定义为：企业经营情况分析，每个业绩2分。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959" w:type="dxa"/>
            <w:vMerge w:val="restart"/>
            <w:vAlign w:val="center"/>
          </w:tcPr>
          <w:p>
            <w:pPr>
              <w:jc w:val="center"/>
              <w:rPr>
                <w:rFonts w:ascii="宋体" w:cs="宋体"/>
                <w:kern w:val="0"/>
                <w:sz w:val="24"/>
              </w:rPr>
            </w:pPr>
            <w:r>
              <w:rPr>
                <w:rFonts w:ascii="宋体" w:hAnsi="宋体" w:cs="宋体"/>
                <w:kern w:val="0"/>
                <w:sz w:val="24"/>
              </w:rPr>
              <w:t>2</w:t>
            </w:r>
          </w:p>
        </w:tc>
        <w:tc>
          <w:tcPr>
            <w:tcW w:w="1871" w:type="dxa"/>
            <w:vMerge w:val="restart"/>
            <w:vAlign w:val="center"/>
          </w:tcPr>
          <w:p>
            <w:pPr>
              <w:jc w:val="center"/>
              <w:rPr>
                <w:rFonts w:ascii="宋体" w:cs="宋体"/>
                <w:color w:val="auto"/>
                <w:kern w:val="0"/>
                <w:sz w:val="24"/>
              </w:rPr>
            </w:pPr>
            <w:r>
              <w:rPr>
                <w:rFonts w:hint="eastAsia" w:ascii="宋体" w:hAnsi="宋体" w:cs="宋体"/>
                <w:color w:val="auto"/>
                <w:kern w:val="0"/>
                <w:sz w:val="24"/>
              </w:rPr>
              <w:t>拟投入人员的相关工作资历及能力</w:t>
            </w:r>
          </w:p>
          <w:p>
            <w:pPr>
              <w:jc w:val="center"/>
              <w:rPr>
                <w:rFonts w:ascii="宋体" w:cs="宋体"/>
                <w:color w:val="auto"/>
                <w:kern w:val="0"/>
                <w:sz w:val="24"/>
              </w:rPr>
            </w:pPr>
            <w:r>
              <w:rPr>
                <w:rFonts w:hint="eastAsia" w:ascii="宋体" w:hAnsi="宋体" w:cs="宋体"/>
                <w:color w:val="auto"/>
                <w:kern w:val="0"/>
                <w:sz w:val="24"/>
              </w:rPr>
              <w:t>（满分20分）</w:t>
            </w:r>
          </w:p>
        </w:tc>
        <w:tc>
          <w:tcPr>
            <w:tcW w:w="4819" w:type="dxa"/>
            <w:vAlign w:val="center"/>
          </w:tcPr>
          <w:p>
            <w:pPr>
              <w:jc w:val="left"/>
              <w:rPr>
                <w:rFonts w:ascii="宋体" w:cs="宋体"/>
                <w:color w:val="auto"/>
                <w:sz w:val="24"/>
              </w:rPr>
            </w:pPr>
            <w:r>
              <w:rPr>
                <w:rFonts w:hint="eastAsia"/>
                <w:color w:val="auto"/>
                <w:sz w:val="24"/>
              </w:rPr>
              <w:t>项</w:t>
            </w:r>
            <w:r>
              <w:rPr>
                <w:rFonts w:hint="eastAsia" w:ascii="宋体" w:hAnsi="宋体"/>
                <w:color w:val="auto"/>
                <w:sz w:val="24"/>
              </w:rPr>
              <w:t>目现场负责人</w:t>
            </w:r>
            <w:r>
              <w:rPr>
                <w:rFonts w:hint="eastAsia" w:ascii="宋体" w:hAnsi="宋体"/>
                <w:color w:val="auto"/>
                <w:sz w:val="24"/>
                <w:u w:val="single"/>
              </w:rPr>
              <w:t>（项目现场负责人不予更换，否则终止合同）</w:t>
            </w:r>
            <w:r>
              <w:rPr>
                <w:rFonts w:hint="eastAsia" w:ascii="宋体" w:hAnsi="宋体"/>
                <w:color w:val="auto"/>
                <w:sz w:val="24"/>
              </w:rPr>
              <w:t>具有</w:t>
            </w:r>
            <w:r>
              <w:rPr>
                <w:rFonts w:hint="eastAsia" w:ascii="宋体" w:hAnsi="宋体"/>
                <w:color w:val="auto"/>
                <w:sz w:val="24"/>
                <w:u w:val="single"/>
              </w:rPr>
              <w:t>10</w:t>
            </w:r>
            <w:r>
              <w:rPr>
                <w:rFonts w:hint="eastAsia" w:ascii="宋体" w:hAnsi="宋体"/>
                <w:color w:val="auto"/>
                <w:sz w:val="24"/>
              </w:rPr>
              <w:t>年（含）以上财会、经管、审计、咨询、投资工作经验得</w:t>
            </w:r>
            <w:r>
              <w:rPr>
                <w:rFonts w:ascii="宋体" w:hAnsi="宋体"/>
                <w:color w:val="auto"/>
                <w:sz w:val="24"/>
                <w:u w:val="single"/>
              </w:rPr>
              <w:t>7</w:t>
            </w:r>
            <w:r>
              <w:rPr>
                <w:rFonts w:hint="eastAsia" w:ascii="宋体" w:hAnsi="宋体"/>
                <w:color w:val="auto"/>
                <w:sz w:val="24"/>
              </w:rPr>
              <w:t>分；</w:t>
            </w:r>
            <w:r>
              <w:rPr>
                <w:rFonts w:hint="eastAsia" w:ascii="宋体" w:hAnsi="宋体"/>
                <w:color w:val="auto"/>
                <w:sz w:val="24"/>
                <w:lang w:val="en-US" w:eastAsia="zh-CN"/>
              </w:rPr>
              <w:t>有副高级（含）以上职称得</w:t>
            </w:r>
            <w:r>
              <w:rPr>
                <w:rFonts w:hint="eastAsia" w:ascii="宋体" w:hAnsi="宋体"/>
                <w:color w:val="auto"/>
                <w:sz w:val="24"/>
                <w:u w:val="single"/>
                <w:lang w:val="en-US" w:eastAsia="zh-CN"/>
              </w:rPr>
              <w:t>3</w:t>
            </w:r>
            <w:r>
              <w:rPr>
                <w:rFonts w:hint="eastAsia" w:ascii="宋体" w:hAnsi="宋体"/>
                <w:color w:val="auto"/>
                <w:sz w:val="24"/>
                <w:lang w:val="en-US" w:eastAsia="zh-CN"/>
              </w:rPr>
              <w:t>分；</w:t>
            </w:r>
            <w:r>
              <w:rPr>
                <w:rFonts w:hint="eastAsia" w:ascii="宋体" w:hAnsi="宋体"/>
                <w:color w:val="auto"/>
                <w:sz w:val="24"/>
              </w:rPr>
              <w:t>其他为</w:t>
            </w:r>
            <w:r>
              <w:rPr>
                <w:rFonts w:ascii="宋体" w:hAnsi="宋体"/>
                <w:color w:val="auto"/>
                <w:sz w:val="24"/>
                <w:u w:val="single"/>
              </w:rPr>
              <w:t>0</w:t>
            </w:r>
            <w:r>
              <w:rPr>
                <w:rFonts w:hint="eastAsia" w:ascii="宋体" w:hAnsi="宋体"/>
                <w:color w:val="auto"/>
                <w:sz w:val="24"/>
              </w:rPr>
              <w:t>分。</w:t>
            </w:r>
          </w:p>
        </w:tc>
        <w:tc>
          <w:tcPr>
            <w:tcW w:w="1956" w:type="dxa"/>
            <w:vAlign w:val="center"/>
          </w:tcPr>
          <w:p>
            <w:pPr>
              <w:jc w:val="center"/>
              <w:rPr>
                <w:rFonts w:ascii="宋体" w:cs="宋体"/>
                <w:color w:val="auto"/>
                <w:kern w:val="0"/>
                <w:sz w:val="24"/>
              </w:rPr>
            </w:pPr>
            <w:r>
              <w:rPr>
                <w:rFonts w:hint="eastAsia" w:ascii="宋体" w:hAnsi="宋体" w:cs="宋体"/>
                <w:color w:val="auto"/>
                <w:kern w:val="0"/>
                <w:sz w:val="24"/>
              </w:rPr>
              <w:t>满分为</w:t>
            </w:r>
            <w:r>
              <w:rPr>
                <w:rFonts w:ascii="宋体" w:hAnsi="宋体" w:cs="宋体"/>
                <w:color w:val="auto"/>
                <w:kern w:val="0"/>
                <w:sz w:val="24"/>
                <w:u w:val="single"/>
              </w:rPr>
              <w:t xml:space="preserve"> </w:t>
            </w:r>
            <w:r>
              <w:rPr>
                <w:rFonts w:hint="eastAsia" w:ascii="宋体" w:hAnsi="宋体" w:cs="宋体"/>
                <w:color w:val="auto"/>
                <w:kern w:val="0"/>
                <w:sz w:val="24"/>
                <w:u w:val="single"/>
              </w:rPr>
              <w:t>10</w:t>
            </w:r>
            <w:r>
              <w:rPr>
                <w:rFonts w:ascii="宋体" w:hAnsi="宋体" w:cs="宋体"/>
                <w:color w:val="auto"/>
                <w:kern w:val="0"/>
                <w:sz w:val="24"/>
                <w:u w:val="single"/>
              </w:rPr>
              <w:t xml:space="preserve"> </w:t>
            </w:r>
            <w:r>
              <w:rPr>
                <w:rFonts w:hint="eastAsia" w:ascii="宋体" w:hAnsi="宋体" w:cs="宋体"/>
                <w:color w:val="auto"/>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959" w:type="dxa"/>
            <w:vMerge w:val="continue"/>
            <w:vAlign w:val="center"/>
          </w:tcPr>
          <w:p>
            <w:pPr>
              <w:jc w:val="center"/>
              <w:rPr>
                <w:rFonts w:ascii="宋体" w:cs="宋体"/>
                <w:kern w:val="0"/>
                <w:sz w:val="24"/>
              </w:rPr>
            </w:pPr>
          </w:p>
        </w:tc>
        <w:tc>
          <w:tcPr>
            <w:tcW w:w="1871" w:type="dxa"/>
            <w:vMerge w:val="continue"/>
            <w:vAlign w:val="center"/>
          </w:tcPr>
          <w:p>
            <w:pPr>
              <w:jc w:val="center"/>
              <w:rPr>
                <w:rFonts w:ascii="宋体" w:cs="宋体"/>
                <w:color w:val="auto"/>
                <w:kern w:val="0"/>
                <w:sz w:val="24"/>
              </w:rPr>
            </w:pPr>
          </w:p>
        </w:tc>
        <w:tc>
          <w:tcPr>
            <w:tcW w:w="4819" w:type="dxa"/>
            <w:vAlign w:val="center"/>
          </w:tcPr>
          <w:p>
            <w:pPr>
              <w:jc w:val="left"/>
              <w:rPr>
                <w:rFonts w:ascii="宋体" w:cs="宋体"/>
                <w:color w:val="auto"/>
                <w:sz w:val="24"/>
              </w:rPr>
            </w:pPr>
            <w:r>
              <w:rPr>
                <w:rFonts w:hint="eastAsia" w:ascii="宋体" w:hAnsi="宋体" w:cs="宋体"/>
                <w:color w:val="auto"/>
                <w:sz w:val="24"/>
              </w:rPr>
              <w:t>派到本项目的团队成员由</w:t>
            </w:r>
            <w:r>
              <w:rPr>
                <w:rFonts w:ascii="宋体" w:hAnsi="宋体"/>
                <w:color w:val="auto"/>
                <w:sz w:val="24"/>
                <w:u w:val="single"/>
              </w:rPr>
              <w:t xml:space="preserve"> </w:t>
            </w:r>
            <w:r>
              <w:rPr>
                <w:rFonts w:hint="eastAsia" w:ascii="宋体" w:hAnsi="宋体"/>
                <w:color w:val="auto"/>
                <w:sz w:val="24"/>
                <w:u w:val="single"/>
              </w:rPr>
              <w:t>2</w:t>
            </w:r>
            <w:r>
              <w:rPr>
                <w:rFonts w:ascii="宋体" w:hAnsi="宋体"/>
                <w:color w:val="auto"/>
                <w:sz w:val="24"/>
                <w:u w:val="single"/>
              </w:rPr>
              <w:t xml:space="preserve"> </w:t>
            </w:r>
            <w:r>
              <w:rPr>
                <w:rFonts w:hint="eastAsia" w:ascii="宋体" w:hAnsi="宋体" w:cs="宋体"/>
                <w:color w:val="auto"/>
                <w:sz w:val="24"/>
              </w:rPr>
              <w:t>人及以上正式员工组成的得</w:t>
            </w:r>
            <w:r>
              <w:rPr>
                <w:rFonts w:hint="eastAsia" w:ascii="宋体" w:hAnsi="宋体" w:cs="宋体"/>
                <w:color w:val="auto"/>
                <w:sz w:val="24"/>
                <w:u w:val="single"/>
              </w:rPr>
              <w:t>5</w:t>
            </w:r>
            <w:r>
              <w:rPr>
                <w:rFonts w:hint="eastAsia" w:ascii="宋体" w:hAnsi="宋体" w:cs="宋体"/>
                <w:color w:val="auto"/>
                <w:sz w:val="24"/>
              </w:rPr>
              <w:t>分，除项目负责人外项目组成员至少有1人具有</w:t>
            </w:r>
            <w:r>
              <w:rPr>
                <w:rFonts w:hint="eastAsia" w:ascii="宋体" w:hAnsi="宋体" w:cs="宋体"/>
                <w:color w:val="auto"/>
                <w:sz w:val="24"/>
                <w:u w:val="single"/>
              </w:rPr>
              <w:t>5</w:t>
            </w:r>
            <w:r>
              <w:rPr>
                <w:rFonts w:hint="eastAsia" w:ascii="宋体" w:hAnsi="宋体" w:cs="宋体"/>
                <w:color w:val="auto"/>
                <w:sz w:val="24"/>
              </w:rPr>
              <w:t>年（含）以上</w:t>
            </w:r>
            <w:r>
              <w:rPr>
                <w:rFonts w:hint="eastAsia" w:ascii="宋体" w:hAnsi="宋体"/>
                <w:color w:val="auto"/>
                <w:sz w:val="24"/>
              </w:rPr>
              <w:t>财会、经管、审计、咨询、投资工作经验</w:t>
            </w:r>
            <w:r>
              <w:rPr>
                <w:rFonts w:hint="eastAsia" w:ascii="宋体" w:hAnsi="宋体" w:cs="宋体"/>
                <w:color w:val="auto"/>
                <w:sz w:val="24"/>
              </w:rPr>
              <w:t>的得</w:t>
            </w:r>
            <w:r>
              <w:rPr>
                <w:rFonts w:hint="eastAsia" w:ascii="宋体" w:hAnsi="宋体" w:cs="宋体"/>
                <w:color w:val="auto"/>
                <w:sz w:val="24"/>
                <w:u w:val="single"/>
              </w:rPr>
              <w:t>5</w:t>
            </w:r>
            <w:r>
              <w:rPr>
                <w:rFonts w:hint="eastAsia" w:ascii="宋体" w:hAnsi="宋体" w:cs="宋体"/>
                <w:color w:val="auto"/>
                <w:sz w:val="24"/>
              </w:rPr>
              <w:t>分，其他为</w:t>
            </w:r>
            <w:r>
              <w:rPr>
                <w:rFonts w:ascii="宋体" w:hAnsi="宋体" w:cs="宋体"/>
                <w:color w:val="auto"/>
                <w:sz w:val="24"/>
                <w:u w:val="single"/>
              </w:rPr>
              <w:t>0</w:t>
            </w:r>
            <w:r>
              <w:rPr>
                <w:rFonts w:hint="eastAsia" w:ascii="宋体" w:hAnsi="宋体" w:cs="宋体"/>
                <w:color w:val="auto"/>
                <w:sz w:val="24"/>
              </w:rPr>
              <w:t>分。</w:t>
            </w:r>
          </w:p>
        </w:tc>
        <w:tc>
          <w:tcPr>
            <w:tcW w:w="1956" w:type="dxa"/>
            <w:vAlign w:val="center"/>
          </w:tcPr>
          <w:p>
            <w:pPr>
              <w:jc w:val="center"/>
              <w:rPr>
                <w:rFonts w:ascii="宋体" w:cs="宋体"/>
                <w:color w:val="auto"/>
                <w:kern w:val="0"/>
                <w:sz w:val="24"/>
              </w:rPr>
            </w:pPr>
            <w:r>
              <w:rPr>
                <w:rFonts w:hint="eastAsia" w:ascii="宋体" w:hAnsi="宋体" w:cs="宋体"/>
                <w:color w:val="auto"/>
                <w:kern w:val="0"/>
                <w:sz w:val="24"/>
              </w:rPr>
              <w:t>满分为</w:t>
            </w:r>
            <w:r>
              <w:rPr>
                <w:rFonts w:ascii="宋体" w:hAnsi="宋体" w:cs="宋体"/>
                <w:color w:val="auto"/>
                <w:kern w:val="0"/>
                <w:sz w:val="24"/>
                <w:u w:val="single"/>
              </w:rPr>
              <w:t xml:space="preserve"> </w:t>
            </w:r>
            <w:r>
              <w:rPr>
                <w:rFonts w:hint="eastAsia" w:ascii="宋体" w:hAnsi="宋体" w:cs="宋体"/>
                <w:color w:val="auto"/>
                <w:kern w:val="0"/>
                <w:sz w:val="24"/>
                <w:u w:val="single"/>
              </w:rPr>
              <w:t>10</w:t>
            </w:r>
            <w:r>
              <w:rPr>
                <w:rFonts w:ascii="宋体" w:hAnsi="宋体" w:cs="宋体"/>
                <w:color w:val="auto"/>
                <w:kern w:val="0"/>
                <w:sz w:val="24"/>
                <w:u w:val="single"/>
              </w:rPr>
              <w:t xml:space="preserve"> </w:t>
            </w:r>
            <w:r>
              <w:rPr>
                <w:rFonts w:hint="eastAsia" w:ascii="宋体" w:hAnsi="宋体" w:cs="宋体"/>
                <w:color w:val="auto"/>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59" w:type="dxa"/>
            <w:vMerge w:val="restart"/>
            <w:vAlign w:val="center"/>
          </w:tcPr>
          <w:p>
            <w:pPr>
              <w:jc w:val="center"/>
              <w:rPr>
                <w:rFonts w:ascii="宋体" w:cs="宋体"/>
                <w:kern w:val="0"/>
                <w:sz w:val="24"/>
              </w:rPr>
            </w:pPr>
            <w:r>
              <w:rPr>
                <w:rFonts w:ascii="宋体" w:hAnsi="宋体" w:cs="宋体"/>
                <w:kern w:val="0"/>
                <w:sz w:val="24"/>
              </w:rPr>
              <w:t>3</w:t>
            </w:r>
          </w:p>
        </w:tc>
        <w:tc>
          <w:tcPr>
            <w:tcW w:w="1871" w:type="dxa"/>
            <w:vMerge w:val="restart"/>
            <w:vAlign w:val="center"/>
          </w:tcPr>
          <w:p>
            <w:pPr>
              <w:jc w:val="center"/>
              <w:rPr>
                <w:rFonts w:ascii="宋体" w:cs="宋体"/>
                <w:kern w:val="0"/>
                <w:sz w:val="24"/>
              </w:rPr>
            </w:pPr>
            <w:r>
              <w:rPr>
                <w:rFonts w:hint="eastAsia" w:ascii="宋体" w:hAnsi="宋体" w:cs="宋体"/>
                <w:kern w:val="0"/>
                <w:sz w:val="24"/>
              </w:rPr>
              <w:t>服务方案</w:t>
            </w:r>
          </w:p>
          <w:p>
            <w:pPr>
              <w:jc w:val="center"/>
              <w:rPr>
                <w:rFonts w:ascii="宋体" w:cs="宋体"/>
                <w:kern w:val="0"/>
                <w:sz w:val="24"/>
              </w:rPr>
            </w:pPr>
            <w:r>
              <w:rPr>
                <w:rFonts w:hint="eastAsia" w:ascii="宋体" w:hAnsi="宋体" w:cs="宋体"/>
                <w:kern w:val="0"/>
                <w:sz w:val="24"/>
              </w:rPr>
              <w:t>（满分30分）</w:t>
            </w:r>
          </w:p>
          <w:p>
            <w:pPr>
              <w:jc w:val="center"/>
              <w:rPr>
                <w:rFonts w:ascii="宋体" w:cs="宋体"/>
                <w:kern w:val="0"/>
                <w:sz w:val="24"/>
              </w:rPr>
            </w:pPr>
            <w:r>
              <w:rPr>
                <w:rFonts w:hint="eastAsia" w:ascii="宋体" w:hAnsi="宋体" w:cs="宋体"/>
                <w:kern w:val="0"/>
                <w:sz w:val="24"/>
              </w:rPr>
              <w:t>（主要从服务态度、质量控制措施、进度控制措施等方面进行阐述。）</w:t>
            </w:r>
          </w:p>
        </w:tc>
        <w:tc>
          <w:tcPr>
            <w:tcW w:w="4819" w:type="dxa"/>
            <w:vAlign w:val="center"/>
          </w:tcPr>
          <w:p>
            <w:pPr>
              <w:jc w:val="center"/>
              <w:rPr>
                <w:rFonts w:ascii="宋体" w:cs="宋体"/>
                <w:kern w:val="0"/>
                <w:sz w:val="24"/>
              </w:rPr>
            </w:pPr>
            <w:r>
              <w:rPr>
                <w:rFonts w:hint="eastAsia" w:ascii="宋体" w:hAnsi="宋体" w:cs="宋体"/>
                <w:kern w:val="0"/>
                <w:sz w:val="24"/>
              </w:rPr>
              <w:t>一般</w:t>
            </w:r>
          </w:p>
        </w:tc>
        <w:tc>
          <w:tcPr>
            <w:tcW w:w="1956" w:type="dxa"/>
            <w:vAlign w:val="center"/>
          </w:tcPr>
          <w:p>
            <w:pPr>
              <w:jc w:val="center"/>
              <w:rPr>
                <w:rFonts w:ascii="宋体" w:cs="宋体"/>
                <w:kern w:val="0"/>
                <w:sz w:val="24"/>
              </w:rPr>
            </w:pPr>
            <w:r>
              <w:rPr>
                <w:rFonts w:ascii="宋体" w:cs="宋体"/>
                <w:kern w:val="0"/>
                <w:sz w:val="24"/>
              </w:rPr>
              <w:t>0</w:t>
            </w:r>
            <w:r>
              <w:rPr>
                <w:rFonts w:hint="eastAsia"/>
              </w:rPr>
              <w:t>≤</w:t>
            </w:r>
            <w:r>
              <w:rPr>
                <w:rFonts w:ascii="宋体" w:hAnsi="宋体" w:cs="宋体"/>
                <w:kern w:val="0"/>
                <w:sz w:val="24"/>
              </w:rPr>
              <w:t>m</w:t>
            </w:r>
            <w:r>
              <w:rPr>
                <w:rFonts w:hint="eastAsia" w:ascii="宋体" w:hAnsi="宋体" w:cs="宋体"/>
                <w:kern w:val="0"/>
                <w:sz w:val="24"/>
              </w:rPr>
              <w:t>≦</w:t>
            </w:r>
            <w:r>
              <w:rPr>
                <w:rFonts w:ascii="宋体" w:hAnsi="宋体" w:cs="宋体"/>
                <w:kern w:val="0"/>
                <w:sz w:val="24"/>
              </w:rPr>
              <w:t>1</w:t>
            </w:r>
            <w:r>
              <w:rPr>
                <w:rFonts w:hint="eastAsia" w:ascii="宋体" w:hAnsi="宋体" w:cs="宋体"/>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59" w:type="dxa"/>
            <w:vMerge w:val="continue"/>
            <w:vAlign w:val="center"/>
          </w:tcPr>
          <w:p>
            <w:pPr>
              <w:jc w:val="center"/>
              <w:rPr>
                <w:rFonts w:ascii="宋体" w:cs="宋体"/>
                <w:kern w:val="0"/>
                <w:sz w:val="24"/>
              </w:rPr>
            </w:pPr>
          </w:p>
        </w:tc>
        <w:tc>
          <w:tcPr>
            <w:tcW w:w="1871" w:type="dxa"/>
            <w:vMerge w:val="continue"/>
            <w:vAlign w:val="center"/>
          </w:tcPr>
          <w:p>
            <w:pPr>
              <w:jc w:val="center"/>
              <w:rPr>
                <w:rFonts w:ascii="宋体" w:cs="宋体"/>
                <w:kern w:val="0"/>
                <w:sz w:val="24"/>
              </w:rPr>
            </w:pPr>
          </w:p>
        </w:tc>
        <w:tc>
          <w:tcPr>
            <w:tcW w:w="4819" w:type="dxa"/>
            <w:vAlign w:val="center"/>
          </w:tcPr>
          <w:p>
            <w:pPr>
              <w:jc w:val="center"/>
              <w:rPr>
                <w:rFonts w:ascii="宋体" w:cs="宋体"/>
                <w:kern w:val="0"/>
                <w:sz w:val="24"/>
              </w:rPr>
            </w:pPr>
            <w:r>
              <w:rPr>
                <w:rFonts w:hint="eastAsia" w:ascii="宋体" w:hAnsi="宋体" w:cs="宋体"/>
                <w:kern w:val="0"/>
                <w:sz w:val="24"/>
              </w:rPr>
              <w:t>良好</w:t>
            </w:r>
          </w:p>
        </w:tc>
        <w:tc>
          <w:tcPr>
            <w:tcW w:w="1956" w:type="dxa"/>
            <w:vAlign w:val="center"/>
          </w:tcPr>
          <w:p>
            <w:pPr>
              <w:jc w:val="center"/>
              <w:rPr>
                <w:rFonts w:ascii="宋体" w:cs="宋体"/>
                <w:kern w:val="0"/>
                <w:sz w:val="24"/>
              </w:rPr>
            </w:pPr>
            <w:r>
              <w:rPr>
                <w:rFonts w:ascii="宋体" w:hAnsi="宋体" w:cs="宋体"/>
                <w:kern w:val="0"/>
                <w:sz w:val="24"/>
              </w:rPr>
              <w:t>1</w:t>
            </w:r>
            <w:r>
              <w:rPr>
                <w:rFonts w:hint="eastAsia" w:ascii="宋体" w:hAnsi="宋体" w:cs="宋体"/>
                <w:kern w:val="0"/>
                <w:sz w:val="24"/>
              </w:rPr>
              <w:t>0＜</w:t>
            </w:r>
            <w:r>
              <w:rPr>
                <w:rFonts w:ascii="宋体" w:hAnsi="宋体" w:cs="宋体"/>
                <w:kern w:val="0"/>
                <w:sz w:val="24"/>
              </w:rPr>
              <w:t>m</w:t>
            </w:r>
            <w:r>
              <w:rPr>
                <w:rFonts w:hint="eastAsia"/>
              </w:rPr>
              <w:t>≤</w:t>
            </w:r>
            <w:r>
              <w:rPr>
                <w:rFonts w:ascii="宋体" w:hAnsi="宋体" w:cs="宋体"/>
                <w:kern w:val="0"/>
                <w:sz w:val="24"/>
              </w:rPr>
              <w:t>2</w:t>
            </w:r>
            <w:r>
              <w:rPr>
                <w:rFonts w:hint="eastAsia" w:ascii="宋体" w:hAnsi="宋体" w:cs="宋体"/>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59" w:type="dxa"/>
            <w:vMerge w:val="continue"/>
            <w:vAlign w:val="center"/>
          </w:tcPr>
          <w:p>
            <w:pPr>
              <w:jc w:val="center"/>
              <w:rPr>
                <w:rFonts w:ascii="宋体" w:cs="宋体"/>
                <w:kern w:val="0"/>
                <w:sz w:val="24"/>
              </w:rPr>
            </w:pPr>
          </w:p>
        </w:tc>
        <w:tc>
          <w:tcPr>
            <w:tcW w:w="1871" w:type="dxa"/>
            <w:vMerge w:val="continue"/>
            <w:vAlign w:val="center"/>
          </w:tcPr>
          <w:p>
            <w:pPr>
              <w:jc w:val="center"/>
              <w:rPr>
                <w:rFonts w:ascii="宋体" w:cs="宋体"/>
                <w:kern w:val="0"/>
                <w:sz w:val="24"/>
              </w:rPr>
            </w:pPr>
          </w:p>
        </w:tc>
        <w:tc>
          <w:tcPr>
            <w:tcW w:w="4819" w:type="dxa"/>
            <w:vAlign w:val="center"/>
          </w:tcPr>
          <w:p>
            <w:pPr>
              <w:jc w:val="center"/>
              <w:rPr>
                <w:rFonts w:ascii="宋体" w:cs="宋体"/>
                <w:kern w:val="0"/>
                <w:sz w:val="24"/>
              </w:rPr>
            </w:pPr>
            <w:r>
              <w:rPr>
                <w:rFonts w:hint="eastAsia" w:ascii="宋体" w:hAnsi="宋体" w:cs="宋体"/>
                <w:kern w:val="0"/>
                <w:sz w:val="24"/>
              </w:rPr>
              <w:t>优秀</w:t>
            </w:r>
          </w:p>
        </w:tc>
        <w:tc>
          <w:tcPr>
            <w:tcW w:w="1956" w:type="dxa"/>
            <w:vAlign w:val="center"/>
          </w:tcPr>
          <w:p>
            <w:pPr>
              <w:jc w:val="center"/>
              <w:rPr>
                <w:rFonts w:ascii="宋体" w:cs="宋体"/>
                <w:kern w:val="0"/>
                <w:sz w:val="24"/>
              </w:rPr>
            </w:pPr>
            <w:r>
              <w:rPr>
                <w:rFonts w:ascii="宋体" w:hAnsi="宋体" w:cs="宋体"/>
                <w:kern w:val="0"/>
                <w:sz w:val="24"/>
              </w:rPr>
              <w:t>2</w:t>
            </w:r>
            <w:r>
              <w:rPr>
                <w:rFonts w:hint="eastAsia" w:ascii="宋体" w:hAnsi="宋体" w:cs="宋体"/>
                <w:kern w:val="0"/>
                <w:sz w:val="24"/>
              </w:rPr>
              <w:t>0＜</w:t>
            </w:r>
            <w:r>
              <w:rPr>
                <w:rFonts w:ascii="宋体" w:hAnsi="宋体" w:cs="宋体"/>
                <w:kern w:val="0"/>
                <w:sz w:val="24"/>
              </w:rPr>
              <w:t>m</w:t>
            </w:r>
            <w:r>
              <w:rPr>
                <w:rFonts w:hint="eastAsia"/>
              </w:rPr>
              <w:t>≤</w:t>
            </w:r>
            <w:r>
              <w:rPr>
                <w:rFonts w:ascii="宋体" w:hAnsi="宋体" w:cs="宋体"/>
                <w:kern w:val="0"/>
                <w:sz w:val="24"/>
              </w:rPr>
              <w:t>30</w:t>
            </w:r>
          </w:p>
        </w:tc>
      </w:tr>
    </w:tbl>
    <w:p>
      <w:pPr>
        <w:pStyle w:val="4"/>
        <w:spacing w:before="0" w:after="0" w:line="480" w:lineRule="exact"/>
        <w:rPr>
          <w:rFonts w:ascii="宋体" w:cs="仿宋"/>
          <w:szCs w:val="28"/>
        </w:rPr>
      </w:pPr>
      <w:bookmarkStart w:id="563" w:name="_Toc32310"/>
      <w:bookmarkStart w:id="564" w:name="_Toc24296"/>
      <w:bookmarkStart w:id="565" w:name="_Toc10183"/>
      <w:bookmarkStart w:id="566" w:name="_Toc17415"/>
      <w:bookmarkStart w:id="567" w:name="_Toc21685"/>
      <w:bookmarkStart w:id="568" w:name="_Toc25386"/>
      <w:bookmarkStart w:id="569" w:name="_Toc7198"/>
      <w:bookmarkStart w:id="570" w:name="_Toc27525"/>
      <w:bookmarkStart w:id="571" w:name="_Toc27375"/>
      <w:bookmarkStart w:id="572" w:name="_Toc19593"/>
      <w:bookmarkStart w:id="573" w:name="_Toc15663"/>
      <w:bookmarkStart w:id="574" w:name="_Toc471482377"/>
      <w:bookmarkStart w:id="575" w:name="_Toc19365"/>
      <w:bookmarkStart w:id="576" w:name="_Toc28185"/>
      <w:bookmarkStart w:id="577" w:name="_Toc14432"/>
      <w:bookmarkStart w:id="578" w:name="_Toc13854"/>
      <w:bookmarkStart w:id="579" w:name="_Toc19395"/>
      <w:bookmarkStart w:id="580" w:name="_Toc22367"/>
      <w:r>
        <w:rPr>
          <w:rFonts w:hint="eastAsia" w:ascii="宋体" w:hAnsi="宋体" w:cs="仿宋"/>
          <w:szCs w:val="28"/>
        </w:rPr>
        <w:t>四、中选标准</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pPr>
        <w:spacing w:line="480" w:lineRule="exact"/>
        <w:ind w:firstLine="560" w:firstLineChars="200"/>
        <w:rPr>
          <w:rFonts w:ascii="宋体" w:cs="仿宋"/>
          <w:sz w:val="28"/>
          <w:szCs w:val="28"/>
        </w:rPr>
      </w:pPr>
      <w:r>
        <w:rPr>
          <w:rFonts w:hint="eastAsia" w:ascii="宋体" w:hAnsi="宋体" w:cs="仿宋"/>
          <w:sz w:val="28"/>
          <w:szCs w:val="28"/>
        </w:rPr>
        <w:t>评审小组将按照综合得分进行排序，得分最高的排名第一（当综合得分相同时，按照技术部分得分由高到低顺序排列；当综合得分且技术部分得分相同的，按报价由低到高顺序排列；如意见不一致时，以记名方式投票并按照多数评审意见确定）。如排名第一的比选候选人放弃中选、因不可抗力不能履行合同，或者被查实存在影响比选结果的违法行为等情形，不符合比选条件的，比选发起人可以按照评审小组提出的中选候选人名单排序依次确定其他中选候选人为中选人，也可以重新比选。</w:t>
      </w:r>
    </w:p>
    <w:p>
      <w:pPr>
        <w:pStyle w:val="13"/>
        <w:pageBreakBefore/>
        <w:widowControl/>
        <w:adjustRightInd/>
        <w:snapToGrid w:val="0"/>
        <w:spacing w:line="600" w:lineRule="exact"/>
        <w:jc w:val="center"/>
        <w:outlineLvl w:val="0"/>
        <w:rPr>
          <w:rStyle w:val="57"/>
          <w:rFonts w:ascii="宋体" w:hAnsi="宋体" w:eastAsia="宋体" w:cs="方正小标宋简体"/>
          <w:bCs/>
          <w:sz w:val="28"/>
          <w:szCs w:val="28"/>
        </w:rPr>
      </w:pPr>
      <w:bookmarkStart w:id="581" w:name="_Toc328"/>
      <w:bookmarkStart w:id="582" w:name="_Toc28535"/>
      <w:bookmarkStart w:id="583" w:name="_Toc31681"/>
      <w:bookmarkStart w:id="584" w:name="_Toc26741"/>
      <w:bookmarkStart w:id="585" w:name="_Toc25061"/>
      <w:bookmarkStart w:id="586" w:name="_Toc100643475"/>
      <w:bookmarkStart w:id="587" w:name="_Toc1144"/>
      <w:bookmarkStart w:id="588" w:name="_Toc492478835"/>
      <w:bookmarkStart w:id="589" w:name="_Toc26468"/>
      <w:bookmarkStart w:id="590" w:name="_Toc6337"/>
      <w:bookmarkStart w:id="591" w:name="_Toc12314"/>
      <w:bookmarkStart w:id="592" w:name="_Toc6454"/>
      <w:bookmarkStart w:id="593" w:name="_Toc28135"/>
      <w:bookmarkStart w:id="594" w:name="_Toc30897"/>
      <w:bookmarkStart w:id="595" w:name="_Toc5010"/>
      <w:bookmarkStart w:id="596" w:name="_Toc26409"/>
      <w:bookmarkStart w:id="597" w:name="_Toc21321"/>
      <w:bookmarkStart w:id="598" w:name="_Toc12695"/>
      <w:bookmarkStart w:id="599" w:name="_Toc13941"/>
      <w:bookmarkStart w:id="600" w:name="_Toc8402"/>
      <w:bookmarkStart w:id="601" w:name="_Toc14566"/>
      <w:bookmarkStart w:id="602" w:name="_Toc1299"/>
      <w:bookmarkStart w:id="603" w:name="_Toc16754"/>
      <w:bookmarkStart w:id="604" w:name="_Toc14659"/>
      <w:bookmarkStart w:id="605" w:name="_Toc18668"/>
      <w:bookmarkStart w:id="606" w:name="_Toc26446"/>
      <w:bookmarkStart w:id="607" w:name="_Toc20298"/>
      <w:bookmarkStart w:id="608" w:name="_Toc9597"/>
      <w:r>
        <w:rPr>
          <w:rStyle w:val="57"/>
          <w:rFonts w:hint="eastAsia" w:ascii="宋体" w:hAnsi="宋体" w:eastAsia="宋体" w:cs="方正小标宋简体"/>
          <w:bCs/>
          <w:sz w:val="28"/>
          <w:szCs w:val="28"/>
        </w:rPr>
        <w:t>第五章</w:t>
      </w:r>
      <w:r>
        <w:rPr>
          <w:rStyle w:val="57"/>
          <w:rFonts w:ascii="宋体" w:hAnsi="宋体" w:eastAsia="宋体" w:cs="方正小标宋简体"/>
          <w:bCs/>
          <w:sz w:val="28"/>
          <w:szCs w:val="28"/>
        </w:rPr>
        <w:t xml:space="preserve"> </w:t>
      </w:r>
      <w:r>
        <w:rPr>
          <w:rStyle w:val="57"/>
          <w:rFonts w:hint="eastAsia" w:ascii="宋体" w:hAnsi="宋体" w:eastAsia="宋体" w:cs="方正小标宋简体"/>
          <w:bCs/>
          <w:sz w:val="28"/>
          <w:szCs w:val="28"/>
        </w:rPr>
        <w:t>用户需求书</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pPr>
        <w:numPr>
          <w:ilvl w:val="255"/>
          <w:numId w:val="0"/>
        </w:numPr>
        <w:snapToGrid w:val="0"/>
        <w:jc w:val="center"/>
        <w:textAlignment w:val="baseline"/>
        <w:rPr>
          <w:rFonts w:ascii="宋体" w:cs="仿宋"/>
          <w:b/>
          <w:color w:val="000000"/>
          <w:kern w:val="58"/>
          <w:sz w:val="18"/>
          <w:szCs w:val="18"/>
        </w:rPr>
      </w:pPr>
      <w:bookmarkStart w:id="609" w:name="_Toc72762753"/>
    </w:p>
    <w:p>
      <w:pPr>
        <w:widowControl/>
        <w:numPr>
          <w:ilvl w:val="255"/>
          <w:numId w:val="0"/>
        </w:numPr>
        <w:snapToGrid w:val="0"/>
        <w:spacing w:line="540" w:lineRule="exact"/>
        <w:ind w:firstLine="560" w:firstLineChars="200"/>
        <w:textAlignment w:val="baseline"/>
        <w:rPr>
          <w:rFonts w:ascii="仿宋" w:hAnsi="仿宋" w:eastAsia="仿宋" w:cs="仿宋"/>
          <w:b/>
          <w:color w:val="000000"/>
          <w:kern w:val="58"/>
          <w:sz w:val="28"/>
          <w:szCs w:val="28"/>
        </w:rPr>
      </w:pPr>
      <w:r>
        <w:rPr>
          <w:rFonts w:hint="eastAsia" w:ascii="黑体" w:hAnsi="黑体" w:eastAsia="黑体" w:cs="黑体"/>
          <w:bCs/>
          <w:color w:val="000000"/>
          <w:kern w:val="58"/>
          <w:sz w:val="28"/>
          <w:szCs w:val="28"/>
        </w:rPr>
        <w:t>一、技术需求及数量表</w:t>
      </w:r>
      <w:bookmarkEnd w:id="609"/>
    </w:p>
    <w:p>
      <w:pPr>
        <w:snapToGrid w:val="0"/>
        <w:spacing w:line="540" w:lineRule="exact"/>
        <w:ind w:firstLine="560" w:firstLineChars="200"/>
        <w:textAlignment w:val="baseline"/>
        <w:rPr>
          <w:rFonts w:ascii="仿宋" w:hAnsi="仿宋" w:eastAsia="仿宋" w:cs="仿宋"/>
          <w:sz w:val="28"/>
          <w:szCs w:val="28"/>
        </w:rPr>
      </w:pPr>
      <w:r>
        <w:rPr>
          <w:rFonts w:hint="eastAsia" w:ascii="仿宋" w:hAnsi="仿宋" w:eastAsia="仿宋" w:cs="仿宋"/>
          <w:sz w:val="28"/>
          <w:szCs w:val="28"/>
        </w:rPr>
        <w:t>（一）项目内容</w:t>
      </w:r>
    </w:p>
    <w:p>
      <w:pPr>
        <w:snapToGrid w:val="0"/>
        <w:spacing w:line="540" w:lineRule="exact"/>
        <w:ind w:firstLine="560" w:firstLineChars="200"/>
        <w:textAlignment w:val="baseline"/>
        <w:rPr>
          <w:rFonts w:ascii="仿宋" w:hAnsi="仿宋" w:eastAsia="仿宋" w:cs="仿宋"/>
          <w:sz w:val="28"/>
          <w:szCs w:val="28"/>
        </w:rPr>
      </w:pPr>
      <w:r>
        <w:rPr>
          <w:rFonts w:hint="eastAsia" w:ascii="仿宋" w:hAnsi="仿宋" w:eastAsia="仿宋" w:cs="仿宋"/>
          <w:sz w:val="28"/>
          <w:szCs w:val="28"/>
        </w:rPr>
        <w:t>对南宁慧泊停车场服务有限责任公司2020年至2022年经营情况进行分析，包括：</w:t>
      </w:r>
    </w:p>
    <w:p>
      <w:pPr>
        <w:snapToGrid w:val="0"/>
        <w:spacing w:line="540" w:lineRule="exact"/>
        <w:ind w:firstLine="560" w:firstLineChars="200"/>
        <w:textAlignment w:val="baseline"/>
        <w:rPr>
          <w:rFonts w:ascii="仿宋" w:hAnsi="仿宋" w:eastAsia="仿宋" w:cs="仿宋"/>
          <w:sz w:val="28"/>
          <w:szCs w:val="28"/>
        </w:rPr>
      </w:pPr>
      <w:r>
        <w:rPr>
          <w:rFonts w:hint="eastAsia" w:ascii="仿宋" w:hAnsi="仿宋" w:eastAsia="仿宋" w:cs="仿宋"/>
          <w:sz w:val="28"/>
          <w:szCs w:val="28"/>
        </w:rPr>
        <w:t>1.经营总体情况分析，包括主要财务指标和经营指标分析，与行业平均水平及龙头企业对比；重点关注企业盈利水平分析，与同等城市行业水平的对比分析；</w:t>
      </w:r>
    </w:p>
    <w:p>
      <w:pPr>
        <w:snapToGrid w:val="0"/>
        <w:spacing w:line="540" w:lineRule="exact"/>
        <w:ind w:firstLine="560" w:firstLineChars="200"/>
        <w:textAlignment w:val="baseline"/>
        <w:rPr>
          <w:rFonts w:ascii="仿宋" w:hAnsi="仿宋" w:eastAsia="仿宋" w:cs="仿宋"/>
          <w:sz w:val="28"/>
          <w:szCs w:val="28"/>
        </w:rPr>
      </w:pPr>
      <w:r>
        <w:rPr>
          <w:rFonts w:hint="eastAsia" w:ascii="仿宋" w:hAnsi="仿宋" w:eastAsia="仿宋" w:cs="仿宋"/>
          <w:sz w:val="28"/>
          <w:szCs w:val="28"/>
        </w:rPr>
        <w:t>2.主营业务收入、毛利分析，包括结构、规模及增减变动原因分析，与行业平均水平及龙头企业对比；重点关注主营业务收入的完整性分析；</w:t>
      </w:r>
    </w:p>
    <w:p>
      <w:pPr>
        <w:snapToGrid w:val="0"/>
        <w:spacing w:line="540" w:lineRule="exact"/>
        <w:ind w:firstLine="560" w:firstLineChars="200"/>
        <w:textAlignment w:val="baseline"/>
        <w:rPr>
          <w:rFonts w:ascii="仿宋" w:hAnsi="仿宋" w:eastAsia="仿宋" w:cs="仿宋"/>
          <w:sz w:val="28"/>
          <w:szCs w:val="28"/>
        </w:rPr>
      </w:pPr>
      <w:r>
        <w:rPr>
          <w:rFonts w:hint="eastAsia" w:ascii="仿宋" w:hAnsi="仿宋" w:eastAsia="仿宋" w:cs="仿宋"/>
          <w:sz w:val="28"/>
          <w:szCs w:val="28"/>
        </w:rPr>
        <w:t>3.其他业务收入、毛利分析，包括结构、规模及增减变动原因分析；重点关注其他业务收入的完整性分析；</w:t>
      </w:r>
    </w:p>
    <w:p>
      <w:pPr>
        <w:snapToGrid w:val="0"/>
        <w:spacing w:line="540" w:lineRule="exact"/>
        <w:ind w:firstLine="560" w:firstLineChars="200"/>
        <w:textAlignment w:val="baseline"/>
        <w:rPr>
          <w:rFonts w:ascii="仿宋" w:hAnsi="仿宋" w:eastAsia="仿宋" w:cs="仿宋"/>
          <w:sz w:val="28"/>
          <w:szCs w:val="28"/>
        </w:rPr>
      </w:pPr>
      <w:r>
        <w:rPr>
          <w:rFonts w:hint="eastAsia" w:ascii="仿宋" w:hAnsi="仿宋" w:eastAsia="仿宋" w:cs="仿宋"/>
          <w:sz w:val="28"/>
          <w:szCs w:val="28"/>
        </w:rPr>
        <w:t>4.主营业务成本、其他业务成本分析，包括结构、规模及增减变动原因分析，与行业平均水平及龙头企业对比；重点关注相关成本的真实性与合理性分析；重点关注企业经营权确认与摊销的正确性；</w:t>
      </w:r>
    </w:p>
    <w:p>
      <w:pPr>
        <w:snapToGrid w:val="0"/>
        <w:spacing w:line="540" w:lineRule="exact"/>
        <w:ind w:firstLine="560" w:firstLineChars="200"/>
        <w:textAlignment w:val="baseline"/>
        <w:rPr>
          <w:rFonts w:ascii="仿宋" w:hAnsi="仿宋" w:eastAsia="仿宋" w:cs="仿宋"/>
          <w:sz w:val="28"/>
          <w:szCs w:val="28"/>
        </w:rPr>
      </w:pPr>
      <w:r>
        <w:rPr>
          <w:rFonts w:hint="eastAsia" w:ascii="仿宋" w:hAnsi="仿宋" w:eastAsia="仿宋" w:cs="仿宋"/>
          <w:sz w:val="28"/>
          <w:szCs w:val="28"/>
        </w:rPr>
        <w:t>5.销售费用、管理费用、财务费用分析，包括结构、规模及增减变动原因分析，与行业平均水平及龙头企业对比；重点关注相关费用的真实性与合理性分析；</w:t>
      </w:r>
    </w:p>
    <w:p>
      <w:pPr>
        <w:snapToGrid w:val="0"/>
        <w:spacing w:line="540" w:lineRule="exact"/>
        <w:ind w:firstLine="560" w:firstLineChars="200"/>
        <w:textAlignment w:val="baseline"/>
        <w:rPr>
          <w:rFonts w:ascii="仿宋" w:hAnsi="仿宋" w:eastAsia="仿宋" w:cs="仿宋"/>
          <w:sz w:val="28"/>
          <w:szCs w:val="28"/>
        </w:rPr>
      </w:pPr>
      <w:r>
        <w:rPr>
          <w:rFonts w:hint="eastAsia" w:ascii="仿宋" w:hAnsi="仿宋" w:eastAsia="仿宋" w:cs="仿宋"/>
          <w:sz w:val="28"/>
          <w:szCs w:val="28"/>
        </w:rPr>
        <w:t>6.营业外收支结构、规模及变动分析；</w:t>
      </w:r>
    </w:p>
    <w:p>
      <w:pPr>
        <w:snapToGrid w:val="0"/>
        <w:spacing w:line="540" w:lineRule="exact"/>
        <w:ind w:firstLine="560" w:firstLineChars="200"/>
        <w:textAlignment w:val="baseline"/>
        <w:rPr>
          <w:rFonts w:ascii="仿宋" w:hAnsi="仿宋" w:eastAsia="仿宋" w:cs="仿宋"/>
          <w:sz w:val="28"/>
          <w:szCs w:val="28"/>
        </w:rPr>
      </w:pPr>
      <w:r>
        <w:rPr>
          <w:rFonts w:hint="eastAsia" w:ascii="仿宋" w:hAnsi="仿宋" w:eastAsia="仿宋" w:cs="仿宋"/>
          <w:sz w:val="28"/>
          <w:szCs w:val="28"/>
        </w:rPr>
        <w:t>7.现金流管理情况分析，包括经营、投资、筹资活动现金流入和流出情况，现金流的规模和结构，流入资金的主要来源，流出资金的主要用途，各年度对现金流产生重大影响的事项，关联方资金拆借情况，与行业平均水平及龙头企业对比；</w:t>
      </w:r>
    </w:p>
    <w:p>
      <w:pPr>
        <w:snapToGrid w:val="0"/>
        <w:spacing w:line="540" w:lineRule="exact"/>
        <w:ind w:firstLine="560" w:firstLineChars="200"/>
        <w:textAlignment w:val="baseline"/>
        <w:rPr>
          <w:rFonts w:ascii="仿宋" w:hAnsi="仿宋" w:eastAsia="仿宋" w:cs="仿宋"/>
          <w:sz w:val="28"/>
          <w:szCs w:val="28"/>
        </w:rPr>
      </w:pPr>
      <w:r>
        <w:rPr>
          <w:rFonts w:hint="eastAsia" w:ascii="仿宋" w:hAnsi="仿宋" w:eastAsia="仿宋" w:cs="仿宋"/>
          <w:sz w:val="28"/>
          <w:szCs w:val="28"/>
        </w:rPr>
        <w:t>8.主要资产，负债分析，包括明细构成、规模及增减变动分析，资产和负债完整性，资产负债率，资产和负债周转率，资产减值风险，偿债能力及债务风险，与行业平均水平及龙头企业对比；</w:t>
      </w:r>
    </w:p>
    <w:p>
      <w:pPr>
        <w:snapToGrid w:val="0"/>
        <w:spacing w:line="540" w:lineRule="exact"/>
        <w:ind w:firstLine="560" w:firstLineChars="200"/>
        <w:textAlignment w:val="baseline"/>
        <w:rPr>
          <w:rFonts w:ascii="仿宋" w:hAnsi="仿宋" w:eastAsia="仿宋" w:cs="仿宋"/>
          <w:sz w:val="28"/>
          <w:szCs w:val="28"/>
        </w:rPr>
      </w:pPr>
      <w:r>
        <w:rPr>
          <w:rFonts w:hint="eastAsia" w:ascii="仿宋" w:hAnsi="仿宋" w:eastAsia="仿宋" w:cs="仿宋"/>
          <w:sz w:val="28"/>
          <w:szCs w:val="28"/>
        </w:rPr>
        <w:t>9.资产经营管理效率分析，包括重大经济项目的投资、建设、运营管理及效益情况（含软件），各类型、各区域资产利用效率、资产收益、经营款收支情况分析、资产单位产出等；重点对停车费实收率进行分析，并与行业优秀水平进行分析；</w:t>
      </w:r>
    </w:p>
    <w:p>
      <w:pPr>
        <w:snapToGrid w:val="0"/>
        <w:spacing w:line="540" w:lineRule="exact"/>
        <w:ind w:firstLine="560" w:firstLineChars="200"/>
        <w:textAlignment w:val="baseline"/>
        <w:rPr>
          <w:rFonts w:ascii="仿宋" w:hAnsi="仿宋" w:eastAsia="仿宋" w:cs="仿宋"/>
          <w:sz w:val="28"/>
          <w:szCs w:val="28"/>
        </w:rPr>
      </w:pPr>
      <w:r>
        <w:rPr>
          <w:rFonts w:hint="eastAsia" w:ascii="仿宋" w:hAnsi="仿宋" w:eastAsia="仿宋" w:cs="仿宋"/>
          <w:sz w:val="28"/>
          <w:szCs w:val="28"/>
        </w:rPr>
        <w:t>10.资本结构分析，包括资本来源，出资方式，资本利用情况，资本和资产结构配置，资本回报情况（含债务资本和权益资本）；</w:t>
      </w:r>
    </w:p>
    <w:p>
      <w:pPr>
        <w:snapToGrid w:val="0"/>
        <w:spacing w:line="540" w:lineRule="exact"/>
        <w:ind w:firstLine="560" w:firstLineChars="200"/>
        <w:textAlignment w:val="baseline"/>
        <w:rPr>
          <w:rFonts w:ascii="仿宋" w:hAnsi="仿宋" w:eastAsia="仿宋" w:cs="仿宋"/>
          <w:sz w:val="28"/>
          <w:szCs w:val="28"/>
        </w:rPr>
      </w:pPr>
      <w:r>
        <w:rPr>
          <w:rFonts w:hint="eastAsia" w:ascii="仿宋" w:hAnsi="仿宋" w:eastAsia="仿宋" w:cs="仿宋"/>
          <w:sz w:val="28"/>
          <w:szCs w:val="28"/>
        </w:rPr>
        <w:t>11.人工效率分析，包括人员规模、人员结构、人员成本、人均成本、人均产出分析，与行业平均水平及龙头企业对比；重点关注泊车位管理员劳动效率分析、岗位设置合理性分析、劳务外包的成本效益性分析；</w:t>
      </w:r>
    </w:p>
    <w:p>
      <w:pPr>
        <w:snapToGrid w:val="0"/>
        <w:spacing w:line="540" w:lineRule="exact"/>
        <w:ind w:firstLine="560" w:firstLineChars="200"/>
        <w:textAlignment w:val="baseline"/>
        <w:rPr>
          <w:rFonts w:ascii="仿宋" w:hAnsi="仿宋" w:eastAsia="仿宋" w:cs="仿宋"/>
          <w:sz w:val="28"/>
          <w:szCs w:val="28"/>
        </w:rPr>
      </w:pPr>
      <w:r>
        <w:rPr>
          <w:rFonts w:hint="eastAsia" w:ascii="仿宋" w:hAnsi="仿宋" w:eastAsia="仿宋" w:cs="仿宋"/>
          <w:sz w:val="28"/>
          <w:szCs w:val="28"/>
        </w:rPr>
        <w:t>12.持续经营能力分析，包括行业现状，公司面临的主要风险、机遇与挑战，压力测试；</w:t>
      </w:r>
    </w:p>
    <w:p>
      <w:pPr>
        <w:snapToGrid w:val="0"/>
        <w:spacing w:line="540" w:lineRule="exact"/>
        <w:ind w:firstLine="560" w:firstLineChars="200"/>
        <w:textAlignment w:val="baseline"/>
        <w:rPr>
          <w:rFonts w:ascii="仿宋" w:hAnsi="仿宋" w:eastAsia="仿宋" w:cs="仿宋"/>
          <w:sz w:val="28"/>
          <w:szCs w:val="28"/>
        </w:rPr>
      </w:pPr>
      <w:r>
        <w:rPr>
          <w:rFonts w:hint="eastAsia" w:ascii="仿宋" w:hAnsi="仿宋" w:eastAsia="仿宋" w:cs="仿宋"/>
          <w:sz w:val="28"/>
          <w:szCs w:val="28"/>
        </w:rPr>
        <w:t>13.缴纳税费分析，重点关注增值税、所得税各年度缴纳规模，应缴和实缴情况，税费减免情况；</w:t>
      </w:r>
    </w:p>
    <w:p>
      <w:pPr>
        <w:snapToGrid w:val="0"/>
        <w:spacing w:line="540" w:lineRule="exact"/>
        <w:ind w:firstLine="560" w:firstLineChars="200"/>
        <w:textAlignment w:val="baseline"/>
        <w:rPr>
          <w:rFonts w:ascii="仿宋" w:hAnsi="仿宋" w:eastAsia="仿宋" w:cs="仿宋"/>
          <w:sz w:val="28"/>
          <w:szCs w:val="28"/>
        </w:rPr>
      </w:pPr>
      <w:r>
        <w:rPr>
          <w:rFonts w:hint="eastAsia" w:ascii="仿宋" w:hAnsi="仿宋" w:eastAsia="仿宋" w:cs="仿宋"/>
          <w:sz w:val="28"/>
          <w:szCs w:val="28"/>
        </w:rPr>
        <w:t>14.企业经营提质增效措施有效性，重点关注成本费用压控、“两金”压降、“两非”剥离、“两资”清理等进展情况；重点对企业应收停车费进行分析，关注应收停车费的拖欠和清收情况；</w:t>
      </w:r>
    </w:p>
    <w:p>
      <w:pPr>
        <w:snapToGrid w:val="0"/>
        <w:spacing w:line="540" w:lineRule="exact"/>
        <w:ind w:firstLine="560" w:firstLineChars="200"/>
        <w:textAlignment w:val="baseline"/>
        <w:rPr>
          <w:rFonts w:hint="eastAsia" w:ascii="仿宋" w:hAnsi="仿宋" w:eastAsia="仿宋" w:cs="仿宋"/>
          <w:sz w:val="28"/>
          <w:szCs w:val="28"/>
        </w:rPr>
      </w:pPr>
      <w:r>
        <w:rPr>
          <w:rFonts w:hint="eastAsia" w:ascii="仿宋" w:hAnsi="仿宋" w:eastAsia="仿宋" w:cs="仿宋"/>
          <w:sz w:val="28"/>
          <w:szCs w:val="28"/>
        </w:rPr>
        <w:t>15.有关目标责任制完成情况；</w:t>
      </w:r>
    </w:p>
    <w:p>
      <w:pPr>
        <w:snapToGrid w:val="0"/>
        <w:spacing w:line="540" w:lineRule="exact"/>
        <w:ind w:firstLine="560" w:firstLineChars="200"/>
        <w:textAlignment w:val="baseline"/>
        <w:rPr>
          <w:rFonts w:hint="eastAsia" w:ascii="仿宋" w:hAnsi="仿宋" w:eastAsia="仿宋" w:cs="仿宋"/>
          <w:sz w:val="28"/>
          <w:szCs w:val="28"/>
        </w:rPr>
      </w:pPr>
      <w:r>
        <w:rPr>
          <w:rFonts w:hint="eastAsia" w:ascii="仿宋" w:hAnsi="仿宋" w:eastAsia="仿宋" w:cs="仿宋"/>
          <w:sz w:val="28"/>
          <w:szCs w:val="28"/>
          <w:lang w:val="en-US" w:eastAsia="zh-CN"/>
        </w:rPr>
        <w:t>16.</w:t>
      </w:r>
      <w:r>
        <w:rPr>
          <w:rFonts w:hint="eastAsia" w:ascii="仿宋" w:hAnsi="仿宋" w:eastAsia="仿宋" w:cs="仿宋"/>
          <w:sz w:val="28"/>
          <w:szCs w:val="28"/>
        </w:rPr>
        <w:t>管理优化建议；</w:t>
      </w:r>
    </w:p>
    <w:p>
      <w:pPr>
        <w:snapToGrid w:val="0"/>
        <w:spacing w:line="540" w:lineRule="exact"/>
        <w:ind w:firstLine="560" w:firstLineChars="200"/>
        <w:textAlignment w:val="baseline"/>
        <w:rPr>
          <w:rFonts w:hint="eastAsia" w:ascii="仿宋" w:hAnsi="仿宋" w:eastAsia="仿宋" w:cs="仿宋"/>
          <w:sz w:val="28"/>
          <w:szCs w:val="28"/>
        </w:rPr>
      </w:pPr>
      <w:r>
        <w:rPr>
          <w:rFonts w:hint="eastAsia" w:ascii="仿宋" w:hAnsi="仿宋" w:eastAsia="仿宋" w:cs="仿宋"/>
          <w:sz w:val="28"/>
          <w:szCs w:val="28"/>
          <w:lang w:val="en-US" w:eastAsia="zh-CN"/>
        </w:rPr>
        <w:t>17.</w:t>
      </w:r>
      <w:r>
        <w:rPr>
          <w:rFonts w:hint="eastAsia" w:ascii="仿宋" w:hAnsi="仿宋" w:eastAsia="仿宋" w:cs="仿宋"/>
          <w:sz w:val="28"/>
          <w:szCs w:val="28"/>
        </w:rPr>
        <w:t>其他需要的内容。</w:t>
      </w:r>
    </w:p>
    <w:p>
      <w:pPr>
        <w:snapToGrid w:val="0"/>
        <w:spacing w:line="540" w:lineRule="exact"/>
        <w:ind w:firstLine="560" w:firstLineChars="200"/>
        <w:textAlignment w:val="baseline"/>
        <w:rPr>
          <w:rFonts w:ascii="仿宋" w:hAnsi="仿宋" w:eastAsia="仿宋" w:cs="仿宋"/>
          <w:sz w:val="28"/>
          <w:szCs w:val="28"/>
        </w:rPr>
      </w:pPr>
      <w:r>
        <w:rPr>
          <w:rFonts w:hint="eastAsia" w:ascii="仿宋" w:hAnsi="仿宋" w:eastAsia="仿宋" w:cs="仿宋"/>
          <w:sz w:val="28"/>
          <w:szCs w:val="28"/>
        </w:rPr>
        <w:t>（二）项目要求及成果</w:t>
      </w:r>
    </w:p>
    <w:p>
      <w:pPr>
        <w:snapToGrid w:val="0"/>
        <w:spacing w:line="540" w:lineRule="exact"/>
        <w:ind w:firstLine="560" w:firstLineChars="200"/>
        <w:textAlignment w:val="baseline"/>
        <w:rPr>
          <w:rFonts w:ascii="仿宋" w:hAnsi="仿宋" w:eastAsia="仿宋" w:cs="仿宋"/>
          <w:sz w:val="28"/>
          <w:szCs w:val="28"/>
        </w:rPr>
      </w:pPr>
      <w:r>
        <w:rPr>
          <w:rFonts w:hint="eastAsia" w:ascii="仿宋" w:hAnsi="仿宋" w:eastAsia="仿宋" w:cs="仿宋"/>
          <w:sz w:val="28"/>
          <w:szCs w:val="28"/>
        </w:rPr>
        <w:t>根据《中华人民共和国企业国有资产法》《企业国有资产监督管理暂行条例》《南宁市企业国有资产监督管理暂行办法》《南宁市国资委关于印发监管企业违规经营投资责任追究实施办法（试行）的通知》的规定和要求及其他相关法律法规，以及南宁轨道交通集团有限责任公司相关制度开展工作，对南宁慧泊停车场服务有限责任公司2020年至2022年经营情况进行分析，出具南宁慧泊停车场服务有限责任公司2020年至2022年经营情况分析报告，并经南宁轨道交通集团有限责任公司审批通过。</w:t>
      </w:r>
    </w:p>
    <w:p>
      <w:pPr>
        <w:numPr>
          <w:ilvl w:val="0"/>
          <w:numId w:val="5"/>
        </w:numPr>
        <w:snapToGrid w:val="0"/>
        <w:spacing w:line="540" w:lineRule="exact"/>
        <w:ind w:firstLine="560" w:firstLineChars="200"/>
        <w:textAlignment w:val="baseline"/>
        <w:rPr>
          <w:rFonts w:ascii="仿宋" w:hAnsi="仿宋" w:eastAsia="仿宋" w:cs="仿宋"/>
          <w:sz w:val="28"/>
          <w:szCs w:val="28"/>
        </w:rPr>
      </w:pPr>
      <w:r>
        <w:rPr>
          <w:rFonts w:hint="eastAsia" w:ascii="仿宋" w:hAnsi="仿宋" w:eastAsia="仿宋" w:cs="仿宋"/>
          <w:sz w:val="28"/>
          <w:szCs w:val="28"/>
        </w:rPr>
        <w:t>项目对象及范围</w:t>
      </w:r>
    </w:p>
    <w:p>
      <w:pPr>
        <w:snapToGrid w:val="0"/>
        <w:spacing w:line="540" w:lineRule="exact"/>
        <w:ind w:firstLine="420" w:firstLineChars="200"/>
        <w:textAlignment w:val="baseline"/>
        <w:rPr>
          <w:rFonts w:ascii="仿宋" w:hAnsi="仿宋" w:eastAsia="仿宋" w:cs="仿宋"/>
          <w:sz w:val="28"/>
          <w:szCs w:val="28"/>
        </w:rPr>
      </w:pPr>
      <w:r>
        <w:rPr>
          <w:rFonts w:hint="eastAsia"/>
        </w:rPr>
        <w:t xml:space="preserve">  </w:t>
      </w:r>
      <w:r>
        <w:rPr>
          <w:rFonts w:hint="eastAsia" w:ascii="仿宋" w:hAnsi="仿宋" w:eastAsia="仿宋" w:cs="仿宋"/>
          <w:sz w:val="28"/>
          <w:szCs w:val="28"/>
        </w:rPr>
        <w:t>对南宁慧泊停车场服务有限责任公司2020年至2022年经营情况进行分析，必要时追溯到相关年度或延伸有关单位。</w:t>
      </w:r>
    </w:p>
    <w:p>
      <w:pPr>
        <w:snapToGrid w:val="0"/>
        <w:spacing w:line="540" w:lineRule="exact"/>
        <w:ind w:firstLine="560" w:firstLineChars="200"/>
        <w:textAlignment w:val="baseline"/>
        <w:rPr>
          <w:rFonts w:ascii="仿宋" w:hAnsi="仿宋" w:eastAsia="仿宋" w:cs="仿宋"/>
          <w:sz w:val="28"/>
          <w:szCs w:val="28"/>
        </w:rPr>
      </w:pPr>
    </w:p>
    <w:sectPr>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roman"/>
    <w:pitch w:val="default"/>
    <w:sig w:usb0="E00006FF" w:usb1="420024FF" w:usb2="02000000" w:usb3="00000000" w:csb0="2000019F" w:csb1="00000000"/>
  </w:font>
  <w:font w:name="MingLiU">
    <w:altName w:val="PMingLiU-ExtB"/>
    <w:panose1 w:val="02010609000101010101"/>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097" o:spid="_x0000_s4097" o:spt="202" type="#_x0000_t202" style="position:absolute;left:0pt;margin-top:0pt;height:12.4pt;width:23.3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t>第</w:t>
                </w:r>
                <w:r>
                  <w:rPr>
                    <w:sz w:val="18"/>
                  </w:rPr>
                  <w:fldChar w:fldCharType="begin"/>
                </w:r>
                <w:r>
                  <w:rPr>
                    <w:sz w:val="18"/>
                  </w:rPr>
                  <w:instrText xml:space="preserve"> PAGE  \* MERGEFORMAT </w:instrText>
                </w:r>
                <w:r>
                  <w:rPr>
                    <w:sz w:val="18"/>
                  </w:rPr>
                  <w:fldChar w:fldCharType="separate"/>
                </w:r>
                <w:r>
                  <w:t>17</w:t>
                </w:r>
                <w:r>
                  <w:rPr>
                    <w:sz w:val="18"/>
                  </w:rPr>
                  <w:fldChar w:fldCharType="end"/>
                </w:r>
                <w:r>
                  <w:rPr>
                    <w:rFonts w:hint="eastAsia"/>
                    <w:sz w:val="18"/>
                  </w:rPr>
                  <w:t>页</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文本框5" o:spid="_x0000_s4098" o:spt="202" type="#_x0000_t202" style="position:absolute;left:0pt;margin-top:0pt;height:12.4pt;width:33.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t>第</w:t>
                </w:r>
                <w:r>
                  <w:rPr>
                    <w:sz w:val="18"/>
                  </w:rPr>
                  <w:fldChar w:fldCharType="begin"/>
                </w:r>
                <w:r>
                  <w:rPr>
                    <w:sz w:val="18"/>
                  </w:rPr>
                  <w:instrText xml:space="preserve"> PAGE  \* MERGEFORMAT </w:instrText>
                </w:r>
                <w:r>
                  <w:rPr>
                    <w:sz w:val="18"/>
                  </w:rPr>
                  <w:fldChar w:fldCharType="separate"/>
                </w:r>
                <w:r>
                  <w:t>41</w:t>
                </w:r>
                <w:r>
                  <w:rPr>
                    <w:sz w:val="18"/>
                  </w:rPr>
                  <w:fldChar w:fldCharType="end"/>
                </w:r>
                <w:r>
                  <w:rPr>
                    <w:rFonts w:hint="eastAsia"/>
                    <w:sz w:val="18"/>
                  </w:rPr>
                  <w:t>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290778"/>
    <w:multiLevelType w:val="singleLevel"/>
    <w:tmpl w:val="8B290778"/>
    <w:lvl w:ilvl="0" w:tentative="0">
      <w:start w:val="1"/>
      <w:numFmt w:val="chineseCounting"/>
      <w:suff w:val="nothing"/>
      <w:lvlText w:val="%1、"/>
      <w:lvlJc w:val="left"/>
      <w:pPr>
        <w:ind w:left="-210"/>
      </w:pPr>
      <w:rPr>
        <w:rFonts w:hint="eastAsia"/>
      </w:rPr>
    </w:lvl>
  </w:abstractNum>
  <w:abstractNum w:abstractNumId="1">
    <w:nsid w:val="8E23FA7C"/>
    <w:multiLevelType w:val="singleLevel"/>
    <w:tmpl w:val="8E23FA7C"/>
    <w:lvl w:ilvl="0" w:tentative="0">
      <w:start w:val="1"/>
      <w:numFmt w:val="decimal"/>
      <w:suff w:val="nothing"/>
      <w:lvlText w:val="%1、"/>
      <w:lvlJc w:val="left"/>
    </w:lvl>
  </w:abstractNum>
  <w:abstractNum w:abstractNumId="2">
    <w:nsid w:val="A02B5C24"/>
    <w:multiLevelType w:val="singleLevel"/>
    <w:tmpl w:val="A02B5C24"/>
    <w:lvl w:ilvl="0" w:tentative="0">
      <w:start w:val="3"/>
      <w:numFmt w:val="chineseCounting"/>
      <w:suff w:val="nothing"/>
      <w:lvlText w:val="（%1）"/>
      <w:lvlJc w:val="left"/>
      <w:rPr>
        <w:rFonts w:hint="eastAsia"/>
      </w:rPr>
    </w:lvl>
  </w:abstractNum>
  <w:abstractNum w:abstractNumId="3">
    <w:nsid w:val="28C8FEF5"/>
    <w:multiLevelType w:val="singleLevel"/>
    <w:tmpl w:val="28C8FEF5"/>
    <w:lvl w:ilvl="0" w:tentative="0">
      <w:start w:val="9"/>
      <w:numFmt w:val="chineseCounting"/>
      <w:suff w:val="nothing"/>
      <w:lvlText w:val="%1、"/>
      <w:lvlJc w:val="left"/>
      <w:rPr>
        <w:rFonts w:hint="eastAsia" w:cs="Times New Roman"/>
      </w:rPr>
    </w:lvl>
  </w:abstractNum>
  <w:abstractNum w:abstractNumId="4">
    <w:nsid w:val="52ABEA66"/>
    <w:multiLevelType w:val="singleLevel"/>
    <w:tmpl w:val="52ABEA66"/>
    <w:lvl w:ilvl="0" w:tentative="0">
      <w:start w:val="3"/>
      <w:numFmt w:val="chineseCounting"/>
      <w:suff w:val="space"/>
      <w:lvlText w:val="第%1章"/>
      <w:lvlJc w:val="left"/>
      <w:rPr>
        <w:rFonts w:cs="Times New Roman"/>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WQyYTA0NWRkMGMxNjRiMmZhZmE3ZDE4ZmViZmYyYWQifQ=="/>
    <w:docVar w:name="KSO_WPS_MARK_KEY" w:val="fb463319-963e-4835-b8a1-aa9826869839"/>
  </w:docVars>
  <w:rsids>
    <w:rsidRoot w:val="00172A27"/>
    <w:rsid w:val="00002B51"/>
    <w:rsid w:val="00004008"/>
    <w:rsid w:val="00004A25"/>
    <w:rsid w:val="00004D1D"/>
    <w:rsid w:val="00006245"/>
    <w:rsid w:val="00006C07"/>
    <w:rsid w:val="00006E49"/>
    <w:rsid w:val="00007092"/>
    <w:rsid w:val="00007885"/>
    <w:rsid w:val="00010DF1"/>
    <w:rsid w:val="00011A3B"/>
    <w:rsid w:val="00011A63"/>
    <w:rsid w:val="000121F0"/>
    <w:rsid w:val="000133ED"/>
    <w:rsid w:val="00013699"/>
    <w:rsid w:val="00013C92"/>
    <w:rsid w:val="000152A8"/>
    <w:rsid w:val="000158C4"/>
    <w:rsid w:val="00015BF7"/>
    <w:rsid w:val="00016D41"/>
    <w:rsid w:val="00016E1C"/>
    <w:rsid w:val="00017A1B"/>
    <w:rsid w:val="0002218A"/>
    <w:rsid w:val="000246E0"/>
    <w:rsid w:val="0002500A"/>
    <w:rsid w:val="00025256"/>
    <w:rsid w:val="000254A0"/>
    <w:rsid w:val="0002675F"/>
    <w:rsid w:val="00026993"/>
    <w:rsid w:val="00026FFC"/>
    <w:rsid w:val="00027E27"/>
    <w:rsid w:val="000318D8"/>
    <w:rsid w:val="00037691"/>
    <w:rsid w:val="000414D1"/>
    <w:rsid w:val="00042228"/>
    <w:rsid w:val="0004665C"/>
    <w:rsid w:val="00047299"/>
    <w:rsid w:val="000473D4"/>
    <w:rsid w:val="00047F27"/>
    <w:rsid w:val="00050E7F"/>
    <w:rsid w:val="00052B63"/>
    <w:rsid w:val="00054F81"/>
    <w:rsid w:val="0005651D"/>
    <w:rsid w:val="00057BDC"/>
    <w:rsid w:val="00062107"/>
    <w:rsid w:val="0007095D"/>
    <w:rsid w:val="000721B2"/>
    <w:rsid w:val="00072A19"/>
    <w:rsid w:val="0007429E"/>
    <w:rsid w:val="000765B5"/>
    <w:rsid w:val="00076DF2"/>
    <w:rsid w:val="00081999"/>
    <w:rsid w:val="00083154"/>
    <w:rsid w:val="0008406D"/>
    <w:rsid w:val="000843B4"/>
    <w:rsid w:val="00084B2A"/>
    <w:rsid w:val="000871E2"/>
    <w:rsid w:val="00090EC8"/>
    <w:rsid w:val="00091253"/>
    <w:rsid w:val="00094668"/>
    <w:rsid w:val="000971C8"/>
    <w:rsid w:val="000A4B9C"/>
    <w:rsid w:val="000A5B69"/>
    <w:rsid w:val="000A6250"/>
    <w:rsid w:val="000B0BA3"/>
    <w:rsid w:val="000B1064"/>
    <w:rsid w:val="000B1107"/>
    <w:rsid w:val="000B2862"/>
    <w:rsid w:val="000B39B7"/>
    <w:rsid w:val="000B6659"/>
    <w:rsid w:val="000B7BBC"/>
    <w:rsid w:val="000C2B82"/>
    <w:rsid w:val="000C488A"/>
    <w:rsid w:val="000C4E33"/>
    <w:rsid w:val="000C69D0"/>
    <w:rsid w:val="000C69DD"/>
    <w:rsid w:val="000D0354"/>
    <w:rsid w:val="000D58F6"/>
    <w:rsid w:val="000D5C3F"/>
    <w:rsid w:val="000D5E8D"/>
    <w:rsid w:val="000D5FD2"/>
    <w:rsid w:val="000D67D8"/>
    <w:rsid w:val="000D7E70"/>
    <w:rsid w:val="000E03A8"/>
    <w:rsid w:val="000E11C7"/>
    <w:rsid w:val="000E3A4D"/>
    <w:rsid w:val="000E3EF7"/>
    <w:rsid w:val="000E5816"/>
    <w:rsid w:val="000E59C4"/>
    <w:rsid w:val="000E6869"/>
    <w:rsid w:val="000F032E"/>
    <w:rsid w:val="000F0956"/>
    <w:rsid w:val="000F1C10"/>
    <w:rsid w:val="000F2D03"/>
    <w:rsid w:val="000F36DC"/>
    <w:rsid w:val="000F4134"/>
    <w:rsid w:val="000F453A"/>
    <w:rsid w:val="000F5090"/>
    <w:rsid w:val="000F5CAA"/>
    <w:rsid w:val="00100558"/>
    <w:rsid w:val="00100DB4"/>
    <w:rsid w:val="00100DD8"/>
    <w:rsid w:val="001014A5"/>
    <w:rsid w:val="00104022"/>
    <w:rsid w:val="00104172"/>
    <w:rsid w:val="00104382"/>
    <w:rsid w:val="00104A6A"/>
    <w:rsid w:val="00106405"/>
    <w:rsid w:val="00107C43"/>
    <w:rsid w:val="00111B38"/>
    <w:rsid w:val="00111C5D"/>
    <w:rsid w:val="00111EE3"/>
    <w:rsid w:val="001144D2"/>
    <w:rsid w:val="0011630A"/>
    <w:rsid w:val="00117DCA"/>
    <w:rsid w:val="001202B5"/>
    <w:rsid w:val="00124D07"/>
    <w:rsid w:val="00125175"/>
    <w:rsid w:val="001255FC"/>
    <w:rsid w:val="00125FC1"/>
    <w:rsid w:val="00126543"/>
    <w:rsid w:val="00127D4A"/>
    <w:rsid w:val="001330C5"/>
    <w:rsid w:val="001332EA"/>
    <w:rsid w:val="00135714"/>
    <w:rsid w:val="00135E2A"/>
    <w:rsid w:val="001365C6"/>
    <w:rsid w:val="00137E71"/>
    <w:rsid w:val="001413BC"/>
    <w:rsid w:val="0014338D"/>
    <w:rsid w:val="0014456C"/>
    <w:rsid w:val="001449DE"/>
    <w:rsid w:val="00150488"/>
    <w:rsid w:val="00153375"/>
    <w:rsid w:val="00153BCB"/>
    <w:rsid w:val="00154126"/>
    <w:rsid w:val="00154909"/>
    <w:rsid w:val="00155A9D"/>
    <w:rsid w:val="00157582"/>
    <w:rsid w:val="0015794B"/>
    <w:rsid w:val="00162B0D"/>
    <w:rsid w:val="0016414A"/>
    <w:rsid w:val="001662B3"/>
    <w:rsid w:val="001662F2"/>
    <w:rsid w:val="001663DA"/>
    <w:rsid w:val="00170EBD"/>
    <w:rsid w:val="001713FC"/>
    <w:rsid w:val="001717CC"/>
    <w:rsid w:val="00172A27"/>
    <w:rsid w:val="00176048"/>
    <w:rsid w:val="00177BAE"/>
    <w:rsid w:val="00180195"/>
    <w:rsid w:val="0018182F"/>
    <w:rsid w:val="00187C7B"/>
    <w:rsid w:val="00190FB9"/>
    <w:rsid w:val="00191030"/>
    <w:rsid w:val="0019366E"/>
    <w:rsid w:val="00194BAE"/>
    <w:rsid w:val="00196765"/>
    <w:rsid w:val="001A01E7"/>
    <w:rsid w:val="001A5DA1"/>
    <w:rsid w:val="001A7092"/>
    <w:rsid w:val="001A74F7"/>
    <w:rsid w:val="001A7FCC"/>
    <w:rsid w:val="001B0A62"/>
    <w:rsid w:val="001B0FDD"/>
    <w:rsid w:val="001B1E3E"/>
    <w:rsid w:val="001B7505"/>
    <w:rsid w:val="001B7E76"/>
    <w:rsid w:val="001C499E"/>
    <w:rsid w:val="001C4EF7"/>
    <w:rsid w:val="001C54B8"/>
    <w:rsid w:val="001C5BB9"/>
    <w:rsid w:val="001D3F0A"/>
    <w:rsid w:val="001D54D7"/>
    <w:rsid w:val="001D7F3C"/>
    <w:rsid w:val="001E04F0"/>
    <w:rsid w:val="001E07E2"/>
    <w:rsid w:val="001E086F"/>
    <w:rsid w:val="001E3135"/>
    <w:rsid w:val="001E3877"/>
    <w:rsid w:val="001E3FCC"/>
    <w:rsid w:val="001E56AB"/>
    <w:rsid w:val="001E6897"/>
    <w:rsid w:val="001E6FA6"/>
    <w:rsid w:val="001E7BFE"/>
    <w:rsid w:val="001F0714"/>
    <w:rsid w:val="001F10DD"/>
    <w:rsid w:val="001F16A1"/>
    <w:rsid w:val="001F35F6"/>
    <w:rsid w:val="001F3870"/>
    <w:rsid w:val="001F4BDB"/>
    <w:rsid w:val="001F5D48"/>
    <w:rsid w:val="001F701C"/>
    <w:rsid w:val="0020071F"/>
    <w:rsid w:val="00200760"/>
    <w:rsid w:val="00200936"/>
    <w:rsid w:val="00203566"/>
    <w:rsid w:val="00204B8B"/>
    <w:rsid w:val="002055AA"/>
    <w:rsid w:val="00205A6E"/>
    <w:rsid w:val="00207C93"/>
    <w:rsid w:val="00210672"/>
    <w:rsid w:val="002115C2"/>
    <w:rsid w:val="00212D27"/>
    <w:rsid w:val="002134A1"/>
    <w:rsid w:val="0021374F"/>
    <w:rsid w:val="00214422"/>
    <w:rsid w:val="00217254"/>
    <w:rsid w:val="00217C6B"/>
    <w:rsid w:val="00217DD1"/>
    <w:rsid w:val="00220974"/>
    <w:rsid w:val="00220C52"/>
    <w:rsid w:val="0022139E"/>
    <w:rsid w:val="002230F2"/>
    <w:rsid w:val="00225ADC"/>
    <w:rsid w:val="00225B9E"/>
    <w:rsid w:val="002267BB"/>
    <w:rsid w:val="00227BD1"/>
    <w:rsid w:val="00227EA2"/>
    <w:rsid w:val="0023123F"/>
    <w:rsid w:val="00233044"/>
    <w:rsid w:val="00234C00"/>
    <w:rsid w:val="00237C61"/>
    <w:rsid w:val="0024165C"/>
    <w:rsid w:val="00241BF1"/>
    <w:rsid w:val="0024220F"/>
    <w:rsid w:val="002422EC"/>
    <w:rsid w:val="00242EA9"/>
    <w:rsid w:val="002459DE"/>
    <w:rsid w:val="00246577"/>
    <w:rsid w:val="002470C0"/>
    <w:rsid w:val="002472A7"/>
    <w:rsid w:val="00247729"/>
    <w:rsid w:val="00250437"/>
    <w:rsid w:val="002528A0"/>
    <w:rsid w:val="002536AF"/>
    <w:rsid w:val="00254C9E"/>
    <w:rsid w:val="00262DFF"/>
    <w:rsid w:val="00263316"/>
    <w:rsid w:val="00263451"/>
    <w:rsid w:val="00263EEA"/>
    <w:rsid w:val="002651B0"/>
    <w:rsid w:val="002658DA"/>
    <w:rsid w:val="0026672D"/>
    <w:rsid w:val="0026684B"/>
    <w:rsid w:val="00270C77"/>
    <w:rsid w:val="00271F3E"/>
    <w:rsid w:val="0027349F"/>
    <w:rsid w:val="002742AA"/>
    <w:rsid w:val="00275CC8"/>
    <w:rsid w:val="00276ECA"/>
    <w:rsid w:val="00280012"/>
    <w:rsid w:val="00282402"/>
    <w:rsid w:val="00282FAF"/>
    <w:rsid w:val="00283FCC"/>
    <w:rsid w:val="002843C7"/>
    <w:rsid w:val="002866C4"/>
    <w:rsid w:val="00291FEC"/>
    <w:rsid w:val="00293368"/>
    <w:rsid w:val="0029350D"/>
    <w:rsid w:val="00294554"/>
    <w:rsid w:val="0029680C"/>
    <w:rsid w:val="00296D4F"/>
    <w:rsid w:val="002979D7"/>
    <w:rsid w:val="002A05FA"/>
    <w:rsid w:val="002A0884"/>
    <w:rsid w:val="002A26D4"/>
    <w:rsid w:val="002A2901"/>
    <w:rsid w:val="002A5A1A"/>
    <w:rsid w:val="002A7554"/>
    <w:rsid w:val="002A75C4"/>
    <w:rsid w:val="002A7A98"/>
    <w:rsid w:val="002B05FF"/>
    <w:rsid w:val="002B51AA"/>
    <w:rsid w:val="002B5539"/>
    <w:rsid w:val="002B5664"/>
    <w:rsid w:val="002B710B"/>
    <w:rsid w:val="002B74C3"/>
    <w:rsid w:val="002C1563"/>
    <w:rsid w:val="002C254F"/>
    <w:rsid w:val="002C3F22"/>
    <w:rsid w:val="002C4464"/>
    <w:rsid w:val="002C44B1"/>
    <w:rsid w:val="002C4B45"/>
    <w:rsid w:val="002C5102"/>
    <w:rsid w:val="002C552D"/>
    <w:rsid w:val="002C57EF"/>
    <w:rsid w:val="002C61BE"/>
    <w:rsid w:val="002C7300"/>
    <w:rsid w:val="002D06CA"/>
    <w:rsid w:val="002D09F6"/>
    <w:rsid w:val="002D16C9"/>
    <w:rsid w:val="002D1B87"/>
    <w:rsid w:val="002D2471"/>
    <w:rsid w:val="002D2C24"/>
    <w:rsid w:val="002D3A09"/>
    <w:rsid w:val="002D5CD5"/>
    <w:rsid w:val="002D65F7"/>
    <w:rsid w:val="002E05BD"/>
    <w:rsid w:val="002E0B24"/>
    <w:rsid w:val="002E0BCC"/>
    <w:rsid w:val="002E10D0"/>
    <w:rsid w:val="002E41B0"/>
    <w:rsid w:val="002E47C6"/>
    <w:rsid w:val="002E4D62"/>
    <w:rsid w:val="002E6443"/>
    <w:rsid w:val="002E6D50"/>
    <w:rsid w:val="002E6F39"/>
    <w:rsid w:val="002F1056"/>
    <w:rsid w:val="002F1449"/>
    <w:rsid w:val="002F4DBA"/>
    <w:rsid w:val="002F6707"/>
    <w:rsid w:val="00300C77"/>
    <w:rsid w:val="00301494"/>
    <w:rsid w:val="003020C2"/>
    <w:rsid w:val="00302D33"/>
    <w:rsid w:val="003031F8"/>
    <w:rsid w:val="003033FE"/>
    <w:rsid w:val="00304405"/>
    <w:rsid w:val="00304AC6"/>
    <w:rsid w:val="00306511"/>
    <w:rsid w:val="003067AD"/>
    <w:rsid w:val="00307333"/>
    <w:rsid w:val="003110D9"/>
    <w:rsid w:val="003117D9"/>
    <w:rsid w:val="00311BC7"/>
    <w:rsid w:val="0031513B"/>
    <w:rsid w:val="003208C7"/>
    <w:rsid w:val="0032184E"/>
    <w:rsid w:val="00321F90"/>
    <w:rsid w:val="00326138"/>
    <w:rsid w:val="00330B76"/>
    <w:rsid w:val="00331802"/>
    <w:rsid w:val="00331EB2"/>
    <w:rsid w:val="00334F8D"/>
    <w:rsid w:val="00337398"/>
    <w:rsid w:val="00337566"/>
    <w:rsid w:val="0033784C"/>
    <w:rsid w:val="0034058C"/>
    <w:rsid w:val="00341C6C"/>
    <w:rsid w:val="00343658"/>
    <w:rsid w:val="00344C38"/>
    <w:rsid w:val="00344EA4"/>
    <w:rsid w:val="00345496"/>
    <w:rsid w:val="0034733B"/>
    <w:rsid w:val="00350501"/>
    <w:rsid w:val="003507ED"/>
    <w:rsid w:val="0035191D"/>
    <w:rsid w:val="00352F24"/>
    <w:rsid w:val="00355333"/>
    <w:rsid w:val="00355ADB"/>
    <w:rsid w:val="0036247E"/>
    <w:rsid w:val="00362B06"/>
    <w:rsid w:val="00364F8E"/>
    <w:rsid w:val="003657B7"/>
    <w:rsid w:val="00365A1A"/>
    <w:rsid w:val="003746B0"/>
    <w:rsid w:val="00374814"/>
    <w:rsid w:val="00376F95"/>
    <w:rsid w:val="003803D4"/>
    <w:rsid w:val="0038052C"/>
    <w:rsid w:val="00381A61"/>
    <w:rsid w:val="0038264F"/>
    <w:rsid w:val="0038312E"/>
    <w:rsid w:val="003842F0"/>
    <w:rsid w:val="003853DF"/>
    <w:rsid w:val="003863C4"/>
    <w:rsid w:val="00387605"/>
    <w:rsid w:val="003878E6"/>
    <w:rsid w:val="00387B3C"/>
    <w:rsid w:val="00387F20"/>
    <w:rsid w:val="00387FBC"/>
    <w:rsid w:val="00392166"/>
    <w:rsid w:val="00393E7F"/>
    <w:rsid w:val="00393FC8"/>
    <w:rsid w:val="00394F55"/>
    <w:rsid w:val="003954D2"/>
    <w:rsid w:val="00397194"/>
    <w:rsid w:val="003A430C"/>
    <w:rsid w:val="003A4DE9"/>
    <w:rsid w:val="003A6A4D"/>
    <w:rsid w:val="003A7735"/>
    <w:rsid w:val="003B1B29"/>
    <w:rsid w:val="003B2094"/>
    <w:rsid w:val="003B427D"/>
    <w:rsid w:val="003B4A82"/>
    <w:rsid w:val="003B6F49"/>
    <w:rsid w:val="003B7D31"/>
    <w:rsid w:val="003C02CA"/>
    <w:rsid w:val="003C1763"/>
    <w:rsid w:val="003C4311"/>
    <w:rsid w:val="003C766A"/>
    <w:rsid w:val="003C7972"/>
    <w:rsid w:val="003C7C92"/>
    <w:rsid w:val="003C7F0E"/>
    <w:rsid w:val="003D011C"/>
    <w:rsid w:val="003D162C"/>
    <w:rsid w:val="003D27B8"/>
    <w:rsid w:val="003D33D6"/>
    <w:rsid w:val="003D3CD0"/>
    <w:rsid w:val="003D5D3B"/>
    <w:rsid w:val="003D6E24"/>
    <w:rsid w:val="003E27D1"/>
    <w:rsid w:val="003E3E70"/>
    <w:rsid w:val="003E3E74"/>
    <w:rsid w:val="003E510F"/>
    <w:rsid w:val="003E52EC"/>
    <w:rsid w:val="003E55BC"/>
    <w:rsid w:val="003E6D8E"/>
    <w:rsid w:val="003F2167"/>
    <w:rsid w:val="003F3584"/>
    <w:rsid w:val="003F52A4"/>
    <w:rsid w:val="003F5B13"/>
    <w:rsid w:val="003F5E76"/>
    <w:rsid w:val="003F6C46"/>
    <w:rsid w:val="004017C8"/>
    <w:rsid w:val="0040307D"/>
    <w:rsid w:val="004031ED"/>
    <w:rsid w:val="0040386D"/>
    <w:rsid w:val="00405BCC"/>
    <w:rsid w:val="0040627C"/>
    <w:rsid w:val="00410B70"/>
    <w:rsid w:val="0041753C"/>
    <w:rsid w:val="00417A21"/>
    <w:rsid w:val="00417DB0"/>
    <w:rsid w:val="004218F8"/>
    <w:rsid w:val="00423131"/>
    <w:rsid w:val="004251A5"/>
    <w:rsid w:val="0042526B"/>
    <w:rsid w:val="00430979"/>
    <w:rsid w:val="00430B52"/>
    <w:rsid w:val="004334BA"/>
    <w:rsid w:val="00434578"/>
    <w:rsid w:val="00435970"/>
    <w:rsid w:val="0043626D"/>
    <w:rsid w:val="0043640E"/>
    <w:rsid w:val="00437045"/>
    <w:rsid w:val="00442786"/>
    <w:rsid w:val="00443BEF"/>
    <w:rsid w:val="004444FC"/>
    <w:rsid w:val="004476AA"/>
    <w:rsid w:val="0045021E"/>
    <w:rsid w:val="00450B15"/>
    <w:rsid w:val="00450FEE"/>
    <w:rsid w:val="00452227"/>
    <w:rsid w:val="00452AD2"/>
    <w:rsid w:val="0045560B"/>
    <w:rsid w:val="00455AC3"/>
    <w:rsid w:val="00457035"/>
    <w:rsid w:val="0046006F"/>
    <w:rsid w:val="00460F9E"/>
    <w:rsid w:val="00460FDC"/>
    <w:rsid w:val="00461356"/>
    <w:rsid w:val="00462355"/>
    <w:rsid w:val="00462B7F"/>
    <w:rsid w:val="004635EE"/>
    <w:rsid w:val="004638BB"/>
    <w:rsid w:val="00463D99"/>
    <w:rsid w:val="004651BB"/>
    <w:rsid w:val="0046549A"/>
    <w:rsid w:val="004715C3"/>
    <w:rsid w:val="004737FA"/>
    <w:rsid w:val="00474728"/>
    <w:rsid w:val="004748BA"/>
    <w:rsid w:val="00474A64"/>
    <w:rsid w:val="00475158"/>
    <w:rsid w:val="00475E22"/>
    <w:rsid w:val="004763C9"/>
    <w:rsid w:val="0047642C"/>
    <w:rsid w:val="00476779"/>
    <w:rsid w:val="004807F0"/>
    <w:rsid w:val="00481247"/>
    <w:rsid w:val="004820A1"/>
    <w:rsid w:val="004820CB"/>
    <w:rsid w:val="00482717"/>
    <w:rsid w:val="00482F02"/>
    <w:rsid w:val="00483CBB"/>
    <w:rsid w:val="004850E6"/>
    <w:rsid w:val="004868D1"/>
    <w:rsid w:val="00487EC6"/>
    <w:rsid w:val="00490B21"/>
    <w:rsid w:val="0049328C"/>
    <w:rsid w:val="00494717"/>
    <w:rsid w:val="004A0744"/>
    <w:rsid w:val="004A310F"/>
    <w:rsid w:val="004A6C34"/>
    <w:rsid w:val="004B331D"/>
    <w:rsid w:val="004B48F1"/>
    <w:rsid w:val="004B494F"/>
    <w:rsid w:val="004B4F24"/>
    <w:rsid w:val="004B5660"/>
    <w:rsid w:val="004B7F0E"/>
    <w:rsid w:val="004C5AC1"/>
    <w:rsid w:val="004D1C27"/>
    <w:rsid w:val="004D3130"/>
    <w:rsid w:val="004D3145"/>
    <w:rsid w:val="004D42A9"/>
    <w:rsid w:val="004D5312"/>
    <w:rsid w:val="004E1506"/>
    <w:rsid w:val="004E31A6"/>
    <w:rsid w:val="004E3306"/>
    <w:rsid w:val="004E3429"/>
    <w:rsid w:val="004E3788"/>
    <w:rsid w:val="004E3A93"/>
    <w:rsid w:val="004E6C6E"/>
    <w:rsid w:val="004F0CD4"/>
    <w:rsid w:val="004F2D28"/>
    <w:rsid w:val="004F34AC"/>
    <w:rsid w:val="004F3BC3"/>
    <w:rsid w:val="004F4C1F"/>
    <w:rsid w:val="004F660A"/>
    <w:rsid w:val="004F6677"/>
    <w:rsid w:val="004F782F"/>
    <w:rsid w:val="004F7FAC"/>
    <w:rsid w:val="00500FEC"/>
    <w:rsid w:val="00501978"/>
    <w:rsid w:val="00502D40"/>
    <w:rsid w:val="00504C65"/>
    <w:rsid w:val="005065E5"/>
    <w:rsid w:val="005107C6"/>
    <w:rsid w:val="00511213"/>
    <w:rsid w:val="00511364"/>
    <w:rsid w:val="0051600C"/>
    <w:rsid w:val="005205E4"/>
    <w:rsid w:val="00520A84"/>
    <w:rsid w:val="00520B2C"/>
    <w:rsid w:val="00520EF5"/>
    <w:rsid w:val="0052179A"/>
    <w:rsid w:val="00521903"/>
    <w:rsid w:val="00521DA4"/>
    <w:rsid w:val="0052204A"/>
    <w:rsid w:val="0052268A"/>
    <w:rsid w:val="005233B9"/>
    <w:rsid w:val="00523976"/>
    <w:rsid w:val="00523DB7"/>
    <w:rsid w:val="0052471F"/>
    <w:rsid w:val="005247AB"/>
    <w:rsid w:val="00524974"/>
    <w:rsid w:val="00524FF5"/>
    <w:rsid w:val="005263F8"/>
    <w:rsid w:val="0052767A"/>
    <w:rsid w:val="00527B03"/>
    <w:rsid w:val="00531853"/>
    <w:rsid w:val="00531F0E"/>
    <w:rsid w:val="005328E2"/>
    <w:rsid w:val="0053315A"/>
    <w:rsid w:val="0053358D"/>
    <w:rsid w:val="005340B2"/>
    <w:rsid w:val="00534718"/>
    <w:rsid w:val="00535E21"/>
    <w:rsid w:val="005364BD"/>
    <w:rsid w:val="00536A5A"/>
    <w:rsid w:val="00536E3A"/>
    <w:rsid w:val="005376ED"/>
    <w:rsid w:val="00545C2A"/>
    <w:rsid w:val="00546EFD"/>
    <w:rsid w:val="005503C0"/>
    <w:rsid w:val="00551DD2"/>
    <w:rsid w:val="0055217D"/>
    <w:rsid w:val="00552270"/>
    <w:rsid w:val="00553DD4"/>
    <w:rsid w:val="00555E5B"/>
    <w:rsid w:val="00560FA9"/>
    <w:rsid w:val="005613F7"/>
    <w:rsid w:val="00561FE2"/>
    <w:rsid w:val="005622A4"/>
    <w:rsid w:val="00562ABA"/>
    <w:rsid w:val="00562EAB"/>
    <w:rsid w:val="00563FB5"/>
    <w:rsid w:val="00564227"/>
    <w:rsid w:val="00565FF0"/>
    <w:rsid w:val="00566670"/>
    <w:rsid w:val="005676C8"/>
    <w:rsid w:val="0057008C"/>
    <w:rsid w:val="00572644"/>
    <w:rsid w:val="00573FA2"/>
    <w:rsid w:val="00575606"/>
    <w:rsid w:val="00580760"/>
    <w:rsid w:val="005809CB"/>
    <w:rsid w:val="00582640"/>
    <w:rsid w:val="00584540"/>
    <w:rsid w:val="00585C0E"/>
    <w:rsid w:val="005875A2"/>
    <w:rsid w:val="00591346"/>
    <w:rsid w:val="00591B2E"/>
    <w:rsid w:val="00592AF0"/>
    <w:rsid w:val="00593BB5"/>
    <w:rsid w:val="00596B87"/>
    <w:rsid w:val="0059783D"/>
    <w:rsid w:val="005A059C"/>
    <w:rsid w:val="005A0E7A"/>
    <w:rsid w:val="005A28C9"/>
    <w:rsid w:val="005A47F9"/>
    <w:rsid w:val="005A619E"/>
    <w:rsid w:val="005A6664"/>
    <w:rsid w:val="005B0AB7"/>
    <w:rsid w:val="005B11E5"/>
    <w:rsid w:val="005B14EB"/>
    <w:rsid w:val="005B14F2"/>
    <w:rsid w:val="005B3DF5"/>
    <w:rsid w:val="005B54F2"/>
    <w:rsid w:val="005B5526"/>
    <w:rsid w:val="005B64D9"/>
    <w:rsid w:val="005B652B"/>
    <w:rsid w:val="005B6F50"/>
    <w:rsid w:val="005B798C"/>
    <w:rsid w:val="005B7AF7"/>
    <w:rsid w:val="005C1763"/>
    <w:rsid w:val="005C1BC8"/>
    <w:rsid w:val="005C1C3F"/>
    <w:rsid w:val="005C4241"/>
    <w:rsid w:val="005C5233"/>
    <w:rsid w:val="005C629B"/>
    <w:rsid w:val="005C7DD0"/>
    <w:rsid w:val="005D12B6"/>
    <w:rsid w:val="005D2EE0"/>
    <w:rsid w:val="005D4AA7"/>
    <w:rsid w:val="005D610E"/>
    <w:rsid w:val="005D6203"/>
    <w:rsid w:val="005D67DE"/>
    <w:rsid w:val="005E0625"/>
    <w:rsid w:val="005E11C9"/>
    <w:rsid w:val="005E181C"/>
    <w:rsid w:val="005E30F0"/>
    <w:rsid w:val="005E3167"/>
    <w:rsid w:val="005E3C6C"/>
    <w:rsid w:val="005E4417"/>
    <w:rsid w:val="005E58A7"/>
    <w:rsid w:val="005E771F"/>
    <w:rsid w:val="005F0B89"/>
    <w:rsid w:val="005F0C00"/>
    <w:rsid w:val="005F3985"/>
    <w:rsid w:val="005F39F5"/>
    <w:rsid w:val="005F5682"/>
    <w:rsid w:val="005F61DA"/>
    <w:rsid w:val="005F648A"/>
    <w:rsid w:val="005F6C66"/>
    <w:rsid w:val="006008C7"/>
    <w:rsid w:val="00603374"/>
    <w:rsid w:val="00603A49"/>
    <w:rsid w:val="006049AB"/>
    <w:rsid w:val="006051E7"/>
    <w:rsid w:val="00606295"/>
    <w:rsid w:val="006066CA"/>
    <w:rsid w:val="00607D40"/>
    <w:rsid w:val="00610A30"/>
    <w:rsid w:val="00612B65"/>
    <w:rsid w:val="00613EC0"/>
    <w:rsid w:val="006144E3"/>
    <w:rsid w:val="00614654"/>
    <w:rsid w:val="0061502C"/>
    <w:rsid w:val="006159B4"/>
    <w:rsid w:val="006175FC"/>
    <w:rsid w:val="00617C40"/>
    <w:rsid w:val="006210C2"/>
    <w:rsid w:val="006235ED"/>
    <w:rsid w:val="00624490"/>
    <w:rsid w:val="0062657D"/>
    <w:rsid w:val="006319C5"/>
    <w:rsid w:val="0063331F"/>
    <w:rsid w:val="006335CD"/>
    <w:rsid w:val="00636000"/>
    <w:rsid w:val="00636A59"/>
    <w:rsid w:val="00637A2B"/>
    <w:rsid w:val="006400D4"/>
    <w:rsid w:val="00642AF7"/>
    <w:rsid w:val="00642D62"/>
    <w:rsid w:val="00643D34"/>
    <w:rsid w:val="00644AFE"/>
    <w:rsid w:val="00645680"/>
    <w:rsid w:val="00647AD4"/>
    <w:rsid w:val="006503EA"/>
    <w:rsid w:val="00651393"/>
    <w:rsid w:val="00651C7F"/>
    <w:rsid w:val="00652FD2"/>
    <w:rsid w:val="00653E9B"/>
    <w:rsid w:val="00654370"/>
    <w:rsid w:val="006559DE"/>
    <w:rsid w:val="00656234"/>
    <w:rsid w:val="00656C32"/>
    <w:rsid w:val="00656F19"/>
    <w:rsid w:val="006575BA"/>
    <w:rsid w:val="00657B19"/>
    <w:rsid w:val="006606FC"/>
    <w:rsid w:val="00662D72"/>
    <w:rsid w:val="00662DEB"/>
    <w:rsid w:val="006639E9"/>
    <w:rsid w:val="00664FA6"/>
    <w:rsid w:val="00666898"/>
    <w:rsid w:val="00670C0F"/>
    <w:rsid w:val="00671723"/>
    <w:rsid w:val="00672608"/>
    <w:rsid w:val="006730D5"/>
    <w:rsid w:val="00673458"/>
    <w:rsid w:val="00674162"/>
    <w:rsid w:val="00674A93"/>
    <w:rsid w:val="00676A54"/>
    <w:rsid w:val="00677603"/>
    <w:rsid w:val="006777EA"/>
    <w:rsid w:val="00677AE0"/>
    <w:rsid w:val="0068193F"/>
    <w:rsid w:val="00681B94"/>
    <w:rsid w:val="00681BB8"/>
    <w:rsid w:val="00681C07"/>
    <w:rsid w:val="00682AF5"/>
    <w:rsid w:val="0068602D"/>
    <w:rsid w:val="006874C9"/>
    <w:rsid w:val="0068796D"/>
    <w:rsid w:val="00690198"/>
    <w:rsid w:val="00690253"/>
    <w:rsid w:val="006907B4"/>
    <w:rsid w:val="00692714"/>
    <w:rsid w:val="006942C0"/>
    <w:rsid w:val="00694527"/>
    <w:rsid w:val="00694561"/>
    <w:rsid w:val="00694D8E"/>
    <w:rsid w:val="00696999"/>
    <w:rsid w:val="00696B4F"/>
    <w:rsid w:val="00696CD5"/>
    <w:rsid w:val="006A0FE4"/>
    <w:rsid w:val="006A2417"/>
    <w:rsid w:val="006A2AD8"/>
    <w:rsid w:val="006A3FF6"/>
    <w:rsid w:val="006A5709"/>
    <w:rsid w:val="006A6C7D"/>
    <w:rsid w:val="006A6D27"/>
    <w:rsid w:val="006A6E4A"/>
    <w:rsid w:val="006B16DE"/>
    <w:rsid w:val="006B49FD"/>
    <w:rsid w:val="006B5BE2"/>
    <w:rsid w:val="006B6579"/>
    <w:rsid w:val="006B6C08"/>
    <w:rsid w:val="006B7746"/>
    <w:rsid w:val="006C0098"/>
    <w:rsid w:val="006C02BD"/>
    <w:rsid w:val="006C094B"/>
    <w:rsid w:val="006C0E34"/>
    <w:rsid w:val="006C6482"/>
    <w:rsid w:val="006D36A8"/>
    <w:rsid w:val="006D36AA"/>
    <w:rsid w:val="006D38FB"/>
    <w:rsid w:val="006D41DD"/>
    <w:rsid w:val="006D4A24"/>
    <w:rsid w:val="006D61E6"/>
    <w:rsid w:val="006D62C5"/>
    <w:rsid w:val="006D68F2"/>
    <w:rsid w:val="006D73F0"/>
    <w:rsid w:val="006E052D"/>
    <w:rsid w:val="006E0D8D"/>
    <w:rsid w:val="006E1592"/>
    <w:rsid w:val="006E1EF1"/>
    <w:rsid w:val="006E5019"/>
    <w:rsid w:val="006E7797"/>
    <w:rsid w:val="006E78D1"/>
    <w:rsid w:val="006F2492"/>
    <w:rsid w:val="006F2782"/>
    <w:rsid w:val="006F2C1F"/>
    <w:rsid w:val="006F34D0"/>
    <w:rsid w:val="006F4155"/>
    <w:rsid w:val="006F4D37"/>
    <w:rsid w:val="006F505E"/>
    <w:rsid w:val="006F5482"/>
    <w:rsid w:val="006F63EB"/>
    <w:rsid w:val="006F7940"/>
    <w:rsid w:val="00700116"/>
    <w:rsid w:val="00700F73"/>
    <w:rsid w:val="00701580"/>
    <w:rsid w:val="00701CC3"/>
    <w:rsid w:val="00702856"/>
    <w:rsid w:val="00702E3F"/>
    <w:rsid w:val="007031AF"/>
    <w:rsid w:val="00703456"/>
    <w:rsid w:val="00703842"/>
    <w:rsid w:val="00703BBC"/>
    <w:rsid w:val="00703D15"/>
    <w:rsid w:val="0070596A"/>
    <w:rsid w:val="007060B5"/>
    <w:rsid w:val="007062DA"/>
    <w:rsid w:val="007063A5"/>
    <w:rsid w:val="00706C79"/>
    <w:rsid w:val="00706E71"/>
    <w:rsid w:val="00710093"/>
    <w:rsid w:val="00711148"/>
    <w:rsid w:val="00711185"/>
    <w:rsid w:val="00711F3C"/>
    <w:rsid w:val="00713068"/>
    <w:rsid w:val="0071383F"/>
    <w:rsid w:val="00714029"/>
    <w:rsid w:val="00714401"/>
    <w:rsid w:val="00716480"/>
    <w:rsid w:val="00720B8A"/>
    <w:rsid w:val="00720E98"/>
    <w:rsid w:val="007210A5"/>
    <w:rsid w:val="007230CD"/>
    <w:rsid w:val="0072378D"/>
    <w:rsid w:val="00724E11"/>
    <w:rsid w:val="007257AE"/>
    <w:rsid w:val="007300B9"/>
    <w:rsid w:val="00730D40"/>
    <w:rsid w:val="007310C7"/>
    <w:rsid w:val="0073318F"/>
    <w:rsid w:val="007337F6"/>
    <w:rsid w:val="00735747"/>
    <w:rsid w:val="00741229"/>
    <w:rsid w:val="00742890"/>
    <w:rsid w:val="007432C4"/>
    <w:rsid w:val="00743B6C"/>
    <w:rsid w:val="00743FDD"/>
    <w:rsid w:val="00744A70"/>
    <w:rsid w:val="0074508E"/>
    <w:rsid w:val="007511BB"/>
    <w:rsid w:val="00751C62"/>
    <w:rsid w:val="007536A1"/>
    <w:rsid w:val="00753C29"/>
    <w:rsid w:val="00753FFB"/>
    <w:rsid w:val="00761C4D"/>
    <w:rsid w:val="007666EF"/>
    <w:rsid w:val="00766EE3"/>
    <w:rsid w:val="0077030B"/>
    <w:rsid w:val="00770B78"/>
    <w:rsid w:val="007716C9"/>
    <w:rsid w:val="00772492"/>
    <w:rsid w:val="0077288A"/>
    <w:rsid w:val="00772F9C"/>
    <w:rsid w:val="0077410B"/>
    <w:rsid w:val="0077550F"/>
    <w:rsid w:val="00780E9E"/>
    <w:rsid w:val="007818D3"/>
    <w:rsid w:val="00784805"/>
    <w:rsid w:val="00785936"/>
    <w:rsid w:val="00785FC2"/>
    <w:rsid w:val="00787F88"/>
    <w:rsid w:val="00787FA1"/>
    <w:rsid w:val="007916B0"/>
    <w:rsid w:val="00791D50"/>
    <w:rsid w:val="007939B8"/>
    <w:rsid w:val="00795C21"/>
    <w:rsid w:val="00796AE4"/>
    <w:rsid w:val="00797853"/>
    <w:rsid w:val="007A34C0"/>
    <w:rsid w:val="007A542B"/>
    <w:rsid w:val="007A6451"/>
    <w:rsid w:val="007A6A6C"/>
    <w:rsid w:val="007A7416"/>
    <w:rsid w:val="007A7652"/>
    <w:rsid w:val="007B02BE"/>
    <w:rsid w:val="007B182E"/>
    <w:rsid w:val="007B2280"/>
    <w:rsid w:val="007B2684"/>
    <w:rsid w:val="007B6363"/>
    <w:rsid w:val="007B73E1"/>
    <w:rsid w:val="007C1A40"/>
    <w:rsid w:val="007C2055"/>
    <w:rsid w:val="007C22C0"/>
    <w:rsid w:val="007C516C"/>
    <w:rsid w:val="007C5741"/>
    <w:rsid w:val="007C738D"/>
    <w:rsid w:val="007D1501"/>
    <w:rsid w:val="007D1932"/>
    <w:rsid w:val="007D32B0"/>
    <w:rsid w:val="007D40B3"/>
    <w:rsid w:val="007D40FB"/>
    <w:rsid w:val="007D4FFE"/>
    <w:rsid w:val="007E1344"/>
    <w:rsid w:val="007E1350"/>
    <w:rsid w:val="007E252F"/>
    <w:rsid w:val="007E33FA"/>
    <w:rsid w:val="007E3448"/>
    <w:rsid w:val="007E5F74"/>
    <w:rsid w:val="007E6518"/>
    <w:rsid w:val="007E7A17"/>
    <w:rsid w:val="007F2463"/>
    <w:rsid w:val="007F26E2"/>
    <w:rsid w:val="007F2BD5"/>
    <w:rsid w:val="007F2D6D"/>
    <w:rsid w:val="007F2E38"/>
    <w:rsid w:val="007F6031"/>
    <w:rsid w:val="007F6096"/>
    <w:rsid w:val="0080034E"/>
    <w:rsid w:val="00800A22"/>
    <w:rsid w:val="008055BB"/>
    <w:rsid w:val="0080641C"/>
    <w:rsid w:val="00806743"/>
    <w:rsid w:val="00807671"/>
    <w:rsid w:val="00807D9C"/>
    <w:rsid w:val="00811D8C"/>
    <w:rsid w:val="00816FC4"/>
    <w:rsid w:val="00817879"/>
    <w:rsid w:val="008206E1"/>
    <w:rsid w:val="00820C0E"/>
    <w:rsid w:val="00821BA4"/>
    <w:rsid w:val="00825269"/>
    <w:rsid w:val="00827179"/>
    <w:rsid w:val="00827A4B"/>
    <w:rsid w:val="00827DB5"/>
    <w:rsid w:val="00831C1E"/>
    <w:rsid w:val="0083249F"/>
    <w:rsid w:val="008332FB"/>
    <w:rsid w:val="00834BCC"/>
    <w:rsid w:val="008353D7"/>
    <w:rsid w:val="00835478"/>
    <w:rsid w:val="00836174"/>
    <w:rsid w:val="00836556"/>
    <w:rsid w:val="00836871"/>
    <w:rsid w:val="0084084E"/>
    <w:rsid w:val="008410F3"/>
    <w:rsid w:val="00844617"/>
    <w:rsid w:val="00845004"/>
    <w:rsid w:val="008457F9"/>
    <w:rsid w:val="00846762"/>
    <w:rsid w:val="00850667"/>
    <w:rsid w:val="008510DD"/>
    <w:rsid w:val="00854C44"/>
    <w:rsid w:val="008563C0"/>
    <w:rsid w:val="00857F6A"/>
    <w:rsid w:val="008607B0"/>
    <w:rsid w:val="00862772"/>
    <w:rsid w:val="008635F2"/>
    <w:rsid w:val="008646EA"/>
    <w:rsid w:val="00864F39"/>
    <w:rsid w:val="00870E5A"/>
    <w:rsid w:val="00872827"/>
    <w:rsid w:val="0087313E"/>
    <w:rsid w:val="00877E85"/>
    <w:rsid w:val="008805E8"/>
    <w:rsid w:val="00882F8B"/>
    <w:rsid w:val="008834ED"/>
    <w:rsid w:val="00883718"/>
    <w:rsid w:val="00886E35"/>
    <w:rsid w:val="00892886"/>
    <w:rsid w:val="00893618"/>
    <w:rsid w:val="00894324"/>
    <w:rsid w:val="0089679A"/>
    <w:rsid w:val="008969C1"/>
    <w:rsid w:val="00897DC4"/>
    <w:rsid w:val="008A0ABA"/>
    <w:rsid w:val="008A0E4B"/>
    <w:rsid w:val="008A2B13"/>
    <w:rsid w:val="008A372E"/>
    <w:rsid w:val="008A4515"/>
    <w:rsid w:val="008A4698"/>
    <w:rsid w:val="008A7A6C"/>
    <w:rsid w:val="008A7DE9"/>
    <w:rsid w:val="008B0C09"/>
    <w:rsid w:val="008B1E80"/>
    <w:rsid w:val="008B3868"/>
    <w:rsid w:val="008B3B20"/>
    <w:rsid w:val="008B51AB"/>
    <w:rsid w:val="008B6658"/>
    <w:rsid w:val="008B7FA5"/>
    <w:rsid w:val="008C1D3B"/>
    <w:rsid w:val="008C24EB"/>
    <w:rsid w:val="008C2790"/>
    <w:rsid w:val="008C3EDE"/>
    <w:rsid w:val="008C524B"/>
    <w:rsid w:val="008C577B"/>
    <w:rsid w:val="008C5A01"/>
    <w:rsid w:val="008C66A8"/>
    <w:rsid w:val="008D0B52"/>
    <w:rsid w:val="008D17E1"/>
    <w:rsid w:val="008D373D"/>
    <w:rsid w:val="008D38B8"/>
    <w:rsid w:val="008D54C1"/>
    <w:rsid w:val="008D569C"/>
    <w:rsid w:val="008D63CB"/>
    <w:rsid w:val="008D656C"/>
    <w:rsid w:val="008D7BB8"/>
    <w:rsid w:val="008E09CE"/>
    <w:rsid w:val="008E09EA"/>
    <w:rsid w:val="008E172F"/>
    <w:rsid w:val="008E436C"/>
    <w:rsid w:val="008E7D03"/>
    <w:rsid w:val="008F4978"/>
    <w:rsid w:val="008F4C7F"/>
    <w:rsid w:val="008F4EE0"/>
    <w:rsid w:val="008F5F3D"/>
    <w:rsid w:val="008F6C78"/>
    <w:rsid w:val="008F6DDD"/>
    <w:rsid w:val="008F6FE6"/>
    <w:rsid w:val="008F7CE8"/>
    <w:rsid w:val="00900D3F"/>
    <w:rsid w:val="00901FB3"/>
    <w:rsid w:val="00903E67"/>
    <w:rsid w:val="00903F1E"/>
    <w:rsid w:val="0090560B"/>
    <w:rsid w:val="00905D49"/>
    <w:rsid w:val="009064FF"/>
    <w:rsid w:val="0090660E"/>
    <w:rsid w:val="009067DC"/>
    <w:rsid w:val="009108C5"/>
    <w:rsid w:val="00910B5D"/>
    <w:rsid w:val="009110B9"/>
    <w:rsid w:val="0091410D"/>
    <w:rsid w:val="00915BDE"/>
    <w:rsid w:val="00920052"/>
    <w:rsid w:val="0092125A"/>
    <w:rsid w:val="00922051"/>
    <w:rsid w:val="00923522"/>
    <w:rsid w:val="0092381E"/>
    <w:rsid w:val="00923DEA"/>
    <w:rsid w:val="00925008"/>
    <w:rsid w:val="00925374"/>
    <w:rsid w:val="00925B65"/>
    <w:rsid w:val="0092648E"/>
    <w:rsid w:val="00926A62"/>
    <w:rsid w:val="0092735A"/>
    <w:rsid w:val="00927E6C"/>
    <w:rsid w:val="00931680"/>
    <w:rsid w:val="00933863"/>
    <w:rsid w:val="00937DDE"/>
    <w:rsid w:val="009429D4"/>
    <w:rsid w:val="00943377"/>
    <w:rsid w:val="00943701"/>
    <w:rsid w:val="00944FB5"/>
    <w:rsid w:val="00947030"/>
    <w:rsid w:val="00947099"/>
    <w:rsid w:val="009472A5"/>
    <w:rsid w:val="009475F3"/>
    <w:rsid w:val="00947974"/>
    <w:rsid w:val="0095191D"/>
    <w:rsid w:val="00952656"/>
    <w:rsid w:val="00952CAE"/>
    <w:rsid w:val="009534F2"/>
    <w:rsid w:val="00954C30"/>
    <w:rsid w:val="00956A89"/>
    <w:rsid w:val="00957780"/>
    <w:rsid w:val="0096317C"/>
    <w:rsid w:val="0096538C"/>
    <w:rsid w:val="00965D26"/>
    <w:rsid w:val="00965EF2"/>
    <w:rsid w:val="009660FE"/>
    <w:rsid w:val="009662B5"/>
    <w:rsid w:val="009665A3"/>
    <w:rsid w:val="00966EC0"/>
    <w:rsid w:val="00967B5B"/>
    <w:rsid w:val="00970B9C"/>
    <w:rsid w:val="00971836"/>
    <w:rsid w:val="00972036"/>
    <w:rsid w:val="00973407"/>
    <w:rsid w:val="00973AC7"/>
    <w:rsid w:val="0097492D"/>
    <w:rsid w:val="0097497A"/>
    <w:rsid w:val="00975C9C"/>
    <w:rsid w:val="00976405"/>
    <w:rsid w:val="00977E6E"/>
    <w:rsid w:val="00981420"/>
    <w:rsid w:val="00981480"/>
    <w:rsid w:val="009822C4"/>
    <w:rsid w:val="00983375"/>
    <w:rsid w:val="00984C52"/>
    <w:rsid w:val="00985417"/>
    <w:rsid w:val="009907F3"/>
    <w:rsid w:val="00990889"/>
    <w:rsid w:val="00990997"/>
    <w:rsid w:val="00991722"/>
    <w:rsid w:val="00991B0C"/>
    <w:rsid w:val="00991BCE"/>
    <w:rsid w:val="00992F4F"/>
    <w:rsid w:val="00993FC8"/>
    <w:rsid w:val="00994276"/>
    <w:rsid w:val="00994C6F"/>
    <w:rsid w:val="00995434"/>
    <w:rsid w:val="00996294"/>
    <w:rsid w:val="009963A8"/>
    <w:rsid w:val="009A0088"/>
    <w:rsid w:val="009A0D31"/>
    <w:rsid w:val="009A166A"/>
    <w:rsid w:val="009A1BEB"/>
    <w:rsid w:val="009A1CF8"/>
    <w:rsid w:val="009A1E0A"/>
    <w:rsid w:val="009A287B"/>
    <w:rsid w:val="009A66F0"/>
    <w:rsid w:val="009A6C58"/>
    <w:rsid w:val="009A7422"/>
    <w:rsid w:val="009B089A"/>
    <w:rsid w:val="009B2C73"/>
    <w:rsid w:val="009B33E9"/>
    <w:rsid w:val="009B34B6"/>
    <w:rsid w:val="009B4307"/>
    <w:rsid w:val="009B528F"/>
    <w:rsid w:val="009C00F7"/>
    <w:rsid w:val="009C0879"/>
    <w:rsid w:val="009C14E9"/>
    <w:rsid w:val="009C186F"/>
    <w:rsid w:val="009C1E69"/>
    <w:rsid w:val="009C2A59"/>
    <w:rsid w:val="009C2EFC"/>
    <w:rsid w:val="009C2FFD"/>
    <w:rsid w:val="009C3D96"/>
    <w:rsid w:val="009C6307"/>
    <w:rsid w:val="009C668E"/>
    <w:rsid w:val="009C6B00"/>
    <w:rsid w:val="009C71BB"/>
    <w:rsid w:val="009C7B2B"/>
    <w:rsid w:val="009D0FD9"/>
    <w:rsid w:val="009D3277"/>
    <w:rsid w:val="009D3BD0"/>
    <w:rsid w:val="009D513C"/>
    <w:rsid w:val="009E0520"/>
    <w:rsid w:val="009E2C75"/>
    <w:rsid w:val="009E4832"/>
    <w:rsid w:val="009E570F"/>
    <w:rsid w:val="009E6FB5"/>
    <w:rsid w:val="009F029C"/>
    <w:rsid w:val="009F0627"/>
    <w:rsid w:val="009F1157"/>
    <w:rsid w:val="009F1510"/>
    <w:rsid w:val="009F1541"/>
    <w:rsid w:val="009F1A57"/>
    <w:rsid w:val="009F34C2"/>
    <w:rsid w:val="009F40CE"/>
    <w:rsid w:val="009F4345"/>
    <w:rsid w:val="009F4E41"/>
    <w:rsid w:val="00A0015F"/>
    <w:rsid w:val="00A0020F"/>
    <w:rsid w:val="00A00C70"/>
    <w:rsid w:val="00A0108B"/>
    <w:rsid w:val="00A01CE2"/>
    <w:rsid w:val="00A02ED0"/>
    <w:rsid w:val="00A02F87"/>
    <w:rsid w:val="00A03BB4"/>
    <w:rsid w:val="00A046F3"/>
    <w:rsid w:val="00A047C5"/>
    <w:rsid w:val="00A1056E"/>
    <w:rsid w:val="00A119B9"/>
    <w:rsid w:val="00A1249B"/>
    <w:rsid w:val="00A12A60"/>
    <w:rsid w:val="00A1614B"/>
    <w:rsid w:val="00A1660A"/>
    <w:rsid w:val="00A16BE5"/>
    <w:rsid w:val="00A2066A"/>
    <w:rsid w:val="00A21227"/>
    <w:rsid w:val="00A21392"/>
    <w:rsid w:val="00A22C8A"/>
    <w:rsid w:val="00A23221"/>
    <w:rsid w:val="00A252DF"/>
    <w:rsid w:val="00A26E79"/>
    <w:rsid w:val="00A31A45"/>
    <w:rsid w:val="00A31DE0"/>
    <w:rsid w:val="00A32002"/>
    <w:rsid w:val="00A32508"/>
    <w:rsid w:val="00A351A0"/>
    <w:rsid w:val="00A3568F"/>
    <w:rsid w:val="00A36A96"/>
    <w:rsid w:val="00A36D92"/>
    <w:rsid w:val="00A377CD"/>
    <w:rsid w:val="00A379BD"/>
    <w:rsid w:val="00A37D27"/>
    <w:rsid w:val="00A4270E"/>
    <w:rsid w:val="00A44AD2"/>
    <w:rsid w:val="00A4561E"/>
    <w:rsid w:val="00A4573B"/>
    <w:rsid w:val="00A46EA5"/>
    <w:rsid w:val="00A479FB"/>
    <w:rsid w:val="00A518B0"/>
    <w:rsid w:val="00A52877"/>
    <w:rsid w:val="00A537FC"/>
    <w:rsid w:val="00A561E8"/>
    <w:rsid w:val="00A56842"/>
    <w:rsid w:val="00A616C5"/>
    <w:rsid w:val="00A61CA3"/>
    <w:rsid w:val="00A63017"/>
    <w:rsid w:val="00A64448"/>
    <w:rsid w:val="00A654AD"/>
    <w:rsid w:val="00A674F2"/>
    <w:rsid w:val="00A71652"/>
    <w:rsid w:val="00A71675"/>
    <w:rsid w:val="00A73818"/>
    <w:rsid w:val="00A73CA7"/>
    <w:rsid w:val="00A7427D"/>
    <w:rsid w:val="00A74F6E"/>
    <w:rsid w:val="00A75B4C"/>
    <w:rsid w:val="00A76476"/>
    <w:rsid w:val="00A76CED"/>
    <w:rsid w:val="00A77692"/>
    <w:rsid w:val="00A77A7F"/>
    <w:rsid w:val="00A80840"/>
    <w:rsid w:val="00A8085C"/>
    <w:rsid w:val="00A827FE"/>
    <w:rsid w:val="00A8562F"/>
    <w:rsid w:val="00A90AD2"/>
    <w:rsid w:val="00A920A8"/>
    <w:rsid w:val="00A92252"/>
    <w:rsid w:val="00A93494"/>
    <w:rsid w:val="00A93EE1"/>
    <w:rsid w:val="00A93F70"/>
    <w:rsid w:val="00A9405C"/>
    <w:rsid w:val="00A9418A"/>
    <w:rsid w:val="00A941D2"/>
    <w:rsid w:val="00A953B2"/>
    <w:rsid w:val="00A96F71"/>
    <w:rsid w:val="00A9730D"/>
    <w:rsid w:val="00AA318E"/>
    <w:rsid w:val="00AA517C"/>
    <w:rsid w:val="00AA7731"/>
    <w:rsid w:val="00AB0368"/>
    <w:rsid w:val="00AB265D"/>
    <w:rsid w:val="00AB409A"/>
    <w:rsid w:val="00AB43E0"/>
    <w:rsid w:val="00AB5A0C"/>
    <w:rsid w:val="00AB5DF9"/>
    <w:rsid w:val="00AB78A7"/>
    <w:rsid w:val="00AC1EB9"/>
    <w:rsid w:val="00AC5AED"/>
    <w:rsid w:val="00AD1F56"/>
    <w:rsid w:val="00AD3BE5"/>
    <w:rsid w:val="00AD3EEE"/>
    <w:rsid w:val="00AD4DAF"/>
    <w:rsid w:val="00AD4DCB"/>
    <w:rsid w:val="00AD5CC4"/>
    <w:rsid w:val="00AD6ADB"/>
    <w:rsid w:val="00AE0161"/>
    <w:rsid w:val="00AE1498"/>
    <w:rsid w:val="00AE37CB"/>
    <w:rsid w:val="00AE4DCD"/>
    <w:rsid w:val="00AE6F43"/>
    <w:rsid w:val="00AE6FCF"/>
    <w:rsid w:val="00AE7C08"/>
    <w:rsid w:val="00AF0E19"/>
    <w:rsid w:val="00AF0EC6"/>
    <w:rsid w:val="00AF1E1B"/>
    <w:rsid w:val="00AF1FEC"/>
    <w:rsid w:val="00AF2299"/>
    <w:rsid w:val="00AF33C1"/>
    <w:rsid w:val="00AF3484"/>
    <w:rsid w:val="00AF421E"/>
    <w:rsid w:val="00AF4972"/>
    <w:rsid w:val="00AF49CD"/>
    <w:rsid w:val="00AF688A"/>
    <w:rsid w:val="00B008BD"/>
    <w:rsid w:val="00B00AD9"/>
    <w:rsid w:val="00B00B67"/>
    <w:rsid w:val="00B00BC1"/>
    <w:rsid w:val="00B0126B"/>
    <w:rsid w:val="00B01CA7"/>
    <w:rsid w:val="00B023E0"/>
    <w:rsid w:val="00B03FD4"/>
    <w:rsid w:val="00B0496F"/>
    <w:rsid w:val="00B05395"/>
    <w:rsid w:val="00B059BC"/>
    <w:rsid w:val="00B05C87"/>
    <w:rsid w:val="00B062A1"/>
    <w:rsid w:val="00B0772F"/>
    <w:rsid w:val="00B10140"/>
    <w:rsid w:val="00B10715"/>
    <w:rsid w:val="00B117C6"/>
    <w:rsid w:val="00B11EC3"/>
    <w:rsid w:val="00B12216"/>
    <w:rsid w:val="00B13899"/>
    <w:rsid w:val="00B13DFF"/>
    <w:rsid w:val="00B1458C"/>
    <w:rsid w:val="00B1739A"/>
    <w:rsid w:val="00B1756D"/>
    <w:rsid w:val="00B177A2"/>
    <w:rsid w:val="00B22E21"/>
    <w:rsid w:val="00B23644"/>
    <w:rsid w:val="00B25D75"/>
    <w:rsid w:val="00B25DB5"/>
    <w:rsid w:val="00B26CD5"/>
    <w:rsid w:val="00B301AB"/>
    <w:rsid w:val="00B34D7D"/>
    <w:rsid w:val="00B34F16"/>
    <w:rsid w:val="00B3542A"/>
    <w:rsid w:val="00B35D8E"/>
    <w:rsid w:val="00B36DC9"/>
    <w:rsid w:val="00B402E5"/>
    <w:rsid w:val="00B41E48"/>
    <w:rsid w:val="00B43223"/>
    <w:rsid w:val="00B443BB"/>
    <w:rsid w:val="00B467CB"/>
    <w:rsid w:val="00B469E5"/>
    <w:rsid w:val="00B478FE"/>
    <w:rsid w:val="00B51185"/>
    <w:rsid w:val="00B540C3"/>
    <w:rsid w:val="00B54FAB"/>
    <w:rsid w:val="00B5621D"/>
    <w:rsid w:val="00B6060D"/>
    <w:rsid w:val="00B62EA7"/>
    <w:rsid w:val="00B636B2"/>
    <w:rsid w:val="00B63F4B"/>
    <w:rsid w:val="00B67CD5"/>
    <w:rsid w:val="00B72C7C"/>
    <w:rsid w:val="00B733C2"/>
    <w:rsid w:val="00B738A1"/>
    <w:rsid w:val="00B75321"/>
    <w:rsid w:val="00B75665"/>
    <w:rsid w:val="00B75BC8"/>
    <w:rsid w:val="00B7608E"/>
    <w:rsid w:val="00B809B9"/>
    <w:rsid w:val="00B809CD"/>
    <w:rsid w:val="00B81B6C"/>
    <w:rsid w:val="00B826DA"/>
    <w:rsid w:val="00B82A3E"/>
    <w:rsid w:val="00B83FE9"/>
    <w:rsid w:val="00B84823"/>
    <w:rsid w:val="00B853E5"/>
    <w:rsid w:val="00B856A9"/>
    <w:rsid w:val="00B861BA"/>
    <w:rsid w:val="00B865F9"/>
    <w:rsid w:val="00B87317"/>
    <w:rsid w:val="00B87A6D"/>
    <w:rsid w:val="00B91279"/>
    <w:rsid w:val="00B91D02"/>
    <w:rsid w:val="00B929C6"/>
    <w:rsid w:val="00B938F2"/>
    <w:rsid w:val="00B95263"/>
    <w:rsid w:val="00B9563F"/>
    <w:rsid w:val="00B96A90"/>
    <w:rsid w:val="00B97878"/>
    <w:rsid w:val="00BA2E15"/>
    <w:rsid w:val="00BA38E7"/>
    <w:rsid w:val="00BA47CC"/>
    <w:rsid w:val="00BA4898"/>
    <w:rsid w:val="00BA5D4B"/>
    <w:rsid w:val="00BA6CC9"/>
    <w:rsid w:val="00BB1563"/>
    <w:rsid w:val="00BB1AC1"/>
    <w:rsid w:val="00BB1CE9"/>
    <w:rsid w:val="00BB2B71"/>
    <w:rsid w:val="00BB3953"/>
    <w:rsid w:val="00BB560E"/>
    <w:rsid w:val="00BB7658"/>
    <w:rsid w:val="00BC1D80"/>
    <w:rsid w:val="00BC1EA5"/>
    <w:rsid w:val="00BC1F5B"/>
    <w:rsid w:val="00BC2FE1"/>
    <w:rsid w:val="00BC31E1"/>
    <w:rsid w:val="00BC3915"/>
    <w:rsid w:val="00BC39BA"/>
    <w:rsid w:val="00BC560D"/>
    <w:rsid w:val="00BC5A13"/>
    <w:rsid w:val="00BC5C52"/>
    <w:rsid w:val="00BC6036"/>
    <w:rsid w:val="00BC63F1"/>
    <w:rsid w:val="00BC6E26"/>
    <w:rsid w:val="00BC72DB"/>
    <w:rsid w:val="00BD02E3"/>
    <w:rsid w:val="00BD0CA4"/>
    <w:rsid w:val="00BD39DA"/>
    <w:rsid w:val="00BD5C71"/>
    <w:rsid w:val="00BE0066"/>
    <w:rsid w:val="00BE0E6E"/>
    <w:rsid w:val="00BE144B"/>
    <w:rsid w:val="00BE316C"/>
    <w:rsid w:val="00BE4617"/>
    <w:rsid w:val="00BE56E6"/>
    <w:rsid w:val="00BE680E"/>
    <w:rsid w:val="00BE7AB5"/>
    <w:rsid w:val="00BF0B16"/>
    <w:rsid w:val="00BF1068"/>
    <w:rsid w:val="00BF2461"/>
    <w:rsid w:val="00BF27B6"/>
    <w:rsid w:val="00BF5A24"/>
    <w:rsid w:val="00BF6FFF"/>
    <w:rsid w:val="00BF7C00"/>
    <w:rsid w:val="00BF7CED"/>
    <w:rsid w:val="00C00BD1"/>
    <w:rsid w:val="00C00C48"/>
    <w:rsid w:val="00C017DA"/>
    <w:rsid w:val="00C018D4"/>
    <w:rsid w:val="00C031DA"/>
    <w:rsid w:val="00C042A7"/>
    <w:rsid w:val="00C042C9"/>
    <w:rsid w:val="00C054B0"/>
    <w:rsid w:val="00C100E2"/>
    <w:rsid w:val="00C10E75"/>
    <w:rsid w:val="00C11249"/>
    <w:rsid w:val="00C11DE8"/>
    <w:rsid w:val="00C12369"/>
    <w:rsid w:val="00C12947"/>
    <w:rsid w:val="00C14E0E"/>
    <w:rsid w:val="00C150A0"/>
    <w:rsid w:val="00C1532D"/>
    <w:rsid w:val="00C210A5"/>
    <w:rsid w:val="00C224F7"/>
    <w:rsid w:val="00C22A46"/>
    <w:rsid w:val="00C22CB7"/>
    <w:rsid w:val="00C237AC"/>
    <w:rsid w:val="00C2430B"/>
    <w:rsid w:val="00C26EC8"/>
    <w:rsid w:val="00C3009A"/>
    <w:rsid w:val="00C3171E"/>
    <w:rsid w:val="00C329B4"/>
    <w:rsid w:val="00C34718"/>
    <w:rsid w:val="00C349EA"/>
    <w:rsid w:val="00C358EC"/>
    <w:rsid w:val="00C36607"/>
    <w:rsid w:val="00C3691B"/>
    <w:rsid w:val="00C408D9"/>
    <w:rsid w:val="00C410D2"/>
    <w:rsid w:val="00C414F9"/>
    <w:rsid w:val="00C41DAB"/>
    <w:rsid w:val="00C421E1"/>
    <w:rsid w:val="00C42771"/>
    <w:rsid w:val="00C42931"/>
    <w:rsid w:val="00C43B58"/>
    <w:rsid w:val="00C506B5"/>
    <w:rsid w:val="00C50E3A"/>
    <w:rsid w:val="00C51FBF"/>
    <w:rsid w:val="00C53358"/>
    <w:rsid w:val="00C5515A"/>
    <w:rsid w:val="00C55206"/>
    <w:rsid w:val="00C56208"/>
    <w:rsid w:val="00C61094"/>
    <w:rsid w:val="00C61725"/>
    <w:rsid w:val="00C62EBC"/>
    <w:rsid w:val="00C6389C"/>
    <w:rsid w:val="00C64FE4"/>
    <w:rsid w:val="00C65BF3"/>
    <w:rsid w:val="00C720E1"/>
    <w:rsid w:val="00C73F1F"/>
    <w:rsid w:val="00C75272"/>
    <w:rsid w:val="00C829AF"/>
    <w:rsid w:val="00C82F90"/>
    <w:rsid w:val="00C8416C"/>
    <w:rsid w:val="00C84694"/>
    <w:rsid w:val="00C8578D"/>
    <w:rsid w:val="00C8784A"/>
    <w:rsid w:val="00C90686"/>
    <w:rsid w:val="00C907FB"/>
    <w:rsid w:val="00C909E6"/>
    <w:rsid w:val="00C92E47"/>
    <w:rsid w:val="00C932B5"/>
    <w:rsid w:val="00C93313"/>
    <w:rsid w:val="00C94958"/>
    <w:rsid w:val="00C978E3"/>
    <w:rsid w:val="00C97915"/>
    <w:rsid w:val="00C97BCD"/>
    <w:rsid w:val="00CA0A3D"/>
    <w:rsid w:val="00CA1ED9"/>
    <w:rsid w:val="00CA3E2F"/>
    <w:rsid w:val="00CA3EBF"/>
    <w:rsid w:val="00CA3EF9"/>
    <w:rsid w:val="00CA73C4"/>
    <w:rsid w:val="00CA75AC"/>
    <w:rsid w:val="00CB0506"/>
    <w:rsid w:val="00CB0AC7"/>
    <w:rsid w:val="00CB0E24"/>
    <w:rsid w:val="00CB2297"/>
    <w:rsid w:val="00CB2CA6"/>
    <w:rsid w:val="00CB57CE"/>
    <w:rsid w:val="00CB5C1E"/>
    <w:rsid w:val="00CB616E"/>
    <w:rsid w:val="00CB6194"/>
    <w:rsid w:val="00CB737A"/>
    <w:rsid w:val="00CC102B"/>
    <w:rsid w:val="00CC2381"/>
    <w:rsid w:val="00CC2A60"/>
    <w:rsid w:val="00CC3070"/>
    <w:rsid w:val="00CC3D31"/>
    <w:rsid w:val="00CC437F"/>
    <w:rsid w:val="00CC43AF"/>
    <w:rsid w:val="00CC4549"/>
    <w:rsid w:val="00CD073C"/>
    <w:rsid w:val="00CD4270"/>
    <w:rsid w:val="00CD4D69"/>
    <w:rsid w:val="00CD71E8"/>
    <w:rsid w:val="00CE0155"/>
    <w:rsid w:val="00CE0A32"/>
    <w:rsid w:val="00CE1850"/>
    <w:rsid w:val="00CE23A5"/>
    <w:rsid w:val="00CE30B1"/>
    <w:rsid w:val="00CE4F73"/>
    <w:rsid w:val="00CE5A5A"/>
    <w:rsid w:val="00CE5BDF"/>
    <w:rsid w:val="00CE5D9E"/>
    <w:rsid w:val="00CE7ECA"/>
    <w:rsid w:val="00CF00D5"/>
    <w:rsid w:val="00CF0337"/>
    <w:rsid w:val="00CF06D9"/>
    <w:rsid w:val="00CF1155"/>
    <w:rsid w:val="00CF12A6"/>
    <w:rsid w:val="00CF197F"/>
    <w:rsid w:val="00CF1EB2"/>
    <w:rsid w:val="00CF3BDE"/>
    <w:rsid w:val="00CF4158"/>
    <w:rsid w:val="00CF7C56"/>
    <w:rsid w:val="00D0175D"/>
    <w:rsid w:val="00D02330"/>
    <w:rsid w:val="00D032D8"/>
    <w:rsid w:val="00D03BE6"/>
    <w:rsid w:val="00D03C48"/>
    <w:rsid w:val="00D049F1"/>
    <w:rsid w:val="00D04E41"/>
    <w:rsid w:val="00D07337"/>
    <w:rsid w:val="00D1000B"/>
    <w:rsid w:val="00D10AA3"/>
    <w:rsid w:val="00D13079"/>
    <w:rsid w:val="00D13DCE"/>
    <w:rsid w:val="00D15248"/>
    <w:rsid w:val="00D15510"/>
    <w:rsid w:val="00D16E11"/>
    <w:rsid w:val="00D176A2"/>
    <w:rsid w:val="00D20075"/>
    <w:rsid w:val="00D23760"/>
    <w:rsid w:val="00D23AFB"/>
    <w:rsid w:val="00D23C43"/>
    <w:rsid w:val="00D24C05"/>
    <w:rsid w:val="00D25DE3"/>
    <w:rsid w:val="00D315C0"/>
    <w:rsid w:val="00D315F3"/>
    <w:rsid w:val="00D34C37"/>
    <w:rsid w:val="00D34E39"/>
    <w:rsid w:val="00D3534C"/>
    <w:rsid w:val="00D354F4"/>
    <w:rsid w:val="00D3552A"/>
    <w:rsid w:val="00D4002E"/>
    <w:rsid w:val="00D407DE"/>
    <w:rsid w:val="00D40CEC"/>
    <w:rsid w:val="00D41738"/>
    <w:rsid w:val="00D433B3"/>
    <w:rsid w:val="00D443CC"/>
    <w:rsid w:val="00D46894"/>
    <w:rsid w:val="00D507F4"/>
    <w:rsid w:val="00D52BE8"/>
    <w:rsid w:val="00D54F3B"/>
    <w:rsid w:val="00D55C10"/>
    <w:rsid w:val="00D56C31"/>
    <w:rsid w:val="00D579A2"/>
    <w:rsid w:val="00D600B3"/>
    <w:rsid w:val="00D6358F"/>
    <w:rsid w:val="00D63CC3"/>
    <w:rsid w:val="00D63E91"/>
    <w:rsid w:val="00D732E5"/>
    <w:rsid w:val="00D73B09"/>
    <w:rsid w:val="00D742E1"/>
    <w:rsid w:val="00D74463"/>
    <w:rsid w:val="00D7582F"/>
    <w:rsid w:val="00D75C7C"/>
    <w:rsid w:val="00D761F0"/>
    <w:rsid w:val="00D76A57"/>
    <w:rsid w:val="00D772DE"/>
    <w:rsid w:val="00D80198"/>
    <w:rsid w:val="00D8507B"/>
    <w:rsid w:val="00D85F8E"/>
    <w:rsid w:val="00D8652C"/>
    <w:rsid w:val="00D914A6"/>
    <w:rsid w:val="00D92C31"/>
    <w:rsid w:val="00D92FC9"/>
    <w:rsid w:val="00D9330F"/>
    <w:rsid w:val="00D93B29"/>
    <w:rsid w:val="00D944E2"/>
    <w:rsid w:val="00D950F2"/>
    <w:rsid w:val="00D971A1"/>
    <w:rsid w:val="00DA03D7"/>
    <w:rsid w:val="00DA1387"/>
    <w:rsid w:val="00DA4E23"/>
    <w:rsid w:val="00DA63B8"/>
    <w:rsid w:val="00DA6417"/>
    <w:rsid w:val="00DA6860"/>
    <w:rsid w:val="00DB0858"/>
    <w:rsid w:val="00DB0F37"/>
    <w:rsid w:val="00DB14BB"/>
    <w:rsid w:val="00DB26F2"/>
    <w:rsid w:val="00DB380C"/>
    <w:rsid w:val="00DB5C83"/>
    <w:rsid w:val="00DB5F70"/>
    <w:rsid w:val="00DB60F3"/>
    <w:rsid w:val="00DB6B5A"/>
    <w:rsid w:val="00DB7E76"/>
    <w:rsid w:val="00DC1ACB"/>
    <w:rsid w:val="00DC2510"/>
    <w:rsid w:val="00DC43C6"/>
    <w:rsid w:val="00DC59C1"/>
    <w:rsid w:val="00DC5FD4"/>
    <w:rsid w:val="00DC775F"/>
    <w:rsid w:val="00DC7921"/>
    <w:rsid w:val="00DD0A9E"/>
    <w:rsid w:val="00DD32AF"/>
    <w:rsid w:val="00DD4FE5"/>
    <w:rsid w:val="00DD5E9A"/>
    <w:rsid w:val="00DD6EE9"/>
    <w:rsid w:val="00DE1945"/>
    <w:rsid w:val="00DE49FC"/>
    <w:rsid w:val="00DE5DD6"/>
    <w:rsid w:val="00DF15FA"/>
    <w:rsid w:val="00DF2F5C"/>
    <w:rsid w:val="00DF3530"/>
    <w:rsid w:val="00DF558F"/>
    <w:rsid w:val="00DF55B1"/>
    <w:rsid w:val="00DF6274"/>
    <w:rsid w:val="00DF6D2A"/>
    <w:rsid w:val="00DF7B8A"/>
    <w:rsid w:val="00E0238B"/>
    <w:rsid w:val="00E06513"/>
    <w:rsid w:val="00E06D2A"/>
    <w:rsid w:val="00E1169E"/>
    <w:rsid w:val="00E119A2"/>
    <w:rsid w:val="00E12DE5"/>
    <w:rsid w:val="00E130DB"/>
    <w:rsid w:val="00E13D05"/>
    <w:rsid w:val="00E148B9"/>
    <w:rsid w:val="00E16FDA"/>
    <w:rsid w:val="00E20573"/>
    <w:rsid w:val="00E20A47"/>
    <w:rsid w:val="00E21DF0"/>
    <w:rsid w:val="00E2309E"/>
    <w:rsid w:val="00E23A7C"/>
    <w:rsid w:val="00E23B0B"/>
    <w:rsid w:val="00E23C4C"/>
    <w:rsid w:val="00E26491"/>
    <w:rsid w:val="00E31781"/>
    <w:rsid w:val="00E3316F"/>
    <w:rsid w:val="00E33679"/>
    <w:rsid w:val="00E34032"/>
    <w:rsid w:val="00E35197"/>
    <w:rsid w:val="00E3629C"/>
    <w:rsid w:val="00E37CB1"/>
    <w:rsid w:val="00E37EBB"/>
    <w:rsid w:val="00E41A39"/>
    <w:rsid w:val="00E439DF"/>
    <w:rsid w:val="00E44356"/>
    <w:rsid w:val="00E44DE9"/>
    <w:rsid w:val="00E464F5"/>
    <w:rsid w:val="00E51231"/>
    <w:rsid w:val="00E512B9"/>
    <w:rsid w:val="00E57433"/>
    <w:rsid w:val="00E60E29"/>
    <w:rsid w:val="00E6140A"/>
    <w:rsid w:val="00E616C9"/>
    <w:rsid w:val="00E639CA"/>
    <w:rsid w:val="00E63B7F"/>
    <w:rsid w:val="00E651B5"/>
    <w:rsid w:val="00E66CEB"/>
    <w:rsid w:val="00E67C7F"/>
    <w:rsid w:val="00E706BC"/>
    <w:rsid w:val="00E7154B"/>
    <w:rsid w:val="00E71A92"/>
    <w:rsid w:val="00E72289"/>
    <w:rsid w:val="00E7336B"/>
    <w:rsid w:val="00E73BA7"/>
    <w:rsid w:val="00E76525"/>
    <w:rsid w:val="00E770BD"/>
    <w:rsid w:val="00E77E30"/>
    <w:rsid w:val="00E80FB5"/>
    <w:rsid w:val="00E829A1"/>
    <w:rsid w:val="00E839B5"/>
    <w:rsid w:val="00E85D20"/>
    <w:rsid w:val="00E86942"/>
    <w:rsid w:val="00E90521"/>
    <w:rsid w:val="00E91556"/>
    <w:rsid w:val="00E92BD2"/>
    <w:rsid w:val="00E93428"/>
    <w:rsid w:val="00E93C5B"/>
    <w:rsid w:val="00E94D01"/>
    <w:rsid w:val="00E955BC"/>
    <w:rsid w:val="00E96EF9"/>
    <w:rsid w:val="00E9795C"/>
    <w:rsid w:val="00EA42EC"/>
    <w:rsid w:val="00EA5D5C"/>
    <w:rsid w:val="00EB2242"/>
    <w:rsid w:val="00EB37C3"/>
    <w:rsid w:val="00EB38D0"/>
    <w:rsid w:val="00EB3F04"/>
    <w:rsid w:val="00EC3092"/>
    <w:rsid w:val="00EC4BE7"/>
    <w:rsid w:val="00EC4C1B"/>
    <w:rsid w:val="00EC4EE9"/>
    <w:rsid w:val="00EC5321"/>
    <w:rsid w:val="00EC5715"/>
    <w:rsid w:val="00EC5B83"/>
    <w:rsid w:val="00EC6077"/>
    <w:rsid w:val="00EC6583"/>
    <w:rsid w:val="00EC6897"/>
    <w:rsid w:val="00EC6B9A"/>
    <w:rsid w:val="00ED1C74"/>
    <w:rsid w:val="00ED4FF9"/>
    <w:rsid w:val="00ED7CAE"/>
    <w:rsid w:val="00EE0DCE"/>
    <w:rsid w:val="00EE35C1"/>
    <w:rsid w:val="00EE3A55"/>
    <w:rsid w:val="00EE5A55"/>
    <w:rsid w:val="00EE6555"/>
    <w:rsid w:val="00EF0449"/>
    <w:rsid w:val="00EF2D7C"/>
    <w:rsid w:val="00EF3D53"/>
    <w:rsid w:val="00EF4097"/>
    <w:rsid w:val="00EF5EB2"/>
    <w:rsid w:val="00EF623F"/>
    <w:rsid w:val="00F0018D"/>
    <w:rsid w:val="00F001E2"/>
    <w:rsid w:val="00F02945"/>
    <w:rsid w:val="00F02CC2"/>
    <w:rsid w:val="00F02F82"/>
    <w:rsid w:val="00F02FB9"/>
    <w:rsid w:val="00F04785"/>
    <w:rsid w:val="00F04914"/>
    <w:rsid w:val="00F05490"/>
    <w:rsid w:val="00F054A4"/>
    <w:rsid w:val="00F06CBB"/>
    <w:rsid w:val="00F06E4E"/>
    <w:rsid w:val="00F07C7C"/>
    <w:rsid w:val="00F11D60"/>
    <w:rsid w:val="00F1278A"/>
    <w:rsid w:val="00F1651B"/>
    <w:rsid w:val="00F16792"/>
    <w:rsid w:val="00F20E6F"/>
    <w:rsid w:val="00F2284D"/>
    <w:rsid w:val="00F22B9A"/>
    <w:rsid w:val="00F22F32"/>
    <w:rsid w:val="00F23292"/>
    <w:rsid w:val="00F2373C"/>
    <w:rsid w:val="00F239D3"/>
    <w:rsid w:val="00F2523B"/>
    <w:rsid w:val="00F27D2C"/>
    <w:rsid w:val="00F30AAA"/>
    <w:rsid w:val="00F32BC2"/>
    <w:rsid w:val="00F33E38"/>
    <w:rsid w:val="00F3418D"/>
    <w:rsid w:val="00F3645E"/>
    <w:rsid w:val="00F36FB3"/>
    <w:rsid w:val="00F37420"/>
    <w:rsid w:val="00F4020C"/>
    <w:rsid w:val="00F43605"/>
    <w:rsid w:val="00F45FE2"/>
    <w:rsid w:val="00F46586"/>
    <w:rsid w:val="00F473C7"/>
    <w:rsid w:val="00F501A1"/>
    <w:rsid w:val="00F50765"/>
    <w:rsid w:val="00F52E1F"/>
    <w:rsid w:val="00F53299"/>
    <w:rsid w:val="00F53BF5"/>
    <w:rsid w:val="00F550E7"/>
    <w:rsid w:val="00F56C1B"/>
    <w:rsid w:val="00F57E0E"/>
    <w:rsid w:val="00F600EB"/>
    <w:rsid w:val="00F601A5"/>
    <w:rsid w:val="00F603C2"/>
    <w:rsid w:val="00F6186B"/>
    <w:rsid w:val="00F6275D"/>
    <w:rsid w:val="00F62CB0"/>
    <w:rsid w:val="00F62DA0"/>
    <w:rsid w:val="00F64279"/>
    <w:rsid w:val="00F65597"/>
    <w:rsid w:val="00F65661"/>
    <w:rsid w:val="00F65857"/>
    <w:rsid w:val="00F66111"/>
    <w:rsid w:val="00F66117"/>
    <w:rsid w:val="00F6656C"/>
    <w:rsid w:val="00F7348C"/>
    <w:rsid w:val="00F74418"/>
    <w:rsid w:val="00F75963"/>
    <w:rsid w:val="00F76EC6"/>
    <w:rsid w:val="00F804F1"/>
    <w:rsid w:val="00F824D0"/>
    <w:rsid w:val="00F82BBF"/>
    <w:rsid w:val="00F835EF"/>
    <w:rsid w:val="00F83772"/>
    <w:rsid w:val="00F84DB1"/>
    <w:rsid w:val="00F8599C"/>
    <w:rsid w:val="00F8691B"/>
    <w:rsid w:val="00F90798"/>
    <w:rsid w:val="00F90E6A"/>
    <w:rsid w:val="00F92349"/>
    <w:rsid w:val="00F94989"/>
    <w:rsid w:val="00F95259"/>
    <w:rsid w:val="00F96EDF"/>
    <w:rsid w:val="00FA1172"/>
    <w:rsid w:val="00FA2117"/>
    <w:rsid w:val="00FA3994"/>
    <w:rsid w:val="00FA3BF6"/>
    <w:rsid w:val="00FA3F96"/>
    <w:rsid w:val="00FA4930"/>
    <w:rsid w:val="00FA66EA"/>
    <w:rsid w:val="00FA6DD7"/>
    <w:rsid w:val="00FA749C"/>
    <w:rsid w:val="00FA7F63"/>
    <w:rsid w:val="00FB2E85"/>
    <w:rsid w:val="00FB421B"/>
    <w:rsid w:val="00FB47BD"/>
    <w:rsid w:val="00FB6CD1"/>
    <w:rsid w:val="00FC4079"/>
    <w:rsid w:val="00FC46E6"/>
    <w:rsid w:val="00FC4DA0"/>
    <w:rsid w:val="00FC5C7D"/>
    <w:rsid w:val="00FC682F"/>
    <w:rsid w:val="00FD01A4"/>
    <w:rsid w:val="00FD0ECB"/>
    <w:rsid w:val="00FD109B"/>
    <w:rsid w:val="00FD1BF5"/>
    <w:rsid w:val="00FD22A0"/>
    <w:rsid w:val="00FD252F"/>
    <w:rsid w:val="00FD30AF"/>
    <w:rsid w:val="00FD3E98"/>
    <w:rsid w:val="00FD4FBC"/>
    <w:rsid w:val="00FD5F7C"/>
    <w:rsid w:val="00FD7525"/>
    <w:rsid w:val="00FD76EE"/>
    <w:rsid w:val="00FD7729"/>
    <w:rsid w:val="00FE0059"/>
    <w:rsid w:val="00FE095E"/>
    <w:rsid w:val="00FE21F9"/>
    <w:rsid w:val="00FE2806"/>
    <w:rsid w:val="00FE30B7"/>
    <w:rsid w:val="00FE4DB8"/>
    <w:rsid w:val="00FE76A7"/>
    <w:rsid w:val="00FF00A5"/>
    <w:rsid w:val="00FF0CC3"/>
    <w:rsid w:val="00FF1968"/>
    <w:rsid w:val="00FF29F5"/>
    <w:rsid w:val="00FF36AD"/>
    <w:rsid w:val="00FF3ED2"/>
    <w:rsid w:val="00FF41B3"/>
    <w:rsid w:val="00FF47B4"/>
    <w:rsid w:val="00FF73BF"/>
    <w:rsid w:val="00FF7981"/>
    <w:rsid w:val="00FF7E0A"/>
    <w:rsid w:val="01281A93"/>
    <w:rsid w:val="01CA6A07"/>
    <w:rsid w:val="0222795D"/>
    <w:rsid w:val="0273086B"/>
    <w:rsid w:val="0283628C"/>
    <w:rsid w:val="029F53A6"/>
    <w:rsid w:val="02B33080"/>
    <w:rsid w:val="03516C2A"/>
    <w:rsid w:val="03985C7D"/>
    <w:rsid w:val="039A405D"/>
    <w:rsid w:val="03D72DE7"/>
    <w:rsid w:val="04B31573"/>
    <w:rsid w:val="04DA26C6"/>
    <w:rsid w:val="05241B93"/>
    <w:rsid w:val="05364214"/>
    <w:rsid w:val="057712E0"/>
    <w:rsid w:val="05973C0A"/>
    <w:rsid w:val="0659602B"/>
    <w:rsid w:val="068124F2"/>
    <w:rsid w:val="06EB0BBA"/>
    <w:rsid w:val="07577FFE"/>
    <w:rsid w:val="075A0D1F"/>
    <w:rsid w:val="07AB246B"/>
    <w:rsid w:val="07BA2CD0"/>
    <w:rsid w:val="07DB1F40"/>
    <w:rsid w:val="07DF5017"/>
    <w:rsid w:val="07E861B7"/>
    <w:rsid w:val="07F87024"/>
    <w:rsid w:val="080028EE"/>
    <w:rsid w:val="08297BEC"/>
    <w:rsid w:val="08D74FC5"/>
    <w:rsid w:val="08FD0388"/>
    <w:rsid w:val="09630D8D"/>
    <w:rsid w:val="09A60DC8"/>
    <w:rsid w:val="09AE79E2"/>
    <w:rsid w:val="09C71513"/>
    <w:rsid w:val="09D300D1"/>
    <w:rsid w:val="0A4C3E0F"/>
    <w:rsid w:val="0A8F02C9"/>
    <w:rsid w:val="0ABC321E"/>
    <w:rsid w:val="0B40039B"/>
    <w:rsid w:val="0BB53545"/>
    <w:rsid w:val="0C094F89"/>
    <w:rsid w:val="0C145AEF"/>
    <w:rsid w:val="0C30025C"/>
    <w:rsid w:val="0C670CE3"/>
    <w:rsid w:val="0CC41DB3"/>
    <w:rsid w:val="0CC60C70"/>
    <w:rsid w:val="0CF81CF5"/>
    <w:rsid w:val="0D466117"/>
    <w:rsid w:val="0D7B6C02"/>
    <w:rsid w:val="0E9C54F1"/>
    <w:rsid w:val="0EDB787F"/>
    <w:rsid w:val="0FA61452"/>
    <w:rsid w:val="0FB466B0"/>
    <w:rsid w:val="0FEF171B"/>
    <w:rsid w:val="0FF529AA"/>
    <w:rsid w:val="100C08EC"/>
    <w:rsid w:val="105300C1"/>
    <w:rsid w:val="10702130"/>
    <w:rsid w:val="108459C8"/>
    <w:rsid w:val="10D04EDF"/>
    <w:rsid w:val="113373E5"/>
    <w:rsid w:val="114D2510"/>
    <w:rsid w:val="116A622C"/>
    <w:rsid w:val="117B1504"/>
    <w:rsid w:val="118D1C38"/>
    <w:rsid w:val="11B44BC1"/>
    <w:rsid w:val="11E76024"/>
    <w:rsid w:val="11F37030"/>
    <w:rsid w:val="11F879B4"/>
    <w:rsid w:val="12062478"/>
    <w:rsid w:val="12485CB2"/>
    <w:rsid w:val="124962F0"/>
    <w:rsid w:val="1250401C"/>
    <w:rsid w:val="12DC1974"/>
    <w:rsid w:val="132035A6"/>
    <w:rsid w:val="13270AAD"/>
    <w:rsid w:val="13527FA6"/>
    <w:rsid w:val="13602F23"/>
    <w:rsid w:val="13B23CC8"/>
    <w:rsid w:val="140E6614"/>
    <w:rsid w:val="14290F74"/>
    <w:rsid w:val="14B552DF"/>
    <w:rsid w:val="14EF24B2"/>
    <w:rsid w:val="152F2F86"/>
    <w:rsid w:val="157706F8"/>
    <w:rsid w:val="15B80938"/>
    <w:rsid w:val="16403A11"/>
    <w:rsid w:val="1650051A"/>
    <w:rsid w:val="16CB6554"/>
    <w:rsid w:val="16E24139"/>
    <w:rsid w:val="170F0C33"/>
    <w:rsid w:val="17343EB7"/>
    <w:rsid w:val="17497BA2"/>
    <w:rsid w:val="175427B6"/>
    <w:rsid w:val="17841F23"/>
    <w:rsid w:val="180713B9"/>
    <w:rsid w:val="180B15DA"/>
    <w:rsid w:val="181D3C99"/>
    <w:rsid w:val="194526CA"/>
    <w:rsid w:val="197E141A"/>
    <w:rsid w:val="199B70C1"/>
    <w:rsid w:val="1A104054"/>
    <w:rsid w:val="1A1206FC"/>
    <w:rsid w:val="1A6E1B33"/>
    <w:rsid w:val="1A7600F5"/>
    <w:rsid w:val="1ACC2C07"/>
    <w:rsid w:val="1AF97377"/>
    <w:rsid w:val="1AFF2C62"/>
    <w:rsid w:val="1B190BC1"/>
    <w:rsid w:val="1B50328A"/>
    <w:rsid w:val="1B5B21F6"/>
    <w:rsid w:val="1B612DA1"/>
    <w:rsid w:val="1B896C48"/>
    <w:rsid w:val="1BBE19E0"/>
    <w:rsid w:val="1C2E5E16"/>
    <w:rsid w:val="1C3B44E8"/>
    <w:rsid w:val="1C592A6B"/>
    <w:rsid w:val="1CEB383B"/>
    <w:rsid w:val="1D157D7A"/>
    <w:rsid w:val="1D2F2FB7"/>
    <w:rsid w:val="1D41685C"/>
    <w:rsid w:val="1D78034B"/>
    <w:rsid w:val="1D882867"/>
    <w:rsid w:val="1DB40E63"/>
    <w:rsid w:val="1E384D26"/>
    <w:rsid w:val="1E5148EB"/>
    <w:rsid w:val="1E841815"/>
    <w:rsid w:val="1EDF2263"/>
    <w:rsid w:val="1F1A0C3B"/>
    <w:rsid w:val="1F2C732E"/>
    <w:rsid w:val="1F5972B0"/>
    <w:rsid w:val="1FAA075C"/>
    <w:rsid w:val="203D202F"/>
    <w:rsid w:val="208F6258"/>
    <w:rsid w:val="210668C5"/>
    <w:rsid w:val="21072EE1"/>
    <w:rsid w:val="21964DFD"/>
    <w:rsid w:val="21A222E9"/>
    <w:rsid w:val="21AB2385"/>
    <w:rsid w:val="21BD11EA"/>
    <w:rsid w:val="22066531"/>
    <w:rsid w:val="22C74F17"/>
    <w:rsid w:val="22D70AB4"/>
    <w:rsid w:val="22DF4E76"/>
    <w:rsid w:val="231433E7"/>
    <w:rsid w:val="232A31F2"/>
    <w:rsid w:val="234B6811"/>
    <w:rsid w:val="239A6560"/>
    <w:rsid w:val="23F308EE"/>
    <w:rsid w:val="243634BC"/>
    <w:rsid w:val="245360EB"/>
    <w:rsid w:val="247513A1"/>
    <w:rsid w:val="24FC7F7D"/>
    <w:rsid w:val="2524289E"/>
    <w:rsid w:val="252C1899"/>
    <w:rsid w:val="25344C05"/>
    <w:rsid w:val="25612860"/>
    <w:rsid w:val="25762240"/>
    <w:rsid w:val="25832D76"/>
    <w:rsid w:val="25FC234F"/>
    <w:rsid w:val="26235823"/>
    <w:rsid w:val="268A786C"/>
    <w:rsid w:val="26BA3725"/>
    <w:rsid w:val="271F1233"/>
    <w:rsid w:val="27394EB2"/>
    <w:rsid w:val="27B02A42"/>
    <w:rsid w:val="281E70EA"/>
    <w:rsid w:val="28496DC7"/>
    <w:rsid w:val="285070E1"/>
    <w:rsid w:val="29037CEC"/>
    <w:rsid w:val="290C056A"/>
    <w:rsid w:val="290F13E3"/>
    <w:rsid w:val="291C4B86"/>
    <w:rsid w:val="291D0C4F"/>
    <w:rsid w:val="29732D2A"/>
    <w:rsid w:val="297629F2"/>
    <w:rsid w:val="2AE0119A"/>
    <w:rsid w:val="2B0A25F1"/>
    <w:rsid w:val="2B2A4A32"/>
    <w:rsid w:val="2BA411B4"/>
    <w:rsid w:val="2BDC13E8"/>
    <w:rsid w:val="2C191429"/>
    <w:rsid w:val="2C2F6C5B"/>
    <w:rsid w:val="2CD425E5"/>
    <w:rsid w:val="2D4F0F38"/>
    <w:rsid w:val="2D640E3E"/>
    <w:rsid w:val="2D6476F3"/>
    <w:rsid w:val="2DA134D1"/>
    <w:rsid w:val="2DB11966"/>
    <w:rsid w:val="2DC07B00"/>
    <w:rsid w:val="2DC74CB6"/>
    <w:rsid w:val="2E5A18B6"/>
    <w:rsid w:val="2E9928E0"/>
    <w:rsid w:val="2EA25753"/>
    <w:rsid w:val="2EAD63A8"/>
    <w:rsid w:val="2EB95886"/>
    <w:rsid w:val="2EBE6008"/>
    <w:rsid w:val="2F4803A8"/>
    <w:rsid w:val="2F9E1B21"/>
    <w:rsid w:val="2FCF0D40"/>
    <w:rsid w:val="2FD7696A"/>
    <w:rsid w:val="2FE907EA"/>
    <w:rsid w:val="301557AF"/>
    <w:rsid w:val="3037755F"/>
    <w:rsid w:val="304A7B85"/>
    <w:rsid w:val="30A82D39"/>
    <w:rsid w:val="30BE51FE"/>
    <w:rsid w:val="30FF0C3A"/>
    <w:rsid w:val="31110C1F"/>
    <w:rsid w:val="315B61CA"/>
    <w:rsid w:val="31731ED1"/>
    <w:rsid w:val="31AB7E8D"/>
    <w:rsid w:val="32075FF9"/>
    <w:rsid w:val="32B72893"/>
    <w:rsid w:val="32D71C99"/>
    <w:rsid w:val="32FA308B"/>
    <w:rsid w:val="32FC5E04"/>
    <w:rsid w:val="3309576B"/>
    <w:rsid w:val="33113146"/>
    <w:rsid w:val="337B6D0E"/>
    <w:rsid w:val="33856CD3"/>
    <w:rsid w:val="33965432"/>
    <w:rsid w:val="33A8297E"/>
    <w:rsid w:val="346F60D7"/>
    <w:rsid w:val="34820AFC"/>
    <w:rsid w:val="34B043A5"/>
    <w:rsid w:val="34BA2147"/>
    <w:rsid w:val="34E66BA3"/>
    <w:rsid w:val="350459CC"/>
    <w:rsid w:val="3511718E"/>
    <w:rsid w:val="35AD335B"/>
    <w:rsid w:val="35D52738"/>
    <w:rsid w:val="36043848"/>
    <w:rsid w:val="36306832"/>
    <w:rsid w:val="36483135"/>
    <w:rsid w:val="36985BB1"/>
    <w:rsid w:val="369915A3"/>
    <w:rsid w:val="36E0150E"/>
    <w:rsid w:val="373C7CDF"/>
    <w:rsid w:val="37BE7040"/>
    <w:rsid w:val="37C41C13"/>
    <w:rsid w:val="381A3ED0"/>
    <w:rsid w:val="389F5823"/>
    <w:rsid w:val="38EC0857"/>
    <w:rsid w:val="39477140"/>
    <w:rsid w:val="39924D42"/>
    <w:rsid w:val="39A4566F"/>
    <w:rsid w:val="39A6124D"/>
    <w:rsid w:val="39AA33F1"/>
    <w:rsid w:val="3A0A710D"/>
    <w:rsid w:val="3A0B0650"/>
    <w:rsid w:val="3A3B6F95"/>
    <w:rsid w:val="3A700A64"/>
    <w:rsid w:val="3A7114AF"/>
    <w:rsid w:val="3A940645"/>
    <w:rsid w:val="3AB94700"/>
    <w:rsid w:val="3B2B1543"/>
    <w:rsid w:val="3B5B6D71"/>
    <w:rsid w:val="3B900DC8"/>
    <w:rsid w:val="3B981772"/>
    <w:rsid w:val="3BCD4780"/>
    <w:rsid w:val="3BE02516"/>
    <w:rsid w:val="3C421154"/>
    <w:rsid w:val="3CED4FAC"/>
    <w:rsid w:val="3D106BD9"/>
    <w:rsid w:val="3D23141F"/>
    <w:rsid w:val="3D393BB1"/>
    <w:rsid w:val="3D593E8C"/>
    <w:rsid w:val="3DAF1262"/>
    <w:rsid w:val="3DB03BF1"/>
    <w:rsid w:val="3E1D0952"/>
    <w:rsid w:val="3E611883"/>
    <w:rsid w:val="3ED66420"/>
    <w:rsid w:val="3EFA156B"/>
    <w:rsid w:val="3F0833B0"/>
    <w:rsid w:val="3F5868E2"/>
    <w:rsid w:val="3F842C17"/>
    <w:rsid w:val="3F8E38D9"/>
    <w:rsid w:val="3FCE3382"/>
    <w:rsid w:val="3FF322B2"/>
    <w:rsid w:val="402406BD"/>
    <w:rsid w:val="4039719F"/>
    <w:rsid w:val="40A23390"/>
    <w:rsid w:val="40A34F75"/>
    <w:rsid w:val="40FE18D7"/>
    <w:rsid w:val="41071E4D"/>
    <w:rsid w:val="412A5860"/>
    <w:rsid w:val="41676AB4"/>
    <w:rsid w:val="418F295E"/>
    <w:rsid w:val="41C866C8"/>
    <w:rsid w:val="421678CB"/>
    <w:rsid w:val="42240B4E"/>
    <w:rsid w:val="42834427"/>
    <w:rsid w:val="42A61B46"/>
    <w:rsid w:val="42B53FDE"/>
    <w:rsid w:val="42DB2BF2"/>
    <w:rsid w:val="430B100B"/>
    <w:rsid w:val="43312BF2"/>
    <w:rsid w:val="434F1BC1"/>
    <w:rsid w:val="43D52B21"/>
    <w:rsid w:val="440C0C76"/>
    <w:rsid w:val="44497C1B"/>
    <w:rsid w:val="44684B53"/>
    <w:rsid w:val="44811972"/>
    <w:rsid w:val="44903A2A"/>
    <w:rsid w:val="44976E5A"/>
    <w:rsid w:val="44E77F31"/>
    <w:rsid w:val="45F50E41"/>
    <w:rsid w:val="46164319"/>
    <w:rsid w:val="46CA3DCA"/>
    <w:rsid w:val="473E1636"/>
    <w:rsid w:val="47472A18"/>
    <w:rsid w:val="475B6207"/>
    <w:rsid w:val="476B0FBA"/>
    <w:rsid w:val="478E5F3C"/>
    <w:rsid w:val="480E2214"/>
    <w:rsid w:val="488549E5"/>
    <w:rsid w:val="48B81E35"/>
    <w:rsid w:val="49444BDC"/>
    <w:rsid w:val="49AD3FDC"/>
    <w:rsid w:val="49C8374F"/>
    <w:rsid w:val="49DD416C"/>
    <w:rsid w:val="4A1277A3"/>
    <w:rsid w:val="4A200202"/>
    <w:rsid w:val="4A43105C"/>
    <w:rsid w:val="4A446641"/>
    <w:rsid w:val="4AE20702"/>
    <w:rsid w:val="4B985ABC"/>
    <w:rsid w:val="4C8A6922"/>
    <w:rsid w:val="4D6F764D"/>
    <w:rsid w:val="4DA44ADF"/>
    <w:rsid w:val="4DC2042B"/>
    <w:rsid w:val="4DDE719A"/>
    <w:rsid w:val="4DFB2E3E"/>
    <w:rsid w:val="4E7711DC"/>
    <w:rsid w:val="4E9900BD"/>
    <w:rsid w:val="4EA10878"/>
    <w:rsid w:val="4ED207A4"/>
    <w:rsid w:val="4F4B516F"/>
    <w:rsid w:val="4F755271"/>
    <w:rsid w:val="4FBE7BEA"/>
    <w:rsid w:val="5029647A"/>
    <w:rsid w:val="50D80FF9"/>
    <w:rsid w:val="50F639B0"/>
    <w:rsid w:val="51265F87"/>
    <w:rsid w:val="514D1E63"/>
    <w:rsid w:val="51596929"/>
    <w:rsid w:val="51BC507B"/>
    <w:rsid w:val="52075749"/>
    <w:rsid w:val="52631353"/>
    <w:rsid w:val="527476B0"/>
    <w:rsid w:val="52AF37C9"/>
    <w:rsid w:val="535C417D"/>
    <w:rsid w:val="53942531"/>
    <w:rsid w:val="53AB6CD4"/>
    <w:rsid w:val="541B4F3B"/>
    <w:rsid w:val="542B6A9E"/>
    <w:rsid w:val="543A1329"/>
    <w:rsid w:val="54A44DCE"/>
    <w:rsid w:val="54B924DC"/>
    <w:rsid w:val="54FA7809"/>
    <w:rsid w:val="550541C2"/>
    <w:rsid w:val="555B3BB0"/>
    <w:rsid w:val="55D9089B"/>
    <w:rsid w:val="55F42094"/>
    <w:rsid w:val="56612AA8"/>
    <w:rsid w:val="57961A49"/>
    <w:rsid w:val="58192794"/>
    <w:rsid w:val="582F45E2"/>
    <w:rsid w:val="58985265"/>
    <w:rsid w:val="58E66F69"/>
    <w:rsid w:val="595000C2"/>
    <w:rsid w:val="59505D9C"/>
    <w:rsid w:val="597C7653"/>
    <w:rsid w:val="59893102"/>
    <w:rsid w:val="5990205B"/>
    <w:rsid w:val="59BB6D2D"/>
    <w:rsid w:val="59C65937"/>
    <w:rsid w:val="59E648CF"/>
    <w:rsid w:val="5A0568D9"/>
    <w:rsid w:val="5A39547D"/>
    <w:rsid w:val="5B2E163E"/>
    <w:rsid w:val="5B4F2CD5"/>
    <w:rsid w:val="5B6414CE"/>
    <w:rsid w:val="5B8D1701"/>
    <w:rsid w:val="5B8E12CF"/>
    <w:rsid w:val="5BC32BEB"/>
    <w:rsid w:val="5BE12C55"/>
    <w:rsid w:val="5BFC3D1F"/>
    <w:rsid w:val="5C603089"/>
    <w:rsid w:val="5C89610B"/>
    <w:rsid w:val="5CA443F9"/>
    <w:rsid w:val="5CA65081"/>
    <w:rsid w:val="5CBE4A16"/>
    <w:rsid w:val="5DCB066D"/>
    <w:rsid w:val="5E52066F"/>
    <w:rsid w:val="5EFB274C"/>
    <w:rsid w:val="5F7E2EC5"/>
    <w:rsid w:val="5F8B10A0"/>
    <w:rsid w:val="5F8F47E3"/>
    <w:rsid w:val="5F922AF6"/>
    <w:rsid w:val="5FA74B31"/>
    <w:rsid w:val="600052D9"/>
    <w:rsid w:val="60703B2B"/>
    <w:rsid w:val="60D32977"/>
    <w:rsid w:val="613715C7"/>
    <w:rsid w:val="61C76B49"/>
    <w:rsid w:val="626266A7"/>
    <w:rsid w:val="626A3A22"/>
    <w:rsid w:val="62A52B40"/>
    <w:rsid w:val="62E32DA4"/>
    <w:rsid w:val="62E47EA2"/>
    <w:rsid w:val="634D5CB6"/>
    <w:rsid w:val="63C04AA4"/>
    <w:rsid w:val="63E00724"/>
    <w:rsid w:val="6478698A"/>
    <w:rsid w:val="647E1342"/>
    <w:rsid w:val="64D15E6F"/>
    <w:rsid w:val="650B1736"/>
    <w:rsid w:val="652D2AF4"/>
    <w:rsid w:val="654710AE"/>
    <w:rsid w:val="65735178"/>
    <w:rsid w:val="65A268A9"/>
    <w:rsid w:val="65AA7C28"/>
    <w:rsid w:val="65B00BC4"/>
    <w:rsid w:val="65BF5EB2"/>
    <w:rsid w:val="66C343CE"/>
    <w:rsid w:val="66CA20DF"/>
    <w:rsid w:val="66F33E64"/>
    <w:rsid w:val="670A38BA"/>
    <w:rsid w:val="67341C19"/>
    <w:rsid w:val="673955E1"/>
    <w:rsid w:val="67440CAB"/>
    <w:rsid w:val="678A5E57"/>
    <w:rsid w:val="67B0300C"/>
    <w:rsid w:val="68122C54"/>
    <w:rsid w:val="684B19B8"/>
    <w:rsid w:val="685C2695"/>
    <w:rsid w:val="68AF29BF"/>
    <w:rsid w:val="68B14C68"/>
    <w:rsid w:val="68C61866"/>
    <w:rsid w:val="6AA33BCA"/>
    <w:rsid w:val="6B0D446E"/>
    <w:rsid w:val="6B4A19A8"/>
    <w:rsid w:val="6BAB4E1D"/>
    <w:rsid w:val="6BBB0AAB"/>
    <w:rsid w:val="6BE712D3"/>
    <w:rsid w:val="6C192926"/>
    <w:rsid w:val="6C321222"/>
    <w:rsid w:val="6C3F217F"/>
    <w:rsid w:val="6CDB48ED"/>
    <w:rsid w:val="6D575136"/>
    <w:rsid w:val="6D9E1B77"/>
    <w:rsid w:val="6E1D48F0"/>
    <w:rsid w:val="6E7A1830"/>
    <w:rsid w:val="6EB54C74"/>
    <w:rsid w:val="6EBF3327"/>
    <w:rsid w:val="6ECE3EA8"/>
    <w:rsid w:val="6F0C3B6A"/>
    <w:rsid w:val="6F4D7FBE"/>
    <w:rsid w:val="6F502086"/>
    <w:rsid w:val="6FF17217"/>
    <w:rsid w:val="6FFE593C"/>
    <w:rsid w:val="700B0DBE"/>
    <w:rsid w:val="702F4391"/>
    <w:rsid w:val="70695446"/>
    <w:rsid w:val="71B04F57"/>
    <w:rsid w:val="71BD2C85"/>
    <w:rsid w:val="71C02CF2"/>
    <w:rsid w:val="71EF7786"/>
    <w:rsid w:val="72036711"/>
    <w:rsid w:val="7257796A"/>
    <w:rsid w:val="72AD05F6"/>
    <w:rsid w:val="72DE5608"/>
    <w:rsid w:val="72F86392"/>
    <w:rsid w:val="73081ADA"/>
    <w:rsid w:val="73A907C0"/>
    <w:rsid w:val="73B94EA3"/>
    <w:rsid w:val="746B5AE9"/>
    <w:rsid w:val="74806F69"/>
    <w:rsid w:val="74856C75"/>
    <w:rsid w:val="754014EE"/>
    <w:rsid w:val="75567A5E"/>
    <w:rsid w:val="759743BB"/>
    <w:rsid w:val="75B513DE"/>
    <w:rsid w:val="75E3231F"/>
    <w:rsid w:val="7625040A"/>
    <w:rsid w:val="76CD6ABD"/>
    <w:rsid w:val="76D37824"/>
    <w:rsid w:val="76E55C60"/>
    <w:rsid w:val="773D74D7"/>
    <w:rsid w:val="77470C65"/>
    <w:rsid w:val="77BB7F41"/>
    <w:rsid w:val="77C9622C"/>
    <w:rsid w:val="78677086"/>
    <w:rsid w:val="787E1A12"/>
    <w:rsid w:val="78E8647F"/>
    <w:rsid w:val="78FD0F48"/>
    <w:rsid w:val="79607039"/>
    <w:rsid w:val="79834E0F"/>
    <w:rsid w:val="79EE5838"/>
    <w:rsid w:val="7A2C6801"/>
    <w:rsid w:val="7A2E4B0E"/>
    <w:rsid w:val="7B6859D1"/>
    <w:rsid w:val="7B881772"/>
    <w:rsid w:val="7B8F4CDB"/>
    <w:rsid w:val="7BAA4093"/>
    <w:rsid w:val="7BD101DF"/>
    <w:rsid w:val="7BE440A2"/>
    <w:rsid w:val="7C043694"/>
    <w:rsid w:val="7C303ABB"/>
    <w:rsid w:val="7C387D72"/>
    <w:rsid w:val="7C9B6AAB"/>
    <w:rsid w:val="7CA32F91"/>
    <w:rsid w:val="7CC22809"/>
    <w:rsid w:val="7D844C59"/>
    <w:rsid w:val="7D861C87"/>
    <w:rsid w:val="7D8C2E23"/>
    <w:rsid w:val="7DA84E33"/>
    <w:rsid w:val="7DFC33EB"/>
    <w:rsid w:val="7EAA02A2"/>
    <w:rsid w:val="7ECF1219"/>
    <w:rsid w:val="7EE06F82"/>
    <w:rsid w:val="7F151267"/>
    <w:rsid w:val="7F2771AD"/>
    <w:rsid w:val="7F9928B6"/>
    <w:rsid w:val="7FB543BB"/>
    <w:rsid w:val="7FBC717F"/>
    <w:rsid w:val="7FC6567C"/>
    <w:rsid w:val="7FE93C57"/>
    <w:rsid w:val="7FFD164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qFormat="1" w:unhideWhenUsed="0" w:uiPriority="99" w:semiHidden="0" w:name="toa heading"/>
    <w:lsdException w:uiPriority="99" w:name="List" w:locked="1"/>
    <w:lsdException w:uiPriority="99" w:name="List Bullet" w:locked="1"/>
    <w:lsdException w:unhideWhenUsed="0" w:uiPriority="0" w:semiHidden="0" w:name="List Number"/>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qFormat="1" w:unhideWhenUsed="0" w:uiPriority="99" w:semiHidden="0" w:name="Body Text Indent 3"/>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qFormat="1" w:unhideWhenUsed="0" w:uiPriority="99" w:semiHidden="0" w:name="Document Map"/>
    <w:lsdException w:qFormat="1" w:unhideWhenUsed="0" w:uiPriority="99" w:semiHidden="0" w:name="Plain Text"/>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0"/>
    <w:qFormat/>
    <w:uiPriority w:val="99"/>
    <w:pPr>
      <w:keepNext/>
      <w:keepLines/>
      <w:spacing w:before="340" w:after="330" w:line="576" w:lineRule="auto"/>
      <w:jc w:val="center"/>
      <w:outlineLvl w:val="0"/>
    </w:pPr>
    <w:rPr>
      <w:b/>
      <w:kern w:val="44"/>
      <w:sz w:val="28"/>
      <w:szCs w:val="20"/>
    </w:rPr>
  </w:style>
  <w:style w:type="paragraph" w:styleId="4">
    <w:name w:val="heading 2"/>
    <w:basedOn w:val="1"/>
    <w:next w:val="1"/>
    <w:link w:val="31"/>
    <w:qFormat/>
    <w:uiPriority w:val="99"/>
    <w:pPr>
      <w:keepNext/>
      <w:keepLines/>
      <w:spacing w:before="260" w:after="260" w:line="413" w:lineRule="auto"/>
      <w:outlineLvl w:val="1"/>
    </w:pPr>
    <w:rPr>
      <w:rFonts w:ascii="Arial" w:hAnsi="Arial"/>
      <w:kern w:val="0"/>
      <w:sz w:val="28"/>
      <w:szCs w:val="20"/>
    </w:rPr>
  </w:style>
  <w:style w:type="paragraph" w:styleId="5">
    <w:name w:val="heading 3"/>
    <w:basedOn w:val="1"/>
    <w:next w:val="1"/>
    <w:link w:val="32"/>
    <w:qFormat/>
    <w:uiPriority w:val="99"/>
    <w:pPr>
      <w:keepNext/>
      <w:keepLines/>
      <w:spacing w:before="260" w:after="260" w:line="413" w:lineRule="auto"/>
      <w:outlineLvl w:val="2"/>
    </w:pPr>
    <w:rPr>
      <w:kern w:val="0"/>
      <w:sz w:val="28"/>
      <w:szCs w:val="20"/>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33"/>
    <w:qFormat/>
    <w:uiPriority w:val="99"/>
    <w:pPr>
      <w:spacing w:after="120"/>
    </w:pPr>
  </w:style>
  <w:style w:type="paragraph" w:styleId="6">
    <w:name w:val="toc 7"/>
    <w:basedOn w:val="1"/>
    <w:next w:val="1"/>
    <w:qFormat/>
    <w:uiPriority w:val="99"/>
    <w:pPr>
      <w:ind w:left="2520" w:leftChars="1200"/>
    </w:pPr>
  </w:style>
  <w:style w:type="paragraph" w:styleId="7">
    <w:name w:val="Document Map"/>
    <w:basedOn w:val="1"/>
    <w:link w:val="34"/>
    <w:qFormat/>
    <w:uiPriority w:val="99"/>
    <w:rPr>
      <w:rFonts w:ascii="宋体"/>
      <w:sz w:val="18"/>
      <w:szCs w:val="18"/>
    </w:rPr>
  </w:style>
  <w:style w:type="paragraph" w:styleId="8">
    <w:name w:val="toa heading"/>
    <w:basedOn w:val="1"/>
    <w:next w:val="1"/>
    <w:qFormat/>
    <w:uiPriority w:val="99"/>
    <w:pPr>
      <w:spacing w:before="120"/>
    </w:pPr>
    <w:rPr>
      <w:rFonts w:ascii="Arial" w:hAnsi="Arial"/>
      <w:sz w:val="24"/>
    </w:rPr>
  </w:style>
  <w:style w:type="paragraph" w:styleId="9">
    <w:name w:val="annotation text"/>
    <w:basedOn w:val="1"/>
    <w:link w:val="35"/>
    <w:qFormat/>
    <w:uiPriority w:val="99"/>
    <w:pPr>
      <w:jc w:val="left"/>
    </w:pPr>
    <w:rPr>
      <w:rFonts w:ascii="Calibri" w:hAnsi="Calibri"/>
      <w:szCs w:val="22"/>
    </w:rPr>
  </w:style>
  <w:style w:type="paragraph" w:styleId="10">
    <w:name w:val="Body Text Indent"/>
    <w:basedOn w:val="1"/>
    <w:link w:val="36"/>
    <w:qFormat/>
    <w:uiPriority w:val="99"/>
    <w:pPr>
      <w:spacing w:after="120"/>
      <w:ind w:left="420" w:leftChars="200"/>
    </w:pPr>
  </w:style>
  <w:style w:type="paragraph" w:styleId="11">
    <w:name w:val="toc 5"/>
    <w:basedOn w:val="1"/>
    <w:next w:val="1"/>
    <w:qFormat/>
    <w:uiPriority w:val="99"/>
    <w:pPr>
      <w:ind w:left="1680" w:leftChars="800"/>
    </w:pPr>
  </w:style>
  <w:style w:type="paragraph" w:styleId="12">
    <w:name w:val="toc 3"/>
    <w:basedOn w:val="1"/>
    <w:next w:val="1"/>
    <w:qFormat/>
    <w:uiPriority w:val="99"/>
    <w:pPr>
      <w:ind w:left="840" w:leftChars="400"/>
    </w:pPr>
  </w:style>
  <w:style w:type="paragraph" w:styleId="13">
    <w:name w:val="Plain Text"/>
    <w:basedOn w:val="1"/>
    <w:link w:val="37"/>
    <w:qFormat/>
    <w:uiPriority w:val="99"/>
    <w:pPr>
      <w:adjustRightInd w:val="0"/>
      <w:spacing w:line="312" w:lineRule="atLeast"/>
      <w:textAlignment w:val="baseline"/>
    </w:pPr>
    <w:rPr>
      <w:rFonts w:ascii="宋体" w:hAnsi="Courier New"/>
    </w:rPr>
  </w:style>
  <w:style w:type="paragraph" w:styleId="14">
    <w:name w:val="toc 8"/>
    <w:basedOn w:val="1"/>
    <w:next w:val="1"/>
    <w:qFormat/>
    <w:uiPriority w:val="99"/>
    <w:pPr>
      <w:ind w:left="2940" w:leftChars="1400"/>
    </w:pPr>
  </w:style>
  <w:style w:type="paragraph" w:styleId="15">
    <w:name w:val="Balloon Text"/>
    <w:basedOn w:val="1"/>
    <w:link w:val="38"/>
    <w:qFormat/>
    <w:uiPriority w:val="99"/>
    <w:rPr>
      <w:sz w:val="18"/>
      <w:szCs w:val="18"/>
    </w:rPr>
  </w:style>
  <w:style w:type="paragraph" w:styleId="16">
    <w:name w:val="footer"/>
    <w:basedOn w:val="1"/>
    <w:link w:val="39"/>
    <w:qFormat/>
    <w:uiPriority w:val="99"/>
    <w:pPr>
      <w:tabs>
        <w:tab w:val="center" w:pos="4153"/>
        <w:tab w:val="right" w:pos="8306"/>
      </w:tabs>
      <w:snapToGrid w:val="0"/>
      <w:jc w:val="left"/>
    </w:pPr>
    <w:rPr>
      <w:sz w:val="18"/>
    </w:rPr>
  </w:style>
  <w:style w:type="paragraph" w:styleId="17">
    <w:name w:val="header"/>
    <w:basedOn w:val="1"/>
    <w:link w:val="4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8">
    <w:name w:val="toc 1"/>
    <w:basedOn w:val="1"/>
    <w:next w:val="1"/>
    <w:qFormat/>
    <w:uiPriority w:val="99"/>
  </w:style>
  <w:style w:type="paragraph" w:styleId="19">
    <w:name w:val="toc 4"/>
    <w:basedOn w:val="1"/>
    <w:next w:val="1"/>
    <w:qFormat/>
    <w:uiPriority w:val="99"/>
    <w:pPr>
      <w:ind w:left="1260" w:leftChars="600"/>
    </w:pPr>
  </w:style>
  <w:style w:type="paragraph" w:styleId="20">
    <w:name w:val="toc 6"/>
    <w:basedOn w:val="1"/>
    <w:next w:val="1"/>
    <w:qFormat/>
    <w:uiPriority w:val="99"/>
    <w:pPr>
      <w:ind w:left="2100" w:leftChars="1000"/>
    </w:pPr>
  </w:style>
  <w:style w:type="paragraph" w:styleId="21">
    <w:name w:val="Body Text Indent 3"/>
    <w:basedOn w:val="1"/>
    <w:link w:val="41"/>
    <w:qFormat/>
    <w:uiPriority w:val="99"/>
    <w:pPr>
      <w:spacing w:after="120"/>
      <w:ind w:left="420" w:leftChars="200"/>
    </w:pPr>
    <w:rPr>
      <w:sz w:val="16"/>
      <w:szCs w:val="16"/>
    </w:rPr>
  </w:style>
  <w:style w:type="paragraph" w:styleId="22">
    <w:name w:val="toc 2"/>
    <w:basedOn w:val="1"/>
    <w:next w:val="1"/>
    <w:qFormat/>
    <w:uiPriority w:val="99"/>
    <w:pPr>
      <w:ind w:left="420" w:leftChars="200"/>
    </w:pPr>
  </w:style>
  <w:style w:type="paragraph" w:styleId="23">
    <w:name w:val="toc 9"/>
    <w:basedOn w:val="1"/>
    <w:next w:val="1"/>
    <w:qFormat/>
    <w:uiPriority w:val="99"/>
    <w:pPr>
      <w:ind w:left="3360" w:leftChars="1600"/>
    </w:pPr>
  </w:style>
  <w:style w:type="paragraph" w:styleId="24">
    <w:name w:val="annotation subject"/>
    <w:basedOn w:val="9"/>
    <w:next w:val="9"/>
    <w:link w:val="42"/>
    <w:qFormat/>
    <w:uiPriority w:val="99"/>
    <w:rPr>
      <w:rFonts w:ascii="Times New Roman" w:hAnsi="Times New Roman"/>
      <w:b/>
      <w:bCs/>
      <w:szCs w:val="24"/>
    </w:rPr>
  </w:style>
  <w:style w:type="table" w:styleId="26">
    <w:name w:val="Table Grid"/>
    <w:basedOn w:val="25"/>
    <w:qFormat/>
    <w:locked/>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Hyperlink"/>
    <w:basedOn w:val="27"/>
    <w:qFormat/>
    <w:uiPriority w:val="99"/>
    <w:rPr>
      <w:rFonts w:cs="Times New Roman"/>
      <w:color w:val="0000FF"/>
      <w:u w:val="single"/>
    </w:rPr>
  </w:style>
  <w:style w:type="character" w:styleId="29">
    <w:name w:val="annotation reference"/>
    <w:basedOn w:val="27"/>
    <w:qFormat/>
    <w:uiPriority w:val="99"/>
    <w:rPr>
      <w:rFonts w:cs="Times New Roman"/>
      <w:sz w:val="21"/>
    </w:rPr>
  </w:style>
  <w:style w:type="character" w:customStyle="1" w:styleId="30">
    <w:name w:val="标题 1 字符"/>
    <w:basedOn w:val="27"/>
    <w:link w:val="3"/>
    <w:qFormat/>
    <w:locked/>
    <w:uiPriority w:val="99"/>
    <w:rPr>
      <w:rFonts w:ascii="Times New Roman" w:hAnsi="Times New Roman" w:eastAsia="宋体"/>
      <w:b/>
      <w:kern w:val="44"/>
      <w:sz w:val="20"/>
    </w:rPr>
  </w:style>
  <w:style w:type="character" w:customStyle="1" w:styleId="31">
    <w:name w:val="标题 2 字符"/>
    <w:basedOn w:val="27"/>
    <w:link w:val="4"/>
    <w:qFormat/>
    <w:locked/>
    <w:uiPriority w:val="99"/>
    <w:rPr>
      <w:rFonts w:ascii="Arial" w:hAnsi="Arial" w:eastAsia="宋体"/>
      <w:sz w:val="20"/>
    </w:rPr>
  </w:style>
  <w:style w:type="character" w:customStyle="1" w:styleId="32">
    <w:name w:val="标题 3 字符"/>
    <w:basedOn w:val="27"/>
    <w:link w:val="5"/>
    <w:qFormat/>
    <w:locked/>
    <w:uiPriority w:val="99"/>
    <w:rPr>
      <w:rFonts w:eastAsia="宋体"/>
      <w:sz w:val="28"/>
    </w:rPr>
  </w:style>
  <w:style w:type="character" w:customStyle="1" w:styleId="33">
    <w:name w:val="正文文本 字符"/>
    <w:basedOn w:val="27"/>
    <w:link w:val="2"/>
    <w:semiHidden/>
    <w:qFormat/>
    <w:uiPriority w:val="99"/>
    <w:rPr>
      <w:szCs w:val="24"/>
    </w:rPr>
  </w:style>
  <w:style w:type="character" w:customStyle="1" w:styleId="34">
    <w:name w:val="文档结构图 字符"/>
    <w:basedOn w:val="27"/>
    <w:link w:val="7"/>
    <w:qFormat/>
    <w:locked/>
    <w:uiPriority w:val="99"/>
    <w:rPr>
      <w:rFonts w:ascii="宋体"/>
      <w:kern w:val="2"/>
      <w:sz w:val="18"/>
    </w:rPr>
  </w:style>
  <w:style w:type="character" w:customStyle="1" w:styleId="35">
    <w:name w:val="批注文字 字符"/>
    <w:basedOn w:val="27"/>
    <w:link w:val="9"/>
    <w:qFormat/>
    <w:locked/>
    <w:uiPriority w:val="99"/>
    <w:rPr>
      <w:rFonts w:ascii="Calibri" w:hAnsi="Calibri"/>
      <w:kern w:val="2"/>
      <w:sz w:val="22"/>
    </w:rPr>
  </w:style>
  <w:style w:type="character" w:customStyle="1" w:styleId="36">
    <w:name w:val="正文文本缩进 字符"/>
    <w:basedOn w:val="27"/>
    <w:link w:val="10"/>
    <w:qFormat/>
    <w:locked/>
    <w:uiPriority w:val="99"/>
    <w:rPr>
      <w:rFonts w:cs="Times New Roman"/>
      <w:kern w:val="2"/>
      <w:sz w:val="24"/>
      <w:szCs w:val="24"/>
    </w:rPr>
  </w:style>
  <w:style w:type="character" w:customStyle="1" w:styleId="37">
    <w:name w:val="纯文本 字符"/>
    <w:basedOn w:val="27"/>
    <w:link w:val="13"/>
    <w:qFormat/>
    <w:locked/>
    <w:uiPriority w:val="99"/>
    <w:rPr>
      <w:rFonts w:ascii="宋体" w:hAnsi="Courier New"/>
      <w:kern w:val="2"/>
      <w:sz w:val="24"/>
    </w:rPr>
  </w:style>
  <w:style w:type="character" w:customStyle="1" w:styleId="38">
    <w:name w:val="批注框文本 字符"/>
    <w:basedOn w:val="27"/>
    <w:link w:val="15"/>
    <w:qFormat/>
    <w:locked/>
    <w:uiPriority w:val="99"/>
    <w:rPr>
      <w:kern w:val="2"/>
      <w:sz w:val="18"/>
    </w:rPr>
  </w:style>
  <w:style w:type="character" w:customStyle="1" w:styleId="39">
    <w:name w:val="页脚 字符"/>
    <w:basedOn w:val="27"/>
    <w:link w:val="16"/>
    <w:semiHidden/>
    <w:qFormat/>
    <w:uiPriority w:val="99"/>
    <w:rPr>
      <w:sz w:val="18"/>
      <w:szCs w:val="18"/>
    </w:rPr>
  </w:style>
  <w:style w:type="character" w:customStyle="1" w:styleId="40">
    <w:name w:val="页眉 字符"/>
    <w:basedOn w:val="27"/>
    <w:link w:val="17"/>
    <w:semiHidden/>
    <w:qFormat/>
    <w:uiPriority w:val="99"/>
    <w:rPr>
      <w:sz w:val="18"/>
      <w:szCs w:val="18"/>
    </w:rPr>
  </w:style>
  <w:style w:type="character" w:customStyle="1" w:styleId="41">
    <w:name w:val="正文文本缩进 3 字符"/>
    <w:basedOn w:val="27"/>
    <w:link w:val="21"/>
    <w:qFormat/>
    <w:locked/>
    <w:uiPriority w:val="99"/>
    <w:rPr>
      <w:kern w:val="2"/>
      <w:sz w:val="16"/>
    </w:rPr>
  </w:style>
  <w:style w:type="character" w:customStyle="1" w:styleId="42">
    <w:name w:val="批注主题 字符"/>
    <w:basedOn w:val="35"/>
    <w:link w:val="24"/>
    <w:qFormat/>
    <w:locked/>
    <w:uiPriority w:val="99"/>
    <w:rPr>
      <w:rFonts w:ascii="Calibri" w:hAnsi="Calibri" w:cs="Times New Roman"/>
      <w:kern w:val="2"/>
      <w:sz w:val="22"/>
      <w:szCs w:val="22"/>
    </w:rPr>
  </w:style>
  <w:style w:type="character" w:customStyle="1" w:styleId="43">
    <w:name w:val="1101 Char"/>
    <w:link w:val="44"/>
    <w:qFormat/>
    <w:locked/>
    <w:uiPriority w:val="99"/>
    <w:rPr>
      <w:rFonts w:ascii="宋体" w:eastAsia="宋体"/>
      <w:kern w:val="2"/>
      <w:sz w:val="28"/>
    </w:rPr>
  </w:style>
  <w:style w:type="paragraph" w:customStyle="1" w:styleId="44">
    <w:name w:val="1101"/>
    <w:basedOn w:val="1"/>
    <w:link w:val="43"/>
    <w:qFormat/>
    <w:uiPriority w:val="99"/>
    <w:pPr>
      <w:ind w:firstLine="560" w:firstLineChars="200"/>
      <w:jc w:val="left"/>
    </w:pPr>
    <w:rPr>
      <w:rFonts w:ascii="宋体" w:hAnsi="宋体"/>
      <w:sz w:val="28"/>
      <w:szCs w:val="28"/>
    </w:rPr>
  </w:style>
  <w:style w:type="character" w:customStyle="1" w:styleId="45">
    <w:name w:val="正文文本缩进 Char"/>
    <w:basedOn w:val="27"/>
    <w:qFormat/>
    <w:uiPriority w:val="99"/>
    <w:rPr>
      <w:rFonts w:cs="Times New Roman"/>
      <w:kern w:val="2"/>
      <w:sz w:val="24"/>
      <w:szCs w:val="24"/>
    </w:rPr>
  </w:style>
  <w:style w:type="paragraph" w:customStyle="1" w:styleId="46">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47">
    <w:name w:val="纯文本1"/>
    <w:basedOn w:val="1"/>
    <w:qFormat/>
    <w:uiPriority w:val="99"/>
    <w:rPr>
      <w:rFonts w:ascii="宋体" w:hAnsi="Courier New" w:cs="黑体"/>
      <w:szCs w:val="21"/>
    </w:rPr>
  </w:style>
  <w:style w:type="paragraph" w:customStyle="1" w:styleId="48">
    <w:name w:val="ST20_2"/>
    <w:basedOn w:val="1"/>
    <w:qFormat/>
    <w:uiPriority w:val="99"/>
    <w:pPr>
      <w:autoSpaceDE w:val="0"/>
      <w:autoSpaceDN w:val="0"/>
      <w:adjustRightInd w:val="0"/>
      <w:spacing w:line="312" w:lineRule="atLeast"/>
      <w:ind w:firstLine="482"/>
      <w:textAlignment w:val="baseline"/>
    </w:pPr>
    <w:rPr>
      <w:rFonts w:ascii="宋体" w:hAnsi="Tms Rmn"/>
      <w:kern w:val="0"/>
      <w:sz w:val="24"/>
      <w:szCs w:val="20"/>
    </w:rPr>
  </w:style>
  <w:style w:type="paragraph" w:customStyle="1" w:styleId="49">
    <w:name w:val="款下正文"/>
    <w:basedOn w:val="1"/>
    <w:qFormat/>
    <w:uiPriority w:val="99"/>
    <w:pPr>
      <w:spacing w:beforeLines="50" w:afterLines="50" w:line="480" w:lineRule="exact"/>
      <w:ind w:firstLine="480" w:firstLineChars="200"/>
    </w:pPr>
    <w:rPr>
      <w:sz w:val="24"/>
      <w:szCs w:val="28"/>
    </w:rPr>
  </w:style>
  <w:style w:type="paragraph" w:customStyle="1" w:styleId="50">
    <w:name w:val="TOC 标题1"/>
    <w:basedOn w:val="3"/>
    <w:next w:val="1"/>
    <w:qFormat/>
    <w:uiPriority w:val="99"/>
    <w:pPr>
      <w:widowControl/>
      <w:spacing w:before="480" w:after="0" w:line="276" w:lineRule="auto"/>
      <w:jc w:val="left"/>
      <w:outlineLvl w:val="9"/>
    </w:pPr>
    <w:rPr>
      <w:rFonts w:ascii="Cambria" w:hAnsi="Cambria"/>
      <w:bCs/>
      <w:color w:val="365F91"/>
      <w:kern w:val="0"/>
      <w:szCs w:val="28"/>
    </w:rPr>
  </w:style>
  <w:style w:type="paragraph" w:customStyle="1" w:styleId="51">
    <w:name w:val="样式1"/>
    <w:basedOn w:val="3"/>
    <w:qFormat/>
    <w:uiPriority w:val="99"/>
  </w:style>
  <w:style w:type="paragraph" w:customStyle="1" w:styleId="52">
    <w:name w:val="列出段落1"/>
    <w:basedOn w:val="1"/>
    <w:qFormat/>
    <w:uiPriority w:val="99"/>
    <w:pPr>
      <w:ind w:firstLine="420" w:firstLineChars="200"/>
    </w:pPr>
    <w:rPr>
      <w:rFonts w:ascii="Calibri" w:hAnsi="Calibri"/>
      <w:szCs w:val="22"/>
    </w:rPr>
  </w:style>
  <w:style w:type="character" w:customStyle="1" w:styleId="53">
    <w:name w:val="未处理的提及1"/>
    <w:basedOn w:val="27"/>
    <w:semiHidden/>
    <w:qFormat/>
    <w:uiPriority w:val="99"/>
    <w:rPr>
      <w:rFonts w:cs="Times New Roman"/>
      <w:color w:val="808080"/>
      <w:shd w:val="clear" w:color="auto" w:fill="E6E6E6"/>
    </w:rPr>
  </w:style>
  <w:style w:type="character" w:customStyle="1" w:styleId="54">
    <w:name w:val="正文文本_"/>
    <w:basedOn w:val="27"/>
    <w:link w:val="55"/>
    <w:qFormat/>
    <w:locked/>
    <w:uiPriority w:val="99"/>
    <w:rPr>
      <w:rFonts w:ascii="MingLiU" w:hAnsi="MingLiU" w:eastAsia="MingLiU" w:cs="MingLiU"/>
      <w:sz w:val="27"/>
      <w:szCs w:val="27"/>
      <w:shd w:val="clear" w:color="auto" w:fill="FFFFFF"/>
    </w:rPr>
  </w:style>
  <w:style w:type="paragraph" w:customStyle="1" w:styleId="55">
    <w:name w:val="正文文本2"/>
    <w:basedOn w:val="1"/>
    <w:link w:val="54"/>
    <w:qFormat/>
    <w:uiPriority w:val="99"/>
    <w:pPr>
      <w:shd w:val="clear" w:color="auto" w:fill="FFFFFF"/>
      <w:spacing w:before="1200" w:after="840" w:line="240" w:lineRule="atLeast"/>
      <w:jc w:val="right"/>
    </w:pPr>
    <w:rPr>
      <w:rFonts w:ascii="MingLiU" w:hAnsi="MingLiU" w:eastAsia="MingLiU" w:cs="MingLiU"/>
      <w:kern w:val="0"/>
      <w:sz w:val="27"/>
      <w:szCs w:val="27"/>
    </w:rPr>
  </w:style>
  <w:style w:type="paragraph" w:styleId="56">
    <w:name w:val="List Paragraph"/>
    <w:basedOn w:val="1"/>
    <w:qFormat/>
    <w:uiPriority w:val="99"/>
    <w:pPr>
      <w:ind w:firstLine="420" w:firstLineChars="200"/>
    </w:pPr>
  </w:style>
  <w:style w:type="character" w:customStyle="1" w:styleId="57">
    <w:name w:val="标题 2 Char"/>
    <w:qFormat/>
    <w:uiPriority w:val="99"/>
    <w:rPr>
      <w:rFonts w:ascii="Arial" w:hAnsi="Arial" w:eastAsia="黑体"/>
      <w:b/>
      <w:sz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51</Pages>
  <Words>18045</Words>
  <Characters>18751</Characters>
  <Lines>153</Lines>
  <Paragraphs>43</Paragraphs>
  <TotalTime>17</TotalTime>
  <ScaleCrop>false</ScaleCrop>
  <LinksUpToDate>false</LinksUpToDate>
  <CharactersWithSpaces>19448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2023-01-19T03:01:00Z</dcterms:created>
  <dc:creator>jkghj</dc:creator>
  <cp:lastModifiedBy>覃一峰</cp:lastModifiedBy>
  <cp:lastPrinted>2021-11-12T08:32:00Z</cp:lastPrinted>
  <dcterms:modified xsi:type="dcterms:W3CDTF">2023-04-27T01:44:49Z</dcterms:modified>
  <dc:title>附件3：二号线公司比选文件</dc:title>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C9108F0D9F024D3DB593E2CECFE48426</vt:lpwstr>
  </property>
</Properties>
</file>