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宋体" w:hAnsi="宋体" w:cs="宋体"/>
          <w:b/>
          <w:bCs/>
          <w:kern w:val="0"/>
          <w:sz w:val="48"/>
          <w:szCs w:val="48"/>
        </w:rPr>
      </w:pPr>
      <w:r>
        <w:rPr>
          <w:rFonts w:hint="eastAsia" w:ascii="宋体" w:hAnsi="宋体" w:cs="宋体"/>
          <w:b/>
          <w:bCs/>
          <w:kern w:val="0"/>
          <w:sz w:val="48"/>
          <w:szCs w:val="48"/>
        </w:rPr>
        <w:t>南宁铁路枢纽投资有限公司</w:t>
      </w:r>
    </w:p>
    <w:p>
      <w:pPr>
        <w:jc w:val="center"/>
        <w:rPr>
          <w:rFonts w:ascii="宋体" w:hAnsi="宋体" w:cs="宋体"/>
          <w:b/>
          <w:bCs/>
          <w:kern w:val="0"/>
          <w:sz w:val="48"/>
          <w:szCs w:val="48"/>
        </w:rPr>
      </w:pPr>
      <w:r>
        <w:rPr>
          <w:rFonts w:hint="eastAsia" w:ascii="宋体" w:hAnsi="宋体" w:cs="宋体"/>
          <w:b/>
          <w:bCs/>
          <w:kern w:val="0"/>
          <w:sz w:val="48"/>
          <w:szCs w:val="48"/>
        </w:rPr>
        <w:t>六景火车站综合交通枢纽配套一期工程地质灾害危险性评估服务项目</w:t>
      </w:r>
    </w:p>
    <w:p>
      <w:pPr>
        <w:ind w:firstLine="643" w:firstLineChars="200"/>
        <w:rPr>
          <w:rFonts w:ascii="宋体" w:hAnsi="宋体" w:cs="宋体"/>
          <w:b/>
          <w:bCs/>
          <w:kern w:val="0"/>
          <w:sz w:val="32"/>
          <w:szCs w:val="32"/>
        </w:rPr>
      </w:pPr>
    </w:p>
    <w:p>
      <w:pPr>
        <w:jc w:val="center"/>
        <w:rPr>
          <w:rFonts w:ascii="宋体" w:hAnsi="宋体" w:cs="宋体"/>
          <w:b/>
          <w:bCs/>
          <w:kern w:val="0"/>
          <w:sz w:val="72"/>
          <w:szCs w:val="72"/>
        </w:rPr>
      </w:pPr>
      <w:r>
        <w:rPr>
          <w:rFonts w:hint="eastAsia" w:ascii="宋体" w:hAnsi="宋体" w:cs="宋体"/>
          <w:b/>
          <w:bCs/>
          <w:kern w:val="0"/>
          <w:sz w:val="72"/>
          <w:szCs w:val="72"/>
        </w:rPr>
        <w:t>比</w:t>
      </w:r>
    </w:p>
    <w:p>
      <w:pPr>
        <w:ind w:firstLine="1446" w:firstLineChars="200"/>
        <w:jc w:val="center"/>
        <w:rPr>
          <w:rFonts w:ascii="宋体" w:hAnsi="宋体" w:cs="宋体"/>
          <w:b/>
          <w:bCs/>
          <w:kern w:val="0"/>
          <w:sz w:val="72"/>
          <w:szCs w:val="72"/>
        </w:rPr>
      </w:pPr>
    </w:p>
    <w:p>
      <w:pPr>
        <w:jc w:val="center"/>
        <w:rPr>
          <w:rFonts w:ascii="宋体" w:hAnsi="宋体" w:cs="宋体"/>
          <w:b/>
          <w:bCs/>
          <w:kern w:val="0"/>
          <w:sz w:val="72"/>
          <w:szCs w:val="72"/>
        </w:rPr>
      </w:pPr>
      <w:r>
        <w:rPr>
          <w:rFonts w:hint="eastAsia" w:ascii="宋体" w:hAnsi="宋体" w:cs="宋体"/>
          <w:b/>
          <w:bCs/>
          <w:kern w:val="0"/>
          <w:sz w:val="72"/>
          <w:szCs w:val="72"/>
        </w:rPr>
        <w:t>选</w:t>
      </w:r>
    </w:p>
    <w:p>
      <w:pPr>
        <w:ind w:firstLine="1446" w:firstLineChars="200"/>
        <w:jc w:val="center"/>
        <w:rPr>
          <w:rFonts w:ascii="宋体" w:hAnsi="宋体" w:cs="宋体"/>
          <w:b/>
          <w:bCs/>
          <w:kern w:val="0"/>
          <w:sz w:val="72"/>
          <w:szCs w:val="72"/>
        </w:rPr>
      </w:pPr>
    </w:p>
    <w:p>
      <w:pPr>
        <w:jc w:val="center"/>
        <w:rPr>
          <w:rFonts w:ascii="宋体" w:hAnsi="宋体" w:cs="宋体"/>
          <w:b/>
          <w:bCs/>
          <w:kern w:val="0"/>
          <w:sz w:val="72"/>
          <w:szCs w:val="72"/>
        </w:rPr>
      </w:pPr>
      <w:r>
        <w:rPr>
          <w:rFonts w:hint="eastAsia" w:ascii="宋体" w:hAnsi="宋体" w:cs="宋体"/>
          <w:b/>
          <w:bCs/>
          <w:kern w:val="0"/>
          <w:sz w:val="72"/>
          <w:szCs w:val="72"/>
        </w:rPr>
        <w:t>文</w:t>
      </w:r>
    </w:p>
    <w:p>
      <w:pPr>
        <w:ind w:firstLine="1446" w:firstLineChars="200"/>
        <w:jc w:val="center"/>
        <w:rPr>
          <w:rFonts w:ascii="宋体" w:hAnsi="宋体" w:cs="宋体"/>
          <w:b/>
          <w:bCs/>
          <w:kern w:val="0"/>
          <w:sz w:val="72"/>
          <w:szCs w:val="72"/>
        </w:rPr>
      </w:pPr>
    </w:p>
    <w:p>
      <w:pPr>
        <w:jc w:val="center"/>
        <w:rPr>
          <w:rFonts w:ascii="宋体" w:hAnsi="宋体" w:cs="宋体"/>
          <w:b/>
          <w:bCs/>
          <w:kern w:val="0"/>
          <w:sz w:val="72"/>
          <w:szCs w:val="72"/>
        </w:rPr>
      </w:pPr>
      <w:r>
        <w:rPr>
          <w:rFonts w:hint="eastAsia" w:ascii="宋体" w:hAnsi="宋体" w:cs="宋体"/>
          <w:b/>
          <w:bCs/>
          <w:kern w:val="0"/>
          <w:sz w:val="72"/>
          <w:szCs w:val="72"/>
        </w:rPr>
        <w:t>件</w:t>
      </w:r>
    </w:p>
    <w:p>
      <w:pPr>
        <w:ind w:firstLine="964" w:firstLineChars="200"/>
        <w:rPr>
          <w:rFonts w:ascii="宋体" w:hAnsi="宋体" w:cs="宋体"/>
          <w:b/>
          <w:bCs/>
          <w:kern w:val="0"/>
          <w:sz w:val="48"/>
          <w:szCs w:val="48"/>
        </w:rPr>
      </w:pPr>
    </w:p>
    <w:p>
      <w:pPr>
        <w:ind w:firstLine="0" w:firstLineChars="0"/>
        <w:jc w:val="center"/>
        <w:rPr>
          <w:rFonts w:hint="eastAsia" w:asciiTheme="minorEastAsia" w:hAnsiTheme="minorEastAsia" w:cstheme="minorEastAsia"/>
          <w:b/>
          <w:bCs/>
          <w:kern w:val="0"/>
          <w:sz w:val="44"/>
          <w:szCs w:val="44"/>
        </w:rPr>
      </w:pPr>
      <w:r>
        <w:rPr>
          <w:rFonts w:hint="eastAsia" w:asciiTheme="minorEastAsia" w:hAnsiTheme="minorEastAsia" w:cstheme="minorEastAsia"/>
          <w:b/>
          <w:bCs/>
          <w:kern w:val="0"/>
          <w:sz w:val="44"/>
          <w:szCs w:val="44"/>
        </w:rPr>
        <w:t>比选发起人：南宁铁路枢纽投资有限公司</w:t>
      </w:r>
    </w:p>
    <w:p>
      <w:pPr>
        <w:jc w:val="center"/>
        <w:rPr>
          <w:rFonts w:hint="eastAsia" w:asciiTheme="minorEastAsia" w:hAnsiTheme="minorEastAsia" w:cstheme="minorEastAsia"/>
          <w:b/>
          <w:bCs/>
          <w:kern w:val="0"/>
          <w:sz w:val="44"/>
          <w:szCs w:val="44"/>
          <w:highlight w:val="none"/>
        </w:rPr>
      </w:pPr>
      <w:r>
        <w:rPr>
          <w:rFonts w:hint="eastAsia" w:asciiTheme="minorEastAsia" w:hAnsiTheme="minorEastAsia" w:cstheme="minorEastAsia"/>
          <w:b/>
          <w:bCs/>
          <w:kern w:val="0"/>
          <w:sz w:val="44"/>
          <w:szCs w:val="44"/>
          <w:highlight w:val="none"/>
        </w:rPr>
        <w:t>2023年</w:t>
      </w:r>
      <w:r>
        <w:rPr>
          <w:rFonts w:hint="eastAsia" w:asciiTheme="minorEastAsia" w:hAnsiTheme="minorEastAsia" w:cstheme="minorEastAsia"/>
          <w:b/>
          <w:bCs/>
          <w:kern w:val="0"/>
          <w:sz w:val="44"/>
          <w:szCs w:val="44"/>
          <w:highlight w:val="none"/>
          <w:lang w:eastAsia="zh-CN"/>
        </w:rPr>
        <w:t>5</w:t>
      </w:r>
      <w:r>
        <w:rPr>
          <w:rFonts w:hint="eastAsia" w:asciiTheme="minorEastAsia" w:hAnsiTheme="minorEastAsia" w:cstheme="minorEastAsia"/>
          <w:b/>
          <w:bCs/>
          <w:kern w:val="0"/>
          <w:sz w:val="44"/>
          <w:szCs w:val="44"/>
          <w:highlight w:val="none"/>
        </w:rPr>
        <w:t>月</w:t>
      </w:r>
      <w:bookmarkStart w:id="0" w:name="_Toc30863"/>
      <w:bookmarkStart w:id="1" w:name="_Toc21106"/>
      <w:bookmarkStart w:id="2" w:name="_Toc27692"/>
      <w:bookmarkStart w:id="3" w:name="_Toc32247"/>
      <w:bookmarkStart w:id="4" w:name="_Toc18159"/>
      <w:bookmarkStart w:id="5" w:name="_Toc25905"/>
      <w:bookmarkStart w:id="6" w:name="_Toc27074"/>
      <w:bookmarkStart w:id="7" w:name="_Toc14943"/>
      <w:bookmarkStart w:id="8" w:name="_Toc23188"/>
      <w:bookmarkStart w:id="9" w:name="_Toc2660"/>
      <w:bookmarkStart w:id="10" w:name="_Toc9454"/>
      <w:bookmarkStart w:id="11" w:name="_Toc13122"/>
      <w:bookmarkStart w:id="12" w:name="_Toc6597"/>
      <w:bookmarkStart w:id="13" w:name="_Toc461525293"/>
      <w:bookmarkStart w:id="14" w:name="_Toc9760"/>
      <w:bookmarkStart w:id="15" w:name="_Toc471482358"/>
      <w:bookmarkStart w:id="16" w:name="_Toc12363"/>
      <w:bookmarkStart w:id="17" w:name="_Toc4954"/>
      <w:bookmarkStart w:id="18" w:name="_Toc9980"/>
      <w:bookmarkStart w:id="19" w:name="_Toc32122"/>
    </w:p>
    <w:p>
      <w:pPr>
        <w:pStyle w:val="3"/>
        <w:tabs>
          <w:tab w:val="right" w:leader="dot" w:pos="9219"/>
        </w:tabs>
        <w:rPr>
          <w:b w:val="0"/>
        </w:rPr>
        <w:sectPr>
          <w:pgSz w:w="11906" w:h="16838"/>
          <w:pgMar w:top="1440" w:right="1800" w:bottom="1440" w:left="1800" w:header="851" w:footer="992" w:gutter="0"/>
          <w:pgNumType w:start="1"/>
          <w:cols w:space="425" w:num="1"/>
          <w:docGrid w:type="lines" w:linePitch="312" w:charSpace="0"/>
        </w:sectPr>
      </w:pPr>
      <w:bookmarkStart w:id="20" w:name="_Toc9847"/>
    </w:p>
    <w:p>
      <w:pPr>
        <w:pStyle w:val="3"/>
        <w:tabs>
          <w:tab w:val="right" w:leader="dot" w:pos="9219"/>
        </w:tabs>
        <w:rPr>
          <w:b/>
          <w:bCs/>
        </w:rPr>
      </w:pPr>
      <w:bookmarkStart w:id="21" w:name="_Toc20445"/>
      <w:bookmarkStart w:id="22" w:name="_Toc12587"/>
      <w:bookmarkStart w:id="23" w:name="_Toc24280"/>
      <w:bookmarkStart w:id="24" w:name="_Toc15408"/>
      <w:bookmarkStart w:id="25" w:name="_Toc16621"/>
      <w:r>
        <w:rPr>
          <w:rFonts w:hint="eastAsia"/>
          <w:b/>
          <w:bCs/>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13"/>
        <w:tabs>
          <w:tab w:val="right" w:leader="dot" w:pos="8306"/>
        </w:tabs>
      </w:pPr>
      <w:r>
        <w:rPr>
          <w:rFonts w:ascii="宋体" w:hAnsi="宋体" w:cs="宋体"/>
          <w:szCs w:val="28"/>
        </w:rPr>
        <w:fldChar w:fldCharType="begin"/>
      </w:r>
      <w:r>
        <w:rPr>
          <w:rFonts w:ascii="宋体" w:hAnsi="宋体" w:cs="宋体"/>
          <w:szCs w:val="28"/>
        </w:rPr>
        <w:instrText xml:space="preserve"> TOC \o "1-2" \h \z \u </w:instrText>
      </w:r>
      <w:r>
        <w:rPr>
          <w:rFonts w:ascii="宋体" w:hAnsi="宋体" w:cs="宋体"/>
          <w:szCs w:val="28"/>
        </w:rPr>
        <w:fldChar w:fldCharType="separate"/>
      </w:r>
      <w:r>
        <w:rPr>
          <w:rFonts w:ascii="宋体" w:hAnsi="宋体" w:cs="宋体"/>
          <w:szCs w:val="28"/>
        </w:rPr>
        <w:fldChar w:fldCharType="begin"/>
      </w:r>
      <w:r>
        <w:rPr>
          <w:rFonts w:ascii="宋体" w:hAnsi="宋体" w:cs="宋体"/>
          <w:szCs w:val="28"/>
        </w:rPr>
        <w:instrText xml:space="preserve"> HYPERLINK \l _Toc16621 </w:instrText>
      </w:r>
      <w:r>
        <w:rPr>
          <w:rFonts w:ascii="宋体" w:hAnsi="宋体" w:cs="宋体"/>
          <w:szCs w:val="28"/>
        </w:rPr>
        <w:fldChar w:fldCharType="separate"/>
      </w:r>
      <w:r>
        <w:rPr>
          <w:rFonts w:hint="eastAsia"/>
          <w:bCs/>
        </w:rPr>
        <w:t>目录</w:t>
      </w:r>
      <w:r>
        <w:tab/>
      </w:r>
      <w:r>
        <w:fldChar w:fldCharType="begin"/>
      </w:r>
      <w:r>
        <w:instrText xml:space="preserve"> PAGEREF _Toc16621 \h </w:instrText>
      </w:r>
      <w:r>
        <w:fldChar w:fldCharType="separate"/>
      </w:r>
      <w:r>
        <w:t>1</w:t>
      </w:r>
      <w:r>
        <w:fldChar w:fldCharType="end"/>
      </w:r>
      <w:r>
        <w:rPr>
          <w:rFonts w:ascii="宋体" w:hAnsi="宋体" w:cs="宋体"/>
          <w:szCs w:val="28"/>
        </w:rPr>
        <w:fldChar w:fldCharType="end"/>
      </w:r>
    </w:p>
    <w:p>
      <w:pPr>
        <w:pStyle w:val="13"/>
        <w:tabs>
          <w:tab w:val="right" w:leader="dot" w:pos="8306"/>
        </w:tabs>
      </w:pPr>
      <w:r>
        <w:rPr>
          <w:rFonts w:ascii="宋体" w:hAnsi="宋体" w:cs="宋体"/>
          <w:szCs w:val="28"/>
        </w:rPr>
        <w:fldChar w:fldCharType="begin"/>
      </w:r>
      <w:r>
        <w:rPr>
          <w:rFonts w:ascii="宋体" w:hAnsi="宋体" w:cs="宋体"/>
          <w:szCs w:val="28"/>
        </w:rPr>
        <w:instrText xml:space="preserve"> HYPERLINK \l _Toc17225 </w:instrText>
      </w:r>
      <w:r>
        <w:rPr>
          <w:rFonts w:ascii="宋体" w:hAnsi="宋体" w:cs="宋体"/>
          <w:szCs w:val="28"/>
        </w:rPr>
        <w:fldChar w:fldCharType="separate"/>
      </w:r>
      <w:r>
        <w:rPr>
          <w:rFonts w:hint="eastAsia"/>
        </w:rPr>
        <w:t xml:space="preserve">第一章 </w:t>
      </w:r>
      <w:r>
        <w:rPr>
          <w:rFonts w:hint="eastAsia" w:ascii="宋体" w:hAnsi="宋体" w:cs="宋体"/>
          <w:szCs w:val="28"/>
        </w:rPr>
        <w:t>比选须知</w:t>
      </w:r>
      <w:r>
        <w:tab/>
      </w:r>
      <w:r>
        <w:fldChar w:fldCharType="begin"/>
      </w:r>
      <w:r>
        <w:instrText xml:space="preserve"> PAGEREF _Toc17225 \h </w:instrText>
      </w:r>
      <w:r>
        <w:fldChar w:fldCharType="separate"/>
      </w:r>
      <w:r>
        <w:t>2</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_Toc2684 </w:instrText>
      </w:r>
      <w:r>
        <w:rPr>
          <w:rFonts w:ascii="宋体" w:hAnsi="宋体" w:cs="宋体"/>
          <w:szCs w:val="28"/>
        </w:rPr>
        <w:fldChar w:fldCharType="separate"/>
      </w:r>
      <w:r>
        <w:rPr>
          <w:rFonts w:hint="eastAsia" w:ascii="宋体" w:hAnsi="宋体" w:eastAsia="宋体" w:cs="宋体"/>
          <w:bCs/>
          <w:szCs w:val="28"/>
        </w:rPr>
        <w:t>一、总则</w:t>
      </w:r>
      <w:r>
        <w:tab/>
      </w:r>
      <w:r>
        <w:fldChar w:fldCharType="begin"/>
      </w:r>
      <w:r>
        <w:instrText xml:space="preserve"> PAGEREF _Toc2684 \h </w:instrText>
      </w:r>
      <w:r>
        <w:fldChar w:fldCharType="separate"/>
      </w:r>
      <w:r>
        <w:t>5</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_Toc5698 </w:instrText>
      </w:r>
      <w:r>
        <w:rPr>
          <w:rFonts w:ascii="宋体" w:hAnsi="宋体" w:cs="宋体"/>
          <w:szCs w:val="28"/>
        </w:rPr>
        <w:fldChar w:fldCharType="separate"/>
      </w:r>
      <w:r>
        <w:rPr>
          <w:rFonts w:hint="eastAsia" w:ascii="宋体" w:hAnsi="宋体" w:eastAsia="宋体" w:cs="宋体"/>
          <w:bCs/>
          <w:szCs w:val="28"/>
        </w:rPr>
        <w:t>二、比选文件</w:t>
      </w:r>
      <w:r>
        <w:tab/>
      </w:r>
      <w:r>
        <w:fldChar w:fldCharType="begin"/>
      </w:r>
      <w:r>
        <w:instrText xml:space="preserve"> PAGEREF _Toc5698 \h </w:instrText>
      </w:r>
      <w:r>
        <w:fldChar w:fldCharType="separate"/>
      </w:r>
      <w:r>
        <w:t>5</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_Toc10815 </w:instrText>
      </w:r>
      <w:r>
        <w:rPr>
          <w:rFonts w:ascii="宋体" w:hAnsi="宋体" w:cs="宋体"/>
          <w:szCs w:val="28"/>
        </w:rPr>
        <w:fldChar w:fldCharType="separate"/>
      </w:r>
      <w:r>
        <w:rPr>
          <w:rFonts w:hint="eastAsia" w:ascii="宋体" w:hAnsi="宋体" w:eastAsia="宋体" w:cs="宋体"/>
          <w:bCs/>
          <w:szCs w:val="28"/>
        </w:rPr>
        <w:t>三、申请比选报价说明</w:t>
      </w:r>
      <w:r>
        <w:tab/>
      </w:r>
      <w:r>
        <w:fldChar w:fldCharType="begin"/>
      </w:r>
      <w:r>
        <w:instrText xml:space="preserve"> PAGEREF _Toc10815 \h </w:instrText>
      </w:r>
      <w:r>
        <w:fldChar w:fldCharType="separate"/>
      </w:r>
      <w:r>
        <w:t>6</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_Toc30218 </w:instrText>
      </w:r>
      <w:r>
        <w:rPr>
          <w:rFonts w:ascii="宋体" w:hAnsi="宋体" w:cs="宋体"/>
          <w:szCs w:val="28"/>
        </w:rPr>
        <w:fldChar w:fldCharType="separate"/>
      </w:r>
      <w:r>
        <w:rPr>
          <w:rFonts w:hint="eastAsia" w:ascii="宋体" w:hAnsi="宋体" w:eastAsia="宋体" w:cs="宋体"/>
          <w:bCs/>
          <w:szCs w:val="28"/>
        </w:rPr>
        <w:t>四、比选申请文件的编制</w:t>
      </w:r>
      <w:r>
        <w:tab/>
      </w:r>
      <w:r>
        <w:fldChar w:fldCharType="begin"/>
      </w:r>
      <w:r>
        <w:instrText xml:space="preserve"> PAGEREF _Toc30218 \h </w:instrText>
      </w:r>
      <w:r>
        <w:fldChar w:fldCharType="separate"/>
      </w:r>
      <w:r>
        <w:t>6</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_Toc12886 </w:instrText>
      </w:r>
      <w:r>
        <w:rPr>
          <w:rFonts w:ascii="宋体" w:hAnsi="宋体" w:cs="宋体"/>
          <w:szCs w:val="28"/>
        </w:rPr>
        <w:fldChar w:fldCharType="separate"/>
      </w:r>
      <w:r>
        <w:rPr>
          <w:rFonts w:hint="eastAsia" w:ascii="宋体" w:hAnsi="宋体" w:eastAsia="宋体" w:cs="宋体"/>
          <w:bCs/>
          <w:szCs w:val="28"/>
        </w:rPr>
        <w:t>五、比选申请文件的递交</w:t>
      </w:r>
      <w:r>
        <w:tab/>
      </w:r>
      <w:r>
        <w:fldChar w:fldCharType="begin"/>
      </w:r>
      <w:r>
        <w:instrText xml:space="preserve"> PAGEREF _Toc12886 \h </w:instrText>
      </w:r>
      <w:r>
        <w:fldChar w:fldCharType="separate"/>
      </w:r>
      <w:r>
        <w:t>9</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_Toc14747 </w:instrText>
      </w:r>
      <w:r>
        <w:rPr>
          <w:rFonts w:ascii="宋体" w:hAnsi="宋体" w:cs="宋体"/>
          <w:szCs w:val="28"/>
        </w:rPr>
        <w:fldChar w:fldCharType="separate"/>
      </w:r>
      <w:r>
        <w:rPr>
          <w:rFonts w:hint="eastAsia" w:ascii="宋体" w:hAnsi="宋体" w:eastAsia="宋体" w:cs="宋体"/>
          <w:bCs/>
          <w:szCs w:val="28"/>
        </w:rPr>
        <w:t>六、评比</w:t>
      </w:r>
      <w:r>
        <w:tab/>
      </w:r>
      <w:r>
        <w:fldChar w:fldCharType="begin"/>
      </w:r>
      <w:r>
        <w:instrText xml:space="preserve"> PAGEREF _Toc14747 \h </w:instrText>
      </w:r>
      <w:r>
        <w:fldChar w:fldCharType="separate"/>
      </w:r>
      <w:r>
        <w:t>10</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_Toc24001 </w:instrText>
      </w:r>
      <w:r>
        <w:rPr>
          <w:rFonts w:ascii="宋体" w:hAnsi="宋体" w:cs="宋体"/>
          <w:szCs w:val="28"/>
        </w:rPr>
        <w:fldChar w:fldCharType="separate"/>
      </w:r>
      <w:r>
        <w:rPr>
          <w:rFonts w:hint="eastAsia" w:ascii="宋体" w:hAnsi="宋体" w:eastAsia="宋体" w:cs="宋体"/>
          <w:bCs/>
          <w:szCs w:val="28"/>
        </w:rPr>
        <w:t>七、授予合同</w:t>
      </w:r>
      <w:r>
        <w:tab/>
      </w:r>
      <w:r>
        <w:fldChar w:fldCharType="begin"/>
      </w:r>
      <w:r>
        <w:instrText xml:space="preserve"> PAGEREF _Toc24001 \h </w:instrText>
      </w:r>
      <w:r>
        <w:fldChar w:fldCharType="separate"/>
      </w:r>
      <w:r>
        <w:t>15</w:t>
      </w:r>
      <w:r>
        <w:fldChar w:fldCharType="end"/>
      </w:r>
      <w:r>
        <w:rPr>
          <w:rFonts w:ascii="宋体" w:hAnsi="宋体" w:cs="宋体"/>
          <w:szCs w:val="28"/>
        </w:rPr>
        <w:fldChar w:fldCharType="end"/>
      </w:r>
    </w:p>
    <w:p>
      <w:pPr>
        <w:pStyle w:val="13"/>
        <w:tabs>
          <w:tab w:val="right" w:leader="dot" w:pos="8306"/>
        </w:tabs>
      </w:pPr>
      <w:r>
        <w:rPr>
          <w:rFonts w:ascii="宋体" w:hAnsi="宋体" w:cs="宋体"/>
          <w:szCs w:val="28"/>
        </w:rPr>
        <w:fldChar w:fldCharType="begin"/>
      </w:r>
      <w:r>
        <w:rPr>
          <w:rFonts w:ascii="宋体" w:hAnsi="宋体" w:cs="宋体"/>
          <w:szCs w:val="28"/>
        </w:rPr>
        <w:instrText xml:space="preserve"> HYPERLINK \l _Toc14368 </w:instrText>
      </w:r>
      <w:r>
        <w:rPr>
          <w:rFonts w:ascii="宋体" w:hAnsi="宋体" w:cs="宋体"/>
          <w:szCs w:val="28"/>
        </w:rPr>
        <w:fldChar w:fldCharType="separate"/>
      </w:r>
      <w:r>
        <w:rPr>
          <w:rFonts w:hint="eastAsia" w:ascii="宋体" w:hAnsi="宋体" w:cs="宋体"/>
          <w:szCs w:val="28"/>
        </w:rPr>
        <w:t>第二章 合同条款</w:t>
      </w:r>
      <w:r>
        <w:tab/>
      </w:r>
      <w:r>
        <w:fldChar w:fldCharType="begin"/>
      </w:r>
      <w:r>
        <w:instrText xml:space="preserve"> PAGEREF _Toc14368 \h </w:instrText>
      </w:r>
      <w:r>
        <w:fldChar w:fldCharType="separate"/>
      </w:r>
      <w:r>
        <w:t>16</w:t>
      </w:r>
      <w:r>
        <w:fldChar w:fldCharType="end"/>
      </w:r>
      <w:r>
        <w:rPr>
          <w:rFonts w:ascii="宋体" w:hAnsi="宋体" w:cs="宋体"/>
          <w:szCs w:val="28"/>
        </w:rPr>
        <w:fldChar w:fldCharType="end"/>
      </w:r>
    </w:p>
    <w:p>
      <w:pPr>
        <w:pStyle w:val="13"/>
        <w:tabs>
          <w:tab w:val="right" w:leader="dot" w:pos="8306"/>
        </w:tabs>
      </w:pPr>
      <w:r>
        <w:rPr>
          <w:rFonts w:ascii="宋体" w:hAnsi="宋体" w:cs="宋体"/>
          <w:szCs w:val="28"/>
        </w:rPr>
        <w:fldChar w:fldCharType="begin"/>
      </w:r>
      <w:r>
        <w:rPr>
          <w:rFonts w:ascii="宋体" w:hAnsi="宋体" w:cs="宋体"/>
          <w:szCs w:val="28"/>
        </w:rPr>
        <w:instrText xml:space="preserve"> HYPERLINK \l _Toc13956 </w:instrText>
      </w:r>
      <w:r>
        <w:rPr>
          <w:rFonts w:ascii="宋体" w:hAnsi="宋体" w:cs="宋体"/>
          <w:szCs w:val="28"/>
        </w:rPr>
        <w:fldChar w:fldCharType="separate"/>
      </w:r>
      <w:r>
        <w:rPr>
          <w:rFonts w:hint="eastAsia" w:asciiTheme="minorEastAsia" w:hAnsiTheme="minorEastAsia" w:cstheme="minorEastAsia"/>
          <w:szCs w:val="28"/>
        </w:rPr>
        <w:t>第三章 比选申请文件</w:t>
      </w:r>
      <w:r>
        <w:tab/>
      </w:r>
      <w:r>
        <w:fldChar w:fldCharType="begin"/>
      </w:r>
      <w:r>
        <w:instrText xml:space="preserve"> PAGEREF _Toc13956 \h </w:instrText>
      </w:r>
      <w:r>
        <w:fldChar w:fldCharType="separate"/>
      </w:r>
      <w:r>
        <w:t>28</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_Toc11525 </w:instrText>
      </w:r>
      <w:r>
        <w:rPr>
          <w:rFonts w:ascii="宋体" w:hAnsi="宋体" w:cs="宋体"/>
          <w:szCs w:val="28"/>
        </w:rPr>
        <w:fldChar w:fldCharType="separate"/>
      </w:r>
      <w:r>
        <w:rPr>
          <w:rFonts w:hint="eastAsia" w:asciiTheme="minorEastAsia" w:hAnsiTheme="minorEastAsia" w:cstheme="minorEastAsia"/>
          <w:szCs w:val="28"/>
        </w:rPr>
        <w:t>一、资格审查文件目录</w:t>
      </w:r>
      <w:r>
        <w:tab/>
      </w:r>
      <w:r>
        <w:fldChar w:fldCharType="begin"/>
      </w:r>
      <w:r>
        <w:instrText xml:space="preserve"> PAGEREF _Toc11525 \h </w:instrText>
      </w:r>
      <w:r>
        <w:fldChar w:fldCharType="separate"/>
      </w:r>
      <w:r>
        <w:t>30</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_Toc26087 </w:instrText>
      </w:r>
      <w:r>
        <w:rPr>
          <w:rFonts w:ascii="宋体" w:hAnsi="宋体" w:cs="宋体"/>
          <w:szCs w:val="28"/>
        </w:rPr>
        <w:fldChar w:fldCharType="separate"/>
      </w:r>
      <w:r>
        <w:rPr>
          <w:rFonts w:hint="eastAsia"/>
        </w:rPr>
        <w:t>二、商务部分材料目录</w:t>
      </w:r>
      <w:r>
        <w:tab/>
      </w:r>
      <w:r>
        <w:fldChar w:fldCharType="begin"/>
      </w:r>
      <w:r>
        <w:instrText xml:space="preserve"> PAGEREF _Toc26087 \h </w:instrText>
      </w:r>
      <w:r>
        <w:fldChar w:fldCharType="separate"/>
      </w:r>
      <w:r>
        <w:t>42</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_Toc20924 </w:instrText>
      </w:r>
      <w:r>
        <w:rPr>
          <w:rFonts w:ascii="宋体" w:hAnsi="宋体" w:cs="宋体"/>
          <w:szCs w:val="28"/>
        </w:rPr>
        <w:fldChar w:fldCharType="separate"/>
      </w:r>
      <w:r>
        <w:rPr>
          <w:rFonts w:hint="eastAsia"/>
        </w:rPr>
        <w:t>三、报价部分材料目录</w:t>
      </w:r>
      <w:r>
        <w:tab/>
      </w:r>
      <w:r>
        <w:fldChar w:fldCharType="begin"/>
      </w:r>
      <w:r>
        <w:instrText xml:space="preserve"> PAGEREF _Toc20924 \h </w:instrText>
      </w:r>
      <w:r>
        <w:fldChar w:fldCharType="separate"/>
      </w:r>
      <w:r>
        <w:t>49</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_Toc18367 </w:instrText>
      </w:r>
      <w:r>
        <w:rPr>
          <w:rFonts w:ascii="宋体" w:hAnsi="宋体" w:cs="宋体"/>
          <w:szCs w:val="28"/>
        </w:rPr>
        <w:fldChar w:fldCharType="separate"/>
      </w:r>
      <w:r>
        <w:rPr>
          <w:rFonts w:hint="eastAsia"/>
        </w:rPr>
        <w:t>四、技术部分材料目录</w:t>
      </w:r>
      <w:r>
        <w:tab/>
      </w:r>
      <w:r>
        <w:fldChar w:fldCharType="begin"/>
      </w:r>
      <w:r>
        <w:instrText xml:space="preserve"> PAGEREF _Toc18367 \h </w:instrText>
      </w:r>
      <w:r>
        <w:fldChar w:fldCharType="separate"/>
      </w:r>
      <w:r>
        <w:t>52</w:t>
      </w:r>
      <w:r>
        <w:fldChar w:fldCharType="end"/>
      </w:r>
      <w:r>
        <w:rPr>
          <w:rFonts w:ascii="宋体" w:hAnsi="宋体" w:cs="宋体"/>
          <w:szCs w:val="28"/>
        </w:rPr>
        <w:fldChar w:fldCharType="end"/>
      </w:r>
    </w:p>
    <w:p>
      <w:pPr>
        <w:pStyle w:val="13"/>
        <w:tabs>
          <w:tab w:val="right" w:leader="dot" w:pos="8306"/>
        </w:tabs>
      </w:pPr>
      <w:r>
        <w:rPr>
          <w:rFonts w:ascii="宋体" w:hAnsi="宋体" w:cs="宋体"/>
          <w:szCs w:val="28"/>
        </w:rPr>
        <w:fldChar w:fldCharType="begin"/>
      </w:r>
      <w:r>
        <w:rPr>
          <w:rFonts w:ascii="宋体" w:hAnsi="宋体" w:cs="宋体"/>
          <w:szCs w:val="28"/>
        </w:rPr>
        <w:instrText xml:space="preserve"> HYPERLINK \l _Toc612 </w:instrText>
      </w:r>
      <w:r>
        <w:rPr>
          <w:rFonts w:ascii="宋体" w:hAnsi="宋体" w:cs="宋体"/>
          <w:szCs w:val="28"/>
        </w:rPr>
        <w:fldChar w:fldCharType="separate"/>
      </w:r>
      <w:r>
        <w:rPr>
          <w:rFonts w:hint="eastAsia" w:asciiTheme="minorEastAsia" w:hAnsiTheme="minorEastAsia" w:cstheme="minorEastAsia"/>
        </w:rPr>
        <w:t>第四章 评比办法</w:t>
      </w:r>
      <w:r>
        <w:tab/>
      </w:r>
      <w:r>
        <w:fldChar w:fldCharType="begin"/>
      </w:r>
      <w:r>
        <w:instrText xml:space="preserve"> PAGEREF _Toc612 \h </w:instrText>
      </w:r>
      <w:r>
        <w:fldChar w:fldCharType="separate"/>
      </w:r>
      <w:r>
        <w:t>55</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_Toc24795 </w:instrText>
      </w:r>
      <w:r>
        <w:rPr>
          <w:rFonts w:ascii="宋体" w:hAnsi="宋体" w:cs="宋体"/>
          <w:szCs w:val="28"/>
        </w:rPr>
        <w:fldChar w:fldCharType="separate"/>
      </w:r>
      <w:r>
        <w:rPr>
          <w:rFonts w:hint="eastAsia" w:asciiTheme="minorEastAsia" w:hAnsiTheme="minorEastAsia" w:cstheme="minorEastAsia"/>
        </w:rPr>
        <w:t>一、综合评分办法</w:t>
      </w:r>
      <w:r>
        <w:tab/>
      </w:r>
      <w:r>
        <w:fldChar w:fldCharType="begin"/>
      </w:r>
      <w:r>
        <w:instrText xml:space="preserve"> PAGEREF _Toc24795 \h </w:instrText>
      </w:r>
      <w:r>
        <w:fldChar w:fldCharType="separate"/>
      </w:r>
      <w:r>
        <w:t>55</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_Toc11511 </w:instrText>
      </w:r>
      <w:r>
        <w:rPr>
          <w:rFonts w:ascii="宋体" w:hAnsi="宋体" w:cs="宋体"/>
          <w:szCs w:val="28"/>
        </w:rPr>
        <w:fldChar w:fldCharType="separate"/>
      </w:r>
      <w:r>
        <w:rPr>
          <w:rFonts w:hint="eastAsia" w:asciiTheme="minorEastAsia" w:hAnsiTheme="minorEastAsia" w:cstheme="minorEastAsia"/>
        </w:rPr>
        <w:t>二、总分计算公式</w:t>
      </w:r>
      <w:r>
        <w:tab/>
      </w:r>
      <w:r>
        <w:fldChar w:fldCharType="begin"/>
      </w:r>
      <w:r>
        <w:instrText xml:space="preserve"> PAGEREF _Toc11511 \h </w:instrText>
      </w:r>
      <w:r>
        <w:fldChar w:fldCharType="separate"/>
      </w:r>
      <w:r>
        <w:t>56</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_Toc6671 </w:instrText>
      </w:r>
      <w:r>
        <w:rPr>
          <w:rFonts w:ascii="宋体" w:hAnsi="宋体" w:cs="宋体"/>
          <w:szCs w:val="28"/>
        </w:rPr>
        <w:fldChar w:fldCharType="separate"/>
      </w:r>
      <w:r>
        <w:rPr>
          <w:rFonts w:hint="eastAsia" w:asciiTheme="minorEastAsia" w:hAnsiTheme="minorEastAsia" w:cstheme="minorEastAsia"/>
        </w:rPr>
        <w:t>三、资格审查</w:t>
      </w:r>
      <w:r>
        <w:tab/>
      </w:r>
      <w:r>
        <w:fldChar w:fldCharType="begin"/>
      </w:r>
      <w:r>
        <w:instrText xml:space="preserve"> PAGEREF _Toc6671 \h </w:instrText>
      </w:r>
      <w:r>
        <w:fldChar w:fldCharType="separate"/>
      </w:r>
      <w:r>
        <w:t>57</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_Toc1713 </w:instrText>
      </w:r>
      <w:r>
        <w:rPr>
          <w:rFonts w:ascii="宋体" w:hAnsi="宋体" w:cs="宋体"/>
          <w:szCs w:val="28"/>
        </w:rPr>
        <w:fldChar w:fldCharType="separate"/>
      </w:r>
      <w:r>
        <w:rPr>
          <w:rFonts w:hint="eastAsia" w:asciiTheme="minorEastAsia" w:hAnsiTheme="minorEastAsia" w:cstheme="minorEastAsia"/>
        </w:rPr>
        <w:t>四、评分细则</w:t>
      </w:r>
      <w:r>
        <w:tab/>
      </w:r>
      <w:r>
        <w:fldChar w:fldCharType="begin"/>
      </w:r>
      <w:r>
        <w:instrText xml:space="preserve"> PAGEREF _Toc1713 \h </w:instrText>
      </w:r>
      <w:r>
        <w:fldChar w:fldCharType="separate"/>
      </w:r>
      <w:r>
        <w:t>58</w:t>
      </w:r>
      <w:r>
        <w:fldChar w:fldCharType="end"/>
      </w:r>
      <w:r>
        <w:rPr>
          <w:rFonts w:ascii="宋体" w:hAnsi="宋体" w:cs="宋体"/>
          <w:szCs w:val="28"/>
        </w:rPr>
        <w:fldChar w:fldCharType="end"/>
      </w:r>
    </w:p>
    <w:p>
      <w:pPr>
        <w:pStyle w:val="14"/>
        <w:tabs>
          <w:tab w:val="right" w:leader="dot" w:pos="8306"/>
        </w:tabs>
      </w:pPr>
      <w:r>
        <w:rPr>
          <w:rFonts w:ascii="宋体" w:hAnsi="宋体" w:cs="宋体"/>
          <w:szCs w:val="28"/>
        </w:rPr>
        <w:fldChar w:fldCharType="begin"/>
      </w:r>
      <w:r>
        <w:rPr>
          <w:rFonts w:ascii="宋体" w:hAnsi="宋体" w:cs="宋体"/>
          <w:szCs w:val="28"/>
        </w:rPr>
        <w:instrText xml:space="preserve"> HYPERLINK \l _Toc27770 </w:instrText>
      </w:r>
      <w:r>
        <w:rPr>
          <w:rFonts w:ascii="宋体" w:hAnsi="宋体" w:cs="宋体"/>
          <w:szCs w:val="28"/>
        </w:rPr>
        <w:fldChar w:fldCharType="separate"/>
      </w:r>
      <w:r>
        <w:rPr>
          <w:rFonts w:hint="eastAsia" w:asciiTheme="minorEastAsia" w:hAnsiTheme="minorEastAsia" w:cstheme="minorEastAsia"/>
          <w:szCs w:val="20"/>
        </w:rPr>
        <w:t>五、中选标准</w:t>
      </w:r>
      <w:r>
        <w:tab/>
      </w:r>
      <w:r>
        <w:fldChar w:fldCharType="begin"/>
      </w:r>
      <w:r>
        <w:instrText xml:space="preserve"> PAGEREF _Toc27770 \h </w:instrText>
      </w:r>
      <w:r>
        <w:fldChar w:fldCharType="separate"/>
      </w:r>
      <w:r>
        <w:t>60</w:t>
      </w:r>
      <w:r>
        <w:fldChar w:fldCharType="end"/>
      </w:r>
      <w:r>
        <w:rPr>
          <w:rFonts w:ascii="宋体" w:hAnsi="宋体" w:cs="宋体"/>
          <w:szCs w:val="28"/>
        </w:rPr>
        <w:fldChar w:fldCharType="end"/>
      </w:r>
    </w:p>
    <w:p>
      <w:pPr>
        <w:spacing w:line="360" w:lineRule="auto"/>
        <w:ind w:firstLine="420" w:firstLineChars="200"/>
        <w:rPr>
          <w:rFonts w:ascii="宋体" w:hAnsi="宋体" w:cs="宋体"/>
          <w:szCs w:val="28"/>
        </w:rPr>
      </w:pPr>
      <w:r>
        <w:rPr>
          <w:rFonts w:ascii="宋体" w:hAnsi="宋体" w:cs="宋体"/>
          <w:szCs w:val="28"/>
        </w:rPr>
        <w:fldChar w:fldCharType="end"/>
      </w:r>
    </w:p>
    <w:p>
      <w:pPr>
        <w:pStyle w:val="19"/>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3"/>
        <w:numPr>
          <w:ilvl w:val="0"/>
          <w:numId w:val="1"/>
        </w:numPr>
      </w:pPr>
      <w:bookmarkStart w:id="26" w:name="_Toc32556"/>
      <w:bookmarkStart w:id="27" w:name="_Toc24481"/>
      <w:bookmarkStart w:id="28" w:name="_Toc14897"/>
      <w:bookmarkStart w:id="29" w:name="_Toc32719"/>
      <w:bookmarkStart w:id="30" w:name="_Toc11052"/>
      <w:bookmarkStart w:id="31" w:name="_Toc24235"/>
      <w:bookmarkStart w:id="32" w:name="_Toc27762"/>
      <w:bookmarkStart w:id="33" w:name="_Toc24752"/>
      <w:bookmarkStart w:id="34" w:name="_Toc12557"/>
      <w:bookmarkStart w:id="35" w:name="_Toc461525294"/>
      <w:bookmarkStart w:id="36" w:name="_Toc9092"/>
      <w:bookmarkStart w:id="37" w:name="_Toc18332"/>
      <w:bookmarkStart w:id="38" w:name="_Toc8322"/>
      <w:bookmarkStart w:id="39" w:name="_Toc19040"/>
      <w:bookmarkStart w:id="40" w:name="_Toc471482359"/>
      <w:bookmarkStart w:id="41" w:name="_Toc7862"/>
      <w:bookmarkStart w:id="42" w:name="_Toc14177"/>
      <w:bookmarkStart w:id="43" w:name="_Toc10124"/>
      <w:bookmarkStart w:id="44" w:name="_Toc27398"/>
      <w:bookmarkStart w:id="45" w:name="_Toc30578"/>
      <w:bookmarkStart w:id="46" w:name="_Toc24163"/>
      <w:bookmarkStart w:id="47" w:name="_Toc20342"/>
      <w:bookmarkStart w:id="48" w:name="_Toc16226"/>
      <w:r>
        <w:rPr>
          <w:rFonts w:hint="eastAsia" w:ascii="宋体" w:hAnsi="宋体" w:cs="宋体"/>
          <w:szCs w:val="28"/>
        </w:rPr>
        <w:t xml:space="preserve"> </w:t>
      </w:r>
      <w:bookmarkStart w:id="49" w:name="_Toc20276"/>
      <w:bookmarkStart w:id="50" w:name="_Toc21728"/>
      <w:bookmarkStart w:id="51" w:name="_Toc17225"/>
      <w:bookmarkStart w:id="52" w:name="_Toc25046"/>
      <w:r>
        <w:rPr>
          <w:rFonts w:hint="eastAsia" w:ascii="宋体" w:hAnsi="宋体" w:cs="宋体"/>
          <w:szCs w:val="28"/>
        </w:rPr>
        <w:t>比选须知</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spacing w:line="360" w:lineRule="auto"/>
        <w:rPr>
          <w:rFonts w:ascii="宋体" w:hAnsi="宋体" w:cs="宋体"/>
          <w:szCs w:val="28"/>
        </w:rPr>
      </w:pPr>
      <w:r>
        <w:rPr>
          <w:rFonts w:hint="eastAsia" w:ascii="宋体" w:hAnsi="宋体" w:cs="宋体"/>
          <w:szCs w:val="28"/>
        </w:rPr>
        <w:t>前附表</w:t>
      </w:r>
    </w:p>
    <w:tbl>
      <w:tblPr>
        <w:tblStyle w:val="16"/>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501"/>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1501" w:type="dxa"/>
            <w:vAlign w:val="center"/>
          </w:tcPr>
          <w:p>
            <w:pPr>
              <w:spacing w:line="360" w:lineRule="auto"/>
              <w:jc w:val="center"/>
              <w:rPr>
                <w:rFonts w:asciiTheme="minorEastAsia" w:hAnsiTheme="minorEastAsia" w:cstheme="minorEastAsia"/>
                <w:sz w:val="24"/>
                <w:szCs w:val="24"/>
              </w:rPr>
            </w:pPr>
          </w:p>
        </w:tc>
        <w:tc>
          <w:tcPr>
            <w:tcW w:w="724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项目名称</w:t>
            </w:r>
          </w:p>
        </w:tc>
        <w:tc>
          <w:tcPr>
            <w:tcW w:w="7242" w:type="dxa"/>
            <w:vAlign w:val="center"/>
          </w:tcPr>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六景火车站综合交通枢纽配套一期工程地质灾害危险性评估服务项目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项目范围</w:t>
            </w:r>
          </w:p>
        </w:tc>
        <w:tc>
          <w:tcPr>
            <w:tcW w:w="7242" w:type="dxa"/>
            <w:vAlign w:val="center"/>
          </w:tcPr>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highlight w:val="none"/>
              </w:rPr>
              <w:t>为六景火车站综合交通枢纽配套一期工程提供地质灾害危险性评估服务。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项目内容</w:t>
            </w:r>
          </w:p>
        </w:tc>
        <w:tc>
          <w:tcPr>
            <w:tcW w:w="7242" w:type="dxa"/>
            <w:vAlign w:val="center"/>
          </w:tcPr>
          <w:p>
            <w:pPr>
              <w:adjustRightInd/>
              <w:snapToGrid/>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包含但不限于以下内容：</w:t>
            </w:r>
          </w:p>
          <w:p>
            <w:pPr>
              <w:adjustRightInd/>
              <w:snapToGrid/>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（一）按照国家及广西有关法律法规，根据有关技术规范及标准，编制六景火车站综合交通枢纽配套一期工程地质灾害危险性评估报告。</w:t>
            </w:r>
          </w:p>
          <w:p>
            <w:pPr>
              <w:adjustRightInd/>
              <w:snapToGrid/>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（二）地质灾害危险性评估应满足《地质灾害危险性评估规程》</w:t>
            </w:r>
            <w:r>
              <w:rPr>
                <w:rFonts w:asciiTheme="minorEastAsia" w:hAnsiTheme="minorEastAsia" w:cstheme="minorEastAsia"/>
                <w:sz w:val="24"/>
                <w:szCs w:val="24"/>
              </w:rPr>
              <w:t xml:space="preserve">(DB45/T </w:t>
            </w:r>
            <w:r>
              <w:rPr>
                <w:rFonts w:hint="eastAsia" w:asciiTheme="minorEastAsia" w:hAnsiTheme="minorEastAsia" w:cstheme="minorEastAsia"/>
                <w:sz w:val="24"/>
                <w:szCs w:val="24"/>
              </w:rPr>
              <w:t>1625—</w:t>
            </w:r>
            <w:r>
              <w:rPr>
                <w:rFonts w:asciiTheme="minorEastAsia" w:hAnsiTheme="minorEastAsia" w:cstheme="minorEastAsia"/>
                <w:sz w:val="24"/>
                <w:szCs w:val="24"/>
                <w:highlight w:val="none"/>
              </w:rPr>
              <w:t>2017</w:t>
            </w:r>
            <w:r>
              <w:rPr>
                <w:rFonts w:hint="eastAsia" w:asciiTheme="minorEastAsia" w:hAnsiTheme="minorEastAsia" w:cstheme="minorEastAsia"/>
                <w:sz w:val="24"/>
                <w:szCs w:val="24"/>
              </w:rPr>
              <w:t>）规定，并提交符合广西壮族自治区自然资源厅要求的评估报告审定稿。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15" w:type="dxa"/>
            <w:shd w:val="clear" w:color="auto" w:fill="FFFFFF" w:themeFill="background1"/>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501" w:type="dxa"/>
            <w:shd w:val="clear" w:color="auto" w:fill="FFFFFF" w:themeFill="background1"/>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资金来源</w:t>
            </w:r>
          </w:p>
        </w:tc>
        <w:tc>
          <w:tcPr>
            <w:tcW w:w="7242" w:type="dxa"/>
            <w:shd w:val="clear" w:color="auto" w:fill="FFFFFF" w:themeFill="background1"/>
            <w:vAlign w:val="center"/>
          </w:tcPr>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合同价格形式</w:t>
            </w:r>
          </w:p>
        </w:tc>
        <w:tc>
          <w:tcPr>
            <w:tcW w:w="7242" w:type="dxa"/>
            <w:vAlign w:val="center"/>
          </w:tcPr>
          <w:p>
            <w:pPr>
              <w:numPr>
                <w:ilvl w:val="255"/>
                <w:numId w:val="0"/>
              </w:num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暂定总价合同。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上限控制价</w:t>
            </w:r>
          </w:p>
        </w:tc>
        <w:tc>
          <w:tcPr>
            <w:tcW w:w="7242" w:type="dxa"/>
            <w:vAlign w:val="center"/>
          </w:tcPr>
          <w:p>
            <w:pPr>
              <w:spacing w:line="360" w:lineRule="auto"/>
              <w:rPr>
                <w:rFonts w:asciiTheme="minorEastAsia" w:hAnsiTheme="minorEastAsia" w:cstheme="minorEastAsia"/>
                <w:sz w:val="24"/>
              </w:rPr>
            </w:pPr>
            <w:r>
              <w:rPr>
                <w:rFonts w:hint="eastAsia" w:asciiTheme="minorEastAsia" w:hAnsiTheme="minorEastAsia" w:cstheme="minorEastAsia"/>
                <w:kern w:val="0"/>
                <w:sz w:val="24"/>
                <w:szCs w:val="24"/>
              </w:rPr>
              <w:t>（</w:t>
            </w:r>
            <w:r>
              <w:rPr>
                <w:rFonts w:asciiTheme="minorEastAsia" w:hAnsiTheme="minorEastAsia" w:cstheme="minorEastAsia"/>
                <w:kern w:val="0"/>
                <w:sz w:val="24"/>
                <w:szCs w:val="24"/>
              </w:rPr>
              <w:t>1）服务费</w:t>
            </w:r>
            <w:r>
              <w:rPr>
                <w:rFonts w:hint="eastAsia" w:asciiTheme="minorEastAsia" w:hAnsiTheme="minorEastAsia" w:cstheme="minorEastAsia"/>
                <w:sz w:val="24"/>
                <w:szCs w:val="24"/>
              </w:rPr>
              <w:t>上限控制价</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含税</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rPr>
              <w:t>为</w:t>
            </w:r>
            <w:r>
              <w:rPr>
                <w:rFonts w:hint="eastAsia" w:asciiTheme="minorEastAsia" w:hAnsiTheme="minorEastAsia" w:cstheme="minorEastAsia"/>
                <w:sz w:val="24"/>
                <w:szCs w:val="24"/>
                <w:u w:val="single"/>
              </w:rPr>
              <w:t>10.5</w:t>
            </w:r>
            <w:r>
              <w:rPr>
                <w:rFonts w:hint="eastAsia" w:asciiTheme="minorEastAsia" w:hAnsiTheme="minorEastAsia" w:cstheme="minorEastAsia"/>
                <w:sz w:val="24"/>
                <w:szCs w:val="24"/>
              </w:rPr>
              <w:t>万元</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壹拾万伍仟元整</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rPr>
              <w:t>。</w:t>
            </w:r>
          </w:p>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rPr>
              <w:t>（2）比选申请人应结合自身因素进行竞争性报价，但不得超出上限控制价范围，否则报价无效，做否决投标处理。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报价方式</w:t>
            </w:r>
          </w:p>
        </w:tc>
        <w:tc>
          <w:tcPr>
            <w:tcW w:w="7242" w:type="dxa"/>
            <w:vAlign w:val="center"/>
          </w:tcPr>
          <w:p>
            <w:pPr>
              <w:numPr>
                <w:ilvl w:val="0"/>
                <w:numId w:val="2"/>
              </w:numPr>
              <w:spacing w:before="156" w:beforeLines="50" w:after="156" w:afterLines="50" w:line="360" w:lineRule="auto"/>
              <w:jc w:val="left"/>
              <w:rPr>
                <w:rFonts w:asciiTheme="minorEastAsia" w:hAnsiTheme="minorEastAsia" w:cstheme="minorEastAsia"/>
                <w:sz w:val="24"/>
              </w:rPr>
            </w:pPr>
            <w:r>
              <w:rPr>
                <w:rFonts w:hint="eastAsia" w:asciiTheme="minorEastAsia" w:hAnsiTheme="minorEastAsia" w:cstheme="minorEastAsia"/>
                <w:bCs/>
                <w:sz w:val="24"/>
                <w:szCs w:val="24"/>
              </w:rPr>
              <w:t>比选申请人应当</w:t>
            </w:r>
            <w:r>
              <w:rPr>
                <w:rFonts w:hint="eastAsia" w:asciiTheme="minorEastAsia" w:hAnsiTheme="minorEastAsia" w:cstheme="minorEastAsia"/>
                <w:sz w:val="24"/>
                <w:szCs w:val="24"/>
              </w:rPr>
              <w:t>根据六景火车站综合交通枢纽配套一期工程的用地规模、总投资</w:t>
            </w:r>
            <w:r>
              <w:rPr>
                <w:rFonts w:hint="eastAsia" w:asciiTheme="minorEastAsia" w:hAnsiTheme="minorEastAsia" w:cstheme="minorEastAsia"/>
                <w:bCs/>
                <w:sz w:val="24"/>
                <w:szCs w:val="24"/>
              </w:rPr>
              <w:t>、工作范围、工作内容、工作难度、工作条件、自身实力和风险因素，充分考虑市场竞争情况，对</w:t>
            </w:r>
            <w:r>
              <w:rPr>
                <w:rFonts w:hint="eastAsia" w:asciiTheme="minorEastAsia" w:hAnsiTheme="minorEastAsia" w:cstheme="minorEastAsia"/>
                <w:sz w:val="24"/>
              </w:rPr>
              <w:t>地质灾害危险性评估服务</w:t>
            </w:r>
            <w:r>
              <w:rPr>
                <w:rFonts w:hint="eastAsia" w:asciiTheme="minorEastAsia" w:hAnsiTheme="minorEastAsia" w:cstheme="minorEastAsia"/>
                <w:bCs/>
                <w:sz w:val="24"/>
                <w:szCs w:val="24"/>
              </w:rPr>
              <w:t>费进行报价。</w:t>
            </w:r>
          </w:p>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w:t>
            </w:r>
            <w:r>
              <w:rPr>
                <w:rFonts w:asciiTheme="minorEastAsia" w:hAnsiTheme="minorEastAsia" w:cstheme="minorEastAsia"/>
                <w:sz w:val="24"/>
                <w:szCs w:val="24"/>
              </w:rPr>
              <w:t>2</w:t>
            </w:r>
            <w:r>
              <w:rPr>
                <w:rFonts w:hint="eastAsia" w:asciiTheme="minorEastAsia" w:hAnsiTheme="minorEastAsia" w:cstheme="minorEastAsia"/>
                <w:sz w:val="24"/>
                <w:szCs w:val="24"/>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合同期限</w:t>
            </w:r>
          </w:p>
        </w:tc>
        <w:tc>
          <w:tcPr>
            <w:tcW w:w="7242" w:type="dxa"/>
            <w:vAlign w:val="center"/>
          </w:tcPr>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合同生效且</w:t>
            </w:r>
            <w:r>
              <w:rPr>
                <w:rFonts w:hint="eastAsia" w:asciiTheme="minorEastAsia" w:hAnsiTheme="minorEastAsia" w:cstheme="minorEastAsia"/>
                <w:sz w:val="24"/>
                <w:szCs w:val="24"/>
                <w:lang w:val="zh-CN"/>
              </w:rPr>
              <w:t>甲方提供相关资料后20天内，乙方</w:t>
            </w:r>
            <w:r>
              <w:rPr>
                <w:rFonts w:hint="eastAsia" w:asciiTheme="minorEastAsia" w:hAnsiTheme="minorEastAsia" w:cstheme="minorEastAsia"/>
                <w:sz w:val="24"/>
                <w:szCs w:val="24"/>
              </w:rPr>
              <w:t>提供满足</w:t>
            </w:r>
            <w:r>
              <w:rPr>
                <w:rFonts w:hint="eastAsia" w:asciiTheme="minorEastAsia" w:hAnsiTheme="minorEastAsia" w:cstheme="minorEastAsia"/>
                <w:sz w:val="24"/>
                <w:szCs w:val="24"/>
                <w:lang w:val="zh-CN"/>
              </w:rPr>
              <w:t>评审要求的材料，之后20天内提交最终审定稿并通过评审，具体以甲方要求时限为准。</w:t>
            </w:r>
            <w:r>
              <w:rPr>
                <w:rFonts w:hint="eastAsia" w:asciiTheme="minorEastAsia" w:hAnsi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9</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比选申请人资格要求</w:t>
            </w:r>
          </w:p>
        </w:tc>
        <w:tc>
          <w:tcPr>
            <w:tcW w:w="7242" w:type="dxa"/>
            <w:vAlign w:val="center"/>
          </w:tcPr>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（1）比选申请人为中华人民共和国境内依法设立的法人或其他组织；</w:t>
            </w:r>
          </w:p>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（2）资格（资质）要求：比选申请人</w:t>
            </w:r>
            <w:r>
              <w:rPr>
                <w:rFonts w:hint="eastAsia" w:asciiTheme="minorEastAsia" w:hAnsiTheme="minorEastAsia" w:cstheme="minorEastAsia"/>
                <w:sz w:val="24"/>
              </w:rPr>
              <w:t>应</w:t>
            </w:r>
            <w:r>
              <w:rPr>
                <w:rFonts w:hint="eastAsia" w:asciiTheme="minorEastAsia" w:hAnsiTheme="minorEastAsia" w:cstheme="minorEastAsia"/>
                <w:sz w:val="24"/>
                <w:lang w:val="zh-CN"/>
              </w:rPr>
              <w:t>具备</w:t>
            </w:r>
            <w:r>
              <w:rPr>
                <w:rFonts w:hint="eastAsia" w:asciiTheme="minorEastAsia" w:hAnsiTheme="minorEastAsia" w:cstheme="minorEastAsia"/>
                <w:sz w:val="24"/>
              </w:rPr>
              <w:t>地质灾害危险性评估甲级资质</w:t>
            </w:r>
            <w:r>
              <w:rPr>
                <w:rFonts w:hint="eastAsia" w:asciiTheme="minorEastAsia" w:hAnsiTheme="minorEastAsia" w:cstheme="minorEastAsia"/>
                <w:sz w:val="24"/>
                <w:lang w:val="zh-CN"/>
              </w:rPr>
              <w:t>；</w:t>
            </w:r>
          </w:p>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（3）项目</w:t>
            </w:r>
            <w:r>
              <w:rPr>
                <w:rFonts w:hint="eastAsia" w:asciiTheme="minorEastAsia" w:hAnsiTheme="minorEastAsia" w:cstheme="minorEastAsia"/>
                <w:sz w:val="24"/>
              </w:rPr>
              <w:t>负责人</w:t>
            </w:r>
            <w:r>
              <w:rPr>
                <w:rFonts w:hint="eastAsia" w:asciiTheme="minorEastAsia" w:hAnsiTheme="minorEastAsia" w:cstheme="minorEastAsia"/>
                <w:sz w:val="24"/>
                <w:lang w:val="zh-CN"/>
              </w:rPr>
              <w:t>要求：</w:t>
            </w:r>
          </w:p>
          <w:p>
            <w:pPr>
              <w:spacing w:line="360" w:lineRule="auto"/>
              <w:ind w:right="-3" w:firstLine="480" w:firstLineChars="200"/>
              <w:rPr>
                <w:rFonts w:hint="eastAsia" w:asciiTheme="minorEastAsia" w:hAnsiTheme="minorEastAsia" w:cstheme="minorEastAsia"/>
                <w:sz w:val="24"/>
                <w:lang w:val="zh-CN"/>
              </w:rPr>
            </w:pPr>
            <w:r>
              <w:rPr>
                <w:rFonts w:hint="eastAsia" w:asciiTheme="minorEastAsia" w:hAnsiTheme="minorEastAsia" w:cstheme="minorEastAsia"/>
                <w:sz w:val="24"/>
                <w:lang w:val="zh-CN"/>
              </w:rPr>
              <w:fldChar w:fldCharType="begin"/>
            </w:r>
            <w:r>
              <w:rPr>
                <w:rFonts w:hint="eastAsia" w:asciiTheme="minorEastAsia" w:hAnsiTheme="minorEastAsia" w:cstheme="minorEastAsia"/>
                <w:sz w:val="24"/>
                <w:lang w:val="zh-CN"/>
              </w:rPr>
              <w:instrText xml:space="preserve"> = 1 \* GB3 \* MERGEFORMAT </w:instrText>
            </w:r>
            <w:r>
              <w:rPr>
                <w:rFonts w:hint="eastAsia" w:asciiTheme="minorEastAsia" w:hAnsiTheme="minorEastAsia" w:cstheme="minorEastAsia"/>
                <w:sz w:val="24"/>
                <w:lang w:val="zh-CN"/>
              </w:rPr>
              <w:fldChar w:fldCharType="separate"/>
            </w:r>
            <w:r>
              <w:rPr>
                <w:rFonts w:hint="eastAsia" w:asciiTheme="minorEastAsia" w:hAnsiTheme="minorEastAsia" w:cstheme="minorEastAsia"/>
                <w:sz w:val="24"/>
                <w:lang w:val="zh-CN"/>
              </w:rPr>
              <w:t>①</w:t>
            </w:r>
            <w:r>
              <w:rPr>
                <w:rFonts w:hint="eastAsia" w:asciiTheme="minorEastAsia" w:hAnsiTheme="minorEastAsia" w:cstheme="minorEastAsia"/>
                <w:sz w:val="24"/>
                <w:lang w:val="zh-CN"/>
              </w:rPr>
              <w:fldChar w:fldCharType="end"/>
            </w:r>
            <w:r>
              <w:rPr>
                <w:rFonts w:hint="eastAsia" w:asciiTheme="minorEastAsia" w:hAnsiTheme="minorEastAsia" w:cstheme="minorEastAsia"/>
                <w:sz w:val="24"/>
                <w:lang w:val="zh-CN"/>
              </w:rPr>
              <w:t>项目负责人1名，</w:t>
            </w:r>
            <w:r>
              <w:rPr>
                <w:rFonts w:hint="eastAsia" w:asciiTheme="minorEastAsia" w:hAnsiTheme="minorEastAsia" w:cstheme="minorEastAsia"/>
                <w:sz w:val="24"/>
              </w:rPr>
              <w:t>且</w:t>
            </w:r>
            <w:r>
              <w:rPr>
                <w:rFonts w:hint="eastAsia" w:asciiTheme="minorEastAsia" w:hAnsiTheme="minorEastAsia" w:cstheme="minorEastAsia"/>
                <w:sz w:val="24"/>
                <w:lang w:val="zh-CN"/>
              </w:rPr>
              <w:t>具备水文地质</w:t>
            </w:r>
            <w:r>
              <w:rPr>
                <w:rFonts w:hint="eastAsia" w:asciiTheme="minorEastAsia" w:hAnsiTheme="minorEastAsia" w:cstheme="minorEastAsia"/>
                <w:sz w:val="24"/>
              </w:rPr>
              <w:t>或</w:t>
            </w:r>
            <w:r>
              <w:rPr>
                <w:rFonts w:hint="eastAsia" w:asciiTheme="minorEastAsia" w:hAnsiTheme="minorEastAsia" w:cstheme="minorEastAsia"/>
                <w:sz w:val="24"/>
                <w:lang w:val="zh-CN"/>
              </w:rPr>
              <w:t>工程地质等相关专业</w:t>
            </w:r>
            <w:r>
              <w:rPr>
                <w:rFonts w:hint="eastAsia" w:asciiTheme="minorEastAsia" w:hAnsiTheme="minorEastAsia" w:cstheme="minorEastAsia"/>
                <w:sz w:val="24"/>
                <w:highlight w:val="none"/>
              </w:rPr>
              <w:t>中</w:t>
            </w:r>
            <w:r>
              <w:rPr>
                <w:rFonts w:hint="eastAsia" w:asciiTheme="minorEastAsia" w:hAnsiTheme="minorEastAsia" w:cstheme="minorEastAsia"/>
                <w:sz w:val="24"/>
                <w:lang w:val="zh-CN"/>
              </w:rPr>
              <w:t>级</w:t>
            </w:r>
            <w:r>
              <w:rPr>
                <w:rFonts w:hint="eastAsia" w:asciiTheme="minorEastAsia" w:hAnsiTheme="minorEastAsia" w:cstheme="minorEastAsia"/>
                <w:sz w:val="24"/>
              </w:rPr>
              <w:t>工程师及以上</w:t>
            </w:r>
            <w:r>
              <w:rPr>
                <w:rFonts w:hint="eastAsia" w:asciiTheme="minorEastAsia" w:hAnsiTheme="minorEastAsia" w:cstheme="minorEastAsia"/>
                <w:sz w:val="24"/>
                <w:lang w:val="zh-CN"/>
              </w:rPr>
              <w:t>技术职称；</w:t>
            </w:r>
          </w:p>
          <w:p>
            <w:pPr>
              <w:spacing w:line="360" w:lineRule="auto"/>
              <w:ind w:right="-3" w:firstLine="480" w:firstLineChars="200"/>
              <w:rPr>
                <w:rFonts w:hint="eastAsia" w:asciiTheme="minorEastAsia" w:hAnsiTheme="minorEastAsia" w:cstheme="minorEastAsia"/>
                <w:sz w:val="24"/>
                <w:lang w:val="zh-CN"/>
              </w:rPr>
            </w:pPr>
            <w:r>
              <w:rPr>
                <w:rFonts w:hint="eastAsia" w:asciiTheme="minorEastAsia" w:hAnsiTheme="minorEastAsia" w:cstheme="minorEastAsia"/>
                <w:sz w:val="24"/>
                <w:lang w:val="zh-CN"/>
              </w:rPr>
              <w:fldChar w:fldCharType="begin"/>
            </w:r>
            <w:r>
              <w:rPr>
                <w:rFonts w:hint="eastAsia" w:asciiTheme="minorEastAsia" w:hAnsiTheme="minorEastAsia" w:cstheme="minorEastAsia"/>
                <w:sz w:val="24"/>
                <w:lang w:val="zh-CN"/>
              </w:rPr>
              <w:instrText xml:space="preserve"> = 2 \* GB3 \* MERGEFORMAT </w:instrText>
            </w:r>
            <w:r>
              <w:rPr>
                <w:rFonts w:hint="eastAsia" w:asciiTheme="minorEastAsia" w:hAnsiTheme="minorEastAsia" w:cstheme="minorEastAsia"/>
                <w:sz w:val="24"/>
                <w:lang w:val="zh-CN"/>
              </w:rPr>
              <w:fldChar w:fldCharType="separate"/>
            </w:r>
            <w:r>
              <w:rPr>
                <w:rFonts w:hint="eastAsia" w:asciiTheme="minorEastAsia" w:hAnsiTheme="minorEastAsia" w:cstheme="minorEastAsia"/>
                <w:sz w:val="24"/>
                <w:lang w:val="zh-CN"/>
              </w:rPr>
              <w:t>②</w:t>
            </w:r>
            <w:r>
              <w:rPr>
                <w:rFonts w:hint="eastAsia" w:asciiTheme="minorEastAsia" w:hAnsiTheme="minorEastAsia" w:cstheme="minorEastAsia"/>
                <w:sz w:val="24"/>
                <w:lang w:val="zh-CN"/>
              </w:rPr>
              <w:fldChar w:fldCharType="end"/>
            </w:r>
            <w:r>
              <w:rPr>
                <w:rFonts w:hint="eastAsia" w:asciiTheme="minorEastAsia" w:hAnsiTheme="minorEastAsia" w:cstheme="minorEastAsia"/>
                <w:sz w:val="24"/>
                <w:lang w:val="zh-CN"/>
              </w:rPr>
              <w:t>必须为比选申请人的正式员工，并提供2022年12月—2023年2月的社会保险缴纳证明。</w:t>
            </w:r>
          </w:p>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（4）业绩要求：比选申请人自2020年1月1日至比选公告发布之日前至少具有1项</w:t>
            </w:r>
            <w:r>
              <w:rPr>
                <w:rFonts w:hint="eastAsia" w:asciiTheme="minorEastAsia" w:hAnsiTheme="minorEastAsia" w:cstheme="minorEastAsia"/>
                <w:sz w:val="24"/>
                <w:szCs w:val="24"/>
              </w:rPr>
              <w:t>市政工程或交通工程类</w:t>
            </w:r>
            <w:r>
              <w:rPr>
                <w:rFonts w:hint="eastAsia" w:asciiTheme="minorEastAsia" w:hAnsiTheme="minorEastAsia" w:cstheme="minorEastAsia"/>
                <w:sz w:val="24"/>
              </w:rPr>
              <w:t>地质灾害危险性评估服务项目业绩</w:t>
            </w:r>
            <w:r>
              <w:rPr>
                <w:rFonts w:hint="eastAsia" w:asciiTheme="minorEastAsia" w:hAnsiTheme="minorEastAsia" w:cstheme="minorEastAsia"/>
                <w:sz w:val="24"/>
                <w:lang w:val="zh-CN"/>
              </w:rPr>
              <w:t>；</w:t>
            </w:r>
          </w:p>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（5）比选申请人没有处于被行政</w:t>
            </w:r>
            <w:r>
              <w:rPr>
                <w:rFonts w:hint="eastAsia" w:asciiTheme="minorEastAsia" w:hAnsiTheme="minorEastAsia" w:cstheme="minorEastAsia"/>
                <w:sz w:val="24"/>
              </w:rPr>
              <w:t>主管</w:t>
            </w:r>
            <w:r>
              <w:rPr>
                <w:rFonts w:hint="eastAsia" w:asciiTheme="minorEastAsia" w:hAnsiTheme="minorEastAsia" w:cstheme="minorEastAsia"/>
                <w:sz w:val="24"/>
                <w:lang w:val="zh-CN"/>
              </w:rPr>
              <w:t>部门或业主取消比选申请资格的处罚期内，且没有处于被责令停业，财产被接管、冻结、破产状态；比选申请</w:t>
            </w:r>
            <w:r>
              <w:rPr>
                <w:rFonts w:hint="eastAsia" w:asciiTheme="minorEastAsia" w:hAnsiTheme="minorEastAsia" w:cstheme="minorEastAsia"/>
                <w:sz w:val="24"/>
              </w:rPr>
              <w:t>人至比选</w:t>
            </w:r>
            <w:r>
              <w:rPr>
                <w:rFonts w:hint="eastAsia" w:asciiTheme="minorEastAsia" w:hAnsiTheme="minorEastAsia" w:cstheme="minorEastAsia"/>
                <w:sz w:val="24"/>
                <w:lang w:val="zh-CN"/>
              </w:rPr>
              <w:t>截止时间前3年内没有骗取中选、严重违约或重大质量安全责任事故的情况；</w:t>
            </w:r>
          </w:p>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（6）单位负责人为同一人或者存在控股、管理关系的不同单位，不得参加同一标段比选申请或者未划分标段的同一比选项目比选申请。</w:t>
            </w:r>
            <w:bookmarkStart w:id="443" w:name="_GoBack"/>
            <w:bookmarkEnd w:id="443"/>
          </w:p>
          <w:p>
            <w:pPr>
              <w:pStyle w:val="19"/>
              <w:spacing w:line="360" w:lineRule="auto"/>
              <w:rPr>
                <w:rFonts w:hint="eastAsia" w:asciiTheme="minorEastAsia" w:hAnsiTheme="minorEastAsia" w:cstheme="minorEastAsia"/>
              </w:rPr>
            </w:pPr>
            <w:r>
              <w:rPr>
                <w:rFonts w:hint="eastAsia" w:asciiTheme="minorEastAsia" w:hAnsiTheme="minorEastAsia" w:cstheme="minorEastAsia"/>
                <w:bCs w:val="0"/>
                <w:spacing w:val="0"/>
                <w:kern w:val="2"/>
                <w:sz w:val="24"/>
                <w:lang w:val="zh-CN"/>
              </w:rPr>
              <w:t>（7）本项目不接受联合体比选申请。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获取比选文件的时间、地点、方式及比选文件售价</w:t>
            </w:r>
          </w:p>
        </w:tc>
        <w:tc>
          <w:tcPr>
            <w:tcW w:w="7242"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时间：</w:t>
            </w:r>
            <w:r>
              <w:rPr>
                <w:rFonts w:asciiTheme="minorEastAsia" w:hAnsiTheme="minorEastAsia" w:cstheme="minorEastAsia"/>
                <w:sz w:val="24"/>
                <w:szCs w:val="24"/>
              </w:rPr>
              <w:t>202</w:t>
            </w:r>
            <w:r>
              <w:rPr>
                <w:rFonts w:hint="eastAsia" w:asciiTheme="minorEastAsia" w:hAnsiTheme="minorEastAsia" w:cstheme="minorEastAsia"/>
                <w:sz w:val="24"/>
                <w:szCs w:val="24"/>
              </w:rPr>
              <w:t>3</w:t>
            </w:r>
            <w:r>
              <w:rPr>
                <w:rFonts w:asciiTheme="minorEastAsia" w:hAnsiTheme="minorEastAsia" w:cstheme="minorEastAsia"/>
                <w:sz w:val="24"/>
                <w:szCs w:val="24"/>
              </w:rPr>
              <w:t>年</w:t>
            </w:r>
            <w:r>
              <w:rPr>
                <w:rFonts w:hint="eastAsia" w:asciiTheme="minorEastAsia" w:hAnsiTheme="minorEastAsia" w:cstheme="minorEastAsia"/>
                <w:sz w:val="24"/>
                <w:szCs w:val="24"/>
                <w:lang w:val="en-US" w:eastAsia="zh-CN"/>
              </w:rPr>
              <w:t>5</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val="en-US" w:eastAsia="zh-CN"/>
              </w:rPr>
              <w:t>4</w:t>
            </w:r>
            <w:r>
              <w:rPr>
                <w:rFonts w:hint="eastAsia" w:asciiTheme="minorEastAsia" w:hAnsiTheme="minorEastAsia" w:cstheme="minorEastAsia"/>
                <w:sz w:val="24"/>
                <w:szCs w:val="24"/>
              </w:rPr>
              <w:t>日</w:t>
            </w:r>
          </w:p>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地点：南宁轨道交通集团有限责任公司官网www.nngdjt.com招标招商中的招标公告处</w:t>
            </w:r>
          </w:p>
          <w:p>
            <w:pPr>
              <w:spacing w:line="360" w:lineRule="auto"/>
              <w:ind w:left="210" w:hanging="240" w:hangingChars="100"/>
              <w:jc w:val="left"/>
              <w:rPr>
                <w:rFonts w:asciiTheme="minorEastAsia" w:hAnsiTheme="minorEastAsia" w:cstheme="minorEastAsia"/>
                <w:sz w:val="24"/>
                <w:szCs w:val="24"/>
              </w:rPr>
            </w:pPr>
            <w:r>
              <w:rPr>
                <w:rFonts w:hint="eastAsia" w:asciiTheme="minorEastAsia" w:hAnsiTheme="minorEastAsia" w:cstheme="minorEastAsia"/>
                <w:sz w:val="24"/>
                <w:szCs w:val="24"/>
              </w:rPr>
              <w:t>方式：本项目实行网上发售电子版比选文件，不再出售纸质比选文件。凡有意参与的潜在比选申请人，请登录南宁轨道交通集团有限责任公司官网(http://www.nngdjt.com/)的招标招商中的招标公告处下载比选文件。</w:t>
            </w:r>
          </w:p>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11</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比选有效期</w:t>
            </w:r>
          </w:p>
        </w:tc>
        <w:tc>
          <w:tcPr>
            <w:tcW w:w="7242" w:type="dxa"/>
            <w:vAlign w:val="center"/>
          </w:tcPr>
          <w:p>
            <w:pPr>
              <w:spacing w:line="360" w:lineRule="auto"/>
              <w:ind w:right="753"/>
              <w:jc w:val="left"/>
              <w:rPr>
                <w:rFonts w:asciiTheme="minorEastAsia" w:hAnsiTheme="minorEastAsia" w:cstheme="minorEastAsia"/>
                <w:sz w:val="24"/>
                <w:szCs w:val="24"/>
              </w:rPr>
            </w:pPr>
            <w:r>
              <w:rPr>
                <w:rFonts w:hint="eastAsia" w:asciiTheme="minorEastAsia" w:hAnsiTheme="minorEastAsia" w:cstheme="minorEastAsia"/>
                <w:sz w:val="24"/>
                <w:szCs w:val="24"/>
              </w:rPr>
              <w:t>90天（比选有效期是指为保证比选发起人有足够的时间完成评审和与中选人签订合同而在一定时间内保持有效的期限。比选有效期从比选申请文件递交截止之日算起。）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12</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比选申请文件份数</w:t>
            </w:r>
          </w:p>
        </w:tc>
        <w:tc>
          <w:tcPr>
            <w:tcW w:w="7242" w:type="dxa"/>
            <w:vAlign w:val="center"/>
          </w:tcPr>
          <w:p>
            <w:pPr>
              <w:spacing w:line="360" w:lineRule="auto"/>
              <w:ind w:right="753"/>
              <w:jc w:val="left"/>
              <w:rPr>
                <w:rFonts w:asciiTheme="minorEastAsia" w:hAnsiTheme="minorEastAsia" w:cstheme="minorEastAsia"/>
                <w:sz w:val="24"/>
                <w:szCs w:val="24"/>
              </w:rPr>
            </w:pPr>
            <w:r>
              <w:rPr>
                <w:rFonts w:hint="eastAsia" w:asciiTheme="minorEastAsia" w:hAnsiTheme="minorEastAsia" w:cstheme="minorEastAsia"/>
                <w:sz w:val="24"/>
                <w:szCs w:val="24"/>
              </w:rPr>
              <w:t>纸质版一式三份，其中正本一份、副本两份（中选后提交电子版）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13</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比选申请文件递交地址</w:t>
            </w:r>
          </w:p>
        </w:tc>
        <w:tc>
          <w:tcPr>
            <w:tcW w:w="7242" w:type="dxa"/>
            <w:vAlign w:val="center"/>
          </w:tcPr>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地点：南宁市青秀区云景路69号轨道大厦A2办公楼104会议室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15" w:type="dxa"/>
            <w:shd w:val="clear" w:color="auto" w:fill="FFFFFF" w:themeFill="background1"/>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14</w:t>
            </w:r>
          </w:p>
        </w:tc>
        <w:tc>
          <w:tcPr>
            <w:tcW w:w="1501" w:type="dxa"/>
            <w:shd w:val="clear" w:color="auto" w:fill="FFFFFF" w:themeFill="background1"/>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比选申请文件递交截止日期</w:t>
            </w:r>
          </w:p>
        </w:tc>
        <w:tc>
          <w:tcPr>
            <w:tcW w:w="7242" w:type="dxa"/>
            <w:shd w:val="clear" w:color="auto" w:fill="FFFFFF" w:themeFill="background1"/>
            <w:vAlign w:val="center"/>
          </w:tcPr>
          <w:p>
            <w:pPr>
              <w:spacing w:line="360" w:lineRule="auto"/>
              <w:ind w:right="753"/>
              <w:jc w:val="left"/>
              <w:rPr>
                <w:rFonts w:asciiTheme="minorEastAsia" w:hAnsiTheme="minorEastAsia" w:cstheme="minorEastAsia"/>
                <w:sz w:val="24"/>
                <w:szCs w:val="24"/>
              </w:rPr>
            </w:pPr>
            <w:r>
              <w:rPr>
                <w:rFonts w:asciiTheme="minorEastAsia" w:hAnsiTheme="minorEastAsia" w:cstheme="minorEastAsia"/>
                <w:sz w:val="24"/>
                <w:szCs w:val="24"/>
              </w:rPr>
              <w:t>202</w:t>
            </w:r>
            <w:r>
              <w:rPr>
                <w:rFonts w:hint="eastAsia" w:asciiTheme="minorEastAsia" w:hAnsiTheme="minorEastAsia" w:cstheme="minorEastAsia"/>
                <w:sz w:val="24"/>
                <w:szCs w:val="24"/>
              </w:rPr>
              <w:t>3年</w:t>
            </w:r>
            <w:r>
              <w:rPr>
                <w:rFonts w:hint="eastAsia" w:asciiTheme="minorEastAsia" w:hAnsiTheme="minorEastAsia" w:cstheme="minorEastAsia"/>
                <w:sz w:val="24"/>
                <w:szCs w:val="24"/>
                <w:lang w:val="en-US" w:eastAsia="zh-CN"/>
              </w:rPr>
              <w:t>5</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val="en-US" w:eastAsia="zh-CN"/>
              </w:rPr>
              <w:t>11</w:t>
            </w:r>
            <w:r>
              <w:rPr>
                <w:rFonts w:hint="eastAsia" w:asciiTheme="minorEastAsia" w:hAnsiTheme="minorEastAsia" w:cstheme="minorEastAsia"/>
                <w:sz w:val="24"/>
                <w:szCs w:val="24"/>
              </w:rPr>
              <w:t>日上午</w:t>
            </w:r>
            <w:r>
              <w:rPr>
                <w:rFonts w:asciiTheme="minorEastAsia" w:hAnsiTheme="minorEastAsia" w:cstheme="minorEastAsia"/>
                <w:sz w:val="24"/>
                <w:szCs w:val="24"/>
              </w:rPr>
              <w:t>9：00</w:t>
            </w:r>
            <w:r>
              <w:rPr>
                <w:rFonts w:hint="eastAsia" w:asciiTheme="minorEastAsia" w:hAnsiTheme="minorEastAsia" w:cstheme="minorEastAsia"/>
                <w:sz w:val="24"/>
                <w:szCs w:val="24"/>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15" w:type="dxa"/>
            <w:shd w:val="clear" w:color="auto" w:fill="FFFFFF" w:themeFill="background1"/>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15</w:t>
            </w:r>
          </w:p>
        </w:tc>
        <w:tc>
          <w:tcPr>
            <w:tcW w:w="1501" w:type="dxa"/>
            <w:shd w:val="clear" w:color="auto" w:fill="FFFFFF" w:themeFill="background1"/>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比选时间、地点</w:t>
            </w:r>
          </w:p>
        </w:tc>
        <w:tc>
          <w:tcPr>
            <w:tcW w:w="7242" w:type="dxa"/>
            <w:shd w:val="clear" w:color="auto" w:fill="FFFFFF" w:themeFill="background1"/>
            <w:vAlign w:val="center"/>
          </w:tcPr>
          <w:p>
            <w:pPr>
              <w:spacing w:line="360" w:lineRule="auto"/>
              <w:ind w:right="753"/>
              <w:jc w:val="left"/>
              <w:rPr>
                <w:rFonts w:asciiTheme="minorEastAsia" w:hAnsiTheme="minorEastAsia" w:cstheme="minorEastAsia"/>
                <w:sz w:val="24"/>
                <w:szCs w:val="24"/>
              </w:rPr>
            </w:pPr>
            <w:r>
              <w:rPr>
                <w:rFonts w:hint="eastAsia" w:asciiTheme="minorEastAsia" w:hAnsiTheme="minorEastAsia" w:cstheme="minorEastAsia"/>
                <w:sz w:val="24"/>
                <w:szCs w:val="24"/>
              </w:rPr>
              <w:t>时间：</w:t>
            </w:r>
            <w:r>
              <w:rPr>
                <w:rFonts w:asciiTheme="minorEastAsia" w:hAnsiTheme="minorEastAsia" w:cstheme="minorEastAsia"/>
                <w:sz w:val="24"/>
                <w:szCs w:val="24"/>
              </w:rPr>
              <w:t>202</w:t>
            </w:r>
            <w:r>
              <w:rPr>
                <w:rFonts w:hint="eastAsia" w:asciiTheme="minorEastAsia" w:hAnsiTheme="minorEastAsia" w:cstheme="minorEastAsia"/>
                <w:sz w:val="24"/>
                <w:szCs w:val="24"/>
              </w:rPr>
              <w:t>3年</w:t>
            </w:r>
            <w:r>
              <w:rPr>
                <w:rFonts w:hint="eastAsia" w:asciiTheme="minorEastAsia" w:hAnsiTheme="minorEastAsia" w:cstheme="minorEastAsia"/>
                <w:sz w:val="24"/>
                <w:szCs w:val="24"/>
                <w:lang w:val="en-US" w:eastAsia="zh-CN"/>
              </w:rPr>
              <w:t>5</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val="en-US" w:eastAsia="zh-CN"/>
              </w:rPr>
              <w:t>11</w:t>
            </w:r>
            <w:r>
              <w:rPr>
                <w:rFonts w:hint="eastAsia" w:asciiTheme="minorEastAsia" w:hAnsiTheme="minorEastAsia" w:cstheme="minorEastAsia"/>
                <w:sz w:val="24"/>
                <w:szCs w:val="24"/>
              </w:rPr>
              <w:t>日上午</w:t>
            </w:r>
            <w:r>
              <w:rPr>
                <w:rFonts w:asciiTheme="minorEastAsia" w:hAnsiTheme="minorEastAsia" w:cstheme="minorEastAsia"/>
                <w:sz w:val="24"/>
                <w:szCs w:val="24"/>
              </w:rPr>
              <w:t>9:30</w:t>
            </w:r>
          </w:p>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地点：南宁市青秀区云景路69号轨道大厦A2办公楼104会议室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16</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评比办法</w:t>
            </w:r>
          </w:p>
        </w:tc>
        <w:tc>
          <w:tcPr>
            <w:tcW w:w="7242" w:type="dxa"/>
            <w:vAlign w:val="center"/>
          </w:tcPr>
          <w:p>
            <w:pPr>
              <w:spacing w:line="360" w:lineRule="auto"/>
              <w:ind w:right="753"/>
              <w:jc w:val="left"/>
              <w:rPr>
                <w:rFonts w:asciiTheme="minorEastAsia" w:hAnsiTheme="minorEastAsia" w:cstheme="minorEastAsia"/>
                <w:sz w:val="24"/>
                <w:szCs w:val="24"/>
              </w:rPr>
            </w:pPr>
            <w:r>
              <w:rPr>
                <w:rFonts w:hint="eastAsia" w:asciiTheme="minorEastAsia" w:hAnsiTheme="minorEastAsia" w:cstheme="minorEastAsia"/>
                <w:sz w:val="24"/>
                <w:szCs w:val="24"/>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17</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中选通知</w:t>
            </w:r>
          </w:p>
        </w:tc>
        <w:tc>
          <w:tcPr>
            <w:tcW w:w="7242" w:type="dxa"/>
            <w:vAlign w:val="center"/>
          </w:tcPr>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比选人根据评比委员会的评比结果在比选有效期内向中选的比选申请人发出中选通知书。</w:t>
            </w:r>
          </w:p>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18</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比选保证金</w:t>
            </w:r>
          </w:p>
        </w:tc>
        <w:tc>
          <w:tcPr>
            <w:tcW w:w="7242" w:type="dxa"/>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本项目无比选保证金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19</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联系方式</w:t>
            </w:r>
          </w:p>
        </w:tc>
        <w:tc>
          <w:tcPr>
            <w:tcW w:w="7242" w:type="dxa"/>
            <w:vAlign w:val="center"/>
          </w:tcPr>
          <w:p>
            <w:pPr>
              <w:spacing w:line="360" w:lineRule="auto"/>
              <w:ind w:right="753"/>
              <w:jc w:val="left"/>
              <w:rPr>
                <w:rFonts w:asciiTheme="minorEastAsia" w:hAnsiTheme="minorEastAsia" w:cstheme="minorEastAsia"/>
                <w:sz w:val="24"/>
                <w:szCs w:val="24"/>
              </w:rPr>
            </w:pPr>
            <w:r>
              <w:rPr>
                <w:rFonts w:hint="eastAsia" w:asciiTheme="minorEastAsia" w:hAnsiTheme="minorEastAsia" w:cstheme="minorEastAsia"/>
                <w:sz w:val="24"/>
                <w:szCs w:val="24"/>
              </w:rPr>
              <w:t>联系人：刘工 0771-2778977</w:t>
            </w:r>
          </w:p>
          <w:p>
            <w:pPr>
              <w:spacing w:line="360" w:lineRule="auto"/>
              <w:ind w:right="753"/>
              <w:jc w:val="left"/>
              <w:rPr>
                <w:rFonts w:asciiTheme="minorEastAsia" w:hAnsiTheme="minorEastAsia" w:cstheme="minorEastAsia"/>
                <w:sz w:val="24"/>
                <w:szCs w:val="24"/>
              </w:rPr>
            </w:pPr>
            <w:r>
              <w:rPr>
                <w:rFonts w:hint="eastAsia" w:asciiTheme="minorEastAsia" w:hAnsiTheme="minorEastAsia" w:cstheme="minorEastAsia"/>
                <w:sz w:val="24"/>
                <w:szCs w:val="24"/>
              </w:rPr>
              <w:t>联系人：张工 0771-2778433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20</w:t>
            </w:r>
          </w:p>
        </w:tc>
        <w:tc>
          <w:tcPr>
            <w:tcW w:w="1501"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其他事项</w:t>
            </w:r>
          </w:p>
        </w:tc>
        <w:tc>
          <w:tcPr>
            <w:tcW w:w="7242" w:type="dxa"/>
            <w:vAlign w:val="center"/>
          </w:tcPr>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中选单位如放弃中选资格，则比选发起人有权将其列入不良行为记录名单、三年内禁止其参加比选发起人的任何采购活动。</w:t>
            </w:r>
          </w:p>
        </w:tc>
      </w:tr>
    </w:tbl>
    <w:p>
      <w:pPr>
        <w:spacing w:line="360" w:lineRule="auto"/>
        <w:ind w:right="-23" w:firstLine="560" w:firstLineChars="200"/>
        <w:jc w:val="left"/>
        <w:rPr>
          <w:rFonts w:hint="eastAsia" w:ascii="宋体" w:hAnsi="宋体" w:eastAsia="宋体" w:cs="宋体"/>
          <w:b w:val="0"/>
          <w:bCs w:val="0"/>
          <w:sz w:val="28"/>
          <w:szCs w:val="28"/>
        </w:rPr>
      </w:pPr>
      <w:bookmarkStart w:id="53" w:name="_Toc22025"/>
      <w:bookmarkStart w:id="54" w:name="_Toc6849"/>
      <w:bookmarkStart w:id="55" w:name="_Toc4834"/>
      <w:bookmarkStart w:id="56" w:name="_Toc3894"/>
      <w:bookmarkStart w:id="57" w:name="_Toc8560"/>
      <w:bookmarkStart w:id="58" w:name="_Toc30147"/>
      <w:bookmarkStart w:id="59" w:name="_Toc14220"/>
      <w:bookmarkStart w:id="60" w:name="_Toc32582"/>
      <w:bookmarkStart w:id="61" w:name="_Toc11673"/>
      <w:bookmarkStart w:id="62" w:name="_Toc2548"/>
      <w:bookmarkStart w:id="63" w:name="_Toc15190"/>
      <w:bookmarkStart w:id="64" w:name="_Toc31786"/>
    </w:p>
    <w:p>
      <w:pPr>
        <w:pStyle w:val="4"/>
        <w:jc w:val="center"/>
        <w:rPr>
          <w:rFonts w:hint="eastAsia" w:ascii="宋体" w:hAnsi="宋体" w:eastAsia="宋体" w:cs="宋体"/>
          <w:b/>
          <w:bCs/>
          <w:szCs w:val="28"/>
        </w:rPr>
      </w:pPr>
      <w:bookmarkStart w:id="65" w:name="_Toc2684"/>
      <w:r>
        <w:rPr>
          <w:rFonts w:hint="eastAsia" w:ascii="宋体" w:hAnsi="宋体" w:eastAsia="宋体" w:cs="宋体"/>
          <w:b/>
          <w:bCs/>
          <w:szCs w:val="28"/>
        </w:rPr>
        <w:t>一、总则</w:t>
      </w:r>
      <w:bookmarkEnd w:id="53"/>
      <w:bookmarkEnd w:id="54"/>
      <w:bookmarkEnd w:id="55"/>
      <w:bookmarkEnd w:id="56"/>
      <w:bookmarkEnd w:id="57"/>
      <w:bookmarkEnd w:id="58"/>
      <w:bookmarkEnd w:id="59"/>
      <w:bookmarkEnd w:id="60"/>
      <w:bookmarkEnd w:id="61"/>
      <w:bookmarkEnd w:id="62"/>
      <w:bookmarkEnd w:id="63"/>
      <w:bookmarkEnd w:id="64"/>
      <w:bookmarkEnd w:id="65"/>
    </w:p>
    <w:p>
      <w:pPr>
        <w:ind w:right="754" w:firstLine="562" w:firstLineChars="200"/>
        <w:jc w:val="left"/>
        <w:rPr>
          <w:rFonts w:hint="eastAsia" w:ascii="宋体" w:hAnsi="宋体" w:eastAsia="宋体" w:cs="宋体"/>
          <w:sz w:val="28"/>
          <w:szCs w:val="28"/>
        </w:rPr>
      </w:pPr>
      <w:bookmarkStart w:id="66" w:name="_Toc286386834"/>
      <w:bookmarkStart w:id="67" w:name="_Toc114052340"/>
      <w:bookmarkStart w:id="68" w:name="_Toc310318572"/>
      <w:bookmarkStart w:id="69" w:name="_Toc114052414"/>
      <w:r>
        <w:rPr>
          <w:rFonts w:hint="eastAsia" w:ascii="宋体" w:hAnsi="宋体" w:eastAsia="宋体" w:cs="宋体"/>
          <w:b/>
          <w:bCs/>
          <w:sz w:val="28"/>
          <w:szCs w:val="28"/>
        </w:rPr>
        <w:t>1.项目比选说明</w:t>
      </w:r>
      <w:bookmarkEnd w:id="66"/>
      <w:bookmarkEnd w:id="67"/>
      <w:bookmarkEnd w:id="68"/>
      <w:bookmarkEnd w:id="69"/>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1.1 项目比选的说明见比选须知前附表（以下称“前附表”）第1项～第20项所述。</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1.2 上述项目按照国家有关的法律、法规作为依据，并按照南宁市政府现行有关规定执行，南宁铁路枢纽投资有限公司现通过公开比选来择优选定服务单位。</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2.工作内容：</w:t>
      </w:r>
    </w:p>
    <w:p>
      <w:pPr>
        <w:spacing w:line="360" w:lineRule="auto"/>
        <w:ind w:right="754" w:firstLine="560" w:firstLineChars="200"/>
        <w:jc w:val="left"/>
        <w:rPr>
          <w:rFonts w:hint="eastAsia" w:ascii="宋体" w:hAnsi="宋体" w:eastAsia="宋体" w:cs="宋体"/>
          <w:b/>
          <w:bCs/>
          <w:sz w:val="28"/>
          <w:szCs w:val="28"/>
        </w:rPr>
      </w:pPr>
      <w:r>
        <w:rPr>
          <w:rFonts w:hint="eastAsia" w:ascii="宋体" w:hAnsi="宋体" w:eastAsia="宋体" w:cs="宋体"/>
          <w:sz w:val="28"/>
          <w:szCs w:val="28"/>
        </w:rPr>
        <w:t xml:space="preserve">工作内容见前附表第3项所述。   </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3.资金来源</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资金来源见前附表第4项所述。</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4.</w:t>
      </w:r>
      <w:bookmarkStart w:id="70" w:name="_Toc310318574"/>
      <w:bookmarkStart w:id="71" w:name="_Toc114052342"/>
      <w:bookmarkStart w:id="72" w:name="_Toc286386836"/>
      <w:bookmarkStart w:id="73" w:name="_Toc114052416"/>
      <w:r>
        <w:rPr>
          <w:rFonts w:hint="eastAsia" w:ascii="宋体" w:hAnsi="宋体" w:eastAsia="宋体" w:cs="宋体"/>
          <w:b/>
          <w:bCs/>
          <w:sz w:val="28"/>
          <w:szCs w:val="28"/>
        </w:rPr>
        <w:t>比选申请人资格要求</w:t>
      </w:r>
      <w:bookmarkEnd w:id="70"/>
      <w:bookmarkEnd w:id="71"/>
      <w:bookmarkEnd w:id="72"/>
      <w:bookmarkEnd w:id="73"/>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4.1比选申请人必须具有前附表第9项相应的资质及要求。</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5.</w:t>
      </w:r>
      <w:bookmarkStart w:id="74" w:name="_Toc310318575"/>
      <w:bookmarkStart w:id="75" w:name="_Toc114052417"/>
      <w:bookmarkStart w:id="76" w:name="_Toc286386837"/>
      <w:bookmarkStart w:id="77" w:name="_Toc114052343"/>
      <w:r>
        <w:rPr>
          <w:rFonts w:hint="eastAsia" w:ascii="宋体" w:hAnsi="宋体" w:eastAsia="宋体" w:cs="宋体"/>
          <w:b/>
          <w:bCs/>
          <w:sz w:val="28"/>
          <w:szCs w:val="28"/>
        </w:rPr>
        <w:t>申请比选费用</w:t>
      </w:r>
      <w:bookmarkEnd w:id="74"/>
      <w:bookmarkEnd w:id="75"/>
      <w:bookmarkEnd w:id="76"/>
      <w:bookmarkEnd w:id="77"/>
    </w:p>
    <w:p>
      <w:pPr>
        <w:tabs>
          <w:tab w:val="left" w:pos="8610"/>
        </w:tabs>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5.1比选申请人应承担其编制文件与递交文件所涉及的一切费用。不管评比结果如何，比选人对上述费用不负任何责任。</w:t>
      </w:r>
    </w:p>
    <w:p>
      <w:pPr>
        <w:pStyle w:val="4"/>
        <w:jc w:val="center"/>
        <w:rPr>
          <w:rFonts w:hint="eastAsia" w:ascii="宋体" w:hAnsi="宋体" w:eastAsia="宋体" w:cs="宋体"/>
          <w:b/>
          <w:bCs/>
          <w:szCs w:val="28"/>
        </w:rPr>
      </w:pPr>
      <w:bookmarkStart w:id="78" w:name="_Toc8029"/>
      <w:bookmarkStart w:id="79" w:name="_Toc16023"/>
      <w:bookmarkStart w:id="80" w:name="_Toc14136"/>
      <w:bookmarkStart w:id="81" w:name="_Toc17323"/>
      <w:bookmarkStart w:id="82" w:name="_Toc25256"/>
      <w:bookmarkStart w:id="83" w:name="_Toc471482362"/>
      <w:bookmarkStart w:id="84" w:name="_Toc17725"/>
      <w:bookmarkStart w:id="85" w:name="_Toc26141"/>
      <w:bookmarkStart w:id="86" w:name="_Toc13058"/>
      <w:bookmarkStart w:id="87" w:name="_Toc18033"/>
      <w:bookmarkStart w:id="88" w:name="_Toc6541"/>
      <w:bookmarkStart w:id="89" w:name="_Toc4061"/>
      <w:bookmarkStart w:id="90" w:name="_Toc5207"/>
      <w:bookmarkStart w:id="91" w:name="_Toc17610"/>
      <w:bookmarkStart w:id="92" w:name="_Toc3066"/>
      <w:bookmarkStart w:id="93" w:name="_Toc5665"/>
      <w:bookmarkStart w:id="94" w:name="_Toc5698"/>
      <w:bookmarkStart w:id="95" w:name="_Toc1270"/>
      <w:bookmarkStart w:id="96" w:name="_Toc16670"/>
      <w:bookmarkStart w:id="97" w:name="_Toc5243"/>
      <w:bookmarkStart w:id="98" w:name="_Toc18809"/>
      <w:bookmarkStart w:id="99" w:name="_Toc6585"/>
      <w:bookmarkStart w:id="100" w:name="_Toc22143"/>
      <w:bookmarkStart w:id="101" w:name="_Toc15439"/>
      <w:bookmarkStart w:id="102" w:name="_Toc461525298"/>
      <w:bookmarkStart w:id="103" w:name="_Toc13006"/>
      <w:bookmarkStart w:id="104" w:name="_Toc12243"/>
      <w:r>
        <w:rPr>
          <w:rFonts w:hint="eastAsia" w:ascii="宋体" w:hAnsi="宋体" w:eastAsia="宋体" w:cs="宋体"/>
          <w:b/>
          <w:bCs/>
          <w:szCs w:val="28"/>
        </w:rPr>
        <w:t>二、比选文件</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6.</w:t>
      </w:r>
      <w:bookmarkStart w:id="105" w:name="_Toc286386839"/>
      <w:bookmarkStart w:id="106" w:name="_Toc114052419"/>
      <w:bookmarkStart w:id="107" w:name="_Toc114052345"/>
      <w:bookmarkStart w:id="108" w:name="_Toc310318577"/>
      <w:r>
        <w:rPr>
          <w:rFonts w:hint="eastAsia" w:ascii="宋体" w:hAnsi="宋体" w:eastAsia="宋体" w:cs="宋体"/>
          <w:b/>
          <w:bCs/>
          <w:sz w:val="28"/>
          <w:szCs w:val="28"/>
        </w:rPr>
        <w:t>比选文件的组成</w:t>
      </w:r>
      <w:bookmarkEnd w:id="105"/>
      <w:bookmarkEnd w:id="106"/>
      <w:bookmarkEnd w:id="107"/>
      <w:bookmarkEnd w:id="108"/>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6.1比选文件包括比选须知前附表、比选须知、合同条款（格式）、比选申请文件格式、评比办法。</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6.2比选申请人应认真审阅比选文件中所有的比选文件内容要求。如果比选申请人的比选申请文件不能符合比选文件的要求，责任由比选申请人负责。实质上不响应比选文件要求的比选申请文件将被拒绝。</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7.比选文件的解释</w:t>
      </w:r>
    </w:p>
    <w:p>
      <w:pPr>
        <w:spacing w:line="360" w:lineRule="auto"/>
        <w:ind w:right="-23" w:firstLine="560" w:firstLineChars="200"/>
        <w:rPr>
          <w:rFonts w:hint="eastAsia" w:ascii="宋体" w:hAnsi="宋体" w:eastAsia="宋体" w:cs="宋体"/>
          <w:sz w:val="28"/>
          <w:szCs w:val="28"/>
        </w:rPr>
      </w:pPr>
      <w:r>
        <w:rPr>
          <w:rFonts w:hint="eastAsia" w:ascii="宋体" w:hAnsi="宋体" w:eastAsia="宋体" w:cs="宋体"/>
          <w:sz w:val="28"/>
          <w:szCs w:val="28"/>
        </w:rPr>
        <w:t>7.1比选申请人在获取比选文件后，若有问题需要澄清，均应在递交文件截止时间3个工作日前的正常工作时间内，用当面递交或传真书面通知比选人，其他方式为无效。比选人将于递交文件截止时间2天前以书面形式,在比选人官网发布，予以答复。</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8.比选文件的修改</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8.1在递交文件截止日期前2天，比选人可以采用补充通知的方式修改比选文件。</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8.2补充通知将以书面形式，在比选人官网发布，补充通知作为比选文件的组成部分，对比选申请人起约束作用。</w:t>
      </w:r>
    </w:p>
    <w:p>
      <w:pPr>
        <w:pStyle w:val="4"/>
        <w:jc w:val="center"/>
        <w:rPr>
          <w:rFonts w:hint="eastAsia" w:ascii="宋体" w:hAnsi="宋体" w:eastAsia="宋体" w:cs="宋体"/>
          <w:b/>
          <w:bCs/>
          <w:szCs w:val="28"/>
        </w:rPr>
      </w:pPr>
      <w:bookmarkStart w:id="109" w:name="_Toc32534"/>
      <w:bookmarkStart w:id="110" w:name="_Toc12756"/>
      <w:bookmarkStart w:id="111" w:name="_Toc28872"/>
      <w:bookmarkStart w:id="112" w:name="_Toc22076"/>
      <w:bookmarkStart w:id="113" w:name="_Toc8526"/>
      <w:bookmarkStart w:id="114" w:name="_Toc10815"/>
      <w:r>
        <w:rPr>
          <w:rFonts w:hint="eastAsia" w:ascii="宋体" w:hAnsi="宋体" w:eastAsia="宋体" w:cs="宋体"/>
          <w:b/>
          <w:bCs/>
          <w:szCs w:val="28"/>
        </w:rPr>
        <w:t>三、申请比选报价说明</w:t>
      </w:r>
      <w:bookmarkEnd w:id="109"/>
      <w:bookmarkEnd w:id="110"/>
      <w:bookmarkEnd w:id="111"/>
      <w:bookmarkEnd w:id="112"/>
      <w:bookmarkEnd w:id="113"/>
      <w:bookmarkEnd w:id="114"/>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9.申请比选报价</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9.1申请比选报价见比选须知前附表第7项所述。</w:t>
      </w:r>
    </w:p>
    <w:p>
      <w:pPr>
        <w:pStyle w:val="4"/>
        <w:jc w:val="center"/>
        <w:rPr>
          <w:rFonts w:hint="eastAsia" w:ascii="宋体" w:hAnsi="宋体" w:eastAsia="宋体" w:cs="宋体"/>
          <w:b/>
          <w:bCs/>
          <w:szCs w:val="28"/>
        </w:rPr>
      </w:pPr>
      <w:bookmarkStart w:id="115" w:name="_Toc30918"/>
      <w:bookmarkStart w:id="116" w:name="_Toc8317"/>
      <w:bookmarkStart w:id="117" w:name="_Toc11483"/>
      <w:bookmarkStart w:id="118" w:name="_Toc28082"/>
      <w:bookmarkStart w:id="119" w:name="_Toc30218"/>
      <w:bookmarkStart w:id="120" w:name="_Toc12014"/>
      <w:r>
        <w:rPr>
          <w:rFonts w:hint="eastAsia" w:ascii="宋体" w:hAnsi="宋体" w:eastAsia="宋体" w:cs="宋体"/>
          <w:b/>
          <w:bCs/>
          <w:szCs w:val="28"/>
        </w:rPr>
        <w:t>四、比选申请文件的编制</w:t>
      </w:r>
      <w:bookmarkEnd w:id="115"/>
      <w:bookmarkEnd w:id="116"/>
      <w:bookmarkEnd w:id="117"/>
      <w:bookmarkEnd w:id="118"/>
      <w:bookmarkEnd w:id="119"/>
      <w:bookmarkEnd w:id="120"/>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10.比选申请文件编写注意事项</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10.2比选文件提出的实质性要求和条件是指本比选项目所涉及的最低人员配置、价格、服务及其它要求、合同条款等内容。</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10.3比选申请人的比选申请文件所有来往函件统一使用中文(特别规定除外)。</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10.4比选申请文件中使用的计量单位除比选文件中有特殊规定外，一律使用法定计量单位。</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11.比选申请文件的组成</w:t>
      </w:r>
    </w:p>
    <w:p>
      <w:pPr>
        <w:spacing w:line="360" w:lineRule="auto"/>
        <w:ind w:right="-21" w:firstLine="560" w:firstLineChars="200"/>
        <w:jc w:val="left"/>
        <w:rPr>
          <w:rFonts w:hint="eastAsia" w:ascii="宋体" w:hAnsi="宋体" w:eastAsia="宋体" w:cs="宋体"/>
          <w:sz w:val="28"/>
          <w:szCs w:val="28"/>
        </w:rPr>
      </w:pPr>
      <w:r>
        <w:rPr>
          <w:rFonts w:hint="eastAsia" w:ascii="宋体" w:hAnsi="宋体" w:eastAsia="宋体" w:cs="宋体"/>
          <w:sz w:val="28"/>
          <w:szCs w:val="28"/>
        </w:rPr>
        <w:t>11.1比选申请文件由资格审查部分、商务部分、报价部分、技术部分四部分组成，详细要求与部分格式详见第三章。</w:t>
      </w:r>
    </w:p>
    <w:p>
      <w:pPr>
        <w:spacing w:line="360" w:lineRule="auto"/>
        <w:ind w:right="753" w:firstLine="560" w:firstLineChars="200"/>
        <w:jc w:val="left"/>
        <w:rPr>
          <w:rFonts w:hint="eastAsia" w:ascii="宋体" w:hAnsi="宋体" w:eastAsia="宋体" w:cs="宋体"/>
          <w:sz w:val="28"/>
          <w:szCs w:val="28"/>
        </w:rPr>
      </w:pPr>
      <w:r>
        <w:rPr>
          <w:rFonts w:hint="eastAsia" w:ascii="宋体" w:hAnsi="宋体" w:eastAsia="宋体" w:cs="宋体"/>
          <w:sz w:val="28"/>
          <w:szCs w:val="28"/>
        </w:rPr>
        <w:t>11.2资格审查部分主要包括下列内容：</w:t>
      </w:r>
    </w:p>
    <w:p>
      <w:pPr>
        <w:spacing w:line="360" w:lineRule="auto"/>
        <w:ind w:right="0" w:firstLine="560" w:firstLineChars="200"/>
        <w:jc w:val="left"/>
        <w:rPr>
          <w:rFonts w:hint="eastAsia" w:ascii="宋体" w:hAnsi="宋体" w:eastAsia="宋体" w:cs="宋体"/>
          <w:sz w:val="28"/>
          <w:szCs w:val="28"/>
        </w:rPr>
      </w:pPr>
      <w:r>
        <w:rPr>
          <w:rFonts w:hint="eastAsia" w:ascii="宋体" w:hAnsi="宋体" w:eastAsia="宋体" w:cs="宋体"/>
          <w:sz w:val="28"/>
          <w:szCs w:val="28"/>
        </w:rPr>
        <w:t>（1）诚信声明（原件）；</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（2）法定代表人资格证明书（原件）；</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（3）法定代表人身份证明文件（提供复印件加盖法人单位公章）；</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（4）比选申请文件签署授权委托书（原件）；</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（5）授权代理人身份证明文件（提供复印件加盖法人单位公章）；</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 xml:space="preserve">（6）营业执照复印件、税务登记证复印件（如已办理三证合一则不需提供）、组织机构代码证复印件（ 如已办理三证合一则不需提供）（加盖单位公章）； </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（7）企业资质证书复印件（加盖单位公章）；</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（8）项目负责人职称证书、与本单位签订的合同及</w:t>
      </w:r>
      <w:r>
        <w:rPr>
          <w:rFonts w:hint="eastAsia" w:ascii="宋体" w:hAnsi="宋体" w:eastAsia="宋体" w:cs="宋体"/>
          <w:sz w:val="28"/>
          <w:szCs w:val="28"/>
          <w:lang w:val="zh-CN"/>
        </w:rPr>
        <w:t>2022年12月—2023年2月的</w:t>
      </w:r>
      <w:r>
        <w:rPr>
          <w:rFonts w:hint="eastAsia" w:ascii="宋体" w:hAnsi="宋体" w:eastAsia="宋体" w:cs="宋体"/>
          <w:sz w:val="28"/>
          <w:szCs w:val="28"/>
        </w:rPr>
        <w:t>社保缴纳记录；</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（9）类似项目业绩证明材料；</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（10）其他。</w:t>
      </w:r>
    </w:p>
    <w:p>
      <w:pPr>
        <w:spacing w:line="360" w:lineRule="auto"/>
        <w:ind w:right="753" w:firstLine="560" w:firstLineChars="200"/>
        <w:jc w:val="left"/>
        <w:rPr>
          <w:rFonts w:hint="eastAsia" w:ascii="宋体" w:hAnsi="宋体" w:eastAsia="宋体" w:cs="宋体"/>
          <w:sz w:val="28"/>
          <w:szCs w:val="28"/>
        </w:rPr>
      </w:pPr>
      <w:r>
        <w:rPr>
          <w:rFonts w:hint="eastAsia" w:ascii="宋体" w:hAnsi="宋体" w:eastAsia="宋体" w:cs="宋体"/>
          <w:sz w:val="28"/>
          <w:szCs w:val="28"/>
        </w:rPr>
        <w:t>11.3商务部分主要包括下列内容：</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（1）企业资质证书复印件（加盖单位公章）；</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（2）业绩表；</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（3）信誉表；</w:t>
      </w:r>
    </w:p>
    <w:p>
      <w:pPr>
        <w:spacing w:line="360" w:lineRule="auto"/>
        <w:ind w:right="754" w:firstLine="560" w:firstLineChars="200"/>
        <w:rPr>
          <w:rFonts w:hint="eastAsia" w:ascii="宋体" w:hAnsi="宋体" w:eastAsia="宋体" w:cs="宋体"/>
          <w:sz w:val="28"/>
          <w:szCs w:val="28"/>
        </w:rPr>
      </w:pPr>
      <w:r>
        <w:rPr>
          <w:rFonts w:hint="eastAsia" w:ascii="宋体" w:hAnsi="宋体" w:eastAsia="宋体" w:cs="宋体"/>
          <w:sz w:val="28"/>
          <w:szCs w:val="28"/>
        </w:rPr>
        <w:t>（4）拟投入人员配置明细表；</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（5）拟投入人员的相关工作业绩、资历及能力（由比选申请人自行编写）。</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11.4报价部分主要包括下列内容：</w:t>
      </w:r>
    </w:p>
    <w:p>
      <w:pPr>
        <w:numPr>
          <w:ilvl w:val="0"/>
          <w:numId w:val="3"/>
        </w:num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报价表。</w:t>
      </w:r>
    </w:p>
    <w:p>
      <w:pPr>
        <w:spacing w:line="360" w:lineRule="auto"/>
        <w:ind w:right="753" w:firstLine="560" w:firstLineChars="200"/>
        <w:jc w:val="left"/>
        <w:rPr>
          <w:rFonts w:hint="eastAsia" w:ascii="宋体" w:hAnsi="宋体" w:eastAsia="宋体" w:cs="宋体"/>
          <w:sz w:val="28"/>
          <w:szCs w:val="28"/>
        </w:rPr>
      </w:pPr>
      <w:r>
        <w:rPr>
          <w:rFonts w:hint="eastAsia" w:ascii="宋体" w:hAnsi="宋体" w:eastAsia="宋体" w:cs="宋体"/>
          <w:sz w:val="28"/>
          <w:szCs w:val="28"/>
        </w:rPr>
        <w:t>11.5技术部分主要包括下列内容：</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（1）服务方案（由比选申请人自行编写）；</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（2）其他。</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11.6比选申请人需按照比选人提供的比选申请文件格式和顺序另行编制比选申请文件，但表格可以按同样格式扩展。</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12.比选有效期</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12.1比选申请文件在前附表第14条规定的递交比选申请文件日期之后的90天内有效。</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13.比选保证金</w:t>
      </w:r>
    </w:p>
    <w:p>
      <w:pPr>
        <w:spacing w:line="360" w:lineRule="auto"/>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13.1比选保证金：无。</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14.比选答疑</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14.2比选补遗文件包括所有问题和答复，比选人将于递交文件截止时间2天前以书面形式,在比选人官网发布，予以答复。</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15.比选申请文件的份数和签署</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15.1比选申请人按比选文件规定，编制一份比选申请文件“正本”和两份比选申请文件“副本”，并标明“比选申请文件正本”和“比选申请文件副本”。比选申请文件正本和副本如有不一致之处，以正本为准。</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15.2比选申请文件正本与副本均应使用不能擦去的黑色墨水打印或书写，装订成册，由比选申请人负责人或授权委托代理人亲自签署或加盖印鉴，并加盖比选申请人单位公章。</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15.3全套比选申请文件应无涂改和行间插字，除非这些删改是根据比选人指示进行的；或者是比选申请人造成的必须修改的错误，但修改处应由比选申请文件签字人签字证明，否则修改无效。</w:t>
      </w:r>
    </w:p>
    <w:p>
      <w:pPr>
        <w:pStyle w:val="4"/>
        <w:jc w:val="center"/>
        <w:rPr>
          <w:rFonts w:hint="eastAsia" w:ascii="宋体" w:hAnsi="宋体" w:eastAsia="宋体" w:cs="宋体"/>
          <w:b/>
          <w:bCs/>
          <w:szCs w:val="28"/>
        </w:rPr>
      </w:pPr>
      <w:bookmarkStart w:id="121" w:name="_Toc13114"/>
      <w:bookmarkStart w:id="122" w:name="_Toc27154"/>
      <w:bookmarkStart w:id="123" w:name="_Toc5262"/>
      <w:bookmarkStart w:id="124" w:name="_Toc12886"/>
      <w:bookmarkStart w:id="125" w:name="_Toc28181"/>
      <w:bookmarkStart w:id="126" w:name="_Toc22870"/>
      <w:r>
        <w:rPr>
          <w:rFonts w:hint="eastAsia" w:ascii="宋体" w:hAnsi="宋体" w:eastAsia="宋体" w:cs="宋体"/>
          <w:b/>
          <w:bCs/>
          <w:szCs w:val="28"/>
        </w:rPr>
        <w:t>五、比选申请文件的递交</w:t>
      </w:r>
      <w:bookmarkEnd w:id="121"/>
      <w:bookmarkEnd w:id="122"/>
      <w:bookmarkEnd w:id="123"/>
      <w:bookmarkEnd w:id="124"/>
      <w:bookmarkEnd w:id="125"/>
      <w:bookmarkEnd w:id="126"/>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16.比选申请文件的密封与标志</w:t>
      </w:r>
    </w:p>
    <w:p>
      <w:pPr>
        <w:spacing w:line="360" w:lineRule="auto"/>
        <w:ind w:right="-21" w:firstLine="560" w:firstLineChars="200"/>
        <w:jc w:val="left"/>
        <w:rPr>
          <w:rFonts w:hint="eastAsia" w:ascii="宋体" w:hAnsi="宋体" w:eastAsia="宋体" w:cs="宋体"/>
          <w:sz w:val="28"/>
          <w:szCs w:val="28"/>
        </w:rPr>
      </w:pPr>
      <w:r>
        <w:rPr>
          <w:rFonts w:hint="eastAsia" w:ascii="宋体" w:hAnsi="宋体" w:eastAsia="宋体" w:cs="宋体"/>
          <w:sz w:val="28"/>
          <w:szCs w:val="28"/>
        </w:rPr>
        <w:t>16.1比选申请文件装订要求：比选申请文件中资格审查部分、商务部分、报价部分、技术部分须分开装订。</w:t>
      </w:r>
    </w:p>
    <w:p>
      <w:pPr>
        <w:spacing w:line="360" w:lineRule="auto"/>
        <w:ind w:right="-21" w:firstLine="560" w:firstLineChars="200"/>
        <w:jc w:val="left"/>
        <w:rPr>
          <w:rFonts w:hint="eastAsia" w:ascii="宋体" w:hAnsi="宋体" w:eastAsia="宋体" w:cs="宋体"/>
          <w:sz w:val="28"/>
          <w:szCs w:val="28"/>
        </w:rPr>
      </w:pPr>
      <w:r>
        <w:rPr>
          <w:rFonts w:hint="eastAsia" w:ascii="宋体" w:hAnsi="宋体" w:eastAsia="宋体" w:cs="宋体"/>
          <w:sz w:val="28"/>
          <w:szCs w:val="28"/>
        </w:rPr>
        <w:t>16.2比选申请文件的资格审查部分、商务部分、报价部分、技术部分须分别密封在四个比选文件密封袋中。</w:t>
      </w:r>
    </w:p>
    <w:p>
      <w:pPr>
        <w:tabs>
          <w:tab w:val="left" w:pos="8610"/>
        </w:tabs>
        <w:spacing w:line="360" w:lineRule="auto"/>
        <w:ind w:right="-21" w:firstLine="560" w:firstLineChars="200"/>
        <w:jc w:val="left"/>
        <w:rPr>
          <w:rFonts w:hint="eastAsia" w:ascii="宋体" w:hAnsi="宋体" w:eastAsia="宋体" w:cs="宋体"/>
          <w:sz w:val="28"/>
          <w:szCs w:val="28"/>
        </w:rPr>
      </w:pPr>
      <w:r>
        <w:rPr>
          <w:rFonts w:hint="eastAsia" w:ascii="宋体" w:hAnsi="宋体" w:eastAsia="宋体" w:cs="宋体"/>
          <w:sz w:val="28"/>
          <w:szCs w:val="28"/>
        </w:rPr>
        <w:t>16.3密封袋封口处都应加盖比选申请人公章或粘贴加盖公章的密封条，若密封袋没有加盖公章或破损严重，有可能导致比选人的拒收。</w:t>
      </w:r>
    </w:p>
    <w:p>
      <w:pPr>
        <w:spacing w:line="360" w:lineRule="auto"/>
        <w:ind w:right="753" w:firstLine="560" w:firstLineChars="200"/>
        <w:jc w:val="left"/>
        <w:rPr>
          <w:rFonts w:hint="eastAsia" w:ascii="宋体" w:hAnsi="宋体" w:eastAsia="宋体" w:cs="宋体"/>
          <w:sz w:val="28"/>
          <w:szCs w:val="28"/>
        </w:rPr>
      </w:pPr>
      <w:r>
        <w:rPr>
          <w:rFonts w:hint="eastAsia" w:ascii="宋体" w:hAnsi="宋体" w:eastAsia="宋体" w:cs="宋体"/>
          <w:sz w:val="28"/>
          <w:szCs w:val="28"/>
        </w:rPr>
        <w:t>16.4比选申请文件递交至前附表第13项所述的单位和地址。</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17.递交比选文件截止期</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17.1比选申请人应在前附表第14项所述规定的时间，将比选申请文件递交至前附表第13项所述的单位和地址。</w:t>
      </w:r>
    </w:p>
    <w:p>
      <w:pPr>
        <w:pStyle w:val="4"/>
        <w:jc w:val="center"/>
        <w:rPr>
          <w:rFonts w:hint="eastAsia" w:ascii="宋体" w:hAnsi="宋体" w:eastAsia="宋体" w:cs="宋体"/>
          <w:b/>
          <w:bCs/>
          <w:szCs w:val="28"/>
        </w:rPr>
      </w:pPr>
      <w:bookmarkStart w:id="127" w:name="_Toc28107"/>
      <w:bookmarkStart w:id="128" w:name="_Toc14747"/>
      <w:bookmarkStart w:id="129" w:name="_Toc8236"/>
      <w:bookmarkStart w:id="130" w:name="_Toc2358"/>
      <w:bookmarkStart w:id="131" w:name="_Toc25783"/>
      <w:bookmarkStart w:id="132" w:name="_Toc17199"/>
      <w:r>
        <w:rPr>
          <w:rFonts w:hint="eastAsia" w:ascii="宋体" w:hAnsi="宋体" w:eastAsia="宋体" w:cs="宋体"/>
          <w:b/>
          <w:bCs/>
          <w:szCs w:val="28"/>
        </w:rPr>
        <w:t>六、评比</w:t>
      </w:r>
      <w:bookmarkEnd w:id="127"/>
      <w:bookmarkEnd w:id="128"/>
      <w:bookmarkEnd w:id="129"/>
      <w:bookmarkEnd w:id="130"/>
      <w:bookmarkEnd w:id="131"/>
      <w:bookmarkEnd w:id="132"/>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18.评比委员会</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18.1</w:t>
      </w:r>
      <w:r>
        <w:rPr>
          <w:rFonts w:hint="eastAsia" w:ascii="宋体" w:hAnsi="宋体" w:eastAsia="宋体" w:cs="宋体"/>
          <w:sz w:val="28"/>
          <w:szCs w:val="28"/>
          <w:highlight w:val="none"/>
        </w:rPr>
        <w:t>本项目的评比委员会由3名经济、技术专家组成</w:t>
      </w:r>
      <w:r>
        <w:rPr>
          <w:rFonts w:hint="eastAsia" w:ascii="宋体" w:hAnsi="宋体" w:eastAsia="宋体" w:cs="宋体"/>
          <w:sz w:val="28"/>
          <w:szCs w:val="28"/>
        </w:rPr>
        <w:t>。</w:t>
      </w:r>
    </w:p>
    <w:p>
      <w:pPr>
        <w:spacing w:line="360" w:lineRule="auto"/>
        <w:ind w:right="-21" w:firstLine="560" w:firstLineChars="200"/>
        <w:jc w:val="left"/>
        <w:rPr>
          <w:rFonts w:hint="eastAsia" w:ascii="宋体" w:hAnsi="宋体" w:eastAsia="宋体" w:cs="宋体"/>
          <w:sz w:val="28"/>
          <w:szCs w:val="28"/>
        </w:rPr>
      </w:pPr>
      <w:r>
        <w:rPr>
          <w:rFonts w:hint="eastAsia" w:ascii="宋体" w:hAnsi="宋体" w:eastAsia="宋体" w:cs="宋体"/>
          <w:sz w:val="28"/>
          <w:szCs w:val="28"/>
        </w:rPr>
        <w:t>18.2评比委员会成员独立、客观、公正地履行职责，遵守职业道德，对所提出的评比意见承担个人责任；评比委员会成员应对整个评比活动保密。</w:t>
      </w:r>
    </w:p>
    <w:p>
      <w:pPr>
        <w:spacing w:line="360" w:lineRule="auto"/>
        <w:ind w:right="-21" w:firstLine="560" w:firstLineChars="200"/>
        <w:jc w:val="left"/>
        <w:rPr>
          <w:rFonts w:hint="eastAsia" w:ascii="宋体" w:hAnsi="宋体" w:eastAsia="宋体" w:cs="宋体"/>
          <w:sz w:val="28"/>
          <w:szCs w:val="28"/>
        </w:rPr>
      </w:pPr>
      <w:r>
        <w:rPr>
          <w:rFonts w:hint="eastAsia" w:ascii="宋体" w:hAnsi="宋体" w:eastAsia="宋体" w:cs="宋体"/>
          <w:sz w:val="28"/>
          <w:szCs w:val="28"/>
        </w:rPr>
        <w:t>18.3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18.4严禁任何单位或个人以任何形式操纵、干预评比过程和评比结果。</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19.评比</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19.1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19.2评比会议程序：</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19.2.1比选申请人负责人或授权委托代理人应签名报到，比选人验证比选申请人法定代表人资格证明、授权委托书及委托代理人有效身份证明。</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19.2.2比选申请人退场</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19.2.3由主持人宣布评比会议开始，评比委员会确认文件是否密封。</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19.2.4评比委员会启封比选申请文件的资格审查部分，并进行评审。</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19.2.5由主持人当众宣布审查结果，并宣读有效的比选申请人名称以及比选人认为需要的其他内容。</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19.2.6评比委员会启封通过资格审查的比选申请文件的商务部分，并进行评审。</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19.2.7评比委员会启封通过资格审查的比选申请文件的报价部分，并进行评审。</w:t>
      </w:r>
    </w:p>
    <w:p>
      <w:pPr>
        <w:spacing w:line="360" w:lineRule="auto"/>
        <w:ind w:right="-23" w:firstLine="560" w:firstLineChars="200"/>
        <w:rPr>
          <w:rFonts w:hint="eastAsia" w:ascii="宋体" w:hAnsi="宋体" w:eastAsia="宋体" w:cs="宋体"/>
          <w:sz w:val="28"/>
          <w:szCs w:val="28"/>
        </w:rPr>
      </w:pPr>
      <w:r>
        <w:rPr>
          <w:rFonts w:hint="eastAsia" w:ascii="宋体" w:hAnsi="宋体" w:eastAsia="宋体" w:cs="宋体"/>
          <w:sz w:val="28"/>
          <w:szCs w:val="28"/>
        </w:rPr>
        <w:t>19.2.8评比委员会启封通过资格审查的比选申请文件的技术部分，并进行评审。</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19.2.9在评比过程中，评比委员、记录人等有关人员在比选记录表上签字确认，主持人宣读比选结果。</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19.2.10评比结束。</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20.评比工作相关要求</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20.1本次比选的工作由评比委员会负责。</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20.2出现下列特殊情况之一，本次比选无效，本公司将重新组织比选：</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20.2.1在比选申请文件递交截止时间到达时提交比选申请文件的比选申请人少于3家的；</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20.2.2比选申请文件有效的比选申请人仅有2家，且评委认为没有竞争力的；</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20.2.3有效比选申请文件只有1家或0家的；</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20.3评比过程的保密性。评比委员会成员、有关工作人员及其他知情人不得透露对比选申请文件的评比和比较、中选候选人的推荐情况以及与比选有关的其他情况。</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20.4比选申请人在评比过程中所进行的力图影响评比公正性的活动，可能导致其中选无效。</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20.5比选申请文件的澄清或说明</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20.5.1评比时评比委员会将以书面形式要求比选申请人就其比选申请文件中含义不明确、同类问题表述不一致或有明显文字错误等的内容予以澄清或说明。</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20.5.2比选申请人对要求澄清或说明的内容应在评比委员会规定的时间内以书面形式予以澄清，该澄清或说明函应有比选申请人负责人或其委托代理人的签名。</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20.5.3比选申请人的澄清或说明函作为比选申请文件的组成部分。</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20.5.4比选申请人对比选申请文件的澄清或说明不得超出比选申请文件的范围或改变投标的实质内容。</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21.比选申请文件评比相关要求</w:t>
      </w:r>
    </w:p>
    <w:p>
      <w:pPr>
        <w:spacing w:line="360" w:lineRule="auto"/>
        <w:ind w:right="753" w:firstLine="560" w:firstLineChars="200"/>
        <w:jc w:val="left"/>
        <w:rPr>
          <w:rFonts w:hint="eastAsia" w:ascii="宋体" w:hAnsi="宋体" w:eastAsia="宋体" w:cs="宋体"/>
          <w:sz w:val="28"/>
          <w:szCs w:val="28"/>
        </w:rPr>
      </w:pPr>
      <w:r>
        <w:rPr>
          <w:rFonts w:hint="eastAsia" w:ascii="宋体" w:hAnsi="宋体" w:eastAsia="宋体" w:cs="宋体"/>
          <w:sz w:val="28"/>
          <w:szCs w:val="28"/>
        </w:rPr>
        <w:t>21.1比选申请人资格审查</w:t>
      </w:r>
    </w:p>
    <w:p>
      <w:pPr>
        <w:spacing w:line="360" w:lineRule="auto"/>
        <w:ind w:right="-21" w:firstLine="560" w:firstLineChars="200"/>
        <w:jc w:val="left"/>
        <w:rPr>
          <w:rFonts w:hint="eastAsia" w:ascii="宋体" w:hAnsi="宋体" w:eastAsia="宋体" w:cs="宋体"/>
          <w:sz w:val="28"/>
          <w:szCs w:val="28"/>
        </w:rPr>
      </w:pPr>
      <w:r>
        <w:rPr>
          <w:rFonts w:hint="eastAsia" w:ascii="宋体" w:hAnsi="宋体" w:eastAsia="宋体" w:cs="宋体"/>
          <w:sz w:val="28"/>
          <w:szCs w:val="28"/>
        </w:rPr>
        <w:t>只有通过资格审查才能进入下一步的评比，资格审查资料有任何一项不合格者其资格审查视为不通过。</w:t>
      </w:r>
    </w:p>
    <w:p>
      <w:pPr>
        <w:spacing w:line="360" w:lineRule="auto"/>
        <w:ind w:right="-21" w:firstLine="562" w:firstLineChars="200"/>
        <w:jc w:val="left"/>
        <w:rPr>
          <w:rFonts w:hint="eastAsia" w:ascii="宋体" w:hAnsi="宋体" w:eastAsia="宋体" w:cs="宋体"/>
          <w:b/>
          <w:sz w:val="28"/>
          <w:szCs w:val="28"/>
        </w:rPr>
      </w:pPr>
      <w:r>
        <w:rPr>
          <w:rFonts w:hint="eastAsia" w:ascii="宋体" w:hAnsi="宋体" w:eastAsia="宋体" w:cs="宋体"/>
          <w:b/>
          <w:sz w:val="28"/>
          <w:szCs w:val="28"/>
        </w:rPr>
        <w:t>21.2比选申请人或其比选文件有下列情况之一者，其比选申请文件将视为无效或作废处理：</w:t>
      </w:r>
    </w:p>
    <w:p>
      <w:pPr>
        <w:spacing w:line="360" w:lineRule="auto"/>
        <w:ind w:right="-21" w:firstLine="562" w:firstLineChars="200"/>
        <w:jc w:val="left"/>
        <w:rPr>
          <w:rFonts w:hint="eastAsia" w:ascii="宋体" w:hAnsi="宋体" w:eastAsia="宋体" w:cs="宋体"/>
          <w:b/>
          <w:sz w:val="28"/>
          <w:szCs w:val="28"/>
        </w:rPr>
      </w:pPr>
      <w:r>
        <w:rPr>
          <w:rFonts w:hint="eastAsia" w:ascii="宋体" w:hAnsi="宋体" w:eastAsia="宋体" w:cs="宋体"/>
          <w:b/>
          <w:sz w:val="28"/>
          <w:szCs w:val="28"/>
        </w:rPr>
        <w:t>（1）比选申请人的负责人或委托代理人未按时参加评比会议的；</w:t>
      </w:r>
    </w:p>
    <w:p>
      <w:pPr>
        <w:spacing w:line="360" w:lineRule="auto"/>
        <w:ind w:right="753" w:firstLine="562" w:firstLineChars="200"/>
        <w:jc w:val="left"/>
        <w:rPr>
          <w:rFonts w:hint="eastAsia" w:ascii="宋体" w:hAnsi="宋体" w:eastAsia="宋体" w:cs="宋体"/>
          <w:b/>
          <w:sz w:val="28"/>
          <w:szCs w:val="28"/>
        </w:rPr>
      </w:pPr>
      <w:r>
        <w:rPr>
          <w:rFonts w:hint="eastAsia" w:ascii="宋体" w:hAnsi="宋体" w:eastAsia="宋体" w:cs="宋体"/>
          <w:b/>
          <w:sz w:val="28"/>
          <w:szCs w:val="28"/>
        </w:rPr>
        <w:t>（2）比选申请文件未按照规定的要求装订、密封和标记的；</w:t>
      </w:r>
    </w:p>
    <w:p>
      <w:pPr>
        <w:spacing w:line="360" w:lineRule="auto"/>
        <w:ind w:right="-21" w:firstLine="562" w:firstLineChars="200"/>
        <w:jc w:val="left"/>
        <w:rPr>
          <w:rFonts w:hint="eastAsia" w:ascii="宋体" w:hAnsi="宋体" w:eastAsia="宋体" w:cs="宋体"/>
          <w:b/>
          <w:sz w:val="28"/>
          <w:szCs w:val="28"/>
        </w:rPr>
      </w:pPr>
      <w:r>
        <w:rPr>
          <w:rFonts w:hint="eastAsia" w:ascii="宋体" w:hAnsi="宋体" w:eastAsia="宋体" w:cs="宋体"/>
          <w:b/>
          <w:sz w:val="28"/>
          <w:szCs w:val="28"/>
        </w:rPr>
        <w:t>（3）本须知第11条规定的比选申请文件有关内容未按本须知第15条规定加盖比选申请人公章、未经比选申请人负责人或其委托代理人签字或盖章的；</w:t>
      </w:r>
    </w:p>
    <w:p>
      <w:pPr>
        <w:spacing w:line="360" w:lineRule="auto"/>
        <w:ind w:right="-21" w:firstLine="562" w:firstLineChars="200"/>
        <w:jc w:val="left"/>
        <w:rPr>
          <w:rFonts w:hint="eastAsia" w:ascii="宋体" w:hAnsi="宋体" w:eastAsia="宋体" w:cs="宋体"/>
          <w:b/>
          <w:sz w:val="28"/>
          <w:szCs w:val="28"/>
        </w:rPr>
      </w:pPr>
      <w:r>
        <w:rPr>
          <w:rFonts w:hint="eastAsia" w:ascii="宋体" w:hAnsi="宋体" w:eastAsia="宋体" w:cs="宋体"/>
          <w:b/>
          <w:sz w:val="28"/>
          <w:szCs w:val="28"/>
        </w:rPr>
        <w:t>（4）不按本须知第11条内容提供资料的；逾期递交比选申请文件的；</w:t>
      </w:r>
    </w:p>
    <w:p>
      <w:pPr>
        <w:spacing w:line="360" w:lineRule="auto"/>
        <w:ind w:right="753" w:firstLine="562" w:firstLineChars="200"/>
        <w:jc w:val="left"/>
        <w:rPr>
          <w:rFonts w:hint="eastAsia" w:ascii="宋体" w:hAnsi="宋体" w:eastAsia="宋体" w:cs="宋体"/>
          <w:b/>
          <w:sz w:val="28"/>
          <w:szCs w:val="28"/>
        </w:rPr>
      </w:pPr>
      <w:r>
        <w:rPr>
          <w:rFonts w:hint="eastAsia" w:ascii="宋体" w:hAnsi="宋体" w:eastAsia="宋体" w:cs="宋体"/>
          <w:b/>
          <w:sz w:val="28"/>
          <w:szCs w:val="28"/>
        </w:rPr>
        <w:t>（5）比选申请文件内容不真实的；</w:t>
      </w:r>
    </w:p>
    <w:p>
      <w:pPr>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（6）比选申请文件实质上没有响应比选文件的要求的；（包括以下内容：比选项目所涉及的人员配置、业绩、价格、服务内容、合同条款等）</w:t>
      </w:r>
    </w:p>
    <w:p>
      <w:pPr>
        <w:spacing w:line="360" w:lineRule="auto"/>
        <w:ind w:right="-21" w:firstLine="562" w:firstLineChars="200"/>
        <w:jc w:val="left"/>
        <w:rPr>
          <w:rFonts w:hint="eastAsia" w:ascii="宋体" w:hAnsi="宋体" w:eastAsia="宋体" w:cs="宋体"/>
          <w:b/>
          <w:sz w:val="28"/>
          <w:szCs w:val="28"/>
        </w:rPr>
      </w:pPr>
      <w:r>
        <w:rPr>
          <w:rFonts w:hint="eastAsia" w:ascii="宋体" w:hAnsi="宋体" w:eastAsia="宋体" w:cs="宋体"/>
          <w:b/>
          <w:sz w:val="28"/>
          <w:szCs w:val="28"/>
        </w:rPr>
        <w:t>（7）比选申请人报价超过上限控制价的。</w:t>
      </w:r>
    </w:p>
    <w:p>
      <w:pPr>
        <w:spacing w:line="360" w:lineRule="auto"/>
        <w:ind w:right="-21" w:firstLine="562" w:firstLineChars="200"/>
        <w:jc w:val="left"/>
        <w:rPr>
          <w:rFonts w:hint="eastAsia" w:ascii="宋体" w:hAnsi="宋体" w:eastAsia="宋体" w:cs="宋体"/>
          <w:b/>
          <w:sz w:val="28"/>
          <w:szCs w:val="28"/>
        </w:rPr>
      </w:pPr>
      <w:r>
        <w:rPr>
          <w:rFonts w:hint="eastAsia" w:ascii="宋体" w:hAnsi="宋体" w:eastAsia="宋体" w:cs="宋体"/>
          <w:b/>
          <w:sz w:val="28"/>
          <w:szCs w:val="28"/>
        </w:rPr>
        <w:t>（8）比选申请人不符合前附表第9条所述资格要求或比选申请人符合前附表第9条所述资格要求但就本比选项目分别提交两个（每个正本一份、副本两份）及以上的比选申请文件的。</w:t>
      </w:r>
    </w:p>
    <w:p>
      <w:pPr>
        <w:spacing w:line="360" w:lineRule="auto"/>
        <w:ind w:right="753" w:firstLine="560" w:firstLineChars="200"/>
        <w:jc w:val="left"/>
        <w:rPr>
          <w:rFonts w:hint="eastAsia" w:ascii="宋体" w:hAnsi="宋体" w:eastAsia="宋体" w:cs="宋体"/>
          <w:sz w:val="28"/>
          <w:szCs w:val="28"/>
        </w:rPr>
      </w:pPr>
      <w:r>
        <w:rPr>
          <w:rFonts w:hint="eastAsia" w:ascii="宋体" w:hAnsi="宋体" w:eastAsia="宋体" w:cs="宋体"/>
          <w:sz w:val="28"/>
          <w:szCs w:val="28"/>
        </w:rPr>
        <w:t>21.3评比细则</w:t>
      </w:r>
    </w:p>
    <w:p>
      <w:pPr>
        <w:spacing w:line="360" w:lineRule="auto"/>
        <w:ind w:right="753" w:firstLine="560" w:firstLineChars="200"/>
        <w:jc w:val="left"/>
        <w:rPr>
          <w:rFonts w:hint="eastAsia" w:ascii="宋体" w:hAnsi="宋体" w:eastAsia="宋体" w:cs="宋体"/>
          <w:sz w:val="28"/>
          <w:szCs w:val="28"/>
        </w:rPr>
      </w:pPr>
      <w:r>
        <w:rPr>
          <w:rFonts w:hint="eastAsia" w:ascii="宋体" w:hAnsi="宋体" w:eastAsia="宋体" w:cs="宋体"/>
          <w:sz w:val="28"/>
          <w:szCs w:val="28"/>
        </w:rPr>
        <w:t>详见第四章。</w:t>
      </w:r>
    </w:p>
    <w:p>
      <w:pPr>
        <w:spacing w:line="360" w:lineRule="auto"/>
        <w:ind w:right="753" w:firstLine="560" w:firstLineChars="200"/>
        <w:jc w:val="left"/>
        <w:rPr>
          <w:rFonts w:hint="eastAsia" w:ascii="宋体" w:hAnsi="宋体" w:eastAsia="宋体" w:cs="宋体"/>
          <w:sz w:val="28"/>
          <w:szCs w:val="28"/>
        </w:rPr>
      </w:pPr>
      <w:r>
        <w:rPr>
          <w:rFonts w:hint="eastAsia" w:ascii="宋体" w:hAnsi="宋体" w:eastAsia="宋体" w:cs="宋体"/>
          <w:sz w:val="28"/>
          <w:szCs w:val="28"/>
        </w:rPr>
        <w:t>21.4确定中选人</w:t>
      </w:r>
    </w:p>
    <w:p>
      <w:pPr>
        <w:spacing w:line="360" w:lineRule="auto"/>
        <w:ind w:right="753" w:firstLine="560" w:firstLineChars="200"/>
        <w:jc w:val="left"/>
        <w:rPr>
          <w:rFonts w:hint="eastAsia" w:ascii="宋体" w:hAnsi="宋体" w:eastAsia="宋体" w:cs="宋体"/>
          <w:sz w:val="28"/>
          <w:szCs w:val="28"/>
        </w:rPr>
      </w:pPr>
      <w:r>
        <w:rPr>
          <w:rFonts w:hint="eastAsia" w:ascii="宋体" w:hAnsi="宋体" w:eastAsia="宋体" w:cs="宋体"/>
          <w:sz w:val="28"/>
          <w:szCs w:val="28"/>
        </w:rPr>
        <w:t>评审小组将按照综合得分由高到低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被查实存在影响比选结果的违法行为等情形，不符合比选条件的，比选发起人可以按照评比委员会提出的中选候选人名单排序依次确定其他中选候选人为中选人，也可以重新比选。</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22.评比结果公示</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22.1在评比结束后，比选人将在南宁轨道交通集团有限责任公司官网(http://www.nngdjt.com/)的招标招商中的中选信息处公示评比结果。</w:t>
      </w:r>
    </w:p>
    <w:p>
      <w:pPr>
        <w:spacing w:line="360" w:lineRule="auto"/>
        <w:ind w:right="-23" w:firstLine="560" w:firstLineChars="200"/>
        <w:jc w:val="left"/>
        <w:rPr>
          <w:rFonts w:hint="eastAsia" w:ascii="宋体" w:hAnsi="宋体" w:eastAsia="宋体" w:cs="宋体"/>
          <w:sz w:val="28"/>
          <w:szCs w:val="28"/>
        </w:rPr>
      </w:pPr>
      <w:r>
        <w:rPr>
          <w:rFonts w:hint="eastAsia" w:ascii="宋体" w:hAnsi="宋体" w:eastAsia="宋体" w:cs="宋体"/>
          <w:sz w:val="28"/>
          <w:szCs w:val="28"/>
        </w:rPr>
        <w:t>22.2比选申请人如对评比结果有异议，在接到评审结果或中选公告后3天内，可以书面形式向比选人提出质疑。比选人应当在收到比选申请人的书面质疑后五个工作日内做出答复，但答复的内容不得涉及商业秘密。</w:t>
      </w:r>
    </w:p>
    <w:p>
      <w:pPr>
        <w:pStyle w:val="4"/>
        <w:jc w:val="center"/>
        <w:rPr>
          <w:rFonts w:hint="eastAsia" w:ascii="宋体" w:hAnsi="宋体" w:eastAsia="宋体" w:cs="宋体"/>
          <w:b/>
          <w:bCs/>
          <w:szCs w:val="28"/>
        </w:rPr>
      </w:pPr>
      <w:bookmarkStart w:id="133" w:name="_Toc1617"/>
      <w:bookmarkStart w:id="134" w:name="_Toc16785"/>
      <w:bookmarkStart w:id="135" w:name="_Toc19674"/>
      <w:bookmarkStart w:id="136" w:name="_Toc15380"/>
      <w:bookmarkStart w:id="137" w:name="_Toc28890"/>
      <w:bookmarkStart w:id="138" w:name="_Toc24001"/>
      <w:r>
        <w:rPr>
          <w:rFonts w:hint="eastAsia" w:ascii="宋体" w:hAnsi="宋体" w:eastAsia="宋体" w:cs="宋体"/>
          <w:b/>
          <w:bCs/>
          <w:szCs w:val="28"/>
        </w:rPr>
        <w:t>七、授予合同</w:t>
      </w:r>
      <w:bookmarkEnd w:id="133"/>
      <w:bookmarkEnd w:id="134"/>
      <w:bookmarkEnd w:id="135"/>
      <w:bookmarkEnd w:id="136"/>
      <w:bookmarkEnd w:id="137"/>
      <w:bookmarkEnd w:id="138"/>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23.中选通知书</w:t>
      </w:r>
    </w:p>
    <w:p>
      <w:pPr>
        <w:spacing w:line="360" w:lineRule="auto"/>
        <w:ind w:right="753" w:firstLine="560" w:firstLineChars="200"/>
        <w:jc w:val="left"/>
        <w:rPr>
          <w:rFonts w:hint="eastAsia" w:ascii="宋体" w:hAnsi="宋体" w:eastAsia="宋体" w:cs="宋体"/>
          <w:sz w:val="28"/>
          <w:szCs w:val="28"/>
        </w:rPr>
      </w:pPr>
      <w:r>
        <w:rPr>
          <w:rFonts w:hint="eastAsia" w:ascii="宋体" w:hAnsi="宋体" w:eastAsia="宋体" w:cs="宋体"/>
          <w:sz w:val="28"/>
          <w:szCs w:val="28"/>
        </w:rPr>
        <w:t>23.1比选人将向中选人发出中选通知书。</w:t>
      </w:r>
    </w:p>
    <w:p>
      <w:pPr>
        <w:spacing w:line="360" w:lineRule="auto"/>
        <w:ind w:right="-21" w:firstLine="560" w:firstLineChars="200"/>
        <w:jc w:val="left"/>
        <w:rPr>
          <w:rFonts w:hint="eastAsia" w:ascii="宋体" w:hAnsi="宋体" w:eastAsia="宋体" w:cs="宋体"/>
          <w:sz w:val="28"/>
          <w:szCs w:val="28"/>
        </w:rPr>
      </w:pPr>
      <w:r>
        <w:rPr>
          <w:rFonts w:hint="eastAsia" w:ascii="宋体" w:hAnsi="宋体" w:eastAsia="宋体" w:cs="宋体"/>
          <w:sz w:val="28"/>
          <w:szCs w:val="28"/>
        </w:rPr>
        <w:t>23.2比选人无义务向落选的比选申请人解释落选原因和退还比选申请文件。</w:t>
      </w:r>
    </w:p>
    <w:p>
      <w:pPr>
        <w:spacing w:line="360" w:lineRule="auto"/>
        <w:ind w:right="753" w:firstLine="560" w:firstLineChars="200"/>
        <w:jc w:val="left"/>
        <w:rPr>
          <w:rFonts w:hint="eastAsia" w:ascii="宋体" w:hAnsi="宋体" w:eastAsia="宋体" w:cs="宋体"/>
          <w:sz w:val="28"/>
          <w:szCs w:val="28"/>
        </w:rPr>
      </w:pPr>
      <w:r>
        <w:rPr>
          <w:rFonts w:hint="eastAsia" w:ascii="宋体" w:hAnsi="宋体" w:eastAsia="宋体" w:cs="宋体"/>
          <w:sz w:val="28"/>
          <w:szCs w:val="28"/>
        </w:rPr>
        <w:t>23.3中选通知书作为合同的组成部分。</w:t>
      </w:r>
    </w:p>
    <w:p>
      <w:pPr>
        <w:ind w:right="754"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24.合同的签署</w:t>
      </w:r>
    </w:p>
    <w:p>
      <w:pPr>
        <w:spacing w:line="360" w:lineRule="auto"/>
        <w:ind w:right="-21" w:firstLine="560" w:firstLineChars="200"/>
        <w:jc w:val="left"/>
        <w:rPr>
          <w:rFonts w:hint="eastAsia" w:ascii="宋体" w:hAnsi="宋体" w:eastAsia="宋体" w:cs="宋体"/>
          <w:sz w:val="28"/>
          <w:szCs w:val="28"/>
        </w:rPr>
      </w:pPr>
      <w:r>
        <w:rPr>
          <w:rFonts w:hint="eastAsia" w:ascii="宋体" w:hAnsi="宋体" w:eastAsia="宋体" w:cs="宋体"/>
          <w:sz w:val="28"/>
          <w:szCs w:val="28"/>
        </w:rPr>
        <w:t>24.1中选人应按中选通知书中的相关要求，由中选人负责人或授权代表前往比选人处与比选人进行签订合同。</w:t>
      </w:r>
    </w:p>
    <w:p>
      <w:pPr>
        <w:spacing w:line="360" w:lineRule="auto"/>
        <w:ind w:right="-21" w:firstLine="560" w:firstLineChars="200"/>
        <w:jc w:val="left"/>
        <w:rPr>
          <w:rFonts w:hint="eastAsia" w:ascii="宋体" w:hAnsi="宋体" w:eastAsia="宋体" w:cs="宋体"/>
          <w:sz w:val="28"/>
          <w:szCs w:val="28"/>
        </w:rPr>
      </w:pPr>
      <w:r>
        <w:rPr>
          <w:rFonts w:hint="eastAsia" w:ascii="宋体" w:hAnsi="宋体" w:eastAsia="宋体" w:cs="宋体"/>
          <w:sz w:val="28"/>
          <w:szCs w:val="28"/>
        </w:rPr>
        <w:t>24.2中选人如放弃中选资格，则比选人有权将其列入不良行为记录名单、三年内禁止其参加比选人发起的任何比选和招标活动。</w:t>
      </w:r>
    </w:p>
    <w:p>
      <w:pPr>
        <w:spacing w:line="360" w:lineRule="auto"/>
        <w:ind w:right="753" w:firstLine="560" w:firstLineChars="200"/>
        <w:jc w:val="left"/>
        <w:rPr>
          <w:rFonts w:hint="eastAsia" w:ascii="宋体" w:hAnsi="宋体" w:eastAsia="宋体" w:cs="宋体"/>
          <w:sz w:val="28"/>
          <w:szCs w:val="28"/>
        </w:rPr>
      </w:pPr>
      <w:r>
        <w:rPr>
          <w:rFonts w:hint="eastAsia" w:ascii="宋体" w:hAnsi="宋体" w:eastAsia="宋体" w:cs="宋体"/>
          <w:sz w:val="28"/>
          <w:szCs w:val="28"/>
        </w:rPr>
        <w:t>24.3中选人被废除中选资格后，比选人有权将标授予预备中选单位。</w:t>
      </w:r>
    </w:p>
    <w:p>
      <w:pPr>
        <w:pStyle w:val="3"/>
        <w:rPr>
          <w:sz w:val="24"/>
          <w:szCs w:val="24"/>
        </w:rPr>
      </w:pPr>
      <w:bookmarkStart w:id="139" w:name="_Toc14368"/>
      <w:bookmarkStart w:id="140" w:name="_Toc1354"/>
      <w:bookmarkStart w:id="141" w:name="_Toc16269"/>
      <w:bookmarkStart w:id="142" w:name="_Toc471482368"/>
      <w:bookmarkStart w:id="143" w:name="_Toc12704"/>
      <w:bookmarkStart w:id="144" w:name="_Toc25789"/>
      <w:bookmarkStart w:id="145" w:name="_Toc22771"/>
      <w:bookmarkStart w:id="146" w:name="_Toc29869"/>
      <w:bookmarkStart w:id="147" w:name="_Toc21358"/>
      <w:bookmarkStart w:id="148" w:name="_Toc31070"/>
      <w:bookmarkStart w:id="149" w:name="_Toc6126"/>
      <w:bookmarkStart w:id="150" w:name="_Toc4769"/>
      <w:bookmarkStart w:id="151" w:name="_Toc28179"/>
      <w:bookmarkStart w:id="152" w:name="_Toc461525304"/>
      <w:bookmarkStart w:id="153" w:name="_Toc26271"/>
      <w:bookmarkStart w:id="154" w:name="_Toc12854"/>
      <w:bookmarkStart w:id="155" w:name="_Toc16062"/>
      <w:bookmarkStart w:id="156" w:name="_Toc22951"/>
      <w:bookmarkStart w:id="157" w:name="_Toc4550"/>
      <w:bookmarkStart w:id="158" w:name="_Toc21670"/>
      <w:bookmarkStart w:id="159" w:name="_Toc9074"/>
      <w:bookmarkStart w:id="160" w:name="_Toc5964"/>
      <w:bookmarkStart w:id="161" w:name="_Toc2960"/>
      <w:bookmarkStart w:id="162" w:name="_Toc13175"/>
      <w:r>
        <w:rPr>
          <w:rFonts w:hint="eastAsia" w:ascii="宋体" w:hAnsi="宋体" w:cs="宋体"/>
          <w:szCs w:val="28"/>
        </w:rPr>
        <w:t>第二章 合同条款</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pStyle w:val="19"/>
        <w:jc w:val="center"/>
        <w:rPr>
          <w:rFonts w:ascii="宋体" w:hAnsi="宋体" w:cs="宋体"/>
          <w:sz w:val="28"/>
          <w:szCs w:val="28"/>
        </w:rPr>
      </w:pPr>
    </w:p>
    <w:p>
      <w:pPr>
        <w:spacing w:line="360" w:lineRule="auto"/>
        <w:ind w:right="-96" w:firstLine="480" w:firstLineChars="200"/>
        <w:rPr>
          <w:rFonts w:ascii="宋体" w:hAnsi="宋体" w:eastAsia="宋体" w:cs="宋体"/>
          <w:sz w:val="24"/>
        </w:rPr>
      </w:pPr>
      <w:r>
        <w:rPr>
          <w:rFonts w:ascii="宋体" w:hAnsi="宋体" w:eastAsia="宋体" w:cs="宋体"/>
          <w:sz w:val="24"/>
        </w:rPr>
        <w:t>合同编号：</w:t>
      </w: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jc w:val="center"/>
        <w:rPr>
          <w:rFonts w:ascii="Calibri" w:hAnsi="Calibri" w:eastAsia="宋体" w:cs="Times New Roman"/>
          <w:b/>
          <w:sz w:val="44"/>
        </w:rPr>
      </w:pPr>
    </w:p>
    <w:p>
      <w:pPr>
        <w:jc w:val="center"/>
        <w:rPr>
          <w:rFonts w:ascii="Calibri" w:hAnsi="Calibri" w:eastAsia="仿宋" w:cs="Times New Roman"/>
          <w:b/>
          <w:sz w:val="48"/>
          <w:szCs w:val="48"/>
        </w:rPr>
      </w:pPr>
      <w:r>
        <w:rPr>
          <w:rFonts w:hint="eastAsia" w:ascii="Calibri" w:hAnsi="Calibri" w:eastAsia="仿宋" w:cs="Times New Roman"/>
          <w:b/>
          <w:sz w:val="48"/>
          <w:szCs w:val="48"/>
        </w:rPr>
        <w:t>技术服务合同</w:t>
      </w: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spacing w:line="360" w:lineRule="auto"/>
        <w:ind w:firstLine="840" w:firstLineChars="300"/>
        <w:rPr>
          <w:rFonts w:ascii="Calibri" w:hAnsi="Calibri" w:eastAsia="宋体" w:cs="Times New Roman"/>
          <w:sz w:val="28"/>
          <w:szCs w:val="28"/>
        </w:rPr>
      </w:pPr>
    </w:p>
    <w:p>
      <w:pPr>
        <w:spacing w:line="360" w:lineRule="auto"/>
        <w:ind w:left="2240" w:leftChars="400" w:hanging="1400" w:hangingChars="500"/>
        <w:jc w:val="left"/>
        <w:rPr>
          <w:rFonts w:ascii="Calibri" w:hAnsi="Calibri" w:eastAsia="宋体" w:cs="Times New Roman"/>
          <w:sz w:val="28"/>
          <w:szCs w:val="28"/>
        </w:rPr>
      </w:pPr>
      <w:r>
        <w:rPr>
          <w:rFonts w:ascii="Calibri" w:hAnsi="Calibri" w:eastAsia="宋体" w:cs="Times New Roman"/>
          <w:sz w:val="28"/>
          <w:szCs w:val="28"/>
        </w:rPr>
        <w:t>项目名称</w:t>
      </w:r>
      <w:r>
        <w:rPr>
          <w:rFonts w:hint="eastAsia" w:ascii="Calibri" w:hAnsi="Calibri" w:eastAsia="宋体" w:cs="Times New Roman"/>
          <w:sz w:val="28"/>
          <w:szCs w:val="28"/>
        </w:rPr>
        <w:t>：六景火车站综合交通枢纽配套一期工程地质灾害危险性评估服务项目</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rPr>
        <w:t>委托方（甲方）：</w:t>
      </w:r>
      <w:r>
        <w:rPr>
          <w:rFonts w:hint="eastAsia" w:ascii="Calibri" w:hAnsi="Calibri" w:eastAsia="宋体" w:cs="Times New Roman"/>
          <w:sz w:val="28"/>
          <w:szCs w:val="28"/>
        </w:rPr>
        <w:t>南宁铁路枢纽投资有限公司</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rPr>
        <w:t>受托方（乙方）：</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rPr>
        <w:t>签订时间：</w:t>
      </w:r>
      <w:r>
        <w:rPr>
          <w:rFonts w:hint="eastAsia" w:ascii="Calibri" w:hAnsi="Calibri" w:eastAsia="宋体" w:cs="Times New Roman"/>
          <w:sz w:val="28"/>
          <w:szCs w:val="28"/>
        </w:rPr>
        <w:t xml:space="preserve">  </w:t>
      </w:r>
      <w:r>
        <w:rPr>
          <w:rFonts w:ascii="Calibri" w:hAnsi="Calibri" w:eastAsia="宋体" w:cs="Times New Roman"/>
          <w:sz w:val="28"/>
          <w:szCs w:val="28"/>
        </w:rPr>
        <w:t>年</w:t>
      </w:r>
      <w:r>
        <w:rPr>
          <w:rFonts w:hint="eastAsia" w:ascii="Calibri" w:hAnsi="Calibri" w:eastAsia="宋体" w:cs="Times New Roman"/>
          <w:sz w:val="28"/>
          <w:szCs w:val="28"/>
        </w:rPr>
        <w:t xml:space="preserve">  </w:t>
      </w:r>
      <w:r>
        <w:rPr>
          <w:rFonts w:ascii="Calibri" w:hAnsi="Calibri" w:eastAsia="宋体" w:cs="Times New Roman"/>
          <w:sz w:val="28"/>
          <w:szCs w:val="28"/>
        </w:rPr>
        <w:t>月</w:t>
      </w:r>
    </w:p>
    <w:p>
      <w:pPr>
        <w:pStyle w:val="19"/>
        <w:jc w:val="center"/>
        <w:rPr>
          <w:rFonts w:ascii="宋体" w:hAnsi="宋体" w:cs="宋体"/>
          <w:sz w:val="28"/>
          <w:szCs w:val="28"/>
        </w:rPr>
      </w:pPr>
    </w:p>
    <w:p>
      <w:pPr>
        <w:pStyle w:val="8"/>
        <w:rPr>
          <w:rFonts w:hAnsi="宋体" w:cs="宋体"/>
          <w:sz w:val="24"/>
        </w:rPr>
      </w:pPr>
    </w:p>
    <w:p>
      <w:pPr>
        <w:pStyle w:val="20"/>
        <w:adjustRightInd w:val="0"/>
        <w:snapToGrid w:val="0"/>
        <w:spacing w:line="360" w:lineRule="auto"/>
        <w:ind w:firstLine="723" w:firstLineChars="200"/>
        <w:jc w:val="center"/>
        <w:rPr>
          <w:rFonts w:ascii="黑体" w:hAnsi="黑体" w:eastAsia="黑体" w:cs="黑体"/>
          <w:b/>
          <w:sz w:val="36"/>
          <w:szCs w:val="36"/>
        </w:rPr>
      </w:pPr>
      <w:bookmarkStart w:id="163" w:name="EB959a0cec904a4675a610b8ff15efe337"/>
      <w:r>
        <w:rPr>
          <w:rFonts w:hint="eastAsia" w:ascii="黑体" w:hAnsi="黑体" w:eastAsia="黑体" w:cs="黑体"/>
          <w:b/>
          <w:sz w:val="36"/>
          <w:szCs w:val="36"/>
        </w:rPr>
        <w:t>合同条款</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委托方（甲方）：南宁铁路枢纽投资有限公司</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受托方（乙方）：</w:t>
      </w:r>
    </w:p>
    <w:p>
      <w:pPr>
        <w:spacing w:line="360" w:lineRule="auto"/>
        <w:ind w:right="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依照《中华人民共和国民法典》及有关法律、法规，遵循平等、自愿、公平和诚实信用的原则，甲乙双方经友好协商，就</w:t>
      </w:r>
      <w:r>
        <w:rPr>
          <w:rFonts w:hint="eastAsia" w:asciiTheme="minorEastAsia" w:hAnsiTheme="minorEastAsia" w:cstheme="minorEastAsia"/>
          <w:sz w:val="28"/>
          <w:szCs w:val="28"/>
          <w:u w:val="single"/>
        </w:rPr>
        <w:t>六景火车站综合交通枢纽配套一期工程地质灾害危险性评估服务项目</w:t>
      </w:r>
      <w:r>
        <w:rPr>
          <w:rFonts w:hint="eastAsia" w:asciiTheme="minorEastAsia" w:hAnsiTheme="minorEastAsia" w:eastAsiaTheme="minorEastAsia" w:cstheme="minorEastAsia"/>
          <w:sz w:val="28"/>
          <w:szCs w:val="28"/>
        </w:rPr>
        <w:t>（以下简称“本项目”）达成如下协议，订立本合同。</w:t>
      </w:r>
    </w:p>
    <w:p>
      <w:p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bookmarkStart w:id="164" w:name="_Toc349554752"/>
      <w:r>
        <w:rPr>
          <w:rFonts w:hint="eastAsia" w:asciiTheme="minorEastAsia" w:hAnsiTheme="minorEastAsia" w:eastAsiaTheme="minorEastAsia" w:cstheme="minorEastAsia"/>
          <w:b/>
          <w:sz w:val="28"/>
          <w:szCs w:val="28"/>
        </w:rPr>
        <w:t>一、项目名称</w:t>
      </w:r>
    </w:p>
    <w:p>
      <w:pPr>
        <w:adjustRightInd/>
        <w:snapToGrid/>
        <w:spacing w:before="0" w:beforeLines="-2147483648" w:after="0" w:afterLines="-2147483648" w:line="360" w:lineRule="auto"/>
        <w:ind w:firstLine="560" w:firstLineChars="200"/>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rPr>
        <w:t>六景火车站综合交通枢纽配套一期工程（暂定名，最终以立项批复文件为准 ）</w:t>
      </w:r>
      <w:r>
        <w:rPr>
          <w:rFonts w:hint="eastAsia" w:asciiTheme="minorEastAsia" w:hAnsiTheme="minorEastAsia" w:cstheme="minorEastAsia"/>
          <w:sz w:val="28"/>
          <w:szCs w:val="28"/>
        </w:rPr>
        <w:t>地质灾害危险性评估服务</w:t>
      </w:r>
      <w:r>
        <w:rPr>
          <w:rFonts w:hint="eastAsia" w:asciiTheme="minorEastAsia" w:hAnsiTheme="minorEastAsia" w:eastAsiaTheme="minorEastAsia" w:cstheme="minorEastAsia"/>
          <w:b w:val="0"/>
          <w:sz w:val="28"/>
          <w:szCs w:val="28"/>
        </w:rPr>
        <w:t>项目。</w:t>
      </w:r>
    </w:p>
    <w:p>
      <w:p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 工程概况</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六景火车站综合交通枢纽配套一期工程建设性质为新建，主要建设内容为站前广场、交通设施场地、以及进出站道路用地；交通设施场地为地面建设，包括社会停车场、非机动车停车场、公交车场、大巴/旅游车场以及出租车场等。项目用地面积约6.5公顷，总投资估算约1.41亿元，最终以工可批复为准。</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本项目主要为六景火车站综合交通枢纽配套一期工程提供地质灾害危险性评估服务。</w:t>
      </w:r>
    </w:p>
    <w:p>
      <w:p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三、合同文件组成及优先次序：</w:t>
      </w:r>
    </w:p>
    <w:p>
      <w:pPr>
        <w:adjustRightInd/>
        <w:snapToGrid/>
        <w:spacing w:before="0" w:beforeLines="-2147483648" w:after="0" w:afterLines="-2147483648" w:afterAutospacing="1" w:line="360" w:lineRule="auto"/>
        <w:ind w:firstLine="560" w:firstLineChars="200"/>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rPr>
        <w:t>1、合同正文；</w:t>
      </w:r>
    </w:p>
    <w:p>
      <w:pPr>
        <w:adjustRightInd/>
        <w:snapToGrid/>
        <w:spacing w:before="0" w:beforeLines="-2147483648" w:after="0" w:afterLines="-2147483648" w:afterAutospacing="1" w:line="360" w:lineRule="auto"/>
        <w:ind w:firstLine="560" w:firstLineChars="200"/>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rPr>
        <w:t>2、比选过程中的澄清文件和补充材料；</w:t>
      </w:r>
    </w:p>
    <w:p>
      <w:pPr>
        <w:adjustRightInd/>
        <w:snapToGrid/>
        <w:spacing w:before="0" w:beforeLines="-2147483648" w:after="0" w:afterLines="-2147483648" w:afterAutospacing="1" w:line="360" w:lineRule="auto"/>
        <w:ind w:firstLine="560" w:firstLineChars="200"/>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rPr>
        <w:t>3、中选通知书；</w:t>
      </w:r>
    </w:p>
    <w:p>
      <w:pPr>
        <w:adjustRightInd/>
        <w:snapToGrid/>
        <w:spacing w:before="0" w:beforeLines="-2147483648" w:after="0" w:afterLines="-2147483648" w:afterAutospacing="1" w:line="360" w:lineRule="auto"/>
        <w:ind w:firstLine="560" w:firstLineChars="200"/>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rPr>
        <w:t xml:space="preserve">4、比选申请文件中的比选申请函、报价表； </w:t>
      </w:r>
    </w:p>
    <w:p>
      <w:pPr>
        <w:adjustRightInd/>
        <w:snapToGrid/>
        <w:spacing w:before="0" w:beforeLines="-2147483648" w:after="0" w:afterLines="-2147483648" w:afterAutospacing="1" w:line="360" w:lineRule="auto"/>
        <w:ind w:firstLine="560" w:firstLineChars="200"/>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rPr>
        <w:t>5、任务大纲（如有）；</w:t>
      </w:r>
    </w:p>
    <w:p>
      <w:pPr>
        <w:adjustRightInd/>
        <w:snapToGrid/>
        <w:spacing w:before="0" w:beforeLines="-2147483648" w:after="0" w:afterLines="-2147483648" w:afterAutospacing="1" w:line="360" w:lineRule="auto"/>
        <w:ind w:firstLine="560" w:firstLineChars="200"/>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rPr>
        <w:t>6、合同附件（银行履约担保、廉政合同、安全质量责任书）（如有）；</w:t>
      </w:r>
    </w:p>
    <w:p>
      <w:pPr>
        <w:adjustRightInd/>
        <w:snapToGrid/>
        <w:spacing w:before="0" w:beforeLines="-2147483648" w:after="0" w:afterLines="-2147483648" w:afterAutospacing="1" w:line="360" w:lineRule="auto"/>
        <w:ind w:firstLine="560" w:firstLineChars="200"/>
        <w:rPr>
          <w:rFonts w:hint="eastAsia" w:asciiTheme="minorEastAsia" w:hAnsiTheme="minorEastAsia" w:eastAsiaTheme="minorEastAsia" w:cstheme="minorEastAsia"/>
          <w:b w:val="0"/>
          <w:sz w:val="28"/>
          <w:szCs w:val="28"/>
        </w:rPr>
      </w:pPr>
      <w:r>
        <w:rPr>
          <w:rFonts w:hint="eastAsia" w:asciiTheme="minorEastAsia" w:hAnsiTheme="minorEastAsia" w:cstheme="minorEastAsia"/>
          <w:sz w:val="28"/>
          <w:szCs w:val="28"/>
        </w:rPr>
        <w:t>7</w:t>
      </w:r>
      <w:r>
        <w:rPr>
          <w:rFonts w:hint="eastAsia" w:asciiTheme="minorEastAsia" w:hAnsiTheme="minorEastAsia" w:eastAsiaTheme="minorEastAsia" w:cstheme="minorEastAsia"/>
          <w:b w:val="0"/>
          <w:sz w:val="28"/>
          <w:szCs w:val="28"/>
        </w:rPr>
        <w:t>、比选申请文件（除比选申请函、报价表）；（另册提供）</w:t>
      </w:r>
    </w:p>
    <w:p>
      <w:pPr>
        <w:adjustRightInd/>
        <w:snapToGrid/>
        <w:spacing w:before="0" w:beforeLines="-2147483648" w:after="0" w:afterLines="-2147483648" w:afterAutospacing="1" w:line="360" w:lineRule="auto"/>
        <w:ind w:firstLine="560" w:firstLineChars="200"/>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rPr>
        <w:t>上述文件应认为是互为补充和解释的，如有歧义或互相矛盾之处，以上述所列顺序在前的为准。对于同一类合同文件，以其最新版本或最新颁发者为准。</w:t>
      </w:r>
    </w:p>
    <w:p>
      <w:p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四、 </w:t>
      </w:r>
      <w:bookmarkEnd w:id="164"/>
      <w:r>
        <w:rPr>
          <w:rFonts w:hint="eastAsia" w:asciiTheme="minorEastAsia" w:hAnsiTheme="minorEastAsia" w:eastAsiaTheme="minorEastAsia" w:cstheme="minorEastAsia"/>
          <w:b/>
          <w:sz w:val="28"/>
          <w:szCs w:val="28"/>
        </w:rPr>
        <w:t>工作的内容、要求</w:t>
      </w:r>
    </w:p>
    <w:p>
      <w:pPr>
        <w:spacing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工作内容、要求包括但不限于：</w:t>
      </w:r>
    </w:p>
    <w:p>
      <w:pPr>
        <w:numPr>
          <w:ilvl w:val="0"/>
          <w:numId w:val="4"/>
        </w:numPr>
        <w:spacing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对建设用地现状地质灾害、工程建设中可能引发或加剧的地质灾害、工程建成后可能引发或加剧的地质灾害、建设工程自身可能遭受已存在的地质灾害等的危险性进行评估，并在现状评估和预测评估的基础上综合评估地质灾害危险性程度，用地适宜性评价，提出防治措施和建议，为建设项目地质灾害防治提供技术依据。</w:t>
      </w:r>
    </w:p>
    <w:p>
      <w:pPr>
        <w:numPr>
          <w:ilvl w:val="0"/>
          <w:numId w:val="4"/>
        </w:numPr>
        <w:spacing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地质灾害危险性评估应取得《地质灾害危险性评估规程》(DB45/T1625—2017）所规定的，由广西壮族自治区自然资源厅地质灾害防治专家库中抽取的专家签字的地质灾害危险性评估报告专家组审查意见、地质灾害危险性评估报告登记表、地质灾害危险性评估报告专家审查意见表等，并提交符合广西壮族自治区自然资源厅要求的评估报告审定稿。</w:t>
      </w:r>
    </w:p>
    <w:p>
      <w:pPr>
        <w:numPr>
          <w:ilvl w:val="0"/>
          <w:numId w:val="4"/>
        </w:numPr>
        <w:spacing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协助甲方编制相关申请材料，负责将相关材料报送各级主管部门，协调办理过程中有关问题，协助甲方获取主管部门批复或备案。</w:t>
      </w:r>
    </w:p>
    <w:p>
      <w:p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五、合同价款和支付方式 </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5.1合同价款</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本项目合同暂定总价（含税）为：    元（大写：    元）。其中不含税金额为￥     元，增值税税率为  ，增值税税额为￥     元。该费用包含编制费、咨询费、人员差旅费、调研费、资料搜集费、文印费、税费以及评审费等完成本合同内容所需的一切费用。</w:t>
      </w:r>
    </w:p>
    <w:p>
      <w:pPr>
        <w:spacing w:line="360" w:lineRule="auto"/>
        <w:ind w:firstLine="560"/>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在合同履约过程中，本合同税率将遵照国家现行税法执行，随国家税率调整而调整。但合同不含税价格不因国家税率调整而调整。</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5.2支付方式</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5.2.1地质灾害危险性评估报告通过专家审查，并报政府相关主管部门审查或备案后,支付至合同总价（含税）的80%；</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5.2.2完成合同结算审定(如需政府相关部门审核的，经政府相关部门审定)后，付清余款。</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达到合同约定的付款条件后，乙方应向甲方递交书面请款报告并提供足额增值税专用发票，否则甲方有权顺延付款时间直至乙方足额开具发票之日止，且甲方无需承担迟延付款的违约责任。</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color w:val="auto"/>
          <w:sz w:val="28"/>
          <w:szCs w:val="28"/>
        </w:rPr>
        <w:t>甲方依据</w:t>
      </w:r>
      <w:r>
        <w:rPr>
          <w:rFonts w:hint="eastAsia" w:asciiTheme="minorEastAsia" w:hAnsiTheme="minorEastAsia" w:cstheme="minorEastAsia"/>
          <w:sz w:val="28"/>
          <w:szCs w:val="28"/>
        </w:rPr>
        <w:t>本合同</w:t>
      </w:r>
      <w:r>
        <w:rPr>
          <w:rFonts w:hint="eastAsia" w:asciiTheme="minorEastAsia" w:hAnsiTheme="minorEastAsia" w:cstheme="minorEastAsia"/>
          <w:color w:val="auto"/>
          <w:sz w:val="28"/>
          <w:szCs w:val="28"/>
        </w:rPr>
        <w:t>及乙方提交的支付申请向市财政局申请拨款。财政拨款后，甲方于15个工作日内向乙方拨付</w:t>
      </w:r>
      <w:r>
        <w:rPr>
          <w:rFonts w:hint="eastAsia" w:asciiTheme="minorEastAsia" w:hAnsiTheme="minorEastAsia" w:cstheme="minorEastAsia"/>
          <w:sz w:val="28"/>
          <w:szCs w:val="28"/>
        </w:rPr>
        <w:t>。</w:t>
      </w:r>
    </w:p>
    <w:p>
      <w:p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六、成果文件提交</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6.1乙方须在本项目通过审查后，将所有成果资料归档文件和相应的电子文件按照甲方管理办法提供归档文件。</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6.2文字、表格编辑软件采用Microsoft office软件，进度横道图采用Microsoft Project，绘图软件采用AutoCAD。</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6.3报告送审稿提交份数：纸质文件根据评审需要而定，含可编辑电子文档1份。</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6.4最终报告提交份数：纸质文件一式10份，含可编辑电子文档1份。</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6.5提交地点：南宁市。</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6.6提交方式：由乙方送达甲方，并以签收为准。</w:t>
      </w:r>
    </w:p>
    <w:p>
      <w:pPr>
        <w:numPr>
          <w:ilvl w:val="255"/>
          <w:numId w:val="0"/>
        </w:num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七、验收标准</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提交取得政府相关主管部门认可的地质灾害危险性评估报告等成果文件作为最终验收证明。</w:t>
      </w:r>
    </w:p>
    <w:p>
      <w:p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八、合同期限</w:t>
      </w:r>
    </w:p>
    <w:p>
      <w:pPr>
        <w:spacing w:afterAutospacing="1"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合同生效且</w:t>
      </w:r>
      <w:r>
        <w:rPr>
          <w:rFonts w:hint="eastAsia" w:asciiTheme="minorEastAsia" w:hAnsiTheme="minorEastAsia" w:cstheme="minorEastAsia"/>
          <w:sz w:val="28"/>
          <w:szCs w:val="28"/>
          <w:lang w:val="zh-CN"/>
        </w:rPr>
        <w:t>甲方提供相关资料后20天内，乙方</w:t>
      </w:r>
      <w:r>
        <w:rPr>
          <w:rFonts w:hint="eastAsia" w:asciiTheme="minorEastAsia" w:hAnsiTheme="minorEastAsia" w:cstheme="minorEastAsia"/>
          <w:sz w:val="28"/>
          <w:szCs w:val="28"/>
        </w:rPr>
        <w:t>提供满足</w:t>
      </w:r>
      <w:r>
        <w:rPr>
          <w:rFonts w:hint="eastAsia" w:asciiTheme="minorEastAsia" w:hAnsiTheme="minorEastAsia" w:cstheme="minorEastAsia"/>
          <w:sz w:val="28"/>
          <w:szCs w:val="28"/>
          <w:lang w:val="zh-CN"/>
        </w:rPr>
        <w:t>评审要求的材料，之后20天内提交最终审定稿并通过评审，具体以甲方要求时限为准。</w:t>
      </w:r>
      <w:r>
        <w:rPr>
          <w:rFonts w:hint="eastAsia" w:asciiTheme="minorEastAsia" w:hAnsiTheme="minorEastAsia" w:cstheme="minorEastAsia"/>
          <w:sz w:val="28"/>
          <w:szCs w:val="28"/>
        </w:rPr>
        <w:t xml:space="preserve"> </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九、合同签订地点</w:t>
      </w:r>
    </w:p>
    <w:p>
      <w:pPr>
        <w:spacing w:before="0" w:beforeLines="-2147483648" w:after="0" w:afterLines="-2147483648" w:afterAutospacing="1" w:line="360" w:lineRule="auto"/>
        <w:ind w:firstLine="560" w:firstLineChars="200"/>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rPr>
        <w:t>广西南宁市。</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十、双方责任、权利、义务</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10.1甲方责任、权利、义务</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10.1.1甲方有权对地质灾害危险性评估服务项目工作进行总体管理、协调和监督，对提交的成果报告或资料收集成果文件组织审查、验收或协调上报政府有关部门，且有权对编制工作进行过程控制、中间检查。</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10.1.2甲方提供用于本项目的相关基础资料。</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w:t>
      </w:r>
      <w:r>
        <w:rPr>
          <w:rFonts w:asciiTheme="minorEastAsia" w:hAnsiTheme="minorEastAsia" w:cstheme="minorEastAsia"/>
          <w:sz w:val="28"/>
          <w:szCs w:val="28"/>
        </w:rPr>
        <w:t>0.1.3</w:t>
      </w:r>
      <w:r>
        <w:rPr>
          <w:rFonts w:hint="eastAsia" w:asciiTheme="minorEastAsia" w:hAnsiTheme="minorEastAsia" w:cstheme="minorEastAsia"/>
          <w:sz w:val="28"/>
          <w:szCs w:val="28"/>
        </w:rPr>
        <w:t>甲方有权明确项目各阶段工作节点工期要求。有权监督、检查合同履行情况。有权要求乙方更换、增加项目相关服务人员。</w:t>
      </w:r>
    </w:p>
    <w:p>
      <w:pPr>
        <w:adjustRightInd w:val="0"/>
        <w:snapToGrid w:val="0"/>
        <w:spacing w:before="156" w:beforeLines="50" w:after="156" w:afterLines="50"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w:t>
      </w:r>
      <w:r>
        <w:rPr>
          <w:rFonts w:asciiTheme="minorEastAsia" w:hAnsiTheme="minorEastAsia" w:cstheme="minorEastAsia"/>
          <w:sz w:val="28"/>
          <w:szCs w:val="28"/>
        </w:rPr>
        <w:t>4</w:t>
      </w:r>
      <w:r>
        <w:rPr>
          <w:rFonts w:hint="eastAsia" w:asciiTheme="minorEastAsia" w:hAnsiTheme="minorEastAsia" w:cstheme="minorEastAsia"/>
          <w:sz w:val="28"/>
          <w:szCs w:val="28"/>
        </w:rPr>
        <w:t>甲方应履行按合同第五条规定应付合同价款的支付义务。</w:t>
      </w:r>
    </w:p>
    <w:p>
      <w:pPr>
        <w:adjustRightInd w:val="0"/>
        <w:snapToGrid w:val="0"/>
        <w:spacing w:before="156" w:beforeLines="50" w:after="156" w:afterLines="50"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w:t>
      </w:r>
      <w:r>
        <w:rPr>
          <w:rFonts w:asciiTheme="minorEastAsia" w:hAnsiTheme="minorEastAsia" w:cstheme="minorEastAsia"/>
          <w:sz w:val="28"/>
          <w:szCs w:val="28"/>
        </w:rPr>
        <w:t>5</w:t>
      </w:r>
      <w:r>
        <w:rPr>
          <w:rFonts w:hint="eastAsia" w:asciiTheme="minorEastAsia" w:hAnsiTheme="minorEastAsia" w:cstheme="minorEastAsia"/>
          <w:sz w:val="28"/>
          <w:szCs w:val="28"/>
        </w:rPr>
        <w:t>对乙方工作的服务质量进行考核，有权奖励或处罚乙方，考核按甲方相关考核管理制度执行。</w:t>
      </w:r>
    </w:p>
    <w:p>
      <w:pPr>
        <w:snapToGrid w:val="0"/>
        <w:spacing w:before="156" w:beforeLines="50" w:after="156" w:afterLines="50"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10.1.</w:t>
      </w:r>
      <w:r>
        <w:rPr>
          <w:rFonts w:asciiTheme="minorEastAsia" w:hAnsiTheme="minorEastAsia" w:cstheme="minorEastAsia"/>
          <w:sz w:val="28"/>
          <w:szCs w:val="28"/>
        </w:rPr>
        <w:t>6</w:t>
      </w:r>
      <w:r>
        <w:rPr>
          <w:rFonts w:hint="eastAsia" w:asciiTheme="minorEastAsia" w:hAnsiTheme="minorEastAsia" w:cstheme="minorEastAsia"/>
          <w:sz w:val="28"/>
          <w:szCs w:val="28"/>
        </w:rPr>
        <w:t>对乙方投入项目的工作人员到岗情况进行定期和不定期的检查。</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10.2乙方责任、权利、义务</w:t>
      </w:r>
    </w:p>
    <w:p>
      <w:pPr>
        <w:spacing w:line="360" w:lineRule="auto"/>
        <w:ind w:right="0"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highlight w:val="none"/>
        </w:rPr>
        <w:t>10</w:t>
      </w:r>
      <w:r>
        <w:rPr>
          <w:rFonts w:hint="eastAsia" w:asciiTheme="minorEastAsia" w:hAnsiTheme="minorEastAsia" w:cstheme="minorEastAsia"/>
          <w:kern w:val="0"/>
          <w:sz w:val="28"/>
          <w:szCs w:val="28"/>
        </w:rPr>
        <w:t>.2.1</w:t>
      </w:r>
      <w:r>
        <w:rPr>
          <w:rFonts w:hint="eastAsia" w:asciiTheme="minorEastAsia" w:hAnsiTheme="minorEastAsia" w:eastAsiaTheme="minorEastAsia" w:cstheme="minorEastAsia"/>
          <w:kern w:val="0"/>
          <w:sz w:val="28"/>
          <w:szCs w:val="28"/>
        </w:rPr>
        <w:t>负责收集甲方提供的资料以外项目所需的所有资料。</w:t>
      </w:r>
    </w:p>
    <w:p>
      <w:pPr>
        <w:spacing w:line="360" w:lineRule="auto"/>
        <w:ind w:firstLine="560" w:firstLineChars="200"/>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10</w:t>
      </w:r>
      <w:r>
        <w:rPr>
          <w:rFonts w:hint="eastAsia" w:asciiTheme="minorEastAsia" w:hAnsiTheme="minorEastAsia" w:cstheme="minorEastAsia"/>
          <w:kern w:val="0"/>
          <w:sz w:val="28"/>
          <w:szCs w:val="28"/>
        </w:rPr>
        <w:t>.2.2</w:t>
      </w:r>
      <w:r>
        <w:rPr>
          <w:rFonts w:hint="eastAsia" w:asciiTheme="minorEastAsia" w:hAnsiTheme="minorEastAsia" w:eastAsiaTheme="minorEastAsia" w:cstheme="minorEastAsia"/>
          <w:kern w:val="0"/>
          <w:sz w:val="28"/>
          <w:szCs w:val="28"/>
        </w:rPr>
        <w:t>负责按合同约定及甲方的要求（包括但不限于工期、质量等要求），高质高效地完成评估工作，对成果质量负责。及时回应甲方、审查单位及政府主管部门提出的审查意见，完善成果文件。</w:t>
      </w:r>
    </w:p>
    <w:p>
      <w:pPr>
        <w:spacing w:line="360" w:lineRule="auto"/>
        <w:ind w:firstLine="560" w:firstLineChars="200"/>
        <w:jc w:val="left"/>
        <w:rPr>
          <w:rFonts w:asciiTheme="minorEastAsia" w:hAnsiTheme="minorEastAsia" w:cstheme="minorEastAsia"/>
          <w:sz w:val="28"/>
          <w:szCs w:val="28"/>
        </w:rPr>
      </w:pPr>
      <w:r>
        <w:rPr>
          <w:rFonts w:asciiTheme="minorEastAsia" w:hAnsiTheme="minorEastAsia" w:cstheme="minorEastAsia"/>
          <w:sz w:val="28"/>
          <w:szCs w:val="28"/>
          <w:highlight w:val="none"/>
        </w:rPr>
        <w:t>10.2.3</w:t>
      </w:r>
      <w:r>
        <w:rPr>
          <w:rFonts w:hint="eastAsia" w:asciiTheme="minorEastAsia" w:hAnsiTheme="minorEastAsia" w:cstheme="minorEastAsia"/>
          <w:sz w:val="28"/>
          <w:szCs w:val="28"/>
          <w:highlight w:val="none"/>
        </w:rPr>
        <w:t>乙方应根据工作需要配置足够数量的相关专业技术人员并保证相关人员具备从事相关工作所必需的经验与能力，且须对本项目服务质量负责。</w:t>
      </w:r>
    </w:p>
    <w:p>
      <w:pPr>
        <w:spacing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highlight w:val="none"/>
        </w:rPr>
        <w:t>10</w:t>
      </w:r>
      <w:r>
        <w:rPr>
          <w:rFonts w:hint="eastAsia" w:asciiTheme="minorEastAsia" w:hAnsiTheme="minorEastAsia" w:eastAsiaTheme="minorEastAsia" w:cstheme="minorEastAsia"/>
          <w:kern w:val="0"/>
          <w:sz w:val="28"/>
          <w:szCs w:val="28"/>
        </w:rPr>
        <w:t>.2.</w:t>
      </w:r>
      <w:r>
        <w:rPr>
          <w:rFonts w:hint="eastAsia" w:asciiTheme="minorEastAsia" w:hAnsiTheme="minorEastAsia" w:eastAsiaTheme="minorEastAsia" w:cstheme="minorEastAsia"/>
          <w:kern w:val="0"/>
          <w:sz w:val="28"/>
          <w:szCs w:val="28"/>
          <w:highlight w:val="none"/>
        </w:rPr>
        <w:t>4</w:t>
      </w:r>
      <w:r>
        <w:rPr>
          <w:rFonts w:hint="eastAsia" w:asciiTheme="minorEastAsia" w:hAnsiTheme="minorEastAsia" w:eastAsiaTheme="minorEastAsia" w:cstheme="minorEastAsia"/>
          <w:kern w:val="0"/>
          <w:sz w:val="28"/>
          <w:szCs w:val="28"/>
        </w:rPr>
        <w:t>协助甲方开展各项验收及报批工作。</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10.2.5按甲方要求提交全部书面文件和电子文件，并按甲方制定的档案归档要求对项目成果进行移交和归档。</w:t>
      </w:r>
    </w:p>
    <w:p>
      <w:pPr>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eastAsiaTheme="minorEastAsia" w:cstheme="minorEastAsia"/>
          <w:kern w:val="0"/>
          <w:sz w:val="28"/>
          <w:szCs w:val="28"/>
        </w:rPr>
        <w:t>10.2.6乙方不得将本项目转包或分包。</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十一、违约条款</w:t>
      </w:r>
    </w:p>
    <w:p>
      <w:pPr>
        <w:spacing w:afterAutospacing="1" w:line="360" w:lineRule="auto"/>
        <w:ind w:right="0" w:firstLine="560" w:firstLineChars="200"/>
        <w:jc w:val="left"/>
        <w:rPr>
          <w:rFonts w:asciiTheme="minorEastAsia" w:hAnsiTheme="minorEastAsia" w:eastAsiaTheme="minorEastAsia" w:cstheme="minorEastAsia"/>
          <w:sz w:val="28"/>
          <w:szCs w:val="28"/>
        </w:rPr>
      </w:pPr>
      <w:r>
        <w:rPr>
          <w:rFonts w:hint="eastAsia" w:asciiTheme="minorEastAsia" w:hAnsiTheme="minorEastAsia" w:cstheme="minorEastAsia"/>
          <w:sz w:val="28"/>
          <w:szCs w:val="28"/>
        </w:rPr>
        <w:t>11.</w:t>
      </w:r>
      <w:r>
        <w:rPr>
          <w:rFonts w:asciiTheme="minorEastAsia" w:hAnsiTheme="minorEastAsia" w:eastAsiaTheme="minorEastAsia" w:cstheme="minorEastAsia"/>
          <w:sz w:val="28"/>
          <w:szCs w:val="28"/>
        </w:rPr>
        <w:t>1乙方因自身原因逾期交付服务的，乙方应按逾期提供服务总额每日</w:t>
      </w:r>
      <w:r>
        <w:rPr>
          <w:rFonts w:hint="eastAsia" w:asciiTheme="minorEastAsia" w:hAnsiTheme="minorEastAsia" w:cstheme="minorEastAsia"/>
          <w:sz w:val="28"/>
          <w:szCs w:val="28"/>
        </w:rPr>
        <w:t>千</w:t>
      </w:r>
      <w:r>
        <w:rPr>
          <w:rFonts w:hint="eastAsia" w:asciiTheme="minorEastAsia" w:hAnsiTheme="minorEastAsia" w:eastAsiaTheme="minorEastAsia" w:cstheme="minorEastAsia"/>
          <w:sz w:val="28"/>
          <w:szCs w:val="28"/>
        </w:rPr>
        <w:t>分之</w:t>
      </w:r>
      <w:r>
        <w:rPr>
          <w:rFonts w:hint="eastAsia" w:asciiTheme="minorEastAsia" w:hAnsiTheme="minorEastAsia" w:cstheme="minorEastAsia"/>
          <w:sz w:val="28"/>
          <w:szCs w:val="28"/>
        </w:rPr>
        <w:t>三</w:t>
      </w:r>
      <w:r>
        <w:rPr>
          <w:rFonts w:hint="eastAsia" w:asciiTheme="minorEastAsia" w:hAnsiTheme="minorEastAsia" w:eastAsiaTheme="minorEastAsia" w:cstheme="minorEastAsia"/>
          <w:sz w:val="28"/>
          <w:szCs w:val="28"/>
        </w:rPr>
        <w:t>向甲方支付违约金，由甲方从待付服务费中扣除。因乙方自身原因逾期超过约定日期</w:t>
      </w:r>
      <w:r>
        <w:rPr>
          <w:rFonts w:asciiTheme="minorEastAsia" w:hAnsiTheme="minorEastAsia" w:eastAsiaTheme="minorEastAsia" w:cstheme="minorEastAsia"/>
          <w:sz w:val="28"/>
          <w:szCs w:val="28"/>
        </w:rPr>
        <w:t>30天不能提供服务的，甲方可单方解除本合同且不承担违约责任。</w:t>
      </w:r>
    </w:p>
    <w:p>
      <w:pPr>
        <w:spacing w:afterAutospacing="1" w:line="360" w:lineRule="auto"/>
        <w:ind w:right="0" w:firstLine="560" w:firstLineChars="200"/>
        <w:jc w:val="left"/>
        <w:rPr>
          <w:rFonts w:asciiTheme="minorEastAsia" w:hAnsiTheme="minorEastAsia" w:eastAsiaTheme="minorEastAsia" w:cstheme="minorEastAsia"/>
          <w:sz w:val="28"/>
          <w:szCs w:val="28"/>
        </w:rPr>
      </w:pPr>
      <w:r>
        <w:rPr>
          <w:rFonts w:hint="eastAsia" w:asciiTheme="minorEastAsia" w:hAnsiTheme="minorEastAsia" w:cstheme="minorEastAsia"/>
          <w:sz w:val="28"/>
          <w:szCs w:val="28"/>
        </w:rPr>
        <w:t>11.</w:t>
      </w:r>
      <w:r>
        <w:rPr>
          <w:rFonts w:asciiTheme="minorEastAsia" w:hAnsiTheme="minorEastAsia" w:eastAsiaTheme="minorEastAsia" w:cstheme="minorEastAsia"/>
          <w:sz w:val="28"/>
          <w:szCs w:val="28"/>
        </w:rPr>
        <w:t>2乙方提交的成果文件不符合国家、行业、地方规范、标准</w:t>
      </w:r>
      <w:r>
        <w:rPr>
          <w:rFonts w:hint="eastAsia" w:asciiTheme="minorEastAsia" w:hAnsiTheme="minorEastAsia" w:eastAsiaTheme="minorEastAsia" w:cstheme="minorEastAsia"/>
          <w:sz w:val="28"/>
          <w:szCs w:val="28"/>
        </w:rPr>
        <w:t>规定以及合同约定的，甲方有权拒收，乙方应无条件负责在甲方通知的期限内</w:t>
      </w:r>
      <w:r>
        <w:rPr>
          <w:rFonts w:hint="eastAsia" w:asciiTheme="minorEastAsia" w:hAnsiTheme="minorEastAsia" w:cstheme="minorEastAsia"/>
          <w:sz w:val="28"/>
          <w:szCs w:val="28"/>
        </w:rPr>
        <w:t>按相关</w:t>
      </w:r>
      <w:r>
        <w:rPr>
          <w:rFonts w:hint="eastAsia" w:asciiTheme="minorEastAsia" w:hAnsiTheme="minorEastAsia" w:eastAsiaTheme="minorEastAsia" w:cstheme="minorEastAsia"/>
          <w:sz w:val="28"/>
          <w:szCs w:val="28"/>
        </w:rPr>
        <w:t>标准重新提交成果；乙方拒绝在甲方通知的期限内按要求重新提交成果文件或乙方提交的成果文件因</w:t>
      </w:r>
      <w:r>
        <w:rPr>
          <w:rFonts w:asciiTheme="minorEastAsia" w:hAnsiTheme="minorEastAsia" w:eastAsiaTheme="minorEastAsia" w:cstheme="minorEastAsia"/>
          <w:sz w:val="28"/>
          <w:szCs w:val="28"/>
        </w:rPr>
        <w:t>研究深度不足、质量</w:t>
      </w:r>
      <w:r>
        <w:rPr>
          <w:rFonts w:hint="eastAsia" w:asciiTheme="minorEastAsia" w:hAnsiTheme="minorEastAsia" w:eastAsiaTheme="minorEastAsia" w:cstheme="minorEastAsia"/>
          <w:sz w:val="28"/>
          <w:szCs w:val="28"/>
        </w:rPr>
        <w:t>不符合</w:t>
      </w:r>
      <w:r>
        <w:rPr>
          <w:rFonts w:asciiTheme="minorEastAsia" w:hAnsiTheme="minorEastAsia" w:eastAsiaTheme="minorEastAsia" w:cstheme="minorEastAsia"/>
          <w:sz w:val="28"/>
          <w:szCs w:val="28"/>
        </w:rPr>
        <w:t>相关规范、规定、</w:t>
      </w:r>
      <w:r>
        <w:rPr>
          <w:rFonts w:hint="eastAsia" w:asciiTheme="minorEastAsia" w:hAnsiTheme="minorEastAsia" w:eastAsiaTheme="minorEastAsia" w:cstheme="minorEastAsia"/>
          <w:sz w:val="28"/>
          <w:szCs w:val="28"/>
        </w:rPr>
        <w:t>标准以及合同约定</w:t>
      </w:r>
      <w:r>
        <w:rPr>
          <w:rFonts w:asciiTheme="minorEastAsia" w:hAnsiTheme="minorEastAsia" w:eastAsiaTheme="minorEastAsia" w:cstheme="minorEastAsia"/>
          <w:sz w:val="28"/>
          <w:szCs w:val="28"/>
        </w:rPr>
        <w:t>要求</w:t>
      </w:r>
      <w:r>
        <w:rPr>
          <w:rFonts w:hint="eastAsia" w:asciiTheme="minorEastAsia" w:hAnsiTheme="minorEastAsia" w:eastAsiaTheme="minorEastAsia" w:cstheme="minorEastAsia"/>
          <w:sz w:val="28"/>
          <w:szCs w:val="28"/>
        </w:rPr>
        <w:t>，被甲方拒收两次的，甲方单方可解除合同且不承担违约责任。</w:t>
      </w:r>
    </w:p>
    <w:p>
      <w:pPr>
        <w:spacing w:afterAutospacing="1"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11.</w:t>
      </w:r>
      <w:r>
        <w:rPr>
          <w:rFonts w:asciiTheme="minorEastAsia" w:hAnsiTheme="minorEastAsia" w:cstheme="minorEastAsia"/>
          <w:sz w:val="28"/>
          <w:szCs w:val="28"/>
        </w:rPr>
        <w:t>3乙方提交的成果有误，造成甲方损失的，由乙方承担相应的损失费用及相关责任。</w:t>
      </w:r>
    </w:p>
    <w:p>
      <w:pPr>
        <w:spacing w:afterAutospacing="1" w:line="360" w:lineRule="auto"/>
        <w:ind w:right="0" w:firstLine="560" w:firstLineChars="200"/>
        <w:jc w:val="left"/>
        <w:rPr>
          <w:rFonts w:asciiTheme="minorEastAsia" w:hAnsiTheme="minorEastAsia" w:eastAsiaTheme="minorEastAsia" w:cstheme="minorEastAsia"/>
          <w:sz w:val="28"/>
          <w:szCs w:val="28"/>
        </w:rPr>
      </w:pPr>
      <w:r>
        <w:rPr>
          <w:rFonts w:hint="eastAsia" w:asciiTheme="minorEastAsia" w:hAnsiTheme="minorEastAsia" w:cstheme="minorEastAsia"/>
          <w:sz w:val="28"/>
          <w:szCs w:val="28"/>
        </w:rPr>
        <w:t>11.</w:t>
      </w:r>
      <w:r>
        <w:rPr>
          <w:rFonts w:asciiTheme="minorEastAsia" w:hAnsiTheme="minorEastAsia" w:eastAsiaTheme="minorEastAsia" w:cstheme="minorEastAsia"/>
          <w:sz w:val="28"/>
          <w:szCs w:val="28"/>
        </w:rPr>
        <w:t>4乙方逾期提供服务、提交的成果不符合合同规定标准或因其他违约行为导致甲方解除合同的，乙方除应退还甲方已支付的款项外，还应向甲方支付合同</w:t>
      </w:r>
      <w:r>
        <w:rPr>
          <w:rFonts w:hint="eastAsia" w:asciiTheme="minorEastAsia" w:hAnsiTheme="minorEastAsia" w:cstheme="minorEastAsia"/>
          <w:sz w:val="28"/>
          <w:szCs w:val="28"/>
        </w:rPr>
        <w:t>暂定含税总价</w:t>
      </w:r>
      <w:r>
        <w:rPr>
          <w:rFonts w:asciiTheme="minorEastAsia" w:hAnsiTheme="minorEastAsia" w:eastAsiaTheme="minorEastAsia" w:cstheme="minorEastAsia"/>
          <w:sz w:val="28"/>
          <w:szCs w:val="28"/>
        </w:rPr>
        <w:t>5%的违约金。如因乙方违约而给甲方造成损失的，除支付上述违约金外，还应向甲方赔偿包括但不限于实际损失、预期损失和要求乙方赔偿损失而支付的一切费用（包括但不限于律师费、差旅费等）。</w:t>
      </w:r>
    </w:p>
    <w:p>
      <w:pPr>
        <w:spacing w:line="360" w:lineRule="auto"/>
        <w:ind w:firstLine="560" w:firstLineChars="200"/>
        <w:jc w:val="left"/>
        <w:rPr>
          <w:rFonts w:asciiTheme="minorEastAsia" w:hAnsiTheme="minorEastAsia" w:cstheme="minorEastAsia"/>
          <w:sz w:val="28"/>
          <w:szCs w:val="28"/>
          <w:highlight w:val="none"/>
        </w:rPr>
      </w:pPr>
      <w:r>
        <w:rPr>
          <w:rFonts w:asciiTheme="minorEastAsia" w:hAnsiTheme="minorEastAsia" w:cstheme="minorEastAsia"/>
          <w:sz w:val="28"/>
          <w:szCs w:val="28"/>
          <w:highlight w:val="none"/>
        </w:rPr>
        <w:t>11.5.项目人员履约要求及违约责任</w:t>
      </w:r>
    </w:p>
    <w:p>
      <w:pPr>
        <w:spacing w:line="360" w:lineRule="auto"/>
        <w:ind w:firstLine="560" w:firstLineChars="200"/>
        <w:jc w:val="left"/>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乙方在本合同内确定的项目负责人原则上不予更换，如未经甲方同意擅自更换项目负责人的，甲方将视其违约，并处以</w:t>
      </w:r>
      <w:r>
        <w:rPr>
          <w:rFonts w:asciiTheme="minorEastAsia" w:hAnsiTheme="minorEastAsia" w:cstheme="minorEastAsia"/>
          <w:sz w:val="28"/>
          <w:szCs w:val="28"/>
          <w:highlight w:val="none"/>
        </w:rPr>
        <w:t>0.5万元/人的违约金。</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十二、不可抗力条款</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12.1在合同有效期内，任何一方因不可抗力事件导致不能履行合同，则合同履行期可顺延，其延长期与不可抗力影响期相同。</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12.2不可抗力事件发生后10天内，应立即通知对方，并寄送有关权威机构出具的证明。</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12.3不可抗力事件持续120天以上，双方应通过友好协商，确定是否继续履行合同。</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十三、争端解决条款</w:t>
      </w:r>
    </w:p>
    <w:p>
      <w:pPr>
        <w:spacing w:after="100"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13.1甲乙双方如因本合同发生争议，双方应协商解决，协商不成的，任何一方可向对甲方所在地有管辖权的人民法院起诉。</w:t>
      </w:r>
    </w:p>
    <w:p>
      <w:pPr>
        <w:spacing w:after="100"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13.2协商、调解和诉讼期间，合同应继续执行，合同双方均不得以争议为由拒绝执行。</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十四、知识产权条款</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14.1乙方应保证所提交的研究成果不侵犯任何第三方的专利权、商标权或著作权。</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14.2成果文件的署名权归甲乙双方共有，其余知识产权归甲方单独所有。</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w:t>
      </w:r>
      <w:r>
        <w:rPr>
          <w:rFonts w:asciiTheme="minorEastAsia" w:hAnsiTheme="minorEastAsia" w:cstheme="minorEastAsia"/>
          <w:sz w:val="28"/>
          <w:szCs w:val="28"/>
        </w:rPr>
        <w:t>4.3</w:t>
      </w:r>
      <w:r>
        <w:rPr>
          <w:rFonts w:hint="eastAsia" w:asciiTheme="minorEastAsia" w:hAnsiTheme="minorEastAsia" w:cstheme="minorEastAsia"/>
          <w:sz w:val="28"/>
          <w:szCs w:val="28"/>
        </w:rPr>
        <w:t>成果文件未经甲方同意，任何单位和个人都无权以任何形式向社会公开展示使用成果文件。甲方有权公开展示成果，并通过传播媒介、专业杂志、书刊或其他形式介绍、展示及评价相关成果。</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十五、保密条款</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乙方应对甲方提供的资料及提交甲方的研究成果保密，未经甲方同意，均不得对甲方的资料和文件擅自修改、复制、向第三人转让或用于本合同项目外的其他项目。如发生以上情况，乙方应承担由此引起的一切后果并承担赔偿责任。</w:t>
      </w:r>
    </w:p>
    <w:p>
      <w:pPr>
        <w:adjustRightInd w:val="0"/>
        <w:snapToGrid w:val="0"/>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十六、合同终止</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16.1除双方另有约定外，与本合同正式签署后，双方均有权在实现充分沟通并达成一致意见的基础上共同变更、终止本合同。</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16.2本协议无论任何原因终止，乙方应退还从甲方取得的资料、文件和数据原件，甲方应当退还未付费的乙方提交的工作成果。</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16.3因乙方提交的成果存在严重质量问题并造成项目损失较大，或乙方提交的成果时间严重延误并造成影响项目工期的，甲方除要求乙方赔偿相应损失外，还可以单方终止合同。</w:t>
      </w:r>
    </w:p>
    <w:p>
      <w:pPr>
        <w:spacing w:before="156" w:beforeLines="50" w:after="156" w:afterLines="50" w:line="36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十七、合同生效及其他</w:t>
      </w:r>
    </w:p>
    <w:p>
      <w:pPr>
        <w:spacing w:before="156" w:beforeLines="50" w:after="156" w:afterLines="50"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17.1本合同经各方法定代表人或授权委托代理人签字（或签章）并加盖单位公章（或合同专用章）生效。</w:t>
      </w:r>
    </w:p>
    <w:p>
      <w:pPr>
        <w:spacing w:before="156" w:beforeLines="50" w:after="156" w:afterLines="50"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17.2本合同未尽事宜，遵照《</w:t>
      </w:r>
      <w:r>
        <w:rPr>
          <w:rFonts w:hint="eastAsia" w:asciiTheme="minorEastAsia" w:hAnsiTheme="minorEastAsia" w:cstheme="minorEastAsia"/>
          <w:sz w:val="28"/>
          <w:szCs w:val="28"/>
        </w:rPr>
        <w:t>中华人民共和国民法典</w:t>
      </w:r>
      <w:r>
        <w:rPr>
          <w:rFonts w:hint="eastAsia" w:asciiTheme="minorEastAsia" w:hAnsiTheme="minorEastAsia" w:eastAsiaTheme="minorEastAsia" w:cstheme="minorEastAsia"/>
          <w:kern w:val="0"/>
          <w:sz w:val="28"/>
          <w:szCs w:val="28"/>
        </w:rPr>
        <w:t>》有关条款执行，或经甲乙双方协商后签订补充合同。</w:t>
      </w:r>
    </w:p>
    <w:p>
      <w:pPr>
        <w:spacing w:before="156" w:beforeLines="50" w:after="156" w:afterLines="50"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17.3本合同一式十二份。甲方执八份，乙方执四份。</w:t>
      </w:r>
    </w:p>
    <w:p>
      <w:pPr>
        <w:spacing w:line="360" w:lineRule="auto"/>
        <w:rPr>
          <w:rFonts w:hint="eastAsia" w:asciiTheme="minorEastAsia" w:hAnsiTheme="minorEastAsia" w:cstheme="minorEastAsia"/>
          <w:sz w:val="28"/>
          <w:szCs w:val="28"/>
        </w:rPr>
      </w:pPr>
    </w:p>
    <w:p>
      <w:pPr>
        <w:pStyle w:val="19"/>
        <w:spacing w:line="360" w:lineRule="auto"/>
        <w:rPr>
          <w:rFonts w:hint="eastAsia" w:asciiTheme="minorEastAsia" w:hAnsiTheme="minorEastAsia" w:cstheme="minorEastAsia"/>
          <w:sz w:val="28"/>
          <w:szCs w:val="28"/>
        </w:rPr>
      </w:pPr>
    </w:p>
    <w:p>
      <w:pPr>
        <w:pStyle w:val="8"/>
        <w:spacing w:line="360" w:lineRule="auto"/>
        <w:rPr>
          <w:rFonts w:hint="eastAsia" w:asciiTheme="minorEastAsia" w:hAnsiTheme="minorEastAsia" w:cstheme="minorEastAsia"/>
          <w:sz w:val="28"/>
          <w:szCs w:val="28"/>
        </w:rPr>
      </w:pPr>
    </w:p>
    <w:p>
      <w:pPr>
        <w:spacing w:line="360" w:lineRule="auto"/>
        <w:rPr>
          <w:rFonts w:hint="eastAsia" w:asciiTheme="minorEastAsia" w:hAnsiTheme="minorEastAsia" w:cstheme="minorEastAsia"/>
          <w:sz w:val="28"/>
          <w:szCs w:val="28"/>
        </w:rPr>
      </w:pPr>
    </w:p>
    <w:p>
      <w:pPr>
        <w:pStyle w:val="19"/>
        <w:spacing w:line="360" w:lineRule="auto"/>
        <w:rPr>
          <w:rFonts w:hint="eastAsia" w:asciiTheme="minorEastAsia" w:hAnsiTheme="minorEastAsia" w:cstheme="minorEastAsia"/>
          <w:sz w:val="28"/>
          <w:szCs w:val="28"/>
        </w:rPr>
      </w:pP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委托方：（甲方）：南宁铁路枢纽投资有限公司（盖章）</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法定代表人/委托代理人： </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联系人：</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通讯地址：</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电话：</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传真：</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签约时间：           年        月        日</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受托方：（乙方）：                           （盖章）</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法定代表人/委托代理人： </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联系人：</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通讯地址：</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电话：</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传真：</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开户银行: </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账号：</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签约时间：           年        月        日</w:t>
      </w:r>
    </w:p>
    <w:p>
      <w:pPr>
        <w:pStyle w:val="21"/>
        <w:adjustRightInd w:val="0"/>
        <w:snapToGrid w:val="0"/>
        <w:spacing w:line="360" w:lineRule="auto"/>
        <w:ind w:right="-126" w:rightChars="-60" w:firstLine="415" w:firstLineChars="198"/>
        <w:rPr>
          <w:szCs w:val="21"/>
          <w:u w:val="single"/>
        </w:rPr>
      </w:pPr>
    </w:p>
    <w:p>
      <w:pPr>
        <w:pStyle w:val="21"/>
        <w:adjustRightInd w:val="0"/>
        <w:snapToGrid w:val="0"/>
        <w:spacing w:line="360" w:lineRule="auto"/>
        <w:ind w:right="-126" w:rightChars="-60" w:firstLine="415" w:firstLineChars="198"/>
        <w:rPr>
          <w:szCs w:val="21"/>
          <w:u w:val="single"/>
        </w:rPr>
      </w:pPr>
    </w:p>
    <w:p>
      <w:pPr>
        <w:pStyle w:val="21"/>
        <w:adjustRightInd w:val="0"/>
        <w:snapToGrid w:val="0"/>
        <w:spacing w:line="360" w:lineRule="auto"/>
        <w:ind w:right="-126" w:rightChars="-60" w:firstLine="415" w:firstLineChars="198"/>
        <w:rPr>
          <w:szCs w:val="21"/>
          <w:u w:val="single"/>
        </w:rPr>
      </w:pPr>
    </w:p>
    <w:p>
      <w:pPr>
        <w:pStyle w:val="21"/>
        <w:adjustRightInd w:val="0"/>
        <w:snapToGrid w:val="0"/>
        <w:spacing w:line="360" w:lineRule="auto"/>
        <w:ind w:right="-126" w:rightChars="-60" w:firstLine="415" w:firstLineChars="198"/>
        <w:rPr>
          <w:szCs w:val="21"/>
          <w:u w:val="single"/>
        </w:rPr>
      </w:pPr>
    </w:p>
    <w:p>
      <w:pPr>
        <w:pStyle w:val="21"/>
        <w:adjustRightInd w:val="0"/>
        <w:snapToGrid w:val="0"/>
        <w:spacing w:line="360" w:lineRule="auto"/>
        <w:ind w:right="-126" w:rightChars="-60" w:firstLine="415" w:firstLineChars="198"/>
        <w:rPr>
          <w:szCs w:val="21"/>
          <w:u w:val="single"/>
        </w:rPr>
      </w:pPr>
    </w:p>
    <w:p>
      <w:pPr>
        <w:pStyle w:val="21"/>
        <w:adjustRightInd w:val="0"/>
        <w:snapToGrid w:val="0"/>
        <w:spacing w:line="360" w:lineRule="auto"/>
        <w:ind w:right="-126" w:rightChars="-60" w:firstLine="415" w:firstLineChars="198"/>
        <w:rPr>
          <w:szCs w:val="21"/>
          <w:u w:val="single"/>
        </w:rPr>
      </w:pPr>
    </w:p>
    <w:p>
      <w:pPr>
        <w:pStyle w:val="21"/>
        <w:adjustRightInd w:val="0"/>
        <w:snapToGrid w:val="0"/>
        <w:spacing w:line="360" w:lineRule="auto"/>
        <w:ind w:right="-126" w:rightChars="-60" w:firstLine="415" w:firstLineChars="198"/>
        <w:rPr>
          <w:szCs w:val="21"/>
          <w:u w:val="single"/>
        </w:rPr>
      </w:pPr>
    </w:p>
    <w:p>
      <w:pPr>
        <w:pStyle w:val="21"/>
        <w:adjustRightInd w:val="0"/>
        <w:snapToGrid w:val="0"/>
        <w:spacing w:line="360" w:lineRule="auto"/>
        <w:ind w:right="-126" w:rightChars="-60" w:firstLine="415" w:firstLineChars="198"/>
        <w:rPr>
          <w:szCs w:val="21"/>
          <w:u w:val="single"/>
        </w:rPr>
      </w:pPr>
    </w:p>
    <w:p>
      <w:pPr>
        <w:pStyle w:val="21"/>
        <w:adjustRightInd w:val="0"/>
        <w:snapToGrid w:val="0"/>
        <w:spacing w:line="360" w:lineRule="auto"/>
        <w:ind w:right="-126" w:rightChars="-60" w:firstLine="415" w:firstLineChars="198"/>
        <w:rPr>
          <w:szCs w:val="21"/>
          <w:u w:val="single"/>
        </w:rPr>
      </w:pPr>
    </w:p>
    <w:p>
      <w:pPr>
        <w:pStyle w:val="3"/>
        <w:numPr>
          <w:ilvl w:val="0"/>
          <w:numId w:val="5"/>
        </w:numPr>
        <w:spacing w:line="360" w:lineRule="auto"/>
        <w:rPr>
          <w:rFonts w:hint="eastAsia" w:asciiTheme="minorEastAsia" w:hAnsiTheme="minorEastAsia" w:cstheme="minorEastAsia"/>
          <w:szCs w:val="28"/>
        </w:rPr>
      </w:pPr>
      <w:bookmarkStart w:id="165" w:name="_Toc23661"/>
      <w:bookmarkStart w:id="166" w:name="_Toc20710"/>
      <w:bookmarkStart w:id="167" w:name="_Toc13393"/>
      <w:bookmarkStart w:id="168" w:name="_Toc15172"/>
      <w:bookmarkStart w:id="169" w:name="_Toc29471"/>
      <w:bookmarkStart w:id="170" w:name="_Toc29766"/>
      <w:bookmarkStart w:id="171" w:name="_Toc2349"/>
      <w:bookmarkStart w:id="172" w:name="_Toc16386"/>
      <w:bookmarkStart w:id="173" w:name="_Toc471482369"/>
      <w:bookmarkStart w:id="174" w:name="_Toc24668"/>
      <w:bookmarkStart w:id="175" w:name="_Toc26580"/>
      <w:bookmarkStart w:id="176" w:name="_Toc1897"/>
      <w:bookmarkStart w:id="177" w:name="_Toc461525321"/>
      <w:bookmarkStart w:id="178" w:name="_Toc9606"/>
      <w:bookmarkStart w:id="179" w:name="_Toc6779"/>
      <w:bookmarkStart w:id="180" w:name="_Toc32118"/>
      <w:bookmarkStart w:id="181" w:name="_Toc19345"/>
      <w:bookmarkStart w:id="182" w:name="_Toc27378"/>
      <w:bookmarkStart w:id="183" w:name="_Toc26692"/>
      <w:bookmarkStart w:id="184" w:name="_Toc32280"/>
      <w:bookmarkStart w:id="185" w:name="_Toc8284"/>
      <w:bookmarkStart w:id="186" w:name="_Toc10133"/>
      <w:r>
        <w:rPr>
          <w:rFonts w:hint="eastAsia" w:asciiTheme="minorEastAsia" w:hAnsiTheme="minorEastAsia" w:cstheme="minorEastAsia"/>
          <w:szCs w:val="28"/>
        </w:rPr>
        <w:t xml:space="preserve"> </w:t>
      </w:r>
      <w:bookmarkStart w:id="187" w:name="_Toc13956"/>
      <w:bookmarkStart w:id="188" w:name="_Toc31949"/>
      <w:bookmarkStart w:id="189" w:name="_Toc13962"/>
      <w:bookmarkStart w:id="190" w:name="_Toc30380"/>
      <w:r>
        <w:rPr>
          <w:rFonts w:hint="eastAsia" w:asciiTheme="minorEastAsia" w:hAnsiTheme="minorEastAsia" w:cstheme="minorEastAsia"/>
          <w:szCs w:val="28"/>
        </w:rPr>
        <w:t>比选申请文件</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Start w:id="191" w:name="_Toc114052391"/>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spacing w:line="360" w:lineRule="auto"/>
        <w:jc w:val="center"/>
        <w:rPr>
          <w:rFonts w:hint="eastAsia" w:asciiTheme="minorEastAsia" w:hAnsiTheme="minorEastAsia" w:cstheme="minorEastAsia"/>
          <w:sz w:val="28"/>
          <w:szCs w:val="28"/>
        </w:rPr>
      </w:pPr>
    </w:p>
    <w:p>
      <w:pPr>
        <w:ind w:right="753"/>
        <w:jc w:val="left"/>
        <w:rPr>
          <w:rFonts w:hint="eastAsia" w:ascii="宋体" w:hAnsi="宋体" w:cs="宋体"/>
          <w:sz w:val="28"/>
          <w:szCs w:val="28"/>
        </w:rPr>
      </w:pPr>
      <w:r>
        <w:rPr>
          <w:rFonts w:hint="eastAsia" w:ascii="宋体" w:hAnsi="宋体" w:cs="宋体"/>
          <w:sz w:val="28"/>
          <w:szCs w:val="28"/>
        </w:rPr>
        <w:t xml:space="preserve">  （封面格式）</w:t>
      </w: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3"/>
        <w:jc w:val="center"/>
        <w:rPr>
          <w:rFonts w:hint="eastAsia" w:asciiTheme="minorEastAsia" w:hAnsiTheme="minorEastAsia" w:cstheme="minorEastAsia"/>
          <w:sz w:val="28"/>
          <w:szCs w:val="28"/>
        </w:rPr>
      </w:pPr>
      <w:r>
        <w:rPr>
          <w:rFonts w:hint="eastAsia" w:asciiTheme="minorEastAsia" w:hAnsiTheme="minorEastAsia" w:cstheme="minorEastAsia"/>
          <w:sz w:val="28"/>
          <w:szCs w:val="28"/>
        </w:rPr>
        <w:t>六景火车站综合交通枢纽配套一期工程地质灾害危险性评估服务项目比选申请文件</w:t>
      </w:r>
      <w:bookmarkStart w:id="192" w:name="_Toc22529"/>
      <w:bookmarkStart w:id="193" w:name="_Toc18503"/>
      <w:bookmarkStart w:id="194" w:name="_Toc10669"/>
      <w:bookmarkStart w:id="195" w:name="_Toc12677"/>
      <w:bookmarkStart w:id="196" w:name="_Toc24727"/>
      <w:bookmarkStart w:id="197" w:name="_Toc16428"/>
      <w:bookmarkStart w:id="198" w:name="_Toc31417"/>
      <w:bookmarkStart w:id="199" w:name="_Toc461525322"/>
      <w:bookmarkStart w:id="200" w:name="_Toc6045"/>
    </w:p>
    <w:p>
      <w:pPr>
        <w:spacing w:line="360" w:lineRule="auto"/>
        <w:ind w:right="753"/>
        <w:jc w:val="center"/>
        <w:rPr>
          <w:rFonts w:hint="eastAsia" w:asciiTheme="minorEastAsia" w:hAnsiTheme="minorEastAsia" w:cstheme="minorEastAsia"/>
          <w:sz w:val="28"/>
          <w:szCs w:val="28"/>
          <w:lang w:val="en-US" w:eastAsia="zh-CN"/>
        </w:rPr>
      </w:pPr>
    </w:p>
    <w:p>
      <w:pPr>
        <w:spacing w:line="360" w:lineRule="auto"/>
        <w:ind w:right="753"/>
        <w:jc w:val="center"/>
        <w:rPr>
          <w:rFonts w:hint="eastAsia" w:asciiTheme="minorEastAsia" w:hAnsiTheme="minorEastAsia" w:cstheme="minorEastAsia"/>
          <w:sz w:val="28"/>
          <w:szCs w:val="28"/>
          <w:lang w:val="en-US" w:eastAsia="zh-CN"/>
        </w:rPr>
      </w:pPr>
    </w:p>
    <w:p>
      <w:pPr>
        <w:spacing w:line="360" w:lineRule="auto"/>
        <w:ind w:right="753"/>
        <w:jc w:val="center"/>
        <w:rPr>
          <w:rFonts w:hint="eastAsia" w:asciiTheme="minorEastAsia" w:hAnsiTheme="minorEastAsia" w:cstheme="minorEastAsia"/>
          <w:sz w:val="28"/>
          <w:szCs w:val="28"/>
          <w:lang w:val="en-US" w:eastAsia="zh-CN"/>
        </w:rPr>
      </w:pPr>
    </w:p>
    <w:p>
      <w:pPr>
        <w:spacing w:line="360" w:lineRule="auto"/>
        <w:ind w:right="753"/>
        <w:jc w:val="center"/>
        <w:rPr>
          <w:rFonts w:hint="eastAsia" w:asciiTheme="minorEastAsia" w:hAnsiTheme="minorEastAsia" w:cstheme="minorEastAsia"/>
          <w:sz w:val="28"/>
          <w:szCs w:val="28"/>
        </w:rPr>
      </w:pPr>
      <w:r>
        <w:rPr>
          <w:rFonts w:hint="eastAsia" w:asciiTheme="minorEastAsia" w:hAnsiTheme="minorEastAsia" w:cstheme="minorEastAsia"/>
          <w:sz w:val="28"/>
          <w:szCs w:val="28"/>
          <w:lang w:val="en-US" w:eastAsia="zh-CN"/>
        </w:rPr>
        <w:t>一、</w:t>
      </w:r>
      <w:r>
        <w:rPr>
          <w:rFonts w:hint="eastAsia" w:asciiTheme="minorEastAsia" w:hAnsiTheme="minorEastAsia" w:cstheme="minorEastAsia"/>
          <w:sz w:val="28"/>
          <w:szCs w:val="28"/>
        </w:rPr>
        <w:t>资格审查部分</w:t>
      </w:r>
      <w:bookmarkEnd w:id="192"/>
      <w:bookmarkEnd w:id="193"/>
      <w:bookmarkEnd w:id="194"/>
      <w:bookmarkEnd w:id="195"/>
      <w:bookmarkEnd w:id="196"/>
      <w:bookmarkEnd w:id="197"/>
      <w:bookmarkEnd w:id="198"/>
      <w:bookmarkEnd w:id="199"/>
      <w:bookmarkEnd w:id="200"/>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比选申</w:t>
      </w:r>
      <w:bookmarkEnd w:id="191"/>
      <w:r>
        <w:rPr>
          <w:rFonts w:hint="eastAsia" w:asciiTheme="minorEastAsia" w:hAnsiTheme="minorEastAsia" w:cstheme="minorEastAsia"/>
          <w:sz w:val="28"/>
          <w:szCs w:val="28"/>
        </w:rPr>
        <w:t>请</w:t>
      </w:r>
      <w:bookmarkStart w:id="201" w:name="_Toc114052392"/>
      <w:r>
        <w:rPr>
          <w:rFonts w:hint="eastAsia" w:asciiTheme="minorEastAsia" w:hAnsiTheme="minorEastAsia" w:cstheme="minorEastAsia"/>
          <w:sz w:val="28"/>
          <w:szCs w:val="28"/>
        </w:rPr>
        <w:t xml:space="preserve">人：                 </w:t>
      </w:r>
      <w:bookmarkEnd w:id="201"/>
      <w:r>
        <w:rPr>
          <w:rFonts w:hint="eastAsia" w:asciiTheme="minorEastAsia" w:hAnsiTheme="minorEastAsia" w:cstheme="minorEastAsia"/>
          <w:sz w:val="28"/>
          <w:szCs w:val="28"/>
        </w:rPr>
        <w:t xml:space="preserve">            （盖章）</w:t>
      </w: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负责人或委托代</w:t>
      </w:r>
      <w:bookmarkStart w:id="202" w:name="_Toc333307122"/>
      <w:r>
        <w:rPr>
          <w:rFonts w:hint="eastAsia" w:asciiTheme="minorEastAsia" w:hAnsiTheme="minorEastAsia" w:cstheme="minorEastAsia"/>
          <w:sz w:val="28"/>
          <w:szCs w:val="28"/>
        </w:rPr>
        <w:t>理人</w:t>
      </w:r>
      <w:bookmarkEnd w:id="202"/>
      <w:r>
        <w:rPr>
          <w:rFonts w:hint="eastAsia" w:asciiTheme="minorEastAsia" w:hAnsiTheme="minorEastAsia" w:cstheme="minorEastAsia"/>
          <w:sz w:val="28"/>
          <w:szCs w:val="28"/>
        </w:rPr>
        <w:t>：（签字或盖章）</w:t>
      </w: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电话/传真：</w:t>
      </w: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地址：</w:t>
      </w:r>
    </w:p>
    <w:p>
      <w:pPr>
        <w:spacing w:line="360" w:lineRule="auto"/>
        <w:ind w:right="753" w:firstLine="1260" w:firstLineChars="4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年    月    日</w:t>
      </w:r>
    </w:p>
    <w:p>
      <w:pPr>
        <w:ind w:right="753" w:firstLine="1260" w:firstLineChars="450"/>
        <w:jc w:val="left"/>
        <w:rPr>
          <w:rFonts w:ascii="宋体" w:hAnsi="宋体" w:cs="宋体"/>
          <w:sz w:val="28"/>
          <w:szCs w:val="28"/>
        </w:rPr>
      </w:pPr>
    </w:p>
    <w:p>
      <w:pPr>
        <w:ind w:right="753" w:firstLine="1260" w:firstLineChars="450"/>
        <w:jc w:val="left"/>
        <w:rPr>
          <w:rFonts w:ascii="宋体" w:hAnsi="宋体" w:cs="宋体"/>
          <w:sz w:val="28"/>
          <w:szCs w:val="28"/>
        </w:rPr>
      </w:pPr>
    </w:p>
    <w:p>
      <w:pPr>
        <w:pStyle w:val="2"/>
        <w:rPr>
          <w:sz w:val="28"/>
          <w:szCs w:val="28"/>
        </w:rPr>
      </w:pPr>
      <w:bookmarkStart w:id="203" w:name="_Toc7849"/>
      <w:bookmarkStart w:id="204" w:name="_Toc461525323"/>
    </w:p>
    <w:p>
      <w:pPr>
        <w:pStyle w:val="2"/>
        <w:rPr>
          <w:sz w:val="28"/>
          <w:szCs w:val="28"/>
        </w:rPr>
      </w:pPr>
    </w:p>
    <w:p>
      <w:pPr>
        <w:pStyle w:val="4"/>
        <w:spacing w:line="360" w:lineRule="auto"/>
        <w:jc w:val="center"/>
        <w:rPr>
          <w:rFonts w:hint="eastAsia" w:asciiTheme="minorEastAsia" w:hAnsiTheme="minorEastAsia" w:cstheme="minorEastAsia"/>
          <w:b/>
          <w:szCs w:val="28"/>
        </w:rPr>
      </w:pPr>
      <w:bookmarkStart w:id="205" w:name="_Toc12096"/>
      <w:bookmarkStart w:id="206" w:name="_Toc24578"/>
      <w:bookmarkStart w:id="207" w:name="_Toc24695"/>
      <w:bookmarkStart w:id="208" w:name="_Toc6348"/>
      <w:bookmarkStart w:id="209" w:name="_Toc13042"/>
      <w:bookmarkStart w:id="210" w:name="_Toc8930"/>
      <w:bookmarkStart w:id="211" w:name="_Toc29495"/>
      <w:bookmarkStart w:id="212" w:name="_Toc14582"/>
      <w:bookmarkStart w:id="213" w:name="_Toc13726"/>
      <w:bookmarkStart w:id="214" w:name="_Toc31336"/>
      <w:bookmarkStart w:id="215" w:name="_Toc16042"/>
      <w:bookmarkStart w:id="216" w:name="_Toc7031"/>
      <w:bookmarkStart w:id="217" w:name="_Toc7514"/>
      <w:bookmarkStart w:id="218" w:name="_Toc28967"/>
      <w:bookmarkStart w:id="219" w:name="_Toc23201"/>
      <w:bookmarkStart w:id="220" w:name="_Toc22776"/>
      <w:bookmarkStart w:id="221" w:name="_Toc9056"/>
      <w:bookmarkStart w:id="222" w:name="_Toc471482370"/>
      <w:bookmarkStart w:id="223" w:name="_Toc16191"/>
      <w:bookmarkStart w:id="224" w:name="_Toc9905"/>
      <w:bookmarkStart w:id="225" w:name="_Toc11525"/>
      <w:bookmarkStart w:id="226" w:name="_Toc17090"/>
      <w:r>
        <w:rPr>
          <w:rFonts w:hint="eastAsia" w:asciiTheme="minorEastAsia" w:hAnsiTheme="minorEastAsia" w:cstheme="minorEastAsia"/>
          <w:b/>
          <w:szCs w:val="28"/>
        </w:rPr>
        <w:t>一、资格审查文件目录</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（一）诚信声明（原件）；</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sz w:val="28"/>
          <w:szCs w:val="28"/>
        </w:rPr>
        <w:t>（</w:t>
      </w:r>
      <w:r>
        <w:rPr>
          <w:rFonts w:hint="eastAsia" w:asciiTheme="minorEastAsia" w:hAnsiTheme="minorEastAsia" w:cstheme="minorEastAsia"/>
          <w:kern w:val="0"/>
          <w:sz w:val="28"/>
          <w:szCs w:val="28"/>
        </w:rPr>
        <w:t>二</w:t>
      </w:r>
      <w:r>
        <w:rPr>
          <w:rFonts w:hint="eastAsia" w:asciiTheme="minorEastAsia" w:hAnsiTheme="minorEastAsia" w:cstheme="minorEastAsia"/>
          <w:sz w:val="28"/>
          <w:szCs w:val="28"/>
        </w:rPr>
        <w:t>）</w:t>
      </w:r>
      <w:r>
        <w:rPr>
          <w:rFonts w:hint="eastAsia" w:asciiTheme="minorEastAsia" w:hAnsiTheme="minorEastAsia" w:cstheme="minorEastAsia"/>
          <w:kern w:val="0"/>
          <w:sz w:val="28"/>
          <w:szCs w:val="28"/>
        </w:rPr>
        <w:t>法定代表人资格证明书（原件）</w:t>
      </w:r>
      <w:r>
        <w:rPr>
          <w:rFonts w:hint="eastAsia" w:asciiTheme="minorEastAsia" w:hAnsiTheme="minorEastAsia" w:cstheme="minorEastAsia"/>
          <w:sz w:val="28"/>
          <w:szCs w:val="28"/>
        </w:rPr>
        <w:t>；</w:t>
      </w:r>
    </w:p>
    <w:p>
      <w:pPr>
        <w:numPr>
          <w:ilvl w:val="255"/>
          <w:numId w:val="0"/>
        </w:numPr>
        <w:tabs>
          <w:tab w:val="left" w:pos="826"/>
        </w:tabs>
        <w:spacing w:line="360" w:lineRule="auto"/>
        <w:ind w:left="426"/>
        <w:rPr>
          <w:rFonts w:hint="eastAsia" w:asciiTheme="minorEastAsia" w:hAnsiTheme="minorEastAsia" w:cstheme="minorEastAsia"/>
          <w:sz w:val="28"/>
          <w:szCs w:val="28"/>
        </w:rPr>
      </w:pPr>
      <w:r>
        <w:rPr>
          <w:rFonts w:hint="eastAsia" w:asciiTheme="minorEastAsia" w:hAnsiTheme="minorEastAsia" w:cstheme="minorEastAsia"/>
          <w:sz w:val="28"/>
          <w:szCs w:val="28"/>
        </w:rPr>
        <w:t>（三）法定代表人身份证明文件（提供复印件</w:t>
      </w:r>
      <w:r>
        <w:rPr>
          <w:rFonts w:hint="eastAsia" w:asciiTheme="minorEastAsia" w:hAnsiTheme="minorEastAsia" w:cstheme="minorEastAsia"/>
          <w:kern w:val="0"/>
          <w:sz w:val="28"/>
          <w:szCs w:val="28"/>
        </w:rPr>
        <w:t>加盖法人单位公章</w:t>
      </w:r>
      <w:r>
        <w:rPr>
          <w:rFonts w:hint="eastAsia" w:asciiTheme="minorEastAsia" w:hAnsiTheme="minorEastAsia" w:cstheme="minorEastAsia"/>
          <w:sz w:val="28"/>
          <w:szCs w:val="28"/>
        </w:rPr>
        <w:t>）；</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（四）比选申请文件签署授权委托书（原件）；</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（五）授权代理人身份证明文件（提供复印件加盖法人单位公章）；</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（六）营业执照复印件、税务登记证复印件（如已办理三证合一则不需提供）、组织机构代码证复印件（ 如已办理三证合一则不需提供）（加盖单位公章）；</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（七）企业资质证书复印件（加盖单位公章）；</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（八）项目负责人职称证书、与本单位签订的合同及</w:t>
      </w:r>
      <w:r>
        <w:rPr>
          <w:rFonts w:hint="eastAsia" w:asciiTheme="minorEastAsia" w:hAnsiTheme="minorEastAsia" w:cstheme="minorEastAsia"/>
          <w:kern w:val="0"/>
          <w:sz w:val="28"/>
          <w:szCs w:val="28"/>
          <w:highlight w:val="none"/>
          <w:lang w:val="zh-CN"/>
        </w:rPr>
        <w:t>2022年12月—2023年2月的</w:t>
      </w:r>
      <w:r>
        <w:rPr>
          <w:rFonts w:hint="eastAsia" w:asciiTheme="minorEastAsia" w:hAnsiTheme="minorEastAsia" w:cstheme="minorEastAsia"/>
          <w:kern w:val="0"/>
          <w:sz w:val="28"/>
          <w:szCs w:val="28"/>
          <w:highlight w:val="none"/>
        </w:rPr>
        <w:t>社保缴纳记录</w:t>
      </w:r>
      <w:r>
        <w:rPr>
          <w:rFonts w:hint="eastAsia" w:asciiTheme="minorEastAsia" w:hAnsiTheme="minorEastAsia" w:cstheme="minorEastAsia"/>
          <w:kern w:val="0"/>
          <w:sz w:val="28"/>
          <w:szCs w:val="28"/>
        </w:rPr>
        <w:t>；</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（九）类似项目业绩证明材料；</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（十）其他。</w:t>
      </w:r>
    </w:p>
    <w:p>
      <w:pPr>
        <w:spacing w:line="360" w:lineRule="auto"/>
        <w:ind w:right="753"/>
        <w:jc w:val="left"/>
        <w:rPr>
          <w:rFonts w:hint="eastAsia" w:asciiTheme="minorEastAsia" w:hAnsiTheme="minorEastAsia" w:cstheme="minorEastAsia"/>
          <w:sz w:val="28"/>
          <w:szCs w:val="28"/>
        </w:rPr>
      </w:pP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备注：以上材料均需加盖单位公章，并按照目录顺序编排，标注页码</w:t>
      </w:r>
    </w:p>
    <w:p>
      <w:pPr>
        <w:spacing w:line="360" w:lineRule="auto"/>
        <w:jc w:val="left"/>
        <w:rPr>
          <w:rFonts w:hint="eastAsia" w:asciiTheme="minorEastAsia" w:hAnsiTheme="minorEastAsia" w:cstheme="minorEastAsia"/>
          <w:sz w:val="28"/>
          <w:szCs w:val="28"/>
        </w:rPr>
      </w:pPr>
    </w:p>
    <w:p>
      <w:pPr>
        <w:spacing w:line="360" w:lineRule="auto"/>
        <w:jc w:val="left"/>
        <w:rPr>
          <w:rFonts w:hint="eastAsia" w:asciiTheme="minorEastAsia" w:hAnsiTheme="minorEastAsia" w:cstheme="minorEastAsia"/>
          <w:sz w:val="28"/>
          <w:szCs w:val="28"/>
        </w:rPr>
      </w:pPr>
    </w:p>
    <w:p>
      <w:pPr>
        <w:spacing w:line="360" w:lineRule="auto"/>
        <w:jc w:val="left"/>
        <w:rPr>
          <w:rFonts w:hint="eastAsia" w:asciiTheme="minorEastAsia" w:hAnsiTheme="minorEastAsia" w:cstheme="minorEastAsia"/>
          <w:sz w:val="28"/>
          <w:szCs w:val="28"/>
        </w:rPr>
      </w:pPr>
    </w:p>
    <w:p>
      <w:pPr>
        <w:spacing w:line="360" w:lineRule="auto"/>
        <w:ind w:firstLine="420" w:firstLineChars="200"/>
        <w:jc w:val="center"/>
        <w:outlineLvl w:val="2"/>
        <w:rPr>
          <w:rFonts w:hint="eastAsia" w:asciiTheme="minorEastAsia" w:hAnsiTheme="minorEastAsia" w:cstheme="minorEastAsia"/>
          <w:b/>
          <w:bCs/>
          <w:sz w:val="28"/>
          <w:szCs w:val="28"/>
        </w:rPr>
      </w:pPr>
      <w:bookmarkStart w:id="227" w:name="_Toc1582"/>
      <w:bookmarkStart w:id="228" w:name="_Toc27423"/>
      <w:bookmarkStart w:id="229" w:name="_Toc461525324"/>
      <w:r>
        <w:br w:type="page"/>
      </w:r>
      <w:bookmarkEnd w:id="227"/>
      <w:bookmarkEnd w:id="228"/>
      <w:bookmarkEnd w:id="229"/>
      <w:bookmarkStart w:id="230" w:name="_Toc29655"/>
      <w:bookmarkStart w:id="231" w:name="_Toc29347"/>
      <w:bookmarkStart w:id="232" w:name="_Toc17531"/>
      <w:bookmarkStart w:id="233" w:name="_Toc32325"/>
      <w:bookmarkStart w:id="234" w:name="_Toc24466"/>
      <w:bookmarkStart w:id="235" w:name="_Toc18804"/>
      <w:bookmarkStart w:id="236" w:name="_Toc30157"/>
      <w:bookmarkStart w:id="237" w:name="_Toc15465"/>
      <w:bookmarkStart w:id="238" w:name="_Toc26924"/>
      <w:bookmarkStart w:id="239" w:name="_Toc14714"/>
      <w:bookmarkStart w:id="240" w:name="_Toc461525329"/>
      <w:bookmarkStart w:id="241" w:name="_Toc15071"/>
      <w:r>
        <w:rPr>
          <w:rFonts w:hint="eastAsia" w:asciiTheme="minorEastAsia" w:hAnsiTheme="minorEastAsia" w:cstheme="minorEastAsia"/>
          <w:b/>
          <w:bCs/>
          <w:sz w:val="28"/>
          <w:szCs w:val="28"/>
        </w:rPr>
        <w:t>（一）诚信声明</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本人       （法定代表人、身份证号码              ）郑重声明：</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1、本企业参加</w:t>
      </w:r>
      <w:r>
        <w:rPr>
          <w:rFonts w:hint="eastAsia" w:asciiTheme="minorEastAsia" w:hAnsiTheme="minorEastAsia" w:eastAsiaTheme="minorEastAsia" w:cstheme="minorEastAsia"/>
          <w:b/>
          <w:sz w:val="28"/>
          <w:szCs w:val="28"/>
          <w:u w:val="single"/>
        </w:rPr>
        <w:t xml:space="preserve">         项目</w:t>
      </w:r>
      <w:r>
        <w:rPr>
          <w:rFonts w:hint="eastAsia" w:asciiTheme="minorEastAsia" w:hAnsiTheme="minorEastAsia" w:eastAsiaTheme="minorEastAsia" w:cstheme="minorEastAsia"/>
          <w:sz w:val="28"/>
          <w:szCs w:val="28"/>
        </w:rPr>
        <w:t>采购项目比选活动所提交的所有资料、填写数据及所包含的附件资料内容是真实的、合法的、有效的；</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2、本企业没有处于被行政管部门或业主取消比选申请资格的处罚期内，且没有处于被责令停业，财产被接管、冻结、破产状态；</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eastAsiaTheme="minorEastAsia" w:cstheme="minorEastAsia"/>
          <w:sz w:val="28"/>
          <w:szCs w:val="28"/>
        </w:rPr>
        <w:t>3、本企业在比选申请截止时间前3年内没有骗取中选、严重违约或重大质量安全责任事故的情况；</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4、我在此所作的声明真实有效，并愿意对在比选过程中有关部门的调查结果承担责任；</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5、本企业提交的所有比选申请资料如有不实，愿接受相关部门依据有关法律法规给予的处罚。</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6、本企业提供的服务不存在知识产权或专利纠纷，保证甲方能正常使用本企业所提供的服务。</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7、其他……</w:t>
      </w:r>
    </w:p>
    <w:p>
      <w:pPr>
        <w:spacing w:line="360" w:lineRule="auto"/>
        <w:ind w:firstLine="560" w:firstLineChars="200"/>
        <w:rPr>
          <w:rFonts w:hint="eastAsia" w:asciiTheme="minorEastAsia" w:hAnsiTheme="minorEastAsia" w:eastAsiaTheme="minorEastAsia" w:cstheme="minorEastAsia"/>
          <w:sz w:val="28"/>
          <w:szCs w:val="28"/>
        </w:rPr>
      </w:pP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（公章）</w:t>
      </w:r>
    </w:p>
    <w:p>
      <w:pPr>
        <w:spacing w:line="360" w:lineRule="auto"/>
        <w:ind w:firstLine="560" w:firstLineChars="200"/>
        <w:rPr>
          <w:rFonts w:hint="eastAsia" w:asciiTheme="minorEastAsia" w:hAnsiTheme="minorEastAsia" w:eastAsiaTheme="minorEastAsia" w:cstheme="minorEastAsia"/>
          <w:sz w:val="28"/>
          <w:szCs w:val="28"/>
        </w:rPr>
      </w:pP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法定代表人：（签字）</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日期：　　年   月    日</w:t>
      </w:r>
    </w:p>
    <w:p>
      <w:pPr>
        <w:spacing w:line="360" w:lineRule="auto"/>
        <w:ind w:firstLine="560" w:firstLineChars="200"/>
        <w:rPr>
          <w:rFonts w:ascii="宋体" w:hAnsi="宋体" w:eastAsia="宋体" w:cs="宋体"/>
          <w:sz w:val="28"/>
          <w:szCs w:val="28"/>
        </w:rPr>
      </w:pPr>
    </w:p>
    <w:bookmarkEnd w:id="230"/>
    <w:bookmarkEnd w:id="231"/>
    <w:bookmarkEnd w:id="232"/>
    <w:bookmarkEnd w:id="233"/>
    <w:bookmarkEnd w:id="234"/>
    <w:bookmarkEnd w:id="235"/>
    <w:bookmarkEnd w:id="236"/>
    <w:bookmarkEnd w:id="237"/>
    <w:bookmarkEnd w:id="238"/>
    <w:bookmarkEnd w:id="239"/>
    <w:bookmarkEnd w:id="240"/>
    <w:bookmarkEnd w:id="241"/>
    <w:p>
      <w:pPr>
        <w:autoSpaceDE w:val="0"/>
        <w:autoSpaceDN w:val="0"/>
        <w:adjustRightInd w:val="0"/>
        <w:spacing w:line="480" w:lineRule="auto"/>
        <w:jc w:val="center"/>
        <w:outlineLvl w:val="2"/>
        <w:rPr>
          <w:rFonts w:ascii="宋体" w:hAnsi="宋体"/>
          <w:b/>
          <w:kern w:val="0"/>
          <w:sz w:val="28"/>
          <w:szCs w:val="28"/>
        </w:rPr>
      </w:pPr>
      <w:bookmarkStart w:id="242" w:name="_Toc28436"/>
      <w:bookmarkStart w:id="243" w:name="_Toc16756"/>
      <w:bookmarkStart w:id="244" w:name="_Toc7760"/>
      <w:bookmarkStart w:id="245" w:name="_Toc32075"/>
      <w:bookmarkStart w:id="246" w:name="_Toc19937"/>
      <w:bookmarkStart w:id="247" w:name="_Toc6606"/>
      <w:bookmarkStart w:id="248" w:name="_Toc3498"/>
      <w:bookmarkStart w:id="249" w:name="_Toc750"/>
      <w:bookmarkStart w:id="250" w:name="_Toc25670"/>
      <w:r>
        <w:rPr>
          <w:rFonts w:hint="eastAsia" w:ascii="宋体" w:hAnsi="宋体"/>
          <w:b/>
          <w:kern w:val="0"/>
          <w:sz w:val="28"/>
          <w:szCs w:val="28"/>
        </w:rPr>
        <w:t>（二）法定代表人资格证明书</w:t>
      </w:r>
    </w:p>
    <w:p>
      <w:pPr>
        <w:rPr>
          <w:rFonts w:ascii="宋体" w:hAnsi="宋体"/>
          <w:b/>
          <w:sz w:val="36"/>
        </w:rPr>
      </w:pPr>
    </w:p>
    <w:p>
      <w:pPr>
        <w:rPr>
          <w:rFonts w:ascii="宋体" w:hAnsi="宋体"/>
          <w:b/>
        </w:rPr>
      </w:pPr>
    </w:p>
    <w:p>
      <w:pPr>
        <w:spacing w:line="360" w:lineRule="auto"/>
        <w:ind w:firstLine="612"/>
        <w:rPr>
          <w:rFonts w:ascii="宋体" w:hAnsi="宋体"/>
          <w:sz w:val="28"/>
          <w:szCs w:val="28"/>
        </w:rPr>
      </w:pPr>
      <w:r>
        <w:rPr>
          <w:rFonts w:hint="eastAsia" w:ascii="宋体" w:hAnsi="宋体"/>
          <w:sz w:val="28"/>
          <w:szCs w:val="28"/>
        </w:rPr>
        <w:t>单位名称：</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360" w:lineRule="auto"/>
        <w:ind w:firstLine="612"/>
        <w:rPr>
          <w:rFonts w:ascii="宋体" w:hAnsi="宋体"/>
          <w:sz w:val="28"/>
          <w:szCs w:val="28"/>
        </w:rPr>
      </w:pPr>
    </w:p>
    <w:p>
      <w:pPr>
        <w:spacing w:line="360" w:lineRule="auto"/>
        <w:ind w:firstLine="610"/>
        <w:rPr>
          <w:rFonts w:ascii="宋体" w:hAnsi="宋体"/>
          <w:sz w:val="28"/>
          <w:szCs w:val="28"/>
          <w:u w:val="single"/>
        </w:rPr>
      </w:pPr>
      <w:r>
        <w:rPr>
          <w:rFonts w:hint="eastAsia" w:ascii="宋体" w:hAnsi="宋体"/>
          <w:sz w:val="28"/>
          <w:szCs w:val="28"/>
        </w:rPr>
        <w:t>单位性质：</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360" w:lineRule="auto"/>
        <w:ind w:firstLine="610"/>
        <w:rPr>
          <w:rFonts w:ascii="宋体" w:hAnsi="宋体"/>
          <w:sz w:val="28"/>
          <w:szCs w:val="28"/>
        </w:rPr>
      </w:pPr>
    </w:p>
    <w:p>
      <w:pPr>
        <w:spacing w:line="360" w:lineRule="auto"/>
        <w:ind w:firstLine="610"/>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360" w:lineRule="auto"/>
        <w:ind w:firstLine="610"/>
        <w:rPr>
          <w:rFonts w:ascii="宋体" w:hAnsi="宋体"/>
          <w:sz w:val="28"/>
          <w:szCs w:val="28"/>
        </w:rPr>
      </w:pPr>
    </w:p>
    <w:p>
      <w:pPr>
        <w:spacing w:line="360" w:lineRule="auto"/>
        <w:ind w:firstLine="610"/>
        <w:rPr>
          <w:rFonts w:ascii="宋体" w:hAnsi="宋体"/>
          <w:sz w:val="28"/>
          <w:szCs w:val="28"/>
        </w:rPr>
      </w:pPr>
      <w:r>
        <w:rPr>
          <w:rFonts w:hint="eastAsia" w:ascii="宋体" w:hAnsi="宋体"/>
          <w:sz w:val="28"/>
          <w:szCs w:val="28"/>
        </w:rPr>
        <w:t>成立时间：    年  月  日</w:t>
      </w:r>
    </w:p>
    <w:p>
      <w:pPr>
        <w:spacing w:line="360" w:lineRule="auto"/>
        <w:ind w:firstLine="610"/>
        <w:rPr>
          <w:rFonts w:ascii="宋体" w:hAnsi="宋体"/>
          <w:sz w:val="28"/>
          <w:szCs w:val="28"/>
        </w:rPr>
      </w:pPr>
    </w:p>
    <w:p>
      <w:pPr>
        <w:spacing w:line="360" w:lineRule="auto"/>
        <w:ind w:firstLine="610"/>
        <w:rPr>
          <w:rFonts w:ascii="宋体" w:hAnsi="宋体"/>
          <w:sz w:val="28"/>
          <w:szCs w:val="28"/>
          <w:u w:val="single"/>
        </w:rPr>
      </w:pPr>
      <w:r>
        <w:rPr>
          <w:rFonts w:hint="eastAsia" w:ascii="宋体" w:hAnsi="宋体"/>
          <w:sz w:val="28"/>
          <w:szCs w:val="28"/>
        </w:rPr>
        <w:t>经营期限：</w:t>
      </w:r>
      <w:r>
        <w:rPr>
          <w:rFonts w:hint="eastAsia" w:ascii="宋体" w:hAnsi="宋体"/>
          <w:sz w:val="28"/>
          <w:szCs w:val="28"/>
          <w:u w:val="single"/>
        </w:rPr>
        <w:tab/>
      </w:r>
      <w:r>
        <w:rPr>
          <w:rFonts w:hint="eastAsia" w:ascii="宋体" w:hAnsi="宋体"/>
          <w:sz w:val="28"/>
          <w:szCs w:val="28"/>
          <w:u w:val="single"/>
        </w:rPr>
        <w:tab/>
      </w:r>
    </w:p>
    <w:p>
      <w:pPr>
        <w:spacing w:line="360" w:lineRule="auto"/>
        <w:ind w:firstLine="610"/>
        <w:rPr>
          <w:rFonts w:ascii="宋体" w:hAnsi="宋体"/>
          <w:sz w:val="28"/>
          <w:szCs w:val="28"/>
        </w:rPr>
      </w:pPr>
    </w:p>
    <w:p>
      <w:pPr>
        <w:spacing w:line="360" w:lineRule="auto"/>
        <w:ind w:firstLine="610"/>
        <w:rPr>
          <w:rFonts w:ascii="宋体" w:hAnsi="宋体"/>
          <w:sz w:val="28"/>
          <w:szCs w:val="28"/>
          <w:u w:val="single"/>
        </w:rPr>
      </w:pPr>
      <w:r>
        <w:rPr>
          <w:rFonts w:hint="eastAsia" w:ascii="宋体" w:hAnsi="宋体"/>
          <w:sz w:val="28"/>
          <w:szCs w:val="28"/>
        </w:rPr>
        <w:t>姓名：      性别：     年龄：     职务：</w:t>
      </w:r>
      <w:r>
        <w:rPr>
          <w:rFonts w:hint="eastAsia" w:ascii="宋体" w:hAnsi="宋体"/>
          <w:sz w:val="28"/>
          <w:szCs w:val="28"/>
        </w:rPr>
        <w:tab/>
      </w:r>
      <w:r>
        <w:rPr>
          <w:rFonts w:hint="eastAsia" w:ascii="宋体" w:hAnsi="宋体"/>
          <w:sz w:val="28"/>
          <w:szCs w:val="28"/>
        </w:rPr>
        <w:tab/>
      </w:r>
    </w:p>
    <w:p>
      <w:pPr>
        <w:spacing w:line="360" w:lineRule="auto"/>
        <w:ind w:firstLine="610"/>
        <w:rPr>
          <w:rFonts w:ascii="宋体" w:hAnsi="宋体"/>
          <w:sz w:val="28"/>
          <w:szCs w:val="28"/>
        </w:rPr>
      </w:pPr>
    </w:p>
    <w:p>
      <w:pPr>
        <w:spacing w:line="360" w:lineRule="auto"/>
        <w:ind w:firstLine="610"/>
        <w:rPr>
          <w:rFonts w:ascii="宋体" w:hAnsi="宋体"/>
          <w:sz w:val="28"/>
          <w:szCs w:val="28"/>
        </w:rPr>
      </w:pPr>
      <w:r>
        <w:rPr>
          <w:rFonts w:hint="eastAsia" w:ascii="宋体" w:hAnsi="宋体"/>
          <w:sz w:val="28"/>
          <w:szCs w:val="28"/>
        </w:rPr>
        <w:t>系</w:t>
      </w:r>
      <w:r>
        <w:rPr>
          <w:rFonts w:hint="eastAsia" w:ascii="宋体" w:hAnsi="宋体"/>
          <w:sz w:val="28"/>
          <w:szCs w:val="28"/>
          <w:u w:val="single"/>
        </w:rPr>
        <w:t xml:space="preserve">          （比选申请人单位名称）         </w:t>
      </w:r>
      <w:r>
        <w:rPr>
          <w:rFonts w:hint="eastAsia" w:ascii="宋体" w:hAnsi="宋体"/>
          <w:sz w:val="28"/>
          <w:szCs w:val="28"/>
        </w:rPr>
        <w:t>的法定代表人。</w:t>
      </w:r>
    </w:p>
    <w:p>
      <w:pPr>
        <w:spacing w:line="360" w:lineRule="auto"/>
        <w:ind w:firstLine="610"/>
        <w:rPr>
          <w:rFonts w:ascii="宋体" w:hAnsi="宋体"/>
          <w:sz w:val="28"/>
          <w:szCs w:val="28"/>
        </w:rPr>
      </w:pPr>
    </w:p>
    <w:p>
      <w:pPr>
        <w:spacing w:line="360" w:lineRule="auto"/>
        <w:ind w:firstLine="610"/>
        <w:rPr>
          <w:rFonts w:ascii="宋体" w:hAnsi="宋体"/>
          <w:sz w:val="28"/>
          <w:szCs w:val="28"/>
        </w:rPr>
      </w:pPr>
      <w:r>
        <w:rPr>
          <w:rFonts w:hint="eastAsia" w:ascii="宋体" w:hAnsi="宋体"/>
          <w:sz w:val="28"/>
          <w:szCs w:val="28"/>
        </w:rPr>
        <w:t>特此证明。</w:t>
      </w:r>
    </w:p>
    <w:p>
      <w:pPr>
        <w:tabs>
          <w:tab w:val="left" w:pos="720"/>
          <w:tab w:val="left" w:pos="900"/>
        </w:tabs>
        <w:spacing w:line="360" w:lineRule="auto"/>
        <w:rPr>
          <w:rFonts w:ascii="宋体" w:hAnsi="宋体"/>
          <w:sz w:val="28"/>
          <w:szCs w:val="28"/>
        </w:rPr>
      </w:pPr>
    </w:p>
    <w:p>
      <w:pPr>
        <w:tabs>
          <w:tab w:val="left" w:pos="720"/>
          <w:tab w:val="left" w:pos="900"/>
        </w:tabs>
        <w:spacing w:line="360" w:lineRule="auto"/>
        <w:jc w:val="center"/>
        <w:rPr>
          <w:rFonts w:ascii="宋体" w:hAnsi="宋体"/>
          <w:sz w:val="28"/>
          <w:szCs w:val="28"/>
        </w:rPr>
      </w:pPr>
      <w:r>
        <w:rPr>
          <w:rFonts w:hint="eastAsia" w:ascii="宋体" w:hAnsi="宋体"/>
          <w:sz w:val="28"/>
          <w:szCs w:val="28"/>
        </w:rPr>
        <w:t xml:space="preserve">                           比选申请人：</w:t>
      </w:r>
      <w:r>
        <w:rPr>
          <w:rFonts w:hint="eastAsia" w:ascii="宋体" w:hAnsi="宋体"/>
          <w:sz w:val="28"/>
          <w:szCs w:val="28"/>
          <w:u w:val="single"/>
        </w:rPr>
        <w:t xml:space="preserve">     （盖公章）        </w:t>
      </w:r>
    </w:p>
    <w:p>
      <w:pPr>
        <w:spacing w:line="360" w:lineRule="auto"/>
        <w:jc w:val="center"/>
        <w:rPr>
          <w:rFonts w:ascii="宋体" w:hAnsi="宋体"/>
          <w:sz w:val="28"/>
          <w:szCs w:val="28"/>
        </w:rPr>
      </w:pPr>
      <w:r>
        <w:rPr>
          <w:rFonts w:hint="eastAsia" w:ascii="宋体" w:hAnsi="宋体"/>
          <w:sz w:val="28"/>
          <w:szCs w:val="28"/>
        </w:rPr>
        <w:t xml:space="preserve">                                  日  期：   年  月  日</w:t>
      </w:r>
    </w:p>
    <w:p>
      <w:pPr>
        <w:spacing w:line="360" w:lineRule="auto"/>
        <w:jc w:val="center"/>
        <w:rPr>
          <w:rFonts w:ascii="宋体" w:hAnsi="宋体"/>
          <w:sz w:val="24"/>
        </w:rPr>
      </w:pPr>
    </w:p>
    <w:p>
      <w:pPr>
        <w:spacing w:line="360" w:lineRule="auto"/>
        <w:jc w:val="center"/>
        <w:rPr>
          <w:rFonts w:ascii="宋体" w:hAnsi="宋体"/>
          <w:sz w:val="24"/>
        </w:rPr>
      </w:pPr>
    </w:p>
    <w:p>
      <w:pPr>
        <w:autoSpaceDE w:val="0"/>
        <w:autoSpaceDN w:val="0"/>
        <w:adjustRightInd w:val="0"/>
        <w:spacing w:line="480" w:lineRule="auto"/>
        <w:jc w:val="center"/>
        <w:outlineLvl w:val="2"/>
        <w:rPr>
          <w:rFonts w:ascii="宋体" w:hAnsi="宋体"/>
          <w:b/>
          <w:kern w:val="0"/>
          <w:sz w:val="28"/>
          <w:szCs w:val="28"/>
        </w:rPr>
      </w:pPr>
      <w:r>
        <w:rPr>
          <w:rFonts w:hint="eastAsia" w:ascii="宋体" w:hAnsi="宋体"/>
          <w:b/>
          <w:kern w:val="0"/>
          <w:sz w:val="28"/>
          <w:szCs w:val="28"/>
        </w:rPr>
        <w:t>（三）法定代表人身份证明文件（提供复印件加盖法人单位公章）</w:t>
      </w:r>
    </w:p>
    <w:bookmarkEnd w:id="242"/>
    <w:bookmarkEnd w:id="243"/>
    <w:bookmarkEnd w:id="244"/>
    <w:bookmarkEnd w:id="245"/>
    <w:bookmarkEnd w:id="246"/>
    <w:bookmarkEnd w:id="247"/>
    <w:bookmarkEnd w:id="248"/>
    <w:bookmarkEnd w:id="249"/>
    <w:bookmarkEnd w:id="250"/>
    <w:p>
      <w:pPr>
        <w:jc w:val="center"/>
        <w:rPr>
          <w:b/>
        </w:rPr>
      </w:pPr>
      <w:bookmarkStart w:id="251" w:name="_Toc31582"/>
      <w:bookmarkStart w:id="252" w:name="_Toc31998"/>
      <w:bookmarkStart w:id="253" w:name="_Toc21144"/>
      <w:bookmarkStart w:id="254" w:name="_Toc19934"/>
      <w:bookmarkStart w:id="255" w:name="_Toc15888"/>
      <w:bookmarkStart w:id="256" w:name="_Toc26769"/>
      <w:bookmarkStart w:id="257" w:name="_Toc9379"/>
      <w:bookmarkStart w:id="258" w:name="_Toc20357"/>
      <w:bookmarkStart w:id="259" w:name="_Toc1986"/>
      <w:bookmarkStart w:id="260" w:name="_Toc471482371"/>
      <w:bookmarkStart w:id="261" w:name="_Toc25475"/>
      <w:bookmarkStart w:id="262" w:name="_Toc23325"/>
      <w:bookmarkStart w:id="263" w:name="_Toc29536"/>
      <w:bookmarkStart w:id="264" w:name="_Toc13801"/>
      <w:bookmarkStart w:id="265" w:name="_Toc32510"/>
      <w:bookmarkStart w:id="266" w:name="_Toc31521"/>
      <w:bookmarkStart w:id="267" w:name="_Toc23508"/>
    </w:p>
    <w:p>
      <w:pPr>
        <w:pStyle w:val="19"/>
        <w:jc w:val="center"/>
        <w:rPr>
          <w:b/>
        </w:rPr>
      </w:pPr>
    </w:p>
    <w:p>
      <w:pPr>
        <w:pStyle w:val="8"/>
        <w:jc w:val="center"/>
        <w:rPr>
          <w:b/>
        </w:rPr>
      </w:pPr>
    </w:p>
    <w:p>
      <w:pPr>
        <w:jc w:val="center"/>
        <w:rPr>
          <w:b/>
        </w:rPr>
      </w:pPr>
    </w:p>
    <w:p>
      <w:pPr>
        <w:pStyle w:val="19"/>
        <w:jc w:val="center"/>
        <w:rPr>
          <w:b/>
        </w:rPr>
      </w:pPr>
    </w:p>
    <w:p>
      <w:pPr>
        <w:pStyle w:val="8"/>
        <w:jc w:val="center"/>
        <w:rPr>
          <w:b/>
        </w:rPr>
      </w:pPr>
    </w:p>
    <w:p>
      <w:pPr>
        <w:jc w:val="center"/>
        <w:rPr>
          <w:b/>
        </w:rPr>
      </w:pPr>
    </w:p>
    <w:p>
      <w:pPr>
        <w:pStyle w:val="19"/>
        <w:jc w:val="center"/>
        <w:rPr>
          <w:b/>
        </w:rPr>
      </w:pPr>
    </w:p>
    <w:p>
      <w:pPr>
        <w:pStyle w:val="8"/>
        <w:jc w:val="center"/>
        <w:rPr>
          <w:b/>
        </w:rPr>
      </w:pPr>
    </w:p>
    <w:p>
      <w:pPr>
        <w:jc w:val="center"/>
        <w:rPr>
          <w:b/>
        </w:rPr>
      </w:pPr>
    </w:p>
    <w:p>
      <w:pPr>
        <w:pStyle w:val="19"/>
        <w:jc w:val="center"/>
        <w:rPr>
          <w:b/>
        </w:rPr>
      </w:pPr>
    </w:p>
    <w:p>
      <w:pPr>
        <w:pStyle w:val="8"/>
        <w:jc w:val="center"/>
        <w:rPr>
          <w:b/>
        </w:rPr>
      </w:pPr>
    </w:p>
    <w:p>
      <w:pPr>
        <w:jc w:val="center"/>
        <w:rPr>
          <w:b/>
        </w:rPr>
      </w:pPr>
    </w:p>
    <w:p>
      <w:pPr>
        <w:pStyle w:val="19"/>
        <w:jc w:val="center"/>
        <w:rPr>
          <w:b/>
        </w:rPr>
      </w:pPr>
    </w:p>
    <w:p>
      <w:pPr>
        <w:pStyle w:val="8"/>
        <w:jc w:val="center"/>
        <w:rPr>
          <w:b/>
        </w:rPr>
      </w:pPr>
    </w:p>
    <w:p>
      <w:pPr>
        <w:jc w:val="center"/>
        <w:rPr>
          <w:b/>
        </w:rPr>
      </w:pPr>
    </w:p>
    <w:p>
      <w:pPr>
        <w:pStyle w:val="19"/>
        <w:jc w:val="center"/>
        <w:rPr>
          <w:b/>
        </w:rPr>
      </w:pPr>
    </w:p>
    <w:p>
      <w:pPr>
        <w:pStyle w:val="8"/>
        <w:jc w:val="center"/>
        <w:rPr>
          <w:b/>
        </w:rPr>
      </w:pPr>
    </w:p>
    <w:p>
      <w:pPr>
        <w:rPr>
          <w:b/>
        </w:rPr>
      </w:pPr>
    </w:p>
    <w:p>
      <w:pPr>
        <w:pStyle w:val="19"/>
        <w:rPr>
          <w:b/>
        </w:rPr>
      </w:pPr>
    </w:p>
    <w:p>
      <w:pPr>
        <w:pStyle w:val="8"/>
        <w:rPr>
          <w:b/>
        </w:rPr>
      </w:pPr>
    </w:p>
    <w:p>
      <w:pPr>
        <w:rPr>
          <w:b/>
        </w:rPr>
      </w:pPr>
    </w:p>
    <w:p>
      <w:pPr>
        <w:pStyle w:val="19"/>
        <w:rPr>
          <w:b/>
        </w:rPr>
      </w:pPr>
    </w:p>
    <w:p>
      <w:pPr>
        <w:pStyle w:val="8"/>
      </w:pPr>
    </w:p>
    <w:p>
      <w:pPr>
        <w:jc w:val="center"/>
        <w:rPr>
          <w:b/>
        </w:rPr>
      </w:pPr>
    </w:p>
    <w:p>
      <w:pPr>
        <w:pStyle w:val="19"/>
        <w:jc w:val="center"/>
        <w:rPr>
          <w:b/>
        </w:rPr>
      </w:pPr>
    </w:p>
    <w:p>
      <w:pPr>
        <w:pStyle w:val="8"/>
      </w:pPr>
    </w:p>
    <w:p/>
    <w:p>
      <w:pPr>
        <w:pStyle w:val="8"/>
        <w:jc w:val="center"/>
        <w:rPr>
          <w:b/>
        </w:rPr>
      </w:pPr>
    </w:p>
    <w:p/>
    <w:p>
      <w:pPr>
        <w:autoSpaceDE w:val="0"/>
        <w:autoSpaceDN w:val="0"/>
        <w:adjustRightInd w:val="0"/>
        <w:spacing w:line="360" w:lineRule="auto"/>
        <w:jc w:val="center"/>
        <w:outlineLvl w:val="2"/>
        <w:rPr>
          <w:rFonts w:hint="eastAsia" w:asciiTheme="minorEastAsia" w:hAnsiTheme="minorEastAsia" w:cstheme="minorEastAsia"/>
          <w:b/>
          <w:kern w:val="0"/>
          <w:sz w:val="28"/>
          <w:szCs w:val="28"/>
        </w:rPr>
      </w:pPr>
      <w:r>
        <w:rPr>
          <w:rFonts w:hint="eastAsia" w:asciiTheme="minorEastAsia" w:hAnsiTheme="minorEastAsia" w:cstheme="minorEastAsia"/>
          <w:b/>
          <w:kern w:val="0"/>
          <w:sz w:val="28"/>
          <w:szCs w:val="28"/>
        </w:rPr>
        <w:t>（四）授权委托书</w:t>
      </w:r>
    </w:p>
    <w:p>
      <w:pPr>
        <w:spacing w:line="360" w:lineRule="auto"/>
        <w:jc w:val="center"/>
        <w:rPr>
          <w:rFonts w:hint="eastAsia" w:asciiTheme="minorEastAsia" w:hAnsiTheme="minorEastAsia" w:eastAsia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本授权委托书声明：我</w:t>
      </w:r>
      <w:r>
        <w:rPr>
          <w:rFonts w:hint="eastAsia" w:asciiTheme="minorEastAsia" w:hAnsiTheme="minorEastAsia" w:cstheme="minorEastAsia"/>
          <w:kern w:val="0"/>
          <w:sz w:val="28"/>
          <w:szCs w:val="28"/>
          <w:u w:val="single"/>
        </w:rPr>
        <w:t xml:space="preserve">   （姓名）    </w:t>
      </w:r>
      <w:r>
        <w:rPr>
          <w:rFonts w:hint="eastAsia" w:asciiTheme="minorEastAsia" w:hAnsiTheme="minorEastAsia" w:cstheme="minorEastAsia"/>
          <w:kern w:val="0"/>
          <w:sz w:val="28"/>
          <w:szCs w:val="28"/>
        </w:rPr>
        <w:t>系</w:t>
      </w:r>
      <w:r>
        <w:rPr>
          <w:rFonts w:hint="eastAsia" w:asciiTheme="minorEastAsia" w:hAnsiTheme="minorEastAsia" w:cstheme="minorEastAsia"/>
          <w:kern w:val="0"/>
          <w:sz w:val="28"/>
          <w:szCs w:val="28"/>
          <w:u w:val="single"/>
        </w:rPr>
        <w:t>（比选申请人名称）</w:t>
      </w:r>
      <w:r>
        <w:rPr>
          <w:rFonts w:hint="eastAsia" w:asciiTheme="minorEastAsia" w:hAnsiTheme="minorEastAsia" w:cstheme="minorEastAsia"/>
          <w:kern w:val="0"/>
          <w:sz w:val="28"/>
          <w:szCs w:val="28"/>
        </w:rPr>
        <w:t>的法定代表人，现授权委托</w:t>
      </w:r>
      <w:r>
        <w:rPr>
          <w:rFonts w:hint="eastAsia" w:asciiTheme="minorEastAsia" w:hAnsiTheme="minorEastAsia" w:cstheme="minorEastAsia"/>
          <w:kern w:val="0"/>
          <w:sz w:val="28"/>
          <w:szCs w:val="28"/>
          <w:u w:val="single"/>
        </w:rPr>
        <w:t xml:space="preserve">(比选申请人名称)        </w:t>
      </w:r>
      <w:r>
        <w:rPr>
          <w:rFonts w:hint="eastAsia" w:asciiTheme="minorEastAsia" w:hAnsiTheme="minorEastAsia" w:cstheme="minorEastAsia"/>
          <w:kern w:val="0"/>
          <w:sz w:val="28"/>
          <w:szCs w:val="28"/>
        </w:rPr>
        <w:t>的</w:t>
      </w:r>
      <w:r>
        <w:rPr>
          <w:rFonts w:hint="eastAsia" w:asciiTheme="minorEastAsia" w:hAnsiTheme="minorEastAsia" w:cstheme="minorEastAsia"/>
          <w:kern w:val="0"/>
          <w:sz w:val="28"/>
          <w:szCs w:val="28"/>
          <w:u w:val="single"/>
        </w:rPr>
        <w:t xml:space="preserve">   （姓名）  </w:t>
      </w:r>
      <w:r>
        <w:rPr>
          <w:rFonts w:hint="eastAsia" w:asciiTheme="minorEastAsia" w:hAnsiTheme="minorEastAsia" w:cstheme="minorEastAsia"/>
          <w:kern w:val="0"/>
          <w:sz w:val="28"/>
          <w:szCs w:val="28"/>
        </w:rPr>
        <w:t>为我公司代理人，以本公司名义参加项目比选活动。代理人在评审、合同过程中所签署的一切文件和处理与之有关的一切事务，我均予以确认。</w:t>
      </w:r>
    </w:p>
    <w:p>
      <w:pPr>
        <w:autoSpaceDE w:val="0"/>
        <w:autoSpaceDN w:val="0"/>
        <w:adjustRightInd w:val="0"/>
        <w:spacing w:line="360" w:lineRule="auto"/>
        <w:ind w:firstLine="716" w:firstLineChars="256"/>
        <w:rPr>
          <w:rFonts w:hint="eastAsia" w:asciiTheme="minorEastAsia" w:hAnsi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代理人无转委托权。特此委托。</w:t>
      </w:r>
    </w:p>
    <w:p>
      <w:pPr>
        <w:autoSpaceDE w:val="0"/>
        <w:autoSpaceDN w:val="0"/>
        <w:adjustRightInd w:val="0"/>
        <w:spacing w:line="360" w:lineRule="auto"/>
        <w:ind w:firstLine="716" w:firstLineChars="256"/>
        <w:rPr>
          <w:rFonts w:hint="eastAsia" w:asciiTheme="minorEastAsia" w:hAnsi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代理人：性别：年龄：</w:t>
      </w: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单位：部门： 职务：</w:t>
      </w:r>
    </w:p>
    <w:p>
      <w:pPr>
        <w:autoSpaceDE w:val="0"/>
        <w:autoSpaceDN w:val="0"/>
        <w:adjustRightInd w:val="0"/>
        <w:spacing w:line="360" w:lineRule="auto"/>
        <w:ind w:firstLine="716" w:firstLineChars="256"/>
        <w:rPr>
          <w:rFonts w:hint="eastAsia" w:asciiTheme="minorEastAsia" w:hAnsi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比选申请人：（ 加盖单位公章）</w:t>
      </w:r>
    </w:p>
    <w:p>
      <w:pPr>
        <w:autoSpaceDE w:val="0"/>
        <w:autoSpaceDN w:val="0"/>
        <w:adjustRightInd w:val="0"/>
        <w:spacing w:line="360" w:lineRule="auto"/>
        <w:ind w:firstLine="716" w:firstLineChars="256"/>
        <w:rPr>
          <w:rFonts w:hint="eastAsia" w:asciiTheme="minorEastAsia" w:hAnsi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法定代表人：（签字、盖章）</w:t>
      </w:r>
    </w:p>
    <w:p>
      <w:pPr>
        <w:autoSpaceDE w:val="0"/>
        <w:autoSpaceDN w:val="0"/>
        <w:adjustRightInd w:val="0"/>
        <w:spacing w:line="360" w:lineRule="auto"/>
        <w:ind w:firstLine="716" w:firstLineChars="256"/>
        <w:rPr>
          <w:rFonts w:hint="eastAsia" w:asciiTheme="minorEastAsia" w:hAnsi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日期：</w:t>
      </w:r>
      <w:r>
        <w:rPr>
          <w:rFonts w:hint="eastAsia" w:asciiTheme="minorEastAsia" w:hAnsiTheme="minorEastAsia" w:cstheme="minorEastAsia"/>
          <w:kern w:val="0"/>
          <w:sz w:val="28"/>
          <w:szCs w:val="28"/>
          <w:lang w:val="en-US" w:eastAsia="zh-CN"/>
        </w:rPr>
        <w:t xml:space="preserve">    </w:t>
      </w:r>
      <w:r>
        <w:rPr>
          <w:rFonts w:hint="eastAsia" w:asciiTheme="minorEastAsia" w:hAnsiTheme="minorEastAsia" w:cstheme="minorEastAsia"/>
          <w:kern w:val="0"/>
          <w:sz w:val="28"/>
          <w:szCs w:val="28"/>
        </w:rPr>
        <w:t>年</w:t>
      </w:r>
      <w:r>
        <w:rPr>
          <w:rFonts w:hint="eastAsia" w:asciiTheme="minorEastAsia" w:hAnsiTheme="minorEastAsia" w:cstheme="minorEastAsia"/>
          <w:kern w:val="0"/>
          <w:sz w:val="28"/>
          <w:szCs w:val="28"/>
          <w:lang w:val="en-US" w:eastAsia="zh-CN"/>
        </w:rPr>
        <w:t xml:space="preserve">  </w:t>
      </w:r>
      <w:r>
        <w:rPr>
          <w:rFonts w:hint="eastAsia" w:asciiTheme="minorEastAsia" w:hAnsiTheme="minorEastAsia" w:cstheme="minorEastAsia"/>
          <w:kern w:val="0"/>
          <w:sz w:val="28"/>
          <w:szCs w:val="28"/>
        </w:rPr>
        <w:t>月</w:t>
      </w:r>
      <w:r>
        <w:rPr>
          <w:rFonts w:hint="eastAsia" w:asciiTheme="minorEastAsia" w:hAnsiTheme="minorEastAsia" w:cstheme="minorEastAsia"/>
          <w:kern w:val="0"/>
          <w:sz w:val="28"/>
          <w:szCs w:val="28"/>
          <w:lang w:val="en-US" w:eastAsia="zh-CN"/>
        </w:rPr>
        <w:t xml:space="preserve">  </w:t>
      </w:r>
      <w:r>
        <w:rPr>
          <w:rFonts w:hint="eastAsia" w:asciiTheme="minorEastAsia" w:hAnsiTheme="minorEastAsia" w:cstheme="minorEastAsia"/>
          <w:kern w:val="0"/>
          <w:sz w:val="28"/>
          <w:szCs w:val="28"/>
        </w:rPr>
        <w:t>日</w:t>
      </w:r>
    </w:p>
    <w:p>
      <w:pPr>
        <w:pStyle w:val="19"/>
        <w:jc w:val="center"/>
      </w:pPr>
    </w:p>
    <w:p>
      <w:pPr>
        <w:pStyle w:val="8"/>
        <w:jc w:val="center"/>
      </w:pPr>
    </w:p>
    <w:p>
      <w:pPr>
        <w:jc w:val="center"/>
      </w:pPr>
    </w:p>
    <w:p>
      <w:pPr>
        <w:pStyle w:val="8"/>
        <w:jc w:val="center"/>
      </w:pPr>
    </w:p>
    <w:p/>
    <w:p>
      <w:pPr>
        <w:pStyle w:val="19"/>
        <w:numPr>
          <w:ilvl w:val="0"/>
          <w:numId w:val="6"/>
        </w:numPr>
        <w:spacing w:line="360" w:lineRule="auto"/>
        <w:outlineLvl w:val="2"/>
        <w:rPr>
          <w:rFonts w:ascii="宋体" w:hAnsi="宋体"/>
          <w:b/>
          <w:sz w:val="28"/>
          <w:szCs w:val="28"/>
        </w:rPr>
      </w:pPr>
      <w:r>
        <w:rPr>
          <w:rFonts w:hint="eastAsia" w:ascii="宋体" w:hAnsi="宋体"/>
          <w:b/>
          <w:sz w:val="28"/>
          <w:szCs w:val="28"/>
        </w:rPr>
        <w:t>授权代理人身份证明文件（提供复印件加盖法人单位公章）</w:t>
      </w: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rPr>
          <w:rFonts w:ascii="宋体" w:hAnsi="宋体"/>
          <w:b/>
          <w:sz w:val="30"/>
          <w:szCs w:val="30"/>
        </w:rPr>
      </w:pPr>
    </w:p>
    <w:p>
      <w:pPr>
        <w:pStyle w:val="19"/>
        <w:numPr>
          <w:ilvl w:val="255"/>
          <w:numId w:val="0"/>
        </w:numPr>
        <w:spacing w:line="360" w:lineRule="auto"/>
        <w:jc w:val="both"/>
        <w:outlineLvl w:val="2"/>
        <w:rPr>
          <w:sz w:val="28"/>
          <w:szCs w:val="28"/>
        </w:rPr>
      </w:pPr>
      <w:r>
        <w:rPr>
          <w:rFonts w:hint="eastAsia" w:ascii="宋体" w:hAnsi="宋体"/>
          <w:b/>
          <w:sz w:val="28"/>
          <w:szCs w:val="28"/>
        </w:rPr>
        <w:t>（六）营业执照复印件、税务登记证复印件（如已办理三证合一则不需提供）、组织机构代码证复印件（ 如已办理三证合一则不需提供）（加盖单位公章）</w:t>
      </w: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pPr>
    </w:p>
    <w:p/>
    <w:p>
      <w:pPr>
        <w:pStyle w:val="8"/>
      </w:pPr>
    </w:p>
    <w:p/>
    <w:p>
      <w:pPr>
        <w:pStyle w:val="19"/>
      </w:pPr>
    </w:p>
    <w:p>
      <w:pPr>
        <w:autoSpaceDE w:val="0"/>
        <w:autoSpaceDN w:val="0"/>
        <w:adjustRightInd w:val="0"/>
        <w:spacing w:line="360" w:lineRule="auto"/>
        <w:outlineLvl w:val="2"/>
        <w:rPr>
          <w:rFonts w:ascii="宋体" w:hAnsi="宋体"/>
          <w:b/>
          <w:kern w:val="0"/>
          <w:sz w:val="28"/>
          <w:szCs w:val="28"/>
        </w:rPr>
      </w:pPr>
      <w:r>
        <w:rPr>
          <w:rFonts w:hint="eastAsia" w:hAnsi="宋体"/>
          <w:b/>
          <w:sz w:val="28"/>
          <w:szCs w:val="28"/>
        </w:rPr>
        <w:t>（七）</w:t>
      </w:r>
      <w:r>
        <w:rPr>
          <w:rFonts w:hint="eastAsia" w:ascii="宋体" w:hAnsi="宋体"/>
          <w:b/>
          <w:kern w:val="0"/>
          <w:sz w:val="28"/>
          <w:szCs w:val="28"/>
        </w:rPr>
        <w:t>企业资质证书复印件（加盖单位公章）；</w:t>
      </w: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jc w:val="center"/>
      </w:pPr>
    </w:p>
    <w:p>
      <w:pPr>
        <w:jc w:val="center"/>
      </w:pPr>
    </w:p>
    <w:p>
      <w:pPr>
        <w:pStyle w:val="19"/>
        <w:jc w:val="center"/>
      </w:pPr>
    </w:p>
    <w:p>
      <w:pPr>
        <w:pStyle w:val="8"/>
      </w:pPr>
    </w:p>
    <w:p/>
    <w:p>
      <w:pPr>
        <w:pStyle w:val="8"/>
        <w:jc w:val="center"/>
      </w:pPr>
    </w:p>
    <w:p>
      <w:pPr>
        <w:jc w:val="center"/>
      </w:pPr>
    </w:p>
    <w:p>
      <w:pPr>
        <w:pStyle w:val="8"/>
        <w:spacing w:line="360" w:lineRule="auto"/>
        <w:ind w:right="754"/>
        <w:outlineLvl w:val="2"/>
        <w:rPr>
          <w:rFonts w:hAnsi="宋体"/>
          <w:b/>
          <w:sz w:val="28"/>
          <w:szCs w:val="28"/>
        </w:rPr>
      </w:pPr>
      <w:r>
        <w:rPr>
          <w:rFonts w:hint="eastAsia" w:asciiTheme="minorEastAsia" w:hAnsiTheme="minorEastAsia" w:cstheme="minorEastAsia"/>
          <w:b/>
          <w:sz w:val="28"/>
          <w:szCs w:val="28"/>
        </w:rPr>
        <w:t>（八）项目负责人职称证书、与本单位签订的合同及</w:t>
      </w:r>
      <w:r>
        <w:rPr>
          <w:rFonts w:hint="eastAsia" w:asciiTheme="minorEastAsia" w:hAnsiTheme="minorEastAsia" w:cstheme="minorEastAsia"/>
          <w:b/>
          <w:sz w:val="28"/>
          <w:szCs w:val="28"/>
          <w:highlight w:val="none"/>
          <w:lang w:val="zh-CN"/>
        </w:rPr>
        <w:t>2022年12月—2023年2月的</w:t>
      </w:r>
      <w:r>
        <w:rPr>
          <w:rFonts w:hint="eastAsia" w:asciiTheme="minorEastAsia" w:hAnsiTheme="minorEastAsia" w:cstheme="minorEastAsia"/>
          <w:b/>
          <w:sz w:val="28"/>
          <w:szCs w:val="28"/>
          <w:highlight w:val="none"/>
        </w:rPr>
        <w:t>社保缴纳记录</w:t>
      </w:r>
    </w:p>
    <w:p>
      <w:pPr>
        <w:jc w:val="center"/>
        <w:rPr>
          <w:b/>
        </w:rPr>
      </w:pPr>
    </w:p>
    <w:p>
      <w:pPr>
        <w:rPr>
          <w:b/>
        </w:rPr>
      </w:pPr>
    </w:p>
    <w:p>
      <w:pPr>
        <w:pStyle w:val="19"/>
        <w:rPr>
          <w:b/>
        </w:rPr>
      </w:pPr>
    </w:p>
    <w:p>
      <w:pPr>
        <w:pStyle w:val="8"/>
        <w:rPr>
          <w:b/>
        </w:rPr>
      </w:pPr>
    </w:p>
    <w:p>
      <w:pPr>
        <w:rPr>
          <w:b/>
        </w:rPr>
      </w:pPr>
    </w:p>
    <w:p>
      <w:pPr>
        <w:pStyle w:val="19"/>
        <w:rPr>
          <w:b/>
        </w:rPr>
      </w:pPr>
    </w:p>
    <w:p>
      <w:pPr>
        <w:pStyle w:val="8"/>
        <w:rPr>
          <w:b/>
        </w:rPr>
      </w:pPr>
    </w:p>
    <w:p>
      <w:pPr>
        <w:rPr>
          <w:b/>
        </w:rPr>
      </w:pPr>
    </w:p>
    <w:p>
      <w:pPr>
        <w:pStyle w:val="19"/>
        <w:rPr>
          <w:b/>
        </w:rPr>
      </w:pPr>
    </w:p>
    <w:p>
      <w:pPr>
        <w:pStyle w:val="8"/>
        <w:rPr>
          <w:b/>
        </w:rPr>
      </w:pPr>
    </w:p>
    <w:p>
      <w:pPr>
        <w:rPr>
          <w:b/>
        </w:rPr>
      </w:pPr>
    </w:p>
    <w:p>
      <w:pPr>
        <w:pStyle w:val="19"/>
        <w:rPr>
          <w:b/>
        </w:rPr>
      </w:pPr>
    </w:p>
    <w:p>
      <w:pPr>
        <w:pStyle w:val="8"/>
        <w:rPr>
          <w:b/>
        </w:rPr>
      </w:pPr>
    </w:p>
    <w:p>
      <w:pPr>
        <w:rPr>
          <w:b/>
        </w:rPr>
      </w:pPr>
    </w:p>
    <w:p>
      <w:pPr>
        <w:pStyle w:val="19"/>
        <w:rPr>
          <w:b/>
        </w:rPr>
      </w:pPr>
    </w:p>
    <w:p>
      <w:pPr>
        <w:pStyle w:val="8"/>
        <w:rPr>
          <w:b/>
        </w:rPr>
      </w:pPr>
    </w:p>
    <w:p>
      <w:pPr>
        <w:rPr>
          <w:b/>
        </w:rPr>
      </w:pPr>
    </w:p>
    <w:p>
      <w:pPr>
        <w:pStyle w:val="19"/>
        <w:rPr>
          <w:b/>
        </w:rPr>
      </w:pPr>
    </w:p>
    <w:p>
      <w:pPr>
        <w:pStyle w:val="8"/>
        <w:rPr>
          <w:b/>
        </w:rPr>
      </w:pPr>
    </w:p>
    <w:p>
      <w:pPr>
        <w:rPr>
          <w:b/>
        </w:rPr>
      </w:pPr>
    </w:p>
    <w:p>
      <w:pPr>
        <w:pStyle w:val="19"/>
        <w:rPr>
          <w:b/>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pStyle w:val="8"/>
        <w:spacing w:line="360" w:lineRule="auto"/>
        <w:ind w:right="753"/>
        <w:outlineLvl w:val="2"/>
        <w:rPr>
          <w:rFonts w:hint="eastAsia" w:asciiTheme="minorEastAsia" w:hAnsiTheme="minorEastAsia" w:cstheme="minorEastAsia"/>
          <w:b/>
          <w:sz w:val="28"/>
          <w:szCs w:val="28"/>
        </w:rPr>
      </w:pPr>
      <w:r>
        <w:rPr>
          <w:rFonts w:hint="eastAsia" w:asciiTheme="minorEastAsia" w:hAnsiTheme="minorEastAsia" w:cstheme="minorEastAsia"/>
          <w:b/>
          <w:sz w:val="28"/>
          <w:szCs w:val="28"/>
        </w:rPr>
        <w:t>（九）类似项目业绩证明材料</w:t>
      </w:r>
    </w:p>
    <w:p>
      <w:pPr>
        <w:autoSpaceDE w:val="0"/>
        <w:autoSpaceDN w:val="0"/>
        <w:adjustRightInd w:val="0"/>
        <w:spacing w:line="360" w:lineRule="auto"/>
        <w:ind w:firstLine="560" w:firstLineChars="200"/>
        <w:jc w:val="lef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比选申请人自2020年1月1日至比选公告发布之日前至少</w:t>
      </w:r>
      <w:r>
        <w:rPr>
          <w:rFonts w:hint="eastAsia" w:asciiTheme="minorEastAsia" w:hAnsiTheme="minorEastAsia" w:cstheme="minorEastAsia"/>
          <w:kern w:val="0"/>
          <w:sz w:val="28"/>
          <w:szCs w:val="28"/>
          <w:lang w:val="en-US" w:eastAsia="zh-CN"/>
        </w:rPr>
        <w:t>具有</w:t>
      </w:r>
      <w:r>
        <w:rPr>
          <w:rFonts w:hint="eastAsia" w:asciiTheme="minorEastAsia" w:hAnsiTheme="minorEastAsia" w:cstheme="minorEastAsia"/>
          <w:kern w:val="0"/>
          <w:sz w:val="28"/>
          <w:szCs w:val="28"/>
          <w:lang w:val="zh-CN"/>
        </w:rPr>
        <w:t>1项市政工程或交通工程类</w:t>
      </w:r>
      <w:r>
        <w:rPr>
          <w:rFonts w:hint="eastAsia" w:asciiTheme="minorEastAsia" w:hAnsiTheme="minorEastAsia" w:cstheme="minorEastAsia"/>
          <w:kern w:val="0"/>
          <w:sz w:val="28"/>
          <w:szCs w:val="28"/>
        </w:rPr>
        <w:t>地质灾害危险性评估服务项目业绩；须附相应合同复印件（必须体现合同对方名称及签订时间，涉及商业秘密的内容可以隐去）。</w:t>
      </w: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spacing w:line="360" w:lineRule="auto"/>
        <w:ind w:right="754"/>
        <w:outlineLvl w:val="2"/>
        <w:rPr>
          <w:rFonts w:hAnsi="宋体"/>
          <w:b/>
          <w:sz w:val="28"/>
          <w:szCs w:val="28"/>
        </w:rPr>
      </w:pPr>
      <w:r>
        <w:rPr>
          <w:rFonts w:hint="eastAsia" w:hAnsi="宋体"/>
          <w:b/>
          <w:sz w:val="28"/>
          <w:szCs w:val="28"/>
        </w:rPr>
        <w:t>（十）其他。</w:t>
      </w: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i/>
          <w:kern w:val="0"/>
          <w:sz w:val="28"/>
          <w:szCs w:val="28"/>
        </w:rPr>
      </w:pPr>
    </w:p>
    <w:p>
      <w:pPr>
        <w:pStyle w:val="19"/>
        <w:rPr>
          <w:rFonts w:ascii="宋体" w:hAnsi="宋体"/>
          <w:i/>
          <w:sz w:val="28"/>
          <w:szCs w:val="28"/>
        </w:rPr>
      </w:pPr>
    </w:p>
    <w:p>
      <w:pPr>
        <w:pStyle w:val="8"/>
        <w:rPr>
          <w:rFonts w:hAnsi="宋体"/>
          <w:i/>
          <w:sz w:val="28"/>
          <w:szCs w:val="28"/>
        </w:rPr>
      </w:pPr>
    </w:p>
    <w:p/>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Pr>
        <w:ind w:right="753"/>
        <w:jc w:val="left"/>
        <w:rPr>
          <w:rFonts w:ascii="宋体" w:hAnsi="宋体" w:cs="宋体"/>
          <w:sz w:val="28"/>
          <w:szCs w:val="28"/>
        </w:rPr>
      </w:pPr>
      <w:r>
        <w:rPr>
          <w:rFonts w:hint="eastAsia" w:ascii="宋体" w:hAnsi="宋体" w:cs="宋体"/>
          <w:sz w:val="28"/>
          <w:szCs w:val="28"/>
        </w:rPr>
        <w:t>（封面格式）</w:t>
      </w:r>
    </w:p>
    <w:p>
      <w:pPr>
        <w:ind w:right="753"/>
        <w:jc w:val="left"/>
        <w:rPr>
          <w:rFonts w:ascii="宋体" w:hAnsi="宋体" w:cs="宋体"/>
          <w:szCs w:val="28"/>
        </w:rPr>
      </w:pPr>
    </w:p>
    <w:p>
      <w:pPr>
        <w:pStyle w:val="2"/>
      </w:pPr>
    </w:p>
    <w:p>
      <w:pPr>
        <w:ind w:right="753"/>
        <w:jc w:val="left"/>
        <w:rPr>
          <w:rFonts w:ascii="宋体" w:hAnsi="宋体" w:cs="宋体"/>
          <w:szCs w:val="28"/>
        </w:rPr>
      </w:pPr>
    </w:p>
    <w:p>
      <w:pPr>
        <w:spacing w:line="360" w:lineRule="auto"/>
        <w:ind w:right="753"/>
        <w:jc w:val="center"/>
        <w:rPr>
          <w:rFonts w:hint="eastAsia" w:asciiTheme="minorEastAsia" w:hAnsiTheme="minorEastAsia" w:cstheme="minorEastAsia"/>
          <w:sz w:val="28"/>
          <w:szCs w:val="28"/>
        </w:rPr>
      </w:pPr>
      <w:r>
        <w:rPr>
          <w:rFonts w:hint="eastAsia" w:asciiTheme="minorEastAsia" w:hAnsiTheme="minorEastAsia" w:cstheme="minorEastAsia"/>
          <w:sz w:val="28"/>
          <w:szCs w:val="28"/>
        </w:rPr>
        <w:t>六景火车站综合交通枢纽配套一期工程地质灾害危险性评估服务项目比选申请文件</w:t>
      </w:r>
    </w:p>
    <w:p>
      <w:pPr>
        <w:ind w:right="753"/>
        <w:jc w:val="center"/>
        <w:rPr>
          <w:rFonts w:hint="eastAsia"/>
          <w:sz w:val="28"/>
          <w:szCs w:val="28"/>
          <w:lang w:val="en-US" w:eastAsia="zh-CN"/>
        </w:rPr>
      </w:pPr>
      <w:bookmarkStart w:id="268" w:name="_Toc15573"/>
      <w:bookmarkStart w:id="269" w:name="_Toc10925"/>
      <w:bookmarkStart w:id="270" w:name="_Toc3587"/>
      <w:bookmarkStart w:id="271" w:name="_Toc21287"/>
      <w:bookmarkStart w:id="272" w:name="_Toc20460"/>
      <w:bookmarkStart w:id="273" w:name="_Toc3278"/>
      <w:bookmarkStart w:id="274" w:name="_Toc196"/>
      <w:bookmarkStart w:id="275" w:name="_Toc27059"/>
      <w:bookmarkStart w:id="276" w:name="_Toc461525327"/>
    </w:p>
    <w:p>
      <w:pPr>
        <w:ind w:right="753"/>
        <w:jc w:val="center"/>
        <w:rPr>
          <w:rFonts w:hint="eastAsia"/>
          <w:sz w:val="28"/>
          <w:szCs w:val="28"/>
          <w:lang w:val="en-US" w:eastAsia="zh-CN"/>
        </w:rPr>
      </w:pPr>
    </w:p>
    <w:p>
      <w:pPr>
        <w:ind w:right="753"/>
        <w:jc w:val="center"/>
        <w:rPr>
          <w:rFonts w:hint="eastAsia"/>
          <w:sz w:val="28"/>
          <w:szCs w:val="28"/>
          <w:lang w:val="en-US" w:eastAsia="zh-CN"/>
        </w:rPr>
      </w:pPr>
    </w:p>
    <w:p>
      <w:pPr>
        <w:ind w:right="753"/>
        <w:jc w:val="center"/>
      </w:pPr>
      <w:r>
        <w:rPr>
          <w:rFonts w:hint="eastAsia"/>
          <w:sz w:val="28"/>
          <w:szCs w:val="28"/>
          <w:lang w:val="en-US" w:eastAsia="zh-CN"/>
        </w:rPr>
        <w:t>二、</w:t>
      </w:r>
      <w:r>
        <w:rPr>
          <w:sz w:val="28"/>
          <w:szCs w:val="28"/>
        </w:rPr>
        <w:t>商务部分</w:t>
      </w:r>
      <w:bookmarkEnd w:id="268"/>
      <w:bookmarkEnd w:id="269"/>
      <w:bookmarkEnd w:id="270"/>
      <w:bookmarkEnd w:id="271"/>
      <w:bookmarkEnd w:id="272"/>
      <w:bookmarkEnd w:id="273"/>
      <w:bookmarkEnd w:id="274"/>
      <w:bookmarkEnd w:id="275"/>
      <w:bookmarkEnd w:id="276"/>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比选申请人：                             （盖章）</w:t>
      </w:r>
    </w:p>
    <w:p>
      <w:pPr>
        <w:ind w:right="753"/>
        <w:jc w:val="left"/>
        <w:rPr>
          <w:rFonts w:ascii="宋体" w:hAnsi="宋体" w:cs="宋体"/>
          <w:sz w:val="28"/>
          <w:szCs w:val="28"/>
        </w:rPr>
      </w:pPr>
      <w:r>
        <w:rPr>
          <w:rFonts w:hint="eastAsia" w:ascii="宋体" w:hAnsi="宋体" w:cs="宋体"/>
          <w:sz w:val="28"/>
          <w:szCs w:val="28"/>
        </w:rPr>
        <w:t>负责人或委托代理人：（签字或盖章）</w:t>
      </w:r>
    </w:p>
    <w:p>
      <w:pPr>
        <w:ind w:right="753"/>
        <w:jc w:val="left"/>
        <w:rPr>
          <w:rFonts w:ascii="宋体" w:hAnsi="宋体" w:cs="宋体"/>
          <w:sz w:val="28"/>
          <w:szCs w:val="28"/>
        </w:rPr>
      </w:pPr>
      <w:r>
        <w:rPr>
          <w:rFonts w:hint="eastAsia" w:ascii="宋体" w:hAnsi="宋体" w:cs="宋体"/>
          <w:sz w:val="28"/>
          <w:szCs w:val="28"/>
        </w:rPr>
        <w:t>电话/</w:t>
      </w:r>
      <w:bookmarkStart w:id="277" w:name="_Toc333307133"/>
      <w:r>
        <w:rPr>
          <w:rFonts w:hint="eastAsia" w:ascii="宋体" w:hAnsi="宋体" w:cs="宋体"/>
          <w:sz w:val="28"/>
          <w:szCs w:val="28"/>
        </w:rPr>
        <w:t>传真：</w:t>
      </w:r>
    </w:p>
    <w:p>
      <w:pPr>
        <w:ind w:right="753"/>
        <w:jc w:val="left"/>
        <w:rPr>
          <w:rFonts w:ascii="宋体" w:hAnsi="宋体" w:cs="宋体"/>
          <w:sz w:val="28"/>
          <w:szCs w:val="28"/>
        </w:rPr>
      </w:pPr>
      <w:r>
        <w:rPr>
          <w:rFonts w:hint="eastAsia" w:ascii="宋体" w:hAnsi="宋体" w:cs="宋体"/>
          <w:sz w:val="28"/>
          <w:szCs w:val="28"/>
        </w:rPr>
        <w:t>地址：</w:t>
      </w:r>
    </w:p>
    <w:bookmarkEnd w:id="277"/>
    <w:p>
      <w:pPr>
        <w:ind w:right="753"/>
        <w:jc w:val="left"/>
        <w:rPr>
          <w:rFonts w:ascii="宋体" w:hAnsi="宋体" w:cs="宋体"/>
          <w:sz w:val="28"/>
          <w:szCs w:val="28"/>
        </w:rPr>
      </w:pPr>
      <w:bookmarkStart w:id="278" w:name="_Toc333307134"/>
      <w:r>
        <w:rPr>
          <w:rFonts w:hint="eastAsia" w:ascii="宋体" w:hAnsi="宋体" w:cs="宋体"/>
          <w:sz w:val="28"/>
          <w:szCs w:val="28"/>
        </w:rPr>
        <w:t xml:space="preserve">     年    </w:t>
      </w:r>
      <w:bookmarkEnd w:id="278"/>
      <w:r>
        <w:rPr>
          <w:rFonts w:hint="eastAsia" w:ascii="宋体" w:hAnsi="宋体" w:cs="宋体"/>
          <w:sz w:val="28"/>
          <w:szCs w:val="28"/>
        </w:rPr>
        <w:t>月</w:t>
      </w:r>
      <w:bookmarkStart w:id="279" w:name="_Toc333307135"/>
      <w:r>
        <w:rPr>
          <w:rFonts w:hint="eastAsia" w:ascii="宋体" w:hAnsi="宋体" w:cs="宋体"/>
          <w:sz w:val="28"/>
          <w:szCs w:val="28"/>
        </w:rPr>
        <w:t xml:space="preserve">    日</w:t>
      </w:r>
    </w:p>
    <w:p>
      <w:pPr>
        <w:ind w:right="753"/>
        <w:jc w:val="left"/>
        <w:rPr>
          <w:rFonts w:ascii="宋体" w:hAnsi="宋体" w:cs="宋体"/>
          <w:sz w:val="28"/>
          <w:szCs w:val="28"/>
        </w:rPr>
      </w:pPr>
    </w:p>
    <w:p>
      <w:pPr>
        <w:pStyle w:val="4"/>
        <w:jc w:val="center"/>
        <w:rPr>
          <w:b/>
        </w:rPr>
      </w:pPr>
      <w:bookmarkStart w:id="280" w:name="_Toc18267"/>
      <w:bookmarkStart w:id="281" w:name="_Toc29739"/>
      <w:bookmarkStart w:id="282" w:name="_Toc26087"/>
      <w:bookmarkStart w:id="283" w:name="_Toc11015"/>
      <w:bookmarkStart w:id="284" w:name="_Toc32101"/>
      <w:bookmarkStart w:id="285" w:name="_Toc7219"/>
      <w:bookmarkStart w:id="286" w:name="_Toc11833"/>
      <w:bookmarkStart w:id="287" w:name="_Toc24524"/>
      <w:bookmarkStart w:id="288" w:name="_Toc21835"/>
      <w:bookmarkStart w:id="289" w:name="_Toc1794"/>
      <w:bookmarkStart w:id="290" w:name="_Toc21818"/>
      <w:bookmarkStart w:id="291" w:name="_Toc7127"/>
      <w:bookmarkStart w:id="292" w:name="_Toc28212"/>
      <w:bookmarkStart w:id="293" w:name="_Toc6873"/>
      <w:bookmarkStart w:id="294" w:name="_Toc26600"/>
      <w:bookmarkStart w:id="295" w:name="_Toc2010"/>
      <w:bookmarkStart w:id="296" w:name="_Toc5616"/>
      <w:bookmarkStart w:id="297" w:name="_Toc461525328"/>
      <w:bookmarkStart w:id="298" w:name="_Toc4589"/>
      <w:bookmarkStart w:id="299" w:name="_Toc24408"/>
      <w:bookmarkStart w:id="300" w:name="_Toc16542"/>
      <w:bookmarkStart w:id="301" w:name="_Toc471482372"/>
      <w:bookmarkStart w:id="302" w:name="_Toc7630"/>
      <w:bookmarkStart w:id="303" w:name="_Toc4901"/>
      <w:bookmarkStart w:id="304" w:name="_Toc30879"/>
      <w:bookmarkStart w:id="305" w:name="_Toc17346"/>
      <w:r>
        <w:rPr>
          <w:rFonts w:hint="eastAsia"/>
          <w:b/>
        </w:rPr>
        <w:t>二、商务部分材料目录</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bookmarkEnd w:id="279"/>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（一）企业资质证书复印件（加盖单位公章）；</w:t>
      </w:r>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（二）业绩表；</w:t>
      </w:r>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（三）信誉表；</w:t>
      </w:r>
    </w:p>
    <w:p>
      <w:pPr>
        <w:numPr>
          <w:ilvl w:val="255"/>
          <w:numId w:val="0"/>
        </w:numPr>
        <w:spacing w:line="360" w:lineRule="auto"/>
        <w:ind w:right="754" w:firstLine="560" w:firstLineChars="200"/>
        <w:jc w:val="left"/>
        <w:rPr>
          <w:rFonts w:ascii="宋体" w:hAnsi="宋体" w:cs="宋体"/>
          <w:sz w:val="28"/>
          <w:szCs w:val="28"/>
        </w:rPr>
      </w:pPr>
      <w:r>
        <w:rPr>
          <w:rFonts w:hint="eastAsia" w:ascii="宋体" w:hAnsi="宋体" w:cs="宋体"/>
          <w:sz w:val="28"/>
          <w:szCs w:val="28"/>
        </w:rPr>
        <w:t>（四）拟投入人员配置明细表；</w:t>
      </w:r>
    </w:p>
    <w:p>
      <w:pPr>
        <w:numPr>
          <w:ilvl w:val="255"/>
          <w:numId w:val="0"/>
        </w:numPr>
        <w:spacing w:line="360" w:lineRule="auto"/>
        <w:ind w:right="754" w:firstLine="560" w:firstLineChars="200"/>
        <w:jc w:val="left"/>
        <w:rPr>
          <w:rFonts w:ascii="宋体" w:hAnsi="宋体" w:cs="宋体"/>
          <w:sz w:val="28"/>
          <w:szCs w:val="28"/>
        </w:rPr>
      </w:pPr>
      <w:r>
        <w:rPr>
          <w:rFonts w:hint="eastAsia" w:ascii="宋体" w:hAnsi="宋体" w:cs="宋体"/>
          <w:sz w:val="28"/>
          <w:szCs w:val="28"/>
        </w:rPr>
        <w:t>（五）拟投入人员的相关工作业绩、资历及能力（由比选申请人自行编写）。</w:t>
      </w: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pStyle w:val="5"/>
        <w:rPr>
          <w:b/>
          <w:bCs/>
        </w:rPr>
      </w:pPr>
      <w:r>
        <w:rPr>
          <w:rFonts w:hint="eastAsia"/>
          <w:b/>
          <w:bCs/>
        </w:rPr>
        <w:t>（一）企业资质证书复印件（加盖单位公章）</w:t>
      </w:r>
    </w:p>
    <w:p>
      <w:pPr>
        <w:ind w:right="753"/>
        <w:jc w:val="left"/>
        <w:rPr>
          <w:rFonts w:ascii="宋体" w:hAnsi="宋体" w:cs="宋体"/>
          <w:sz w:val="28"/>
          <w:szCs w:val="28"/>
        </w:rPr>
      </w:pPr>
    </w:p>
    <w:p>
      <w:pPr>
        <w:pStyle w:val="19"/>
        <w:rPr>
          <w:rFonts w:ascii="宋体" w:hAnsi="宋体" w:cs="宋体"/>
          <w:sz w:val="28"/>
          <w:szCs w:val="28"/>
        </w:rPr>
      </w:pPr>
    </w:p>
    <w:p>
      <w:pPr>
        <w:pStyle w:val="8"/>
        <w:rPr>
          <w:rFonts w:hAnsi="宋体" w:cs="宋体"/>
          <w:sz w:val="28"/>
          <w:szCs w:val="28"/>
        </w:rPr>
      </w:pPr>
    </w:p>
    <w:p>
      <w:pPr>
        <w:rPr>
          <w:rFonts w:ascii="宋体" w:hAnsi="宋体" w:cs="宋体"/>
          <w:sz w:val="28"/>
          <w:szCs w:val="28"/>
        </w:rPr>
      </w:pPr>
    </w:p>
    <w:p>
      <w:pPr>
        <w:pStyle w:val="19"/>
        <w:rPr>
          <w:rFonts w:ascii="宋体" w:hAnsi="宋体" w:cs="宋体"/>
          <w:sz w:val="28"/>
          <w:szCs w:val="28"/>
        </w:rPr>
      </w:pPr>
    </w:p>
    <w:p>
      <w:pPr>
        <w:pStyle w:val="8"/>
        <w:rPr>
          <w:rFonts w:hAnsi="宋体" w:cs="宋体"/>
          <w:sz w:val="28"/>
          <w:szCs w:val="28"/>
        </w:rPr>
      </w:pPr>
    </w:p>
    <w:p>
      <w:pPr>
        <w:rPr>
          <w:rFonts w:ascii="宋体" w:hAnsi="宋体" w:cs="宋体"/>
          <w:sz w:val="28"/>
          <w:szCs w:val="28"/>
        </w:rPr>
      </w:pPr>
    </w:p>
    <w:p>
      <w:pPr>
        <w:pStyle w:val="19"/>
        <w:rPr>
          <w:rFonts w:ascii="宋体" w:hAnsi="宋体" w:cs="宋体"/>
          <w:sz w:val="28"/>
          <w:szCs w:val="28"/>
        </w:rPr>
      </w:pPr>
    </w:p>
    <w:p>
      <w:pPr>
        <w:pStyle w:val="8"/>
        <w:rPr>
          <w:rFonts w:hAnsi="宋体" w:cs="宋体"/>
          <w:sz w:val="28"/>
          <w:szCs w:val="28"/>
        </w:rPr>
      </w:pPr>
    </w:p>
    <w:p>
      <w:pPr>
        <w:rPr>
          <w:rFonts w:ascii="宋体" w:hAnsi="宋体" w:cs="宋体"/>
          <w:sz w:val="28"/>
          <w:szCs w:val="28"/>
        </w:rPr>
      </w:pPr>
    </w:p>
    <w:p>
      <w:pPr>
        <w:pStyle w:val="19"/>
        <w:rPr>
          <w:rFonts w:ascii="宋体" w:hAnsi="宋体" w:cs="宋体"/>
          <w:sz w:val="28"/>
          <w:szCs w:val="28"/>
        </w:rPr>
      </w:pPr>
    </w:p>
    <w:p>
      <w:pPr>
        <w:pStyle w:val="8"/>
        <w:rPr>
          <w:rFonts w:hAnsi="宋体" w:cs="宋体"/>
          <w:sz w:val="28"/>
          <w:szCs w:val="28"/>
        </w:rPr>
      </w:pPr>
    </w:p>
    <w:p>
      <w:pPr>
        <w:rPr>
          <w:rFonts w:ascii="宋体" w:hAnsi="宋体" w:cs="宋体"/>
          <w:sz w:val="28"/>
          <w:szCs w:val="28"/>
        </w:rPr>
      </w:pPr>
    </w:p>
    <w:p>
      <w:pPr>
        <w:pStyle w:val="19"/>
        <w:rPr>
          <w:rFonts w:ascii="宋体" w:hAnsi="宋体" w:cs="宋体"/>
          <w:sz w:val="28"/>
          <w:szCs w:val="28"/>
        </w:rPr>
      </w:pPr>
    </w:p>
    <w:p>
      <w:pPr>
        <w:pStyle w:val="8"/>
        <w:rPr>
          <w:rFonts w:hAnsi="宋体" w:cs="宋体"/>
          <w:sz w:val="28"/>
          <w:szCs w:val="28"/>
        </w:rPr>
      </w:pPr>
    </w:p>
    <w:p>
      <w:pPr>
        <w:rPr>
          <w:rFonts w:ascii="宋体" w:hAnsi="宋体" w:cs="宋体"/>
          <w:sz w:val="28"/>
          <w:szCs w:val="28"/>
        </w:rPr>
      </w:pPr>
    </w:p>
    <w:p>
      <w:pPr>
        <w:pStyle w:val="19"/>
        <w:rPr>
          <w:rFonts w:ascii="宋体" w:hAnsi="宋体" w:cs="宋体"/>
          <w:sz w:val="28"/>
          <w:szCs w:val="28"/>
        </w:rPr>
      </w:pPr>
    </w:p>
    <w:p>
      <w:pPr>
        <w:pStyle w:val="8"/>
        <w:rPr>
          <w:rFonts w:hAnsi="宋体" w:cs="宋体"/>
          <w:sz w:val="28"/>
          <w:szCs w:val="28"/>
        </w:rPr>
      </w:pPr>
    </w:p>
    <w:p/>
    <w:p>
      <w:pPr>
        <w:pStyle w:val="2"/>
      </w:pPr>
    </w:p>
    <w:p>
      <w:pPr>
        <w:pStyle w:val="2"/>
      </w:pPr>
    </w:p>
    <w:p>
      <w:pPr>
        <w:pStyle w:val="5"/>
        <w:rPr>
          <w:b/>
          <w:bCs/>
        </w:rPr>
      </w:pPr>
      <w:r>
        <w:rPr>
          <w:rFonts w:hint="eastAsia"/>
          <w:b/>
          <w:bCs/>
        </w:rPr>
        <w:t>（二）业绩表</w:t>
      </w:r>
    </w:p>
    <w:tbl>
      <w:tblPr>
        <w:tblStyle w:val="16"/>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240"/>
        <w:gridCol w:w="1719"/>
        <w:gridCol w:w="2176"/>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jc w:val="center"/>
              <w:rPr>
                <w:rFonts w:ascii="宋体" w:hAnsi="宋体" w:eastAsia="宋体" w:cs="宋体"/>
                <w:sz w:val="24"/>
                <w:szCs w:val="24"/>
              </w:rPr>
            </w:pPr>
            <w:r>
              <w:rPr>
                <w:rFonts w:hint="eastAsia" w:ascii="宋体" w:hAnsi="宋体" w:eastAsia="宋体" w:cs="宋体"/>
                <w:sz w:val="24"/>
                <w:szCs w:val="24"/>
              </w:rPr>
              <w:t>序号</w:t>
            </w:r>
          </w:p>
        </w:tc>
        <w:tc>
          <w:tcPr>
            <w:tcW w:w="2081" w:type="dxa"/>
          </w:tcPr>
          <w:p>
            <w:pPr>
              <w:jc w:val="center"/>
              <w:rPr>
                <w:rFonts w:ascii="宋体" w:hAnsi="宋体" w:eastAsia="宋体" w:cs="宋体"/>
                <w:sz w:val="24"/>
                <w:szCs w:val="24"/>
              </w:rPr>
            </w:pPr>
            <w:r>
              <w:rPr>
                <w:rFonts w:hint="eastAsia" w:ascii="宋体" w:hAnsi="宋体" w:eastAsia="宋体" w:cs="宋体"/>
                <w:sz w:val="24"/>
                <w:szCs w:val="24"/>
              </w:rPr>
              <w:t>项目合同名称</w:t>
            </w:r>
          </w:p>
        </w:tc>
        <w:tc>
          <w:tcPr>
            <w:tcW w:w="1597" w:type="dxa"/>
          </w:tcPr>
          <w:p>
            <w:pPr>
              <w:jc w:val="center"/>
              <w:rPr>
                <w:rFonts w:ascii="宋体" w:hAnsi="宋体" w:eastAsia="宋体" w:cs="宋体"/>
                <w:sz w:val="24"/>
                <w:szCs w:val="24"/>
              </w:rPr>
            </w:pPr>
            <w:r>
              <w:rPr>
                <w:rFonts w:hint="eastAsia" w:ascii="宋体" w:hAnsi="宋体" w:eastAsia="宋体" w:cs="宋体"/>
                <w:sz w:val="24"/>
                <w:szCs w:val="24"/>
              </w:rPr>
              <w:t>签订</w:t>
            </w:r>
          </w:p>
          <w:p>
            <w:pPr>
              <w:jc w:val="center"/>
              <w:rPr>
                <w:rFonts w:ascii="宋体" w:hAnsi="宋体" w:eastAsia="宋体" w:cs="宋体"/>
                <w:sz w:val="24"/>
                <w:szCs w:val="24"/>
              </w:rPr>
            </w:pPr>
            <w:r>
              <w:rPr>
                <w:rFonts w:hint="eastAsia" w:ascii="宋体" w:hAnsi="宋体" w:eastAsia="宋体" w:cs="宋体"/>
                <w:sz w:val="24"/>
                <w:szCs w:val="24"/>
              </w:rPr>
              <w:t>时间</w:t>
            </w:r>
          </w:p>
        </w:tc>
        <w:tc>
          <w:tcPr>
            <w:tcW w:w="2022" w:type="dxa"/>
          </w:tcPr>
          <w:p>
            <w:pPr>
              <w:jc w:val="center"/>
              <w:rPr>
                <w:rFonts w:ascii="宋体" w:hAnsi="宋体" w:eastAsia="宋体" w:cs="宋体"/>
                <w:sz w:val="24"/>
                <w:szCs w:val="24"/>
              </w:rPr>
            </w:pPr>
            <w:r>
              <w:rPr>
                <w:rFonts w:hint="eastAsia" w:ascii="宋体" w:hAnsi="宋体" w:eastAsia="宋体" w:cs="宋体"/>
                <w:sz w:val="24"/>
                <w:szCs w:val="24"/>
              </w:rPr>
              <w:t>服务项目是否已完成</w:t>
            </w:r>
          </w:p>
        </w:tc>
        <w:tc>
          <w:tcPr>
            <w:tcW w:w="1583" w:type="dxa"/>
          </w:tcPr>
          <w:p>
            <w:pPr>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4"/>
                <w:szCs w:val="24"/>
              </w:rPr>
            </w:pPr>
          </w:p>
        </w:tc>
        <w:tc>
          <w:tcPr>
            <w:tcW w:w="2081" w:type="dxa"/>
          </w:tcPr>
          <w:p>
            <w:pPr>
              <w:spacing w:line="360" w:lineRule="auto"/>
              <w:ind w:right="565" w:rightChars="269"/>
              <w:jc w:val="left"/>
              <w:rPr>
                <w:rFonts w:ascii="宋体" w:hAnsi="宋体" w:eastAsia="宋体" w:cs="宋体"/>
                <w:sz w:val="24"/>
                <w:szCs w:val="24"/>
              </w:rPr>
            </w:pPr>
          </w:p>
        </w:tc>
        <w:tc>
          <w:tcPr>
            <w:tcW w:w="1597" w:type="dxa"/>
          </w:tcPr>
          <w:p>
            <w:pPr>
              <w:spacing w:line="360" w:lineRule="auto"/>
              <w:ind w:right="565" w:rightChars="269"/>
              <w:jc w:val="left"/>
              <w:rPr>
                <w:rFonts w:ascii="宋体" w:hAnsi="宋体" w:eastAsia="宋体" w:cs="宋体"/>
                <w:sz w:val="24"/>
                <w:szCs w:val="24"/>
              </w:rPr>
            </w:pPr>
          </w:p>
        </w:tc>
        <w:tc>
          <w:tcPr>
            <w:tcW w:w="2022" w:type="dxa"/>
          </w:tcPr>
          <w:p>
            <w:pPr>
              <w:spacing w:line="360" w:lineRule="auto"/>
              <w:ind w:right="565" w:rightChars="269"/>
              <w:jc w:val="left"/>
              <w:rPr>
                <w:rFonts w:ascii="宋体" w:hAnsi="宋体" w:eastAsia="宋体" w:cs="宋体"/>
                <w:sz w:val="24"/>
                <w:szCs w:val="24"/>
              </w:rPr>
            </w:pPr>
          </w:p>
        </w:tc>
        <w:tc>
          <w:tcPr>
            <w:tcW w:w="1583" w:type="dxa"/>
          </w:tcPr>
          <w:p>
            <w:pPr>
              <w:spacing w:line="360" w:lineRule="auto"/>
              <w:ind w:right="565" w:rightChars="269"/>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4"/>
                <w:szCs w:val="24"/>
              </w:rPr>
            </w:pPr>
          </w:p>
        </w:tc>
        <w:tc>
          <w:tcPr>
            <w:tcW w:w="2081" w:type="dxa"/>
          </w:tcPr>
          <w:p>
            <w:pPr>
              <w:spacing w:line="360" w:lineRule="auto"/>
              <w:ind w:right="565" w:rightChars="269"/>
              <w:jc w:val="left"/>
              <w:rPr>
                <w:rFonts w:ascii="宋体" w:hAnsi="宋体" w:eastAsia="宋体" w:cs="宋体"/>
                <w:sz w:val="24"/>
                <w:szCs w:val="24"/>
              </w:rPr>
            </w:pPr>
          </w:p>
        </w:tc>
        <w:tc>
          <w:tcPr>
            <w:tcW w:w="1597" w:type="dxa"/>
          </w:tcPr>
          <w:p>
            <w:pPr>
              <w:spacing w:line="360" w:lineRule="auto"/>
              <w:ind w:right="565" w:rightChars="269"/>
              <w:jc w:val="left"/>
              <w:rPr>
                <w:rFonts w:ascii="宋体" w:hAnsi="宋体" w:eastAsia="宋体" w:cs="宋体"/>
                <w:sz w:val="24"/>
                <w:szCs w:val="24"/>
              </w:rPr>
            </w:pPr>
          </w:p>
        </w:tc>
        <w:tc>
          <w:tcPr>
            <w:tcW w:w="2022" w:type="dxa"/>
          </w:tcPr>
          <w:p>
            <w:pPr>
              <w:spacing w:line="360" w:lineRule="auto"/>
              <w:ind w:right="565" w:rightChars="269"/>
              <w:jc w:val="left"/>
              <w:rPr>
                <w:rFonts w:ascii="宋体" w:hAnsi="宋体" w:eastAsia="宋体" w:cs="宋体"/>
                <w:sz w:val="24"/>
                <w:szCs w:val="24"/>
              </w:rPr>
            </w:pPr>
          </w:p>
        </w:tc>
        <w:tc>
          <w:tcPr>
            <w:tcW w:w="1583" w:type="dxa"/>
          </w:tcPr>
          <w:p>
            <w:pPr>
              <w:spacing w:line="360" w:lineRule="auto"/>
              <w:ind w:right="565" w:rightChars="269"/>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4"/>
                <w:szCs w:val="24"/>
              </w:rPr>
            </w:pPr>
          </w:p>
        </w:tc>
        <w:tc>
          <w:tcPr>
            <w:tcW w:w="2081" w:type="dxa"/>
          </w:tcPr>
          <w:p>
            <w:pPr>
              <w:spacing w:line="360" w:lineRule="auto"/>
              <w:ind w:right="565" w:rightChars="269"/>
              <w:jc w:val="left"/>
              <w:rPr>
                <w:rFonts w:ascii="宋体" w:hAnsi="宋体" w:eastAsia="宋体" w:cs="宋体"/>
                <w:sz w:val="24"/>
                <w:szCs w:val="24"/>
              </w:rPr>
            </w:pPr>
          </w:p>
        </w:tc>
        <w:tc>
          <w:tcPr>
            <w:tcW w:w="1597" w:type="dxa"/>
          </w:tcPr>
          <w:p>
            <w:pPr>
              <w:spacing w:line="360" w:lineRule="auto"/>
              <w:ind w:right="565" w:rightChars="269"/>
              <w:jc w:val="left"/>
              <w:rPr>
                <w:rFonts w:ascii="宋体" w:hAnsi="宋体" w:eastAsia="宋体" w:cs="宋体"/>
                <w:sz w:val="24"/>
                <w:szCs w:val="24"/>
              </w:rPr>
            </w:pPr>
          </w:p>
        </w:tc>
        <w:tc>
          <w:tcPr>
            <w:tcW w:w="2022" w:type="dxa"/>
          </w:tcPr>
          <w:p>
            <w:pPr>
              <w:spacing w:line="360" w:lineRule="auto"/>
              <w:ind w:right="565" w:rightChars="269"/>
              <w:jc w:val="left"/>
              <w:rPr>
                <w:rFonts w:ascii="宋体" w:hAnsi="宋体" w:eastAsia="宋体" w:cs="宋体"/>
                <w:sz w:val="24"/>
                <w:szCs w:val="24"/>
              </w:rPr>
            </w:pPr>
          </w:p>
        </w:tc>
        <w:tc>
          <w:tcPr>
            <w:tcW w:w="1583" w:type="dxa"/>
          </w:tcPr>
          <w:p>
            <w:pPr>
              <w:spacing w:line="360" w:lineRule="auto"/>
              <w:ind w:right="565" w:rightChars="269"/>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4"/>
                <w:szCs w:val="24"/>
              </w:rPr>
            </w:pPr>
          </w:p>
        </w:tc>
        <w:tc>
          <w:tcPr>
            <w:tcW w:w="2081" w:type="dxa"/>
          </w:tcPr>
          <w:p>
            <w:pPr>
              <w:spacing w:line="360" w:lineRule="auto"/>
              <w:ind w:right="565" w:rightChars="269"/>
              <w:jc w:val="left"/>
              <w:rPr>
                <w:rFonts w:ascii="宋体" w:hAnsi="宋体" w:eastAsia="宋体" w:cs="宋体"/>
                <w:sz w:val="24"/>
                <w:szCs w:val="24"/>
              </w:rPr>
            </w:pPr>
          </w:p>
        </w:tc>
        <w:tc>
          <w:tcPr>
            <w:tcW w:w="1597" w:type="dxa"/>
          </w:tcPr>
          <w:p>
            <w:pPr>
              <w:spacing w:line="360" w:lineRule="auto"/>
              <w:ind w:right="565" w:rightChars="269"/>
              <w:jc w:val="left"/>
              <w:rPr>
                <w:rFonts w:ascii="宋体" w:hAnsi="宋体" w:eastAsia="宋体" w:cs="宋体"/>
                <w:sz w:val="24"/>
                <w:szCs w:val="24"/>
              </w:rPr>
            </w:pPr>
          </w:p>
        </w:tc>
        <w:tc>
          <w:tcPr>
            <w:tcW w:w="2022" w:type="dxa"/>
          </w:tcPr>
          <w:p>
            <w:pPr>
              <w:spacing w:line="360" w:lineRule="auto"/>
              <w:ind w:right="565" w:rightChars="269"/>
              <w:jc w:val="left"/>
              <w:rPr>
                <w:rFonts w:ascii="宋体" w:hAnsi="宋体" w:eastAsia="宋体" w:cs="宋体"/>
                <w:sz w:val="24"/>
                <w:szCs w:val="24"/>
              </w:rPr>
            </w:pPr>
          </w:p>
        </w:tc>
        <w:tc>
          <w:tcPr>
            <w:tcW w:w="1583" w:type="dxa"/>
          </w:tcPr>
          <w:p>
            <w:pPr>
              <w:spacing w:line="360" w:lineRule="auto"/>
              <w:ind w:right="565" w:rightChars="269"/>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4"/>
                <w:szCs w:val="24"/>
              </w:rPr>
            </w:pPr>
          </w:p>
        </w:tc>
        <w:tc>
          <w:tcPr>
            <w:tcW w:w="2081" w:type="dxa"/>
          </w:tcPr>
          <w:p>
            <w:pPr>
              <w:spacing w:line="360" w:lineRule="auto"/>
              <w:ind w:right="565" w:rightChars="269"/>
              <w:jc w:val="left"/>
              <w:rPr>
                <w:rFonts w:ascii="宋体" w:hAnsi="宋体" w:eastAsia="宋体" w:cs="宋体"/>
                <w:sz w:val="24"/>
                <w:szCs w:val="24"/>
              </w:rPr>
            </w:pPr>
          </w:p>
        </w:tc>
        <w:tc>
          <w:tcPr>
            <w:tcW w:w="1597" w:type="dxa"/>
          </w:tcPr>
          <w:p>
            <w:pPr>
              <w:spacing w:line="360" w:lineRule="auto"/>
              <w:ind w:right="565" w:rightChars="269"/>
              <w:jc w:val="left"/>
              <w:rPr>
                <w:rFonts w:ascii="宋体" w:hAnsi="宋体" w:eastAsia="宋体" w:cs="宋体"/>
                <w:sz w:val="24"/>
                <w:szCs w:val="24"/>
              </w:rPr>
            </w:pPr>
          </w:p>
        </w:tc>
        <w:tc>
          <w:tcPr>
            <w:tcW w:w="2022" w:type="dxa"/>
          </w:tcPr>
          <w:p>
            <w:pPr>
              <w:spacing w:line="360" w:lineRule="auto"/>
              <w:ind w:right="565" w:rightChars="269"/>
              <w:jc w:val="left"/>
              <w:rPr>
                <w:rFonts w:ascii="宋体" w:hAnsi="宋体" w:eastAsia="宋体" w:cs="宋体"/>
                <w:sz w:val="24"/>
                <w:szCs w:val="24"/>
              </w:rPr>
            </w:pPr>
          </w:p>
        </w:tc>
        <w:tc>
          <w:tcPr>
            <w:tcW w:w="1583" w:type="dxa"/>
          </w:tcPr>
          <w:p>
            <w:pPr>
              <w:spacing w:line="360" w:lineRule="auto"/>
              <w:ind w:right="565" w:rightChars="269"/>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4"/>
                <w:szCs w:val="24"/>
              </w:rPr>
            </w:pPr>
          </w:p>
        </w:tc>
        <w:tc>
          <w:tcPr>
            <w:tcW w:w="2081" w:type="dxa"/>
          </w:tcPr>
          <w:p>
            <w:pPr>
              <w:spacing w:line="360" w:lineRule="auto"/>
              <w:ind w:right="565" w:rightChars="269"/>
              <w:jc w:val="left"/>
              <w:rPr>
                <w:rFonts w:ascii="宋体" w:hAnsi="宋体" w:eastAsia="宋体" w:cs="宋体"/>
                <w:sz w:val="24"/>
                <w:szCs w:val="24"/>
              </w:rPr>
            </w:pPr>
          </w:p>
        </w:tc>
        <w:tc>
          <w:tcPr>
            <w:tcW w:w="1597" w:type="dxa"/>
          </w:tcPr>
          <w:p>
            <w:pPr>
              <w:spacing w:line="360" w:lineRule="auto"/>
              <w:ind w:right="565" w:rightChars="269"/>
              <w:jc w:val="left"/>
              <w:rPr>
                <w:rFonts w:ascii="宋体" w:hAnsi="宋体" w:eastAsia="宋体" w:cs="宋体"/>
                <w:sz w:val="24"/>
                <w:szCs w:val="24"/>
              </w:rPr>
            </w:pPr>
          </w:p>
        </w:tc>
        <w:tc>
          <w:tcPr>
            <w:tcW w:w="2022" w:type="dxa"/>
          </w:tcPr>
          <w:p>
            <w:pPr>
              <w:spacing w:line="360" w:lineRule="auto"/>
              <w:ind w:right="565" w:rightChars="269"/>
              <w:jc w:val="left"/>
              <w:rPr>
                <w:rFonts w:ascii="宋体" w:hAnsi="宋体" w:eastAsia="宋体" w:cs="宋体"/>
                <w:sz w:val="24"/>
                <w:szCs w:val="24"/>
              </w:rPr>
            </w:pPr>
          </w:p>
        </w:tc>
        <w:tc>
          <w:tcPr>
            <w:tcW w:w="1583" w:type="dxa"/>
          </w:tcPr>
          <w:p>
            <w:pPr>
              <w:spacing w:line="360" w:lineRule="auto"/>
              <w:ind w:right="565" w:rightChars="269"/>
              <w:jc w:val="left"/>
              <w:rPr>
                <w:rFonts w:ascii="宋体" w:hAnsi="宋体" w:eastAsia="宋体" w:cs="宋体"/>
                <w:sz w:val="24"/>
                <w:szCs w:val="24"/>
              </w:rPr>
            </w:pPr>
          </w:p>
        </w:tc>
      </w:tr>
    </w:tbl>
    <w:p>
      <w:pPr>
        <w:ind w:firstLine="420"/>
      </w:pPr>
      <w:r>
        <w:rPr>
          <w:rFonts w:hint="eastAsia" w:ascii="宋体" w:hAnsi="宋体"/>
          <w:sz w:val="28"/>
          <w:szCs w:val="28"/>
        </w:rPr>
        <w:t>注：1、类似业绩是指比选申请人自2020年1月1日至比选公告发布之日前完成或正在开展的市政工程或交通工程类</w:t>
      </w:r>
      <w:r>
        <w:rPr>
          <w:rFonts w:hint="eastAsia" w:ascii="宋体" w:hAnsi="宋体"/>
          <w:kern w:val="0"/>
          <w:sz w:val="28"/>
          <w:szCs w:val="28"/>
        </w:rPr>
        <w:t>地质灾害危险性评估服务项目业绩</w:t>
      </w:r>
      <w:r>
        <w:rPr>
          <w:rFonts w:hint="eastAsia" w:ascii="宋体" w:hAnsi="宋体"/>
          <w:sz w:val="28"/>
          <w:szCs w:val="28"/>
        </w:rPr>
        <w:t>。</w:t>
      </w:r>
    </w:p>
    <w:p>
      <w:pPr>
        <w:ind w:firstLine="420"/>
        <w:rPr>
          <w:rFonts w:ascii="宋体" w:hAnsi="宋体"/>
          <w:sz w:val="28"/>
          <w:szCs w:val="28"/>
        </w:rPr>
      </w:pPr>
      <w:r>
        <w:rPr>
          <w:rFonts w:hint="eastAsia" w:ascii="宋体" w:hAnsi="宋体"/>
          <w:sz w:val="28"/>
          <w:szCs w:val="28"/>
        </w:rPr>
        <w:t>2、此表须附相应合同复印件（以合同签订时间为准，</w:t>
      </w:r>
      <w:r>
        <w:rPr>
          <w:rFonts w:hint="eastAsia" w:ascii="宋体" w:hAnsi="宋体" w:cs="宋体"/>
          <w:kern w:val="0"/>
          <w:sz w:val="28"/>
          <w:szCs w:val="28"/>
        </w:rPr>
        <w:t>涉及商业秘密的内容可以隐去</w:t>
      </w:r>
      <w:r>
        <w:rPr>
          <w:rFonts w:hint="eastAsia" w:ascii="宋体" w:hAnsi="宋体"/>
          <w:sz w:val="28"/>
          <w:szCs w:val="28"/>
        </w:rPr>
        <w:t>）、项目完成证明材料（专家审查意见或批复或备案等相关证明材料）。未附证明材料的项目视为无效。</w:t>
      </w:r>
    </w:p>
    <w:p>
      <w:pPr>
        <w:ind w:right="-21"/>
        <w:jc w:val="left"/>
        <w:rPr>
          <w:rFonts w:ascii="宋体" w:hAnsi="宋体" w:cs="宋体"/>
          <w:sz w:val="28"/>
          <w:szCs w:val="28"/>
        </w:rPr>
      </w:pPr>
    </w:p>
    <w:p>
      <w:pPr>
        <w:jc w:val="center"/>
        <w:rPr>
          <w:b/>
          <w:bCs/>
          <w:sz w:val="32"/>
          <w:szCs w:val="32"/>
        </w:rPr>
      </w:pPr>
    </w:p>
    <w:bookmarkEnd w:id="163"/>
    <w:p>
      <w:pPr>
        <w:pStyle w:val="5"/>
        <w:rPr>
          <w:b/>
          <w:bCs/>
        </w:rPr>
      </w:pPr>
      <w:r>
        <w:rPr>
          <w:rFonts w:hint="eastAsia"/>
          <w:b/>
          <w:bCs/>
        </w:rPr>
        <w:t>（三）信誉表</w:t>
      </w:r>
    </w:p>
    <w:tbl>
      <w:tblPr>
        <w:tblStyle w:val="16"/>
        <w:tblW w:w="8511" w:type="dxa"/>
        <w:tblInd w:w="0" w:type="dxa"/>
        <w:tblLayout w:type="fixed"/>
        <w:tblCellMar>
          <w:top w:w="0" w:type="dxa"/>
          <w:left w:w="108" w:type="dxa"/>
          <w:bottom w:w="0" w:type="dxa"/>
          <w:right w:w="108" w:type="dxa"/>
        </w:tblCellMar>
      </w:tblPr>
      <w:tblGrid>
        <w:gridCol w:w="971"/>
        <w:gridCol w:w="1756"/>
        <w:gridCol w:w="2077"/>
        <w:gridCol w:w="3707"/>
      </w:tblGrid>
      <w:tr>
        <w:tblPrEx>
          <w:tblCellMar>
            <w:top w:w="0" w:type="dxa"/>
            <w:left w:w="108" w:type="dxa"/>
            <w:bottom w:w="0" w:type="dxa"/>
            <w:right w:w="108" w:type="dxa"/>
          </w:tblCellMar>
        </w:tblPrEx>
        <w:trPr>
          <w:trHeight w:val="450" w:hRule="atLeast"/>
        </w:trPr>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证书名称</w:t>
            </w:r>
          </w:p>
        </w:tc>
        <w:tc>
          <w:tcPr>
            <w:tcW w:w="20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颁发时间</w:t>
            </w:r>
          </w:p>
        </w:tc>
        <w:tc>
          <w:tcPr>
            <w:tcW w:w="370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颁发单位</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70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70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70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70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70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70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70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70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70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70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70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70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bl>
    <w:p>
      <w:pPr>
        <w:ind w:firstLine="420"/>
        <w:rPr>
          <w:rFonts w:ascii="宋体" w:hAnsi="宋体"/>
          <w:sz w:val="28"/>
          <w:szCs w:val="28"/>
        </w:rPr>
      </w:pPr>
      <w:r>
        <w:rPr>
          <w:rFonts w:hint="eastAsia" w:ascii="宋体" w:hAnsi="宋体"/>
          <w:sz w:val="28"/>
          <w:szCs w:val="28"/>
        </w:rPr>
        <w:t>注：1、信誉表是指比选申请人获得的相关资质证书列表，且在有效期范围内。</w:t>
      </w:r>
    </w:p>
    <w:p>
      <w:pPr>
        <w:ind w:firstLine="420"/>
        <w:rPr>
          <w:rFonts w:ascii="宋体" w:hAnsi="宋体"/>
          <w:sz w:val="28"/>
          <w:szCs w:val="28"/>
        </w:rPr>
      </w:pPr>
      <w:r>
        <w:rPr>
          <w:rFonts w:hint="eastAsia" w:ascii="宋体" w:hAnsi="宋体"/>
          <w:sz w:val="28"/>
          <w:szCs w:val="28"/>
        </w:rPr>
        <w:t>2、此表须附相关证书材料复印件并加盖单位公章。未附证明材料的资质证书视为无效。</w:t>
      </w:r>
    </w:p>
    <w:p>
      <w:pPr>
        <w:pStyle w:val="19"/>
      </w:pPr>
    </w:p>
    <w:p>
      <w:pPr>
        <w:pStyle w:val="8"/>
      </w:pPr>
    </w:p>
    <w:p/>
    <w:p>
      <w:pPr>
        <w:pStyle w:val="19"/>
      </w:pPr>
    </w:p>
    <w:p>
      <w:pPr>
        <w:pStyle w:val="8"/>
      </w:pPr>
    </w:p>
    <w:p/>
    <w:p>
      <w:pPr>
        <w:pStyle w:val="19"/>
      </w:pPr>
    </w:p>
    <w:p/>
    <w:p>
      <w:pPr>
        <w:pStyle w:val="5"/>
        <w:rPr>
          <w:b/>
          <w:bCs/>
        </w:rPr>
      </w:pPr>
      <w:r>
        <w:rPr>
          <w:rFonts w:hint="eastAsia"/>
          <w:b/>
          <w:bCs/>
        </w:rPr>
        <w:t>（四）拟投入人员配置明细表</w:t>
      </w:r>
    </w:p>
    <w:tbl>
      <w:tblPr>
        <w:tblStyle w:val="16"/>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07"/>
        <w:gridCol w:w="1333"/>
        <w:gridCol w:w="1500"/>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tcPr>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序号</w:t>
            </w:r>
          </w:p>
        </w:tc>
        <w:tc>
          <w:tcPr>
            <w:tcW w:w="993" w:type="dxa"/>
          </w:tcPr>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850" w:type="dxa"/>
          </w:tcPr>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年龄</w:t>
            </w:r>
          </w:p>
        </w:tc>
        <w:tc>
          <w:tcPr>
            <w:tcW w:w="851" w:type="dxa"/>
          </w:tcPr>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907" w:type="dxa"/>
          </w:tcPr>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学历</w:t>
            </w:r>
          </w:p>
        </w:tc>
        <w:tc>
          <w:tcPr>
            <w:tcW w:w="1333" w:type="dxa"/>
          </w:tcPr>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专业</w:t>
            </w:r>
          </w:p>
        </w:tc>
        <w:tc>
          <w:tcPr>
            <w:tcW w:w="1500" w:type="dxa"/>
          </w:tcPr>
          <w:p>
            <w:pPr>
              <w:pStyle w:val="2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执业资格或</w:t>
            </w:r>
          </w:p>
          <w:p>
            <w:pPr>
              <w:pStyle w:val="2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岗位</w:t>
            </w:r>
          </w:p>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eastAsiaTheme="minorEastAsia" w:cstheme="minorEastAsia"/>
                <w:sz w:val="24"/>
                <w:szCs w:val="24"/>
              </w:rPr>
              <w:t>（培训）证书</w:t>
            </w:r>
          </w:p>
        </w:tc>
        <w:tc>
          <w:tcPr>
            <w:tcW w:w="1262" w:type="dxa"/>
          </w:tcPr>
          <w:p>
            <w:pPr>
              <w:pStyle w:val="9"/>
              <w:spacing w:line="400" w:lineRule="exact"/>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9"/>
              <w:spacing w:line="400" w:lineRule="exact"/>
              <w:ind w:left="0" w:leftChars="0"/>
              <w:rPr>
                <w:rFonts w:hint="eastAsia" w:asciiTheme="minorEastAsia" w:hAnsiTheme="minorEastAsia" w:cstheme="minorEastAsia"/>
                <w:sz w:val="24"/>
                <w:szCs w:val="24"/>
              </w:rPr>
            </w:pPr>
          </w:p>
        </w:tc>
        <w:tc>
          <w:tcPr>
            <w:tcW w:w="993" w:type="dxa"/>
          </w:tcPr>
          <w:p>
            <w:pPr>
              <w:pStyle w:val="9"/>
              <w:spacing w:line="400" w:lineRule="exact"/>
              <w:ind w:left="0" w:leftChars="0"/>
              <w:rPr>
                <w:rFonts w:hint="eastAsia" w:asciiTheme="minorEastAsia" w:hAnsiTheme="minorEastAsia" w:cstheme="minorEastAsia"/>
                <w:sz w:val="24"/>
                <w:szCs w:val="24"/>
              </w:rPr>
            </w:pPr>
          </w:p>
        </w:tc>
        <w:tc>
          <w:tcPr>
            <w:tcW w:w="850" w:type="dxa"/>
          </w:tcPr>
          <w:p>
            <w:pPr>
              <w:pStyle w:val="9"/>
              <w:spacing w:line="400" w:lineRule="exact"/>
              <w:ind w:left="0" w:leftChars="0"/>
              <w:rPr>
                <w:rFonts w:hint="eastAsia" w:asciiTheme="minorEastAsia" w:hAnsiTheme="minorEastAsia" w:cstheme="minorEastAsia"/>
                <w:sz w:val="24"/>
                <w:szCs w:val="24"/>
              </w:rPr>
            </w:pPr>
          </w:p>
        </w:tc>
        <w:tc>
          <w:tcPr>
            <w:tcW w:w="851" w:type="dxa"/>
          </w:tcPr>
          <w:p>
            <w:pPr>
              <w:pStyle w:val="9"/>
              <w:spacing w:line="400" w:lineRule="exact"/>
              <w:ind w:left="0" w:leftChars="0"/>
              <w:rPr>
                <w:rFonts w:hint="eastAsia" w:asciiTheme="minorEastAsia" w:hAnsiTheme="minorEastAsia" w:cstheme="minorEastAsia"/>
                <w:sz w:val="24"/>
                <w:szCs w:val="24"/>
              </w:rPr>
            </w:pPr>
          </w:p>
        </w:tc>
        <w:tc>
          <w:tcPr>
            <w:tcW w:w="907" w:type="dxa"/>
          </w:tcPr>
          <w:p>
            <w:pPr>
              <w:pStyle w:val="9"/>
              <w:spacing w:line="400" w:lineRule="exact"/>
              <w:ind w:left="0" w:leftChars="0"/>
              <w:rPr>
                <w:rFonts w:hint="eastAsia" w:asciiTheme="minorEastAsia" w:hAnsiTheme="minorEastAsia" w:cstheme="minorEastAsia"/>
                <w:sz w:val="24"/>
                <w:szCs w:val="24"/>
              </w:rPr>
            </w:pPr>
          </w:p>
        </w:tc>
        <w:tc>
          <w:tcPr>
            <w:tcW w:w="1333" w:type="dxa"/>
          </w:tcPr>
          <w:p>
            <w:pPr>
              <w:pStyle w:val="9"/>
              <w:spacing w:line="400" w:lineRule="exact"/>
              <w:ind w:left="0" w:leftChars="0"/>
              <w:rPr>
                <w:rFonts w:hint="eastAsia" w:asciiTheme="minorEastAsia" w:hAnsiTheme="minorEastAsia" w:cstheme="minorEastAsia"/>
                <w:sz w:val="24"/>
                <w:szCs w:val="24"/>
              </w:rPr>
            </w:pPr>
          </w:p>
        </w:tc>
        <w:tc>
          <w:tcPr>
            <w:tcW w:w="1500" w:type="dxa"/>
          </w:tcPr>
          <w:p>
            <w:pPr>
              <w:pStyle w:val="9"/>
              <w:spacing w:line="400" w:lineRule="exact"/>
              <w:ind w:left="0" w:leftChars="0"/>
              <w:rPr>
                <w:rFonts w:hint="eastAsia" w:asciiTheme="minorEastAsia" w:hAnsiTheme="minorEastAsia" w:cstheme="minorEastAsia"/>
                <w:sz w:val="24"/>
                <w:szCs w:val="24"/>
              </w:rPr>
            </w:pPr>
          </w:p>
        </w:tc>
        <w:tc>
          <w:tcPr>
            <w:tcW w:w="1262" w:type="dxa"/>
          </w:tcPr>
          <w:p>
            <w:pPr>
              <w:pStyle w:val="9"/>
              <w:spacing w:line="400" w:lineRule="exact"/>
              <w:ind w:left="0" w:leftChars="0"/>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9"/>
              <w:spacing w:line="400" w:lineRule="exact"/>
              <w:ind w:left="0" w:leftChars="0"/>
              <w:rPr>
                <w:rFonts w:hint="eastAsia" w:asciiTheme="minorEastAsia" w:hAnsiTheme="minorEastAsia" w:cstheme="minorEastAsia"/>
                <w:sz w:val="24"/>
                <w:szCs w:val="24"/>
              </w:rPr>
            </w:pPr>
          </w:p>
        </w:tc>
        <w:tc>
          <w:tcPr>
            <w:tcW w:w="993" w:type="dxa"/>
          </w:tcPr>
          <w:p>
            <w:pPr>
              <w:pStyle w:val="9"/>
              <w:spacing w:line="400" w:lineRule="exact"/>
              <w:ind w:left="0" w:leftChars="0"/>
              <w:rPr>
                <w:rFonts w:hint="eastAsia" w:asciiTheme="minorEastAsia" w:hAnsiTheme="minorEastAsia" w:cstheme="minorEastAsia"/>
                <w:sz w:val="24"/>
                <w:szCs w:val="24"/>
              </w:rPr>
            </w:pPr>
          </w:p>
        </w:tc>
        <w:tc>
          <w:tcPr>
            <w:tcW w:w="850" w:type="dxa"/>
          </w:tcPr>
          <w:p>
            <w:pPr>
              <w:pStyle w:val="9"/>
              <w:spacing w:line="400" w:lineRule="exact"/>
              <w:ind w:left="0" w:leftChars="0"/>
              <w:rPr>
                <w:rFonts w:hint="eastAsia" w:asciiTheme="minorEastAsia" w:hAnsiTheme="minorEastAsia" w:cstheme="minorEastAsia"/>
                <w:sz w:val="24"/>
                <w:szCs w:val="24"/>
              </w:rPr>
            </w:pPr>
          </w:p>
        </w:tc>
        <w:tc>
          <w:tcPr>
            <w:tcW w:w="851" w:type="dxa"/>
          </w:tcPr>
          <w:p>
            <w:pPr>
              <w:pStyle w:val="9"/>
              <w:spacing w:line="400" w:lineRule="exact"/>
              <w:ind w:left="0" w:leftChars="0"/>
              <w:rPr>
                <w:rFonts w:hint="eastAsia" w:asciiTheme="minorEastAsia" w:hAnsiTheme="minorEastAsia" w:cstheme="minorEastAsia"/>
                <w:sz w:val="24"/>
                <w:szCs w:val="24"/>
              </w:rPr>
            </w:pPr>
          </w:p>
        </w:tc>
        <w:tc>
          <w:tcPr>
            <w:tcW w:w="907" w:type="dxa"/>
          </w:tcPr>
          <w:p>
            <w:pPr>
              <w:pStyle w:val="9"/>
              <w:spacing w:line="400" w:lineRule="exact"/>
              <w:ind w:left="0" w:leftChars="0"/>
              <w:rPr>
                <w:rFonts w:hint="eastAsia" w:asciiTheme="minorEastAsia" w:hAnsiTheme="minorEastAsia" w:cstheme="minorEastAsia"/>
                <w:sz w:val="24"/>
                <w:szCs w:val="24"/>
              </w:rPr>
            </w:pPr>
          </w:p>
        </w:tc>
        <w:tc>
          <w:tcPr>
            <w:tcW w:w="1333" w:type="dxa"/>
          </w:tcPr>
          <w:p>
            <w:pPr>
              <w:pStyle w:val="9"/>
              <w:spacing w:line="400" w:lineRule="exact"/>
              <w:ind w:left="0" w:leftChars="0"/>
              <w:rPr>
                <w:rFonts w:hint="eastAsia" w:asciiTheme="minorEastAsia" w:hAnsiTheme="minorEastAsia" w:cstheme="minorEastAsia"/>
                <w:sz w:val="24"/>
                <w:szCs w:val="24"/>
              </w:rPr>
            </w:pPr>
          </w:p>
        </w:tc>
        <w:tc>
          <w:tcPr>
            <w:tcW w:w="1500" w:type="dxa"/>
          </w:tcPr>
          <w:p>
            <w:pPr>
              <w:pStyle w:val="9"/>
              <w:spacing w:line="400" w:lineRule="exact"/>
              <w:ind w:left="0" w:leftChars="0"/>
              <w:rPr>
                <w:rFonts w:hint="eastAsia" w:asciiTheme="minorEastAsia" w:hAnsiTheme="minorEastAsia" w:cstheme="minorEastAsia"/>
                <w:sz w:val="24"/>
                <w:szCs w:val="24"/>
              </w:rPr>
            </w:pPr>
          </w:p>
        </w:tc>
        <w:tc>
          <w:tcPr>
            <w:tcW w:w="1262" w:type="dxa"/>
          </w:tcPr>
          <w:p>
            <w:pPr>
              <w:pStyle w:val="9"/>
              <w:spacing w:line="400" w:lineRule="exact"/>
              <w:ind w:left="0" w:leftChars="0"/>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9"/>
              <w:spacing w:line="400" w:lineRule="exact"/>
              <w:ind w:left="0" w:leftChars="0"/>
              <w:rPr>
                <w:rFonts w:hint="eastAsia" w:asciiTheme="minorEastAsia" w:hAnsiTheme="minorEastAsia" w:cstheme="minorEastAsia"/>
                <w:sz w:val="24"/>
                <w:szCs w:val="24"/>
              </w:rPr>
            </w:pPr>
          </w:p>
        </w:tc>
        <w:tc>
          <w:tcPr>
            <w:tcW w:w="993" w:type="dxa"/>
          </w:tcPr>
          <w:p>
            <w:pPr>
              <w:pStyle w:val="9"/>
              <w:spacing w:line="400" w:lineRule="exact"/>
              <w:ind w:left="0" w:leftChars="0"/>
              <w:rPr>
                <w:rFonts w:hint="eastAsia" w:asciiTheme="minorEastAsia" w:hAnsiTheme="minorEastAsia" w:cstheme="minorEastAsia"/>
                <w:sz w:val="24"/>
                <w:szCs w:val="24"/>
              </w:rPr>
            </w:pPr>
          </w:p>
        </w:tc>
        <w:tc>
          <w:tcPr>
            <w:tcW w:w="850" w:type="dxa"/>
          </w:tcPr>
          <w:p>
            <w:pPr>
              <w:pStyle w:val="9"/>
              <w:spacing w:line="400" w:lineRule="exact"/>
              <w:ind w:left="0" w:leftChars="0"/>
              <w:rPr>
                <w:rFonts w:hint="eastAsia" w:asciiTheme="minorEastAsia" w:hAnsiTheme="minorEastAsia" w:cstheme="minorEastAsia"/>
                <w:sz w:val="24"/>
                <w:szCs w:val="24"/>
              </w:rPr>
            </w:pPr>
          </w:p>
        </w:tc>
        <w:tc>
          <w:tcPr>
            <w:tcW w:w="851" w:type="dxa"/>
          </w:tcPr>
          <w:p>
            <w:pPr>
              <w:pStyle w:val="9"/>
              <w:spacing w:line="400" w:lineRule="exact"/>
              <w:ind w:left="0" w:leftChars="0"/>
              <w:rPr>
                <w:rFonts w:hint="eastAsia" w:asciiTheme="minorEastAsia" w:hAnsiTheme="minorEastAsia" w:cstheme="minorEastAsia"/>
                <w:sz w:val="24"/>
                <w:szCs w:val="24"/>
              </w:rPr>
            </w:pPr>
          </w:p>
        </w:tc>
        <w:tc>
          <w:tcPr>
            <w:tcW w:w="907" w:type="dxa"/>
          </w:tcPr>
          <w:p>
            <w:pPr>
              <w:pStyle w:val="9"/>
              <w:spacing w:line="400" w:lineRule="exact"/>
              <w:ind w:left="0" w:leftChars="0"/>
              <w:rPr>
                <w:rFonts w:hint="eastAsia" w:asciiTheme="minorEastAsia" w:hAnsiTheme="minorEastAsia" w:cstheme="minorEastAsia"/>
                <w:sz w:val="24"/>
                <w:szCs w:val="24"/>
              </w:rPr>
            </w:pPr>
          </w:p>
        </w:tc>
        <w:tc>
          <w:tcPr>
            <w:tcW w:w="1333" w:type="dxa"/>
          </w:tcPr>
          <w:p>
            <w:pPr>
              <w:pStyle w:val="9"/>
              <w:spacing w:line="400" w:lineRule="exact"/>
              <w:ind w:left="0" w:leftChars="0"/>
              <w:rPr>
                <w:rFonts w:hint="eastAsia" w:asciiTheme="minorEastAsia" w:hAnsiTheme="minorEastAsia" w:cstheme="minorEastAsia"/>
                <w:sz w:val="24"/>
                <w:szCs w:val="24"/>
              </w:rPr>
            </w:pPr>
          </w:p>
        </w:tc>
        <w:tc>
          <w:tcPr>
            <w:tcW w:w="1500" w:type="dxa"/>
          </w:tcPr>
          <w:p>
            <w:pPr>
              <w:pStyle w:val="9"/>
              <w:spacing w:line="400" w:lineRule="exact"/>
              <w:ind w:left="0" w:leftChars="0"/>
              <w:rPr>
                <w:rFonts w:hint="eastAsia" w:asciiTheme="minorEastAsia" w:hAnsiTheme="minorEastAsia" w:cstheme="minorEastAsia"/>
                <w:sz w:val="24"/>
                <w:szCs w:val="24"/>
              </w:rPr>
            </w:pPr>
          </w:p>
        </w:tc>
        <w:tc>
          <w:tcPr>
            <w:tcW w:w="1262" w:type="dxa"/>
          </w:tcPr>
          <w:p>
            <w:pPr>
              <w:pStyle w:val="9"/>
              <w:spacing w:line="400" w:lineRule="exact"/>
              <w:ind w:left="0" w:leftChars="0"/>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9"/>
              <w:spacing w:line="400" w:lineRule="exact"/>
              <w:ind w:left="0" w:leftChars="0"/>
              <w:rPr>
                <w:rFonts w:hint="eastAsia" w:asciiTheme="minorEastAsia" w:hAnsiTheme="minorEastAsia" w:cstheme="minorEastAsia"/>
                <w:sz w:val="24"/>
                <w:szCs w:val="24"/>
              </w:rPr>
            </w:pPr>
          </w:p>
        </w:tc>
        <w:tc>
          <w:tcPr>
            <w:tcW w:w="993" w:type="dxa"/>
          </w:tcPr>
          <w:p>
            <w:pPr>
              <w:pStyle w:val="9"/>
              <w:spacing w:line="400" w:lineRule="exact"/>
              <w:ind w:left="0" w:leftChars="0"/>
              <w:rPr>
                <w:rFonts w:hint="eastAsia" w:asciiTheme="minorEastAsia" w:hAnsiTheme="minorEastAsia" w:cstheme="minorEastAsia"/>
                <w:sz w:val="24"/>
                <w:szCs w:val="24"/>
              </w:rPr>
            </w:pPr>
          </w:p>
        </w:tc>
        <w:tc>
          <w:tcPr>
            <w:tcW w:w="850" w:type="dxa"/>
          </w:tcPr>
          <w:p>
            <w:pPr>
              <w:pStyle w:val="9"/>
              <w:spacing w:line="400" w:lineRule="exact"/>
              <w:ind w:left="0" w:leftChars="0"/>
              <w:rPr>
                <w:rFonts w:hint="eastAsia" w:asciiTheme="minorEastAsia" w:hAnsiTheme="minorEastAsia" w:cstheme="minorEastAsia"/>
                <w:sz w:val="24"/>
                <w:szCs w:val="24"/>
              </w:rPr>
            </w:pPr>
          </w:p>
        </w:tc>
        <w:tc>
          <w:tcPr>
            <w:tcW w:w="851" w:type="dxa"/>
          </w:tcPr>
          <w:p>
            <w:pPr>
              <w:pStyle w:val="9"/>
              <w:spacing w:line="400" w:lineRule="exact"/>
              <w:ind w:left="0" w:leftChars="0"/>
              <w:rPr>
                <w:rFonts w:hint="eastAsia" w:asciiTheme="minorEastAsia" w:hAnsiTheme="minorEastAsia" w:cstheme="minorEastAsia"/>
                <w:sz w:val="24"/>
                <w:szCs w:val="24"/>
              </w:rPr>
            </w:pPr>
          </w:p>
        </w:tc>
        <w:tc>
          <w:tcPr>
            <w:tcW w:w="907" w:type="dxa"/>
          </w:tcPr>
          <w:p>
            <w:pPr>
              <w:pStyle w:val="9"/>
              <w:spacing w:line="400" w:lineRule="exact"/>
              <w:ind w:left="0" w:leftChars="0"/>
              <w:rPr>
                <w:rFonts w:hint="eastAsia" w:asciiTheme="minorEastAsia" w:hAnsiTheme="minorEastAsia" w:cstheme="minorEastAsia"/>
                <w:sz w:val="24"/>
                <w:szCs w:val="24"/>
              </w:rPr>
            </w:pPr>
          </w:p>
        </w:tc>
        <w:tc>
          <w:tcPr>
            <w:tcW w:w="1333" w:type="dxa"/>
          </w:tcPr>
          <w:p>
            <w:pPr>
              <w:pStyle w:val="9"/>
              <w:spacing w:line="400" w:lineRule="exact"/>
              <w:ind w:left="0" w:leftChars="0"/>
              <w:rPr>
                <w:rFonts w:hint="eastAsia" w:asciiTheme="minorEastAsia" w:hAnsiTheme="minorEastAsia" w:cstheme="minorEastAsia"/>
                <w:sz w:val="24"/>
                <w:szCs w:val="24"/>
              </w:rPr>
            </w:pPr>
          </w:p>
        </w:tc>
        <w:tc>
          <w:tcPr>
            <w:tcW w:w="1500" w:type="dxa"/>
          </w:tcPr>
          <w:p>
            <w:pPr>
              <w:pStyle w:val="9"/>
              <w:spacing w:line="400" w:lineRule="exact"/>
              <w:ind w:left="0" w:leftChars="0"/>
              <w:rPr>
                <w:rFonts w:hint="eastAsia" w:asciiTheme="minorEastAsia" w:hAnsiTheme="minorEastAsia" w:cstheme="minorEastAsia"/>
                <w:sz w:val="24"/>
                <w:szCs w:val="24"/>
              </w:rPr>
            </w:pPr>
          </w:p>
        </w:tc>
        <w:tc>
          <w:tcPr>
            <w:tcW w:w="1262" w:type="dxa"/>
          </w:tcPr>
          <w:p>
            <w:pPr>
              <w:pStyle w:val="9"/>
              <w:spacing w:line="400" w:lineRule="exact"/>
              <w:ind w:left="0" w:leftChars="0"/>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9"/>
              <w:spacing w:line="400" w:lineRule="exact"/>
              <w:ind w:left="0" w:leftChars="0"/>
              <w:rPr>
                <w:rFonts w:hint="eastAsia" w:asciiTheme="minorEastAsia" w:hAnsiTheme="minorEastAsia" w:cstheme="minorEastAsia"/>
                <w:sz w:val="24"/>
                <w:szCs w:val="24"/>
              </w:rPr>
            </w:pPr>
          </w:p>
        </w:tc>
        <w:tc>
          <w:tcPr>
            <w:tcW w:w="993" w:type="dxa"/>
          </w:tcPr>
          <w:p>
            <w:pPr>
              <w:pStyle w:val="9"/>
              <w:spacing w:line="400" w:lineRule="exact"/>
              <w:ind w:left="0" w:leftChars="0"/>
              <w:rPr>
                <w:rFonts w:hint="eastAsia" w:asciiTheme="minorEastAsia" w:hAnsiTheme="minorEastAsia" w:cstheme="minorEastAsia"/>
                <w:sz w:val="24"/>
                <w:szCs w:val="24"/>
              </w:rPr>
            </w:pPr>
          </w:p>
        </w:tc>
        <w:tc>
          <w:tcPr>
            <w:tcW w:w="850" w:type="dxa"/>
          </w:tcPr>
          <w:p>
            <w:pPr>
              <w:pStyle w:val="9"/>
              <w:spacing w:line="400" w:lineRule="exact"/>
              <w:ind w:left="0" w:leftChars="0"/>
              <w:rPr>
                <w:rFonts w:hint="eastAsia" w:asciiTheme="minorEastAsia" w:hAnsiTheme="minorEastAsia" w:cstheme="minorEastAsia"/>
                <w:sz w:val="24"/>
                <w:szCs w:val="24"/>
              </w:rPr>
            </w:pPr>
          </w:p>
        </w:tc>
        <w:tc>
          <w:tcPr>
            <w:tcW w:w="851" w:type="dxa"/>
          </w:tcPr>
          <w:p>
            <w:pPr>
              <w:pStyle w:val="9"/>
              <w:spacing w:line="400" w:lineRule="exact"/>
              <w:ind w:left="0" w:leftChars="0"/>
              <w:rPr>
                <w:rFonts w:hint="eastAsia" w:asciiTheme="minorEastAsia" w:hAnsiTheme="minorEastAsia" w:cstheme="minorEastAsia"/>
                <w:sz w:val="24"/>
                <w:szCs w:val="24"/>
              </w:rPr>
            </w:pPr>
          </w:p>
        </w:tc>
        <w:tc>
          <w:tcPr>
            <w:tcW w:w="907" w:type="dxa"/>
          </w:tcPr>
          <w:p>
            <w:pPr>
              <w:pStyle w:val="9"/>
              <w:spacing w:line="400" w:lineRule="exact"/>
              <w:ind w:left="0" w:leftChars="0"/>
              <w:rPr>
                <w:rFonts w:hint="eastAsia" w:asciiTheme="minorEastAsia" w:hAnsiTheme="minorEastAsia" w:cstheme="minorEastAsia"/>
                <w:sz w:val="24"/>
                <w:szCs w:val="24"/>
              </w:rPr>
            </w:pPr>
          </w:p>
        </w:tc>
        <w:tc>
          <w:tcPr>
            <w:tcW w:w="1333" w:type="dxa"/>
          </w:tcPr>
          <w:p>
            <w:pPr>
              <w:pStyle w:val="9"/>
              <w:spacing w:line="400" w:lineRule="exact"/>
              <w:ind w:left="0" w:leftChars="0"/>
              <w:rPr>
                <w:rFonts w:hint="eastAsia" w:asciiTheme="minorEastAsia" w:hAnsiTheme="minorEastAsia" w:cstheme="minorEastAsia"/>
                <w:sz w:val="24"/>
                <w:szCs w:val="24"/>
              </w:rPr>
            </w:pPr>
          </w:p>
        </w:tc>
        <w:tc>
          <w:tcPr>
            <w:tcW w:w="1500" w:type="dxa"/>
          </w:tcPr>
          <w:p>
            <w:pPr>
              <w:pStyle w:val="9"/>
              <w:spacing w:line="400" w:lineRule="exact"/>
              <w:ind w:left="0" w:leftChars="0"/>
              <w:rPr>
                <w:rFonts w:hint="eastAsia" w:asciiTheme="minorEastAsia" w:hAnsiTheme="minorEastAsia" w:cstheme="minorEastAsia"/>
                <w:sz w:val="24"/>
                <w:szCs w:val="24"/>
              </w:rPr>
            </w:pPr>
          </w:p>
        </w:tc>
        <w:tc>
          <w:tcPr>
            <w:tcW w:w="1262" w:type="dxa"/>
          </w:tcPr>
          <w:p>
            <w:pPr>
              <w:pStyle w:val="9"/>
              <w:spacing w:line="400" w:lineRule="exact"/>
              <w:ind w:left="0" w:leftChars="0"/>
              <w:rPr>
                <w:rFonts w:hint="eastAsia" w:asciiTheme="minorEastAsia" w:hAnsiTheme="minorEastAsia" w:cstheme="minorEastAsia"/>
                <w:sz w:val="24"/>
                <w:szCs w:val="24"/>
              </w:rPr>
            </w:pPr>
          </w:p>
        </w:tc>
      </w:tr>
    </w:tbl>
    <w:p>
      <w:pPr>
        <w:rPr>
          <w:rFonts w:ascii="宋体" w:hAnsi="宋体" w:cs="宋体"/>
          <w:sz w:val="28"/>
          <w:szCs w:val="28"/>
        </w:rPr>
      </w:pPr>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
      <w:pPr>
        <w:pStyle w:val="19"/>
      </w:pPr>
    </w:p>
    <w:p>
      <w:pPr>
        <w:pStyle w:val="8"/>
      </w:pPr>
    </w:p>
    <w:p>
      <w:pPr>
        <w:pStyle w:val="8"/>
      </w:pPr>
    </w:p>
    <w:p>
      <w:pPr>
        <w:outlineLvl w:val="2"/>
        <w:rPr>
          <w:b/>
          <w:bCs/>
          <w:sz w:val="28"/>
          <w:szCs w:val="28"/>
        </w:rPr>
      </w:pPr>
      <w:r>
        <w:rPr>
          <w:rStyle w:val="28"/>
          <w:rFonts w:hint="eastAsia"/>
          <w:b/>
          <w:bCs/>
          <w:szCs w:val="28"/>
        </w:rPr>
        <w:t>（五）拟投入人员的相关工作业绩、资历及能力</w:t>
      </w:r>
    </w:p>
    <w:tbl>
      <w:tblPr>
        <w:tblStyle w:val="16"/>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426"/>
        <w:gridCol w:w="416"/>
        <w:gridCol w:w="1282"/>
        <w:gridCol w:w="1893"/>
        <w:gridCol w:w="394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94" w:hRule="atLeast"/>
          <w:jc w:val="center"/>
        </w:trPr>
        <w:tc>
          <w:tcPr>
            <w:tcW w:w="1426" w:type="dxa"/>
            <w:vAlign w:val="center"/>
          </w:tcPr>
          <w:p>
            <w:pPr>
              <w:spacing w:line="440" w:lineRule="exact"/>
              <w:jc w:val="center"/>
              <w:rPr>
                <w:rFonts w:ascii="宋体" w:hAnsi="宋体"/>
                <w:bCs/>
                <w:sz w:val="24"/>
              </w:rPr>
            </w:pPr>
            <w:r>
              <w:rPr>
                <w:rFonts w:hint="eastAsia" w:ascii="宋体" w:hAnsi="宋体"/>
                <w:bCs/>
                <w:sz w:val="24"/>
              </w:rPr>
              <w:t>姓  名</w:t>
            </w:r>
          </w:p>
        </w:tc>
        <w:tc>
          <w:tcPr>
            <w:tcW w:w="1698" w:type="dxa"/>
            <w:gridSpan w:val="2"/>
            <w:vAlign w:val="center"/>
          </w:tcPr>
          <w:p>
            <w:pPr>
              <w:spacing w:line="440" w:lineRule="exact"/>
              <w:jc w:val="center"/>
              <w:rPr>
                <w:rFonts w:ascii="宋体" w:hAnsi="宋体"/>
                <w:bCs/>
                <w:sz w:val="24"/>
              </w:rPr>
            </w:pPr>
          </w:p>
        </w:tc>
        <w:tc>
          <w:tcPr>
            <w:tcW w:w="1893" w:type="dxa"/>
            <w:vAlign w:val="center"/>
          </w:tcPr>
          <w:p>
            <w:pPr>
              <w:spacing w:line="440" w:lineRule="exact"/>
              <w:jc w:val="center"/>
              <w:rPr>
                <w:rFonts w:ascii="宋体" w:hAnsi="宋体"/>
                <w:bCs/>
                <w:sz w:val="24"/>
              </w:rPr>
            </w:pPr>
            <w:r>
              <w:rPr>
                <w:rFonts w:hint="eastAsia" w:ascii="宋体" w:hAnsi="宋体"/>
                <w:bCs/>
                <w:sz w:val="24"/>
              </w:rPr>
              <w:t>年 龄</w:t>
            </w:r>
          </w:p>
        </w:tc>
        <w:tc>
          <w:tcPr>
            <w:tcW w:w="3949" w:type="dxa"/>
            <w:vAlign w:val="center"/>
          </w:tcPr>
          <w:p>
            <w:pPr>
              <w:spacing w:line="440" w:lineRule="exact"/>
              <w:jc w:val="center"/>
              <w:rPr>
                <w:rFonts w:ascii="宋体" w:hAnsi="宋体"/>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sz w:val="24"/>
              </w:rPr>
            </w:pPr>
            <w:r>
              <w:rPr>
                <w:rFonts w:hint="eastAsia" w:ascii="宋体" w:hAnsi="宋体"/>
                <w:bCs/>
                <w:sz w:val="24"/>
              </w:rPr>
              <w:t>性别</w:t>
            </w:r>
          </w:p>
        </w:tc>
        <w:tc>
          <w:tcPr>
            <w:tcW w:w="1698" w:type="dxa"/>
            <w:gridSpan w:val="2"/>
            <w:vAlign w:val="center"/>
          </w:tcPr>
          <w:p>
            <w:pPr>
              <w:spacing w:line="440" w:lineRule="exact"/>
              <w:jc w:val="center"/>
              <w:rPr>
                <w:rFonts w:ascii="宋体" w:hAnsi="宋体"/>
                <w:bCs/>
                <w:sz w:val="24"/>
              </w:rPr>
            </w:pPr>
          </w:p>
        </w:tc>
        <w:tc>
          <w:tcPr>
            <w:tcW w:w="1893" w:type="dxa"/>
            <w:vAlign w:val="center"/>
          </w:tcPr>
          <w:p>
            <w:pPr>
              <w:spacing w:line="440" w:lineRule="exact"/>
              <w:jc w:val="center"/>
              <w:rPr>
                <w:rFonts w:ascii="宋体" w:hAnsi="宋体" w:eastAsia="宋体"/>
                <w:bCs/>
                <w:sz w:val="24"/>
              </w:rPr>
            </w:pPr>
            <w:r>
              <w:rPr>
                <w:rFonts w:hint="eastAsia" w:ascii="宋体" w:hAnsi="宋体"/>
                <w:bCs/>
                <w:sz w:val="24"/>
              </w:rPr>
              <w:t>学历（专业）</w:t>
            </w:r>
          </w:p>
        </w:tc>
        <w:tc>
          <w:tcPr>
            <w:tcW w:w="3949" w:type="dxa"/>
            <w:vAlign w:val="center"/>
          </w:tcPr>
          <w:p>
            <w:pPr>
              <w:spacing w:line="440" w:lineRule="exact"/>
              <w:jc w:val="center"/>
              <w:rPr>
                <w:rFonts w:ascii="宋体" w:hAnsi="宋体"/>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sz w:val="24"/>
              </w:rPr>
            </w:pPr>
            <w:r>
              <w:rPr>
                <w:rFonts w:hint="eastAsia" w:ascii="宋体" w:hAnsi="宋体"/>
                <w:bCs/>
                <w:sz w:val="24"/>
              </w:rPr>
              <w:t>职  称</w:t>
            </w:r>
          </w:p>
        </w:tc>
        <w:tc>
          <w:tcPr>
            <w:tcW w:w="1698" w:type="dxa"/>
            <w:gridSpan w:val="2"/>
            <w:vAlign w:val="center"/>
          </w:tcPr>
          <w:p>
            <w:pPr>
              <w:spacing w:line="440" w:lineRule="exact"/>
              <w:jc w:val="center"/>
              <w:rPr>
                <w:rFonts w:ascii="宋体" w:hAnsi="宋体"/>
                <w:bCs/>
                <w:sz w:val="24"/>
              </w:rPr>
            </w:pPr>
          </w:p>
        </w:tc>
        <w:tc>
          <w:tcPr>
            <w:tcW w:w="1893" w:type="dxa"/>
            <w:vAlign w:val="center"/>
          </w:tcPr>
          <w:p>
            <w:pPr>
              <w:pStyle w:val="29"/>
              <w:jc w:val="center"/>
              <w:rPr>
                <w:rFonts w:hAnsi="宋体"/>
                <w:szCs w:val="21"/>
              </w:rPr>
            </w:pPr>
            <w:r>
              <w:rPr>
                <w:rFonts w:hAnsi="宋体"/>
                <w:szCs w:val="21"/>
              </w:rPr>
              <w:t>执业资格或岗位</w:t>
            </w:r>
          </w:p>
          <w:p>
            <w:pPr>
              <w:spacing w:line="440" w:lineRule="exact"/>
              <w:jc w:val="center"/>
              <w:rPr>
                <w:rFonts w:ascii="宋体" w:hAnsi="宋体" w:eastAsia="宋体"/>
                <w:bCs/>
                <w:sz w:val="24"/>
              </w:rPr>
            </w:pPr>
            <w:r>
              <w:rPr>
                <w:rFonts w:hAnsi="宋体" w:eastAsia="宋体" w:cs="Times New Roman"/>
                <w:szCs w:val="21"/>
              </w:rPr>
              <w:t>（培训）证书</w:t>
            </w:r>
            <w:r>
              <w:rPr>
                <w:rFonts w:hint="eastAsia" w:hAnsi="宋体" w:cs="Times New Roman"/>
                <w:szCs w:val="21"/>
              </w:rPr>
              <w:t>（专业、编号）</w:t>
            </w:r>
          </w:p>
        </w:tc>
        <w:tc>
          <w:tcPr>
            <w:tcW w:w="3949" w:type="dxa"/>
            <w:vAlign w:val="center"/>
          </w:tcPr>
          <w:p>
            <w:pPr>
              <w:spacing w:line="440" w:lineRule="exact"/>
              <w:jc w:val="center"/>
              <w:rPr>
                <w:rFonts w:ascii="宋体" w:hAnsi="宋体"/>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sz w:val="24"/>
              </w:rPr>
            </w:pPr>
            <w:r>
              <w:rPr>
                <w:rFonts w:hint="eastAsia" w:ascii="宋体" w:hAnsi="宋体"/>
                <w:bCs/>
                <w:sz w:val="24"/>
              </w:rPr>
              <w:t>拟任职务</w:t>
            </w:r>
          </w:p>
        </w:tc>
        <w:tc>
          <w:tcPr>
            <w:tcW w:w="1698" w:type="dxa"/>
            <w:gridSpan w:val="2"/>
            <w:vAlign w:val="center"/>
          </w:tcPr>
          <w:p>
            <w:pPr>
              <w:spacing w:line="440" w:lineRule="exact"/>
              <w:jc w:val="center"/>
              <w:rPr>
                <w:rFonts w:ascii="宋体" w:hAnsi="宋体"/>
                <w:bCs/>
                <w:sz w:val="24"/>
              </w:rPr>
            </w:pPr>
          </w:p>
        </w:tc>
        <w:tc>
          <w:tcPr>
            <w:tcW w:w="1893" w:type="dxa"/>
            <w:vAlign w:val="center"/>
          </w:tcPr>
          <w:p>
            <w:pPr>
              <w:spacing w:line="440" w:lineRule="exact"/>
              <w:jc w:val="center"/>
              <w:rPr>
                <w:rFonts w:ascii="宋体" w:hAnsi="宋体"/>
                <w:bCs/>
                <w:sz w:val="24"/>
              </w:rPr>
            </w:pPr>
            <w:r>
              <w:rPr>
                <w:rFonts w:hAnsi="宋体" w:eastAsia="宋体" w:cs="Times New Roman"/>
                <w:szCs w:val="21"/>
              </w:rPr>
              <w:t>工作年限</w:t>
            </w:r>
          </w:p>
        </w:tc>
        <w:tc>
          <w:tcPr>
            <w:tcW w:w="3949" w:type="dxa"/>
            <w:vAlign w:val="center"/>
          </w:tcPr>
          <w:p>
            <w:pPr>
              <w:spacing w:line="440" w:lineRule="exact"/>
              <w:jc w:val="center"/>
              <w:rPr>
                <w:rFonts w:ascii="宋体" w:hAnsi="宋体"/>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01" w:hRule="atLeast"/>
          <w:jc w:val="center"/>
        </w:trPr>
        <w:tc>
          <w:tcPr>
            <w:tcW w:w="8966" w:type="dxa"/>
            <w:gridSpan w:val="5"/>
            <w:vAlign w:val="center"/>
          </w:tcPr>
          <w:p>
            <w:pPr>
              <w:spacing w:line="440" w:lineRule="exact"/>
              <w:jc w:val="center"/>
              <w:rPr>
                <w:rFonts w:ascii="宋体" w:hAnsi="宋体"/>
                <w:bCs/>
                <w:sz w:val="24"/>
              </w:rPr>
            </w:pPr>
            <w:r>
              <w:rPr>
                <w:rFonts w:hint="eastAsia" w:ascii="宋体" w:hAnsi="宋体"/>
                <w:bCs/>
                <w:sz w:val="24"/>
              </w:rPr>
              <w:t>主要工作经历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29" w:hRule="atLeast"/>
          <w:jc w:val="center"/>
        </w:trPr>
        <w:tc>
          <w:tcPr>
            <w:tcW w:w="1842" w:type="dxa"/>
            <w:gridSpan w:val="2"/>
            <w:vAlign w:val="center"/>
          </w:tcPr>
          <w:p>
            <w:pPr>
              <w:spacing w:line="440" w:lineRule="exact"/>
              <w:jc w:val="center"/>
              <w:rPr>
                <w:rFonts w:ascii="宋体" w:hAnsi="宋体"/>
                <w:bCs/>
                <w:sz w:val="24"/>
              </w:rPr>
            </w:pPr>
            <w:r>
              <w:rPr>
                <w:rFonts w:hint="eastAsia" w:ascii="宋体" w:hAnsi="宋体"/>
                <w:bCs/>
                <w:sz w:val="24"/>
              </w:rPr>
              <w:t>时  间</w:t>
            </w:r>
          </w:p>
        </w:tc>
        <w:tc>
          <w:tcPr>
            <w:tcW w:w="7124" w:type="dxa"/>
            <w:gridSpan w:val="3"/>
            <w:vAlign w:val="center"/>
          </w:tcPr>
          <w:p>
            <w:pPr>
              <w:spacing w:line="440" w:lineRule="exact"/>
              <w:jc w:val="center"/>
              <w:rPr>
                <w:rFonts w:ascii="宋体" w:hAnsi="宋体"/>
                <w:bCs/>
                <w:sz w:val="24"/>
              </w:rPr>
            </w:pPr>
            <w:r>
              <w:rPr>
                <w:rFonts w:hint="eastAsia" w:ascii="宋体" w:hAnsi="宋体"/>
                <w:bCs/>
                <w:sz w:val="24"/>
              </w:rPr>
              <w:t>参加过的类似项目</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13" w:hRule="atLeast"/>
          <w:jc w:val="center"/>
        </w:trPr>
        <w:tc>
          <w:tcPr>
            <w:tcW w:w="1842" w:type="dxa"/>
            <w:gridSpan w:val="2"/>
          </w:tcPr>
          <w:p>
            <w:pPr>
              <w:spacing w:line="440" w:lineRule="exact"/>
              <w:rPr>
                <w:rFonts w:ascii="宋体" w:hAnsi="宋体"/>
                <w:bCs/>
                <w:sz w:val="24"/>
              </w:rPr>
            </w:pPr>
          </w:p>
        </w:tc>
        <w:tc>
          <w:tcPr>
            <w:tcW w:w="7124" w:type="dxa"/>
            <w:gridSpan w:val="3"/>
          </w:tcPr>
          <w:p>
            <w:pPr>
              <w:spacing w:line="440" w:lineRule="exact"/>
              <w:rPr>
                <w:rFonts w:ascii="宋体" w:hAnsi="宋体"/>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53" w:hRule="atLeast"/>
          <w:jc w:val="center"/>
        </w:trPr>
        <w:tc>
          <w:tcPr>
            <w:tcW w:w="1842" w:type="dxa"/>
            <w:gridSpan w:val="2"/>
          </w:tcPr>
          <w:p>
            <w:pPr>
              <w:spacing w:line="440" w:lineRule="exact"/>
              <w:rPr>
                <w:rFonts w:eastAsia="黑体"/>
                <w:bCs/>
                <w:sz w:val="24"/>
              </w:rPr>
            </w:pPr>
          </w:p>
        </w:tc>
        <w:tc>
          <w:tcPr>
            <w:tcW w:w="7124" w:type="dxa"/>
            <w:gridSpan w:val="3"/>
          </w:tcPr>
          <w:p>
            <w:pPr>
              <w:spacing w:line="440" w:lineRule="exact"/>
              <w:rPr>
                <w:rFonts w:eastAsia="黑体"/>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97" w:hRule="atLeast"/>
          <w:jc w:val="center"/>
        </w:trPr>
        <w:tc>
          <w:tcPr>
            <w:tcW w:w="1842" w:type="dxa"/>
            <w:gridSpan w:val="2"/>
          </w:tcPr>
          <w:p>
            <w:pPr>
              <w:spacing w:line="440" w:lineRule="exact"/>
              <w:rPr>
                <w:rFonts w:eastAsia="黑体"/>
                <w:bCs/>
                <w:sz w:val="24"/>
              </w:rPr>
            </w:pPr>
          </w:p>
        </w:tc>
        <w:tc>
          <w:tcPr>
            <w:tcW w:w="7124" w:type="dxa"/>
            <w:gridSpan w:val="3"/>
          </w:tcPr>
          <w:p>
            <w:pPr>
              <w:spacing w:line="440" w:lineRule="exact"/>
              <w:rPr>
                <w:rFonts w:eastAsia="黑体"/>
                <w:bCs/>
                <w:sz w:val="24"/>
              </w:rPr>
            </w:pPr>
          </w:p>
        </w:tc>
      </w:tr>
    </w:tbl>
    <w:p/>
    <w:p>
      <w:pPr>
        <w:rPr>
          <w:rFonts w:ascii="宋体" w:hAnsi="宋体"/>
          <w:sz w:val="28"/>
          <w:szCs w:val="28"/>
        </w:rPr>
      </w:pPr>
      <w:r>
        <w:rPr>
          <w:rFonts w:hint="eastAsia" w:ascii="宋体" w:hAnsi="宋体"/>
          <w:sz w:val="28"/>
          <w:szCs w:val="28"/>
        </w:rPr>
        <w:t>此表须附学历、职称、资格证复印件、社保等证明材料。</w:t>
      </w:r>
    </w:p>
    <w:p/>
    <w:p>
      <w:pPr>
        <w:pStyle w:val="8"/>
      </w:pPr>
    </w:p>
    <w:p>
      <w:pPr>
        <w:pStyle w:val="19"/>
      </w:pPr>
    </w:p>
    <w:p>
      <w:pPr>
        <w:pStyle w:val="8"/>
      </w:pPr>
    </w:p>
    <w:p/>
    <w:p>
      <w:pPr>
        <w:pStyle w:val="19"/>
      </w:pPr>
    </w:p>
    <w:p>
      <w:pPr>
        <w:pStyle w:val="8"/>
      </w:pPr>
    </w:p>
    <w:p/>
    <w:p>
      <w:pPr>
        <w:pStyle w:val="19"/>
      </w:pPr>
    </w:p>
    <w:p/>
    <w:p>
      <w:pPr>
        <w:ind w:right="753"/>
        <w:jc w:val="left"/>
        <w:rPr>
          <w:rFonts w:ascii="宋体" w:hAnsi="宋体" w:cs="宋体"/>
          <w:sz w:val="28"/>
          <w:szCs w:val="28"/>
        </w:rPr>
      </w:pPr>
      <w:bookmarkStart w:id="306" w:name="_Toc16345"/>
      <w:bookmarkStart w:id="307" w:name="_Toc25790"/>
      <w:r>
        <w:rPr>
          <w:rFonts w:hint="eastAsia" w:ascii="宋体" w:hAnsi="宋体" w:cs="宋体"/>
          <w:sz w:val="28"/>
          <w:szCs w:val="28"/>
        </w:rPr>
        <w:t>（封面格式）</w:t>
      </w:r>
    </w:p>
    <w:p>
      <w:pPr>
        <w:ind w:right="753"/>
        <w:jc w:val="left"/>
        <w:rPr>
          <w:rFonts w:hint="eastAsia" w:ascii="宋体" w:hAnsi="宋体" w:cs="宋体"/>
          <w:sz w:val="28"/>
          <w:szCs w:val="28"/>
        </w:rPr>
      </w:pPr>
    </w:p>
    <w:p>
      <w:pPr>
        <w:ind w:right="753"/>
        <w:jc w:val="left"/>
        <w:rPr>
          <w:rFonts w:hint="eastAsia" w:ascii="宋体" w:hAnsi="宋体" w:cs="宋体"/>
          <w:sz w:val="28"/>
          <w:szCs w:val="28"/>
        </w:rPr>
      </w:pPr>
    </w:p>
    <w:p>
      <w:pPr>
        <w:spacing w:line="240" w:lineRule="auto"/>
        <w:ind w:right="753"/>
        <w:jc w:val="center"/>
        <w:rPr>
          <w:rFonts w:hint="eastAsia" w:asciiTheme="minorEastAsia" w:hAnsiTheme="minorEastAsia" w:cstheme="minorEastAsia"/>
          <w:sz w:val="28"/>
          <w:szCs w:val="28"/>
        </w:rPr>
      </w:pPr>
      <w:r>
        <w:rPr>
          <w:rFonts w:hint="eastAsia" w:ascii="宋体" w:hAnsi="宋体" w:cs="宋体"/>
          <w:sz w:val="28"/>
          <w:szCs w:val="28"/>
        </w:rPr>
        <w:t>六</w:t>
      </w:r>
      <w:r>
        <w:rPr>
          <w:rFonts w:hint="eastAsia" w:asciiTheme="minorEastAsia" w:hAnsiTheme="minorEastAsia" w:cstheme="minorEastAsia"/>
          <w:sz w:val="28"/>
          <w:szCs w:val="28"/>
        </w:rPr>
        <w:t>景火车站综合交通枢纽配套一期工程地质灾害危险性评估服务项目比选申请文件</w:t>
      </w:r>
    </w:p>
    <w:p>
      <w:pPr>
        <w:ind w:right="753"/>
        <w:jc w:val="center"/>
        <w:rPr>
          <w:rFonts w:hint="eastAsia"/>
          <w:sz w:val="28"/>
          <w:szCs w:val="28"/>
          <w:lang w:val="en-US" w:eastAsia="zh-CN"/>
        </w:rPr>
      </w:pPr>
    </w:p>
    <w:p>
      <w:pPr>
        <w:ind w:right="753"/>
        <w:jc w:val="center"/>
        <w:rPr>
          <w:rFonts w:hint="eastAsia"/>
          <w:sz w:val="28"/>
          <w:szCs w:val="28"/>
          <w:lang w:val="en-US" w:eastAsia="zh-CN"/>
        </w:rPr>
      </w:pPr>
    </w:p>
    <w:p>
      <w:pPr>
        <w:ind w:right="753"/>
        <w:jc w:val="center"/>
        <w:rPr>
          <w:rFonts w:hint="eastAsia"/>
          <w:sz w:val="28"/>
          <w:szCs w:val="28"/>
          <w:lang w:val="en-US" w:eastAsia="zh-CN"/>
        </w:rPr>
      </w:pPr>
    </w:p>
    <w:p>
      <w:pPr>
        <w:ind w:right="753"/>
        <w:jc w:val="center"/>
      </w:pPr>
      <w:r>
        <w:rPr>
          <w:rFonts w:hint="eastAsia"/>
          <w:sz w:val="28"/>
          <w:szCs w:val="28"/>
          <w:lang w:val="en-US" w:eastAsia="zh-CN"/>
        </w:rPr>
        <w:t>三、报价</w:t>
      </w:r>
      <w:r>
        <w:rPr>
          <w:sz w:val="28"/>
          <w:szCs w:val="28"/>
        </w:rPr>
        <w:t>部分</w:t>
      </w: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比选申请人：                             （盖章）</w:t>
      </w:r>
    </w:p>
    <w:p>
      <w:pPr>
        <w:ind w:right="753"/>
        <w:jc w:val="left"/>
        <w:rPr>
          <w:rFonts w:ascii="宋体" w:hAnsi="宋体" w:cs="宋体"/>
          <w:sz w:val="28"/>
          <w:szCs w:val="28"/>
        </w:rPr>
      </w:pPr>
      <w:r>
        <w:rPr>
          <w:rFonts w:hint="eastAsia" w:ascii="宋体" w:hAnsi="宋体" w:cs="宋体"/>
          <w:sz w:val="28"/>
          <w:szCs w:val="28"/>
        </w:rPr>
        <w:t>负责人或委托代理人：（签字或盖章）</w:t>
      </w:r>
    </w:p>
    <w:p>
      <w:pPr>
        <w:ind w:right="753"/>
        <w:jc w:val="left"/>
        <w:rPr>
          <w:rFonts w:ascii="宋体" w:hAnsi="宋体" w:cs="宋体"/>
          <w:sz w:val="28"/>
          <w:szCs w:val="28"/>
        </w:rPr>
      </w:pPr>
      <w:r>
        <w:rPr>
          <w:rFonts w:hint="eastAsia" w:ascii="宋体" w:hAnsi="宋体" w:cs="宋体"/>
          <w:sz w:val="28"/>
          <w:szCs w:val="28"/>
        </w:rPr>
        <w:t>电话/传真：</w:t>
      </w:r>
    </w:p>
    <w:p>
      <w:pPr>
        <w:ind w:right="753"/>
        <w:jc w:val="left"/>
        <w:rPr>
          <w:rFonts w:ascii="宋体" w:hAnsi="宋体" w:cs="宋体"/>
          <w:sz w:val="28"/>
          <w:szCs w:val="28"/>
        </w:rPr>
      </w:pPr>
      <w:r>
        <w:rPr>
          <w:rFonts w:hint="eastAsia" w:ascii="宋体" w:hAnsi="宋体" w:cs="宋体"/>
          <w:sz w:val="28"/>
          <w:szCs w:val="28"/>
        </w:rPr>
        <w:t>地址：</w:t>
      </w:r>
    </w:p>
    <w:p>
      <w:pPr>
        <w:ind w:right="753"/>
        <w:jc w:val="left"/>
        <w:rPr>
          <w:rFonts w:ascii="宋体" w:hAnsi="宋体" w:cs="宋体"/>
          <w:sz w:val="28"/>
          <w:szCs w:val="28"/>
        </w:rPr>
      </w:pPr>
      <w:r>
        <w:rPr>
          <w:rFonts w:hint="eastAsia" w:ascii="宋体" w:hAnsi="宋体" w:cs="宋体"/>
          <w:sz w:val="28"/>
          <w:szCs w:val="28"/>
        </w:rPr>
        <w:t xml:space="preserve">     年    月    日</w:t>
      </w:r>
    </w:p>
    <w:p>
      <w:pPr>
        <w:ind w:right="753"/>
        <w:jc w:val="left"/>
        <w:rPr>
          <w:rFonts w:ascii="宋体" w:hAnsi="宋体" w:cs="宋体"/>
          <w:sz w:val="28"/>
          <w:szCs w:val="28"/>
        </w:rPr>
      </w:pPr>
    </w:p>
    <w:p>
      <w:pPr>
        <w:pStyle w:val="4"/>
        <w:jc w:val="center"/>
        <w:rPr>
          <w:b/>
        </w:rPr>
      </w:pPr>
      <w:bookmarkStart w:id="308" w:name="_Toc15619"/>
      <w:bookmarkStart w:id="309" w:name="_Toc20924"/>
      <w:bookmarkStart w:id="310" w:name="_Toc30801"/>
      <w:r>
        <w:rPr>
          <w:rFonts w:hint="eastAsia"/>
          <w:b/>
        </w:rPr>
        <w:t>三、报价部分材料目录</w:t>
      </w:r>
      <w:bookmarkEnd w:id="306"/>
      <w:bookmarkEnd w:id="307"/>
      <w:bookmarkEnd w:id="308"/>
      <w:bookmarkEnd w:id="309"/>
      <w:bookmarkEnd w:id="310"/>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（一）报价表。</w:t>
      </w:r>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Pr>
        <w:pStyle w:val="8"/>
      </w:pPr>
    </w:p>
    <w:p/>
    <w:p>
      <w:pPr>
        <w:pStyle w:val="19"/>
      </w:pPr>
    </w:p>
    <w:p>
      <w:pPr>
        <w:pStyle w:val="8"/>
      </w:pPr>
    </w:p>
    <w:p>
      <w:pPr>
        <w:pStyle w:val="5"/>
        <w:numPr>
          <w:ilvl w:val="255"/>
          <w:numId w:val="0"/>
        </w:numPr>
        <w:spacing w:line="360" w:lineRule="auto"/>
        <w:rPr>
          <w:b/>
          <w:bCs/>
        </w:rPr>
      </w:pPr>
      <w:r>
        <w:rPr>
          <w:rFonts w:hint="eastAsia"/>
          <w:b/>
          <w:bCs/>
        </w:rPr>
        <w:t>（一）报价表（格式）</w:t>
      </w:r>
    </w:p>
    <w:p>
      <w:pPr>
        <w:ind w:right="753"/>
        <w:jc w:val="center"/>
        <w:rPr>
          <w:rFonts w:eastAsia="宋体"/>
          <w:b/>
          <w:sz w:val="28"/>
          <w:szCs w:val="28"/>
        </w:rPr>
      </w:pPr>
      <w:r>
        <w:rPr>
          <w:rFonts w:hint="eastAsia" w:asciiTheme="minorEastAsia" w:hAnsiTheme="minorEastAsia" w:eastAsiaTheme="minorEastAsia" w:cstheme="minorEastAsia"/>
          <w:b/>
          <w:sz w:val="28"/>
          <w:szCs w:val="28"/>
        </w:rPr>
        <w:t>1、报价表</w:t>
      </w:r>
    </w:p>
    <w:tbl>
      <w:tblPr>
        <w:tblStyle w:val="16"/>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642"/>
        <w:gridCol w:w="225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08" w:type="dxa"/>
            <w:vAlign w:val="center"/>
          </w:tcPr>
          <w:p>
            <w:pPr>
              <w:ind w:right="75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2642" w:type="dxa"/>
            <w:vAlign w:val="center"/>
          </w:tcPr>
          <w:p>
            <w:pPr>
              <w:ind w:right="75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w:t>
            </w:r>
          </w:p>
        </w:tc>
        <w:tc>
          <w:tcPr>
            <w:tcW w:w="2250" w:type="dxa"/>
            <w:vAlign w:val="center"/>
          </w:tcPr>
          <w:p>
            <w:pPr>
              <w:ind w:right="75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w:t>
            </w:r>
          </w:p>
        </w:tc>
        <w:tc>
          <w:tcPr>
            <w:tcW w:w="2115" w:type="dxa"/>
            <w:vAlign w:val="center"/>
          </w:tcPr>
          <w:p>
            <w:pPr>
              <w:ind w:right="75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108" w:type="dxa"/>
            <w:vMerge w:val="restart"/>
            <w:vAlign w:val="center"/>
          </w:tcPr>
          <w:p>
            <w:pPr>
              <w:ind w:right="753"/>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rPr>
              <w:t>六景火车站综合交通枢纽配套一期工程地质灾害危险性评估服务项目</w:t>
            </w:r>
          </w:p>
        </w:tc>
        <w:tc>
          <w:tcPr>
            <w:tcW w:w="2642" w:type="dxa"/>
            <w:vAlign w:val="center"/>
          </w:tcPr>
          <w:p>
            <w:pPr>
              <w:numPr>
                <w:ilvl w:val="0"/>
                <w:numId w:val="7"/>
              </w:numPr>
              <w:ind w:right="75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不含税报价</w:t>
            </w:r>
          </w:p>
          <w:p>
            <w:pPr>
              <w:numPr>
                <w:ilvl w:val="255"/>
                <w:numId w:val="0"/>
              </w:numPr>
              <w:ind w:right="75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（单位：元）</w:t>
            </w:r>
          </w:p>
        </w:tc>
        <w:tc>
          <w:tcPr>
            <w:tcW w:w="2250" w:type="dxa"/>
            <w:vAlign w:val="center"/>
          </w:tcPr>
          <w:p>
            <w:pPr>
              <w:ind w:right="753"/>
              <w:jc w:val="left"/>
              <w:rPr>
                <w:rFonts w:hint="eastAsia" w:asciiTheme="minorEastAsia" w:hAnsiTheme="minorEastAsia" w:eastAsiaTheme="minorEastAsia" w:cstheme="minorEastAsia"/>
                <w:sz w:val="24"/>
                <w:szCs w:val="24"/>
              </w:rPr>
            </w:pPr>
          </w:p>
        </w:tc>
        <w:tc>
          <w:tcPr>
            <w:tcW w:w="2115" w:type="dxa"/>
            <w:vAlign w:val="center"/>
          </w:tcPr>
          <w:p>
            <w:pPr>
              <w:ind w:right="753"/>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hint="eastAsia" w:asciiTheme="minorEastAsia" w:hAnsiTheme="minorEastAsia" w:eastAsiaTheme="minorEastAsia" w:cstheme="minorEastAsia"/>
                <w:sz w:val="24"/>
                <w:szCs w:val="24"/>
              </w:rPr>
            </w:pPr>
          </w:p>
        </w:tc>
        <w:tc>
          <w:tcPr>
            <w:tcW w:w="2642" w:type="dxa"/>
            <w:vAlign w:val="center"/>
          </w:tcPr>
          <w:p>
            <w:pPr>
              <w:ind w:right="75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2.税率（单位：%）</w:t>
            </w:r>
          </w:p>
        </w:tc>
        <w:tc>
          <w:tcPr>
            <w:tcW w:w="2250" w:type="dxa"/>
            <w:vAlign w:val="center"/>
          </w:tcPr>
          <w:p>
            <w:pPr>
              <w:ind w:right="753"/>
              <w:jc w:val="left"/>
              <w:rPr>
                <w:rFonts w:hint="eastAsia" w:asciiTheme="minorEastAsia" w:hAnsiTheme="minorEastAsia" w:eastAsiaTheme="minorEastAsia" w:cstheme="minorEastAsia"/>
                <w:sz w:val="24"/>
                <w:szCs w:val="24"/>
              </w:rPr>
            </w:pPr>
          </w:p>
        </w:tc>
        <w:tc>
          <w:tcPr>
            <w:tcW w:w="2115" w:type="dxa"/>
            <w:vAlign w:val="center"/>
          </w:tcPr>
          <w:p>
            <w:pPr>
              <w:ind w:right="753"/>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hint="eastAsia" w:asciiTheme="minorEastAsia" w:hAnsiTheme="minorEastAsia" w:eastAsiaTheme="minorEastAsia" w:cstheme="minorEastAsia"/>
                <w:sz w:val="24"/>
                <w:szCs w:val="24"/>
              </w:rPr>
            </w:pPr>
          </w:p>
        </w:tc>
        <w:tc>
          <w:tcPr>
            <w:tcW w:w="2642" w:type="dxa"/>
            <w:vAlign w:val="center"/>
          </w:tcPr>
          <w:p>
            <w:pPr>
              <w:numPr>
                <w:ilvl w:val="0"/>
                <w:numId w:val="8"/>
              </w:numPr>
              <w:ind w:right="75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税金</w:t>
            </w:r>
          </w:p>
          <w:p>
            <w:pPr>
              <w:numPr>
                <w:ilvl w:val="255"/>
                <w:numId w:val="0"/>
              </w:numPr>
              <w:ind w:right="75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（单位：元）    </w:t>
            </w:r>
          </w:p>
        </w:tc>
        <w:tc>
          <w:tcPr>
            <w:tcW w:w="2250" w:type="dxa"/>
            <w:vAlign w:val="center"/>
          </w:tcPr>
          <w:p>
            <w:pPr>
              <w:ind w:right="753"/>
              <w:jc w:val="left"/>
              <w:rPr>
                <w:rFonts w:hint="eastAsia" w:asciiTheme="minorEastAsia" w:hAnsiTheme="minorEastAsia" w:eastAsiaTheme="minorEastAsia" w:cstheme="minorEastAsia"/>
                <w:sz w:val="24"/>
                <w:szCs w:val="24"/>
              </w:rPr>
            </w:pPr>
          </w:p>
        </w:tc>
        <w:tc>
          <w:tcPr>
            <w:tcW w:w="2115" w:type="dxa"/>
            <w:vAlign w:val="center"/>
          </w:tcPr>
          <w:p>
            <w:pPr>
              <w:ind w:right="753"/>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2108" w:type="dxa"/>
            <w:vMerge w:val="continue"/>
            <w:tcBorders>
              <w:bottom w:val="single" w:color="auto" w:sz="4" w:space="0"/>
            </w:tcBorders>
            <w:vAlign w:val="center"/>
          </w:tcPr>
          <w:p>
            <w:pPr>
              <w:ind w:right="753"/>
              <w:jc w:val="center"/>
              <w:rPr>
                <w:rFonts w:hint="eastAsia" w:asciiTheme="minorEastAsia" w:hAnsiTheme="minorEastAsia" w:eastAsiaTheme="minorEastAsia" w:cstheme="minorEastAsia"/>
                <w:sz w:val="24"/>
                <w:szCs w:val="24"/>
              </w:rPr>
            </w:pPr>
          </w:p>
        </w:tc>
        <w:tc>
          <w:tcPr>
            <w:tcW w:w="2642" w:type="dxa"/>
            <w:tcBorders>
              <w:bottom w:val="single" w:color="auto" w:sz="4" w:space="0"/>
            </w:tcBorders>
            <w:vAlign w:val="center"/>
          </w:tcPr>
          <w:p>
            <w:pPr>
              <w:numPr>
                <w:ilvl w:val="255"/>
                <w:numId w:val="0"/>
              </w:numPr>
              <w:ind w:right="75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4.含税总报价（=1+3）</w:t>
            </w:r>
          </w:p>
          <w:p>
            <w:pPr>
              <w:numPr>
                <w:ilvl w:val="255"/>
                <w:numId w:val="0"/>
              </w:numPr>
              <w:ind w:right="753"/>
              <w:rPr>
                <w:rFonts w:hint="eastAsia" w:asciiTheme="minorEastAsia" w:hAnsiTheme="minorEastAsia" w:cstheme="minorEastAsia"/>
                <w:sz w:val="24"/>
              </w:rPr>
            </w:pPr>
            <w:r>
              <w:rPr>
                <w:rFonts w:hint="eastAsia" w:asciiTheme="minorEastAsia" w:hAnsiTheme="minorEastAsia" w:eastAsiaTheme="minorEastAsia" w:cstheme="minorEastAsia"/>
                <w:sz w:val="24"/>
                <w:szCs w:val="24"/>
              </w:rPr>
              <w:t>（单位：元）</w:t>
            </w:r>
          </w:p>
        </w:tc>
        <w:tc>
          <w:tcPr>
            <w:tcW w:w="2250" w:type="dxa"/>
            <w:tcBorders>
              <w:bottom w:val="single" w:color="auto" w:sz="4" w:space="0"/>
            </w:tcBorders>
            <w:vAlign w:val="center"/>
          </w:tcPr>
          <w:p>
            <w:pPr>
              <w:ind w:right="753"/>
              <w:jc w:val="left"/>
              <w:rPr>
                <w:rFonts w:hint="eastAsia" w:asciiTheme="minorEastAsia" w:hAnsiTheme="minorEastAsia" w:eastAsiaTheme="minorEastAsia" w:cstheme="minorEastAsia"/>
                <w:sz w:val="24"/>
                <w:szCs w:val="24"/>
              </w:rPr>
            </w:pPr>
          </w:p>
        </w:tc>
        <w:tc>
          <w:tcPr>
            <w:tcW w:w="2115" w:type="dxa"/>
            <w:tcBorders>
              <w:bottom w:val="single" w:color="auto" w:sz="4" w:space="0"/>
            </w:tcBorders>
            <w:vAlign w:val="center"/>
          </w:tcPr>
          <w:p>
            <w:pPr>
              <w:ind w:right="753"/>
              <w:jc w:val="center"/>
              <w:rPr>
                <w:rFonts w:hint="eastAsia" w:asciiTheme="minorEastAsia" w:hAnsiTheme="minorEastAsia" w:eastAsiaTheme="minorEastAsia" w:cstheme="minorEastAsia"/>
                <w:sz w:val="24"/>
                <w:szCs w:val="24"/>
              </w:rPr>
            </w:pPr>
          </w:p>
        </w:tc>
      </w:tr>
    </w:tbl>
    <w:p>
      <w:pPr>
        <w:pStyle w:val="19"/>
      </w:pPr>
    </w:p>
    <w:p>
      <w:pPr>
        <w:ind w:right="75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注：上述报价以“元”为单位，保留到小数点后2位</w:t>
      </w:r>
      <w:r>
        <w:rPr>
          <w:rFonts w:hint="eastAsia" w:asciiTheme="minorEastAsia" w:hAnsiTheme="minorEastAsia" w:cstheme="minorEastAsia"/>
          <w:sz w:val="28"/>
          <w:szCs w:val="28"/>
          <w:lang w:eastAsia="zh-CN"/>
        </w:rPr>
        <w:t>。</w:t>
      </w:r>
    </w:p>
    <w:p>
      <w:pPr>
        <w:spacing w:line="360" w:lineRule="auto"/>
        <w:ind w:right="565" w:rightChars="269"/>
        <w:jc w:val="left"/>
        <w:rPr>
          <w:rFonts w:hint="eastAsia" w:asciiTheme="minorEastAsia" w:hAnsiTheme="minorEastAsia" w:cstheme="minorEastAsia"/>
          <w:sz w:val="28"/>
          <w:szCs w:val="28"/>
        </w:rPr>
      </w:pPr>
    </w:p>
    <w:p>
      <w:pPr>
        <w:spacing w:line="360" w:lineRule="auto"/>
        <w:ind w:right="565" w:rightChars="269"/>
        <w:jc w:val="left"/>
        <w:rPr>
          <w:rFonts w:hint="eastAsia" w:asciiTheme="minorEastAsia" w:hAnsiTheme="minorEastAsia" w:cstheme="minorEastAsia"/>
          <w:sz w:val="28"/>
          <w:szCs w:val="28"/>
        </w:rPr>
      </w:pPr>
    </w:p>
    <w:p>
      <w:pPr>
        <w:spacing w:line="360" w:lineRule="auto"/>
        <w:ind w:right="565" w:rightChars="269"/>
        <w:jc w:val="left"/>
        <w:rPr>
          <w:rFonts w:hint="eastAsia" w:asciiTheme="minorEastAsia" w:hAnsiTheme="minorEastAsia" w:cstheme="minorEastAsia"/>
          <w:sz w:val="28"/>
          <w:szCs w:val="28"/>
        </w:rPr>
      </w:pPr>
    </w:p>
    <w:p>
      <w:pPr>
        <w:spacing w:line="360" w:lineRule="auto"/>
        <w:ind w:right="565" w:rightChars="269"/>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比选申请人（公章）                                </w:t>
      </w:r>
    </w:p>
    <w:p>
      <w:pPr>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负责人或其委托代理人签名（或盖章）： </w:t>
      </w:r>
    </w:p>
    <w:p>
      <w:pPr>
        <w:jc w:val="center"/>
        <w:rPr>
          <w:rFonts w:ascii="宋体" w:hAnsi="宋体" w:cs="宋体"/>
          <w:sz w:val="28"/>
          <w:szCs w:val="28"/>
        </w:rPr>
      </w:pPr>
    </w:p>
    <w:p>
      <w:pPr>
        <w:jc w:val="center"/>
        <w:rPr>
          <w:rFonts w:ascii="宋体" w:hAnsi="宋体" w:cs="宋体"/>
          <w:sz w:val="28"/>
          <w:szCs w:val="28"/>
        </w:rPr>
      </w:pPr>
    </w:p>
    <w:p>
      <w:pPr>
        <w:pStyle w:val="2"/>
      </w:pPr>
    </w:p>
    <w:p>
      <w:pPr>
        <w:ind w:right="753"/>
        <w:jc w:val="left"/>
        <w:rPr>
          <w:rFonts w:ascii="宋体" w:hAnsi="宋体" w:cs="宋体"/>
          <w:sz w:val="28"/>
          <w:szCs w:val="28"/>
        </w:rPr>
      </w:pPr>
      <w:bookmarkStart w:id="311" w:name="_Toc30492"/>
      <w:bookmarkStart w:id="312" w:name="_Toc21003"/>
      <w:bookmarkStart w:id="313" w:name="_Toc1145"/>
      <w:r>
        <w:rPr>
          <w:rFonts w:hint="eastAsia" w:ascii="宋体" w:hAnsi="宋体" w:cs="宋体"/>
          <w:sz w:val="28"/>
          <w:szCs w:val="28"/>
        </w:rPr>
        <w:t>（封面格式）</w:t>
      </w:r>
    </w:p>
    <w:p>
      <w:pPr>
        <w:ind w:right="753"/>
        <w:jc w:val="left"/>
        <w:rPr>
          <w:rFonts w:hint="eastAsia" w:ascii="宋体" w:hAnsi="宋体" w:cs="宋体"/>
          <w:sz w:val="28"/>
          <w:szCs w:val="28"/>
        </w:rPr>
      </w:pPr>
    </w:p>
    <w:p>
      <w:pPr>
        <w:ind w:right="753"/>
        <w:jc w:val="left"/>
        <w:rPr>
          <w:rFonts w:hint="eastAsia" w:ascii="宋体" w:hAnsi="宋体" w:cs="宋体"/>
          <w:sz w:val="28"/>
          <w:szCs w:val="28"/>
        </w:rPr>
      </w:pPr>
    </w:p>
    <w:p>
      <w:pPr>
        <w:spacing w:line="360" w:lineRule="auto"/>
        <w:ind w:right="753"/>
        <w:jc w:val="center"/>
        <w:rPr>
          <w:rFonts w:hint="eastAsia" w:asciiTheme="minorEastAsia" w:hAnsiTheme="minorEastAsia" w:cstheme="minorEastAsia"/>
          <w:sz w:val="28"/>
          <w:szCs w:val="28"/>
        </w:rPr>
      </w:pPr>
      <w:r>
        <w:rPr>
          <w:rFonts w:hint="eastAsia" w:asciiTheme="minorEastAsia" w:hAnsiTheme="minorEastAsia" w:cstheme="minorEastAsia"/>
          <w:sz w:val="28"/>
          <w:szCs w:val="28"/>
        </w:rPr>
        <w:t>六景火车站综合交通枢纽配套一期工程地质灾害危险性评估服务项目比选申请文件</w:t>
      </w:r>
    </w:p>
    <w:p>
      <w:pPr>
        <w:ind w:right="753"/>
        <w:jc w:val="center"/>
        <w:rPr>
          <w:rFonts w:hint="eastAsia"/>
          <w:sz w:val="28"/>
          <w:szCs w:val="28"/>
          <w:lang w:val="en-US" w:eastAsia="zh-CN"/>
        </w:rPr>
      </w:pPr>
    </w:p>
    <w:p>
      <w:pPr>
        <w:ind w:right="753"/>
        <w:jc w:val="center"/>
        <w:rPr>
          <w:rFonts w:hint="eastAsia"/>
          <w:sz w:val="28"/>
          <w:szCs w:val="28"/>
          <w:lang w:val="en-US" w:eastAsia="zh-CN"/>
        </w:rPr>
      </w:pPr>
    </w:p>
    <w:p>
      <w:pPr>
        <w:ind w:right="753"/>
        <w:jc w:val="center"/>
        <w:rPr>
          <w:rFonts w:hint="eastAsia"/>
          <w:sz w:val="28"/>
          <w:szCs w:val="28"/>
          <w:lang w:val="en-US" w:eastAsia="zh-CN"/>
        </w:rPr>
      </w:pPr>
    </w:p>
    <w:p>
      <w:pPr>
        <w:ind w:right="753"/>
        <w:jc w:val="center"/>
      </w:pPr>
      <w:r>
        <w:rPr>
          <w:rFonts w:hint="eastAsia"/>
          <w:sz w:val="28"/>
          <w:szCs w:val="28"/>
          <w:lang w:val="en-US" w:eastAsia="zh-CN"/>
        </w:rPr>
        <w:t>四、技术</w:t>
      </w:r>
      <w:r>
        <w:rPr>
          <w:sz w:val="28"/>
          <w:szCs w:val="28"/>
        </w:rPr>
        <w:t>部分</w:t>
      </w: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比选申请人：                             （盖章）</w:t>
      </w:r>
    </w:p>
    <w:p>
      <w:pPr>
        <w:ind w:right="753"/>
        <w:jc w:val="left"/>
        <w:rPr>
          <w:rFonts w:ascii="宋体" w:hAnsi="宋体" w:cs="宋体"/>
          <w:sz w:val="28"/>
          <w:szCs w:val="28"/>
        </w:rPr>
      </w:pPr>
      <w:r>
        <w:rPr>
          <w:rFonts w:hint="eastAsia" w:ascii="宋体" w:hAnsi="宋体" w:cs="宋体"/>
          <w:sz w:val="28"/>
          <w:szCs w:val="28"/>
        </w:rPr>
        <w:t>负责人或委托代理人：（签字或盖章）</w:t>
      </w:r>
    </w:p>
    <w:p>
      <w:pPr>
        <w:ind w:right="753"/>
        <w:jc w:val="left"/>
        <w:rPr>
          <w:rFonts w:ascii="宋体" w:hAnsi="宋体" w:cs="宋体"/>
          <w:sz w:val="28"/>
          <w:szCs w:val="28"/>
        </w:rPr>
      </w:pPr>
      <w:r>
        <w:rPr>
          <w:rFonts w:hint="eastAsia" w:ascii="宋体" w:hAnsi="宋体" w:cs="宋体"/>
          <w:sz w:val="28"/>
          <w:szCs w:val="28"/>
        </w:rPr>
        <w:t>电话/传真：</w:t>
      </w:r>
    </w:p>
    <w:p>
      <w:pPr>
        <w:ind w:right="753"/>
        <w:jc w:val="left"/>
        <w:rPr>
          <w:rFonts w:ascii="宋体" w:hAnsi="宋体" w:cs="宋体"/>
          <w:sz w:val="28"/>
          <w:szCs w:val="28"/>
        </w:rPr>
      </w:pPr>
      <w:r>
        <w:rPr>
          <w:rFonts w:hint="eastAsia" w:ascii="宋体" w:hAnsi="宋体" w:cs="宋体"/>
          <w:sz w:val="28"/>
          <w:szCs w:val="28"/>
        </w:rPr>
        <w:t>地址：</w:t>
      </w:r>
    </w:p>
    <w:p>
      <w:pPr>
        <w:ind w:right="753"/>
        <w:jc w:val="left"/>
        <w:rPr>
          <w:rFonts w:ascii="宋体" w:hAnsi="宋体" w:cs="宋体"/>
          <w:sz w:val="28"/>
          <w:szCs w:val="28"/>
        </w:rPr>
      </w:pPr>
      <w:r>
        <w:rPr>
          <w:rFonts w:hint="eastAsia" w:ascii="宋体" w:hAnsi="宋体" w:cs="宋体"/>
          <w:sz w:val="28"/>
          <w:szCs w:val="28"/>
        </w:rPr>
        <w:t xml:space="preserve">     年    月    日</w:t>
      </w:r>
    </w:p>
    <w:p>
      <w:pPr>
        <w:ind w:right="753"/>
        <w:jc w:val="left"/>
        <w:rPr>
          <w:rFonts w:ascii="宋体" w:hAnsi="宋体" w:cs="宋体"/>
          <w:sz w:val="28"/>
          <w:szCs w:val="28"/>
        </w:rPr>
      </w:pPr>
    </w:p>
    <w:p>
      <w:pPr>
        <w:pStyle w:val="4"/>
        <w:spacing w:line="360" w:lineRule="auto"/>
        <w:jc w:val="center"/>
        <w:rPr>
          <w:b/>
        </w:rPr>
      </w:pPr>
      <w:bookmarkStart w:id="314" w:name="_Toc23247"/>
      <w:bookmarkStart w:id="315" w:name="_Toc18367"/>
      <w:bookmarkStart w:id="316" w:name="_Toc1520"/>
      <w:r>
        <w:rPr>
          <w:rFonts w:hint="eastAsia"/>
          <w:b/>
        </w:rPr>
        <w:t>四、技术部分材料目录</w:t>
      </w:r>
      <w:bookmarkEnd w:id="311"/>
      <w:bookmarkEnd w:id="312"/>
      <w:bookmarkEnd w:id="313"/>
      <w:bookmarkEnd w:id="314"/>
      <w:bookmarkEnd w:id="315"/>
      <w:bookmarkEnd w:id="316"/>
    </w:p>
    <w:p>
      <w:pPr>
        <w:numPr>
          <w:ilvl w:val="255"/>
          <w:numId w:val="0"/>
        </w:numPr>
        <w:spacing w:line="360" w:lineRule="auto"/>
        <w:ind w:right="-21"/>
        <w:jc w:val="left"/>
        <w:rPr>
          <w:rFonts w:ascii="宋体" w:hAnsi="宋体" w:cs="宋体"/>
          <w:sz w:val="28"/>
          <w:szCs w:val="28"/>
        </w:rPr>
      </w:pPr>
      <w:r>
        <w:rPr>
          <w:rFonts w:hint="eastAsia" w:ascii="宋体" w:hAnsi="宋体" w:cs="宋体"/>
          <w:sz w:val="28"/>
          <w:szCs w:val="28"/>
        </w:rPr>
        <w:t>（一）服务方案（由比选申请人自行编写）；</w:t>
      </w:r>
    </w:p>
    <w:p>
      <w:pPr>
        <w:numPr>
          <w:ilvl w:val="255"/>
          <w:numId w:val="0"/>
        </w:numPr>
        <w:spacing w:line="360" w:lineRule="auto"/>
        <w:ind w:right="-21"/>
        <w:jc w:val="left"/>
        <w:rPr>
          <w:rFonts w:ascii="宋体" w:hAnsi="宋体" w:cs="宋体"/>
          <w:sz w:val="28"/>
          <w:szCs w:val="28"/>
        </w:rPr>
      </w:pPr>
      <w:r>
        <w:rPr>
          <w:rFonts w:hint="eastAsia" w:ascii="宋体" w:hAnsi="宋体" w:cs="宋体"/>
          <w:sz w:val="28"/>
          <w:szCs w:val="28"/>
        </w:rPr>
        <w:t>（二）其他。</w:t>
      </w:r>
    </w:p>
    <w:p>
      <w:pPr>
        <w:spacing w:line="360" w:lineRule="auto"/>
        <w:ind w:right="753"/>
        <w:jc w:val="left"/>
        <w:rPr>
          <w:rFonts w:ascii="宋体" w:hAnsi="宋体" w:cs="宋体"/>
          <w:sz w:val="28"/>
          <w:szCs w:val="28"/>
        </w:rPr>
      </w:pPr>
    </w:p>
    <w:p>
      <w:pPr>
        <w:spacing w:line="360" w:lineRule="auto"/>
        <w:ind w:right="753"/>
        <w:jc w:val="left"/>
        <w:rPr>
          <w:rFonts w:ascii="宋体" w:hAnsi="宋体" w:cs="宋体"/>
          <w:sz w:val="28"/>
          <w:szCs w:val="28"/>
        </w:rPr>
      </w:pPr>
    </w:p>
    <w:p>
      <w:pPr>
        <w:spacing w:line="360" w:lineRule="auto"/>
        <w:ind w:right="753"/>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rPr>
          <w:rFonts w:ascii="宋体" w:hAnsi="宋体" w:cs="宋体"/>
          <w:sz w:val="28"/>
          <w:szCs w:val="28"/>
        </w:rPr>
      </w:pPr>
      <w:bookmarkStart w:id="317" w:name="_Toc6862"/>
      <w:bookmarkStart w:id="318" w:name="_Toc30501"/>
      <w:bookmarkStart w:id="319" w:name="_Toc461525332"/>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bookmarkEnd w:id="317"/>
    <w:bookmarkEnd w:id="318"/>
    <w:bookmarkEnd w:id="319"/>
    <w:p>
      <w:pPr>
        <w:pStyle w:val="5"/>
        <w:spacing w:before="0" w:after="0" w:line="360" w:lineRule="auto"/>
        <w:rPr>
          <w:b/>
          <w:bCs/>
        </w:rPr>
      </w:pPr>
      <w:bookmarkStart w:id="320" w:name="_Toc29269"/>
      <w:bookmarkStart w:id="321" w:name="_Toc5051"/>
      <w:bookmarkStart w:id="322" w:name="_Toc21725"/>
      <w:bookmarkStart w:id="323" w:name="_Toc30924"/>
      <w:bookmarkStart w:id="324" w:name="_Toc597"/>
      <w:bookmarkStart w:id="325" w:name="_Toc17903"/>
      <w:bookmarkStart w:id="326" w:name="_Toc17896"/>
      <w:bookmarkStart w:id="327" w:name="_Toc28584"/>
      <w:r>
        <w:rPr>
          <w:rFonts w:hint="eastAsia"/>
          <w:b/>
          <w:bCs/>
        </w:rPr>
        <w:t>（一）服务方案（由比选申请人自行编写）</w:t>
      </w:r>
      <w:bookmarkEnd w:id="320"/>
      <w:bookmarkEnd w:id="321"/>
      <w:bookmarkEnd w:id="322"/>
      <w:bookmarkEnd w:id="323"/>
      <w:bookmarkEnd w:id="324"/>
      <w:bookmarkEnd w:id="325"/>
      <w:bookmarkEnd w:id="326"/>
      <w:bookmarkEnd w:id="327"/>
    </w:p>
    <w:p>
      <w:pPr>
        <w:spacing w:line="360" w:lineRule="auto"/>
        <w:ind w:firstLine="420" w:firstLineChars="150"/>
        <w:rPr>
          <w:rFonts w:ascii="宋体" w:hAnsi="宋体" w:cs="宋体"/>
          <w:sz w:val="28"/>
          <w:szCs w:val="28"/>
        </w:rPr>
      </w:pPr>
      <w:r>
        <w:rPr>
          <w:rFonts w:hint="eastAsia" w:ascii="宋体" w:hAnsi="宋体" w:cs="宋体"/>
          <w:sz w:val="28"/>
          <w:szCs w:val="28"/>
        </w:rPr>
        <w:t>注：主要从项目重点、难点分析及对策，质量控制重点及措施，进度控制重点及措施，服务承诺等方面进行阐述。</w:t>
      </w: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i/>
          <w:sz w:val="28"/>
          <w:szCs w:val="28"/>
        </w:rPr>
      </w:pPr>
    </w:p>
    <w:p>
      <w:pPr>
        <w:pStyle w:val="19"/>
      </w:pPr>
    </w:p>
    <w:p>
      <w:pPr>
        <w:pStyle w:val="5"/>
        <w:spacing w:before="0" w:after="0" w:line="360" w:lineRule="auto"/>
        <w:rPr>
          <w:b/>
          <w:bCs/>
        </w:rPr>
      </w:pPr>
      <w:r>
        <w:rPr>
          <w:rFonts w:hint="eastAsia"/>
          <w:b/>
          <w:bCs/>
        </w:rPr>
        <w:t>（二）其他。</w:t>
      </w:r>
    </w:p>
    <w:p>
      <w:pPr>
        <w:widowControl/>
        <w:jc w:val="left"/>
        <w:rPr>
          <w:rFonts w:ascii="宋体" w:hAnsi="宋体" w:cs="宋体"/>
          <w:i/>
          <w:sz w:val="28"/>
          <w:szCs w:val="28"/>
        </w:rPr>
      </w:pPr>
      <w:r>
        <w:rPr>
          <w:rFonts w:ascii="宋体" w:hAnsi="宋体" w:cs="宋体"/>
          <w:i/>
          <w:sz w:val="28"/>
          <w:szCs w:val="28"/>
        </w:rPr>
        <w:br w:type="page"/>
      </w:r>
    </w:p>
    <w:p>
      <w:pPr>
        <w:pStyle w:val="3"/>
        <w:spacing w:line="360" w:lineRule="auto"/>
        <w:rPr>
          <w:rFonts w:hint="eastAsia" w:asciiTheme="minorEastAsia" w:hAnsiTheme="minorEastAsia" w:cstheme="minorEastAsia"/>
        </w:rPr>
      </w:pPr>
      <w:bookmarkStart w:id="328" w:name="_Toc23422"/>
      <w:bookmarkStart w:id="329" w:name="_Toc17661"/>
      <w:bookmarkStart w:id="330" w:name="_Toc20703"/>
      <w:bookmarkStart w:id="331" w:name="_Toc471482373"/>
      <w:bookmarkStart w:id="332" w:name="_Toc18494"/>
      <w:bookmarkStart w:id="333" w:name="_Toc18782"/>
      <w:bookmarkStart w:id="334" w:name="_Toc27696"/>
      <w:bookmarkStart w:id="335" w:name="_Toc13854"/>
      <w:bookmarkStart w:id="336" w:name="_Toc19609"/>
      <w:bookmarkStart w:id="337" w:name="_Toc25576"/>
      <w:bookmarkStart w:id="338" w:name="_Toc9318"/>
      <w:bookmarkStart w:id="339" w:name="_Toc612"/>
      <w:bookmarkStart w:id="340" w:name="_Toc8362"/>
      <w:bookmarkStart w:id="341" w:name="_Toc28562"/>
      <w:r>
        <w:rPr>
          <w:rFonts w:hint="eastAsia" w:asciiTheme="minorEastAsia" w:hAnsiTheme="minorEastAsia" w:cstheme="minorEastAsia"/>
        </w:rPr>
        <w:t>第四章 评比办法</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4"/>
        <w:spacing w:line="360" w:lineRule="auto"/>
        <w:rPr>
          <w:rFonts w:hint="eastAsia" w:asciiTheme="minorEastAsia" w:hAnsiTheme="minorEastAsia" w:cstheme="minorEastAsia"/>
        </w:rPr>
      </w:pPr>
      <w:bookmarkStart w:id="342" w:name="_Toc13157"/>
      <w:bookmarkStart w:id="343" w:name="_Toc1519"/>
      <w:bookmarkStart w:id="344" w:name="_Toc11662"/>
      <w:bookmarkStart w:id="345" w:name="_Toc10281"/>
      <w:bookmarkStart w:id="346" w:name="_Toc25239"/>
      <w:bookmarkStart w:id="347" w:name="_Toc17107"/>
      <w:bookmarkStart w:id="348" w:name="_Toc31412"/>
      <w:bookmarkStart w:id="349" w:name="_Toc24795"/>
      <w:bookmarkStart w:id="350" w:name="_Toc10015"/>
      <w:bookmarkStart w:id="351" w:name="_Toc2433"/>
      <w:bookmarkStart w:id="352" w:name="_Toc28938"/>
      <w:bookmarkStart w:id="353" w:name="_Toc3233"/>
      <w:bookmarkStart w:id="354" w:name="_Toc471482374"/>
      <w:bookmarkStart w:id="355" w:name="_Toc16236"/>
      <w:bookmarkStart w:id="356" w:name="_Toc14354"/>
      <w:bookmarkStart w:id="357" w:name="_Toc3202"/>
      <w:bookmarkStart w:id="358" w:name="_Toc17031"/>
      <w:bookmarkStart w:id="359" w:name="_Toc7201"/>
      <w:bookmarkStart w:id="360" w:name="_Toc9699"/>
      <w:bookmarkStart w:id="361" w:name="_Toc2996"/>
      <w:bookmarkStart w:id="362" w:name="_Toc3898"/>
      <w:bookmarkStart w:id="363" w:name="_Toc13764"/>
      <w:bookmarkStart w:id="364" w:name="_Toc17632"/>
      <w:r>
        <w:rPr>
          <w:rFonts w:hint="eastAsia" w:asciiTheme="minorEastAsia" w:hAnsiTheme="minorEastAsia" w:cstheme="minorEastAsia"/>
        </w:rPr>
        <w:t>一、综合评分办法</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评比委员会首先对比选申请人进行资格审查，评比委员会对通过资格审查的比选申请人按相应的评分细则对商务部分、报价部分、技术部分各自打分后进行汇总，比选申请人的最终得分是评比委员会每一位成员综合得分计算出来的算术平均值。</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（一）资格评审：对比选申请人的资格条件、比选申请文件的完整性和有效性、比选申请文件的有效期等方面进行审查。通过资格评审的比选申请文件进入商务、报价、技术评审。</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（二）商务、报价、技术评审：由比选评审小组按照比选文件的要求，对照比选申请文件的应答进行比较，并对各比选申请文件的商务、报价、技术内容进行评审、打分。</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三）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四）报价部分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（1）如果数字表示的金额和用文字表示的金额不一致时，应以文字表示的金额为准；</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（2）当单价与数量的乘积与合价不一致时，以合价为准，并调整单价；</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（3）当合价与报价总价不一致时，以报价总价为准，调整相关合价；</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（4）评审期间，比选评审小组不接受任何比选申请人主动提出的对报价及单价、合价的调整；</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（5）其他未尽事宜，由评审小组审议确定(如意见不一致时，以记名方式投票确定)。</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五）在评审过程中，评比委员会发现比选申请人的报价明显低于其他投标报价，使得其投标报价可能低于其成本的，应当要求该比选申请人做出书面说明并提供相关证明材料。比选申请人不能合理说明或者不能提供相关证明材料的，由评比委员会认定该比选申请人以低于成本报价，报价不合理，其比选申请文件作无效处理。</w:t>
      </w:r>
    </w:p>
    <w:p>
      <w:pPr>
        <w:pStyle w:val="4"/>
        <w:spacing w:line="360" w:lineRule="auto"/>
        <w:rPr>
          <w:rFonts w:hint="eastAsia" w:asciiTheme="minorEastAsia" w:hAnsiTheme="minorEastAsia" w:cstheme="minorEastAsia"/>
        </w:rPr>
      </w:pPr>
      <w:bookmarkStart w:id="365" w:name="_Toc7245"/>
      <w:bookmarkStart w:id="366" w:name="_Toc20237"/>
      <w:bookmarkStart w:id="367" w:name="_Toc28435"/>
      <w:bookmarkStart w:id="368" w:name="_Toc14401"/>
      <w:bookmarkStart w:id="369" w:name="_Toc12579"/>
      <w:bookmarkStart w:id="370" w:name="_Toc27183"/>
      <w:bookmarkStart w:id="371" w:name="_Toc15054"/>
      <w:bookmarkStart w:id="372" w:name="_Toc22653"/>
      <w:bookmarkStart w:id="373" w:name="_Toc6388"/>
      <w:bookmarkStart w:id="374" w:name="_Toc14044"/>
      <w:bookmarkStart w:id="375" w:name="_Toc5576"/>
      <w:bookmarkStart w:id="376" w:name="_Toc30979"/>
      <w:bookmarkStart w:id="377" w:name="_Toc471482375"/>
      <w:bookmarkStart w:id="378" w:name="_Toc21005"/>
      <w:bookmarkStart w:id="379" w:name="_Toc10860"/>
      <w:bookmarkStart w:id="380" w:name="_Toc29031"/>
      <w:bookmarkStart w:id="381" w:name="_Toc26057"/>
      <w:bookmarkStart w:id="382" w:name="_Toc29182"/>
      <w:bookmarkStart w:id="383" w:name="_Toc11511"/>
      <w:bookmarkStart w:id="384" w:name="_Toc13745"/>
      <w:bookmarkStart w:id="385" w:name="_Toc5579"/>
      <w:bookmarkStart w:id="386" w:name="_Toc31578"/>
      <w:bookmarkStart w:id="387" w:name="_Toc8533"/>
      <w:r>
        <w:rPr>
          <w:rFonts w:hint="eastAsia" w:asciiTheme="minorEastAsia" w:hAnsiTheme="minorEastAsia" w:cstheme="minorEastAsia"/>
        </w:rPr>
        <w:t>二、总分计算公式</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总分即比选申请人评分综合得分，其计算公式：</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总分＝商务部分得分+报价部分得分+技术部分得分</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注：各项指标的分数计算四舍五入，取小数点后两位。</w:t>
      </w:r>
    </w:p>
    <w:p>
      <w:pPr>
        <w:pStyle w:val="4"/>
        <w:spacing w:line="360" w:lineRule="auto"/>
        <w:ind w:firstLine="0" w:firstLineChars="0"/>
        <w:rPr>
          <w:rFonts w:hint="eastAsia" w:asciiTheme="minorEastAsia" w:hAnsiTheme="minorEastAsia" w:cstheme="minorEastAsia"/>
        </w:rPr>
      </w:pPr>
      <w:bookmarkStart w:id="388" w:name="_Toc15004"/>
      <w:bookmarkStart w:id="389" w:name="_Toc17237"/>
      <w:bookmarkStart w:id="390" w:name="_Toc31644"/>
      <w:bookmarkStart w:id="391" w:name="_Toc18512"/>
      <w:bookmarkStart w:id="392" w:name="_Toc28277"/>
      <w:bookmarkStart w:id="393" w:name="_Toc6671"/>
      <w:bookmarkStart w:id="394" w:name="_Toc26842"/>
      <w:bookmarkStart w:id="395" w:name="_Toc31364"/>
      <w:bookmarkStart w:id="396" w:name="_Toc471482376"/>
      <w:bookmarkStart w:id="397" w:name="_Toc27350"/>
      <w:bookmarkStart w:id="398" w:name="_Toc31078"/>
      <w:bookmarkStart w:id="399" w:name="_Toc8001"/>
      <w:bookmarkStart w:id="400" w:name="_Toc32296"/>
      <w:bookmarkStart w:id="401" w:name="_Toc12777"/>
      <w:bookmarkStart w:id="402" w:name="_Toc4749"/>
      <w:bookmarkStart w:id="403" w:name="_Toc23087"/>
      <w:bookmarkStart w:id="404" w:name="_Toc18027"/>
      <w:bookmarkStart w:id="405" w:name="_Toc13406"/>
      <w:bookmarkStart w:id="406" w:name="_Toc6470"/>
      <w:bookmarkStart w:id="407" w:name="_Toc9696"/>
      <w:bookmarkStart w:id="408" w:name="_Toc10918"/>
      <w:bookmarkStart w:id="409" w:name="_Toc2392"/>
      <w:bookmarkStart w:id="410" w:name="_Toc28207"/>
      <w:bookmarkStart w:id="411" w:name="_Toc31522"/>
      <w:r>
        <w:rPr>
          <w:rFonts w:hint="eastAsia" w:asciiTheme="minorEastAsia" w:hAnsiTheme="minorEastAsia" w:cstheme="minorEastAsia"/>
        </w:rPr>
        <w:t>三、资格审查</w:t>
      </w:r>
      <w:bookmarkEnd w:id="388"/>
      <w:bookmarkEnd w:id="389"/>
      <w:bookmarkEnd w:id="390"/>
      <w:bookmarkEnd w:id="391"/>
      <w:bookmarkEnd w:id="392"/>
      <w:bookmarkEnd w:id="393"/>
    </w:p>
    <w:tbl>
      <w:tblPr>
        <w:tblStyle w:val="16"/>
        <w:tblW w:w="934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941"/>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p>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内容</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合格条件标准</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评审依据</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评审结果（合格/不合格）</w:t>
            </w: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28" w:hRule="atLeast"/>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身份证明材料</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法定代表人资格证明书及法定代表人身份证明文件，如有授权，则还需提供授权委托书及授权代理人身份证明文件。</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法定代表人资格证明书及身份证明文件、授权委托书、授权代理人身份证明文件</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法定代表人资格证明书及授权委托书提供原件；法定代表人及授权代理人身份证明文件提供身份证复印件并加盖公章。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10" w:hRule="atLeast"/>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企业营业执照及资质</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（1）比选申请人为中华人民共和国境内依法设立的法人或其他组织；</w:t>
            </w:r>
          </w:p>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（2）资格（资质）要求：比选申请人具备地质灾害危险性评估甲级资质；</w:t>
            </w:r>
          </w:p>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（3）单位负责人为同一人或者存在控股、管理关系的不同单位，不得参加本项目比选申请。</w:t>
            </w:r>
          </w:p>
          <w:p>
            <w:pPr>
              <w:widowControl/>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（4）本项目不接受联合体比选申请。</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营业执照副本（或事业单位法人证书）、税务登记证、企业资质证书等文件</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营业执照副本（或事业单位法人证书）、税务登记证（如已办理三证合一则不需提供）、组织机构代码证（如已办理三证合一则不需提供）、企业资质证书提供复印件加盖公章。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67" w:hRule="atLeast"/>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pStyle w:val="8"/>
              <w:widowControl/>
              <w:autoSpaceDE/>
              <w:autoSpaceDN/>
              <w:adjustRightInd/>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（1）项目负责人1名：</w:t>
            </w:r>
            <w:r>
              <w:rPr>
                <w:rFonts w:hint="eastAsia" w:asciiTheme="minorEastAsia" w:hAnsiTheme="minorEastAsia" w:cstheme="minorEastAsia"/>
                <w:sz w:val="21"/>
                <w:szCs w:val="21"/>
                <w:highlight w:val="none"/>
                <w:lang w:val="zh-CN"/>
              </w:rPr>
              <w:t>具备水文地质</w:t>
            </w:r>
            <w:r>
              <w:rPr>
                <w:rFonts w:hint="eastAsia" w:asciiTheme="minorEastAsia" w:hAnsiTheme="minorEastAsia" w:cstheme="minorEastAsia"/>
                <w:sz w:val="21"/>
                <w:szCs w:val="21"/>
                <w:highlight w:val="none"/>
              </w:rPr>
              <w:t>或</w:t>
            </w:r>
            <w:r>
              <w:rPr>
                <w:rFonts w:hint="eastAsia" w:asciiTheme="minorEastAsia" w:hAnsiTheme="minorEastAsia" w:cstheme="minorEastAsia"/>
                <w:sz w:val="21"/>
                <w:szCs w:val="21"/>
                <w:highlight w:val="none"/>
                <w:lang w:val="zh-CN"/>
              </w:rPr>
              <w:t>工程地质等相关专业</w:t>
            </w:r>
            <w:r>
              <w:rPr>
                <w:rFonts w:hint="eastAsia" w:asciiTheme="minorEastAsia" w:hAnsiTheme="minorEastAsia" w:cstheme="minorEastAsia"/>
                <w:sz w:val="21"/>
                <w:szCs w:val="21"/>
                <w:highlight w:val="none"/>
              </w:rPr>
              <w:t>中</w:t>
            </w:r>
            <w:r>
              <w:rPr>
                <w:rFonts w:hint="eastAsia" w:asciiTheme="minorEastAsia" w:hAnsiTheme="minorEastAsia" w:cstheme="minorEastAsia"/>
                <w:sz w:val="21"/>
                <w:szCs w:val="21"/>
                <w:highlight w:val="none"/>
                <w:lang w:val="zh-CN"/>
              </w:rPr>
              <w:t>级</w:t>
            </w:r>
            <w:r>
              <w:rPr>
                <w:rFonts w:hint="eastAsia" w:asciiTheme="minorEastAsia" w:hAnsiTheme="minorEastAsia" w:cstheme="minorEastAsia"/>
                <w:sz w:val="21"/>
                <w:szCs w:val="21"/>
                <w:highlight w:val="none"/>
              </w:rPr>
              <w:t>工程师及以上</w:t>
            </w:r>
            <w:r>
              <w:rPr>
                <w:rFonts w:hint="eastAsia" w:asciiTheme="minorEastAsia" w:hAnsiTheme="minorEastAsia" w:cstheme="minorEastAsia"/>
                <w:sz w:val="21"/>
                <w:szCs w:val="21"/>
                <w:highlight w:val="none"/>
                <w:lang w:val="zh-CN"/>
              </w:rPr>
              <w:t>技术职称</w:t>
            </w:r>
            <w:r>
              <w:rPr>
                <w:rFonts w:hint="eastAsia" w:asciiTheme="minorEastAsia" w:hAnsiTheme="minorEastAsia" w:eastAsiaTheme="minorEastAsia" w:cstheme="minorEastAsia"/>
                <w:sz w:val="21"/>
                <w:szCs w:val="21"/>
              </w:rPr>
              <w:t>；</w:t>
            </w:r>
          </w:p>
          <w:p>
            <w:pPr>
              <w:pStyle w:val="8"/>
              <w:widowControl/>
              <w:autoSpaceDE/>
              <w:autoSpaceDN/>
              <w:adjustRightInd/>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（2）必须为比选申请人的正式员工，并提供</w:t>
            </w:r>
            <w:r>
              <w:rPr>
                <w:rFonts w:hint="eastAsia" w:asciiTheme="minorEastAsia" w:hAnsiTheme="minorEastAsia" w:cstheme="minorEastAsia"/>
                <w:sz w:val="21"/>
                <w:szCs w:val="21"/>
                <w:lang w:eastAsia="zh-CN"/>
              </w:rPr>
              <w:t>2022年12月—2023年2月</w:t>
            </w:r>
            <w:r>
              <w:rPr>
                <w:rFonts w:hint="eastAsia" w:asciiTheme="minorEastAsia" w:hAnsiTheme="minorEastAsia" w:eastAsiaTheme="minorEastAsia" w:cstheme="minorEastAsia"/>
                <w:sz w:val="21"/>
                <w:szCs w:val="21"/>
              </w:rPr>
              <w:t>的社会保险缴纳证明。</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项目负责人职称证书、社会保险缴纳证明</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项目负责人职称证书提供复印件加盖公章；社保缴纳证明提供至少近三个月的社保缴纳记录并加盖公章。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51" w:hRule="atLeast"/>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企业业绩证明</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比选申请人自2020年1月1日至比选公告发布之日前至少具有1项市政工程或交通工程类地质灾害危险性评估服务项目业绩。</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项目合同</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项目合同提供复印件加盖公章（必须体现合同对方名称及签订时间，涉及商业秘密的内容可以隐去）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诚信声明</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比选申请人没有处于行政主管部门或业主取消比选申请资格的处罚期内，且没有被责令停业，财产被接管、冻结，破产状态；比选申请截止日前3年内没有骗取中选、严重违约或重大质量安全责任事故的情况。</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诚信声明</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诚信声明提供原件</w:t>
            </w:r>
          </w:p>
          <w:p>
            <w:pPr>
              <w:widowControl/>
              <w:spacing w:line="360" w:lineRule="auto"/>
              <w:rPr>
                <w:rFonts w:hint="eastAsia" w:asciiTheme="minorEastAsia" w:hAnsiTheme="minorEastAsia" w:eastAsiaTheme="minorEastAsia" w:cstheme="minorEastAsia"/>
                <w:szCs w:val="21"/>
              </w:rPr>
            </w:pPr>
          </w:p>
        </w:tc>
      </w:tr>
    </w:tbl>
    <w:p>
      <w:pPr>
        <w:snapToGrid w:val="0"/>
        <w:spacing w:line="360" w:lineRule="auto"/>
        <w:rPr>
          <w:rFonts w:hint="eastAsia" w:asciiTheme="minorEastAsia" w:hAnsiTheme="minorEastAsia" w:cstheme="minorEastAsia"/>
          <w:b/>
          <w:sz w:val="28"/>
          <w:szCs w:val="28"/>
        </w:rPr>
      </w:pPr>
      <w:r>
        <w:rPr>
          <w:rFonts w:hint="eastAsia" w:asciiTheme="minorEastAsia" w:hAnsiTheme="minorEastAsia" w:cstheme="minorEastAsia"/>
          <w:b/>
          <w:sz w:val="28"/>
          <w:szCs w:val="28"/>
        </w:rPr>
        <w:t>注：</w:t>
      </w:r>
    </w:p>
    <w:p>
      <w:pPr>
        <w:snapToGrid w:val="0"/>
        <w:spacing w:line="360" w:lineRule="auto"/>
        <w:rPr>
          <w:rFonts w:hint="eastAsia" w:asciiTheme="minorEastAsia" w:hAnsiTheme="minorEastAsia" w:cstheme="minorEastAsia"/>
          <w:sz w:val="28"/>
          <w:szCs w:val="28"/>
        </w:rPr>
      </w:pPr>
      <w:r>
        <w:rPr>
          <w:rFonts w:hint="eastAsia" w:asciiTheme="minorEastAsia" w:hAnsiTheme="minorEastAsia" w:cstheme="minorEastAsia"/>
          <w:b/>
          <w:sz w:val="28"/>
          <w:szCs w:val="28"/>
          <w:lang w:val="en-US" w:eastAsia="zh-CN"/>
        </w:rPr>
        <w:t>1</w:t>
      </w:r>
      <w:r>
        <w:rPr>
          <w:rFonts w:hint="eastAsia" w:asciiTheme="minorEastAsia" w:hAnsiTheme="minorEastAsia" w:cstheme="minorEastAsia"/>
          <w:b/>
          <w:sz w:val="28"/>
          <w:szCs w:val="28"/>
        </w:rPr>
        <w:t>.比选申请人如未通过上述资格审查，则作比选申请被否决处理并不得进入下一阶段评审。</w:t>
      </w:r>
    </w:p>
    <w:p>
      <w:pPr>
        <w:pStyle w:val="4"/>
        <w:spacing w:line="360" w:lineRule="auto"/>
        <w:ind w:firstLine="0" w:firstLineChars="0"/>
        <w:rPr>
          <w:rFonts w:hint="eastAsia" w:asciiTheme="minorEastAsia" w:hAnsiTheme="minorEastAsia" w:cstheme="minorEastAsia"/>
        </w:rPr>
      </w:pPr>
      <w:bookmarkStart w:id="412" w:name="_Toc14397"/>
      <w:bookmarkStart w:id="413" w:name="_Toc16541"/>
      <w:bookmarkStart w:id="414" w:name="_Toc9261"/>
      <w:bookmarkStart w:id="415" w:name="_Toc19600"/>
      <w:bookmarkStart w:id="416" w:name="_Toc1713"/>
      <w:r>
        <w:rPr>
          <w:rFonts w:hint="eastAsia" w:asciiTheme="minorEastAsia" w:hAnsiTheme="minorEastAsia" w:cstheme="minorEastAsia"/>
        </w:rPr>
        <w:t>四、评分细则</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2"/>
        <w:spacing w:line="360" w:lineRule="auto"/>
        <w:ind w:firstLine="420" w:firstLineChars="150"/>
        <w:outlineLvl w:val="2"/>
        <w:rPr>
          <w:rFonts w:hint="eastAsia" w:asciiTheme="minorEastAsia" w:hAnsiTheme="minorEastAsia" w:cstheme="minorEastAsia"/>
          <w:sz w:val="28"/>
          <w:szCs w:val="28"/>
        </w:rPr>
      </w:pPr>
      <w:bookmarkStart w:id="417" w:name="_Toc1358"/>
      <w:bookmarkStart w:id="418" w:name="_Toc15382"/>
      <w:bookmarkStart w:id="419" w:name="_Toc18752"/>
      <w:r>
        <w:rPr>
          <w:rFonts w:hint="eastAsia" w:asciiTheme="minorEastAsia" w:hAnsiTheme="minorEastAsia" w:cstheme="minorEastAsia"/>
          <w:sz w:val="28"/>
          <w:szCs w:val="28"/>
        </w:rPr>
        <w:t>（一）商务部分评分细则（满分30分）</w:t>
      </w:r>
    </w:p>
    <w:tbl>
      <w:tblPr>
        <w:tblStyle w:val="16"/>
        <w:tblW w:w="10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265"/>
        <w:gridCol w:w="788"/>
        <w:gridCol w:w="2018"/>
        <w:gridCol w:w="3998"/>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32" w:type="dxa"/>
            <w:noWrap/>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序号</w:t>
            </w:r>
          </w:p>
        </w:tc>
        <w:tc>
          <w:tcPr>
            <w:tcW w:w="1265" w:type="dxa"/>
            <w:noWrap/>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评分项目</w:t>
            </w:r>
          </w:p>
        </w:tc>
        <w:tc>
          <w:tcPr>
            <w:tcW w:w="788" w:type="dxa"/>
            <w:noWrap/>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满分</w:t>
            </w:r>
          </w:p>
        </w:tc>
        <w:tc>
          <w:tcPr>
            <w:tcW w:w="6016" w:type="dxa"/>
            <w:gridSpan w:val="2"/>
            <w:noWrap/>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评分细则（m）</w:t>
            </w:r>
          </w:p>
        </w:tc>
        <w:tc>
          <w:tcPr>
            <w:tcW w:w="1237" w:type="dxa"/>
            <w:noWrap/>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732" w:type="dxa"/>
            <w:noWrap/>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w:t>
            </w:r>
          </w:p>
        </w:tc>
        <w:tc>
          <w:tcPr>
            <w:tcW w:w="1265" w:type="dxa"/>
            <w:noWrap/>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业绩评分</w:t>
            </w:r>
          </w:p>
        </w:tc>
        <w:tc>
          <w:tcPr>
            <w:tcW w:w="788" w:type="dxa"/>
            <w:noWrap/>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6016" w:type="dxa"/>
            <w:gridSpan w:val="2"/>
            <w:noWrap/>
            <w:vAlign w:val="center"/>
          </w:tcPr>
          <w:p>
            <w:pPr>
              <w:spacing w:line="360" w:lineRule="auto"/>
              <w:jc w:val="left"/>
              <w:rPr>
                <w:rFonts w:hint="eastAsia" w:asciiTheme="minorEastAsia" w:hAnsiTheme="minorEastAsia" w:cstheme="minorEastAsia"/>
              </w:rPr>
            </w:pPr>
            <w:r>
              <w:rPr>
                <w:rFonts w:hint="eastAsia" w:asciiTheme="minorEastAsia" w:hAnsiTheme="minorEastAsia" w:cstheme="minorEastAsia"/>
              </w:rPr>
              <w:t>1、比选申请人近3年（2020年1月1日</w:t>
            </w:r>
            <w:r>
              <w:rPr>
                <w:rFonts w:hint="eastAsia" w:asciiTheme="minorEastAsia" w:hAnsiTheme="minorEastAsia" w:eastAsiaTheme="minorEastAsia" w:cstheme="minorEastAsia"/>
                <w:szCs w:val="21"/>
              </w:rPr>
              <w:t>至比选公告发布之日前</w:t>
            </w:r>
            <w:r>
              <w:rPr>
                <w:rFonts w:hint="eastAsia" w:asciiTheme="minorEastAsia" w:hAnsiTheme="minorEastAsia" w:cstheme="minorEastAsia"/>
              </w:rPr>
              <w:t>）</w:t>
            </w:r>
            <w:r>
              <w:rPr>
                <w:rFonts w:asciiTheme="minorEastAsia" w:hAnsiTheme="minorEastAsia" w:cstheme="minorEastAsia"/>
                <w:szCs w:val="21"/>
              </w:rPr>
              <w:t>每参与或完成</w:t>
            </w:r>
            <w:r>
              <w:rPr>
                <w:rFonts w:hint="eastAsia" w:asciiTheme="minorEastAsia" w:hAnsiTheme="minorEastAsia" w:cstheme="minorEastAsia"/>
              </w:rPr>
              <w:t>1个市政工程或交通工程类地质灾害危险性评估报告编制业绩，得1分，本项满分10分。</w:t>
            </w:r>
            <w:r>
              <w:rPr>
                <w:rFonts w:hint="eastAsia" w:asciiTheme="minorEastAsia" w:hAnsiTheme="minorEastAsia" w:cstheme="minorEastAsia"/>
                <w:szCs w:val="21"/>
              </w:rPr>
              <w:t>（提供合同或委托书复印件证明，以合同签订或委托时间为准）</w:t>
            </w:r>
          </w:p>
        </w:tc>
        <w:tc>
          <w:tcPr>
            <w:tcW w:w="1237" w:type="dxa"/>
            <w:noWrap/>
            <w:vAlign w:val="center"/>
          </w:tcPr>
          <w:p>
            <w:pPr>
              <w:widowControl/>
              <w:spacing w:line="360" w:lineRule="auto"/>
              <w:jc w:val="center"/>
              <w:rPr>
                <w:rFonts w:asciiTheme="minorEastAsia" w:hAnsi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jc w:val="center"/>
        </w:trPr>
        <w:tc>
          <w:tcPr>
            <w:tcW w:w="732" w:type="dxa"/>
            <w:noWrap/>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2</w:t>
            </w:r>
          </w:p>
        </w:tc>
        <w:tc>
          <w:tcPr>
            <w:tcW w:w="1265" w:type="dxa"/>
            <w:noWrap/>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信誉评分</w:t>
            </w:r>
          </w:p>
        </w:tc>
        <w:tc>
          <w:tcPr>
            <w:tcW w:w="788" w:type="dxa"/>
            <w:noWrap/>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6016" w:type="dxa"/>
            <w:gridSpan w:val="2"/>
            <w:noWrap/>
            <w:vAlign w:val="center"/>
          </w:tcPr>
          <w:p>
            <w:pPr>
              <w:spacing w:line="360" w:lineRule="auto"/>
              <w:jc w:val="left"/>
              <w:rPr>
                <w:rFonts w:hint="eastAsia" w:asciiTheme="minorEastAsia" w:hAnsiTheme="minorEastAsia" w:cstheme="minorEastAsia"/>
              </w:rPr>
            </w:pPr>
            <w:r>
              <w:rPr>
                <w:rFonts w:hint="eastAsia" w:asciiTheme="minorEastAsia" w:hAnsiTheme="minorEastAsia" w:cstheme="minorEastAsia"/>
              </w:rPr>
              <w:t>1、比选申请人具有地质灾害危险性评估甲级证书且有效的，得3分；</w:t>
            </w:r>
          </w:p>
          <w:p>
            <w:pPr>
              <w:spacing w:line="360" w:lineRule="auto"/>
              <w:jc w:val="left"/>
              <w:rPr>
                <w:rFonts w:hint="eastAsia" w:asciiTheme="minorEastAsia" w:hAnsiTheme="minorEastAsia" w:cstheme="minorEastAsia"/>
              </w:rPr>
            </w:pPr>
            <w:r>
              <w:rPr>
                <w:rFonts w:hint="eastAsia" w:asciiTheme="minorEastAsia" w:hAnsiTheme="minorEastAsia" w:cstheme="minorEastAsia"/>
              </w:rPr>
              <w:t>2、比选申请人具有工程勘察综合甲级证书且有效的，得4分；</w:t>
            </w:r>
          </w:p>
          <w:p>
            <w:pPr>
              <w:spacing w:line="360" w:lineRule="auto"/>
              <w:jc w:val="left"/>
              <w:rPr>
                <w:rFonts w:hint="eastAsia" w:asciiTheme="minorEastAsia" w:hAnsiTheme="minorEastAsia" w:cstheme="minorEastAsia"/>
              </w:rPr>
            </w:pPr>
            <w:r>
              <w:rPr>
                <w:rFonts w:hint="eastAsia" w:asciiTheme="minorEastAsia" w:hAnsiTheme="minorEastAsia" w:cstheme="minorEastAsia"/>
              </w:rPr>
              <w:t>3、比选申请人具有质量、环境、职业健康安全三项管理体系认证，且在有效期内，得3分；</w:t>
            </w:r>
          </w:p>
          <w:p>
            <w:pPr>
              <w:spacing w:line="360" w:lineRule="auto"/>
              <w:rPr>
                <w:rFonts w:hint="eastAsia" w:asciiTheme="minorEastAsia" w:hAnsiTheme="minorEastAsia" w:cstheme="minorEastAsia"/>
              </w:rPr>
            </w:pPr>
          </w:p>
        </w:tc>
        <w:tc>
          <w:tcPr>
            <w:tcW w:w="1237" w:type="dxa"/>
            <w:noWrap/>
            <w:vAlign w:val="center"/>
          </w:tcPr>
          <w:p>
            <w:pPr>
              <w:widowControl/>
              <w:spacing w:line="360" w:lineRule="auto"/>
              <w:jc w:val="center"/>
              <w:rPr>
                <w:rFonts w:asciiTheme="minorEastAsia" w:hAnsi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32" w:type="dxa"/>
            <w:vMerge w:val="restart"/>
            <w:noWrap/>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3</w:t>
            </w:r>
          </w:p>
        </w:tc>
        <w:tc>
          <w:tcPr>
            <w:tcW w:w="1265" w:type="dxa"/>
            <w:vMerge w:val="restart"/>
            <w:noWrap/>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人员配备评分</w:t>
            </w:r>
          </w:p>
        </w:tc>
        <w:tc>
          <w:tcPr>
            <w:tcW w:w="788" w:type="dxa"/>
            <w:vMerge w:val="restart"/>
            <w:noWrap/>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2018" w:type="dxa"/>
            <w:noWrap/>
            <w:vAlign w:val="center"/>
          </w:tcPr>
          <w:p>
            <w:pPr>
              <w:spacing w:line="360" w:lineRule="auto"/>
              <w:jc w:val="left"/>
              <w:rPr>
                <w:rFonts w:hint="eastAsia" w:asciiTheme="minorEastAsia" w:hAnsiTheme="minorEastAsia" w:cstheme="minorEastAsia"/>
              </w:rPr>
            </w:pPr>
            <w:r>
              <w:rPr>
                <w:rFonts w:hint="eastAsia" w:asciiTheme="minorEastAsia" w:hAnsiTheme="minorEastAsia" w:cstheme="minorEastAsia"/>
              </w:rPr>
              <w:t>项目负责人（6分）</w:t>
            </w:r>
          </w:p>
        </w:tc>
        <w:tc>
          <w:tcPr>
            <w:tcW w:w="3998" w:type="dxa"/>
            <w:noWrap/>
            <w:vAlign w:val="center"/>
          </w:tcPr>
          <w:p>
            <w:pPr>
              <w:numPr>
                <w:ilvl w:val="0"/>
                <w:numId w:val="9"/>
              </w:numPr>
              <w:spacing w:line="360" w:lineRule="auto"/>
              <w:jc w:val="left"/>
              <w:rPr>
                <w:rFonts w:hint="eastAsia" w:asciiTheme="minorEastAsia" w:hAnsiTheme="minorEastAsia" w:cstheme="minorEastAsia"/>
              </w:rPr>
            </w:pPr>
            <w:r>
              <w:rPr>
                <w:rFonts w:hint="eastAsia" w:asciiTheme="minorEastAsia" w:hAnsiTheme="minorEastAsia" w:cstheme="minorEastAsia"/>
              </w:rPr>
              <w:t>具有中级工程师职称（水文地质与工程地质等相关专业）的，得1分；具有高级工程师及以上职称（水文地质与工程地质等相关专业）的，得3分。</w:t>
            </w:r>
          </w:p>
          <w:p>
            <w:pPr>
              <w:spacing w:line="360" w:lineRule="auto"/>
              <w:jc w:val="left"/>
              <w:rPr>
                <w:rFonts w:hint="eastAsia" w:asciiTheme="minorEastAsia" w:hAnsiTheme="minorEastAsia" w:cstheme="minorEastAsia"/>
              </w:rPr>
            </w:pPr>
            <w:r>
              <w:rPr>
                <w:rFonts w:hint="eastAsia" w:asciiTheme="minorEastAsia" w:hAnsiTheme="minorEastAsia" w:cstheme="minorEastAsia"/>
              </w:rPr>
              <w:t>2、具有注册岩土工程师证书的，得3分。</w:t>
            </w:r>
          </w:p>
        </w:tc>
        <w:tc>
          <w:tcPr>
            <w:tcW w:w="1237" w:type="dxa"/>
            <w:noWrap/>
            <w:vAlign w:val="center"/>
          </w:tcPr>
          <w:p>
            <w:pPr>
              <w:widowControl/>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732" w:type="dxa"/>
            <w:vMerge w:val="continue"/>
            <w:noWrap/>
            <w:vAlign w:val="center"/>
          </w:tcPr>
          <w:p>
            <w:pPr>
              <w:spacing w:line="360" w:lineRule="auto"/>
              <w:jc w:val="center"/>
              <w:rPr>
                <w:rFonts w:asciiTheme="minorEastAsia" w:hAnsiTheme="minorEastAsia" w:cstheme="minorEastAsia"/>
                <w:szCs w:val="21"/>
              </w:rPr>
            </w:pPr>
          </w:p>
        </w:tc>
        <w:tc>
          <w:tcPr>
            <w:tcW w:w="1265" w:type="dxa"/>
            <w:vMerge w:val="continue"/>
            <w:noWrap/>
            <w:vAlign w:val="center"/>
          </w:tcPr>
          <w:p>
            <w:pPr>
              <w:spacing w:line="360" w:lineRule="auto"/>
              <w:jc w:val="center"/>
              <w:rPr>
                <w:rFonts w:asciiTheme="minorEastAsia" w:hAnsiTheme="minorEastAsia" w:cstheme="minorEastAsia"/>
                <w:szCs w:val="21"/>
              </w:rPr>
            </w:pPr>
          </w:p>
        </w:tc>
        <w:tc>
          <w:tcPr>
            <w:tcW w:w="788" w:type="dxa"/>
            <w:vMerge w:val="continue"/>
            <w:noWrap/>
            <w:vAlign w:val="center"/>
          </w:tcPr>
          <w:p>
            <w:pPr>
              <w:spacing w:line="360" w:lineRule="auto"/>
              <w:jc w:val="center"/>
              <w:rPr>
                <w:rFonts w:asciiTheme="minorEastAsia" w:hAnsiTheme="minorEastAsia" w:cstheme="minorEastAsia"/>
                <w:szCs w:val="21"/>
              </w:rPr>
            </w:pPr>
          </w:p>
        </w:tc>
        <w:tc>
          <w:tcPr>
            <w:tcW w:w="2018" w:type="dxa"/>
            <w:noWrap/>
            <w:vAlign w:val="center"/>
          </w:tcPr>
          <w:p>
            <w:pPr>
              <w:spacing w:line="360" w:lineRule="auto"/>
              <w:jc w:val="left"/>
              <w:rPr>
                <w:rFonts w:hint="eastAsia" w:asciiTheme="minorEastAsia" w:hAnsiTheme="minorEastAsia" w:cstheme="minorEastAsia"/>
              </w:rPr>
            </w:pPr>
            <w:r>
              <w:rPr>
                <w:rFonts w:hint="eastAsia" w:asciiTheme="minorEastAsia" w:hAnsiTheme="minorEastAsia" w:cstheme="minorEastAsia"/>
              </w:rPr>
              <w:t>项目组成员（4分）</w:t>
            </w:r>
          </w:p>
        </w:tc>
        <w:tc>
          <w:tcPr>
            <w:tcW w:w="3998" w:type="dxa"/>
            <w:noWrap/>
            <w:vAlign w:val="center"/>
          </w:tcPr>
          <w:p>
            <w:pPr>
              <w:spacing w:line="360" w:lineRule="auto"/>
              <w:jc w:val="left"/>
              <w:rPr>
                <w:rFonts w:hint="eastAsia" w:asciiTheme="minorEastAsia" w:hAnsiTheme="minorEastAsia" w:cstheme="minorEastAsia"/>
              </w:rPr>
            </w:pPr>
            <w:r>
              <w:rPr>
                <w:rFonts w:hint="eastAsia" w:asciiTheme="minorEastAsia" w:hAnsiTheme="minorEastAsia" w:cstheme="minorEastAsia"/>
              </w:rPr>
              <w:t>项目组成员中，具有1名高级工程师（水文地质与工程地质等相关专业）职称或注册岩土工程师证书的，得2分，满分4分。（同时具备以上两项评分标准的，只能得2分）</w:t>
            </w:r>
          </w:p>
        </w:tc>
        <w:tc>
          <w:tcPr>
            <w:tcW w:w="1237" w:type="dxa"/>
            <w:noWrap/>
            <w:vAlign w:val="center"/>
          </w:tcPr>
          <w:p>
            <w:pPr>
              <w:widowControl/>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801" w:type="dxa"/>
            <w:gridSpan w:val="5"/>
            <w:noWrap/>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商务总得分</w:t>
            </w:r>
          </w:p>
        </w:tc>
        <w:tc>
          <w:tcPr>
            <w:tcW w:w="1237" w:type="dxa"/>
            <w:noWrap/>
            <w:vAlign w:val="center"/>
          </w:tcPr>
          <w:p>
            <w:pPr>
              <w:widowControl/>
              <w:spacing w:line="360" w:lineRule="auto"/>
              <w:jc w:val="center"/>
              <w:rPr>
                <w:rFonts w:asciiTheme="minorEastAsia" w:hAnsiTheme="minorEastAsia" w:cstheme="minorEastAsia"/>
                <w:b/>
                <w:szCs w:val="21"/>
              </w:rPr>
            </w:pPr>
          </w:p>
        </w:tc>
      </w:tr>
    </w:tbl>
    <w:p>
      <w:pPr>
        <w:pStyle w:val="2"/>
        <w:spacing w:line="360" w:lineRule="auto"/>
        <w:ind w:firstLine="420" w:firstLineChars="150"/>
        <w:jc w:val="left"/>
        <w:outlineLvl w:val="2"/>
        <w:rPr>
          <w:rFonts w:hint="eastAsia" w:asciiTheme="minorEastAsia" w:hAnsiTheme="minorEastAsia" w:cstheme="minorEastAsia"/>
          <w:sz w:val="28"/>
          <w:szCs w:val="28"/>
        </w:rPr>
      </w:pPr>
      <w:r>
        <w:rPr>
          <w:rFonts w:hint="eastAsia" w:asciiTheme="minorEastAsia" w:hAnsiTheme="minorEastAsia" w:cstheme="minorEastAsia"/>
          <w:sz w:val="28"/>
          <w:szCs w:val="28"/>
        </w:rPr>
        <w:t>（二）报价部分评分表（满分30分）</w:t>
      </w:r>
    </w:p>
    <w:bookmarkEnd w:id="417"/>
    <w:bookmarkEnd w:id="418"/>
    <w:bookmarkEnd w:id="419"/>
    <w:tbl>
      <w:tblPr>
        <w:tblStyle w:val="16"/>
        <w:tblW w:w="10044" w:type="dxa"/>
        <w:tblInd w:w="-758"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732"/>
        <w:gridCol w:w="1265"/>
        <w:gridCol w:w="864"/>
        <w:gridCol w:w="5940"/>
        <w:gridCol w:w="1237"/>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32" w:type="dxa"/>
            <w:tcBorders>
              <w:top w:val="single" w:color="auto" w:sz="8" w:space="0"/>
              <w:left w:val="single" w:color="auto" w:sz="8" w:space="0"/>
              <w:bottom w:val="single" w:color="auto" w:sz="8" w:space="0"/>
              <w:right w:val="single" w:color="auto" w:sz="8" w:space="0"/>
            </w:tcBorders>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序号</w:t>
            </w:r>
          </w:p>
        </w:tc>
        <w:tc>
          <w:tcPr>
            <w:tcW w:w="1265" w:type="dxa"/>
            <w:tcBorders>
              <w:top w:val="single" w:color="auto" w:sz="8" w:space="0"/>
              <w:left w:val="nil"/>
              <w:bottom w:val="single" w:color="auto" w:sz="8" w:space="0"/>
              <w:right w:val="single" w:color="auto" w:sz="8" w:space="0"/>
            </w:tcBorders>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评分项目</w:t>
            </w:r>
          </w:p>
        </w:tc>
        <w:tc>
          <w:tcPr>
            <w:tcW w:w="864" w:type="dxa"/>
            <w:tcBorders>
              <w:top w:val="single" w:color="auto" w:sz="8" w:space="0"/>
              <w:left w:val="nil"/>
              <w:bottom w:val="single" w:color="auto" w:sz="8" w:space="0"/>
              <w:right w:val="single" w:color="auto" w:sz="8" w:space="0"/>
            </w:tcBorders>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标准分</w:t>
            </w:r>
          </w:p>
        </w:tc>
        <w:tc>
          <w:tcPr>
            <w:tcW w:w="594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评分标准与计分规则</w:t>
            </w:r>
          </w:p>
        </w:tc>
        <w:tc>
          <w:tcPr>
            <w:tcW w:w="1237"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宋体" w:hAnsi="宋体" w:cs="宋体"/>
                <w:b/>
                <w:bCs/>
                <w:szCs w:val="21"/>
              </w:rPr>
            </w:pPr>
            <w:r>
              <w:rPr>
                <w:rFonts w:hint="eastAsia" w:ascii="宋体" w:hAnsi="宋体" w:cs="宋体"/>
                <w:b/>
                <w:bCs/>
                <w:szCs w:val="21"/>
              </w:rPr>
              <w:t>分值(m)</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0" w:hRule="atLeast"/>
        </w:trPr>
        <w:tc>
          <w:tcPr>
            <w:tcW w:w="732"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p>
        </w:tc>
        <w:tc>
          <w:tcPr>
            <w:tcW w:w="1265"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比选报价</w:t>
            </w:r>
          </w:p>
          <w:p>
            <w:pPr>
              <w:widowControl/>
              <w:spacing w:line="360" w:lineRule="auto"/>
              <w:jc w:val="center"/>
              <w:rPr>
                <w:rFonts w:hint="eastAsia" w:asciiTheme="minorEastAsia" w:hAnsiTheme="minorEastAsia" w:eastAsiaTheme="minorEastAsia" w:cstheme="minorEastAsia"/>
                <w:kern w:val="0"/>
                <w:szCs w:val="21"/>
              </w:rPr>
            </w:pPr>
          </w:p>
        </w:tc>
        <w:tc>
          <w:tcPr>
            <w:tcW w:w="864"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30</w:t>
            </w:r>
          </w:p>
        </w:tc>
        <w:tc>
          <w:tcPr>
            <w:tcW w:w="5940" w:type="dxa"/>
            <w:tcBorders>
              <w:top w:val="nil"/>
              <w:left w:val="nil"/>
              <w:bottom w:val="nil"/>
              <w:right w:val="single" w:color="auto" w:sz="8" w:space="0"/>
            </w:tcBorders>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1、不接受选择性报价或者具有附加条件的报价，报价超出上限控制价格视为无效报价；</w:t>
            </w:r>
          </w:p>
        </w:tc>
        <w:tc>
          <w:tcPr>
            <w:tcW w:w="1237"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0≤m≤30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0" w:hRule="atLeast"/>
        </w:trPr>
        <w:tc>
          <w:tcPr>
            <w:tcW w:w="732"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hint="eastAsia" w:asciiTheme="minorEastAsia" w:hAnsiTheme="minorEastAsia" w:eastAsiaTheme="minorEastAsia" w:cstheme="minorEastAsia"/>
                <w:kern w:val="0"/>
                <w:szCs w:val="21"/>
              </w:rPr>
            </w:pPr>
          </w:p>
        </w:tc>
        <w:tc>
          <w:tcPr>
            <w:tcW w:w="1265"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hint="eastAsia" w:asciiTheme="minorEastAsia" w:hAnsiTheme="minorEastAsia" w:eastAsiaTheme="minorEastAsia" w:cstheme="minorEastAsia"/>
                <w:kern w:val="0"/>
                <w:szCs w:val="21"/>
              </w:rPr>
            </w:pPr>
          </w:p>
        </w:tc>
        <w:tc>
          <w:tcPr>
            <w:tcW w:w="864"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hint="eastAsia" w:asciiTheme="minorEastAsia" w:hAnsiTheme="minorEastAsia" w:eastAsiaTheme="minorEastAsia" w:cstheme="minorEastAsia"/>
                <w:kern w:val="0"/>
                <w:szCs w:val="21"/>
              </w:rPr>
            </w:pPr>
          </w:p>
        </w:tc>
        <w:tc>
          <w:tcPr>
            <w:tcW w:w="5940" w:type="dxa"/>
            <w:tcBorders>
              <w:top w:val="nil"/>
              <w:left w:val="nil"/>
              <w:bottom w:val="nil"/>
              <w:right w:val="nil"/>
            </w:tcBorders>
            <w:noWrap/>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报价分计算方式：报价计算采用含税总报价。资格审查合格的有效报价多于5家时（不含5家），去掉一个最高报价和一个最低报价后的算术平均值作为评标基准价；资格审查合格的有效报价少于5家（含5家）时，则以所有有效的报价的算术平均值作为基准价。</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评审时以经评审的基准价为最高分，采用内插法计算：</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当报价高于基准价时，每高于基准价的1%的扣1分；每低于基准价的1%的扣0.5分，扣完即止。</w:t>
            </w:r>
          </w:p>
        </w:tc>
        <w:tc>
          <w:tcPr>
            <w:tcW w:w="123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0" w:hRule="atLeast"/>
        </w:trPr>
        <w:tc>
          <w:tcPr>
            <w:tcW w:w="732"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hint="eastAsia" w:asciiTheme="minorEastAsia" w:hAnsiTheme="minorEastAsia" w:eastAsiaTheme="minorEastAsia" w:cstheme="minorEastAsia"/>
                <w:kern w:val="0"/>
                <w:szCs w:val="21"/>
              </w:rPr>
            </w:pPr>
          </w:p>
        </w:tc>
        <w:tc>
          <w:tcPr>
            <w:tcW w:w="1265"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hint="eastAsia" w:asciiTheme="minorEastAsia" w:hAnsiTheme="minorEastAsia" w:eastAsiaTheme="minorEastAsia" w:cstheme="minorEastAsia"/>
                <w:kern w:val="0"/>
                <w:szCs w:val="21"/>
              </w:rPr>
            </w:pPr>
          </w:p>
        </w:tc>
        <w:tc>
          <w:tcPr>
            <w:tcW w:w="864"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hint="eastAsia" w:asciiTheme="minorEastAsia" w:hAnsiTheme="minorEastAsia" w:eastAsiaTheme="minorEastAsia" w:cstheme="minorEastAsia"/>
                <w:kern w:val="0"/>
                <w:szCs w:val="21"/>
              </w:rPr>
            </w:pPr>
          </w:p>
        </w:tc>
        <w:tc>
          <w:tcPr>
            <w:tcW w:w="5940" w:type="dxa"/>
            <w:tcBorders>
              <w:top w:val="nil"/>
              <w:left w:val="nil"/>
              <w:bottom w:val="nil"/>
              <w:right w:val="single" w:color="auto" w:sz="8" w:space="0"/>
            </w:tcBorders>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注：按四舍五入取小数点后两位。</w:t>
            </w:r>
          </w:p>
        </w:tc>
        <w:tc>
          <w:tcPr>
            <w:tcW w:w="123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27" w:hRule="atLeast"/>
        </w:trPr>
        <w:tc>
          <w:tcPr>
            <w:tcW w:w="732"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hint="eastAsia" w:asciiTheme="minorEastAsia" w:hAnsiTheme="minorEastAsia" w:eastAsiaTheme="minorEastAsia" w:cstheme="minorEastAsia"/>
                <w:kern w:val="0"/>
                <w:szCs w:val="21"/>
              </w:rPr>
            </w:pPr>
          </w:p>
        </w:tc>
        <w:tc>
          <w:tcPr>
            <w:tcW w:w="1265"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hint="eastAsia" w:asciiTheme="minorEastAsia" w:hAnsiTheme="minorEastAsia" w:eastAsiaTheme="minorEastAsia" w:cstheme="minorEastAsia"/>
                <w:kern w:val="0"/>
                <w:szCs w:val="21"/>
              </w:rPr>
            </w:pPr>
          </w:p>
        </w:tc>
        <w:tc>
          <w:tcPr>
            <w:tcW w:w="864" w:type="dxa"/>
            <w:vMerge w:val="continue"/>
            <w:tcBorders>
              <w:top w:val="nil"/>
              <w:left w:val="single" w:color="auto" w:sz="8" w:space="0"/>
              <w:bottom w:val="single" w:color="000000" w:sz="8" w:space="0"/>
              <w:right w:val="single" w:color="auto" w:sz="8" w:space="0"/>
            </w:tcBorders>
            <w:vAlign w:val="center"/>
          </w:tcPr>
          <w:p>
            <w:pPr>
              <w:widowControl/>
              <w:spacing w:line="360" w:lineRule="auto"/>
              <w:jc w:val="left"/>
              <w:rPr>
                <w:rFonts w:hint="eastAsia" w:asciiTheme="minorEastAsia" w:hAnsiTheme="minorEastAsia" w:eastAsiaTheme="minorEastAsia" w:cstheme="minorEastAsia"/>
                <w:kern w:val="0"/>
                <w:szCs w:val="21"/>
              </w:rPr>
            </w:pPr>
          </w:p>
        </w:tc>
        <w:tc>
          <w:tcPr>
            <w:tcW w:w="5940" w:type="dxa"/>
            <w:tcBorders>
              <w:top w:val="nil"/>
              <w:left w:val="nil"/>
              <w:bottom w:val="single" w:color="auto" w:sz="8" w:space="0"/>
              <w:right w:val="single" w:color="auto" w:sz="8" w:space="0"/>
            </w:tcBorders>
          </w:tcPr>
          <w:p>
            <w:pPr>
              <w:widowControl/>
              <w:autoSpaceDN/>
              <w:spacing w:line="360" w:lineRule="auto"/>
              <w:jc w:val="left"/>
              <w:textAlignment w:val="auto"/>
              <w:rPr>
                <w:rFonts w:hint="eastAsia" w:asciiTheme="minorEastAsia" w:hAnsiTheme="minorEastAsia" w:eastAsiaTheme="minorEastAsia" w:cstheme="minorEastAsia"/>
                <w:color w:val="000000"/>
                <w:sz w:val="21"/>
                <w:szCs w:val="21"/>
              </w:rPr>
            </w:pPr>
          </w:p>
        </w:tc>
        <w:tc>
          <w:tcPr>
            <w:tcW w:w="123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bl>
    <w:p>
      <w:pPr>
        <w:pStyle w:val="2"/>
        <w:spacing w:line="360" w:lineRule="auto"/>
        <w:outlineLvl w:val="2"/>
        <w:rPr>
          <w:rFonts w:hint="eastAsia" w:asciiTheme="minorEastAsia" w:hAnsiTheme="minorEastAsia" w:cstheme="minorEastAsia"/>
          <w:sz w:val="28"/>
          <w:szCs w:val="28"/>
        </w:rPr>
      </w:pPr>
      <w:r>
        <w:rPr>
          <w:rFonts w:hint="eastAsia" w:asciiTheme="minorEastAsia" w:hAnsiTheme="minorEastAsia" w:cstheme="minorEastAsia"/>
          <w:sz w:val="28"/>
          <w:szCs w:val="28"/>
        </w:rPr>
        <w:t>（三）技术部分评分细则（满分40分）</w:t>
      </w:r>
    </w:p>
    <w:tbl>
      <w:tblPr>
        <w:tblStyle w:val="16"/>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88"/>
        <w:gridCol w:w="1122"/>
        <w:gridCol w:w="1025"/>
        <w:gridCol w:w="567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tblHeader/>
          <w:jc w:val="center"/>
        </w:trPr>
        <w:tc>
          <w:tcPr>
            <w:tcW w:w="888"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序号</w:t>
            </w:r>
          </w:p>
        </w:tc>
        <w:tc>
          <w:tcPr>
            <w:tcW w:w="1122"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评分项目</w:t>
            </w:r>
          </w:p>
        </w:tc>
        <w:tc>
          <w:tcPr>
            <w:tcW w:w="1025"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满分</w:t>
            </w:r>
          </w:p>
        </w:tc>
        <w:tc>
          <w:tcPr>
            <w:tcW w:w="5670"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评分细则（m）</w:t>
            </w:r>
          </w:p>
        </w:tc>
        <w:tc>
          <w:tcPr>
            <w:tcW w:w="1245"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27" w:hRule="atLeast"/>
          <w:jc w:val="center"/>
        </w:trPr>
        <w:tc>
          <w:tcPr>
            <w:tcW w:w="888"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w:t>
            </w:r>
          </w:p>
        </w:tc>
        <w:tc>
          <w:tcPr>
            <w:tcW w:w="112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项目重点、难点分析及对策</w:t>
            </w:r>
          </w:p>
        </w:tc>
        <w:tc>
          <w:tcPr>
            <w:tcW w:w="102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5670" w:type="dxa"/>
            <w:vAlign w:val="center"/>
          </w:tcPr>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要求：分析深入、深刻，根据项目特点准确提出的难点、重点，提出科学合理的解决方案。</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好</w:t>
            </w:r>
            <w:r>
              <w:rPr>
                <w:rFonts w:hint="eastAsia" w:asciiTheme="minorEastAsia" w:hAnsiTheme="minorEastAsia" w:cstheme="minorEastAsia"/>
                <w:szCs w:val="21"/>
              </w:rPr>
              <w:t>：根据项目特点提出的重点、难点准确，提出解决方案科学合理，得8＜m≤10分。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中</w:t>
            </w:r>
            <w:r>
              <w:rPr>
                <w:rFonts w:hint="eastAsia" w:asciiTheme="minorEastAsia" w:hAnsiTheme="minorEastAsia" w:cstheme="minorEastAsia"/>
                <w:szCs w:val="21"/>
              </w:rPr>
              <w:t>：根据项目特点能够提出的重点、难点，提出解决方案较合理，得5＜m≤8分。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差</w:t>
            </w:r>
            <w:r>
              <w:rPr>
                <w:rFonts w:hint="eastAsia" w:asciiTheme="minorEastAsia" w:hAnsiTheme="minorEastAsia" w:cstheme="minorEastAsia"/>
                <w:szCs w:val="21"/>
              </w:rPr>
              <w:t>：根据项目特点提出的重点、难点不准确，解决方案不合理，得0≤m≤5分。</w:t>
            </w:r>
          </w:p>
        </w:tc>
        <w:tc>
          <w:tcPr>
            <w:tcW w:w="1245" w:type="dxa"/>
            <w:vAlign w:val="center"/>
          </w:tcPr>
          <w:p>
            <w:pPr>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62" w:hRule="atLeast"/>
          <w:jc w:val="center"/>
        </w:trPr>
        <w:tc>
          <w:tcPr>
            <w:tcW w:w="888"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2</w:t>
            </w:r>
          </w:p>
        </w:tc>
        <w:tc>
          <w:tcPr>
            <w:tcW w:w="112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质量控制重点及措施</w:t>
            </w:r>
          </w:p>
        </w:tc>
        <w:tc>
          <w:tcPr>
            <w:tcW w:w="102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5670" w:type="dxa"/>
            <w:vAlign w:val="center"/>
          </w:tcPr>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要求：质量控制重点分析到位、明确；质量目标分解、规划合理，质量控制体系健全，质量控制措施有效可靠，控制手段先进完善。</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好</w:t>
            </w:r>
            <w:r>
              <w:rPr>
                <w:rFonts w:hint="eastAsia" w:asciiTheme="minorEastAsia" w:hAnsiTheme="minorEastAsia" w:cstheme="minorEastAsia"/>
                <w:szCs w:val="21"/>
              </w:rPr>
              <w:t>：完全满足要求，得8＜m≤10分。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中</w:t>
            </w:r>
            <w:r>
              <w:rPr>
                <w:rFonts w:hint="eastAsia" w:asciiTheme="minorEastAsia" w:hAnsiTheme="minorEastAsia" w:cstheme="minorEastAsia"/>
                <w:szCs w:val="21"/>
              </w:rPr>
              <w:t>：基本满足要求，得5＜m≤8分。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差</w:t>
            </w:r>
            <w:r>
              <w:rPr>
                <w:rFonts w:hint="eastAsia" w:asciiTheme="minorEastAsia" w:hAnsiTheme="minorEastAsia" w:cstheme="minorEastAsia"/>
                <w:szCs w:val="21"/>
              </w:rPr>
              <w:t>：不满足要求，得0≤m≤5分。</w:t>
            </w:r>
          </w:p>
        </w:tc>
        <w:tc>
          <w:tcPr>
            <w:tcW w:w="1245" w:type="dxa"/>
            <w:vAlign w:val="center"/>
          </w:tcPr>
          <w:p>
            <w:pPr>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6" w:hRule="atLeast"/>
          <w:jc w:val="center"/>
        </w:trPr>
        <w:tc>
          <w:tcPr>
            <w:tcW w:w="888"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3</w:t>
            </w:r>
          </w:p>
        </w:tc>
        <w:tc>
          <w:tcPr>
            <w:tcW w:w="112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进度控制重点及措施</w:t>
            </w:r>
          </w:p>
        </w:tc>
        <w:tc>
          <w:tcPr>
            <w:tcW w:w="102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5670" w:type="dxa"/>
            <w:vAlign w:val="center"/>
          </w:tcPr>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要求：进度计划科学，节点或阶段工期明确，进度控制重点明确，控制措施与手段可靠有力。</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好</w:t>
            </w:r>
            <w:r>
              <w:rPr>
                <w:rFonts w:hint="eastAsia" w:asciiTheme="minorEastAsia" w:hAnsiTheme="minorEastAsia" w:cstheme="minorEastAsia"/>
                <w:szCs w:val="21"/>
              </w:rPr>
              <w:t>：完全满足要求，得8＜m≤10分。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中</w:t>
            </w:r>
            <w:r>
              <w:rPr>
                <w:rFonts w:hint="eastAsia" w:asciiTheme="minorEastAsia" w:hAnsiTheme="minorEastAsia" w:cstheme="minorEastAsia"/>
                <w:szCs w:val="21"/>
              </w:rPr>
              <w:t>：基本满足要求，得5＜m≤8分。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差</w:t>
            </w:r>
            <w:r>
              <w:rPr>
                <w:rFonts w:hint="eastAsia" w:asciiTheme="minorEastAsia" w:hAnsiTheme="minorEastAsia" w:cstheme="minorEastAsia"/>
                <w:szCs w:val="21"/>
              </w:rPr>
              <w:t>：不满足要求，得0≤m≤5分。</w:t>
            </w:r>
          </w:p>
        </w:tc>
        <w:tc>
          <w:tcPr>
            <w:tcW w:w="1245" w:type="dxa"/>
            <w:vAlign w:val="center"/>
          </w:tcPr>
          <w:p>
            <w:pPr>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2" w:hRule="atLeast"/>
          <w:jc w:val="center"/>
        </w:trPr>
        <w:tc>
          <w:tcPr>
            <w:tcW w:w="888"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4</w:t>
            </w:r>
          </w:p>
        </w:tc>
        <w:tc>
          <w:tcPr>
            <w:tcW w:w="112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服务承诺</w:t>
            </w:r>
          </w:p>
        </w:tc>
        <w:tc>
          <w:tcPr>
            <w:tcW w:w="102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5670" w:type="dxa"/>
            <w:vAlign w:val="center"/>
          </w:tcPr>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要求：承诺服务态度好、服务质量优秀、服务响应时间短，并有切实可行的保障措施。</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好</w:t>
            </w:r>
            <w:r>
              <w:rPr>
                <w:rFonts w:hint="eastAsia" w:asciiTheme="minorEastAsia" w:hAnsiTheme="minorEastAsia" w:cstheme="minorEastAsia"/>
                <w:szCs w:val="21"/>
              </w:rPr>
              <w:t>：完全满足要求，得8＜m≤10分。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中</w:t>
            </w:r>
            <w:r>
              <w:rPr>
                <w:rFonts w:hint="eastAsia" w:asciiTheme="minorEastAsia" w:hAnsiTheme="minorEastAsia" w:cstheme="minorEastAsia"/>
                <w:szCs w:val="21"/>
              </w:rPr>
              <w:t>：基本满足要求，得5＜m≤8分。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差</w:t>
            </w:r>
            <w:r>
              <w:rPr>
                <w:rFonts w:hint="eastAsia" w:asciiTheme="minorEastAsia" w:hAnsiTheme="minorEastAsia" w:cstheme="minorEastAsia"/>
                <w:szCs w:val="21"/>
              </w:rPr>
              <w:t>：不满足要求，得0≤m≤5分。</w:t>
            </w:r>
          </w:p>
        </w:tc>
        <w:tc>
          <w:tcPr>
            <w:tcW w:w="1245" w:type="dxa"/>
            <w:vAlign w:val="center"/>
          </w:tcPr>
          <w:p>
            <w:pPr>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9" w:hRule="atLeast"/>
          <w:jc w:val="center"/>
        </w:trPr>
        <w:tc>
          <w:tcPr>
            <w:tcW w:w="8705" w:type="dxa"/>
            <w:gridSpan w:val="4"/>
            <w:vAlign w:val="center"/>
          </w:tcPr>
          <w:p>
            <w:pPr>
              <w:widowControl/>
              <w:spacing w:line="360" w:lineRule="auto"/>
              <w:jc w:val="center"/>
              <w:rPr>
                <w:rFonts w:asciiTheme="minorEastAsia" w:hAnsiTheme="minorEastAsia" w:cstheme="minorEastAsia"/>
                <w:b/>
                <w:bCs/>
                <w:szCs w:val="21"/>
              </w:rPr>
            </w:pPr>
            <w:r>
              <w:rPr>
                <w:rFonts w:hint="eastAsia" w:asciiTheme="minorEastAsia" w:hAnsiTheme="minorEastAsia" w:cstheme="minorEastAsia"/>
                <w:szCs w:val="21"/>
              </w:rPr>
              <w:t>技术总得分</w:t>
            </w:r>
          </w:p>
        </w:tc>
        <w:tc>
          <w:tcPr>
            <w:tcW w:w="1245" w:type="dxa"/>
            <w:vAlign w:val="center"/>
          </w:tcPr>
          <w:p>
            <w:pPr>
              <w:widowControl/>
              <w:spacing w:line="360" w:lineRule="auto"/>
              <w:jc w:val="center"/>
              <w:rPr>
                <w:rFonts w:asciiTheme="minorEastAsia" w:hAnsiTheme="minorEastAsia" w:cstheme="minorEastAsia"/>
                <w:b/>
                <w:bCs/>
                <w:szCs w:val="21"/>
              </w:rPr>
            </w:pPr>
          </w:p>
        </w:tc>
      </w:tr>
    </w:tbl>
    <w:p>
      <w:pPr>
        <w:pStyle w:val="4"/>
        <w:spacing w:line="360" w:lineRule="auto"/>
        <w:rPr>
          <w:rFonts w:hint="eastAsia" w:asciiTheme="minorEastAsia" w:hAnsiTheme="minorEastAsia" w:cstheme="minorEastAsia"/>
          <w:szCs w:val="20"/>
        </w:rPr>
      </w:pPr>
      <w:bookmarkStart w:id="420" w:name="_Toc19365"/>
      <w:bookmarkStart w:id="421" w:name="_Toc29392"/>
      <w:bookmarkStart w:id="422" w:name="_Toc14081"/>
      <w:bookmarkStart w:id="423" w:name="_Toc15663"/>
      <w:bookmarkStart w:id="424" w:name="_Toc21685"/>
      <w:bookmarkStart w:id="425" w:name="_Toc24296"/>
      <w:bookmarkStart w:id="426" w:name="_Toc22367"/>
      <w:bookmarkStart w:id="427" w:name="_Toc30503"/>
      <w:bookmarkStart w:id="428" w:name="_Toc2769"/>
      <w:bookmarkStart w:id="429" w:name="_Toc30389"/>
      <w:bookmarkStart w:id="430" w:name="_Toc10183"/>
      <w:bookmarkStart w:id="431" w:name="_Toc2968"/>
      <w:bookmarkStart w:id="432" w:name="_Toc27525"/>
      <w:bookmarkStart w:id="433" w:name="_Toc26025"/>
      <w:bookmarkStart w:id="434" w:name="_Toc3978"/>
      <w:bookmarkStart w:id="435" w:name="_Toc19593"/>
      <w:bookmarkStart w:id="436" w:name="_Toc4621"/>
      <w:bookmarkStart w:id="437" w:name="_Toc471482377"/>
      <w:bookmarkStart w:id="438" w:name="_Toc19395"/>
      <w:bookmarkStart w:id="439" w:name="_Toc713"/>
      <w:bookmarkStart w:id="440" w:name="_Toc27770"/>
      <w:bookmarkStart w:id="441" w:name="_Toc22492"/>
      <w:bookmarkStart w:id="442" w:name="_Toc25918"/>
      <w:r>
        <w:rPr>
          <w:rFonts w:hint="eastAsia" w:asciiTheme="minorEastAsia" w:hAnsiTheme="minorEastAsia" w:cstheme="minorEastAsia"/>
          <w:szCs w:val="20"/>
        </w:rPr>
        <w:t>五、中选标准</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评审小组将按照综合得分由高到低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被查实存在影响比选结果的违法行为等情形，不符合比选条件的，比选发起人可以按照评比委员会提出的中选候选人名单排序依次确定其他中选候选人为中选人，也可以重新比选。</w:t>
      </w:r>
    </w:p>
    <w:p>
      <w:pPr>
        <w:ind w:firstLine="280" w:firstLineChars="100"/>
        <w:rPr>
          <w:rFonts w:ascii="宋体" w:hAnsi="宋体" w:cs="宋体"/>
          <w:kern w:val="0"/>
          <w:sz w:val="28"/>
          <w:szCs w:val="28"/>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279E3"/>
    <w:multiLevelType w:val="singleLevel"/>
    <w:tmpl w:val="8A3279E3"/>
    <w:lvl w:ilvl="0" w:tentative="0">
      <w:start w:val="5"/>
      <w:numFmt w:val="chineseCounting"/>
      <w:suff w:val="nothing"/>
      <w:lvlText w:val="（%1）"/>
      <w:lvlJc w:val="left"/>
      <w:rPr>
        <w:rFonts w:hint="eastAsia"/>
      </w:rPr>
    </w:lvl>
  </w:abstractNum>
  <w:abstractNum w:abstractNumId="1">
    <w:nsid w:val="A01BBBD5"/>
    <w:multiLevelType w:val="singleLevel"/>
    <w:tmpl w:val="A01BBBD5"/>
    <w:lvl w:ilvl="0" w:tentative="0">
      <w:start w:val="1"/>
      <w:numFmt w:val="chineseCounting"/>
      <w:suff w:val="space"/>
      <w:lvlText w:val="第%1章"/>
      <w:lvlJc w:val="left"/>
      <w:rPr>
        <w:rFonts w:hint="eastAsia"/>
      </w:rPr>
    </w:lvl>
  </w:abstractNum>
  <w:abstractNum w:abstractNumId="2">
    <w:nsid w:val="F7EB345B"/>
    <w:multiLevelType w:val="singleLevel"/>
    <w:tmpl w:val="F7EB345B"/>
    <w:lvl w:ilvl="0" w:tentative="0">
      <w:start w:val="1"/>
      <w:numFmt w:val="decimal"/>
      <w:lvlText w:val="%1."/>
      <w:lvlJc w:val="left"/>
      <w:pPr>
        <w:tabs>
          <w:tab w:val="left" w:pos="312"/>
        </w:tabs>
      </w:pPr>
    </w:lvl>
  </w:abstractNum>
  <w:abstractNum w:abstractNumId="3">
    <w:nsid w:val="057BAFD7"/>
    <w:multiLevelType w:val="singleLevel"/>
    <w:tmpl w:val="057BAFD7"/>
    <w:lvl w:ilvl="0" w:tentative="0">
      <w:start w:val="3"/>
      <w:numFmt w:val="decimal"/>
      <w:lvlText w:val="%1."/>
      <w:lvlJc w:val="left"/>
      <w:pPr>
        <w:tabs>
          <w:tab w:val="left" w:pos="312"/>
        </w:tabs>
      </w:pPr>
    </w:lvl>
  </w:abstractNum>
  <w:abstractNum w:abstractNumId="4">
    <w:nsid w:val="1A98AD14"/>
    <w:multiLevelType w:val="singleLevel"/>
    <w:tmpl w:val="1A98AD14"/>
    <w:lvl w:ilvl="0" w:tentative="0">
      <w:start w:val="1"/>
      <w:numFmt w:val="decimal"/>
      <w:suff w:val="nothing"/>
      <w:lvlText w:val="（%1）"/>
      <w:lvlJc w:val="left"/>
    </w:lvl>
  </w:abstractNum>
  <w:abstractNum w:abstractNumId="5">
    <w:nsid w:val="304729A9"/>
    <w:multiLevelType w:val="singleLevel"/>
    <w:tmpl w:val="304729A9"/>
    <w:lvl w:ilvl="0" w:tentative="0">
      <w:start w:val="1"/>
      <w:numFmt w:val="decimal"/>
      <w:suff w:val="nothing"/>
      <w:lvlText w:val="（%1）"/>
      <w:lvlJc w:val="left"/>
    </w:lvl>
  </w:abstractNum>
  <w:abstractNum w:abstractNumId="6">
    <w:nsid w:val="490DD5E9"/>
    <w:multiLevelType w:val="singleLevel"/>
    <w:tmpl w:val="490DD5E9"/>
    <w:lvl w:ilvl="0" w:tentative="0">
      <w:start w:val="1"/>
      <w:numFmt w:val="chineseCounting"/>
      <w:suff w:val="nothing"/>
      <w:lvlText w:val="（%1）"/>
      <w:lvlJc w:val="left"/>
      <w:rPr>
        <w:rFonts w:hint="eastAsia"/>
      </w:rPr>
    </w:lvl>
  </w:abstractNum>
  <w:abstractNum w:abstractNumId="7">
    <w:nsid w:val="52ABEA66"/>
    <w:multiLevelType w:val="singleLevel"/>
    <w:tmpl w:val="52ABEA66"/>
    <w:lvl w:ilvl="0" w:tentative="0">
      <w:start w:val="3"/>
      <w:numFmt w:val="chineseCounting"/>
      <w:suff w:val="space"/>
      <w:lvlText w:val="第%1章"/>
      <w:lvlJc w:val="left"/>
    </w:lvl>
  </w:abstractNum>
  <w:abstractNum w:abstractNumId="8">
    <w:nsid w:val="6483F9D3"/>
    <w:multiLevelType w:val="singleLevel"/>
    <w:tmpl w:val="6483F9D3"/>
    <w:lvl w:ilvl="0" w:tentative="0">
      <w:start w:val="1"/>
      <w:numFmt w:val="decimal"/>
      <w:suff w:val="nothing"/>
      <w:lvlText w:val="%1、"/>
      <w:lvlJc w:val="left"/>
    </w:lvl>
  </w:abstractNum>
  <w:num w:numId="1">
    <w:abstractNumId w:val="1"/>
  </w:num>
  <w:num w:numId="2">
    <w:abstractNumId w:val="4"/>
  </w:num>
  <w:num w:numId="3">
    <w:abstractNumId w:val="5"/>
  </w:num>
  <w:num w:numId="4">
    <w:abstractNumId w:val="6"/>
  </w:num>
  <w:num w:numId="5">
    <w:abstractNumId w:val="7"/>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Q0ZTVjZjUzMWMzYTYzNzI1OWNjZTBiYTQ3ZDg5MDAifQ=="/>
  </w:docVars>
  <w:rsids>
    <w:rsidRoot w:val="00172A27"/>
    <w:rsid w:val="00003533"/>
    <w:rsid w:val="00004844"/>
    <w:rsid w:val="00034E93"/>
    <w:rsid w:val="00062DBB"/>
    <w:rsid w:val="0009318E"/>
    <w:rsid w:val="000A09EE"/>
    <w:rsid w:val="000B6E73"/>
    <w:rsid w:val="000F1B8B"/>
    <w:rsid w:val="00144C7E"/>
    <w:rsid w:val="00172A27"/>
    <w:rsid w:val="001851E5"/>
    <w:rsid w:val="001A50A2"/>
    <w:rsid w:val="001B5C3A"/>
    <w:rsid w:val="00220D02"/>
    <w:rsid w:val="002866D2"/>
    <w:rsid w:val="00293EF0"/>
    <w:rsid w:val="002B3EB8"/>
    <w:rsid w:val="003036B9"/>
    <w:rsid w:val="00323330"/>
    <w:rsid w:val="00376897"/>
    <w:rsid w:val="004B34E4"/>
    <w:rsid w:val="004B45FA"/>
    <w:rsid w:val="004E1812"/>
    <w:rsid w:val="004F137F"/>
    <w:rsid w:val="00504A31"/>
    <w:rsid w:val="00543E3B"/>
    <w:rsid w:val="005C20D9"/>
    <w:rsid w:val="005F660F"/>
    <w:rsid w:val="005F70D6"/>
    <w:rsid w:val="00616182"/>
    <w:rsid w:val="006A3BD4"/>
    <w:rsid w:val="006C4DF5"/>
    <w:rsid w:val="006E0ABB"/>
    <w:rsid w:val="006F49AF"/>
    <w:rsid w:val="007C1D17"/>
    <w:rsid w:val="007C4864"/>
    <w:rsid w:val="007D28CF"/>
    <w:rsid w:val="008308C0"/>
    <w:rsid w:val="00853E15"/>
    <w:rsid w:val="00890083"/>
    <w:rsid w:val="00891D04"/>
    <w:rsid w:val="00893C82"/>
    <w:rsid w:val="008F1005"/>
    <w:rsid w:val="00941D9F"/>
    <w:rsid w:val="00951E3A"/>
    <w:rsid w:val="00AE6F80"/>
    <w:rsid w:val="00AE7F64"/>
    <w:rsid w:val="00B12A63"/>
    <w:rsid w:val="00B74E9C"/>
    <w:rsid w:val="00B8485D"/>
    <w:rsid w:val="00B85EE2"/>
    <w:rsid w:val="00BD672E"/>
    <w:rsid w:val="00BF0DAF"/>
    <w:rsid w:val="00C0776B"/>
    <w:rsid w:val="00C1175D"/>
    <w:rsid w:val="00C155BE"/>
    <w:rsid w:val="00C3072A"/>
    <w:rsid w:val="00C377C5"/>
    <w:rsid w:val="00C53425"/>
    <w:rsid w:val="00C767AF"/>
    <w:rsid w:val="00CA44CB"/>
    <w:rsid w:val="00CC0BB4"/>
    <w:rsid w:val="00CF2C15"/>
    <w:rsid w:val="00D448A8"/>
    <w:rsid w:val="00D76977"/>
    <w:rsid w:val="00D95E75"/>
    <w:rsid w:val="00DA1346"/>
    <w:rsid w:val="00DD7774"/>
    <w:rsid w:val="00E77CA5"/>
    <w:rsid w:val="00EC35C9"/>
    <w:rsid w:val="00EE3182"/>
    <w:rsid w:val="00F36622"/>
    <w:rsid w:val="00F51121"/>
    <w:rsid w:val="00F56B47"/>
    <w:rsid w:val="00F57A52"/>
    <w:rsid w:val="00FC2F04"/>
    <w:rsid w:val="010A30B5"/>
    <w:rsid w:val="01BE7231"/>
    <w:rsid w:val="01CA143B"/>
    <w:rsid w:val="01F93E28"/>
    <w:rsid w:val="020F5185"/>
    <w:rsid w:val="02137B30"/>
    <w:rsid w:val="024878D5"/>
    <w:rsid w:val="027B3EE8"/>
    <w:rsid w:val="0284114E"/>
    <w:rsid w:val="02B83052"/>
    <w:rsid w:val="03353695"/>
    <w:rsid w:val="036F7604"/>
    <w:rsid w:val="038D1E85"/>
    <w:rsid w:val="03C63BB3"/>
    <w:rsid w:val="04287A59"/>
    <w:rsid w:val="04433205"/>
    <w:rsid w:val="04543F6B"/>
    <w:rsid w:val="04642DE0"/>
    <w:rsid w:val="048E2074"/>
    <w:rsid w:val="04A650F6"/>
    <w:rsid w:val="04D94B9F"/>
    <w:rsid w:val="04EF3542"/>
    <w:rsid w:val="04FF601E"/>
    <w:rsid w:val="051F661B"/>
    <w:rsid w:val="05796A78"/>
    <w:rsid w:val="05B1320D"/>
    <w:rsid w:val="05E7301E"/>
    <w:rsid w:val="060A162C"/>
    <w:rsid w:val="0619597F"/>
    <w:rsid w:val="073A38EF"/>
    <w:rsid w:val="075767D1"/>
    <w:rsid w:val="07583633"/>
    <w:rsid w:val="07D01B5E"/>
    <w:rsid w:val="07DC7E75"/>
    <w:rsid w:val="080700BB"/>
    <w:rsid w:val="080A4E20"/>
    <w:rsid w:val="08204893"/>
    <w:rsid w:val="084E3268"/>
    <w:rsid w:val="088F0AC2"/>
    <w:rsid w:val="08DA5226"/>
    <w:rsid w:val="08E14806"/>
    <w:rsid w:val="09005070"/>
    <w:rsid w:val="09033015"/>
    <w:rsid w:val="09261CB8"/>
    <w:rsid w:val="092D5053"/>
    <w:rsid w:val="0941123F"/>
    <w:rsid w:val="095362CF"/>
    <w:rsid w:val="09933EE7"/>
    <w:rsid w:val="0A291BC0"/>
    <w:rsid w:val="0AA26CAA"/>
    <w:rsid w:val="0AB80DB3"/>
    <w:rsid w:val="0ABC6484"/>
    <w:rsid w:val="0B024724"/>
    <w:rsid w:val="0B252067"/>
    <w:rsid w:val="0B404F3C"/>
    <w:rsid w:val="0B696551"/>
    <w:rsid w:val="0B745BDD"/>
    <w:rsid w:val="0B762725"/>
    <w:rsid w:val="0BCE4275"/>
    <w:rsid w:val="0BD0037E"/>
    <w:rsid w:val="0C6730A7"/>
    <w:rsid w:val="0CA715B2"/>
    <w:rsid w:val="0CB8153E"/>
    <w:rsid w:val="0CDC2107"/>
    <w:rsid w:val="0CF85562"/>
    <w:rsid w:val="0D180E75"/>
    <w:rsid w:val="0D365969"/>
    <w:rsid w:val="0D44270F"/>
    <w:rsid w:val="0D620789"/>
    <w:rsid w:val="0D817441"/>
    <w:rsid w:val="0DED0FA7"/>
    <w:rsid w:val="0E1F7B7F"/>
    <w:rsid w:val="0E213AFF"/>
    <w:rsid w:val="0E8B1AE4"/>
    <w:rsid w:val="0EC619E8"/>
    <w:rsid w:val="0ED70051"/>
    <w:rsid w:val="0F0D5ADE"/>
    <w:rsid w:val="0F144A26"/>
    <w:rsid w:val="0F68729F"/>
    <w:rsid w:val="0F95168A"/>
    <w:rsid w:val="0FCB1B05"/>
    <w:rsid w:val="0FE03EB9"/>
    <w:rsid w:val="10140776"/>
    <w:rsid w:val="1045758D"/>
    <w:rsid w:val="108C53BB"/>
    <w:rsid w:val="10EB7ADA"/>
    <w:rsid w:val="116266EA"/>
    <w:rsid w:val="11BC3199"/>
    <w:rsid w:val="12033F43"/>
    <w:rsid w:val="122138D6"/>
    <w:rsid w:val="12491C54"/>
    <w:rsid w:val="12556136"/>
    <w:rsid w:val="127D2E0F"/>
    <w:rsid w:val="127F7504"/>
    <w:rsid w:val="12BC56F7"/>
    <w:rsid w:val="12CA630E"/>
    <w:rsid w:val="12E75BF9"/>
    <w:rsid w:val="130152D4"/>
    <w:rsid w:val="130B097F"/>
    <w:rsid w:val="138B42E7"/>
    <w:rsid w:val="1398738F"/>
    <w:rsid w:val="14074B59"/>
    <w:rsid w:val="14393F63"/>
    <w:rsid w:val="14535527"/>
    <w:rsid w:val="14661880"/>
    <w:rsid w:val="14BE2367"/>
    <w:rsid w:val="15441330"/>
    <w:rsid w:val="156E65DC"/>
    <w:rsid w:val="15CC4F60"/>
    <w:rsid w:val="1674460B"/>
    <w:rsid w:val="1701544F"/>
    <w:rsid w:val="17530B3A"/>
    <w:rsid w:val="176B7BCC"/>
    <w:rsid w:val="17873D35"/>
    <w:rsid w:val="178D035F"/>
    <w:rsid w:val="17FE582A"/>
    <w:rsid w:val="18062C47"/>
    <w:rsid w:val="1843779C"/>
    <w:rsid w:val="188D5E27"/>
    <w:rsid w:val="18AC1971"/>
    <w:rsid w:val="192B4690"/>
    <w:rsid w:val="19522070"/>
    <w:rsid w:val="1963722A"/>
    <w:rsid w:val="199557C9"/>
    <w:rsid w:val="19A07E7C"/>
    <w:rsid w:val="19BE0238"/>
    <w:rsid w:val="19C239FC"/>
    <w:rsid w:val="19CB3C93"/>
    <w:rsid w:val="1A0C27BC"/>
    <w:rsid w:val="1A3C1C98"/>
    <w:rsid w:val="1A6B1ABA"/>
    <w:rsid w:val="1AE3031E"/>
    <w:rsid w:val="1AFA323A"/>
    <w:rsid w:val="1BB91B0D"/>
    <w:rsid w:val="1BC33BDC"/>
    <w:rsid w:val="1BD3049E"/>
    <w:rsid w:val="1BE87941"/>
    <w:rsid w:val="1BF3206B"/>
    <w:rsid w:val="1C6963B1"/>
    <w:rsid w:val="1C744D1F"/>
    <w:rsid w:val="1C997638"/>
    <w:rsid w:val="1CBB4733"/>
    <w:rsid w:val="1CDA09D6"/>
    <w:rsid w:val="1D477E44"/>
    <w:rsid w:val="1D857EA3"/>
    <w:rsid w:val="1DA8694A"/>
    <w:rsid w:val="1DCC03AB"/>
    <w:rsid w:val="1DFB74DD"/>
    <w:rsid w:val="1E44197A"/>
    <w:rsid w:val="1E4C5FD2"/>
    <w:rsid w:val="1E7506B0"/>
    <w:rsid w:val="1E806D36"/>
    <w:rsid w:val="1EA837DF"/>
    <w:rsid w:val="1EE51BFF"/>
    <w:rsid w:val="1EE53DA2"/>
    <w:rsid w:val="1EEA05F6"/>
    <w:rsid w:val="1F334A62"/>
    <w:rsid w:val="1F446843"/>
    <w:rsid w:val="1F6B41EE"/>
    <w:rsid w:val="1FDF698A"/>
    <w:rsid w:val="205B427C"/>
    <w:rsid w:val="208A260C"/>
    <w:rsid w:val="208C6E8C"/>
    <w:rsid w:val="209A6FB8"/>
    <w:rsid w:val="209D0D1F"/>
    <w:rsid w:val="20C023E7"/>
    <w:rsid w:val="20DC3B18"/>
    <w:rsid w:val="20E25D49"/>
    <w:rsid w:val="21393401"/>
    <w:rsid w:val="21543113"/>
    <w:rsid w:val="21611F69"/>
    <w:rsid w:val="21643F27"/>
    <w:rsid w:val="216E446A"/>
    <w:rsid w:val="219C2D85"/>
    <w:rsid w:val="22010E3A"/>
    <w:rsid w:val="224A3B14"/>
    <w:rsid w:val="224F66C7"/>
    <w:rsid w:val="22FD1B7C"/>
    <w:rsid w:val="231724A7"/>
    <w:rsid w:val="23516C4E"/>
    <w:rsid w:val="23671171"/>
    <w:rsid w:val="23A062F7"/>
    <w:rsid w:val="23A203FB"/>
    <w:rsid w:val="23AE7FB7"/>
    <w:rsid w:val="23B13C28"/>
    <w:rsid w:val="24594F6C"/>
    <w:rsid w:val="24923699"/>
    <w:rsid w:val="24CE6715"/>
    <w:rsid w:val="24ED7395"/>
    <w:rsid w:val="25625C9E"/>
    <w:rsid w:val="257C48B8"/>
    <w:rsid w:val="25E45305"/>
    <w:rsid w:val="25EA4F14"/>
    <w:rsid w:val="262802B3"/>
    <w:rsid w:val="26311C35"/>
    <w:rsid w:val="26753F88"/>
    <w:rsid w:val="26885F7E"/>
    <w:rsid w:val="26AB224D"/>
    <w:rsid w:val="2702799D"/>
    <w:rsid w:val="27167136"/>
    <w:rsid w:val="271F5133"/>
    <w:rsid w:val="27883EAD"/>
    <w:rsid w:val="27933A2F"/>
    <w:rsid w:val="27AD629A"/>
    <w:rsid w:val="28184E04"/>
    <w:rsid w:val="281C3055"/>
    <w:rsid w:val="28350E55"/>
    <w:rsid w:val="283E6D6D"/>
    <w:rsid w:val="289F236B"/>
    <w:rsid w:val="28AB4EB2"/>
    <w:rsid w:val="28C04DC9"/>
    <w:rsid w:val="28C82EF3"/>
    <w:rsid w:val="290C4C94"/>
    <w:rsid w:val="293C25C0"/>
    <w:rsid w:val="296A223D"/>
    <w:rsid w:val="29997109"/>
    <w:rsid w:val="29CD1CD8"/>
    <w:rsid w:val="2A4915D0"/>
    <w:rsid w:val="2A4A2EC1"/>
    <w:rsid w:val="2A553B14"/>
    <w:rsid w:val="2A702BC8"/>
    <w:rsid w:val="2AEB0D06"/>
    <w:rsid w:val="2B106E77"/>
    <w:rsid w:val="2B492424"/>
    <w:rsid w:val="2B856672"/>
    <w:rsid w:val="2BB3014B"/>
    <w:rsid w:val="2BC44975"/>
    <w:rsid w:val="2BE414A3"/>
    <w:rsid w:val="2C467D82"/>
    <w:rsid w:val="2C8E5424"/>
    <w:rsid w:val="2CBF58FF"/>
    <w:rsid w:val="2D5B4EB6"/>
    <w:rsid w:val="2DA41116"/>
    <w:rsid w:val="2DDB4C35"/>
    <w:rsid w:val="2DEF68A3"/>
    <w:rsid w:val="2DF54B08"/>
    <w:rsid w:val="2E0A32A3"/>
    <w:rsid w:val="2EAA1D61"/>
    <w:rsid w:val="2F292CE1"/>
    <w:rsid w:val="2F29567C"/>
    <w:rsid w:val="2F3E026E"/>
    <w:rsid w:val="2F3F11F4"/>
    <w:rsid w:val="2F7E5C46"/>
    <w:rsid w:val="2F855A46"/>
    <w:rsid w:val="2FAF6379"/>
    <w:rsid w:val="2FD60DDE"/>
    <w:rsid w:val="2FD96B30"/>
    <w:rsid w:val="2FF0596C"/>
    <w:rsid w:val="30103CC0"/>
    <w:rsid w:val="303F07CC"/>
    <w:rsid w:val="30867238"/>
    <w:rsid w:val="30C37B9E"/>
    <w:rsid w:val="30EC4C6B"/>
    <w:rsid w:val="31280191"/>
    <w:rsid w:val="3135376A"/>
    <w:rsid w:val="313B7697"/>
    <w:rsid w:val="3152655A"/>
    <w:rsid w:val="32151D5E"/>
    <w:rsid w:val="323864C9"/>
    <w:rsid w:val="325A6930"/>
    <w:rsid w:val="32C0083F"/>
    <w:rsid w:val="32C313C3"/>
    <w:rsid w:val="330E785B"/>
    <w:rsid w:val="336E50C8"/>
    <w:rsid w:val="33B26438"/>
    <w:rsid w:val="33B7315F"/>
    <w:rsid w:val="340903A2"/>
    <w:rsid w:val="340D6BE1"/>
    <w:rsid w:val="34183C0D"/>
    <w:rsid w:val="347920E0"/>
    <w:rsid w:val="347E260A"/>
    <w:rsid w:val="34CC23F9"/>
    <w:rsid w:val="35141A39"/>
    <w:rsid w:val="35363B2B"/>
    <w:rsid w:val="354B6356"/>
    <w:rsid w:val="355B33AF"/>
    <w:rsid w:val="35712C79"/>
    <w:rsid w:val="3572612C"/>
    <w:rsid w:val="35C1717B"/>
    <w:rsid w:val="36521A01"/>
    <w:rsid w:val="3658153F"/>
    <w:rsid w:val="36BC4BFB"/>
    <w:rsid w:val="36E40CBB"/>
    <w:rsid w:val="36EE2B52"/>
    <w:rsid w:val="36FF3B5F"/>
    <w:rsid w:val="374D6E47"/>
    <w:rsid w:val="375F2E73"/>
    <w:rsid w:val="37646661"/>
    <w:rsid w:val="37982CB9"/>
    <w:rsid w:val="384611AE"/>
    <w:rsid w:val="385416BC"/>
    <w:rsid w:val="38900A13"/>
    <w:rsid w:val="39101565"/>
    <w:rsid w:val="39110645"/>
    <w:rsid w:val="391A1EE4"/>
    <w:rsid w:val="39635F21"/>
    <w:rsid w:val="39904B26"/>
    <w:rsid w:val="39910005"/>
    <w:rsid w:val="39A94018"/>
    <w:rsid w:val="3A402719"/>
    <w:rsid w:val="3A9C574C"/>
    <w:rsid w:val="3AB10B1E"/>
    <w:rsid w:val="3B0A00F9"/>
    <w:rsid w:val="3B3F3365"/>
    <w:rsid w:val="3BB30F9F"/>
    <w:rsid w:val="3BC647D7"/>
    <w:rsid w:val="3BCA4788"/>
    <w:rsid w:val="3C38549C"/>
    <w:rsid w:val="3C4F56F8"/>
    <w:rsid w:val="3C513651"/>
    <w:rsid w:val="3C84045D"/>
    <w:rsid w:val="3D015DDE"/>
    <w:rsid w:val="3D0635D9"/>
    <w:rsid w:val="3D1042CF"/>
    <w:rsid w:val="3D4003F3"/>
    <w:rsid w:val="3D622C7D"/>
    <w:rsid w:val="3E0F0CDE"/>
    <w:rsid w:val="3E412892"/>
    <w:rsid w:val="3E624F34"/>
    <w:rsid w:val="3E813710"/>
    <w:rsid w:val="3E9A6E1D"/>
    <w:rsid w:val="3EEC151F"/>
    <w:rsid w:val="3F155E94"/>
    <w:rsid w:val="3F1E0BFB"/>
    <w:rsid w:val="3F2A0522"/>
    <w:rsid w:val="3F3F60EC"/>
    <w:rsid w:val="3FB6105E"/>
    <w:rsid w:val="3FE61CB3"/>
    <w:rsid w:val="3FEB1AFB"/>
    <w:rsid w:val="3FEF7F52"/>
    <w:rsid w:val="404E40C2"/>
    <w:rsid w:val="407C0724"/>
    <w:rsid w:val="40885D9B"/>
    <w:rsid w:val="40AB79F3"/>
    <w:rsid w:val="40C6671E"/>
    <w:rsid w:val="40C8275A"/>
    <w:rsid w:val="40CE46D6"/>
    <w:rsid w:val="412A5FC0"/>
    <w:rsid w:val="41742367"/>
    <w:rsid w:val="419A7F41"/>
    <w:rsid w:val="41BC3BE2"/>
    <w:rsid w:val="41D41C6F"/>
    <w:rsid w:val="42684CAB"/>
    <w:rsid w:val="4272310A"/>
    <w:rsid w:val="427D6177"/>
    <w:rsid w:val="428930EF"/>
    <w:rsid w:val="429F7624"/>
    <w:rsid w:val="42C817D4"/>
    <w:rsid w:val="42F06635"/>
    <w:rsid w:val="42FC5C4D"/>
    <w:rsid w:val="42FD4E95"/>
    <w:rsid w:val="430E5DCB"/>
    <w:rsid w:val="43225AD0"/>
    <w:rsid w:val="436B2830"/>
    <w:rsid w:val="436F39FE"/>
    <w:rsid w:val="44E95A32"/>
    <w:rsid w:val="44F063AA"/>
    <w:rsid w:val="44FC7F6A"/>
    <w:rsid w:val="450835A8"/>
    <w:rsid w:val="45682DFA"/>
    <w:rsid w:val="45CD47A3"/>
    <w:rsid w:val="45EE5534"/>
    <w:rsid w:val="464B69A4"/>
    <w:rsid w:val="465B0A7A"/>
    <w:rsid w:val="467557CF"/>
    <w:rsid w:val="46AC06BD"/>
    <w:rsid w:val="46AF21E6"/>
    <w:rsid w:val="47906638"/>
    <w:rsid w:val="47C37FF2"/>
    <w:rsid w:val="47CB1C35"/>
    <w:rsid w:val="47D62442"/>
    <w:rsid w:val="48EE3617"/>
    <w:rsid w:val="48F862CA"/>
    <w:rsid w:val="49584F34"/>
    <w:rsid w:val="49AE00B1"/>
    <w:rsid w:val="4A5011A2"/>
    <w:rsid w:val="4A58168F"/>
    <w:rsid w:val="4A5B1FC8"/>
    <w:rsid w:val="4A6A278E"/>
    <w:rsid w:val="4A930369"/>
    <w:rsid w:val="4A974083"/>
    <w:rsid w:val="4AAF3322"/>
    <w:rsid w:val="4AD14F18"/>
    <w:rsid w:val="4ADE114C"/>
    <w:rsid w:val="4B4D6D1A"/>
    <w:rsid w:val="4B905E28"/>
    <w:rsid w:val="4B93306F"/>
    <w:rsid w:val="4BBA5421"/>
    <w:rsid w:val="4BBF129A"/>
    <w:rsid w:val="4BCB145E"/>
    <w:rsid w:val="4BD96BC1"/>
    <w:rsid w:val="4BE225E4"/>
    <w:rsid w:val="4C0750C7"/>
    <w:rsid w:val="4C5B6228"/>
    <w:rsid w:val="4CB15724"/>
    <w:rsid w:val="4CD8510E"/>
    <w:rsid w:val="4CE74815"/>
    <w:rsid w:val="4CEF22C7"/>
    <w:rsid w:val="4CF25D0D"/>
    <w:rsid w:val="4D350D98"/>
    <w:rsid w:val="4D7B0486"/>
    <w:rsid w:val="4D9B624A"/>
    <w:rsid w:val="4DAD4799"/>
    <w:rsid w:val="4DC43A5E"/>
    <w:rsid w:val="4DEF0D66"/>
    <w:rsid w:val="4DF567A0"/>
    <w:rsid w:val="4E3B6F91"/>
    <w:rsid w:val="4EA12586"/>
    <w:rsid w:val="4EA259E5"/>
    <w:rsid w:val="4EBF66A5"/>
    <w:rsid w:val="4EF67C04"/>
    <w:rsid w:val="4F044E98"/>
    <w:rsid w:val="4F0F5166"/>
    <w:rsid w:val="4F367AEC"/>
    <w:rsid w:val="4F53488D"/>
    <w:rsid w:val="4F895E47"/>
    <w:rsid w:val="503838B2"/>
    <w:rsid w:val="50746905"/>
    <w:rsid w:val="507D5BF0"/>
    <w:rsid w:val="50DC0159"/>
    <w:rsid w:val="51972CF4"/>
    <w:rsid w:val="51D76AA8"/>
    <w:rsid w:val="51F1033F"/>
    <w:rsid w:val="522579F4"/>
    <w:rsid w:val="5239750A"/>
    <w:rsid w:val="524F6EE1"/>
    <w:rsid w:val="526B2A07"/>
    <w:rsid w:val="531B76FE"/>
    <w:rsid w:val="531F29A9"/>
    <w:rsid w:val="53432A29"/>
    <w:rsid w:val="534E654C"/>
    <w:rsid w:val="53DC50DF"/>
    <w:rsid w:val="540168F4"/>
    <w:rsid w:val="54041540"/>
    <w:rsid w:val="540E4BEA"/>
    <w:rsid w:val="546723E7"/>
    <w:rsid w:val="54812D0C"/>
    <w:rsid w:val="54B76C13"/>
    <w:rsid w:val="54DD1D68"/>
    <w:rsid w:val="554540D7"/>
    <w:rsid w:val="55753010"/>
    <w:rsid w:val="559D20CD"/>
    <w:rsid w:val="55B160F8"/>
    <w:rsid w:val="566B7322"/>
    <w:rsid w:val="56777341"/>
    <w:rsid w:val="56AF0889"/>
    <w:rsid w:val="5702606B"/>
    <w:rsid w:val="574C257C"/>
    <w:rsid w:val="57652917"/>
    <w:rsid w:val="57D113D5"/>
    <w:rsid w:val="5859451E"/>
    <w:rsid w:val="58AF09D0"/>
    <w:rsid w:val="58C27592"/>
    <w:rsid w:val="58E72ED0"/>
    <w:rsid w:val="59011144"/>
    <w:rsid w:val="59367040"/>
    <w:rsid w:val="59402547"/>
    <w:rsid w:val="594178C3"/>
    <w:rsid w:val="5A601A3B"/>
    <w:rsid w:val="5AE922D5"/>
    <w:rsid w:val="5B055025"/>
    <w:rsid w:val="5B1D3D6F"/>
    <w:rsid w:val="5B31090D"/>
    <w:rsid w:val="5BA13D24"/>
    <w:rsid w:val="5BEB2977"/>
    <w:rsid w:val="5C095273"/>
    <w:rsid w:val="5C40483D"/>
    <w:rsid w:val="5C8B525D"/>
    <w:rsid w:val="5CC12DEC"/>
    <w:rsid w:val="5D12487C"/>
    <w:rsid w:val="5DB4414F"/>
    <w:rsid w:val="5DC55108"/>
    <w:rsid w:val="5DCC6F35"/>
    <w:rsid w:val="5DD64C1F"/>
    <w:rsid w:val="5E6D64CB"/>
    <w:rsid w:val="5EEB267A"/>
    <w:rsid w:val="5F2C1198"/>
    <w:rsid w:val="5F89155C"/>
    <w:rsid w:val="5FB36FB3"/>
    <w:rsid w:val="5FD26E60"/>
    <w:rsid w:val="5FDA715B"/>
    <w:rsid w:val="5FEA20BE"/>
    <w:rsid w:val="60723745"/>
    <w:rsid w:val="607720F7"/>
    <w:rsid w:val="608E41B0"/>
    <w:rsid w:val="60A64498"/>
    <w:rsid w:val="60B65E85"/>
    <w:rsid w:val="60C1424F"/>
    <w:rsid w:val="61371EB5"/>
    <w:rsid w:val="615748DB"/>
    <w:rsid w:val="61830F53"/>
    <w:rsid w:val="618C17C7"/>
    <w:rsid w:val="61C5129F"/>
    <w:rsid w:val="61D13A56"/>
    <w:rsid w:val="61F736EB"/>
    <w:rsid w:val="61F950AE"/>
    <w:rsid w:val="62165748"/>
    <w:rsid w:val="631677AE"/>
    <w:rsid w:val="635D56B2"/>
    <w:rsid w:val="635E38F3"/>
    <w:rsid w:val="635F2DBC"/>
    <w:rsid w:val="6366588F"/>
    <w:rsid w:val="636D468F"/>
    <w:rsid w:val="637D0C0C"/>
    <w:rsid w:val="64543FC3"/>
    <w:rsid w:val="645A610D"/>
    <w:rsid w:val="64804A6A"/>
    <w:rsid w:val="648A2DA7"/>
    <w:rsid w:val="648F7063"/>
    <w:rsid w:val="649A4034"/>
    <w:rsid w:val="64BA5A09"/>
    <w:rsid w:val="64D835F1"/>
    <w:rsid w:val="651752BD"/>
    <w:rsid w:val="65D06126"/>
    <w:rsid w:val="65E02360"/>
    <w:rsid w:val="661133C1"/>
    <w:rsid w:val="663568D1"/>
    <w:rsid w:val="668F094E"/>
    <w:rsid w:val="66BB3F2D"/>
    <w:rsid w:val="66CD4D5B"/>
    <w:rsid w:val="66F92917"/>
    <w:rsid w:val="670D07CD"/>
    <w:rsid w:val="673021D8"/>
    <w:rsid w:val="67566BB5"/>
    <w:rsid w:val="677213F5"/>
    <w:rsid w:val="678F3D02"/>
    <w:rsid w:val="67A43571"/>
    <w:rsid w:val="67C51E76"/>
    <w:rsid w:val="68050B78"/>
    <w:rsid w:val="68927B0C"/>
    <w:rsid w:val="68FC3CCF"/>
    <w:rsid w:val="69034A64"/>
    <w:rsid w:val="694466CA"/>
    <w:rsid w:val="69586B5E"/>
    <w:rsid w:val="695B5EF4"/>
    <w:rsid w:val="69A43B52"/>
    <w:rsid w:val="69AE2C22"/>
    <w:rsid w:val="69F124D6"/>
    <w:rsid w:val="6A2336A7"/>
    <w:rsid w:val="6A31115D"/>
    <w:rsid w:val="6A7F1D55"/>
    <w:rsid w:val="6A820A75"/>
    <w:rsid w:val="6AB8111B"/>
    <w:rsid w:val="6ABC79CC"/>
    <w:rsid w:val="6ADF344D"/>
    <w:rsid w:val="6B2D524E"/>
    <w:rsid w:val="6B374E22"/>
    <w:rsid w:val="6B4C4CDE"/>
    <w:rsid w:val="6B6B5133"/>
    <w:rsid w:val="6B6C5CC4"/>
    <w:rsid w:val="6B796D61"/>
    <w:rsid w:val="6BAB1CD3"/>
    <w:rsid w:val="6BC46D08"/>
    <w:rsid w:val="6BC77499"/>
    <w:rsid w:val="6BC83310"/>
    <w:rsid w:val="6BD7247C"/>
    <w:rsid w:val="6BF51DB5"/>
    <w:rsid w:val="6C0E79A8"/>
    <w:rsid w:val="6C7E3126"/>
    <w:rsid w:val="6CFA3DD6"/>
    <w:rsid w:val="6D110753"/>
    <w:rsid w:val="6D237483"/>
    <w:rsid w:val="6D77397F"/>
    <w:rsid w:val="6D94372C"/>
    <w:rsid w:val="6DBB0012"/>
    <w:rsid w:val="6DC06482"/>
    <w:rsid w:val="6DC2576F"/>
    <w:rsid w:val="6DD35A75"/>
    <w:rsid w:val="6E3B37C2"/>
    <w:rsid w:val="6EB24F37"/>
    <w:rsid w:val="6EE35741"/>
    <w:rsid w:val="6EE65108"/>
    <w:rsid w:val="6EE95014"/>
    <w:rsid w:val="6F6018C4"/>
    <w:rsid w:val="702C1142"/>
    <w:rsid w:val="706C7261"/>
    <w:rsid w:val="70735D0A"/>
    <w:rsid w:val="707B223B"/>
    <w:rsid w:val="7122756D"/>
    <w:rsid w:val="71383A44"/>
    <w:rsid w:val="713E0EC0"/>
    <w:rsid w:val="71A02B89"/>
    <w:rsid w:val="71B7756E"/>
    <w:rsid w:val="71B865B5"/>
    <w:rsid w:val="71D70082"/>
    <w:rsid w:val="72264747"/>
    <w:rsid w:val="726215E9"/>
    <w:rsid w:val="72886D85"/>
    <w:rsid w:val="72B1616F"/>
    <w:rsid w:val="72B226A6"/>
    <w:rsid w:val="72DA702C"/>
    <w:rsid w:val="731902B0"/>
    <w:rsid w:val="733B7C71"/>
    <w:rsid w:val="73525479"/>
    <w:rsid w:val="738B58EE"/>
    <w:rsid w:val="73B9492C"/>
    <w:rsid w:val="74040B23"/>
    <w:rsid w:val="74285B6B"/>
    <w:rsid w:val="747F79C8"/>
    <w:rsid w:val="74C44B63"/>
    <w:rsid w:val="74CF076C"/>
    <w:rsid w:val="74E70379"/>
    <w:rsid w:val="74F77746"/>
    <w:rsid w:val="75A308BC"/>
    <w:rsid w:val="75DB6B78"/>
    <w:rsid w:val="75EE4499"/>
    <w:rsid w:val="763C1591"/>
    <w:rsid w:val="766B4556"/>
    <w:rsid w:val="768C6099"/>
    <w:rsid w:val="76E60694"/>
    <w:rsid w:val="777C74DB"/>
    <w:rsid w:val="779D7E32"/>
    <w:rsid w:val="77DD0A83"/>
    <w:rsid w:val="78081EAE"/>
    <w:rsid w:val="783E5692"/>
    <w:rsid w:val="784C6943"/>
    <w:rsid w:val="787F173D"/>
    <w:rsid w:val="78954E88"/>
    <w:rsid w:val="78A8469B"/>
    <w:rsid w:val="78AF34DD"/>
    <w:rsid w:val="78B23AD2"/>
    <w:rsid w:val="78DA30AD"/>
    <w:rsid w:val="78F73ADA"/>
    <w:rsid w:val="793953DD"/>
    <w:rsid w:val="793F3897"/>
    <w:rsid w:val="7962599E"/>
    <w:rsid w:val="7987219A"/>
    <w:rsid w:val="79DE2CA7"/>
    <w:rsid w:val="79E54036"/>
    <w:rsid w:val="7A286FA1"/>
    <w:rsid w:val="7A7A69DD"/>
    <w:rsid w:val="7ACE4ED2"/>
    <w:rsid w:val="7ACF3F3D"/>
    <w:rsid w:val="7B4A10E1"/>
    <w:rsid w:val="7B4B1342"/>
    <w:rsid w:val="7B4D7FB0"/>
    <w:rsid w:val="7B674B14"/>
    <w:rsid w:val="7B825CBD"/>
    <w:rsid w:val="7BBD247C"/>
    <w:rsid w:val="7BC81B56"/>
    <w:rsid w:val="7C232FFC"/>
    <w:rsid w:val="7C37125E"/>
    <w:rsid w:val="7C37546A"/>
    <w:rsid w:val="7C7464E0"/>
    <w:rsid w:val="7C814977"/>
    <w:rsid w:val="7C8B5A98"/>
    <w:rsid w:val="7D233CDA"/>
    <w:rsid w:val="7D752734"/>
    <w:rsid w:val="7D7D3FE0"/>
    <w:rsid w:val="7DB63F07"/>
    <w:rsid w:val="7DCF4BF2"/>
    <w:rsid w:val="7DD547CA"/>
    <w:rsid w:val="7DD82811"/>
    <w:rsid w:val="7DF62B06"/>
    <w:rsid w:val="7E213B7D"/>
    <w:rsid w:val="7E33504C"/>
    <w:rsid w:val="7E3D48EB"/>
    <w:rsid w:val="7E5971A9"/>
    <w:rsid w:val="7E6D0D47"/>
    <w:rsid w:val="7E962539"/>
    <w:rsid w:val="7EB90775"/>
    <w:rsid w:val="7ED93E49"/>
    <w:rsid w:val="7EDC56E4"/>
    <w:rsid w:val="7EE50E2A"/>
    <w:rsid w:val="7F063944"/>
    <w:rsid w:val="7F612D09"/>
    <w:rsid w:val="7FA07363"/>
    <w:rsid w:val="7FEF2C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28"/>
    <w:qFormat/>
    <w:uiPriority w:val="0"/>
    <w:pPr>
      <w:keepNext/>
      <w:keepLines/>
      <w:spacing w:before="260" w:after="260" w:line="413" w:lineRule="auto"/>
      <w:outlineLvl w:val="2"/>
    </w:pPr>
    <w:rPr>
      <w:kern w:val="0"/>
      <w:sz w:val="28"/>
      <w:szCs w:val="20"/>
    </w:rPr>
  </w:style>
  <w:style w:type="paragraph" w:styleId="6">
    <w:name w:val="heading 4"/>
    <w:next w:val="1"/>
    <w:qFormat/>
    <w:uiPriority w:val="0"/>
    <w:pPr>
      <w:keepNext/>
      <w:keepLines/>
      <w:spacing w:before="280" w:after="100" w:afterAutospacing="1" w:line="374" w:lineRule="auto"/>
      <w:ind w:left="709" w:right="-27" w:hanging="709"/>
      <w:jc w:val="both"/>
      <w:outlineLvl w:val="3"/>
    </w:pPr>
    <w:rPr>
      <w:rFonts w:ascii="Cambria" w:hAnsi="Cambria" w:eastAsia="宋体" w:cs="Times New Roman"/>
      <w:b/>
      <w:bCs/>
      <w:sz w:val="28"/>
      <w:szCs w:val="28"/>
      <w:lang w:val="en-US" w:eastAsia="zh-CN" w:bidi="ar-SA"/>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adjustRightInd w:val="0"/>
      <w:spacing w:line="312" w:lineRule="atLeast"/>
      <w:textAlignment w:val="baseline"/>
    </w:pPr>
    <w:rPr>
      <w:rFonts w:ascii="宋体" w:hAnsi="Courier New"/>
    </w:rPr>
  </w:style>
  <w:style w:type="paragraph" w:styleId="7">
    <w:name w:val="annotation text"/>
    <w:basedOn w:val="1"/>
    <w:qFormat/>
    <w:uiPriority w:val="0"/>
    <w:pPr>
      <w:jc w:val="left"/>
    </w:pPr>
    <w:rPr>
      <w:rFonts w:ascii="Calibri" w:hAnsi="Calibri"/>
      <w:szCs w:val="22"/>
    </w:rPr>
  </w:style>
  <w:style w:type="paragraph" w:styleId="8">
    <w:name w:val="Body Text"/>
    <w:basedOn w:val="1"/>
    <w:next w:val="1"/>
    <w:qFormat/>
    <w:uiPriority w:val="0"/>
    <w:pPr>
      <w:autoSpaceDE w:val="0"/>
      <w:autoSpaceDN w:val="0"/>
      <w:adjustRightInd w:val="0"/>
      <w:jc w:val="left"/>
    </w:pPr>
    <w:rPr>
      <w:rFonts w:ascii="宋体"/>
      <w:kern w:val="0"/>
      <w:sz w:val="34"/>
      <w:szCs w:val="20"/>
    </w:rPr>
  </w:style>
  <w:style w:type="paragraph" w:styleId="9">
    <w:name w:val="Body Text Indent"/>
    <w:basedOn w:val="1"/>
    <w:qFormat/>
    <w:uiPriority w:val="0"/>
    <w:pPr>
      <w:spacing w:after="120"/>
      <w:ind w:left="420" w:leftChars="200"/>
    </w:pPr>
  </w:style>
  <w:style w:type="paragraph" w:styleId="10">
    <w:name w:val="Balloon Text"/>
    <w:basedOn w:val="1"/>
    <w:link w:val="33"/>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annotation subject"/>
    <w:basedOn w:val="7"/>
    <w:next w:val="7"/>
    <w:qFormat/>
    <w:uiPriority w:val="0"/>
    <w:rPr>
      <w:rFonts w:ascii="Times New Roman" w:hAnsi="Times New Roman"/>
      <w:b/>
      <w:bCs/>
      <w:szCs w:val="24"/>
    </w:rPr>
  </w:style>
  <w:style w:type="character" w:styleId="18">
    <w:name w:val="annotation reference"/>
    <w:qFormat/>
    <w:uiPriority w:val="0"/>
    <w:rPr>
      <w:sz w:val="21"/>
      <w:szCs w:val="21"/>
    </w:rPr>
  </w:style>
  <w:style w:type="paragraph" w:customStyle="1" w:styleId="19">
    <w:name w:val="表格文字"/>
    <w:basedOn w:val="1"/>
    <w:next w:val="8"/>
    <w:qFormat/>
    <w:uiPriority w:val="99"/>
    <w:pPr>
      <w:spacing w:before="25" w:after="25"/>
      <w:jc w:val="left"/>
    </w:pPr>
    <w:rPr>
      <w:bCs/>
      <w:spacing w:val="10"/>
      <w:kern w:val="0"/>
      <w:sz w:val="24"/>
    </w:rPr>
  </w:style>
  <w:style w:type="paragraph" w:customStyle="1" w:styleId="20">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标题 2_1"/>
    <w:basedOn w:val="23"/>
    <w:next w:val="23"/>
    <w:unhideWhenUsed/>
    <w:qFormat/>
    <w:uiPriority w:val="0"/>
    <w:pPr>
      <w:keepNext/>
      <w:keepLines/>
      <w:spacing w:before="260" w:after="260" w:line="416" w:lineRule="auto"/>
      <w:outlineLvl w:val="1"/>
    </w:pPr>
    <w:rPr>
      <w:rFonts w:ascii="Cambria" w:hAnsi="Cambria"/>
      <w:b/>
      <w:bCs/>
      <w:sz w:val="32"/>
      <w:szCs w:val="32"/>
    </w:rPr>
  </w:style>
  <w:style w:type="paragraph" w:customStyle="1" w:styleId="26">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正文_3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8">
    <w:name w:val="标题 3 字符"/>
    <w:link w:val="5"/>
    <w:qFormat/>
    <w:uiPriority w:val="0"/>
    <w:rPr>
      <w:kern w:val="0"/>
      <w:sz w:val="28"/>
      <w:szCs w:val="20"/>
    </w:rPr>
  </w:style>
  <w:style w:type="paragraph" w:customStyle="1" w:styleId="29">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标题 3_0"/>
    <w:basedOn w:val="29"/>
    <w:next w:val="29"/>
    <w:qFormat/>
    <w:uiPriority w:val="0"/>
    <w:pPr>
      <w:keepNext/>
      <w:keepLines/>
      <w:spacing w:line="360" w:lineRule="auto"/>
      <w:outlineLvl w:val="2"/>
    </w:pPr>
    <w:rPr>
      <w:rFonts w:eastAsia="黑体"/>
      <w:b/>
      <w:bCs/>
      <w:kern w:val="0"/>
      <w:sz w:val="20"/>
      <w:szCs w:val="32"/>
    </w:rPr>
  </w:style>
  <w:style w:type="paragraph" w:customStyle="1" w:styleId="31">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样式 (中文) 仿宋_GB2312 四号 行距: 1.5 倍行距"/>
    <w:basedOn w:val="1"/>
    <w:qFormat/>
    <w:uiPriority w:val="0"/>
    <w:pPr>
      <w:spacing w:line="360" w:lineRule="auto"/>
      <w:ind w:firstLine="560" w:firstLineChars="200"/>
    </w:pPr>
    <w:rPr>
      <w:rFonts w:eastAsia="仿宋_GB2312" w:cs="宋体"/>
      <w:sz w:val="28"/>
      <w:szCs w:val="20"/>
    </w:rPr>
  </w:style>
  <w:style w:type="character" w:customStyle="1" w:styleId="33">
    <w:name w:val="批注框文本 字符"/>
    <w:basedOn w:val="17"/>
    <w:link w:val="10"/>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AF61F9-C6B0-44CF-BB3D-CF2F4494FBA0}">
  <ds:schemaRefs/>
</ds:datastoreItem>
</file>

<file path=docProps/app.xml><?xml version="1.0" encoding="utf-8"?>
<Properties xmlns="http://schemas.openxmlformats.org/officeDocument/2006/extended-properties" xmlns:vt="http://schemas.openxmlformats.org/officeDocument/2006/docPropsVTypes">
  <Template>Normal</Template>
  <Pages>62</Pages>
  <Words>15639</Words>
  <Characters>16377</Characters>
  <Lines>179</Lines>
  <Paragraphs>50</Paragraphs>
  <TotalTime>23</TotalTime>
  <ScaleCrop>false</ScaleCrop>
  <LinksUpToDate>false</LinksUpToDate>
  <CharactersWithSpaces>17000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2022-11-05T03:17:00Z</dcterms:created>
  <dc:creator>陆国天</dc:creator>
  <cp:lastModifiedBy>刘艳君</cp:lastModifiedBy>
  <cp:lastPrinted>2023-04-20T03:14:00Z</cp:lastPrinted>
  <dcterms:modified xsi:type="dcterms:W3CDTF">2023-05-04T09:34:59Z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3018C8C9EB6342C9A5B798EA590280BC</vt:lpwstr>
  </property>
</Properties>
</file>