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center"/>
        <w:rPr>
          <w:rFonts w:hint="eastAsia" w:ascii="宋体" w:hAnsi="宋体" w:cs="宋体"/>
          <w:b/>
          <w:bCs/>
          <w:kern w:val="0"/>
          <w:sz w:val="48"/>
          <w:szCs w:val="48"/>
        </w:rPr>
      </w:pPr>
      <w:r>
        <w:rPr>
          <w:rFonts w:hint="eastAsia" w:ascii="宋体" w:hAnsi="宋体" w:cs="宋体"/>
          <w:b/>
          <w:bCs/>
          <w:kern w:val="0"/>
          <w:sz w:val="48"/>
          <w:szCs w:val="48"/>
        </w:rPr>
        <w:t>南宁铁路枢纽投资有限公司</w:t>
      </w:r>
    </w:p>
    <w:p>
      <w:pPr>
        <w:spacing w:line="360" w:lineRule="auto"/>
        <w:ind w:firstLine="0" w:firstLineChars="0"/>
        <w:jc w:val="center"/>
        <w:rPr>
          <w:rFonts w:hint="eastAsia" w:ascii="宋体" w:hAnsi="宋体" w:cs="宋体"/>
          <w:b/>
          <w:bCs/>
          <w:kern w:val="0"/>
          <w:sz w:val="48"/>
          <w:szCs w:val="48"/>
        </w:rPr>
      </w:pPr>
      <w:r>
        <w:rPr>
          <w:rFonts w:hint="eastAsia" w:ascii="宋体" w:hAnsi="宋体" w:cs="宋体"/>
          <w:b/>
          <w:bCs/>
          <w:kern w:val="0"/>
          <w:sz w:val="48"/>
          <w:szCs w:val="48"/>
          <w:u w:val="none"/>
        </w:rPr>
        <w:t>六景火车站综合交通枢纽配套一期工程水土保持方案编制服务</w:t>
      </w:r>
      <w:r>
        <w:rPr>
          <w:rFonts w:hint="eastAsia" w:ascii="宋体" w:hAnsi="宋体" w:cs="宋体"/>
          <w:b/>
          <w:bCs/>
          <w:kern w:val="0"/>
          <w:sz w:val="48"/>
          <w:szCs w:val="48"/>
        </w:rPr>
        <w:t>项目</w:t>
      </w:r>
    </w:p>
    <w:p>
      <w:pPr>
        <w:ind w:firstLine="640" w:firstLineChars="200"/>
        <w:rPr>
          <w:rFonts w:ascii="宋体" w:hAnsi="宋体" w:cs="宋体"/>
          <w:b/>
          <w:bCs/>
          <w:kern w:val="0"/>
          <w:sz w:val="32"/>
          <w:szCs w:val="32"/>
        </w:rPr>
      </w:pPr>
    </w:p>
    <w:p>
      <w:pPr>
        <w:spacing w:line="360" w:lineRule="auto"/>
        <w:ind w:firstLine="0" w:firstLineChars="0"/>
        <w:jc w:val="center"/>
        <w:rPr>
          <w:rFonts w:hint="eastAsia" w:ascii="宋体" w:hAnsi="宋体" w:cs="宋体"/>
          <w:b/>
          <w:bCs/>
          <w:kern w:val="0"/>
          <w:sz w:val="72"/>
          <w:szCs w:val="72"/>
        </w:rPr>
      </w:pPr>
      <w:r>
        <w:rPr>
          <w:rFonts w:hint="eastAsia" w:ascii="宋体" w:hAnsi="宋体" w:cs="宋体"/>
          <w:b/>
          <w:bCs/>
          <w:kern w:val="0"/>
          <w:sz w:val="72"/>
          <w:szCs w:val="72"/>
        </w:rPr>
        <w:t xml:space="preserve">比 </w:t>
      </w:r>
    </w:p>
    <w:p>
      <w:pPr>
        <w:spacing w:line="360" w:lineRule="auto"/>
        <w:ind w:firstLine="0" w:firstLineChars="0"/>
        <w:jc w:val="center"/>
        <w:rPr>
          <w:rFonts w:hint="eastAsia" w:ascii="宋体" w:hAnsi="宋体" w:cs="宋体"/>
          <w:b/>
          <w:bCs/>
          <w:kern w:val="0"/>
          <w:sz w:val="72"/>
          <w:szCs w:val="72"/>
        </w:rPr>
      </w:pPr>
    </w:p>
    <w:p>
      <w:pPr>
        <w:spacing w:line="360" w:lineRule="auto"/>
        <w:ind w:firstLine="0" w:firstLineChars="0"/>
        <w:jc w:val="center"/>
        <w:rPr>
          <w:rFonts w:hint="eastAsia" w:ascii="宋体" w:hAnsi="宋体" w:cs="宋体"/>
          <w:b/>
          <w:bCs/>
          <w:kern w:val="0"/>
          <w:sz w:val="72"/>
          <w:szCs w:val="72"/>
        </w:rPr>
      </w:pPr>
      <w:r>
        <w:rPr>
          <w:rFonts w:hint="eastAsia" w:ascii="宋体" w:hAnsi="宋体" w:cs="宋体"/>
          <w:b/>
          <w:bCs/>
          <w:kern w:val="0"/>
          <w:sz w:val="72"/>
          <w:szCs w:val="72"/>
        </w:rPr>
        <w:t>选</w:t>
      </w:r>
    </w:p>
    <w:p>
      <w:pPr>
        <w:spacing w:line="360" w:lineRule="auto"/>
        <w:ind w:firstLine="0" w:firstLineChars="0"/>
        <w:jc w:val="center"/>
        <w:rPr>
          <w:rFonts w:hint="eastAsia" w:ascii="宋体" w:hAnsi="宋体" w:cs="宋体"/>
          <w:b/>
          <w:bCs/>
          <w:kern w:val="0"/>
          <w:sz w:val="72"/>
          <w:szCs w:val="72"/>
        </w:rPr>
      </w:pPr>
    </w:p>
    <w:p>
      <w:pPr>
        <w:spacing w:line="360" w:lineRule="auto"/>
        <w:ind w:firstLine="0" w:firstLineChars="0"/>
        <w:jc w:val="center"/>
        <w:rPr>
          <w:rFonts w:hint="eastAsia" w:ascii="宋体" w:hAnsi="宋体" w:cs="宋体"/>
          <w:b/>
          <w:bCs/>
          <w:kern w:val="0"/>
          <w:sz w:val="72"/>
          <w:szCs w:val="72"/>
        </w:rPr>
      </w:pPr>
      <w:r>
        <w:rPr>
          <w:rFonts w:hint="eastAsia" w:ascii="宋体" w:hAnsi="宋体" w:cs="宋体"/>
          <w:b/>
          <w:bCs/>
          <w:kern w:val="0"/>
          <w:sz w:val="72"/>
          <w:szCs w:val="72"/>
        </w:rPr>
        <w:t>文</w:t>
      </w:r>
    </w:p>
    <w:p>
      <w:pPr>
        <w:spacing w:line="360" w:lineRule="auto"/>
        <w:ind w:firstLine="0" w:firstLineChars="0"/>
        <w:jc w:val="center"/>
        <w:rPr>
          <w:rFonts w:hint="eastAsia" w:ascii="宋体" w:hAnsi="宋体" w:cs="宋体"/>
          <w:b/>
          <w:bCs/>
          <w:kern w:val="0"/>
          <w:sz w:val="72"/>
          <w:szCs w:val="72"/>
        </w:rPr>
      </w:pPr>
    </w:p>
    <w:p>
      <w:pPr>
        <w:spacing w:line="360" w:lineRule="auto"/>
        <w:ind w:firstLine="0" w:firstLineChars="0"/>
        <w:jc w:val="center"/>
        <w:rPr>
          <w:rFonts w:hint="eastAsia" w:ascii="宋体" w:hAnsi="宋体" w:cs="宋体"/>
          <w:b/>
          <w:bCs/>
          <w:kern w:val="0"/>
          <w:sz w:val="72"/>
          <w:szCs w:val="72"/>
        </w:rPr>
      </w:pPr>
      <w:r>
        <w:rPr>
          <w:rFonts w:hint="eastAsia" w:ascii="宋体" w:hAnsi="宋体" w:cs="宋体"/>
          <w:b/>
          <w:bCs/>
          <w:kern w:val="0"/>
          <w:sz w:val="72"/>
          <w:szCs w:val="72"/>
        </w:rPr>
        <w:t>件</w:t>
      </w:r>
    </w:p>
    <w:p>
      <w:pPr>
        <w:pStyle w:val="20"/>
      </w:pPr>
    </w:p>
    <w:p/>
    <w:p>
      <w:pPr>
        <w:ind w:firstLine="0" w:firstLineChars="0"/>
        <w:jc w:val="center"/>
        <w:rPr>
          <w:rFonts w:hint="eastAsia" w:asciiTheme="minorEastAsia" w:hAnsiTheme="minorEastAsia" w:cstheme="minorEastAsia"/>
          <w:b/>
          <w:bCs/>
          <w:kern w:val="0"/>
          <w:sz w:val="44"/>
          <w:szCs w:val="44"/>
        </w:rPr>
      </w:pPr>
      <w:r>
        <w:rPr>
          <w:rFonts w:hint="eastAsia" w:asciiTheme="minorEastAsia" w:hAnsiTheme="minorEastAsia" w:cstheme="minorEastAsia"/>
          <w:b/>
          <w:bCs/>
          <w:kern w:val="0"/>
          <w:sz w:val="44"/>
          <w:szCs w:val="44"/>
        </w:rPr>
        <w:t>比选发起人：南宁铁路枢纽投资有限公司</w:t>
      </w:r>
    </w:p>
    <w:p>
      <w:pPr>
        <w:ind w:firstLine="0" w:firstLineChars="0"/>
        <w:jc w:val="center"/>
        <w:rPr>
          <w:rFonts w:ascii="宋体" w:hAnsi="宋体" w:cs="宋体"/>
          <w:b/>
          <w:bCs/>
          <w:kern w:val="0"/>
          <w:sz w:val="28"/>
          <w:szCs w:val="28"/>
        </w:rPr>
      </w:pPr>
      <w:r>
        <w:rPr>
          <w:rFonts w:hint="eastAsia" w:asciiTheme="minorEastAsia" w:hAnsiTheme="minorEastAsia" w:cstheme="minorEastAsia"/>
          <w:b/>
          <w:bCs/>
          <w:kern w:val="0"/>
          <w:sz w:val="44"/>
          <w:szCs w:val="44"/>
        </w:rPr>
        <w:t>2023年</w:t>
      </w:r>
      <w:r>
        <w:rPr>
          <w:rFonts w:hint="eastAsia" w:asciiTheme="minorEastAsia" w:hAnsiTheme="minorEastAsia" w:cstheme="minorEastAsia"/>
          <w:b/>
          <w:bCs/>
          <w:kern w:val="0"/>
          <w:sz w:val="44"/>
          <w:szCs w:val="44"/>
          <w:lang w:val="en-US" w:eastAsia="zh-CN"/>
        </w:rPr>
        <w:t>5</w:t>
      </w:r>
      <w:r>
        <w:rPr>
          <w:rFonts w:hint="eastAsia" w:asciiTheme="minorEastAsia" w:hAnsiTheme="minorEastAsia" w:cstheme="minorEastAsia"/>
          <w:b/>
          <w:bCs/>
          <w:kern w:val="0"/>
          <w:sz w:val="44"/>
          <w:szCs w:val="44"/>
        </w:rPr>
        <w:t>月</w:t>
      </w:r>
      <w:bookmarkStart w:id="0" w:name="_Toc18159"/>
      <w:bookmarkStart w:id="1" w:name="_Toc13122"/>
      <w:bookmarkStart w:id="2" w:name="_Toc21106"/>
      <w:bookmarkStart w:id="3" w:name="_Toc9454"/>
      <w:bookmarkStart w:id="4" w:name="_Toc12363"/>
      <w:bookmarkStart w:id="5" w:name="_Toc4954"/>
      <w:bookmarkStart w:id="6" w:name="_Toc461525293"/>
      <w:bookmarkStart w:id="7" w:name="_Toc27074"/>
      <w:bookmarkStart w:id="8" w:name="_Toc14943"/>
      <w:bookmarkStart w:id="9" w:name="_Toc471482358"/>
      <w:bookmarkStart w:id="10" w:name="_Toc32122"/>
      <w:bookmarkStart w:id="11" w:name="_Toc2660"/>
      <w:bookmarkStart w:id="12" w:name="_Toc6597"/>
      <w:bookmarkStart w:id="13" w:name="_Toc27692"/>
      <w:bookmarkStart w:id="14" w:name="_Toc23188"/>
      <w:bookmarkStart w:id="15" w:name="_Toc9847"/>
      <w:bookmarkStart w:id="16" w:name="_Toc32247"/>
      <w:bookmarkStart w:id="17" w:name="_Toc9980"/>
      <w:bookmarkStart w:id="18" w:name="_Toc30863"/>
      <w:bookmarkStart w:id="19" w:name="_Toc25905"/>
      <w:bookmarkStart w:id="20" w:name="_Toc9760"/>
    </w:p>
    <w:p>
      <w:pPr>
        <w:pStyle w:val="20"/>
      </w:pPr>
    </w:p>
    <w:p>
      <w:pPr>
        <w:tabs>
          <w:tab w:val="right" w:leader="dot" w:pos="9219"/>
        </w:tabs>
      </w:pPr>
    </w:p>
    <w:p>
      <w:pPr>
        <w:tabs>
          <w:tab w:val="right" w:leader="dot" w:pos="9219"/>
        </w:tabs>
      </w:pPr>
    </w:p>
    <w:p>
      <w:pPr>
        <w:tabs>
          <w:tab w:val="right" w:leader="dot" w:pos="9219"/>
        </w:tabs>
      </w:pPr>
    </w:p>
    <w:p>
      <w:pPr>
        <w:pStyle w:val="4"/>
        <w:tabs>
          <w:tab w:val="right" w:leader="dot" w:pos="9219"/>
        </w:tabs>
        <w:rPr>
          <w:rFonts w:hint="eastAsia"/>
          <w:b w:val="0"/>
        </w:rPr>
        <w:sectPr>
          <w:pgSz w:w="11906" w:h="16838"/>
          <w:pgMar w:top="1440" w:right="1418" w:bottom="1440" w:left="1418" w:header="851" w:footer="992" w:gutter="0"/>
          <w:pgNumType w:start="1"/>
          <w:cols w:space="425" w:num="1"/>
          <w:docGrid w:type="linesAndChars" w:linePitch="312" w:charSpace="0"/>
        </w:sectPr>
      </w:pPr>
      <w:bookmarkStart w:id="21" w:name="_Toc7401"/>
      <w:bookmarkStart w:id="22" w:name="_Toc29030"/>
      <w:bookmarkStart w:id="23" w:name="_Toc25114"/>
    </w:p>
    <w:p>
      <w:pPr>
        <w:pStyle w:val="4"/>
        <w:tabs>
          <w:tab w:val="right" w:leader="dot" w:pos="9219"/>
        </w:tabs>
        <w:rPr>
          <w:b/>
          <w:bCs/>
        </w:rPr>
      </w:pPr>
      <w:bookmarkStart w:id="24" w:name="_Toc219"/>
      <w:r>
        <w:rPr>
          <w:rFonts w:hint="eastAsia"/>
          <w:b/>
          <w:bCs/>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13"/>
        <w:tabs>
          <w:tab w:val="right" w:leader="dot" w:pos="9070"/>
        </w:tabs>
      </w:pPr>
      <w:r>
        <w:rPr>
          <w:rFonts w:ascii="宋体" w:hAnsi="宋体" w:cs="宋体"/>
          <w:szCs w:val="28"/>
        </w:rPr>
        <w:fldChar w:fldCharType="begin"/>
      </w:r>
      <w:r>
        <w:rPr>
          <w:rFonts w:ascii="宋体" w:hAnsi="宋体" w:cs="宋体"/>
          <w:szCs w:val="28"/>
        </w:rPr>
        <w:instrText xml:space="preserve"> TOC \o "1-2" \h \z \u </w:instrText>
      </w:r>
      <w:r>
        <w:rPr>
          <w:rFonts w:ascii="宋体" w:hAnsi="宋体" w:cs="宋体"/>
          <w:szCs w:val="28"/>
        </w:rPr>
        <w:fldChar w:fldCharType="separate"/>
      </w:r>
      <w:r>
        <w:rPr>
          <w:rFonts w:ascii="宋体" w:hAnsi="宋体" w:cs="宋体"/>
          <w:szCs w:val="28"/>
        </w:rPr>
        <w:fldChar w:fldCharType="begin"/>
      </w:r>
      <w:r>
        <w:rPr>
          <w:rFonts w:ascii="宋体" w:hAnsi="宋体" w:cs="宋体"/>
          <w:szCs w:val="28"/>
        </w:rPr>
        <w:instrText xml:space="preserve"> HYPERLINK \l _Toc219 </w:instrText>
      </w:r>
      <w:r>
        <w:rPr>
          <w:rFonts w:ascii="宋体" w:hAnsi="宋体" w:cs="宋体"/>
          <w:szCs w:val="28"/>
        </w:rPr>
        <w:fldChar w:fldCharType="separate"/>
      </w:r>
      <w:r>
        <w:rPr>
          <w:rFonts w:hint="eastAsia"/>
        </w:rPr>
        <w:t>目录</w:t>
      </w:r>
      <w:r>
        <w:tab/>
      </w:r>
      <w:r>
        <w:fldChar w:fldCharType="begin"/>
      </w:r>
      <w:r>
        <w:instrText xml:space="preserve"> PAGEREF _Toc219 \h </w:instrText>
      </w:r>
      <w:r>
        <w:fldChar w:fldCharType="separate"/>
      </w:r>
      <w:r>
        <w:t>1</w:t>
      </w:r>
      <w:r>
        <w:fldChar w:fldCharType="end"/>
      </w:r>
      <w:r>
        <w:rPr>
          <w:rFonts w:ascii="宋体" w:hAnsi="宋体" w:cs="宋体"/>
          <w:szCs w:val="28"/>
        </w:rPr>
        <w:fldChar w:fldCharType="end"/>
      </w:r>
    </w:p>
    <w:p>
      <w:pPr>
        <w:pStyle w:val="13"/>
        <w:tabs>
          <w:tab w:val="right" w:leader="dot" w:pos="9070"/>
        </w:tabs>
      </w:pPr>
      <w:r>
        <w:rPr>
          <w:rFonts w:ascii="宋体" w:hAnsi="宋体" w:cs="宋体"/>
          <w:szCs w:val="28"/>
        </w:rPr>
        <w:fldChar w:fldCharType="begin"/>
      </w:r>
      <w:r>
        <w:rPr>
          <w:rFonts w:ascii="宋体" w:hAnsi="宋体" w:cs="宋体"/>
          <w:szCs w:val="28"/>
        </w:rPr>
        <w:instrText xml:space="preserve"> HYPERLINK \l _Toc4812 </w:instrText>
      </w:r>
      <w:r>
        <w:rPr>
          <w:rFonts w:ascii="宋体" w:hAnsi="宋体" w:cs="宋体"/>
          <w:szCs w:val="28"/>
        </w:rPr>
        <w:fldChar w:fldCharType="separate"/>
      </w:r>
      <w:r>
        <w:rPr>
          <w:rFonts w:hint="eastAsia"/>
        </w:rPr>
        <w:t xml:space="preserve">第一章 </w:t>
      </w:r>
      <w:r>
        <w:rPr>
          <w:rFonts w:hint="eastAsia" w:ascii="宋体" w:hAnsi="宋体" w:cs="宋体"/>
          <w:szCs w:val="28"/>
        </w:rPr>
        <w:t>比选须知</w:t>
      </w:r>
      <w:r>
        <w:tab/>
      </w:r>
      <w:r>
        <w:fldChar w:fldCharType="begin"/>
      </w:r>
      <w:r>
        <w:instrText xml:space="preserve"> PAGEREF _Toc4812 \h </w:instrText>
      </w:r>
      <w:r>
        <w:fldChar w:fldCharType="separate"/>
      </w:r>
      <w:r>
        <w:t>2</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_Toc29127 </w:instrText>
      </w:r>
      <w:r>
        <w:rPr>
          <w:rFonts w:ascii="宋体" w:hAnsi="宋体" w:cs="宋体"/>
          <w:szCs w:val="28"/>
        </w:rPr>
        <w:fldChar w:fldCharType="separate"/>
      </w:r>
      <w:r>
        <w:rPr>
          <w:rFonts w:hint="eastAsia" w:asciiTheme="minorEastAsia" w:hAnsiTheme="minorEastAsia" w:cstheme="minorEastAsia"/>
          <w:bCs/>
          <w:szCs w:val="28"/>
        </w:rPr>
        <w:t>一、总则</w:t>
      </w:r>
      <w:r>
        <w:tab/>
      </w:r>
      <w:r>
        <w:fldChar w:fldCharType="begin"/>
      </w:r>
      <w:r>
        <w:instrText xml:space="preserve"> PAGEREF _Toc29127 \h </w:instrText>
      </w:r>
      <w:r>
        <w:fldChar w:fldCharType="separate"/>
      </w:r>
      <w:r>
        <w:t>5</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_Toc21406 </w:instrText>
      </w:r>
      <w:r>
        <w:rPr>
          <w:rFonts w:ascii="宋体" w:hAnsi="宋体" w:cs="宋体"/>
          <w:szCs w:val="28"/>
        </w:rPr>
        <w:fldChar w:fldCharType="separate"/>
      </w:r>
      <w:r>
        <w:rPr>
          <w:rFonts w:hint="eastAsia" w:asciiTheme="minorEastAsia" w:hAnsiTheme="minorEastAsia" w:cstheme="minorEastAsia"/>
          <w:bCs/>
          <w:szCs w:val="28"/>
        </w:rPr>
        <w:t>二、比选文件</w:t>
      </w:r>
      <w:r>
        <w:tab/>
      </w:r>
      <w:r>
        <w:fldChar w:fldCharType="begin"/>
      </w:r>
      <w:r>
        <w:instrText xml:space="preserve"> PAGEREF _Toc21406 \h </w:instrText>
      </w:r>
      <w:r>
        <w:fldChar w:fldCharType="separate"/>
      </w:r>
      <w:r>
        <w:t>5</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_Toc14900 </w:instrText>
      </w:r>
      <w:r>
        <w:rPr>
          <w:rFonts w:ascii="宋体" w:hAnsi="宋体" w:cs="宋体"/>
          <w:szCs w:val="28"/>
        </w:rPr>
        <w:fldChar w:fldCharType="separate"/>
      </w:r>
      <w:r>
        <w:rPr>
          <w:rFonts w:hint="eastAsia" w:asciiTheme="minorEastAsia" w:hAnsiTheme="minorEastAsia" w:cstheme="minorEastAsia"/>
          <w:bCs/>
          <w:szCs w:val="28"/>
        </w:rPr>
        <w:t>三、申请比选报价说明</w:t>
      </w:r>
      <w:r>
        <w:tab/>
      </w:r>
      <w:r>
        <w:fldChar w:fldCharType="begin"/>
      </w:r>
      <w:r>
        <w:instrText xml:space="preserve"> PAGEREF _Toc14900 \h </w:instrText>
      </w:r>
      <w:r>
        <w:fldChar w:fldCharType="separate"/>
      </w:r>
      <w:r>
        <w:t>6</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_Toc2259 </w:instrText>
      </w:r>
      <w:r>
        <w:rPr>
          <w:rFonts w:ascii="宋体" w:hAnsi="宋体" w:cs="宋体"/>
          <w:szCs w:val="28"/>
        </w:rPr>
        <w:fldChar w:fldCharType="separate"/>
      </w:r>
      <w:r>
        <w:rPr>
          <w:rFonts w:hint="eastAsia" w:asciiTheme="minorEastAsia" w:hAnsiTheme="minorEastAsia" w:cstheme="minorEastAsia"/>
          <w:bCs/>
          <w:szCs w:val="28"/>
        </w:rPr>
        <w:t>四、比选申请文件的编制</w:t>
      </w:r>
      <w:r>
        <w:tab/>
      </w:r>
      <w:r>
        <w:fldChar w:fldCharType="begin"/>
      </w:r>
      <w:r>
        <w:instrText xml:space="preserve"> PAGEREF _Toc2259 \h </w:instrText>
      </w:r>
      <w:r>
        <w:fldChar w:fldCharType="separate"/>
      </w:r>
      <w:r>
        <w:t>6</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_Toc25023 </w:instrText>
      </w:r>
      <w:r>
        <w:rPr>
          <w:rFonts w:ascii="宋体" w:hAnsi="宋体" w:cs="宋体"/>
          <w:szCs w:val="28"/>
        </w:rPr>
        <w:fldChar w:fldCharType="separate"/>
      </w:r>
      <w:r>
        <w:rPr>
          <w:rFonts w:hint="eastAsia" w:asciiTheme="minorEastAsia" w:hAnsiTheme="minorEastAsia" w:cstheme="minorEastAsia"/>
          <w:bCs/>
          <w:szCs w:val="28"/>
        </w:rPr>
        <w:t>五、比选申请文件的递交</w:t>
      </w:r>
      <w:r>
        <w:tab/>
      </w:r>
      <w:r>
        <w:fldChar w:fldCharType="begin"/>
      </w:r>
      <w:r>
        <w:instrText xml:space="preserve"> PAGEREF _Toc25023 \h </w:instrText>
      </w:r>
      <w:r>
        <w:fldChar w:fldCharType="separate"/>
      </w:r>
      <w:r>
        <w:t>9</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_Toc25808 </w:instrText>
      </w:r>
      <w:r>
        <w:rPr>
          <w:rFonts w:ascii="宋体" w:hAnsi="宋体" w:cs="宋体"/>
          <w:szCs w:val="28"/>
        </w:rPr>
        <w:fldChar w:fldCharType="separate"/>
      </w:r>
      <w:r>
        <w:rPr>
          <w:rFonts w:hint="eastAsia" w:asciiTheme="minorEastAsia" w:hAnsiTheme="minorEastAsia" w:cstheme="minorEastAsia"/>
          <w:bCs/>
          <w:szCs w:val="28"/>
        </w:rPr>
        <w:t>六、评比</w:t>
      </w:r>
      <w:r>
        <w:tab/>
      </w:r>
      <w:r>
        <w:fldChar w:fldCharType="begin"/>
      </w:r>
      <w:r>
        <w:instrText xml:space="preserve"> PAGEREF _Toc25808 \h </w:instrText>
      </w:r>
      <w:r>
        <w:fldChar w:fldCharType="separate"/>
      </w:r>
      <w:r>
        <w:t>10</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_Toc23953 </w:instrText>
      </w:r>
      <w:r>
        <w:rPr>
          <w:rFonts w:ascii="宋体" w:hAnsi="宋体" w:cs="宋体"/>
          <w:szCs w:val="28"/>
        </w:rPr>
        <w:fldChar w:fldCharType="separate"/>
      </w:r>
      <w:r>
        <w:rPr>
          <w:rFonts w:hint="eastAsia" w:asciiTheme="minorEastAsia" w:hAnsiTheme="minorEastAsia" w:cstheme="minorEastAsia"/>
          <w:bCs/>
          <w:szCs w:val="28"/>
        </w:rPr>
        <w:t>七、授予合同</w:t>
      </w:r>
      <w:r>
        <w:tab/>
      </w:r>
      <w:r>
        <w:fldChar w:fldCharType="begin"/>
      </w:r>
      <w:r>
        <w:instrText xml:space="preserve"> PAGEREF _Toc23953 \h </w:instrText>
      </w:r>
      <w:r>
        <w:fldChar w:fldCharType="separate"/>
      </w:r>
      <w:r>
        <w:t>14</w:t>
      </w:r>
      <w:r>
        <w:fldChar w:fldCharType="end"/>
      </w:r>
      <w:r>
        <w:rPr>
          <w:rFonts w:ascii="宋体" w:hAnsi="宋体" w:cs="宋体"/>
          <w:szCs w:val="28"/>
        </w:rPr>
        <w:fldChar w:fldCharType="end"/>
      </w:r>
    </w:p>
    <w:p>
      <w:pPr>
        <w:pStyle w:val="13"/>
        <w:tabs>
          <w:tab w:val="right" w:leader="dot" w:pos="9070"/>
        </w:tabs>
      </w:pPr>
      <w:r>
        <w:rPr>
          <w:rFonts w:ascii="宋体" w:hAnsi="宋体" w:cs="宋体"/>
          <w:szCs w:val="28"/>
        </w:rPr>
        <w:fldChar w:fldCharType="begin"/>
      </w:r>
      <w:r>
        <w:rPr>
          <w:rFonts w:ascii="宋体" w:hAnsi="宋体" w:cs="宋体"/>
          <w:szCs w:val="28"/>
        </w:rPr>
        <w:instrText xml:space="preserve"> HYPERLINK \l _Toc11042 </w:instrText>
      </w:r>
      <w:r>
        <w:rPr>
          <w:rFonts w:ascii="宋体" w:hAnsi="宋体" w:cs="宋体"/>
          <w:szCs w:val="28"/>
        </w:rPr>
        <w:fldChar w:fldCharType="separate"/>
      </w:r>
      <w:r>
        <w:rPr>
          <w:rFonts w:hint="eastAsia" w:ascii="宋体" w:hAnsi="宋体" w:cs="宋体"/>
          <w:szCs w:val="28"/>
        </w:rPr>
        <w:t>第二章 合同条款</w:t>
      </w:r>
      <w:r>
        <w:tab/>
      </w:r>
      <w:r>
        <w:fldChar w:fldCharType="begin"/>
      </w:r>
      <w:r>
        <w:instrText xml:space="preserve"> PAGEREF _Toc11042 \h </w:instrText>
      </w:r>
      <w:r>
        <w:fldChar w:fldCharType="separate"/>
      </w:r>
      <w:r>
        <w:t>16</w:t>
      </w:r>
      <w:r>
        <w:fldChar w:fldCharType="end"/>
      </w:r>
      <w:r>
        <w:rPr>
          <w:rFonts w:ascii="宋体" w:hAnsi="宋体" w:cs="宋体"/>
          <w:szCs w:val="28"/>
        </w:rPr>
        <w:fldChar w:fldCharType="end"/>
      </w:r>
    </w:p>
    <w:p>
      <w:pPr>
        <w:pStyle w:val="13"/>
        <w:tabs>
          <w:tab w:val="right" w:leader="dot" w:pos="9070"/>
        </w:tabs>
      </w:pPr>
      <w:r>
        <w:rPr>
          <w:rFonts w:ascii="宋体" w:hAnsi="宋体" w:cs="宋体"/>
          <w:szCs w:val="28"/>
        </w:rPr>
        <w:fldChar w:fldCharType="begin"/>
      </w:r>
      <w:r>
        <w:rPr>
          <w:rFonts w:ascii="宋体" w:hAnsi="宋体" w:cs="宋体"/>
          <w:szCs w:val="28"/>
        </w:rPr>
        <w:instrText xml:space="preserve"> HYPERLINK \l _Toc8674 </w:instrText>
      </w:r>
      <w:r>
        <w:rPr>
          <w:rFonts w:ascii="宋体" w:hAnsi="宋体" w:cs="宋体"/>
          <w:szCs w:val="28"/>
        </w:rPr>
        <w:fldChar w:fldCharType="separate"/>
      </w:r>
      <w:r>
        <w:rPr>
          <w:rFonts w:ascii="宋体" w:hAnsi="宋体" w:cs="宋体"/>
          <w:szCs w:val="28"/>
        </w:rPr>
        <w:t xml:space="preserve">第三章 </w:t>
      </w:r>
      <w:r>
        <w:rPr>
          <w:rFonts w:hint="eastAsia" w:ascii="宋体" w:hAnsi="宋体" w:cs="宋体"/>
          <w:szCs w:val="28"/>
        </w:rPr>
        <w:t>比选申请文件</w:t>
      </w:r>
      <w:r>
        <w:tab/>
      </w:r>
      <w:r>
        <w:fldChar w:fldCharType="begin"/>
      </w:r>
      <w:r>
        <w:instrText xml:space="preserve"> PAGEREF _Toc8674 \h </w:instrText>
      </w:r>
      <w:r>
        <w:fldChar w:fldCharType="separate"/>
      </w:r>
      <w:r>
        <w:t>27</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_Toc19069 </w:instrText>
      </w:r>
      <w:r>
        <w:rPr>
          <w:rFonts w:ascii="宋体" w:hAnsi="宋体" w:cs="宋体"/>
          <w:szCs w:val="28"/>
        </w:rPr>
        <w:fldChar w:fldCharType="separate"/>
      </w:r>
      <w:r>
        <w:rPr>
          <w:rFonts w:hint="eastAsia" w:asciiTheme="minorEastAsia" w:hAnsiTheme="minorEastAsia" w:cstheme="minorEastAsia"/>
        </w:rPr>
        <w:t>一、资格审查文件目录</w:t>
      </w:r>
      <w:r>
        <w:tab/>
      </w:r>
      <w:r>
        <w:fldChar w:fldCharType="begin"/>
      </w:r>
      <w:r>
        <w:instrText xml:space="preserve"> PAGEREF _Toc19069 \h </w:instrText>
      </w:r>
      <w:r>
        <w:fldChar w:fldCharType="separate"/>
      </w:r>
      <w:r>
        <w:t>29</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_Toc26757 </w:instrText>
      </w:r>
      <w:r>
        <w:rPr>
          <w:rFonts w:ascii="宋体" w:hAnsi="宋体" w:cs="宋体"/>
          <w:szCs w:val="28"/>
        </w:rPr>
        <w:fldChar w:fldCharType="separate"/>
      </w:r>
      <w:r>
        <w:rPr>
          <w:rFonts w:hint="eastAsia"/>
        </w:rPr>
        <w:t>二、商务部分材料目录</w:t>
      </w:r>
      <w:r>
        <w:tab/>
      </w:r>
      <w:r>
        <w:fldChar w:fldCharType="begin"/>
      </w:r>
      <w:r>
        <w:instrText xml:space="preserve"> PAGEREF _Toc26757 \h </w:instrText>
      </w:r>
      <w:r>
        <w:fldChar w:fldCharType="separate"/>
      </w:r>
      <w:r>
        <w:t>41</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_Toc19347 </w:instrText>
      </w:r>
      <w:r>
        <w:rPr>
          <w:rFonts w:ascii="宋体" w:hAnsi="宋体" w:cs="宋体"/>
          <w:szCs w:val="28"/>
        </w:rPr>
        <w:fldChar w:fldCharType="separate"/>
      </w:r>
      <w:r>
        <w:rPr>
          <w:rFonts w:hint="eastAsia"/>
        </w:rPr>
        <w:t>三、报价部分材料目录</w:t>
      </w:r>
      <w:r>
        <w:tab/>
      </w:r>
      <w:r>
        <w:fldChar w:fldCharType="begin"/>
      </w:r>
      <w:r>
        <w:instrText xml:space="preserve"> PAGEREF _Toc19347 \h </w:instrText>
      </w:r>
      <w:r>
        <w:fldChar w:fldCharType="separate"/>
      </w:r>
      <w:r>
        <w:t>48</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_Toc7405 </w:instrText>
      </w:r>
      <w:r>
        <w:rPr>
          <w:rFonts w:ascii="宋体" w:hAnsi="宋体" w:cs="宋体"/>
          <w:szCs w:val="28"/>
        </w:rPr>
        <w:fldChar w:fldCharType="separate"/>
      </w:r>
      <w:r>
        <w:rPr>
          <w:rFonts w:hint="eastAsia"/>
        </w:rPr>
        <w:t>四、技术部分材料目录</w:t>
      </w:r>
      <w:r>
        <w:tab/>
      </w:r>
      <w:r>
        <w:fldChar w:fldCharType="begin"/>
      </w:r>
      <w:r>
        <w:instrText xml:space="preserve"> PAGEREF _Toc7405 \h </w:instrText>
      </w:r>
      <w:r>
        <w:fldChar w:fldCharType="separate"/>
      </w:r>
      <w:r>
        <w:t>50</w:t>
      </w:r>
      <w:r>
        <w:fldChar w:fldCharType="end"/>
      </w:r>
      <w:r>
        <w:rPr>
          <w:rFonts w:ascii="宋体" w:hAnsi="宋体" w:cs="宋体"/>
          <w:szCs w:val="28"/>
        </w:rPr>
        <w:fldChar w:fldCharType="end"/>
      </w:r>
    </w:p>
    <w:p>
      <w:pPr>
        <w:pStyle w:val="13"/>
        <w:tabs>
          <w:tab w:val="right" w:leader="dot" w:pos="9070"/>
        </w:tabs>
      </w:pPr>
      <w:r>
        <w:rPr>
          <w:rFonts w:ascii="宋体" w:hAnsi="宋体" w:cs="宋体"/>
          <w:szCs w:val="28"/>
        </w:rPr>
        <w:fldChar w:fldCharType="begin"/>
      </w:r>
      <w:r>
        <w:rPr>
          <w:rFonts w:ascii="宋体" w:hAnsi="宋体" w:cs="宋体"/>
          <w:szCs w:val="28"/>
        </w:rPr>
        <w:instrText xml:space="preserve"> HYPERLINK \l _Toc25473 </w:instrText>
      </w:r>
      <w:r>
        <w:rPr>
          <w:rFonts w:ascii="宋体" w:hAnsi="宋体" w:cs="宋体"/>
          <w:szCs w:val="28"/>
        </w:rPr>
        <w:fldChar w:fldCharType="separate"/>
      </w:r>
      <w:r>
        <w:rPr>
          <w:rFonts w:hint="eastAsia" w:asciiTheme="minorEastAsia" w:hAnsiTheme="minorEastAsia" w:cstheme="minorEastAsia"/>
        </w:rPr>
        <w:t>第四章 评比办法</w:t>
      </w:r>
      <w:r>
        <w:tab/>
      </w:r>
      <w:r>
        <w:fldChar w:fldCharType="begin"/>
      </w:r>
      <w:r>
        <w:instrText xml:space="preserve"> PAGEREF _Toc25473 \h </w:instrText>
      </w:r>
      <w:r>
        <w:fldChar w:fldCharType="separate"/>
      </w:r>
      <w:r>
        <w:t>53</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_Toc8526 </w:instrText>
      </w:r>
      <w:r>
        <w:rPr>
          <w:rFonts w:ascii="宋体" w:hAnsi="宋体" w:cs="宋体"/>
          <w:szCs w:val="28"/>
        </w:rPr>
        <w:fldChar w:fldCharType="separate"/>
      </w:r>
      <w:r>
        <w:rPr>
          <w:rFonts w:hint="eastAsia" w:asciiTheme="minorEastAsia" w:hAnsiTheme="minorEastAsia" w:cstheme="minorEastAsia"/>
        </w:rPr>
        <w:t>一、综合评分办法</w:t>
      </w:r>
      <w:r>
        <w:tab/>
      </w:r>
      <w:r>
        <w:fldChar w:fldCharType="begin"/>
      </w:r>
      <w:r>
        <w:instrText xml:space="preserve"> PAGEREF _Toc8526 \h </w:instrText>
      </w:r>
      <w:r>
        <w:fldChar w:fldCharType="separate"/>
      </w:r>
      <w:r>
        <w:t>53</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_Toc12022 </w:instrText>
      </w:r>
      <w:r>
        <w:rPr>
          <w:rFonts w:ascii="宋体" w:hAnsi="宋体" w:cs="宋体"/>
          <w:szCs w:val="28"/>
        </w:rPr>
        <w:fldChar w:fldCharType="separate"/>
      </w:r>
      <w:r>
        <w:rPr>
          <w:rFonts w:hint="eastAsia" w:asciiTheme="minorEastAsia" w:hAnsiTheme="minorEastAsia" w:cstheme="minorEastAsia"/>
        </w:rPr>
        <w:t>二、总分计算公式</w:t>
      </w:r>
      <w:r>
        <w:tab/>
      </w:r>
      <w:r>
        <w:fldChar w:fldCharType="begin"/>
      </w:r>
      <w:r>
        <w:instrText xml:space="preserve"> PAGEREF _Toc12022 \h </w:instrText>
      </w:r>
      <w:r>
        <w:fldChar w:fldCharType="separate"/>
      </w:r>
      <w:r>
        <w:t>54</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_Toc32197 </w:instrText>
      </w:r>
      <w:r>
        <w:rPr>
          <w:rFonts w:ascii="宋体" w:hAnsi="宋体" w:cs="宋体"/>
          <w:szCs w:val="28"/>
        </w:rPr>
        <w:fldChar w:fldCharType="separate"/>
      </w:r>
      <w:r>
        <w:rPr>
          <w:rFonts w:hint="eastAsia" w:asciiTheme="minorEastAsia" w:hAnsiTheme="minorEastAsia" w:cstheme="minorEastAsia"/>
        </w:rPr>
        <w:t>三、资格审查</w:t>
      </w:r>
      <w:r>
        <w:tab/>
      </w:r>
      <w:r>
        <w:fldChar w:fldCharType="begin"/>
      </w:r>
      <w:r>
        <w:instrText xml:space="preserve"> PAGEREF _Toc32197 \h </w:instrText>
      </w:r>
      <w:r>
        <w:fldChar w:fldCharType="separate"/>
      </w:r>
      <w:r>
        <w:t>55</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_Toc826 </w:instrText>
      </w:r>
      <w:r>
        <w:rPr>
          <w:rFonts w:ascii="宋体" w:hAnsi="宋体" w:cs="宋体"/>
          <w:szCs w:val="28"/>
        </w:rPr>
        <w:fldChar w:fldCharType="separate"/>
      </w:r>
      <w:r>
        <w:rPr>
          <w:rFonts w:hint="eastAsia" w:asciiTheme="minorEastAsia" w:hAnsiTheme="minorEastAsia" w:cstheme="minorEastAsia"/>
        </w:rPr>
        <w:t>四、评分细则</w:t>
      </w:r>
      <w:r>
        <w:tab/>
      </w:r>
      <w:r>
        <w:fldChar w:fldCharType="begin"/>
      </w:r>
      <w:r>
        <w:instrText xml:space="preserve"> PAGEREF _Toc826 \h </w:instrText>
      </w:r>
      <w:r>
        <w:fldChar w:fldCharType="separate"/>
      </w:r>
      <w:r>
        <w:t>57</w:t>
      </w:r>
      <w:r>
        <w:fldChar w:fldCharType="end"/>
      </w:r>
      <w:r>
        <w:rPr>
          <w:rFonts w:ascii="宋体" w:hAnsi="宋体" w:cs="宋体"/>
          <w:szCs w:val="28"/>
        </w:rPr>
        <w:fldChar w:fldCharType="end"/>
      </w:r>
    </w:p>
    <w:p>
      <w:pPr>
        <w:pStyle w:val="14"/>
        <w:tabs>
          <w:tab w:val="right" w:leader="dot" w:pos="9070"/>
        </w:tabs>
      </w:pPr>
      <w:r>
        <w:rPr>
          <w:rFonts w:ascii="宋体" w:hAnsi="宋体" w:cs="宋体"/>
          <w:szCs w:val="28"/>
        </w:rPr>
        <w:fldChar w:fldCharType="begin"/>
      </w:r>
      <w:r>
        <w:rPr>
          <w:rFonts w:ascii="宋体" w:hAnsi="宋体" w:cs="宋体"/>
          <w:szCs w:val="28"/>
        </w:rPr>
        <w:instrText xml:space="preserve"> HYPERLINK \l _Toc20899 </w:instrText>
      </w:r>
      <w:r>
        <w:rPr>
          <w:rFonts w:ascii="宋体" w:hAnsi="宋体" w:cs="宋体"/>
          <w:szCs w:val="28"/>
        </w:rPr>
        <w:fldChar w:fldCharType="separate"/>
      </w:r>
      <w:r>
        <w:rPr>
          <w:rFonts w:hint="eastAsia"/>
          <w:szCs w:val="28"/>
        </w:rPr>
        <w:t>五、中选标准</w:t>
      </w:r>
      <w:r>
        <w:tab/>
      </w:r>
      <w:r>
        <w:fldChar w:fldCharType="begin"/>
      </w:r>
      <w:r>
        <w:instrText xml:space="preserve"> PAGEREF _Toc20899 \h </w:instrText>
      </w:r>
      <w:r>
        <w:fldChar w:fldCharType="separate"/>
      </w:r>
      <w:r>
        <w:t>59</w:t>
      </w:r>
      <w:r>
        <w:fldChar w:fldCharType="end"/>
      </w:r>
      <w:r>
        <w:rPr>
          <w:rFonts w:ascii="宋体" w:hAnsi="宋体" w:cs="宋体"/>
          <w:szCs w:val="28"/>
        </w:rPr>
        <w:fldChar w:fldCharType="end"/>
      </w:r>
    </w:p>
    <w:p>
      <w:pPr>
        <w:spacing w:line="360" w:lineRule="auto"/>
        <w:ind w:firstLine="420" w:firstLineChars="200"/>
        <w:rPr>
          <w:rFonts w:ascii="宋体" w:hAnsi="宋体" w:cs="宋体"/>
          <w:szCs w:val="28"/>
        </w:rPr>
      </w:pPr>
      <w:r>
        <w:rPr>
          <w:rFonts w:ascii="宋体" w:hAnsi="宋体" w:cs="宋体"/>
          <w:szCs w:val="28"/>
        </w:rPr>
        <w:fldChar w:fldCharType="end"/>
      </w:r>
    </w:p>
    <w:p>
      <w:pPr>
        <w:pStyle w:val="20"/>
        <w:sectPr>
          <w:footerReference r:id="rId3" w:type="default"/>
          <w:pgSz w:w="11906" w:h="16838"/>
          <w:pgMar w:top="1440" w:right="1418" w:bottom="1440" w:left="1418" w:header="851" w:footer="992" w:gutter="0"/>
          <w:pgNumType w:fmt="decimal" w:start="1"/>
          <w:cols w:space="425" w:num="1"/>
          <w:docGrid w:type="linesAndChars" w:linePitch="312" w:charSpace="0"/>
        </w:sectPr>
      </w:pPr>
    </w:p>
    <w:p>
      <w:pPr>
        <w:pStyle w:val="4"/>
        <w:numPr>
          <w:ilvl w:val="0"/>
          <w:numId w:val="1"/>
        </w:numPr>
      </w:pPr>
      <w:bookmarkStart w:id="25" w:name="_Toc8322"/>
      <w:bookmarkStart w:id="26" w:name="_Toc461525294"/>
      <w:bookmarkStart w:id="27" w:name="_Toc30578"/>
      <w:bookmarkStart w:id="28" w:name="_Toc10831"/>
      <w:bookmarkStart w:id="29" w:name="_Toc7862"/>
      <w:bookmarkStart w:id="30" w:name="_Toc30236"/>
      <w:bookmarkStart w:id="31" w:name="_Toc19040"/>
      <w:bookmarkStart w:id="32" w:name="_Toc11052"/>
      <w:bookmarkStart w:id="33" w:name="_Toc20342"/>
      <w:bookmarkStart w:id="34" w:name="_Toc9092"/>
      <w:bookmarkStart w:id="35" w:name="_Toc32556"/>
      <w:bookmarkStart w:id="36" w:name="_Toc24163"/>
      <w:bookmarkStart w:id="37" w:name="_Toc24481"/>
      <w:bookmarkStart w:id="38" w:name="_Toc27398"/>
      <w:bookmarkStart w:id="39" w:name="_Toc27762"/>
      <w:bookmarkStart w:id="40" w:name="_Toc14177"/>
      <w:bookmarkStart w:id="41" w:name="_Toc32719"/>
      <w:bookmarkStart w:id="42" w:name="_Toc24752"/>
      <w:bookmarkStart w:id="43" w:name="_Toc24235"/>
      <w:bookmarkStart w:id="44" w:name="_Toc26407"/>
      <w:bookmarkStart w:id="45" w:name="_Toc471482359"/>
      <w:bookmarkStart w:id="46" w:name="_Toc4812"/>
      <w:bookmarkStart w:id="47" w:name="_Toc12557"/>
      <w:bookmarkStart w:id="48" w:name="_Toc14897"/>
      <w:bookmarkStart w:id="49" w:name="_Toc16226"/>
      <w:bookmarkStart w:id="50" w:name="_Toc10124"/>
      <w:r>
        <w:rPr>
          <w:rFonts w:hint="eastAsia" w:ascii="宋体" w:hAnsi="宋体" w:cs="宋体"/>
          <w:szCs w:val="28"/>
        </w:rPr>
        <w:t>比选须知</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spacing w:line="360" w:lineRule="auto"/>
        <w:rPr>
          <w:rFonts w:ascii="宋体" w:hAnsi="宋体" w:cs="宋体"/>
          <w:szCs w:val="28"/>
        </w:rPr>
      </w:pPr>
      <w:r>
        <w:rPr>
          <w:rFonts w:hint="eastAsia" w:ascii="宋体" w:hAnsi="宋体" w:cs="宋体"/>
          <w:szCs w:val="28"/>
        </w:rPr>
        <w:t>前附表</w:t>
      </w:r>
    </w:p>
    <w:tbl>
      <w:tblPr>
        <w:tblStyle w:val="17"/>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624"/>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1624" w:type="dxa"/>
            <w:vAlign w:val="center"/>
          </w:tcPr>
          <w:p>
            <w:pPr>
              <w:spacing w:line="360" w:lineRule="auto"/>
              <w:jc w:val="center"/>
              <w:rPr>
                <w:rFonts w:asciiTheme="minorEastAsia" w:hAnsiTheme="minorEastAsia" w:cstheme="minorEastAsia"/>
                <w:sz w:val="24"/>
                <w:szCs w:val="24"/>
              </w:rPr>
            </w:pPr>
          </w:p>
        </w:tc>
        <w:tc>
          <w:tcPr>
            <w:tcW w:w="686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项目名称</w:t>
            </w:r>
          </w:p>
        </w:tc>
        <w:tc>
          <w:tcPr>
            <w:tcW w:w="6862" w:type="dxa"/>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六景火车站综合交通枢纽配套一期工程水土保持方案编制服务项目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项目范围</w:t>
            </w:r>
          </w:p>
        </w:tc>
        <w:tc>
          <w:tcPr>
            <w:tcW w:w="6862" w:type="dxa"/>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为六景火车站综合交通枢纽配套一期工程提供水土保持方案编制服务。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项目内容</w:t>
            </w:r>
          </w:p>
        </w:tc>
        <w:tc>
          <w:tcPr>
            <w:tcW w:w="6862" w:type="dxa"/>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包含但不限于以下内容：</w:t>
            </w:r>
          </w:p>
          <w:p>
            <w:pPr>
              <w:adjustRightInd/>
              <w:snapToGrid/>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（一）依据相关文件要求，开展六景火车站综合交通枢纽配套一期工程水土保持方案编制工作，并通过评审；</w:t>
            </w:r>
          </w:p>
          <w:p>
            <w:pPr>
              <w:adjustRightInd/>
              <w:snapToGrid/>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（二）协助甲方编制相关申请材料，负责将申请材料报送水利行政主管部门，协调水土保持方案审批过程中需要解决的相关问题，协助甲方获取水利行政主管部门的批复。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72" w:type="dxa"/>
            <w:shd w:val="clear" w:color="auto" w:fill="FFFFFF" w:themeFill="background1"/>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624" w:type="dxa"/>
            <w:shd w:val="clear" w:color="auto" w:fill="FFFFFF" w:themeFill="background1"/>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资金来源</w:t>
            </w:r>
          </w:p>
        </w:tc>
        <w:tc>
          <w:tcPr>
            <w:tcW w:w="6862" w:type="dxa"/>
            <w:shd w:val="clear" w:color="auto" w:fill="FFFFFF" w:themeFill="background1"/>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合同价格形式</w:t>
            </w:r>
          </w:p>
        </w:tc>
        <w:tc>
          <w:tcPr>
            <w:tcW w:w="6862" w:type="dxa"/>
            <w:vAlign w:val="center"/>
          </w:tcPr>
          <w:p>
            <w:pPr>
              <w:numPr>
                <w:ilvl w:val="255"/>
                <w:numId w:val="0"/>
              </w:num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暂定总价合同。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上限控制价</w:t>
            </w:r>
          </w:p>
        </w:tc>
        <w:tc>
          <w:tcPr>
            <w:tcW w:w="6862" w:type="dxa"/>
            <w:vAlign w:val="center"/>
          </w:tcPr>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w:t>
            </w:r>
            <w:r>
              <w:rPr>
                <w:rFonts w:asciiTheme="minorEastAsia" w:hAnsiTheme="minorEastAsia" w:cstheme="minorEastAsia"/>
                <w:sz w:val="24"/>
                <w:szCs w:val="24"/>
              </w:rPr>
              <w:t>1）服务费上限控制价</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含税</w:t>
            </w:r>
            <w:r>
              <w:rPr>
                <w:rFonts w:hint="eastAsia" w:asciiTheme="minorEastAsia" w:hAnsiTheme="minorEastAsia" w:cstheme="minorEastAsia"/>
                <w:sz w:val="24"/>
                <w:szCs w:val="24"/>
                <w:lang w:eastAsia="zh-CN"/>
              </w:rPr>
              <w:t>）</w:t>
            </w:r>
            <w:r>
              <w:rPr>
                <w:rFonts w:asciiTheme="minorEastAsia" w:hAnsiTheme="minorEastAsia" w:cstheme="minorEastAsia"/>
                <w:sz w:val="24"/>
                <w:szCs w:val="24"/>
              </w:rPr>
              <w:t>为</w:t>
            </w:r>
            <w:r>
              <w:rPr>
                <w:rFonts w:hint="eastAsia" w:asciiTheme="minorEastAsia" w:hAnsiTheme="minorEastAsia" w:cstheme="minorEastAsia"/>
                <w:sz w:val="24"/>
                <w:szCs w:val="24"/>
                <w:u w:val="single"/>
              </w:rPr>
              <w:t>9</w:t>
            </w:r>
            <w:r>
              <w:rPr>
                <w:rFonts w:hint="eastAsia" w:asciiTheme="minorEastAsia" w:hAnsiTheme="minorEastAsia" w:cstheme="minorEastAsia"/>
                <w:sz w:val="24"/>
                <w:szCs w:val="24"/>
              </w:rPr>
              <w:t>万元</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大写：玖万元整</w:t>
            </w:r>
            <w:r>
              <w:rPr>
                <w:rFonts w:hint="eastAsia" w:asciiTheme="minorEastAsia" w:hAnsiTheme="minorEastAsia" w:cstheme="minorEastAsia"/>
                <w:sz w:val="24"/>
                <w:szCs w:val="24"/>
                <w:lang w:eastAsia="zh-CN"/>
              </w:rPr>
              <w:t>）</w:t>
            </w:r>
          </w:p>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rPr>
              <w:t>（2）比选申请人应结合自身因素进行竞争性报价，但不得超出上限控制价范围，否则报价无效，做否决投标处理。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报价方式</w:t>
            </w:r>
          </w:p>
        </w:tc>
        <w:tc>
          <w:tcPr>
            <w:tcW w:w="6862" w:type="dxa"/>
            <w:vAlign w:val="center"/>
          </w:tcPr>
          <w:p>
            <w:pPr>
              <w:numPr>
                <w:ilvl w:val="0"/>
                <w:numId w:val="2"/>
              </w:numPr>
              <w:spacing w:before="156" w:beforeLines="50" w:after="156" w:afterLines="50" w:line="360" w:lineRule="auto"/>
              <w:jc w:val="left"/>
              <w:rPr>
                <w:rFonts w:asciiTheme="minorEastAsia" w:hAnsiTheme="minorEastAsia" w:cstheme="minorEastAsia"/>
                <w:sz w:val="24"/>
              </w:rPr>
            </w:pPr>
            <w:r>
              <w:rPr>
                <w:rFonts w:hint="eastAsia" w:asciiTheme="minorEastAsia" w:hAnsiTheme="minorEastAsia" w:cstheme="minorEastAsia"/>
                <w:bCs/>
                <w:sz w:val="24"/>
                <w:szCs w:val="24"/>
              </w:rPr>
              <w:t>比选申请人应当</w:t>
            </w:r>
            <w:r>
              <w:rPr>
                <w:rFonts w:hint="eastAsia" w:asciiTheme="minorEastAsia" w:hAnsiTheme="minorEastAsia" w:cstheme="minorEastAsia"/>
                <w:sz w:val="24"/>
                <w:szCs w:val="24"/>
              </w:rPr>
              <w:t>根据六景火车站综合交通枢纽配套一期工程的用地规模、总投资</w:t>
            </w:r>
            <w:r>
              <w:rPr>
                <w:rFonts w:hint="eastAsia" w:asciiTheme="minorEastAsia" w:hAnsiTheme="minorEastAsia" w:cstheme="minorEastAsia"/>
                <w:bCs/>
                <w:sz w:val="24"/>
                <w:szCs w:val="24"/>
              </w:rPr>
              <w:t>、工作范围、工作内容、工作难度、工作条件、自身实力和风险因素，充分考虑市场竞争情况，对</w:t>
            </w:r>
            <w:r>
              <w:rPr>
                <w:rFonts w:hint="eastAsia" w:asciiTheme="minorEastAsia" w:hAnsiTheme="minorEastAsia" w:cstheme="minorEastAsia"/>
                <w:sz w:val="24"/>
              </w:rPr>
              <w:t>水土保持方案编制服务</w:t>
            </w:r>
            <w:r>
              <w:rPr>
                <w:rFonts w:hint="eastAsia" w:asciiTheme="minorEastAsia" w:hAnsiTheme="minorEastAsia" w:cstheme="minorEastAsia"/>
                <w:bCs/>
                <w:sz w:val="24"/>
                <w:szCs w:val="24"/>
              </w:rPr>
              <w:t>费进行报价。</w:t>
            </w:r>
          </w:p>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（2</w:t>
            </w:r>
            <w:r>
              <w:rPr>
                <w:rFonts w:asciiTheme="minorEastAsia" w:hAnsiTheme="minorEastAsia" w:cstheme="minorEastAsia"/>
                <w:sz w:val="24"/>
                <w:szCs w:val="24"/>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972" w:type="dxa"/>
            <w:vAlign w:val="center"/>
          </w:tcPr>
          <w:p>
            <w:pPr>
              <w:spacing w:line="360" w:lineRule="auto"/>
              <w:jc w:val="center"/>
              <w:rPr>
                <w:rFonts w:asciiTheme="minorEastAsia" w:hAnsiTheme="minorEastAsia" w:cstheme="minorEastAsia"/>
                <w:sz w:val="24"/>
                <w:szCs w:val="24"/>
              </w:rPr>
            </w:pPr>
            <w:r>
              <w:rPr>
                <w:rFonts w:asciiTheme="minorEastAsia" w:hAnsiTheme="minorEastAsia" w:cstheme="minorEastAsia"/>
                <w:sz w:val="24"/>
                <w:szCs w:val="24"/>
              </w:rPr>
              <w:t>8</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合同期限</w:t>
            </w:r>
          </w:p>
        </w:tc>
        <w:tc>
          <w:tcPr>
            <w:tcW w:w="6862" w:type="dxa"/>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lang w:val="zh-CN"/>
              </w:rPr>
              <w:t>合同生效且甲方提供相关资料后20天内，乙方完成水土保持方案报告编制，之后20天内完成报批材料提交，具体以甲方要求时间为准。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9</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比选申请人资格要求</w:t>
            </w:r>
          </w:p>
        </w:tc>
        <w:tc>
          <w:tcPr>
            <w:tcW w:w="6862" w:type="dxa"/>
            <w:vAlign w:val="center"/>
          </w:tcPr>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（1）比选申请人为中华人民共和国境内依法设立的法人或其他组织；</w:t>
            </w:r>
          </w:p>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（2）资格（资质）要求：</w:t>
            </w:r>
          </w:p>
          <w:p>
            <w:pPr>
              <w:spacing w:line="360" w:lineRule="auto"/>
              <w:ind w:right="-6" w:firstLine="480" w:firstLineChars="200"/>
              <w:rPr>
                <w:rFonts w:hint="eastAsia" w:asciiTheme="minorEastAsia" w:hAnsiTheme="minorEastAsia" w:cstheme="minorEastAsia"/>
                <w:sz w:val="24"/>
                <w:highlight w:val="none"/>
              </w:rPr>
            </w:pPr>
            <w:r>
              <w:rPr>
                <w:rFonts w:hint="eastAsia" w:asciiTheme="minorEastAsia" w:hAnsiTheme="minorEastAsia" w:cstheme="minorEastAsia"/>
                <w:sz w:val="24"/>
                <w:highlight w:val="none"/>
                <w:lang w:val="zh-CN"/>
              </w:rPr>
              <w:t>比选申请人</w:t>
            </w:r>
            <w:r>
              <w:rPr>
                <w:rFonts w:hint="eastAsia" w:asciiTheme="minorEastAsia" w:hAnsiTheme="minorEastAsia" w:cstheme="minorEastAsia"/>
                <w:sz w:val="24"/>
                <w:highlight w:val="none"/>
              </w:rPr>
              <w:t>营业执照包括水土保持方案编制等类似经营范围</w:t>
            </w:r>
            <w:r>
              <w:rPr>
                <w:rFonts w:hint="eastAsia" w:asciiTheme="minorEastAsia" w:hAnsiTheme="minorEastAsia" w:cstheme="minorEastAsia"/>
                <w:sz w:val="24"/>
                <w:highlight w:val="none"/>
                <w:lang w:val="zh-CN"/>
              </w:rPr>
              <w:t>。</w:t>
            </w:r>
          </w:p>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（3）项目</w:t>
            </w:r>
            <w:r>
              <w:rPr>
                <w:rFonts w:hint="eastAsia" w:asciiTheme="minorEastAsia" w:hAnsiTheme="minorEastAsia" w:cstheme="minorEastAsia"/>
                <w:sz w:val="24"/>
              </w:rPr>
              <w:t>负责人</w:t>
            </w:r>
            <w:r>
              <w:rPr>
                <w:rFonts w:hint="eastAsia" w:asciiTheme="minorEastAsia" w:hAnsiTheme="minorEastAsia" w:cstheme="minorEastAsia"/>
                <w:sz w:val="24"/>
                <w:lang w:val="zh-CN"/>
              </w:rPr>
              <w:t>要求：</w:t>
            </w:r>
          </w:p>
          <w:p>
            <w:pPr>
              <w:spacing w:line="360" w:lineRule="auto"/>
              <w:ind w:right="-3" w:firstLine="480" w:firstLineChars="200"/>
              <w:rPr>
                <w:rFonts w:hint="eastAsia" w:asciiTheme="minorEastAsia" w:hAnsiTheme="minorEastAsia" w:cstheme="minorEastAsia"/>
                <w:sz w:val="24"/>
                <w:lang w:val="zh-CN"/>
              </w:rPr>
            </w:pPr>
            <w:r>
              <w:rPr>
                <w:rFonts w:hint="eastAsia" w:asciiTheme="minorEastAsia" w:hAnsiTheme="minorEastAsia" w:cstheme="minorEastAsia"/>
                <w:sz w:val="24"/>
                <w:lang w:val="zh-CN"/>
              </w:rPr>
              <w:fldChar w:fldCharType="begin"/>
            </w:r>
            <w:r>
              <w:rPr>
                <w:rFonts w:hint="eastAsia" w:asciiTheme="minorEastAsia" w:hAnsiTheme="minorEastAsia" w:cstheme="minorEastAsia"/>
                <w:sz w:val="24"/>
                <w:lang w:val="zh-CN"/>
              </w:rPr>
              <w:instrText xml:space="preserve"> = 1 \* GB3 \* MERGEFORMAT </w:instrText>
            </w:r>
            <w:r>
              <w:rPr>
                <w:rFonts w:hint="eastAsia" w:asciiTheme="minorEastAsia" w:hAnsiTheme="minorEastAsia" w:cstheme="minorEastAsia"/>
                <w:sz w:val="24"/>
                <w:lang w:val="zh-CN"/>
              </w:rPr>
              <w:fldChar w:fldCharType="separate"/>
            </w:r>
            <w:r>
              <w:rPr>
                <w:rFonts w:hint="eastAsia" w:asciiTheme="minorEastAsia" w:hAnsiTheme="minorEastAsia" w:cstheme="minorEastAsia"/>
                <w:sz w:val="24"/>
                <w:lang w:val="zh-CN"/>
              </w:rPr>
              <w:t>①</w:t>
            </w:r>
            <w:r>
              <w:rPr>
                <w:rFonts w:hint="eastAsia" w:asciiTheme="minorEastAsia" w:hAnsiTheme="minorEastAsia" w:cstheme="minorEastAsia"/>
                <w:sz w:val="24"/>
                <w:lang w:val="zh-CN"/>
              </w:rPr>
              <w:fldChar w:fldCharType="end"/>
            </w:r>
            <w:r>
              <w:rPr>
                <w:rFonts w:hint="eastAsia" w:asciiTheme="minorEastAsia" w:hAnsiTheme="minorEastAsia" w:cstheme="minorEastAsia"/>
                <w:sz w:val="24"/>
                <w:lang w:val="zh-CN"/>
              </w:rPr>
              <w:t>项目负责人1名，</w:t>
            </w:r>
            <w:r>
              <w:rPr>
                <w:rFonts w:hint="eastAsia" w:asciiTheme="minorEastAsia" w:hAnsiTheme="minorEastAsia" w:cstheme="minorEastAsia"/>
                <w:sz w:val="24"/>
                <w:szCs w:val="24"/>
              </w:rPr>
              <w:t>且具有</w:t>
            </w:r>
            <w:r>
              <w:rPr>
                <w:rFonts w:hint="eastAsia" w:asciiTheme="minorEastAsia" w:hAnsiTheme="minorEastAsia" w:eastAsiaTheme="minorEastAsia" w:cstheme="minorEastAsia"/>
                <w:sz w:val="24"/>
                <w:szCs w:val="24"/>
              </w:rPr>
              <w:t>水土保持、水利水电等相关专业</w:t>
            </w:r>
            <w:r>
              <w:rPr>
                <w:rFonts w:hint="eastAsia" w:asciiTheme="minorEastAsia" w:hAnsiTheme="minorEastAsia" w:cstheme="minorEastAsia"/>
                <w:sz w:val="24"/>
                <w:szCs w:val="24"/>
              </w:rPr>
              <w:t>中级及以上专业技术职称</w:t>
            </w:r>
            <w:r>
              <w:rPr>
                <w:rFonts w:hint="eastAsia" w:asciiTheme="minorEastAsia" w:hAnsiTheme="minorEastAsia" w:cstheme="minorEastAsia"/>
                <w:sz w:val="24"/>
                <w:szCs w:val="24"/>
                <w:lang w:val="zh-CN"/>
              </w:rPr>
              <w:t>；</w:t>
            </w:r>
          </w:p>
          <w:p>
            <w:pPr>
              <w:spacing w:line="360" w:lineRule="auto"/>
              <w:ind w:right="-3" w:firstLine="480" w:firstLineChars="200"/>
              <w:rPr>
                <w:rFonts w:hint="eastAsia" w:asciiTheme="minorEastAsia" w:hAnsiTheme="minorEastAsia" w:cstheme="minorEastAsia"/>
                <w:sz w:val="24"/>
                <w:lang w:val="zh-CN"/>
              </w:rPr>
            </w:pPr>
            <w:r>
              <w:rPr>
                <w:rFonts w:hint="eastAsia" w:asciiTheme="minorEastAsia" w:hAnsiTheme="minorEastAsia" w:cstheme="minorEastAsia"/>
                <w:sz w:val="24"/>
                <w:lang w:val="zh-CN"/>
              </w:rPr>
              <w:fldChar w:fldCharType="begin"/>
            </w:r>
            <w:r>
              <w:rPr>
                <w:rFonts w:hint="eastAsia" w:asciiTheme="minorEastAsia" w:hAnsiTheme="minorEastAsia" w:cstheme="minorEastAsia"/>
                <w:sz w:val="24"/>
                <w:lang w:val="zh-CN"/>
              </w:rPr>
              <w:instrText xml:space="preserve"> = 2 \* GB3 \* MERGEFORMAT </w:instrText>
            </w:r>
            <w:r>
              <w:rPr>
                <w:rFonts w:hint="eastAsia" w:asciiTheme="minorEastAsia" w:hAnsiTheme="minorEastAsia" w:cstheme="minorEastAsia"/>
                <w:sz w:val="24"/>
                <w:lang w:val="zh-CN"/>
              </w:rPr>
              <w:fldChar w:fldCharType="separate"/>
            </w:r>
            <w:r>
              <w:rPr>
                <w:rFonts w:hint="eastAsia" w:asciiTheme="minorEastAsia" w:hAnsiTheme="minorEastAsia" w:cstheme="minorEastAsia"/>
                <w:sz w:val="24"/>
                <w:lang w:val="zh-CN"/>
              </w:rPr>
              <w:t>②</w:t>
            </w:r>
            <w:r>
              <w:rPr>
                <w:rFonts w:hint="eastAsia" w:asciiTheme="minorEastAsia" w:hAnsiTheme="minorEastAsia" w:cstheme="minorEastAsia"/>
                <w:sz w:val="24"/>
                <w:lang w:val="zh-CN"/>
              </w:rPr>
              <w:fldChar w:fldCharType="end"/>
            </w:r>
            <w:r>
              <w:rPr>
                <w:rFonts w:hint="eastAsia" w:asciiTheme="minorEastAsia" w:hAnsiTheme="minorEastAsia" w:cstheme="minorEastAsia"/>
                <w:sz w:val="24"/>
                <w:lang w:val="zh-CN"/>
              </w:rPr>
              <w:t>必须为比选申请人的正式员工，并提供2022年12月—2023年2月的社会保险缴纳证明。</w:t>
            </w:r>
          </w:p>
          <w:p>
            <w:pPr>
              <w:spacing w:line="360" w:lineRule="auto"/>
              <w:ind w:right="-3"/>
              <w:rPr>
                <w:rFonts w:hint="eastAsia" w:asciiTheme="minorEastAsia" w:hAnsiTheme="minorEastAsia" w:cstheme="minorEastAsia"/>
                <w:sz w:val="24"/>
              </w:rPr>
            </w:pPr>
            <w:r>
              <w:rPr>
                <w:rFonts w:hint="eastAsia" w:asciiTheme="minorEastAsia" w:hAnsiTheme="minorEastAsia" w:cstheme="minorEastAsia"/>
                <w:sz w:val="24"/>
                <w:lang w:val="zh-CN"/>
              </w:rPr>
              <w:t>（4）业绩要求：比选申请人自2020年1月1日至比选公告发布之日前至</w:t>
            </w:r>
            <w:r>
              <w:rPr>
                <w:rFonts w:hint="eastAsia" w:asciiTheme="minorEastAsia" w:hAnsiTheme="minorEastAsia" w:cstheme="minorEastAsia"/>
                <w:sz w:val="24"/>
              </w:rPr>
              <w:t>少</w:t>
            </w:r>
            <w:r>
              <w:rPr>
                <w:rFonts w:hint="eastAsia" w:asciiTheme="minorEastAsia" w:hAnsiTheme="minorEastAsia" w:cstheme="minorEastAsia"/>
                <w:sz w:val="24"/>
                <w:lang w:val="en-US" w:eastAsia="zh-CN"/>
              </w:rPr>
              <w:t>具有</w:t>
            </w:r>
            <w:r>
              <w:rPr>
                <w:rFonts w:hint="eastAsia" w:asciiTheme="minorEastAsia" w:hAnsiTheme="minorEastAsia" w:cstheme="minorEastAsia"/>
                <w:sz w:val="24"/>
                <w:szCs w:val="24"/>
              </w:rPr>
              <w:t>1</w:t>
            </w:r>
            <w:r>
              <w:rPr>
                <w:rFonts w:asciiTheme="minorEastAsia" w:hAnsiTheme="minorEastAsia" w:cstheme="minorEastAsia"/>
                <w:sz w:val="24"/>
                <w:szCs w:val="24"/>
              </w:rPr>
              <w:t>个</w:t>
            </w:r>
            <w:r>
              <w:rPr>
                <w:rFonts w:hint="eastAsia" w:asciiTheme="minorEastAsia" w:hAnsiTheme="minorEastAsia" w:cstheme="minorEastAsia"/>
                <w:sz w:val="24"/>
                <w:szCs w:val="24"/>
              </w:rPr>
              <w:t>市政工程或交通工程类水土保持方案</w:t>
            </w:r>
            <w:r>
              <w:rPr>
                <w:rFonts w:asciiTheme="minorEastAsia" w:hAnsiTheme="minorEastAsia" w:cstheme="minorEastAsia"/>
                <w:sz w:val="24"/>
                <w:szCs w:val="24"/>
              </w:rPr>
              <w:t>编制业绩</w:t>
            </w:r>
            <w:r>
              <w:rPr>
                <w:rFonts w:hint="eastAsia" w:asciiTheme="minorEastAsia" w:hAnsiTheme="minorEastAsia" w:cstheme="minorEastAsia"/>
                <w:sz w:val="24"/>
                <w:szCs w:val="24"/>
              </w:rPr>
              <w:t>。</w:t>
            </w:r>
          </w:p>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（5）比选申请人没有处于被行政</w:t>
            </w:r>
            <w:r>
              <w:rPr>
                <w:rFonts w:hint="eastAsia" w:asciiTheme="minorEastAsia" w:hAnsiTheme="minorEastAsia" w:cstheme="minorEastAsia"/>
                <w:sz w:val="24"/>
              </w:rPr>
              <w:t>主管</w:t>
            </w:r>
            <w:r>
              <w:rPr>
                <w:rFonts w:hint="eastAsia" w:asciiTheme="minorEastAsia" w:hAnsiTheme="minorEastAsia" w:cstheme="minorEastAsia"/>
                <w:sz w:val="24"/>
                <w:lang w:val="zh-CN"/>
              </w:rPr>
              <w:t>部门或业主取消比选申请资格的处罚期内，且没有处于被责令停业，财产被接管、冻结、破产状态；比选申请</w:t>
            </w:r>
            <w:r>
              <w:rPr>
                <w:rFonts w:hint="eastAsia" w:asciiTheme="minorEastAsia" w:hAnsiTheme="minorEastAsia" w:cstheme="minorEastAsia"/>
                <w:sz w:val="24"/>
              </w:rPr>
              <w:t>人至比选</w:t>
            </w:r>
            <w:r>
              <w:rPr>
                <w:rFonts w:hint="eastAsia" w:asciiTheme="minorEastAsia" w:hAnsiTheme="minorEastAsia" w:cstheme="minorEastAsia"/>
                <w:sz w:val="24"/>
                <w:lang w:val="zh-CN"/>
              </w:rPr>
              <w:t>截止时间前3年内没有骗取中选、严重违约或重大质量安全责任事故的情况；</w:t>
            </w:r>
          </w:p>
          <w:p>
            <w:pPr>
              <w:spacing w:line="360" w:lineRule="auto"/>
              <w:ind w:right="-3"/>
              <w:rPr>
                <w:rFonts w:hint="eastAsia" w:asciiTheme="minorEastAsia" w:hAnsiTheme="minorEastAsia" w:cstheme="minorEastAsia"/>
                <w:sz w:val="24"/>
                <w:lang w:val="zh-CN"/>
              </w:rPr>
            </w:pPr>
            <w:r>
              <w:rPr>
                <w:rFonts w:hint="eastAsia" w:asciiTheme="minorEastAsia" w:hAnsiTheme="minorEastAsia" w:cstheme="minorEastAsia"/>
                <w:sz w:val="24"/>
                <w:lang w:val="zh-CN"/>
              </w:rPr>
              <w:t>（6）单位负责人为同一人或者存在控股、管理关系的不同单位，不得参加同一标段比选申请或者未划分标段的同一比选项目比选申请。</w:t>
            </w:r>
          </w:p>
          <w:p>
            <w:pPr>
              <w:pStyle w:val="20"/>
              <w:spacing w:line="360" w:lineRule="auto"/>
              <w:rPr>
                <w:rFonts w:hint="eastAsia" w:asciiTheme="minorEastAsia" w:hAnsiTheme="minorEastAsia" w:cstheme="minorEastAsia"/>
              </w:rPr>
            </w:pPr>
            <w:r>
              <w:rPr>
                <w:rFonts w:hint="eastAsia" w:asciiTheme="minorEastAsia" w:hAnsiTheme="minorEastAsia" w:cstheme="minorEastAsia"/>
                <w:bCs w:val="0"/>
                <w:spacing w:val="0"/>
                <w:kern w:val="2"/>
                <w:sz w:val="24"/>
                <w:lang w:val="zh-CN"/>
              </w:rPr>
              <w:t>（7）本项目不接受联合体比选申请。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获取比选文件的时间、地点、方式及比选文件售价</w:t>
            </w:r>
          </w:p>
        </w:tc>
        <w:tc>
          <w:tcPr>
            <w:tcW w:w="6862"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时间：</w:t>
            </w:r>
            <w:r>
              <w:rPr>
                <w:rFonts w:asciiTheme="minorEastAsia" w:hAnsiTheme="minorEastAsia" w:cstheme="minorEastAsia"/>
                <w:sz w:val="24"/>
                <w:szCs w:val="24"/>
              </w:rPr>
              <w:t>202</w:t>
            </w:r>
            <w:r>
              <w:rPr>
                <w:rFonts w:hint="eastAsia" w:asciiTheme="minorEastAsia" w:hAnsiTheme="minorEastAsia" w:cstheme="minorEastAsia"/>
                <w:sz w:val="24"/>
                <w:szCs w:val="24"/>
              </w:rPr>
              <w:t>3</w:t>
            </w:r>
            <w:r>
              <w:rPr>
                <w:rFonts w:asciiTheme="minorEastAsia" w:hAnsiTheme="minorEastAsia" w:cstheme="minorEastAsia"/>
                <w:sz w:val="24"/>
                <w:szCs w:val="24"/>
              </w:rPr>
              <w:t>年</w:t>
            </w:r>
            <w:r>
              <w:rPr>
                <w:rFonts w:hint="eastAsia" w:asciiTheme="minorEastAsia" w:hAnsiTheme="minorEastAsia" w:cstheme="minorEastAsia"/>
                <w:sz w:val="24"/>
                <w:szCs w:val="24"/>
                <w:lang w:eastAsia="zh-CN"/>
              </w:rPr>
              <w:t>5</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eastAsia="zh-CN"/>
              </w:rPr>
              <w:t>4</w:t>
            </w:r>
            <w:r>
              <w:rPr>
                <w:rFonts w:hint="eastAsia" w:asciiTheme="minorEastAsia" w:hAnsiTheme="minorEastAsia" w:cstheme="minorEastAsia"/>
                <w:sz w:val="24"/>
                <w:szCs w:val="24"/>
              </w:rPr>
              <w:t>日</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地点：南宁轨道交通集团有限责任公司官网www.nngdjt.com招标招商中的招标公告处</w:t>
            </w:r>
          </w:p>
          <w:p>
            <w:pPr>
              <w:spacing w:line="360" w:lineRule="auto"/>
              <w:ind w:left="210" w:hanging="240" w:hangingChars="100"/>
              <w:jc w:val="left"/>
              <w:rPr>
                <w:rFonts w:asciiTheme="minorEastAsia" w:hAnsiTheme="minorEastAsia" w:cstheme="minorEastAsia"/>
                <w:sz w:val="24"/>
                <w:szCs w:val="24"/>
              </w:rPr>
            </w:pPr>
            <w:r>
              <w:rPr>
                <w:rFonts w:hint="eastAsia" w:asciiTheme="minorEastAsia" w:hAnsiTheme="minorEastAsia" w:cstheme="minorEastAsia"/>
                <w:sz w:val="24"/>
                <w:szCs w:val="24"/>
              </w:rPr>
              <w:t>方式：本项目实行网上发售电子版比选文件，不再出售纸质比选文件。凡有意参与的潜在比选申请人，请登录南宁轨道交通集团有限责任公司官网(http://www.nngdjt.com/)的招标招商中的招标公告处下载比选文件。</w:t>
            </w:r>
          </w:p>
          <w:p>
            <w:pPr>
              <w:spacing w:line="360" w:lineRule="auto"/>
              <w:ind w:right="753"/>
              <w:rPr>
                <w:rFonts w:asciiTheme="minorEastAsia" w:hAnsiTheme="minorEastAsia" w:cstheme="minorEastAsia"/>
                <w:sz w:val="24"/>
                <w:szCs w:val="24"/>
              </w:rPr>
            </w:pPr>
            <w:r>
              <w:rPr>
                <w:rFonts w:hint="eastAsia" w:asciiTheme="minorEastAsia" w:hAnsiTheme="minorEastAsia" w:cstheme="minorEastAsia"/>
                <w:sz w:val="24"/>
                <w:szCs w:val="24"/>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比选有效期 </w:t>
            </w:r>
          </w:p>
        </w:tc>
        <w:tc>
          <w:tcPr>
            <w:tcW w:w="6862" w:type="dxa"/>
            <w:vAlign w:val="center"/>
          </w:tcPr>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90天（比选有效期是指为保证比选发起人有足够的时间完成评审和与中选人签订合同而在一定时间内保持有效的期限。比选有效期从比选申请文件递交截止之日算起。）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12</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比选申请文件份数</w:t>
            </w:r>
          </w:p>
        </w:tc>
        <w:tc>
          <w:tcPr>
            <w:tcW w:w="6862" w:type="dxa"/>
            <w:vAlign w:val="center"/>
          </w:tcPr>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纸质版一式三份，其中正本一份、副本两份（中选后提交电子版）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13</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比选申请文件递交地址</w:t>
            </w:r>
          </w:p>
        </w:tc>
        <w:tc>
          <w:tcPr>
            <w:tcW w:w="6862" w:type="dxa"/>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地点：南宁市青秀区云景路69号轨道大厦A2办公楼104会议室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shd w:val="clear" w:color="auto" w:fill="FFFFFF" w:themeFill="background1"/>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14</w:t>
            </w:r>
          </w:p>
        </w:tc>
        <w:tc>
          <w:tcPr>
            <w:tcW w:w="1624" w:type="dxa"/>
            <w:shd w:val="clear" w:color="auto" w:fill="FFFFFF" w:themeFill="background1"/>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比选申请文件递交截止日期 </w:t>
            </w:r>
          </w:p>
        </w:tc>
        <w:tc>
          <w:tcPr>
            <w:tcW w:w="6862" w:type="dxa"/>
            <w:shd w:val="clear" w:color="auto" w:fill="FFFFFF" w:themeFill="background1"/>
            <w:vAlign w:val="center"/>
          </w:tcPr>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2023年</w:t>
            </w:r>
            <w:r>
              <w:rPr>
                <w:rFonts w:hint="eastAsia" w:asciiTheme="minorEastAsia" w:hAnsiTheme="minorEastAsia" w:cstheme="minorEastAsia"/>
                <w:sz w:val="24"/>
                <w:szCs w:val="24"/>
                <w:lang w:eastAsia="zh-CN"/>
              </w:rPr>
              <w:t>5</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eastAsia="zh-CN"/>
              </w:rPr>
              <w:t>1</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rPr>
              <w:t>日</w:t>
            </w:r>
            <w:r>
              <w:rPr>
                <w:rFonts w:hint="eastAsia" w:asciiTheme="minorEastAsia" w:hAnsiTheme="minorEastAsia" w:cstheme="minorEastAsia"/>
                <w:sz w:val="24"/>
                <w:szCs w:val="24"/>
                <w:lang w:val="en-US" w:eastAsia="zh-CN"/>
              </w:rPr>
              <w:t>下</w:t>
            </w:r>
            <w:r>
              <w:rPr>
                <w:rFonts w:hint="eastAsia" w:asciiTheme="minorEastAsia" w:hAnsiTheme="minorEastAsia" w:cstheme="minorEastAsia"/>
                <w:sz w:val="24"/>
                <w:szCs w:val="24"/>
              </w:rPr>
              <w:t>午</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rPr>
              <w:t>：00-</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shd w:val="clear" w:color="auto" w:fill="FFFFFF" w:themeFill="background1"/>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15</w:t>
            </w:r>
          </w:p>
        </w:tc>
        <w:tc>
          <w:tcPr>
            <w:tcW w:w="1624" w:type="dxa"/>
            <w:shd w:val="clear" w:color="auto" w:fill="FFFFFF" w:themeFill="background1"/>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比选时间、地点          </w:t>
            </w:r>
          </w:p>
        </w:tc>
        <w:tc>
          <w:tcPr>
            <w:tcW w:w="6862" w:type="dxa"/>
            <w:shd w:val="clear" w:color="auto" w:fill="FFFFFF" w:themeFill="background1"/>
            <w:vAlign w:val="center"/>
          </w:tcPr>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时间： 2023年</w:t>
            </w:r>
            <w:r>
              <w:rPr>
                <w:rFonts w:hint="eastAsia" w:asciiTheme="minorEastAsia" w:hAnsiTheme="minorEastAsia" w:cstheme="minorEastAsia"/>
                <w:sz w:val="24"/>
                <w:szCs w:val="24"/>
                <w:lang w:eastAsia="zh-CN"/>
              </w:rPr>
              <w:t>5</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eastAsia="zh-CN"/>
              </w:rPr>
              <w:t>1</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rPr>
              <w:t>日</w:t>
            </w:r>
            <w:r>
              <w:rPr>
                <w:rFonts w:hint="eastAsia" w:asciiTheme="minorEastAsia" w:hAnsiTheme="minorEastAsia" w:cstheme="minorEastAsia"/>
                <w:sz w:val="24"/>
                <w:szCs w:val="24"/>
                <w:lang w:val="en-US" w:eastAsia="zh-CN"/>
              </w:rPr>
              <w:t>下</w:t>
            </w:r>
            <w:r>
              <w:rPr>
                <w:rFonts w:hint="eastAsia" w:asciiTheme="minorEastAsia" w:hAnsiTheme="minorEastAsia" w:cstheme="minorEastAsia"/>
                <w:sz w:val="24"/>
                <w:szCs w:val="24"/>
              </w:rPr>
              <w:t>午</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rPr>
              <w:t>:30</w:t>
            </w:r>
          </w:p>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地点：南宁市青秀区云景路69号轨道大厦A2办公楼104会议室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16</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评比办法</w:t>
            </w:r>
          </w:p>
        </w:tc>
        <w:tc>
          <w:tcPr>
            <w:tcW w:w="6862" w:type="dxa"/>
            <w:vAlign w:val="center"/>
          </w:tcPr>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17</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中选通知</w:t>
            </w:r>
          </w:p>
        </w:tc>
        <w:tc>
          <w:tcPr>
            <w:tcW w:w="6862" w:type="dxa"/>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比选人根据评比委员会的评比结果在比选有效期内向中选的比选申请人发出中选通知书。</w:t>
            </w:r>
          </w:p>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18</w:t>
            </w:r>
          </w:p>
        </w:tc>
        <w:tc>
          <w:tcPr>
            <w:tcW w:w="1624" w:type="dxa"/>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比选保证金</w:t>
            </w:r>
          </w:p>
        </w:tc>
        <w:tc>
          <w:tcPr>
            <w:tcW w:w="6862" w:type="dxa"/>
            <w:vAlign w:val="center"/>
          </w:tcPr>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本项目无比选保证金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19</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联系方式</w:t>
            </w:r>
          </w:p>
        </w:tc>
        <w:tc>
          <w:tcPr>
            <w:tcW w:w="6862" w:type="dxa"/>
            <w:vAlign w:val="center"/>
          </w:tcPr>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联系人：刘工 0771-2778977</w:t>
            </w:r>
          </w:p>
          <w:p>
            <w:pPr>
              <w:spacing w:line="360" w:lineRule="auto"/>
              <w:ind w:right="753"/>
              <w:jc w:val="left"/>
              <w:rPr>
                <w:rFonts w:asciiTheme="minorEastAsia" w:hAnsiTheme="minorEastAsia" w:cstheme="minorEastAsia"/>
                <w:sz w:val="24"/>
                <w:szCs w:val="24"/>
              </w:rPr>
            </w:pPr>
            <w:r>
              <w:rPr>
                <w:rFonts w:hint="eastAsia" w:asciiTheme="minorEastAsia" w:hAnsiTheme="minorEastAsia" w:cstheme="minorEastAsia"/>
                <w:sz w:val="24"/>
                <w:szCs w:val="24"/>
              </w:rPr>
              <w:t>联系人：张工 0771-2778433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72" w:type="dxa"/>
            <w:vAlign w:val="center"/>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20</w:t>
            </w:r>
          </w:p>
        </w:tc>
        <w:tc>
          <w:tcPr>
            <w:tcW w:w="1624" w:type="dxa"/>
            <w:vAlign w:val="center"/>
          </w:tcPr>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其他事项</w:t>
            </w:r>
          </w:p>
        </w:tc>
        <w:tc>
          <w:tcPr>
            <w:tcW w:w="6862" w:type="dxa"/>
            <w:vAlign w:val="center"/>
          </w:tcPr>
          <w:p>
            <w:pPr>
              <w:spacing w:line="360" w:lineRule="auto"/>
              <w:ind w:right="-3"/>
              <w:jc w:val="left"/>
              <w:rPr>
                <w:rFonts w:asciiTheme="minorEastAsia" w:hAnsiTheme="minorEastAsia" w:cstheme="minorEastAsia"/>
                <w:sz w:val="24"/>
                <w:szCs w:val="24"/>
              </w:rPr>
            </w:pPr>
            <w:r>
              <w:rPr>
                <w:rFonts w:hint="eastAsia" w:asciiTheme="minorEastAsia" w:hAnsiTheme="minorEastAsia" w:cstheme="minorEastAsia"/>
                <w:sz w:val="24"/>
                <w:szCs w:val="24"/>
              </w:rPr>
              <w:t>中选单位如放弃中选资格，则比选发起人有权将其列入不良行为记录名单、三年内禁止其参加比选发起人的任何采购活动。</w:t>
            </w:r>
          </w:p>
        </w:tc>
      </w:tr>
    </w:tbl>
    <w:p>
      <w:pPr>
        <w:rPr>
          <w:rFonts w:ascii="宋体" w:hAnsi="宋体" w:cs="宋体"/>
          <w:szCs w:val="28"/>
        </w:rPr>
      </w:pPr>
    </w:p>
    <w:p>
      <w:pPr>
        <w:pStyle w:val="5"/>
        <w:spacing w:line="360" w:lineRule="auto"/>
        <w:jc w:val="center"/>
        <w:rPr>
          <w:rFonts w:hint="eastAsia" w:asciiTheme="minorEastAsia" w:hAnsiTheme="minorEastAsia" w:cstheme="minorEastAsia"/>
          <w:b/>
          <w:bCs/>
          <w:szCs w:val="28"/>
        </w:rPr>
      </w:pPr>
      <w:bookmarkStart w:id="51" w:name="_Toc4834"/>
      <w:bookmarkStart w:id="52" w:name="_Toc27531"/>
      <w:bookmarkStart w:id="53" w:name="_Toc2548"/>
      <w:bookmarkStart w:id="54" w:name="_Toc31786"/>
      <w:bookmarkStart w:id="55" w:name="_Toc11673"/>
      <w:bookmarkStart w:id="56" w:name="_Toc8560"/>
      <w:bookmarkStart w:id="57" w:name="_Toc22025"/>
      <w:bookmarkStart w:id="58" w:name="_Toc29127"/>
      <w:bookmarkStart w:id="59" w:name="_Toc15190"/>
      <w:bookmarkStart w:id="60" w:name="_Toc295"/>
      <w:bookmarkStart w:id="61" w:name="_Toc871"/>
      <w:bookmarkStart w:id="62" w:name="_Toc14220"/>
      <w:r>
        <w:rPr>
          <w:rFonts w:hint="eastAsia" w:asciiTheme="minorEastAsia" w:hAnsiTheme="minorEastAsia" w:cstheme="minorEastAsia"/>
          <w:b/>
          <w:bCs/>
          <w:szCs w:val="28"/>
        </w:rPr>
        <w:t>一、总则</w:t>
      </w:r>
      <w:bookmarkEnd w:id="51"/>
      <w:bookmarkEnd w:id="52"/>
      <w:bookmarkEnd w:id="53"/>
      <w:bookmarkEnd w:id="54"/>
      <w:bookmarkEnd w:id="55"/>
      <w:bookmarkEnd w:id="56"/>
      <w:bookmarkEnd w:id="57"/>
      <w:bookmarkEnd w:id="58"/>
      <w:bookmarkEnd w:id="59"/>
      <w:bookmarkEnd w:id="60"/>
      <w:bookmarkEnd w:id="61"/>
      <w:bookmarkEnd w:id="62"/>
    </w:p>
    <w:p>
      <w:pPr>
        <w:spacing w:line="360" w:lineRule="auto"/>
        <w:ind w:right="754" w:firstLine="560" w:firstLineChars="200"/>
        <w:jc w:val="left"/>
        <w:rPr>
          <w:rFonts w:hint="eastAsia" w:asciiTheme="minorEastAsia" w:hAnsiTheme="minorEastAsia" w:cstheme="minorEastAsia"/>
          <w:sz w:val="28"/>
          <w:szCs w:val="28"/>
        </w:rPr>
      </w:pPr>
      <w:bookmarkStart w:id="63" w:name="_Toc310318572"/>
      <w:bookmarkStart w:id="64" w:name="_Toc286386834"/>
      <w:bookmarkStart w:id="65" w:name="_Toc114052340"/>
      <w:bookmarkStart w:id="66" w:name="_Toc114052414"/>
      <w:r>
        <w:rPr>
          <w:rFonts w:hint="eastAsia" w:asciiTheme="minorEastAsia" w:hAnsiTheme="minorEastAsia" w:cstheme="minorEastAsia"/>
          <w:b/>
          <w:bCs/>
          <w:sz w:val="28"/>
          <w:szCs w:val="28"/>
        </w:rPr>
        <w:t>1.项目比选说明</w:t>
      </w:r>
      <w:bookmarkEnd w:id="63"/>
      <w:bookmarkEnd w:id="64"/>
      <w:bookmarkEnd w:id="65"/>
      <w:bookmarkEnd w:id="66"/>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1.1项目比选的说明见比选须知前附表（以下称“前附表”）第1项～第20项所述。</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1.2上述项目按照国家有关的法律、法规作为依据，并按照南宁市政府现行有关规定执行，南宁铁路枢纽投资有限公司现通过公开比选来择优选定服务单位。</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2.工作内容：</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sz w:val="28"/>
          <w:szCs w:val="28"/>
        </w:rPr>
        <w:t xml:space="preserve">工作内容见前附表第3项所述。   </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3.资金来源</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资金来源见前附表第4项所述。</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4.</w:t>
      </w:r>
      <w:bookmarkStart w:id="67" w:name="_Toc310318574"/>
      <w:bookmarkStart w:id="68" w:name="_Toc114052342"/>
      <w:bookmarkStart w:id="69" w:name="_Toc286386836"/>
      <w:bookmarkStart w:id="70" w:name="_Toc114052416"/>
      <w:r>
        <w:rPr>
          <w:rFonts w:hint="eastAsia" w:asciiTheme="minorEastAsia" w:hAnsiTheme="minorEastAsia" w:cstheme="minorEastAsia"/>
          <w:b/>
          <w:bCs/>
          <w:sz w:val="28"/>
          <w:szCs w:val="28"/>
        </w:rPr>
        <w:t>比选申请人资格要求</w:t>
      </w:r>
      <w:bookmarkEnd w:id="67"/>
      <w:bookmarkEnd w:id="68"/>
      <w:bookmarkEnd w:id="69"/>
      <w:bookmarkEnd w:id="70"/>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4.1比选申请人必须具有前附表第9项相应的资质及要求。</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5.</w:t>
      </w:r>
      <w:bookmarkStart w:id="71" w:name="_Toc310318575"/>
      <w:bookmarkStart w:id="72" w:name="_Toc114052343"/>
      <w:bookmarkStart w:id="73" w:name="_Toc114052417"/>
      <w:bookmarkStart w:id="74" w:name="_Toc286386837"/>
      <w:r>
        <w:rPr>
          <w:rFonts w:hint="eastAsia" w:asciiTheme="minorEastAsia" w:hAnsiTheme="minorEastAsia" w:cstheme="minorEastAsia"/>
          <w:b/>
          <w:bCs/>
          <w:sz w:val="28"/>
          <w:szCs w:val="28"/>
        </w:rPr>
        <w:t>申请比选费用</w:t>
      </w:r>
      <w:bookmarkEnd w:id="71"/>
      <w:bookmarkEnd w:id="72"/>
      <w:bookmarkEnd w:id="73"/>
      <w:bookmarkEnd w:id="74"/>
    </w:p>
    <w:p>
      <w:pPr>
        <w:tabs>
          <w:tab w:val="left" w:pos="8610"/>
        </w:tabs>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5.1比选申请人应承担其编制文件与递交文件所涉及的一切费用。不管评比结果如何，比选人对上述费用不负任何责任。</w:t>
      </w:r>
    </w:p>
    <w:p>
      <w:pPr>
        <w:pStyle w:val="5"/>
        <w:spacing w:line="360" w:lineRule="auto"/>
        <w:jc w:val="center"/>
        <w:rPr>
          <w:rFonts w:hint="eastAsia" w:asciiTheme="minorEastAsia" w:hAnsiTheme="minorEastAsia" w:cstheme="minorEastAsia"/>
          <w:b/>
          <w:bCs/>
          <w:szCs w:val="28"/>
        </w:rPr>
      </w:pPr>
      <w:bookmarkStart w:id="75" w:name="_Toc1202"/>
      <w:bookmarkStart w:id="76" w:name="_Toc17610"/>
      <w:bookmarkStart w:id="77" w:name="_Toc14136"/>
      <w:bookmarkStart w:id="78" w:name="_Toc18809"/>
      <w:bookmarkStart w:id="79" w:name="_Toc18033"/>
      <w:bookmarkStart w:id="80" w:name="_Toc25118"/>
      <w:bookmarkStart w:id="81" w:name="_Toc471482362"/>
      <w:bookmarkStart w:id="82" w:name="_Toc15439"/>
      <w:bookmarkStart w:id="83" w:name="_Toc8029"/>
      <w:bookmarkStart w:id="84" w:name="_Toc1270"/>
      <w:bookmarkStart w:id="85" w:name="_Toc6541"/>
      <w:bookmarkStart w:id="86" w:name="_Toc6585"/>
      <w:bookmarkStart w:id="87" w:name="_Toc17725"/>
      <w:bookmarkStart w:id="88" w:name="_Toc5207"/>
      <w:bookmarkStart w:id="89" w:name="_Toc22143"/>
      <w:bookmarkStart w:id="90" w:name="_Toc3066"/>
      <w:bookmarkStart w:id="91" w:name="_Toc461525298"/>
      <w:bookmarkStart w:id="92" w:name="_Toc5243"/>
      <w:bookmarkStart w:id="93" w:name="_Toc26141"/>
      <w:bookmarkStart w:id="94" w:name="_Toc13238"/>
      <w:bookmarkStart w:id="95" w:name="_Toc16023"/>
      <w:bookmarkStart w:id="96" w:name="_Toc17323"/>
      <w:bookmarkStart w:id="97" w:name="_Toc21406"/>
      <w:bookmarkStart w:id="98" w:name="_Toc25256"/>
      <w:bookmarkStart w:id="99" w:name="_Toc4061"/>
      <w:bookmarkStart w:id="100" w:name="_Toc5665"/>
      <w:r>
        <w:rPr>
          <w:rFonts w:hint="eastAsia" w:asciiTheme="minorEastAsia" w:hAnsiTheme="minorEastAsia" w:cstheme="minorEastAsia"/>
          <w:b/>
          <w:bCs/>
          <w:szCs w:val="28"/>
        </w:rPr>
        <w:t>二、比选文件</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6.</w:t>
      </w:r>
      <w:bookmarkStart w:id="101" w:name="_Toc114052345"/>
      <w:bookmarkStart w:id="102" w:name="_Toc310318577"/>
      <w:bookmarkStart w:id="103" w:name="_Toc286386839"/>
      <w:bookmarkStart w:id="104" w:name="_Toc114052419"/>
      <w:r>
        <w:rPr>
          <w:rFonts w:hint="eastAsia" w:asciiTheme="minorEastAsia" w:hAnsiTheme="minorEastAsia" w:cstheme="minorEastAsia"/>
          <w:b/>
          <w:bCs/>
          <w:sz w:val="28"/>
          <w:szCs w:val="28"/>
        </w:rPr>
        <w:t>比选文件的组成</w:t>
      </w:r>
      <w:bookmarkEnd w:id="101"/>
      <w:bookmarkEnd w:id="102"/>
      <w:bookmarkEnd w:id="103"/>
      <w:bookmarkEnd w:id="104"/>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6.1比选文件包括比选须知前附表、比选须知、合同条款（格式）、比选申请文件格式、评比办法。</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7.比选文件的解释</w:t>
      </w:r>
    </w:p>
    <w:p>
      <w:pPr>
        <w:spacing w:line="360" w:lineRule="auto"/>
        <w:ind w:right="-23"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7.1比选申请人在获取比选文件后，若有问题需要澄清，均应在递交文件截止时间3个工作日前的正常工作时间内，用当面递交或传真书面通知比选人，其他方式为无效。比选人将于递交文件截止时间2天前以书面形式,在比选人官网发布，予以答复。</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8.比选文件的修改</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8.1在递交文件截止日期前2天，比选人可以采用补充通知的方式修改比选文件。</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8.2补充通知将以书面形式，在比选人官网发布，补充通知作为比选文件的组成部分，对比选申请人起约束作用。</w:t>
      </w:r>
    </w:p>
    <w:p>
      <w:pPr>
        <w:pStyle w:val="5"/>
        <w:spacing w:line="360" w:lineRule="auto"/>
        <w:jc w:val="center"/>
        <w:rPr>
          <w:rFonts w:hint="eastAsia" w:asciiTheme="minorEastAsia" w:hAnsiTheme="minorEastAsia" w:cstheme="minorEastAsia"/>
          <w:b/>
          <w:bCs/>
          <w:szCs w:val="28"/>
        </w:rPr>
      </w:pPr>
      <w:bookmarkStart w:id="105" w:name="_Toc32534"/>
      <w:bookmarkStart w:id="106" w:name="_Toc2112"/>
      <w:bookmarkStart w:id="107" w:name="_Toc27078"/>
      <w:bookmarkStart w:id="108" w:name="_Toc29441"/>
      <w:bookmarkStart w:id="109" w:name="_Toc14900"/>
      <w:r>
        <w:rPr>
          <w:rFonts w:hint="eastAsia" w:asciiTheme="minorEastAsia" w:hAnsiTheme="minorEastAsia" w:cstheme="minorEastAsia"/>
          <w:b/>
          <w:bCs/>
          <w:szCs w:val="28"/>
        </w:rPr>
        <w:t>三、申请比选报价说明</w:t>
      </w:r>
      <w:bookmarkEnd w:id="105"/>
      <w:bookmarkEnd w:id="106"/>
      <w:bookmarkEnd w:id="107"/>
      <w:bookmarkEnd w:id="108"/>
      <w:bookmarkEnd w:id="109"/>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9.申请比选报价</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9.1申请比选报价见比选须知前附表第7项所述。</w:t>
      </w:r>
    </w:p>
    <w:p>
      <w:pPr>
        <w:pStyle w:val="5"/>
        <w:spacing w:line="360" w:lineRule="auto"/>
        <w:jc w:val="center"/>
        <w:rPr>
          <w:rFonts w:hint="eastAsia" w:asciiTheme="minorEastAsia" w:hAnsiTheme="minorEastAsia" w:cstheme="minorEastAsia"/>
          <w:b/>
          <w:bCs/>
          <w:szCs w:val="28"/>
        </w:rPr>
      </w:pPr>
      <w:bookmarkStart w:id="110" w:name="_Toc2259"/>
      <w:bookmarkStart w:id="111" w:name="_Toc20527"/>
      <w:bookmarkStart w:id="112" w:name="_Toc8317"/>
      <w:bookmarkStart w:id="113" w:name="_Toc8947"/>
      <w:bookmarkStart w:id="114" w:name="_Toc5022"/>
      <w:r>
        <w:rPr>
          <w:rFonts w:hint="eastAsia" w:asciiTheme="minorEastAsia" w:hAnsiTheme="minorEastAsia" w:cstheme="minorEastAsia"/>
          <w:b/>
          <w:bCs/>
          <w:szCs w:val="28"/>
        </w:rPr>
        <w:t>四、比选申请文件的编制</w:t>
      </w:r>
      <w:bookmarkEnd w:id="110"/>
      <w:bookmarkEnd w:id="111"/>
      <w:bookmarkEnd w:id="112"/>
      <w:bookmarkEnd w:id="113"/>
      <w:bookmarkEnd w:id="114"/>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10.比选申请文件编写注意事项</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10.2比选文件提出的实质性要求和条件是指本比选项目所涉及的最低人员配置、价格、服务及其他要求、合同条款等内容。</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10.3比选申请人的比选申请文件所有来往函件统一使用中文(特别规定除外)。</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10.4比选申请文件中使用的计量单位除比选文件中有特殊规定外，一律使用法定计量单位。</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11.比选申请文件的组成</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11.1比选申请文件由资格审查部分、商务部分、报价部分、技术部分四部分组成，详细要求与部分格式详见第三章。</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11.2资格审查部分主要包括下列内容：</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（1）诚信声明（原件）；</w:t>
      </w:r>
    </w:p>
    <w:p>
      <w:pPr>
        <w:spacing w:line="360" w:lineRule="auto"/>
        <w:ind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（2）法定代表人资格证明书（原件）；</w:t>
      </w:r>
    </w:p>
    <w:p>
      <w:pPr>
        <w:spacing w:line="360" w:lineRule="auto"/>
        <w:ind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（3）法定代表人身份证明文件（提供复印件加盖法人单位公章）；</w:t>
      </w:r>
    </w:p>
    <w:p>
      <w:pPr>
        <w:spacing w:line="360" w:lineRule="auto"/>
        <w:ind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（4）比选申请文件签署授权委托书（原件）；</w:t>
      </w:r>
    </w:p>
    <w:p>
      <w:pPr>
        <w:spacing w:line="360" w:lineRule="auto"/>
        <w:ind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（5）授权代理人身份证明文件（提供复印件加盖法人单位公章）；</w:t>
      </w:r>
    </w:p>
    <w:p>
      <w:pPr>
        <w:spacing w:line="360" w:lineRule="auto"/>
        <w:ind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（6）营业执照复印件、税务登记证复印件（如已办理三证合一则不需提供）、组织机构代码证复印件（ 如已办理三证合一则不需提供）（加盖单位公章）； </w:t>
      </w:r>
    </w:p>
    <w:p>
      <w:pPr>
        <w:spacing w:line="360" w:lineRule="auto"/>
        <w:ind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（7）企业资质证书复印件（加盖单位公章）；</w:t>
      </w:r>
    </w:p>
    <w:p>
      <w:pPr>
        <w:spacing w:line="360" w:lineRule="auto"/>
        <w:ind w:firstLine="560" w:firstLineChars="200"/>
        <w:jc w:val="left"/>
        <w:rPr>
          <w:rFonts w:hint="eastAsia"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（8）项目负责人职称证书、与本单位签订的合同及</w:t>
      </w:r>
      <w:r>
        <w:rPr>
          <w:rFonts w:hint="eastAsia" w:asciiTheme="minorEastAsia" w:hAnsiTheme="minorEastAsia" w:cstheme="minorEastAsia"/>
          <w:sz w:val="28"/>
          <w:szCs w:val="28"/>
          <w:highlight w:val="none"/>
          <w:lang w:val="zh-CN"/>
        </w:rPr>
        <w:t>2022年12月—2023年2月的</w:t>
      </w:r>
      <w:r>
        <w:rPr>
          <w:rFonts w:hint="eastAsia" w:asciiTheme="minorEastAsia" w:hAnsiTheme="minorEastAsia" w:cstheme="minorEastAsia"/>
          <w:sz w:val="28"/>
          <w:szCs w:val="28"/>
          <w:highlight w:val="none"/>
        </w:rPr>
        <w:t>社保缴纳记录；</w:t>
      </w:r>
    </w:p>
    <w:p>
      <w:pPr>
        <w:spacing w:line="360" w:lineRule="auto"/>
        <w:ind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（9）同类项目合同复印件；</w:t>
      </w:r>
    </w:p>
    <w:p>
      <w:pPr>
        <w:spacing w:line="360" w:lineRule="auto"/>
        <w:ind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（10）其他。</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11.3商务部分主要包括下列内容：</w:t>
      </w:r>
    </w:p>
    <w:p>
      <w:pPr>
        <w:spacing w:line="360" w:lineRule="auto"/>
        <w:ind w:right="754"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（1）企业资质证书复印件（加盖单位公章）；</w:t>
      </w:r>
    </w:p>
    <w:p>
      <w:pPr>
        <w:spacing w:line="360" w:lineRule="auto"/>
        <w:ind w:right="754"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（2）质量、环境、职业健康安全三项管理体系认证证书复印件（加盖单位公章）；</w:t>
      </w:r>
    </w:p>
    <w:p>
      <w:pPr>
        <w:spacing w:line="360" w:lineRule="auto"/>
        <w:ind w:right="754"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（3）业绩表；</w:t>
      </w:r>
    </w:p>
    <w:p>
      <w:pPr>
        <w:spacing w:line="360" w:lineRule="auto"/>
        <w:ind w:right="754"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（4）信誉表；</w:t>
      </w:r>
    </w:p>
    <w:p>
      <w:pPr>
        <w:spacing w:line="360" w:lineRule="auto"/>
        <w:ind w:right="754" w:firstLine="420" w:firstLineChars="150"/>
        <w:rPr>
          <w:rFonts w:hint="eastAsia" w:asciiTheme="minorEastAsia" w:hAnsiTheme="minorEastAsia" w:cstheme="minorEastAsia"/>
          <w:sz w:val="28"/>
          <w:szCs w:val="28"/>
        </w:rPr>
      </w:pPr>
      <w:r>
        <w:rPr>
          <w:rFonts w:hint="eastAsia" w:asciiTheme="minorEastAsia" w:hAnsiTheme="minorEastAsia" w:cstheme="minorEastAsia"/>
          <w:sz w:val="28"/>
          <w:szCs w:val="28"/>
        </w:rPr>
        <w:t>（5）拟投入人员配置明细表；</w:t>
      </w:r>
    </w:p>
    <w:p>
      <w:pPr>
        <w:spacing w:line="360" w:lineRule="auto"/>
        <w:ind w:right="754" w:firstLine="420" w:firstLineChars="1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（6）拟投入人员的相关工作业绩、资历及能力（由比选申请人自行编写）。</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11.4报价部分主要包括下列内容：</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（1）报价表。</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11.5技术部分主要包括下列内容：</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（1）服务方案（由比选申请人自行编写）；</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（2）其他。</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11.6比选申请人需按照比选人提供的比选申请文件格式和顺序另行编制比选申请文件，但表格可以按同样格式扩展。</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12.比选有效期</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12.1比选申请文件在前附表第14条规定的递交比选申请文件日期之后的90天内有效。</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13.比选保证金</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13.1比选保证金：无。</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14.比选答疑</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14.2比选补遗文件包括所有问题和答复，比选人将于递交文件截止时间2天前以书面形式,在比选人官网发布，予以答复。</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15.比选申请文件的份数和签署</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15.1比选申请人按比选文件规定，编制一份比选申请文件“正本”和两份比选申请文件“副本”，并标明“比选申请文件正本”和“比选申请文件副本”。比选申请文件正本和副本如有不一致之处，以正本为准。</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15.2比选申请文件正本与副本均应使用不能擦去的黑色墨水打印或书写，装订成册，由比选申请人负责人或授权委托代理人亲自签署或加盖印鉴，并加盖比选申请人单位公章。</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15.3全套比选申请文件应无涂改和行间插字，除非这些删改是根据比选人指示进行的；或者是比选申请人造成的必须修改的错误，但修改处应由比选申请文件签字人签字证明，否则修改无效。</w:t>
      </w:r>
    </w:p>
    <w:p>
      <w:pPr>
        <w:pStyle w:val="5"/>
        <w:spacing w:line="360" w:lineRule="auto"/>
        <w:jc w:val="center"/>
        <w:rPr>
          <w:rFonts w:hint="eastAsia" w:asciiTheme="minorEastAsia" w:hAnsiTheme="minorEastAsia" w:cstheme="minorEastAsia"/>
          <w:b/>
          <w:bCs/>
          <w:szCs w:val="28"/>
        </w:rPr>
      </w:pPr>
      <w:bookmarkStart w:id="115" w:name="_Toc425"/>
      <w:bookmarkStart w:id="116" w:name="_Toc3852"/>
      <w:bookmarkStart w:id="117" w:name="_Toc25023"/>
      <w:bookmarkStart w:id="118" w:name="_Toc22870"/>
      <w:bookmarkStart w:id="119" w:name="_Toc12667"/>
      <w:r>
        <w:rPr>
          <w:rFonts w:hint="eastAsia" w:asciiTheme="minorEastAsia" w:hAnsiTheme="minorEastAsia" w:cstheme="minorEastAsia"/>
          <w:b/>
          <w:bCs/>
          <w:szCs w:val="28"/>
        </w:rPr>
        <w:t>五、比选申请文件的递交</w:t>
      </w:r>
      <w:bookmarkEnd w:id="115"/>
      <w:bookmarkEnd w:id="116"/>
      <w:bookmarkEnd w:id="117"/>
      <w:bookmarkEnd w:id="118"/>
      <w:bookmarkEnd w:id="119"/>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16.比选申请文件的密封与标志</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16.1比选申请文件装订要求：比选申请文件中资格审查部分、商务部分、报价部分、技术部分须分开装订。</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16.2比选申请文件的资格审查部分、商务部分、报价部分、技术部分须分别密封在四个比选文件密封袋中。</w:t>
      </w:r>
    </w:p>
    <w:p>
      <w:pPr>
        <w:tabs>
          <w:tab w:val="left" w:pos="8610"/>
        </w:tabs>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16.3密封袋封口处都应加盖比选申请人公章或粘贴加盖公章的密封条，若密封袋没有加盖公章或破损严重，有可能导致比选人的拒收。</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16.4比选申请文件递交至前附表第13项所述的单位和地址。</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17.递交比选文件截止期</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17.1比选申请人应在前附表第14项所述规定的时间，将比选申请文件递交至前附表第13项所述的单位和地址。</w:t>
      </w:r>
    </w:p>
    <w:p>
      <w:pPr>
        <w:pStyle w:val="5"/>
        <w:spacing w:line="360" w:lineRule="auto"/>
        <w:jc w:val="center"/>
        <w:rPr>
          <w:rFonts w:hint="eastAsia" w:asciiTheme="minorEastAsia" w:hAnsiTheme="minorEastAsia" w:cstheme="minorEastAsia"/>
          <w:b/>
          <w:bCs/>
          <w:szCs w:val="28"/>
        </w:rPr>
      </w:pPr>
      <w:bookmarkStart w:id="120" w:name="_Toc25808"/>
      <w:bookmarkStart w:id="121" w:name="_Toc28107"/>
      <w:bookmarkStart w:id="122" w:name="_Toc920"/>
      <w:bookmarkStart w:id="123" w:name="_Toc6204"/>
      <w:bookmarkStart w:id="124" w:name="_Toc25937"/>
      <w:r>
        <w:rPr>
          <w:rFonts w:hint="eastAsia" w:asciiTheme="minorEastAsia" w:hAnsiTheme="minorEastAsia" w:cstheme="minorEastAsia"/>
          <w:b/>
          <w:bCs/>
          <w:szCs w:val="28"/>
        </w:rPr>
        <w:t>六、评比</w:t>
      </w:r>
      <w:bookmarkEnd w:id="120"/>
      <w:bookmarkEnd w:id="121"/>
      <w:bookmarkEnd w:id="122"/>
      <w:bookmarkEnd w:id="123"/>
      <w:bookmarkEnd w:id="124"/>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18.评比委员会</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18.1本项目的评比委员会由3名经济、技术专家组成。</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18.2评比委员会成员独立、客观、公正地履行职责，遵守职业道德，对所提出的评比意见承担个人责任；评比委员会成员应对整个评比活动保密。</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18.3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18.4严禁任何单位或个人以任何形式操纵、干预评比过程和评比结果。</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19.评比</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19.1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19.2评比会议程序：</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19.2.1比选申请人负责人或授权委托代理人应签名报到，比选人验证比选申请人法定代表人资格证明、授权委托书及委托代理人有效身份证明。</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19.2.2比选申请人退场</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19.2.3由主持人宣布评比会议开始，评比委员会确认文件是否密封。</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19.2.4评比委员会启封比选申请文件的资格审查部分，并进行评审。</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19.2.5由主持人当众宣布审查结果，并宣读有效的比选申请人名称以及比选人认为需要的其他内容。</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19.2.6评比委员会启封通过资格审查的比选申请文件的商务部分，并进行评审。</w:t>
      </w:r>
    </w:p>
    <w:p>
      <w:pPr>
        <w:spacing w:line="360" w:lineRule="auto"/>
        <w:ind w:right="-23"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19.2.7评比委员会启封通过资格审查的比选申请文件的报价部分，并进行评审。</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19.2.8评比委员会启封通过资格审查的比选申请文件的技术部分，并进行评审。</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19.2.9在评比过程中，评比委员、记录人等有关人员在比选记录表上签字确认，主持人宣读比选结果。</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19.2.10评比结束。</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20.评比工作相关要求</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20.1本次比选的工作由评比委员会负责。</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20.2出现下列特殊情况之一，本次比选无效，本公司将重新组织比选：</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20.2.1在比选申请文件递交截止时间到达时提交比选申请文件的比选申请人少于3家的；</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20.2.2比选申请文件有效的比选申请人仅有2家，且评委认为没有竞争力的；</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20.2.3有效比选申请文件只有1家或0家的；</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20.3评比过程的保密性。评比委员会成员、有关工作人员及其他知情人不得透露对比选申请文件的评比和比较、中选候选人的推荐情况以及与比选有关的其他情况。</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20.4比选申请人在评比过程中所进行的力图影响评比公正性的活动，可能导致其中选无效。</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20.5比选申请文件的澄清或说明</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20.5.1评比时评比委员会将以书面形式要求比选申请人就其比选申请文件中含义不明确、同类问题表述不一致或有明显文字错误等的内容予以澄清或说明。</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20.5.2比选申请人对要求澄清或说明的内容应在评比委员会规定的时间内以书面形式予以澄清，该澄清或说明函应有比选申请人负责人或其委托代理人的签名。</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20.5.3比选申请人的澄清或说明函作为比选申请文件的组成部分。</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20.5.4比选申请人对比选申请文件的澄清或说明不得超出比选申请文件的范围或改变投标的实质内容。</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21.比选申请文件评比相关要求</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21.1比选申请人资格审查</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只有通过资格审查才能进入下一步的评比，资格审查资料有任何一项不合格者其资格审查视为不通过。</w:t>
      </w:r>
    </w:p>
    <w:p>
      <w:pPr>
        <w:spacing w:line="360" w:lineRule="auto"/>
        <w:ind w:right="-21" w:firstLine="560" w:firstLineChars="20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21.2比选申请人或其比选文件有下列情况之一者，其比选申请文件将视为无效或作废处理：</w:t>
      </w:r>
    </w:p>
    <w:p>
      <w:pPr>
        <w:spacing w:line="360" w:lineRule="auto"/>
        <w:ind w:right="-21" w:firstLine="560" w:firstLineChars="20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（1）比选申请人的负责人或委托代理人未按时参加评比会议的；</w:t>
      </w:r>
    </w:p>
    <w:p>
      <w:pPr>
        <w:spacing w:line="360" w:lineRule="auto"/>
        <w:ind w:right="753" w:firstLine="560" w:firstLineChars="20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（2）比选申请文件未按照规定的要求装订、密封和标记的；</w:t>
      </w:r>
    </w:p>
    <w:p>
      <w:pPr>
        <w:spacing w:line="360" w:lineRule="auto"/>
        <w:ind w:right="-21" w:firstLine="560" w:firstLineChars="20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（3）本须知第11条规定的比选申请文件有关内容未按本须知第15条规定加盖比选申请人公章、未经比选申请人负责人或其委托代理人签字或盖章的；</w:t>
      </w:r>
    </w:p>
    <w:p>
      <w:pPr>
        <w:spacing w:line="360" w:lineRule="auto"/>
        <w:ind w:right="-21" w:firstLine="560" w:firstLineChars="20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（4）不按本须知第11条内容提供资料的；逾期递交比选申请文件的；</w:t>
      </w:r>
    </w:p>
    <w:p>
      <w:pPr>
        <w:spacing w:line="360" w:lineRule="auto"/>
        <w:ind w:right="753" w:firstLine="560" w:firstLineChars="20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（5）比选申请文件内容不真实的；</w:t>
      </w:r>
    </w:p>
    <w:p>
      <w:pPr>
        <w:spacing w:line="360" w:lineRule="auto"/>
        <w:ind w:firstLine="560" w:firstLineChars="200"/>
        <w:rPr>
          <w:rFonts w:hint="eastAsia" w:asciiTheme="minorEastAsia" w:hAnsiTheme="minorEastAsia" w:cstheme="minorEastAsia"/>
          <w:b/>
          <w:sz w:val="28"/>
          <w:szCs w:val="28"/>
        </w:rPr>
      </w:pPr>
      <w:r>
        <w:rPr>
          <w:rFonts w:hint="eastAsia" w:asciiTheme="minorEastAsia" w:hAnsiTheme="minorEastAsia" w:cstheme="minorEastAsia"/>
          <w:b/>
          <w:sz w:val="28"/>
          <w:szCs w:val="28"/>
        </w:rPr>
        <w:t>（6）比选申请文件实质上没有响应比选文件的要求的；（包括以下内容：比选项目所涉及的人员配置、业绩、价格、服务内容、合同条款等）</w:t>
      </w:r>
    </w:p>
    <w:p>
      <w:pPr>
        <w:spacing w:line="360" w:lineRule="auto"/>
        <w:ind w:right="-21" w:firstLine="560" w:firstLineChars="20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（7）比选申请人报价超过上限控制价的。</w:t>
      </w:r>
    </w:p>
    <w:p>
      <w:pPr>
        <w:spacing w:line="360" w:lineRule="auto"/>
        <w:ind w:right="-21" w:firstLine="560" w:firstLineChars="200"/>
        <w:jc w:val="left"/>
        <w:rPr>
          <w:rFonts w:hint="eastAsia" w:asciiTheme="minorEastAsia" w:hAnsiTheme="minorEastAsia" w:cstheme="minorEastAsia"/>
          <w:b/>
          <w:sz w:val="28"/>
          <w:szCs w:val="28"/>
        </w:rPr>
      </w:pPr>
      <w:r>
        <w:rPr>
          <w:rFonts w:hint="eastAsia" w:asciiTheme="minorEastAsia" w:hAnsiTheme="minorEastAsia" w:cstheme="minorEastAsia"/>
          <w:b/>
          <w:sz w:val="28"/>
          <w:szCs w:val="28"/>
        </w:rPr>
        <w:t>（8）比选申请人不符合前附表第9条所述资格要求或比选申请人符合前附表第9条所述资格要求但就本比选项目分别提交两个（每个正本一份、副本两份）及以上的比选申请文件的。</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21.3评比细则</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详见第四章。</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21.4确定中选人</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评审小组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被查实存在影响比选结果的违法行为等情形，不符合比选条件的，比选发起人可以按照评比委员会提出的中选候选人名单排序依次确定其他中选候选人为中选人，也可以重新比选。</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22.评比结果公示</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22.1在评比结束后，比选人将在南宁轨道交通集团有限责任公司官网(http://www.nngdjt.com/)的招标招商中的中选信息处公示评比结果。</w:t>
      </w:r>
    </w:p>
    <w:p>
      <w:pPr>
        <w:spacing w:line="360" w:lineRule="auto"/>
        <w:ind w:right="-2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22.2比选申请人如对评比结果有异议，在接到评审结果或中选公告后3天内，可以书面形式向比选人提出质疑。比选人应当在收到比选申请人的书面质疑后五个工作日内做出答复，但答复的内容不得涉及商业秘密。</w:t>
      </w:r>
    </w:p>
    <w:p>
      <w:pPr>
        <w:pStyle w:val="5"/>
        <w:spacing w:line="360" w:lineRule="auto"/>
        <w:jc w:val="center"/>
        <w:rPr>
          <w:rFonts w:hint="eastAsia" w:asciiTheme="minorEastAsia" w:hAnsiTheme="minorEastAsia" w:cstheme="minorEastAsia"/>
          <w:b/>
          <w:bCs/>
          <w:szCs w:val="28"/>
        </w:rPr>
      </w:pPr>
      <w:bookmarkStart w:id="125" w:name="_Toc25638"/>
      <w:bookmarkStart w:id="126" w:name="_Toc23953"/>
      <w:bookmarkStart w:id="127" w:name="_Toc9372"/>
      <w:bookmarkStart w:id="128" w:name="_Toc28890"/>
      <w:bookmarkStart w:id="129" w:name="_Toc11913"/>
      <w:r>
        <w:rPr>
          <w:rFonts w:hint="eastAsia" w:asciiTheme="minorEastAsia" w:hAnsiTheme="minorEastAsia" w:cstheme="minorEastAsia"/>
          <w:b/>
          <w:bCs/>
          <w:szCs w:val="28"/>
        </w:rPr>
        <w:t>七、授予合同</w:t>
      </w:r>
      <w:bookmarkEnd w:id="125"/>
      <w:bookmarkEnd w:id="126"/>
      <w:bookmarkEnd w:id="127"/>
      <w:bookmarkEnd w:id="128"/>
      <w:bookmarkEnd w:id="129"/>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23.中选通知书</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23.1比选人将向中选人发出中选通知书。</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23.2比选人无义务向落选的比选申请人解释落选原因和退还比选申请文件。</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23.3中选通知书作为合同的组成部分。</w:t>
      </w:r>
    </w:p>
    <w:p>
      <w:pPr>
        <w:spacing w:line="360" w:lineRule="auto"/>
        <w:ind w:right="754" w:firstLine="560"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24.合同的签署</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24.1中选人应按中选通知书中的相关要求，由中选人负责人或授权代表前往比选人处与比选人进行签订合同。</w:t>
      </w: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24.2中选人如放弃中选资格，则比选人有权将其列入不良行为记录名单、三年内禁止其参加比选人发起的任何比选和招标活动。</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24.3中选人被废除中选资格后，比选人有权将标授予预备中选单位。</w:t>
      </w:r>
    </w:p>
    <w:p>
      <w:pPr>
        <w:rPr>
          <w:rFonts w:ascii="宋体" w:hAnsi="宋体" w:cs="宋体"/>
          <w:sz w:val="28"/>
          <w:szCs w:val="28"/>
        </w:rPr>
      </w:pPr>
      <w:bookmarkStart w:id="130" w:name="_Toc26271"/>
      <w:bookmarkStart w:id="131" w:name="_Toc471482368"/>
      <w:bookmarkStart w:id="132" w:name="_Toc6126"/>
      <w:bookmarkStart w:id="133" w:name="_Toc21670"/>
      <w:bookmarkStart w:id="134" w:name="_Toc31070"/>
      <w:bookmarkStart w:id="135" w:name="_Toc1354"/>
      <w:bookmarkStart w:id="136" w:name="_Toc12854"/>
      <w:bookmarkStart w:id="137" w:name="_Toc21358"/>
      <w:bookmarkStart w:id="138" w:name="_Toc13175"/>
      <w:bookmarkStart w:id="139" w:name="_Toc16269"/>
      <w:bookmarkStart w:id="140" w:name="_Toc9074"/>
      <w:bookmarkStart w:id="141" w:name="_Toc461525304"/>
      <w:bookmarkStart w:id="142" w:name="_Toc22951"/>
      <w:bookmarkStart w:id="143" w:name="_Toc16062"/>
      <w:bookmarkStart w:id="144" w:name="_Toc25789"/>
      <w:bookmarkStart w:id="145" w:name="_Toc5964"/>
      <w:bookmarkStart w:id="146" w:name="_Toc2960"/>
      <w:bookmarkStart w:id="147" w:name="_Toc4769"/>
      <w:bookmarkStart w:id="148" w:name="_Toc28179"/>
    </w:p>
    <w:p>
      <w:pPr>
        <w:rPr>
          <w:rFonts w:ascii="宋体" w:hAnsi="宋体" w:cs="宋体"/>
          <w:sz w:val="28"/>
          <w:szCs w:val="28"/>
        </w:rPr>
      </w:pPr>
    </w:p>
    <w:p>
      <w:pPr>
        <w:rPr>
          <w:rFonts w:ascii="宋体" w:hAnsi="宋体" w:cs="宋体"/>
          <w:sz w:val="28"/>
          <w:szCs w:val="28"/>
        </w:rPr>
      </w:pPr>
    </w:p>
    <w:p>
      <w:pPr>
        <w:pStyle w:val="20"/>
        <w:rPr>
          <w:rFonts w:ascii="宋体" w:hAnsi="宋体" w:cs="宋体"/>
          <w:sz w:val="28"/>
          <w:szCs w:val="28"/>
        </w:rPr>
      </w:pPr>
    </w:p>
    <w:p>
      <w:pPr>
        <w:pStyle w:val="8"/>
        <w:rPr>
          <w:rFonts w:hAnsi="宋体" w:cs="宋体"/>
          <w:sz w:val="28"/>
          <w:szCs w:val="28"/>
        </w:rPr>
      </w:pPr>
    </w:p>
    <w:p>
      <w:pPr>
        <w:rPr>
          <w:rFonts w:ascii="宋体" w:hAnsi="宋体" w:cs="宋体"/>
          <w:sz w:val="28"/>
          <w:szCs w:val="28"/>
        </w:rPr>
      </w:pPr>
    </w:p>
    <w:p>
      <w:pPr>
        <w:pStyle w:val="20"/>
        <w:rPr>
          <w:rFonts w:ascii="宋体" w:hAnsi="宋体" w:cs="宋体"/>
          <w:sz w:val="28"/>
          <w:szCs w:val="28"/>
        </w:rPr>
      </w:pPr>
    </w:p>
    <w:p>
      <w:pPr>
        <w:pStyle w:val="8"/>
        <w:rPr>
          <w:rFonts w:hAnsi="宋体" w:cs="宋体"/>
          <w:sz w:val="28"/>
          <w:szCs w:val="28"/>
        </w:rPr>
      </w:pPr>
    </w:p>
    <w:p>
      <w:pPr>
        <w:rPr>
          <w:rFonts w:ascii="宋体" w:hAnsi="宋体" w:cs="宋体"/>
          <w:sz w:val="28"/>
          <w:szCs w:val="28"/>
        </w:rPr>
      </w:pPr>
    </w:p>
    <w:p>
      <w:pPr>
        <w:pStyle w:val="20"/>
        <w:rPr>
          <w:rFonts w:ascii="宋体" w:hAnsi="宋体" w:cs="宋体"/>
          <w:sz w:val="28"/>
          <w:szCs w:val="28"/>
        </w:rPr>
      </w:pPr>
    </w:p>
    <w:p>
      <w:pPr>
        <w:pStyle w:val="8"/>
        <w:rPr>
          <w:rFonts w:hAnsi="宋体" w:cs="宋体"/>
          <w:sz w:val="28"/>
          <w:szCs w:val="28"/>
        </w:rPr>
      </w:pPr>
    </w:p>
    <w:p>
      <w:pPr>
        <w:rPr>
          <w:rFonts w:ascii="宋体" w:hAnsi="宋体" w:cs="宋体"/>
          <w:sz w:val="28"/>
          <w:szCs w:val="28"/>
        </w:rPr>
      </w:pPr>
    </w:p>
    <w:p>
      <w:pPr>
        <w:widowControl/>
        <w:jc w:val="left"/>
        <w:rPr>
          <w:rFonts w:ascii="宋体" w:hAnsi="宋体" w:cs="宋体"/>
          <w:b/>
          <w:kern w:val="44"/>
          <w:sz w:val="28"/>
          <w:szCs w:val="28"/>
        </w:rPr>
      </w:pPr>
      <w:r>
        <w:rPr>
          <w:rFonts w:ascii="宋体" w:hAnsi="宋体" w:cs="宋体"/>
          <w:szCs w:val="28"/>
        </w:rPr>
        <w:br w:type="page"/>
      </w:r>
    </w:p>
    <w:p>
      <w:pPr>
        <w:pStyle w:val="4"/>
        <w:spacing w:line="360" w:lineRule="auto"/>
        <w:rPr>
          <w:sz w:val="28"/>
          <w:szCs w:val="28"/>
        </w:rPr>
      </w:pPr>
      <w:bookmarkStart w:id="149" w:name="_Toc5767"/>
      <w:bookmarkStart w:id="150" w:name="_Toc21269"/>
      <w:bookmarkStart w:id="151" w:name="_Toc15804"/>
      <w:bookmarkStart w:id="152" w:name="_Toc11042"/>
      <w:r>
        <w:rPr>
          <w:rFonts w:hint="eastAsia" w:ascii="宋体" w:hAnsi="宋体" w:cs="宋体"/>
          <w:szCs w:val="28"/>
        </w:rPr>
        <w:t>第二章 合同条款</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8"/>
        <w:rPr>
          <w:rFonts w:hAnsi="宋体" w:cs="宋体"/>
          <w:sz w:val="24"/>
        </w:rPr>
      </w:pPr>
    </w:p>
    <w:p>
      <w:pPr>
        <w:rPr>
          <w:rFonts w:hAnsi="宋体" w:cs="宋体"/>
          <w:sz w:val="24"/>
        </w:rPr>
      </w:pPr>
    </w:p>
    <w:p>
      <w:pPr>
        <w:pStyle w:val="20"/>
        <w:rPr>
          <w:rFonts w:hAnsi="宋体" w:cs="宋体"/>
        </w:rPr>
      </w:pPr>
    </w:p>
    <w:p>
      <w:pPr>
        <w:pStyle w:val="8"/>
        <w:rPr>
          <w:rFonts w:hAnsi="宋体" w:cs="宋体"/>
          <w:sz w:val="24"/>
        </w:rPr>
      </w:pPr>
    </w:p>
    <w:p>
      <w:pPr>
        <w:rPr>
          <w:rFonts w:hAnsi="宋体" w:cs="宋体"/>
          <w:sz w:val="24"/>
        </w:rPr>
      </w:pPr>
    </w:p>
    <w:p>
      <w:pPr>
        <w:pStyle w:val="20"/>
        <w:rPr>
          <w:rFonts w:hAnsi="宋体" w:cs="宋体"/>
        </w:rPr>
      </w:pPr>
    </w:p>
    <w:p>
      <w:pPr>
        <w:pStyle w:val="8"/>
        <w:rPr>
          <w:rFonts w:hAnsi="宋体" w:cs="宋体"/>
          <w:sz w:val="24"/>
        </w:rPr>
      </w:pPr>
    </w:p>
    <w:p>
      <w:pPr>
        <w:rPr>
          <w:rFonts w:hAnsi="宋体" w:cs="宋体"/>
          <w:sz w:val="24"/>
        </w:rPr>
      </w:pPr>
    </w:p>
    <w:p>
      <w:pPr>
        <w:pStyle w:val="20"/>
        <w:rPr>
          <w:rFonts w:hAnsi="宋体" w:cs="宋体"/>
        </w:rPr>
      </w:pPr>
    </w:p>
    <w:p>
      <w:pPr>
        <w:pStyle w:val="8"/>
        <w:rPr>
          <w:rFonts w:hAnsi="宋体" w:cs="宋体"/>
          <w:sz w:val="24"/>
        </w:rPr>
      </w:pPr>
    </w:p>
    <w:p>
      <w:pPr>
        <w:rPr>
          <w:rFonts w:hAnsi="宋体" w:cs="宋体"/>
          <w:sz w:val="24"/>
        </w:rPr>
      </w:pPr>
    </w:p>
    <w:p>
      <w:pPr>
        <w:pStyle w:val="20"/>
        <w:rPr>
          <w:rFonts w:hAnsi="宋体" w:cs="宋体"/>
        </w:rPr>
      </w:pPr>
    </w:p>
    <w:p>
      <w:pPr>
        <w:pStyle w:val="8"/>
        <w:rPr>
          <w:rFonts w:hAnsi="宋体" w:cs="宋体"/>
          <w:sz w:val="24"/>
        </w:rPr>
      </w:pPr>
    </w:p>
    <w:p>
      <w:pPr>
        <w:rPr>
          <w:rFonts w:hAnsi="宋体" w:cs="宋体"/>
          <w:sz w:val="24"/>
        </w:rPr>
      </w:pPr>
    </w:p>
    <w:p>
      <w:pPr>
        <w:pStyle w:val="20"/>
        <w:rPr>
          <w:rFonts w:hAnsi="宋体" w:cs="宋体"/>
        </w:rPr>
      </w:pPr>
    </w:p>
    <w:p>
      <w:pPr>
        <w:pStyle w:val="8"/>
        <w:rPr>
          <w:rFonts w:hAnsi="宋体" w:cs="宋体"/>
          <w:sz w:val="24"/>
        </w:rPr>
      </w:pPr>
    </w:p>
    <w:p>
      <w:pPr>
        <w:rPr>
          <w:rFonts w:hAnsi="宋体" w:cs="宋体"/>
          <w:sz w:val="24"/>
        </w:rPr>
      </w:pPr>
    </w:p>
    <w:p>
      <w:pPr>
        <w:pStyle w:val="20"/>
      </w:pPr>
    </w:p>
    <w:p>
      <w:pPr>
        <w:rPr>
          <w:rFonts w:ascii="宋体" w:hAnsi="宋体" w:cs="宋体"/>
          <w:sz w:val="24"/>
        </w:rPr>
      </w:pPr>
    </w:p>
    <w:p>
      <w:pPr>
        <w:pStyle w:val="20"/>
        <w:rPr>
          <w:rFonts w:ascii="宋体" w:hAnsi="宋体" w:cs="宋体"/>
        </w:rPr>
      </w:pPr>
    </w:p>
    <w:p>
      <w:pPr>
        <w:pStyle w:val="8"/>
        <w:rPr>
          <w:rFonts w:hAnsi="宋体" w:cs="宋体"/>
          <w:sz w:val="24"/>
        </w:rPr>
      </w:pPr>
    </w:p>
    <w:p>
      <w:pPr>
        <w:rPr>
          <w:rFonts w:ascii="宋体" w:hAnsi="宋体" w:cs="宋体"/>
          <w:sz w:val="24"/>
        </w:rPr>
      </w:pPr>
    </w:p>
    <w:p>
      <w:pPr>
        <w:pStyle w:val="20"/>
        <w:rPr>
          <w:rFonts w:ascii="宋体" w:hAnsi="宋体" w:cs="宋体"/>
        </w:rPr>
      </w:pPr>
    </w:p>
    <w:p>
      <w:pPr>
        <w:pStyle w:val="8"/>
        <w:rPr>
          <w:rFonts w:hAnsi="宋体" w:cs="宋体"/>
          <w:sz w:val="24"/>
        </w:rPr>
      </w:pPr>
    </w:p>
    <w:p>
      <w:pPr>
        <w:rPr>
          <w:rFonts w:ascii="宋体" w:hAnsi="宋体" w:cs="宋体"/>
          <w:sz w:val="24"/>
        </w:rPr>
      </w:pPr>
    </w:p>
    <w:p>
      <w:pPr>
        <w:pStyle w:val="20"/>
        <w:rPr>
          <w:rFonts w:ascii="宋体" w:hAnsi="宋体" w:cs="宋体"/>
        </w:rPr>
      </w:pPr>
    </w:p>
    <w:p>
      <w:pPr>
        <w:pStyle w:val="8"/>
        <w:rPr>
          <w:rFonts w:hAnsi="宋体" w:cs="宋体"/>
          <w:sz w:val="24"/>
        </w:rPr>
      </w:pPr>
    </w:p>
    <w:p>
      <w:pPr>
        <w:rPr>
          <w:rFonts w:ascii="宋体" w:hAnsi="宋体" w:cs="宋体"/>
          <w:sz w:val="24"/>
        </w:rPr>
      </w:pPr>
    </w:p>
    <w:p>
      <w:pPr>
        <w:pStyle w:val="20"/>
        <w:rPr>
          <w:rFonts w:ascii="宋体" w:hAnsi="宋体" w:cs="宋体"/>
        </w:rPr>
      </w:pPr>
    </w:p>
    <w:p>
      <w:pPr>
        <w:pStyle w:val="8"/>
      </w:pPr>
    </w:p>
    <w:p>
      <w:pPr>
        <w:pStyle w:val="20"/>
        <w:rPr>
          <w:rFonts w:ascii="宋体" w:hAnsi="宋体" w:cs="宋体"/>
        </w:rPr>
      </w:pPr>
    </w:p>
    <w:p>
      <w:pPr>
        <w:pStyle w:val="8"/>
        <w:rPr>
          <w:rFonts w:hAnsi="宋体" w:cs="宋体"/>
          <w:sz w:val="24"/>
        </w:rPr>
      </w:pPr>
    </w:p>
    <w:p>
      <w:pPr>
        <w:rPr>
          <w:rFonts w:ascii="宋体" w:hAnsi="宋体" w:cs="宋体"/>
          <w:sz w:val="24"/>
        </w:rPr>
      </w:pPr>
    </w:p>
    <w:p>
      <w:pPr>
        <w:pStyle w:val="2"/>
      </w:pPr>
    </w:p>
    <w:p>
      <w:pPr>
        <w:spacing w:line="360" w:lineRule="auto"/>
        <w:ind w:right="754" w:firstLine="480" w:firstLineChars="200"/>
        <w:jc w:val="left"/>
        <w:rPr>
          <w:rFonts w:ascii="宋体" w:hAnsi="宋体" w:cs="宋体"/>
          <w:sz w:val="24"/>
          <w:szCs w:val="24"/>
        </w:rPr>
      </w:pPr>
      <w:r>
        <w:rPr>
          <w:rFonts w:hint="eastAsia" w:ascii="宋体" w:hAnsi="宋体" w:cs="宋体"/>
          <w:sz w:val="24"/>
          <w:szCs w:val="24"/>
        </w:rPr>
        <w:t>合同编号：</w:t>
      </w:r>
    </w:p>
    <w:p>
      <w:pPr>
        <w:rPr>
          <w:rFonts w:ascii="Calibri" w:hAnsi="Calibri" w:eastAsia="宋体" w:cs="Times New Roman"/>
          <w:szCs w:val="21"/>
        </w:rPr>
      </w:pP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jc w:val="center"/>
        <w:rPr>
          <w:rFonts w:ascii="Calibri" w:hAnsi="Calibri" w:eastAsia="宋体" w:cs="Times New Roman"/>
          <w:b/>
          <w:sz w:val="44"/>
          <w:szCs w:val="44"/>
        </w:rPr>
      </w:pPr>
      <w:r>
        <w:rPr>
          <w:rFonts w:ascii="Calibri" w:hAnsi="Calibri" w:eastAsia="宋体" w:cs="Times New Roman"/>
          <w:b/>
          <w:sz w:val="44"/>
          <w:szCs w:val="44"/>
          <w:lang w:bidi="ar"/>
        </w:rPr>
        <w:t xml:space="preserve"> </w:t>
      </w:r>
    </w:p>
    <w:p>
      <w:pPr>
        <w:spacing w:line="360" w:lineRule="auto"/>
        <w:jc w:val="center"/>
        <w:rPr>
          <w:rFonts w:ascii="Calibri" w:hAnsi="Calibri" w:eastAsia="仿宋" w:cs="Times New Roman"/>
          <w:b/>
          <w:sz w:val="48"/>
          <w:szCs w:val="48"/>
        </w:rPr>
      </w:pPr>
      <w:r>
        <w:rPr>
          <w:rFonts w:ascii="仿宋" w:hAnsi="仿宋" w:eastAsia="仿宋" w:cs="仿宋"/>
          <w:b/>
          <w:sz w:val="48"/>
          <w:szCs w:val="48"/>
          <w:lang w:bidi="ar"/>
        </w:rPr>
        <w:t>技术服务合同</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lang w:bidi="ar"/>
        </w:rPr>
        <w:t xml:space="preserve"> </w:t>
      </w:r>
    </w:p>
    <w:p>
      <w:pPr>
        <w:spacing w:line="360" w:lineRule="auto"/>
        <w:ind w:left="2240" w:leftChars="400" w:hanging="1400" w:hangingChars="500"/>
        <w:jc w:val="left"/>
        <w:rPr>
          <w:rFonts w:ascii="Calibri" w:hAnsi="Calibri" w:eastAsia="宋体" w:cs="Times New Roman"/>
          <w:sz w:val="28"/>
          <w:szCs w:val="28"/>
        </w:rPr>
      </w:pPr>
      <w:r>
        <w:rPr>
          <w:rFonts w:hint="eastAsia" w:ascii="宋体" w:hAnsi="宋体" w:eastAsia="宋体" w:cs="宋体"/>
          <w:sz w:val="28"/>
          <w:szCs w:val="28"/>
          <w:lang w:bidi="ar"/>
        </w:rPr>
        <w:t>项目名称：</w:t>
      </w:r>
      <w:r>
        <w:rPr>
          <w:rFonts w:ascii="宋体" w:hAnsi="宋体" w:eastAsia="宋体" w:cs="宋体"/>
          <w:sz w:val="28"/>
          <w:szCs w:val="28"/>
          <w:lang w:bidi="ar"/>
        </w:rPr>
        <w:t>六景火车站综合交通枢纽配套一期工程水土保持方案编制服务项目</w:t>
      </w:r>
    </w:p>
    <w:p>
      <w:pPr>
        <w:spacing w:line="360" w:lineRule="auto"/>
        <w:ind w:firstLine="840" w:firstLineChars="300"/>
        <w:rPr>
          <w:rFonts w:ascii="Calibri" w:hAnsi="Calibri" w:eastAsia="宋体" w:cs="Times New Roman"/>
          <w:sz w:val="28"/>
          <w:szCs w:val="28"/>
        </w:rPr>
      </w:pPr>
      <w:r>
        <w:rPr>
          <w:rFonts w:hint="eastAsia" w:ascii="宋体" w:hAnsi="宋体" w:eastAsia="宋体" w:cs="宋体"/>
          <w:sz w:val="28"/>
          <w:szCs w:val="28"/>
          <w:lang w:bidi="ar"/>
        </w:rPr>
        <w:t>委托方（甲方）：南宁铁路枢纽投资有限公司</w:t>
      </w:r>
    </w:p>
    <w:p>
      <w:pPr>
        <w:spacing w:line="360" w:lineRule="auto"/>
        <w:ind w:firstLine="840" w:firstLineChars="300"/>
        <w:rPr>
          <w:rFonts w:ascii="Calibri" w:hAnsi="Calibri" w:eastAsia="宋体" w:cs="Times New Roman"/>
          <w:sz w:val="28"/>
          <w:szCs w:val="28"/>
        </w:rPr>
      </w:pPr>
      <w:r>
        <w:rPr>
          <w:rFonts w:hint="eastAsia" w:ascii="宋体" w:hAnsi="宋体" w:eastAsia="宋体" w:cs="宋体"/>
          <w:sz w:val="28"/>
          <w:szCs w:val="28"/>
          <w:lang w:bidi="ar"/>
        </w:rPr>
        <w:t>受托方（乙方）：</w:t>
      </w:r>
    </w:p>
    <w:p>
      <w:pPr>
        <w:spacing w:line="360" w:lineRule="auto"/>
        <w:ind w:firstLine="840" w:firstLineChars="300"/>
        <w:rPr>
          <w:rFonts w:ascii="Calibri" w:hAnsi="Calibri" w:eastAsia="宋体" w:cs="Times New Roman"/>
          <w:sz w:val="28"/>
          <w:szCs w:val="28"/>
        </w:rPr>
      </w:pPr>
      <w:r>
        <w:rPr>
          <w:rFonts w:hint="eastAsia" w:ascii="宋体" w:hAnsi="宋体" w:eastAsia="宋体" w:cs="宋体"/>
          <w:sz w:val="28"/>
          <w:szCs w:val="28"/>
          <w:lang w:bidi="ar"/>
        </w:rPr>
        <w:t>签订时间：</w:t>
      </w:r>
      <w:r>
        <w:rPr>
          <w:rFonts w:hint="eastAsia" w:ascii="Calibri" w:hAnsi="Calibri" w:eastAsia="宋体" w:cs="Times New Roman"/>
          <w:sz w:val="28"/>
          <w:szCs w:val="28"/>
          <w:lang w:bidi="ar"/>
        </w:rPr>
        <w:t xml:space="preserve">  </w:t>
      </w:r>
      <w:r>
        <w:rPr>
          <w:rFonts w:hint="eastAsia" w:ascii="宋体" w:hAnsi="宋体" w:eastAsia="宋体" w:cs="宋体"/>
          <w:sz w:val="28"/>
          <w:szCs w:val="28"/>
          <w:lang w:bidi="ar"/>
        </w:rPr>
        <w:t>年</w:t>
      </w:r>
      <w:r>
        <w:rPr>
          <w:rFonts w:hint="eastAsia" w:ascii="Calibri" w:hAnsi="Calibri" w:eastAsia="宋体" w:cs="Times New Roman"/>
          <w:sz w:val="28"/>
          <w:szCs w:val="28"/>
          <w:lang w:bidi="ar"/>
        </w:rPr>
        <w:t xml:space="preserve">  </w:t>
      </w:r>
      <w:r>
        <w:rPr>
          <w:rFonts w:hint="eastAsia" w:ascii="宋体" w:hAnsi="宋体" w:eastAsia="宋体" w:cs="宋体"/>
          <w:sz w:val="28"/>
          <w:szCs w:val="28"/>
          <w:lang w:bidi="ar"/>
        </w:rPr>
        <w:t>月</w:t>
      </w:r>
    </w:p>
    <w:p>
      <w:pPr>
        <w:pStyle w:val="21"/>
        <w:adjustRightInd w:val="0"/>
        <w:snapToGrid w:val="0"/>
        <w:spacing w:line="360" w:lineRule="auto"/>
        <w:ind w:firstLine="560" w:firstLineChars="200"/>
        <w:rPr>
          <w:rFonts w:hAnsi="宋体"/>
          <w:b/>
          <w:sz w:val="28"/>
          <w:szCs w:val="28"/>
        </w:rPr>
      </w:pPr>
      <w:bookmarkStart w:id="153" w:name="EB959a0cec904a4675a610b8ff15efe337"/>
    </w:p>
    <w:p>
      <w:pPr>
        <w:spacing w:line="360" w:lineRule="auto"/>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bidi="ar"/>
        </w:rPr>
        <w:t>合同条款</w:t>
      </w:r>
    </w:p>
    <w:p>
      <w:pPr>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bidi="ar"/>
        </w:rPr>
        <w:t>委托方（甲方）：南宁铁路枢纽投资有限公司</w:t>
      </w:r>
    </w:p>
    <w:p>
      <w:pPr>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bidi="ar"/>
        </w:rPr>
        <w:t>受托方（乙方）：</w:t>
      </w:r>
    </w:p>
    <w:p>
      <w:pPr>
        <w:spacing w:line="360" w:lineRule="auto"/>
        <w:ind w:right="-94"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bidi="ar"/>
        </w:rPr>
        <w:t>依照《中华人民共和国民法典》及有关法律、法规，遵循平等、自愿、公平和诚实信用的原则，甲乙双方经友好协商，就</w:t>
      </w:r>
      <w:r>
        <w:rPr>
          <w:rFonts w:hint="eastAsia" w:asciiTheme="minorEastAsia" w:hAnsiTheme="minorEastAsia" w:eastAsiaTheme="minorEastAsia" w:cstheme="minorEastAsia"/>
          <w:sz w:val="28"/>
          <w:szCs w:val="28"/>
          <w:u w:val="single"/>
          <w:lang w:bidi="ar"/>
        </w:rPr>
        <w:t>六景火车站综合交通枢纽配套一期工程水土保持方案编制服务项目</w:t>
      </w:r>
      <w:r>
        <w:rPr>
          <w:rFonts w:hint="eastAsia" w:asciiTheme="minorEastAsia" w:hAnsiTheme="minorEastAsia" w:eastAsiaTheme="minorEastAsia" w:cstheme="minorEastAsia"/>
          <w:sz w:val="28"/>
          <w:szCs w:val="28"/>
          <w:lang w:bidi="ar"/>
        </w:rPr>
        <w:t>（以下简称“本项目”）达成如下协议，订立本合同。</w:t>
      </w:r>
    </w:p>
    <w:p>
      <w:pPr>
        <w:spacing w:before="156" w:beforeLines="50" w:after="156" w:afterLines="50" w:line="360" w:lineRule="auto"/>
        <w:ind w:firstLine="560" w:firstLineChars="200"/>
        <w:rPr>
          <w:rFonts w:hint="eastAsia" w:asciiTheme="minorEastAsia" w:hAnsiTheme="minorEastAsia" w:eastAsiaTheme="minorEastAsia" w:cstheme="minorEastAsia"/>
          <w:b/>
          <w:sz w:val="28"/>
          <w:szCs w:val="28"/>
        </w:rPr>
      </w:pPr>
      <w:bookmarkStart w:id="154" w:name="_Toc349554752"/>
      <w:r>
        <w:rPr>
          <w:rFonts w:hint="eastAsia" w:asciiTheme="minorEastAsia" w:hAnsiTheme="minorEastAsia" w:eastAsiaTheme="minorEastAsia" w:cstheme="minorEastAsia"/>
          <w:b/>
          <w:sz w:val="28"/>
          <w:szCs w:val="28"/>
        </w:rPr>
        <w:t>一、项目名称</w:t>
      </w:r>
    </w:p>
    <w:p>
      <w:pPr>
        <w:spacing w:line="360" w:lineRule="auto"/>
        <w:ind w:firstLine="560" w:firstLineChars="200"/>
        <w:rPr>
          <w:rFonts w:hint="eastAsia" w:asciiTheme="minorEastAsia" w:hAnsiTheme="minorEastAsia" w:cstheme="minorEastAsia"/>
          <w:sz w:val="28"/>
          <w:szCs w:val="28"/>
          <w:highlight w:val="none"/>
        </w:rPr>
      </w:pPr>
      <w:r>
        <w:rPr>
          <w:rFonts w:hint="eastAsia" w:asciiTheme="minorEastAsia" w:hAnsiTheme="minorEastAsia" w:eastAsiaTheme="minorEastAsia" w:cstheme="minorEastAsia"/>
          <w:sz w:val="28"/>
          <w:szCs w:val="28"/>
          <w:highlight w:val="none"/>
        </w:rPr>
        <w:t>六景火车站综合交通枢纽配套一期工程（暂定名，最终以立项批复文件为准 ）</w:t>
      </w:r>
      <w:r>
        <w:rPr>
          <w:rFonts w:hint="eastAsia" w:asciiTheme="minorEastAsia" w:hAnsiTheme="minorEastAsia" w:cstheme="minorEastAsia"/>
          <w:sz w:val="28"/>
          <w:szCs w:val="28"/>
          <w:highlight w:val="none"/>
        </w:rPr>
        <w:t>水土保持方案编制服务项目</w:t>
      </w:r>
      <w:r>
        <w:rPr>
          <w:rFonts w:hint="eastAsia" w:asciiTheme="minorEastAsia" w:hAnsiTheme="minorEastAsia" w:eastAsiaTheme="minorEastAsia" w:cstheme="minorEastAsia"/>
          <w:sz w:val="28"/>
          <w:szCs w:val="28"/>
          <w:highlight w:val="none"/>
        </w:rPr>
        <w:t>。</w:t>
      </w:r>
    </w:p>
    <w:p>
      <w:pPr>
        <w:spacing w:before="156" w:beforeLines="50" w:after="156" w:afterLines="50" w:line="360" w:lineRule="auto"/>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 工程概况</w:t>
      </w:r>
    </w:p>
    <w:p>
      <w:pPr>
        <w:spacing w:line="360" w:lineRule="auto"/>
        <w:ind w:firstLine="560" w:firstLineChars="200"/>
        <w:rPr>
          <w:rFonts w:hint="eastAsia"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六景火车站综合交通枢纽配套一期工程建设性质为新建，主要建设内容为站前广场、交通设施场地、以及进出站道路用地；交通设施场地为地面建设，包括社会停车场、非机动车停车场、公交车场、大巴/旅游车场以及出租车场等。项目用地面积约6.5公顷，总投资估算约1.41亿元，最终以工可批复为准。</w:t>
      </w:r>
    </w:p>
    <w:p>
      <w:pPr>
        <w:spacing w:line="360" w:lineRule="auto"/>
        <w:ind w:firstLine="560" w:firstLineChars="200"/>
        <w:rPr>
          <w:rFonts w:hint="eastAsia"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本项目主要为六景火车站综合交通枢纽配套一期工程提供水土保持方案编制服务。</w:t>
      </w:r>
    </w:p>
    <w:p>
      <w:pPr>
        <w:keepNext w:val="0"/>
        <w:keepLines w:val="0"/>
        <w:spacing w:before="156" w:beforeLines="50" w:after="156" w:afterLines="50" w:line="360" w:lineRule="auto"/>
        <w:ind w:firstLine="560" w:firstLineChars="200"/>
        <w:outlineLvl w:val="9"/>
        <w:rPr>
          <w:rFonts w:hint="eastAsia" w:asciiTheme="minorEastAsia" w:hAnsiTheme="minorEastAsia" w:eastAsiaTheme="minorEastAsia" w:cstheme="minorEastAsia"/>
          <w:b/>
          <w:bCs w:val="0"/>
          <w:sz w:val="28"/>
          <w:szCs w:val="28"/>
        </w:rPr>
      </w:pPr>
      <w:bookmarkStart w:id="155" w:name="_Toc11331"/>
      <w:bookmarkStart w:id="156" w:name="_Toc25815"/>
      <w:bookmarkStart w:id="157" w:name="_Toc19076"/>
      <w:bookmarkStart w:id="158" w:name="_Toc25059"/>
      <w:r>
        <w:rPr>
          <w:rFonts w:hint="eastAsia" w:asciiTheme="minorEastAsia" w:hAnsiTheme="minorEastAsia" w:eastAsiaTheme="minorEastAsia" w:cstheme="minorEastAsia"/>
          <w:b/>
          <w:bCs w:val="0"/>
          <w:sz w:val="28"/>
          <w:szCs w:val="28"/>
        </w:rPr>
        <w:t>三、合同文件组成及优先次序：</w:t>
      </w:r>
      <w:bookmarkEnd w:id="155"/>
      <w:bookmarkEnd w:id="156"/>
      <w:bookmarkEnd w:id="157"/>
      <w:bookmarkEnd w:id="158"/>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1、合同正文；</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2、比选过程中的澄清文件和补充材料；</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3、中选通知书；</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4、比选申请文件中的比选申请函、报价表； </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5、任务大纲（如有）；</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6、合同附件（银行履约担保、廉政合同、安全质量责任书）（如有）；</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7、比选申请文件（除比选申请函、报价表）；（另册提供）</w:t>
      </w:r>
    </w:p>
    <w:p>
      <w:pPr>
        <w:spacing w:before="0" w:beforeLines="-2147483648" w:after="0" w:afterLines="-2147483648" w:line="360" w:lineRule="auto"/>
        <w:ind w:firstLine="560"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上述文件应认为是互为补充和解释的，如有歧义或互相矛盾之处，以上述所列顺序在前的为准。对于同一类合同文件，以其最新版本或最新颁发者为准。</w:t>
      </w:r>
    </w:p>
    <w:p>
      <w:pPr>
        <w:spacing w:before="156" w:beforeLines="50" w:after="156" w:afterLines="50" w:line="360" w:lineRule="auto"/>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四、 </w:t>
      </w:r>
      <w:bookmarkEnd w:id="154"/>
      <w:r>
        <w:rPr>
          <w:rFonts w:hint="eastAsia" w:asciiTheme="minorEastAsia" w:hAnsiTheme="minorEastAsia" w:eastAsiaTheme="minorEastAsia" w:cstheme="minorEastAsia"/>
          <w:b/>
          <w:sz w:val="28"/>
          <w:szCs w:val="28"/>
        </w:rPr>
        <w:t>工作的内容、要求</w:t>
      </w:r>
    </w:p>
    <w:p>
      <w:pPr>
        <w:spacing w:after="100"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工作内容</w:t>
      </w:r>
      <w:r>
        <w:rPr>
          <w:rFonts w:hint="eastAsia" w:asciiTheme="minorEastAsia" w:hAnsiTheme="minorEastAsia" w:cstheme="minorEastAsia"/>
          <w:sz w:val="28"/>
          <w:szCs w:val="28"/>
          <w:highlight w:val="none"/>
        </w:rPr>
        <w:t>、要求</w:t>
      </w:r>
      <w:r>
        <w:rPr>
          <w:rFonts w:hint="eastAsia" w:asciiTheme="minorEastAsia" w:hAnsiTheme="minorEastAsia" w:cstheme="minorEastAsia"/>
          <w:sz w:val="28"/>
          <w:szCs w:val="28"/>
        </w:rPr>
        <w:t>包括但不限于：</w:t>
      </w:r>
    </w:p>
    <w:p>
      <w:pPr>
        <w:numPr>
          <w:ilvl w:val="0"/>
          <w:numId w:val="3"/>
        </w:numPr>
        <w:spacing w:after="100"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依据相关文件要求，开展六景火车站综合交通枢纽配套一期工程水土保持方案编制工作，并通过评审；</w:t>
      </w:r>
    </w:p>
    <w:p>
      <w:pPr>
        <w:numPr>
          <w:ilvl w:val="0"/>
          <w:numId w:val="3"/>
        </w:numPr>
        <w:spacing w:after="100"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协助甲方编制相关申请材料，负责将申请材料报送水利行政主管部门，协调水土保持方案审批过程中需要解决的相关问题，依据《生产建设项目水土保持技术标准》（GB50433-2018）有关要求，完成六景火车站综合交通枢纽配套一期工程水土保持方案编制工作，并协助甲方获取水利行政主管部门的批复。</w:t>
      </w:r>
    </w:p>
    <w:p>
      <w:pPr>
        <w:keepNext w:val="0"/>
        <w:keepLines w:val="0"/>
        <w:spacing w:before="156" w:beforeLines="50" w:after="156" w:afterLines="50" w:line="360" w:lineRule="auto"/>
        <w:ind w:firstLine="560" w:firstLineChars="200"/>
        <w:outlineLvl w:val="9"/>
        <w:rPr>
          <w:rFonts w:hint="eastAsia" w:asciiTheme="minorEastAsia" w:hAnsiTheme="minorEastAsia" w:eastAsiaTheme="minorEastAsia" w:cstheme="minorEastAsia"/>
          <w:b/>
          <w:bCs w:val="0"/>
          <w:sz w:val="28"/>
          <w:szCs w:val="28"/>
        </w:rPr>
      </w:pPr>
      <w:bookmarkStart w:id="159" w:name="_Toc9419"/>
      <w:bookmarkStart w:id="160" w:name="_Toc8967"/>
      <w:bookmarkStart w:id="161" w:name="_Toc27897"/>
      <w:bookmarkStart w:id="162" w:name="_Toc20626"/>
      <w:bookmarkStart w:id="163" w:name="_Toc4967"/>
      <w:bookmarkStart w:id="164" w:name="_Toc18551"/>
      <w:bookmarkStart w:id="165" w:name="_Toc26723"/>
      <w:bookmarkStart w:id="166" w:name="_Toc6647"/>
      <w:r>
        <w:rPr>
          <w:rFonts w:hint="eastAsia" w:asciiTheme="minorEastAsia" w:hAnsiTheme="minorEastAsia" w:eastAsiaTheme="minorEastAsia" w:cstheme="minorEastAsia"/>
          <w:b/>
          <w:bCs w:val="0"/>
          <w:sz w:val="28"/>
          <w:szCs w:val="28"/>
        </w:rPr>
        <w:t>五、合同费用</w:t>
      </w:r>
      <w:bookmarkEnd w:id="159"/>
      <w:bookmarkEnd w:id="160"/>
      <w:bookmarkEnd w:id="161"/>
      <w:bookmarkEnd w:id="162"/>
      <w:bookmarkEnd w:id="163"/>
      <w:bookmarkEnd w:id="164"/>
      <w:bookmarkEnd w:id="165"/>
      <w:bookmarkEnd w:id="166"/>
      <w:r>
        <w:rPr>
          <w:rFonts w:hint="eastAsia" w:asciiTheme="minorEastAsia" w:hAnsiTheme="minorEastAsia" w:eastAsiaTheme="minorEastAsia" w:cstheme="minorEastAsia"/>
          <w:b/>
          <w:sz w:val="28"/>
          <w:szCs w:val="28"/>
        </w:rPr>
        <w:t>和支付方式</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5.1合同价款</w:t>
      </w:r>
    </w:p>
    <w:p>
      <w:pPr>
        <w:spacing w:line="360" w:lineRule="auto"/>
        <w:ind w:firstLine="560"/>
        <w:rPr>
          <w:rFonts w:hint="eastAsia" w:asciiTheme="minorEastAsia" w:hAnsiTheme="minorEastAsia" w:cstheme="minorEastAsia"/>
          <w:b/>
          <w:bCs/>
          <w:sz w:val="28"/>
          <w:szCs w:val="28"/>
        </w:rPr>
      </w:pPr>
      <w:r>
        <w:rPr>
          <w:rFonts w:hint="eastAsia" w:asciiTheme="minorEastAsia" w:hAnsiTheme="minorEastAsia" w:cstheme="minorEastAsia"/>
          <w:sz w:val="28"/>
          <w:szCs w:val="28"/>
        </w:rPr>
        <w:t>本项目合同暂定总价（含税）为：    元（大写：    元）。其中不含税金额为￥     元，增值税税率为     ，增值税税额为￥     元。该费用包含编制费、咨询费、人员差旅费、调研费、资料搜集费、文印费、税费以及评审费等完成本合同内容所需的一切费用。</w:t>
      </w:r>
      <w:r>
        <w:rPr>
          <w:rFonts w:hint="eastAsia" w:asciiTheme="minorEastAsia" w:hAnsiTheme="minorEastAsia" w:cstheme="minorEastAsia"/>
          <w:b/>
          <w:bCs/>
          <w:sz w:val="28"/>
          <w:szCs w:val="28"/>
        </w:rPr>
        <w:t>在合同履约过程中，本合同税率将遵照国家现行税法执行，随国家税率调整而调整。但合同不含税价格不因国家税率调整而调整。</w:t>
      </w:r>
    </w:p>
    <w:p>
      <w:pPr>
        <w:spacing w:before="156" w:beforeLines="50" w:after="156" w:afterLines="50" w:line="360" w:lineRule="auto"/>
        <w:ind w:firstLine="560" w:firstLineChars="200"/>
        <w:rPr>
          <w:rFonts w:hint="eastAsia" w:asciiTheme="minorEastAsia" w:hAnsiTheme="minorEastAsia" w:eastAsiaTheme="minorEastAsia" w:cstheme="minorEastAsia"/>
          <w:b/>
          <w:sz w:val="28"/>
          <w:szCs w:val="28"/>
        </w:rPr>
      </w:pPr>
      <w:bookmarkStart w:id="167" w:name="_Toc32144"/>
      <w:bookmarkStart w:id="168" w:name="_Toc10004"/>
      <w:bookmarkStart w:id="169" w:name="_Toc22041"/>
      <w:bookmarkStart w:id="170" w:name="_Toc5191"/>
      <w:bookmarkStart w:id="171" w:name="_Toc3755"/>
      <w:bookmarkStart w:id="172" w:name="_Toc7610"/>
      <w:bookmarkStart w:id="173" w:name="_Toc19853"/>
      <w:r>
        <w:rPr>
          <w:rFonts w:hint="eastAsia" w:asciiTheme="minorEastAsia" w:hAnsiTheme="minorEastAsia" w:cstheme="minorEastAsia"/>
          <w:sz w:val="28"/>
          <w:szCs w:val="28"/>
        </w:rPr>
        <w:t>5.2</w:t>
      </w:r>
      <w:r>
        <w:rPr>
          <w:rFonts w:hint="eastAsia" w:asciiTheme="minorEastAsia" w:hAnsiTheme="minorEastAsia" w:eastAsiaTheme="minorEastAsia" w:cstheme="minorEastAsia"/>
          <w:b/>
          <w:sz w:val="28"/>
          <w:szCs w:val="28"/>
        </w:rPr>
        <w:t>支付方式</w:t>
      </w:r>
      <w:bookmarkEnd w:id="167"/>
      <w:bookmarkEnd w:id="168"/>
      <w:bookmarkEnd w:id="169"/>
      <w:bookmarkEnd w:id="170"/>
      <w:bookmarkEnd w:id="171"/>
      <w:bookmarkEnd w:id="172"/>
      <w:bookmarkEnd w:id="173"/>
    </w:p>
    <w:p>
      <w:pPr>
        <w:spacing w:line="360" w:lineRule="auto"/>
        <w:ind w:firstLine="560"/>
        <w:rPr>
          <w:rFonts w:hint="eastAsia" w:asciiTheme="minorEastAsia" w:hAnsiTheme="minorEastAsia" w:cstheme="minorEastAsia"/>
          <w:sz w:val="28"/>
          <w:szCs w:val="28"/>
          <w:highlight w:val="none"/>
        </w:rPr>
      </w:pPr>
      <w:r>
        <w:rPr>
          <w:rFonts w:hint="eastAsia" w:asciiTheme="minorEastAsia" w:hAnsiTheme="minorEastAsia" w:cstheme="minorEastAsia"/>
          <w:sz w:val="28"/>
          <w:szCs w:val="28"/>
        </w:rPr>
        <w:t>5.2.</w:t>
      </w:r>
      <w:r>
        <w:rPr>
          <w:rFonts w:hint="eastAsia" w:asciiTheme="minorEastAsia" w:hAnsiTheme="minorEastAsia" w:cstheme="minorEastAsia"/>
          <w:sz w:val="28"/>
          <w:szCs w:val="28"/>
          <w:highlight w:val="none"/>
        </w:rPr>
        <w:t>1水土保持方案报告获得政府相关主管部门批复后,支付至合同总价（含税）的80%；</w:t>
      </w:r>
    </w:p>
    <w:p>
      <w:pPr>
        <w:spacing w:line="360" w:lineRule="auto"/>
        <w:ind w:firstLine="560"/>
        <w:rPr>
          <w:rFonts w:hint="eastAsia" w:asciiTheme="minorEastAsia" w:hAnsiTheme="minorEastAsia" w:cstheme="minorEastAsia"/>
          <w:sz w:val="28"/>
          <w:szCs w:val="28"/>
          <w:highlight w:val="none"/>
        </w:rPr>
      </w:pPr>
      <w:r>
        <w:rPr>
          <w:rFonts w:hint="eastAsia" w:asciiTheme="minorEastAsia" w:hAnsiTheme="minorEastAsia" w:cstheme="minorEastAsia"/>
          <w:sz w:val="28"/>
          <w:szCs w:val="28"/>
        </w:rPr>
        <w:t>5.2.</w:t>
      </w:r>
      <w:r>
        <w:rPr>
          <w:rFonts w:hint="eastAsia" w:asciiTheme="minorEastAsia" w:hAnsiTheme="minorEastAsia" w:cstheme="minorEastAsia"/>
          <w:sz w:val="28"/>
          <w:szCs w:val="28"/>
          <w:highlight w:val="none"/>
        </w:rPr>
        <w:t>2完成合同结算审定(如需政府相关部门审核的，经政府相关部门审定)后，付清余款。</w:t>
      </w:r>
    </w:p>
    <w:p>
      <w:pPr>
        <w:pStyle w:val="20"/>
        <w:spacing w:line="360" w:lineRule="auto"/>
        <w:ind w:firstLine="560" w:firstLineChars="200"/>
        <w:rPr>
          <w:rFonts w:hint="eastAsia" w:asciiTheme="minorEastAsia" w:hAnsiTheme="minorEastAsia" w:cstheme="minorEastAsia"/>
          <w:bCs w:val="0"/>
          <w:spacing w:val="0"/>
          <w:kern w:val="2"/>
          <w:sz w:val="28"/>
          <w:szCs w:val="28"/>
          <w:highlight w:val="none"/>
        </w:rPr>
      </w:pPr>
      <w:r>
        <w:rPr>
          <w:rFonts w:hint="eastAsia" w:asciiTheme="minorEastAsia" w:hAnsiTheme="minorEastAsia" w:cstheme="minorEastAsia"/>
          <w:bCs w:val="0"/>
          <w:spacing w:val="0"/>
          <w:kern w:val="2"/>
          <w:sz w:val="28"/>
          <w:szCs w:val="28"/>
          <w:highlight w:val="none"/>
        </w:rPr>
        <w:t>达到合同约定的付款条件后，乙方应向甲方递交书面请款报告并提供足额增值税专用发票，否则甲方有权顺延付款时间直至乙方足额开具发票之日止，且甲方无需承担迟延付款的违约责任。</w:t>
      </w:r>
    </w:p>
    <w:p>
      <w:pPr>
        <w:pStyle w:val="20"/>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bCs w:val="0"/>
          <w:spacing w:val="0"/>
          <w:kern w:val="2"/>
          <w:sz w:val="28"/>
          <w:szCs w:val="28"/>
          <w:highlight w:val="none"/>
        </w:rPr>
        <w:t>甲方依据本合同及乙方提交的支付申请向市财政局申请拨款。财政拨款后，甲方于15个工作日内向乙方拨付。</w:t>
      </w:r>
    </w:p>
    <w:p>
      <w:pPr>
        <w:keepNext w:val="0"/>
        <w:keepLines w:val="0"/>
        <w:spacing w:before="156" w:beforeLines="50" w:after="156" w:afterLines="50" w:line="360" w:lineRule="auto"/>
        <w:ind w:firstLine="560" w:firstLineChars="200"/>
        <w:outlineLvl w:val="9"/>
        <w:rPr>
          <w:rFonts w:hint="eastAsia" w:asciiTheme="minorEastAsia" w:hAnsiTheme="minorEastAsia" w:eastAsiaTheme="minorEastAsia" w:cstheme="minorEastAsia"/>
          <w:b/>
          <w:bCs w:val="0"/>
          <w:sz w:val="28"/>
          <w:szCs w:val="28"/>
        </w:rPr>
      </w:pPr>
      <w:bookmarkStart w:id="174" w:name="_Toc5834"/>
      <w:bookmarkStart w:id="175" w:name="_Toc6530"/>
      <w:bookmarkStart w:id="176" w:name="_Toc20747"/>
      <w:bookmarkStart w:id="177" w:name="_Toc21333"/>
      <w:bookmarkStart w:id="178" w:name="_Toc13499"/>
      <w:bookmarkStart w:id="179" w:name="_Toc15454"/>
      <w:bookmarkStart w:id="180" w:name="_Toc8691"/>
      <w:bookmarkStart w:id="181" w:name="_Toc12000"/>
      <w:r>
        <w:rPr>
          <w:rFonts w:hint="eastAsia" w:asciiTheme="minorEastAsia" w:hAnsiTheme="minorEastAsia" w:eastAsiaTheme="minorEastAsia" w:cstheme="minorEastAsia"/>
          <w:b/>
          <w:bCs w:val="0"/>
          <w:sz w:val="28"/>
          <w:szCs w:val="28"/>
        </w:rPr>
        <w:t>六、成果提交要求</w:t>
      </w:r>
      <w:bookmarkEnd w:id="174"/>
      <w:bookmarkEnd w:id="175"/>
      <w:bookmarkEnd w:id="176"/>
      <w:bookmarkEnd w:id="177"/>
      <w:bookmarkEnd w:id="178"/>
      <w:bookmarkEnd w:id="179"/>
      <w:bookmarkEnd w:id="180"/>
      <w:bookmarkEnd w:id="181"/>
    </w:p>
    <w:p>
      <w:pPr>
        <w:spacing w:line="360" w:lineRule="auto"/>
        <w:ind w:firstLine="560"/>
        <w:rPr>
          <w:rFonts w:hint="eastAsia" w:asciiTheme="minorEastAsia" w:hAnsiTheme="minorEastAsia" w:cstheme="minorEastAsia"/>
          <w:sz w:val="28"/>
          <w:szCs w:val="28"/>
        </w:rPr>
      </w:pPr>
      <w:bookmarkStart w:id="182" w:name="_Toc20849"/>
      <w:bookmarkStart w:id="183" w:name="_Toc39"/>
      <w:bookmarkStart w:id="184" w:name="_Toc4614"/>
      <w:bookmarkStart w:id="185" w:name="_Toc30184"/>
      <w:bookmarkStart w:id="186" w:name="_Toc19026"/>
      <w:bookmarkStart w:id="187" w:name="_Toc28643"/>
      <w:bookmarkStart w:id="188" w:name="_Toc8880"/>
      <w:r>
        <w:rPr>
          <w:rFonts w:hint="eastAsia" w:asciiTheme="minorEastAsia" w:hAnsiTheme="minorEastAsia" w:cstheme="minorEastAsia"/>
          <w:sz w:val="28"/>
          <w:szCs w:val="28"/>
        </w:rPr>
        <w:t>6.1乙方须在本项目通过审查后，将所有成果资料归档文件和相应的电子文件按照甲方管理办法提供归档文件。</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6.2文字、表格编辑软件采用Microsoft office软件，进度横道图采用Microsoft Project，绘图软件采用AutoCAD。</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6.3报告送审稿提交份数：纸质文件根据评审需要而定，含可编辑电子文档1份。</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6.4最终报告提交份数：纸质文件一式10份，含可编辑电子文档1份。</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6.5提交地点：南宁市。</w:t>
      </w:r>
    </w:p>
    <w:p>
      <w:pPr>
        <w:spacing w:line="360"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6.6提交方式：由乙方送达甲方，并以签收为准。</w:t>
      </w:r>
    </w:p>
    <w:p>
      <w:pPr>
        <w:keepNext w:val="0"/>
        <w:keepLines w:val="0"/>
        <w:spacing w:before="156" w:beforeLines="50" w:after="156" w:afterLines="50" w:line="360" w:lineRule="auto"/>
        <w:ind w:firstLine="560" w:firstLineChars="200"/>
        <w:outlineLvl w:val="9"/>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七、验收要求</w:t>
      </w:r>
      <w:bookmarkEnd w:id="182"/>
      <w:bookmarkEnd w:id="183"/>
      <w:bookmarkEnd w:id="184"/>
      <w:bookmarkEnd w:id="185"/>
      <w:bookmarkEnd w:id="186"/>
      <w:bookmarkEnd w:id="187"/>
      <w:bookmarkEnd w:id="188"/>
    </w:p>
    <w:p>
      <w:pPr>
        <w:spacing w:before="0" w:beforeLines="-2147483648" w:after="0" w:afterLines="-2147483648" w:line="360" w:lineRule="auto"/>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cstheme="minorEastAsia"/>
          <w:sz w:val="28"/>
          <w:szCs w:val="28"/>
        </w:rPr>
        <w:t>提供水土保持方案报告，并获得政府相关主管部门批复为验收证明。</w:t>
      </w:r>
    </w:p>
    <w:p>
      <w:pPr>
        <w:keepNext w:val="0"/>
        <w:keepLines w:val="0"/>
        <w:spacing w:before="156" w:beforeLines="50" w:after="156" w:afterLines="50" w:line="360" w:lineRule="auto"/>
        <w:ind w:firstLine="560" w:firstLineChars="200"/>
        <w:outlineLvl w:val="9"/>
        <w:rPr>
          <w:rFonts w:hint="eastAsia" w:asciiTheme="minorEastAsia" w:hAnsiTheme="minorEastAsia" w:eastAsiaTheme="minorEastAsia" w:cstheme="minorEastAsia"/>
          <w:b/>
          <w:bCs w:val="0"/>
          <w:sz w:val="28"/>
          <w:szCs w:val="28"/>
        </w:rPr>
      </w:pPr>
      <w:bookmarkStart w:id="189" w:name="_Toc7096"/>
      <w:bookmarkStart w:id="190" w:name="_Toc16955"/>
      <w:bookmarkStart w:id="191" w:name="_Toc16783"/>
      <w:bookmarkStart w:id="192" w:name="_Toc24745"/>
      <w:bookmarkStart w:id="193" w:name="_Toc6308"/>
      <w:bookmarkStart w:id="194" w:name="_Toc17998"/>
      <w:bookmarkStart w:id="195" w:name="_Toc28359"/>
      <w:bookmarkStart w:id="196" w:name="_Toc17462"/>
      <w:r>
        <w:rPr>
          <w:rFonts w:hint="eastAsia" w:asciiTheme="minorEastAsia" w:hAnsiTheme="minorEastAsia" w:eastAsiaTheme="minorEastAsia" w:cstheme="minorEastAsia"/>
          <w:b/>
          <w:bCs w:val="0"/>
          <w:sz w:val="28"/>
          <w:szCs w:val="28"/>
        </w:rPr>
        <w:t>八、工期要求</w:t>
      </w:r>
      <w:bookmarkEnd w:id="189"/>
      <w:bookmarkEnd w:id="190"/>
      <w:bookmarkEnd w:id="191"/>
      <w:bookmarkEnd w:id="192"/>
      <w:bookmarkEnd w:id="193"/>
      <w:bookmarkEnd w:id="194"/>
      <w:bookmarkEnd w:id="195"/>
      <w:bookmarkEnd w:id="196"/>
    </w:p>
    <w:p>
      <w:pPr>
        <w:spacing w:after="100"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合同生效且甲方提供相关资料后20天内，乙方完成水土保持方案报告编制，之后20天内完成报批材料提交，具体以甲方要求时间为准。</w:t>
      </w:r>
    </w:p>
    <w:p>
      <w:pPr>
        <w:keepNext w:val="0"/>
        <w:keepLines w:val="0"/>
        <w:spacing w:before="156" w:beforeLines="50" w:after="156" w:afterLines="50" w:line="360" w:lineRule="auto"/>
        <w:ind w:firstLine="560" w:firstLineChars="200"/>
        <w:outlineLvl w:val="9"/>
        <w:rPr>
          <w:rFonts w:hint="eastAsia" w:asciiTheme="minorEastAsia" w:hAnsiTheme="minorEastAsia" w:eastAsiaTheme="minorEastAsia" w:cstheme="minorEastAsia"/>
          <w:b/>
          <w:bCs w:val="0"/>
          <w:sz w:val="28"/>
          <w:szCs w:val="28"/>
        </w:rPr>
      </w:pPr>
      <w:bookmarkStart w:id="197" w:name="_Toc31797"/>
      <w:bookmarkStart w:id="198" w:name="_Toc15051"/>
      <w:bookmarkStart w:id="199" w:name="_Toc21561"/>
      <w:bookmarkStart w:id="200" w:name="_Toc267"/>
      <w:bookmarkStart w:id="201" w:name="_Toc16253"/>
      <w:bookmarkStart w:id="202" w:name="_Toc25425"/>
      <w:bookmarkStart w:id="203" w:name="_Toc17094"/>
      <w:bookmarkStart w:id="204" w:name="_Toc31833"/>
      <w:r>
        <w:rPr>
          <w:rFonts w:hint="eastAsia" w:asciiTheme="minorEastAsia" w:hAnsiTheme="minorEastAsia" w:eastAsiaTheme="minorEastAsia" w:cstheme="minorEastAsia"/>
          <w:b/>
          <w:bCs w:val="0"/>
          <w:sz w:val="28"/>
          <w:szCs w:val="28"/>
        </w:rPr>
        <w:t>九、合同签订地点</w:t>
      </w:r>
      <w:bookmarkEnd w:id="197"/>
      <w:bookmarkEnd w:id="198"/>
      <w:bookmarkEnd w:id="199"/>
      <w:bookmarkEnd w:id="200"/>
      <w:bookmarkEnd w:id="201"/>
      <w:bookmarkEnd w:id="202"/>
      <w:bookmarkEnd w:id="203"/>
    </w:p>
    <w:bookmarkEnd w:id="204"/>
    <w:p>
      <w:pPr>
        <w:spacing w:after="100" w:afterAutospacing="1"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广西南宁市。</w:t>
      </w:r>
    </w:p>
    <w:p>
      <w:pPr>
        <w:keepNext w:val="0"/>
        <w:keepLines w:val="0"/>
        <w:spacing w:before="156" w:beforeLines="50" w:after="156" w:afterLines="50" w:line="360" w:lineRule="auto"/>
        <w:ind w:firstLine="560" w:firstLineChars="200"/>
        <w:outlineLvl w:val="9"/>
        <w:rPr>
          <w:rFonts w:hint="eastAsia" w:asciiTheme="minorEastAsia" w:hAnsiTheme="minorEastAsia" w:eastAsiaTheme="minorEastAsia" w:cstheme="minorEastAsia"/>
          <w:b/>
          <w:bCs w:val="0"/>
          <w:sz w:val="28"/>
          <w:szCs w:val="28"/>
        </w:rPr>
      </w:pPr>
      <w:bookmarkStart w:id="205" w:name="_Toc26028"/>
      <w:bookmarkStart w:id="206" w:name="_Toc15138"/>
      <w:bookmarkStart w:id="207" w:name="_Toc11469"/>
      <w:bookmarkStart w:id="208" w:name="_Toc22973"/>
      <w:r>
        <w:rPr>
          <w:rFonts w:hint="eastAsia" w:asciiTheme="minorEastAsia" w:hAnsiTheme="minorEastAsia" w:eastAsiaTheme="minorEastAsia" w:cstheme="minorEastAsia"/>
          <w:b/>
          <w:bCs w:val="0"/>
          <w:sz w:val="28"/>
          <w:szCs w:val="28"/>
        </w:rPr>
        <w:t>十、</w:t>
      </w:r>
      <w:bookmarkEnd w:id="205"/>
      <w:bookmarkEnd w:id="206"/>
      <w:bookmarkEnd w:id="207"/>
      <w:bookmarkEnd w:id="208"/>
      <w:r>
        <w:rPr>
          <w:rFonts w:hint="eastAsia" w:asciiTheme="minorEastAsia" w:hAnsiTheme="minorEastAsia" w:eastAsiaTheme="minorEastAsia" w:cstheme="minorEastAsia"/>
          <w:b/>
          <w:sz w:val="28"/>
          <w:szCs w:val="28"/>
        </w:rPr>
        <w:t>双方责任、权利、义务</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10.1甲方责任、权利、义务</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10.1.1甲方有权对水土保持方案编制服务项目工作进行总体管理、协调和监督，对提交的成果报告或资料收集成果文件组织审查、验收或协调上报政府有关部门，且有权对编制工作进行过程控制、中间检查。</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10.1.2甲方提供用于本项目的相关基础资料。</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10.1.3甲方有权明确项目各阶段工作节点工期要求。有权监督、检查合同履行情况。有权要求乙方更换、增加项目相关服务人员。</w:t>
      </w:r>
    </w:p>
    <w:p>
      <w:pPr>
        <w:adjustRightInd w:val="0"/>
        <w:snapToGrid w:val="0"/>
        <w:spacing w:before="156" w:beforeLines="50" w:after="156" w:afterLines="50" w:line="360" w:lineRule="auto"/>
        <w:ind w:right="0"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10.1.</w:t>
      </w:r>
      <w:r>
        <w:rPr>
          <w:rFonts w:asciiTheme="minorEastAsia" w:hAnsiTheme="minorEastAsia" w:cstheme="minorEastAsia"/>
          <w:sz w:val="28"/>
          <w:szCs w:val="28"/>
        </w:rPr>
        <w:t>4</w:t>
      </w:r>
      <w:r>
        <w:rPr>
          <w:rFonts w:hint="eastAsia" w:asciiTheme="minorEastAsia" w:hAnsiTheme="minorEastAsia" w:cstheme="minorEastAsia"/>
          <w:sz w:val="28"/>
          <w:szCs w:val="28"/>
        </w:rPr>
        <w:t>甲方应履行按合同第五条规定应付合同价款的支付义务。</w:t>
      </w:r>
    </w:p>
    <w:p>
      <w:pPr>
        <w:adjustRightInd w:val="0"/>
        <w:snapToGrid w:val="0"/>
        <w:spacing w:before="156" w:beforeLines="50" w:after="156" w:afterLines="50"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10.1.</w:t>
      </w:r>
      <w:r>
        <w:rPr>
          <w:rFonts w:asciiTheme="minorEastAsia" w:hAnsiTheme="minorEastAsia" w:cstheme="minorEastAsia"/>
          <w:sz w:val="28"/>
          <w:szCs w:val="28"/>
        </w:rPr>
        <w:t>5</w:t>
      </w:r>
      <w:r>
        <w:rPr>
          <w:rFonts w:hint="eastAsia" w:asciiTheme="minorEastAsia" w:hAnsiTheme="minorEastAsia" w:cstheme="minorEastAsia"/>
          <w:sz w:val="28"/>
          <w:szCs w:val="28"/>
        </w:rPr>
        <w:t>对乙方工作的服务质量进行考核，有权奖励或处罚乙方，考核按甲方相关考核管理制度执行。</w:t>
      </w:r>
    </w:p>
    <w:p>
      <w:pPr>
        <w:snapToGrid w:val="0"/>
        <w:spacing w:before="156" w:beforeLines="50" w:after="156" w:afterLines="50"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10.1.</w:t>
      </w:r>
      <w:r>
        <w:rPr>
          <w:rFonts w:asciiTheme="minorEastAsia" w:hAnsiTheme="minorEastAsia" w:cstheme="minorEastAsia"/>
          <w:sz w:val="28"/>
          <w:szCs w:val="28"/>
        </w:rPr>
        <w:t>6</w:t>
      </w:r>
      <w:r>
        <w:rPr>
          <w:rFonts w:hint="eastAsia" w:asciiTheme="minorEastAsia" w:hAnsiTheme="minorEastAsia" w:cstheme="minorEastAsia"/>
          <w:sz w:val="28"/>
          <w:szCs w:val="28"/>
        </w:rPr>
        <w:t>对乙方投入项目的工作人员到岗情况进行定期和不定期的检查。</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10.2乙方责任、权利、义务</w:t>
      </w:r>
    </w:p>
    <w:p>
      <w:pPr>
        <w:spacing w:line="360" w:lineRule="auto"/>
        <w:ind w:right="-94"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10.2</w:t>
      </w:r>
      <w:r>
        <w:rPr>
          <w:rFonts w:hint="eastAsia" w:asciiTheme="minorEastAsia" w:hAnsiTheme="minorEastAsia" w:eastAsiaTheme="minorEastAsia" w:cstheme="minorEastAsia"/>
          <w:sz w:val="28"/>
          <w:szCs w:val="28"/>
        </w:rPr>
        <w:t>.1负责收集甲方提供的资料以外项目所需的所有资料。</w:t>
      </w:r>
    </w:p>
    <w:p>
      <w:pPr>
        <w:spacing w:line="360" w:lineRule="auto"/>
        <w:ind w:right="-94" w:firstLine="560" w:firstLineChars="0"/>
        <w:jc w:val="left"/>
        <w:rPr>
          <w:rFonts w:asciiTheme="minorEastAsia" w:hAnsiTheme="minorEastAsia" w:eastAsiaTheme="minorEastAsia" w:cstheme="minorEastAsia"/>
          <w:sz w:val="28"/>
          <w:szCs w:val="28"/>
        </w:rPr>
      </w:pPr>
      <w:r>
        <w:rPr>
          <w:rFonts w:hint="eastAsia" w:asciiTheme="minorEastAsia" w:hAnsiTheme="minorEastAsia" w:cstheme="minorEastAsia"/>
          <w:sz w:val="28"/>
          <w:szCs w:val="28"/>
        </w:rPr>
        <w:t>10</w:t>
      </w:r>
      <w:r>
        <w:rPr>
          <w:rFonts w:asciiTheme="minorEastAsia" w:hAnsiTheme="minorEastAsia" w:cstheme="minorEastAsia"/>
          <w:sz w:val="28"/>
          <w:szCs w:val="28"/>
        </w:rPr>
        <w:t>.2</w:t>
      </w:r>
      <w:r>
        <w:rPr>
          <w:rFonts w:asciiTheme="minorEastAsia" w:hAnsiTheme="minorEastAsia" w:eastAsiaTheme="minorEastAsia" w:cstheme="minorEastAsia"/>
          <w:sz w:val="28"/>
          <w:szCs w:val="28"/>
        </w:rPr>
        <w:t>.2负责按合同约定及甲方</w:t>
      </w:r>
      <w:r>
        <w:rPr>
          <w:rFonts w:hint="eastAsia" w:asciiTheme="minorEastAsia" w:hAnsiTheme="minorEastAsia" w:eastAsiaTheme="minorEastAsia" w:cstheme="minorEastAsia"/>
          <w:sz w:val="28"/>
          <w:szCs w:val="28"/>
        </w:rPr>
        <w:t>的</w:t>
      </w:r>
      <w:r>
        <w:rPr>
          <w:rFonts w:asciiTheme="minorEastAsia" w:hAnsiTheme="minorEastAsia" w:eastAsiaTheme="minorEastAsia" w:cstheme="minorEastAsia"/>
          <w:sz w:val="28"/>
          <w:szCs w:val="28"/>
        </w:rPr>
        <w:t>要求</w:t>
      </w:r>
      <w:r>
        <w:rPr>
          <w:rFonts w:hint="eastAsia" w:asciiTheme="minorEastAsia" w:hAnsiTheme="minorEastAsia" w:eastAsiaTheme="minorEastAsia" w:cstheme="minorEastAsia"/>
          <w:kern w:val="0"/>
          <w:sz w:val="28"/>
          <w:szCs w:val="28"/>
        </w:rPr>
        <w:t>（包括但不限于工期、质量等要求）</w:t>
      </w:r>
      <w:r>
        <w:rPr>
          <w:rFonts w:hint="eastAsia" w:asciiTheme="minorEastAsia" w:hAnsiTheme="minorEastAsia" w:eastAsiaTheme="minorEastAsia" w:cstheme="minorEastAsia"/>
          <w:sz w:val="28"/>
          <w:szCs w:val="28"/>
        </w:rPr>
        <w:t>，高质高效地完成</w:t>
      </w:r>
      <w:r>
        <w:rPr>
          <w:rFonts w:hint="eastAsia" w:asciiTheme="minorEastAsia" w:hAnsiTheme="minorEastAsia" w:cstheme="minorEastAsia"/>
          <w:sz w:val="28"/>
          <w:szCs w:val="28"/>
          <w:highlight w:val="none"/>
        </w:rPr>
        <w:t>水土保持方案编制工作</w:t>
      </w:r>
      <w:r>
        <w:rPr>
          <w:rFonts w:hint="eastAsia" w:asciiTheme="minorEastAsia" w:hAnsiTheme="minorEastAsia" w:eastAsiaTheme="minorEastAsia" w:cstheme="minorEastAsia"/>
          <w:sz w:val="28"/>
          <w:szCs w:val="28"/>
        </w:rPr>
        <w:t>，对成果质量负责。</w:t>
      </w:r>
      <w:r>
        <w:rPr>
          <w:rFonts w:hint="eastAsia" w:asciiTheme="minorEastAsia" w:hAnsiTheme="minorEastAsia" w:cstheme="minorEastAsia"/>
          <w:sz w:val="28"/>
          <w:szCs w:val="28"/>
        </w:rPr>
        <w:t>及时回应甲方、审查单位及政府主管部门提出的审查意见，完善成果文件。</w:t>
      </w:r>
    </w:p>
    <w:p>
      <w:pPr>
        <w:spacing w:line="360" w:lineRule="auto"/>
        <w:ind w:right="-94"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10.2.3乙方应根据工作需要配置足够数量的相关专业技术人员并保证相关人员具备从事相关工作所必需的经验与能力，且须对本项目服务质量负责。</w:t>
      </w:r>
    </w:p>
    <w:p>
      <w:pPr>
        <w:spacing w:line="360" w:lineRule="auto"/>
        <w:ind w:right="-94"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10.2</w:t>
      </w:r>
      <w:r>
        <w:rPr>
          <w:rFonts w:hint="eastAsia" w:asciiTheme="minorEastAsia" w:hAnsiTheme="minorEastAsia" w:eastAsiaTheme="minorEastAsia" w:cstheme="minorEastAsia"/>
          <w:sz w:val="28"/>
          <w:szCs w:val="28"/>
        </w:rPr>
        <w:t>.4协助甲方开展各项验收及报批工作。</w:t>
      </w:r>
    </w:p>
    <w:p>
      <w:pPr>
        <w:spacing w:line="360" w:lineRule="auto"/>
        <w:ind w:right="-94"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w:t>
      </w:r>
      <w:r>
        <w:rPr>
          <w:rFonts w:asciiTheme="minorEastAsia" w:hAnsiTheme="minorEastAsia" w:cstheme="minorEastAsia"/>
          <w:sz w:val="28"/>
          <w:szCs w:val="28"/>
        </w:rPr>
        <w:t>.2.5按甲方要求提交全部书面文件和电子文件，并按甲方制定的档案归档要求对项目成果进行移交和归档。</w:t>
      </w:r>
    </w:p>
    <w:p>
      <w:pPr>
        <w:spacing w:line="360" w:lineRule="auto"/>
        <w:ind w:right="-94"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10.2.6乙方不得将本项目转包或分包。</w:t>
      </w:r>
    </w:p>
    <w:p>
      <w:pPr>
        <w:keepNext w:val="0"/>
        <w:keepLines w:val="0"/>
        <w:spacing w:before="156" w:beforeLines="50" w:after="156" w:afterLines="50" w:line="360" w:lineRule="auto"/>
        <w:ind w:firstLine="560" w:firstLineChars="200"/>
        <w:outlineLvl w:val="9"/>
        <w:rPr>
          <w:rFonts w:hint="eastAsia" w:asciiTheme="minorEastAsia" w:hAnsiTheme="minorEastAsia" w:eastAsiaTheme="minorEastAsia" w:cstheme="minorEastAsia"/>
          <w:b/>
          <w:bCs w:val="0"/>
          <w:sz w:val="28"/>
          <w:szCs w:val="28"/>
        </w:rPr>
      </w:pPr>
      <w:bookmarkStart w:id="209" w:name="_Toc15435"/>
      <w:bookmarkStart w:id="210" w:name="_Toc22886"/>
      <w:bookmarkStart w:id="211" w:name="_Toc26979"/>
      <w:bookmarkStart w:id="212" w:name="_Toc19700"/>
      <w:bookmarkStart w:id="213" w:name="_Toc1759"/>
      <w:bookmarkStart w:id="214" w:name="_Toc18409"/>
      <w:bookmarkStart w:id="215" w:name="_Toc1277"/>
      <w:r>
        <w:rPr>
          <w:rFonts w:hint="eastAsia" w:asciiTheme="minorEastAsia" w:hAnsiTheme="minorEastAsia" w:eastAsiaTheme="minorEastAsia" w:cstheme="minorEastAsia"/>
          <w:b/>
          <w:bCs w:val="0"/>
          <w:sz w:val="28"/>
          <w:szCs w:val="28"/>
        </w:rPr>
        <w:t>十</w:t>
      </w: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bCs w:val="0"/>
          <w:sz w:val="28"/>
          <w:szCs w:val="28"/>
        </w:rPr>
        <w:t>、违约责任</w:t>
      </w:r>
      <w:bookmarkEnd w:id="209"/>
      <w:bookmarkEnd w:id="210"/>
      <w:bookmarkEnd w:id="211"/>
      <w:bookmarkEnd w:id="212"/>
      <w:bookmarkEnd w:id="213"/>
      <w:bookmarkEnd w:id="214"/>
      <w:bookmarkEnd w:id="215"/>
    </w:p>
    <w:p>
      <w:pPr>
        <w:spacing w:afterAutospacing="1"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11.1乙方因自身原因逾期交付服务的，乙方应按逾期提供服务总额每日千分之三向甲方支付违约金，由甲方从待付服务费中扣除。因乙方自身原因逾期超过约定日期30天不能提供服务的，甲方可单方解除本合同且不承担违约责任。</w:t>
      </w:r>
    </w:p>
    <w:p>
      <w:pPr>
        <w:spacing w:afterAutospacing="1"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11.2乙方提交的成果文件不符合国家、行业、地方规范、标准规定以及合同约定的，甲方有权拒收，乙方应无条件负责在甲方通知的期限内按相关标准重新提交成果；乙方拒绝在甲方通知的期限内按要求重新提交成果文件或乙方提交的成果文件因研究深度不足、质量不符合相关规范、规定、标准以及合同约定要求，被甲方拒收两次的，甲方单方可解除合同且不承担违约责任。</w:t>
      </w:r>
    </w:p>
    <w:p>
      <w:pPr>
        <w:spacing w:afterAutospacing="1"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11.3乙方提交的成果有误，造成甲方损失的，由乙方承担相应的损失费用及相关责任。</w:t>
      </w:r>
    </w:p>
    <w:p>
      <w:pPr>
        <w:spacing w:afterAutospacing="1" w:line="360" w:lineRule="auto"/>
        <w:ind w:firstLine="560" w:firstLineChars="200"/>
        <w:jc w:val="left"/>
        <w:rPr>
          <w:rFonts w:asciiTheme="minorEastAsia" w:hAnsiTheme="minorEastAsia" w:cstheme="minorEastAsia"/>
          <w:sz w:val="28"/>
          <w:szCs w:val="28"/>
        </w:rPr>
      </w:pPr>
      <w:bookmarkStart w:id="216" w:name="_Toc29537"/>
      <w:bookmarkStart w:id="217" w:name="_Toc32484"/>
      <w:bookmarkStart w:id="218" w:name="_Toc24815"/>
      <w:r>
        <w:rPr>
          <w:rFonts w:hint="eastAsia" w:asciiTheme="minorEastAsia" w:hAnsiTheme="minorEastAsia" w:cstheme="minorEastAsia"/>
          <w:sz w:val="28"/>
          <w:szCs w:val="28"/>
        </w:rPr>
        <w:t>11.4乙方逾期提供服务、提交的成果不符合合同规定标准或因其他违约行为导致甲方解除合同的，乙方除应退还甲方已支付的款项外，还应向甲方支付合同暂定含税总价5%的违约金。如因乙方违约而给甲方造成损失的，除支付上述违约金外，还应向甲方赔偿包括但不限于实际损失、预期损失和要求乙方赔偿损失而支付的一切费用（包括但不限于律师费、差旅费等）。</w:t>
      </w:r>
    </w:p>
    <w:bookmarkEnd w:id="216"/>
    <w:bookmarkEnd w:id="217"/>
    <w:bookmarkEnd w:id="218"/>
    <w:p>
      <w:pPr>
        <w:spacing w:line="360" w:lineRule="auto"/>
        <w:ind w:firstLine="560" w:firstLineChars="200"/>
        <w:jc w:val="left"/>
        <w:rPr>
          <w:rFonts w:asciiTheme="minorEastAsia" w:hAnsiTheme="minorEastAsia" w:cstheme="minorEastAsia"/>
          <w:sz w:val="28"/>
          <w:szCs w:val="28"/>
        </w:rPr>
      </w:pPr>
      <w:bookmarkStart w:id="219" w:name="_Toc27799"/>
      <w:bookmarkStart w:id="220" w:name="_Toc27446"/>
      <w:bookmarkStart w:id="221" w:name="_Toc31316"/>
      <w:bookmarkStart w:id="222" w:name="_Toc26113"/>
      <w:bookmarkStart w:id="223" w:name="_Toc17254"/>
      <w:bookmarkStart w:id="224" w:name="_Toc15495"/>
      <w:bookmarkStart w:id="225" w:name="_Toc17015"/>
      <w:r>
        <w:rPr>
          <w:rFonts w:hint="eastAsia" w:asciiTheme="minorEastAsia" w:hAnsiTheme="minorEastAsia" w:cstheme="minorEastAsia"/>
          <w:sz w:val="28"/>
          <w:szCs w:val="28"/>
        </w:rPr>
        <w:t>11.5.项目人员履约要求及违约责任</w:t>
      </w:r>
    </w:p>
    <w:p>
      <w:pPr>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乙方在本合同内确定的项目负责人原则上不予更换，如未经甲方同意擅自更换项目负责人的，甲方将视其违约，并处以0.5万元/人的违约金。</w:t>
      </w:r>
    </w:p>
    <w:p>
      <w:pPr>
        <w:spacing w:before="156" w:beforeLines="50" w:after="156" w:afterLines="50" w:line="360" w:lineRule="auto"/>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val="0"/>
          <w:sz w:val="28"/>
          <w:szCs w:val="28"/>
        </w:rPr>
        <w:t>十</w:t>
      </w:r>
      <w:r>
        <w:rPr>
          <w:rFonts w:hint="eastAsia" w:asciiTheme="minorEastAsia" w:hAnsiTheme="minorEastAsia" w:eastAsiaTheme="minorEastAsia" w:cstheme="minorEastAsia"/>
          <w:b/>
          <w:sz w:val="28"/>
          <w:szCs w:val="28"/>
        </w:rPr>
        <w:t>二</w:t>
      </w:r>
      <w:r>
        <w:rPr>
          <w:rFonts w:hint="eastAsia" w:asciiTheme="minorEastAsia" w:hAnsiTheme="minorEastAsia" w:eastAsiaTheme="minorEastAsia" w:cstheme="minorEastAsia"/>
          <w:b/>
          <w:bCs w:val="0"/>
          <w:sz w:val="28"/>
          <w:szCs w:val="28"/>
        </w:rPr>
        <w:t>、不可抗力</w:t>
      </w:r>
      <w:bookmarkEnd w:id="219"/>
      <w:bookmarkEnd w:id="220"/>
      <w:bookmarkEnd w:id="221"/>
      <w:bookmarkEnd w:id="222"/>
      <w:bookmarkEnd w:id="223"/>
      <w:bookmarkEnd w:id="224"/>
      <w:bookmarkEnd w:id="225"/>
      <w:r>
        <w:rPr>
          <w:rFonts w:hint="eastAsia" w:asciiTheme="minorEastAsia" w:hAnsiTheme="minorEastAsia" w:eastAsiaTheme="minorEastAsia" w:cstheme="minorEastAsia"/>
          <w:b/>
          <w:sz w:val="28"/>
          <w:szCs w:val="28"/>
        </w:rPr>
        <w:t>条款</w:t>
      </w:r>
    </w:p>
    <w:p>
      <w:pPr>
        <w:spacing w:afterAutospacing="1" w:line="360" w:lineRule="auto"/>
        <w:ind w:firstLine="560" w:firstLineChars="200"/>
        <w:rPr>
          <w:rFonts w:asciiTheme="minorEastAsia" w:hAnsiTheme="minorEastAsia" w:cstheme="minorEastAsia"/>
          <w:sz w:val="28"/>
          <w:szCs w:val="28"/>
        </w:rPr>
      </w:pPr>
      <w:bookmarkStart w:id="226" w:name="_Toc21758"/>
      <w:bookmarkStart w:id="227" w:name="_Toc31498"/>
      <w:bookmarkStart w:id="228" w:name="_Toc26094"/>
      <w:bookmarkStart w:id="229" w:name="_Toc22684"/>
      <w:bookmarkStart w:id="230" w:name="_Toc12504"/>
      <w:bookmarkStart w:id="231" w:name="_Toc8481"/>
      <w:bookmarkStart w:id="232" w:name="_Toc5512"/>
      <w:r>
        <w:rPr>
          <w:rFonts w:hint="eastAsia" w:asciiTheme="minorEastAsia" w:hAnsiTheme="minorEastAsia" w:cstheme="minorEastAsia"/>
          <w:sz w:val="28"/>
          <w:szCs w:val="28"/>
        </w:rPr>
        <w:t>12.1在合同有效期内，任何一方因不可抗力事件导致不能履行合同，则合同履行期可顺延，其延长期与不可抗力影响期相同。</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12.2不可抗力事件发生后10天内，应立即通知对方，并寄送有关权威机构出具的证明。</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12.3不可抗力事件持续120天以上，双方应通过友好协商，确定是否继续履行合同。</w:t>
      </w:r>
    </w:p>
    <w:p>
      <w:pPr>
        <w:keepNext w:val="0"/>
        <w:keepLines w:val="0"/>
        <w:spacing w:before="156" w:beforeLines="50" w:after="156" w:afterLines="50" w:line="360" w:lineRule="auto"/>
        <w:ind w:firstLine="560" w:firstLineChars="200"/>
        <w:outlineLvl w:val="9"/>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十</w:t>
      </w:r>
      <w:r>
        <w:rPr>
          <w:rFonts w:hint="eastAsia" w:asciiTheme="minorEastAsia" w:hAnsiTheme="minorEastAsia" w:eastAsiaTheme="minorEastAsia" w:cstheme="minorEastAsia"/>
          <w:b/>
          <w:sz w:val="28"/>
          <w:szCs w:val="28"/>
        </w:rPr>
        <w:t>三</w:t>
      </w:r>
      <w:r>
        <w:rPr>
          <w:rFonts w:hint="eastAsia" w:asciiTheme="minorEastAsia" w:hAnsiTheme="minorEastAsia" w:eastAsiaTheme="minorEastAsia" w:cstheme="minorEastAsia"/>
          <w:b/>
          <w:bCs w:val="0"/>
          <w:sz w:val="28"/>
          <w:szCs w:val="28"/>
        </w:rPr>
        <w:t>、争议解决方式</w:t>
      </w:r>
      <w:bookmarkEnd w:id="226"/>
      <w:bookmarkEnd w:id="227"/>
      <w:bookmarkEnd w:id="228"/>
      <w:bookmarkEnd w:id="229"/>
      <w:bookmarkEnd w:id="230"/>
      <w:bookmarkEnd w:id="231"/>
      <w:bookmarkEnd w:id="232"/>
    </w:p>
    <w:p>
      <w:pPr>
        <w:spacing w:after="100"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13.1甲乙双方如因本合同发生争议，双方应协商解决，协商不成的，任何一方可向对甲方所在地有管辖权的人民法院起诉。</w:t>
      </w:r>
    </w:p>
    <w:p>
      <w:pPr>
        <w:spacing w:after="100" w:afterAutospacing="1"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13.2协商、调解和诉讼期间，合同应继续执行，合同双方均不得以争议为由拒绝执行。</w:t>
      </w:r>
    </w:p>
    <w:p>
      <w:pPr>
        <w:keepNext w:val="0"/>
        <w:keepLines w:val="0"/>
        <w:spacing w:before="156" w:beforeLines="50" w:after="156" w:afterLines="50" w:line="360" w:lineRule="auto"/>
        <w:ind w:firstLine="560" w:firstLineChars="200"/>
        <w:outlineLvl w:val="9"/>
        <w:rPr>
          <w:rFonts w:hint="eastAsia" w:asciiTheme="minorEastAsia" w:hAnsiTheme="minorEastAsia" w:eastAsiaTheme="minorEastAsia" w:cstheme="minorEastAsia"/>
          <w:b/>
          <w:bCs w:val="0"/>
          <w:sz w:val="28"/>
          <w:szCs w:val="28"/>
        </w:rPr>
      </w:pPr>
      <w:bookmarkStart w:id="233" w:name="_Toc3721"/>
      <w:bookmarkStart w:id="234" w:name="_Toc29821"/>
      <w:bookmarkStart w:id="235" w:name="_Toc30414"/>
      <w:bookmarkStart w:id="236" w:name="_Toc5227"/>
      <w:bookmarkStart w:id="237" w:name="_Toc8479"/>
      <w:bookmarkStart w:id="238" w:name="_Toc26317"/>
      <w:bookmarkStart w:id="239" w:name="_Toc28347"/>
      <w:r>
        <w:rPr>
          <w:rFonts w:hint="eastAsia" w:asciiTheme="minorEastAsia" w:hAnsiTheme="minorEastAsia" w:eastAsiaTheme="minorEastAsia" w:cstheme="minorEastAsia"/>
          <w:b/>
          <w:bCs w:val="0"/>
          <w:sz w:val="28"/>
          <w:szCs w:val="28"/>
        </w:rPr>
        <w:t>十</w:t>
      </w:r>
      <w:r>
        <w:rPr>
          <w:rFonts w:hint="eastAsia" w:asciiTheme="minorEastAsia" w:hAnsiTheme="minorEastAsia" w:eastAsiaTheme="minorEastAsia" w:cstheme="minorEastAsia"/>
          <w:b/>
          <w:sz w:val="28"/>
          <w:szCs w:val="28"/>
        </w:rPr>
        <w:t>四</w:t>
      </w:r>
      <w:r>
        <w:rPr>
          <w:rFonts w:hint="eastAsia" w:asciiTheme="minorEastAsia" w:hAnsiTheme="minorEastAsia" w:eastAsiaTheme="minorEastAsia" w:cstheme="minorEastAsia"/>
          <w:b/>
          <w:bCs w:val="0"/>
          <w:sz w:val="28"/>
          <w:szCs w:val="28"/>
        </w:rPr>
        <w:t>、知识产权</w:t>
      </w:r>
      <w:bookmarkEnd w:id="233"/>
      <w:bookmarkEnd w:id="234"/>
      <w:bookmarkEnd w:id="235"/>
      <w:bookmarkEnd w:id="236"/>
      <w:bookmarkEnd w:id="237"/>
      <w:bookmarkEnd w:id="238"/>
      <w:bookmarkEnd w:id="239"/>
      <w:r>
        <w:rPr>
          <w:rFonts w:hint="eastAsia" w:asciiTheme="minorEastAsia" w:hAnsiTheme="minorEastAsia" w:eastAsiaTheme="minorEastAsia" w:cstheme="minorEastAsia"/>
          <w:b/>
          <w:sz w:val="28"/>
          <w:szCs w:val="28"/>
        </w:rPr>
        <w:t>条款</w:t>
      </w:r>
    </w:p>
    <w:p>
      <w:pPr>
        <w:spacing w:afterAutospacing="1" w:line="360" w:lineRule="auto"/>
        <w:ind w:firstLine="560" w:firstLineChars="200"/>
        <w:rPr>
          <w:rFonts w:asciiTheme="minorEastAsia" w:hAnsiTheme="minorEastAsia" w:cstheme="minorEastAsia"/>
          <w:sz w:val="28"/>
          <w:szCs w:val="28"/>
        </w:rPr>
      </w:pPr>
      <w:bookmarkStart w:id="240" w:name="_Toc30908"/>
      <w:bookmarkStart w:id="241" w:name="_Toc20813"/>
      <w:bookmarkStart w:id="242" w:name="_Toc15348"/>
      <w:bookmarkStart w:id="243" w:name="_Toc31250"/>
      <w:r>
        <w:rPr>
          <w:rFonts w:hint="eastAsia" w:asciiTheme="minorEastAsia" w:hAnsiTheme="minorEastAsia" w:cstheme="minorEastAsia"/>
          <w:sz w:val="28"/>
          <w:szCs w:val="28"/>
        </w:rPr>
        <w:t>14.1乙方应保证所提交的研究成果不侵犯任何第三方的专利权、商标权或著作权。</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14.2成果文件的署名权归甲乙双方共有，其余知识产权归甲方单独所有。</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14.3成果文件未经甲方同意，任何单位和个人都无权以任何形式向社会公开展示和使用成果文件。甲方有权公开展示成果，并通过传播媒介、专业杂志、书刊或其他形式介绍、展示及评价相关成果。</w:t>
      </w:r>
    </w:p>
    <w:p>
      <w:pPr>
        <w:keepNext w:val="0"/>
        <w:keepLines w:val="0"/>
        <w:spacing w:before="156" w:beforeLines="50" w:after="156" w:afterLines="50" w:line="360" w:lineRule="auto"/>
        <w:ind w:firstLine="560" w:firstLineChars="200"/>
        <w:outlineLvl w:val="9"/>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十</w:t>
      </w:r>
      <w:r>
        <w:rPr>
          <w:rFonts w:hint="eastAsia" w:asciiTheme="minorEastAsia" w:hAnsiTheme="minorEastAsia" w:eastAsiaTheme="minorEastAsia" w:cstheme="minorEastAsia"/>
          <w:b/>
          <w:sz w:val="28"/>
          <w:szCs w:val="28"/>
        </w:rPr>
        <w:t>五</w:t>
      </w:r>
      <w:r>
        <w:rPr>
          <w:rFonts w:hint="eastAsia" w:asciiTheme="minorEastAsia" w:hAnsiTheme="minorEastAsia" w:eastAsiaTheme="minorEastAsia" w:cstheme="minorEastAsia"/>
          <w:b/>
          <w:bCs w:val="0"/>
          <w:sz w:val="28"/>
          <w:szCs w:val="28"/>
        </w:rPr>
        <w:t>、保密条款</w:t>
      </w:r>
      <w:bookmarkEnd w:id="240"/>
      <w:bookmarkEnd w:id="241"/>
      <w:bookmarkEnd w:id="242"/>
      <w:bookmarkEnd w:id="243"/>
    </w:p>
    <w:p>
      <w:pPr>
        <w:spacing w:afterAutospacing="1" w:line="360" w:lineRule="auto"/>
        <w:ind w:firstLine="560" w:firstLineChars="200"/>
        <w:rPr>
          <w:rFonts w:asciiTheme="minorEastAsia" w:hAnsiTheme="minorEastAsia" w:cstheme="minorEastAsia"/>
          <w:sz w:val="28"/>
          <w:szCs w:val="28"/>
        </w:rPr>
      </w:pPr>
      <w:bookmarkStart w:id="244" w:name="_Toc1876"/>
      <w:bookmarkStart w:id="245" w:name="_Toc23892"/>
      <w:bookmarkStart w:id="246" w:name="_Toc4909"/>
      <w:bookmarkStart w:id="247" w:name="_Toc29869"/>
      <w:r>
        <w:rPr>
          <w:rFonts w:hint="eastAsia" w:asciiTheme="minorEastAsia" w:hAnsiTheme="minorEastAsia" w:cstheme="minorEastAsia"/>
          <w:sz w:val="28"/>
          <w:szCs w:val="28"/>
        </w:rPr>
        <w:t>乙方应对甲方提供的资料及提交甲方的研究成果保密，未经甲方同意，均不得对甲方的资料和文件擅自修改、复制、向第三人转让或用于本合同项目外的其他项目。如发生以上情况，乙方应承担由此引起的一切后果并承担赔偿责任。</w:t>
      </w:r>
    </w:p>
    <w:p>
      <w:pPr>
        <w:keepNext w:val="0"/>
        <w:keepLines w:val="0"/>
        <w:spacing w:before="156" w:beforeLines="50" w:after="156" w:afterLines="50" w:line="360" w:lineRule="auto"/>
        <w:ind w:firstLine="560" w:firstLineChars="200"/>
        <w:outlineLvl w:val="9"/>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十</w:t>
      </w:r>
      <w:r>
        <w:rPr>
          <w:rFonts w:hint="eastAsia" w:asciiTheme="minorEastAsia" w:hAnsiTheme="minorEastAsia" w:eastAsiaTheme="minorEastAsia" w:cstheme="minorEastAsia"/>
          <w:b/>
          <w:sz w:val="28"/>
          <w:szCs w:val="28"/>
        </w:rPr>
        <w:t>六</w:t>
      </w:r>
      <w:r>
        <w:rPr>
          <w:rFonts w:hint="eastAsia" w:asciiTheme="minorEastAsia" w:hAnsiTheme="minorEastAsia" w:eastAsiaTheme="minorEastAsia" w:cstheme="minorEastAsia"/>
          <w:b/>
          <w:bCs w:val="0"/>
          <w:sz w:val="28"/>
          <w:szCs w:val="28"/>
        </w:rPr>
        <w:t>、合同终止</w:t>
      </w:r>
      <w:bookmarkEnd w:id="244"/>
      <w:bookmarkEnd w:id="245"/>
      <w:bookmarkEnd w:id="246"/>
      <w:bookmarkEnd w:id="247"/>
    </w:p>
    <w:p>
      <w:pPr>
        <w:spacing w:afterAutospacing="1" w:line="360" w:lineRule="auto"/>
        <w:ind w:firstLine="560" w:firstLineChars="200"/>
        <w:rPr>
          <w:rFonts w:asciiTheme="minorEastAsia" w:hAnsiTheme="minorEastAsia" w:cstheme="minorEastAsia"/>
          <w:sz w:val="28"/>
          <w:szCs w:val="28"/>
        </w:rPr>
      </w:pPr>
      <w:bookmarkStart w:id="248" w:name="_Toc18450"/>
      <w:bookmarkStart w:id="249" w:name="_Toc25060"/>
      <w:bookmarkStart w:id="250" w:name="_Toc11478"/>
      <w:bookmarkStart w:id="251" w:name="_Toc20532"/>
      <w:r>
        <w:rPr>
          <w:rFonts w:hint="eastAsia" w:asciiTheme="minorEastAsia" w:hAnsiTheme="minorEastAsia" w:cstheme="minorEastAsia"/>
          <w:sz w:val="28"/>
          <w:szCs w:val="28"/>
        </w:rPr>
        <w:t>16.1除双方另有约定外，与本合同正式签署后，双方均有权在实现充分沟通并达成一致意见的基础上共同变更、终止本合同。</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16.2本协议无论任何原因终止，乙方应退还从甲方取得的资料、文件和数据原件，甲方应当退还未付费的乙方提交的工作成果。</w:t>
      </w:r>
    </w:p>
    <w:p>
      <w:pPr>
        <w:spacing w:afterAutospacing="1"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16.3因乙方提交的成果存在严重质量问题并造成项目损失较大，或乙方提交的成果时间严重延误并造成影响项目工期的，甲方除要求乙方赔偿相应损失外，还可以单方终止合同。</w:t>
      </w:r>
    </w:p>
    <w:p>
      <w:pPr>
        <w:keepNext w:val="0"/>
        <w:keepLines w:val="0"/>
        <w:spacing w:before="156" w:beforeLines="50" w:after="156" w:afterLines="50" w:line="360" w:lineRule="auto"/>
        <w:ind w:firstLine="560" w:firstLineChars="200"/>
        <w:outlineLvl w:val="9"/>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十</w:t>
      </w:r>
      <w:r>
        <w:rPr>
          <w:rFonts w:hint="eastAsia" w:asciiTheme="minorEastAsia" w:hAnsiTheme="minorEastAsia" w:eastAsiaTheme="minorEastAsia" w:cstheme="minorEastAsia"/>
          <w:b/>
          <w:sz w:val="28"/>
          <w:szCs w:val="28"/>
        </w:rPr>
        <w:t>七</w:t>
      </w:r>
      <w:r>
        <w:rPr>
          <w:rFonts w:hint="eastAsia" w:asciiTheme="minorEastAsia" w:hAnsiTheme="minorEastAsia" w:eastAsiaTheme="minorEastAsia" w:cstheme="minorEastAsia"/>
          <w:b/>
          <w:bCs w:val="0"/>
          <w:sz w:val="28"/>
          <w:szCs w:val="28"/>
        </w:rPr>
        <w:t>、</w:t>
      </w:r>
      <w:bookmarkEnd w:id="248"/>
      <w:bookmarkEnd w:id="249"/>
      <w:bookmarkEnd w:id="250"/>
      <w:bookmarkEnd w:id="251"/>
      <w:r>
        <w:rPr>
          <w:rFonts w:hint="eastAsia" w:asciiTheme="minorEastAsia" w:hAnsiTheme="minorEastAsia" w:eastAsiaTheme="minorEastAsia" w:cstheme="minorEastAsia"/>
          <w:b/>
          <w:sz w:val="28"/>
          <w:szCs w:val="28"/>
        </w:rPr>
        <w:t>合同生效及其他</w:t>
      </w:r>
    </w:p>
    <w:p>
      <w:pPr>
        <w:spacing w:before="156" w:beforeLines="50" w:after="156" w:afterLines="50"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17.1本合同经各方法定代表人或授权委托代理人签字（或签章）并加盖单位公章（或合同专用章）生效。</w:t>
      </w:r>
    </w:p>
    <w:p>
      <w:pPr>
        <w:spacing w:before="156" w:beforeLines="50" w:after="156" w:afterLines="50"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17.2本合同未尽事宜，遵照《</w:t>
      </w:r>
      <w:r>
        <w:rPr>
          <w:rFonts w:hint="eastAsia" w:asciiTheme="minorEastAsia" w:hAnsiTheme="minorEastAsia" w:cstheme="minorEastAsia"/>
          <w:sz w:val="28"/>
          <w:szCs w:val="28"/>
        </w:rPr>
        <w:t>中华人民共和国民法典</w:t>
      </w:r>
      <w:r>
        <w:rPr>
          <w:rFonts w:hint="eastAsia" w:asciiTheme="minorEastAsia" w:hAnsiTheme="minorEastAsia" w:eastAsiaTheme="minorEastAsia" w:cstheme="minorEastAsia"/>
          <w:kern w:val="0"/>
          <w:sz w:val="28"/>
          <w:szCs w:val="28"/>
        </w:rPr>
        <w:t>》有关条款执行，或经甲乙双方协商后签订补充合同。</w:t>
      </w:r>
    </w:p>
    <w:p>
      <w:pPr>
        <w:spacing w:before="156" w:beforeLines="50" w:after="156" w:afterLines="50"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17.3本合同一式十二份。甲方执八份，乙方执四份。</w:t>
      </w:r>
    </w:p>
    <w:p>
      <w:pPr>
        <w:spacing w:line="360" w:lineRule="auto"/>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sz w:val="28"/>
          <w:szCs w:val="28"/>
        </w:rPr>
      </w:pP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委托方：（甲方）：南宁铁路枢纽投资有限公司（盖章）</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法定代表人/委托代理人： </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联系人：</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通讯地址：</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电话：</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传真：</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签约时间：           年        月        日</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受托方：（乙方）：                           （盖章）</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法定代表人/委托代理人： </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联系人：</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通讯地址：</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电话：</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传真：</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开户银行: </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账号：</w:t>
      </w:r>
    </w:p>
    <w:p>
      <w:pPr>
        <w:spacing w:line="360" w:lineRule="auto"/>
        <w:ind w:right="-126" w:rightChars="-60" w:firstLine="554" w:firstLineChars="198"/>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签约时间：           年        月        日</w:t>
      </w:r>
    </w:p>
    <w:p>
      <w:pPr>
        <w:pStyle w:val="2"/>
        <w:rPr>
          <w:rFonts w:hAnsi="宋体" w:eastAsia="宋体" w:cs="Times New Roman"/>
          <w:sz w:val="28"/>
          <w:szCs w:val="28"/>
        </w:rPr>
      </w:pPr>
    </w:p>
    <w:p>
      <w:pPr>
        <w:pStyle w:val="2"/>
        <w:rPr>
          <w:rFonts w:hAnsi="宋体"/>
        </w:rPr>
      </w:pPr>
    </w:p>
    <w:p>
      <w:pPr>
        <w:pStyle w:val="2"/>
        <w:rPr>
          <w:rFonts w:hAnsi="宋体" w:eastAsia="宋体" w:cs="Times New Roman"/>
          <w:sz w:val="28"/>
          <w:szCs w:val="28"/>
        </w:rPr>
      </w:pPr>
    </w:p>
    <w:p>
      <w:pPr>
        <w:pStyle w:val="2"/>
        <w:rPr>
          <w:rFonts w:hAnsi="宋体" w:eastAsia="宋体" w:cs="Times New Roman"/>
          <w:sz w:val="28"/>
          <w:szCs w:val="28"/>
        </w:rPr>
      </w:pPr>
    </w:p>
    <w:p>
      <w:pPr>
        <w:pStyle w:val="2"/>
        <w:rPr>
          <w:rFonts w:hAnsi="宋体"/>
        </w:rPr>
      </w:pPr>
    </w:p>
    <w:p>
      <w:pPr>
        <w:pStyle w:val="4"/>
        <w:numPr>
          <w:ilvl w:val="0"/>
          <w:numId w:val="4"/>
        </w:numPr>
        <w:rPr>
          <w:rFonts w:ascii="宋体" w:hAnsi="宋体" w:cs="宋体"/>
          <w:szCs w:val="28"/>
        </w:rPr>
      </w:pPr>
      <w:bookmarkStart w:id="252" w:name="_Toc461525321"/>
      <w:bookmarkStart w:id="253" w:name="_Toc24668"/>
      <w:bookmarkStart w:id="254" w:name="_Toc16386"/>
      <w:bookmarkStart w:id="255" w:name="_Toc471482369"/>
      <w:bookmarkStart w:id="256" w:name="_Toc23661"/>
      <w:bookmarkStart w:id="257" w:name="_Toc12500"/>
      <w:bookmarkStart w:id="258" w:name="_Toc6779"/>
      <w:bookmarkStart w:id="259" w:name="_Toc20710"/>
      <w:bookmarkStart w:id="260" w:name="_Toc26580"/>
      <w:bookmarkStart w:id="261" w:name="_Toc1897"/>
      <w:bookmarkStart w:id="262" w:name="_Toc27378"/>
      <w:bookmarkStart w:id="263" w:name="_Toc13393"/>
      <w:bookmarkStart w:id="264" w:name="_Toc9606"/>
      <w:bookmarkStart w:id="265" w:name="_Toc10133"/>
      <w:bookmarkStart w:id="266" w:name="_Toc2349"/>
      <w:bookmarkStart w:id="267" w:name="_Toc19345"/>
      <w:bookmarkStart w:id="268" w:name="_Toc29766"/>
      <w:bookmarkStart w:id="269" w:name="_Toc15172"/>
      <w:bookmarkStart w:id="270" w:name="_Toc8284"/>
      <w:bookmarkStart w:id="271" w:name="_Toc32280"/>
      <w:bookmarkStart w:id="272" w:name="_Toc26692"/>
      <w:bookmarkStart w:id="273" w:name="_Toc29471"/>
      <w:r>
        <w:rPr>
          <w:rFonts w:hint="eastAsia" w:ascii="宋体" w:hAnsi="宋体" w:cs="宋体"/>
          <w:szCs w:val="28"/>
        </w:rPr>
        <w:t xml:space="preserve"> </w:t>
      </w:r>
      <w:bookmarkStart w:id="274" w:name="_Toc8898"/>
      <w:bookmarkStart w:id="275" w:name="_Toc8674"/>
      <w:bookmarkStart w:id="276" w:name="_Toc18800"/>
      <w:r>
        <w:rPr>
          <w:rFonts w:hint="eastAsia" w:ascii="宋体" w:hAnsi="宋体" w:cs="宋体"/>
          <w:szCs w:val="28"/>
        </w:rPr>
        <w:t>比选申请文件</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Start w:id="277" w:name="_Toc114052391"/>
    </w:p>
    <w:p>
      <w:pPr>
        <w:jc w:val="center"/>
        <w:rPr>
          <w:rFonts w:ascii="宋体" w:hAnsi="宋体" w:cs="宋体"/>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ind w:right="753"/>
        <w:jc w:val="center"/>
        <w:rPr>
          <w:rFonts w:hint="eastAsia" w:ascii="宋体" w:hAnsi="宋体" w:cs="宋体"/>
          <w:sz w:val="28"/>
          <w:szCs w:val="28"/>
        </w:rPr>
      </w:pP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（封面格式）</w:t>
      </w: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4" w:firstLine="560" w:firstLineChars="200"/>
        <w:jc w:val="center"/>
        <w:rPr>
          <w:rFonts w:hint="eastAsia" w:asciiTheme="minorEastAsia" w:hAnsiTheme="minorEastAsia" w:cstheme="minorEastAsia"/>
          <w:sz w:val="28"/>
          <w:szCs w:val="28"/>
        </w:rPr>
      </w:pPr>
      <w:r>
        <w:rPr>
          <w:rFonts w:hint="eastAsia" w:asciiTheme="minorEastAsia" w:hAnsiTheme="minorEastAsia" w:cstheme="minorEastAsia"/>
          <w:sz w:val="28"/>
          <w:szCs w:val="28"/>
        </w:rPr>
        <w:t>六景火车站综合交通枢纽配套一期工程水土保持方案编制服务项目比选申请文件</w:t>
      </w:r>
    </w:p>
    <w:p>
      <w:pPr>
        <w:pStyle w:val="16"/>
        <w:spacing w:line="360" w:lineRule="auto"/>
        <w:jc w:val="center"/>
        <w:rPr>
          <w:rFonts w:hint="eastAsia" w:asciiTheme="minorEastAsia" w:hAnsiTheme="minorEastAsia" w:cstheme="minorEastAsia"/>
          <w:b w:val="0"/>
          <w:bCs w:val="0"/>
          <w:sz w:val="28"/>
          <w:szCs w:val="28"/>
        </w:rPr>
      </w:pPr>
      <w:bookmarkStart w:id="278" w:name="_Toc16428"/>
      <w:bookmarkStart w:id="279" w:name="_Toc12677"/>
      <w:bookmarkStart w:id="280" w:name="_Toc18503"/>
      <w:bookmarkStart w:id="281" w:name="_Toc24727"/>
      <w:bookmarkStart w:id="282" w:name="_Toc6045"/>
      <w:bookmarkStart w:id="283" w:name="_Toc22529"/>
      <w:bookmarkStart w:id="284" w:name="_Toc31417"/>
      <w:bookmarkStart w:id="285" w:name="_Toc10669"/>
      <w:bookmarkStart w:id="286" w:name="_Toc461525322"/>
    </w:p>
    <w:p>
      <w:pPr>
        <w:pStyle w:val="16"/>
        <w:spacing w:line="360" w:lineRule="auto"/>
        <w:jc w:val="center"/>
        <w:rPr>
          <w:rFonts w:hint="eastAsia" w:asciiTheme="minorEastAsia" w:hAnsiTheme="minorEastAsia" w:cstheme="minorEastAsia"/>
          <w:b w:val="0"/>
          <w:bCs w:val="0"/>
          <w:sz w:val="28"/>
          <w:szCs w:val="28"/>
        </w:rPr>
      </w:pPr>
    </w:p>
    <w:p>
      <w:pPr>
        <w:pStyle w:val="16"/>
        <w:spacing w:line="360" w:lineRule="auto"/>
        <w:jc w:val="center"/>
        <w:rPr>
          <w:rFonts w:hint="eastAsia" w:asciiTheme="minorEastAsia" w:hAnsiTheme="minorEastAsia" w:cstheme="minorEastAsia"/>
          <w:b w:val="0"/>
          <w:bCs w:val="0"/>
          <w:sz w:val="28"/>
          <w:szCs w:val="28"/>
        </w:rPr>
      </w:pPr>
    </w:p>
    <w:p>
      <w:pPr>
        <w:pStyle w:val="16"/>
        <w:spacing w:line="360" w:lineRule="auto"/>
        <w:jc w:val="center"/>
        <w:rPr>
          <w:rFonts w:hint="eastAsia" w:asciiTheme="minorEastAsia" w:hAnsiTheme="minorEastAsia" w:cstheme="minorEastAsia"/>
          <w:b w:val="0"/>
          <w:bCs w:val="0"/>
          <w:sz w:val="28"/>
          <w:szCs w:val="28"/>
        </w:rPr>
      </w:pPr>
      <w:r>
        <w:rPr>
          <w:rFonts w:hint="eastAsia" w:asciiTheme="minorEastAsia" w:hAnsiTheme="minorEastAsia" w:cstheme="minorEastAsia"/>
          <w:b w:val="0"/>
          <w:bCs w:val="0"/>
          <w:sz w:val="28"/>
          <w:szCs w:val="28"/>
        </w:rPr>
        <w:t>资格审查部分</w:t>
      </w:r>
      <w:bookmarkEnd w:id="278"/>
      <w:bookmarkEnd w:id="279"/>
      <w:bookmarkEnd w:id="280"/>
      <w:bookmarkEnd w:id="281"/>
      <w:bookmarkEnd w:id="282"/>
      <w:bookmarkEnd w:id="283"/>
      <w:bookmarkEnd w:id="284"/>
      <w:bookmarkEnd w:id="285"/>
      <w:bookmarkEnd w:id="286"/>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比选申</w:t>
      </w:r>
      <w:bookmarkEnd w:id="277"/>
      <w:r>
        <w:rPr>
          <w:rFonts w:hint="eastAsia" w:asciiTheme="minorEastAsia" w:hAnsiTheme="minorEastAsia" w:cstheme="minorEastAsia"/>
          <w:sz w:val="28"/>
          <w:szCs w:val="28"/>
        </w:rPr>
        <w:t>请</w:t>
      </w:r>
      <w:bookmarkStart w:id="287" w:name="_Toc114052392"/>
      <w:r>
        <w:rPr>
          <w:rFonts w:hint="eastAsia" w:asciiTheme="minorEastAsia" w:hAnsiTheme="minorEastAsia" w:cstheme="minorEastAsia"/>
          <w:sz w:val="28"/>
          <w:szCs w:val="28"/>
        </w:rPr>
        <w:t xml:space="preserve">人：                 </w:t>
      </w:r>
      <w:bookmarkEnd w:id="287"/>
      <w:r>
        <w:rPr>
          <w:rFonts w:hint="eastAsia" w:asciiTheme="minorEastAsia" w:hAnsiTheme="minorEastAsia" w:cstheme="minorEastAsia"/>
          <w:sz w:val="28"/>
          <w:szCs w:val="28"/>
        </w:rPr>
        <w:t xml:space="preserve">            （盖章）</w:t>
      </w: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负责人或委托代</w:t>
      </w:r>
      <w:bookmarkStart w:id="288" w:name="_Toc333307122"/>
      <w:r>
        <w:rPr>
          <w:rFonts w:hint="eastAsia" w:asciiTheme="minorEastAsia" w:hAnsiTheme="minorEastAsia" w:cstheme="minorEastAsia"/>
          <w:sz w:val="28"/>
          <w:szCs w:val="28"/>
        </w:rPr>
        <w:t>理人</w:t>
      </w:r>
      <w:bookmarkEnd w:id="288"/>
      <w:r>
        <w:rPr>
          <w:rFonts w:hint="eastAsia" w:asciiTheme="minorEastAsia" w:hAnsiTheme="minorEastAsia" w:cstheme="minorEastAsia"/>
          <w:sz w:val="28"/>
          <w:szCs w:val="28"/>
        </w:rPr>
        <w:t>：（签字或盖章）</w:t>
      </w: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电话/传真：</w:t>
      </w: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地址：</w:t>
      </w:r>
    </w:p>
    <w:p>
      <w:pPr>
        <w:spacing w:line="360" w:lineRule="auto"/>
        <w:ind w:right="753" w:firstLine="1260" w:firstLineChars="45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年    月    日</w:t>
      </w:r>
    </w:p>
    <w:p>
      <w:pPr>
        <w:ind w:right="753" w:firstLine="1260" w:firstLineChars="450"/>
        <w:jc w:val="left"/>
        <w:rPr>
          <w:rFonts w:ascii="宋体" w:hAnsi="宋体" w:cs="宋体"/>
          <w:sz w:val="28"/>
          <w:szCs w:val="28"/>
        </w:rPr>
      </w:pPr>
    </w:p>
    <w:p>
      <w:pPr>
        <w:ind w:right="753" w:firstLine="1260" w:firstLineChars="450"/>
        <w:jc w:val="left"/>
        <w:rPr>
          <w:rFonts w:ascii="宋体" w:hAnsi="宋体" w:cs="宋体"/>
          <w:sz w:val="28"/>
          <w:szCs w:val="28"/>
        </w:rPr>
      </w:pPr>
    </w:p>
    <w:p>
      <w:pPr>
        <w:pStyle w:val="2"/>
      </w:pPr>
      <w:bookmarkStart w:id="289" w:name="_Toc7849"/>
      <w:bookmarkStart w:id="290" w:name="_Toc461525323"/>
    </w:p>
    <w:p>
      <w:pPr>
        <w:pStyle w:val="5"/>
        <w:spacing w:line="360" w:lineRule="auto"/>
        <w:jc w:val="center"/>
        <w:rPr>
          <w:rFonts w:hint="eastAsia" w:asciiTheme="minorEastAsia" w:hAnsiTheme="minorEastAsia" w:cstheme="minorEastAsia"/>
          <w:b/>
        </w:rPr>
      </w:pPr>
      <w:bookmarkStart w:id="291" w:name="_Toc16191"/>
      <w:bookmarkStart w:id="292" w:name="_Toc9905"/>
      <w:bookmarkStart w:id="293" w:name="_Toc12851"/>
      <w:bookmarkStart w:id="294" w:name="_Toc8930"/>
      <w:bookmarkStart w:id="295" w:name="_Toc7031"/>
      <w:bookmarkStart w:id="296" w:name="_Toc32284"/>
      <w:bookmarkStart w:id="297" w:name="_Toc28967"/>
      <w:bookmarkStart w:id="298" w:name="_Toc13726"/>
      <w:bookmarkStart w:id="299" w:name="_Toc22776"/>
      <w:bookmarkStart w:id="300" w:name="_Toc16042"/>
      <w:bookmarkStart w:id="301" w:name="_Toc580"/>
      <w:bookmarkStart w:id="302" w:name="_Toc29495"/>
      <w:bookmarkStart w:id="303" w:name="_Toc24578"/>
      <w:bookmarkStart w:id="304" w:name="_Toc31336"/>
      <w:bookmarkStart w:id="305" w:name="_Toc7514"/>
      <w:bookmarkStart w:id="306" w:name="_Toc24695"/>
      <w:bookmarkStart w:id="307" w:name="_Toc471482370"/>
      <w:bookmarkStart w:id="308" w:name="_Toc19069"/>
      <w:bookmarkStart w:id="309" w:name="_Toc13042"/>
      <w:bookmarkStart w:id="310" w:name="_Toc17090"/>
      <w:bookmarkStart w:id="311" w:name="_Toc23201"/>
      <w:r>
        <w:rPr>
          <w:rFonts w:hint="eastAsia" w:asciiTheme="minorEastAsia" w:hAnsiTheme="minorEastAsia" w:cstheme="minorEastAsia"/>
          <w:b/>
        </w:rPr>
        <w:t>一、资格审查文件目录</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（一）诚信声明（原件）；</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sz w:val="28"/>
          <w:szCs w:val="28"/>
        </w:rPr>
        <w:t>（</w:t>
      </w:r>
      <w:r>
        <w:rPr>
          <w:rFonts w:hint="eastAsia" w:asciiTheme="minorEastAsia" w:hAnsiTheme="minorEastAsia" w:cstheme="minorEastAsia"/>
          <w:kern w:val="0"/>
          <w:sz w:val="28"/>
          <w:szCs w:val="28"/>
        </w:rPr>
        <w:t>二</w:t>
      </w:r>
      <w:r>
        <w:rPr>
          <w:rFonts w:hint="eastAsia" w:asciiTheme="minorEastAsia" w:hAnsiTheme="minorEastAsia" w:cstheme="minorEastAsia"/>
          <w:sz w:val="28"/>
          <w:szCs w:val="28"/>
        </w:rPr>
        <w:t>）</w:t>
      </w:r>
      <w:r>
        <w:rPr>
          <w:rFonts w:hint="eastAsia" w:asciiTheme="minorEastAsia" w:hAnsiTheme="minorEastAsia" w:cstheme="minorEastAsia"/>
          <w:kern w:val="0"/>
          <w:sz w:val="28"/>
          <w:szCs w:val="28"/>
        </w:rPr>
        <w:t>法定代表人资格证明书（原件）</w:t>
      </w:r>
      <w:r>
        <w:rPr>
          <w:rFonts w:hint="eastAsia" w:asciiTheme="minorEastAsia" w:hAnsiTheme="minorEastAsia" w:cstheme="minorEastAsia"/>
          <w:sz w:val="28"/>
          <w:szCs w:val="28"/>
        </w:rPr>
        <w:t>；</w:t>
      </w:r>
    </w:p>
    <w:p>
      <w:pPr>
        <w:numPr>
          <w:ilvl w:val="255"/>
          <w:numId w:val="0"/>
        </w:numPr>
        <w:tabs>
          <w:tab w:val="left" w:pos="826"/>
        </w:tabs>
        <w:spacing w:line="360" w:lineRule="auto"/>
        <w:ind w:left="426"/>
        <w:rPr>
          <w:rFonts w:hint="eastAsia" w:asciiTheme="minorEastAsia" w:hAnsiTheme="minorEastAsia" w:cstheme="minorEastAsia"/>
          <w:sz w:val="28"/>
          <w:szCs w:val="28"/>
        </w:rPr>
      </w:pPr>
      <w:r>
        <w:rPr>
          <w:rFonts w:hint="eastAsia" w:asciiTheme="minorEastAsia" w:hAnsiTheme="minorEastAsia" w:cstheme="minorEastAsia"/>
          <w:sz w:val="28"/>
          <w:szCs w:val="28"/>
        </w:rPr>
        <w:t>（三）法定代表人身份证明文件（提供复印件</w:t>
      </w:r>
      <w:r>
        <w:rPr>
          <w:rFonts w:hint="eastAsia" w:asciiTheme="minorEastAsia" w:hAnsiTheme="minorEastAsia" w:cstheme="minorEastAsia"/>
          <w:kern w:val="0"/>
          <w:sz w:val="28"/>
          <w:szCs w:val="28"/>
        </w:rPr>
        <w:t>加盖法人单位公章</w:t>
      </w:r>
      <w:r>
        <w:rPr>
          <w:rFonts w:hint="eastAsia" w:asciiTheme="minorEastAsia" w:hAnsiTheme="minorEastAsia" w:cstheme="minorEastAsia"/>
          <w:sz w:val="28"/>
          <w:szCs w:val="28"/>
        </w:rPr>
        <w:t>）；</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（四）比选申请文件签署授权委托书（原件）；</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（五）授权代理人身份证明文件（提供复印件加盖法人单位公章）；</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（六）营业执照复印件、税务登记证复印件（如已办理三证合一则不需提供）、组织机构代码证复印件（ 如已办理三证合一则不需提供）（加盖单位公章）；</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（七）企业资质证书复印件（加盖单位公章）；</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（八）项目负责人职称证书、与本单位签订的合同及</w:t>
      </w:r>
      <w:r>
        <w:rPr>
          <w:rFonts w:hint="eastAsia" w:asciiTheme="minorEastAsia" w:hAnsiTheme="minorEastAsia" w:cstheme="minorEastAsia"/>
          <w:sz w:val="28"/>
          <w:szCs w:val="28"/>
          <w:highlight w:val="none"/>
          <w:lang w:val="zh-CN"/>
        </w:rPr>
        <w:t>2022年12月—2023年2月的</w:t>
      </w:r>
      <w:r>
        <w:rPr>
          <w:rFonts w:hint="eastAsia" w:asciiTheme="minorEastAsia" w:hAnsiTheme="minorEastAsia" w:cstheme="minorEastAsia"/>
          <w:sz w:val="28"/>
          <w:szCs w:val="28"/>
          <w:highlight w:val="none"/>
        </w:rPr>
        <w:t>社保缴纳记录</w:t>
      </w:r>
      <w:r>
        <w:rPr>
          <w:rFonts w:hint="eastAsia" w:asciiTheme="minorEastAsia" w:hAnsiTheme="minorEastAsia" w:cstheme="minorEastAsia"/>
          <w:kern w:val="0"/>
          <w:sz w:val="28"/>
          <w:szCs w:val="28"/>
        </w:rPr>
        <w:t>；</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（九）类似项目业绩证明材料；</w:t>
      </w:r>
    </w:p>
    <w:p>
      <w:pPr>
        <w:numPr>
          <w:ilvl w:val="255"/>
          <w:numId w:val="0"/>
        </w:numPr>
        <w:tabs>
          <w:tab w:val="left" w:pos="826"/>
        </w:tabs>
        <w:spacing w:line="360" w:lineRule="auto"/>
        <w:ind w:left="426"/>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（十）其他。</w:t>
      </w:r>
    </w:p>
    <w:p>
      <w:pPr>
        <w:spacing w:line="360" w:lineRule="auto"/>
        <w:ind w:right="753"/>
        <w:jc w:val="left"/>
        <w:rPr>
          <w:rFonts w:hint="eastAsia" w:asciiTheme="minorEastAsia" w:hAnsiTheme="minorEastAsia" w:cstheme="minorEastAsia"/>
          <w:sz w:val="28"/>
          <w:szCs w:val="28"/>
        </w:rPr>
      </w:pPr>
    </w:p>
    <w:p>
      <w:pPr>
        <w:spacing w:line="360" w:lineRule="auto"/>
        <w:ind w:right="-21"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备注：以上材料均需加盖单位公章，并按照目录顺序编排，标注页码</w:t>
      </w: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spacing w:line="360" w:lineRule="auto"/>
        <w:ind w:firstLine="420" w:firstLineChars="200"/>
        <w:jc w:val="center"/>
        <w:outlineLvl w:val="2"/>
        <w:rPr>
          <w:rFonts w:hint="eastAsia" w:asciiTheme="minorEastAsia" w:hAnsiTheme="minorEastAsia" w:cstheme="minorEastAsia"/>
          <w:b/>
          <w:bCs/>
          <w:sz w:val="28"/>
          <w:szCs w:val="28"/>
        </w:rPr>
      </w:pPr>
      <w:bookmarkStart w:id="312" w:name="_Toc1582"/>
      <w:bookmarkStart w:id="313" w:name="_Toc27423"/>
      <w:bookmarkStart w:id="314" w:name="_Toc461525324"/>
      <w:r>
        <w:br w:type="page"/>
      </w:r>
      <w:bookmarkEnd w:id="312"/>
      <w:bookmarkEnd w:id="313"/>
      <w:bookmarkEnd w:id="314"/>
      <w:bookmarkStart w:id="315" w:name="_Toc18804"/>
      <w:bookmarkStart w:id="316" w:name="_Toc29347"/>
      <w:bookmarkStart w:id="317" w:name="_Toc24466"/>
      <w:bookmarkStart w:id="318" w:name="_Toc30157"/>
      <w:bookmarkStart w:id="319" w:name="_Toc14714"/>
      <w:bookmarkStart w:id="320" w:name="_Toc32325"/>
      <w:bookmarkStart w:id="321" w:name="_Toc15465"/>
      <w:bookmarkStart w:id="322" w:name="_Toc15071"/>
      <w:bookmarkStart w:id="323" w:name="_Toc17531"/>
      <w:bookmarkStart w:id="324" w:name="_Toc29655"/>
      <w:bookmarkStart w:id="325" w:name="_Toc461525329"/>
      <w:bookmarkStart w:id="326" w:name="_Toc26924"/>
      <w:r>
        <w:rPr>
          <w:rFonts w:hint="eastAsia" w:asciiTheme="minorEastAsia" w:hAnsiTheme="minorEastAsia" w:cstheme="minorEastAsia"/>
          <w:b/>
          <w:bCs/>
          <w:sz w:val="28"/>
          <w:szCs w:val="28"/>
        </w:rPr>
        <w:t>（一）诚信声明</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本人       （法定代表人、身份证号码              ）郑重声明：</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1、本企业参加</w:t>
      </w:r>
      <w:r>
        <w:rPr>
          <w:rFonts w:hint="eastAsia" w:asciiTheme="minorEastAsia" w:hAnsiTheme="minorEastAsia" w:eastAsiaTheme="minorEastAsia" w:cstheme="minorEastAsia"/>
          <w:b/>
          <w:sz w:val="28"/>
          <w:szCs w:val="28"/>
          <w:u w:val="single"/>
        </w:rPr>
        <w:t xml:space="preserve">         项目</w:t>
      </w:r>
      <w:r>
        <w:rPr>
          <w:rFonts w:hint="eastAsia" w:asciiTheme="minorEastAsia" w:hAnsiTheme="minorEastAsia" w:eastAsiaTheme="minorEastAsia" w:cstheme="minorEastAsia"/>
          <w:sz w:val="28"/>
          <w:szCs w:val="28"/>
        </w:rPr>
        <w:t>采购项目比选活动所提交的所有资料、填写数据及所包含的附件资料内容是真实的、合法的、有效的；</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2、本企业没有处于被行政管部门或业主取消比选申请资格的处罚期内，且没有处于被责令停业，财产被接管、冻结、破产状态；</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eastAsiaTheme="minorEastAsia" w:cstheme="minorEastAsia"/>
          <w:sz w:val="28"/>
          <w:szCs w:val="28"/>
        </w:rPr>
        <w:t>3、本企业在比选申请截止时间前3年内没有骗取中选、严重违约或重大质量安全责任事故的情况；</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4、我在此所作的声明真实有效，并愿意对在比选过程中有关部门的调查结果承担责任；</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5、本企业提交的所有比选申请资料如有不实，愿接受相关部门依据有关法律法规给予的处罚。</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6、本企业提供的服务不存在知识产权或专利纠纷，保证甲方能正常使用本企业所提供的服务。</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7、其他……</w:t>
      </w:r>
    </w:p>
    <w:p>
      <w:pPr>
        <w:spacing w:line="360" w:lineRule="auto"/>
        <w:ind w:firstLine="560" w:firstLineChars="200"/>
        <w:rPr>
          <w:rFonts w:hint="eastAsia" w:asciiTheme="minorEastAsia" w:hAnsiTheme="minorEastAsia" w:eastAsiaTheme="minorEastAsia" w:cstheme="minorEastAsia"/>
          <w:sz w:val="28"/>
          <w:szCs w:val="28"/>
        </w:rPr>
      </w:pP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（公章）</w:t>
      </w:r>
    </w:p>
    <w:p>
      <w:pPr>
        <w:spacing w:line="360" w:lineRule="auto"/>
        <w:ind w:firstLine="560" w:firstLineChars="200"/>
        <w:rPr>
          <w:rFonts w:hint="eastAsia" w:asciiTheme="minorEastAsia" w:hAnsiTheme="minorEastAsia" w:eastAsiaTheme="minorEastAsia" w:cstheme="minorEastAsia"/>
          <w:sz w:val="28"/>
          <w:szCs w:val="28"/>
        </w:rPr>
      </w:pP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法定代表人：（签字）</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　　年   月    日</w:t>
      </w:r>
    </w:p>
    <w:p>
      <w:pPr>
        <w:spacing w:line="360" w:lineRule="auto"/>
        <w:ind w:firstLine="560" w:firstLineChars="200"/>
        <w:rPr>
          <w:rFonts w:ascii="宋体" w:hAnsi="宋体" w:eastAsia="宋体" w:cs="宋体"/>
          <w:sz w:val="28"/>
          <w:szCs w:val="28"/>
        </w:rPr>
      </w:pPr>
    </w:p>
    <w:p/>
    <w:p>
      <w:pPr>
        <w:pStyle w:val="20"/>
      </w:pPr>
    </w:p>
    <w:bookmarkEnd w:id="315"/>
    <w:bookmarkEnd w:id="316"/>
    <w:bookmarkEnd w:id="317"/>
    <w:bookmarkEnd w:id="318"/>
    <w:bookmarkEnd w:id="319"/>
    <w:bookmarkEnd w:id="320"/>
    <w:bookmarkEnd w:id="321"/>
    <w:bookmarkEnd w:id="322"/>
    <w:bookmarkEnd w:id="323"/>
    <w:bookmarkEnd w:id="324"/>
    <w:bookmarkEnd w:id="325"/>
    <w:bookmarkEnd w:id="326"/>
    <w:p>
      <w:pPr>
        <w:autoSpaceDE w:val="0"/>
        <w:autoSpaceDN w:val="0"/>
        <w:adjustRightInd w:val="0"/>
        <w:spacing w:line="360" w:lineRule="auto"/>
        <w:jc w:val="center"/>
        <w:outlineLvl w:val="2"/>
        <w:rPr>
          <w:rFonts w:ascii="宋体" w:hAnsi="宋体"/>
          <w:b/>
          <w:kern w:val="0"/>
          <w:sz w:val="28"/>
          <w:szCs w:val="28"/>
        </w:rPr>
      </w:pPr>
      <w:bookmarkStart w:id="327" w:name="_Toc7760"/>
      <w:bookmarkStart w:id="328" w:name="_Toc32075"/>
      <w:bookmarkStart w:id="329" w:name="_Toc3498"/>
      <w:bookmarkStart w:id="330" w:name="_Toc25670"/>
      <w:bookmarkStart w:id="331" w:name="_Toc16756"/>
      <w:bookmarkStart w:id="332" w:name="_Toc6606"/>
      <w:bookmarkStart w:id="333" w:name="_Toc28436"/>
      <w:bookmarkStart w:id="334" w:name="_Toc19937"/>
      <w:bookmarkStart w:id="335" w:name="_Toc750"/>
      <w:r>
        <w:rPr>
          <w:rFonts w:hint="eastAsia" w:ascii="宋体" w:hAnsi="宋体"/>
          <w:b/>
          <w:kern w:val="0"/>
          <w:sz w:val="28"/>
          <w:szCs w:val="28"/>
        </w:rPr>
        <w:t>（二）法定代表人资格证明书</w:t>
      </w: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ind w:firstLine="612"/>
        <w:rPr>
          <w:rFonts w:ascii="宋体" w:hAnsi="宋体"/>
          <w:sz w:val="28"/>
          <w:szCs w:val="28"/>
        </w:rPr>
      </w:pPr>
      <w:r>
        <w:rPr>
          <w:rFonts w:hint="eastAsia" w:ascii="宋体" w:hAnsi="宋体"/>
          <w:sz w:val="28"/>
          <w:szCs w:val="28"/>
        </w:rPr>
        <w:t>单位名称：</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360" w:lineRule="auto"/>
        <w:ind w:firstLine="612"/>
        <w:rPr>
          <w:rFonts w:ascii="宋体" w:hAnsi="宋体"/>
          <w:sz w:val="28"/>
          <w:szCs w:val="28"/>
        </w:rPr>
      </w:pPr>
    </w:p>
    <w:p>
      <w:pPr>
        <w:spacing w:line="360" w:lineRule="auto"/>
        <w:ind w:firstLine="610"/>
        <w:rPr>
          <w:rFonts w:ascii="宋体" w:hAnsi="宋体"/>
          <w:sz w:val="28"/>
          <w:szCs w:val="28"/>
          <w:u w:val="single"/>
        </w:rPr>
      </w:pPr>
      <w:r>
        <w:rPr>
          <w:rFonts w:hint="eastAsia" w:ascii="宋体" w:hAnsi="宋体"/>
          <w:sz w:val="28"/>
          <w:szCs w:val="28"/>
        </w:rPr>
        <w:t>单位性质：</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360" w:lineRule="auto"/>
        <w:ind w:firstLine="610"/>
        <w:rPr>
          <w:rFonts w:ascii="宋体" w:hAnsi="宋体"/>
          <w:sz w:val="28"/>
          <w:szCs w:val="28"/>
        </w:rPr>
      </w:pPr>
    </w:p>
    <w:p>
      <w:pPr>
        <w:spacing w:line="360" w:lineRule="auto"/>
        <w:ind w:firstLine="610"/>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360" w:lineRule="auto"/>
        <w:ind w:firstLine="610"/>
        <w:rPr>
          <w:rFonts w:ascii="宋体" w:hAnsi="宋体"/>
          <w:sz w:val="28"/>
          <w:szCs w:val="28"/>
        </w:rPr>
      </w:pPr>
    </w:p>
    <w:p>
      <w:pPr>
        <w:spacing w:line="360" w:lineRule="auto"/>
        <w:ind w:firstLine="610"/>
        <w:rPr>
          <w:rFonts w:ascii="宋体" w:hAnsi="宋体"/>
          <w:sz w:val="28"/>
          <w:szCs w:val="28"/>
        </w:rPr>
      </w:pPr>
      <w:r>
        <w:rPr>
          <w:rFonts w:hint="eastAsia" w:ascii="宋体" w:hAnsi="宋体"/>
          <w:sz w:val="28"/>
          <w:szCs w:val="28"/>
        </w:rPr>
        <w:t>成立时间：    年  月  日</w:t>
      </w:r>
    </w:p>
    <w:p>
      <w:pPr>
        <w:spacing w:line="360" w:lineRule="auto"/>
        <w:ind w:firstLine="610"/>
        <w:rPr>
          <w:rFonts w:ascii="宋体" w:hAnsi="宋体"/>
          <w:sz w:val="28"/>
          <w:szCs w:val="28"/>
        </w:rPr>
      </w:pPr>
    </w:p>
    <w:p>
      <w:pPr>
        <w:spacing w:line="360" w:lineRule="auto"/>
        <w:ind w:firstLine="610"/>
        <w:rPr>
          <w:rFonts w:ascii="宋体" w:hAnsi="宋体"/>
          <w:sz w:val="28"/>
          <w:szCs w:val="28"/>
          <w:u w:val="single"/>
        </w:rPr>
      </w:pPr>
      <w:r>
        <w:rPr>
          <w:rFonts w:hint="eastAsia" w:ascii="宋体" w:hAnsi="宋体"/>
          <w:sz w:val="28"/>
          <w:szCs w:val="28"/>
        </w:rPr>
        <w:t>经营期限：</w:t>
      </w:r>
      <w:r>
        <w:rPr>
          <w:rFonts w:hint="eastAsia" w:ascii="宋体" w:hAnsi="宋体"/>
          <w:sz w:val="28"/>
          <w:szCs w:val="28"/>
          <w:u w:val="single"/>
        </w:rPr>
        <w:tab/>
      </w:r>
      <w:r>
        <w:rPr>
          <w:rFonts w:hint="eastAsia" w:ascii="宋体" w:hAnsi="宋体"/>
          <w:sz w:val="28"/>
          <w:szCs w:val="28"/>
          <w:u w:val="single"/>
        </w:rPr>
        <w:tab/>
      </w:r>
    </w:p>
    <w:p>
      <w:pPr>
        <w:spacing w:line="360" w:lineRule="auto"/>
        <w:ind w:firstLine="610"/>
        <w:rPr>
          <w:rFonts w:ascii="宋体" w:hAnsi="宋体"/>
          <w:sz w:val="28"/>
          <w:szCs w:val="28"/>
        </w:rPr>
      </w:pPr>
    </w:p>
    <w:p>
      <w:pPr>
        <w:spacing w:line="360" w:lineRule="auto"/>
        <w:ind w:firstLine="610"/>
        <w:rPr>
          <w:rFonts w:ascii="宋体" w:hAnsi="宋体"/>
          <w:sz w:val="28"/>
          <w:szCs w:val="28"/>
          <w:u w:val="single"/>
        </w:rPr>
      </w:pPr>
      <w:r>
        <w:rPr>
          <w:rFonts w:hint="eastAsia" w:ascii="宋体" w:hAnsi="宋体"/>
          <w:sz w:val="28"/>
          <w:szCs w:val="28"/>
        </w:rPr>
        <w:t>姓名：      性别：     年龄：     职务：</w:t>
      </w:r>
      <w:r>
        <w:rPr>
          <w:rFonts w:hint="eastAsia" w:ascii="宋体" w:hAnsi="宋体"/>
          <w:sz w:val="28"/>
          <w:szCs w:val="28"/>
        </w:rPr>
        <w:tab/>
      </w:r>
      <w:r>
        <w:rPr>
          <w:rFonts w:hint="eastAsia" w:ascii="宋体" w:hAnsi="宋体"/>
          <w:sz w:val="28"/>
          <w:szCs w:val="28"/>
        </w:rPr>
        <w:tab/>
      </w:r>
    </w:p>
    <w:p>
      <w:pPr>
        <w:spacing w:line="360" w:lineRule="auto"/>
        <w:ind w:firstLine="610"/>
        <w:rPr>
          <w:rFonts w:ascii="宋体" w:hAnsi="宋体"/>
          <w:sz w:val="28"/>
          <w:szCs w:val="28"/>
        </w:rPr>
      </w:pPr>
    </w:p>
    <w:p>
      <w:pPr>
        <w:spacing w:line="360" w:lineRule="auto"/>
        <w:ind w:firstLine="610"/>
        <w:rPr>
          <w:rFonts w:ascii="宋体" w:hAnsi="宋体"/>
          <w:sz w:val="28"/>
          <w:szCs w:val="28"/>
        </w:rPr>
      </w:pPr>
      <w:r>
        <w:rPr>
          <w:rFonts w:hint="eastAsia" w:ascii="宋体" w:hAnsi="宋体"/>
          <w:sz w:val="28"/>
          <w:szCs w:val="28"/>
        </w:rPr>
        <w:t>系</w:t>
      </w:r>
      <w:r>
        <w:rPr>
          <w:rFonts w:hint="eastAsia" w:ascii="宋体" w:hAnsi="宋体"/>
          <w:sz w:val="28"/>
          <w:szCs w:val="28"/>
          <w:u w:val="single"/>
        </w:rPr>
        <w:t xml:space="preserve">          （比选申请人单位名称）         </w:t>
      </w:r>
      <w:r>
        <w:rPr>
          <w:rFonts w:hint="eastAsia" w:ascii="宋体" w:hAnsi="宋体"/>
          <w:sz w:val="28"/>
          <w:szCs w:val="28"/>
        </w:rPr>
        <w:t>的法定代表人。</w:t>
      </w:r>
    </w:p>
    <w:p>
      <w:pPr>
        <w:spacing w:line="360" w:lineRule="auto"/>
        <w:ind w:firstLine="610"/>
        <w:rPr>
          <w:rFonts w:ascii="宋体" w:hAnsi="宋体"/>
          <w:sz w:val="28"/>
          <w:szCs w:val="28"/>
        </w:rPr>
      </w:pPr>
    </w:p>
    <w:p>
      <w:pPr>
        <w:spacing w:line="360" w:lineRule="auto"/>
        <w:ind w:firstLine="610"/>
        <w:rPr>
          <w:rFonts w:ascii="宋体" w:hAnsi="宋体"/>
          <w:sz w:val="28"/>
          <w:szCs w:val="28"/>
        </w:rPr>
      </w:pPr>
      <w:r>
        <w:rPr>
          <w:rFonts w:hint="eastAsia" w:ascii="宋体" w:hAnsi="宋体"/>
          <w:sz w:val="28"/>
          <w:szCs w:val="28"/>
        </w:rPr>
        <w:t>特此证明。</w:t>
      </w:r>
    </w:p>
    <w:p>
      <w:pPr>
        <w:tabs>
          <w:tab w:val="left" w:pos="720"/>
          <w:tab w:val="left" w:pos="900"/>
        </w:tabs>
        <w:spacing w:line="360" w:lineRule="auto"/>
        <w:rPr>
          <w:rFonts w:ascii="宋体" w:hAnsi="宋体"/>
          <w:sz w:val="28"/>
          <w:szCs w:val="28"/>
        </w:rPr>
      </w:pPr>
    </w:p>
    <w:p>
      <w:pPr>
        <w:tabs>
          <w:tab w:val="left" w:pos="720"/>
          <w:tab w:val="left" w:pos="900"/>
        </w:tabs>
        <w:spacing w:line="360" w:lineRule="auto"/>
        <w:jc w:val="center"/>
        <w:rPr>
          <w:rFonts w:ascii="宋体" w:hAnsi="宋体"/>
          <w:sz w:val="28"/>
          <w:szCs w:val="28"/>
        </w:rPr>
      </w:pPr>
      <w:r>
        <w:rPr>
          <w:rFonts w:hint="eastAsia" w:ascii="宋体" w:hAnsi="宋体"/>
          <w:sz w:val="28"/>
          <w:szCs w:val="28"/>
        </w:rPr>
        <w:t xml:space="preserve">                           比选申请人：</w:t>
      </w:r>
      <w:r>
        <w:rPr>
          <w:rFonts w:hint="eastAsia" w:ascii="宋体" w:hAnsi="宋体"/>
          <w:sz w:val="28"/>
          <w:szCs w:val="28"/>
          <w:u w:val="single"/>
        </w:rPr>
        <w:t xml:space="preserve">     （盖公章）        </w:t>
      </w:r>
    </w:p>
    <w:p>
      <w:pPr>
        <w:spacing w:line="360" w:lineRule="auto"/>
        <w:jc w:val="center"/>
        <w:rPr>
          <w:rFonts w:ascii="宋体" w:hAnsi="宋体"/>
          <w:sz w:val="28"/>
          <w:szCs w:val="28"/>
        </w:rPr>
      </w:pPr>
      <w:r>
        <w:rPr>
          <w:rFonts w:hint="eastAsia" w:ascii="宋体" w:hAnsi="宋体"/>
          <w:sz w:val="28"/>
          <w:szCs w:val="28"/>
        </w:rPr>
        <w:t xml:space="preserve">                                  日  期：   年  月  日</w:t>
      </w:r>
    </w:p>
    <w:p>
      <w:pPr>
        <w:spacing w:line="360" w:lineRule="auto"/>
        <w:jc w:val="center"/>
        <w:rPr>
          <w:rFonts w:ascii="宋体" w:hAnsi="宋体"/>
          <w:sz w:val="24"/>
        </w:rPr>
      </w:pPr>
    </w:p>
    <w:p>
      <w:pPr>
        <w:pStyle w:val="20"/>
      </w:pPr>
    </w:p>
    <w:p>
      <w:pPr>
        <w:autoSpaceDE w:val="0"/>
        <w:autoSpaceDN w:val="0"/>
        <w:adjustRightInd w:val="0"/>
        <w:spacing w:line="360" w:lineRule="auto"/>
        <w:jc w:val="center"/>
        <w:outlineLvl w:val="2"/>
        <w:rPr>
          <w:rFonts w:ascii="宋体" w:hAnsi="宋体"/>
          <w:b/>
          <w:kern w:val="0"/>
          <w:sz w:val="28"/>
          <w:szCs w:val="28"/>
        </w:rPr>
      </w:pPr>
      <w:r>
        <w:rPr>
          <w:rFonts w:hint="eastAsia" w:ascii="宋体" w:hAnsi="宋体"/>
          <w:b/>
          <w:kern w:val="0"/>
          <w:sz w:val="28"/>
          <w:szCs w:val="28"/>
        </w:rPr>
        <w:t>（三）法定代表人身份证明文件（提供复印件加盖法人单位公章）</w:t>
      </w:r>
    </w:p>
    <w:bookmarkEnd w:id="327"/>
    <w:bookmarkEnd w:id="328"/>
    <w:bookmarkEnd w:id="329"/>
    <w:bookmarkEnd w:id="330"/>
    <w:bookmarkEnd w:id="331"/>
    <w:bookmarkEnd w:id="332"/>
    <w:bookmarkEnd w:id="333"/>
    <w:bookmarkEnd w:id="334"/>
    <w:bookmarkEnd w:id="335"/>
    <w:p>
      <w:pPr>
        <w:jc w:val="center"/>
        <w:rPr>
          <w:b/>
        </w:rPr>
      </w:pPr>
      <w:bookmarkStart w:id="336" w:name="_Toc25475"/>
      <w:bookmarkStart w:id="337" w:name="_Toc31998"/>
      <w:bookmarkStart w:id="338" w:name="_Toc26769"/>
      <w:bookmarkStart w:id="339" w:name="_Toc15888"/>
      <w:bookmarkStart w:id="340" w:name="_Toc23325"/>
      <w:bookmarkStart w:id="341" w:name="_Toc13801"/>
      <w:bookmarkStart w:id="342" w:name="_Toc21144"/>
      <w:bookmarkStart w:id="343" w:name="_Toc31582"/>
      <w:bookmarkStart w:id="344" w:name="_Toc20357"/>
      <w:bookmarkStart w:id="345" w:name="_Toc471482371"/>
      <w:bookmarkStart w:id="346" w:name="_Toc19934"/>
      <w:bookmarkStart w:id="347" w:name="_Toc29536"/>
      <w:bookmarkStart w:id="348" w:name="_Toc32510"/>
      <w:bookmarkStart w:id="349" w:name="_Toc9379"/>
      <w:bookmarkStart w:id="350" w:name="_Toc1986"/>
      <w:bookmarkStart w:id="351" w:name="_Toc23508"/>
      <w:bookmarkStart w:id="352" w:name="_Toc31521"/>
    </w:p>
    <w:p>
      <w:pPr>
        <w:pStyle w:val="20"/>
        <w:jc w:val="center"/>
        <w:rPr>
          <w:b/>
        </w:rPr>
      </w:pPr>
    </w:p>
    <w:p>
      <w:pPr>
        <w:pStyle w:val="8"/>
        <w:jc w:val="center"/>
        <w:rPr>
          <w:b/>
        </w:rPr>
      </w:pPr>
    </w:p>
    <w:p>
      <w:pPr>
        <w:jc w:val="center"/>
        <w:rPr>
          <w:b/>
        </w:rPr>
      </w:pPr>
    </w:p>
    <w:p>
      <w:pPr>
        <w:pStyle w:val="20"/>
        <w:jc w:val="center"/>
        <w:rPr>
          <w:b/>
        </w:rPr>
      </w:pPr>
    </w:p>
    <w:p>
      <w:pPr>
        <w:pStyle w:val="8"/>
        <w:jc w:val="center"/>
        <w:rPr>
          <w:b/>
        </w:rPr>
      </w:pPr>
    </w:p>
    <w:p>
      <w:pPr>
        <w:jc w:val="center"/>
        <w:rPr>
          <w:b/>
        </w:rPr>
      </w:pPr>
    </w:p>
    <w:p>
      <w:pPr>
        <w:pStyle w:val="20"/>
        <w:jc w:val="center"/>
        <w:rPr>
          <w:b/>
        </w:rPr>
      </w:pPr>
    </w:p>
    <w:p>
      <w:pPr>
        <w:pStyle w:val="8"/>
        <w:jc w:val="center"/>
        <w:rPr>
          <w:b/>
        </w:rPr>
      </w:pPr>
    </w:p>
    <w:p>
      <w:pPr>
        <w:jc w:val="center"/>
        <w:rPr>
          <w:b/>
        </w:rPr>
      </w:pPr>
    </w:p>
    <w:p>
      <w:pPr>
        <w:pStyle w:val="20"/>
        <w:jc w:val="center"/>
        <w:rPr>
          <w:b/>
        </w:rPr>
      </w:pPr>
    </w:p>
    <w:p>
      <w:pPr>
        <w:pStyle w:val="8"/>
        <w:jc w:val="center"/>
        <w:rPr>
          <w:b/>
        </w:rPr>
      </w:pPr>
    </w:p>
    <w:p>
      <w:pPr>
        <w:jc w:val="center"/>
        <w:rPr>
          <w:b/>
        </w:rPr>
      </w:pPr>
    </w:p>
    <w:p>
      <w:pPr>
        <w:pStyle w:val="20"/>
        <w:jc w:val="center"/>
        <w:rPr>
          <w:b/>
        </w:rPr>
      </w:pPr>
    </w:p>
    <w:p>
      <w:pPr>
        <w:pStyle w:val="8"/>
        <w:jc w:val="center"/>
        <w:rPr>
          <w:b/>
        </w:rPr>
      </w:pPr>
    </w:p>
    <w:p>
      <w:pPr>
        <w:jc w:val="center"/>
        <w:rPr>
          <w:b/>
        </w:rPr>
      </w:pPr>
    </w:p>
    <w:p>
      <w:pPr>
        <w:pStyle w:val="20"/>
        <w:jc w:val="center"/>
        <w:rPr>
          <w:b/>
        </w:rPr>
      </w:pPr>
    </w:p>
    <w:p>
      <w:pPr>
        <w:pStyle w:val="8"/>
        <w:jc w:val="center"/>
        <w:rPr>
          <w:b/>
        </w:rPr>
      </w:pPr>
    </w:p>
    <w:p>
      <w:pPr>
        <w:jc w:val="center"/>
        <w:rPr>
          <w:b/>
        </w:rPr>
      </w:pPr>
    </w:p>
    <w:p>
      <w:pPr>
        <w:pStyle w:val="20"/>
        <w:jc w:val="center"/>
        <w:rPr>
          <w:b/>
        </w:rPr>
      </w:pPr>
    </w:p>
    <w:p>
      <w:pPr>
        <w:pStyle w:val="8"/>
        <w:jc w:val="center"/>
        <w:rPr>
          <w:b/>
        </w:rPr>
      </w:pPr>
    </w:p>
    <w:p/>
    <w:p>
      <w:pPr>
        <w:pStyle w:val="20"/>
      </w:pPr>
    </w:p>
    <w:p>
      <w:pPr>
        <w:pStyle w:val="8"/>
      </w:pPr>
    </w:p>
    <w:p>
      <w:pPr>
        <w:jc w:val="center"/>
        <w:rPr>
          <w:b/>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360" w:lineRule="auto"/>
        <w:jc w:val="center"/>
        <w:outlineLvl w:val="2"/>
        <w:rPr>
          <w:rFonts w:hint="eastAsia" w:asciiTheme="minorEastAsia" w:hAnsiTheme="minorEastAsia" w:cstheme="minorEastAsia"/>
          <w:b/>
          <w:kern w:val="0"/>
          <w:sz w:val="28"/>
          <w:szCs w:val="28"/>
        </w:rPr>
      </w:pPr>
      <w:r>
        <w:rPr>
          <w:rFonts w:hint="eastAsia" w:asciiTheme="minorEastAsia" w:hAnsiTheme="minorEastAsia" w:cstheme="minorEastAsia"/>
          <w:b/>
          <w:kern w:val="0"/>
          <w:sz w:val="28"/>
          <w:szCs w:val="28"/>
        </w:rPr>
        <w:t>（四）授权委托书</w:t>
      </w:r>
    </w:p>
    <w:p>
      <w:pPr>
        <w:spacing w:line="360" w:lineRule="auto"/>
        <w:jc w:val="center"/>
        <w:rPr>
          <w:rFonts w:hint="eastAsia" w:asciiTheme="minorEastAsia" w:hAnsiTheme="minorEastAsia" w:eastAsia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本授权委托书声明：我</w:t>
      </w:r>
      <w:r>
        <w:rPr>
          <w:rFonts w:hint="eastAsia" w:asciiTheme="minorEastAsia" w:hAnsiTheme="minorEastAsia" w:cstheme="minorEastAsia"/>
          <w:kern w:val="0"/>
          <w:sz w:val="28"/>
          <w:szCs w:val="28"/>
          <w:u w:val="single"/>
        </w:rPr>
        <w:t xml:space="preserve">   （姓名）    </w:t>
      </w:r>
      <w:r>
        <w:rPr>
          <w:rFonts w:hint="eastAsia" w:asciiTheme="minorEastAsia" w:hAnsiTheme="minorEastAsia" w:cstheme="minorEastAsia"/>
          <w:kern w:val="0"/>
          <w:sz w:val="28"/>
          <w:szCs w:val="28"/>
        </w:rPr>
        <w:t>系</w:t>
      </w:r>
      <w:r>
        <w:rPr>
          <w:rFonts w:hint="eastAsia" w:asciiTheme="minorEastAsia" w:hAnsiTheme="minorEastAsia" w:cstheme="minorEastAsia"/>
          <w:kern w:val="0"/>
          <w:sz w:val="28"/>
          <w:szCs w:val="28"/>
          <w:u w:val="single"/>
        </w:rPr>
        <w:t>（比选申请人名称）</w:t>
      </w:r>
      <w:r>
        <w:rPr>
          <w:rFonts w:hint="eastAsia" w:asciiTheme="minorEastAsia" w:hAnsiTheme="minorEastAsia" w:cstheme="minorEastAsia"/>
          <w:kern w:val="0"/>
          <w:sz w:val="28"/>
          <w:szCs w:val="28"/>
        </w:rPr>
        <w:t>的法定代表人，现授权委托</w:t>
      </w:r>
      <w:r>
        <w:rPr>
          <w:rFonts w:hint="eastAsia" w:asciiTheme="minorEastAsia" w:hAnsiTheme="minorEastAsia" w:cstheme="minorEastAsia"/>
          <w:kern w:val="0"/>
          <w:sz w:val="28"/>
          <w:szCs w:val="28"/>
          <w:u w:val="single"/>
        </w:rPr>
        <w:t xml:space="preserve">(比选申请人名称)        </w:t>
      </w:r>
      <w:r>
        <w:rPr>
          <w:rFonts w:hint="eastAsia" w:asciiTheme="minorEastAsia" w:hAnsiTheme="minorEastAsia" w:cstheme="minorEastAsia"/>
          <w:kern w:val="0"/>
          <w:sz w:val="28"/>
          <w:szCs w:val="28"/>
        </w:rPr>
        <w:t>的</w:t>
      </w:r>
      <w:r>
        <w:rPr>
          <w:rFonts w:hint="eastAsia" w:asciiTheme="minorEastAsia" w:hAnsiTheme="minorEastAsia" w:cstheme="minorEastAsia"/>
          <w:kern w:val="0"/>
          <w:sz w:val="28"/>
          <w:szCs w:val="28"/>
          <w:u w:val="single"/>
        </w:rPr>
        <w:t xml:space="preserve">   （姓名）  </w:t>
      </w:r>
      <w:r>
        <w:rPr>
          <w:rFonts w:hint="eastAsia" w:asciiTheme="minorEastAsia" w:hAnsiTheme="minorEastAsia" w:cstheme="minorEastAsia"/>
          <w:kern w:val="0"/>
          <w:sz w:val="28"/>
          <w:szCs w:val="28"/>
        </w:rPr>
        <w:t>为我公司代理人，以本公司名义参加项目比选活动。代理人在评审、合同过程中所签署的一切文件和处理与之有关的一切事务，我均予以确认。</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代理人无转委托权。特此委托。</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代理人：性别：年龄：</w:t>
      </w: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单位：部门： 职务：</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比选申请人：（ 加盖单位公章）</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法定代表人：（签字、盖章）</w:t>
      </w:r>
    </w:p>
    <w:p>
      <w:pPr>
        <w:autoSpaceDE w:val="0"/>
        <w:autoSpaceDN w:val="0"/>
        <w:adjustRightInd w:val="0"/>
        <w:spacing w:line="360" w:lineRule="auto"/>
        <w:ind w:firstLine="716" w:firstLineChars="256"/>
        <w:rPr>
          <w:rFonts w:hint="eastAsia" w:asciiTheme="minorEastAsia" w:hAnsiTheme="minorEastAsia" w:cstheme="minorEastAsia"/>
          <w:kern w:val="0"/>
          <w:sz w:val="28"/>
          <w:szCs w:val="28"/>
        </w:rPr>
      </w:pPr>
    </w:p>
    <w:p>
      <w:pPr>
        <w:autoSpaceDE w:val="0"/>
        <w:autoSpaceDN w:val="0"/>
        <w:adjustRightInd w:val="0"/>
        <w:spacing w:line="360" w:lineRule="auto"/>
        <w:ind w:firstLine="560" w:firstLineChars="200"/>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日期：</w:t>
      </w:r>
      <w:r>
        <w:rPr>
          <w:rFonts w:hint="eastAsia" w:asciiTheme="minorEastAsia" w:hAnsiTheme="minorEastAsia" w:cstheme="minorEastAsia"/>
          <w:kern w:val="0"/>
          <w:sz w:val="28"/>
          <w:szCs w:val="28"/>
          <w:lang w:val="en-US" w:eastAsia="zh-CN"/>
        </w:rPr>
        <w:t xml:space="preserve">  </w:t>
      </w:r>
      <w:r>
        <w:rPr>
          <w:rFonts w:hint="eastAsia" w:asciiTheme="minorEastAsia" w:hAnsiTheme="minorEastAsia" w:cstheme="minorEastAsia"/>
          <w:kern w:val="0"/>
          <w:sz w:val="28"/>
          <w:szCs w:val="28"/>
        </w:rPr>
        <w:t>年</w:t>
      </w:r>
      <w:r>
        <w:rPr>
          <w:rFonts w:hint="eastAsia" w:asciiTheme="minorEastAsia" w:hAnsiTheme="minorEastAsia" w:cstheme="minorEastAsia"/>
          <w:kern w:val="0"/>
          <w:sz w:val="28"/>
          <w:szCs w:val="28"/>
          <w:lang w:val="en-US" w:eastAsia="zh-CN"/>
        </w:rPr>
        <w:t xml:space="preserve">  </w:t>
      </w:r>
      <w:r>
        <w:rPr>
          <w:rFonts w:hint="eastAsia" w:asciiTheme="minorEastAsia" w:hAnsiTheme="minorEastAsia" w:cstheme="minorEastAsia"/>
          <w:kern w:val="0"/>
          <w:sz w:val="28"/>
          <w:szCs w:val="28"/>
        </w:rPr>
        <w:t>月</w:t>
      </w:r>
      <w:r>
        <w:rPr>
          <w:rFonts w:hint="eastAsia" w:asciiTheme="minorEastAsia" w:hAnsiTheme="minorEastAsia" w:cstheme="minorEastAsia"/>
          <w:kern w:val="0"/>
          <w:sz w:val="28"/>
          <w:szCs w:val="28"/>
          <w:lang w:val="en-US" w:eastAsia="zh-CN"/>
        </w:rPr>
        <w:t xml:space="preserve">  </w:t>
      </w:r>
      <w:r>
        <w:rPr>
          <w:rFonts w:hint="eastAsia" w:asciiTheme="minorEastAsia" w:hAnsiTheme="minorEastAsia" w:cstheme="minorEastAsia"/>
          <w:kern w:val="0"/>
          <w:sz w:val="28"/>
          <w:szCs w:val="28"/>
        </w:rPr>
        <w:t>日</w:t>
      </w:r>
    </w:p>
    <w:p>
      <w:pPr>
        <w:pStyle w:val="20"/>
        <w:jc w:val="center"/>
      </w:pPr>
    </w:p>
    <w:p>
      <w:pPr>
        <w:pStyle w:val="8"/>
        <w:jc w:val="center"/>
      </w:pPr>
    </w:p>
    <w:p>
      <w:pPr>
        <w:jc w:val="center"/>
      </w:pPr>
    </w:p>
    <w:p>
      <w:pPr>
        <w:pStyle w:val="20"/>
        <w:jc w:val="center"/>
      </w:pPr>
    </w:p>
    <w:p>
      <w:pPr>
        <w:pStyle w:val="8"/>
        <w:jc w:val="center"/>
      </w:pPr>
    </w:p>
    <w:p/>
    <w:p>
      <w:pPr>
        <w:pStyle w:val="20"/>
        <w:numPr>
          <w:ilvl w:val="0"/>
          <w:numId w:val="5"/>
        </w:numPr>
        <w:spacing w:line="360" w:lineRule="auto"/>
        <w:outlineLvl w:val="2"/>
        <w:rPr>
          <w:rFonts w:ascii="宋体" w:hAnsi="宋体"/>
          <w:b/>
          <w:sz w:val="28"/>
          <w:szCs w:val="28"/>
        </w:rPr>
      </w:pPr>
      <w:r>
        <w:rPr>
          <w:rFonts w:hint="eastAsia" w:ascii="宋体" w:hAnsi="宋体"/>
          <w:b/>
          <w:sz w:val="28"/>
          <w:szCs w:val="28"/>
        </w:rPr>
        <w:t>授权代理人身份证明文件（提供复印件加盖法人单位公章）</w:t>
      </w: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rPr>
          <w:rFonts w:ascii="宋体" w:hAnsi="宋体"/>
          <w:b/>
          <w:sz w:val="30"/>
          <w:szCs w:val="30"/>
        </w:rPr>
      </w:pPr>
    </w:p>
    <w:p>
      <w:pPr>
        <w:pStyle w:val="20"/>
        <w:numPr>
          <w:ilvl w:val="255"/>
          <w:numId w:val="0"/>
        </w:numPr>
        <w:jc w:val="both"/>
        <w:rPr>
          <w:rFonts w:ascii="宋体" w:hAnsi="宋体"/>
          <w:b/>
          <w:sz w:val="30"/>
          <w:szCs w:val="30"/>
        </w:rPr>
      </w:pPr>
    </w:p>
    <w:p>
      <w:pPr>
        <w:pStyle w:val="20"/>
        <w:numPr>
          <w:ilvl w:val="255"/>
          <w:numId w:val="0"/>
        </w:numPr>
        <w:spacing w:line="360" w:lineRule="auto"/>
        <w:jc w:val="both"/>
        <w:outlineLvl w:val="2"/>
        <w:rPr>
          <w:sz w:val="28"/>
          <w:szCs w:val="28"/>
        </w:rPr>
      </w:pPr>
      <w:r>
        <w:rPr>
          <w:rFonts w:hint="eastAsia" w:ascii="宋体" w:hAnsi="宋体"/>
          <w:b/>
          <w:sz w:val="28"/>
          <w:szCs w:val="28"/>
        </w:rPr>
        <w:t>（六）营业执照复印件、税务登记证复印件（如已办理三证合一则不需提供）、组织机构代码证复印件（如已办理三证合一则不需提供）（加盖单位公章）</w:t>
      </w:r>
    </w:p>
    <w:p>
      <w:pPr>
        <w:jc w:val="center"/>
      </w:pPr>
    </w:p>
    <w:p>
      <w:pPr>
        <w:pStyle w:val="20"/>
        <w:jc w:val="center"/>
      </w:pPr>
    </w:p>
    <w:p>
      <w:pPr>
        <w:pStyle w:val="8"/>
        <w:jc w:val="center"/>
      </w:pPr>
    </w:p>
    <w:p>
      <w:pPr>
        <w:jc w:val="center"/>
      </w:pPr>
    </w:p>
    <w:p>
      <w:pPr>
        <w:pStyle w:val="20"/>
        <w:jc w:val="center"/>
      </w:pPr>
    </w:p>
    <w:p>
      <w:pPr>
        <w:pStyle w:val="8"/>
        <w:jc w:val="center"/>
      </w:pPr>
    </w:p>
    <w:p>
      <w:pPr>
        <w:jc w:val="center"/>
      </w:pPr>
    </w:p>
    <w:p>
      <w:pPr>
        <w:pStyle w:val="20"/>
        <w:jc w:val="center"/>
      </w:pPr>
    </w:p>
    <w:p>
      <w:pPr>
        <w:pStyle w:val="8"/>
        <w:jc w:val="center"/>
      </w:pPr>
    </w:p>
    <w:p>
      <w:pPr>
        <w:jc w:val="center"/>
      </w:pPr>
    </w:p>
    <w:p>
      <w:pPr>
        <w:pStyle w:val="20"/>
        <w:jc w:val="center"/>
      </w:pPr>
    </w:p>
    <w:p>
      <w:pPr>
        <w:pStyle w:val="8"/>
        <w:jc w:val="center"/>
      </w:pPr>
    </w:p>
    <w:p>
      <w:pPr>
        <w:jc w:val="center"/>
      </w:pPr>
    </w:p>
    <w:p>
      <w:pPr>
        <w:pStyle w:val="20"/>
        <w:jc w:val="center"/>
      </w:pPr>
    </w:p>
    <w:p>
      <w:pPr>
        <w:pStyle w:val="8"/>
        <w:jc w:val="center"/>
      </w:pPr>
    </w:p>
    <w:p>
      <w:pPr>
        <w:jc w:val="center"/>
      </w:pPr>
    </w:p>
    <w:p>
      <w:pPr>
        <w:pStyle w:val="20"/>
        <w:jc w:val="center"/>
      </w:pPr>
    </w:p>
    <w:p>
      <w:pPr>
        <w:pStyle w:val="8"/>
        <w:jc w:val="center"/>
      </w:pPr>
    </w:p>
    <w:p>
      <w:pPr>
        <w:jc w:val="center"/>
      </w:pPr>
    </w:p>
    <w:p>
      <w:pPr>
        <w:pStyle w:val="20"/>
        <w:jc w:val="center"/>
      </w:pPr>
    </w:p>
    <w:p>
      <w:pPr>
        <w:pStyle w:val="8"/>
        <w:jc w:val="center"/>
      </w:pPr>
    </w:p>
    <w:p>
      <w:pPr>
        <w:jc w:val="center"/>
      </w:pPr>
    </w:p>
    <w:p>
      <w:pPr>
        <w:pStyle w:val="20"/>
        <w:jc w:val="center"/>
      </w:pPr>
    </w:p>
    <w:p>
      <w:pPr>
        <w:pStyle w:val="8"/>
      </w:pPr>
    </w:p>
    <w:p/>
    <w:p>
      <w:pPr>
        <w:pStyle w:val="20"/>
      </w:pPr>
    </w:p>
    <w:p>
      <w:pPr>
        <w:autoSpaceDE w:val="0"/>
        <w:autoSpaceDN w:val="0"/>
        <w:adjustRightInd w:val="0"/>
        <w:spacing w:line="360" w:lineRule="auto"/>
        <w:outlineLvl w:val="2"/>
        <w:rPr>
          <w:rFonts w:ascii="宋体" w:hAnsi="宋体"/>
          <w:b/>
          <w:kern w:val="0"/>
          <w:sz w:val="28"/>
          <w:szCs w:val="28"/>
        </w:rPr>
      </w:pPr>
      <w:r>
        <w:rPr>
          <w:rFonts w:hint="eastAsia" w:hAnsi="宋体"/>
          <w:b/>
          <w:sz w:val="28"/>
          <w:szCs w:val="28"/>
        </w:rPr>
        <w:t>（七）</w:t>
      </w:r>
      <w:r>
        <w:rPr>
          <w:rFonts w:hint="eastAsia" w:ascii="宋体" w:hAnsi="宋体"/>
          <w:b/>
          <w:kern w:val="0"/>
          <w:sz w:val="28"/>
          <w:szCs w:val="28"/>
        </w:rPr>
        <w:t>企业资质证书复印件（加盖单位公章）；</w:t>
      </w:r>
    </w:p>
    <w:p>
      <w:pPr>
        <w:jc w:val="center"/>
      </w:pPr>
    </w:p>
    <w:p>
      <w:pPr>
        <w:pStyle w:val="20"/>
        <w:jc w:val="center"/>
      </w:pPr>
    </w:p>
    <w:p>
      <w:pPr>
        <w:pStyle w:val="8"/>
        <w:jc w:val="center"/>
      </w:pPr>
    </w:p>
    <w:p>
      <w:pPr>
        <w:jc w:val="center"/>
      </w:pPr>
    </w:p>
    <w:p>
      <w:pPr>
        <w:pStyle w:val="20"/>
        <w:jc w:val="center"/>
      </w:pPr>
    </w:p>
    <w:p>
      <w:pPr>
        <w:pStyle w:val="8"/>
        <w:jc w:val="center"/>
      </w:pPr>
    </w:p>
    <w:p>
      <w:pPr>
        <w:jc w:val="center"/>
      </w:pPr>
    </w:p>
    <w:p>
      <w:pPr>
        <w:pStyle w:val="20"/>
        <w:jc w:val="center"/>
      </w:pPr>
    </w:p>
    <w:p>
      <w:pPr>
        <w:pStyle w:val="8"/>
        <w:jc w:val="center"/>
      </w:pPr>
    </w:p>
    <w:p>
      <w:pPr>
        <w:jc w:val="center"/>
      </w:pPr>
    </w:p>
    <w:p>
      <w:pPr>
        <w:pStyle w:val="20"/>
        <w:jc w:val="center"/>
      </w:pPr>
    </w:p>
    <w:p>
      <w:pPr>
        <w:pStyle w:val="8"/>
        <w:jc w:val="center"/>
      </w:pPr>
    </w:p>
    <w:p>
      <w:pPr>
        <w:jc w:val="center"/>
      </w:pPr>
    </w:p>
    <w:p>
      <w:pPr>
        <w:pStyle w:val="20"/>
        <w:jc w:val="center"/>
      </w:pPr>
    </w:p>
    <w:p>
      <w:pPr>
        <w:pStyle w:val="8"/>
        <w:jc w:val="center"/>
      </w:pPr>
    </w:p>
    <w:p>
      <w:pPr>
        <w:jc w:val="center"/>
      </w:pPr>
    </w:p>
    <w:p>
      <w:pPr>
        <w:pStyle w:val="20"/>
        <w:jc w:val="center"/>
      </w:pPr>
    </w:p>
    <w:p>
      <w:pPr>
        <w:pStyle w:val="8"/>
        <w:jc w:val="center"/>
      </w:pPr>
    </w:p>
    <w:p>
      <w:pPr>
        <w:jc w:val="center"/>
      </w:pPr>
    </w:p>
    <w:p>
      <w:pPr>
        <w:pStyle w:val="20"/>
        <w:jc w:val="center"/>
      </w:pPr>
    </w:p>
    <w:p>
      <w:pPr>
        <w:pStyle w:val="8"/>
        <w:jc w:val="center"/>
      </w:pPr>
    </w:p>
    <w:p>
      <w:pPr>
        <w:jc w:val="center"/>
      </w:pPr>
    </w:p>
    <w:p>
      <w:pPr>
        <w:pStyle w:val="20"/>
        <w:jc w:val="center"/>
      </w:pPr>
    </w:p>
    <w:p>
      <w:pPr>
        <w:pStyle w:val="8"/>
        <w:jc w:val="center"/>
      </w:pPr>
    </w:p>
    <w:p>
      <w:pPr>
        <w:jc w:val="center"/>
      </w:pPr>
    </w:p>
    <w:p>
      <w:pPr>
        <w:pStyle w:val="20"/>
        <w:jc w:val="center"/>
      </w:pPr>
    </w:p>
    <w:p>
      <w:pPr>
        <w:pStyle w:val="8"/>
        <w:jc w:val="center"/>
      </w:pPr>
    </w:p>
    <w:p>
      <w:pPr>
        <w:jc w:val="center"/>
      </w:pPr>
    </w:p>
    <w:p>
      <w:pPr>
        <w:pStyle w:val="20"/>
        <w:jc w:val="both"/>
        <w:outlineLvl w:val="2"/>
        <w:rPr>
          <w:sz w:val="28"/>
          <w:szCs w:val="28"/>
        </w:rPr>
      </w:pPr>
      <w:r>
        <w:rPr>
          <w:rFonts w:hint="eastAsia" w:ascii="宋体" w:hAnsi="宋体"/>
          <w:b/>
          <w:sz w:val="28"/>
          <w:szCs w:val="28"/>
        </w:rPr>
        <w:t>（八）</w:t>
      </w:r>
      <w:r>
        <w:rPr>
          <w:rFonts w:hint="eastAsia" w:hAnsi="宋体"/>
          <w:b/>
          <w:sz w:val="28"/>
          <w:szCs w:val="28"/>
        </w:rPr>
        <w:t>项目负责人职称证书、与本单位签订的合同及</w:t>
      </w:r>
      <w:r>
        <w:rPr>
          <w:rFonts w:hint="eastAsia" w:hAnsi="宋体" w:cstheme="minorBidi"/>
          <w:b/>
          <w:sz w:val="28"/>
          <w:szCs w:val="28"/>
          <w:highlight w:val="none"/>
          <w:lang w:val="zh-CN"/>
        </w:rPr>
        <w:t>2022年12月—2023年2月</w:t>
      </w:r>
      <w:r>
        <w:rPr>
          <w:rFonts w:hint="eastAsia" w:hAnsi="宋体" w:asciiTheme="minorHAnsi" w:cstheme="minorBidi"/>
          <w:b/>
          <w:sz w:val="28"/>
          <w:szCs w:val="28"/>
          <w:highlight w:val="none"/>
          <w:lang w:val="zh-CN"/>
        </w:rPr>
        <w:t>的</w:t>
      </w:r>
      <w:r>
        <w:rPr>
          <w:rFonts w:hint="eastAsia" w:hAnsi="宋体" w:asciiTheme="minorHAnsi" w:cstheme="minorBidi"/>
          <w:b/>
          <w:sz w:val="28"/>
          <w:szCs w:val="28"/>
          <w:highlight w:val="none"/>
        </w:rPr>
        <w:t>社保缴纳记录</w:t>
      </w:r>
    </w:p>
    <w:p>
      <w:pPr>
        <w:jc w:val="center"/>
        <w:rPr>
          <w:b/>
        </w:rPr>
      </w:pPr>
    </w:p>
    <w:p>
      <w:pPr>
        <w:rPr>
          <w:b/>
        </w:rPr>
      </w:pPr>
    </w:p>
    <w:p>
      <w:pPr>
        <w:pStyle w:val="20"/>
        <w:rPr>
          <w:b/>
        </w:rPr>
      </w:pPr>
    </w:p>
    <w:p>
      <w:pPr>
        <w:pStyle w:val="8"/>
        <w:rPr>
          <w:b/>
        </w:rPr>
      </w:pPr>
    </w:p>
    <w:p>
      <w:pPr>
        <w:rPr>
          <w:b/>
        </w:rPr>
      </w:pPr>
    </w:p>
    <w:p>
      <w:pPr>
        <w:pStyle w:val="20"/>
        <w:rPr>
          <w:b/>
        </w:rPr>
      </w:pPr>
    </w:p>
    <w:p>
      <w:pPr>
        <w:pStyle w:val="8"/>
        <w:rPr>
          <w:b/>
        </w:rPr>
      </w:pPr>
    </w:p>
    <w:p>
      <w:pPr>
        <w:rPr>
          <w:b/>
        </w:rPr>
      </w:pPr>
    </w:p>
    <w:p>
      <w:pPr>
        <w:pStyle w:val="20"/>
        <w:rPr>
          <w:b/>
        </w:rPr>
      </w:pPr>
    </w:p>
    <w:p>
      <w:pPr>
        <w:pStyle w:val="8"/>
        <w:rPr>
          <w:b/>
        </w:rPr>
      </w:pPr>
    </w:p>
    <w:p>
      <w:pPr>
        <w:rPr>
          <w:b/>
        </w:rPr>
      </w:pPr>
    </w:p>
    <w:p>
      <w:pPr>
        <w:pStyle w:val="20"/>
        <w:rPr>
          <w:b/>
        </w:rPr>
      </w:pPr>
    </w:p>
    <w:p>
      <w:pPr>
        <w:pStyle w:val="8"/>
        <w:rPr>
          <w:b/>
        </w:rPr>
      </w:pPr>
    </w:p>
    <w:p>
      <w:pPr>
        <w:rPr>
          <w:b/>
        </w:rPr>
      </w:pPr>
    </w:p>
    <w:p>
      <w:pPr>
        <w:pStyle w:val="20"/>
        <w:rPr>
          <w:b/>
        </w:rPr>
      </w:pPr>
    </w:p>
    <w:p>
      <w:pPr>
        <w:pStyle w:val="8"/>
        <w:rPr>
          <w:b/>
        </w:rPr>
      </w:pPr>
    </w:p>
    <w:p>
      <w:pPr>
        <w:rPr>
          <w:b/>
        </w:rPr>
      </w:pPr>
    </w:p>
    <w:p>
      <w:pPr>
        <w:pStyle w:val="20"/>
        <w:rPr>
          <w:b/>
        </w:rPr>
      </w:pPr>
    </w:p>
    <w:p>
      <w:pPr>
        <w:pStyle w:val="8"/>
        <w:rPr>
          <w:b/>
        </w:rPr>
      </w:pPr>
    </w:p>
    <w:p>
      <w:pPr>
        <w:rPr>
          <w:b/>
        </w:rPr>
      </w:pPr>
    </w:p>
    <w:p>
      <w:pPr>
        <w:pStyle w:val="20"/>
        <w:rPr>
          <w:b/>
        </w:rPr>
      </w:pPr>
    </w:p>
    <w:p>
      <w:pPr>
        <w:pStyle w:val="8"/>
        <w:rPr>
          <w:b/>
        </w:rPr>
      </w:pPr>
    </w:p>
    <w:p>
      <w:pPr>
        <w:rPr>
          <w:b/>
        </w:rPr>
      </w:pPr>
    </w:p>
    <w:p>
      <w:pPr>
        <w:pStyle w:val="20"/>
        <w:rPr>
          <w:b/>
        </w:rPr>
      </w:pPr>
    </w:p>
    <w:p>
      <w:pPr>
        <w:pStyle w:val="8"/>
        <w:rPr>
          <w:b/>
        </w:rPr>
      </w:pPr>
    </w:p>
    <w:p>
      <w:pPr>
        <w:rPr>
          <w:b/>
        </w:rPr>
      </w:pPr>
    </w:p>
    <w:p>
      <w:pPr>
        <w:pStyle w:val="20"/>
        <w:rPr>
          <w:b/>
        </w:rPr>
      </w:pPr>
    </w:p>
    <w:p>
      <w:pPr>
        <w:pStyle w:val="8"/>
        <w:spacing w:line="360" w:lineRule="auto"/>
        <w:ind w:right="753"/>
        <w:outlineLvl w:val="2"/>
        <w:rPr>
          <w:rFonts w:hint="eastAsia" w:asciiTheme="minorEastAsia" w:hAnsiTheme="minorEastAsia" w:cstheme="minorEastAsia"/>
          <w:b/>
          <w:sz w:val="28"/>
          <w:szCs w:val="28"/>
        </w:rPr>
      </w:pPr>
      <w:r>
        <w:rPr>
          <w:rFonts w:hint="eastAsia" w:asciiTheme="minorEastAsia" w:hAnsiTheme="minorEastAsia" w:cstheme="minorEastAsia"/>
          <w:b/>
          <w:sz w:val="28"/>
          <w:szCs w:val="28"/>
        </w:rPr>
        <w:t>（九）类似项目业绩证明材料</w:t>
      </w:r>
    </w:p>
    <w:p>
      <w:pPr>
        <w:autoSpaceDE w:val="0"/>
        <w:autoSpaceDN w:val="0"/>
        <w:adjustRightInd w:val="0"/>
        <w:spacing w:line="360" w:lineRule="auto"/>
        <w:ind w:firstLine="560" w:firstLineChars="200"/>
        <w:jc w:val="lef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比选申请人自2020年1月1日至比选公告发布之日前</w:t>
      </w:r>
      <w:r>
        <w:rPr>
          <w:rFonts w:hint="eastAsia" w:asciiTheme="minorEastAsia" w:hAnsiTheme="minorEastAsia" w:cstheme="minorEastAsia"/>
          <w:sz w:val="28"/>
          <w:szCs w:val="28"/>
        </w:rPr>
        <w:t>完成或正在开展</w:t>
      </w:r>
      <w:r>
        <w:rPr>
          <w:rFonts w:hint="eastAsia" w:asciiTheme="minorEastAsia" w:hAnsiTheme="minorEastAsia" w:cstheme="minorEastAsia"/>
          <w:kern w:val="0"/>
          <w:sz w:val="28"/>
          <w:szCs w:val="28"/>
        </w:rPr>
        <w:t>1项市政工程或交通工程类水土保持方案编制服务项目业绩；须附相应合同复印件（必须体现合同对方名称及签订时间，涉及商业秘密的内容可以隐去）。</w:t>
      </w: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ind w:right="753"/>
        <w:rPr>
          <w:rFonts w:hAnsi="宋体"/>
          <w:b/>
          <w:sz w:val="28"/>
          <w:szCs w:val="28"/>
        </w:rPr>
      </w:pPr>
    </w:p>
    <w:p>
      <w:pPr>
        <w:pStyle w:val="8"/>
        <w:spacing w:line="360" w:lineRule="auto"/>
        <w:ind w:right="754"/>
        <w:outlineLvl w:val="2"/>
        <w:rPr>
          <w:rFonts w:hAnsi="宋体"/>
          <w:b/>
          <w:sz w:val="28"/>
          <w:szCs w:val="28"/>
        </w:rPr>
      </w:pPr>
      <w:r>
        <w:rPr>
          <w:rFonts w:hint="eastAsia" w:hAnsi="宋体"/>
          <w:b/>
          <w:sz w:val="28"/>
          <w:szCs w:val="28"/>
        </w:rPr>
        <w:t>（十）其他</w:t>
      </w:r>
    </w:p>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（封面格式）</w:t>
      </w: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4" w:firstLine="560" w:firstLineChars="200"/>
        <w:jc w:val="center"/>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六景火车站综合交通枢纽配套一期工程水土保持方案编制服务项目比选申请文件</w:t>
      </w:r>
    </w:p>
    <w:p>
      <w:pPr>
        <w:pStyle w:val="16"/>
        <w:spacing w:line="360" w:lineRule="auto"/>
        <w:jc w:val="center"/>
        <w:rPr>
          <w:rFonts w:hint="eastAsia" w:asciiTheme="minorEastAsia" w:hAnsiTheme="minorEastAsia" w:cstheme="minorEastAsia"/>
          <w:b w:val="0"/>
          <w:bCs w:val="0"/>
          <w:sz w:val="28"/>
          <w:szCs w:val="28"/>
        </w:rPr>
      </w:pPr>
      <w:bookmarkStart w:id="353" w:name="_Toc3587"/>
      <w:bookmarkStart w:id="354" w:name="_Toc10925"/>
      <w:bookmarkStart w:id="355" w:name="_Toc20460"/>
      <w:bookmarkStart w:id="356" w:name="_Toc3278"/>
      <w:bookmarkStart w:id="357" w:name="_Toc461525327"/>
      <w:bookmarkStart w:id="358" w:name="_Toc27059"/>
      <w:bookmarkStart w:id="359" w:name="_Toc196"/>
      <w:bookmarkStart w:id="360" w:name="_Toc21287"/>
      <w:bookmarkStart w:id="361" w:name="_Toc15573"/>
    </w:p>
    <w:p>
      <w:pPr>
        <w:pStyle w:val="16"/>
        <w:spacing w:line="360" w:lineRule="auto"/>
        <w:jc w:val="center"/>
        <w:rPr>
          <w:rFonts w:hint="eastAsia" w:asciiTheme="minorEastAsia" w:hAnsiTheme="minorEastAsia" w:cstheme="minorEastAsia"/>
          <w:b w:val="0"/>
          <w:bCs w:val="0"/>
          <w:sz w:val="28"/>
          <w:szCs w:val="28"/>
        </w:rPr>
      </w:pPr>
    </w:p>
    <w:p>
      <w:pPr>
        <w:pStyle w:val="16"/>
        <w:spacing w:line="360" w:lineRule="auto"/>
        <w:jc w:val="center"/>
        <w:rPr>
          <w:rFonts w:hint="eastAsia" w:asciiTheme="minorEastAsia" w:hAnsiTheme="minorEastAsia" w:cstheme="minorEastAsia"/>
          <w:b w:val="0"/>
          <w:bCs w:val="0"/>
          <w:sz w:val="28"/>
          <w:szCs w:val="28"/>
        </w:rPr>
      </w:pPr>
    </w:p>
    <w:p>
      <w:pPr>
        <w:pStyle w:val="16"/>
        <w:spacing w:line="360" w:lineRule="auto"/>
        <w:jc w:val="center"/>
        <w:rPr>
          <w:rFonts w:hint="eastAsia" w:asciiTheme="minorEastAsia" w:hAnsiTheme="minorEastAsia" w:cstheme="minorEastAsia"/>
          <w:sz w:val="28"/>
          <w:szCs w:val="28"/>
        </w:rPr>
      </w:pPr>
      <w:r>
        <w:rPr>
          <w:rFonts w:hint="eastAsia" w:asciiTheme="minorEastAsia" w:hAnsiTheme="minorEastAsia" w:cstheme="minorEastAsia"/>
          <w:b w:val="0"/>
          <w:bCs w:val="0"/>
          <w:sz w:val="28"/>
          <w:szCs w:val="28"/>
        </w:rPr>
        <w:t>商务部分</w:t>
      </w:r>
      <w:bookmarkEnd w:id="353"/>
      <w:bookmarkEnd w:id="354"/>
      <w:bookmarkEnd w:id="355"/>
      <w:bookmarkEnd w:id="356"/>
      <w:bookmarkEnd w:id="357"/>
      <w:bookmarkEnd w:id="358"/>
      <w:bookmarkEnd w:id="359"/>
      <w:bookmarkEnd w:id="360"/>
      <w:bookmarkEnd w:id="361"/>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比选申请人：                             （盖章）</w:t>
      </w: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负责人或委托代理人：（签字或盖章）</w:t>
      </w: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电话/</w:t>
      </w:r>
      <w:bookmarkStart w:id="362" w:name="_Toc333307133"/>
      <w:r>
        <w:rPr>
          <w:rFonts w:hint="eastAsia" w:asciiTheme="minorEastAsia" w:hAnsiTheme="minorEastAsia" w:cstheme="minorEastAsia"/>
          <w:sz w:val="28"/>
          <w:szCs w:val="28"/>
        </w:rPr>
        <w:t>传真：</w:t>
      </w:r>
    </w:p>
    <w:p>
      <w:pPr>
        <w:spacing w:line="360" w:lineRule="auto"/>
        <w:ind w:right="753"/>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地址：</w:t>
      </w:r>
    </w:p>
    <w:bookmarkEnd w:id="362"/>
    <w:p>
      <w:pPr>
        <w:spacing w:line="360" w:lineRule="auto"/>
        <w:ind w:right="753"/>
        <w:jc w:val="left"/>
        <w:rPr>
          <w:rFonts w:hint="eastAsia" w:asciiTheme="minorEastAsia" w:hAnsiTheme="minorEastAsia" w:cstheme="minorEastAsia"/>
          <w:sz w:val="28"/>
          <w:szCs w:val="28"/>
        </w:rPr>
      </w:pPr>
      <w:bookmarkStart w:id="363" w:name="_Toc333307134"/>
      <w:r>
        <w:rPr>
          <w:rFonts w:hint="eastAsia" w:asciiTheme="minorEastAsia" w:hAnsiTheme="minorEastAsia" w:cstheme="minorEastAsia"/>
          <w:sz w:val="28"/>
          <w:szCs w:val="28"/>
        </w:rPr>
        <w:t xml:space="preserve">     年    </w:t>
      </w:r>
      <w:bookmarkEnd w:id="363"/>
      <w:r>
        <w:rPr>
          <w:rFonts w:hint="eastAsia" w:asciiTheme="minorEastAsia" w:hAnsiTheme="minorEastAsia" w:cstheme="minorEastAsia"/>
          <w:sz w:val="28"/>
          <w:szCs w:val="28"/>
        </w:rPr>
        <w:t>月</w:t>
      </w:r>
      <w:bookmarkStart w:id="364" w:name="_Toc333307135"/>
      <w:r>
        <w:rPr>
          <w:rFonts w:hint="eastAsia" w:asciiTheme="minorEastAsia" w:hAnsiTheme="minorEastAsia" w:cstheme="minorEastAsia"/>
          <w:sz w:val="28"/>
          <w:szCs w:val="28"/>
        </w:rPr>
        <w:t xml:space="preserve">    日</w:t>
      </w:r>
    </w:p>
    <w:p>
      <w:pPr>
        <w:spacing w:line="360" w:lineRule="auto"/>
        <w:ind w:right="753"/>
        <w:jc w:val="left"/>
        <w:rPr>
          <w:rFonts w:hint="eastAsia" w:asciiTheme="minorEastAsia" w:hAnsiTheme="minorEastAsia" w:cstheme="minorEastAsia"/>
          <w:sz w:val="28"/>
          <w:szCs w:val="28"/>
        </w:rPr>
      </w:pPr>
    </w:p>
    <w:p>
      <w:pPr>
        <w:spacing w:line="360" w:lineRule="auto"/>
        <w:ind w:right="753"/>
        <w:jc w:val="left"/>
        <w:rPr>
          <w:rFonts w:hint="eastAsia" w:asciiTheme="minorEastAsia" w:hAnsiTheme="minorEastAsia" w:cstheme="minorEastAsia"/>
          <w:sz w:val="28"/>
          <w:szCs w:val="28"/>
        </w:rPr>
      </w:pPr>
    </w:p>
    <w:p>
      <w:pPr>
        <w:pStyle w:val="5"/>
        <w:spacing w:line="360" w:lineRule="auto"/>
        <w:jc w:val="center"/>
        <w:rPr>
          <w:b/>
        </w:rPr>
      </w:pPr>
      <w:bookmarkStart w:id="365" w:name="_Toc26757"/>
      <w:bookmarkStart w:id="366" w:name="_Toc7151"/>
      <w:bookmarkStart w:id="367" w:name="_Toc21835"/>
      <w:bookmarkStart w:id="368" w:name="_Toc4589"/>
      <w:bookmarkStart w:id="369" w:name="_Toc9396"/>
      <w:bookmarkStart w:id="370" w:name="_Toc16542"/>
      <w:bookmarkStart w:id="371" w:name="_Toc1794"/>
      <w:bookmarkStart w:id="372" w:name="_Toc4901"/>
      <w:bookmarkStart w:id="373" w:name="_Toc7127"/>
      <w:bookmarkStart w:id="374" w:name="_Toc21818"/>
      <w:bookmarkStart w:id="375" w:name="_Toc471482372"/>
      <w:bookmarkStart w:id="376" w:name="_Toc24524"/>
      <w:bookmarkStart w:id="377" w:name="_Toc29739"/>
      <w:bookmarkStart w:id="378" w:name="_Toc24408"/>
      <w:bookmarkStart w:id="379" w:name="_Toc5616"/>
      <w:bookmarkStart w:id="380" w:name="_Toc17346"/>
      <w:bookmarkStart w:id="381" w:name="_Toc13650"/>
      <w:bookmarkStart w:id="382" w:name="_Toc2010"/>
      <w:bookmarkStart w:id="383" w:name="_Toc18267"/>
      <w:bookmarkStart w:id="384" w:name="_Toc30879"/>
      <w:bookmarkStart w:id="385" w:name="_Toc461525328"/>
      <w:bookmarkStart w:id="386" w:name="_Toc28212"/>
      <w:bookmarkStart w:id="387" w:name="_Toc7630"/>
      <w:bookmarkStart w:id="388" w:name="_Toc11015"/>
      <w:bookmarkStart w:id="389" w:name="_Toc11833"/>
      <w:r>
        <w:rPr>
          <w:rFonts w:hint="eastAsia"/>
          <w:b/>
        </w:rPr>
        <w:t>二、商务部分材料目录</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bookmarkEnd w:id="364"/>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（一）企业资质证书复印件（加盖单位公章）；</w:t>
      </w:r>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（二）质量、环境、职业健康安全三项管理体系认证证书复印件（加盖单位公章）；</w:t>
      </w:r>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（三）业绩表；</w:t>
      </w:r>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（四）信誉表；</w:t>
      </w:r>
    </w:p>
    <w:p>
      <w:pPr>
        <w:numPr>
          <w:ilvl w:val="255"/>
          <w:numId w:val="0"/>
        </w:numPr>
        <w:spacing w:line="360" w:lineRule="auto"/>
        <w:ind w:right="754" w:firstLine="560" w:firstLineChars="200"/>
        <w:jc w:val="left"/>
        <w:rPr>
          <w:rFonts w:ascii="宋体" w:hAnsi="宋体" w:cs="宋体"/>
          <w:sz w:val="28"/>
          <w:szCs w:val="28"/>
        </w:rPr>
      </w:pPr>
      <w:r>
        <w:rPr>
          <w:rFonts w:hint="eastAsia" w:ascii="宋体" w:hAnsi="宋体" w:cs="宋体"/>
          <w:sz w:val="28"/>
          <w:szCs w:val="28"/>
        </w:rPr>
        <w:t>（五）拟投入人员配置明细表；</w:t>
      </w:r>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（六）拟投入人员的相关工作业绩、资历及能力（由比选申请人自行编写）。</w:t>
      </w:r>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pStyle w:val="6"/>
        <w:spacing w:line="360" w:lineRule="auto"/>
        <w:rPr>
          <w:b/>
          <w:bCs/>
        </w:rPr>
      </w:pPr>
      <w:r>
        <w:rPr>
          <w:rFonts w:hint="eastAsia"/>
          <w:b/>
          <w:bCs/>
        </w:rPr>
        <w:t>（一）企业资质证书复印件（加盖单位公章）</w:t>
      </w: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pStyle w:val="20"/>
        <w:rPr>
          <w:rFonts w:ascii="宋体" w:hAnsi="宋体" w:cs="宋体"/>
          <w:sz w:val="28"/>
          <w:szCs w:val="28"/>
        </w:rPr>
      </w:pPr>
    </w:p>
    <w:p>
      <w:pPr>
        <w:pStyle w:val="8"/>
        <w:rPr>
          <w:rFonts w:hAnsi="宋体" w:cs="宋体"/>
          <w:sz w:val="28"/>
          <w:szCs w:val="28"/>
        </w:rPr>
      </w:pPr>
    </w:p>
    <w:p/>
    <w:p>
      <w:pPr>
        <w:pStyle w:val="6"/>
        <w:spacing w:line="360" w:lineRule="auto"/>
        <w:rPr>
          <w:b/>
          <w:bCs/>
        </w:rPr>
      </w:pPr>
      <w:r>
        <w:rPr>
          <w:rFonts w:hint="eastAsia"/>
          <w:b/>
          <w:bCs/>
        </w:rPr>
        <w:t>（二）质量、环境、职业健康安全三项管理体系认证证书复印件（如有，则提供并加盖单位公章）</w:t>
      </w:r>
    </w:p>
    <w:p>
      <w:pPr>
        <w:spacing w:line="360" w:lineRule="auto"/>
        <w:ind w:right="754" w:firstLine="560" w:firstLineChars="200"/>
        <w:jc w:val="left"/>
        <w:rPr>
          <w:rFonts w:ascii="宋体" w:hAnsi="宋体" w:cs="宋体"/>
          <w:sz w:val="28"/>
          <w:szCs w:val="28"/>
        </w:rPr>
      </w:pPr>
    </w:p>
    <w:p>
      <w:pPr>
        <w:spacing w:line="360" w:lineRule="auto"/>
        <w:ind w:right="754" w:firstLine="560" w:firstLineChars="200"/>
        <w:jc w:val="left"/>
        <w:rPr>
          <w:rFonts w:ascii="宋体" w:hAnsi="宋体" w:cs="宋体"/>
          <w:sz w:val="28"/>
          <w:szCs w:val="28"/>
        </w:rPr>
      </w:pPr>
    </w:p>
    <w:p>
      <w:pPr>
        <w:pStyle w:val="20"/>
        <w:rPr>
          <w:b/>
        </w:rPr>
      </w:pPr>
    </w:p>
    <w:p>
      <w:pPr>
        <w:pStyle w:val="8"/>
        <w:rPr>
          <w:b/>
          <w:bCs/>
        </w:rPr>
      </w:pPr>
    </w:p>
    <w:p>
      <w:pPr>
        <w:rPr>
          <w:b/>
          <w:bCs/>
        </w:rPr>
      </w:pPr>
    </w:p>
    <w:p>
      <w:pPr>
        <w:pStyle w:val="20"/>
        <w:rPr>
          <w:b/>
        </w:rPr>
      </w:pPr>
    </w:p>
    <w:p>
      <w:pPr>
        <w:pStyle w:val="8"/>
        <w:rPr>
          <w:b/>
          <w:bCs/>
        </w:rPr>
      </w:pPr>
    </w:p>
    <w:p>
      <w:pPr>
        <w:rPr>
          <w:b/>
          <w:bCs/>
        </w:rPr>
      </w:pPr>
    </w:p>
    <w:p>
      <w:pPr>
        <w:pStyle w:val="20"/>
        <w:rPr>
          <w:b/>
        </w:rPr>
      </w:pPr>
    </w:p>
    <w:p>
      <w:pPr>
        <w:pStyle w:val="8"/>
        <w:rPr>
          <w:b/>
          <w:bCs/>
        </w:rPr>
      </w:pPr>
    </w:p>
    <w:p>
      <w:pPr>
        <w:rPr>
          <w:b/>
          <w:bCs/>
        </w:rPr>
      </w:pPr>
    </w:p>
    <w:p>
      <w:pPr>
        <w:pStyle w:val="20"/>
        <w:rPr>
          <w:b/>
        </w:rPr>
      </w:pPr>
    </w:p>
    <w:p>
      <w:pPr>
        <w:pStyle w:val="8"/>
        <w:rPr>
          <w:b/>
          <w:bCs/>
        </w:rPr>
      </w:pPr>
    </w:p>
    <w:p>
      <w:pPr>
        <w:rPr>
          <w:b/>
          <w:bCs/>
        </w:rPr>
      </w:pPr>
    </w:p>
    <w:p>
      <w:pPr>
        <w:pStyle w:val="2"/>
      </w:pPr>
    </w:p>
    <w:p>
      <w:pPr>
        <w:pStyle w:val="20"/>
        <w:rPr>
          <w:b/>
        </w:rPr>
      </w:pPr>
    </w:p>
    <w:p>
      <w:pPr>
        <w:pStyle w:val="8"/>
        <w:rPr>
          <w:b/>
          <w:bCs/>
        </w:rPr>
      </w:pPr>
    </w:p>
    <w:p>
      <w:pPr>
        <w:rPr>
          <w:b/>
          <w:bCs/>
        </w:rPr>
      </w:pPr>
    </w:p>
    <w:p>
      <w:pPr>
        <w:pStyle w:val="20"/>
        <w:rPr>
          <w:b/>
        </w:rPr>
      </w:pPr>
    </w:p>
    <w:p>
      <w:pPr>
        <w:pStyle w:val="8"/>
        <w:rPr>
          <w:b/>
          <w:bCs/>
        </w:rPr>
      </w:pPr>
    </w:p>
    <w:p>
      <w:pPr>
        <w:rPr>
          <w:b/>
          <w:bCs/>
        </w:rPr>
      </w:pPr>
    </w:p>
    <w:p>
      <w:pPr>
        <w:pStyle w:val="20"/>
        <w:rPr>
          <w:b/>
        </w:rPr>
      </w:pPr>
    </w:p>
    <w:p>
      <w:pPr>
        <w:pStyle w:val="8"/>
        <w:rPr>
          <w:b/>
          <w:bCs/>
        </w:rPr>
      </w:pPr>
    </w:p>
    <w:p/>
    <w:p>
      <w:pPr>
        <w:pStyle w:val="2"/>
      </w:pPr>
    </w:p>
    <w:p>
      <w:pPr>
        <w:pStyle w:val="6"/>
        <w:spacing w:line="360" w:lineRule="auto"/>
        <w:rPr>
          <w:b/>
          <w:bCs/>
        </w:rPr>
      </w:pPr>
      <w:r>
        <w:rPr>
          <w:rFonts w:hint="eastAsia"/>
          <w:b/>
          <w:bCs/>
        </w:rPr>
        <w:t>（三）业绩表</w:t>
      </w:r>
    </w:p>
    <w:tbl>
      <w:tblPr>
        <w:tblStyle w:val="17"/>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081"/>
        <w:gridCol w:w="1964"/>
        <w:gridCol w:w="1655"/>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208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项目合同名称</w:t>
            </w:r>
          </w:p>
        </w:tc>
        <w:tc>
          <w:tcPr>
            <w:tcW w:w="1964"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签订</w:t>
            </w:r>
          </w:p>
          <w:p>
            <w:pPr>
              <w:spacing w:line="360" w:lineRule="auto"/>
              <w:jc w:val="center"/>
              <w:rPr>
                <w:rFonts w:ascii="宋体" w:hAnsi="宋体" w:eastAsia="宋体" w:cs="宋体"/>
                <w:sz w:val="24"/>
                <w:szCs w:val="24"/>
              </w:rPr>
            </w:pPr>
            <w:r>
              <w:rPr>
                <w:rFonts w:hint="eastAsia" w:ascii="宋体" w:hAnsi="宋体" w:eastAsia="宋体" w:cs="宋体"/>
                <w:sz w:val="24"/>
                <w:szCs w:val="24"/>
              </w:rPr>
              <w:t>时间</w:t>
            </w:r>
          </w:p>
        </w:tc>
        <w:tc>
          <w:tcPr>
            <w:tcW w:w="1655"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服务项目是否已完成</w:t>
            </w:r>
          </w:p>
        </w:tc>
        <w:tc>
          <w:tcPr>
            <w:tcW w:w="2473"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4" w:rightChars="269"/>
              <w:jc w:val="left"/>
              <w:rPr>
                <w:rFonts w:ascii="宋体" w:hAnsi="宋体" w:eastAsia="宋体" w:cs="宋体"/>
                <w:sz w:val="24"/>
                <w:szCs w:val="24"/>
              </w:rPr>
            </w:pPr>
          </w:p>
        </w:tc>
        <w:tc>
          <w:tcPr>
            <w:tcW w:w="2081" w:type="dxa"/>
          </w:tcPr>
          <w:p>
            <w:pPr>
              <w:spacing w:line="360" w:lineRule="auto"/>
              <w:ind w:right="564" w:rightChars="269"/>
              <w:jc w:val="left"/>
              <w:rPr>
                <w:rFonts w:ascii="宋体" w:hAnsi="宋体" w:eastAsia="宋体" w:cs="宋体"/>
                <w:sz w:val="24"/>
                <w:szCs w:val="24"/>
              </w:rPr>
            </w:pPr>
          </w:p>
        </w:tc>
        <w:tc>
          <w:tcPr>
            <w:tcW w:w="1964" w:type="dxa"/>
          </w:tcPr>
          <w:p>
            <w:pPr>
              <w:spacing w:line="360" w:lineRule="auto"/>
              <w:ind w:right="564" w:rightChars="269"/>
              <w:jc w:val="left"/>
              <w:rPr>
                <w:rFonts w:ascii="宋体" w:hAnsi="宋体" w:eastAsia="宋体" w:cs="宋体"/>
                <w:sz w:val="24"/>
                <w:szCs w:val="24"/>
              </w:rPr>
            </w:pPr>
          </w:p>
        </w:tc>
        <w:tc>
          <w:tcPr>
            <w:tcW w:w="1655" w:type="dxa"/>
          </w:tcPr>
          <w:p>
            <w:pPr>
              <w:spacing w:line="360" w:lineRule="auto"/>
              <w:ind w:right="564" w:rightChars="269"/>
              <w:jc w:val="left"/>
              <w:rPr>
                <w:rFonts w:ascii="宋体" w:hAnsi="宋体" w:eastAsia="宋体" w:cs="宋体"/>
                <w:sz w:val="24"/>
                <w:szCs w:val="24"/>
              </w:rPr>
            </w:pPr>
          </w:p>
        </w:tc>
        <w:tc>
          <w:tcPr>
            <w:tcW w:w="2473" w:type="dxa"/>
          </w:tcPr>
          <w:p>
            <w:pPr>
              <w:spacing w:line="360" w:lineRule="auto"/>
              <w:ind w:right="564"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4" w:rightChars="269"/>
              <w:jc w:val="left"/>
              <w:rPr>
                <w:rFonts w:ascii="宋体" w:hAnsi="宋体" w:eastAsia="宋体" w:cs="宋体"/>
                <w:sz w:val="24"/>
                <w:szCs w:val="24"/>
              </w:rPr>
            </w:pPr>
          </w:p>
        </w:tc>
        <w:tc>
          <w:tcPr>
            <w:tcW w:w="2081" w:type="dxa"/>
          </w:tcPr>
          <w:p>
            <w:pPr>
              <w:spacing w:line="360" w:lineRule="auto"/>
              <w:ind w:right="564" w:rightChars="269"/>
              <w:jc w:val="left"/>
              <w:rPr>
                <w:rFonts w:ascii="宋体" w:hAnsi="宋体" w:eastAsia="宋体" w:cs="宋体"/>
                <w:sz w:val="24"/>
                <w:szCs w:val="24"/>
              </w:rPr>
            </w:pPr>
          </w:p>
        </w:tc>
        <w:tc>
          <w:tcPr>
            <w:tcW w:w="1964" w:type="dxa"/>
          </w:tcPr>
          <w:p>
            <w:pPr>
              <w:spacing w:line="360" w:lineRule="auto"/>
              <w:ind w:right="564" w:rightChars="269"/>
              <w:jc w:val="left"/>
              <w:rPr>
                <w:rFonts w:ascii="宋体" w:hAnsi="宋体" w:eastAsia="宋体" w:cs="宋体"/>
                <w:sz w:val="24"/>
                <w:szCs w:val="24"/>
              </w:rPr>
            </w:pPr>
          </w:p>
        </w:tc>
        <w:tc>
          <w:tcPr>
            <w:tcW w:w="1655" w:type="dxa"/>
          </w:tcPr>
          <w:p>
            <w:pPr>
              <w:spacing w:line="360" w:lineRule="auto"/>
              <w:ind w:right="564" w:rightChars="269"/>
              <w:jc w:val="left"/>
              <w:rPr>
                <w:rFonts w:ascii="宋体" w:hAnsi="宋体" w:eastAsia="宋体" w:cs="宋体"/>
                <w:sz w:val="24"/>
                <w:szCs w:val="24"/>
              </w:rPr>
            </w:pPr>
          </w:p>
        </w:tc>
        <w:tc>
          <w:tcPr>
            <w:tcW w:w="2473" w:type="dxa"/>
          </w:tcPr>
          <w:p>
            <w:pPr>
              <w:spacing w:line="360" w:lineRule="auto"/>
              <w:ind w:right="564"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4" w:rightChars="269"/>
              <w:jc w:val="left"/>
              <w:rPr>
                <w:rFonts w:ascii="宋体" w:hAnsi="宋体" w:eastAsia="宋体" w:cs="宋体"/>
                <w:sz w:val="24"/>
                <w:szCs w:val="24"/>
              </w:rPr>
            </w:pPr>
          </w:p>
        </w:tc>
        <w:tc>
          <w:tcPr>
            <w:tcW w:w="2081" w:type="dxa"/>
          </w:tcPr>
          <w:p>
            <w:pPr>
              <w:spacing w:line="360" w:lineRule="auto"/>
              <w:ind w:right="564" w:rightChars="269"/>
              <w:jc w:val="left"/>
              <w:rPr>
                <w:rFonts w:ascii="宋体" w:hAnsi="宋体" w:eastAsia="宋体" w:cs="宋体"/>
                <w:sz w:val="24"/>
                <w:szCs w:val="24"/>
              </w:rPr>
            </w:pPr>
          </w:p>
        </w:tc>
        <w:tc>
          <w:tcPr>
            <w:tcW w:w="1964" w:type="dxa"/>
          </w:tcPr>
          <w:p>
            <w:pPr>
              <w:spacing w:line="360" w:lineRule="auto"/>
              <w:ind w:right="564" w:rightChars="269"/>
              <w:jc w:val="left"/>
              <w:rPr>
                <w:rFonts w:ascii="宋体" w:hAnsi="宋体" w:eastAsia="宋体" w:cs="宋体"/>
                <w:sz w:val="24"/>
                <w:szCs w:val="24"/>
              </w:rPr>
            </w:pPr>
          </w:p>
        </w:tc>
        <w:tc>
          <w:tcPr>
            <w:tcW w:w="1655" w:type="dxa"/>
          </w:tcPr>
          <w:p>
            <w:pPr>
              <w:spacing w:line="360" w:lineRule="auto"/>
              <w:ind w:right="564" w:rightChars="269"/>
              <w:jc w:val="left"/>
              <w:rPr>
                <w:rFonts w:ascii="宋体" w:hAnsi="宋体" w:eastAsia="宋体" w:cs="宋体"/>
                <w:sz w:val="24"/>
                <w:szCs w:val="24"/>
              </w:rPr>
            </w:pPr>
          </w:p>
        </w:tc>
        <w:tc>
          <w:tcPr>
            <w:tcW w:w="2473" w:type="dxa"/>
          </w:tcPr>
          <w:p>
            <w:pPr>
              <w:spacing w:line="360" w:lineRule="auto"/>
              <w:ind w:right="564"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4" w:rightChars="269"/>
              <w:jc w:val="left"/>
              <w:rPr>
                <w:rFonts w:ascii="宋体" w:hAnsi="宋体" w:eastAsia="宋体" w:cs="宋体"/>
                <w:sz w:val="24"/>
                <w:szCs w:val="24"/>
              </w:rPr>
            </w:pPr>
          </w:p>
        </w:tc>
        <w:tc>
          <w:tcPr>
            <w:tcW w:w="2081" w:type="dxa"/>
          </w:tcPr>
          <w:p>
            <w:pPr>
              <w:spacing w:line="360" w:lineRule="auto"/>
              <w:ind w:right="564" w:rightChars="269"/>
              <w:jc w:val="left"/>
              <w:rPr>
                <w:rFonts w:ascii="宋体" w:hAnsi="宋体" w:eastAsia="宋体" w:cs="宋体"/>
                <w:sz w:val="24"/>
                <w:szCs w:val="24"/>
              </w:rPr>
            </w:pPr>
          </w:p>
        </w:tc>
        <w:tc>
          <w:tcPr>
            <w:tcW w:w="1964" w:type="dxa"/>
          </w:tcPr>
          <w:p>
            <w:pPr>
              <w:spacing w:line="360" w:lineRule="auto"/>
              <w:ind w:right="564" w:rightChars="269"/>
              <w:jc w:val="left"/>
              <w:rPr>
                <w:rFonts w:ascii="宋体" w:hAnsi="宋体" w:eastAsia="宋体" w:cs="宋体"/>
                <w:sz w:val="24"/>
                <w:szCs w:val="24"/>
              </w:rPr>
            </w:pPr>
          </w:p>
        </w:tc>
        <w:tc>
          <w:tcPr>
            <w:tcW w:w="1655" w:type="dxa"/>
          </w:tcPr>
          <w:p>
            <w:pPr>
              <w:spacing w:line="360" w:lineRule="auto"/>
              <w:ind w:right="564" w:rightChars="269"/>
              <w:jc w:val="left"/>
              <w:rPr>
                <w:rFonts w:ascii="宋体" w:hAnsi="宋体" w:eastAsia="宋体" w:cs="宋体"/>
                <w:sz w:val="24"/>
                <w:szCs w:val="24"/>
              </w:rPr>
            </w:pPr>
          </w:p>
        </w:tc>
        <w:tc>
          <w:tcPr>
            <w:tcW w:w="2473" w:type="dxa"/>
          </w:tcPr>
          <w:p>
            <w:pPr>
              <w:spacing w:line="360" w:lineRule="auto"/>
              <w:ind w:right="564"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4" w:rightChars="269"/>
              <w:jc w:val="left"/>
              <w:rPr>
                <w:rFonts w:ascii="宋体" w:hAnsi="宋体" w:eastAsia="宋体" w:cs="宋体"/>
                <w:sz w:val="24"/>
                <w:szCs w:val="24"/>
              </w:rPr>
            </w:pPr>
          </w:p>
        </w:tc>
        <w:tc>
          <w:tcPr>
            <w:tcW w:w="2081" w:type="dxa"/>
          </w:tcPr>
          <w:p>
            <w:pPr>
              <w:spacing w:line="360" w:lineRule="auto"/>
              <w:ind w:right="564" w:rightChars="269"/>
              <w:jc w:val="left"/>
              <w:rPr>
                <w:rFonts w:ascii="宋体" w:hAnsi="宋体" w:eastAsia="宋体" w:cs="宋体"/>
                <w:sz w:val="24"/>
                <w:szCs w:val="24"/>
              </w:rPr>
            </w:pPr>
          </w:p>
        </w:tc>
        <w:tc>
          <w:tcPr>
            <w:tcW w:w="1964" w:type="dxa"/>
          </w:tcPr>
          <w:p>
            <w:pPr>
              <w:spacing w:line="360" w:lineRule="auto"/>
              <w:ind w:right="564" w:rightChars="269"/>
              <w:jc w:val="left"/>
              <w:rPr>
                <w:rFonts w:ascii="宋体" w:hAnsi="宋体" w:eastAsia="宋体" w:cs="宋体"/>
                <w:sz w:val="24"/>
                <w:szCs w:val="24"/>
              </w:rPr>
            </w:pPr>
          </w:p>
        </w:tc>
        <w:tc>
          <w:tcPr>
            <w:tcW w:w="1655" w:type="dxa"/>
          </w:tcPr>
          <w:p>
            <w:pPr>
              <w:spacing w:line="360" w:lineRule="auto"/>
              <w:ind w:right="564" w:rightChars="269"/>
              <w:jc w:val="left"/>
              <w:rPr>
                <w:rFonts w:ascii="宋体" w:hAnsi="宋体" w:eastAsia="宋体" w:cs="宋体"/>
                <w:sz w:val="24"/>
                <w:szCs w:val="24"/>
              </w:rPr>
            </w:pPr>
          </w:p>
        </w:tc>
        <w:tc>
          <w:tcPr>
            <w:tcW w:w="2473" w:type="dxa"/>
          </w:tcPr>
          <w:p>
            <w:pPr>
              <w:spacing w:line="360" w:lineRule="auto"/>
              <w:ind w:right="564" w:rightChars="269"/>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4" w:rightChars="269"/>
              <w:jc w:val="left"/>
              <w:rPr>
                <w:rFonts w:ascii="宋体" w:hAnsi="宋体" w:eastAsia="宋体" w:cs="宋体"/>
                <w:sz w:val="24"/>
                <w:szCs w:val="24"/>
              </w:rPr>
            </w:pPr>
          </w:p>
        </w:tc>
        <w:tc>
          <w:tcPr>
            <w:tcW w:w="2081" w:type="dxa"/>
          </w:tcPr>
          <w:p>
            <w:pPr>
              <w:spacing w:line="360" w:lineRule="auto"/>
              <w:ind w:right="564" w:rightChars="269"/>
              <w:jc w:val="left"/>
              <w:rPr>
                <w:rFonts w:ascii="宋体" w:hAnsi="宋体" w:eastAsia="宋体" w:cs="宋体"/>
                <w:sz w:val="24"/>
                <w:szCs w:val="24"/>
              </w:rPr>
            </w:pPr>
          </w:p>
        </w:tc>
        <w:tc>
          <w:tcPr>
            <w:tcW w:w="1964" w:type="dxa"/>
          </w:tcPr>
          <w:p>
            <w:pPr>
              <w:spacing w:line="360" w:lineRule="auto"/>
              <w:ind w:right="564" w:rightChars="269"/>
              <w:jc w:val="left"/>
              <w:rPr>
                <w:rFonts w:ascii="宋体" w:hAnsi="宋体" w:eastAsia="宋体" w:cs="宋体"/>
                <w:sz w:val="24"/>
                <w:szCs w:val="24"/>
              </w:rPr>
            </w:pPr>
          </w:p>
        </w:tc>
        <w:tc>
          <w:tcPr>
            <w:tcW w:w="1655" w:type="dxa"/>
          </w:tcPr>
          <w:p>
            <w:pPr>
              <w:spacing w:line="360" w:lineRule="auto"/>
              <w:ind w:right="564" w:rightChars="269"/>
              <w:jc w:val="left"/>
              <w:rPr>
                <w:rFonts w:ascii="宋体" w:hAnsi="宋体" w:eastAsia="宋体" w:cs="宋体"/>
                <w:sz w:val="24"/>
                <w:szCs w:val="24"/>
              </w:rPr>
            </w:pPr>
          </w:p>
        </w:tc>
        <w:tc>
          <w:tcPr>
            <w:tcW w:w="2473" w:type="dxa"/>
          </w:tcPr>
          <w:p>
            <w:pPr>
              <w:spacing w:line="360" w:lineRule="auto"/>
              <w:ind w:right="564" w:rightChars="269"/>
              <w:jc w:val="left"/>
              <w:rPr>
                <w:rFonts w:ascii="宋体" w:hAnsi="宋体" w:eastAsia="宋体" w:cs="宋体"/>
                <w:sz w:val="24"/>
                <w:szCs w:val="24"/>
              </w:rPr>
            </w:pPr>
          </w:p>
        </w:tc>
      </w:tr>
    </w:tbl>
    <w:p>
      <w:pPr>
        <w:ind w:firstLine="420"/>
        <w:rPr>
          <w:rFonts w:hAnsi="宋体"/>
          <w:sz w:val="28"/>
          <w:szCs w:val="28"/>
        </w:rPr>
      </w:pPr>
    </w:p>
    <w:p>
      <w:pPr>
        <w:spacing w:line="360" w:lineRule="auto"/>
        <w:ind w:firstLine="420"/>
        <w:rPr>
          <w:rFonts w:hint="eastAsia" w:asciiTheme="minorEastAsia" w:hAnsiTheme="minorEastAsia" w:cstheme="minorEastAsia"/>
          <w:sz w:val="28"/>
          <w:szCs w:val="28"/>
        </w:rPr>
      </w:pPr>
      <w:r>
        <w:rPr>
          <w:rFonts w:hint="eastAsia" w:asciiTheme="minorEastAsia" w:hAnsiTheme="minorEastAsia" w:cstheme="minorEastAsia"/>
          <w:sz w:val="28"/>
          <w:szCs w:val="28"/>
        </w:rPr>
        <w:t>注：1、类似业绩是指</w:t>
      </w:r>
      <w:r>
        <w:rPr>
          <w:rFonts w:hint="eastAsia" w:asciiTheme="minorEastAsia" w:hAnsiTheme="minorEastAsia" w:eastAsiaTheme="minorEastAsia" w:cstheme="minorEastAsia"/>
          <w:sz w:val="28"/>
          <w:szCs w:val="28"/>
        </w:rPr>
        <w:t>比选申请人自2020年1月1日至比选公告发布之日前</w:t>
      </w:r>
      <w:r>
        <w:rPr>
          <w:rFonts w:hint="eastAsia" w:asciiTheme="minorEastAsia" w:hAnsiTheme="minorEastAsia" w:cstheme="minorEastAsia"/>
          <w:sz w:val="28"/>
          <w:szCs w:val="28"/>
        </w:rPr>
        <w:t>完成或正在开展的</w:t>
      </w:r>
      <w:r>
        <w:rPr>
          <w:rFonts w:hint="eastAsia" w:asciiTheme="minorEastAsia" w:hAnsiTheme="minorEastAsia" w:eastAsiaTheme="minorEastAsia" w:cstheme="minorEastAsia"/>
          <w:sz w:val="28"/>
          <w:szCs w:val="28"/>
        </w:rPr>
        <w:t>市政工程或交通工程类水土保持方案编制服务项目。</w:t>
      </w:r>
    </w:p>
    <w:p>
      <w:pPr>
        <w:spacing w:line="360" w:lineRule="auto"/>
        <w:ind w:firstLine="420"/>
        <w:rPr>
          <w:rFonts w:hint="eastAsia" w:asciiTheme="minorEastAsia" w:hAnsiTheme="minorEastAsia" w:cstheme="minorEastAsia"/>
          <w:sz w:val="28"/>
          <w:szCs w:val="28"/>
        </w:rPr>
      </w:pPr>
      <w:r>
        <w:rPr>
          <w:rFonts w:hint="eastAsia" w:asciiTheme="minorEastAsia" w:hAnsiTheme="minorEastAsia" w:cstheme="minorEastAsia"/>
          <w:sz w:val="28"/>
          <w:szCs w:val="28"/>
        </w:rPr>
        <w:t>2、此表须附相应合同复印件（以合同签订时间为准，</w:t>
      </w:r>
      <w:r>
        <w:rPr>
          <w:rFonts w:hint="eastAsia" w:asciiTheme="minorEastAsia" w:hAnsiTheme="minorEastAsia" w:cstheme="minorEastAsia"/>
          <w:kern w:val="0"/>
          <w:sz w:val="28"/>
          <w:szCs w:val="28"/>
        </w:rPr>
        <w:t>涉及商业秘密的内容可以隐去</w:t>
      </w:r>
      <w:r>
        <w:rPr>
          <w:rFonts w:hint="eastAsia" w:asciiTheme="minorEastAsia" w:hAnsiTheme="minorEastAsia" w:cstheme="minorEastAsia"/>
          <w:sz w:val="28"/>
          <w:szCs w:val="28"/>
        </w:rPr>
        <w:t>）、项目完成证明材料（专家审查意见或批复或备案等相关证明材料）。未附证明材料的项目视为无效。</w:t>
      </w:r>
    </w:p>
    <w:p>
      <w:pPr>
        <w:ind w:right="-21"/>
        <w:jc w:val="left"/>
        <w:rPr>
          <w:rFonts w:ascii="宋体" w:hAnsi="宋体" w:cs="宋体"/>
          <w:sz w:val="28"/>
          <w:szCs w:val="28"/>
        </w:rPr>
      </w:pPr>
    </w:p>
    <w:p>
      <w:pPr>
        <w:jc w:val="center"/>
        <w:rPr>
          <w:b/>
          <w:bCs/>
          <w:sz w:val="32"/>
          <w:szCs w:val="32"/>
        </w:rPr>
      </w:pPr>
    </w:p>
    <w:p/>
    <w:p>
      <w:pPr>
        <w:pStyle w:val="22"/>
        <w:adjustRightInd w:val="0"/>
        <w:snapToGrid w:val="0"/>
        <w:spacing w:line="360" w:lineRule="auto"/>
        <w:ind w:right="-126" w:rightChars="-60" w:firstLine="415" w:firstLineChars="198"/>
        <w:rPr>
          <w:szCs w:val="21"/>
          <w:u w:val="single"/>
        </w:rPr>
      </w:pPr>
    </w:p>
    <w:bookmarkEnd w:id="153"/>
    <w:p>
      <w:pPr>
        <w:rPr>
          <w:sz w:val="20"/>
          <w:szCs w:val="21"/>
          <w:u w:val="single"/>
        </w:rPr>
      </w:pPr>
    </w:p>
    <w:p>
      <w:pPr>
        <w:pStyle w:val="6"/>
        <w:spacing w:line="360" w:lineRule="auto"/>
        <w:rPr>
          <w:b/>
          <w:bCs/>
        </w:rPr>
      </w:pPr>
      <w:r>
        <w:rPr>
          <w:rFonts w:hint="eastAsia"/>
          <w:b/>
          <w:bCs/>
        </w:rPr>
        <w:t>（四）信誉表</w:t>
      </w:r>
    </w:p>
    <w:tbl>
      <w:tblPr>
        <w:tblStyle w:val="17"/>
        <w:tblW w:w="8958" w:type="dxa"/>
        <w:tblInd w:w="0" w:type="dxa"/>
        <w:tblLayout w:type="fixed"/>
        <w:tblCellMar>
          <w:top w:w="0" w:type="dxa"/>
          <w:left w:w="108" w:type="dxa"/>
          <w:bottom w:w="0" w:type="dxa"/>
          <w:right w:w="108" w:type="dxa"/>
        </w:tblCellMar>
      </w:tblPr>
      <w:tblGrid>
        <w:gridCol w:w="971"/>
        <w:gridCol w:w="1756"/>
        <w:gridCol w:w="2077"/>
        <w:gridCol w:w="2077"/>
        <w:gridCol w:w="2077"/>
      </w:tblGrid>
      <w:tr>
        <w:tblPrEx>
          <w:tblCellMar>
            <w:top w:w="0" w:type="dxa"/>
            <w:left w:w="108" w:type="dxa"/>
            <w:bottom w:w="0" w:type="dxa"/>
            <w:right w:w="108" w:type="dxa"/>
          </w:tblCellMar>
        </w:tblPrEx>
        <w:trPr>
          <w:trHeight w:val="450" w:hRule="atLeast"/>
        </w:trPr>
        <w:tc>
          <w:tcPr>
            <w:tcW w:w="9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序号</w:t>
            </w:r>
          </w:p>
        </w:tc>
        <w:tc>
          <w:tcPr>
            <w:tcW w:w="175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证书名称</w:t>
            </w:r>
          </w:p>
        </w:tc>
        <w:tc>
          <w:tcPr>
            <w:tcW w:w="20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颁发时间</w:t>
            </w:r>
          </w:p>
        </w:tc>
        <w:tc>
          <w:tcPr>
            <w:tcW w:w="20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ascii="宋体" w:hAnsi="宋体" w:cs="宋体"/>
                <w:kern w:val="0"/>
                <w:sz w:val="24"/>
              </w:rPr>
              <w:t>有效期</w:t>
            </w:r>
          </w:p>
        </w:tc>
        <w:tc>
          <w:tcPr>
            <w:tcW w:w="20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颁发单位</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75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207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r>
    </w:tbl>
    <w:p>
      <w:pPr>
        <w:ind w:firstLine="420"/>
        <w:rPr>
          <w:rFonts w:hint="eastAsia" w:asciiTheme="minorEastAsia" w:hAnsiTheme="minorEastAsia" w:cstheme="minorEastAsia"/>
          <w:sz w:val="28"/>
          <w:szCs w:val="28"/>
          <w:highlight w:val="none"/>
        </w:rPr>
      </w:pPr>
      <w:r>
        <w:rPr>
          <w:rFonts w:hint="eastAsia" w:asciiTheme="minorEastAsia" w:hAnsiTheme="minorEastAsia" w:cstheme="minorEastAsia"/>
          <w:sz w:val="28"/>
          <w:szCs w:val="28"/>
        </w:rPr>
        <w:t>注：1、信誉表是指比选申请人获得的相关资质证书，且在有效期范围内；或</w:t>
      </w:r>
      <w:r>
        <w:rPr>
          <w:rFonts w:hint="eastAsia" w:asciiTheme="minorEastAsia" w:hAnsiTheme="minorEastAsia" w:cstheme="minorEastAsia"/>
          <w:sz w:val="28"/>
          <w:szCs w:val="28"/>
          <w:highlight w:val="none"/>
        </w:rPr>
        <w:t>2020年1月1日至比选公告发布之日期间，比选申请人获得过省级及以上水行政主管部门或省级及以上水土保持学会颁发的水土保持方案相关奖励。</w:t>
      </w:r>
    </w:p>
    <w:p>
      <w:pPr>
        <w:ind w:firstLine="420"/>
        <w:rPr>
          <w:rFonts w:hint="eastAsia"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2、此表须附相关证书材料复印件并加盖单位公章。</w:t>
      </w:r>
    </w:p>
    <w:p/>
    <w:p>
      <w:pPr>
        <w:pStyle w:val="20"/>
      </w:pPr>
    </w:p>
    <w:p>
      <w:pPr>
        <w:pStyle w:val="8"/>
      </w:pPr>
    </w:p>
    <w:p/>
    <w:p>
      <w:pPr>
        <w:pStyle w:val="20"/>
      </w:pPr>
    </w:p>
    <w:p/>
    <w:p>
      <w:pPr>
        <w:pStyle w:val="6"/>
        <w:spacing w:line="360" w:lineRule="auto"/>
        <w:rPr>
          <w:b/>
          <w:bCs/>
        </w:rPr>
      </w:pPr>
      <w:r>
        <w:rPr>
          <w:rFonts w:hint="eastAsia"/>
          <w:b/>
          <w:bCs/>
        </w:rPr>
        <w:t>（五）拟投入人员配置明细表</w:t>
      </w:r>
    </w:p>
    <w:tbl>
      <w:tblPr>
        <w:tblStyle w:val="17"/>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07"/>
        <w:gridCol w:w="1333"/>
        <w:gridCol w:w="1500"/>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tcPr>
          <w:p>
            <w:pPr>
              <w:pStyle w:val="9"/>
              <w:spacing w:line="360" w:lineRule="auto"/>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序号</w:t>
            </w:r>
          </w:p>
        </w:tc>
        <w:tc>
          <w:tcPr>
            <w:tcW w:w="993" w:type="dxa"/>
          </w:tcPr>
          <w:p>
            <w:pPr>
              <w:pStyle w:val="9"/>
              <w:spacing w:line="360" w:lineRule="auto"/>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850" w:type="dxa"/>
          </w:tcPr>
          <w:p>
            <w:pPr>
              <w:pStyle w:val="9"/>
              <w:spacing w:line="360" w:lineRule="auto"/>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年龄</w:t>
            </w:r>
          </w:p>
        </w:tc>
        <w:tc>
          <w:tcPr>
            <w:tcW w:w="851" w:type="dxa"/>
          </w:tcPr>
          <w:p>
            <w:pPr>
              <w:pStyle w:val="9"/>
              <w:spacing w:line="360" w:lineRule="auto"/>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907" w:type="dxa"/>
          </w:tcPr>
          <w:p>
            <w:pPr>
              <w:pStyle w:val="9"/>
              <w:spacing w:line="360" w:lineRule="auto"/>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学历</w:t>
            </w:r>
          </w:p>
        </w:tc>
        <w:tc>
          <w:tcPr>
            <w:tcW w:w="1333" w:type="dxa"/>
          </w:tcPr>
          <w:p>
            <w:pPr>
              <w:pStyle w:val="9"/>
              <w:spacing w:line="360" w:lineRule="auto"/>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专业</w:t>
            </w:r>
          </w:p>
        </w:tc>
        <w:tc>
          <w:tcPr>
            <w:tcW w:w="1500" w:type="dxa"/>
          </w:tcPr>
          <w:p>
            <w:pPr>
              <w:pStyle w:val="3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执业资格或</w:t>
            </w:r>
          </w:p>
          <w:p>
            <w:pPr>
              <w:pStyle w:val="3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岗位</w:t>
            </w:r>
          </w:p>
          <w:p>
            <w:pPr>
              <w:pStyle w:val="9"/>
              <w:spacing w:line="360" w:lineRule="auto"/>
              <w:ind w:left="0" w:leftChars="0"/>
              <w:jc w:val="center"/>
              <w:rPr>
                <w:rFonts w:hint="eastAsia" w:asciiTheme="minorEastAsia" w:hAnsiTheme="minorEastAsia" w:cstheme="minorEastAsia"/>
                <w:sz w:val="24"/>
                <w:szCs w:val="24"/>
              </w:rPr>
            </w:pPr>
            <w:r>
              <w:rPr>
                <w:rFonts w:hint="eastAsia" w:asciiTheme="minorEastAsia" w:hAnsiTheme="minorEastAsia" w:eastAsiaTheme="minorEastAsia" w:cstheme="minorEastAsia"/>
                <w:sz w:val="24"/>
                <w:szCs w:val="24"/>
              </w:rPr>
              <w:t>（培训）证书</w:t>
            </w:r>
          </w:p>
        </w:tc>
        <w:tc>
          <w:tcPr>
            <w:tcW w:w="1262" w:type="dxa"/>
          </w:tcPr>
          <w:p>
            <w:pPr>
              <w:pStyle w:val="9"/>
              <w:spacing w:line="360" w:lineRule="auto"/>
              <w:ind w:left="0" w:leftChars="0"/>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9"/>
              <w:spacing w:line="360" w:lineRule="auto"/>
              <w:ind w:left="0" w:leftChars="0"/>
              <w:rPr>
                <w:rFonts w:hint="eastAsia" w:asciiTheme="minorEastAsia" w:hAnsiTheme="minorEastAsia" w:cstheme="minorEastAsia"/>
                <w:sz w:val="24"/>
                <w:szCs w:val="24"/>
              </w:rPr>
            </w:pPr>
          </w:p>
        </w:tc>
        <w:tc>
          <w:tcPr>
            <w:tcW w:w="993" w:type="dxa"/>
          </w:tcPr>
          <w:p>
            <w:pPr>
              <w:pStyle w:val="9"/>
              <w:spacing w:line="360" w:lineRule="auto"/>
              <w:ind w:left="0" w:leftChars="0"/>
              <w:rPr>
                <w:rFonts w:hint="eastAsia" w:asciiTheme="minorEastAsia" w:hAnsiTheme="minorEastAsia" w:cstheme="minorEastAsia"/>
                <w:sz w:val="24"/>
                <w:szCs w:val="24"/>
              </w:rPr>
            </w:pPr>
          </w:p>
        </w:tc>
        <w:tc>
          <w:tcPr>
            <w:tcW w:w="850" w:type="dxa"/>
          </w:tcPr>
          <w:p>
            <w:pPr>
              <w:pStyle w:val="9"/>
              <w:spacing w:line="360" w:lineRule="auto"/>
              <w:ind w:left="0" w:leftChars="0"/>
              <w:rPr>
                <w:rFonts w:hint="eastAsia" w:asciiTheme="minorEastAsia" w:hAnsiTheme="minorEastAsia" w:cstheme="minorEastAsia"/>
                <w:sz w:val="24"/>
                <w:szCs w:val="24"/>
              </w:rPr>
            </w:pPr>
          </w:p>
        </w:tc>
        <w:tc>
          <w:tcPr>
            <w:tcW w:w="851" w:type="dxa"/>
          </w:tcPr>
          <w:p>
            <w:pPr>
              <w:pStyle w:val="9"/>
              <w:spacing w:line="360" w:lineRule="auto"/>
              <w:ind w:left="0" w:leftChars="0"/>
              <w:rPr>
                <w:rFonts w:hint="eastAsia" w:asciiTheme="minorEastAsia" w:hAnsiTheme="minorEastAsia" w:cstheme="minorEastAsia"/>
                <w:sz w:val="24"/>
                <w:szCs w:val="24"/>
              </w:rPr>
            </w:pPr>
          </w:p>
        </w:tc>
        <w:tc>
          <w:tcPr>
            <w:tcW w:w="907" w:type="dxa"/>
          </w:tcPr>
          <w:p>
            <w:pPr>
              <w:pStyle w:val="9"/>
              <w:spacing w:line="360" w:lineRule="auto"/>
              <w:ind w:left="0" w:leftChars="0"/>
              <w:rPr>
                <w:rFonts w:hint="eastAsia" w:asciiTheme="minorEastAsia" w:hAnsiTheme="minorEastAsia" w:cstheme="minorEastAsia"/>
                <w:sz w:val="24"/>
                <w:szCs w:val="24"/>
              </w:rPr>
            </w:pPr>
          </w:p>
        </w:tc>
        <w:tc>
          <w:tcPr>
            <w:tcW w:w="1333" w:type="dxa"/>
          </w:tcPr>
          <w:p>
            <w:pPr>
              <w:pStyle w:val="9"/>
              <w:spacing w:line="360" w:lineRule="auto"/>
              <w:ind w:left="0" w:leftChars="0"/>
              <w:rPr>
                <w:rFonts w:hint="eastAsia" w:asciiTheme="minorEastAsia" w:hAnsiTheme="minorEastAsia" w:cstheme="minorEastAsia"/>
                <w:sz w:val="24"/>
                <w:szCs w:val="24"/>
              </w:rPr>
            </w:pPr>
          </w:p>
        </w:tc>
        <w:tc>
          <w:tcPr>
            <w:tcW w:w="1500" w:type="dxa"/>
          </w:tcPr>
          <w:p>
            <w:pPr>
              <w:pStyle w:val="9"/>
              <w:spacing w:line="360" w:lineRule="auto"/>
              <w:ind w:left="0" w:leftChars="0"/>
              <w:rPr>
                <w:rFonts w:hint="eastAsia" w:asciiTheme="minorEastAsia" w:hAnsiTheme="minorEastAsia" w:cstheme="minorEastAsia"/>
                <w:sz w:val="24"/>
                <w:szCs w:val="24"/>
              </w:rPr>
            </w:pPr>
          </w:p>
        </w:tc>
        <w:tc>
          <w:tcPr>
            <w:tcW w:w="1262" w:type="dxa"/>
          </w:tcPr>
          <w:p>
            <w:pPr>
              <w:pStyle w:val="9"/>
              <w:spacing w:line="360" w:lineRule="auto"/>
              <w:ind w:left="0" w:leftChars="0"/>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9"/>
              <w:spacing w:line="360" w:lineRule="auto"/>
              <w:ind w:left="0" w:leftChars="0"/>
              <w:rPr>
                <w:rFonts w:hint="eastAsia" w:asciiTheme="minorEastAsia" w:hAnsiTheme="minorEastAsia" w:cstheme="minorEastAsia"/>
                <w:sz w:val="24"/>
                <w:szCs w:val="24"/>
              </w:rPr>
            </w:pPr>
          </w:p>
        </w:tc>
        <w:tc>
          <w:tcPr>
            <w:tcW w:w="993" w:type="dxa"/>
          </w:tcPr>
          <w:p>
            <w:pPr>
              <w:pStyle w:val="9"/>
              <w:spacing w:line="360" w:lineRule="auto"/>
              <w:ind w:left="0" w:leftChars="0"/>
              <w:rPr>
                <w:rFonts w:hint="eastAsia" w:asciiTheme="minorEastAsia" w:hAnsiTheme="minorEastAsia" w:cstheme="minorEastAsia"/>
                <w:sz w:val="24"/>
                <w:szCs w:val="24"/>
              </w:rPr>
            </w:pPr>
          </w:p>
        </w:tc>
        <w:tc>
          <w:tcPr>
            <w:tcW w:w="850" w:type="dxa"/>
          </w:tcPr>
          <w:p>
            <w:pPr>
              <w:pStyle w:val="9"/>
              <w:spacing w:line="360" w:lineRule="auto"/>
              <w:ind w:left="0" w:leftChars="0"/>
              <w:rPr>
                <w:rFonts w:hint="eastAsia" w:asciiTheme="minorEastAsia" w:hAnsiTheme="minorEastAsia" w:cstheme="minorEastAsia"/>
                <w:sz w:val="24"/>
                <w:szCs w:val="24"/>
              </w:rPr>
            </w:pPr>
          </w:p>
        </w:tc>
        <w:tc>
          <w:tcPr>
            <w:tcW w:w="851" w:type="dxa"/>
          </w:tcPr>
          <w:p>
            <w:pPr>
              <w:pStyle w:val="9"/>
              <w:spacing w:line="360" w:lineRule="auto"/>
              <w:ind w:left="0" w:leftChars="0"/>
              <w:rPr>
                <w:rFonts w:hint="eastAsia" w:asciiTheme="minorEastAsia" w:hAnsiTheme="minorEastAsia" w:cstheme="minorEastAsia"/>
                <w:sz w:val="24"/>
                <w:szCs w:val="24"/>
              </w:rPr>
            </w:pPr>
          </w:p>
        </w:tc>
        <w:tc>
          <w:tcPr>
            <w:tcW w:w="907" w:type="dxa"/>
          </w:tcPr>
          <w:p>
            <w:pPr>
              <w:pStyle w:val="9"/>
              <w:spacing w:line="360" w:lineRule="auto"/>
              <w:ind w:left="0" w:leftChars="0"/>
              <w:rPr>
                <w:rFonts w:hint="eastAsia" w:asciiTheme="minorEastAsia" w:hAnsiTheme="minorEastAsia" w:cstheme="minorEastAsia"/>
                <w:sz w:val="24"/>
                <w:szCs w:val="24"/>
              </w:rPr>
            </w:pPr>
          </w:p>
        </w:tc>
        <w:tc>
          <w:tcPr>
            <w:tcW w:w="1333" w:type="dxa"/>
          </w:tcPr>
          <w:p>
            <w:pPr>
              <w:pStyle w:val="9"/>
              <w:spacing w:line="360" w:lineRule="auto"/>
              <w:ind w:left="0" w:leftChars="0"/>
              <w:rPr>
                <w:rFonts w:hint="eastAsia" w:asciiTheme="minorEastAsia" w:hAnsiTheme="minorEastAsia" w:cstheme="minorEastAsia"/>
                <w:sz w:val="24"/>
                <w:szCs w:val="24"/>
              </w:rPr>
            </w:pPr>
          </w:p>
        </w:tc>
        <w:tc>
          <w:tcPr>
            <w:tcW w:w="1500" w:type="dxa"/>
          </w:tcPr>
          <w:p>
            <w:pPr>
              <w:pStyle w:val="9"/>
              <w:spacing w:line="360" w:lineRule="auto"/>
              <w:ind w:left="0" w:leftChars="0"/>
              <w:rPr>
                <w:rFonts w:hint="eastAsia" w:asciiTheme="minorEastAsia" w:hAnsiTheme="minorEastAsia" w:cstheme="minorEastAsia"/>
                <w:sz w:val="24"/>
                <w:szCs w:val="24"/>
              </w:rPr>
            </w:pPr>
          </w:p>
        </w:tc>
        <w:tc>
          <w:tcPr>
            <w:tcW w:w="1262" w:type="dxa"/>
          </w:tcPr>
          <w:p>
            <w:pPr>
              <w:pStyle w:val="9"/>
              <w:spacing w:line="360" w:lineRule="auto"/>
              <w:ind w:left="0" w:leftChars="0"/>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9"/>
              <w:spacing w:line="360" w:lineRule="auto"/>
              <w:ind w:left="0" w:leftChars="0"/>
              <w:rPr>
                <w:rFonts w:hint="eastAsia" w:asciiTheme="minorEastAsia" w:hAnsiTheme="minorEastAsia" w:cstheme="minorEastAsia"/>
                <w:sz w:val="24"/>
                <w:szCs w:val="24"/>
              </w:rPr>
            </w:pPr>
          </w:p>
        </w:tc>
        <w:tc>
          <w:tcPr>
            <w:tcW w:w="993" w:type="dxa"/>
          </w:tcPr>
          <w:p>
            <w:pPr>
              <w:pStyle w:val="9"/>
              <w:spacing w:line="360" w:lineRule="auto"/>
              <w:ind w:left="0" w:leftChars="0"/>
              <w:rPr>
                <w:rFonts w:hint="eastAsia" w:asciiTheme="minorEastAsia" w:hAnsiTheme="minorEastAsia" w:cstheme="minorEastAsia"/>
                <w:sz w:val="24"/>
                <w:szCs w:val="24"/>
              </w:rPr>
            </w:pPr>
          </w:p>
        </w:tc>
        <w:tc>
          <w:tcPr>
            <w:tcW w:w="850" w:type="dxa"/>
          </w:tcPr>
          <w:p>
            <w:pPr>
              <w:pStyle w:val="9"/>
              <w:spacing w:line="360" w:lineRule="auto"/>
              <w:ind w:left="0" w:leftChars="0"/>
              <w:rPr>
                <w:rFonts w:hint="eastAsia" w:asciiTheme="minorEastAsia" w:hAnsiTheme="minorEastAsia" w:cstheme="minorEastAsia"/>
                <w:sz w:val="24"/>
                <w:szCs w:val="24"/>
              </w:rPr>
            </w:pPr>
          </w:p>
        </w:tc>
        <w:tc>
          <w:tcPr>
            <w:tcW w:w="851" w:type="dxa"/>
          </w:tcPr>
          <w:p>
            <w:pPr>
              <w:pStyle w:val="9"/>
              <w:spacing w:line="360" w:lineRule="auto"/>
              <w:ind w:left="0" w:leftChars="0"/>
              <w:rPr>
                <w:rFonts w:hint="eastAsia" w:asciiTheme="minorEastAsia" w:hAnsiTheme="minorEastAsia" w:cstheme="minorEastAsia"/>
                <w:sz w:val="24"/>
                <w:szCs w:val="24"/>
              </w:rPr>
            </w:pPr>
          </w:p>
        </w:tc>
        <w:tc>
          <w:tcPr>
            <w:tcW w:w="907" w:type="dxa"/>
          </w:tcPr>
          <w:p>
            <w:pPr>
              <w:pStyle w:val="9"/>
              <w:spacing w:line="360" w:lineRule="auto"/>
              <w:ind w:left="0" w:leftChars="0"/>
              <w:rPr>
                <w:rFonts w:hint="eastAsia" w:asciiTheme="minorEastAsia" w:hAnsiTheme="minorEastAsia" w:cstheme="minorEastAsia"/>
                <w:sz w:val="24"/>
                <w:szCs w:val="24"/>
              </w:rPr>
            </w:pPr>
          </w:p>
        </w:tc>
        <w:tc>
          <w:tcPr>
            <w:tcW w:w="1333" w:type="dxa"/>
          </w:tcPr>
          <w:p>
            <w:pPr>
              <w:pStyle w:val="9"/>
              <w:spacing w:line="360" w:lineRule="auto"/>
              <w:ind w:left="0" w:leftChars="0"/>
              <w:rPr>
                <w:rFonts w:hint="eastAsia" w:asciiTheme="minorEastAsia" w:hAnsiTheme="minorEastAsia" w:cstheme="minorEastAsia"/>
                <w:sz w:val="24"/>
                <w:szCs w:val="24"/>
              </w:rPr>
            </w:pPr>
          </w:p>
        </w:tc>
        <w:tc>
          <w:tcPr>
            <w:tcW w:w="1500" w:type="dxa"/>
          </w:tcPr>
          <w:p>
            <w:pPr>
              <w:pStyle w:val="9"/>
              <w:spacing w:line="360" w:lineRule="auto"/>
              <w:ind w:left="0" w:leftChars="0"/>
              <w:rPr>
                <w:rFonts w:hint="eastAsia" w:asciiTheme="minorEastAsia" w:hAnsiTheme="minorEastAsia" w:cstheme="minorEastAsia"/>
                <w:sz w:val="24"/>
                <w:szCs w:val="24"/>
              </w:rPr>
            </w:pPr>
          </w:p>
        </w:tc>
        <w:tc>
          <w:tcPr>
            <w:tcW w:w="1262" w:type="dxa"/>
          </w:tcPr>
          <w:p>
            <w:pPr>
              <w:pStyle w:val="9"/>
              <w:spacing w:line="360" w:lineRule="auto"/>
              <w:ind w:left="0" w:leftChars="0"/>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9"/>
              <w:spacing w:line="360" w:lineRule="auto"/>
              <w:ind w:left="0" w:leftChars="0"/>
              <w:rPr>
                <w:rFonts w:hint="eastAsia" w:asciiTheme="minorEastAsia" w:hAnsiTheme="minorEastAsia" w:cstheme="minorEastAsia"/>
                <w:sz w:val="24"/>
                <w:szCs w:val="24"/>
              </w:rPr>
            </w:pPr>
          </w:p>
        </w:tc>
        <w:tc>
          <w:tcPr>
            <w:tcW w:w="993" w:type="dxa"/>
          </w:tcPr>
          <w:p>
            <w:pPr>
              <w:pStyle w:val="9"/>
              <w:spacing w:line="360" w:lineRule="auto"/>
              <w:ind w:left="0" w:leftChars="0"/>
              <w:rPr>
                <w:rFonts w:hint="eastAsia" w:asciiTheme="minorEastAsia" w:hAnsiTheme="minorEastAsia" w:cstheme="minorEastAsia"/>
                <w:sz w:val="24"/>
                <w:szCs w:val="24"/>
              </w:rPr>
            </w:pPr>
          </w:p>
        </w:tc>
        <w:tc>
          <w:tcPr>
            <w:tcW w:w="850" w:type="dxa"/>
          </w:tcPr>
          <w:p>
            <w:pPr>
              <w:pStyle w:val="9"/>
              <w:spacing w:line="360" w:lineRule="auto"/>
              <w:ind w:left="0" w:leftChars="0"/>
              <w:rPr>
                <w:rFonts w:hint="eastAsia" w:asciiTheme="minorEastAsia" w:hAnsiTheme="minorEastAsia" w:cstheme="minorEastAsia"/>
                <w:sz w:val="24"/>
                <w:szCs w:val="24"/>
              </w:rPr>
            </w:pPr>
          </w:p>
        </w:tc>
        <w:tc>
          <w:tcPr>
            <w:tcW w:w="851" w:type="dxa"/>
          </w:tcPr>
          <w:p>
            <w:pPr>
              <w:pStyle w:val="9"/>
              <w:spacing w:line="360" w:lineRule="auto"/>
              <w:ind w:left="0" w:leftChars="0"/>
              <w:rPr>
                <w:rFonts w:hint="eastAsia" w:asciiTheme="minorEastAsia" w:hAnsiTheme="minorEastAsia" w:cstheme="minorEastAsia"/>
                <w:sz w:val="24"/>
                <w:szCs w:val="24"/>
              </w:rPr>
            </w:pPr>
          </w:p>
        </w:tc>
        <w:tc>
          <w:tcPr>
            <w:tcW w:w="907" w:type="dxa"/>
          </w:tcPr>
          <w:p>
            <w:pPr>
              <w:pStyle w:val="9"/>
              <w:spacing w:line="360" w:lineRule="auto"/>
              <w:ind w:left="0" w:leftChars="0"/>
              <w:rPr>
                <w:rFonts w:hint="eastAsia" w:asciiTheme="minorEastAsia" w:hAnsiTheme="minorEastAsia" w:cstheme="minorEastAsia"/>
                <w:sz w:val="24"/>
                <w:szCs w:val="24"/>
              </w:rPr>
            </w:pPr>
          </w:p>
        </w:tc>
        <w:tc>
          <w:tcPr>
            <w:tcW w:w="1333" w:type="dxa"/>
          </w:tcPr>
          <w:p>
            <w:pPr>
              <w:pStyle w:val="9"/>
              <w:spacing w:line="360" w:lineRule="auto"/>
              <w:ind w:left="0" w:leftChars="0"/>
              <w:rPr>
                <w:rFonts w:hint="eastAsia" w:asciiTheme="minorEastAsia" w:hAnsiTheme="minorEastAsia" w:cstheme="minorEastAsia"/>
                <w:sz w:val="24"/>
                <w:szCs w:val="24"/>
              </w:rPr>
            </w:pPr>
          </w:p>
        </w:tc>
        <w:tc>
          <w:tcPr>
            <w:tcW w:w="1500" w:type="dxa"/>
          </w:tcPr>
          <w:p>
            <w:pPr>
              <w:pStyle w:val="9"/>
              <w:spacing w:line="360" w:lineRule="auto"/>
              <w:ind w:left="0" w:leftChars="0"/>
              <w:rPr>
                <w:rFonts w:hint="eastAsia" w:asciiTheme="minorEastAsia" w:hAnsiTheme="minorEastAsia" w:cstheme="minorEastAsia"/>
                <w:sz w:val="24"/>
                <w:szCs w:val="24"/>
              </w:rPr>
            </w:pPr>
          </w:p>
        </w:tc>
        <w:tc>
          <w:tcPr>
            <w:tcW w:w="1262" w:type="dxa"/>
          </w:tcPr>
          <w:p>
            <w:pPr>
              <w:pStyle w:val="9"/>
              <w:spacing w:line="360" w:lineRule="auto"/>
              <w:ind w:left="0" w:leftChars="0"/>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9"/>
              <w:spacing w:line="360" w:lineRule="auto"/>
              <w:ind w:left="0" w:leftChars="0"/>
              <w:rPr>
                <w:rFonts w:hint="eastAsia" w:asciiTheme="minorEastAsia" w:hAnsiTheme="minorEastAsia" w:cstheme="minorEastAsia"/>
                <w:sz w:val="24"/>
                <w:szCs w:val="24"/>
              </w:rPr>
            </w:pPr>
          </w:p>
        </w:tc>
        <w:tc>
          <w:tcPr>
            <w:tcW w:w="993" w:type="dxa"/>
          </w:tcPr>
          <w:p>
            <w:pPr>
              <w:pStyle w:val="9"/>
              <w:spacing w:line="360" w:lineRule="auto"/>
              <w:ind w:left="0" w:leftChars="0"/>
              <w:rPr>
                <w:rFonts w:hint="eastAsia" w:asciiTheme="minorEastAsia" w:hAnsiTheme="minorEastAsia" w:cstheme="minorEastAsia"/>
                <w:sz w:val="24"/>
                <w:szCs w:val="24"/>
              </w:rPr>
            </w:pPr>
          </w:p>
        </w:tc>
        <w:tc>
          <w:tcPr>
            <w:tcW w:w="850" w:type="dxa"/>
          </w:tcPr>
          <w:p>
            <w:pPr>
              <w:pStyle w:val="9"/>
              <w:spacing w:line="360" w:lineRule="auto"/>
              <w:ind w:left="0" w:leftChars="0"/>
              <w:rPr>
                <w:rFonts w:hint="eastAsia" w:asciiTheme="minorEastAsia" w:hAnsiTheme="minorEastAsia" w:cstheme="minorEastAsia"/>
                <w:sz w:val="24"/>
                <w:szCs w:val="24"/>
              </w:rPr>
            </w:pPr>
          </w:p>
        </w:tc>
        <w:tc>
          <w:tcPr>
            <w:tcW w:w="851" w:type="dxa"/>
          </w:tcPr>
          <w:p>
            <w:pPr>
              <w:pStyle w:val="9"/>
              <w:spacing w:line="360" w:lineRule="auto"/>
              <w:ind w:left="0" w:leftChars="0"/>
              <w:rPr>
                <w:rFonts w:hint="eastAsia" w:asciiTheme="minorEastAsia" w:hAnsiTheme="minorEastAsia" w:cstheme="minorEastAsia"/>
                <w:sz w:val="24"/>
                <w:szCs w:val="24"/>
              </w:rPr>
            </w:pPr>
          </w:p>
        </w:tc>
        <w:tc>
          <w:tcPr>
            <w:tcW w:w="907" w:type="dxa"/>
          </w:tcPr>
          <w:p>
            <w:pPr>
              <w:pStyle w:val="9"/>
              <w:spacing w:line="360" w:lineRule="auto"/>
              <w:ind w:left="0" w:leftChars="0"/>
              <w:rPr>
                <w:rFonts w:hint="eastAsia" w:asciiTheme="minorEastAsia" w:hAnsiTheme="minorEastAsia" w:cstheme="minorEastAsia"/>
                <w:sz w:val="24"/>
                <w:szCs w:val="24"/>
              </w:rPr>
            </w:pPr>
          </w:p>
        </w:tc>
        <w:tc>
          <w:tcPr>
            <w:tcW w:w="1333" w:type="dxa"/>
          </w:tcPr>
          <w:p>
            <w:pPr>
              <w:pStyle w:val="9"/>
              <w:spacing w:line="360" w:lineRule="auto"/>
              <w:ind w:left="0" w:leftChars="0"/>
              <w:rPr>
                <w:rFonts w:hint="eastAsia" w:asciiTheme="minorEastAsia" w:hAnsiTheme="minorEastAsia" w:cstheme="minorEastAsia"/>
                <w:sz w:val="24"/>
                <w:szCs w:val="24"/>
              </w:rPr>
            </w:pPr>
          </w:p>
        </w:tc>
        <w:tc>
          <w:tcPr>
            <w:tcW w:w="1500" w:type="dxa"/>
          </w:tcPr>
          <w:p>
            <w:pPr>
              <w:pStyle w:val="9"/>
              <w:spacing w:line="360" w:lineRule="auto"/>
              <w:ind w:left="0" w:leftChars="0"/>
              <w:rPr>
                <w:rFonts w:hint="eastAsia" w:asciiTheme="minorEastAsia" w:hAnsiTheme="minorEastAsia" w:cstheme="minorEastAsia"/>
                <w:sz w:val="24"/>
                <w:szCs w:val="24"/>
              </w:rPr>
            </w:pPr>
          </w:p>
        </w:tc>
        <w:tc>
          <w:tcPr>
            <w:tcW w:w="1262" w:type="dxa"/>
          </w:tcPr>
          <w:p>
            <w:pPr>
              <w:pStyle w:val="9"/>
              <w:spacing w:line="360" w:lineRule="auto"/>
              <w:ind w:left="0" w:leftChars="0"/>
              <w:rPr>
                <w:rFonts w:hint="eastAsia" w:asciiTheme="minorEastAsia" w:hAnsiTheme="minorEastAsia" w:cstheme="minorEastAsia"/>
                <w:sz w:val="24"/>
                <w:szCs w:val="24"/>
              </w:rPr>
            </w:pPr>
          </w:p>
        </w:tc>
      </w:tr>
    </w:tbl>
    <w:p>
      <w:pPr>
        <w:rPr>
          <w:rFonts w:ascii="宋体" w:hAnsi="宋体" w:cs="宋体"/>
          <w:sz w:val="28"/>
          <w:szCs w:val="28"/>
        </w:rPr>
      </w:pPr>
    </w:p>
    <w:p>
      <w:pPr>
        <w:pStyle w:val="20"/>
      </w:pPr>
    </w:p>
    <w:p>
      <w:pPr>
        <w:pStyle w:val="8"/>
      </w:pPr>
    </w:p>
    <w:p/>
    <w:p>
      <w:pPr>
        <w:pStyle w:val="20"/>
      </w:pPr>
    </w:p>
    <w:p>
      <w:pPr>
        <w:pStyle w:val="8"/>
      </w:pPr>
    </w:p>
    <w:p/>
    <w:p>
      <w:pPr>
        <w:pStyle w:val="20"/>
      </w:pPr>
    </w:p>
    <w:p>
      <w:pPr>
        <w:pStyle w:val="8"/>
      </w:pPr>
    </w:p>
    <w:p/>
    <w:p>
      <w:pPr>
        <w:pStyle w:val="20"/>
      </w:pPr>
    </w:p>
    <w:p>
      <w:pPr>
        <w:pStyle w:val="8"/>
      </w:pPr>
    </w:p>
    <w:p/>
    <w:p>
      <w:pPr>
        <w:pStyle w:val="20"/>
      </w:pPr>
    </w:p>
    <w:p>
      <w:pPr>
        <w:pStyle w:val="8"/>
      </w:pPr>
    </w:p>
    <w:p>
      <w:pPr>
        <w:spacing w:line="360" w:lineRule="auto"/>
        <w:outlineLvl w:val="2"/>
        <w:rPr>
          <w:b/>
          <w:bCs/>
          <w:sz w:val="28"/>
          <w:szCs w:val="28"/>
        </w:rPr>
      </w:pPr>
      <w:r>
        <w:rPr>
          <w:rStyle w:val="29"/>
          <w:rFonts w:hint="eastAsia"/>
          <w:b/>
          <w:bCs/>
          <w:szCs w:val="28"/>
        </w:rPr>
        <w:t>（六）拟投入人员的相关工作业绩、资历及能力</w:t>
      </w:r>
    </w:p>
    <w:tbl>
      <w:tblPr>
        <w:tblStyle w:val="17"/>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426"/>
        <w:gridCol w:w="416"/>
        <w:gridCol w:w="1282"/>
        <w:gridCol w:w="1893"/>
        <w:gridCol w:w="394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94" w:hRule="atLeast"/>
          <w:jc w:val="center"/>
        </w:trPr>
        <w:tc>
          <w:tcPr>
            <w:tcW w:w="1426" w:type="dxa"/>
            <w:vAlign w:val="center"/>
          </w:tcPr>
          <w:p>
            <w:pPr>
              <w:spacing w:line="360" w:lineRule="auto"/>
              <w:jc w:val="center"/>
              <w:rPr>
                <w:rFonts w:hint="eastAsia" w:asciiTheme="minorEastAsia" w:hAnsiTheme="minorEastAsia" w:cstheme="minorEastAsia"/>
                <w:bCs/>
                <w:sz w:val="24"/>
              </w:rPr>
            </w:pPr>
            <w:r>
              <w:rPr>
                <w:rFonts w:hint="eastAsia" w:asciiTheme="minorEastAsia" w:hAnsiTheme="minorEastAsia" w:cstheme="minorEastAsia"/>
                <w:bCs/>
                <w:sz w:val="24"/>
              </w:rPr>
              <w:t>姓  名</w:t>
            </w:r>
          </w:p>
        </w:tc>
        <w:tc>
          <w:tcPr>
            <w:tcW w:w="1698" w:type="dxa"/>
            <w:gridSpan w:val="2"/>
            <w:vAlign w:val="center"/>
          </w:tcPr>
          <w:p>
            <w:pPr>
              <w:spacing w:line="360" w:lineRule="auto"/>
              <w:jc w:val="center"/>
              <w:rPr>
                <w:rFonts w:hint="eastAsia" w:asciiTheme="minorEastAsia" w:hAnsiTheme="minorEastAsia" w:cstheme="minorEastAsia"/>
                <w:bCs/>
                <w:sz w:val="24"/>
              </w:rPr>
            </w:pPr>
          </w:p>
        </w:tc>
        <w:tc>
          <w:tcPr>
            <w:tcW w:w="1893" w:type="dxa"/>
            <w:vAlign w:val="center"/>
          </w:tcPr>
          <w:p>
            <w:pPr>
              <w:spacing w:line="360" w:lineRule="auto"/>
              <w:jc w:val="center"/>
              <w:rPr>
                <w:rFonts w:hint="eastAsia" w:asciiTheme="minorEastAsia" w:hAnsiTheme="minorEastAsia" w:cstheme="minorEastAsia"/>
                <w:bCs/>
                <w:sz w:val="24"/>
              </w:rPr>
            </w:pPr>
            <w:r>
              <w:rPr>
                <w:rFonts w:hint="eastAsia" w:asciiTheme="minorEastAsia" w:hAnsiTheme="minorEastAsia" w:cstheme="minorEastAsia"/>
                <w:bCs/>
                <w:sz w:val="24"/>
              </w:rPr>
              <w:t>年 龄</w:t>
            </w:r>
          </w:p>
        </w:tc>
        <w:tc>
          <w:tcPr>
            <w:tcW w:w="3949" w:type="dxa"/>
            <w:vAlign w:val="center"/>
          </w:tcPr>
          <w:p>
            <w:pPr>
              <w:spacing w:line="360" w:lineRule="auto"/>
              <w:jc w:val="center"/>
              <w:rPr>
                <w:rFonts w:hint="eastAsia" w:asciiTheme="minorEastAsia" w:hAnsiTheme="minorEastAsia" w:cstheme="minorEastAsia"/>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360" w:lineRule="auto"/>
              <w:jc w:val="center"/>
              <w:rPr>
                <w:rFonts w:hint="eastAsia" w:asciiTheme="minorEastAsia" w:hAnsiTheme="minorEastAsia" w:cstheme="minorEastAsia"/>
                <w:bCs/>
                <w:sz w:val="24"/>
              </w:rPr>
            </w:pPr>
            <w:r>
              <w:rPr>
                <w:rFonts w:hint="eastAsia" w:asciiTheme="minorEastAsia" w:hAnsiTheme="minorEastAsia" w:cstheme="minorEastAsia"/>
                <w:bCs/>
                <w:sz w:val="24"/>
              </w:rPr>
              <w:t>性别</w:t>
            </w:r>
          </w:p>
        </w:tc>
        <w:tc>
          <w:tcPr>
            <w:tcW w:w="1698" w:type="dxa"/>
            <w:gridSpan w:val="2"/>
            <w:vAlign w:val="center"/>
          </w:tcPr>
          <w:p>
            <w:pPr>
              <w:spacing w:line="360" w:lineRule="auto"/>
              <w:jc w:val="center"/>
              <w:rPr>
                <w:rFonts w:hint="eastAsia" w:asciiTheme="minorEastAsia" w:hAnsiTheme="minorEastAsia" w:cstheme="minorEastAsia"/>
                <w:bCs/>
                <w:sz w:val="24"/>
              </w:rPr>
            </w:pPr>
          </w:p>
        </w:tc>
        <w:tc>
          <w:tcPr>
            <w:tcW w:w="1893" w:type="dxa"/>
            <w:vAlign w:val="center"/>
          </w:tcPr>
          <w:p>
            <w:pPr>
              <w:spacing w:line="360" w:lineRule="auto"/>
              <w:jc w:val="center"/>
              <w:rPr>
                <w:rFonts w:hint="eastAsia" w:asciiTheme="minorEastAsia" w:hAnsiTheme="minorEastAsia" w:eastAsiaTheme="minorEastAsia" w:cstheme="minorEastAsia"/>
                <w:bCs/>
                <w:sz w:val="24"/>
              </w:rPr>
            </w:pPr>
            <w:r>
              <w:rPr>
                <w:rFonts w:hint="eastAsia" w:asciiTheme="minorEastAsia" w:hAnsiTheme="minorEastAsia" w:cstheme="minorEastAsia"/>
                <w:bCs/>
                <w:sz w:val="24"/>
              </w:rPr>
              <w:t>学历（专业）</w:t>
            </w:r>
          </w:p>
        </w:tc>
        <w:tc>
          <w:tcPr>
            <w:tcW w:w="3949" w:type="dxa"/>
            <w:vAlign w:val="center"/>
          </w:tcPr>
          <w:p>
            <w:pPr>
              <w:spacing w:line="360" w:lineRule="auto"/>
              <w:jc w:val="center"/>
              <w:rPr>
                <w:rFonts w:hint="eastAsia" w:asciiTheme="minorEastAsia" w:hAnsiTheme="minorEastAsia" w:cstheme="minorEastAsia"/>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360" w:lineRule="auto"/>
              <w:jc w:val="center"/>
              <w:rPr>
                <w:rFonts w:hint="eastAsia" w:asciiTheme="minorEastAsia" w:hAnsiTheme="minorEastAsia" w:cstheme="minorEastAsia"/>
                <w:bCs/>
                <w:sz w:val="24"/>
              </w:rPr>
            </w:pPr>
            <w:r>
              <w:rPr>
                <w:rFonts w:hint="eastAsia" w:asciiTheme="minorEastAsia" w:hAnsiTheme="minorEastAsia" w:cstheme="minorEastAsia"/>
                <w:bCs/>
                <w:sz w:val="24"/>
              </w:rPr>
              <w:t>职  称</w:t>
            </w:r>
          </w:p>
        </w:tc>
        <w:tc>
          <w:tcPr>
            <w:tcW w:w="1698" w:type="dxa"/>
            <w:gridSpan w:val="2"/>
            <w:vAlign w:val="center"/>
          </w:tcPr>
          <w:p>
            <w:pPr>
              <w:spacing w:line="360" w:lineRule="auto"/>
              <w:jc w:val="center"/>
              <w:rPr>
                <w:rFonts w:hint="eastAsia" w:asciiTheme="minorEastAsia" w:hAnsiTheme="minorEastAsia" w:cstheme="minorEastAsia"/>
                <w:bCs/>
                <w:sz w:val="24"/>
              </w:rPr>
            </w:pPr>
          </w:p>
        </w:tc>
        <w:tc>
          <w:tcPr>
            <w:tcW w:w="1893" w:type="dxa"/>
            <w:vAlign w:val="center"/>
          </w:tcPr>
          <w:p>
            <w:pPr>
              <w:pStyle w:val="3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执业资格或岗位</w:t>
            </w:r>
          </w:p>
          <w:p>
            <w:pPr>
              <w:spacing w:line="36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sz w:val="24"/>
                <w:szCs w:val="24"/>
              </w:rPr>
              <w:t>（培训）证书</w:t>
            </w:r>
            <w:r>
              <w:rPr>
                <w:rFonts w:hint="eastAsia" w:asciiTheme="minorEastAsia" w:hAnsiTheme="minorEastAsia" w:cstheme="minorEastAsia"/>
                <w:sz w:val="24"/>
                <w:szCs w:val="24"/>
              </w:rPr>
              <w:t>（专业、编号）</w:t>
            </w:r>
          </w:p>
        </w:tc>
        <w:tc>
          <w:tcPr>
            <w:tcW w:w="3949" w:type="dxa"/>
            <w:vAlign w:val="center"/>
          </w:tcPr>
          <w:p>
            <w:pPr>
              <w:spacing w:line="360" w:lineRule="auto"/>
              <w:jc w:val="center"/>
              <w:rPr>
                <w:rFonts w:hint="eastAsia" w:asciiTheme="minorEastAsia" w:hAnsiTheme="minorEastAsia" w:cstheme="minorEastAsia"/>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360" w:lineRule="auto"/>
              <w:jc w:val="center"/>
              <w:rPr>
                <w:rFonts w:hint="eastAsia" w:asciiTheme="minorEastAsia" w:hAnsiTheme="minorEastAsia" w:cstheme="minorEastAsia"/>
                <w:bCs/>
                <w:sz w:val="24"/>
              </w:rPr>
            </w:pPr>
            <w:r>
              <w:rPr>
                <w:rFonts w:hint="eastAsia" w:asciiTheme="minorEastAsia" w:hAnsiTheme="minorEastAsia" w:cstheme="minorEastAsia"/>
                <w:bCs/>
                <w:sz w:val="24"/>
              </w:rPr>
              <w:t>拟任职务</w:t>
            </w:r>
          </w:p>
        </w:tc>
        <w:tc>
          <w:tcPr>
            <w:tcW w:w="1698" w:type="dxa"/>
            <w:gridSpan w:val="2"/>
            <w:vAlign w:val="center"/>
          </w:tcPr>
          <w:p>
            <w:pPr>
              <w:spacing w:line="360" w:lineRule="auto"/>
              <w:jc w:val="center"/>
              <w:rPr>
                <w:rFonts w:hint="eastAsia" w:asciiTheme="minorEastAsia" w:hAnsiTheme="minorEastAsia" w:cstheme="minorEastAsia"/>
                <w:bCs/>
                <w:sz w:val="24"/>
              </w:rPr>
            </w:pPr>
          </w:p>
        </w:tc>
        <w:tc>
          <w:tcPr>
            <w:tcW w:w="1893" w:type="dxa"/>
            <w:vAlign w:val="center"/>
          </w:tcPr>
          <w:p>
            <w:pPr>
              <w:spacing w:line="360" w:lineRule="auto"/>
              <w:jc w:val="center"/>
              <w:rPr>
                <w:rFonts w:hint="eastAsia" w:asciiTheme="minorEastAsia" w:hAnsiTheme="minorEastAsia" w:cstheme="minorEastAsia"/>
                <w:bCs/>
                <w:sz w:val="24"/>
              </w:rPr>
            </w:pPr>
            <w:r>
              <w:rPr>
                <w:rFonts w:hint="eastAsia" w:asciiTheme="minorEastAsia" w:hAnsiTheme="minorEastAsia" w:eastAsiaTheme="minorEastAsia" w:cstheme="minorEastAsia"/>
                <w:sz w:val="24"/>
                <w:szCs w:val="24"/>
              </w:rPr>
              <w:t>工作年限</w:t>
            </w:r>
          </w:p>
        </w:tc>
        <w:tc>
          <w:tcPr>
            <w:tcW w:w="3949" w:type="dxa"/>
            <w:vAlign w:val="center"/>
          </w:tcPr>
          <w:p>
            <w:pPr>
              <w:spacing w:line="360" w:lineRule="auto"/>
              <w:jc w:val="center"/>
              <w:rPr>
                <w:rFonts w:hint="eastAsia" w:asciiTheme="minorEastAsia" w:hAnsiTheme="minorEastAsia" w:cstheme="minorEastAsia"/>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01" w:hRule="atLeast"/>
          <w:jc w:val="center"/>
        </w:trPr>
        <w:tc>
          <w:tcPr>
            <w:tcW w:w="8966" w:type="dxa"/>
            <w:gridSpan w:val="5"/>
            <w:vAlign w:val="center"/>
          </w:tcPr>
          <w:p>
            <w:pPr>
              <w:spacing w:line="360" w:lineRule="auto"/>
              <w:jc w:val="center"/>
              <w:rPr>
                <w:rFonts w:hint="eastAsia" w:asciiTheme="minorEastAsia" w:hAnsiTheme="minorEastAsia" w:cstheme="minorEastAsia"/>
                <w:bCs/>
                <w:sz w:val="24"/>
              </w:rPr>
            </w:pPr>
            <w:r>
              <w:rPr>
                <w:rFonts w:hint="eastAsia" w:asciiTheme="minorEastAsia" w:hAnsiTheme="minorEastAsia" w:cstheme="minorEastAsia"/>
                <w:bCs/>
                <w:sz w:val="24"/>
              </w:rPr>
              <w:t>主要工作经历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29" w:hRule="atLeast"/>
          <w:jc w:val="center"/>
        </w:trPr>
        <w:tc>
          <w:tcPr>
            <w:tcW w:w="1842" w:type="dxa"/>
            <w:gridSpan w:val="2"/>
            <w:vAlign w:val="center"/>
          </w:tcPr>
          <w:p>
            <w:pPr>
              <w:spacing w:line="360" w:lineRule="auto"/>
              <w:jc w:val="center"/>
              <w:rPr>
                <w:rFonts w:hint="eastAsia" w:asciiTheme="minorEastAsia" w:hAnsiTheme="minorEastAsia" w:cstheme="minorEastAsia"/>
                <w:bCs/>
                <w:sz w:val="24"/>
              </w:rPr>
            </w:pPr>
            <w:r>
              <w:rPr>
                <w:rFonts w:hint="eastAsia" w:asciiTheme="minorEastAsia" w:hAnsiTheme="minorEastAsia" w:cstheme="minorEastAsia"/>
                <w:bCs/>
                <w:sz w:val="24"/>
              </w:rPr>
              <w:t>时  间</w:t>
            </w:r>
          </w:p>
        </w:tc>
        <w:tc>
          <w:tcPr>
            <w:tcW w:w="7124" w:type="dxa"/>
            <w:gridSpan w:val="3"/>
            <w:vAlign w:val="center"/>
          </w:tcPr>
          <w:p>
            <w:pPr>
              <w:spacing w:line="360" w:lineRule="auto"/>
              <w:jc w:val="center"/>
              <w:rPr>
                <w:rFonts w:hint="eastAsia" w:asciiTheme="minorEastAsia" w:hAnsiTheme="minorEastAsia" w:cstheme="minorEastAsia"/>
                <w:bCs/>
                <w:sz w:val="24"/>
              </w:rPr>
            </w:pPr>
            <w:r>
              <w:rPr>
                <w:rFonts w:hint="eastAsia" w:asciiTheme="minorEastAsia" w:hAnsiTheme="minorEastAsia" w:cstheme="minorEastAsia"/>
                <w:bCs/>
                <w:sz w:val="24"/>
              </w:rPr>
              <w:t>参加过的类似项目</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13" w:hRule="atLeast"/>
          <w:jc w:val="center"/>
        </w:trPr>
        <w:tc>
          <w:tcPr>
            <w:tcW w:w="1842" w:type="dxa"/>
            <w:gridSpan w:val="2"/>
          </w:tcPr>
          <w:p>
            <w:pPr>
              <w:spacing w:line="360" w:lineRule="auto"/>
              <w:rPr>
                <w:rFonts w:hint="eastAsia" w:asciiTheme="minorEastAsia" w:hAnsiTheme="minorEastAsia" w:cstheme="minorEastAsia"/>
                <w:bCs/>
                <w:sz w:val="24"/>
              </w:rPr>
            </w:pPr>
          </w:p>
        </w:tc>
        <w:tc>
          <w:tcPr>
            <w:tcW w:w="7124" w:type="dxa"/>
            <w:gridSpan w:val="3"/>
          </w:tcPr>
          <w:p>
            <w:pPr>
              <w:spacing w:line="360" w:lineRule="auto"/>
              <w:rPr>
                <w:rFonts w:hint="eastAsia" w:asciiTheme="minorEastAsia" w:hAnsiTheme="minorEastAsia" w:cstheme="minorEastAsia"/>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53" w:hRule="atLeast"/>
          <w:jc w:val="center"/>
        </w:trPr>
        <w:tc>
          <w:tcPr>
            <w:tcW w:w="1842" w:type="dxa"/>
            <w:gridSpan w:val="2"/>
          </w:tcPr>
          <w:p>
            <w:pPr>
              <w:spacing w:line="360" w:lineRule="auto"/>
              <w:rPr>
                <w:rFonts w:hint="eastAsia" w:asciiTheme="minorEastAsia" w:hAnsiTheme="minorEastAsia" w:eastAsiaTheme="minorEastAsia" w:cstheme="minorEastAsia"/>
                <w:bCs/>
                <w:sz w:val="24"/>
              </w:rPr>
            </w:pPr>
          </w:p>
        </w:tc>
        <w:tc>
          <w:tcPr>
            <w:tcW w:w="7124" w:type="dxa"/>
            <w:gridSpan w:val="3"/>
          </w:tcPr>
          <w:p>
            <w:pPr>
              <w:spacing w:line="360" w:lineRule="auto"/>
              <w:rPr>
                <w:rFonts w:hint="eastAsia" w:asciiTheme="minorEastAsia" w:hAnsiTheme="minorEastAsia" w:eastAsiaTheme="minorEastAsia" w:cstheme="minorEastAsia"/>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97" w:hRule="atLeast"/>
          <w:jc w:val="center"/>
        </w:trPr>
        <w:tc>
          <w:tcPr>
            <w:tcW w:w="1842" w:type="dxa"/>
            <w:gridSpan w:val="2"/>
          </w:tcPr>
          <w:p>
            <w:pPr>
              <w:spacing w:line="360" w:lineRule="auto"/>
              <w:rPr>
                <w:rFonts w:hint="eastAsia" w:asciiTheme="minorEastAsia" w:hAnsiTheme="minorEastAsia" w:eastAsiaTheme="minorEastAsia" w:cstheme="minorEastAsia"/>
                <w:bCs/>
                <w:sz w:val="24"/>
              </w:rPr>
            </w:pPr>
          </w:p>
        </w:tc>
        <w:tc>
          <w:tcPr>
            <w:tcW w:w="7124" w:type="dxa"/>
            <w:gridSpan w:val="3"/>
          </w:tcPr>
          <w:p>
            <w:pPr>
              <w:spacing w:line="360" w:lineRule="auto"/>
              <w:rPr>
                <w:rFonts w:hint="eastAsia" w:asciiTheme="minorEastAsia" w:hAnsiTheme="minorEastAsia" w:eastAsiaTheme="minorEastAsia" w:cstheme="minorEastAsia"/>
                <w:bCs/>
                <w:sz w:val="24"/>
              </w:rPr>
            </w:pPr>
          </w:p>
        </w:tc>
      </w:tr>
    </w:tbl>
    <w:p/>
    <w:p>
      <w:pPr>
        <w:spacing w:line="360" w:lineRule="auto"/>
        <w:rPr>
          <w:rFonts w:ascii="宋体" w:hAnsi="宋体"/>
          <w:sz w:val="28"/>
          <w:szCs w:val="28"/>
        </w:rPr>
      </w:pPr>
      <w:r>
        <w:rPr>
          <w:rFonts w:hint="eastAsia" w:ascii="宋体" w:hAnsi="宋体"/>
          <w:sz w:val="28"/>
          <w:szCs w:val="28"/>
        </w:rPr>
        <w:t>此表须附学历、职称、资格证复印件、社保等证明材料。</w:t>
      </w:r>
    </w:p>
    <w:p>
      <w:pPr>
        <w:pStyle w:val="20"/>
        <w:rPr>
          <w:rFonts w:ascii="宋体" w:hAnsi="宋体"/>
        </w:rPr>
      </w:pPr>
    </w:p>
    <w:p>
      <w:pPr>
        <w:pStyle w:val="8"/>
        <w:rPr>
          <w:rFonts w:hAnsi="宋体"/>
          <w:sz w:val="24"/>
        </w:rPr>
      </w:pPr>
    </w:p>
    <w:p>
      <w:pPr>
        <w:rPr>
          <w:rFonts w:ascii="宋体" w:hAnsi="宋体"/>
          <w:sz w:val="24"/>
        </w:rPr>
      </w:pPr>
    </w:p>
    <w:p>
      <w:pPr>
        <w:pStyle w:val="20"/>
        <w:rPr>
          <w:rFonts w:ascii="宋体" w:hAnsi="宋体"/>
        </w:rPr>
      </w:pPr>
    </w:p>
    <w:p>
      <w:pPr>
        <w:pStyle w:val="8"/>
        <w:rPr>
          <w:rFonts w:hAnsi="宋体"/>
          <w:sz w:val="24"/>
        </w:rPr>
      </w:pPr>
    </w:p>
    <w:p>
      <w:pPr>
        <w:rPr>
          <w:rFonts w:ascii="宋体" w:hAnsi="宋体"/>
          <w:sz w:val="24"/>
        </w:rPr>
      </w:pPr>
    </w:p>
    <w:p>
      <w:pPr>
        <w:pStyle w:val="20"/>
        <w:rPr>
          <w:rFonts w:ascii="宋体" w:hAnsi="宋体"/>
        </w:rPr>
      </w:pPr>
    </w:p>
    <w:p>
      <w:pPr>
        <w:pStyle w:val="8"/>
        <w:rPr>
          <w:rFonts w:hAnsi="宋体"/>
          <w:sz w:val="24"/>
        </w:rPr>
      </w:pPr>
    </w:p>
    <w:p>
      <w:pPr>
        <w:rPr>
          <w:rFonts w:ascii="宋体" w:hAnsi="宋体"/>
          <w:sz w:val="24"/>
        </w:rPr>
      </w:pPr>
    </w:p>
    <w:p>
      <w:pPr>
        <w:pStyle w:val="20"/>
        <w:rPr>
          <w:rFonts w:ascii="宋体" w:hAnsi="宋体"/>
        </w:rPr>
      </w:pPr>
    </w:p>
    <w:p>
      <w:pPr>
        <w:pStyle w:val="8"/>
        <w:rPr>
          <w:rFonts w:hAnsi="宋体"/>
          <w:sz w:val="24"/>
        </w:rPr>
      </w:pPr>
    </w:p>
    <w:p>
      <w:pPr>
        <w:pStyle w:val="5"/>
        <w:spacing w:line="360" w:lineRule="auto"/>
        <w:jc w:val="center"/>
        <w:rPr>
          <w:b/>
        </w:rPr>
      </w:pPr>
      <w:bookmarkStart w:id="390" w:name="_Toc31408"/>
      <w:bookmarkStart w:id="391" w:name="_Toc14626"/>
      <w:bookmarkStart w:id="392" w:name="_Toc29810"/>
      <w:bookmarkStart w:id="393" w:name="_Toc19347"/>
      <w:r>
        <w:rPr>
          <w:rFonts w:hint="eastAsia"/>
          <w:b/>
        </w:rPr>
        <w:t>三、报价部分材料目录</w:t>
      </w:r>
      <w:bookmarkEnd w:id="390"/>
      <w:bookmarkEnd w:id="391"/>
      <w:bookmarkEnd w:id="392"/>
      <w:bookmarkEnd w:id="393"/>
    </w:p>
    <w:p>
      <w:pPr>
        <w:spacing w:line="360" w:lineRule="auto"/>
        <w:ind w:right="754" w:firstLine="560" w:firstLineChars="200"/>
        <w:jc w:val="left"/>
        <w:rPr>
          <w:rFonts w:ascii="宋体" w:hAnsi="宋体" w:cs="宋体"/>
          <w:sz w:val="28"/>
          <w:szCs w:val="28"/>
        </w:rPr>
      </w:pPr>
      <w:r>
        <w:rPr>
          <w:rFonts w:hint="eastAsia" w:ascii="宋体" w:hAnsi="宋体" w:cs="宋体"/>
          <w:sz w:val="28"/>
          <w:szCs w:val="28"/>
        </w:rPr>
        <w:t>（一）报价表。</w:t>
      </w:r>
    </w:p>
    <w:p>
      <w:pPr>
        <w:pStyle w:val="20"/>
      </w:pPr>
    </w:p>
    <w:p>
      <w:pPr>
        <w:pStyle w:val="8"/>
      </w:pPr>
    </w:p>
    <w:p/>
    <w:p>
      <w:pPr>
        <w:pStyle w:val="20"/>
      </w:pPr>
    </w:p>
    <w:p>
      <w:pPr>
        <w:pStyle w:val="8"/>
      </w:pPr>
    </w:p>
    <w:p/>
    <w:p>
      <w:pPr>
        <w:pStyle w:val="20"/>
      </w:pPr>
    </w:p>
    <w:p>
      <w:pPr>
        <w:pStyle w:val="8"/>
      </w:pPr>
    </w:p>
    <w:p/>
    <w:p>
      <w:pPr>
        <w:pStyle w:val="20"/>
      </w:pPr>
    </w:p>
    <w:p>
      <w:pPr>
        <w:pStyle w:val="8"/>
      </w:pPr>
    </w:p>
    <w:p/>
    <w:p>
      <w:pPr>
        <w:pStyle w:val="20"/>
      </w:pPr>
    </w:p>
    <w:p>
      <w:pPr>
        <w:pStyle w:val="8"/>
      </w:pPr>
    </w:p>
    <w:p/>
    <w:p>
      <w:pPr>
        <w:pStyle w:val="20"/>
      </w:pPr>
    </w:p>
    <w:p>
      <w:pPr>
        <w:pStyle w:val="8"/>
      </w:pPr>
    </w:p>
    <w:p/>
    <w:p>
      <w:pPr>
        <w:pStyle w:val="20"/>
      </w:pPr>
    </w:p>
    <w:p>
      <w:pPr>
        <w:pStyle w:val="8"/>
      </w:pPr>
    </w:p>
    <w:p/>
    <w:p>
      <w:pPr>
        <w:pStyle w:val="20"/>
      </w:pPr>
    </w:p>
    <w:p>
      <w:pPr>
        <w:pStyle w:val="8"/>
      </w:pPr>
    </w:p>
    <w:p/>
    <w:p>
      <w:pPr>
        <w:pStyle w:val="20"/>
      </w:pPr>
    </w:p>
    <w:p>
      <w:pPr>
        <w:pStyle w:val="6"/>
        <w:numPr>
          <w:ilvl w:val="255"/>
          <w:numId w:val="0"/>
        </w:numPr>
        <w:spacing w:line="360" w:lineRule="auto"/>
        <w:rPr>
          <w:rFonts w:hint="eastAsia" w:asciiTheme="minorEastAsia" w:hAnsiTheme="minorEastAsia" w:cstheme="minorEastAsia"/>
          <w:b/>
          <w:bCs/>
        </w:rPr>
      </w:pPr>
      <w:r>
        <w:rPr>
          <w:rFonts w:hint="eastAsia" w:asciiTheme="minorEastAsia" w:hAnsiTheme="minorEastAsia" w:cstheme="minorEastAsia"/>
          <w:b/>
          <w:bCs/>
        </w:rPr>
        <w:t>（一）报价表（格式）</w:t>
      </w:r>
    </w:p>
    <w:p>
      <w:pPr>
        <w:spacing w:line="360" w:lineRule="auto"/>
        <w:ind w:right="753"/>
        <w:jc w:val="center"/>
        <w:rPr>
          <w:rFonts w:eastAsia="宋体"/>
          <w:b/>
          <w:sz w:val="28"/>
          <w:szCs w:val="28"/>
        </w:rPr>
      </w:pPr>
      <w:r>
        <w:rPr>
          <w:rFonts w:hint="eastAsia" w:asciiTheme="minorEastAsia" w:hAnsiTheme="minorEastAsia" w:eastAsiaTheme="minorEastAsia" w:cstheme="minorEastAsia"/>
          <w:b/>
          <w:sz w:val="28"/>
          <w:szCs w:val="28"/>
        </w:rPr>
        <w:t>1、报价表</w:t>
      </w:r>
    </w:p>
    <w:tbl>
      <w:tblPr>
        <w:tblStyle w:val="17"/>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642"/>
        <w:gridCol w:w="225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08" w:type="dxa"/>
            <w:vAlign w:val="center"/>
          </w:tcPr>
          <w:p>
            <w:pPr>
              <w:spacing w:line="360" w:lineRule="auto"/>
              <w:ind w:right="75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2642" w:type="dxa"/>
            <w:vAlign w:val="center"/>
          </w:tcPr>
          <w:p>
            <w:pPr>
              <w:spacing w:line="360" w:lineRule="auto"/>
              <w:ind w:right="75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w:t>
            </w:r>
          </w:p>
        </w:tc>
        <w:tc>
          <w:tcPr>
            <w:tcW w:w="2250" w:type="dxa"/>
            <w:vAlign w:val="center"/>
          </w:tcPr>
          <w:p>
            <w:pPr>
              <w:spacing w:line="360" w:lineRule="auto"/>
              <w:ind w:right="75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w:t>
            </w:r>
          </w:p>
        </w:tc>
        <w:tc>
          <w:tcPr>
            <w:tcW w:w="2115" w:type="dxa"/>
            <w:vAlign w:val="center"/>
          </w:tcPr>
          <w:p>
            <w:pPr>
              <w:spacing w:line="360" w:lineRule="auto"/>
              <w:ind w:right="75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108" w:type="dxa"/>
            <w:vMerge w:val="restart"/>
            <w:vAlign w:val="center"/>
          </w:tcPr>
          <w:p>
            <w:pPr>
              <w:spacing w:line="360" w:lineRule="auto"/>
              <w:ind w:right="754"/>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rPr>
              <w:t>六景火车站综合交通枢纽配套一期工程水土保持方案编制服务项目</w:t>
            </w:r>
          </w:p>
        </w:tc>
        <w:tc>
          <w:tcPr>
            <w:tcW w:w="2642" w:type="dxa"/>
            <w:vAlign w:val="center"/>
          </w:tcPr>
          <w:p>
            <w:pPr>
              <w:numPr>
                <w:ilvl w:val="0"/>
                <w:numId w:val="6"/>
              </w:numPr>
              <w:spacing w:line="360" w:lineRule="auto"/>
              <w:ind w:right="75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不含税报价</w:t>
            </w:r>
          </w:p>
          <w:p>
            <w:pPr>
              <w:numPr>
                <w:ilvl w:val="255"/>
                <w:numId w:val="0"/>
              </w:numPr>
              <w:spacing w:line="360" w:lineRule="auto"/>
              <w:ind w:right="75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（单位：元）</w:t>
            </w:r>
          </w:p>
        </w:tc>
        <w:tc>
          <w:tcPr>
            <w:tcW w:w="2250" w:type="dxa"/>
            <w:vAlign w:val="center"/>
          </w:tcPr>
          <w:p>
            <w:pPr>
              <w:spacing w:line="360" w:lineRule="auto"/>
              <w:ind w:right="754"/>
              <w:jc w:val="left"/>
              <w:rPr>
                <w:rFonts w:hint="eastAsia" w:asciiTheme="minorEastAsia" w:hAnsiTheme="minorEastAsia" w:eastAsiaTheme="minorEastAsia" w:cstheme="minorEastAsia"/>
                <w:sz w:val="24"/>
                <w:szCs w:val="24"/>
              </w:rPr>
            </w:pPr>
          </w:p>
        </w:tc>
        <w:tc>
          <w:tcPr>
            <w:tcW w:w="2115" w:type="dxa"/>
            <w:vAlign w:val="center"/>
          </w:tcPr>
          <w:p>
            <w:pPr>
              <w:spacing w:line="360" w:lineRule="auto"/>
              <w:ind w:right="754"/>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spacing w:line="360" w:lineRule="auto"/>
              <w:ind w:right="754"/>
              <w:jc w:val="center"/>
              <w:rPr>
                <w:rFonts w:hint="eastAsia" w:asciiTheme="minorEastAsia" w:hAnsiTheme="minorEastAsia" w:eastAsiaTheme="minorEastAsia" w:cstheme="minorEastAsia"/>
                <w:sz w:val="24"/>
                <w:szCs w:val="24"/>
              </w:rPr>
            </w:pPr>
          </w:p>
        </w:tc>
        <w:tc>
          <w:tcPr>
            <w:tcW w:w="2642" w:type="dxa"/>
            <w:vAlign w:val="center"/>
          </w:tcPr>
          <w:p>
            <w:pPr>
              <w:spacing w:line="360" w:lineRule="auto"/>
              <w:ind w:right="75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2.税率（单位：%）</w:t>
            </w:r>
          </w:p>
        </w:tc>
        <w:tc>
          <w:tcPr>
            <w:tcW w:w="2250" w:type="dxa"/>
            <w:vAlign w:val="center"/>
          </w:tcPr>
          <w:p>
            <w:pPr>
              <w:spacing w:line="360" w:lineRule="auto"/>
              <w:ind w:right="754"/>
              <w:jc w:val="left"/>
              <w:rPr>
                <w:rFonts w:hint="eastAsia" w:asciiTheme="minorEastAsia" w:hAnsiTheme="minorEastAsia" w:eastAsiaTheme="minorEastAsia" w:cstheme="minorEastAsia"/>
                <w:sz w:val="24"/>
                <w:szCs w:val="24"/>
              </w:rPr>
            </w:pPr>
          </w:p>
        </w:tc>
        <w:tc>
          <w:tcPr>
            <w:tcW w:w="2115" w:type="dxa"/>
            <w:vAlign w:val="center"/>
          </w:tcPr>
          <w:p>
            <w:pPr>
              <w:spacing w:line="360" w:lineRule="auto"/>
              <w:ind w:right="754"/>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spacing w:line="360" w:lineRule="auto"/>
              <w:ind w:right="754"/>
              <w:jc w:val="center"/>
              <w:rPr>
                <w:rFonts w:hint="eastAsia" w:asciiTheme="minorEastAsia" w:hAnsiTheme="minorEastAsia" w:eastAsiaTheme="minorEastAsia" w:cstheme="minorEastAsia"/>
                <w:sz w:val="24"/>
                <w:szCs w:val="24"/>
              </w:rPr>
            </w:pPr>
          </w:p>
        </w:tc>
        <w:tc>
          <w:tcPr>
            <w:tcW w:w="2642" w:type="dxa"/>
            <w:vAlign w:val="center"/>
          </w:tcPr>
          <w:p>
            <w:pPr>
              <w:numPr>
                <w:ilvl w:val="0"/>
                <w:numId w:val="7"/>
              </w:numPr>
              <w:spacing w:line="360" w:lineRule="auto"/>
              <w:ind w:right="75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税金</w:t>
            </w:r>
          </w:p>
          <w:p>
            <w:pPr>
              <w:numPr>
                <w:ilvl w:val="255"/>
                <w:numId w:val="0"/>
              </w:numPr>
              <w:spacing w:line="360" w:lineRule="auto"/>
              <w:ind w:right="75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（单位：元）    </w:t>
            </w:r>
          </w:p>
        </w:tc>
        <w:tc>
          <w:tcPr>
            <w:tcW w:w="2250" w:type="dxa"/>
            <w:vAlign w:val="center"/>
          </w:tcPr>
          <w:p>
            <w:pPr>
              <w:spacing w:line="360" w:lineRule="auto"/>
              <w:ind w:right="754"/>
              <w:jc w:val="left"/>
              <w:rPr>
                <w:rFonts w:hint="eastAsia" w:asciiTheme="minorEastAsia" w:hAnsiTheme="minorEastAsia" w:eastAsiaTheme="minorEastAsia" w:cstheme="minorEastAsia"/>
                <w:sz w:val="24"/>
                <w:szCs w:val="24"/>
              </w:rPr>
            </w:pPr>
          </w:p>
        </w:tc>
        <w:tc>
          <w:tcPr>
            <w:tcW w:w="2115" w:type="dxa"/>
            <w:vAlign w:val="center"/>
          </w:tcPr>
          <w:p>
            <w:pPr>
              <w:spacing w:line="360" w:lineRule="auto"/>
              <w:ind w:right="754"/>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2108" w:type="dxa"/>
            <w:vMerge w:val="continue"/>
            <w:tcBorders>
              <w:bottom w:val="single" w:color="auto" w:sz="4" w:space="0"/>
            </w:tcBorders>
            <w:vAlign w:val="center"/>
          </w:tcPr>
          <w:p>
            <w:pPr>
              <w:spacing w:line="360" w:lineRule="auto"/>
              <w:ind w:right="754"/>
              <w:jc w:val="center"/>
              <w:rPr>
                <w:rFonts w:hint="eastAsia" w:asciiTheme="minorEastAsia" w:hAnsiTheme="minorEastAsia" w:eastAsiaTheme="minorEastAsia" w:cstheme="minorEastAsia"/>
                <w:sz w:val="24"/>
                <w:szCs w:val="24"/>
              </w:rPr>
            </w:pPr>
          </w:p>
        </w:tc>
        <w:tc>
          <w:tcPr>
            <w:tcW w:w="2642" w:type="dxa"/>
            <w:tcBorders>
              <w:bottom w:val="single" w:color="auto" w:sz="4" w:space="0"/>
            </w:tcBorders>
            <w:vAlign w:val="center"/>
          </w:tcPr>
          <w:p>
            <w:pPr>
              <w:numPr>
                <w:ilvl w:val="255"/>
                <w:numId w:val="0"/>
              </w:numPr>
              <w:spacing w:line="360" w:lineRule="auto"/>
              <w:ind w:right="75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4.含税总报价（=1+3）</w:t>
            </w:r>
          </w:p>
          <w:p>
            <w:pPr>
              <w:numPr>
                <w:ilvl w:val="255"/>
                <w:numId w:val="0"/>
              </w:numPr>
              <w:spacing w:line="360" w:lineRule="auto"/>
              <w:ind w:right="754"/>
              <w:rPr>
                <w:rFonts w:hint="eastAsia" w:asciiTheme="minorEastAsia" w:hAnsiTheme="minorEastAsia" w:cstheme="minorEastAsia"/>
                <w:sz w:val="24"/>
              </w:rPr>
            </w:pPr>
            <w:r>
              <w:rPr>
                <w:rFonts w:hint="eastAsia" w:asciiTheme="minorEastAsia" w:hAnsiTheme="minorEastAsia" w:eastAsiaTheme="minorEastAsia" w:cstheme="minorEastAsia"/>
                <w:sz w:val="24"/>
                <w:szCs w:val="24"/>
              </w:rPr>
              <w:t>（单位：元）</w:t>
            </w:r>
          </w:p>
        </w:tc>
        <w:tc>
          <w:tcPr>
            <w:tcW w:w="2250" w:type="dxa"/>
            <w:tcBorders>
              <w:bottom w:val="single" w:color="auto" w:sz="4" w:space="0"/>
            </w:tcBorders>
            <w:vAlign w:val="center"/>
          </w:tcPr>
          <w:p>
            <w:pPr>
              <w:spacing w:line="360" w:lineRule="auto"/>
              <w:ind w:right="754"/>
              <w:jc w:val="left"/>
              <w:rPr>
                <w:rFonts w:hint="eastAsia" w:asciiTheme="minorEastAsia" w:hAnsiTheme="minorEastAsia" w:eastAsiaTheme="minorEastAsia" w:cstheme="minorEastAsia"/>
                <w:sz w:val="24"/>
                <w:szCs w:val="24"/>
              </w:rPr>
            </w:pPr>
          </w:p>
        </w:tc>
        <w:tc>
          <w:tcPr>
            <w:tcW w:w="2115" w:type="dxa"/>
            <w:tcBorders>
              <w:bottom w:val="single" w:color="auto" w:sz="4" w:space="0"/>
            </w:tcBorders>
            <w:vAlign w:val="center"/>
          </w:tcPr>
          <w:p>
            <w:pPr>
              <w:spacing w:line="360" w:lineRule="auto"/>
              <w:ind w:right="754"/>
              <w:jc w:val="center"/>
              <w:rPr>
                <w:rFonts w:hint="eastAsia" w:asciiTheme="minorEastAsia" w:hAnsiTheme="minorEastAsia" w:eastAsiaTheme="minorEastAsia" w:cstheme="minorEastAsia"/>
                <w:sz w:val="24"/>
                <w:szCs w:val="24"/>
              </w:rPr>
            </w:pPr>
          </w:p>
        </w:tc>
      </w:tr>
    </w:tbl>
    <w:p>
      <w:pPr>
        <w:pStyle w:val="20"/>
      </w:pPr>
    </w:p>
    <w:p>
      <w:pPr>
        <w:spacing w:line="360" w:lineRule="auto"/>
        <w:ind w:right="75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注：上述报价以“元”为单位，保留到小数点后2位。</w:t>
      </w:r>
    </w:p>
    <w:p>
      <w:pPr>
        <w:spacing w:line="360" w:lineRule="auto"/>
        <w:ind w:right="564" w:rightChars="269"/>
        <w:jc w:val="left"/>
        <w:rPr>
          <w:rFonts w:hint="eastAsia" w:asciiTheme="minorEastAsia" w:hAnsiTheme="minorEastAsia" w:cstheme="minorEastAsia"/>
          <w:sz w:val="28"/>
          <w:szCs w:val="28"/>
        </w:rPr>
      </w:pPr>
    </w:p>
    <w:p>
      <w:pPr>
        <w:spacing w:line="360" w:lineRule="auto"/>
        <w:ind w:right="564" w:rightChars="269"/>
        <w:jc w:val="left"/>
        <w:rPr>
          <w:rFonts w:hint="eastAsia" w:asciiTheme="minorEastAsia" w:hAnsiTheme="minorEastAsia" w:cstheme="minorEastAsia"/>
          <w:sz w:val="28"/>
          <w:szCs w:val="28"/>
        </w:rPr>
      </w:pPr>
    </w:p>
    <w:p>
      <w:pPr>
        <w:spacing w:line="360" w:lineRule="auto"/>
        <w:ind w:right="564" w:rightChars="269"/>
        <w:jc w:val="left"/>
        <w:rPr>
          <w:rFonts w:hint="eastAsia" w:asciiTheme="minorEastAsia" w:hAnsiTheme="minorEastAsia" w:cstheme="minorEastAsia"/>
          <w:sz w:val="28"/>
          <w:szCs w:val="28"/>
        </w:rPr>
      </w:pPr>
    </w:p>
    <w:p>
      <w:pPr>
        <w:spacing w:line="360" w:lineRule="auto"/>
        <w:ind w:right="564" w:rightChars="269"/>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比选申请人（公章）                                </w:t>
      </w:r>
    </w:p>
    <w:p>
      <w:pPr>
        <w:spacing w:line="360" w:lineRule="auto"/>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负责人或其委托代理人签名（或盖章）： </w:t>
      </w:r>
    </w:p>
    <w:p>
      <w:pPr>
        <w:pStyle w:val="20"/>
        <w:spacing w:line="360" w:lineRule="auto"/>
        <w:rPr>
          <w:rFonts w:hint="eastAsia" w:asciiTheme="minorEastAsia" w:hAnsiTheme="minorEastAsia" w:cstheme="minorEastAsia"/>
          <w:sz w:val="28"/>
          <w:szCs w:val="28"/>
        </w:rPr>
      </w:pPr>
    </w:p>
    <w:p>
      <w:pPr>
        <w:pStyle w:val="8"/>
        <w:spacing w:line="360" w:lineRule="auto"/>
        <w:rPr>
          <w:rFonts w:hint="eastAsia" w:asciiTheme="minorEastAsia" w:hAnsiTheme="minorEastAsia" w:cstheme="minorEastAsia"/>
          <w:sz w:val="28"/>
          <w:szCs w:val="28"/>
        </w:rPr>
      </w:pPr>
    </w:p>
    <w:p>
      <w:pPr>
        <w:spacing w:line="360" w:lineRule="auto"/>
        <w:rPr>
          <w:rFonts w:hint="eastAsia" w:asciiTheme="minorEastAsia" w:hAnsiTheme="minorEastAsia" w:cstheme="minorEastAsia"/>
          <w:sz w:val="28"/>
          <w:szCs w:val="28"/>
        </w:rPr>
      </w:pPr>
    </w:p>
    <w:p>
      <w:pPr>
        <w:pStyle w:val="5"/>
        <w:spacing w:line="360" w:lineRule="auto"/>
        <w:jc w:val="center"/>
        <w:rPr>
          <w:b/>
        </w:rPr>
      </w:pPr>
      <w:bookmarkStart w:id="394" w:name="_Toc7405"/>
      <w:bookmarkStart w:id="395" w:name="_Toc27017"/>
      <w:bookmarkStart w:id="396" w:name="_Toc9858"/>
      <w:bookmarkStart w:id="397" w:name="_Toc21003"/>
      <w:bookmarkStart w:id="398" w:name="_Toc12857"/>
      <w:r>
        <w:rPr>
          <w:rFonts w:hint="eastAsia"/>
          <w:b/>
        </w:rPr>
        <w:t>四、技术部分材料目录</w:t>
      </w:r>
      <w:bookmarkEnd w:id="394"/>
      <w:bookmarkEnd w:id="395"/>
      <w:bookmarkEnd w:id="396"/>
      <w:bookmarkEnd w:id="397"/>
      <w:bookmarkEnd w:id="398"/>
    </w:p>
    <w:p>
      <w:pPr>
        <w:numPr>
          <w:ilvl w:val="255"/>
          <w:numId w:val="0"/>
        </w:numPr>
        <w:spacing w:line="360" w:lineRule="auto"/>
        <w:ind w:right="-21"/>
        <w:jc w:val="left"/>
        <w:rPr>
          <w:rFonts w:ascii="宋体" w:hAnsi="宋体" w:cs="宋体"/>
          <w:sz w:val="28"/>
          <w:szCs w:val="28"/>
        </w:rPr>
      </w:pPr>
      <w:r>
        <w:rPr>
          <w:rFonts w:hint="eastAsia" w:ascii="宋体" w:hAnsi="宋体" w:cs="宋体"/>
          <w:sz w:val="28"/>
          <w:szCs w:val="28"/>
        </w:rPr>
        <w:t>（一）服务方案（由比选申请人自行编写）；</w:t>
      </w:r>
    </w:p>
    <w:p>
      <w:pPr>
        <w:numPr>
          <w:ilvl w:val="255"/>
          <w:numId w:val="0"/>
        </w:numPr>
        <w:spacing w:line="360" w:lineRule="auto"/>
        <w:ind w:right="-21"/>
        <w:jc w:val="left"/>
        <w:rPr>
          <w:rFonts w:ascii="宋体" w:hAnsi="宋体" w:cs="宋体"/>
          <w:sz w:val="28"/>
          <w:szCs w:val="28"/>
        </w:rPr>
      </w:pPr>
      <w:r>
        <w:rPr>
          <w:rFonts w:hint="eastAsia" w:ascii="宋体" w:hAnsi="宋体" w:cs="宋体"/>
          <w:sz w:val="28"/>
          <w:szCs w:val="28"/>
        </w:rPr>
        <w:t>（二）其他。</w:t>
      </w:r>
    </w:p>
    <w:p>
      <w:pPr>
        <w:spacing w:line="360" w:lineRule="auto"/>
        <w:ind w:right="753"/>
        <w:jc w:val="left"/>
        <w:rPr>
          <w:rFonts w:ascii="宋体" w:hAnsi="宋体" w:cs="宋体"/>
          <w:sz w:val="28"/>
          <w:szCs w:val="28"/>
        </w:rPr>
      </w:pPr>
    </w:p>
    <w:p>
      <w:pPr>
        <w:spacing w:line="360" w:lineRule="auto"/>
        <w:ind w:right="753"/>
        <w:jc w:val="left"/>
        <w:rPr>
          <w:rFonts w:ascii="宋体" w:hAnsi="宋体" w:cs="宋体"/>
          <w:sz w:val="28"/>
          <w:szCs w:val="28"/>
        </w:rPr>
      </w:pPr>
    </w:p>
    <w:p>
      <w:pPr>
        <w:spacing w:line="360" w:lineRule="auto"/>
        <w:ind w:right="753"/>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rPr>
          <w:rFonts w:ascii="宋体" w:hAnsi="宋体" w:cs="宋体"/>
          <w:sz w:val="28"/>
          <w:szCs w:val="28"/>
        </w:rPr>
      </w:pPr>
      <w:bookmarkStart w:id="399" w:name="_Toc30501"/>
      <w:bookmarkStart w:id="400" w:name="_Toc461525332"/>
      <w:bookmarkStart w:id="401" w:name="_Toc6862"/>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bookmarkEnd w:id="399"/>
    <w:bookmarkEnd w:id="400"/>
    <w:bookmarkEnd w:id="401"/>
    <w:p>
      <w:pPr>
        <w:pStyle w:val="6"/>
        <w:spacing w:before="0" w:after="0" w:line="360" w:lineRule="auto"/>
        <w:rPr>
          <w:b/>
          <w:bCs/>
        </w:rPr>
      </w:pPr>
      <w:bookmarkStart w:id="402" w:name="_Toc30924"/>
      <w:bookmarkStart w:id="403" w:name="_Toc28584"/>
      <w:bookmarkStart w:id="404" w:name="_Toc597"/>
      <w:bookmarkStart w:id="405" w:name="_Toc5051"/>
      <w:bookmarkStart w:id="406" w:name="_Toc17896"/>
      <w:bookmarkStart w:id="407" w:name="_Toc29269"/>
      <w:bookmarkStart w:id="408" w:name="_Toc21725"/>
      <w:bookmarkStart w:id="409" w:name="_Toc17903"/>
      <w:r>
        <w:rPr>
          <w:rFonts w:hint="eastAsia"/>
          <w:b/>
          <w:bCs/>
        </w:rPr>
        <w:t>（一）服务方案（由比选申请人自行编写）</w:t>
      </w:r>
      <w:bookmarkEnd w:id="402"/>
      <w:bookmarkEnd w:id="403"/>
      <w:bookmarkEnd w:id="404"/>
      <w:bookmarkEnd w:id="405"/>
      <w:bookmarkEnd w:id="406"/>
      <w:bookmarkEnd w:id="407"/>
      <w:bookmarkEnd w:id="408"/>
      <w:bookmarkEnd w:id="409"/>
    </w:p>
    <w:p>
      <w:pPr>
        <w:spacing w:line="360" w:lineRule="auto"/>
        <w:ind w:firstLine="420" w:firstLineChars="150"/>
        <w:rPr>
          <w:rFonts w:ascii="宋体" w:hAnsi="宋体" w:cs="宋体"/>
          <w:sz w:val="28"/>
          <w:szCs w:val="28"/>
        </w:rPr>
      </w:pPr>
      <w:r>
        <w:rPr>
          <w:rFonts w:hint="eastAsia" w:ascii="宋体" w:hAnsi="宋体" w:cs="宋体"/>
          <w:sz w:val="28"/>
          <w:szCs w:val="28"/>
        </w:rPr>
        <w:t>注：主要从项目</w:t>
      </w:r>
      <w:r>
        <w:rPr>
          <w:rFonts w:hint="eastAsia" w:ascii="宋体" w:hAnsi="宋体" w:cs="宋体"/>
          <w:sz w:val="28"/>
          <w:szCs w:val="28"/>
          <w:lang w:val="en-US" w:eastAsia="zh-CN"/>
        </w:rPr>
        <w:t>重</w:t>
      </w:r>
      <w:r>
        <w:rPr>
          <w:rFonts w:hint="eastAsia" w:ascii="宋体" w:hAnsi="宋体" w:cs="宋体"/>
          <w:sz w:val="28"/>
          <w:szCs w:val="28"/>
        </w:rPr>
        <w:t>点、难点分析及对策，质量控制重点及措施，进度控制重点及措施，服务承诺等方面进行阐述。</w:t>
      </w: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i/>
          <w:sz w:val="28"/>
          <w:szCs w:val="28"/>
        </w:rPr>
      </w:pPr>
    </w:p>
    <w:p>
      <w:pPr>
        <w:ind w:firstLine="420" w:firstLineChars="150"/>
        <w:rPr>
          <w:rFonts w:ascii="宋体" w:hAnsi="宋体" w:cs="宋体"/>
          <w:i/>
          <w:sz w:val="28"/>
          <w:szCs w:val="28"/>
        </w:rPr>
      </w:pPr>
    </w:p>
    <w:p>
      <w:pPr>
        <w:pStyle w:val="6"/>
        <w:spacing w:before="0" w:after="0" w:line="360" w:lineRule="auto"/>
        <w:rPr>
          <w:b/>
          <w:bCs/>
        </w:rPr>
      </w:pPr>
      <w:r>
        <w:rPr>
          <w:rFonts w:hint="eastAsia"/>
          <w:b/>
          <w:bCs/>
        </w:rPr>
        <w:t>（二）其他。</w:t>
      </w:r>
    </w:p>
    <w:p>
      <w:pPr>
        <w:pStyle w:val="8"/>
      </w:pPr>
    </w:p>
    <w:p>
      <w:bookmarkStart w:id="410" w:name="_Toc20703"/>
      <w:bookmarkStart w:id="411" w:name="_Toc23422"/>
      <w:bookmarkStart w:id="412" w:name="_Toc27696"/>
      <w:bookmarkStart w:id="413" w:name="_Toc13854"/>
      <w:bookmarkStart w:id="414" w:name="_Toc21220"/>
      <w:bookmarkStart w:id="415" w:name="_Toc25576"/>
      <w:bookmarkStart w:id="416" w:name="_Toc471482373"/>
      <w:bookmarkStart w:id="417" w:name="_Toc8362"/>
      <w:bookmarkStart w:id="418" w:name="_Toc19609"/>
      <w:bookmarkStart w:id="419" w:name="_Toc18782"/>
    </w:p>
    <w:p/>
    <w:p/>
    <w:p/>
    <w:p/>
    <w:p/>
    <w:p/>
    <w:p/>
    <w:p>
      <w:pPr>
        <w:pStyle w:val="20"/>
      </w:pPr>
    </w:p>
    <w:p>
      <w:pPr>
        <w:pStyle w:val="8"/>
      </w:pPr>
    </w:p>
    <w:p/>
    <w:p>
      <w:pPr>
        <w:pStyle w:val="20"/>
      </w:pPr>
    </w:p>
    <w:p>
      <w:pPr>
        <w:pStyle w:val="8"/>
      </w:pPr>
    </w:p>
    <w:p/>
    <w:p>
      <w:pPr>
        <w:pStyle w:val="20"/>
      </w:pPr>
    </w:p>
    <w:p>
      <w:pPr>
        <w:pStyle w:val="8"/>
      </w:pPr>
    </w:p>
    <w:p/>
    <w:p>
      <w:pPr>
        <w:pStyle w:val="20"/>
      </w:pPr>
    </w:p>
    <w:p>
      <w:pPr>
        <w:pStyle w:val="8"/>
      </w:pPr>
    </w:p>
    <w:p/>
    <w:p>
      <w:pPr>
        <w:pStyle w:val="20"/>
      </w:pPr>
    </w:p>
    <w:p>
      <w:pPr>
        <w:pStyle w:val="8"/>
      </w:pPr>
    </w:p>
    <w:p/>
    <w:p/>
    <w:p/>
    <w:p/>
    <w:p/>
    <w:p>
      <w:pPr>
        <w:pStyle w:val="4"/>
        <w:spacing w:line="360" w:lineRule="auto"/>
        <w:rPr>
          <w:rFonts w:hint="eastAsia" w:asciiTheme="minorEastAsia" w:hAnsiTheme="minorEastAsia" w:cstheme="minorEastAsia"/>
        </w:rPr>
      </w:pPr>
      <w:bookmarkStart w:id="420" w:name="_Toc25473"/>
      <w:bookmarkStart w:id="421" w:name="_Toc8278"/>
      <w:bookmarkStart w:id="422" w:name="_Toc15177"/>
      <w:r>
        <w:rPr>
          <w:rFonts w:hint="eastAsia" w:asciiTheme="minorEastAsia" w:hAnsiTheme="minorEastAsia" w:cstheme="minorEastAsia"/>
        </w:rPr>
        <w:t>第四章 评比办法</w:t>
      </w:r>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5"/>
        <w:spacing w:line="360" w:lineRule="auto"/>
        <w:rPr>
          <w:rFonts w:hint="eastAsia" w:asciiTheme="minorEastAsia" w:hAnsiTheme="minorEastAsia" w:cstheme="minorEastAsia"/>
        </w:rPr>
      </w:pPr>
      <w:bookmarkStart w:id="423" w:name="_Toc15514"/>
      <w:bookmarkStart w:id="424" w:name="_Toc31412"/>
      <w:bookmarkStart w:id="425" w:name="_Toc16236"/>
      <w:bookmarkStart w:id="426" w:name="_Toc9699"/>
      <w:bookmarkStart w:id="427" w:name="_Toc14354"/>
      <w:bookmarkStart w:id="428" w:name="_Toc17632"/>
      <w:bookmarkStart w:id="429" w:name="_Toc29012"/>
      <w:bookmarkStart w:id="430" w:name="_Toc3898"/>
      <w:bookmarkStart w:id="431" w:name="_Toc471482374"/>
      <w:bookmarkStart w:id="432" w:name="_Toc8526"/>
      <w:bookmarkStart w:id="433" w:name="_Toc13157"/>
      <w:bookmarkStart w:id="434" w:name="_Toc2433"/>
      <w:bookmarkStart w:id="435" w:name="_Toc10015"/>
      <w:bookmarkStart w:id="436" w:name="_Toc28938"/>
      <w:bookmarkStart w:id="437" w:name="_Toc7201"/>
      <w:bookmarkStart w:id="438" w:name="_Toc17107"/>
      <w:bookmarkStart w:id="439" w:name="_Toc10281"/>
      <w:bookmarkStart w:id="440" w:name="_Toc26090"/>
      <w:bookmarkStart w:id="441" w:name="_Toc25239"/>
      <w:bookmarkStart w:id="442" w:name="_Toc17031"/>
      <w:bookmarkStart w:id="443" w:name="_Toc3233"/>
      <w:bookmarkStart w:id="444" w:name="_Toc2996"/>
      <w:r>
        <w:rPr>
          <w:rFonts w:hint="eastAsia" w:asciiTheme="minorEastAsia" w:hAnsiTheme="minorEastAsia" w:cstheme="minorEastAsia"/>
        </w:rPr>
        <w:t>一、综合评分办法</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评比委员会首先对比选申请人进行资格审查，评比委员会对通过资格审查的比选申请人按相应的评分细则对商务部分、报价部分、技术部分各自打分后进行汇总，比选申请人的最终得分是评比委员会每一位成员综合得分计算出来的算术平均值。</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（一）资格评审：对比选申请人的资格条件、比选申请文件的完整性和有效性、比选申请文件的有效期等方面进行审查。通过资格评审的比选申请文件进入商务、报价、技术评审。</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（二）商务、报价、技术评审：由比选评审小组按照比选文件的要求，对照比选申请文件的应答进行比较，并对各比选申请文件的商务、报价、技术内容进行评审、打分。</w:t>
      </w:r>
    </w:p>
    <w:p>
      <w:pPr>
        <w:spacing w:line="360" w:lineRule="auto"/>
        <w:ind w:right="753"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三）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四）报价部分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（1）如果数字表示的金额和用文字表示的金额不一致时，应以文字表示的金额为准；</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（2）当单价与数量的乘积与合价不一致时，以合价为准，并调整单价；</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（3）当合价与报价总价不一致时，以报价总价为准，调整相关合价；</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（4）评审期间，比选评审小组不接受任何比选申请人主动提出的对报价及单价、合价的调整；</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（5）由评审小组审议确定(如意见不一致时，以记名方式投票确定)。</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五）在评审过程中，评比委员会发现投标人的报价明显低于其他投标报价，使得其投标报价可能低于其成本的，应当要求该比选申请人做出书面说明并提供相关证明材料。比选申请人不能合理说明或者不能提供相关证明材料的，由评比委员会认定该比选申请人以低于成本报价，报价不合理，其比选申请文件作无效处理。</w:t>
      </w:r>
    </w:p>
    <w:p>
      <w:pPr>
        <w:pStyle w:val="5"/>
        <w:spacing w:line="360" w:lineRule="auto"/>
        <w:rPr>
          <w:rFonts w:hint="eastAsia" w:asciiTheme="minorEastAsia" w:hAnsiTheme="minorEastAsia" w:cstheme="minorEastAsia"/>
        </w:rPr>
      </w:pPr>
      <w:bookmarkStart w:id="445" w:name="_Toc30742"/>
      <w:bookmarkStart w:id="446" w:name="_Toc21005"/>
      <w:bookmarkStart w:id="447" w:name="_Toc30979"/>
      <w:bookmarkStart w:id="448" w:name="_Toc29182"/>
      <w:bookmarkStart w:id="449" w:name="_Toc20237"/>
      <w:bookmarkStart w:id="450" w:name="_Toc31578"/>
      <w:bookmarkStart w:id="451" w:name="_Toc17223"/>
      <w:bookmarkStart w:id="452" w:name="_Toc7245"/>
      <w:bookmarkStart w:id="453" w:name="_Toc10860"/>
      <w:bookmarkStart w:id="454" w:name="_Toc15054"/>
      <w:bookmarkStart w:id="455" w:name="_Toc22653"/>
      <w:bookmarkStart w:id="456" w:name="_Toc5579"/>
      <w:bookmarkStart w:id="457" w:name="_Toc29031"/>
      <w:bookmarkStart w:id="458" w:name="_Toc5576"/>
      <w:bookmarkStart w:id="459" w:name="_Toc12579"/>
      <w:bookmarkStart w:id="460" w:name="_Toc12022"/>
      <w:bookmarkStart w:id="461" w:name="_Toc14401"/>
      <w:bookmarkStart w:id="462" w:name="_Toc471482375"/>
      <w:bookmarkStart w:id="463" w:name="_Toc6388"/>
      <w:bookmarkStart w:id="464" w:name="_Toc28435"/>
      <w:bookmarkStart w:id="465" w:name="_Toc26057"/>
      <w:bookmarkStart w:id="466" w:name="_Toc24540"/>
      <w:r>
        <w:rPr>
          <w:rFonts w:hint="eastAsia" w:asciiTheme="minorEastAsia" w:hAnsiTheme="minorEastAsia" w:cstheme="minorEastAsia"/>
        </w:rPr>
        <w:t>二、总分计算公式</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总分即比选申请人评分综合得分，其计算公式：</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总分＝商务部分得分+报价部分得分+技术部</w:t>
      </w:r>
      <w:bookmarkStart w:id="519" w:name="_GoBack"/>
      <w:bookmarkEnd w:id="519"/>
      <w:r>
        <w:rPr>
          <w:rFonts w:hint="eastAsia" w:asciiTheme="minorEastAsia" w:hAnsiTheme="minorEastAsia" w:cstheme="minorEastAsia"/>
          <w:sz w:val="28"/>
          <w:szCs w:val="28"/>
        </w:rPr>
        <w:t>分得分</w:t>
      </w:r>
    </w:p>
    <w:p>
      <w:pPr>
        <w:spacing w:line="360" w:lineRule="auto"/>
        <w:ind w:right="754" w:firstLine="560" w:firstLineChars="20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注：各项指标的分数计算四舍五入，取小数点后两位。</w:t>
      </w:r>
    </w:p>
    <w:p>
      <w:pPr>
        <w:pStyle w:val="5"/>
        <w:spacing w:line="360" w:lineRule="auto"/>
        <w:rPr>
          <w:rFonts w:hint="eastAsia" w:asciiTheme="minorEastAsia" w:hAnsiTheme="minorEastAsia" w:cstheme="minorEastAsia"/>
        </w:rPr>
      </w:pPr>
      <w:bookmarkStart w:id="467" w:name="_Toc23870"/>
      <w:bookmarkStart w:id="468" w:name="_Toc2834"/>
      <w:bookmarkStart w:id="469" w:name="_Toc32197"/>
      <w:bookmarkStart w:id="470" w:name="_Toc2184"/>
      <w:bookmarkStart w:id="471" w:name="_Toc27311"/>
      <w:bookmarkStart w:id="472" w:name="_Toc31522"/>
      <w:bookmarkStart w:id="473" w:name="_Toc6470"/>
      <w:bookmarkStart w:id="474" w:name="_Toc4749"/>
      <w:bookmarkStart w:id="475" w:name="_Toc471482376"/>
      <w:bookmarkStart w:id="476" w:name="_Toc31364"/>
      <w:bookmarkStart w:id="477" w:name="_Toc32296"/>
      <w:bookmarkStart w:id="478" w:name="_Toc2392"/>
      <w:bookmarkStart w:id="479" w:name="_Toc23087"/>
      <w:bookmarkStart w:id="480" w:name="_Toc9696"/>
      <w:bookmarkStart w:id="481" w:name="_Toc31078"/>
      <w:bookmarkStart w:id="482" w:name="_Toc8001"/>
      <w:bookmarkStart w:id="483" w:name="_Toc13406"/>
      <w:bookmarkStart w:id="484" w:name="_Toc10918"/>
      <w:bookmarkStart w:id="485" w:name="_Toc27350"/>
      <w:bookmarkStart w:id="486" w:name="_Toc26842"/>
      <w:bookmarkStart w:id="487" w:name="_Toc12777"/>
      <w:bookmarkStart w:id="488" w:name="_Toc28207"/>
      <w:bookmarkStart w:id="489" w:name="_Toc18027"/>
      <w:r>
        <w:rPr>
          <w:rFonts w:hint="eastAsia" w:asciiTheme="minorEastAsia" w:hAnsiTheme="minorEastAsia" w:cstheme="minorEastAsia"/>
        </w:rPr>
        <w:t>三、资格审查</w:t>
      </w:r>
      <w:bookmarkEnd w:id="467"/>
      <w:bookmarkEnd w:id="468"/>
      <w:bookmarkEnd w:id="469"/>
      <w:bookmarkEnd w:id="470"/>
      <w:bookmarkEnd w:id="471"/>
    </w:p>
    <w:tbl>
      <w:tblPr>
        <w:tblStyle w:val="17"/>
        <w:tblW w:w="934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941"/>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序号</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项目</w:t>
            </w:r>
          </w:p>
          <w:p>
            <w:pPr>
              <w:widowControl/>
              <w:spacing w:line="360" w:lineRule="auto"/>
              <w:jc w:val="center"/>
              <w:rPr>
                <w:rFonts w:ascii="宋体" w:hAnsi="宋体" w:eastAsia="宋体" w:cs="宋体"/>
                <w:szCs w:val="21"/>
              </w:rPr>
            </w:pPr>
            <w:r>
              <w:rPr>
                <w:rFonts w:hint="eastAsia" w:ascii="宋体" w:hAnsi="宋体" w:eastAsia="宋体" w:cs="宋体"/>
                <w:szCs w:val="21"/>
              </w:rPr>
              <w:t>内容</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合格条件标准</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评审依据</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评审结果（合格/不合格）</w:t>
            </w: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28"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身份证明材料</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r>
              <w:rPr>
                <w:rFonts w:hint="eastAsia" w:ascii="宋体" w:hAnsi="宋体" w:eastAsia="宋体" w:cs="宋体"/>
                <w:szCs w:val="21"/>
              </w:rPr>
              <w:t>法定代表人资格证明书及法定代表人身份证明文件，如有授权，则还需提供授权委托书及授权代理人身份证明文件。</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r>
              <w:rPr>
                <w:rFonts w:hint="eastAsia" w:ascii="宋体" w:hAnsi="宋体" w:eastAsia="宋体" w:cs="宋体"/>
                <w:szCs w:val="21"/>
              </w:rPr>
              <w:t>法定代表人资格证明书及身份证明文件、授权委托书、授权代理人身份证明文件</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r>
              <w:rPr>
                <w:rFonts w:hint="eastAsia" w:ascii="宋体" w:hAnsi="宋体" w:eastAsia="宋体" w:cs="宋体"/>
                <w:szCs w:val="21"/>
              </w:rPr>
              <w:t>法定代表人资格证明书及授权委托书提供原件；法定代表人及授权代理人身份证明文件提供身份证复印件并加盖公章。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10"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企业营业执照及资质</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spacing w:line="360" w:lineRule="auto"/>
              <w:rPr>
                <w:rFonts w:ascii="宋体" w:hAnsi="宋体" w:eastAsia="宋体" w:cs="宋体"/>
                <w:szCs w:val="21"/>
              </w:rPr>
            </w:pPr>
            <w:r>
              <w:rPr>
                <w:rFonts w:hint="eastAsia" w:ascii="宋体" w:hAnsi="宋体" w:eastAsia="宋体" w:cs="宋体"/>
                <w:szCs w:val="21"/>
              </w:rPr>
              <w:t>（1）比选申请人为中华人民共和国境内依法设立的法人或其他组织。</w:t>
            </w:r>
          </w:p>
          <w:p>
            <w:pPr>
              <w:spacing w:line="360" w:lineRule="auto"/>
              <w:ind w:right="-6" w:firstLine="420" w:firstLineChars="200"/>
            </w:pPr>
            <w:r>
              <w:rPr>
                <w:rFonts w:hint="eastAsia" w:ascii="宋体" w:hAnsi="宋体" w:eastAsia="宋体" w:cs="宋体"/>
                <w:szCs w:val="21"/>
              </w:rPr>
              <w:t>（2）资格（资质）要求：</w:t>
            </w:r>
            <w:r>
              <w:rPr>
                <w:rFonts w:hint="eastAsia" w:ascii="宋体" w:hAnsi="宋体" w:eastAsia="宋体" w:cs="宋体"/>
                <w:szCs w:val="21"/>
                <w:highlight w:val="none"/>
                <w:lang w:val="zh-CN"/>
              </w:rPr>
              <w:t>比选申请人</w:t>
            </w:r>
            <w:r>
              <w:rPr>
                <w:rFonts w:hint="eastAsia" w:ascii="宋体" w:hAnsi="宋体" w:eastAsia="宋体" w:cs="宋体"/>
                <w:szCs w:val="21"/>
                <w:highlight w:val="none"/>
              </w:rPr>
              <w:t>营业执照包括水土保持方案编制等类似经营范围</w:t>
            </w:r>
            <w:r>
              <w:rPr>
                <w:rFonts w:hint="eastAsia" w:ascii="宋体" w:hAnsi="宋体" w:eastAsia="宋体" w:cs="宋体"/>
                <w:szCs w:val="21"/>
                <w:highlight w:val="none"/>
                <w:lang w:val="zh-CN"/>
              </w:rPr>
              <w:t>。</w:t>
            </w:r>
          </w:p>
          <w:p>
            <w:pPr>
              <w:spacing w:line="360" w:lineRule="auto"/>
              <w:rPr>
                <w:rFonts w:ascii="宋体" w:hAnsi="宋体" w:eastAsia="宋体" w:cs="宋体"/>
                <w:szCs w:val="21"/>
              </w:rPr>
            </w:pPr>
            <w:r>
              <w:rPr>
                <w:rFonts w:hint="eastAsia" w:ascii="宋体" w:hAnsi="宋体" w:eastAsia="宋体" w:cs="宋体"/>
                <w:szCs w:val="21"/>
              </w:rPr>
              <w:t>（3）单位负责人为同一人或者存在控股、管理关系的不同单位，不得参加本项目比选申请。</w:t>
            </w:r>
          </w:p>
          <w:p>
            <w:pPr>
              <w:widowControl/>
              <w:spacing w:line="360" w:lineRule="auto"/>
              <w:jc w:val="left"/>
              <w:rPr>
                <w:rFonts w:ascii="宋体" w:hAnsi="宋体" w:eastAsia="宋体" w:cs="宋体"/>
                <w:szCs w:val="21"/>
              </w:rPr>
            </w:pPr>
            <w:r>
              <w:rPr>
                <w:rFonts w:hint="eastAsia" w:ascii="宋体" w:hAnsi="宋体" w:eastAsia="宋体" w:cs="宋体"/>
                <w:szCs w:val="21"/>
              </w:rPr>
              <w:t>（4）本项目不接受联合体比选申请。</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r>
              <w:rPr>
                <w:rFonts w:hint="eastAsia" w:ascii="宋体" w:hAnsi="宋体" w:eastAsia="宋体" w:cs="宋体"/>
                <w:szCs w:val="21"/>
              </w:rPr>
              <w:t>营业执照副本（或事业单位法人证书）、税务登记证、企业资质证书等文件</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r>
              <w:rPr>
                <w:rFonts w:hint="eastAsia" w:ascii="宋体" w:hAnsi="宋体" w:eastAsia="宋体" w:cs="宋体"/>
                <w:szCs w:val="21"/>
              </w:rPr>
              <w:t>营业执照副本（或事业单位法人证书）、税务登记证（如已办理三证合一则不需提供）、组织机构代码证（如已办理三证合一则不需提供）、企业资质证书提供复印件加盖公章。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67"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项目负责人</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pStyle w:val="8"/>
              <w:autoSpaceDE/>
              <w:autoSpaceDN/>
              <w:adjustRightInd/>
              <w:spacing w:line="360" w:lineRule="auto"/>
              <w:rPr>
                <w:rFonts w:hAnsi="宋体" w:eastAsia="宋体" w:cs="宋体"/>
                <w:sz w:val="21"/>
                <w:szCs w:val="21"/>
              </w:rPr>
            </w:pPr>
            <w:r>
              <w:rPr>
                <w:rFonts w:hint="eastAsia" w:hAnsi="宋体" w:eastAsia="宋体" w:cs="宋体"/>
                <w:sz w:val="21"/>
                <w:szCs w:val="21"/>
              </w:rPr>
              <w:t>（1）项目负责人1名：且具有水土保持、水利水电等相关专业中级及以上专业技术职称。</w:t>
            </w:r>
          </w:p>
          <w:p>
            <w:pPr>
              <w:pStyle w:val="8"/>
              <w:widowControl/>
              <w:autoSpaceDE/>
              <w:autoSpaceDN/>
              <w:adjustRightInd/>
              <w:spacing w:line="360" w:lineRule="auto"/>
              <w:rPr>
                <w:rFonts w:hAnsi="宋体" w:eastAsia="宋体" w:cs="宋体"/>
                <w:sz w:val="21"/>
                <w:szCs w:val="21"/>
              </w:rPr>
            </w:pPr>
            <w:r>
              <w:rPr>
                <w:rFonts w:hint="eastAsia" w:hAnsi="宋体" w:eastAsia="宋体" w:cs="宋体"/>
                <w:sz w:val="21"/>
                <w:szCs w:val="21"/>
              </w:rPr>
              <w:t>（2）必须为比选申请人的正式员工，并提供</w:t>
            </w:r>
            <w:r>
              <w:rPr>
                <w:rFonts w:hint="eastAsia" w:hAnsi="宋体" w:eastAsia="宋体" w:cs="宋体"/>
                <w:sz w:val="21"/>
                <w:szCs w:val="21"/>
                <w:lang w:eastAsia="zh-CN"/>
              </w:rPr>
              <w:t>2022年12月—2023年2月</w:t>
            </w:r>
            <w:r>
              <w:rPr>
                <w:rFonts w:hint="eastAsia" w:hAnsi="宋体" w:eastAsia="宋体" w:cs="宋体"/>
                <w:sz w:val="21"/>
                <w:szCs w:val="21"/>
              </w:rPr>
              <w:t>的社会保险缴纳证明。</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r>
              <w:rPr>
                <w:rFonts w:hint="eastAsia" w:ascii="宋体" w:hAnsi="宋体" w:eastAsia="宋体" w:cs="宋体"/>
                <w:szCs w:val="21"/>
              </w:rPr>
              <w:t>项目负责人职称证书、社会保险缴纳证明</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r>
              <w:rPr>
                <w:rFonts w:hint="eastAsia" w:ascii="宋体" w:hAnsi="宋体" w:eastAsia="宋体" w:cs="宋体"/>
                <w:szCs w:val="21"/>
              </w:rPr>
              <w:t>项目负责人职称证书提供复印件加盖公章；社保缴纳证明提供至少近三个月的社保缴纳记录并加盖公章。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51"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企业业绩证明</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left"/>
              <w:rPr>
                <w:rFonts w:ascii="宋体" w:hAnsi="宋体" w:eastAsia="宋体" w:cs="宋体"/>
                <w:szCs w:val="21"/>
              </w:rPr>
            </w:pPr>
            <w:r>
              <w:rPr>
                <w:rFonts w:hint="eastAsia" w:ascii="宋体" w:hAnsi="宋体" w:eastAsia="宋体" w:cs="宋体"/>
                <w:szCs w:val="21"/>
              </w:rPr>
              <w:t>比选申请人自2020年1月1日至比选公告发布之日前至少具有1项市政工程或交通工程类水土保持方案编制服务项目业绩。</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r>
              <w:rPr>
                <w:rFonts w:hint="eastAsia" w:ascii="宋体" w:hAnsi="宋体" w:eastAsia="宋体" w:cs="宋体"/>
                <w:szCs w:val="21"/>
              </w:rPr>
              <w:t>项目合同</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r>
              <w:rPr>
                <w:rFonts w:hint="eastAsia" w:ascii="宋体" w:hAnsi="宋体" w:eastAsia="宋体" w:cs="宋体"/>
                <w:szCs w:val="21"/>
              </w:rPr>
              <w:t>项目合同提供复印件加盖公章（必须体现合同对方名称及签订时间，涉及商业秘密的内容可以隐去）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659" w:type="dxa"/>
            <w:tcBorders>
              <w:top w:val="single" w:color="000000" w:sz="8" w:space="0"/>
              <w:left w:val="single" w:color="000000" w:sz="8" w:space="0"/>
              <w:bottom w:val="single" w:color="000000" w:sz="8" w:space="0"/>
              <w:right w:val="single" w:color="000000" w:sz="8" w:space="0"/>
            </w:tcBorders>
            <w:noWrap/>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94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诚信声明</w:t>
            </w:r>
          </w:p>
        </w:tc>
        <w:tc>
          <w:tcPr>
            <w:tcW w:w="2873"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r>
              <w:rPr>
                <w:rFonts w:hint="eastAsia" w:ascii="宋体" w:hAnsi="宋体" w:eastAsia="宋体" w:cs="宋体"/>
                <w:szCs w:val="21"/>
              </w:rPr>
              <w:t>比选申请人没有处于行政主管部门或业主取消比选申请资格的处罚期内，且没有被责令停业，财产被接管、冻结，破产状态；比选申请截止日前3年内没有骗取中选、严重违约或重大质量安全责任事故的情况。</w:t>
            </w:r>
          </w:p>
        </w:tc>
        <w:tc>
          <w:tcPr>
            <w:tcW w:w="1379"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r>
              <w:rPr>
                <w:rFonts w:hint="eastAsia" w:ascii="宋体" w:hAnsi="宋体" w:eastAsia="宋体" w:cs="宋体"/>
                <w:szCs w:val="21"/>
              </w:rPr>
              <w:t>诚信声明</w:t>
            </w:r>
          </w:p>
        </w:tc>
        <w:tc>
          <w:tcPr>
            <w:tcW w:w="1094"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p>
        </w:tc>
        <w:tc>
          <w:tcPr>
            <w:tcW w:w="2401" w:type="dxa"/>
            <w:tcBorders>
              <w:top w:val="single" w:color="000000" w:sz="8" w:space="0"/>
              <w:left w:val="single" w:color="000000" w:sz="8" w:space="0"/>
              <w:bottom w:val="single" w:color="000000" w:sz="8" w:space="0"/>
              <w:right w:val="single" w:color="000000" w:sz="8" w:space="0"/>
            </w:tcBorders>
            <w:noWrap/>
            <w:vAlign w:val="center"/>
          </w:tcPr>
          <w:p>
            <w:pPr>
              <w:widowControl/>
              <w:spacing w:line="360" w:lineRule="auto"/>
              <w:rPr>
                <w:rFonts w:ascii="宋体" w:hAnsi="宋体" w:eastAsia="宋体" w:cs="宋体"/>
                <w:szCs w:val="21"/>
              </w:rPr>
            </w:pPr>
            <w:r>
              <w:rPr>
                <w:rFonts w:hint="eastAsia" w:ascii="宋体" w:hAnsi="宋体" w:eastAsia="宋体" w:cs="宋体"/>
                <w:szCs w:val="21"/>
              </w:rPr>
              <w:t>诚信声明提供原件</w:t>
            </w:r>
          </w:p>
          <w:p>
            <w:pPr>
              <w:widowControl/>
              <w:spacing w:line="360" w:lineRule="auto"/>
              <w:rPr>
                <w:rFonts w:ascii="宋体" w:hAnsi="宋体" w:eastAsia="宋体" w:cs="宋体"/>
                <w:szCs w:val="21"/>
              </w:rPr>
            </w:pPr>
          </w:p>
        </w:tc>
      </w:tr>
    </w:tbl>
    <w:p>
      <w:pPr>
        <w:snapToGrid w:val="0"/>
        <w:spacing w:line="360" w:lineRule="auto"/>
        <w:rPr>
          <w:rFonts w:hint="eastAsia" w:asciiTheme="minorEastAsia" w:hAnsiTheme="minorEastAsia" w:cstheme="minorEastAsia"/>
          <w:b/>
          <w:sz w:val="28"/>
          <w:szCs w:val="28"/>
        </w:rPr>
      </w:pPr>
      <w:r>
        <w:rPr>
          <w:rFonts w:hint="eastAsia" w:asciiTheme="minorEastAsia" w:hAnsiTheme="minorEastAsia" w:cstheme="minorEastAsia"/>
          <w:b/>
          <w:sz w:val="28"/>
          <w:szCs w:val="28"/>
        </w:rPr>
        <w:t>注：</w:t>
      </w:r>
    </w:p>
    <w:p>
      <w:pPr>
        <w:snapToGrid w:val="0"/>
        <w:spacing w:line="360" w:lineRule="auto"/>
        <w:rPr>
          <w:rFonts w:hint="eastAsia" w:asciiTheme="minorEastAsia" w:hAnsiTheme="minorEastAsia" w:cstheme="minorEastAsia"/>
          <w:sz w:val="28"/>
          <w:szCs w:val="28"/>
        </w:rPr>
      </w:pPr>
      <w:r>
        <w:rPr>
          <w:rFonts w:hint="eastAsia" w:asciiTheme="minorEastAsia" w:hAnsiTheme="minorEastAsia" w:cstheme="minorEastAsia"/>
          <w:b/>
          <w:sz w:val="28"/>
          <w:szCs w:val="28"/>
          <w:lang w:val="en-US" w:eastAsia="zh-CN"/>
        </w:rPr>
        <w:t>1</w:t>
      </w:r>
      <w:r>
        <w:rPr>
          <w:rFonts w:hint="eastAsia" w:asciiTheme="minorEastAsia" w:hAnsiTheme="minorEastAsia" w:cstheme="minorEastAsia"/>
          <w:b/>
          <w:sz w:val="28"/>
          <w:szCs w:val="28"/>
        </w:rPr>
        <w:t>.比选申请人如未通过上述资格审查，则作比选申请被否决处理并不得进入下一阶段评审。</w:t>
      </w:r>
    </w:p>
    <w:p>
      <w:pPr>
        <w:pStyle w:val="5"/>
        <w:spacing w:line="360" w:lineRule="auto"/>
        <w:rPr>
          <w:rFonts w:hint="eastAsia" w:asciiTheme="minorEastAsia" w:hAnsiTheme="minorEastAsia" w:cstheme="minorEastAsia"/>
        </w:rPr>
      </w:pPr>
      <w:bookmarkStart w:id="490" w:name="_Toc5671"/>
      <w:bookmarkStart w:id="491" w:name="_Toc27258"/>
      <w:bookmarkStart w:id="492" w:name="_Toc19188"/>
      <w:bookmarkStart w:id="493" w:name="_Toc826"/>
      <w:r>
        <w:rPr>
          <w:rFonts w:hint="eastAsia" w:asciiTheme="minorEastAsia" w:hAnsiTheme="minorEastAsia" w:cstheme="minorEastAsia"/>
        </w:rPr>
        <w:t>四、评分细则</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2"/>
        <w:spacing w:line="360" w:lineRule="auto"/>
        <w:outlineLvl w:val="2"/>
        <w:rPr>
          <w:rFonts w:hint="eastAsia" w:asciiTheme="minorEastAsia" w:hAnsiTheme="minorEastAsia" w:cstheme="minorEastAsia"/>
          <w:sz w:val="28"/>
          <w:szCs w:val="28"/>
        </w:rPr>
      </w:pPr>
      <w:bookmarkStart w:id="494" w:name="_Toc18752"/>
      <w:bookmarkStart w:id="495" w:name="_Toc15382"/>
      <w:bookmarkStart w:id="496" w:name="_Toc1358"/>
      <w:r>
        <w:rPr>
          <w:rFonts w:hint="eastAsia" w:asciiTheme="minorEastAsia" w:hAnsiTheme="minorEastAsia" w:cstheme="minorEastAsia"/>
          <w:sz w:val="28"/>
          <w:szCs w:val="28"/>
        </w:rPr>
        <w:t>（一）商务部分评分细则（满分30分）</w:t>
      </w:r>
    </w:p>
    <w:tbl>
      <w:tblPr>
        <w:tblStyle w:val="17"/>
        <w:tblW w:w="10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265"/>
        <w:gridCol w:w="1134"/>
        <w:gridCol w:w="1322"/>
        <w:gridCol w:w="4348"/>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32"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序号</w:t>
            </w:r>
          </w:p>
        </w:tc>
        <w:tc>
          <w:tcPr>
            <w:tcW w:w="1265"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评分项目</w:t>
            </w:r>
          </w:p>
        </w:tc>
        <w:tc>
          <w:tcPr>
            <w:tcW w:w="1134"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满分</w:t>
            </w:r>
          </w:p>
        </w:tc>
        <w:tc>
          <w:tcPr>
            <w:tcW w:w="5670" w:type="dxa"/>
            <w:gridSpan w:val="2"/>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评分细则（m）</w:t>
            </w:r>
          </w:p>
        </w:tc>
        <w:tc>
          <w:tcPr>
            <w:tcW w:w="1237" w:type="dxa"/>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3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w:t>
            </w:r>
          </w:p>
        </w:tc>
        <w:tc>
          <w:tcPr>
            <w:tcW w:w="126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业绩评分</w:t>
            </w:r>
          </w:p>
        </w:tc>
        <w:tc>
          <w:tcPr>
            <w:tcW w:w="1134"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670" w:type="dxa"/>
            <w:gridSpan w:val="2"/>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比选申请人近</w:t>
            </w:r>
            <w:r>
              <w:rPr>
                <w:rFonts w:asciiTheme="minorEastAsia" w:hAnsiTheme="minorEastAsia" w:cstheme="minorEastAsia"/>
                <w:szCs w:val="21"/>
              </w:rPr>
              <w:t>3</w:t>
            </w:r>
            <w:r>
              <w:rPr>
                <w:rFonts w:hint="eastAsia" w:asciiTheme="minorEastAsia" w:hAnsiTheme="minorEastAsia" w:cstheme="minorEastAsia"/>
                <w:szCs w:val="21"/>
              </w:rPr>
              <w:t>年（2</w:t>
            </w:r>
            <w:r>
              <w:rPr>
                <w:rFonts w:asciiTheme="minorEastAsia" w:hAnsiTheme="minorEastAsia" w:cstheme="minorEastAsia"/>
                <w:szCs w:val="21"/>
              </w:rPr>
              <w:t>0</w:t>
            </w:r>
            <w:r>
              <w:rPr>
                <w:rFonts w:hint="eastAsia" w:asciiTheme="minorEastAsia" w:hAnsiTheme="minorEastAsia" w:cstheme="minorEastAsia"/>
                <w:szCs w:val="21"/>
              </w:rPr>
              <w:t>20</w:t>
            </w:r>
            <w:r>
              <w:rPr>
                <w:rFonts w:asciiTheme="minorEastAsia" w:hAnsiTheme="minorEastAsia" w:cstheme="minorEastAsia"/>
                <w:szCs w:val="21"/>
              </w:rPr>
              <w:t>年</w:t>
            </w:r>
            <w:r>
              <w:rPr>
                <w:rFonts w:hint="eastAsia" w:asciiTheme="minorEastAsia" w:hAnsiTheme="minorEastAsia" w:cstheme="minorEastAsia"/>
                <w:szCs w:val="21"/>
              </w:rPr>
              <w:t>1月1日之后）</w:t>
            </w:r>
            <w:r>
              <w:rPr>
                <w:rFonts w:asciiTheme="minorEastAsia" w:hAnsiTheme="minorEastAsia" w:cstheme="minorEastAsia"/>
                <w:szCs w:val="21"/>
              </w:rPr>
              <w:t>每参与或完成</w:t>
            </w:r>
            <w:r>
              <w:rPr>
                <w:rFonts w:hint="eastAsia" w:asciiTheme="minorEastAsia" w:hAnsiTheme="minorEastAsia" w:cstheme="minorEastAsia"/>
                <w:szCs w:val="21"/>
              </w:rPr>
              <w:t>1</w:t>
            </w:r>
            <w:r>
              <w:rPr>
                <w:rFonts w:asciiTheme="minorEastAsia" w:hAnsiTheme="minorEastAsia" w:cstheme="minorEastAsia"/>
                <w:szCs w:val="21"/>
              </w:rPr>
              <w:t>个</w:t>
            </w:r>
            <w:r>
              <w:rPr>
                <w:rFonts w:hint="eastAsia" w:asciiTheme="minorEastAsia" w:hAnsiTheme="minorEastAsia" w:cstheme="minorEastAsia"/>
                <w:szCs w:val="21"/>
              </w:rPr>
              <w:t>市政工程或交通工程类水土保持方案</w:t>
            </w:r>
            <w:r>
              <w:rPr>
                <w:rFonts w:asciiTheme="minorEastAsia" w:hAnsiTheme="minorEastAsia" w:cstheme="minorEastAsia"/>
                <w:szCs w:val="21"/>
              </w:rPr>
              <w:t>编制业绩</w:t>
            </w:r>
            <w:r>
              <w:rPr>
                <w:rFonts w:hint="eastAsia" w:asciiTheme="minorEastAsia" w:hAnsiTheme="minorEastAsia" w:cstheme="minorEastAsia"/>
                <w:szCs w:val="21"/>
              </w:rPr>
              <w:t>，得2分；本项满分10分。（提供合同或委托书复印件证明，以合同签订或委托时间为准）</w:t>
            </w:r>
          </w:p>
        </w:tc>
        <w:tc>
          <w:tcPr>
            <w:tcW w:w="1237" w:type="dxa"/>
            <w:vAlign w:val="center"/>
          </w:tcPr>
          <w:p>
            <w:pPr>
              <w:widowControl/>
              <w:spacing w:line="360" w:lineRule="auto"/>
              <w:jc w:val="center"/>
              <w:rPr>
                <w:rFonts w:asciiTheme="minorEastAsia" w:hAnsi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3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2</w:t>
            </w:r>
          </w:p>
        </w:tc>
        <w:tc>
          <w:tcPr>
            <w:tcW w:w="126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信誉评分</w:t>
            </w:r>
          </w:p>
        </w:tc>
        <w:tc>
          <w:tcPr>
            <w:tcW w:w="1134"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670" w:type="dxa"/>
            <w:gridSpan w:val="2"/>
            <w:vAlign w:val="center"/>
          </w:tcPr>
          <w:p>
            <w:pPr>
              <w:spacing w:line="360" w:lineRule="auto"/>
              <w:rPr>
                <w:rFonts w:hint="eastAsia" w:asciiTheme="minorEastAsia" w:hAnsiTheme="minorEastAsia" w:cstheme="minorEastAsia"/>
                <w:szCs w:val="21"/>
              </w:rPr>
            </w:pPr>
            <w:r>
              <w:rPr>
                <w:rFonts w:hint="eastAsia" w:asciiTheme="minorEastAsia" w:hAnsiTheme="minorEastAsia" w:cstheme="minorEastAsia"/>
                <w:szCs w:val="21"/>
              </w:rPr>
              <w:t>1、投标人具有质量、环境、职业健康安全三项管理体系认证，且在有效期内，得2分。</w:t>
            </w:r>
          </w:p>
          <w:p>
            <w:pPr>
              <w:spacing w:line="360" w:lineRule="auto"/>
              <w:rPr>
                <w:rFonts w:hint="eastAsia" w:asciiTheme="minorEastAsia" w:hAnsiTheme="minorEastAsia" w:cstheme="minorEastAsia"/>
                <w:szCs w:val="21"/>
              </w:rPr>
            </w:pPr>
            <w:r>
              <w:rPr>
                <w:rFonts w:hint="eastAsia" w:asciiTheme="minorEastAsia" w:hAnsiTheme="minorEastAsia" w:cstheme="minorEastAsia"/>
                <w:szCs w:val="21"/>
              </w:rPr>
              <w:t>2、</w:t>
            </w:r>
            <w:r>
              <w:rPr>
                <w:rFonts w:hint="eastAsia" w:asciiTheme="minorEastAsia" w:hAnsiTheme="minorEastAsia" w:cstheme="minorEastAsia"/>
                <w:szCs w:val="21"/>
                <w:highlight w:val="none"/>
              </w:rPr>
              <w:t>投标人具备由中国水土保持学会颁发的合格有效的水土保持方案编制单位水平评价证书资格证书，4</w:t>
            </w:r>
            <w:r>
              <w:rPr>
                <w:rFonts w:hint="eastAsia" w:asciiTheme="minorEastAsia" w:hAnsiTheme="minorEastAsia" w:cstheme="minorEastAsia"/>
                <w:szCs w:val="21"/>
                <w:highlight w:val="none"/>
                <w:lang w:val="zh-CN"/>
              </w:rPr>
              <w:t>星</w:t>
            </w:r>
            <w:r>
              <w:rPr>
                <w:rFonts w:hint="eastAsia" w:asciiTheme="minorEastAsia" w:hAnsiTheme="minorEastAsia" w:cstheme="minorEastAsia"/>
                <w:szCs w:val="21"/>
                <w:highlight w:val="none"/>
              </w:rPr>
              <w:t>级的，得1分</w:t>
            </w:r>
            <w:r>
              <w:rPr>
                <w:rFonts w:hint="eastAsia" w:asciiTheme="minorEastAsia" w:hAnsiTheme="minorEastAsia" w:cstheme="minorEastAsia"/>
                <w:szCs w:val="21"/>
              </w:rPr>
              <w:t>；5星级的，得2分。</w:t>
            </w:r>
          </w:p>
          <w:p>
            <w:pPr>
              <w:spacing w:line="360" w:lineRule="auto"/>
              <w:jc w:val="left"/>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3、投标人近3年（2020年1月1日之后）每获得一项省级及以上水行政主管部门或省级及以上水土保持学会颁发的水土保持方案相关奖励，得2分，本项满分6分。（提供获奖证书，以证书时间为准）</w:t>
            </w:r>
          </w:p>
          <w:p>
            <w:pPr>
              <w:pStyle w:val="20"/>
              <w:spacing w:line="360" w:lineRule="auto"/>
              <w:rPr>
                <w:rFonts w:hint="eastAsia" w:asciiTheme="minorEastAsia" w:hAnsiTheme="minorEastAsia" w:cstheme="minorEastAsia"/>
                <w:sz w:val="21"/>
                <w:szCs w:val="21"/>
              </w:rPr>
            </w:pPr>
          </w:p>
        </w:tc>
        <w:tc>
          <w:tcPr>
            <w:tcW w:w="1237" w:type="dxa"/>
            <w:vAlign w:val="center"/>
          </w:tcPr>
          <w:p>
            <w:pPr>
              <w:widowControl/>
              <w:spacing w:line="360" w:lineRule="auto"/>
              <w:jc w:val="center"/>
              <w:rPr>
                <w:rFonts w:asciiTheme="minorEastAsia" w:hAnsi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32" w:type="dxa"/>
            <w:vMerge w:val="restart"/>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3</w:t>
            </w:r>
          </w:p>
        </w:tc>
        <w:tc>
          <w:tcPr>
            <w:tcW w:w="1265" w:type="dxa"/>
            <w:vMerge w:val="restart"/>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人员配备评分</w:t>
            </w:r>
          </w:p>
        </w:tc>
        <w:tc>
          <w:tcPr>
            <w:tcW w:w="1134" w:type="dxa"/>
            <w:vMerge w:val="restart"/>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1322" w:type="dxa"/>
            <w:vAlign w:val="center"/>
          </w:tcPr>
          <w:p>
            <w:pPr>
              <w:spacing w:line="360" w:lineRule="auto"/>
              <w:jc w:val="center"/>
              <w:rPr>
                <w:rFonts w:asciiTheme="minorEastAsia" w:hAnsiTheme="minorEastAsia" w:cstheme="minorEastAsia"/>
                <w:szCs w:val="21"/>
                <w:highlight w:val="yellow"/>
              </w:rPr>
            </w:pPr>
            <w:r>
              <w:rPr>
                <w:rFonts w:hint="eastAsia" w:asciiTheme="minorEastAsia" w:hAnsiTheme="minorEastAsia" w:cstheme="minorEastAsia"/>
                <w:szCs w:val="21"/>
              </w:rPr>
              <w:t>项目负责人（4</w:t>
            </w:r>
            <w:r>
              <w:rPr>
                <w:rFonts w:asciiTheme="minorEastAsia" w:hAnsiTheme="minorEastAsia" w:cstheme="minorEastAsia"/>
                <w:szCs w:val="21"/>
              </w:rPr>
              <w:t>分</w:t>
            </w:r>
            <w:r>
              <w:rPr>
                <w:rFonts w:hint="eastAsia" w:asciiTheme="minorEastAsia" w:hAnsiTheme="minorEastAsia" w:cstheme="minorEastAsia"/>
                <w:szCs w:val="21"/>
              </w:rPr>
              <w:t>）</w:t>
            </w:r>
          </w:p>
        </w:tc>
        <w:tc>
          <w:tcPr>
            <w:tcW w:w="4348" w:type="dxa"/>
            <w:vAlign w:val="center"/>
          </w:tcPr>
          <w:p>
            <w:pPr>
              <w:spacing w:line="360" w:lineRule="auto"/>
              <w:rPr>
                <w:rFonts w:asciiTheme="minorEastAsia" w:hAnsiTheme="minorEastAsia" w:cstheme="minorEastAsia"/>
                <w:szCs w:val="21"/>
                <w:highlight w:val="yellow"/>
              </w:rPr>
            </w:pPr>
            <w:r>
              <w:rPr>
                <w:rFonts w:hint="eastAsia" w:asciiTheme="minorEastAsia" w:hAnsiTheme="minorEastAsia" w:cstheme="minorEastAsia"/>
                <w:szCs w:val="21"/>
              </w:rPr>
              <w:t>具有水土保持、水利水电等相关专业中级专业技术职称，得2分；具有水土保持、水利水电等相关专业高级专业技术职称，得4分。</w:t>
            </w:r>
          </w:p>
        </w:tc>
        <w:tc>
          <w:tcPr>
            <w:tcW w:w="1237" w:type="dxa"/>
            <w:vAlign w:val="center"/>
          </w:tcPr>
          <w:p>
            <w:pPr>
              <w:widowControl/>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732" w:type="dxa"/>
            <w:vMerge w:val="continue"/>
            <w:vAlign w:val="center"/>
          </w:tcPr>
          <w:p>
            <w:pPr>
              <w:spacing w:line="360" w:lineRule="auto"/>
              <w:jc w:val="center"/>
              <w:rPr>
                <w:rFonts w:asciiTheme="minorEastAsia" w:hAnsiTheme="minorEastAsia" w:cstheme="minorEastAsia"/>
                <w:szCs w:val="21"/>
              </w:rPr>
            </w:pPr>
          </w:p>
        </w:tc>
        <w:tc>
          <w:tcPr>
            <w:tcW w:w="1265" w:type="dxa"/>
            <w:vMerge w:val="continue"/>
            <w:vAlign w:val="center"/>
          </w:tcPr>
          <w:p>
            <w:pPr>
              <w:spacing w:line="360" w:lineRule="auto"/>
              <w:jc w:val="center"/>
              <w:rPr>
                <w:rFonts w:asciiTheme="minorEastAsia" w:hAnsiTheme="minorEastAsia" w:cstheme="minorEastAsia"/>
                <w:szCs w:val="21"/>
              </w:rPr>
            </w:pPr>
          </w:p>
        </w:tc>
        <w:tc>
          <w:tcPr>
            <w:tcW w:w="1134" w:type="dxa"/>
            <w:vMerge w:val="continue"/>
            <w:vAlign w:val="center"/>
          </w:tcPr>
          <w:p>
            <w:pPr>
              <w:spacing w:line="360" w:lineRule="auto"/>
              <w:jc w:val="center"/>
              <w:rPr>
                <w:rFonts w:asciiTheme="minorEastAsia" w:hAnsiTheme="minorEastAsia" w:cstheme="minorEastAsia"/>
                <w:szCs w:val="21"/>
              </w:rPr>
            </w:pPr>
          </w:p>
        </w:tc>
        <w:tc>
          <w:tcPr>
            <w:tcW w:w="132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项目组成员（6分）</w:t>
            </w:r>
          </w:p>
        </w:tc>
        <w:tc>
          <w:tcPr>
            <w:tcW w:w="4348" w:type="dxa"/>
            <w:vAlign w:val="center"/>
          </w:tcPr>
          <w:p>
            <w:pPr>
              <w:spacing w:line="360" w:lineRule="auto"/>
              <w:jc w:val="left"/>
              <w:rPr>
                <w:rFonts w:asciiTheme="minorEastAsia" w:hAnsiTheme="minorEastAsia" w:cstheme="minorEastAsia"/>
                <w:szCs w:val="21"/>
              </w:rPr>
            </w:pPr>
            <w:r>
              <w:rPr>
                <w:rFonts w:asciiTheme="minorEastAsia" w:hAnsiTheme="minorEastAsia" w:cstheme="minorEastAsia"/>
                <w:szCs w:val="21"/>
              </w:rPr>
              <w:t>项目组成员</w:t>
            </w:r>
            <w:r>
              <w:rPr>
                <w:rFonts w:hint="eastAsia" w:asciiTheme="minorEastAsia" w:hAnsiTheme="minorEastAsia" w:cstheme="minorEastAsia"/>
                <w:szCs w:val="21"/>
              </w:rPr>
              <w:t>中，具有1</w:t>
            </w:r>
            <w:r>
              <w:rPr>
                <w:rFonts w:asciiTheme="minorEastAsia" w:hAnsiTheme="minorEastAsia" w:cstheme="minorEastAsia"/>
                <w:szCs w:val="21"/>
              </w:rPr>
              <w:t>名</w:t>
            </w:r>
            <w:r>
              <w:rPr>
                <w:rFonts w:hint="eastAsia" w:asciiTheme="minorEastAsia" w:hAnsiTheme="minorEastAsia" w:cstheme="minorEastAsia"/>
                <w:szCs w:val="21"/>
              </w:rPr>
              <w:t>水土保持、水利水电等相关专业中级专业技术职称，得</w:t>
            </w:r>
            <w:r>
              <w:rPr>
                <w:rFonts w:hint="eastAsia" w:asciiTheme="minorEastAsia" w:hAnsiTheme="minorEastAsia" w:cstheme="minorEastAsia"/>
                <w:szCs w:val="21"/>
                <w:lang w:val="en-US" w:eastAsia="zh-CN"/>
              </w:rPr>
              <w:t>3</w:t>
            </w:r>
            <w:r>
              <w:rPr>
                <w:rFonts w:hint="eastAsia" w:asciiTheme="minorEastAsia" w:hAnsiTheme="minorEastAsia" w:cstheme="minorEastAsia"/>
                <w:szCs w:val="21"/>
              </w:rPr>
              <w:t>分，本项满分</w:t>
            </w:r>
            <w:r>
              <w:rPr>
                <w:rFonts w:asciiTheme="minorEastAsia" w:hAnsiTheme="minorEastAsia" w:cstheme="minorEastAsia"/>
                <w:szCs w:val="21"/>
              </w:rPr>
              <w:t>6</w:t>
            </w:r>
            <w:r>
              <w:rPr>
                <w:rFonts w:hint="eastAsia" w:asciiTheme="minorEastAsia" w:hAnsiTheme="minorEastAsia" w:cstheme="minorEastAsia"/>
                <w:szCs w:val="21"/>
              </w:rPr>
              <w:t>分；</w:t>
            </w:r>
          </w:p>
          <w:p>
            <w:pPr>
              <w:spacing w:line="360" w:lineRule="auto"/>
              <w:jc w:val="left"/>
              <w:rPr>
                <w:rFonts w:hint="eastAsia" w:asciiTheme="minorEastAsia" w:hAnsiTheme="minorEastAsia" w:cstheme="minorEastAsia"/>
                <w:szCs w:val="21"/>
              </w:rPr>
            </w:pPr>
          </w:p>
        </w:tc>
        <w:tc>
          <w:tcPr>
            <w:tcW w:w="1237" w:type="dxa"/>
            <w:vAlign w:val="center"/>
          </w:tcPr>
          <w:p>
            <w:pPr>
              <w:widowControl/>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801" w:type="dxa"/>
            <w:gridSpan w:val="5"/>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商务总得分</w:t>
            </w:r>
          </w:p>
        </w:tc>
        <w:tc>
          <w:tcPr>
            <w:tcW w:w="1237" w:type="dxa"/>
            <w:vAlign w:val="center"/>
          </w:tcPr>
          <w:p>
            <w:pPr>
              <w:widowControl/>
              <w:spacing w:line="360" w:lineRule="auto"/>
              <w:jc w:val="center"/>
              <w:rPr>
                <w:rFonts w:asciiTheme="minorEastAsia" w:hAnsiTheme="minorEastAsia" w:cstheme="minorEastAsia"/>
                <w:b/>
                <w:szCs w:val="21"/>
              </w:rPr>
            </w:pPr>
          </w:p>
        </w:tc>
      </w:tr>
    </w:tbl>
    <w:p>
      <w:pPr>
        <w:pStyle w:val="2"/>
        <w:numPr>
          <w:ilvl w:val="-1"/>
          <w:numId w:val="0"/>
        </w:numPr>
        <w:spacing w:line="360" w:lineRule="auto"/>
        <w:ind w:firstLine="0" w:firstLineChars="0"/>
        <w:jc w:val="left"/>
        <w:outlineLvl w:val="2"/>
        <w:rPr>
          <w:rFonts w:hint="eastAsia" w:asciiTheme="minorEastAsia" w:hAnsi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报价部分评分表（满分30分）</w:t>
      </w:r>
    </w:p>
    <w:tbl>
      <w:tblPr>
        <w:tblStyle w:val="17"/>
        <w:tblW w:w="10009" w:type="dxa"/>
        <w:tblInd w:w="-366" w:type="dxa"/>
        <w:tblLayout w:type="fixed"/>
        <w:tblCellMar>
          <w:top w:w="0" w:type="dxa"/>
          <w:left w:w="108" w:type="dxa"/>
          <w:bottom w:w="0" w:type="dxa"/>
          <w:right w:w="108" w:type="dxa"/>
        </w:tblCellMar>
      </w:tblPr>
      <w:tblGrid>
        <w:gridCol w:w="722"/>
        <w:gridCol w:w="1282"/>
        <w:gridCol w:w="1105"/>
        <w:gridCol w:w="5700"/>
        <w:gridCol w:w="1200"/>
      </w:tblGrid>
      <w:tr>
        <w:tblPrEx>
          <w:tblCellMar>
            <w:top w:w="0" w:type="dxa"/>
            <w:left w:w="108" w:type="dxa"/>
            <w:bottom w:w="0" w:type="dxa"/>
            <w:right w:w="108" w:type="dxa"/>
          </w:tblCellMar>
        </w:tblPrEx>
        <w:trPr>
          <w:trHeight w:val="285" w:hRule="atLeast"/>
        </w:trPr>
        <w:tc>
          <w:tcPr>
            <w:tcW w:w="722" w:type="dxa"/>
            <w:tcBorders>
              <w:top w:val="single" w:color="auto" w:sz="8" w:space="0"/>
              <w:left w:val="single" w:color="auto" w:sz="8" w:space="0"/>
              <w:bottom w:val="single" w:color="auto" w:sz="8" w:space="0"/>
              <w:right w:val="single" w:color="auto" w:sz="8" w:space="0"/>
            </w:tcBorders>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序号</w:t>
            </w:r>
          </w:p>
        </w:tc>
        <w:tc>
          <w:tcPr>
            <w:tcW w:w="128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评分项目</w:t>
            </w:r>
          </w:p>
        </w:tc>
        <w:tc>
          <w:tcPr>
            <w:tcW w:w="1105" w:type="dxa"/>
            <w:tcBorders>
              <w:top w:val="single" w:color="auto" w:sz="8" w:space="0"/>
              <w:left w:val="nil"/>
              <w:bottom w:val="single" w:color="auto" w:sz="8" w:space="0"/>
              <w:right w:val="single" w:color="auto" w:sz="8" w:space="0"/>
            </w:tcBorders>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标准分</w:t>
            </w:r>
          </w:p>
        </w:tc>
        <w:tc>
          <w:tcPr>
            <w:tcW w:w="570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评分标准与计分规则</w:t>
            </w:r>
          </w:p>
        </w:tc>
        <w:tc>
          <w:tcPr>
            <w:tcW w:w="1200" w:type="dxa"/>
            <w:tcBorders>
              <w:top w:val="single" w:color="auto" w:sz="8" w:space="0"/>
              <w:left w:val="nil"/>
              <w:bottom w:val="single" w:color="auto" w:sz="8" w:space="0"/>
              <w:right w:val="single" w:color="auto" w:sz="8" w:space="0"/>
            </w:tcBorders>
            <w:vAlign w:val="center"/>
          </w:tcPr>
          <w:p>
            <w:pPr>
              <w:widowControl/>
              <w:spacing w:line="360" w:lineRule="auto"/>
              <w:jc w:val="center"/>
              <w:rPr>
                <w:rFonts w:hint="eastAsia" w:asciiTheme="minorEastAsia" w:hAnsiTheme="minorEastAsia" w:cstheme="minorEastAsia"/>
                <w:b/>
                <w:bCs/>
                <w:szCs w:val="21"/>
              </w:rPr>
            </w:pPr>
            <w:r>
              <w:rPr>
                <w:rFonts w:hint="eastAsia" w:asciiTheme="minorEastAsia" w:hAnsiTheme="minorEastAsia" w:cstheme="minorEastAsia"/>
                <w:b/>
                <w:bCs/>
                <w:szCs w:val="21"/>
              </w:rPr>
              <w:t>分值(m)</w:t>
            </w:r>
          </w:p>
        </w:tc>
      </w:tr>
      <w:tr>
        <w:tblPrEx>
          <w:tblCellMar>
            <w:top w:w="0" w:type="dxa"/>
            <w:left w:w="108" w:type="dxa"/>
            <w:bottom w:w="0" w:type="dxa"/>
            <w:right w:w="108" w:type="dxa"/>
          </w:tblCellMar>
        </w:tblPrEx>
        <w:trPr>
          <w:trHeight w:val="270" w:hRule="atLeast"/>
        </w:trPr>
        <w:tc>
          <w:tcPr>
            <w:tcW w:w="722"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p>
        </w:tc>
        <w:tc>
          <w:tcPr>
            <w:tcW w:w="1282"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比选报价</w:t>
            </w:r>
          </w:p>
          <w:p>
            <w:pPr>
              <w:widowControl/>
              <w:spacing w:line="360" w:lineRule="auto"/>
              <w:jc w:val="center"/>
              <w:rPr>
                <w:rFonts w:hint="eastAsia" w:asciiTheme="minorEastAsia" w:hAnsiTheme="minorEastAsia" w:eastAsiaTheme="minorEastAsia" w:cstheme="minorEastAsia"/>
                <w:kern w:val="0"/>
                <w:szCs w:val="21"/>
              </w:rPr>
            </w:pPr>
          </w:p>
        </w:tc>
        <w:tc>
          <w:tcPr>
            <w:tcW w:w="1105"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30</w:t>
            </w:r>
          </w:p>
        </w:tc>
        <w:tc>
          <w:tcPr>
            <w:tcW w:w="5700" w:type="dxa"/>
            <w:tcBorders>
              <w:top w:val="nil"/>
              <w:left w:val="nil"/>
              <w:bottom w:val="nil"/>
              <w:right w:val="single" w:color="auto" w:sz="8" w:space="0"/>
            </w:tcBorders>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1、不接受选择性报价或者具有附加条件的报价，报价超出上限控制价格视为无效报价；</w:t>
            </w:r>
          </w:p>
        </w:tc>
        <w:tc>
          <w:tcPr>
            <w:tcW w:w="1200" w:type="dxa"/>
            <w:vMerge w:val="restart"/>
            <w:tcBorders>
              <w:top w:val="nil"/>
              <w:left w:val="single" w:color="auto" w:sz="8" w:space="0"/>
              <w:bottom w:val="single" w:color="000000" w:sz="8" w:space="0"/>
              <w:right w:val="single" w:color="auto" w:sz="8" w:space="0"/>
            </w:tcBorders>
            <w:vAlign w:val="center"/>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0≤m≤30</w:t>
            </w:r>
          </w:p>
        </w:tc>
      </w:tr>
      <w:tr>
        <w:tblPrEx>
          <w:tblCellMar>
            <w:top w:w="0" w:type="dxa"/>
            <w:left w:w="108" w:type="dxa"/>
            <w:bottom w:w="0" w:type="dxa"/>
            <w:right w:w="108" w:type="dxa"/>
          </w:tblCellMar>
        </w:tblPrEx>
        <w:trPr>
          <w:trHeight w:val="300" w:hRule="atLeast"/>
        </w:trPr>
        <w:tc>
          <w:tcPr>
            <w:tcW w:w="72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28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1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5700" w:type="dxa"/>
            <w:tcBorders>
              <w:top w:val="nil"/>
              <w:left w:val="nil"/>
              <w:bottom w:val="nil"/>
              <w:right w:val="nil"/>
            </w:tcBorders>
            <w:noWrap/>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报价分计算方式：报价计算采用含税总报价。资格审查合格的有效报价多于5家时（不含5家），去掉一个最高报价和一个最低报价后的算术平均值作为评标基准价；资格审查合格的有效报价少于5家（含5家）时，则以所有有效的报价的算术平均值作为基准价。</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评审时以经评审的基准价为最高分，采用内插法计算：</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当报价高于基准价时，每高于基准价的1%的扣1分；每低于基准价的1%的扣0.5分，扣完即止。</w:t>
            </w:r>
          </w:p>
        </w:tc>
        <w:tc>
          <w:tcPr>
            <w:tcW w:w="12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300" w:hRule="atLeast"/>
        </w:trPr>
        <w:tc>
          <w:tcPr>
            <w:tcW w:w="72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28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1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5700" w:type="dxa"/>
            <w:tcBorders>
              <w:top w:val="nil"/>
              <w:left w:val="nil"/>
              <w:bottom w:val="nil"/>
              <w:right w:val="single" w:color="auto" w:sz="8" w:space="0"/>
            </w:tcBorders>
          </w:tcPr>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注：按四舍五入取小数点后两位。</w:t>
            </w:r>
          </w:p>
        </w:tc>
        <w:tc>
          <w:tcPr>
            <w:tcW w:w="12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7" w:hRule="atLeast"/>
        </w:trPr>
        <w:tc>
          <w:tcPr>
            <w:tcW w:w="72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28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1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5700" w:type="dxa"/>
            <w:tcBorders>
              <w:top w:val="nil"/>
              <w:left w:val="nil"/>
              <w:bottom w:val="single" w:color="auto" w:sz="8" w:space="0"/>
              <w:right w:val="single" w:color="auto" w:sz="8" w:space="0"/>
            </w:tcBorders>
          </w:tcPr>
          <w:p>
            <w:pPr>
              <w:autoSpaceDN w:val="0"/>
              <w:spacing w:line="360" w:lineRule="auto"/>
              <w:jc w:val="left"/>
              <w:textAlignment w:val="center"/>
              <w:rPr>
                <w:rFonts w:ascii="宋体" w:hAnsi="宋体" w:eastAsia="宋体" w:cs="宋体"/>
                <w:color w:val="000000"/>
                <w:sz w:val="24"/>
                <w:szCs w:val="21"/>
              </w:rPr>
            </w:pPr>
          </w:p>
        </w:tc>
        <w:tc>
          <w:tcPr>
            <w:tcW w:w="12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bookmarkEnd w:id="494"/>
      <w:bookmarkEnd w:id="495"/>
      <w:bookmarkEnd w:id="496"/>
    </w:tbl>
    <w:p>
      <w:pPr>
        <w:pStyle w:val="2"/>
        <w:numPr>
          <w:ilvl w:val="0"/>
          <w:numId w:val="0"/>
        </w:numPr>
        <w:spacing w:line="360" w:lineRule="auto"/>
        <w:jc w:val="left"/>
        <w:outlineLvl w:val="2"/>
        <w:rPr>
          <w:rFonts w:hint="eastAsia" w:asciiTheme="minorEastAsia" w:hAnsiTheme="minorEastAsia" w:cstheme="minorEastAsia"/>
          <w:sz w:val="28"/>
          <w:szCs w:val="28"/>
        </w:rPr>
      </w:pPr>
      <w:r>
        <w:rPr>
          <w:rFonts w:hint="eastAsia" w:asciiTheme="minorEastAsia" w:hAnsiTheme="minorEastAsia" w:cstheme="minorEastAsia"/>
          <w:sz w:val="28"/>
          <w:szCs w:val="28"/>
        </w:rPr>
        <w:t>（三）技术部分评分细则（满分40分）</w:t>
      </w:r>
    </w:p>
    <w:tbl>
      <w:tblPr>
        <w:tblStyle w:val="17"/>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88"/>
        <w:gridCol w:w="1122"/>
        <w:gridCol w:w="1025"/>
        <w:gridCol w:w="567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tblHeader/>
          <w:jc w:val="center"/>
        </w:trPr>
        <w:tc>
          <w:tcPr>
            <w:tcW w:w="888" w:type="dxa"/>
            <w:vAlign w:val="center"/>
          </w:tcPr>
          <w:p>
            <w:pPr>
              <w:widowControl/>
              <w:spacing w:line="360" w:lineRule="auto"/>
              <w:jc w:val="center"/>
              <w:rPr>
                <w:rFonts w:ascii="宋体" w:hAnsi="宋体" w:cs="宋体"/>
                <w:b/>
                <w:bCs/>
                <w:szCs w:val="21"/>
              </w:rPr>
            </w:pPr>
            <w:r>
              <w:rPr>
                <w:rFonts w:hint="eastAsia" w:ascii="宋体" w:hAnsi="宋体" w:cs="宋体"/>
                <w:b/>
                <w:bCs/>
                <w:szCs w:val="21"/>
              </w:rPr>
              <w:t>序号</w:t>
            </w:r>
          </w:p>
        </w:tc>
        <w:tc>
          <w:tcPr>
            <w:tcW w:w="1122" w:type="dxa"/>
            <w:vAlign w:val="center"/>
          </w:tcPr>
          <w:p>
            <w:pPr>
              <w:widowControl/>
              <w:spacing w:line="360" w:lineRule="auto"/>
              <w:jc w:val="center"/>
              <w:rPr>
                <w:rFonts w:ascii="宋体" w:hAnsi="宋体" w:cs="宋体"/>
                <w:b/>
                <w:bCs/>
                <w:szCs w:val="21"/>
              </w:rPr>
            </w:pPr>
            <w:r>
              <w:rPr>
                <w:rFonts w:hint="eastAsia" w:ascii="宋体" w:hAnsi="宋体" w:cs="宋体"/>
                <w:b/>
                <w:bCs/>
                <w:szCs w:val="21"/>
              </w:rPr>
              <w:t>评分项目</w:t>
            </w:r>
          </w:p>
        </w:tc>
        <w:tc>
          <w:tcPr>
            <w:tcW w:w="1025" w:type="dxa"/>
            <w:vAlign w:val="center"/>
          </w:tcPr>
          <w:p>
            <w:pPr>
              <w:widowControl/>
              <w:spacing w:line="360" w:lineRule="auto"/>
              <w:jc w:val="center"/>
              <w:rPr>
                <w:rFonts w:ascii="宋体" w:hAnsi="宋体" w:cs="宋体"/>
                <w:b/>
                <w:bCs/>
                <w:szCs w:val="21"/>
              </w:rPr>
            </w:pPr>
            <w:r>
              <w:rPr>
                <w:rFonts w:hint="eastAsia" w:ascii="宋体" w:hAnsi="宋体" w:cs="宋体"/>
                <w:b/>
                <w:bCs/>
                <w:szCs w:val="21"/>
              </w:rPr>
              <w:t>满分</w:t>
            </w:r>
          </w:p>
        </w:tc>
        <w:tc>
          <w:tcPr>
            <w:tcW w:w="5670" w:type="dxa"/>
            <w:vAlign w:val="center"/>
          </w:tcPr>
          <w:p>
            <w:pPr>
              <w:widowControl/>
              <w:spacing w:line="360" w:lineRule="auto"/>
              <w:jc w:val="center"/>
              <w:rPr>
                <w:rFonts w:ascii="宋体" w:hAnsi="宋体" w:cs="宋体"/>
                <w:b/>
                <w:bCs/>
                <w:szCs w:val="21"/>
              </w:rPr>
            </w:pPr>
            <w:r>
              <w:rPr>
                <w:rFonts w:hint="eastAsia" w:ascii="宋体" w:hAnsi="宋体" w:cs="宋体"/>
                <w:b/>
                <w:bCs/>
                <w:szCs w:val="21"/>
              </w:rPr>
              <w:t>评分细则（m）</w:t>
            </w:r>
          </w:p>
        </w:tc>
        <w:tc>
          <w:tcPr>
            <w:tcW w:w="1245" w:type="dxa"/>
            <w:vAlign w:val="center"/>
          </w:tcPr>
          <w:p>
            <w:pPr>
              <w:widowControl/>
              <w:spacing w:line="360" w:lineRule="auto"/>
              <w:jc w:val="center"/>
              <w:rPr>
                <w:rFonts w:ascii="宋体" w:hAnsi="宋体" w:cs="宋体"/>
                <w:b/>
                <w:bCs/>
                <w:szCs w:val="21"/>
              </w:rPr>
            </w:pPr>
            <w:r>
              <w:rPr>
                <w:rFonts w:hint="eastAsia" w:ascii="宋体" w:hAnsi="宋体" w:cs="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16" w:hRule="atLeast"/>
          <w:jc w:val="center"/>
        </w:trPr>
        <w:tc>
          <w:tcPr>
            <w:tcW w:w="888"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w:t>
            </w:r>
          </w:p>
        </w:tc>
        <w:tc>
          <w:tcPr>
            <w:tcW w:w="112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项目重点、难点分析及对策</w:t>
            </w:r>
          </w:p>
        </w:tc>
        <w:tc>
          <w:tcPr>
            <w:tcW w:w="102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670" w:type="dxa"/>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要求：分析深入、深刻，根据项目特点准确提出的难点、重点，提出科学合理的解决方案。</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好</w:t>
            </w:r>
            <w:r>
              <w:rPr>
                <w:rFonts w:hint="eastAsia" w:asciiTheme="minorEastAsia" w:hAnsiTheme="minorEastAsia" w:cstheme="minorEastAsia"/>
                <w:szCs w:val="21"/>
              </w:rPr>
              <w:t>：根据项目特点提出的重点、难点准确，提出解决方案科学合理，得8＜m≤10分。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中</w:t>
            </w:r>
            <w:r>
              <w:rPr>
                <w:rFonts w:hint="eastAsia" w:asciiTheme="minorEastAsia" w:hAnsiTheme="minorEastAsia" w:cstheme="minorEastAsia"/>
                <w:szCs w:val="21"/>
              </w:rPr>
              <w:t>：根据项目特点能够提出的重点、难点，提出解决方案较合理，得5＜m≤8分。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差</w:t>
            </w:r>
            <w:r>
              <w:rPr>
                <w:rFonts w:hint="eastAsia" w:asciiTheme="minorEastAsia" w:hAnsiTheme="minorEastAsia" w:cstheme="minorEastAsia"/>
                <w:szCs w:val="21"/>
              </w:rPr>
              <w:t>：根据项目特点提出的重点、难点不准确，解决方案不合理，得0≤m≤5分。</w:t>
            </w:r>
          </w:p>
        </w:tc>
        <w:tc>
          <w:tcPr>
            <w:tcW w:w="1245" w:type="dxa"/>
            <w:vAlign w:val="center"/>
          </w:tcPr>
          <w:p>
            <w:pPr>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78" w:hRule="atLeast"/>
          <w:jc w:val="center"/>
        </w:trPr>
        <w:tc>
          <w:tcPr>
            <w:tcW w:w="888"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2</w:t>
            </w:r>
          </w:p>
        </w:tc>
        <w:tc>
          <w:tcPr>
            <w:tcW w:w="112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质量控制重点及措施</w:t>
            </w:r>
          </w:p>
        </w:tc>
        <w:tc>
          <w:tcPr>
            <w:tcW w:w="102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670" w:type="dxa"/>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要求：质量控制重点分析到位、明确；质量目标分解、规划合理，质量控制体系健全，质量控制措施有效可靠，控制手段先进完善。</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好</w:t>
            </w:r>
            <w:r>
              <w:rPr>
                <w:rFonts w:hint="eastAsia" w:asciiTheme="minorEastAsia" w:hAnsiTheme="minorEastAsia" w:cstheme="minorEastAsia"/>
                <w:szCs w:val="21"/>
              </w:rPr>
              <w:t>：完全满足要求，得8＜m≤10分。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中</w:t>
            </w:r>
            <w:r>
              <w:rPr>
                <w:rFonts w:hint="eastAsia" w:asciiTheme="minorEastAsia" w:hAnsiTheme="minorEastAsia" w:cstheme="minorEastAsia"/>
                <w:szCs w:val="21"/>
              </w:rPr>
              <w:t>：基本满足要求，得5＜m≤8分。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差</w:t>
            </w:r>
            <w:r>
              <w:rPr>
                <w:rFonts w:hint="eastAsia" w:asciiTheme="minorEastAsia" w:hAnsiTheme="minorEastAsia" w:cstheme="minorEastAsia"/>
                <w:szCs w:val="21"/>
              </w:rPr>
              <w:t>：不满足要求，得0≤m≤5分。</w:t>
            </w:r>
          </w:p>
        </w:tc>
        <w:tc>
          <w:tcPr>
            <w:tcW w:w="1245" w:type="dxa"/>
            <w:vAlign w:val="center"/>
          </w:tcPr>
          <w:p>
            <w:pPr>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0" w:hRule="atLeast"/>
          <w:jc w:val="center"/>
        </w:trPr>
        <w:tc>
          <w:tcPr>
            <w:tcW w:w="888"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3</w:t>
            </w:r>
          </w:p>
        </w:tc>
        <w:tc>
          <w:tcPr>
            <w:tcW w:w="112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进度控制重点及措施</w:t>
            </w:r>
          </w:p>
        </w:tc>
        <w:tc>
          <w:tcPr>
            <w:tcW w:w="102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670" w:type="dxa"/>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要求：进度计划科学，节点或阶段工期明确，进度控制重点明确，控制措施与手段可靠有力。</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好</w:t>
            </w:r>
            <w:r>
              <w:rPr>
                <w:rFonts w:hint="eastAsia" w:asciiTheme="minorEastAsia" w:hAnsiTheme="minorEastAsia" w:cstheme="minorEastAsia"/>
                <w:szCs w:val="21"/>
              </w:rPr>
              <w:t>：完全满足要求，得8＜m≤10分。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中</w:t>
            </w:r>
            <w:r>
              <w:rPr>
                <w:rFonts w:hint="eastAsia" w:asciiTheme="minorEastAsia" w:hAnsiTheme="minorEastAsia" w:cstheme="minorEastAsia"/>
                <w:szCs w:val="21"/>
              </w:rPr>
              <w:t>：基本满足要求，得5＜m≤8分。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差</w:t>
            </w:r>
            <w:r>
              <w:rPr>
                <w:rFonts w:hint="eastAsia" w:asciiTheme="minorEastAsia" w:hAnsiTheme="minorEastAsia" w:cstheme="minorEastAsia"/>
                <w:szCs w:val="21"/>
              </w:rPr>
              <w:t>：不满足要求，得0≤m≤5分。</w:t>
            </w:r>
          </w:p>
        </w:tc>
        <w:tc>
          <w:tcPr>
            <w:tcW w:w="1245" w:type="dxa"/>
            <w:vAlign w:val="center"/>
          </w:tcPr>
          <w:p>
            <w:pPr>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7" w:hRule="atLeast"/>
          <w:jc w:val="center"/>
        </w:trPr>
        <w:tc>
          <w:tcPr>
            <w:tcW w:w="888"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4</w:t>
            </w:r>
          </w:p>
        </w:tc>
        <w:tc>
          <w:tcPr>
            <w:tcW w:w="112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服务承诺</w:t>
            </w:r>
          </w:p>
        </w:tc>
        <w:tc>
          <w:tcPr>
            <w:tcW w:w="1025"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5670" w:type="dxa"/>
            <w:vAlign w:val="center"/>
          </w:tcPr>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要求：承诺服务态度好、服务质量优秀、服务响应时间短，并有切实可行的保障措施。</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好</w:t>
            </w:r>
            <w:r>
              <w:rPr>
                <w:rFonts w:hint="eastAsia" w:asciiTheme="minorEastAsia" w:hAnsiTheme="minorEastAsia" w:cstheme="minorEastAsia"/>
                <w:szCs w:val="21"/>
              </w:rPr>
              <w:t>：完全满足要求，得8＜m≤10分。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中</w:t>
            </w:r>
            <w:r>
              <w:rPr>
                <w:rFonts w:hint="eastAsia" w:asciiTheme="minorEastAsia" w:hAnsiTheme="minorEastAsia" w:cstheme="minorEastAsia"/>
                <w:szCs w:val="21"/>
              </w:rPr>
              <w:t>：基本满足要求，得5＜m≤8分。</w:t>
            </w:r>
          </w:p>
          <w:p>
            <w:pPr>
              <w:spacing w:line="360" w:lineRule="auto"/>
              <w:jc w:val="left"/>
              <w:rPr>
                <w:rFonts w:asciiTheme="minorEastAsia" w:hAnsiTheme="minorEastAsia" w:cstheme="minorEastAsia"/>
                <w:szCs w:val="21"/>
              </w:rPr>
            </w:pPr>
            <w:r>
              <w:rPr>
                <w:rFonts w:hint="eastAsia" w:asciiTheme="minorEastAsia" w:hAnsiTheme="minorEastAsia" w:cstheme="minorEastAsia"/>
                <w:b/>
                <w:bCs/>
                <w:szCs w:val="21"/>
              </w:rPr>
              <w:t>差</w:t>
            </w:r>
            <w:r>
              <w:rPr>
                <w:rFonts w:hint="eastAsia" w:asciiTheme="minorEastAsia" w:hAnsiTheme="minorEastAsia" w:cstheme="minorEastAsia"/>
                <w:szCs w:val="21"/>
              </w:rPr>
              <w:t>：不满足要求，得0≤m≤5分。</w:t>
            </w:r>
          </w:p>
        </w:tc>
        <w:tc>
          <w:tcPr>
            <w:tcW w:w="1245" w:type="dxa"/>
            <w:vAlign w:val="center"/>
          </w:tcPr>
          <w:p>
            <w:pPr>
              <w:spacing w:line="360" w:lineRule="auto"/>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4" w:hRule="atLeast"/>
          <w:jc w:val="center"/>
        </w:trPr>
        <w:tc>
          <w:tcPr>
            <w:tcW w:w="8705" w:type="dxa"/>
            <w:gridSpan w:val="4"/>
            <w:vAlign w:val="center"/>
          </w:tcPr>
          <w:p>
            <w:pPr>
              <w:widowControl/>
              <w:spacing w:line="360" w:lineRule="auto"/>
              <w:jc w:val="center"/>
              <w:rPr>
                <w:rFonts w:asciiTheme="minorEastAsia" w:hAnsiTheme="minorEastAsia" w:cstheme="minorEastAsia"/>
                <w:b/>
                <w:bCs/>
                <w:szCs w:val="21"/>
              </w:rPr>
            </w:pPr>
            <w:r>
              <w:rPr>
                <w:rFonts w:hint="eastAsia" w:asciiTheme="minorEastAsia" w:hAnsiTheme="minorEastAsia" w:cstheme="minorEastAsia"/>
                <w:szCs w:val="21"/>
              </w:rPr>
              <w:t>技术总得分</w:t>
            </w:r>
          </w:p>
        </w:tc>
        <w:tc>
          <w:tcPr>
            <w:tcW w:w="1245" w:type="dxa"/>
            <w:vAlign w:val="center"/>
          </w:tcPr>
          <w:p>
            <w:pPr>
              <w:widowControl/>
              <w:spacing w:line="360" w:lineRule="auto"/>
              <w:jc w:val="center"/>
              <w:rPr>
                <w:rFonts w:asciiTheme="minorEastAsia" w:hAnsiTheme="minorEastAsia" w:cstheme="minorEastAsia"/>
                <w:b/>
                <w:bCs/>
                <w:szCs w:val="21"/>
              </w:rPr>
            </w:pPr>
          </w:p>
        </w:tc>
      </w:tr>
    </w:tbl>
    <w:p>
      <w:pPr>
        <w:pStyle w:val="5"/>
        <w:spacing w:line="360" w:lineRule="auto"/>
        <w:rPr>
          <w:szCs w:val="28"/>
        </w:rPr>
      </w:pPr>
      <w:bookmarkStart w:id="497" w:name="_Toc24296"/>
      <w:bookmarkStart w:id="498" w:name="_Toc14081"/>
      <w:bookmarkStart w:id="499" w:name="_Toc13080"/>
      <w:bookmarkStart w:id="500" w:name="_Toc21685"/>
      <w:bookmarkStart w:id="501" w:name="_Toc27525"/>
      <w:bookmarkStart w:id="502" w:name="_Toc19593"/>
      <w:bookmarkStart w:id="503" w:name="_Toc22492"/>
      <w:bookmarkStart w:id="504" w:name="_Toc10183"/>
      <w:bookmarkStart w:id="505" w:name="_Toc29392"/>
      <w:bookmarkStart w:id="506" w:name="_Toc2968"/>
      <w:bookmarkStart w:id="507" w:name="_Toc15663"/>
      <w:bookmarkStart w:id="508" w:name="_Toc471482377"/>
      <w:bookmarkStart w:id="509" w:name="_Toc20899"/>
      <w:bookmarkStart w:id="510" w:name="_Toc4621"/>
      <w:bookmarkStart w:id="511" w:name="_Toc30389"/>
      <w:bookmarkStart w:id="512" w:name="_Toc25755"/>
      <w:bookmarkStart w:id="513" w:name="_Toc26025"/>
      <w:bookmarkStart w:id="514" w:name="_Toc601"/>
      <w:bookmarkStart w:id="515" w:name="_Toc19395"/>
      <w:bookmarkStart w:id="516" w:name="_Toc22367"/>
      <w:bookmarkStart w:id="517" w:name="_Toc19365"/>
      <w:bookmarkStart w:id="518" w:name="_Toc3978"/>
      <w:r>
        <w:rPr>
          <w:rFonts w:hint="eastAsia"/>
          <w:szCs w:val="28"/>
        </w:rPr>
        <w:t>五、中选标准</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spacing w:line="360" w:lineRule="auto"/>
        <w:ind w:right="754" w:firstLine="560" w:firstLineChars="200"/>
        <w:jc w:val="left"/>
        <w:rPr>
          <w:rFonts w:ascii="宋体" w:hAnsi="宋体" w:cs="宋体"/>
          <w:kern w:val="0"/>
          <w:sz w:val="28"/>
          <w:szCs w:val="28"/>
        </w:rPr>
      </w:pPr>
      <w:r>
        <w:rPr>
          <w:rFonts w:hint="eastAsia" w:ascii="宋体" w:hAnsi="宋体" w:cs="宋体"/>
          <w:sz w:val="28"/>
          <w:szCs w:val="28"/>
        </w:rPr>
        <w:t>评审小组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被查实存在影响比选结果的违法行为等情形，不符合比选条件的，比选发起人可以按照评比委员会提出的中选候选人名单排序依次确定其他中选候选人为中选人，也可以重新比选。</w:t>
      </w:r>
    </w:p>
    <w:sectPr>
      <w:footerReference r:id="rId4" w:type="default"/>
      <w:pgSz w:w="11906" w:h="16838"/>
      <w:pgMar w:top="1440" w:right="1418" w:bottom="1440" w:left="1418"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4"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279E3"/>
    <w:multiLevelType w:val="singleLevel"/>
    <w:tmpl w:val="8A3279E3"/>
    <w:lvl w:ilvl="0" w:tentative="0">
      <w:start w:val="5"/>
      <w:numFmt w:val="chineseCounting"/>
      <w:suff w:val="nothing"/>
      <w:lvlText w:val="（%1）"/>
      <w:lvlJc w:val="left"/>
      <w:rPr>
        <w:rFonts w:hint="eastAsia"/>
      </w:rPr>
    </w:lvl>
  </w:abstractNum>
  <w:abstractNum w:abstractNumId="1">
    <w:nsid w:val="A01BBBD5"/>
    <w:multiLevelType w:val="singleLevel"/>
    <w:tmpl w:val="A01BBBD5"/>
    <w:lvl w:ilvl="0" w:tentative="0">
      <w:start w:val="1"/>
      <w:numFmt w:val="chineseCounting"/>
      <w:suff w:val="space"/>
      <w:lvlText w:val="第%1章"/>
      <w:lvlJc w:val="left"/>
      <w:rPr>
        <w:rFonts w:hint="eastAsia"/>
      </w:rPr>
    </w:lvl>
  </w:abstractNum>
  <w:abstractNum w:abstractNumId="2">
    <w:nsid w:val="F7EB345B"/>
    <w:multiLevelType w:val="singleLevel"/>
    <w:tmpl w:val="F7EB345B"/>
    <w:lvl w:ilvl="0" w:tentative="0">
      <w:start w:val="1"/>
      <w:numFmt w:val="decimal"/>
      <w:lvlText w:val="%1."/>
      <w:lvlJc w:val="left"/>
      <w:pPr>
        <w:tabs>
          <w:tab w:val="left" w:pos="312"/>
        </w:tabs>
      </w:pPr>
    </w:lvl>
  </w:abstractNum>
  <w:abstractNum w:abstractNumId="3">
    <w:nsid w:val="057BAFD7"/>
    <w:multiLevelType w:val="singleLevel"/>
    <w:tmpl w:val="057BAFD7"/>
    <w:lvl w:ilvl="0" w:tentative="0">
      <w:start w:val="3"/>
      <w:numFmt w:val="decimal"/>
      <w:lvlText w:val="%1."/>
      <w:lvlJc w:val="left"/>
      <w:pPr>
        <w:tabs>
          <w:tab w:val="left" w:pos="312"/>
        </w:tabs>
      </w:pPr>
    </w:lvl>
  </w:abstractNum>
  <w:abstractNum w:abstractNumId="4">
    <w:nsid w:val="1A98AD14"/>
    <w:multiLevelType w:val="singleLevel"/>
    <w:tmpl w:val="1A98AD14"/>
    <w:lvl w:ilvl="0" w:tentative="0">
      <w:start w:val="1"/>
      <w:numFmt w:val="decimal"/>
      <w:suff w:val="nothing"/>
      <w:lvlText w:val="（%1）"/>
      <w:lvlJc w:val="left"/>
    </w:lvl>
  </w:abstractNum>
  <w:abstractNum w:abstractNumId="5">
    <w:nsid w:val="490DD5E9"/>
    <w:multiLevelType w:val="singleLevel"/>
    <w:tmpl w:val="490DD5E9"/>
    <w:lvl w:ilvl="0" w:tentative="0">
      <w:start w:val="1"/>
      <w:numFmt w:val="chineseCounting"/>
      <w:suff w:val="nothing"/>
      <w:lvlText w:val="（%1）"/>
      <w:lvlJc w:val="left"/>
      <w:rPr>
        <w:rFonts w:hint="eastAsia"/>
      </w:rPr>
    </w:lvl>
  </w:abstractNum>
  <w:abstractNum w:abstractNumId="6">
    <w:nsid w:val="52ABEA66"/>
    <w:multiLevelType w:val="singleLevel"/>
    <w:tmpl w:val="52ABEA66"/>
    <w:lvl w:ilvl="0" w:tentative="0">
      <w:start w:val="3"/>
      <w:numFmt w:val="chineseCounting"/>
      <w:suff w:val="space"/>
      <w:lvlText w:val="第%1章"/>
      <w:lvlJc w:val="left"/>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Q0ZTVjZjUzMWMzYTYzNzI1OWNjZTBiYTQ3ZDg5MDAifQ=="/>
  </w:docVars>
  <w:rsids>
    <w:rsidRoot w:val="04287A59"/>
    <w:rsid w:val="000365F4"/>
    <w:rsid w:val="00082180"/>
    <w:rsid w:val="000A234F"/>
    <w:rsid w:val="000B54E0"/>
    <w:rsid w:val="000E29E2"/>
    <w:rsid w:val="000F1AEA"/>
    <w:rsid w:val="00116D29"/>
    <w:rsid w:val="00125DC8"/>
    <w:rsid w:val="00132A2C"/>
    <w:rsid w:val="00133C20"/>
    <w:rsid w:val="00170F98"/>
    <w:rsid w:val="001A1E56"/>
    <w:rsid w:val="001D6C2D"/>
    <w:rsid w:val="001F2CF2"/>
    <w:rsid w:val="002138A8"/>
    <w:rsid w:val="002639C7"/>
    <w:rsid w:val="00275AD3"/>
    <w:rsid w:val="00284DA3"/>
    <w:rsid w:val="00285848"/>
    <w:rsid w:val="002A6BB2"/>
    <w:rsid w:val="002A73A5"/>
    <w:rsid w:val="00301760"/>
    <w:rsid w:val="00301C60"/>
    <w:rsid w:val="00365E13"/>
    <w:rsid w:val="003709D6"/>
    <w:rsid w:val="003875BC"/>
    <w:rsid w:val="00426819"/>
    <w:rsid w:val="0047515D"/>
    <w:rsid w:val="004C5D9F"/>
    <w:rsid w:val="00512701"/>
    <w:rsid w:val="00513F79"/>
    <w:rsid w:val="00531E0D"/>
    <w:rsid w:val="005452F7"/>
    <w:rsid w:val="00555CB4"/>
    <w:rsid w:val="005B1220"/>
    <w:rsid w:val="005C088A"/>
    <w:rsid w:val="005D5B52"/>
    <w:rsid w:val="005E5E5C"/>
    <w:rsid w:val="005F7FDC"/>
    <w:rsid w:val="0060513C"/>
    <w:rsid w:val="006349AB"/>
    <w:rsid w:val="0063576A"/>
    <w:rsid w:val="006871DE"/>
    <w:rsid w:val="006C3AF8"/>
    <w:rsid w:val="006E6E33"/>
    <w:rsid w:val="00710C65"/>
    <w:rsid w:val="0072687E"/>
    <w:rsid w:val="00793868"/>
    <w:rsid w:val="007A4762"/>
    <w:rsid w:val="007A5AD8"/>
    <w:rsid w:val="0084583A"/>
    <w:rsid w:val="00864B5F"/>
    <w:rsid w:val="00875757"/>
    <w:rsid w:val="008A310D"/>
    <w:rsid w:val="008A5D8C"/>
    <w:rsid w:val="008E0225"/>
    <w:rsid w:val="008E0C60"/>
    <w:rsid w:val="008F29B3"/>
    <w:rsid w:val="008F6C0F"/>
    <w:rsid w:val="0091460E"/>
    <w:rsid w:val="009216F2"/>
    <w:rsid w:val="00965078"/>
    <w:rsid w:val="00967277"/>
    <w:rsid w:val="00975C41"/>
    <w:rsid w:val="00976A16"/>
    <w:rsid w:val="00991E28"/>
    <w:rsid w:val="00A251BF"/>
    <w:rsid w:val="00A3151E"/>
    <w:rsid w:val="00AC35BA"/>
    <w:rsid w:val="00B34793"/>
    <w:rsid w:val="00B36E91"/>
    <w:rsid w:val="00B4549A"/>
    <w:rsid w:val="00B535B5"/>
    <w:rsid w:val="00B6627F"/>
    <w:rsid w:val="00B74E9C"/>
    <w:rsid w:val="00B914B8"/>
    <w:rsid w:val="00C078B7"/>
    <w:rsid w:val="00C358DB"/>
    <w:rsid w:val="00C76194"/>
    <w:rsid w:val="00C83FDC"/>
    <w:rsid w:val="00CA78D5"/>
    <w:rsid w:val="00D50C1E"/>
    <w:rsid w:val="00DA44A8"/>
    <w:rsid w:val="00DB463C"/>
    <w:rsid w:val="00DC1C75"/>
    <w:rsid w:val="00DC4A4C"/>
    <w:rsid w:val="00E02187"/>
    <w:rsid w:val="00E15234"/>
    <w:rsid w:val="00E3437D"/>
    <w:rsid w:val="00E90F41"/>
    <w:rsid w:val="00FA6A81"/>
    <w:rsid w:val="00FA7AB9"/>
    <w:rsid w:val="00FE32DD"/>
    <w:rsid w:val="010A30B5"/>
    <w:rsid w:val="0122421D"/>
    <w:rsid w:val="01476113"/>
    <w:rsid w:val="016F6310"/>
    <w:rsid w:val="01910F55"/>
    <w:rsid w:val="01F93E28"/>
    <w:rsid w:val="020F5185"/>
    <w:rsid w:val="02137B30"/>
    <w:rsid w:val="0284114E"/>
    <w:rsid w:val="02902A6D"/>
    <w:rsid w:val="02B83052"/>
    <w:rsid w:val="02ED2531"/>
    <w:rsid w:val="038D1E85"/>
    <w:rsid w:val="0399228B"/>
    <w:rsid w:val="03E34165"/>
    <w:rsid w:val="04287A59"/>
    <w:rsid w:val="0446216C"/>
    <w:rsid w:val="048E2074"/>
    <w:rsid w:val="04A650F6"/>
    <w:rsid w:val="04E4640D"/>
    <w:rsid w:val="04EF3542"/>
    <w:rsid w:val="05796A78"/>
    <w:rsid w:val="05B1320D"/>
    <w:rsid w:val="05C460C1"/>
    <w:rsid w:val="05E7301E"/>
    <w:rsid w:val="064D303C"/>
    <w:rsid w:val="06654211"/>
    <w:rsid w:val="06767993"/>
    <w:rsid w:val="06E5039D"/>
    <w:rsid w:val="07583633"/>
    <w:rsid w:val="07A229F3"/>
    <w:rsid w:val="07BE5114"/>
    <w:rsid w:val="07D01B5E"/>
    <w:rsid w:val="07DC7E75"/>
    <w:rsid w:val="084E3268"/>
    <w:rsid w:val="08534222"/>
    <w:rsid w:val="08DA5226"/>
    <w:rsid w:val="08E14806"/>
    <w:rsid w:val="08E65ADD"/>
    <w:rsid w:val="09261CB8"/>
    <w:rsid w:val="092D5053"/>
    <w:rsid w:val="0941123F"/>
    <w:rsid w:val="095B2A5A"/>
    <w:rsid w:val="09F47D86"/>
    <w:rsid w:val="0A291BC0"/>
    <w:rsid w:val="0A61385B"/>
    <w:rsid w:val="0AA26CAA"/>
    <w:rsid w:val="0ABC6484"/>
    <w:rsid w:val="0B745BDD"/>
    <w:rsid w:val="0BD43057"/>
    <w:rsid w:val="0BE4681D"/>
    <w:rsid w:val="0C54357F"/>
    <w:rsid w:val="0C6730A7"/>
    <w:rsid w:val="0CA715B2"/>
    <w:rsid w:val="0CDC2107"/>
    <w:rsid w:val="0CF85562"/>
    <w:rsid w:val="0D1A55D3"/>
    <w:rsid w:val="0D44270F"/>
    <w:rsid w:val="0D651E89"/>
    <w:rsid w:val="0DD4406C"/>
    <w:rsid w:val="0E06452B"/>
    <w:rsid w:val="0E653AB9"/>
    <w:rsid w:val="0E824DB1"/>
    <w:rsid w:val="0E8B1AE4"/>
    <w:rsid w:val="0EF5415F"/>
    <w:rsid w:val="0F0C791F"/>
    <w:rsid w:val="0F0D5ADE"/>
    <w:rsid w:val="0F2509E1"/>
    <w:rsid w:val="0F4A0448"/>
    <w:rsid w:val="0F6D24F7"/>
    <w:rsid w:val="0FE03EB9"/>
    <w:rsid w:val="10152804"/>
    <w:rsid w:val="1045758D"/>
    <w:rsid w:val="1085024D"/>
    <w:rsid w:val="108C53BB"/>
    <w:rsid w:val="10E342F5"/>
    <w:rsid w:val="11657AC1"/>
    <w:rsid w:val="11965BC6"/>
    <w:rsid w:val="11BC3199"/>
    <w:rsid w:val="122138D6"/>
    <w:rsid w:val="1238019B"/>
    <w:rsid w:val="124075B7"/>
    <w:rsid w:val="12491C54"/>
    <w:rsid w:val="12556136"/>
    <w:rsid w:val="12BC56F7"/>
    <w:rsid w:val="12E75BF9"/>
    <w:rsid w:val="12F86B39"/>
    <w:rsid w:val="130B097F"/>
    <w:rsid w:val="138B42E7"/>
    <w:rsid w:val="1398738F"/>
    <w:rsid w:val="14132D98"/>
    <w:rsid w:val="14393F63"/>
    <w:rsid w:val="14721902"/>
    <w:rsid w:val="14B0380B"/>
    <w:rsid w:val="15441330"/>
    <w:rsid w:val="15CC4F60"/>
    <w:rsid w:val="162C356B"/>
    <w:rsid w:val="1674460B"/>
    <w:rsid w:val="1701544F"/>
    <w:rsid w:val="170B22E0"/>
    <w:rsid w:val="17873D35"/>
    <w:rsid w:val="180B77E6"/>
    <w:rsid w:val="18313FC5"/>
    <w:rsid w:val="18683382"/>
    <w:rsid w:val="188D5E27"/>
    <w:rsid w:val="189B47D1"/>
    <w:rsid w:val="19051DCE"/>
    <w:rsid w:val="192B4690"/>
    <w:rsid w:val="19497BF7"/>
    <w:rsid w:val="1963722A"/>
    <w:rsid w:val="199557C9"/>
    <w:rsid w:val="19D76D7C"/>
    <w:rsid w:val="1A0C27BC"/>
    <w:rsid w:val="1A3C1C98"/>
    <w:rsid w:val="1A6B1ABA"/>
    <w:rsid w:val="1AE3031E"/>
    <w:rsid w:val="1AFA323A"/>
    <w:rsid w:val="1B3A3289"/>
    <w:rsid w:val="1B972C67"/>
    <w:rsid w:val="1BD3049E"/>
    <w:rsid w:val="1BE87941"/>
    <w:rsid w:val="1BF3206B"/>
    <w:rsid w:val="1C17399E"/>
    <w:rsid w:val="1C6963B1"/>
    <w:rsid w:val="1C744D1F"/>
    <w:rsid w:val="1C997638"/>
    <w:rsid w:val="1CDA09D6"/>
    <w:rsid w:val="1D477E44"/>
    <w:rsid w:val="1D8F458A"/>
    <w:rsid w:val="1DCC03AB"/>
    <w:rsid w:val="1DF00B4B"/>
    <w:rsid w:val="1E11245B"/>
    <w:rsid w:val="1E2D1660"/>
    <w:rsid w:val="1E44197A"/>
    <w:rsid w:val="1E7506B0"/>
    <w:rsid w:val="1E806D36"/>
    <w:rsid w:val="1E91109A"/>
    <w:rsid w:val="1EBF4F16"/>
    <w:rsid w:val="1EE53DA2"/>
    <w:rsid w:val="1F334A62"/>
    <w:rsid w:val="1F446843"/>
    <w:rsid w:val="1F6B41EE"/>
    <w:rsid w:val="1FDF698A"/>
    <w:rsid w:val="203D202F"/>
    <w:rsid w:val="208A260C"/>
    <w:rsid w:val="208C6E8C"/>
    <w:rsid w:val="209A6FB8"/>
    <w:rsid w:val="209D0D1F"/>
    <w:rsid w:val="20AC08F3"/>
    <w:rsid w:val="20DC3B18"/>
    <w:rsid w:val="20E25D49"/>
    <w:rsid w:val="20EF7790"/>
    <w:rsid w:val="20FD15DE"/>
    <w:rsid w:val="21393401"/>
    <w:rsid w:val="21543113"/>
    <w:rsid w:val="218C6C3E"/>
    <w:rsid w:val="21B300CF"/>
    <w:rsid w:val="22010E3A"/>
    <w:rsid w:val="224A3B14"/>
    <w:rsid w:val="224F66C7"/>
    <w:rsid w:val="22813D29"/>
    <w:rsid w:val="22C8214C"/>
    <w:rsid w:val="23190008"/>
    <w:rsid w:val="23AE7FB7"/>
    <w:rsid w:val="23B13C28"/>
    <w:rsid w:val="23BA5653"/>
    <w:rsid w:val="243E38B6"/>
    <w:rsid w:val="24672F44"/>
    <w:rsid w:val="24D47306"/>
    <w:rsid w:val="24ED7395"/>
    <w:rsid w:val="25625C9E"/>
    <w:rsid w:val="25831892"/>
    <w:rsid w:val="25D3683F"/>
    <w:rsid w:val="25D47DED"/>
    <w:rsid w:val="25E14618"/>
    <w:rsid w:val="25E45305"/>
    <w:rsid w:val="260A1519"/>
    <w:rsid w:val="261808A5"/>
    <w:rsid w:val="263E2A68"/>
    <w:rsid w:val="26726BCE"/>
    <w:rsid w:val="26753F88"/>
    <w:rsid w:val="26AB224D"/>
    <w:rsid w:val="26C1724C"/>
    <w:rsid w:val="2702799D"/>
    <w:rsid w:val="274428A4"/>
    <w:rsid w:val="275D3F35"/>
    <w:rsid w:val="27A32323"/>
    <w:rsid w:val="28184E04"/>
    <w:rsid w:val="281C3055"/>
    <w:rsid w:val="28350E55"/>
    <w:rsid w:val="28813EC4"/>
    <w:rsid w:val="289F236B"/>
    <w:rsid w:val="28C82EF3"/>
    <w:rsid w:val="290C4C94"/>
    <w:rsid w:val="29CD1CD8"/>
    <w:rsid w:val="2A432A41"/>
    <w:rsid w:val="2A5E10B3"/>
    <w:rsid w:val="2A702BC8"/>
    <w:rsid w:val="2A8645D2"/>
    <w:rsid w:val="2B106E77"/>
    <w:rsid w:val="2B492424"/>
    <w:rsid w:val="2B632B65"/>
    <w:rsid w:val="2B856672"/>
    <w:rsid w:val="2BB3014B"/>
    <w:rsid w:val="2BC44975"/>
    <w:rsid w:val="2BEE2754"/>
    <w:rsid w:val="2BFF1DC7"/>
    <w:rsid w:val="2C467D82"/>
    <w:rsid w:val="2CE46028"/>
    <w:rsid w:val="2D306A77"/>
    <w:rsid w:val="2D5B4EB6"/>
    <w:rsid w:val="2D895C4C"/>
    <w:rsid w:val="2DC76551"/>
    <w:rsid w:val="2DF54B08"/>
    <w:rsid w:val="2E5F7614"/>
    <w:rsid w:val="2E870919"/>
    <w:rsid w:val="2E8C2D2F"/>
    <w:rsid w:val="2F292CE1"/>
    <w:rsid w:val="2F29567C"/>
    <w:rsid w:val="2F3D23DC"/>
    <w:rsid w:val="2F3E026E"/>
    <w:rsid w:val="2F5C4EEB"/>
    <w:rsid w:val="2F644BD4"/>
    <w:rsid w:val="2F7E5C46"/>
    <w:rsid w:val="2F855A46"/>
    <w:rsid w:val="2FB83F60"/>
    <w:rsid w:val="2FC074E6"/>
    <w:rsid w:val="2FD60DDE"/>
    <w:rsid w:val="2FEE43D9"/>
    <w:rsid w:val="30103CC0"/>
    <w:rsid w:val="303F07CC"/>
    <w:rsid w:val="30744DF5"/>
    <w:rsid w:val="3086532C"/>
    <w:rsid w:val="309C1E01"/>
    <w:rsid w:val="30EC4C6B"/>
    <w:rsid w:val="31280191"/>
    <w:rsid w:val="3135376A"/>
    <w:rsid w:val="3148766A"/>
    <w:rsid w:val="31BB4D36"/>
    <w:rsid w:val="32151D5E"/>
    <w:rsid w:val="32507C82"/>
    <w:rsid w:val="3280045B"/>
    <w:rsid w:val="32DB5AE9"/>
    <w:rsid w:val="330E785B"/>
    <w:rsid w:val="33324454"/>
    <w:rsid w:val="336E50C8"/>
    <w:rsid w:val="339F04B3"/>
    <w:rsid w:val="33B7315F"/>
    <w:rsid w:val="340D6BE1"/>
    <w:rsid w:val="34355B4B"/>
    <w:rsid w:val="34554A7C"/>
    <w:rsid w:val="347E260A"/>
    <w:rsid w:val="35141A39"/>
    <w:rsid w:val="355A6D87"/>
    <w:rsid w:val="355B33AF"/>
    <w:rsid w:val="35712C79"/>
    <w:rsid w:val="3573068E"/>
    <w:rsid w:val="35C1717B"/>
    <w:rsid w:val="35E4578A"/>
    <w:rsid w:val="364E2252"/>
    <w:rsid w:val="36521A01"/>
    <w:rsid w:val="36BC4BFB"/>
    <w:rsid w:val="36D2136B"/>
    <w:rsid w:val="36E40CBB"/>
    <w:rsid w:val="37646661"/>
    <w:rsid w:val="37942BE0"/>
    <w:rsid w:val="37982CB9"/>
    <w:rsid w:val="3810197F"/>
    <w:rsid w:val="385416BC"/>
    <w:rsid w:val="387B1679"/>
    <w:rsid w:val="38900A13"/>
    <w:rsid w:val="391A1EE4"/>
    <w:rsid w:val="394B72D7"/>
    <w:rsid w:val="39553AED"/>
    <w:rsid w:val="396D1C79"/>
    <w:rsid w:val="39904B26"/>
    <w:rsid w:val="39C8337C"/>
    <w:rsid w:val="3A9C574C"/>
    <w:rsid w:val="3AEC2507"/>
    <w:rsid w:val="3AEC537A"/>
    <w:rsid w:val="3B0A00F9"/>
    <w:rsid w:val="3B3F3365"/>
    <w:rsid w:val="3B737A7A"/>
    <w:rsid w:val="3BB30F9F"/>
    <w:rsid w:val="3BC647D7"/>
    <w:rsid w:val="3BCA4788"/>
    <w:rsid w:val="3BDC2D88"/>
    <w:rsid w:val="3C38549C"/>
    <w:rsid w:val="3C513651"/>
    <w:rsid w:val="3C7B4485"/>
    <w:rsid w:val="3CAC6605"/>
    <w:rsid w:val="3D015DDE"/>
    <w:rsid w:val="3D1042CF"/>
    <w:rsid w:val="3D470810"/>
    <w:rsid w:val="3D622C7D"/>
    <w:rsid w:val="3D994929"/>
    <w:rsid w:val="3DD1641B"/>
    <w:rsid w:val="3E2A72CE"/>
    <w:rsid w:val="3E35382B"/>
    <w:rsid w:val="3E412892"/>
    <w:rsid w:val="3EA7507B"/>
    <w:rsid w:val="3EBE2135"/>
    <w:rsid w:val="3EEC151F"/>
    <w:rsid w:val="3F2A0522"/>
    <w:rsid w:val="3FD57770"/>
    <w:rsid w:val="3FE61CB3"/>
    <w:rsid w:val="404E40C2"/>
    <w:rsid w:val="40587535"/>
    <w:rsid w:val="407C0724"/>
    <w:rsid w:val="40885D9B"/>
    <w:rsid w:val="40AB79F3"/>
    <w:rsid w:val="40CE46D6"/>
    <w:rsid w:val="41742367"/>
    <w:rsid w:val="41840582"/>
    <w:rsid w:val="41A67015"/>
    <w:rsid w:val="41BC3BE2"/>
    <w:rsid w:val="42164036"/>
    <w:rsid w:val="425F37A8"/>
    <w:rsid w:val="4272310A"/>
    <w:rsid w:val="42F06635"/>
    <w:rsid w:val="42FC5C4D"/>
    <w:rsid w:val="434400DF"/>
    <w:rsid w:val="435F2123"/>
    <w:rsid w:val="437B0C8D"/>
    <w:rsid w:val="43D26F06"/>
    <w:rsid w:val="43D32231"/>
    <w:rsid w:val="43E82682"/>
    <w:rsid w:val="448259B3"/>
    <w:rsid w:val="449F146E"/>
    <w:rsid w:val="44F063AA"/>
    <w:rsid w:val="45330299"/>
    <w:rsid w:val="45682DFA"/>
    <w:rsid w:val="45C13AA0"/>
    <w:rsid w:val="45EF7078"/>
    <w:rsid w:val="45F8417E"/>
    <w:rsid w:val="460A6426"/>
    <w:rsid w:val="465B0A7A"/>
    <w:rsid w:val="467557CF"/>
    <w:rsid w:val="46AC06BD"/>
    <w:rsid w:val="46AF21E6"/>
    <w:rsid w:val="46BA43CC"/>
    <w:rsid w:val="47636B9D"/>
    <w:rsid w:val="4765466F"/>
    <w:rsid w:val="47752AF2"/>
    <w:rsid w:val="47906638"/>
    <w:rsid w:val="47A82FE8"/>
    <w:rsid w:val="47C37FF2"/>
    <w:rsid w:val="47CB1C35"/>
    <w:rsid w:val="4835135B"/>
    <w:rsid w:val="493952FF"/>
    <w:rsid w:val="49417FA9"/>
    <w:rsid w:val="4955302D"/>
    <w:rsid w:val="496C41A4"/>
    <w:rsid w:val="49A0371C"/>
    <w:rsid w:val="49AB419B"/>
    <w:rsid w:val="49AE00B1"/>
    <w:rsid w:val="4A436BC2"/>
    <w:rsid w:val="4A58168F"/>
    <w:rsid w:val="4AAD0A76"/>
    <w:rsid w:val="4ADE114C"/>
    <w:rsid w:val="4AF826EA"/>
    <w:rsid w:val="4B005883"/>
    <w:rsid w:val="4B115DA6"/>
    <w:rsid w:val="4BB95FA3"/>
    <w:rsid w:val="4BE225E4"/>
    <w:rsid w:val="4C0750C7"/>
    <w:rsid w:val="4C312CA3"/>
    <w:rsid w:val="4C3675F1"/>
    <w:rsid w:val="4C5B6228"/>
    <w:rsid w:val="4C9164D0"/>
    <w:rsid w:val="4D13189E"/>
    <w:rsid w:val="4D350D98"/>
    <w:rsid w:val="4D551EB6"/>
    <w:rsid w:val="4D707586"/>
    <w:rsid w:val="4D9B624A"/>
    <w:rsid w:val="4DC51718"/>
    <w:rsid w:val="4DEC0F9A"/>
    <w:rsid w:val="4DEF0D66"/>
    <w:rsid w:val="4DF468A0"/>
    <w:rsid w:val="4DF567A0"/>
    <w:rsid w:val="4E286A4D"/>
    <w:rsid w:val="4E3B6F91"/>
    <w:rsid w:val="4EA259E5"/>
    <w:rsid w:val="4EBF66A5"/>
    <w:rsid w:val="4ECF3EEA"/>
    <w:rsid w:val="4EF67C04"/>
    <w:rsid w:val="4F044E98"/>
    <w:rsid w:val="4F2664F9"/>
    <w:rsid w:val="4F2E7E30"/>
    <w:rsid w:val="4F367AEC"/>
    <w:rsid w:val="4FA40ED3"/>
    <w:rsid w:val="4FF367FF"/>
    <w:rsid w:val="4FFC6A51"/>
    <w:rsid w:val="503838B2"/>
    <w:rsid w:val="50717644"/>
    <w:rsid w:val="510A2FB8"/>
    <w:rsid w:val="513662DE"/>
    <w:rsid w:val="51713CA5"/>
    <w:rsid w:val="51F1033F"/>
    <w:rsid w:val="5222260D"/>
    <w:rsid w:val="522579F4"/>
    <w:rsid w:val="5239750A"/>
    <w:rsid w:val="526A55A6"/>
    <w:rsid w:val="53194B80"/>
    <w:rsid w:val="531F29A9"/>
    <w:rsid w:val="53432A29"/>
    <w:rsid w:val="534E654C"/>
    <w:rsid w:val="53D1600F"/>
    <w:rsid w:val="53DC50DF"/>
    <w:rsid w:val="540168F4"/>
    <w:rsid w:val="540E4BEA"/>
    <w:rsid w:val="54282DD3"/>
    <w:rsid w:val="542B6A9E"/>
    <w:rsid w:val="546723E7"/>
    <w:rsid w:val="54812D0C"/>
    <w:rsid w:val="54BA00DA"/>
    <w:rsid w:val="54DD1D68"/>
    <w:rsid w:val="55246E9B"/>
    <w:rsid w:val="55753010"/>
    <w:rsid w:val="55814D53"/>
    <w:rsid w:val="55B160F8"/>
    <w:rsid w:val="55C231AE"/>
    <w:rsid w:val="561D277F"/>
    <w:rsid w:val="56777341"/>
    <w:rsid w:val="56AF0889"/>
    <w:rsid w:val="57471324"/>
    <w:rsid w:val="574C257C"/>
    <w:rsid w:val="579B67BE"/>
    <w:rsid w:val="57D113D5"/>
    <w:rsid w:val="5859451E"/>
    <w:rsid w:val="58B336BD"/>
    <w:rsid w:val="59011144"/>
    <w:rsid w:val="59246BE1"/>
    <w:rsid w:val="59312D94"/>
    <w:rsid w:val="594178C3"/>
    <w:rsid w:val="59BD2B7E"/>
    <w:rsid w:val="5A6A0DC9"/>
    <w:rsid w:val="5A8C18C4"/>
    <w:rsid w:val="5AAF0775"/>
    <w:rsid w:val="5AE874A1"/>
    <w:rsid w:val="5AE922D5"/>
    <w:rsid w:val="5B1D3D6F"/>
    <w:rsid w:val="5B31090D"/>
    <w:rsid w:val="5B8B2F47"/>
    <w:rsid w:val="5B9E4D6E"/>
    <w:rsid w:val="5BEB2977"/>
    <w:rsid w:val="5CB61ACD"/>
    <w:rsid w:val="5CC12DEC"/>
    <w:rsid w:val="5CDF354A"/>
    <w:rsid w:val="5D5615C2"/>
    <w:rsid w:val="5DB74F59"/>
    <w:rsid w:val="5DC55108"/>
    <w:rsid w:val="5DCC6F35"/>
    <w:rsid w:val="5DD64C1F"/>
    <w:rsid w:val="5E495357"/>
    <w:rsid w:val="5F1C2834"/>
    <w:rsid w:val="5F6E54D0"/>
    <w:rsid w:val="5FB36FB3"/>
    <w:rsid w:val="5FD26E60"/>
    <w:rsid w:val="60723745"/>
    <w:rsid w:val="608029FC"/>
    <w:rsid w:val="60870181"/>
    <w:rsid w:val="60B65E85"/>
    <w:rsid w:val="60CC21C4"/>
    <w:rsid w:val="61371EB5"/>
    <w:rsid w:val="61537963"/>
    <w:rsid w:val="615748DB"/>
    <w:rsid w:val="61830F53"/>
    <w:rsid w:val="61C5129F"/>
    <w:rsid w:val="61F736EB"/>
    <w:rsid w:val="61F950BF"/>
    <w:rsid w:val="62165748"/>
    <w:rsid w:val="62696CAD"/>
    <w:rsid w:val="62D32A16"/>
    <w:rsid w:val="63007580"/>
    <w:rsid w:val="635F2DBC"/>
    <w:rsid w:val="636D468F"/>
    <w:rsid w:val="637D0C0C"/>
    <w:rsid w:val="64543FC3"/>
    <w:rsid w:val="645726D7"/>
    <w:rsid w:val="64804A6A"/>
    <w:rsid w:val="64D73FF1"/>
    <w:rsid w:val="6580503D"/>
    <w:rsid w:val="65D77612"/>
    <w:rsid w:val="65F74D6C"/>
    <w:rsid w:val="66A84C57"/>
    <w:rsid w:val="66BB3F2D"/>
    <w:rsid w:val="66CD4D5B"/>
    <w:rsid w:val="673021D8"/>
    <w:rsid w:val="67566BB5"/>
    <w:rsid w:val="677213F5"/>
    <w:rsid w:val="67D8580A"/>
    <w:rsid w:val="68172BEE"/>
    <w:rsid w:val="68282249"/>
    <w:rsid w:val="68B12D2A"/>
    <w:rsid w:val="68B67C19"/>
    <w:rsid w:val="69034A64"/>
    <w:rsid w:val="69407AE1"/>
    <w:rsid w:val="69A43B52"/>
    <w:rsid w:val="69FD48BA"/>
    <w:rsid w:val="6A2336A7"/>
    <w:rsid w:val="6A503CD9"/>
    <w:rsid w:val="6A7C73B6"/>
    <w:rsid w:val="6A7F1D55"/>
    <w:rsid w:val="6A820A75"/>
    <w:rsid w:val="6AE23D9B"/>
    <w:rsid w:val="6AE85CC0"/>
    <w:rsid w:val="6B796D61"/>
    <w:rsid w:val="6BD7247C"/>
    <w:rsid w:val="6C0E79A8"/>
    <w:rsid w:val="6C3F109E"/>
    <w:rsid w:val="6D110753"/>
    <w:rsid w:val="6D111319"/>
    <w:rsid w:val="6D6545BA"/>
    <w:rsid w:val="6D821810"/>
    <w:rsid w:val="6D967C55"/>
    <w:rsid w:val="6DB602F7"/>
    <w:rsid w:val="6DBB0012"/>
    <w:rsid w:val="6DC06482"/>
    <w:rsid w:val="6DC2576F"/>
    <w:rsid w:val="6DD35A75"/>
    <w:rsid w:val="6E072901"/>
    <w:rsid w:val="6E105C5A"/>
    <w:rsid w:val="6E3F191E"/>
    <w:rsid w:val="6E510270"/>
    <w:rsid w:val="6E657628"/>
    <w:rsid w:val="6E8C1607"/>
    <w:rsid w:val="6EB24F37"/>
    <w:rsid w:val="6EE35741"/>
    <w:rsid w:val="6EE95014"/>
    <w:rsid w:val="6F7B1C86"/>
    <w:rsid w:val="6FC43C76"/>
    <w:rsid w:val="700A11B7"/>
    <w:rsid w:val="70841CEC"/>
    <w:rsid w:val="7122756D"/>
    <w:rsid w:val="71383A44"/>
    <w:rsid w:val="713E0EC0"/>
    <w:rsid w:val="71414FC9"/>
    <w:rsid w:val="71867DFB"/>
    <w:rsid w:val="71B7756E"/>
    <w:rsid w:val="71D70082"/>
    <w:rsid w:val="71DC5E53"/>
    <w:rsid w:val="72AB1513"/>
    <w:rsid w:val="72B67764"/>
    <w:rsid w:val="72DA702C"/>
    <w:rsid w:val="731E55A3"/>
    <w:rsid w:val="73231C1F"/>
    <w:rsid w:val="733D31A7"/>
    <w:rsid w:val="73525479"/>
    <w:rsid w:val="73B9492C"/>
    <w:rsid w:val="73EF3A56"/>
    <w:rsid w:val="73FE56DD"/>
    <w:rsid w:val="74040B23"/>
    <w:rsid w:val="74C56C90"/>
    <w:rsid w:val="74E70379"/>
    <w:rsid w:val="74F77746"/>
    <w:rsid w:val="74FF4533"/>
    <w:rsid w:val="75DB6B78"/>
    <w:rsid w:val="76180D59"/>
    <w:rsid w:val="763C1591"/>
    <w:rsid w:val="764F0EF5"/>
    <w:rsid w:val="768C6099"/>
    <w:rsid w:val="76E030B4"/>
    <w:rsid w:val="775D4F94"/>
    <w:rsid w:val="777C74DB"/>
    <w:rsid w:val="77C12D09"/>
    <w:rsid w:val="78081EAE"/>
    <w:rsid w:val="787200B0"/>
    <w:rsid w:val="78954E88"/>
    <w:rsid w:val="78A8469B"/>
    <w:rsid w:val="78D45AD6"/>
    <w:rsid w:val="78DA1691"/>
    <w:rsid w:val="78DA30AD"/>
    <w:rsid w:val="78ED418B"/>
    <w:rsid w:val="78F73ADA"/>
    <w:rsid w:val="793F3897"/>
    <w:rsid w:val="7962599E"/>
    <w:rsid w:val="7A7A69DD"/>
    <w:rsid w:val="7ACF3F3D"/>
    <w:rsid w:val="7B146BAB"/>
    <w:rsid w:val="7B3014E8"/>
    <w:rsid w:val="7B4A10E1"/>
    <w:rsid w:val="7B4D7FB0"/>
    <w:rsid w:val="7B825CBD"/>
    <w:rsid w:val="7BC81B56"/>
    <w:rsid w:val="7C8552B8"/>
    <w:rsid w:val="7D233CDA"/>
    <w:rsid w:val="7DA65A24"/>
    <w:rsid w:val="7DB63F07"/>
    <w:rsid w:val="7DBC288E"/>
    <w:rsid w:val="7DCA74A7"/>
    <w:rsid w:val="7DD547CA"/>
    <w:rsid w:val="7DD55D5E"/>
    <w:rsid w:val="7E2A0600"/>
    <w:rsid w:val="7E44676F"/>
    <w:rsid w:val="7E6D0D47"/>
    <w:rsid w:val="7E962539"/>
    <w:rsid w:val="7EA3140E"/>
    <w:rsid w:val="7EE50E2A"/>
    <w:rsid w:val="7F1430D0"/>
    <w:rsid w:val="7F3D4E93"/>
    <w:rsid w:val="7FA11351"/>
    <w:rsid w:val="7FE01204"/>
    <w:rsid w:val="7FEF2C0C"/>
    <w:rsid w:val="F5BF8C3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5">
    <w:name w:val="heading 2"/>
    <w:basedOn w:val="1"/>
    <w:next w:val="1"/>
    <w:qFormat/>
    <w:uiPriority w:val="0"/>
    <w:pPr>
      <w:keepNext/>
      <w:keepLines/>
      <w:spacing w:before="260" w:after="260" w:line="413" w:lineRule="auto"/>
      <w:outlineLvl w:val="1"/>
    </w:pPr>
    <w:rPr>
      <w:rFonts w:ascii="Arial" w:hAnsi="Arial"/>
      <w:kern w:val="0"/>
      <w:sz w:val="28"/>
      <w:szCs w:val="20"/>
    </w:rPr>
  </w:style>
  <w:style w:type="paragraph" w:styleId="6">
    <w:name w:val="heading 3"/>
    <w:basedOn w:val="1"/>
    <w:next w:val="1"/>
    <w:link w:val="29"/>
    <w:qFormat/>
    <w:uiPriority w:val="0"/>
    <w:pPr>
      <w:keepNext/>
      <w:keepLines/>
      <w:spacing w:before="260" w:after="260" w:line="413" w:lineRule="auto"/>
      <w:outlineLvl w:val="2"/>
    </w:pPr>
    <w:rPr>
      <w:kern w:val="0"/>
      <w:sz w:val="28"/>
      <w:szCs w:val="20"/>
    </w:rPr>
  </w:style>
  <w:style w:type="paragraph" w:styleId="3">
    <w:name w:val="heading 4"/>
    <w:next w:val="1"/>
    <w:qFormat/>
    <w:uiPriority w:val="0"/>
    <w:pPr>
      <w:keepNext/>
      <w:keepLines/>
      <w:spacing w:before="280" w:after="100" w:afterAutospacing="1" w:line="374" w:lineRule="auto"/>
      <w:ind w:left="709" w:right="-27" w:hanging="709"/>
      <w:jc w:val="both"/>
      <w:outlineLvl w:val="3"/>
    </w:pPr>
    <w:rPr>
      <w:rFonts w:ascii="Cambria" w:hAnsi="Cambria" w:eastAsia="宋体" w:cs="Times New Roman"/>
      <w:b/>
      <w:bCs/>
      <w:sz w:val="28"/>
      <w:szCs w:val="28"/>
      <w:lang w:val="en-US" w:eastAsia="zh-CN" w:bidi="ar-SA"/>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pPr>
      <w:adjustRightInd w:val="0"/>
      <w:spacing w:line="312" w:lineRule="atLeast"/>
      <w:textAlignment w:val="baseline"/>
    </w:pPr>
    <w:rPr>
      <w:rFonts w:ascii="宋体" w:hAnsi="Courier New"/>
    </w:rPr>
  </w:style>
  <w:style w:type="paragraph" w:styleId="7">
    <w:name w:val="annotation text"/>
    <w:basedOn w:val="1"/>
    <w:qFormat/>
    <w:uiPriority w:val="0"/>
    <w:pPr>
      <w:jc w:val="left"/>
    </w:pPr>
    <w:rPr>
      <w:rFonts w:ascii="Calibri" w:hAnsi="Calibri"/>
      <w:szCs w:val="22"/>
    </w:rPr>
  </w:style>
  <w:style w:type="paragraph" w:styleId="8">
    <w:name w:val="Body Text"/>
    <w:basedOn w:val="1"/>
    <w:next w:val="1"/>
    <w:qFormat/>
    <w:uiPriority w:val="0"/>
    <w:pPr>
      <w:autoSpaceDE w:val="0"/>
      <w:autoSpaceDN w:val="0"/>
      <w:adjustRightInd w:val="0"/>
      <w:spacing w:after="120"/>
      <w:jc w:val="left"/>
    </w:pPr>
    <w:rPr>
      <w:rFonts w:ascii="宋体"/>
      <w:kern w:val="0"/>
      <w:sz w:val="34"/>
      <w:szCs w:val="20"/>
    </w:rPr>
  </w:style>
  <w:style w:type="paragraph" w:styleId="9">
    <w:name w:val="Body Text Indent"/>
    <w:basedOn w:val="1"/>
    <w:qFormat/>
    <w:uiPriority w:val="0"/>
    <w:pPr>
      <w:spacing w:after="120"/>
      <w:ind w:left="420" w:leftChars="200"/>
    </w:pPr>
  </w:style>
  <w:style w:type="paragraph" w:styleId="10">
    <w:name w:val="Balloon Text"/>
    <w:basedOn w:val="1"/>
    <w:link w:val="34"/>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qFormat/>
    <w:uiPriority w:val="0"/>
    <w:pPr>
      <w:spacing w:beforeAutospacing="1" w:afterAutospacing="1"/>
      <w:jc w:val="left"/>
    </w:pPr>
    <w:rPr>
      <w:rFonts w:cs="Times New Roman"/>
      <w:kern w:val="0"/>
      <w:sz w:val="24"/>
    </w:rPr>
  </w:style>
  <w:style w:type="paragraph" w:styleId="16">
    <w:name w:val="annotation subject"/>
    <w:basedOn w:val="7"/>
    <w:next w:val="7"/>
    <w:qFormat/>
    <w:uiPriority w:val="0"/>
    <w:rPr>
      <w:rFonts w:ascii="Times New Roman" w:hAnsi="Times New Roman"/>
      <w:b/>
      <w:bCs/>
      <w:szCs w:val="24"/>
    </w:rPr>
  </w:style>
  <w:style w:type="character" w:styleId="19">
    <w:name w:val="annotation reference"/>
    <w:qFormat/>
    <w:uiPriority w:val="0"/>
    <w:rPr>
      <w:sz w:val="21"/>
      <w:szCs w:val="21"/>
    </w:rPr>
  </w:style>
  <w:style w:type="paragraph" w:customStyle="1" w:styleId="20">
    <w:name w:val="表格文字"/>
    <w:basedOn w:val="1"/>
    <w:next w:val="8"/>
    <w:qFormat/>
    <w:uiPriority w:val="99"/>
    <w:pPr>
      <w:spacing w:before="25" w:after="25"/>
      <w:jc w:val="left"/>
    </w:pPr>
    <w:rPr>
      <w:bCs/>
      <w:spacing w:val="10"/>
      <w:kern w:val="0"/>
      <w:sz w:val="24"/>
    </w:rPr>
  </w:style>
  <w:style w:type="paragraph" w:customStyle="1" w:styleId="2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标题 2_1"/>
    <w:basedOn w:val="24"/>
    <w:next w:val="24"/>
    <w:unhideWhenUsed/>
    <w:qFormat/>
    <w:uiPriority w:val="0"/>
    <w:pPr>
      <w:keepNext/>
      <w:keepLines/>
      <w:spacing w:before="260" w:after="260" w:line="416" w:lineRule="auto"/>
      <w:outlineLvl w:val="1"/>
    </w:pPr>
    <w:rPr>
      <w:rFonts w:ascii="Cambria" w:hAnsi="Cambria"/>
      <w:b/>
      <w:bCs/>
      <w:sz w:val="32"/>
      <w:szCs w:val="32"/>
    </w:rPr>
  </w:style>
  <w:style w:type="paragraph" w:customStyle="1" w:styleId="27">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_3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
    <w:name w:val="标题 3 字符"/>
    <w:link w:val="6"/>
    <w:qFormat/>
    <w:uiPriority w:val="0"/>
    <w:rPr>
      <w:kern w:val="0"/>
      <w:sz w:val="28"/>
      <w:szCs w:val="20"/>
    </w:rPr>
  </w:style>
  <w:style w:type="paragraph" w:customStyle="1" w:styleId="30">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标题 3_0"/>
    <w:basedOn w:val="30"/>
    <w:next w:val="30"/>
    <w:qFormat/>
    <w:uiPriority w:val="0"/>
    <w:pPr>
      <w:keepNext/>
      <w:keepLines/>
      <w:spacing w:line="360" w:lineRule="auto"/>
      <w:outlineLvl w:val="2"/>
    </w:pPr>
    <w:rPr>
      <w:rFonts w:eastAsia="黑体"/>
      <w:b/>
      <w:bCs/>
      <w:kern w:val="0"/>
      <w:sz w:val="20"/>
      <w:szCs w:val="32"/>
    </w:rPr>
  </w:style>
  <w:style w:type="paragraph" w:customStyle="1" w:styleId="3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样式 (中文) 仿宋_GB2312 四号 行距: 1.5 倍行距"/>
    <w:basedOn w:val="1"/>
    <w:qFormat/>
    <w:uiPriority w:val="0"/>
    <w:pPr>
      <w:spacing w:line="360" w:lineRule="auto"/>
      <w:ind w:firstLine="560" w:firstLineChars="200"/>
    </w:pPr>
    <w:rPr>
      <w:rFonts w:eastAsia="仿宋_GB2312" w:cs="宋体"/>
      <w:sz w:val="28"/>
      <w:szCs w:val="20"/>
    </w:rPr>
  </w:style>
  <w:style w:type="character" w:customStyle="1" w:styleId="34">
    <w:name w:val="批注框文本 字符"/>
    <w:basedOn w:val="18"/>
    <w:link w:val="10"/>
    <w:qFormat/>
    <w:uiPriority w:val="0"/>
    <w:rPr>
      <w:rFonts w:asciiTheme="minorHAnsi" w:hAnsiTheme="minorHAnsi" w:eastAsiaTheme="minorEastAsia" w:cstheme="minorBidi"/>
      <w:kern w:val="2"/>
      <w:sz w:val="18"/>
      <w:szCs w:val="18"/>
    </w:rPr>
  </w:style>
  <w:style w:type="paragraph" w:styleId="3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15453</Words>
  <Characters>16181</Characters>
  <Lines>177</Lines>
  <Paragraphs>49</Paragraphs>
  <TotalTime>6</TotalTime>
  <ScaleCrop>false</ScaleCrop>
  <LinksUpToDate>false</LinksUpToDate>
  <CharactersWithSpaces>16756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2022-10-28T12:04:00Z</dcterms:created>
  <dc:creator>陆国天</dc:creator>
  <cp:lastModifiedBy>刘艳君</cp:lastModifiedBy>
  <cp:lastPrinted>2023-04-20T03:13:00Z</cp:lastPrinted>
  <dcterms:modified xsi:type="dcterms:W3CDTF">2023-05-04T09:32:34Z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3018C8C9EB6342C9A5B798EA590280BC</vt:lpwstr>
  </property>
</Properties>
</file>