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600" w:lineRule="exact"/>
        <w:jc w:val="center"/>
        <w:rPr>
          <w:rFonts w:hint="eastAsia" w:eastAsia="黑体"/>
          <w:b/>
          <w:bCs/>
          <w:spacing w:val="-20"/>
          <w:sz w:val="28"/>
          <w:szCs w:val="28"/>
          <w:highlight w:val="none"/>
          <w:lang w:val="en-US" w:eastAsia="zh-CN"/>
        </w:rPr>
      </w:pPr>
      <w:r>
        <w:rPr>
          <w:rFonts w:hint="eastAsia" w:ascii="黑体" w:eastAsia="黑体"/>
          <w:sz w:val="44"/>
          <w:szCs w:val="48"/>
          <w:highlight w:val="none"/>
          <w:lang w:eastAsia="zh-CN"/>
        </w:rPr>
        <w:t>南宁轨道交通运营有限公司2021年至2022年物资管理内控建设及执行情况专项审计项目</w:t>
      </w:r>
      <w:r>
        <w:rPr>
          <w:rFonts w:hint="eastAsia" w:ascii="黑体" w:eastAsia="黑体"/>
          <w:sz w:val="44"/>
          <w:szCs w:val="48"/>
          <w:highlight w:val="none"/>
          <w:lang w:eastAsia="zh-CN"/>
        </w:rPr>
        <w:br w:type="textWrapping"/>
      </w:r>
      <w:r>
        <w:rPr>
          <w:rFonts w:hint="eastAsia" w:ascii="黑体" w:eastAsia="黑体"/>
          <w:sz w:val="44"/>
          <w:szCs w:val="48"/>
          <w:highlight w:val="none"/>
          <w:lang w:eastAsia="zh-CN"/>
        </w:rPr>
        <w:t>第二次</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pStyle w:val="2"/>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4954"/>
      <w:bookmarkStart w:id="1" w:name="_Toc23188"/>
      <w:bookmarkStart w:id="2" w:name="_Toc461525293"/>
      <w:bookmarkStart w:id="3" w:name="_Toc471482358"/>
      <w:bookmarkStart w:id="4" w:name="_Toc9980"/>
      <w:bookmarkStart w:id="5" w:name="_Toc12363"/>
      <w:bookmarkStart w:id="6" w:name="_Toc25905"/>
      <w:bookmarkStart w:id="7" w:name="_Toc27692"/>
      <w:bookmarkStart w:id="8" w:name="_Toc18159"/>
      <w:bookmarkStart w:id="9" w:name="_Toc14943"/>
      <w:bookmarkStart w:id="10" w:name="_Toc32122"/>
      <w:bookmarkStart w:id="11" w:name="_Toc21106"/>
      <w:r>
        <w:rPr>
          <w:rFonts w:hint="eastAsia" w:ascii="宋体" w:hAnsi="宋体" w:eastAsia="宋体" w:cs="宋体"/>
          <w:b/>
          <w:bCs/>
          <w:sz w:val="32"/>
          <w:szCs w:val="32"/>
          <w:highlight w:val="none"/>
        </w:rPr>
        <w:t>2023年</w:t>
      </w:r>
      <w:r>
        <w:rPr>
          <w:rFonts w:hint="eastAsia" w:ascii="宋体" w:hAnsi="宋体" w:cs="宋体"/>
          <w:b/>
          <w:bCs/>
          <w:sz w:val="32"/>
          <w:szCs w:val="32"/>
          <w:highlight w:val="none"/>
          <w:lang w:val="en-US" w:eastAsia="zh-CN"/>
        </w:rPr>
        <w:t>05</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18</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3779" w:firstLineChars="1181"/>
        <w:jc w:val="both"/>
        <w:rPr>
          <w:rFonts w:ascii="宋体" w:hAnsi="宋体" w:eastAsia="宋体" w:cs="宋体"/>
          <w:b/>
          <w:kern w:val="44"/>
          <w:sz w:val="21"/>
          <w:szCs w:val="21"/>
          <w:highlight w:val="none"/>
          <w:lang w:val="en-US" w:eastAsia="zh-CN" w:bidi="ar-SA"/>
        </w:rPr>
      </w:pPr>
      <w:bookmarkStart w:id="12" w:name="_Toc17397"/>
      <w:bookmarkStart w:id="13" w:name="_Toc27700"/>
      <w:bookmarkStart w:id="14" w:name="_Toc19051"/>
      <w:bookmarkStart w:id="15" w:name="_Toc24586"/>
      <w:bookmarkStart w:id="16" w:name="_Toc16693"/>
      <w:bookmarkStart w:id="17" w:name="_Toc13153"/>
      <w:bookmarkStart w:id="18" w:name="_Toc31734"/>
      <w:r>
        <w:rPr>
          <w:rFonts w:ascii="宋体" w:hAnsi="宋体"/>
          <w:b w:val="0"/>
          <w:sz w:val="32"/>
          <w:szCs w:val="21"/>
          <w:highlight w:val="none"/>
        </w:rPr>
        <w:t xml:space="preserve"> </w:t>
      </w:r>
      <w:bookmarkStart w:id="19" w:name="_Toc19299"/>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_Toc19299 </w:instrText>
      </w:r>
      <w:r>
        <w:rPr>
          <w:rFonts w:ascii="宋体" w:hAnsi="宋体" w:cs="宋体"/>
          <w:szCs w:val="21"/>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_Toc19299 \h </w:instrText>
      </w:r>
      <w:r>
        <w:rPr>
          <w:highlight w:val="none"/>
        </w:rPr>
        <w:fldChar w:fldCharType="separate"/>
      </w:r>
      <w:r>
        <w:rPr>
          <w:highlight w:val="none"/>
        </w:rPr>
        <w:t>1</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_Toc20140 </w:instrText>
      </w:r>
      <w:r>
        <w:rPr>
          <w:rFonts w:ascii="宋体" w:hAnsi="宋体" w:cs="宋体"/>
          <w:szCs w:val="21"/>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_Toc20140 \h </w:instrText>
      </w:r>
      <w:r>
        <w:rPr>
          <w:highlight w:val="none"/>
        </w:rPr>
        <w:fldChar w:fldCharType="separate"/>
      </w:r>
      <w:r>
        <w:rPr>
          <w:highlight w:val="none"/>
        </w:rPr>
        <w:t>2</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_Toc8003 </w:instrText>
      </w:r>
      <w:r>
        <w:rPr>
          <w:rFonts w:ascii="宋体" w:hAnsi="宋体" w:cs="宋体"/>
          <w:szCs w:val="21"/>
          <w:highlight w:val="none"/>
        </w:rPr>
        <w:fldChar w:fldCharType="separate"/>
      </w:r>
      <w:r>
        <w:rPr>
          <w:rFonts w:hint="eastAsia"/>
          <w:szCs w:val="24"/>
          <w:highlight w:val="none"/>
        </w:rPr>
        <w:t>前附表</w:t>
      </w:r>
      <w:r>
        <w:rPr>
          <w:highlight w:val="none"/>
        </w:rPr>
        <w:tab/>
      </w:r>
      <w:r>
        <w:rPr>
          <w:highlight w:val="none"/>
        </w:rPr>
        <w:fldChar w:fldCharType="begin"/>
      </w:r>
      <w:r>
        <w:rPr>
          <w:highlight w:val="none"/>
        </w:rPr>
        <w:instrText xml:space="preserve"> PAGEREF _Toc8003 \h </w:instrText>
      </w:r>
      <w:r>
        <w:rPr>
          <w:highlight w:val="none"/>
        </w:rPr>
        <w:fldChar w:fldCharType="separate"/>
      </w:r>
      <w:r>
        <w:rPr>
          <w:highlight w:val="none"/>
        </w:rPr>
        <w:t>2</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_Toc3416 </w:instrText>
      </w:r>
      <w:r>
        <w:rPr>
          <w:rFonts w:ascii="宋体" w:hAnsi="宋体" w:cs="宋体"/>
          <w:szCs w:val="21"/>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_Toc3416 \h </w:instrText>
      </w:r>
      <w:r>
        <w:rPr>
          <w:highlight w:val="none"/>
        </w:rPr>
        <w:fldChar w:fldCharType="separate"/>
      </w:r>
      <w:r>
        <w:rPr>
          <w:highlight w:val="none"/>
        </w:rPr>
        <w:t>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_Toc5628 </w:instrText>
      </w:r>
      <w:r>
        <w:rPr>
          <w:rFonts w:ascii="宋体" w:hAnsi="宋体" w:cs="宋体"/>
          <w:szCs w:val="21"/>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_Toc5628 \h </w:instrText>
      </w:r>
      <w:r>
        <w:rPr>
          <w:highlight w:val="none"/>
        </w:rPr>
        <w:fldChar w:fldCharType="separate"/>
      </w:r>
      <w:r>
        <w:rPr>
          <w:highlight w:val="none"/>
        </w:rPr>
        <w:t>6</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_Toc27671 </w:instrText>
      </w:r>
      <w:r>
        <w:rPr>
          <w:rFonts w:ascii="宋体" w:hAnsi="宋体" w:cs="宋体"/>
          <w:szCs w:val="21"/>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_Toc27671 \h </w:instrText>
      </w:r>
      <w:r>
        <w:rPr>
          <w:highlight w:val="none"/>
        </w:rPr>
        <w:fldChar w:fldCharType="separate"/>
      </w:r>
      <w:r>
        <w:rPr>
          <w:highlight w:val="none"/>
        </w:rPr>
        <w:t>7</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_Toc8092 </w:instrText>
      </w:r>
      <w:r>
        <w:rPr>
          <w:rFonts w:ascii="宋体" w:hAnsi="宋体" w:cs="宋体"/>
          <w:szCs w:val="21"/>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_Toc8092 \h </w:instrText>
      </w:r>
      <w:r>
        <w:rPr>
          <w:highlight w:val="none"/>
        </w:rPr>
        <w:fldChar w:fldCharType="separate"/>
      </w:r>
      <w:r>
        <w:rPr>
          <w:highlight w:val="none"/>
        </w:rPr>
        <w:t>7</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_Toc4540 </w:instrText>
      </w:r>
      <w:r>
        <w:rPr>
          <w:rFonts w:ascii="宋体" w:hAnsi="宋体" w:cs="宋体"/>
          <w:szCs w:val="21"/>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_Toc4540 \h </w:instrText>
      </w:r>
      <w:r>
        <w:rPr>
          <w:highlight w:val="none"/>
        </w:rPr>
        <w:fldChar w:fldCharType="separate"/>
      </w:r>
      <w:r>
        <w:rPr>
          <w:highlight w:val="none"/>
        </w:rPr>
        <w:t>9</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_Toc19136 </w:instrText>
      </w:r>
      <w:r>
        <w:rPr>
          <w:rFonts w:ascii="宋体" w:hAnsi="宋体" w:cs="宋体"/>
          <w:szCs w:val="21"/>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_Toc19136 \h </w:instrText>
      </w:r>
      <w:r>
        <w:rPr>
          <w:highlight w:val="none"/>
        </w:rPr>
        <w:fldChar w:fldCharType="separate"/>
      </w:r>
      <w:r>
        <w:rPr>
          <w:highlight w:val="none"/>
        </w:rPr>
        <w:t>10</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_Toc4410 </w:instrText>
      </w:r>
      <w:r>
        <w:rPr>
          <w:rFonts w:ascii="宋体" w:hAnsi="宋体" w:cs="宋体"/>
          <w:szCs w:val="21"/>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_Toc4410 \h </w:instrText>
      </w:r>
      <w:r>
        <w:rPr>
          <w:highlight w:val="none"/>
        </w:rPr>
        <w:fldChar w:fldCharType="separate"/>
      </w:r>
      <w:r>
        <w:rPr>
          <w:highlight w:val="none"/>
        </w:rPr>
        <w:t>12</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_Toc18993 </w:instrText>
      </w:r>
      <w:r>
        <w:rPr>
          <w:rFonts w:ascii="宋体" w:hAnsi="宋体" w:cs="宋体"/>
          <w:szCs w:val="21"/>
          <w:highlight w:val="none"/>
        </w:rPr>
        <w:fldChar w:fldCharType="separate"/>
      </w:r>
      <w:r>
        <w:rPr>
          <w:rFonts w:ascii="宋体" w:cs="Times New Roman"/>
          <w:szCs w:val="28"/>
          <w:highlight w:val="none"/>
        </w:rPr>
        <w:t xml:space="preserve">第三章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_Toc18993 \h </w:instrText>
      </w:r>
      <w:r>
        <w:rPr>
          <w:highlight w:val="none"/>
        </w:rPr>
        <w:fldChar w:fldCharType="separate"/>
      </w:r>
      <w:r>
        <w:rPr>
          <w:highlight w:val="none"/>
        </w:rPr>
        <w:t>23</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_Toc5961 </w:instrText>
      </w:r>
      <w:r>
        <w:rPr>
          <w:rFonts w:ascii="宋体" w:hAnsi="宋体" w:cs="宋体"/>
          <w:szCs w:val="21"/>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_Toc5961 \h </w:instrText>
      </w:r>
      <w:r>
        <w:rPr>
          <w:highlight w:val="none"/>
        </w:rPr>
        <w:fldChar w:fldCharType="separate"/>
      </w:r>
      <w:r>
        <w:rPr>
          <w:highlight w:val="none"/>
        </w:rPr>
        <w:t>24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_Toc12404 </w:instrText>
      </w:r>
      <w:r>
        <w:rPr>
          <w:rFonts w:ascii="宋体" w:hAnsi="宋体" w:cs="宋体"/>
          <w:szCs w:val="21"/>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_Toc12404 \h </w:instrText>
      </w:r>
      <w:r>
        <w:rPr>
          <w:highlight w:val="none"/>
        </w:rPr>
        <w:fldChar w:fldCharType="separate"/>
      </w:r>
      <w:r>
        <w:rPr>
          <w:highlight w:val="none"/>
        </w:rPr>
        <w:t>34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_Toc27214 </w:instrText>
      </w:r>
      <w:r>
        <w:rPr>
          <w:rFonts w:ascii="宋体" w:hAnsi="宋体" w:cs="宋体"/>
          <w:szCs w:val="21"/>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_Toc27214 \h </w:instrText>
      </w:r>
      <w:r>
        <w:rPr>
          <w:highlight w:val="none"/>
        </w:rPr>
        <w:fldChar w:fldCharType="separate"/>
      </w:r>
      <w:r>
        <w:rPr>
          <w:highlight w:val="none"/>
        </w:rPr>
        <w:t>42</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_Toc22689 </w:instrText>
      </w:r>
      <w:r>
        <w:rPr>
          <w:rFonts w:ascii="宋体" w:hAnsi="宋体" w:cs="宋体"/>
          <w:szCs w:val="21"/>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_Toc22689 \h </w:instrText>
      </w:r>
      <w:r>
        <w:rPr>
          <w:highlight w:val="none"/>
        </w:rPr>
        <w:fldChar w:fldCharType="separate"/>
      </w:r>
      <w:r>
        <w:rPr>
          <w:highlight w:val="none"/>
        </w:rPr>
        <w:t>44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_Toc30260 </w:instrText>
      </w:r>
      <w:r>
        <w:rPr>
          <w:rFonts w:ascii="宋体" w:hAnsi="宋体" w:cs="宋体"/>
          <w:szCs w:val="21"/>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_Toc30260 \h </w:instrText>
      </w:r>
      <w:r>
        <w:rPr>
          <w:highlight w:val="none"/>
        </w:rPr>
        <w:fldChar w:fldCharType="separate"/>
      </w:r>
      <w:r>
        <w:rPr>
          <w:highlight w:val="none"/>
        </w:rPr>
        <w:t>44</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_Toc28487 </w:instrText>
      </w:r>
      <w:r>
        <w:rPr>
          <w:rFonts w:ascii="宋体" w:hAnsi="宋体" w:cs="宋体"/>
          <w:szCs w:val="21"/>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_Toc28487 \h </w:instrText>
      </w:r>
      <w:r>
        <w:rPr>
          <w:highlight w:val="none"/>
        </w:rPr>
        <w:fldChar w:fldCharType="separate"/>
      </w:r>
      <w:r>
        <w:rPr>
          <w:highlight w:val="none"/>
        </w:rPr>
        <w:t>45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_Toc11354 </w:instrText>
      </w:r>
      <w:r>
        <w:rPr>
          <w:rFonts w:ascii="宋体" w:hAnsi="宋体" w:cs="宋体"/>
          <w:szCs w:val="21"/>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_Toc11354 \h </w:instrText>
      </w:r>
      <w:r>
        <w:rPr>
          <w:highlight w:val="none"/>
        </w:rPr>
        <w:fldChar w:fldCharType="separate"/>
      </w:r>
      <w:r>
        <w:rPr>
          <w:highlight w:val="none"/>
        </w:rPr>
        <w:t>45</w:t>
      </w:r>
      <w:r>
        <w:rPr>
          <w:highlight w:val="none"/>
        </w:rPr>
        <w:fldChar w:fldCharType="end"/>
      </w:r>
      <w:r>
        <w:rPr>
          <w:rFonts w:ascii="宋体" w:hAnsi="宋体" w:cs="宋体"/>
          <w:szCs w:val="21"/>
          <w:highlight w:val="none"/>
        </w:rPr>
        <w:fldChar w:fldCharType="end"/>
      </w:r>
    </w:p>
    <w:p>
      <w:pPr>
        <w:pStyle w:val="22"/>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_Toc25386 </w:instrText>
      </w:r>
      <w:r>
        <w:rPr>
          <w:rFonts w:ascii="宋体" w:hAnsi="宋体" w:cs="宋体"/>
          <w:szCs w:val="21"/>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_Toc25386 \h </w:instrText>
      </w:r>
      <w:r>
        <w:rPr>
          <w:highlight w:val="none"/>
        </w:rPr>
        <w:fldChar w:fldCharType="separate"/>
      </w:r>
      <w:r>
        <w:rPr>
          <w:highlight w:val="none"/>
        </w:rPr>
        <w:t>46</w:t>
      </w:r>
      <w:r>
        <w:rPr>
          <w:highlight w:val="none"/>
        </w:rPr>
        <w:fldChar w:fldCharType="end"/>
      </w:r>
      <w:r>
        <w:rPr>
          <w:rFonts w:ascii="宋体" w:hAnsi="宋体" w:cs="宋体"/>
          <w:szCs w:val="21"/>
          <w:highlight w:val="none"/>
        </w:rPr>
        <w:fldChar w:fldCharType="end"/>
      </w:r>
    </w:p>
    <w:p>
      <w:pPr>
        <w:pStyle w:val="18"/>
        <w:tabs>
          <w:tab w:val="right" w:leader="dot" w:pos="9219"/>
        </w:tabs>
        <w:rPr>
          <w:highlight w:val="none"/>
        </w:rPr>
      </w:pPr>
      <w:r>
        <w:rPr>
          <w:rFonts w:ascii="宋体" w:hAnsi="宋体" w:cs="宋体"/>
          <w:szCs w:val="21"/>
          <w:highlight w:val="none"/>
        </w:rPr>
        <w:fldChar w:fldCharType="begin"/>
      </w:r>
      <w:r>
        <w:rPr>
          <w:rFonts w:ascii="宋体" w:hAnsi="宋体" w:cs="宋体"/>
          <w:szCs w:val="21"/>
          <w:highlight w:val="none"/>
        </w:rPr>
        <w:instrText xml:space="preserve"> HYPERLINK \l _Toc1299 </w:instrText>
      </w:r>
      <w:r>
        <w:rPr>
          <w:rFonts w:ascii="宋体" w:hAnsi="宋体" w:cs="宋体"/>
          <w:szCs w:val="21"/>
          <w:highlight w:val="none"/>
        </w:rPr>
        <w:fldChar w:fldCharType="separate"/>
      </w:r>
      <w:r>
        <w:rPr>
          <w:rFonts w:hint="eastAsia" w:ascii="宋体" w:hAnsi="宋体" w:eastAsia="宋体" w:cs="方正小标宋简体"/>
          <w:bCs/>
          <w:szCs w:val="28"/>
          <w:highlight w:val="none"/>
        </w:rPr>
        <w:t>第五章</w:t>
      </w:r>
      <w:r>
        <w:rPr>
          <w:rFonts w:ascii="宋体" w:hAnsi="宋体" w:eastAsia="宋体" w:cs="方正小标宋简体"/>
          <w:bCs/>
          <w:szCs w:val="28"/>
          <w:highlight w:val="none"/>
        </w:rPr>
        <w:t xml:space="preserve"> </w:t>
      </w:r>
      <w:r>
        <w:rPr>
          <w:rFonts w:hint="eastAsia" w:ascii="宋体" w:hAnsi="宋体" w:eastAsia="宋体" w:cs="方正小标宋简体"/>
          <w:bCs/>
          <w:szCs w:val="28"/>
          <w:highlight w:val="none"/>
        </w:rPr>
        <w:t>用户需求书</w:t>
      </w:r>
      <w:r>
        <w:rPr>
          <w:highlight w:val="none"/>
        </w:rPr>
        <w:tab/>
      </w:r>
      <w:r>
        <w:rPr>
          <w:highlight w:val="none"/>
        </w:rPr>
        <w:fldChar w:fldCharType="begin"/>
      </w:r>
      <w:r>
        <w:rPr>
          <w:highlight w:val="none"/>
        </w:rPr>
        <w:instrText xml:space="preserve"> PAGEREF _Toc1299 \h </w:instrText>
      </w:r>
      <w:r>
        <w:rPr>
          <w:highlight w:val="none"/>
        </w:rPr>
        <w:fldChar w:fldCharType="separate"/>
      </w:r>
      <w:r>
        <w:rPr>
          <w:highlight w:val="none"/>
        </w:rPr>
        <w:t>48</w:t>
      </w:r>
      <w:r>
        <w:rPr>
          <w:highlight w:val="none"/>
        </w:rPr>
        <w:fldChar w:fldCharType="end"/>
      </w:r>
      <w:r>
        <w:rPr>
          <w:rFonts w:ascii="宋体" w:hAnsi="宋体" w:cs="宋体"/>
          <w:szCs w:val="21"/>
          <w:highlight w:val="none"/>
        </w:rPr>
        <w:fldChar w:fldCharType="end"/>
      </w:r>
    </w:p>
    <w:p>
      <w:pPr>
        <w:pStyle w:val="3"/>
        <w:tabs>
          <w:tab w:val="right" w:leader="dot" w:pos="9219"/>
        </w:tabs>
        <w:spacing w:before="0" w:after="0" w:line="600" w:lineRule="exact"/>
        <w:ind w:firstLine="2635" w:firstLineChars="1250"/>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31020"/>
      <w:bookmarkStart w:id="21" w:name="_Toc30233"/>
      <w:bookmarkStart w:id="22" w:name="_Toc32719"/>
      <w:bookmarkStart w:id="23" w:name="_Toc24752"/>
      <w:bookmarkStart w:id="24" w:name="_Toc9851"/>
      <w:bookmarkStart w:id="25" w:name="_Toc471482359"/>
      <w:bookmarkStart w:id="26" w:name="_Toc12557"/>
      <w:bookmarkStart w:id="27" w:name="_Toc13623"/>
      <w:bookmarkStart w:id="28" w:name="_Toc24235"/>
      <w:bookmarkStart w:id="29" w:name="_Toc6747"/>
      <w:bookmarkStart w:id="30" w:name="_Toc32556"/>
      <w:bookmarkStart w:id="31" w:name="_Toc9092"/>
      <w:bookmarkStart w:id="32" w:name="_Toc11052"/>
      <w:bookmarkStart w:id="33" w:name="_Toc14177"/>
      <w:bookmarkStart w:id="34" w:name="_Toc461525294"/>
      <w:bookmarkStart w:id="35" w:name="_Toc20342"/>
      <w:bookmarkStart w:id="36" w:name="_Toc14897"/>
      <w:bookmarkStart w:id="37" w:name="_Toc30578"/>
      <w:bookmarkStart w:id="38" w:name="_Toc27762"/>
      <w:bookmarkStart w:id="39" w:name="_Toc29385"/>
      <w:bookmarkStart w:id="40" w:name="_Toc18544"/>
      <w:r>
        <w:rPr>
          <w:rFonts w:ascii="宋体" w:cs="宋体"/>
          <w:szCs w:val="28"/>
          <w:highlight w:val="none"/>
        </w:rPr>
        <w:br w:type="page"/>
      </w:r>
    </w:p>
    <w:p>
      <w:pPr>
        <w:pStyle w:val="3"/>
        <w:spacing w:before="0" w:after="0" w:line="600" w:lineRule="exact"/>
        <w:rPr>
          <w:rFonts w:ascii="宋体" w:cs="宋体"/>
          <w:szCs w:val="28"/>
          <w:highlight w:val="none"/>
        </w:rPr>
      </w:pPr>
      <w:bookmarkStart w:id="41" w:name="_Toc20140"/>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0765"/>
      <w:bookmarkStart w:id="43" w:name="_Toc17254"/>
      <w:bookmarkStart w:id="44" w:name="_Toc14510"/>
      <w:bookmarkStart w:id="45" w:name="_Toc2162"/>
      <w:bookmarkStart w:id="46" w:name="_Toc17641"/>
      <w:bookmarkStart w:id="47" w:name="_Toc14984"/>
      <w:bookmarkStart w:id="48" w:name="_Toc21200"/>
      <w:bookmarkStart w:id="49" w:name="_Toc11329"/>
      <w:bookmarkStart w:id="50" w:name="_Toc24239"/>
      <w:bookmarkStart w:id="51" w:name="_Toc18968"/>
      <w:bookmarkStart w:id="52" w:name="_Toc32591"/>
      <w:bookmarkStart w:id="53" w:name="_Toc24301"/>
      <w:bookmarkStart w:id="54" w:name="_Toc471482360"/>
      <w:bookmarkStart w:id="55" w:name="_Toc25750"/>
      <w:bookmarkStart w:id="56" w:name="_Toc11337"/>
      <w:bookmarkStart w:id="57" w:name="_Toc5848"/>
      <w:bookmarkStart w:id="58" w:name="_Toc2242"/>
      <w:bookmarkStart w:id="59" w:name="_Toc8003"/>
      <w:bookmarkStart w:id="60" w:name="_Toc461525295"/>
      <w:bookmarkStart w:id="61" w:name="_Toc18263"/>
      <w:bookmarkStart w:id="62" w:name="_Toc31166"/>
      <w:bookmarkStart w:id="63" w:name="_Toc21327"/>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0" w:leftChars="0" w:hanging="10" w:firstLineChars="0"/>
              <w:rPr>
                <w:rFonts w:ascii="宋体" w:cs="宋体"/>
                <w:b/>
                <w:sz w:val="28"/>
                <w:szCs w:val="21"/>
                <w:highlight w:val="none"/>
              </w:rPr>
            </w:pPr>
            <w:r>
              <w:rPr>
                <w:rFonts w:hint="eastAsia" w:ascii="宋体" w:hAnsi="宋体" w:cs="宋体"/>
                <w:szCs w:val="21"/>
                <w:highlight w:val="none"/>
                <w:u w:val="single"/>
                <w:lang w:eastAsia="zh-CN"/>
              </w:rPr>
              <w:t>南宁轨道交通运营有限公司2021年至2022年物资管理内控建设及执行情况专项审计项目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南宁轨道交通</w:t>
            </w:r>
            <w:r>
              <w:rPr>
                <w:rFonts w:hint="eastAsia" w:ascii="宋体" w:hAnsi="宋体" w:cs="宋体"/>
                <w:szCs w:val="21"/>
                <w:highlight w:val="none"/>
              </w:rPr>
              <w:t>运营</w:t>
            </w:r>
            <w:r>
              <w:rPr>
                <w:rFonts w:hint="eastAsia" w:ascii="宋体" w:hAnsi="宋体" w:cs="宋体"/>
                <w:szCs w:val="21"/>
                <w:highlight w:val="none"/>
                <w:lang w:val="en-US" w:eastAsia="zh-CN"/>
              </w:rPr>
              <w:t>有限</w:t>
            </w:r>
            <w:r>
              <w:rPr>
                <w:rFonts w:hint="eastAsia" w:ascii="宋体" w:hAnsi="宋体" w:cs="宋体"/>
                <w:szCs w:val="21"/>
                <w:highlight w:val="none"/>
              </w:rPr>
              <w:t>公司2021年至2022年物资管理内控建设及执行情况开展审计，包括内控建设的合法合规合理性及执行的效率效果等情况，作出客观公正、实事求是的评价</w:t>
            </w:r>
            <w:r>
              <w:rPr>
                <w:rFonts w:hint="eastAsia" w:ascii="宋体" w:hAnsi="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项目内容及成果要求</w:t>
            </w:r>
          </w:p>
        </w:tc>
        <w:tc>
          <w:tcPr>
            <w:tcW w:w="7074" w:type="dxa"/>
          </w:tcPr>
          <w:p>
            <w:pPr>
              <w:numPr>
                <w:ilvl w:val="0"/>
                <w:numId w:val="1"/>
              </w:num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审计内容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按照《中华人民共和国民法典》《中华人民共和国招标投标法》《中华人民共和国招标投标法实施条例》《广西壮族自治区企业国有资产交易监督管理办法》及其他法律法规，以及南宁轨道交通集团有限责任公司、南宁轨道交通运营有限公司招标采购、物资管理等规章制度的规定，对南宁轨道交通运营有限公司2021年至2022年物资管理内控建设的合法合规合理性及执行的效率效果进行审查、监督及评价，重点关注包括但不限于以下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（一）关注南宁轨道交通运营有限公司物资采购、验收、领用、盘点、处置等全流程相关制度的建立健全情况，设计是否合理，与采购相关的内部控制是否等到有效执行；</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（二）关注采购环节相关岗位设置是否符合不相容岗位相互分离的原则。</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三）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（四）关注采购方式是否符合相关规定，采购方式选择的决策流程是否符合内部控制指引的规定；</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（五）关注评标或评审人员的选定、资质、专业、数量等是否符合相关规定；</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六）关注评标或评审程序的合法合规性，是否按法律法规、公司规章制度对投标人资格、投标文件等进行审查，是否存在围标、串标等损害南宁轨道交通运营有限公司利益等情形，评标或评审的过程和成果记录是否完整；</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（七）关注验收流程的合法合规性，验收人员组成是否符合不相容岗位互相分离原则，是否按合同约定的品牌、规格型号、数量、质量等要素验收，相关验收人员签字是否齐全，验收入库登记是否正确；</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（八）关注物资存放和移动是否符合相关规定，管理职责是否清晰、制衡，是否存在非物资管理、监督、仓储人员在未经授权情况下接触物资等情形；</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（九）关注物资领用手续是否完整，计量计价是否准确，账务处理是否正确，成本消耗是否存在异常；</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（十）关注物资盘点程序是否符合相关规定，盘点人员组成是否合规合理，组织实施是否有序，盘盈盘亏处置是否符合规定，盘点各环节的审核签字手续是否完备，是否按规定出具盘点报告等；</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（十一）关注损坏、废旧等物资的管理是否符合相关规定，对具有回收价值的物资或危旧物资，存放保管是否安全，处置是否合法合规合理；</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（十二）物资各归口管理部门、生产技术部、财务部的物资台账登记是否完整、连续，账账是否相符；</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（十三）是否存在长期积压、大量在途物资情形，并分析形成原因；</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（十四）其他涉及物资管理的合法合规合理情况；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（十五）集团公司关注的其他事项情况。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二、审计要求及成果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南宁轨道交通运营有限公司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76</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71,698.11</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shd w:val="clea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w:t>
            </w:r>
            <w:r>
              <w:rPr>
                <w:rFonts w:hint="eastAsia" w:ascii="宋体" w:hAnsi="宋体" w:cs="宋体"/>
                <w:szCs w:val="21"/>
                <w:highlight w:val="none"/>
                <w:lang w:val="en-US" w:eastAsia="zh-CN"/>
              </w:rPr>
              <w:t>；</w:t>
            </w:r>
            <w:r>
              <w:rPr>
                <w:rFonts w:hint="eastAsia" w:ascii="宋体" w:hAnsi="宋体" w:cs="宋体"/>
                <w:szCs w:val="21"/>
                <w:highlight w:val="none"/>
              </w:rPr>
              <w:t>没有处于被行政主管部门或业主取消比选申请资格的处罚期内，且没有处于被责令停业，财产被接管、破产状态；近三年无不良执业记录</w:t>
            </w:r>
            <w:r>
              <w:rPr>
                <w:rFonts w:hint="eastAsia" w:ascii="宋体" w:hAnsi="宋体" w:cs="宋体"/>
                <w:szCs w:val="21"/>
                <w:highlight w:val="none"/>
                <w:lang w:val="en-US" w:eastAsia="zh-CN"/>
              </w:rPr>
              <w:t>；</w:t>
            </w:r>
            <w:r>
              <w:rPr>
                <w:rFonts w:hint="eastAsia" w:ascii="宋体" w:hAnsi="宋体" w:cs="宋体"/>
                <w:szCs w:val="21"/>
                <w:highlight w:val="none"/>
              </w:rPr>
              <w:t>比选申请截止时间前3年内没有骗取中选、严重违约或重大质量安全责任事故的情况。若以分支机构参与投标，必须出具总部授权参与证明。</w:t>
            </w:r>
          </w:p>
          <w:p>
            <w:pPr>
              <w:shd w:val="clea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05</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05</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邓</w:t>
            </w:r>
            <w:r>
              <w:rPr>
                <w:rFonts w:hint="eastAsia" w:ascii="宋体" w:hAnsi="宋体"/>
                <w:szCs w:val="21"/>
                <w:highlight w:val="none"/>
              </w:rPr>
              <w:t>工</w:t>
            </w:r>
            <w:r>
              <w:rPr>
                <w:rFonts w:ascii="宋体" w:hAnsi="宋体"/>
                <w:szCs w:val="21"/>
                <w:highlight w:val="none"/>
              </w:rPr>
              <w:t xml:space="preserve">  </w:t>
            </w:r>
            <w:r>
              <w:rPr>
                <w:rFonts w:hint="eastAsia" w:ascii="宋体" w:hAnsi="宋体"/>
                <w:szCs w:val="21"/>
                <w:highlight w:val="none"/>
                <w:lang w:val="en-US" w:eastAsia="zh-CN"/>
              </w:rPr>
              <w:t>2332828/2778323</w:t>
            </w:r>
          </w:p>
          <w:p>
            <w:pPr>
              <w:ind w:right="-82"/>
              <w:jc w:val="left"/>
              <w:rPr>
                <w:rFonts w:ascii="宋体" w:cs="宋体"/>
                <w:szCs w:val="21"/>
                <w:highlight w:val="none"/>
              </w:rPr>
            </w:pPr>
            <w:r>
              <w:rPr>
                <w:rFonts w:hint="eastAsia" w:ascii="宋体" w:hAnsi="宋体"/>
                <w:szCs w:val="21"/>
                <w:highlight w:val="none"/>
              </w:rPr>
              <w:t>邮箱：nngdsjb902@163.com</w:t>
            </w:r>
            <w:bookmarkStart w:id="610" w:name="_GoBack"/>
            <w:bookmarkEnd w:id="6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18983"/>
      <w:bookmarkStart w:id="65" w:name="_Toc26201"/>
      <w:bookmarkStart w:id="66" w:name="_Toc12419"/>
      <w:bookmarkStart w:id="67" w:name="_Toc20803"/>
      <w:bookmarkStart w:id="68" w:name="_Toc30162"/>
      <w:bookmarkStart w:id="69" w:name="_Toc3861"/>
      <w:bookmarkStart w:id="70" w:name="_Toc6681"/>
      <w:bookmarkStart w:id="71" w:name="_Toc32363"/>
      <w:bookmarkStart w:id="72" w:name="_Toc16198"/>
      <w:bookmarkStart w:id="73" w:name="_Toc28086"/>
      <w:bookmarkStart w:id="74" w:name="_Toc471482361"/>
      <w:bookmarkStart w:id="75" w:name="_Toc461525297"/>
      <w:bookmarkStart w:id="76" w:name="_Toc336"/>
      <w:bookmarkStart w:id="77" w:name="_Toc12506"/>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7188"/>
      <w:bookmarkStart w:id="79" w:name="_Toc28512"/>
      <w:bookmarkStart w:id="80" w:name="_Toc5182"/>
      <w:bookmarkStart w:id="81" w:name="_Toc3416"/>
      <w:bookmarkStart w:id="82" w:name="_Toc6713"/>
      <w:bookmarkStart w:id="83" w:name="_Toc31396"/>
      <w:bookmarkStart w:id="84" w:name="_Toc18262"/>
      <w:bookmarkStart w:id="85" w:name="_Toc17477"/>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86" w:name="_Toc114052414"/>
      <w:bookmarkStart w:id="87" w:name="_Toc114052340"/>
      <w:bookmarkStart w:id="88" w:name="_Toc286386834"/>
      <w:bookmarkStart w:id="89" w:name="_Toc310318572"/>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2021</w:t>
      </w:r>
      <w:r>
        <w:rPr>
          <w:rFonts w:hint="eastAsia" w:ascii="宋体" w:hAnsi="宋体" w:cs="宋体"/>
          <w:szCs w:val="21"/>
          <w:highlight w:val="none"/>
          <w:lang w:val="en-US" w:eastAsia="zh-CN"/>
        </w:rPr>
        <w:t>年至</w:t>
      </w:r>
      <w:r>
        <w:rPr>
          <w:rFonts w:hint="eastAsia" w:ascii="宋体" w:hAnsi="宋体" w:cs="宋体"/>
          <w:szCs w:val="21"/>
          <w:highlight w:val="none"/>
        </w:rPr>
        <w:t>2022年物资管理内控建设的合法合规合理性及执行的效率效果进行审查、监督及评价，重点关注包括但不限于以下内容：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）关注</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物资采购、验收、领用、盘点、处置等全流程相关制度的建立健全情况，设计是否合理，与采购相关的内部控制是否等到有效执行；</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）关注采购环节相关岗位设置是否符合不相容岗位相互分离的原则。</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）关注采购方式是否符合相关规定，采购方式选择的决策流程是否符合内部控制指引的规定；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）关注评标或评审人员的选定、资质、专业、数量等是否符合相关规定；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）关注评标或评审程序的合法合规性，是否按法律法规、公司规章制度对投标人资格、投标文件等进行审查，是否存在围标、串标等损害</w:t>
      </w:r>
      <w:r>
        <w:rPr>
          <w:rFonts w:hint="eastAsia" w:ascii="宋体" w:hAnsi="宋体" w:cs="宋体"/>
          <w:szCs w:val="21"/>
          <w:highlight w:val="none"/>
          <w:lang w:eastAsia="zh-CN"/>
        </w:rPr>
        <w:t>南宁轨道交通运营有限公司</w:t>
      </w:r>
      <w:r>
        <w:rPr>
          <w:rFonts w:hint="eastAsia" w:ascii="宋体" w:hAnsi="宋体" w:cs="宋体"/>
          <w:szCs w:val="21"/>
          <w:highlight w:val="none"/>
        </w:rPr>
        <w:t>利益等情形，评标或评审的过程和成果记录是否完整；</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）关注验收流程的合法合规性，验收人员组成是否符合不相容岗位互相分离原则，是否按合同约定的品牌、规格型号、数量、质量等要素验收，相关验收人员签字是否齐全，验收入库登记是否正确；</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）关注物资存放和移动是否符合相关规定，管理职责是否清晰、制衡，是否存在非物资管理、监督、仓储人员在未经授权情况下接触物资等情形；</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）关注物资领用手续是否完整，计量计价是否准确，账务处理是否正确，成本消耗是否存在异常；</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）关注物资盘点程序是否符合相关规定，盘点人员组成是否合规合理，组织实施是否有序，盘盈盘亏处置是否符合规定，盘点各环节的审核签字手续是否完备，是否按规定出具盘点报告等；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）关注损坏、废旧等物资的管理是否符合相关规定，对具有回收价值的物资或危旧物资，存放保管是否安全，处置是否合法合规合理；</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12</w:t>
      </w:r>
      <w:r>
        <w:rPr>
          <w:rFonts w:hint="eastAsia" w:ascii="宋体" w:hAnsi="宋体" w:cs="宋体"/>
          <w:szCs w:val="21"/>
          <w:highlight w:val="none"/>
        </w:rPr>
        <w:t>）物资各归口管理部门、生产技术部、财务部的物资台账登记是否完整、连续，账账是否相符；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13</w:t>
      </w:r>
      <w:r>
        <w:rPr>
          <w:rFonts w:hint="eastAsia" w:ascii="宋体" w:hAnsi="宋体" w:cs="宋体"/>
          <w:szCs w:val="21"/>
          <w:highlight w:val="none"/>
        </w:rPr>
        <w:t>）是否存在长期积压、大量在途物资情形，并分析形成原因；</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14</w:t>
      </w:r>
      <w:r>
        <w:rPr>
          <w:rFonts w:hint="eastAsia" w:ascii="宋体" w:hAnsi="宋体" w:cs="宋体"/>
          <w:szCs w:val="21"/>
          <w:highlight w:val="none"/>
        </w:rPr>
        <w:t>）其他涉及物资管理的合法合规合理情况；</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15</w:t>
      </w:r>
      <w:r>
        <w:rPr>
          <w:rFonts w:hint="eastAsia" w:ascii="宋体" w:hAnsi="宋体" w:cs="宋体"/>
          <w:szCs w:val="21"/>
          <w:highlight w:val="none"/>
        </w:rPr>
        <w:t>）集团公司关注的其他事项情况。</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南宁轨道交通运营有限公司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4.</w:t>
      </w:r>
      <w:bookmarkStart w:id="90" w:name="_Toc114052416"/>
      <w:bookmarkStart w:id="91" w:name="_Toc286386836"/>
      <w:bookmarkStart w:id="92" w:name="_Toc114052342"/>
      <w:bookmarkStart w:id="93" w:name="_Toc310318574"/>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5.</w:t>
      </w:r>
      <w:bookmarkStart w:id="94" w:name="_Toc286386837"/>
      <w:bookmarkStart w:id="95" w:name="_Toc114052417"/>
      <w:bookmarkStart w:id="96" w:name="_Toc310318575"/>
      <w:bookmarkStart w:id="97" w:name="_Toc114052343"/>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4989"/>
      <w:bookmarkStart w:id="99" w:name="_Toc14739"/>
      <w:bookmarkStart w:id="100" w:name="_Toc5628"/>
      <w:bookmarkStart w:id="101" w:name="_Toc11648"/>
      <w:bookmarkStart w:id="102" w:name="_Toc2963"/>
      <w:bookmarkStart w:id="103" w:name="_Toc4734"/>
      <w:bookmarkStart w:id="104" w:name="_Toc20218"/>
      <w:r>
        <w:rPr>
          <w:rFonts w:hint="eastAsia" w:ascii="宋体" w:hAnsi="宋体"/>
          <w:b/>
          <w:sz w:val="21"/>
          <w:szCs w:val="21"/>
          <w:highlight w:val="none"/>
        </w:rPr>
        <w:t>二</w:t>
      </w:r>
      <w:bookmarkStart w:id="105" w:name="_Toc22143"/>
      <w:bookmarkStart w:id="106" w:name="_Toc15439"/>
      <w:bookmarkStart w:id="107" w:name="_Toc3066"/>
      <w:bookmarkStart w:id="108" w:name="_Toc18809"/>
      <w:bookmarkStart w:id="109" w:name="_Toc16023"/>
      <w:bookmarkStart w:id="110" w:name="_Toc17323"/>
      <w:bookmarkStart w:id="111" w:name="_Toc8029"/>
      <w:bookmarkStart w:id="112" w:name="_Toc25256"/>
      <w:bookmarkStart w:id="113" w:name="_Toc461525298"/>
      <w:bookmarkStart w:id="114" w:name="_Toc26124"/>
      <w:bookmarkStart w:id="115" w:name="_Toc26141"/>
      <w:bookmarkStart w:id="116" w:name="_Toc471482362"/>
      <w:bookmarkStart w:id="117" w:name="_Toc5207"/>
      <w:bookmarkStart w:id="118" w:name="_Toc6541"/>
      <w:bookmarkStart w:id="119" w:name="_Toc17725"/>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6.</w:t>
      </w:r>
      <w:bookmarkStart w:id="120" w:name="_Toc310318577"/>
      <w:bookmarkStart w:id="121" w:name="_Toc114052419"/>
      <w:bookmarkStart w:id="122" w:name="_Toc114052345"/>
      <w:bookmarkStart w:id="123" w:name="_Toc286386839"/>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6.1 </w:t>
      </w:r>
      <w:r>
        <w:rPr>
          <w:rFonts w:hint="eastAsia" w:ascii="宋体" w:hAnsi="宋体" w:cs="宋体"/>
          <w:szCs w:val="21"/>
          <w:highlight w:val="none"/>
        </w:rPr>
        <w:t>比选文件包括比选须知前附表、比选须知、合同条款（格式）、比选申请文件格式、评比办法。</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7.</w:t>
      </w:r>
      <w:bookmarkStart w:id="124" w:name="_Toc114052346"/>
      <w:bookmarkStart w:id="125" w:name="_Toc286386840"/>
      <w:bookmarkStart w:id="126" w:name="_Toc114052420"/>
      <w:bookmarkStart w:id="127" w:name="_Toc310318578"/>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8.</w:t>
      </w:r>
      <w:bookmarkStart w:id="128" w:name="_Toc114052347"/>
      <w:bookmarkStart w:id="129" w:name="_Toc114052421"/>
      <w:bookmarkStart w:id="130" w:name="_Toc286386841"/>
      <w:bookmarkStart w:id="131" w:name="_Toc310318579"/>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24574"/>
      <w:bookmarkStart w:id="133" w:name="_Toc18772"/>
      <w:bookmarkStart w:id="134" w:name="_Toc29216"/>
      <w:bookmarkStart w:id="135" w:name="_Toc10523"/>
      <w:bookmarkStart w:id="136" w:name="_Toc17382"/>
      <w:bookmarkStart w:id="137" w:name="_Toc23609"/>
      <w:bookmarkStart w:id="138" w:name="_Toc9684"/>
      <w:bookmarkStart w:id="139" w:name="_Toc25820"/>
      <w:bookmarkStart w:id="140" w:name="_Toc27671"/>
      <w:bookmarkStart w:id="141" w:name="_Toc30617"/>
      <w:bookmarkStart w:id="142" w:name="_Toc8400"/>
      <w:bookmarkStart w:id="143" w:name="_Toc471482363"/>
      <w:bookmarkStart w:id="144" w:name="_Toc31749"/>
      <w:bookmarkStart w:id="145" w:name="_Toc6395"/>
      <w:bookmarkStart w:id="146" w:name="_Toc9453"/>
      <w:bookmarkStart w:id="147" w:name="_Toc26897"/>
      <w:bookmarkStart w:id="148" w:name="_Toc32337"/>
      <w:bookmarkStart w:id="149" w:name="_Toc24005"/>
      <w:bookmarkStart w:id="150" w:name="_Toc22084"/>
      <w:bookmarkStart w:id="151" w:name="_Toc19209"/>
      <w:bookmarkStart w:id="152" w:name="_Toc9199"/>
      <w:bookmarkStart w:id="153" w:name="_Toc46152529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9.</w:t>
      </w:r>
      <w:bookmarkStart w:id="154" w:name="_Toc286386843"/>
      <w:bookmarkStart w:id="155" w:name="_Toc114052349"/>
      <w:bookmarkStart w:id="156" w:name="_Toc11405242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2346"/>
      <w:bookmarkStart w:id="159" w:name="_Toc7287"/>
      <w:bookmarkStart w:id="160" w:name="_Toc18607"/>
      <w:bookmarkStart w:id="161" w:name="_Toc471482364"/>
      <w:bookmarkStart w:id="162" w:name="_Toc26723"/>
      <w:bookmarkStart w:id="163" w:name="_Toc461525300"/>
      <w:bookmarkStart w:id="164" w:name="_Toc17259"/>
      <w:bookmarkStart w:id="165" w:name="_Toc25487"/>
      <w:bookmarkStart w:id="166" w:name="_Toc11943"/>
      <w:bookmarkStart w:id="167" w:name="_Toc23455"/>
      <w:bookmarkStart w:id="168" w:name="_Toc32390"/>
      <w:bookmarkStart w:id="169" w:name="_Toc25856"/>
      <w:bookmarkStart w:id="170" w:name="_Toc17722"/>
      <w:bookmarkStart w:id="171" w:name="_Toc8092"/>
      <w:bookmarkStart w:id="172" w:name="_Toc9795"/>
      <w:bookmarkStart w:id="173" w:name="_Toc5583"/>
      <w:bookmarkStart w:id="174" w:name="_Toc23191"/>
      <w:bookmarkStart w:id="175" w:name="_Toc24807"/>
      <w:bookmarkStart w:id="176" w:name="_Toc31461"/>
      <w:bookmarkStart w:id="177" w:name="_Toc16264"/>
      <w:bookmarkStart w:id="178" w:name="_Toc17188"/>
      <w:bookmarkStart w:id="179" w:name="_Toc23781"/>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10.</w:t>
      </w:r>
      <w:bookmarkStart w:id="180" w:name="_Toc286386845"/>
      <w:bookmarkStart w:id="181" w:name="_Toc310318583"/>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182" w:name="_Toc286386846"/>
      <w:bookmarkStart w:id="183" w:name="_Toc114052426"/>
      <w:bookmarkStart w:id="184" w:name="_Toc310318584"/>
      <w:bookmarkStart w:id="185" w:name="_Toc114052352"/>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11.2 </w:t>
      </w:r>
      <w:r>
        <w:rPr>
          <w:rFonts w:hint="eastAsia" w:ascii="宋体" w:hAnsi="宋体" w:cs="宋体"/>
          <w:szCs w:val="21"/>
          <w:highlight w:val="none"/>
        </w:rPr>
        <w:t>资格审查部分主要包括下列内容：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rPr>
        <w:t>诚信声明（原件）</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2）</w:t>
      </w:r>
      <w:r>
        <w:rPr>
          <w:rFonts w:hint="eastAsia" w:ascii="宋体" w:hAnsi="宋体" w:cs="宋体"/>
          <w:szCs w:val="21"/>
          <w:highlight w:val="none"/>
        </w:rPr>
        <w:t>会计师事务所执业证书</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eastAsia="宋体"/>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rPr>
        <w:t>没有处于被行政主管部门或业主取消比选申请资格的处罚期内，且没有处于被责令停业，财产被接管、破产状态</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highlight w:val="none"/>
          <w:lang w:val="en-US" w:eastAsia="zh-CN"/>
        </w:rPr>
        <w:t>上级主管部门出具的近三年无不良执业记录证明</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hint="eastAsia"/>
          <w:lang w:val="en-US" w:eastAsia="zh-CN"/>
        </w:rPr>
      </w:pPr>
      <w:r>
        <w:rPr>
          <w:rFonts w:hint="eastAsia"/>
          <w:lang w:val="en-US" w:eastAsia="zh-CN"/>
        </w:rPr>
        <w:t>（5）比选申请截止时间前3年内没有骗取中选、严重违约或重大质量安全责任事故的情况</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）法定代表人资格证明书（原件）</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w:t>
      </w:r>
      <w:r>
        <w:rPr>
          <w:rFonts w:hint="eastAsia" w:ascii="宋体" w:hAnsi="宋体" w:cs="宋体"/>
          <w:szCs w:val="21"/>
          <w:highlight w:val="none"/>
          <w:lang w:eastAsia="zh-CN"/>
        </w:rPr>
        <w:t>（</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）比选申请文件签署授权委托书（原件）</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）授权代表人身份证（复印件加盖单位公章）</w:t>
      </w:r>
      <w:r>
        <w:rPr>
          <w:rFonts w:hint="eastAsia" w:ascii="宋体" w:hAnsi="宋体" w:cs="宋体"/>
          <w:szCs w:val="21"/>
          <w:highlight w:val="none"/>
          <w:lang w:val="en-US" w:eastAsia="zh-CN"/>
        </w:rPr>
        <w:t>；</w:t>
      </w:r>
    </w:p>
    <w:p>
      <w:pPr>
        <w:spacing w:line="500" w:lineRule="exact"/>
        <w:ind w:firstLine="420" w:firstLineChars="200"/>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w:t>
      </w:r>
      <w:r>
        <w:rPr>
          <w:rFonts w:hint="eastAsia" w:ascii="宋体" w:hAnsi="宋体" w:eastAsia="宋体" w:cs="宋体"/>
          <w:kern w:val="2"/>
          <w:sz w:val="21"/>
          <w:szCs w:val="21"/>
          <w:highlight w:val="none"/>
          <w:lang w:val="en-US" w:eastAsia="zh-CN" w:bidi="ar-SA"/>
        </w:rPr>
        <w:t>其他</w:t>
      </w:r>
      <w:r>
        <w:rPr>
          <w:rFonts w:hint="eastAsia" w:ascii="宋体" w:hAnsi="宋体" w:cs="宋体"/>
          <w:kern w:val="2"/>
          <w:sz w:val="21"/>
          <w:szCs w:val="21"/>
          <w:highlight w:val="none"/>
          <w:lang w:val="en-US" w:eastAsia="zh-CN" w:bidi="ar-SA"/>
        </w:rPr>
        <w:t>。</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hint="eastAsia" w:ascii="宋体" w:hAnsi="宋体" w:cs="宋体"/>
          <w:szCs w:val="21"/>
          <w:highlight w:val="none"/>
          <w:lang w:val="en-US" w:eastAsia="zh-CN"/>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r>
        <w:rPr>
          <w:rFonts w:hint="eastAsia" w:ascii="宋体" w:hAnsi="宋体" w:cs="宋体"/>
          <w:szCs w:val="21"/>
          <w:highlight w:val="none"/>
          <w:lang w:val="en-US" w:eastAsia="zh-CN"/>
        </w:rPr>
        <w:t>；</w:t>
      </w:r>
    </w:p>
    <w:p>
      <w:pPr>
        <w:spacing w:line="500" w:lineRule="exact"/>
        <w:ind w:firstLine="420" w:firstLineChars="200"/>
        <w:rPr>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val="en-US" w:eastAsia="zh-CN"/>
        </w:rPr>
        <w:t>拟投入人员中正式员工劳动合同</w:t>
      </w:r>
      <w:r>
        <w:rPr>
          <w:rFonts w:hint="default" w:ascii="宋体" w:hAnsi="宋体" w:cs="宋体"/>
          <w:szCs w:val="21"/>
          <w:highlight w:val="none"/>
          <w:lang w:val="en-US" w:eastAsia="zh-CN"/>
        </w:rPr>
        <w:t>及</w:t>
      </w:r>
      <w:r>
        <w:rPr>
          <w:rFonts w:hint="eastAsia" w:ascii="宋体" w:hAnsi="宋体" w:cs="宋体"/>
          <w:szCs w:val="21"/>
          <w:highlight w:val="none"/>
          <w:lang w:val="en-US" w:eastAsia="zh-CN"/>
        </w:rPr>
        <w:t>近3个月社保缴付证明（复印件加盖单位公章）；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）服务方案（由比选申请人自行编写）</w:t>
      </w:r>
      <w:r>
        <w:rPr>
          <w:rFonts w:hint="eastAsia" w:ascii="宋体" w:hAnsi="宋体" w:cs="宋体"/>
          <w:szCs w:val="21"/>
          <w:highlight w:val="none"/>
          <w:lang w:val="en-US" w:eastAsia="zh-CN"/>
        </w:rPr>
        <w:t>；</w:t>
      </w:r>
    </w:p>
    <w:p>
      <w:pPr>
        <w:spacing w:line="500" w:lineRule="exact"/>
        <w:ind w:firstLine="420" w:firstLineChars="200"/>
        <w:rPr>
          <w:rFonts w:hint="eastAsia" w:ascii="宋体" w:eastAsia="宋体" w:cs="宋体"/>
          <w:szCs w:val="21"/>
          <w:highlight w:val="none"/>
          <w:lang w:eastAsia="zh-CN"/>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）其他</w:t>
      </w:r>
      <w:r>
        <w:rPr>
          <w:rFonts w:hint="eastAsia" w:ascii="宋体" w:hAnsi="宋体" w:cs="宋体"/>
          <w:szCs w:val="21"/>
          <w:highlight w:val="none"/>
          <w:lang w:eastAsia="zh-CN"/>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11.4 </w:t>
      </w:r>
      <w:r>
        <w:rPr>
          <w:rFonts w:hint="eastAsia" w:ascii="宋体" w:hAnsi="宋体" w:cs="宋体"/>
          <w:szCs w:val="21"/>
          <w:highlight w:val="none"/>
        </w:rPr>
        <w:t>商务部分主要包括下列内容：</w:t>
      </w:r>
    </w:p>
    <w:p>
      <w:pPr>
        <w:spacing w:line="500" w:lineRule="exact"/>
        <w:ind w:firstLine="420" w:firstLineChars="200"/>
        <w:rPr>
          <w:rFonts w:hint="eastAsia" w:ascii="宋体" w:eastAsia="宋体" w:cs="宋体"/>
          <w:szCs w:val="21"/>
          <w:highlight w:val="none"/>
          <w:lang w:eastAsia="zh-CN"/>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r>
        <w:rPr>
          <w:rFonts w:hint="eastAsia" w:ascii="宋体" w:hAnsi="宋体" w:cs="宋体"/>
          <w:szCs w:val="21"/>
          <w:highlight w:val="none"/>
          <w:lang w:eastAsia="zh-CN"/>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11.5 </w:t>
      </w:r>
      <w:r>
        <w:rPr>
          <w:rFonts w:hint="eastAsia" w:ascii="宋体" w:hAnsi="宋体" w:cs="宋体"/>
          <w:szCs w:val="21"/>
          <w:highlight w:val="none"/>
        </w:rPr>
        <w:t>比选申请人需按照比选人提供的比选申请文件格式和顺序另行编制比选申请文件，但表格可以按同样格式扩展。</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12.</w:t>
      </w:r>
      <w:bookmarkStart w:id="187" w:name="_Toc114052363"/>
      <w:bookmarkStart w:id="188" w:name="_Toc310318585"/>
      <w:bookmarkStart w:id="189" w:name="_Toc286386847"/>
      <w:bookmarkStart w:id="190" w:name="_Toc11405242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14.</w:t>
      </w:r>
      <w:bookmarkStart w:id="191" w:name="_Toc286386849"/>
      <w:bookmarkStart w:id="192" w:name="_Toc114052365"/>
      <w:bookmarkStart w:id="193" w:name="_Toc310318587"/>
      <w:bookmarkStart w:id="194" w:name="_Toc114052429"/>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15.</w:t>
      </w:r>
      <w:bookmarkStart w:id="195" w:name="_Toc114052366"/>
      <w:bookmarkStart w:id="196" w:name="_Toc286386850"/>
      <w:bookmarkStart w:id="197" w:name="_Toc310318588"/>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19276"/>
      <w:bookmarkStart w:id="200" w:name="_Toc461525301"/>
      <w:bookmarkStart w:id="201" w:name="_Toc15955"/>
      <w:bookmarkStart w:id="202" w:name="_Toc31804"/>
      <w:bookmarkStart w:id="203" w:name="_Toc23604"/>
      <w:bookmarkStart w:id="204" w:name="_Toc28307"/>
      <w:bookmarkStart w:id="205" w:name="_Toc2153"/>
      <w:bookmarkStart w:id="206" w:name="_Toc27875"/>
      <w:bookmarkStart w:id="207" w:name="_Toc4540"/>
      <w:bookmarkStart w:id="208" w:name="_Toc32046"/>
      <w:bookmarkStart w:id="209" w:name="_Toc15430"/>
      <w:bookmarkStart w:id="210" w:name="_Toc8725"/>
      <w:bookmarkStart w:id="211" w:name="_Toc14726"/>
      <w:bookmarkStart w:id="212" w:name="_Toc5900"/>
      <w:bookmarkStart w:id="213" w:name="_Toc17030"/>
      <w:bookmarkStart w:id="214" w:name="_Toc28652"/>
      <w:bookmarkStart w:id="215" w:name="_Toc7811"/>
      <w:bookmarkStart w:id="216" w:name="_Toc11391"/>
      <w:bookmarkStart w:id="217" w:name="_Toc471482365"/>
      <w:bookmarkStart w:id="218" w:name="_Toc25460"/>
      <w:bookmarkStart w:id="219" w:name="_Toc16937"/>
      <w:bookmarkStart w:id="220" w:name="_Toc23101"/>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31139"/>
      <w:bookmarkStart w:id="222" w:name="_Toc32687"/>
      <w:bookmarkStart w:id="223" w:name="_Toc29047"/>
      <w:bookmarkStart w:id="224" w:name="_Toc6376"/>
      <w:bookmarkStart w:id="225" w:name="_Toc20356"/>
      <w:bookmarkStart w:id="226" w:name="_Toc1057"/>
      <w:bookmarkStart w:id="227" w:name="_Toc22118"/>
      <w:bookmarkStart w:id="228" w:name="_Toc31034"/>
      <w:bookmarkStart w:id="229" w:name="_Toc471482366"/>
      <w:bookmarkStart w:id="230" w:name="_Toc17217"/>
      <w:bookmarkStart w:id="231" w:name="_Toc461525302"/>
      <w:bookmarkStart w:id="232" w:name="_Toc30232"/>
      <w:bookmarkStart w:id="233" w:name="_Toc20601"/>
      <w:bookmarkStart w:id="234" w:name="_Toc27095"/>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19136"/>
      <w:bookmarkStart w:id="236" w:name="_Toc31410"/>
      <w:bookmarkStart w:id="237" w:name="_Toc24817"/>
      <w:bookmarkStart w:id="238" w:name="_Toc13760"/>
      <w:bookmarkStart w:id="239" w:name="_Toc26025"/>
      <w:bookmarkStart w:id="240" w:name="_Toc16157"/>
      <w:bookmarkStart w:id="241" w:name="_Toc26873"/>
      <w:bookmarkStart w:id="242" w:name="_Toc5184"/>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eastAsia="宋体" w:cs="宋体"/>
          <w:strike/>
          <w:dstrike w:val="0"/>
          <w:szCs w:val="21"/>
          <w:highlight w:val="none"/>
          <w:lang w:val="en-US" w:eastAsia="zh-CN"/>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）比选申请人的法定代表人或授权委托代理人应签名报到，比选人验证法定代表人资格证明书、授权委托书及有效身份证明，确认文件是否密封，文件外包装签署是否正确</w:t>
      </w:r>
      <w:r>
        <w:rPr>
          <w:rFonts w:hint="eastAsia" w:ascii="宋体" w:hAnsi="宋体" w:cs="宋体"/>
          <w:szCs w:val="21"/>
          <w:highlight w:val="none"/>
          <w:lang w:val="en-US" w:eastAsia="zh-CN"/>
        </w:rPr>
        <w:t>后</w:t>
      </w:r>
      <w:r>
        <w:rPr>
          <w:rFonts w:hint="eastAsia" w:ascii="宋体" w:hAnsi="宋体" w:cs="宋体"/>
          <w:szCs w:val="21"/>
          <w:highlight w:val="none"/>
          <w:lang w:eastAsia="zh-CN"/>
        </w:rPr>
        <w:t>，</w:t>
      </w:r>
      <w:r>
        <w:rPr>
          <w:rFonts w:hint="eastAsia" w:ascii="宋体" w:hAnsi="宋体" w:cs="宋体"/>
          <w:szCs w:val="21"/>
          <w:highlight w:val="none"/>
        </w:rPr>
        <w:t>比选申请人退场</w:t>
      </w:r>
      <w:r>
        <w:rPr>
          <w:rFonts w:hint="eastAsia" w:ascii="宋体" w:hAnsi="宋体" w:cs="宋体"/>
          <w:szCs w:val="21"/>
          <w:highlight w:val="none"/>
          <w:lang w:val="en-US" w:eastAsia="zh-CN"/>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）评审结束。</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hint="eastAsia" w:ascii="宋体" w:hAnsi="宋体" w:cs="宋体"/>
          <w:szCs w:val="21"/>
          <w:highlight w:val="none"/>
          <w:u w:val="single"/>
          <w:lang w:val="en-US" w:eastAsia="zh-CN"/>
        </w:rPr>
        <w:t>76</w:t>
      </w:r>
      <w:r>
        <w:rPr>
          <w:rFonts w:ascii="宋体" w:hAnsi="宋体" w:cs="宋体"/>
          <w:szCs w:val="21"/>
          <w:highlight w:val="none"/>
          <w:u w:val="single"/>
        </w:rPr>
        <w:t>,</w:t>
      </w:r>
      <w:r>
        <w:rPr>
          <w:rFonts w:hint="eastAsia" w:ascii="宋体" w:hAnsi="宋体" w:cs="宋体"/>
          <w:szCs w:val="21"/>
          <w:highlight w:val="none"/>
          <w:u w:val="single"/>
          <w:lang w:val="en-US" w:eastAsia="zh-CN"/>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71,698.11</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48" w:name="_Toc114052439"/>
      <w:bookmarkStart w:id="249" w:name="_Toc286386859"/>
      <w:bookmarkStart w:id="250" w:name="_Toc535961533"/>
      <w:bookmarkStart w:id="251" w:name="_Toc436771487"/>
      <w:bookmarkStart w:id="252" w:name="_Toc114052375"/>
      <w:bookmarkStart w:id="253" w:name="_Toc392862500"/>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eastAsia="宋体"/>
          <w:szCs w:val="21"/>
          <w:highlight w:val="none"/>
          <w:lang w:val="en-US" w:eastAsia="zh-CN"/>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r>
        <w:rPr>
          <w:rFonts w:hint="eastAsia" w:ascii="宋体" w:hAnsi="宋体"/>
          <w:b/>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bookmarkStart w:id="255" w:name="_Toc114052377"/>
      <w:bookmarkStart w:id="256" w:name="_Toc310318599"/>
      <w:bookmarkStart w:id="257" w:name="_Toc114052441"/>
      <w:bookmarkStart w:id="258" w:name="_Toc286386861"/>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19549"/>
      <w:bookmarkStart w:id="260" w:name="_Toc24212"/>
      <w:bookmarkStart w:id="261" w:name="_Toc5074"/>
      <w:bookmarkStart w:id="262" w:name="_Toc8363"/>
      <w:bookmarkStart w:id="263" w:name="_Toc461525303"/>
      <w:bookmarkStart w:id="264" w:name="_Toc16746"/>
      <w:bookmarkStart w:id="265" w:name="_Toc30023"/>
      <w:bookmarkStart w:id="266" w:name="_Toc7357"/>
      <w:bookmarkStart w:id="267" w:name="_Toc4410"/>
      <w:bookmarkStart w:id="268" w:name="_Toc20403"/>
      <w:bookmarkStart w:id="269" w:name="_Toc471482367"/>
      <w:bookmarkStart w:id="270" w:name="_Toc15810"/>
      <w:bookmarkStart w:id="271" w:name="_Toc6141"/>
      <w:bookmarkStart w:id="272" w:name="_Toc4943"/>
      <w:bookmarkStart w:id="273" w:name="_Toc17996"/>
      <w:bookmarkStart w:id="274" w:name="_Toc529"/>
      <w:bookmarkStart w:id="275" w:name="_Toc24316"/>
      <w:bookmarkStart w:id="276" w:name="_Toc28390"/>
      <w:bookmarkStart w:id="277" w:name="_Toc12149"/>
      <w:bookmarkStart w:id="278" w:name="_Toc12010"/>
      <w:bookmarkStart w:id="279" w:name="_Toc16935"/>
      <w:bookmarkStart w:id="280" w:name="_Toc13919"/>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2"/>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23613"/>
      <w:bookmarkStart w:id="282" w:name="_Toc30996"/>
      <w:bookmarkStart w:id="283" w:name="_Toc535961544"/>
      <w:bookmarkStart w:id="284" w:name="_Toc4447"/>
      <w:bookmarkStart w:id="285" w:name="_Toc7444"/>
      <w:bookmarkStart w:id="286" w:name="_Toc19761"/>
      <w:bookmarkStart w:id="287" w:name="_Toc11246"/>
      <w:bookmarkStart w:id="288" w:name="_Toc3339"/>
      <w:bookmarkStart w:id="289" w:name="_Toc21670"/>
      <w:bookmarkStart w:id="290" w:name="_Toc4769"/>
      <w:bookmarkStart w:id="291" w:name="_Toc461525304"/>
      <w:bookmarkStart w:id="292" w:name="_Toc5964"/>
      <w:bookmarkStart w:id="293" w:name="_Toc16062"/>
      <w:bookmarkStart w:id="294" w:name="_Toc1354"/>
      <w:bookmarkStart w:id="295" w:name="_Toc31070"/>
      <w:bookmarkStart w:id="296" w:name="_Toc2960"/>
      <w:bookmarkStart w:id="297" w:name="_Toc21358"/>
      <w:bookmarkStart w:id="298" w:name="_Toc12854"/>
      <w:bookmarkStart w:id="299" w:name="_Toc471482368"/>
      <w:bookmarkStart w:id="300" w:name="_Toc333307121"/>
      <w:bookmarkStart w:id="301" w:name="_Toc7234"/>
      <w:r>
        <w:rPr>
          <w:rFonts w:hint="eastAsia" w:ascii="宋体" w:hAnsi="宋体"/>
          <w:b/>
          <w:bCs/>
          <w:sz w:val="28"/>
          <w:szCs w:val="28"/>
          <w:highlight w:val="none"/>
        </w:rPr>
        <w:t>第二章</w:t>
      </w:r>
      <w:bookmarkStart w:id="302"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p>
    <w:bookmarkEnd w:id="302"/>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lang w:eastAsia="zh-CN"/>
        </w:rPr>
        <w:t>南宁轨道交通运营有限公司2021年至2022年物资管理内控建设及执行情况</w:t>
      </w:r>
      <w:r>
        <w:rPr>
          <w:rFonts w:hint="eastAsia" w:ascii="宋体" w:hAnsi="宋体"/>
          <w:b/>
          <w:sz w:val="44"/>
          <w:szCs w:val="44"/>
          <w:highlight w:val="none"/>
        </w:rPr>
        <w:t>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r>
              <w:rPr>
                <w:rFonts w:hint="eastAsia" w:ascii="宋体" w:hAnsi="宋体"/>
                <w:color w:val="000000"/>
                <w:sz w:val="28"/>
                <w:szCs w:val="30"/>
                <w:highlight w:val="none"/>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r>
              <w:rPr>
                <w:rFonts w:hint="eastAsia" w:ascii="宋体" w:hAnsi="宋体"/>
                <w:color w:val="000000"/>
                <w:sz w:val="28"/>
                <w:szCs w:val="30"/>
                <w:highlight w:val="none"/>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highlight w:val="none"/>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highlight w:val="none"/>
        </w:rPr>
      </w:pPr>
      <w:r>
        <w:rPr>
          <w:rFonts w:hint="eastAsia"/>
          <w:b/>
          <w:color w:val="000000"/>
          <w:sz w:val="72"/>
          <w:szCs w:val="52"/>
          <w:highlight w:val="none"/>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highlight w:val="none"/>
        </w:rPr>
      </w:pPr>
      <w:r>
        <w:rPr>
          <w:rFonts w:hint="eastAsia"/>
          <w:b/>
          <w:color w:val="000000"/>
          <w:sz w:val="72"/>
          <w:szCs w:val="52"/>
          <w:highlight w:val="none"/>
        </w:rPr>
        <w:t>同</w:t>
      </w:r>
    </w:p>
    <w:p>
      <w:pPr>
        <w:snapToGrid w:val="0"/>
        <w:spacing w:after="312" w:afterAutospacing="0" w:line="800" w:lineRule="exact"/>
        <w:ind w:left="2443" w:right="-28" w:hanging="2443" w:hangingChars="338"/>
        <w:jc w:val="center"/>
        <w:textAlignment w:val="baseline"/>
        <w:rPr>
          <w:b/>
          <w:color w:val="000000"/>
          <w:sz w:val="72"/>
          <w:szCs w:val="52"/>
          <w:highlight w:val="none"/>
        </w:rPr>
      </w:pPr>
      <w:r>
        <w:rPr>
          <w:rFonts w:hint="eastAsia"/>
          <w:b/>
          <w:color w:val="000000"/>
          <w:sz w:val="72"/>
          <w:szCs w:val="52"/>
          <w:highlight w:val="none"/>
        </w:rPr>
        <w:t>书</w:t>
      </w:r>
    </w:p>
    <w:p>
      <w:pPr>
        <w:spacing w:line="360" w:lineRule="auto"/>
        <w:jc w:val="center"/>
        <w:rPr>
          <w:rFonts w:ascii="宋体"/>
          <w:b/>
          <w:bCs/>
          <w:sz w:val="44"/>
          <w:highlight w:val="none"/>
        </w:rPr>
      </w:pPr>
      <w:r>
        <w:rPr>
          <w:rFonts w:hint="eastAsia" w:ascii="宋体" w:hAnsi="宋体"/>
          <w:b/>
          <w:color w:val="000000"/>
          <w:sz w:val="52"/>
          <w:highlight w:val="none"/>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highlight w:val="none"/>
        </w:rPr>
      </w:pPr>
    </w:p>
    <w:p>
      <w:pPr>
        <w:snapToGrid w:val="0"/>
        <w:spacing w:before="0" w:after="312" w:afterAutospacing="0" w:line="400" w:lineRule="exact"/>
        <w:textAlignment w:val="baseline"/>
        <w:rPr>
          <w:rFonts w:ascii="宋体" w:hAnsi="宋体"/>
          <w:b/>
          <w:color w:val="000000"/>
          <w:sz w:val="28"/>
          <w:szCs w:val="28"/>
          <w:highlight w:val="none"/>
        </w:rPr>
      </w:pPr>
      <w:r>
        <w:rPr>
          <w:rFonts w:hint="eastAsia" w:ascii="宋体" w:hAnsi="宋体"/>
          <w:b/>
          <w:color w:val="000000"/>
          <w:sz w:val="28"/>
          <w:szCs w:val="28"/>
          <w:highlight w:val="none"/>
        </w:rPr>
        <w:t>甲    方：</w:t>
      </w:r>
      <w:r>
        <w:rPr>
          <w:rFonts w:hint="eastAsia"/>
          <w:color w:val="000000"/>
          <w:sz w:val="28"/>
          <w:szCs w:val="28"/>
          <w:highlight w:val="none"/>
        </w:rPr>
        <w:t>南宁轨道交通集团有限责任公司</w:t>
      </w:r>
    </w:p>
    <w:p>
      <w:pPr>
        <w:snapToGrid w:val="0"/>
        <w:spacing w:before="0" w:after="312" w:afterAutospacing="0" w:line="400" w:lineRule="exact"/>
        <w:textAlignment w:val="baseline"/>
        <w:rPr>
          <w:color w:val="000000"/>
          <w:sz w:val="28"/>
          <w:szCs w:val="28"/>
          <w:highlight w:val="none"/>
        </w:rPr>
      </w:pPr>
      <w:r>
        <w:rPr>
          <w:rFonts w:hint="eastAsia" w:ascii="宋体" w:hAnsi="宋体"/>
          <w:b/>
          <w:color w:val="000000"/>
          <w:sz w:val="28"/>
          <w:szCs w:val="28"/>
          <w:highlight w:val="none"/>
        </w:rPr>
        <w:t>乙    方：</w:t>
      </w:r>
      <w:r>
        <w:rPr>
          <w:color w:val="000000"/>
          <w:sz w:val="28"/>
          <w:szCs w:val="28"/>
          <w:highlight w:val="none"/>
        </w:rPr>
        <w:t xml:space="preserve"> </w:t>
      </w:r>
    </w:p>
    <w:p>
      <w:pPr>
        <w:snapToGrid w:val="0"/>
        <w:spacing w:before="0" w:after="312" w:afterAutospacing="0" w:line="400" w:lineRule="exact"/>
        <w:textAlignment w:val="baseline"/>
        <w:rPr>
          <w:rFonts w:ascii="宋体" w:hAnsi="宋体"/>
          <w:b/>
          <w:color w:val="000000"/>
          <w:sz w:val="28"/>
          <w:szCs w:val="28"/>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color="000000"/>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color="000000"/>
        </w:rPr>
        <w:t xml:space="preserve">　 </w:t>
      </w:r>
      <w:r>
        <w:rPr>
          <w:rFonts w:hint="eastAsia" w:ascii="宋体" w:hAnsi="宋体"/>
          <w:color w:val="000000"/>
          <w:sz w:val="28"/>
          <w:szCs w:val="28"/>
          <w:highlight w:val="none"/>
          <w:u w:val="single" w:color="000000"/>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color="000000"/>
        </w:rPr>
        <w:t xml:space="preserve">　    </w:t>
      </w:r>
      <w:r>
        <w:rPr>
          <w:rFonts w:hint="eastAsia" w:ascii="宋体" w:hAnsi="宋体"/>
          <w:color w:val="000000"/>
          <w:sz w:val="28"/>
          <w:szCs w:val="28"/>
          <w:highlight w:val="none"/>
        </w:rPr>
        <w:t>日</w:t>
      </w:r>
    </w:p>
    <w:p>
      <w:pPr>
        <w:snapToGrid w:val="0"/>
        <w:spacing w:before="0" w:after="312" w:afterAutospacing="0" w:line="400" w:lineRule="exact"/>
        <w:ind w:right="-86"/>
        <w:textAlignment w:val="baseline"/>
        <w:rPr>
          <w:rFonts w:ascii="宋体" w:hAnsi="宋体"/>
          <w:b/>
          <w:bCs/>
          <w:sz w:val="28"/>
          <w:szCs w:val="28"/>
          <w:highlight w:val="none"/>
        </w:rPr>
      </w:pPr>
      <w:r>
        <w:rPr>
          <w:rFonts w:hint="eastAsia" w:ascii="宋体" w:hAnsi="宋体"/>
          <w:b/>
          <w:color w:val="000000"/>
          <w:sz w:val="28"/>
          <w:szCs w:val="28"/>
          <w:highlight w:val="none"/>
        </w:rPr>
        <w:t>签约</w:t>
      </w:r>
      <w:r>
        <w:rPr>
          <w:rFonts w:hint="eastAsia" w:ascii="宋体" w:hAnsi="宋体"/>
          <w:b/>
          <w:bCs/>
          <w:color w:val="000000"/>
          <w:sz w:val="28"/>
          <w:szCs w:val="28"/>
          <w:highlight w:val="none"/>
        </w:rPr>
        <w:t>地点：</w:t>
      </w:r>
      <w:r>
        <w:rPr>
          <w:rFonts w:ascii="宋体" w:hAnsi="宋体"/>
          <w:b/>
          <w:color w:val="000000"/>
          <w:sz w:val="28"/>
          <w:szCs w:val="28"/>
          <w:highlight w:val="none"/>
        </w:rPr>
        <w:t xml:space="preserve"> </w:t>
      </w:r>
      <w:r>
        <w:rPr>
          <w:rFonts w:hint="eastAsia" w:ascii="宋体" w:hAnsi="宋体"/>
          <w:color w:val="000000"/>
          <w:sz w:val="28"/>
          <w:szCs w:val="28"/>
          <w:highlight w:val="none"/>
        </w:rPr>
        <w:t>广西壮族自治区南宁市</w:t>
      </w:r>
      <w:bookmarkStart w:id="303" w:name="_Toc369787000"/>
      <w:bookmarkEnd w:id="303"/>
    </w:p>
    <w:bookmarkEnd w:id="289"/>
    <w:bookmarkEnd w:id="290"/>
    <w:bookmarkEnd w:id="291"/>
    <w:bookmarkEnd w:id="292"/>
    <w:bookmarkEnd w:id="293"/>
    <w:bookmarkEnd w:id="294"/>
    <w:bookmarkEnd w:id="295"/>
    <w:bookmarkEnd w:id="296"/>
    <w:bookmarkEnd w:id="297"/>
    <w:bookmarkEnd w:id="298"/>
    <w:bookmarkEnd w:id="29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w:t>
      </w:r>
      <w:r>
        <w:rPr>
          <w:rFonts w:hint="eastAsia" w:ascii="宋体" w:hAnsi="宋体"/>
          <w:b/>
          <w:sz w:val="36"/>
          <w:szCs w:val="36"/>
          <w:highlight w:val="none"/>
          <w:lang w:val="en-US" w:eastAsia="zh-CN"/>
        </w:rPr>
        <w:t>交通运营有限</w:t>
      </w:r>
      <w:r>
        <w:rPr>
          <w:rFonts w:hint="eastAsia" w:ascii="宋体" w:hAnsi="宋体"/>
          <w:b/>
          <w:sz w:val="36"/>
          <w:szCs w:val="36"/>
          <w:highlight w:val="none"/>
        </w:rPr>
        <w:t>公司2020年至2022年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采购及合同管理专项审计项目合同书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lang w:eastAsia="zh-CN"/>
        </w:rPr>
        <w:t>南宁轨道交通运营有限公司2021年至2022年物资管理内控建设及执行情况</w:t>
      </w:r>
      <w:r>
        <w:rPr>
          <w:rFonts w:hint="eastAsia" w:ascii="宋体" w:hAnsi="宋体"/>
          <w:sz w:val="28"/>
          <w:szCs w:val="28"/>
          <w:highlight w:val="none"/>
          <w:u w:val="single"/>
        </w:rPr>
        <w:t>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对</w:t>
      </w:r>
      <w:r>
        <w:rPr>
          <w:rFonts w:hint="eastAsia" w:ascii="宋体" w:hAnsi="宋体" w:cs="仿宋"/>
          <w:sz w:val="28"/>
          <w:szCs w:val="28"/>
          <w:highlight w:val="none"/>
          <w:lang w:val="en-US" w:eastAsia="zh-CN"/>
        </w:rPr>
        <w:t>南宁轨道交通</w:t>
      </w:r>
      <w:r>
        <w:rPr>
          <w:rFonts w:hint="eastAsia" w:ascii="宋体" w:hAnsi="宋体" w:cs="仿宋"/>
          <w:sz w:val="28"/>
          <w:szCs w:val="28"/>
          <w:highlight w:val="none"/>
        </w:rPr>
        <w:t>运营</w:t>
      </w:r>
      <w:r>
        <w:rPr>
          <w:rFonts w:hint="eastAsia" w:ascii="宋体" w:hAnsi="宋体" w:cs="仿宋"/>
          <w:sz w:val="28"/>
          <w:szCs w:val="28"/>
          <w:highlight w:val="none"/>
          <w:lang w:val="en-US" w:eastAsia="zh-CN"/>
        </w:rPr>
        <w:t>有限</w:t>
      </w:r>
      <w:r>
        <w:rPr>
          <w:rFonts w:hint="eastAsia" w:ascii="宋体" w:hAnsi="宋体" w:cs="仿宋"/>
          <w:sz w:val="28"/>
          <w:szCs w:val="28"/>
          <w:highlight w:val="none"/>
        </w:rPr>
        <w:t>公司2021</w:t>
      </w:r>
      <w:r>
        <w:rPr>
          <w:rFonts w:hint="eastAsia" w:ascii="宋体" w:hAnsi="宋体" w:cs="仿宋"/>
          <w:sz w:val="28"/>
          <w:szCs w:val="28"/>
          <w:highlight w:val="none"/>
          <w:lang w:val="en-US" w:eastAsia="zh-CN"/>
        </w:rPr>
        <w:t>年至</w:t>
      </w:r>
      <w:r>
        <w:rPr>
          <w:rFonts w:hint="eastAsia" w:ascii="宋体" w:hAnsi="宋体" w:cs="仿宋"/>
          <w:sz w:val="28"/>
          <w:szCs w:val="28"/>
          <w:highlight w:val="none"/>
        </w:rPr>
        <w:t>2022年物资管理内控建设的合法合规合理性及执行的效率效果进行审查、监督及评价，重点关注包括但不限于以下内容：</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w:t>
      </w:r>
      <w:r>
        <w:rPr>
          <w:rFonts w:hint="eastAsia" w:ascii="宋体" w:hAnsi="宋体" w:cs="仿宋"/>
          <w:sz w:val="28"/>
          <w:szCs w:val="28"/>
          <w:highlight w:val="none"/>
          <w:lang w:eastAsia="zh-CN"/>
        </w:rPr>
        <w:t>南宁轨道交通运营有限公司</w:t>
      </w:r>
      <w:r>
        <w:rPr>
          <w:rFonts w:hint="eastAsia" w:ascii="宋体" w:hAnsi="宋体" w:cs="仿宋"/>
          <w:sz w:val="28"/>
          <w:szCs w:val="28"/>
          <w:highlight w:val="none"/>
        </w:rPr>
        <w:t>物资采购、验收、领用、盘点、处置等全流程相关制度的建立健全情况，设计是否合理，与采购相关的内部控制是否等到有效执行；</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关注采购环节相关岗位设置是否符合不相容岗位相互分离的原则。</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关注采购方式是否符合相关规定，采购方式选择的决策流程是否符合内部控制指引的规定；</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关注评标或评审人员的选定、资质、专业、数量等是否符合相关规定；</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关注评标或评审程序的合法合规性，是否按法律法规、公司规章制度对投标人资格、投标文件等进行审查，是否存在围标、串标等损害</w:t>
      </w:r>
      <w:r>
        <w:rPr>
          <w:rFonts w:hint="eastAsia" w:ascii="宋体" w:hAnsi="宋体" w:cs="仿宋"/>
          <w:sz w:val="28"/>
          <w:szCs w:val="28"/>
          <w:highlight w:val="none"/>
          <w:lang w:eastAsia="zh-CN"/>
        </w:rPr>
        <w:t>南宁轨道交通运营有限公司</w:t>
      </w:r>
      <w:r>
        <w:rPr>
          <w:rFonts w:hint="eastAsia" w:ascii="宋体" w:hAnsi="宋体" w:cs="仿宋"/>
          <w:sz w:val="28"/>
          <w:szCs w:val="28"/>
          <w:highlight w:val="none"/>
        </w:rPr>
        <w:t>利益等情形，评标或评审的过程和成果记录是否完整；</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关注验收流程的合法合规性，验收人员组成是否符合不相容岗位互相分离原则，是否按合同约定的品牌、规格型号、数量、质量等要素验收，相关验收人员签字是否齐全，验收入库登记是否正确；</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关注物资存放和移动是否符合相关规定，管理职责是否清晰、制衡，是否存在非物资管理、监督、仓储人员在未经授权情况下接触物资等情形；</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关注物资领用手续是否完整，计量计价是否准确，账务处理是否正确，成本消耗是否存在异常；</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关注物资盘点程序是否符合相关规定，盘点人员组成是否合规合理，组织实施是否有序，盘盈盘亏处置是否符合规定，盘点各环节的审核签字手续是否完备，是否按规定出具盘点报告等；</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关注损坏、废旧等物资的管理是否符合相关规定，对具有回收价值的物资或危旧物资，存放保管是否安全，处置是否合法合规合理；</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物资各归口管理部门、生产技术部、财务部的物资台账登记是否完整、连续，账账是否相符；</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是否存在长期积压、大量在途物资情形，并分析形成原因；</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其他涉及物资管理的合法合规合理情况；</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rPr>
        <w:t>集团公司关注的其他事项情况。</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eastAsia="宋体" w:cs="宋体"/>
          <w:sz w:val="28"/>
          <w:szCs w:val="28"/>
          <w:highlight w:val="none"/>
          <w:lang w:val="en-US" w:eastAsia="zh-CN"/>
        </w:rPr>
        <w:t>南宁</w:t>
      </w:r>
      <w:r>
        <w:rPr>
          <w:rFonts w:hint="eastAsia" w:ascii="宋体" w:hAnsi="宋体" w:eastAsia="宋体" w:cs="宋体"/>
          <w:sz w:val="28"/>
          <w:szCs w:val="28"/>
          <w:highlight w:val="none"/>
        </w:rPr>
        <w:t>轨道</w:t>
      </w:r>
      <w:r>
        <w:rPr>
          <w:rFonts w:hint="eastAsia" w:ascii="宋体" w:hAnsi="宋体" w:cs="宋体"/>
          <w:sz w:val="28"/>
          <w:szCs w:val="28"/>
          <w:highlight w:val="none"/>
          <w:lang w:val="en-US" w:eastAsia="zh-CN"/>
        </w:rPr>
        <w:t>交通运营有限</w:t>
      </w:r>
      <w:r>
        <w:rPr>
          <w:rFonts w:hint="eastAsia" w:ascii="宋体" w:hAnsi="宋体" w:eastAsia="宋体" w:cs="宋体"/>
          <w:sz w:val="28"/>
          <w:szCs w:val="28"/>
          <w:highlight w:val="none"/>
        </w:rPr>
        <w:t>公司</w:t>
      </w:r>
      <w:r>
        <w:rPr>
          <w:rFonts w:hint="eastAsia" w:ascii="宋体" w:hAnsi="宋体" w:cs="宋体"/>
          <w:sz w:val="28"/>
          <w:szCs w:val="28"/>
          <w:highlight w:val="none"/>
          <w:lang w:val="en-US" w:eastAsia="zh-CN"/>
        </w:rPr>
        <w:t>2021年至2022年物资管理内控建设及执行情况</w:t>
      </w:r>
      <w:r>
        <w:rPr>
          <w:rFonts w:hint="eastAsia" w:ascii="宋体" w:hAnsi="宋体" w:cs="宋体"/>
          <w:sz w:val="28"/>
          <w:szCs w:val="28"/>
          <w:highlight w:val="none"/>
          <w:lang w:val="zh-CN" w:eastAsia="zh-CN"/>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highlight w:val="none"/>
          <w:lang w:val="zh-CN"/>
        </w:rPr>
        <w:t>2021年</w:t>
      </w:r>
      <w:r>
        <w:rPr>
          <w:rFonts w:hint="eastAsia" w:ascii="宋体" w:hAnsi="宋体" w:eastAsia="宋体" w:cs="宋体"/>
          <w:sz w:val="28"/>
          <w:szCs w:val="28"/>
          <w:highlight w:val="none"/>
          <w:lang w:val="en-US" w:eastAsia="zh-CN"/>
        </w:rPr>
        <w:t>1月</w:t>
      </w:r>
      <w:r>
        <w:rPr>
          <w:rFonts w:hint="eastAsia" w:ascii="宋体" w:hAnsi="宋体" w:eastAsia="宋体" w:cs="宋体"/>
          <w:sz w:val="28"/>
          <w:szCs w:val="28"/>
          <w:highlight w:val="none"/>
          <w:lang w:val="zh-CN"/>
        </w:rPr>
        <w:t>至2022年</w:t>
      </w:r>
      <w:r>
        <w:rPr>
          <w:rFonts w:hint="eastAsia" w:ascii="宋体" w:hAnsi="宋体" w:eastAsia="宋体" w:cs="宋体"/>
          <w:sz w:val="28"/>
          <w:szCs w:val="28"/>
          <w:highlight w:val="none"/>
          <w:lang w:val="en-US" w:eastAsia="zh-CN"/>
        </w:rPr>
        <w:t>12月</w:t>
      </w:r>
      <w:r>
        <w:rPr>
          <w:rFonts w:hint="eastAsia" w:ascii="宋体" w:hAnsi="宋体" w:eastAsia="宋体" w:cs="宋体"/>
          <w:sz w:val="28"/>
          <w:szCs w:val="28"/>
          <w:highlight w:val="none"/>
          <w:lang w:val="zh-CN"/>
        </w:rPr>
        <w:t>，必要时追溯到相关年度或延伸审计有关单位（部门）。</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w:t>
      </w:r>
      <w:r>
        <w:rPr>
          <w:rFonts w:hint="eastAsia" w:ascii="宋体" w:hAnsi="宋体"/>
          <w:sz w:val="28"/>
          <w:szCs w:val="28"/>
          <w:highlight w:val="none"/>
          <w:lang w:eastAsia="zh-CN"/>
        </w:rPr>
        <w:t>南宁轨道交通运营有限公司</w:t>
      </w:r>
      <w:r>
        <w:rPr>
          <w:rFonts w:hint="eastAsia" w:ascii="宋体" w:hAnsi="宋体"/>
          <w:sz w:val="28"/>
          <w:szCs w:val="28"/>
          <w:highlight w:val="none"/>
        </w:rPr>
        <w:t>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w:t>
      </w:r>
      <w:r>
        <w:rPr>
          <w:rFonts w:hint="eastAsia" w:ascii="宋体" w:hAnsi="宋体"/>
          <w:sz w:val="28"/>
          <w:szCs w:val="28"/>
          <w:highlight w:val="none"/>
          <w:lang w:eastAsia="zh-CN"/>
        </w:rPr>
        <w:t>南宁轨道交通运营有限公司2021年至2022年物资管理内控建设及执行情况</w:t>
      </w:r>
      <w:r>
        <w:rPr>
          <w:rFonts w:hint="eastAsia" w:ascii="宋体" w:hAnsi="宋体"/>
          <w:sz w:val="28"/>
          <w:szCs w:val="28"/>
          <w:highlight w:val="none"/>
        </w:rPr>
        <w:t>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21</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3</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rPr>
        <w:t>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（四）乙方不履行保密条款、过失或故意泄露其知悉的甲方保密事项或擅自</w:t>
      </w:r>
      <w:r>
        <w:rPr>
          <w:rFonts w:hint="eastAsia" w:ascii="宋体" w:hAnsi="宋体"/>
          <w:sz w:val="28"/>
          <w:szCs w:val="28"/>
          <w:highlight w:val="none"/>
          <w:lang w:val="en-US" w:eastAsia="zh-CN"/>
        </w:rPr>
        <w:t>在</w:t>
      </w:r>
      <w:r>
        <w:rPr>
          <w:rFonts w:hint="eastAsia" w:ascii="宋体" w:hAnsi="宋体"/>
          <w:sz w:val="28"/>
          <w:szCs w:val="28"/>
          <w:highlight w:val="none"/>
        </w:rPr>
        <w:t>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3"/>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4"/>
        </w:numPr>
        <w:spacing w:before="0" w:after="0" w:line="540" w:lineRule="exact"/>
        <w:rPr>
          <w:rFonts w:ascii="宋体" w:cs="宋体"/>
          <w:szCs w:val="28"/>
          <w:highlight w:val="none"/>
        </w:rPr>
      </w:pPr>
      <w:bookmarkStart w:id="304" w:name="_Toc24668"/>
      <w:bookmarkStart w:id="305" w:name="_Toc23661"/>
      <w:bookmarkStart w:id="306" w:name="_Toc30239"/>
      <w:bookmarkStart w:id="307" w:name="_Toc27378"/>
      <w:bookmarkStart w:id="308" w:name="_Toc15172"/>
      <w:bookmarkStart w:id="309" w:name="_Toc461525321"/>
      <w:bookmarkStart w:id="310" w:name="_Toc16386"/>
      <w:bookmarkStart w:id="311" w:name="_Toc29471"/>
      <w:bookmarkStart w:id="312" w:name="_Toc6779"/>
      <w:bookmarkStart w:id="313" w:name="_Toc26692"/>
      <w:bookmarkStart w:id="314" w:name="_Toc1897"/>
      <w:bookmarkStart w:id="315" w:name="_Toc32280"/>
      <w:bookmarkStart w:id="316" w:name="_Toc471482369"/>
      <w:bookmarkStart w:id="317" w:name="_Toc20710"/>
      <w:r>
        <w:rPr>
          <w:rFonts w:ascii="宋体" w:hAnsi="宋体" w:cs="宋体"/>
          <w:szCs w:val="28"/>
          <w:highlight w:val="none"/>
        </w:rPr>
        <w:t xml:space="preserve"> </w:t>
      </w:r>
      <w:bookmarkStart w:id="318" w:name="_Toc21863"/>
      <w:bookmarkStart w:id="319" w:name="_Toc30463"/>
      <w:bookmarkStart w:id="320" w:name="_Toc15480"/>
      <w:bookmarkStart w:id="321" w:name="_Toc12974"/>
      <w:bookmarkStart w:id="322" w:name="_Toc18993"/>
      <w:bookmarkStart w:id="323" w:name="_Toc2650"/>
      <w:bookmarkStart w:id="324" w:name="_Toc28616"/>
      <w:r>
        <w:rPr>
          <w:rFonts w:hint="eastAsia" w:ascii="宋体" w:hAnsi="宋体" w:cs="宋体"/>
          <w:szCs w:val="28"/>
          <w:highlight w:val="none"/>
        </w:rPr>
        <w:t>比选</w:t>
      </w:r>
      <w:bookmarkEnd w:id="300"/>
      <w:bookmarkEnd w:id="301"/>
      <w:r>
        <w:rPr>
          <w:rFonts w:hint="eastAsia" w:ascii="宋体" w:hAnsi="宋体" w:cs="宋体"/>
          <w:szCs w:val="28"/>
          <w:highlight w:val="none"/>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6" w:name="_Toc10669"/>
      <w:bookmarkStart w:id="327" w:name="_Toc22529"/>
      <w:bookmarkStart w:id="328" w:name="_Toc16428"/>
      <w:bookmarkStart w:id="329" w:name="_Toc24727"/>
      <w:bookmarkStart w:id="330" w:name="_Toc18503"/>
      <w:bookmarkStart w:id="331" w:name="_Toc6045"/>
      <w:bookmarkStart w:id="332" w:name="_Toc461525322"/>
      <w:bookmarkStart w:id="333" w:name="_Toc31417"/>
      <w:bookmarkStart w:id="334" w:name="_Toc12677"/>
      <w:r>
        <w:rPr>
          <w:rFonts w:hint="eastAsia"/>
          <w:b w:val="0"/>
          <w:bCs w:val="0"/>
          <w:sz w:val="28"/>
          <w:szCs w:val="28"/>
          <w:highlight w:val="none"/>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5"/>
      <w:r>
        <w:rPr>
          <w:rFonts w:hint="eastAsia" w:ascii="宋体" w:hAnsi="宋体" w:cs="宋体"/>
          <w:sz w:val="28"/>
          <w:szCs w:val="28"/>
          <w:highlight w:val="none"/>
        </w:rPr>
        <w:t>请</w:t>
      </w:r>
      <w:bookmarkStart w:id="335" w:name="_Toc114052392"/>
      <w:r>
        <w:rPr>
          <w:rFonts w:hint="eastAsia" w:ascii="宋体" w:hAnsi="宋体" w:cs="宋体"/>
          <w:sz w:val="28"/>
          <w:szCs w:val="28"/>
          <w:highlight w:val="none"/>
        </w:rPr>
        <w:t>人：</w:t>
      </w:r>
      <w:bookmarkEnd w:id="335"/>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6" w:name="_Toc333307122"/>
      <w:r>
        <w:rPr>
          <w:rFonts w:hint="eastAsia" w:ascii="宋体" w:hAnsi="宋体" w:cs="宋体"/>
          <w:sz w:val="28"/>
          <w:szCs w:val="28"/>
          <w:highlight w:val="none"/>
        </w:rPr>
        <w:t>理人</w:t>
      </w:r>
      <w:bookmarkEnd w:id="336"/>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7" w:name="_Toc7849"/>
      <w:bookmarkStart w:id="338" w:name="_Toc461525323"/>
    </w:p>
    <w:p>
      <w:pPr>
        <w:pStyle w:val="4"/>
        <w:jc w:val="center"/>
        <w:rPr>
          <w:b/>
          <w:highlight w:val="none"/>
        </w:rPr>
      </w:pPr>
      <w:bookmarkStart w:id="339" w:name="_Toc30348"/>
      <w:bookmarkStart w:id="340" w:name="_Toc16191"/>
      <w:bookmarkStart w:id="341" w:name="_Toc24695"/>
      <w:bookmarkStart w:id="342" w:name="_Toc28967"/>
      <w:bookmarkStart w:id="343" w:name="_Toc29495"/>
      <w:bookmarkStart w:id="344" w:name="_Toc31765"/>
      <w:bookmarkStart w:id="345" w:name="_Toc13042"/>
      <w:bookmarkStart w:id="346" w:name="_Toc16376"/>
      <w:bookmarkStart w:id="347" w:name="_Toc7031"/>
      <w:bookmarkStart w:id="348" w:name="_Toc5961"/>
      <w:bookmarkStart w:id="349" w:name="_Toc17090"/>
      <w:bookmarkStart w:id="350" w:name="_Toc7514"/>
      <w:bookmarkStart w:id="351" w:name="_Toc25559"/>
      <w:bookmarkStart w:id="352" w:name="_Toc1883"/>
      <w:bookmarkStart w:id="353" w:name="_Toc30961"/>
      <w:bookmarkStart w:id="354" w:name="_Toc471482370"/>
      <w:bookmarkStart w:id="355" w:name="_Toc889"/>
      <w:r>
        <w:rPr>
          <w:rFonts w:hint="eastAsia"/>
          <w:b/>
          <w:highlight w:val="none"/>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1.</w:t>
      </w:r>
      <w:r>
        <w:rPr>
          <w:rFonts w:hint="eastAsia" w:ascii="宋体" w:hAnsi="宋体" w:eastAsia="宋体" w:cs="宋体"/>
          <w:kern w:val="0"/>
          <w:sz w:val="24"/>
          <w:highlight w:val="none"/>
        </w:rPr>
        <w:t>诚信声明（原件）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kern w:val="0"/>
          <w:sz w:val="24"/>
          <w:highlight w:val="none"/>
          <w:lang w:val="en-US" w:eastAsia="zh-CN"/>
        </w:rPr>
        <w:t>会计师事务所执业证书（提供复印件加盖单位公章）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没有处于被行政主管部门或业主取消比选申请资格的处罚期内，且没有处于被责令停业，财产被接管、破产状态（</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Cs w:val="28"/>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Cs w:val="28"/>
          <w:highlight w:val="none"/>
        </w:rPr>
        <w:t>上级主管部门出具的近三年无不良执业记录证明（</w:t>
      </w:r>
      <w:r>
        <w:rPr>
          <w:rFonts w:hint="eastAsia" w:ascii="宋体" w:hAnsi="宋体" w:eastAsia="宋体" w:cs="宋体"/>
          <w:szCs w:val="28"/>
          <w:highlight w:val="none"/>
          <w:lang w:val="en-US" w:eastAsia="zh-CN"/>
        </w:rPr>
        <w:t>提供</w:t>
      </w:r>
      <w:r>
        <w:rPr>
          <w:rFonts w:hint="eastAsia" w:ascii="宋体" w:hAnsi="宋体" w:eastAsia="宋体" w:cs="宋体"/>
          <w:szCs w:val="28"/>
          <w:highlight w:val="none"/>
        </w:rPr>
        <w:t>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664" w:leftChars="202"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5.比选申请截止时间前3年内没有骗取中选、严重违约或重大质量安全责任事故的情况（提供复印</w:t>
      </w:r>
      <w:r>
        <w:rPr>
          <w:rFonts w:hint="eastAsia" w:ascii="宋体" w:hAnsi="宋体" w:eastAsia="宋体" w:cs="宋体"/>
          <w:sz w:val="24"/>
          <w:szCs w:val="24"/>
          <w:highlight w:val="none"/>
        </w:rPr>
        <w:t>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法定代表人</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负责人</w:t>
      </w:r>
      <w:r>
        <w:rPr>
          <w:rFonts w:hint="eastAsia" w:ascii="宋体" w:hAnsi="宋体" w:eastAsia="宋体" w:cs="宋体"/>
          <w:sz w:val="24"/>
          <w:highlight w:val="none"/>
          <w:lang w:eastAsia="zh-CN"/>
        </w:rPr>
        <w:t>）</w:t>
      </w:r>
      <w:r>
        <w:rPr>
          <w:rFonts w:hint="eastAsia" w:ascii="宋体" w:hAnsi="宋体" w:eastAsia="宋体" w:cs="宋体"/>
          <w:sz w:val="24"/>
          <w:highlight w:val="none"/>
        </w:rPr>
        <w:t>资格证明书（原件）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法定代表人</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负责人</w:t>
      </w:r>
      <w:r>
        <w:rPr>
          <w:rFonts w:hint="eastAsia" w:ascii="宋体" w:hAnsi="宋体" w:eastAsia="宋体" w:cs="宋体"/>
          <w:sz w:val="24"/>
          <w:highlight w:val="none"/>
          <w:lang w:eastAsia="zh-CN"/>
        </w:rPr>
        <w:t>）</w:t>
      </w:r>
      <w:r>
        <w:rPr>
          <w:rFonts w:hint="eastAsia" w:ascii="宋体" w:hAnsi="宋体" w:eastAsia="宋体" w:cs="宋体"/>
          <w:sz w:val="24"/>
          <w:highlight w:val="none"/>
        </w:rPr>
        <w:t>身份证明文件（</w:t>
      </w:r>
      <w:r>
        <w:rPr>
          <w:rFonts w:hint="eastAsia" w:ascii="宋体" w:hAnsi="宋体" w:eastAsia="宋体" w:cs="宋体"/>
          <w:sz w:val="24"/>
          <w:highlight w:val="none"/>
          <w:lang w:val="en-US" w:eastAsia="zh-CN"/>
        </w:rPr>
        <w:t>提供</w:t>
      </w:r>
      <w:r>
        <w:rPr>
          <w:rFonts w:hint="eastAsia" w:ascii="宋体" w:hAnsi="宋体" w:eastAsia="宋体" w:cs="宋体"/>
          <w:sz w:val="24"/>
          <w:highlight w:val="none"/>
        </w:rPr>
        <w:t>复印件</w:t>
      </w:r>
      <w:r>
        <w:rPr>
          <w:rFonts w:hint="eastAsia" w:ascii="宋体" w:hAnsi="宋体" w:eastAsia="宋体" w:cs="宋体"/>
          <w:kern w:val="0"/>
          <w:sz w:val="24"/>
          <w:highlight w:val="none"/>
        </w:rPr>
        <w:t>加盖单位公章</w:t>
      </w:r>
      <w:r>
        <w:rPr>
          <w:rFonts w:hint="eastAsia" w:ascii="宋体" w:hAnsi="宋体" w:eastAsia="宋体" w:cs="宋体"/>
          <w:sz w:val="24"/>
          <w:highlight w:val="none"/>
        </w:rPr>
        <w:t>）</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比选申请文件签署授权委托书（原件）</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9.</w:t>
      </w:r>
      <w:r>
        <w:rPr>
          <w:rFonts w:hint="eastAsia" w:ascii="宋体" w:hAnsi="宋体" w:eastAsia="宋体" w:cs="宋体"/>
          <w:kern w:val="0"/>
          <w:sz w:val="24"/>
          <w:highlight w:val="none"/>
        </w:rPr>
        <w:t>授权代理人身份证明文件（提供复印件加盖单位公章）</w:t>
      </w:r>
      <w:r>
        <w:rPr>
          <w:rFonts w:hint="eastAsia" w:ascii="宋体" w:hAnsi="宋体" w:cs="宋体"/>
          <w:szCs w:val="21"/>
          <w:highlight w:val="none"/>
          <w:lang w:val="en-US" w:eastAsia="zh-CN"/>
        </w:rPr>
        <w:t>；</w:t>
      </w:r>
    </w:p>
    <w:p>
      <w:pPr>
        <w:numPr>
          <w:ilvl w:val="0"/>
          <w:numId w:val="0"/>
        </w:numPr>
        <w:tabs>
          <w:tab w:val="left" w:pos="826"/>
        </w:tabs>
        <w:spacing w:line="560" w:lineRule="exact"/>
        <w:ind w:left="426" w:leftChars="0"/>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10.其他。</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bookmarkStart w:id="356" w:name="_Toc461525324"/>
      <w:bookmarkStart w:id="357" w:name="_Toc27423"/>
      <w:bookmarkStart w:id="358" w:name="_Toc1582"/>
      <w:r>
        <w:rPr>
          <w:highlight w:val="none"/>
        </w:rPr>
        <w:br w:type="page"/>
      </w:r>
      <w:bookmarkEnd w:id="356"/>
      <w:bookmarkEnd w:id="357"/>
      <w:bookmarkEnd w:id="358"/>
      <w:bookmarkStart w:id="359" w:name="_Toc24466"/>
      <w:bookmarkStart w:id="360" w:name="_Toc18804"/>
      <w:bookmarkStart w:id="361" w:name="_Toc29655"/>
      <w:bookmarkStart w:id="362" w:name="_Toc15465"/>
      <w:bookmarkStart w:id="363" w:name="_Toc14714"/>
      <w:bookmarkStart w:id="364" w:name="_Toc32325"/>
      <w:bookmarkStart w:id="365" w:name="_Toc461525329"/>
      <w:bookmarkStart w:id="366" w:name="_Toc26924"/>
      <w:bookmarkStart w:id="367" w:name="_Toc30157"/>
      <w:bookmarkStart w:id="368" w:name="_Toc15071"/>
      <w:bookmarkStart w:id="369" w:name="_Toc29347"/>
      <w:bookmarkStart w:id="370" w:name="_Toc17531"/>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r>
        <w:rPr>
          <w:rFonts w:hint="eastAsia" w:ascii="宋体" w:hAnsi="宋体" w:cs="宋体"/>
          <w:szCs w:val="21"/>
          <w:highlight w:val="none"/>
          <w:lang w:val="en-US" w:eastAsia="zh-CN"/>
        </w:rPr>
        <w:t>；</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r>
        <w:rPr>
          <w:rFonts w:ascii="宋体"/>
          <w:b/>
          <w:bCs/>
          <w:sz w:val="28"/>
          <w:szCs w:val="28"/>
          <w:highlight w:val="none"/>
        </w:rPr>
        <w:t>2.</w:t>
      </w:r>
      <w:r>
        <w:rPr>
          <w:rFonts w:hint="eastAsia" w:ascii="宋体"/>
          <w:b/>
          <w:bCs/>
          <w:sz w:val="28"/>
          <w:szCs w:val="28"/>
          <w:highlight w:val="none"/>
        </w:rPr>
        <w:t>会计师事务所执业证书（提供复印件加盖单位公章）</w:t>
      </w:r>
    </w:p>
    <w:p>
      <w:pPr>
        <w:spacing w:line="360" w:lineRule="auto"/>
        <w:ind w:firstLine="470" w:firstLineChars="196"/>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p>
      <w:pPr>
        <w:pStyle w:val="2"/>
        <w:rPr>
          <w:sz w:val="24"/>
          <w:highlight w:val="none"/>
        </w:rPr>
      </w:pPr>
    </w:p>
    <w:bookmarkEnd w:id="359"/>
    <w:bookmarkEnd w:id="360"/>
    <w:bookmarkEnd w:id="361"/>
    <w:bookmarkEnd w:id="362"/>
    <w:bookmarkEnd w:id="363"/>
    <w:bookmarkEnd w:id="364"/>
    <w:bookmarkEnd w:id="365"/>
    <w:bookmarkEnd w:id="366"/>
    <w:bookmarkEnd w:id="367"/>
    <w:bookmarkEnd w:id="368"/>
    <w:bookmarkEnd w:id="369"/>
    <w:bookmarkEnd w:id="37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2"/>
        <w:rPr>
          <w:rFonts w:hint="eastAsia" w:ascii="宋体"/>
          <w:b/>
          <w:bCs/>
          <w:sz w:val="28"/>
          <w:szCs w:val="28"/>
          <w:highlight w:val="none"/>
        </w:rPr>
      </w:pPr>
      <w:bookmarkStart w:id="371" w:name="_Toc28436"/>
      <w:bookmarkStart w:id="372" w:name="_Toc750"/>
      <w:bookmarkStart w:id="373" w:name="_Toc3498"/>
      <w:bookmarkStart w:id="374" w:name="_Toc19937"/>
      <w:bookmarkStart w:id="375" w:name="_Toc6606"/>
      <w:bookmarkStart w:id="376" w:name="_Toc16756"/>
      <w:bookmarkStart w:id="377" w:name="_Toc7760"/>
      <w:bookmarkStart w:id="378" w:name="_Toc25670"/>
      <w:bookmarkStart w:id="379" w:name="_Toc32075"/>
      <w:r>
        <w:rPr>
          <w:rFonts w:hint="eastAsia" w:ascii="宋体"/>
          <w:b/>
          <w:bCs/>
          <w:sz w:val="28"/>
          <w:szCs w:val="28"/>
          <w:highlight w:val="none"/>
          <w:lang w:val="en-US" w:eastAsia="zh-CN"/>
        </w:rPr>
        <w:t>3.</w:t>
      </w:r>
      <w:r>
        <w:rPr>
          <w:rFonts w:hint="eastAsia" w:ascii="宋体"/>
          <w:b/>
          <w:bCs/>
          <w:sz w:val="28"/>
          <w:szCs w:val="28"/>
          <w:highlight w:val="none"/>
        </w:rPr>
        <w:t>没有处于被行政主管部门或业主取消比选申请资格的处罚期内，且没有处于被责令停业，财产被接管、破产状态（</w:t>
      </w:r>
      <w:r>
        <w:rPr>
          <w:rFonts w:hint="eastAsia" w:ascii="宋体"/>
          <w:b/>
          <w:bCs/>
          <w:sz w:val="28"/>
          <w:szCs w:val="28"/>
          <w:highlight w:val="none"/>
          <w:lang w:val="en-US" w:eastAsia="zh-CN"/>
        </w:rPr>
        <w:t>提供</w:t>
      </w:r>
      <w:r>
        <w:rPr>
          <w:rFonts w:hint="eastAsia" w:ascii="宋体"/>
          <w:b/>
          <w:bCs/>
          <w:sz w:val="28"/>
          <w:szCs w:val="28"/>
          <w:highlight w:val="none"/>
        </w:rPr>
        <w:t>复印件加盖单位公章）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eastAsia" w:ascii="宋体"/>
          <w:b/>
          <w:bCs/>
          <w:sz w:val="28"/>
          <w:szCs w:val="28"/>
          <w:highlight w:val="none"/>
        </w:rPr>
      </w:pPr>
      <w:r>
        <w:rPr>
          <w:rFonts w:hint="eastAsia" w:ascii="宋体"/>
          <w:b/>
          <w:bCs/>
          <w:sz w:val="28"/>
          <w:szCs w:val="28"/>
          <w:highlight w:val="none"/>
          <w:lang w:val="en-US" w:eastAsia="zh-CN"/>
        </w:rPr>
        <w:t>4.</w:t>
      </w:r>
      <w:r>
        <w:rPr>
          <w:rFonts w:hint="eastAsia" w:ascii="宋体"/>
          <w:b/>
          <w:bCs/>
          <w:sz w:val="28"/>
          <w:szCs w:val="28"/>
          <w:highlight w:val="none"/>
        </w:rPr>
        <w:t>上级主管部门出具的近三年无不良执业记录证明（</w:t>
      </w:r>
      <w:r>
        <w:rPr>
          <w:rFonts w:hint="eastAsia" w:ascii="宋体"/>
          <w:b/>
          <w:bCs/>
          <w:sz w:val="28"/>
          <w:szCs w:val="28"/>
          <w:highlight w:val="none"/>
          <w:lang w:val="en-US" w:eastAsia="zh-CN"/>
        </w:rPr>
        <w:t>提供</w:t>
      </w:r>
      <w:r>
        <w:rPr>
          <w:rFonts w:hint="eastAsia" w:ascii="宋体"/>
          <w:b/>
          <w:bCs/>
          <w:sz w:val="28"/>
          <w:szCs w:val="28"/>
          <w:highlight w:val="none"/>
        </w:rPr>
        <w:t>复印件加盖单位公章）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default" w:ascii="宋体"/>
          <w:b/>
          <w:bCs/>
          <w:sz w:val="28"/>
          <w:szCs w:val="28"/>
          <w:highlight w:val="none"/>
          <w:lang w:val="en-US" w:eastAsia="zh-CN"/>
        </w:rPr>
      </w:pPr>
      <w:r>
        <w:rPr>
          <w:rFonts w:hint="eastAsia" w:ascii="宋体"/>
          <w:b/>
          <w:bCs/>
          <w:sz w:val="28"/>
          <w:szCs w:val="28"/>
          <w:highlight w:val="none"/>
          <w:lang w:val="en-US" w:eastAsia="zh-CN"/>
        </w:rPr>
        <w:t>5.比选申请截止时间前3年内没有骗取中选、严重违约或重大质量安全责任事故的情况（提供复印</w:t>
      </w:r>
      <w:r>
        <w:rPr>
          <w:rFonts w:hint="eastAsia" w:ascii="宋体"/>
          <w:b/>
          <w:bCs/>
          <w:sz w:val="28"/>
          <w:szCs w:val="28"/>
          <w:highlight w:val="none"/>
        </w:rPr>
        <w:t>件加盖单位公章）</w:t>
      </w: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bCs/>
          <w:sz w:val="28"/>
          <w:szCs w:val="28"/>
          <w:highlight w:val="none"/>
        </w:rPr>
      </w:pPr>
      <w:r>
        <w:rPr>
          <w:rFonts w:hint="eastAsia" w:ascii="宋体"/>
          <w:b/>
          <w:bCs/>
          <w:sz w:val="28"/>
          <w:szCs w:val="28"/>
          <w:highlight w:val="none"/>
          <w:lang w:val="en-US" w:eastAsia="zh-CN"/>
        </w:rPr>
        <w:t>6.</w:t>
      </w:r>
      <w:r>
        <w:rPr>
          <w:rFonts w:hint="eastAsia" w:ascii="宋体"/>
          <w:b/>
          <w:bCs/>
          <w:sz w:val="28"/>
          <w:szCs w:val="28"/>
          <w:highlight w:val="none"/>
        </w:rPr>
        <w:t>法定</w:t>
      </w:r>
      <w:r>
        <w:rPr>
          <w:rFonts w:hint="eastAsia" w:ascii="宋体"/>
          <w:b/>
          <w:bCs/>
          <w:sz w:val="28"/>
          <w:szCs w:val="28"/>
          <w:highlight w:val="none"/>
          <w:lang w:val="en-US" w:eastAsia="zh-CN"/>
        </w:rPr>
        <w:t>代表人</w:t>
      </w:r>
      <w:r>
        <w:rPr>
          <w:rFonts w:hint="eastAsia" w:ascii="宋体"/>
          <w:b/>
          <w:bCs/>
          <w:sz w:val="28"/>
          <w:szCs w:val="28"/>
          <w:highlight w:val="none"/>
          <w:lang w:eastAsia="zh-CN"/>
        </w:rPr>
        <w:t>（</w:t>
      </w:r>
      <w:r>
        <w:rPr>
          <w:rFonts w:hint="eastAsia" w:ascii="宋体"/>
          <w:b/>
          <w:bCs/>
          <w:sz w:val="28"/>
          <w:szCs w:val="28"/>
          <w:highlight w:val="none"/>
          <w:lang w:val="en-US" w:eastAsia="zh-CN"/>
        </w:rPr>
        <w:t>负责人</w:t>
      </w:r>
      <w:r>
        <w:rPr>
          <w:rFonts w:hint="eastAsia" w:ascii="宋体"/>
          <w:b/>
          <w:bCs/>
          <w:sz w:val="28"/>
          <w:szCs w:val="28"/>
          <w:highlight w:val="none"/>
          <w:lang w:eastAsia="zh-CN"/>
        </w:rPr>
        <w:t>）</w:t>
      </w:r>
      <w:r>
        <w:rPr>
          <w:rFonts w:hint="eastAsia" w:ascii="宋体"/>
          <w:b/>
          <w:bCs/>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sz w:val="28"/>
          <w:szCs w:val="28"/>
          <w:highlight w:val="none"/>
        </w:rPr>
      </w:pPr>
      <w:r>
        <w:rPr>
          <w:rFonts w:ascii="楷体_GB2312" w:eastAsia="楷体_GB2312"/>
          <w:b/>
          <w:sz w:val="24"/>
          <w:highlight w:val="none"/>
        </w:rPr>
        <w:br w:type="page"/>
      </w:r>
      <w:bookmarkEnd w:id="371"/>
      <w:bookmarkEnd w:id="372"/>
      <w:bookmarkEnd w:id="373"/>
      <w:bookmarkEnd w:id="374"/>
      <w:bookmarkEnd w:id="375"/>
      <w:bookmarkEnd w:id="376"/>
      <w:bookmarkEnd w:id="377"/>
      <w:bookmarkEnd w:id="378"/>
      <w:bookmarkEnd w:id="379"/>
      <w:r>
        <w:rPr>
          <w:rFonts w:hint="eastAsia" w:ascii="宋体" w:hAnsi="宋体" w:eastAsia="楷体_GB2312"/>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法定</w:t>
      </w:r>
      <w:r>
        <w:rPr>
          <w:rFonts w:hint="eastAsia" w:ascii="宋体"/>
          <w:b/>
          <w:bCs/>
          <w:sz w:val="28"/>
          <w:szCs w:val="28"/>
          <w:highlight w:val="none"/>
        </w:rPr>
        <w:t>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w:t>
      </w:r>
      <w:r>
        <w:rPr>
          <w:rFonts w:hint="eastAsia" w:ascii="宋体" w:hAnsi="宋体"/>
          <w:b/>
          <w:kern w:val="0"/>
          <w:sz w:val="28"/>
          <w:szCs w:val="28"/>
          <w:highlight w:val="none"/>
          <w:lang w:val="en-US" w:eastAsia="zh-CN"/>
        </w:rPr>
        <w:t>提供</w:t>
      </w:r>
      <w:r>
        <w:rPr>
          <w:rFonts w:hint="eastAsia" w:ascii="宋体" w:hAnsi="宋体"/>
          <w:b/>
          <w:kern w:val="0"/>
          <w:sz w:val="28"/>
          <w:szCs w:val="28"/>
          <w:highlight w:val="none"/>
        </w:rPr>
        <w:t>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ascii="宋体"/>
          <w:b/>
          <w:kern w:val="0"/>
          <w:sz w:val="28"/>
          <w:szCs w:val="28"/>
          <w:highlight w:val="none"/>
        </w:rPr>
      </w:pPr>
      <w:r>
        <w:rPr>
          <w:rFonts w:hint="eastAsia" w:ascii="宋体" w:hAnsi="宋体"/>
          <w:b/>
          <w:kern w:val="0"/>
          <w:sz w:val="28"/>
          <w:szCs w:val="28"/>
          <w:highlight w:val="none"/>
          <w:lang w:val="en-US" w:eastAsia="zh-CN"/>
        </w:rPr>
        <w:t>8</w:t>
      </w:r>
      <w:r>
        <w:rPr>
          <w:rFonts w:ascii="宋体" w:hAnsi="宋体"/>
          <w:b/>
          <w:kern w:val="0"/>
          <w:sz w:val="28"/>
          <w:szCs w:val="28"/>
          <w:highlight w:val="none"/>
        </w:rPr>
        <w:t>.</w:t>
      </w:r>
      <w:r>
        <w:rPr>
          <w:rFonts w:hint="eastAsia" w:ascii="宋体" w:hAnsi="宋体"/>
          <w:b/>
          <w:kern w:val="0"/>
          <w:sz w:val="28"/>
          <w:szCs w:val="28"/>
          <w:highlight w:val="none"/>
        </w:rPr>
        <w:t>比选申请文件签署授权</w:t>
      </w:r>
      <w:r>
        <w:rPr>
          <w:rFonts w:hint="eastAsia" w:ascii="宋体"/>
          <w:b/>
          <w:bCs/>
          <w:sz w:val="28"/>
          <w:szCs w:val="28"/>
          <w:highlight w:val="none"/>
        </w:rPr>
        <w:t>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Style w:val="32"/>
          <w:szCs w:val="28"/>
          <w:highlight w:val="none"/>
        </w:rPr>
      </w:pPr>
      <w:r>
        <w:rPr>
          <w:rFonts w:ascii="宋体"/>
          <w:kern w:val="0"/>
          <w:sz w:val="24"/>
          <w:highlight w:val="none"/>
        </w:rPr>
        <w:br w:type="page"/>
      </w:r>
      <w:bookmarkStart w:id="380" w:name="_Toc1509"/>
      <w:bookmarkStart w:id="381" w:name="_Toc880"/>
      <w:bookmarkStart w:id="382" w:name="_Toc18479"/>
      <w:bookmarkStart w:id="383" w:name="_Toc11434"/>
      <w:bookmarkStart w:id="384" w:name="_Toc2475"/>
      <w:bookmarkStart w:id="385" w:name="_Toc26749"/>
      <w:bookmarkStart w:id="386" w:name="_Toc29504"/>
      <w:bookmarkStart w:id="387" w:name="_Toc30136"/>
      <w:r>
        <w:rPr>
          <w:rFonts w:hint="eastAsia" w:ascii="宋体" w:hAnsi="宋体"/>
          <w:b/>
          <w:kern w:val="0"/>
          <w:sz w:val="28"/>
          <w:szCs w:val="28"/>
          <w:highlight w:val="none"/>
          <w:lang w:val="en-US" w:eastAsia="zh-CN"/>
        </w:rPr>
        <w:t>9</w:t>
      </w:r>
      <w:r>
        <w:rPr>
          <w:rFonts w:hint="eastAsia" w:ascii="宋体" w:hAnsi="宋体"/>
          <w:b/>
          <w:kern w:val="0"/>
          <w:sz w:val="28"/>
          <w:szCs w:val="28"/>
          <w:highlight w:val="none"/>
        </w:rPr>
        <w:t>.授权代理人身份证明文件（提供复印件加盖单位公章）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2"/>
        <w:rPr>
          <w:rFonts w:hint="default" w:ascii="宋体" w:hAnsi="宋体" w:eastAsia="宋体"/>
          <w:kern w:val="0"/>
          <w:sz w:val="24"/>
          <w:highlight w:val="none"/>
          <w:lang w:val="en-US" w:eastAsia="zh-CN"/>
        </w:rPr>
      </w:pPr>
      <w:r>
        <w:rPr>
          <w:rFonts w:hint="eastAsia" w:ascii="宋体" w:hAnsi="宋体"/>
          <w:b/>
          <w:kern w:val="0"/>
          <w:sz w:val="28"/>
          <w:szCs w:val="28"/>
          <w:highlight w:val="none"/>
          <w:lang w:val="en-US" w:eastAsia="zh-CN"/>
        </w:rPr>
        <w:t>10</w:t>
      </w:r>
      <w:r>
        <w:rPr>
          <w:rFonts w:ascii="宋体" w:hAnsi="宋体"/>
          <w:b/>
          <w:kern w:val="0"/>
          <w:sz w:val="28"/>
          <w:szCs w:val="28"/>
          <w:highlight w:val="none"/>
        </w:rPr>
        <w:t>.</w:t>
      </w:r>
      <w:r>
        <w:rPr>
          <w:rFonts w:hint="eastAsia" w:ascii="宋体"/>
          <w:b/>
          <w:bCs/>
          <w:sz w:val="28"/>
          <w:szCs w:val="28"/>
          <w:highlight w:val="none"/>
          <w:lang w:val="en-US" w:eastAsia="zh-CN"/>
        </w:rPr>
        <w:t>其他</w:t>
      </w:r>
    </w:p>
    <w:p>
      <w:pPr>
        <w:widowControl/>
        <w:jc w:val="left"/>
        <w:rPr>
          <w:rFonts w:ascii="宋体"/>
          <w:i/>
          <w:kern w:val="0"/>
          <w:sz w:val="28"/>
          <w:szCs w:val="28"/>
          <w:highlight w:val="none"/>
        </w:rPr>
      </w:pP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8" w:name="_Toc461525334"/>
      <w:bookmarkStart w:id="389" w:name="_Toc25575"/>
      <w:bookmarkStart w:id="390" w:name="_Toc144"/>
      <w:bookmarkStart w:id="391" w:name="_Toc31069"/>
      <w:bookmarkStart w:id="392" w:name="_Toc124"/>
      <w:bookmarkStart w:id="393" w:name="_Toc23149"/>
      <w:bookmarkStart w:id="394" w:name="_Toc10507"/>
      <w:bookmarkStart w:id="395" w:name="_Toc4828"/>
      <w:bookmarkStart w:id="396" w:name="_Toc16451"/>
      <w:bookmarkStart w:id="397" w:name="_Toc18631"/>
      <w:r>
        <w:rPr>
          <w:rFonts w:hint="eastAsia"/>
          <w:b w:val="0"/>
          <w:bCs w:val="0"/>
          <w:sz w:val="28"/>
          <w:szCs w:val="28"/>
          <w:highlight w:val="none"/>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keepNext/>
        <w:keepLines/>
        <w:pageBreakBefore w:val="0"/>
        <w:widowControl w:val="0"/>
        <w:kinsoku/>
        <w:wordWrap/>
        <w:overflowPunct/>
        <w:topLinePunct w:val="0"/>
        <w:autoSpaceDE/>
        <w:autoSpaceDN/>
        <w:bidi w:val="0"/>
        <w:adjustRightInd/>
        <w:snapToGrid/>
        <w:spacing w:line="413" w:lineRule="auto"/>
        <w:textAlignment w:val="auto"/>
        <w:outlineLvl w:val="9"/>
        <w:rPr>
          <w:rFonts w:ascii="宋体" w:cs="宋体"/>
          <w:kern w:val="2"/>
          <w:szCs w:val="28"/>
          <w:highlight w:val="none"/>
        </w:rPr>
      </w:pPr>
      <w:bookmarkStart w:id="398" w:name="_Toc1986"/>
      <w:bookmarkStart w:id="399" w:name="_Toc29536"/>
      <w:bookmarkStart w:id="400" w:name="_Toc23508"/>
      <w:bookmarkStart w:id="401" w:name="_Toc31582"/>
      <w:bookmarkStart w:id="402" w:name="_Toc471482371"/>
      <w:bookmarkStart w:id="403" w:name="_Toc32510"/>
      <w:bookmarkStart w:id="404" w:name="_Toc9379"/>
      <w:bookmarkStart w:id="405" w:name="_Toc26769"/>
      <w:bookmarkStart w:id="406" w:name="_Toc31521"/>
      <w:bookmarkStart w:id="407" w:name="_Toc21144"/>
    </w:p>
    <w:p>
      <w:pPr>
        <w:rPr>
          <w:highlight w:val="none"/>
        </w:rPr>
      </w:pPr>
    </w:p>
    <w:p>
      <w:pPr>
        <w:pStyle w:val="4"/>
        <w:jc w:val="center"/>
        <w:rPr>
          <w:b/>
          <w:highlight w:val="none"/>
        </w:rPr>
      </w:pPr>
      <w:bookmarkStart w:id="408" w:name="_Toc31102"/>
      <w:bookmarkStart w:id="409" w:name="_Toc30597"/>
      <w:bookmarkStart w:id="410" w:name="_Toc11499"/>
      <w:bookmarkStart w:id="411" w:name="_Toc29703"/>
      <w:bookmarkStart w:id="412" w:name="_Toc3401"/>
      <w:bookmarkStart w:id="413" w:name="_Toc32476"/>
      <w:bookmarkStart w:id="414" w:name="_Toc12404"/>
      <w:bookmarkStart w:id="415" w:name="_Toc22366"/>
      <w:r>
        <w:rPr>
          <w:rFonts w:hint="eastAsia"/>
          <w:b/>
          <w:highlight w:val="none"/>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cs="宋体"/>
          <w:kern w:val="2"/>
          <w:sz w:val="28"/>
          <w:szCs w:val="28"/>
          <w:highlight w:val="none"/>
          <w:lang w:val="en-US" w:eastAsia="zh-CN" w:bidi="ar-SA"/>
        </w:rPr>
      </w:pPr>
      <w:r>
        <w:rPr>
          <w:rFonts w:ascii="宋体" w:hAnsi="宋体" w:eastAsia="宋体" w:cs="宋体"/>
          <w:kern w:val="2"/>
          <w:sz w:val="28"/>
          <w:szCs w:val="28"/>
          <w:highlight w:val="none"/>
          <w:lang w:val="en-US" w:eastAsia="zh-CN" w:bidi="ar-SA"/>
        </w:rPr>
        <w:t>2.</w:t>
      </w:r>
      <w:r>
        <w:rPr>
          <w:rFonts w:hint="eastAsia" w:ascii="宋体" w:hAnsi="宋体" w:eastAsia="宋体" w:cs="宋体"/>
          <w:kern w:val="2"/>
          <w:sz w:val="28"/>
          <w:szCs w:val="28"/>
          <w:highlight w:val="none"/>
          <w:lang w:val="en-US" w:eastAsia="zh-CN" w:bidi="ar-SA"/>
        </w:rPr>
        <w:t>拟投入人员配置明细表</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28"/>
          <w:szCs w:val="28"/>
          <w:highlight w:val="none"/>
        </w:rPr>
      </w:pPr>
      <w:r>
        <w:rPr>
          <w:rFonts w:hint="eastAsia" w:ascii="宋体" w:hAnsi="宋体" w:cs="宋体"/>
          <w:sz w:val="28"/>
          <w:szCs w:val="28"/>
          <w:highlight w:val="none"/>
          <w:lang w:val="en-US" w:eastAsia="zh-CN"/>
        </w:rPr>
        <w:t>3</w:t>
      </w:r>
      <w:r>
        <w:rPr>
          <w:rFonts w:ascii="宋体" w:hAnsi="宋体" w:cs="宋体"/>
          <w:sz w:val="28"/>
          <w:szCs w:val="28"/>
          <w:highlight w:val="none"/>
        </w:rPr>
        <w:t>.</w:t>
      </w:r>
      <w:r>
        <w:rPr>
          <w:rFonts w:hint="eastAsia" w:ascii="宋体" w:hAnsi="宋体" w:cs="宋体"/>
          <w:sz w:val="28"/>
          <w:szCs w:val="28"/>
          <w:highlight w:val="none"/>
        </w:rPr>
        <w:t>拟投入人员的相关工作业绩、资历及能力（由比选申请人自行编写）</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280" w:hanging="280" w:hangingChars="1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4.拟投入人员中正式员工劳动合同</w:t>
      </w:r>
      <w:r>
        <w:rPr>
          <w:rFonts w:hint="default" w:ascii="宋体" w:hAnsi="宋体" w:cs="宋体"/>
          <w:sz w:val="28"/>
          <w:szCs w:val="28"/>
          <w:highlight w:val="none"/>
          <w:lang w:val="en-US" w:eastAsia="zh-CN"/>
        </w:rPr>
        <w:t>及</w:t>
      </w:r>
      <w:r>
        <w:rPr>
          <w:rFonts w:hint="eastAsia" w:ascii="宋体" w:hAnsi="宋体" w:cs="宋体"/>
          <w:sz w:val="28"/>
          <w:szCs w:val="28"/>
          <w:highlight w:val="none"/>
          <w:lang w:val="en-US" w:eastAsia="zh-CN"/>
        </w:rPr>
        <w:t>近3个月社保缴付证明（提供复印件加盖单位公章）</w:t>
      </w:r>
      <w:r>
        <w:rPr>
          <w:rFonts w:hint="eastAsia" w:ascii="宋体" w:hAnsi="宋体" w:cs="宋体"/>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宋体" w:hAnsi="宋体" w:cs="宋体"/>
          <w:sz w:val="28"/>
          <w:szCs w:val="28"/>
          <w:highlight w:val="none"/>
        </w:rPr>
      </w:pPr>
      <w:r>
        <w:rPr>
          <w:rFonts w:hint="eastAsia" w:ascii="宋体" w:hAnsi="宋体" w:cs="宋体"/>
          <w:sz w:val="28"/>
          <w:szCs w:val="28"/>
          <w:highlight w:val="none"/>
          <w:lang w:val="en-US" w:eastAsia="zh-CN"/>
        </w:rPr>
        <w:t>5</w:t>
      </w:r>
      <w:r>
        <w:rPr>
          <w:rFonts w:ascii="宋体" w:hAnsi="宋体" w:cs="宋体"/>
          <w:sz w:val="28"/>
          <w:szCs w:val="28"/>
          <w:highlight w:val="none"/>
        </w:rPr>
        <w:t>.</w:t>
      </w:r>
      <w:r>
        <w:rPr>
          <w:rFonts w:hint="eastAsia" w:ascii="宋体" w:hAnsi="宋体" w:cs="宋体"/>
          <w:sz w:val="28"/>
          <w:szCs w:val="28"/>
          <w:highlight w:val="none"/>
        </w:rPr>
        <w:t>服务方案（由比选申请人自行编写）</w:t>
      </w:r>
      <w:r>
        <w:rPr>
          <w:rFonts w:hint="eastAsia" w:ascii="宋体" w:hAnsi="宋体" w:cs="宋体"/>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6.其他。</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16" w:name="_Toc7527"/>
      <w:bookmarkStart w:id="417" w:name="_Toc32624"/>
      <w:bookmarkStart w:id="418" w:name="_Toc24439"/>
      <w:bookmarkStart w:id="419" w:name="_Toc6881"/>
      <w:bookmarkStart w:id="420" w:name="_Toc19216"/>
      <w:bookmarkStart w:id="421" w:name="_Toc10356"/>
      <w:bookmarkStart w:id="422" w:name="_Toc9604"/>
      <w:bookmarkStart w:id="423" w:name="_Toc25382"/>
      <w:bookmarkStart w:id="424" w:name="_Toc461525332"/>
      <w:bookmarkStart w:id="425" w:name="_Toc30501"/>
      <w:bookmarkStart w:id="426" w:name="_Toc6862"/>
      <w:bookmarkStart w:id="427" w:name="_Toc31867"/>
      <w:bookmarkStart w:id="428" w:name="_Toc19445"/>
      <w:r>
        <w:rPr>
          <w:rFonts w:ascii="宋体" w:hAnsi="宋体"/>
          <w:b/>
          <w:highlight w:val="none"/>
        </w:rPr>
        <w:t>1.</w:t>
      </w:r>
      <w:r>
        <w:rPr>
          <w:rFonts w:hint="eastAsia" w:ascii="宋体" w:hAnsi="宋体"/>
          <w:b/>
          <w:highlight w:val="none"/>
        </w:rPr>
        <w:t>业绩表</w:t>
      </w:r>
      <w:bookmarkEnd w:id="416"/>
      <w:bookmarkEnd w:id="417"/>
      <w:bookmarkEnd w:id="418"/>
      <w:bookmarkEnd w:id="419"/>
      <w:bookmarkEnd w:id="420"/>
      <w:bookmarkEnd w:id="421"/>
      <w:bookmarkEnd w:id="422"/>
      <w:bookmarkEnd w:id="423"/>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31680" w:hanging="480" w:hangingChars="200"/>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2"/>
        <w:rPr>
          <w:highlight w:val="none"/>
        </w:rPr>
      </w:pPr>
    </w:p>
    <w:p>
      <w:pPr>
        <w:pStyle w:val="2"/>
        <w:rPr>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29" w:name="_Toc21426"/>
      <w:bookmarkStart w:id="430" w:name="_Toc30796"/>
      <w:bookmarkStart w:id="431" w:name="_Toc5471"/>
      <w:bookmarkStart w:id="432" w:name="_Toc14359"/>
      <w:bookmarkStart w:id="433" w:name="_Toc24135"/>
      <w:bookmarkStart w:id="434" w:name="_Toc27864"/>
      <w:bookmarkStart w:id="435" w:name="_Toc28309"/>
      <w:bookmarkStart w:id="436" w:name="_Toc12801"/>
      <w:r>
        <w:rPr>
          <w:rFonts w:ascii="宋体" w:hAnsi="宋体"/>
          <w:b/>
          <w:highlight w:val="none"/>
        </w:rPr>
        <w:t>2.</w:t>
      </w:r>
      <w:r>
        <w:rPr>
          <w:rFonts w:hint="eastAsia" w:ascii="宋体" w:hAnsi="宋体"/>
          <w:b/>
          <w:highlight w:val="none"/>
        </w:rPr>
        <w:t>拟投入人员</w:t>
      </w:r>
      <w:r>
        <w:rPr>
          <w:rFonts w:hint="eastAsia" w:ascii="宋体"/>
          <w:b/>
          <w:highlight w:val="none"/>
        </w:rPr>
        <w:t>配置</w:t>
      </w:r>
      <w:r>
        <w:rPr>
          <w:rFonts w:hint="eastAsia" w:ascii="宋体" w:hAnsi="宋体"/>
          <w:b/>
          <w:highlight w:val="none"/>
        </w:rPr>
        <w:t>明细表</w:t>
      </w:r>
      <w:bookmarkEnd w:id="429"/>
      <w:bookmarkEnd w:id="430"/>
      <w:bookmarkEnd w:id="431"/>
      <w:bookmarkEnd w:id="432"/>
      <w:bookmarkEnd w:id="433"/>
      <w:bookmarkEnd w:id="434"/>
      <w:bookmarkEnd w:id="435"/>
      <w:bookmarkEnd w:id="436"/>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4"/>
    <w:bookmarkEnd w:id="425"/>
    <w:bookmarkEnd w:id="426"/>
    <w:p>
      <w:pPr>
        <w:rPr>
          <w:highlight w:val="none"/>
        </w:rPr>
      </w:pPr>
    </w:p>
    <w:p>
      <w:pPr>
        <w:rPr>
          <w:highlight w:val="none"/>
        </w:rPr>
      </w:pPr>
    </w:p>
    <w:p>
      <w:pPr>
        <w:rPr>
          <w:highlight w:val="none"/>
        </w:rPr>
      </w:pPr>
    </w:p>
    <w:p>
      <w:pPr>
        <w:rPr>
          <w:highlight w:val="none"/>
        </w:rPr>
      </w:pPr>
    </w:p>
    <w:p>
      <w:pPr>
        <w:pStyle w:val="2"/>
        <w:rPr>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2"/>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宋体" w:hAnsi="宋体" w:eastAsia="宋体" w:cs="Times New Roman"/>
          <w:b/>
          <w:kern w:val="0"/>
          <w:sz w:val="28"/>
          <w:szCs w:val="20"/>
          <w:highlight w:val="none"/>
          <w:lang w:val="en-US" w:eastAsia="zh-CN" w:bidi="ar-SA"/>
        </w:rPr>
      </w:pPr>
      <w:r>
        <w:rPr>
          <w:rFonts w:hint="eastAsia" w:ascii="宋体" w:hAnsi="宋体" w:eastAsia="宋体" w:cs="Times New Roman"/>
          <w:b/>
          <w:kern w:val="0"/>
          <w:sz w:val="28"/>
          <w:szCs w:val="20"/>
          <w:highlight w:val="none"/>
          <w:lang w:val="en-US" w:eastAsia="zh-CN" w:bidi="ar-SA"/>
        </w:rPr>
        <w:t>4.拟投入人员中正式员工劳动合同</w:t>
      </w:r>
      <w:r>
        <w:rPr>
          <w:rFonts w:hint="default" w:ascii="宋体" w:hAnsi="宋体" w:cs="Times New Roman"/>
          <w:b/>
          <w:kern w:val="0"/>
          <w:sz w:val="28"/>
          <w:szCs w:val="20"/>
          <w:highlight w:val="none"/>
          <w:lang w:val="en-US" w:eastAsia="zh-CN" w:bidi="ar-SA"/>
        </w:rPr>
        <w:t>及</w:t>
      </w:r>
      <w:r>
        <w:rPr>
          <w:rFonts w:hint="eastAsia" w:ascii="宋体" w:hAnsi="宋体" w:eastAsia="宋体" w:cs="Times New Roman"/>
          <w:b/>
          <w:kern w:val="0"/>
          <w:sz w:val="28"/>
          <w:szCs w:val="20"/>
          <w:highlight w:val="none"/>
          <w:lang w:val="en-US" w:eastAsia="zh-CN" w:bidi="ar-SA"/>
        </w:rPr>
        <w:t>近3个月社保缴付证明（</w:t>
      </w:r>
      <w:r>
        <w:rPr>
          <w:rFonts w:hint="eastAsia" w:ascii="宋体" w:hAnsi="宋体" w:cs="Times New Roman"/>
          <w:b/>
          <w:kern w:val="0"/>
          <w:sz w:val="28"/>
          <w:szCs w:val="20"/>
          <w:highlight w:val="none"/>
          <w:lang w:val="en-US" w:eastAsia="zh-CN" w:bidi="ar-SA"/>
        </w:rPr>
        <w:t>提供</w:t>
      </w:r>
      <w:r>
        <w:rPr>
          <w:rFonts w:hint="eastAsia" w:ascii="宋体" w:hAnsi="宋体" w:eastAsia="宋体" w:cs="Times New Roman"/>
          <w:b/>
          <w:kern w:val="0"/>
          <w:sz w:val="28"/>
          <w:szCs w:val="20"/>
          <w:highlight w:val="none"/>
          <w:lang w:val="en-US" w:eastAsia="zh-CN" w:bidi="ar-SA"/>
        </w:rPr>
        <w:t>复印件加盖单位公章）</w:t>
      </w:r>
    </w:p>
    <w:p>
      <w:pPr>
        <w:ind w:firstLine="420" w:firstLineChars="150"/>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b/>
          <w:highlight w:val="none"/>
        </w:rPr>
      </w:pPr>
      <w:bookmarkStart w:id="437" w:name="_Toc597"/>
      <w:bookmarkStart w:id="438" w:name="_Toc5051"/>
      <w:bookmarkStart w:id="439" w:name="_Toc29269"/>
      <w:bookmarkStart w:id="440" w:name="_Toc30924"/>
      <w:bookmarkStart w:id="441" w:name="_Toc17896"/>
      <w:bookmarkStart w:id="442" w:name="_Toc28584"/>
      <w:bookmarkStart w:id="443" w:name="_Toc21725"/>
      <w:bookmarkStart w:id="444" w:name="_Toc17903"/>
      <w:r>
        <w:rPr>
          <w:rFonts w:hint="eastAsia" w:ascii="宋体" w:hAnsi="宋体"/>
          <w:b/>
          <w:highlight w:val="none"/>
          <w:lang w:val="en-US" w:eastAsia="zh-CN"/>
        </w:rPr>
        <w:t>5</w:t>
      </w:r>
      <w:r>
        <w:rPr>
          <w:rFonts w:ascii="宋体" w:hAnsi="宋体"/>
          <w:b/>
          <w:highlight w:val="none"/>
        </w:rPr>
        <w:t>.</w:t>
      </w:r>
      <w:r>
        <w:rPr>
          <w:rFonts w:hint="eastAsia" w:ascii="宋体" w:hAnsi="宋体"/>
          <w:b/>
          <w:highlight w:val="none"/>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cs="宋体"/>
          <w:b/>
          <w:sz w:val="28"/>
          <w:szCs w:val="28"/>
          <w:highlight w:val="none"/>
        </w:rPr>
      </w:pPr>
      <w:r>
        <w:rPr>
          <w:rFonts w:ascii="宋体" w:cs="宋体"/>
          <w:sz w:val="28"/>
          <w:szCs w:val="28"/>
          <w:highlight w:val="none"/>
        </w:rPr>
        <w:br w:type="page"/>
      </w:r>
      <w:r>
        <w:rPr>
          <w:rFonts w:hint="eastAsia" w:ascii="宋体" w:hAnsi="宋体" w:cs="宋体"/>
          <w:b/>
          <w:sz w:val="28"/>
          <w:szCs w:val="28"/>
          <w:highlight w:val="none"/>
          <w:lang w:val="en-US" w:eastAsia="zh-CN"/>
        </w:rPr>
        <w:t>6</w:t>
      </w:r>
      <w:r>
        <w:rPr>
          <w:rFonts w:ascii="宋体" w:hAnsi="宋体" w:cs="宋体"/>
          <w:b/>
          <w:sz w:val="28"/>
          <w:szCs w:val="28"/>
          <w:highlight w:val="none"/>
        </w:rPr>
        <w:t>.</w:t>
      </w:r>
      <w:r>
        <w:rPr>
          <w:rFonts w:hint="eastAsia" w:ascii="宋体" w:hAnsi="宋体"/>
          <w:b/>
          <w:highlight w:val="none"/>
        </w:rPr>
        <w:t>其他</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5" w:name="_Toc5462"/>
      <w:bookmarkStart w:id="446" w:name="_Toc15155"/>
      <w:bookmarkStart w:id="447" w:name="_Toc26103"/>
      <w:bookmarkStart w:id="448" w:name="_Toc24947"/>
      <w:bookmarkStart w:id="449" w:name="_Toc9617"/>
      <w:bookmarkStart w:id="450" w:name="_Toc27920"/>
      <w:bookmarkStart w:id="451" w:name="_Toc25435"/>
      <w:bookmarkStart w:id="452" w:name="_Toc12434"/>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3" w:name="_Toc27059"/>
      <w:bookmarkStart w:id="454" w:name="_Toc461525327"/>
      <w:bookmarkStart w:id="455" w:name="_Toc3587"/>
      <w:bookmarkStart w:id="456" w:name="_Toc10925"/>
      <w:bookmarkStart w:id="457" w:name="_Toc20460"/>
      <w:bookmarkStart w:id="458" w:name="_Toc15573"/>
      <w:bookmarkStart w:id="459" w:name="_Toc3278"/>
      <w:bookmarkStart w:id="460" w:name="_Toc196"/>
      <w:bookmarkStart w:id="461" w:name="_Toc21287"/>
      <w:r>
        <w:rPr>
          <w:rFonts w:hint="eastAsia"/>
          <w:b w:val="0"/>
          <w:bCs w:val="0"/>
          <w:sz w:val="28"/>
          <w:szCs w:val="28"/>
          <w:highlight w:val="none"/>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2"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2"/>
      <w:r>
        <w:rPr>
          <w:rFonts w:hint="eastAsia" w:ascii="宋体" w:hAnsi="宋体" w:cs="宋体"/>
          <w:sz w:val="28"/>
          <w:szCs w:val="28"/>
          <w:highlight w:val="none"/>
        </w:rPr>
        <w:t>月</w:t>
      </w:r>
      <w:bookmarkStart w:id="463"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9"/>
        <w:rPr>
          <w:rFonts w:ascii="宋体" w:cs="宋体"/>
          <w:kern w:val="2"/>
          <w:szCs w:val="28"/>
          <w:highlight w:val="none"/>
        </w:rPr>
      </w:pPr>
      <w:bookmarkStart w:id="464" w:name="_Toc11015"/>
      <w:bookmarkStart w:id="465" w:name="_Toc461525328"/>
      <w:bookmarkStart w:id="466" w:name="_Toc30879"/>
      <w:bookmarkStart w:id="467" w:name="_Toc4901"/>
      <w:bookmarkStart w:id="468" w:name="_Toc21835"/>
      <w:bookmarkStart w:id="469" w:name="_Toc7127"/>
      <w:bookmarkStart w:id="470" w:name="_Toc17346"/>
      <w:bookmarkStart w:id="471" w:name="_Toc16542"/>
      <w:bookmarkStart w:id="472" w:name="_Toc471482372"/>
      <w:bookmarkStart w:id="473" w:name="_Toc24524"/>
      <w:bookmarkStart w:id="474" w:name="_Toc5616"/>
      <w:bookmarkStart w:id="475" w:name="_Toc2010"/>
      <w:bookmarkStart w:id="476" w:name="_Toc257"/>
      <w:bookmarkStart w:id="477" w:name="_Toc24408"/>
    </w:p>
    <w:p>
      <w:pPr>
        <w:rPr>
          <w:highlight w:val="none"/>
        </w:rPr>
      </w:pPr>
    </w:p>
    <w:p>
      <w:pPr>
        <w:pStyle w:val="4"/>
        <w:spacing w:before="0" w:after="0" w:line="600" w:lineRule="exact"/>
        <w:jc w:val="center"/>
        <w:rPr>
          <w:b/>
          <w:highlight w:val="none"/>
        </w:rPr>
      </w:pPr>
      <w:bookmarkStart w:id="478" w:name="_Toc25672"/>
      <w:bookmarkStart w:id="479" w:name="_Toc12276"/>
      <w:bookmarkStart w:id="480" w:name="_Toc27214"/>
      <w:bookmarkStart w:id="481" w:name="_Toc21708"/>
      <w:bookmarkStart w:id="482" w:name="_Toc9809"/>
      <w:bookmarkStart w:id="483" w:name="_Toc5984"/>
      <w:bookmarkStart w:id="484" w:name="_Toc8407"/>
      <w:r>
        <w:rPr>
          <w:rFonts w:hint="eastAsia"/>
          <w:b/>
          <w:highlight w:val="none"/>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keepNext/>
        <w:keepLines/>
        <w:pageBreakBefore w:val="0"/>
        <w:widowControl w:val="0"/>
        <w:kinsoku/>
        <w:wordWrap/>
        <w:overflowPunct/>
        <w:topLinePunct w:val="0"/>
        <w:autoSpaceDE/>
        <w:autoSpaceDN/>
        <w:bidi w:val="0"/>
        <w:adjustRightInd/>
        <w:snapToGrid/>
        <w:spacing w:before="0" w:after="0" w:line="600" w:lineRule="exact"/>
        <w:textAlignment w:val="auto"/>
        <w:rPr>
          <w:b/>
          <w:bCs/>
          <w:highlight w:val="none"/>
        </w:rPr>
      </w:pPr>
      <w:bookmarkStart w:id="485" w:name="_Toc26609"/>
      <w:bookmarkStart w:id="486" w:name="_Toc1148"/>
      <w:bookmarkStart w:id="487" w:name="_Toc6408"/>
      <w:bookmarkStart w:id="488" w:name="_Toc29457"/>
      <w:bookmarkStart w:id="489" w:name="_Toc3569"/>
      <w:bookmarkStart w:id="490" w:name="_Toc29844"/>
      <w:bookmarkStart w:id="491" w:name="_Toc17958"/>
      <w:bookmarkStart w:id="492" w:name="_Toc461525330"/>
      <w:bookmarkStart w:id="493" w:name="_Toc20415"/>
      <w:bookmarkStart w:id="494" w:name="_Toc25214"/>
      <w:bookmarkStart w:id="495" w:name="_Toc9748"/>
      <w:bookmarkStart w:id="496" w:name="_Toc25896"/>
      <w:r>
        <w:rPr>
          <w:b/>
          <w:bCs/>
          <w:highlight w:val="none"/>
        </w:rPr>
        <w:t>1.</w:t>
      </w:r>
      <w:r>
        <w:rPr>
          <w:rFonts w:hint="eastAsia"/>
          <w:b/>
          <w:bCs/>
          <w:highlight w:val="none"/>
        </w:rPr>
        <w:t>报价表</w:t>
      </w:r>
      <w:bookmarkEnd w:id="485"/>
      <w:bookmarkEnd w:id="486"/>
      <w:r>
        <w:rPr>
          <w:rFonts w:hint="eastAsia"/>
          <w:b/>
          <w:bCs/>
          <w:highlight w:val="none"/>
        </w:rPr>
        <w:t>（格式）</w:t>
      </w:r>
      <w:bookmarkEnd w:id="487"/>
      <w:bookmarkEnd w:id="488"/>
      <w:bookmarkEnd w:id="489"/>
      <w:bookmarkEnd w:id="490"/>
      <w:bookmarkEnd w:id="491"/>
      <w:bookmarkEnd w:id="492"/>
      <w:bookmarkEnd w:id="493"/>
      <w:bookmarkEnd w:id="494"/>
      <w:bookmarkEnd w:id="495"/>
      <w:bookmarkEnd w:id="496"/>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lang w:eastAsia="zh-CN"/>
              </w:rPr>
              <w:t>南宁轨道交通运营有限公司2021年至2022年物资管理内控建设及执行情况</w:t>
            </w:r>
            <w:r>
              <w:rPr>
                <w:rFonts w:hint="eastAsia" w:ascii="宋体" w:hAnsi="宋体" w:cs="宋体"/>
                <w:szCs w:val="21"/>
                <w:highlight w:val="none"/>
                <w:lang w:val="en-US" w:eastAsia="zh-CN"/>
              </w:rPr>
              <w:t>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hint="default" w:ascii="宋体" w:eastAsia="宋体" w:cs="宋体"/>
                <w:szCs w:val="21"/>
                <w:highlight w:val="none"/>
                <w:u w:val="single"/>
                <w:lang w:val="en-US" w:eastAsia="zh-CN"/>
              </w:rPr>
            </w:pPr>
            <w:r>
              <w:rPr>
                <w:rFonts w:hint="eastAsia" w:ascii="宋体" w:hAnsi="宋体" w:cs="宋体"/>
                <w:szCs w:val="21"/>
                <w:highlight w:val="none"/>
              </w:rPr>
              <w:t>不含税：</w:t>
            </w:r>
            <w:r>
              <w:rPr>
                <w:rFonts w:hint="eastAsia" w:ascii="宋体" w:cs="宋体"/>
                <w:szCs w:val="21"/>
                <w:highlight w:val="none"/>
                <w:u w:val="single"/>
                <w:lang w:val="en-US" w:eastAsia="zh-CN"/>
              </w:rPr>
              <w:t xml:space="preserve">         元</w:t>
            </w: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hint="default" w:ascii="宋体" w:eastAsia="宋体" w:cs="宋体"/>
                <w:szCs w:val="21"/>
                <w:highlight w:val="none"/>
                <w:lang w:val="en-US" w:eastAsia="zh-CN"/>
              </w:rPr>
            </w:pPr>
            <w:r>
              <w:rPr>
                <w:rFonts w:hint="eastAsia" w:ascii="宋体" w:hAnsi="宋体" w:cs="宋体"/>
                <w:szCs w:val="21"/>
                <w:highlight w:val="none"/>
              </w:rPr>
              <w:t>价税合计</w:t>
            </w:r>
            <w:r>
              <w:rPr>
                <w:rFonts w:hint="eastAsia" w:ascii="宋体" w:hAnsi="宋体" w:cs="宋体"/>
                <w:szCs w:val="21"/>
                <w:highlight w:val="none"/>
                <w:u w:val="none"/>
              </w:rPr>
              <w:t>：</w:t>
            </w:r>
            <w:r>
              <w:rPr>
                <w:rFonts w:hint="eastAsia" w:ascii="宋体" w:hAnsi="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元</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7"/>
    <w:bookmarkEnd w:id="428"/>
    <w:bookmarkEnd w:id="445"/>
    <w:bookmarkEnd w:id="446"/>
    <w:bookmarkEnd w:id="447"/>
    <w:bookmarkEnd w:id="448"/>
    <w:bookmarkEnd w:id="449"/>
    <w:bookmarkEnd w:id="450"/>
    <w:bookmarkEnd w:id="451"/>
    <w:bookmarkEnd w:id="452"/>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rFonts w:ascii="宋体" w:cs="宋体"/>
          <w:b w:val="0"/>
          <w:kern w:val="2"/>
          <w:szCs w:val="28"/>
          <w:highlight w:val="none"/>
        </w:rPr>
      </w:pPr>
      <w:bookmarkStart w:id="497" w:name="_Toc471482373"/>
      <w:bookmarkStart w:id="498" w:name="_Toc2193"/>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keepNext/>
        <w:keepLines/>
        <w:pageBreakBefore w:val="0"/>
        <w:widowControl w:val="0"/>
        <w:kinsoku/>
        <w:wordWrap/>
        <w:overflowPunct/>
        <w:topLinePunct w:val="0"/>
        <w:autoSpaceDE/>
        <w:autoSpaceDN/>
        <w:bidi w:val="0"/>
        <w:adjustRightInd/>
        <w:snapToGrid/>
        <w:spacing w:before="0" w:after="0" w:line="600" w:lineRule="exact"/>
        <w:textAlignment w:val="auto"/>
        <w:outlineLvl w:val="9"/>
        <w:rPr>
          <w:b w:val="0"/>
          <w:kern w:val="2"/>
          <w:sz w:val="21"/>
          <w:szCs w:val="24"/>
          <w:highlight w:val="none"/>
        </w:rPr>
      </w:pPr>
    </w:p>
    <w:p>
      <w:pPr>
        <w:rPr>
          <w:highlight w:val="none"/>
        </w:rPr>
      </w:pPr>
    </w:p>
    <w:p>
      <w:pPr>
        <w:pStyle w:val="3"/>
        <w:spacing w:before="0" w:after="0" w:line="600" w:lineRule="exact"/>
        <w:rPr>
          <w:highlight w:val="none"/>
        </w:rPr>
      </w:pPr>
      <w:bookmarkStart w:id="499" w:name="_Toc3272"/>
      <w:bookmarkStart w:id="500" w:name="_Toc7168"/>
      <w:bookmarkStart w:id="501" w:name="_Toc30863"/>
      <w:bookmarkStart w:id="502" w:name="_Toc7086"/>
      <w:bookmarkStart w:id="503" w:name="_Toc29161"/>
      <w:bookmarkStart w:id="504" w:name="_Toc8240"/>
      <w:bookmarkStart w:id="505" w:name="_Toc22689"/>
      <w:r>
        <w:rPr>
          <w:rFonts w:hint="eastAsia"/>
          <w:highlight w:val="none"/>
        </w:rPr>
        <w:t>第四章</w:t>
      </w:r>
      <w:r>
        <w:rPr>
          <w:highlight w:val="none"/>
        </w:rPr>
        <w:t xml:space="preserve"> </w:t>
      </w:r>
      <w:r>
        <w:rPr>
          <w:rFonts w:hint="eastAsia"/>
          <w:highlight w:val="none"/>
        </w:rPr>
        <w:t>评比办法</w:t>
      </w:r>
      <w:bookmarkEnd w:id="497"/>
      <w:bookmarkEnd w:id="498"/>
      <w:bookmarkEnd w:id="499"/>
      <w:bookmarkEnd w:id="500"/>
      <w:bookmarkEnd w:id="501"/>
      <w:bookmarkEnd w:id="502"/>
      <w:bookmarkEnd w:id="503"/>
      <w:bookmarkEnd w:id="504"/>
      <w:bookmarkEnd w:id="505"/>
    </w:p>
    <w:p>
      <w:pPr>
        <w:rPr>
          <w:highlight w:val="none"/>
        </w:rPr>
      </w:pPr>
      <w:bookmarkStart w:id="506" w:name="_Toc471482374"/>
      <w:bookmarkStart w:id="507" w:name="_Toc28938"/>
      <w:bookmarkStart w:id="508" w:name="_Toc31412"/>
      <w:bookmarkStart w:id="509" w:name="_Toc17031"/>
      <w:bookmarkStart w:id="510" w:name="_Toc3898"/>
      <w:bookmarkStart w:id="511" w:name="_Toc16236"/>
      <w:bookmarkStart w:id="512" w:name="_Toc2433"/>
      <w:bookmarkStart w:id="513" w:name="_Toc10015"/>
      <w:bookmarkStart w:id="514" w:name="_Toc2996"/>
      <w:bookmarkStart w:id="515" w:name="_Toc18215"/>
      <w:bookmarkStart w:id="516" w:name="_Toc7201"/>
    </w:p>
    <w:p>
      <w:pPr>
        <w:pStyle w:val="4"/>
        <w:spacing w:before="0" w:after="0" w:line="540" w:lineRule="exact"/>
        <w:rPr>
          <w:b/>
          <w:highlight w:val="none"/>
        </w:rPr>
      </w:pPr>
      <w:bookmarkStart w:id="517" w:name="_Toc3261"/>
      <w:bookmarkStart w:id="518" w:name="_Toc11093"/>
      <w:bookmarkStart w:id="519" w:name="_Toc25326"/>
      <w:bookmarkStart w:id="520" w:name="_Toc24016"/>
      <w:bookmarkStart w:id="521" w:name="_Toc6298"/>
      <w:bookmarkStart w:id="522" w:name="_Toc30260"/>
      <w:bookmarkStart w:id="523" w:name="_Toc21341"/>
      <w:r>
        <w:rPr>
          <w:rFonts w:hint="eastAsia"/>
          <w:b/>
          <w:highlight w:val="none"/>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4" w:name="_Toc471482375"/>
      <w:bookmarkStart w:id="525" w:name="_Toc18543"/>
      <w:bookmarkStart w:id="526" w:name="_Toc14401"/>
      <w:bookmarkStart w:id="527" w:name="_Toc7740"/>
      <w:bookmarkStart w:id="528" w:name="_Toc7245"/>
      <w:bookmarkStart w:id="529" w:name="_Toc5579"/>
      <w:bookmarkStart w:id="530" w:name="_Toc29182"/>
      <w:bookmarkStart w:id="531" w:name="_Toc20237"/>
      <w:bookmarkStart w:id="532" w:name="_Toc29031"/>
      <w:bookmarkStart w:id="533" w:name="_Toc32565"/>
      <w:bookmarkStart w:id="534" w:name="_Toc17260"/>
      <w:bookmarkStart w:id="535" w:name="_Toc30979"/>
      <w:bookmarkStart w:id="536" w:name="_Toc15054"/>
      <w:bookmarkStart w:id="537" w:name="_Toc5576"/>
      <w:bookmarkStart w:id="538" w:name="_Toc28487"/>
      <w:bookmarkStart w:id="539" w:name="_Toc14568"/>
      <w:bookmarkStart w:id="540" w:name="_Toc9093"/>
      <w:bookmarkStart w:id="541" w:name="_Toc5190"/>
      <w:r>
        <w:rPr>
          <w:rFonts w:hint="eastAsia"/>
          <w:b/>
          <w:highlight w:val="none"/>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2" w:name="_Toc18027"/>
      <w:bookmarkStart w:id="543" w:name="_Toc32296"/>
      <w:bookmarkStart w:id="544" w:name="_Toc2392"/>
      <w:bookmarkStart w:id="545" w:name="_Toc471482376"/>
      <w:bookmarkStart w:id="546" w:name="_Toc15930"/>
      <w:bookmarkStart w:id="547" w:name="_Toc5094"/>
      <w:bookmarkStart w:id="548" w:name="_Toc10918"/>
      <w:bookmarkStart w:id="549" w:name="_Toc2553"/>
      <w:bookmarkStart w:id="550" w:name="_Toc26842"/>
      <w:bookmarkStart w:id="551" w:name="_Toc28207"/>
      <w:bookmarkStart w:id="552" w:name="_Toc2613"/>
      <w:bookmarkStart w:id="553" w:name="_Toc10906"/>
      <w:bookmarkStart w:id="554" w:name="_Toc11354"/>
      <w:bookmarkStart w:id="555" w:name="_Toc9696"/>
      <w:bookmarkStart w:id="556" w:name="_Toc31078"/>
      <w:bookmarkStart w:id="557" w:name="_Toc25894"/>
      <w:bookmarkStart w:id="558" w:name="_Toc2727"/>
      <w:bookmarkStart w:id="559" w:name="_Toc13406"/>
      <w:r>
        <w:rPr>
          <w:rFonts w:hint="eastAsia"/>
          <w:b/>
          <w:highlight w:val="none"/>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highlight w:val="none"/>
        </w:rPr>
      </w:pPr>
      <w:bookmarkStart w:id="560" w:name="_Toc18752"/>
      <w:bookmarkStart w:id="561" w:name="_Toc15382"/>
      <w:bookmarkStart w:id="562" w:name="_Toc1358"/>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0"/>
      <w:bookmarkEnd w:id="561"/>
      <w:bookmarkEnd w:id="562"/>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lang w:val="en-US" w:eastAsia="zh-CN"/>
              </w:rPr>
              <w:t>10</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shd w:val="clear"/>
              </w:rPr>
              <w:t>每个业绩</w:t>
            </w:r>
            <w:r>
              <w:rPr>
                <w:rFonts w:hint="eastAsia" w:ascii="宋体" w:hAnsi="宋体" w:cs="宋体"/>
                <w:sz w:val="24"/>
                <w:highlight w:val="none"/>
                <w:shd w:val="clear"/>
                <w:lang w:val="en-US" w:eastAsia="zh-CN"/>
              </w:rPr>
              <w:t>2</w:t>
            </w:r>
            <w:r>
              <w:rPr>
                <w:rFonts w:hint="eastAsia" w:ascii="宋体" w:hAnsi="宋体" w:cs="宋体"/>
                <w:sz w:val="24"/>
                <w:highlight w:val="none"/>
                <w:shd w:val="clear"/>
              </w:rPr>
              <w:t>分。</w:t>
            </w:r>
            <w:r>
              <w:rPr>
                <w:rFonts w:ascii="宋体" w:hAnsi="宋体" w:cs="宋体"/>
                <w:sz w:val="24"/>
                <w:highlight w:val="none"/>
                <w:shd w:val="clear"/>
              </w:rPr>
              <w:t>(</w:t>
            </w:r>
            <w:r>
              <w:rPr>
                <w:rFonts w:hint="eastAsia" w:ascii="宋体" w:hAnsi="宋体" w:cs="宋体"/>
                <w:sz w:val="24"/>
                <w:highlight w:val="none"/>
                <w:shd w:val="clear"/>
              </w:rPr>
              <w:t>相关或相近的服务经验定义为：</w:t>
            </w:r>
            <w:r>
              <w:rPr>
                <w:rFonts w:hint="eastAsia" w:ascii="宋体" w:hAnsi="宋体" w:cs="宋体"/>
                <w:sz w:val="24"/>
                <w:highlight w:val="none"/>
                <w:shd w:val="clear"/>
                <w:lang w:val="en-US" w:eastAsia="zh-CN"/>
              </w:rPr>
              <w:t>国有企业物资内控建设及执行情况专项审计</w:t>
            </w:r>
            <w:r>
              <w:rPr>
                <w:rFonts w:hint="eastAsia" w:ascii="宋体" w:hAnsi="宋体" w:cs="宋体"/>
                <w:sz w:val="24"/>
                <w:highlight w:val="none"/>
                <w:shd w:val="clear"/>
              </w:rPr>
              <w:t>的业绩</w:t>
            </w:r>
            <w:r>
              <w:rPr>
                <w:rFonts w:hint="eastAsia" w:ascii="宋体" w:hAnsi="宋体" w:cs="宋体"/>
                <w:sz w:val="24"/>
                <w:highlight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8 </w:t>
            </w:r>
            <w:r>
              <w:rPr>
                <w:rFonts w:hint="eastAsia" w:ascii="宋体" w:hAnsi="宋体"/>
                <w:sz w:val="24"/>
                <w:highlight w:val="none"/>
              </w:rPr>
              <w:t>分；</w:t>
            </w:r>
            <w:r>
              <w:rPr>
                <w:rFonts w:hint="eastAsia" w:ascii="宋体" w:hAnsi="宋体"/>
                <w:sz w:val="24"/>
                <w:highlight w:val="none"/>
                <w:lang w:val="en-US" w:eastAsia="zh-CN"/>
              </w:rPr>
              <w:t>具有国有企业物资内控建设及执行情况专项审计经验得</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hint="eastAsia" w:ascii="宋体" w:hAnsi="宋体"/>
                <w:sz w:val="24"/>
                <w:highlight w:val="none"/>
              </w:rPr>
              <w:t>分；其他为</w:t>
            </w:r>
            <w:r>
              <w:rPr>
                <w:rFonts w:ascii="宋体" w:hAnsi="宋体"/>
                <w:sz w:val="24"/>
                <w:highlight w:val="none"/>
              </w:rPr>
              <w:t>0</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分，每个业绩</w:t>
            </w:r>
            <w:r>
              <w:rPr>
                <w:rFonts w:hint="eastAsia" w:ascii="宋体" w:hAnsi="宋体" w:cs="宋体"/>
                <w:sz w:val="24"/>
                <w:highlight w:val="none"/>
                <w:lang w:val="en-US" w:eastAsia="zh-CN"/>
              </w:rPr>
              <w:t>2</w:t>
            </w:r>
            <w:r>
              <w:rPr>
                <w:rFonts w:hint="eastAsia" w:ascii="宋体" w:hAnsi="宋体" w:cs="宋体"/>
                <w:sz w:val="24"/>
                <w:highlight w:val="none"/>
              </w:rPr>
              <w:t>分。</w:t>
            </w:r>
            <w:r>
              <w:rPr>
                <w:rFonts w:ascii="宋体" w:hAnsi="宋体" w:cs="宋体"/>
                <w:sz w:val="24"/>
                <w:highlight w:val="none"/>
                <w:shd w:val="clear"/>
              </w:rPr>
              <w:t>(</w:t>
            </w:r>
            <w:r>
              <w:rPr>
                <w:rFonts w:hint="eastAsia" w:ascii="宋体" w:hAnsi="宋体" w:cs="宋体"/>
                <w:sz w:val="24"/>
                <w:highlight w:val="none"/>
                <w:shd w:val="clear"/>
              </w:rPr>
              <w:t>相关或相近的服务经验定义为：</w:t>
            </w:r>
            <w:r>
              <w:rPr>
                <w:rFonts w:hint="eastAsia" w:ascii="宋体" w:hAnsi="宋体" w:cs="宋体"/>
                <w:sz w:val="24"/>
                <w:highlight w:val="none"/>
                <w:shd w:val="clear"/>
                <w:lang w:val="en-US" w:eastAsia="zh-CN"/>
              </w:rPr>
              <w:t>国有企业物资内控建设及执行情况专项审计</w:t>
            </w:r>
            <w:r>
              <w:rPr>
                <w:rFonts w:hint="eastAsia" w:ascii="宋体" w:hAnsi="宋体" w:cs="宋体"/>
                <w:sz w:val="24"/>
                <w:highlight w:val="none"/>
                <w:shd w:val="clear"/>
              </w:rPr>
              <w:t>的业绩</w:t>
            </w:r>
            <w:r>
              <w:rPr>
                <w:rFonts w:hint="eastAsia" w:ascii="宋体" w:hAnsi="宋体" w:cs="宋体"/>
                <w:sz w:val="24"/>
                <w:highlight w:val="none"/>
                <w:shd w:val="clear"/>
                <w:lang w:eastAsia="zh-CN"/>
              </w:rPr>
              <w:t>）</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w:t>
            </w:r>
            <w:r>
              <w:rPr>
                <w:rFonts w:hint="eastAsia" w:ascii="宋体" w:hAnsi="宋体"/>
                <w:sz w:val="24"/>
                <w:highlight w:val="none"/>
                <w:u w:val="single"/>
                <w:lang w:val="en-US" w:eastAsia="zh-CN"/>
              </w:rPr>
              <w:t>4</w:t>
            </w:r>
            <w:r>
              <w:rPr>
                <w:rFonts w:ascii="宋体" w:hAnsi="宋体"/>
                <w:sz w:val="24"/>
                <w:highlight w:val="none"/>
                <w:u w:val="single"/>
              </w:rPr>
              <w:t xml:space="preserve"> </w:t>
            </w:r>
            <w:r>
              <w:rPr>
                <w:rFonts w:hint="eastAsia" w:ascii="宋体" w:hAnsi="宋体" w:cs="宋体"/>
                <w:sz w:val="24"/>
                <w:highlight w:val="none"/>
              </w:rPr>
              <w:t>人及以上正式员工组成的得</w:t>
            </w:r>
            <w:r>
              <w:rPr>
                <w:rFonts w:hint="eastAsia" w:ascii="宋体" w:hAnsi="宋体" w:cs="宋体"/>
                <w:sz w:val="24"/>
                <w:highlight w:val="none"/>
                <w:lang w:val="en-US" w:eastAsia="zh-CN"/>
              </w:rPr>
              <w:t>7</w:t>
            </w:r>
            <w:r>
              <w:rPr>
                <w:rFonts w:hint="eastAsia" w:ascii="宋体" w:hAnsi="宋体" w:cs="宋体"/>
                <w:sz w:val="24"/>
                <w:highlight w:val="none"/>
              </w:rPr>
              <w:t>分，</w:t>
            </w:r>
            <w:r>
              <w:rPr>
                <w:rFonts w:hint="eastAsia" w:ascii="宋体" w:hAnsi="宋体" w:cs="宋体"/>
                <w:sz w:val="24"/>
                <w:highlight w:val="none"/>
                <w:lang w:val="en-US" w:eastAsia="zh-CN"/>
              </w:rPr>
              <w:t>成员具有</w:t>
            </w:r>
            <w:r>
              <w:rPr>
                <w:rFonts w:hint="eastAsia" w:ascii="宋体" w:hAnsi="宋体" w:cs="宋体"/>
                <w:sz w:val="24"/>
                <w:highlight w:val="none"/>
              </w:rPr>
              <w:t>本项目相关或相近的服务经验</w:t>
            </w:r>
            <w:r>
              <w:rPr>
                <w:rFonts w:hint="eastAsia" w:ascii="宋体" w:hAnsi="宋体"/>
                <w:sz w:val="24"/>
                <w:highlight w:val="none"/>
                <w:lang w:val="en-US" w:eastAsia="zh-CN"/>
              </w:rPr>
              <w:t>审计经验</w:t>
            </w:r>
            <w:r>
              <w:rPr>
                <w:rFonts w:hint="eastAsia" w:ascii="宋体" w:hAnsi="宋体" w:cs="宋体"/>
                <w:sz w:val="24"/>
                <w:highlight w:val="none"/>
                <w:lang w:val="en-US" w:eastAsia="zh-CN"/>
              </w:rPr>
              <w:t>得3分，</w:t>
            </w:r>
            <w:r>
              <w:rPr>
                <w:rFonts w:hint="eastAsia" w:ascii="宋体" w:hAnsi="宋体" w:cs="宋体"/>
                <w:sz w:val="24"/>
                <w:highlight w:val="none"/>
              </w:rPr>
              <w:t>其他为</w:t>
            </w:r>
            <w:r>
              <w:rPr>
                <w:rFonts w:ascii="宋体" w:hAnsi="宋体" w:cs="宋体"/>
                <w:sz w:val="24"/>
                <w:highlight w:val="none"/>
              </w:rPr>
              <w:t>0</w:t>
            </w:r>
            <w:r>
              <w:rPr>
                <w:rFonts w:hint="eastAsia" w:ascii="宋体" w:hAnsi="宋体" w:cs="宋体"/>
                <w:sz w:val="24"/>
                <w:highlight w:val="none"/>
              </w:rPr>
              <w:t>分。</w:t>
            </w:r>
            <w:r>
              <w:rPr>
                <w:rFonts w:ascii="宋体" w:hAnsi="宋体" w:cs="宋体"/>
                <w:sz w:val="24"/>
                <w:highlight w:val="none"/>
                <w:shd w:val="clear"/>
              </w:rPr>
              <w:t>(</w:t>
            </w:r>
            <w:r>
              <w:rPr>
                <w:rFonts w:hint="eastAsia" w:ascii="宋体" w:hAnsi="宋体" w:cs="宋体"/>
                <w:sz w:val="24"/>
                <w:highlight w:val="none"/>
                <w:shd w:val="clear"/>
              </w:rPr>
              <w:t>相关或相近的服务经验定义为：</w:t>
            </w:r>
            <w:r>
              <w:rPr>
                <w:rFonts w:hint="eastAsia" w:ascii="宋体" w:hAnsi="宋体" w:cs="宋体"/>
                <w:sz w:val="24"/>
                <w:highlight w:val="none"/>
                <w:shd w:val="clear"/>
                <w:lang w:val="en-US" w:eastAsia="zh-CN"/>
              </w:rPr>
              <w:t>国有企业物资内控建设及执行情况专项审计</w:t>
            </w:r>
            <w:r>
              <w:rPr>
                <w:rFonts w:hint="eastAsia" w:ascii="宋体" w:hAnsi="宋体" w:cs="宋体"/>
                <w:sz w:val="24"/>
                <w:highlight w:val="none"/>
                <w:shd w:val="clear"/>
              </w:rPr>
              <w:t>的业绩</w:t>
            </w:r>
            <w:r>
              <w:rPr>
                <w:rFonts w:hint="eastAsia" w:ascii="宋体" w:hAnsi="宋体" w:cs="宋体"/>
                <w:sz w:val="24"/>
                <w:highlight w:val="none"/>
                <w:shd w:val="clear"/>
                <w:lang w:eastAsia="zh-CN"/>
              </w:rPr>
              <w:t>）</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hint="eastAsia" w:ascii="宋体" w:eastAsia="宋体" w:cs="宋体"/>
                <w:kern w:val="0"/>
                <w:sz w:val="24"/>
                <w:highlight w:val="none"/>
                <w:lang w:eastAsia="zh-CN"/>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w:t>
            </w: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hint="eastAsia" w:ascii="宋体" w:eastAsia="宋体" w:cs="宋体"/>
                <w:kern w:val="0"/>
                <w:sz w:val="24"/>
                <w:highlight w:val="none"/>
                <w:lang w:eastAsia="zh-CN"/>
              </w:rPr>
            </w:pPr>
            <w:r>
              <w:rPr>
                <w:rFonts w:ascii="宋体" w:hAnsi="宋体" w:cs="宋体"/>
                <w:kern w:val="0"/>
                <w:sz w:val="24"/>
                <w:highlight w:val="none"/>
              </w:rPr>
              <w:t>1</w:t>
            </w:r>
            <w:r>
              <w:rPr>
                <w:rFonts w:hint="eastAsia" w:ascii="宋体" w:hAnsi="宋体" w:cs="宋体"/>
                <w:kern w:val="0"/>
                <w:sz w:val="24"/>
                <w:highlight w:val="none"/>
                <w:lang w:val="en-US" w:eastAsia="zh-CN"/>
              </w:rPr>
              <w:t>0</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w:t>
            </w: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w:t>
            </w:r>
            <w:r>
              <w:rPr>
                <w:rFonts w:hint="eastAsia" w:ascii="宋体" w:hAnsi="宋体" w:cs="宋体"/>
                <w:kern w:val="0"/>
                <w:sz w:val="24"/>
                <w:highlight w:val="none"/>
                <w:lang w:val="en-US" w:eastAsia="zh-CN"/>
              </w:rPr>
              <w:t>0</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3" w:name="_Toc10183"/>
      <w:bookmarkStart w:id="564" w:name="_Toc21685"/>
      <w:bookmarkStart w:id="565" w:name="_Toc471482377"/>
      <w:bookmarkStart w:id="566" w:name="_Toc19593"/>
      <w:bookmarkStart w:id="567" w:name="_Toc17415"/>
      <w:bookmarkStart w:id="568" w:name="_Toc19395"/>
      <w:bookmarkStart w:id="569" w:name="_Toc27375"/>
      <w:bookmarkStart w:id="570" w:name="_Toc27525"/>
      <w:bookmarkStart w:id="571" w:name="_Toc15663"/>
      <w:bookmarkStart w:id="572" w:name="_Toc13854"/>
      <w:bookmarkStart w:id="573" w:name="_Toc7198"/>
      <w:bookmarkStart w:id="574" w:name="_Toc24296"/>
      <w:bookmarkStart w:id="575" w:name="_Toc19365"/>
      <w:bookmarkStart w:id="576" w:name="_Toc25386"/>
      <w:bookmarkStart w:id="577" w:name="_Toc22367"/>
      <w:bookmarkStart w:id="578" w:name="_Toc14432"/>
      <w:bookmarkStart w:id="579" w:name="_Toc28185"/>
      <w:bookmarkStart w:id="580" w:name="_Toc32310"/>
      <w:r>
        <w:rPr>
          <w:rFonts w:hint="eastAsia" w:ascii="宋体" w:hAnsi="宋体" w:cs="仿宋"/>
          <w:szCs w:val="28"/>
          <w:highlight w:val="none"/>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评审小组将按照综合得分进行排序，得分最高的排名第一（当综合得分相同时，按照技术部分得分由高到低顺序排列</w:t>
      </w:r>
      <w:r>
        <w:rPr>
          <w:rFonts w:hint="eastAsia" w:ascii="宋体" w:hAnsi="宋体" w:cs="仿宋"/>
          <w:sz w:val="28"/>
          <w:szCs w:val="28"/>
          <w:highlight w:val="none"/>
          <w:lang w:val="en-US" w:eastAsia="zh-CN"/>
        </w:rPr>
        <w:t>；当综合得分且技术部分得分相同的，</w:t>
      </w:r>
      <w:r>
        <w:rPr>
          <w:rFonts w:hint="eastAsia" w:ascii="宋体" w:hAnsi="宋体" w:cs="仿宋"/>
          <w:sz w:val="28"/>
          <w:szCs w:val="28"/>
          <w:highlight w:val="none"/>
        </w:rPr>
        <w:t>按报价由低到高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1" w:name="_Toc5010"/>
      <w:bookmarkStart w:id="582" w:name="_Toc8402"/>
      <w:bookmarkStart w:id="583" w:name="_Toc14566"/>
      <w:bookmarkStart w:id="584" w:name="_Toc492478835"/>
      <w:bookmarkStart w:id="585" w:name="_Toc31681"/>
      <w:bookmarkStart w:id="586" w:name="_Toc6454"/>
      <w:bookmarkStart w:id="587" w:name="_Toc1299"/>
      <w:bookmarkStart w:id="588" w:name="_Toc9597"/>
      <w:bookmarkStart w:id="589" w:name="_Toc20298"/>
      <w:bookmarkStart w:id="590" w:name="_Toc25061"/>
      <w:bookmarkStart w:id="591" w:name="_Toc13941"/>
      <w:bookmarkStart w:id="592" w:name="_Toc12314"/>
      <w:bookmarkStart w:id="593" w:name="_Toc12695"/>
      <w:bookmarkStart w:id="594" w:name="_Toc26446"/>
      <w:bookmarkStart w:id="595" w:name="_Toc28135"/>
      <w:bookmarkStart w:id="596" w:name="_Toc100643475"/>
      <w:bookmarkStart w:id="597" w:name="_Toc18668"/>
      <w:bookmarkStart w:id="598" w:name="_Toc14659"/>
      <w:bookmarkStart w:id="599" w:name="_Toc26409"/>
      <w:bookmarkStart w:id="600" w:name="_Toc28535"/>
      <w:bookmarkStart w:id="601" w:name="_Toc328"/>
      <w:bookmarkStart w:id="602" w:name="_Toc26468"/>
      <w:bookmarkStart w:id="603" w:name="_Toc16754"/>
      <w:bookmarkStart w:id="604" w:name="_Toc26741"/>
      <w:bookmarkStart w:id="605" w:name="_Toc30897"/>
      <w:bookmarkStart w:id="606" w:name="_Toc21321"/>
      <w:bookmarkStart w:id="607" w:name="_Toc1144"/>
      <w:bookmarkStart w:id="608" w:name="_Toc6337"/>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09" w:name="_Toc72762753"/>
    </w:p>
    <w:p>
      <w:pPr>
        <w:keepNext w:val="0"/>
        <w:keepLines w:val="0"/>
        <w:pageBreakBefore w:val="0"/>
        <w:widowControl/>
        <w:numPr>
          <w:ilvl w:val="255"/>
          <w:numId w:val="0"/>
        </w:numPr>
        <w:kinsoku/>
        <w:wordWrap/>
        <w:overflowPunct/>
        <w:topLinePunct w:val="0"/>
        <w:autoSpaceDE/>
        <w:autoSpaceDN/>
        <w:bidi w:val="0"/>
        <w:adjustRightInd/>
        <w:snapToGrid w:val="0"/>
        <w:spacing w:line="540" w:lineRule="exact"/>
        <w:ind w:firstLine="560" w:firstLineChars="200"/>
        <w:textAlignment w:val="baseline"/>
        <w:outlineLvl w:val="1"/>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09"/>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baseline"/>
        <w:outlineLvl w:val="2"/>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广西壮族自治区企业国有资产交易监督管理办法》《中华人民共和国民法典》《企业内部控制基本规范》及其他相关法律法规、规章制度，以及南宁轨道交通集团有限责任公司、南宁轨道交通运营有限公司招标采购、物资管理等相关制度开展工作，对</w:t>
      </w:r>
      <w:r>
        <w:rPr>
          <w:rFonts w:hint="eastAsia" w:ascii="仿宋" w:hAnsi="仿宋" w:eastAsia="仿宋" w:cs="仿宋"/>
          <w:sz w:val="28"/>
          <w:szCs w:val="28"/>
          <w:highlight w:val="none"/>
          <w:lang w:eastAsia="zh-CN"/>
        </w:rPr>
        <w:t>南宁轨道交通运营有限公司</w:t>
      </w:r>
      <w:r>
        <w:rPr>
          <w:rFonts w:hint="eastAsia" w:ascii="仿宋" w:hAnsi="仿宋" w:eastAsia="仿宋" w:cs="仿宋"/>
          <w:sz w:val="28"/>
          <w:szCs w:val="28"/>
          <w:highlight w:val="none"/>
        </w:rPr>
        <w:t>2021年至2022年物资管理内控建设及执行情况开展审计，包括内控建设的合法合规合理性及执行的效率效果等情况，作出客观公正、实事求是的评价，出具南宁轨道交通运营有限公司2021年至2022年物资管理内控建设及执行情况专项审计报告及管理建议书，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1.关注南宁轨道交通运营有限公司物资采购、验收、领用、盘点、处置等全流程相关制度的建立健全情况，设计是否合理，与采购相关的内部控制是否等到有效执行；</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2.关注采购环节相关岗位设置是否符合不相容岗位相互分离的原则。</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关注物资采购计划编制、执行及变更的合规性、合理性、及时性，是否存在采购计划编制、执行及变更流程不符合规章制度的情形；是否存在计划安排不合理导致短缺、积压可能导致企业生产停滞或资源浪费的情形，是否存在不及时编制或执行采购计划等人为制造紧急采购等情形；</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4.关注采购方式是否符合相关规定，采购方式选择的决策流程是否符合内部控制指引的规定；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5.关注评标或评审人员的选定、资质、专业、数量等是否符合相关规定；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关注评标或评审程序的合法合规性，是否按法律法规、公司规章制度对投标人资格、投标文件等进行审查，是否存在围标、串标等损害南宁轨道交通运营有限公司利益等情形，评标或评审的过程和成果记录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7.关注验收流程的合法合规性，验收人员组成是否符合不相容岗位互相分离原则，是否按合同约定的品牌、规格型号、数量、质量等要素验收，相关验收人员签字是否齐全，验收入库登记是否正确；</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8.关注物资存放和移动是否符合相关规定，管理职责是否清晰、制衡，是否存在非物资管理、监督、仓储人员在未经授权情况下接触物资等情形；</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9.关注物资领用手续是否完整，计量计价是否准确，账务处理是否正确，成本消耗是否存在异常；</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10.关注物资盘点程序是否符合相关规定，盘点人员组成是否合规合理，组织实施是否有序，盘盈盘亏处置是否符合规定，盘点各环节的审核签字手续是否完备，是否按规定出具盘点报告等；</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11.关注损坏、废旧等物资的管理是否符合相关规定，对具有回收价值的物资或危旧物资，存放保管是否安全，处置是否合法合规合理；</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12.物资各归口管理部门、生产技术部、财务部的物资台账登记是否完整、连续，账账是否相符；</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13.是否存在长期积压、大量在途物资情形，并分析形成原因；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14.其他涉及物资管理的合法合规合理情况；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15.集团公司关注的其他事项情况。</w:t>
      </w:r>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baseline"/>
        <w:outlineLvl w:val="2"/>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2" w:firstLineChars="200"/>
        <w:jc w:val="both"/>
        <w:textAlignment w:val="auto"/>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kern w:val="2"/>
          <w:sz w:val="28"/>
          <w:szCs w:val="28"/>
          <w:highlight w:val="none"/>
          <w:lang w:val="en-US" w:eastAsia="zh-CN" w:bidi="ar-SA"/>
        </w:rPr>
        <w:t>南宁轨道交通运营有限公司2021年至2022年物资管理内控建设及执行情况。</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2021年1月至2022年12月，必要时追溯到相关年度或延伸审计有关单位（部门）。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0778"/>
    <w:multiLevelType w:val="singleLevel"/>
    <w:tmpl w:val="8B290778"/>
    <w:lvl w:ilvl="0" w:tentative="0">
      <w:start w:val="1"/>
      <w:numFmt w:val="chineseCounting"/>
      <w:suff w:val="nothing"/>
      <w:lvlText w:val="%1、"/>
      <w:lvlJc w:val="left"/>
      <w:rPr>
        <w:rFonts w:hint="eastAsia"/>
      </w:rPr>
    </w:lvl>
  </w:abstractNum>
  <w:abstractNum w:abstractNumId="1">
    <w:nsid w:val="EEEF4CCC"/>
    <w:multiLevelType w:val="singleLevel"/>
    <w:tmpl w:val="EEEF4CCC"/>
    <w:lvl w:ilvl="0" w:tentative="0">
      <w:start w:val="1"/>
      <w:numFmt w:val="decimal"/>
      <w:lvlText w:val="%1."/>
      <w:lvlJc w:val="left"/>
      <w:pPr>
        <w:tabs>
          <w:tab w:val="left" w:pos="312"/>
        </w:tabs>
      </w:pPr>
    </w:lvl>
  </w:abstractNum>
  <w:abstractNum w:abstractNumId="2">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3">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cwYjUyYWEzNDhkOTNiY2MxNzE1N2I4YzdiMWRlZjY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6684B"/>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69B4465"/>
    <w:rsid w:val="074B5158"/>
    <w:rsid w:val="07AB246B"/>
    <w:rsid w:val="07DB1F40"/>
    <w:rsid w:val="080028EE"/>
    <w:rsid w:val="0828470C"/>
    <w:rsid w:val="08D74FC5"/>
    <w:rsid w:val="08FD0388"/>
    <w:rsid w:val="09630D8D"/>
    <w:rsid w:val="09AE79E2"/>
    <w:rsid w:val="09C71513"/>
    <w:rsid w:val="09D300D1"/>
    <w:rsid w:val="0A4C3E0F"/>
    <w:rsid w:val="0A8F02C9"/>
    <w:rsid w:val="0B252163"/>
    <w:rsid w:val="0B425200"/>
    <w:rsid w:val="0C094F89"/>
    <w:rsid w:val="0C145AEF"/>
    <w:rsid w:val="0C30025C"/>
    <w:rsid w:val="0D7B6C02"/>
    <w:rsid w:val="0EDB787F"/>
    <w:rsid w:val="0FA61452"/>
    <w:rsid w:val="0FB466B0"/>
    <w:rsid w:val="10D04EDF"/>
    <w:rsid w:val="11457BE2"/>
    <w:rsid w:val="116A622C"/>
    <w:rsid w:val="117B1504"/>
    <w:rsid w:val="118D1C38"/>
    <w:rsid w:val="11E46F6F"/>
    <w:rsid w:val="11F37030"/>
    <w:rsid w:val="12062478"/>
    <w:rsid w:val="124962F0"/>
    <w:rsid w:val="1250401C"/>
    <w:rsid w:val="132035A6"/>
    <w:rsid w:val="13270AAD"/>
    <w:rsid w:val="13527FA6"/>
    <w:rsid w:val="13602F23"/>
    <w:rsid w:val="13E729A1"/>
    <w:rsid w:val="140E6614"/>
    <w:rsid w:val="14B552DF"/>
    <w:rsid w:val="152F2F86"/>
    <w:rsid w:val="157F35A5"/>
    <w:rsid w:val="15B80938"/>
    <w:rsid w:val="16403A11"/>
    <w:rsid w:val="16CB6554"/>
    <w:rsid w:val="16E24139"/>
    <w:rsid w:val="170F0C33"/>
    <w:rsid w:val="17497BA2"/>
    <w:rsid w:val="175427B6"/>
    <w:rsid w:val="180B15DA"/>
    <w:rsid w:val="181D3C99"/>
    <w:rsid w:val="194526CA"/>
    <w:rsid w:val="198C3482"/>
    <w:rsid w:val="199B70C1"/>
    <w:rsid w:val="1A6E1B33"/>
    <w:rsid w:val="1A7600F5"/>
    <w:rsid w:val="1ACC2C07"/>
    <w:rsid w:val="1AFF2C62"/>
    <w:rsid w:val="1B190BC1"/>
    <w:rsid w:val="1B50328A"/>
    <w:rsid w:val="1B5B21F6"/>
    <w:rsid w:val="1B896C48"/>
    <w:rsid w:val="1BBE19E0"/>
    <w:rsid w:val="1C3B44E8"/>
    <w:rsid w:val="1C592A6B"/>
    <w:rsid w:val="1CEB383B"/>
    <w:rsid w:val="1D0750E7"/>
    <w:rsid w:val="1D157D7A"/>
    <w:rsid w:val="1D78034B"/>
    <w:rsid w:val="1DB40E63"/>
    <w:rsid w:val="1E5148EB"/>
    <w:rsid w:val="1E841815"/>
    <w:rsid w:val="1EC937F5"/>
    <w:rsid w:val="1EDF2263"/>
    <w:rsid w:val="1F1A0C3B"/>
    <w:rsid w:val="1F2C732E"/>
    <w:rsid w:val="1F5972B0"/>
    <w:rsid w:val="1FAA075C"/>
    <w:rsid w:val="208F6258"/>
    <w:rsid w:val="21072EE1"/>
    <w:rsid w:val="21964DFD"/>
    <w:rsid w:val="21AB2385"/>
    <w:rsid w:val="231433E7"/>
    <w:rsid w:val="232A31F2"/>
    <w:rsid w:val="2349207C"/>
    <w:rsid w:val="239A6560"/>
    <w:rsid w:val="23EE42A9"/>
    <w:rsid w:val="23F308EE"/>
    <w:rsid w:val="245360EB"/>
    <w:rsid w:val="247513A1"/>
    <w:rsid w:val="24FC7F7D"/>
    <w:rsid w:val="2524289E"/>
    <w:rsid w:val="25344C05"/>
    <w:rsid w:val="26BA3725"/>
    <w:rsid w:val="26DD260F"/>
    <w:rsid w:val="271F1233"/>
    <w:rsid w:val="27394EB2"/>
    <w:rsid w:val="27B02A42"/>
    <w:rsid w:val="280A0526"/>
    <w:rsid w:val="281E70EA"/>
    <w:rsid w:val="28496DC7"/>
    <w:rsid w:val="2894383B"/>
    <w:rsid w:val="28A90254"/>
    <w:rsid w:val="29037CEC"/>
    <w:rsid w:val="290C056A"/>
    <w:rsid w:val="290F13E3"/>
    <w:rsid w:val="29732D2A"/>
    <w:rsid w:val="297629F2"/>
    <w:rsid w:val="2A5E39DA"/>
    <w:rsid w:val="2B0A25F1"/>
    <w:rsid w:val="2BDC13E8"/>
    <w:rsid w:val="2C2F6C5B"/>
    <w:rsid w:val="2C35087C"/>
    <w:rsid w:val="2CD425E5"/>
    <w:rsid w:val="2D4F0F38"/>
    <w:rsid w:val="2D6476F3"/>
    <w:rsid w:val="2DC07B00"/>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043848"/>
    <w:rsid w:val="36306832"/>
    <w:rsid w:val="36483135"/>
    <w:rsid w:val="373C7CDF"/>
    <w:rsid w:val="37AA430A"/>
    <w:rsid w:val="37BE7040"/>
    <w:rsid w:val="381A3ED0"/>
    <w:rsid w:val="389F5823"/>
    <w:rsid w:val="38EC0857"/>
    <w:rsid w:val="39477140"/>
    <w:rsid w:val="39924D42"/>
    <w:rsid w:val="39A4566F"/>
    <w:rsid w:val="39AA33F1"/>
    <w:rsid w:val="3A0A710D"/>
    <w:rsid w:val="3A3B6F95"/>
    <w:rsid w:val="3A7114AF"/>
    <w:rsid w:val="3AB94700"/>
    <w:rsid w:val="3B2B1543"/>
    <w:rsid w:val="3B5B6D71"/>
    <w:rsid w:val="3B900DC8"/>
    <w:rsid w:val="3B981772"/>
    <w:rsid w:val="3BCD4780"/>
    <w:rsid w:val="3BE02516"/>
    <w:rsid w:val="3C421154"/>
    <w:rsid w:val="3CED4FAC"/>
    <w:rsid w:val="3D23141F"/>
    <w:rsid w:val="3D593E8C"/>
    <w:rsid w:val="3DAF1262"/>
    <w:rsid w:val="3E611883"/>
    <w:rsid w:val="3F291AE9"/>
    <w:rsid w:val="3F5868E2"/>
    <w:rsid w:val="3F842C17"/>
    <w:rsid w:val="3FCE3382"/>
    <w:rsid w:val="4039719F"/>
    <w:rsid w:val="40FE18D7"/>
    <w:rsid w:val="41071E4D"/>
    <w:rsid w:val="41DB5DDC"/>
    <w:rsid w:val="421678CB"/>
    <w:rsid w:val="42834427"/>
    <w:rsid w:val="42A61B46"/>
    <w:rsid w:val="42B53FDE"/>
    <w:rsid w:val="42DB2BF2"/>
    <w:rsid w:val="42F8672B"/>
    <w:rsid w:val="430B100B"/>
    <w:rsid w:val="43312BF2"/>
    <w:rsid w:val="43D52B21"/>
    <w:rsid w:val="44057143"/>
    <w:rsid w:val="440C0C76"/>
    <w:rsid w:val="44497C1B"/>
    <w:rsid w:val="44976E5A"/>
    <w:rsid w:val="45F50E41"/>
    <w:rsid w:val="46164319"/>
    <w:rsid w:val="47472A18"/>
    <w:rsid w:val="475B6207"/>
    <w:rsid w:val="476A1E74"/>
    <w:rsid w:val="476B0FBA"/>
    <w:rsid w:val="478E5F3C"/>
    <w:rsid w:val="480E2214"/>
    <w:rsid w:val="48B81E35"/>
    <w:rsid w:val="49444BDC"/>
    <w:rsid w:val="4A43105C"/>
    <w:rsid w:val="4DA44ADF"/>
    <w:rsid w:val="4DC2042B"/>
    <w:rsid w:val="4DDE719A"/>
    <w:rsid w:val="4DFB2E3E"/>
    <w:rsid w:val="4E7711DC"/>
    <w:rsid w:val="4EA10878"/>
    <w:rsid w:val="4F4B516F"/>
    <w:rsid w:val="4F755271"/>
    <w:rsid w:val="4FBE7BEA"/>
    <w:rsid w:val="5029647A"/>
    <w:rsid w:val="50D80FF9"/>
    <w:rsid w:val="51265F87"/>
    <w:rsid w:val="514D1E63"/>
    <w:rsid w:val="51596929"/>
    <w:rsid w:val="51BC507B"/>
    <w:rsid w:val="52631353"/>
    <w:rsid w:val="52AF37C9"/>
    <w:rsid w:val="531B502D"/>
    <w:rsid w:val="53942531"/>
    <w:rsid w:val="54B924DC"/>
    <w:rsid w:val="54FA7809"/>
    <w:rsid w:val="555B3BB0"/>
    <w:rsid w:val="55F42094"/>
    <w:rsid w:val="5787345A"/>
    <w:rsid w:val="5801517A"/>
    <w:rsid w:val="58192794"/>
    <w:rsid w:val="58777780"/>
    <w:rsid w:val="58985265"/>
    <w:rsid w:val="58E66F69"/>
    <w:rsid w:val="59505D9C"/>
    <w:rsid w:val="595653DC"/>
    <w:rsid w:val="597C7653"/>
    <w:rsid w:val="59893102"/>
    <w:rsid w:val="5990205B"/>
    <w:rsid w:val="59C65937"/>
    <w:rsid w:val="59E648CF"/>
    <w:rsid w:val="5A0568D9"/>
    <w:rsid w:val="5B2E163E"/>
    <w:rsid w:val="5B4F2CD5"/>
    <w:rsid w:val="5B6414CE"/>
    <w:rsid w:val="5BC32BEB"/>
    <w:rsid w:val="5BE12C55"/>
    <w:rsid w:val="5BFC3D1F"/>
    <w:rsid w:val="5C603089"/>
    <w:rsid w:val="5CA443F9"/>
    <w:rsid w:val="5CA65081"/>
    <w:rsid w:val="5CBE4A16"/>
    <w:rsid w:val="5CBF11B4"/>
    <w:rsid w:val="5D6C6EC5"/>
    <w:rsid w:val="5DCB066D"/>
    <w:rsid w:val="5E1D48DB"/>
    <w:rsid w:val="5E4C13B8"/>
    <w:rsid w:val="5E52066F"/>
    <w:rsid w:val="5EA22713"/>
    <w:rsid w:val="5F8B10A0"/>
    <w:rsid w:val="5F8F47E3"/>
    <w:rsid w:val="5FA44B5D"/>
    <w:rsid w:val="600052D9"/>
    <w:rsid w:val="60D32977"/>
    <w:rsid w:val="613715C7"/>
    <w:rsid w:val="626266A7"/>
    <w:rsid w:val="626A3A22"/>
    <w:rsid w:val="62E32DA4"/>
    <w:rsid w:val="62E47EA2"/>
    <w:rsid w:val="62EB1475"/>
    <w:rsid w:val="634D5CB6"/>
    <w:rsid w:val="637D64BE"/>
    <w:rsid w:val="63A34E8F"/>
    <w:rsid w:val="63E00724"/>
    <w:rsid w:val="6478698A"/>
    <w:rsid w:val="64E21676"/>
    <w:rsid w:val="64F57EEB"/>
    <w:rsid w:val="650B1736"/>
    <w:rsid w:val="652D2AF4"/>
    <w:rsid w:val="654710AE"/>
    <w:rsid w:val="65A268A9"/>
    <w:rsid w:val="65B00BC4"/>
    <w:rsid w:val="66331E21"/>
    <w:rsid w:val="66C343CE"/>
    <w:rsid w:val="66CA20DF"/>
    <w:rsid w:val="66D16009"/>
    <w:rsid w:val="670A38BA"/>
    <w:rsid w:val="67341C19"/>
    <w:rsid w:val="673955E1"/>
    <w:rsid w:val="67440CAB"/>
    <w:rsid w:val="678A5E57"/>
    <w:rsid w:val="67B0300C"/>
    <w:rsid w:val="68122C54"/>
    <w:rsid w:val="685C2695"/>
    <w:rsid w:val="68B14C68"/>
    <w:rsid w:val="68C61866"/>
    <w:rsid w:val="69C97850"/>
    <w:rsid w:val="6AA33BCA"/>
    <w:rsid w:val="6B0D446E"/>
    <w:rsid w:val="6B4A19A8"/>
    <w:rsid w:val="6B4B796F"/>
    <w:rsid w:val="6BAB4E1D"/>
    <w:rsid w:val="6BE712D3"/>
    <w:rsid w:val="6C192926"/>
    <w:rsid w:val="6C321222"/>
    <w:rsid w:val="6C3F217F"/>
    <w:rsid w:val="6D575136"/>
    <w:rsid w:val="6D9E1B77"/>
    <w:rsid w:val="6DCC048E"/>
    <w:rsid w:val="6E1D48F0"/>
    <w:rsid w:val="6E7A1830"/>
    <w:rsid w:val="6EB54C74"/>
    <w:rsid w:val="6EBF3327"/>
    <w:rsid w:val="6ECE3EA8"/>
    <w:rsid w:val="6F0C3B6A"/>
    <w:rsid w:val="700B0DBE"/>
    <w:rsid w:val="708010B7"/>
    <w:rsid w:val="71BD2C85"/>
    <w:rsid w:val="71C02CF2"/>
    <w:rsid w:val="71EF7786"/>
    <w:rsid w:val="7257796A"/>
    <w:rsid w:val="72AD05F6"/>
    <w:rsid w:val="72D62FE8"/>
    <w:rsid w:val="72DE5608"/>
    <w:rsid w:val="72F86392"/>
    <w:rsid w:val="73B94EA3"/>
    <w:rsid w:val="742A0C47"/>
    <w:rsid w:val="754014EE"/>
    <w:rsid w:val="75567A5E"/>
    <w:rsid w:val="759743BB"/>
    <w:rsid w:val="7625040A"/>
    <w:rsid w:val="76771710"/>
    <w:rsid w:val="76E55C60"/>
    <w:rsid w:val="773D74D7"/>
    <w:rsid w:val="77C9622C"/>
    <w:rsid w:val="78E8647F"/>
    <w:rsid w:val="79EE5838"/>
    <w:rsid w:val="7A2C6801"/>
    <w:rsid w:val="7A2E4B0E"/>
    <w:rsid w:val="7B6859D1"/>
    <w:rsid w:val="7B8F4CDB"/>
    <w:rsid w:val="7BAA4093"/>
    <w:rsid w:val="7BD101DF"/>
    <w:rsid w:val="7C043694"/>
    <w:rsid w:val="7C387D72"/>
    <w:rsid w:val="7CA32F91"/>
    <w:rsid w:val="7CC22809"/>
    <w:rsid w:val="7D3824FF"/>
    <w:rsid w:val="7D844C59"/>
    <w:rsid w:val="7DA84E33"/>
    <w:rsid w:val="7DAD550E"/>
    <w:rsid w:val="7DFC33EB"/>
    <w:rsid w:val="7EAA02A2"/>
    <w:rsid w:val="7F2771AD"/>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53</Pages>
  <Words>18633</Words>
  <Characters>19332</Characters>
  <Lines>0</Lines>
  <Paragraphs>0</Paragraphs>
  <TotalTime>31</TotalTime>
  <ScaleCrop>false</ScaleCrop>
  <LinksUpToDate>false</LinksUpToDate>
  <CharactersWithSpaces>20050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邓伟</cp:lastModifiedBy>
  <cp:lastPrinted>2021-11-12T08:32:00Z</cp:lastPrinted>
  <dcterms:modified xsi:type="dcterms:W3CDTF">2023-05-18T08:58:29Z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C9108F0D9F024D3DB593E2CECFE48426</vt:lpwstr>
  </property>
</Properties>
</file>