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120" w:line="600" w:lineRule="exact"/>
        <w:jc w:val="center"/>
        <w:rPr>
          <w:rFonts w:hint="eastAsia" w:eastAsia="黑体"/>
          <w:b/>
          <w:bCs/>
          <w:spacing w:val="-20"/>
          <w:sz w:val="28"/>
          <w:szCs w:val="28"/>
          <w:highlight w:val="none"/>
          <w:lang w:val="en-US" w:eastAsia="zh-CN"/>
        </w:rPr>
      </w:pPr>
      <w:r>
        <w:rPr>
          <w:rFonts w:hint="eastAsia" w:ascii="黑体" w:eastAsia="黑体"/>
          <w:sz w:val="44"/>
          <w:szCs w:val="48"/>
          <w:highlight w:val="none"/>
          <w:lang w:eastAsia="zh-CN"/>
        </w:rPr>
        <w:t>南宁轨道交通运营有限公司2021年至2022年物资管理内控建设及执行情况专项审计项目</w:t>
      </w:r>
      <w:r>
        <w:rPr>
          <w:rFonts w:hint="eastAsia" w:ascii="黑体" w:eastAsia="黑体"/>
          <w:sz w:val="44"/>
          <w:szCs w:val="48"/>
          <w:highlight w:val="none"/>
          <w:lang w:eastAsia="zh-CN"/>
        </w:rPr>
        <w:br w:type="textWrapping"/>
      </w:r>
      <w:r>
        <w:rPr>
          <w:rFonts w:hint="eastAsia" w:ascii="黑体" w:eastAsia="黑体"/>
          <w:sz w:val="44"/>
          <w:szCs w:val="48"/>
          <w:highlight w:val="none"/>
          <w:lang w:eastAsia="zh-CN"/>
        </w:rPr>
        <w:t>第</w:t>
      </w:r>
      <w:r>
        <w:rPr>
          <w:rFonts w:hint="eastAsia" w:ascii="黑体" w:eastAsia="黑体"/>
          <w:sz w:val="44"/>
          <w:szCs w:val="48"/>
          <w:highlight w:val="none"/>
          <w:lang w:val="en-US" w:eastAsia="zh-CN"/>
        </w:rPr>
        <w:t>三</w:t>
      </w:r>
      <w:r>
        <w:rPr>
          <w:rFonts w:hint="eastAsia" w:ascii="黑体" w:eastAsia="黑体"/>
          <w:sz w:val="44"/>
          <w:szCs w:val="48"/>
          <w:highlight w:val="none"/>
          <w:lang w:eastAsia="zh-CN"/>
        </w:rPr>
        <w:t>次</w:t>
      </w:r>
    </w:p>
    <w:p>
      <w:pPr>
        <w:spacing w:line="480" w:lineRule="auto"/>
        <w:jc w:val="center"/>
        <w:rPr>
          <w:rFonts w:eastAsia="黑体"/>
          <w:b/>
          <w:bCs/>
          <w:sz w:val="44"/>
          <w:szCs w:val="44"/>
          <w:highlight w:val="none"/>
        </w:rPr>
      </w:pPr>
    </w:p>
    <w:p>
      <w:pPr>
        <w:spacing w:line="480" w:lineRule="auto"/>
        <w:jc w:val="center"/>
        <w:rPr>
          <w:rFonts w:eastAsia="黑体"/>
          <w:b/>
          <w:bCs/>
          <w:sz w:val="44"/>
          <w:szCs w:val="44"/>
          <w:highlight w:val="none"/>
        </w:rPr>
      </w:pPr>
      <w:r>
        <w:rPr>
          <w:rFonts w:hint="eastAsia" w:eastAsia="黑体"/>
          <w:b/>
          <w:bCs/>
          <w:sz w:val="44"/>
          <w:szCs w:val="44"/>
          <w:highlight w:val="none"/>
        </w:rPr>
        <w:t>比</w:t>
      </w:r>
    </w:p>
    <w:p>
      <w:pPr>
        <w:spacing w:line="480" w:lineRule="auto"/>
        <w:rPr>
          <w:rFonts w:eastAsia="黑体"/>
          <w:b/>
          <w:bCs/>
          <w:sz w:val="44"/>
          <w:szCs w:val="44"/>
          <w:highlight w:val="none"/>
        </w:rPr>
      </w:pPr>
    </w:p>
    <w:p>
      <w:pPr>
        <w:spacing w:line="480" w:lineRule="auto"/>
        <w:jc w:val="center"/>
        <w:rPr>
          <w:rFonts w:eastAsia="黑体"/>
          <w:b/>
          <w:bCs/>
          <w:sz w:val="44"/>
          <w:szCs w:val="44"/>
          <w:highlight w:val="none"/>
        </w:rPr>
      </w:pPr>
    </w:p>
    <w:p>
      <w:pPr>
        <w:spacing w:line="480" w:lineRule="auto"/>
        <w:jc w:val="center"/>
        <w:rPr>
          <w:rFonts w:eastAsia="黑体"/>
          <w:b/>
          <w:bCs/>
          <w:sz w:val="44"/>
          <w:szCs w:val="44"/>
          <w:highlight w:val="none"/>
        </w:rPr>
      </w:pPr>
      <w:r>
        <w:rPr>
          <w:rFonts w:hint="eastAsia" w:eastAsia="黑体"/>
          <w:b/>
          <w:bCs/>
          <w:sz w:val="44"/>
          <w:szCs w:val="44"/>
          <w:highlight w:val="none"/>
        </w:rPr>
        <w:t>选</w:t>
      </w:r>
    </w:p>
    <w:p>
      <w:pPr>
        <w:spacing w:line="480" w:lineRule="auto"/>
        <w:jc w:val="center"/>
        <w:rPr>
          <w:rFonts w:eastAsia="黑体"/>
          <w:b/>
          <w:bCs/>
          <w:sz w:val="44"/>
          <w:szCs w:val="44"/>
          <w:highlight w:val="none"/>
        </w:rPr>
      </w:pPr>
    </w:p>
    <w:p>
      <w:pPr>
        <w:spacing w:line="480" w:lineRule="auto"/>
        <w:jc w:val="center"/>
        <w:rPr>
          <w:rFonts w:eastAsia="黑体"/>
          <w:b/>
          <w:bCs/>
          <w:sz w:val="44"/>
          <w:szCs w:val="44"/>
          <w:highlight w:val="none"/>
        </w:rPr>
      </w:pPr>
    </w:p>
    <w:p>
      <w:pPr>
        <w:spacing w:line="480" w:lineRule="auto"/>
        <w:jc w:val="center"/>
        <w:rPr>
          <w:rFonts w:eastAsia="黑体"/>
          <w:b/>
          <w:bCs/>
          <w:sz w:val="44"/>
          <w:szCs w:val="44"/>
          <w:highlight w:val="none"/>
        </w:rPr>
      </w:pPr>
      <w:r>
        <w:rPr>
          <w:rFonts w:hint="eastAsia" w:eastAsia="黑体"/>
          <w:b/>
          <w:bCs/>
          <w:sz w:val="44"/>
          <w:szCs w:val="44"/>
          <w:highlight w:val="none"/>
        </w:rPr>
        <w:t>文</w:t>
      </w:r>
    </w:p>
    <w:p>
      <w:pPr>
        <w:jc w:val="center"/>
        <w:rPr>
          <w:rFonts w:eastAsia="黑体"/>
          <w:b/>
          <w:bCs/>
          <w:sz w:val="44"/>
          <w:szCs w:val="44"/>
          <w:highlight w:val="none"/>
        </w:rPr>
      </w:pPr>
    </w:p>
    <w:p>
      <w:pPr>
        <w:jc w:val="center"/>
        <w:rPr>
          <w:rFonts w:eastAsia="黑体"/>
          <w:b/>
          <w:bCs/>
          <w:sz w:val="44"/>
          <w:szCs w:val="44"/>
          <w:highlight w:val="none"/>
        </w:rPr>
      </w:pPr>
    </w:p>
    <w:p>
      <w:pPr>
        <w:jc w:val="center"/>
        <w:rPr>
          <w:rFonts w:eastAsia="黑体"/>
          <w:b/>
          <w:bCs/>
          <w:sz w:val="44"/>
          <w:szCs w:val="44"/>
          <w:highlight w:val="none"/>
        </w:rPr>
      </w:pPr>
      <w:r>
        <w:rPr>
          <w:rFonts w:hint="eastAsia" w:eastAsia="黑体"/>
          <w:b/>
          <w:bCs/>
          <w:sz w:val="44"/>
          <w:szCs w:val="44"/>
          <w:highlight w:val="none"/>
        </w:rPr>
        <w:t>件</w:t>
      </w:r>
    </w:p>
    <w:p>
      <w:pPr>
        <w:spacing w:line="360" w:lineRule="auto"/>
        <w:rPr>
          <w:b/>
          <w:bCs/>
          <w:sz w:val="36"/>
          <w:szCs w:val="36"/>
          <w:highlight w:val="none"/>
        </w:rPr>
      </w:pPr>
    </w:p>
    <w:p>
      <w:pPr>
        <w:spacing w:line="360" w:lineRule="auto"/>
        <w:ind w:firstLine="1800" w:firstLineChars="498"/>
        <w:rPr>
          <w:b/>
          <w:bCs/>
          <w:sz w:val="36"/>
          <w:szCs w:val="36"/>
          <w:highlight w:val="none"/>
        </w:rPr>
      </w:pPr>
    </w:p>
    <w:p>
      <w:pPr>
        <w:pStyle w:val="2"/>
        <w:rPr>
          <w:b/>
          <w:bCs/>
          <w:sz w:val="36"/>
          <w:szCs w:val="36"/>
          <w:highlight w:val="none"/>
        </w:rPr>
      </w:pPr>
    </w:p>
    <w:p>
      <w:pPr>
        <w:spacing w:line="360" w:lineRule="auto"/>
        <w:jc w:val="center"/>
        <w:rPr>
          <w:b/>
          <w:bCs/>
          <w:sz w:val="32"/>
          <w:szCs w:val="32"/>
          <w:highlight w:val="none"/>
        </w:rPr>
      </w:pPr>
      <w:r>
        <w:rPr>
          <w:rFonts w:hint="eastAsia"/>
          <w:b/>
          <w:bCs/>
          <w:sz w:val="32"/>
          <w:szCs w:val="32"/>
          <w:highlight w:val="none"/>
        </w:rPr>
        <w:t>比选发起人：南宁轨道交通集团有限责任公司</w:t>
      </w:r>
    </w:p>
    <w:p>
      <w:pPr>
        <w:spacing w:line="360" w:lineRule="auto"/>
        <w:jc w:val="center"/>
        <w:rPr>
          <w:rFonts w:hint="eastAsia" w:ascii="宋体" w:hAnsi="宋体" w:eastAsia="宋体" w:cs="宋体"/>
          <w:b/>
          <w:bCs/>
          <w:sz w:val="32"/>
          <w:szCs w:val="32"/>
          <w:highlight w:val="none"/>
        </w:rPr>
        <w:sectPr>
          <w:headerReference r:id="rId3" w:type="default"/>
          <w:footerReference r:id="rId4" w:type="default"/>
          <w:pgSz w:w="11906" w:h="16838"/>
          <w:pgMar w:top="2098" w:right="1531" w:bottom="2098" w:left="1531" w:header="851" w:footer="992" w:gutter="0"/>
          <w:pgNumType w:start="1"/>
          <w:cols w:space="720" w:num="1"/>
          <w:docGrid w:type="lines" w:linePitch="312" w:charSpace="0"/>
        </w:sectPr>
      </w:pPr>
      <w:bookmarkStart w:id="0" w:name="_Toc23188"/>
      <w:bookmarkStart w:id="1" w:name="_Toc32122"/>
      <w:bookmarkStart w:id="2" w:name="_Toc27692"/>
      <w:bookmarkStart w:id="3" w:name="_Toc21106"/>
      <w:bookmarkStart w:id="4" w:name="_Toc471482358"/>
      <w:bookmarkStart w:id="5" w:name="_Toc14943"/>
      <w:bookmarkStart w:id="6" w:name="_Toc4954"/>
      <w:bookmarkStart w:id="7" w:name="_Toc461525293"/>
      <w:bookmarkStart w:id="8" w:name="_Toc12363"/>
      <w:bookmarkStart w:id="9" w:name="_Toc25905"/>
      <w:bookmarkStart w:id="10" w:name="_Toc9980"/>
      <w:bookmarkStart w:id="11" w:name="_Toc18159"/>
      <w:r>
        <w:rPr>
          <w:rFonts w:hint="eastAsia" w:ascii="宋体" w:hAnsi="宋体" w:eastAsia="宋体" w:cs="宋体"/>
          <w:b/>
          <w:bCs/>
          <w:sz w:val="32"/>
          <w:szCs w:val="32"/>
          <w:highlight w:val="none"/>
        </w:rPr>
        <w:t>2023年</w:t>
      </w:r>
      <w:r>
        <w:rPr>
          <w:rFonts w:hint="eastAsia" w:ascii="宋体" w:hAnsi="宋体" w:cs="宋体"/>
          <w:b/>
          <w:bCs/>
          <w:sz w:val="32"/>
          <w:szCs w:val="32"/>
          <w:highlight w:val="none"/>
          <w:lang w:val="en-US" w:eastAsia="zh-CN"/>
        </w:rPr>
        <w:t>7</w:t>
      </w:r>
      <w:r>
        <w:rPr>
          <w:rFonts w:hint="eastAsia" w:ascii="宋体" w:hAnsi="宋体" w:eastAsia="宋体" w:cs="宋体"/>
          <w:b/>
          <w:bCs/>
          <w:sz w:val="32"/>
          <w:szCs w:val="32"/>
          <w:highlight w:val="none"/>
        </w:rPr>
        <w:t>月</w:t>
      </w:r>
      <w:r>
        <w:rPr>
          <w:rFonts w:hint="eastAsia" w:ascii="宋体" w:hAnsi="宋体" w:cs="宋体"/>
          <w:b/>
          <w:bCs/>
          <w:sz w:val="32"/>
          <w:szCs w:val="32"/>
          <w:highlight w:val="none"/>
          <w:lang w:val="en-US" w:eastAsia="zh-CN"/>
        </w:rPr>
        <w:t>12</w:t>
      </w:r>
      <w:r>
        <w:rPr>
          <w:rFonts w:hint="eastAsia" w:ascii="宋体" w:hAnsi="宋体" w:eastAsia="宋体" w:cs="宋体"/>
          <w:b/>
          <w:bCs/>
          <w:sz w:val="32"/>
          <w:szCs w:val="32"/>
          <w:highlight w:val="none"/>
        </w:rPr>
        <w:t>日</w:t>
      </w:r>
    </w:p>
    <w:p>
      <w:pPr>
        <w:pStyle w:val="3"/>
        <w:tabs>
          <w:tab w:val="right" w:leader="dot" w:pos="9219"/>
        </w:tabs>
        <w:spacing w:before="0" w:after="0" w:line="600" w:lineRule="exact"/>
        <w:ind w:firstLine="3779" w:firstLineChars="1181"/>
        <w:jc w:val="both"/>
        <w:rPr>
          <w:rFonts w:ascii="宋体" w:hAnsi="宋体" w:eastAsia="宋体" w:cs="宋体"/>
          <w:b/>
          <w:kern w:val="44"/>
          <w:sz w:val="21"/>
          <w:szCs w:val="21"/>
          <w:highlight w:val="none"/>
          <w:lang w:val="en-US" w:eastAsia="zh-CN" w:bidi="ar-SA"/>
        </w:rPr>
      </w:pPr>
      <w:bookmarkStart w:id="12" w:name="_Toc17397"/>
      <w:bookmarkStart w:id="13" w:name="_Toc16693"/>
      <w:bookmarkStart w:id="14" w:name="_Toc24586"/>
      <w:bookmarkStart w:id="15" w:name="_Toc19051"/>
      <w:bookmarkStart w:id="16" w:name="_Toc27700"/>
      <w:bookmarkStart w:id="17" w:name="_Toc31734"/>
      <w:bookmarkStart w:id="18" w:name="_Toc13153"/>
      <w:r>
        <w:rPr>
          <w:rFonts w:ascii="宋体" w:hAnsi="宋体"/>
          <w:b w:val="0"/>
          <w:sz w:val="32"/>
          <w:szCs w:val="21"/>
          <w:highlight w:val="none"/>
        </w:rPr>
        <w:t xml:space="preserve"> </w:t>
      </w:r>
      <w:bookmarkStart w:id="19" w:name="_Toc19299"/>
      <w:r>
        <w:rPr>
          <w:rFonts w:hint="eastAsia" w:ascii="宋体" w:hAnsi="宋体"/>
          <w:b w:val="0"/>
          <w:sz w:val="32"/>
          <w:szCs w:val="21"/>
          <w:highlight w:val="none"/>
        </w:rPr>
        <w:t>目录</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ascii="宋体" w:hAnsi="宋体" w:cs="宋体"/>
          <w:sz w:val="21"/>
          <w:szCs w:val="21"/>
          <w:highlight w:val="none"/>
        </w:rPr>
        <w:fldChar w:fldCharType="begin"/>
      </w:r>
      <w:r>
        <w:rPr>
          <w:rFonts w:ascii="宋体" w:hAnsi="宋体" w:cs="宋体"/>
          <w:sz w:val="21"/>
          <w:szCs w:val="21"/>
          <w:highlight w:val="none"/>
        </w:rPr>
        <w:instrText xml:space="preserve"> TOC \o "1-2" \h \z \u </w:instrText>
      </w:r>
      <w:r>
        <w:rPr>
          <w:rFonts w:ascii="宋体" w:hAnsi="宋体" w:cs="宋体"/>
          <w:sz w:val="21"/>
          <w:szCs w:val="21"/>
          <w:highlight w:val="none"/>
        </w:rPr>
        <w:fldChar w:fldCharType="separate"/>
      </w:r>
    </w:p>
    <w:p>
      <w:pPr>
        <w:pStyle w:val="18"/>
        <w:tabs>
          <w:tab w:val="right" w:leader="dot" w:pos="9219"/>
        </w:tabs>
        <w:rPr>
          <w:highlight w:val="none"/>
        </w:rPr>
      </w:pPr>
      <w:r>
        <w:rPr>
          <w:rFonts w:ascii="宋体" w:hAnsi="宋体" w:cs="宋体"/>
          <w:szCs w:val="21"/>
          <w:highlight w:val="none"/>
        </w:rPr>
        <w:fldChar w:fldCharType="begin"/>
      </w:r>
      <w:r>
        <w:rPr>
          <w:rFonts w:ascii="宋体" w:hAnsi="宋体" w:cs="宋体"/>
          <w:szCs w:val="21"/>
          <w:highlight w:val="none"/>
        </w:rPr>
        <w:instrText xml:space="preserve"> HYPERLINK \l _Toc19299 </w:instrText>
      </w:r>
      <w:r>
        <w:rPr>
          <w:rFonts w:ascii="宋体" w:hAnsi="宋体" w:cs="宋体"/>
          <w:szCs w:val="21"/>
          <w:highlight w:val="none"/>
        </w:rPr>
        <w:fldChar w:fldCharType="separate"/>
      </w:r>
      <w:r>
        <w:rPr>
          <w:rFonts w:hint="eastAsia" w:ascii="宋体" w:hAnsi="宋体"/>
          <w:szCs w:val="21"/>
          <w:highlight w:val="none"/>
        </w:rPr>
        <w:t>目录</w:t>
      </w:r>
      <w:r>
        <w:rPr>
          <w:highlight w:val="none"/>
        </w:rPr>
        <w:tab/>
      </w:r>
      <w:r>
        <w:rPr>
          <w:highlight w:val="none"/>
        </w:rPr>
        <w:fldChar w:fldCharType="begin"/>
      </w:r>
      <w:r>
        <w:rPr>
          <w:highlight w:val="none"/>
        </w:rPr>
        <w:instrText xml:space="preserve"> PAGEREF _Toc19299 \h </w:instrText>
      </w:r>
      <w:r>
        <w:rPr>
          <w:highlight w:val="none"/>
        </w:rPr>
        <w:fldChar w:fldCharType="separate"/>
      </w:r>
      <w:r>
        <w:rPr>
          <w:highlight w:val="none"/>
        </w:rPr>
        <w:t>1</w:t>
      </w:r>
      <w:r>
        <w:rPr>
          <w:highlight w:val="none"/>
        </w:rPr>
        <w:fldChar w:fldCharType="end"/>
      </w:r>
      <w:r>
        <w:rPr>
          <w:rFonts w:ascii="宋体" w:hAnsi="宋体" w:cs="宋体"/>
          <w:szCs w:val="21"/>
          <w:highlight w:val="none"/>
        </w:rPr>
        <w:fldChar w:fldCharType="end"/>
      </w:r>
    </w:p>
    <w:p>
      <w:pPr>
        <w:pStyle w:val="18"/>
        <w:tabs>
          <w:tab w:val="right" w:leader="dot" w:pos="9219"/>
        </w:tabs>
        <w:rPr>
          <w:highlight w:val="none"/>
        </w:rPr>
      </w:pPr>
      <w:r>
        <w:rPr>
          <w:rFonts w:ascii="宋体" w:hAnsi="宋体" w:cs="宋体"/>
          <w:szCs w:val="21"/>
          <w:highlight w:val="none"/>
        </w:rPr>
        <w:fldChar w:fldCharType="begin"/>
      </w:r>
      <w:r>
        <w:rPr>
          <w:rFonts w:ascii="宋体" w:hAnsi="宋体" w:cs="宋体"/>
          <w:szCs w:val="21"/>
          <w:highlight w:val="none"/>
        </w:rPr>
        <w:instrText xml:space="preserve"> HYPERLINK \l _Toc20140 </w:instrText>
      </w:r>
      <w:r>
        <w:rPr>
          <w:rFonts w:ascii="宋体" w:hAnsi="宋体" w:cs="宋体"/>
          <w:szCs w:val="21"/>
          <w:highlight w:val="none"/>
        </w:rPr>
        <w:fldChar w:fldCharType="separate"/>
      </w:r>
      <w:r>
        <w:rPr>
          <w:rFonts w:hint="eastAsia" w:ascii="宋体" w:hAnsi="宋体" w:cs="宋体"/>
          <w:szCs w:val="28"/>
          <w:highlight w:val="none"/>
        </w:rPr>
        <w:t>第一章</w:t>
      </w:r>
      <w:r>
        <w:rPr>
          <w:rFonts w:ascii="宋体" w:hAnsi="宋体" w:cs="宋体"/>
          <w:szCs w:val="28"/>
          <w:highlight w:val="none"/>
        </w:rPr>
        <w:t xml:space="preserve"> </w:t>
      </w:r>
      <w:r>
        <w:rPr>
          <w:rFonts w:hint="eastAsia" w:ascii="宋体" w:hAnsi="宋体" w:cs="宋体"/>
          <w:szCs w:val="28"/>
          <w:highlight w:val="none"/>
        </w:rPr>
        <w:t>比选须知</w:t>
      </w:r>
      <w:r>
        <w:rPr>
          <w:highlight w:val="none"/>
        </w:rPr>
        <w:tab/>
      </w:r>
      <w:r>
        <w:rPr>
          <w:highlight w:val="none"/>
        </w:rPr>
        <w:fldChar w:fldCharType="begin"/>
      </w:r>
      <w:r>
        <w:rPr>
          <w:highlight w:val="none"/>
        </w:rPr>
        <w:instrText xml:space="preserve"> PAGEREF _Toc20140 \h </w:instrText>
      </w:r>
      <w:r>
        <w:rPr>
          <w:highlight w:val="none"/>
        </w:rPr>
        <w:fldChar w:fldCharType="separate"/>
      </w:r>
      <w:r>
        <w:rPr>
          <w:highlight w:val="none"/>
        </w:rPr>
        <w:t>2</w:t>
      </w:r>
      <w:r>
        <w:rPr>
          <w:highlight w:val="none"/>
        </w:rPr>
        <w:fldChar w:fldCharType="end"/>
      </w:r>
      <w:r>
        <w:rPr>
          <w:rFonts w:ascii="宋体" w:hAnsi="宋体" w:cs="宋体"/>
          <w:szCs w:val="21"/>
          <w:highlight w:val="none"/>
        </w:rPr>
        <w:fldChar w:fldCharType="end"/>
      </w:r>
    </w:p>
    <w:p>
      <w:pPr>
        <w:pStyle w:val="22"/>
        <w:tabs>
          <w:tab w:val="right" w:leader="dot" w:pos="9219"/>
        </w:tabs>
        <w:rPr>
          <w:highlight w:val="none"/>
        </w:rPr>
      </w:pPr>
      <w:r>
        <w:rPr>
          <w:rFonts w:ascii="宋体" w:hAnsi="宋体" w:cs="宋体"/>
          <w:szCs w:val="21"/>
          <w:highlight w:val="none"/>
        </w:rPr>
        <w:fldChar w:fldCharType="begin"/>
      </w:r>
      <w:r>
        <w:rPr>
          <w:rFonts w:ascii="宋体" w:hAnsi="宋体" w:cs="宋体"/>
          <w:szCs w:val="21"/>
          <w:highlight w:val="none"/>
        </w:rPr>
        <w:instrText xml:space="preserve"> HYPERLINK \l _Toc8003 </w:instrText>
      </w:r>
      <w:r>
        <w:rPr>
          <w:rFonts w:ascii="宋体" w:hAnsi="宋体" w:cs="宋体"/>
          <w:szCs w:val="21"/>
          <w:highlight w:val="none"/>
        </w:rPr>
        <w:fldChar w:fldCharType="separate"/>
      </w:r>
      <w:r>
        <w:rPr>
          <w:rFonts w:hint="eastAsia"/>
          <w:szCs w:val="24"/>
          <w:highlight w:val="none"/>
        </w:rPr>
        <w:t>前附表</w:t>
      </w:r>
      <w:r>
        <w:rPr>
          <w:highlight w:val="none"/>
        </w:rPr>
        <w:tab/>
      </w:r>
      <w:r>
        <w:rPr>
          <w:highlight w:val="none"/>
        </w:rPr>
        <w:fldChar w:fldCharType="begin"/>
      </w:r>
      <w:r>
        <w:rPr>
          <w:highlight w:val="none"/>
        </w:rPr>
        <w:instrText xml:space="preserve"> PAGEREF _Toc8003 \h </w:instrText>
      </w:r>
      <w:r>
        <w:rPr>
          <w:highlight w:val="none"/>
        </w:rPr>
        <w:fldChar w:fldCharType="separate"/>
      </w:r>
      <w:r>
        <w:rPr>
          <w:highlight w:val="none"/>
        </w:rPr>
        <w:t>2</w:t>
      </w:r>
      <w:r>
        <w:rPr>
          <w:highlight w:val="none"/>
        </w:rPr>
        <w:fldChar w:fldCharType="end"/>
      </w:r>
      <w:r>
        <w:rPr>
          <w:rFonts w:ascii="宋体" w:hAnsi="宋体" w:cs="宋体"/>
          <w:szCs w:val="21"/>
          <w:highlight w:val="none"/>
        </w:rPr>
        <w:fldChar w:fldCharType="end"/>
      </w:r>
    </w:p>
    <w:p>
      <w:pPr>
        <w:pStyle w:val="22"/>
        <w:tabs>
          <w:tab w:val="right" w:leader="dot" w:pos="9219"/>
        </w:tabs>
        <w:rPr>
          <w:highlight w:val="none"/>
        </w:rPr>
      </w:pPr>
      <w:r>
        <w:rPr>
          <w:rFonts w:ascii="宋体" w:hAnsi="宋体" w:cs="宋体"/>
          <w:szCs w:val="21"/>
          <w:highlight w:val="none"/>
        </w:rPr>
        <w:fldChar w:fldCharType="begin"/>
      </w:r>
      <w:r>
        <w:rPr>
          <w:rFonts w:ascii="宋体" w:hAnsi="宋体" w:cs="宋体"/>
          <w:szCs w:val="21"/>
          <w:highlight w:val="none"/>
        </w:rPr>
        <w:instrText xml:space="preserve"> HYPERLINK \l _Toc3416 </w:instrText>
      </w:r>
      <w:r>
        <w:rPr>
          <w:rFonts w:ascii="宋体" w:hAnsi="宋体" w:cs="宋体"/>
          <w:szCs w:val="21"/>
          <w:highlight w:val="none"/>
        </w:rPr>
        <w:fldChar w:fldCharType="separate"/>
      </w:r>
      <w:r>
        <w:rPr>
          <w:rFonts w:hint="eastAsia" w:ascii="宋体" w:hAnsi="宋体"/>
          <w:szCs w:val="21"/>
          <w:highlight w:val="none"/>
        </w:rPr>
        <w:t>一、总则</w:t>
      </w:r>
      <w:r>
        <w:rPr>
          <w:highlight w:val="none"/>
        </w:rPr>
        <w:tab/>
      </w:r>
      <w:r>
        <w:rPr>
          <w:highlight w:val="none"/>
        </w:rPr>
        <w:fldChar w:fldCharType="begin"/>
      </w:r>
      <w:r>
        <w:rPr>
          <w:highlight w:val="none"/>
        </w:rPr>
        <w:instrText xml:space="preserve"> PAGEREF _Toc3416 \h </w:instrText>
      </w:r>
      <w:r>
        <w:rPr>
          <w:highlight w:val="none"/>
        </w:rPr>
        <w:fldChar w:fldCharType="separate"/>
      </w:r>
      <w:r>
        <w:rPr>
          <w:highlight w:val="none"/>
        </w:rPr>
        <w:t>5</w:t>
      </w:r>
      <w:r>
        <w:rPr>
          <w:highlight w:val="none"/>
        </w:rPr>
        <w:fldChar w:fldCharType="end"/>
      </w:r>
      <w:r>
        <w:rPr>
          <w:rFonts w:ascii="宋体" w:hAnsi="宋体" w:cs="宋体"/>
          <w:szCs w:val="21"/>
          <w:highlight w:val="none"/>
        </w:rPr>
        <w:fldChar w:fldCharType="end"/>
      </w:r>
    </w:p>
    <w:p>
      <w:pPr>
        <w:pStyle w:val="22"/>
        <w:tabs>
          <w:tab w:val="right" w:leader="dot" w:pos="9219"/>
        </w:tabs>
        <w:rPr>
          <w:highlight w:val="none"/>
        </w:rPr>
      </w:pPr>
      <w:r>
        <w:rPr>
          <w:rFonts w:ascii="宋体" w:hAnsi="宋体" w:cs="宋体"/>
          <w:szCs w:val="21"/>
          <w:highlight w:val="none"/>
        </w:rPr>
        <w:fldChar w:fldCharType="begin"/>
      </w:r>
      <w:r>
        <w:rPr>
          <w:rFonts w:ascii="宋体" w:hAnsi="宋体" w:cs="宋体"/>
          <w:szCs w:val="21"/>
          <w:highlight w:val="none"/>
        </w:rPr>
        <w:instrText xml:space="preserve"> HYPERLINK \l _Toc5628 </w:instrText>
      </w:r>
      <w:r>
        <w:rPr>
          <w:rFonts w:ascii="宋体" w:hAnsi="宋体" w:cs="宋体"/>
          <w:szCs w:val="21"/>
          <w:highlight w:val="none"/>
        </w:rPr>
        <w:fldChar w:fldCharType="separate"/>
      </w:r>
      <w:r>
        <w:rPr>
          <w:rFonts w:hint="eastAsia" w:ascii="宋体" w:hAnsi="宋体"/>
          <w:szCs w:val="21"/>
          <w:highlight w:val="none"/>
        </w:rPr>
        <w:t>二、比选文件</w:t>
      </w:r>
      <w:r>
        <w:rPr>
          <w:highlight w:val="none"/>
        </w:rPr>
        <w:tab/>
      </w:r>
      <w:r>
        <w:rPr>
          <w:highlight w:val="none"/>
        </w:rPr>
        <w:fldChar w:fldCharType="begin"/>
      </w:r>
      <w:r>
        <w:rPr>
          <w:highlight w:val="none"/>
        </w:rPr>
        <w:instrText xml:space="preserve"> PAGEREF _Toc5628 \h </w:instrText>
      </w:r>
      <w:r>
        <w:rPr>
          <w:highlight w:val="none"/>
        </w:rPr>
        <w:fldChar w:fldCharType="separate"/>
      </w:r>
      <w:r>
        <w:rPr>
          <w:highlight w:val="none"/>
        </w:rPr>
        <w:t>6</w:t>
      </w:r>
      <w:r>
        <w:rPr>
          <w:highlight w:val="none"/>
        </w:rPr>
        <w:fldChar w:fldCharType="end"/>
      </w:r>
      <w:r>
        <w:rPr>
          <w:rFonts w:ascii="宋体" w:hAnsi="宋体" w:cs="宋体"/>
          <w:szCs w:val="21"/>
          <w:highlight w:val="none"/>
        </w:rPr>
        <w:fldChar w:fldCharType="end"/>
      </w:r>
    </w:p>
    <w:p>
      <w:pPr>
        <w:pStyle w:val="22"/>
        <w:tabs>
          <w:tab w:val="right" w:leader="dot" w:pos="9219"/>
        </w:tabs>
        <w:rPr>
          <w:highlight w:val="none"/>
        </w:rPr>
      </w:pPr>
      <w:r>
        <w:rPr>
          <w:rFonts w:ascii="宋体" w:hAnsi="宋体" w:cs="宋体"/>
          <w:szCs w:val="21"/>
          <w:highlight w:val="none"/>
        </w:rPr>
        <w:fldChar w:fldCharType="begin"/>
      </w:r>
      <w:r>
        <w:rPr>
          <w:rFonts w:ascii="宋体" w:hAnsi="宋体" w:cs="宋体"/>
          <w:szCs w:val="21"/>
          <w:highlight w:val="none"/>
        </w:rPr>
        <w:instrText xml:space="preserve"> HYPERLINK \l _Toc27671 </w:instrText>
      </w:r>
      <w:r>
        <w:rPr>
          <w:rFonts w:ascii="宋体" w:hAnsi="宋体" w:cs="宋体"/>
          <w:szCs w:val="21"/>
          <w:highlight w:val="none"/>
        </w:rPr>
        <w:fldChar w:fldCharType="separate"/>
      </w:r>
      <w:r>
        <w:rPr>
          <w:rFonts w:hint="eastAsia" w:ascii="宋体" w:hAnsi="宋体"/>
          <w:szCs w:val="21"/>
          <w:highlight w:val="none"/>
        </w:rPr>
        <w:t>三、申请比选报价说明</w:t>
      </w:r>
      <w:r>
        <w:rPr>
          <w:highlight w:val="none"/>
        </w:rPr>
        <w:tab/>
      </w:r>
      <w:r>
        <w:rPr>
          <w:highlight w:val="none"/>
        </w:rPr>
        <w:fldChar w:fldCharType="begin"/>
      </w:r>
      <w:r>
        <w:rPr>
          <w:highlight w:val="none"/>
        </w:rPr>
        <w:instrText xml:space="preserve"> PAGEREF _Toc27671 \h </w:instrText>
      </w:r>
      <w:r>
        <w:rPr>
          <w:highlight w:val="none"/>
        </w:rPr>
        <w:fldChar w:fldCharType="separate"/>
      </w:r>
      <w:r>
        <w:rPr>
          <w:highlight w:val="none"/>
        </w:rPr>
        <w:t>7</w:t>
      </w:r>
      <w:r>
        <w:rPr>
          <w:highlight w:val="none"/>
        </w:rPr>
        <w:fldChar w:fldCharType="end"/>
      </w:r>
      <w:r>
        <w:rPr>
          <w:rFonts w:ascii="宋体" w:hAnsi="宋体" w:cs="宋体"/>
          <w:szCs w:val="21"/>
          <w:highlight w:val="none"/>
        </w:rPr>
        <w:fldChar w:fldCharType="end"/>
      </w:r>
    </w:p>
    <w:p>
      <w:pPr>
        <w:pStyle w:val="22"/>
        <w:tabs>
          <w:tab w:val="right" w:leader="dot" w:pos="9219"/>
        </w:tabs>
        <w:rPr>
          <w:highlight w:val="none"/>
        </w:rPr>
      </w:pPr>
      <w:r>
        <w:rPr>
          <w:rFonts w:ascii="宋体" w:hAnsi="宋体" w:cs="宋体"/>
          <w:szCs w:val="21"/>
          <w:highlight w:val="none"/>
        </w:rPr>
        <w:fldChar w:fldCharType="begin"/>
      </w:r>
      <w:r>
        <w:rPr>
          <w:rFonts w:ascii="宋体" w:hAnsi="宋体" w:cs="宋体"/>
          <w:szCs w:val="21"/>
          <w:highlight w:val="none"/>
        </w:rPr>
        <w:instrText xml:space="preserve"> HYPERLINK \l _Toc8092 </w:instrText>
      </w:r>
      <w:r>
        <w:rPr>
          <w:rFonts w:ascii="宋体" w:hAnsi="宋体" w:cs="宋体"/>
          <w:szCs w:val="21"/>
          <w:highlight w:val="none"/>
        </w:rPr>
        <w:fldChar w:fldCharType="separate"/>
      </w:r>
      <w:r>
        <w:rPr>
          <w:rFonts w:hint="eastAsia"/>
          <w:szCs w:val="21"/>
          <w:highlight w:val="none"/>
        </w:rPr>
        <w:t>四、比选申请文件的编制</w:t>
      </w:r>
      <w:r>
        <w:rPr>
          <w:highlight w:val="none"/>
        </w:rPr>
        <w:tab/>
      </w:r>
      <w:r>
        <w:rPr>
          <w:highlight w:val="none"/>
        </w:rPr>
        <w:fldChar w:fldCharType="begin"/>
      </w:r>
      <w:r>
        <w:rPr>
          <w:highlight w:val="none"/>
        </w:rPr>
        <w:instrText xml:space="preserve"> PAGEREF _Toc8092 \h </w:instrText>
      </w:r>
      <w:r>
        <w:rPr>
          <w:highlight w:val="none"/>
        </w:rPr>
        <w:fldChar w:fldCharType="separate"/>
      </w:r>
      <w:r>
        <w:rPr>
          <w:highlight w:val="none"/>
        </w:rPr>
        <w:t>7</w:t>
      </w:r>
      <w:r>
        <w:rPr>
          <w:highlight w:val="none"/>
        </w:rPr>
        <w:fldChar w:fldCharType="end"/>
      </w:r>
      <w:r>
        <w:rPr>
          <w:rFonts w:ascii="宋体" w:hAnsi="宋体" w:cs="宋体"/>
          <w:szCs w:val="21"/>
          <w:highlight w:val="none"/>
        </w:rPr>
        <w:fldChar w:fldCharType="end"/>
      </w:r>
    </w:p>
    <w:p>
      <w:pPr>
        <w:pStyle w:val="22"/>
        <w:tabs>
          <w:tab w:val="right" w:leader="dot" w:pos="9219"/>
        </w:tabs>
        <w:rPr>
          <w:highlight w:val="none"/>
        </w:rPr>
      </w:pPr>
      <w:r>
        <w:rPr>
          <w:rFonts w:ascii="宋体" w:hAnsi="宋体" w:cs="宋体"/>
          <w:szCs w:val="21"/>
          <w:highlight w:val="none"/>
        </w:rPr>
        <w:fldChar w:fldCharType="begin"/>
      </w:r>
      <w:r>
        <w:rPr>
          <w:rFonts w:ascii="宋体" w:hAnsi="宋体" w:cs="宋体"/>
          <w:szCs w:val="21"/>
          <w:highlight w:val="none"/>
        </w:rPr>
        <w:instrText xml:space="preserve"> HYPERLINK \l _Toc4540 </w:instrText>
      </w:r>
      <w:r>
        <w:rPr>
          <w:rFonts w:ascii="宋体" w:hAnsi="宋体" w:cs="宋体"/>
          <w:szCs w:val="21"/>
          <w:highlight w:val="none"/>
        </w:rPr>
        <w:fldChar w:fldCharType="separate"/>
      </w:r>
      <w:r>
        <w:rPr>
          <w:rFonts w:hint="eastAsia"/>
          <w:szCs w:val="21"/>
          <w:highlight w:val="none"/>
        </w:rPr>
        <w:t>五、比选申请文件的递交</w:t>
      </w:r>
      <w:r>
        <w:rPr>
          <w:highlight w:val="none"/>
        </w:rPr>
        <w:tab/>
      </w:r>
      <w:r>
        <w:rPr>
          <w:highlight w:val="none"/>
        </w:rPr>
        <w:fldChar w:fldCharType="begin"/>
      </w:r>
      <w:r>
        <w:rPr>
          <w:highlight w:val="none"/>
        </w:rPr>
        <w:instrText xml:space="preserve"> PAGEREF _Toc4540 \h </w:instrText>
      </w:r>
      <w:r>
        <w:rPr>
          <w:highlight w:val="none"/>
        </w:rPr>
        <w:fldChar w:fldCharType="separate"/>
      </w:r>
      <w:r>
        <w:rPr>
          <w:highlight w:val="none"/>
        </w:rPr>
        <w:t>9</w:t>
      </w:r>
      <w:r>
        <w:rPr>
          <w:highlight w:val="none"/>
        </w:rPr>
        <w:fldChar w:fldCharType="end"/>
      </w:r>
      <w:r>
        <w:rPr>
          <w:rFonts w:ascii="宋体" w:hAnsi="宋体" w:cs="宋体"/>
          <w:szCs w:val="21"/>
          <w:highlight w:val="none"/>
        </w:rPr>
        <w:fldChar w:fldCharType="end"/>
      </w:r>
    </w:p>
    <w:p>
      <w:pPr>
        <w:pStyle w:val="22"/>
        <w:tabs>
          <w:tab w:val="right" w:leader="dot" w:pos="9219"/>
        </w:tabs>
        <w:rPr>
          <w:highlight w:val="none"/>
        </w:rPr>
      </w:pPr>
      <w:r>
        <w:rPr>
          <w:rFonts w:ascii="宋体" w:hAnsi="宋体" w:cs="宋体"/>
          <w:szCs w:val="21"/>
          <w:highlight w:val="none"/>
        </w:rPr>
        <w:fldChar w:fldCharType="begin"/>
      </w:r>
      <w:r>
        <w:rPr>
          <w:rFonts w:ascii="宋体" w:hAnsi="宋体" w:cs="宋体"/>
          <w:szCs w:val="21"/>
          <w:highlight w:val="none"/>
        </w:rPr>
        <w:instrText xml:space="preserve"> HYPERLINK \l _Toc19136 </w:instrText>
      </w:r>
      <w:r>
        <w:rPr>
          <w:rFonts w:ascii="宋体" w:hAnsi="宋体" w:cs="宋体"/>
          <w:szCs w:val="21"/>
          <w:highlight w:val="none"/>
        </w:rPr>
        <w:fldChar w:fldCharType="separate"/>
      </w:r>
      <w:r>
        <w:rPr>
          <w:rFonts w:hint="eastAsia"/>
          <w:szCs w:val="21"/>
          <w:highlight w:val="none"/>
        </w:rPr>
        <w:t>六、评审</w:t>
      </w:r>
      <w:r>
        <w:rPr>
          <w:highlight w:val="none"/>
        </w:rPr>
        <w:tab/>
      </w:r>
      <w:r>
        <w:rPr>
          <w:highlight w:val="none"/>
        </w:rPr>
        <w:fldChar w:fldCharType="begin"/>
      </w:r>
      <w:r>
        <w:rPr>
          <w:highlight w:val="none"/>
        </w:rPr>
        <w:instrText xml:space="preserve"> PAGEREF _Toc19136 \h </w:instrText>
      </w:r>
      <w:r>
        <w:rPr>
          <w:highlight w:val="none"/>
        </w:rPr>
        <w:fldChar w:fldCharType="separate"/>
      </w:r>
      <w:r>
        <w:rPr>
          <w:highlight w:val="none"/>
        </w:rPr>
        <w:t>10</w:t>
      </w:r>
      <w:r>
        <w:rPr>
          <w:highlight w:val="none"/>
        </w:rPr>
        <w:fldChar w:fldCharType="end"/>
      </w:r>
      <w:r>
        <w:rPr>
          <w:rFonts w:ascii="宋体" w:hAnsi="宋体" w:cs="宋体"/>
          <w:szCs w:val="21"/>
          <w:highlight w:val="none"/>
        </w:rPr>
        <w:fldChar w:fldCharType="end"/>
      </w:r>
    </w:p>
    <w:p>
      <w:pPr>
        <w:pStyle w:val="22"/>
        <w:tabs>
          <w:tab w:val="right" w:leader="dot" w:pos="9219"/>
        </w:tabs>
        <w:rPr>
          <w:highlight w:val="none"/>
        </w:rPr>
      </w:pPr>
      <w:r>
        <w:rPr>
          <w:rFonts w:ascii="宋体" w:hAnsi="宋体" w:cs="宋体"/>
          <w:szCs w:val="21"/>
          <w:highlight w:val="none"/>
        </w:rPr>
        <w:fldChar w:fldCharType="begin"/>
      </w:r>
      <w:r>
        <w:rPr>
          <w:rFonts w:ascii="宋体" w:hAnsi="宋体" w:cs="宋体"/>
          <w:szCs w:val="21"/>
          <w:highlight w:val="none"/>
        </w:rPr>
        <w:instrText xml:space="preserve"> HYPERLINK \l _Toc4410 </w:instrText>
      </w:r>
      <w:r>
        <w:rPr>
          <w:rFonts w:ascii="宋体" w:hAnsi="宋体" w:cs="宋体"/>
          <w:szCs w:val="21"/>
          <w:highlight w:val="none"/>
        </w:rPr>
        <w:fldChar w:fldCharType="separate"/>
      </w:r>
      <w:r>
        <w:rPr>
          <w:rFonts w:hint="eastAsia"/>
          <w:szCs w:val="21"/>
          <w:highlight w:val="none"/>
        </w:rPr>
        <w:t>七、授予合同</w:t>
      </w:r>
      <w:r>
        <w:rPr>
          <w:highlight w:val="none"/>
        </w:rPr>
        <w:tab/>
      </w:r>
      <w:r>
        <w:rPr>
          <w:highlight w:val="none"/>
        </w:rPr>
        <w:fldChar w:fldCharType="begin"/>
      </w:r>
      <w:r>
        <w:rPr>
          <w:highlight w:val="none"/>
        </w:rPr>
        <w:instrText xml:space="preserve"> PAGEREF _Toc4410 \h </w:instrText>
      </w:r>
      <w:r>
        <w:rPr>
          <w:highlight w:val="none"/>
        </w:rPr>
        <w:fldChar w:fldCharType="separate"/>
      </w:r>
      <w:r>
        <w:rPr>
          <w:highlight w:val="none"/>
        </w:rPr>
        <w:t>12</w:t>
      </w:r>
      <w:r>
        <w:rPr>
          <w:highlight w:val="none"/>
        </w:rPr>
        <w:fldChar w:fldCharType="end"/>
      </w:r>
      <w:r>
        <w:rPr>
          <w:rFonts w:ascii="宋体" w:hAnsi="宋体" w:cs="宋体"/>
          <w:szCs w:val="21"/>
          <w:highlight w:val="none"/>
        </w:rPr>
        <w:fldChar w:fldCharType="end"/>
      </w:r>
    </w:p>
    <w:p>
      <w:pPr>
        <w:pStyle w:val="18"/>
        <w:tabs>
          <w:tab w:val="right" w:leader="dot" w:pos="9219"/>
        </w:tabs>
        <w:rPr>
          <w:highlight w:val="none"/>
        </w:rPr>
      </w:pPr>
      <w:r>
        <w:rPr>
          <w:rFonts w:ascii="宋体" w:hAnsi="宋体" w:cs="宋体"/>
          <w:szCs w:val="21"/>
          <w:highlight w:val="none"/>
        </w:rPr>
        <w:fldChar w:fldCharType="begin"/>
      </w:r>
      <w:r>
        <w:rPr>
          <w:rFonts w:ascii="宋体" w:hAnsi="宋体" w:cs="宋体"/>
          <w:szCs w:val="21"/>
          <w:highlight w:val="none"/>
        </w:rPr>
        <w:instrText xml:space="preserve"> HYPERLINK \l _Toc18993 </w:instrText>
      </w:r>
      <w:r>
        <w:rPr>
          <w:rFonts w:ascii="宋体" w:hAnsi="宋体" w:cs="宋体"/>
          <w:szCs w:val="21"/>
          <w:highlight w:val="none"/>
        </w:rPr>
        <w:fldChar w:fldCharType="separate"/>
      </w:r>
      <w:r>
        <w:rPr>
          <w:rFonts w:ascii="宋体" w:cs="Times New Roman"/>
          <w:szCs w:val="28"/>
          <w:highlight w:val="none"/>
        </w:rPr>
        <w:t xml:space="preserve">第三章 </w:t>
      </w:r>
      <w:r>
        <w:rPr>
          <w:rFonts w:hint="eastAsia" w:ascii="宋体" w:hAnsi="宋体" w:cs="宋体"/>
          <w:szCs w:val="28"/>
          <w:highlight w:val="none"/>
        </w:rPr>
        <w:t>比选申请文件（格式）</w:t>
      </w:r>
      <w:r>
        <w:rPr>
          <w:highlight w:val="none"/>
        </w:rPr>
        <w:tab/>
      </w:r>
      <w:r>
        <w:rPr>
          <w:highlight w:val="none"/>
        </w:rPr>
        <w:fldChar w:fldCharType="begin"/>
      </w:r>
      <w:r>
        <w:rPr>
          <w:highlight w:val="none"/>
        </w:rPr>
        <w:instrText xml:space="preserve"> PAGEREF _Toc18993 \h </w:instrText>
      </w:r>
      <w:r>
        <w:rPr>
          <w:highlight w:val="none"/>
        </w:rPr>
        <w:fldChar w:fldCharType="separate"/>
      </w:r>
      <w:r>
        <w:rPr>
          <w:highlight w:val="none"/>
        </w:rPr>
        <w:t>23</w:t>
      </w:r>
      <w:r>
        <w:rPr>
          <w:highlight w:val="none"/>
        </w:rPr>
        <w:fldChar w:fldCharType="end"/>
      </w:r>
      <w:r>
        <w:rPr>
          <w:rFonts w:ascii="宋体" w:hAnsi="宋体" w:cs="宋体"/>
          <w:szCs w:val="21"/>
          <w:highlight w:val="none"/>
        </w:rPr>
        <w:fldChar w:fldCharType="end"/>
      </w:r>
    </w:p>
    <w:p>
      <w:pPr>
        <w:pStyle w:val="22"/>
        <w:tabs>
          <w:tab w:val="right" w:leader="dot" w:pos="9219"/>
        </w:tabs>
        <w:rPr>
          <w:highlight w:val="none"/>
        </w:rPr>
      </w:pPr>
      <w:r>
        <w:rPr>
          <w:rFonts w:ascii="宋体" w:hAnsi="宋体" w:cs="宋体"/>
          <w:szCs w:val="21"/>
          <w:highlight w:val="none"/>
        </w:rPr>
        <w:fldChar w:fldCharType="begin"/>
      </w:r>
      <w:r>
        <w:rPr>
          <w:rFonts w:ascii="宋体" w:hAnsi="宋体" w:cs="宋体"/>
          <w:szCs w:val="21"/>
          <w:highlight w:val="none"/>
        </w:rPr>
        <w:instrText xml:space="preserve"> HYPERLINK \l _Toc5961 </w:instrText>
      </w:r>
      <w:r>
        <w:rPr>
          <w:rFonts w:ascii="宋体" w:hAnsi="宋体" w:cs="宋体"/>
          <w:szCs w:val="21"/>
          <w:highlight w:val="none"/>
        </w:rPr>
        <w:fldChar w:fldCharType="separate"/>
      </w:r>
      <w:r>
        <w:rPr>
          <w:rFonts w:hint="eastAsia"/>
          <w:highlight w:val="none"/>
        </w:rPr>
        <w:t>一、资格审查文件目录</w:t>
      </w:r>
      <w:r>
        <w:rPr>
          <w:highlight w:val="none"/>
        </w:rPr>
        <w:tab/>
      </w:r>
      <w:r>
        <w:rPr>
          <w:highlight w:val="none"/>
        </w:rPr>
        <w:fldChar w:fldCharType="begin"/>
      </w:r>
      <w:r>
        <w:rPr>
          <w:highlight w:val="none"/>
        </w:rPr>
        <w:instrText xml:space="preserve"> PAGEREF _Toc5961 \h </w:instrText>
      </w:r>
      <w:r>
        <w:rPr>
          <w:highlight w:val="none"/>
        </w:rPr>
        <w:fldChar w:fldCharType="separate"/>
      </w:r>
      <w:r>
        <w:rPr>
          <w:highlight w:val="none"/>
        </w:rPr>
        <w:t>24</w:t>
      </w:r>
      <w:r>
        <w:rPr>
          <w:highlight w:val="none"/>
        </w:rPr>
        <w:fldChar w:fldCharType="end"/>
      </w:r>
      <w:r>
        <w:rPr>
          <w:rFonts w:ascii="宋体" w:hAnsi="宋体" w:cs="宋体"/>
          <w:szCs w:val="21"/>
          <w:highlight w:val="none"/>
        </w:rPr>
        <w:fldChar w:fldCharType="end"/>
      </w:r>
    </w:p>
    <w:p>
      <w:pPr>
        <w:pStyle w:val="22"/>
        <w:tabs>
          <w:tab w:val="right" w:leader="dot" w:pos="9219"/>
        </w:tabs>
        <w:rPr>
          <w:highlight w:val="none"/>
        </w:rPr>
      </w:pPr>
      <w:r>
        <w:rPr>
          <w:rFonts w:ascii="宋体" w:hAnsi="宋体" w:cs="宋体"/>
          <w:szCs w:val="21"/>
          <w:highlight w:val="none"/>
        </w:rPr>
        <w:fldChar w:fldCharType="begin"/>
      </w:r>
      <w:r>
        <w:rPr>
          <w:rFonts w:ascii="宋体" w:hAnsi="宋体" w:cs="宋体"/>
          <w:szCs w:val="21"/>
          <w:highlight w:val="none"/>
        </w:rPr>
        <w:instrText xml:space="preserve"> HYPERLINK \l _Toc12404 </w:instrText>
      </w:r>
      <w:r>
        <w:rPr>
          <w:rFonts w:ascii="宋体" w:hAnsi="宋体" w:cs="宋体"/>
          <w:szCs w:val="21"/>
          <w:highlight w:val="none"/>
        </w:rPr>
        <w:fldChar w:fldCharType="separate"/>
      </w:r>
      <w:r>
        <w:rPr>
          <w:rFonts w:hint="eastAsia"/>
          <w:highlight w:val="none"/>
        </w:rPr>
        <w:t>二、技术部分材料目录</w:t>
      </w:r>
      <w:r>
        <w:rPr>
          <w:highlight w:val="none"/>
        </w:rPr>
        <w:tab/>
      </w:r>
      <w:r>
        <w:rPr>
          <w:highlight w:val="none"/>
        </w:rPr>
        <w:fldChar w:fldCharType="begin"/>
      </w:r>
      <w:r>
        <w:rPr>
          <w:highlight w:val="none"/>
        </w:rPr>
        <w:instrText xml:space="preserve"> PAGEREF _Toc12404 \h </w:instrText>
      </w:r>
      <w:r>
        <w:rPr>
          <w:highlight w:val="none"/>
        </w:rPr>
        <w:fldChar w:fldCharType="separate"/>
      </w:r>
      <w:r>
        <w:rPr>
          <w:highlight w:val="none"/>
        </w:rPr>
        <w:t>34</w:t>
      </w:r>
      <w:r>
        <w:rPr>
          <w:highlight w:val="none"/>
        </w:rPr>
        <w:fldChar w:fldCharType="end"/>
      </w:r>
      <w:r>
        <w:rPr>
          <w:rFonts w:ascii="宋体" w:hAnsi="宋体" w:cs="宋体"/>
          <w:szCs w:val="21"/>
          <w:highlight w:val="none"/>
        </w:rPr>
        <w:fldChar w:fldCharType="end"/>
      </w:r>
    </w:p>
    <w:p>
      <w:pPr>
        <w:pStyle w:val="22"/>
        <w:tabs>
          <w:tab w:val="right" w:leader="dot" w:pos="9219"/>
        </w:tabs>
        <w:rPr>
          <w:highlight w:val="none"/>
        </w:rPr>
      </w:pPr>
      <w:r>
        <w:rPr>
          <w:rFonts w:ascii="宋体" w:hAnsi="宋体" w:cs="宋体"/>
          <w:szCs w:val="21"/>
          <w:highlight w:val="none"/>
        </w:rPr>
        <w:fldChar w:fldCharType="begin"/>
      </w:r>
      <w:r>
        <w:rPr>
          <w:rFonts w:ascii="宋体" w:hAnsi="宋体" w:cs="宋体"/>
          <w:szCs w:val="21"/>
          <w:highlight w:val="none"/>
        </w:rPr>
        <w:instrText xml:space="preserve"> HYPERLINK \l _Toc27214 </w:instrText>
      </w:r>
      <w:r>
        <w:rPr>
          <w:rFonts w:ascii="宋体" w:hAnsi="宋体" w:cs="宋体"/>
          <w:szCs w:val="21"/>
          <w:highlight w:val="none"/>
        </w:rPr>
        <w:fldChar w:fldCharType="separate"/>
      </w:r>
      <w:r>
        <w:rPr>
          <w:rFonts w:hint="eastAsia"/>
          <w:highlight w:val="none"/>
        </w:rPr>
        <w:t>三、商务部分材料目录</w:t>
      </w:r>
      <w:r>
        <w:rPr>
          <w:highlight w:val="none"/>
        </w:rPr>
        <w:tab/>
      </w:r>
      <w:r>
        <w:rPr>
          <w:highlight w:val="none"/>
        </w:rPr>
        <w:fldChar w:fldCharType="begin"/>
      </w:r>
      <w:r>
        <w:rPr>
          <w:highlight w:val="none"/>
        </w:rPr>
        <w:instrText xml:space="preserve"> PAGEREF _Toc27214 \h </w:instrText>
      </w:r>
      <w:r>
        <w:rPr>
          <w:highlight w:val="none"/>
        </w:rPr>
        <w:fldChar w:fldCharType="separate"/>
      </w:r>
      <w:r>
        <w:rPr>
          <w:highlight w:val="none"/>
        </w:rPr>
        <w:t>42</w:t>
      </w:r>
      <w:r>
        <w:rPr>
          <w:highlight w:val="none"/>
        </w:rPr>
        <w:fldChar w:fldCharType="end"/>
      </w:r>
      <w:r>
        <w:rPr>
          <w:rFonts w:ascii="宋体" w:hAnsi="宋体" w:cs="宋体"/>
          <w:szCs w:val="21"/>
          <w:highlight w:val="none"/>
        </w:rPr>
        <w:fldChar w:fldCharType="end"/>
      </w:r>
    </w:p>
    <w:p>
      <w:pPr>
        <w:pStyle w:val="18"/>
        <w:tabs>
          <w:tab w:val="right" w:leader="dot" w:pos="9219"/>
        </w:tabs>
        <w:rPr>
          <w:highlight w:val="none"/>
        </w:rPr>
      </w:pPr>
      <w:r>
        <w:rPr>
          <w:rFonts w:ascii="宋体" w:hAnsi="宋体" w:cs="宋体"/>
          <w:szCs w:val="21"/>
          <w:highlight w:val="none"/>
        </w:rPr>
        <w:fldChar w:fldCharType="begin"/>
      </w:r>
      <w:r>
        <w:rPr>
          <w:rFonts w:ascii="宋体" w:hAnsi="宋体" w:cs="宋体"/>
          <w:szCs w:val="21"/>
          <w:highlight w:val="none"/>
        </w:rPr>
        <w:instrText xml:space="preserve"> HYPERLINK \l _Toc22689 </w:instrText>
      </w:r>
      <w:r>
        <w:rPr>
          <w:rFonts w:ascii="宋体" w:hAnsi="宋体" w:cs="宋体"/>
          <w:szCs w:val="21"/>
          <w:highlight w:val="none"/>
        </w:rPr>
        <w:fldChar w:fldCharType="separate"/>
      </w:r>
      <w:r>
        <w:rPr>
          <w:rFonts w:hint="eastAsia"/>
          <w:highlight w:val="none"/>
        </w:rPr>
        <w:t>第四章</w:t>
      </w:r>
      <w:r>
        <w:rPr>
          <w:highlight w:val="none"/>
        </w:rPr>
        <w:t xml:space="preserve"> </w:t>
      </w:r>
      <w:r>
        <w:rPr>
          <w:rFonts w:hint="eastAsia"/>
          <w:highlight w:val="none"/>
        </w:rPr>
        <w:t>评比办法</w:t>
      </w:r>
      <w:r>
        <w:rPr>
          <w:highlight w:val="none"/>
        </w:rPr>
        <w:tab/>
      </w:r>
      <w:r>
        <w:rPr>
          <w:highlight w:val="none"/>
        </w:rPr>
        <w:fldChar w:fldCharType="begin"/>
      </w:r>
      <w:r>
        <w:rPr>
          <w:highlight w:val="none"/>
        </w:rPr>
        <w:instrText xml:space="preserve"> PAGEREF _Toc22689 \h </w:instrText>
      </w:r>
      <w:r>
        <w:rPr>
          <w:highlight w:val="none"/>
        </w:rPr>
        <w:fldChar w:fldCharType="separate"/>
      </w:r>
      <w:r>
        <w:rPr>
          <w:highlight w:val="none"/>
        </w:rPr>
        <w:t>44</w:t>
      </w:r>
      <w:r>
        <w:rPr>
          <w:highlight w:val="none"/>
        </w:rPr>
        <w:fldChar w:fldCharType="end"/>
      </w:r>
      <w:r>
        <w:rPr>
          <w:rFonts w:ascii="宋体" w:hAnsi="宋体" w:cs="宋体"/>
          <w:szCs w:val="21"/>
          <w:highlight w:val="none"/>
        </w:rPr>
        <w:fldChar w:fldCharType="end"/>
      </w:r>
    </w:p>
    <w:p>
      <w:pPr>
        <w:pStyle w:val="22"/>
        <w:tabs>
          <w:tab w:val="right" w:leader="dot" w:pos="9219"/>
        </w:tabs>
        <w:rPr>
          <w:highlight w:val="none"/>
        </w:rPr>
      </w:pPr>
      <w:r>
        <w:rPr>
          <w:rFonts w:ascii="宋体" w:hAnsi="宋体" w:cs="宋体"/>
          <w:szCs w:val="21"/>
          <w:highlight w:val="none"/>
        </w:rPr>
        <w:fldChar w:fldCharType="begin"/>
      </w:r>
      <w:r>
        <w:rPr>
          <w:rFonts w:ascii="宋体" w:hAnsi="宋体" w:cs="宋体"/>
          <w:szCs w:val="21"/>
          <w:highlight w:val="none"/>
        </w:rPr>
        <w:instrText xml:space="preserve"> HYPERLINK \l _Toc30260 </w:instrText>
      </w:r>
      <w:r>
        <w:rPr>
          <w:rFonts w:ascii="宋体" w:hAnsi="宋体" w:cs="宋体"/>
          <w:szCs w:val="21"/>
          <w:highlight w:val="none"/>
        </w:rPr>
        <w:fldChar w:fldCharType="separate"/>
      </w:r>
      <w:r>
        <w:rPr>
          <w:rFonts w:hint="eastAsia"/>
          <w:highlight w:val="none"/>
        </w:rPr>
        <w:t>一、综合评分办法</w:t>
      </w:r>
      <w:r>
        <w:rPr>
          <w:highlight w:val="none"/>
        </w:rPr>
        <w:tab/>
      </w:r>
      <w:r>
        <w:rPr>
          <w:highlight w:val="none"/>
        </w:rPr>
        <w:fldChar w:fldCharType="begin"/>
      </w:r>
      <w:r>
        <w:rPr>
          <w:highlight w:val="none"/>
        </w:rPr>
        <w:instrText xml:space="preserve"> PAGEREF _Toc30260 \h </w:instrText>
      </w:r>
      <w:r>
        <w:rPr>
          <w:highlight w:val="none"/>
        </w:rPr>
        <w:fldChar w:fldCharType="separate"/>
      </w:r>
      <w:r>
        <w:rPr>
          <w:highlight w:val="none"/>
        </w:rPr>
        <w:t>44</w:t>
      </w:r>
      <w:r>
        <w:rPr>
          <w:highlight w:val="none"/>
        </w:rPr>
        <w:fldChar w:fldCharType="end"/>
      </w:r>
      <w:r>
        <w:rPr>
          <w:rFonts w:ascii="宋体" w:hAnsi="宋体" w:cs="宋体"/>
          <w:szCs w:val="21"/>
          <w:highlight w:val="none"/>
        </w:rPr>
        <w:fldChar w:fldCharType="end"/>
      </w:r>
    </w:p>
    <w:p>
      <w:pPr>
        <w:pStyle w:val="22"/>
        <w:tabs>
          <w:tab w:val="right" w:leader="dot" w:pos="9219"/>
        </w:tabs>
        <w:rPr>
          <w:highlight w:val="none"/>
        </w:rPr>
      </w:pPr>
      <w:r>
        <w:rPr>
          <w:rFonts w:ascii="宋体" w:hAnsi="宋体" w:cs="宋体"/>
          <w:szCs w:val="21"/>
          <w:highlight w:val="none"/>
        </w:rPr>
        <w:fldChar w:fldCharType="begin"/>
      </w:r>
      <w:r>
        <w:rPr>
          <w:rFonts w:ascii="宋体" w:hAnsi="宋体" w:cs="宋体"/>
          <w:szCs w:val="21"/>
          <w:highlight w:val="none"/>
        </w:rPr>
        <w:instrText xml:space="preserve"> HYPERLINK \l _Toc28487 </w:instrText>
      </w:r>
      <w:r>
        <w:rPr>
          <w:rFonts w:ascii="宋体" w:hAnsi="宋体" w:cs="宋体"/>
          <w:szCs w:val="21"/>
          <w:highlight w:val="none"/>
        </w:rPr>
        <w:fldChar w:fldCharType="separate"/>
      </w:r>
      <w:r>
        <w:rPr>
          <w:rFonts w:hint="eastAsia"/>
          <w:highlight w:val="none"/>
        </w:rPr>
        <w:t>二、总分计算公式</w:t>
      </w:r>
      <w:r>
        <w:rPr>
          <w:highlight w:val="none"/>
        </w:rPr>
        <w:tab/>
      </w:r>
      <w:r>
        <w:rPr>
          <w:highlight w:val="none"/>
        </w:rPr>
        <w:fldChar w:fldCharType="begin"/>
      </w:r>
      <w:r>
        <w:rPr>
          <w:highlight w:val="none"/>
        </w:rPr>
        <w:instrText xml:space="preserve"> PAGEREF _Toc28487 \h </w:instrText>
      </w:r>
      <w:r>
        <w:rPr>
          <w:highlight w:val="none"/>
        </w:rPr>
        <w:fldChar w:fldCharType="separate"/>
      </w:r>
      <w:r>
        <w:rPr>
          <w:highlight w:val="none"/>
        </w:rPr>
        <w:t>45</w:t>
      </w:r>
      <w:r>
        <w:rPr>
          <w:highlight w:val="none"/>
        </w:rPr>
        <w:fldChar w:fldCharType="end"/>
      </w:r>
      <w:r>
        <w:rPr>
          <w:rFonts w:ascii="宋体" w:hAnsi="宋体" w:cs="宋体"/>
          <w:szCs w:val="21"/>
          <w:highlight w:val="none"/>
        </w:rPr>
        <w:fldChar w:fldCharType="end"/>
      </w:r>
    </w:p>
    <w:p>
      <w:pPr>
        <w:pStyle w:val="22"/>
        <w:tabs>
          <w:tab w:val="right" w:leader="dot" w:pos="9219"/>
        </w:tabs>
        <w:rPr>
          <w:highlight w:val="none"/>
        </w:rPr>
      </w:pPr>
      <w:r>
        <w:rPr>
          <w:rFonts w:ascii="宋体" w:hAnsi="宋体" w:cs="宋体"/>
          <w:szCs w:val="21"/>
          <w:highlight w:val="none"/>
        </w:rPr>
        <w:fldChar w:fldCharType="begin"/>
      </w:r>
      <w:r>
        <w:rPr>
          <w:rFonts w:ascii="宋体" w:hAnsi="宋体" w:cs="宋体"/>
          <w:szCs w:val="21"/>
          <w:highlight w:val="none"/>
        </w:rPr>
        <w:instrText xml:space="preserve"> HYPERLINK \l _Toc11354 </w:instrText>
      </w:r>
      <w:r>
        <w:rPr>
          <w:rFonts w:ascii="宋体" w:hAnsi="宋体" w:cs="宋体"/>
          <w:szCs w:val="21"/>
          <w:highlight w:val="none"/>
        </w:rPr>
        <w:fldChar w:fldCharType="separate"/>
      </w:r>
      <w:r>
        <w:rPr>
          <w:rFonts w:hint="eastAsia"/>
          <w:highlight w:val="none"/>
        </w:rPr>
        <w:t>三、评分细则</w:t>
      </w:r>
      <w:r>
        <w:rPr>
          <w:highlight w:val="none"/>
        </w:rPr>
        <w:tab/>
      </w:r>
      <w:r>
        <w:rPr>
          <w:highlight w:val="none"/>
        </w:rPr>
        <w:fldChar w:fldCharType="begin"/>
      </w:r>
      <w:r>
        <w:rPr>
          <w:highlight w:val="none"/>
        </w:rPr>
        <w:instrText xml:space="preserve"> PAGEREF _Toc11354 \h </w:instrText>
      </w:r>
      <w:r>
        <w:rPr>
          <w:highlight w:val="none"/>
        </w:rPr>
        <w:fldChar w:fldCharType="separate"/>
      </w:r>
      <w:r>
        <w:rPr>
          <w:highlight w:val="none"/>
        </w:rPr>
        <w:t>45</w:t>
      </w:r>
      <w:r>
        <w:rPr>
          <w:highlight w:val="none"/>
        </w:rPr>
        <w:fldChar w:fldCharType="end"/>
      </w:r>
      <w:r>
        <w:rPr>
          <w:rFonts w:ascii="宋体" w:hAnsi="宋体" w:cs="宋体"/>
          <w:szCs w:val="21"/>
          <w:highlight w:val="none"/>
        </w:rPr>
        <w:fldChar w:fldCharType="end"/>
      </w:r>
    </w:p>
    <w:p>
      <w:pPr>
        <w:pStyle w:val="22"/>
        <w:tabs>
          <w:tab w:val="right" w:leader="dot" w:pos="9219"/>
        </w:tabs>
        <w:rPr>
          <w:highlight w:val="none"/>
        </w:rPr>
      </w:pPr>
      <w:r>
        <w:rPr>
          <w:rFonts w:ascii="宋体" w:hAnsi="宋体" w:cs="宋体"/>
          <w:szCs w:val="21"/>
          <w:highlight w:val="none"/>
        </w:rPr>
        <w:fldChar w:fldCharType="begin"/>
      </w:r>
      <w:r>
        <w:rPr>
          <w:rFonts w:ascii="宋体" w:hAnsi="宋体" w:cs="宋体"/>
          <w:szCs w:val="21"/>
          <w:highlight w:val="none"/>
        </w:rPr>
        <w:instrText xml:space="preserve"> HYPERLINK \l _Toc25386 </w:instrText>
      </w:r>
      <w:r>
        <w:rPr>
          <w:rFonts w:ascii="宋体" w:hAnsi="宋体" w:cs="宋体"/>
          <w:szCs w:val="21"/>
          <w:highlight w:val="none"/>
        </w:rPr>
        <w:fldChar w:fldCharType="separate"/>
      </w:r>
      <w:r>
        <w:rPr>
          <w:rFonts w:hint="eastAsia" w:ascii="宋体" w:hAnsi="宋体" w:cs="仿宋"/>
          <w:szCs w:val="28"/>
          <w:highlight w:val="none"/>
        </w:rPr>
        <w:t>四、中选标准</w:t>
      </w:r>
      <w:r>
        <w:rPr>
          <w:highlight w:val="none"/>
        </w:rPr>
        <w:tab/>
      </w:r>
      <w:r>
        <w:rPr>
          <w:highlight w:val="none"/>
        </w:rPr>
        <w:fldChar w:fldCharType="begin"/>
      </w:r>
      <w:r>
        <w:rPr>
          <w:highlight w:val="none"/>
        </w:rPr>
        <w:instrText xml:space="preserve"> PAGEREF _Toc25386 \h </w:instrText>
      </w:r>
      <w:r>
        <w:rPr>
          <w:highlight w:val="none"/>
        </w:rPr>
        <w:fldChar w:fldCharType="separate"/>
      </w:r>
      <w:r>
        <w:rPr>
          <w:highlight w:val="none"/>
        </w:rPr>
        <w:t>46</w:t>
      </w:r>
      <w:r>
        <w:rPr>
          <w:highlight w:val="none"/>
        </w:rPr>
        <w:fldChar w:fldCharType="end"/>
      </w:r>
      <w:r>
        <w:rPr>
          <w:rFonts w:ascii="宋体" w:hAnsi="宋体" w:cs="宋体"/>
          <w:szCs w:val="21"/>
          <w:highlight w:val="none"/>
        </w:rPr>
        <w:fldChar w:fldCharType="end"/>
      </w:r>
    </w:p>
    <w:p>
      <w:pPr>
        <w:pStyle w:val="18"/>
        <w:tabs>
          <w:tab w:val="right" w:leader="dot" w:pos="9219"/>
        </w:tabs>
        <w:rPr>
          <w:highlight w:val="none"/>
        </w:rPr>
      </w:pPr>
      <w:r>
        <w:rPr>
          <w:rFonts w:ascii="宋体" w:hAnsi="宋体" w:cs="宋体"/>
          <w:szCs w:val="21"/>
          <w:highlight w:val="none"/>
        </w:rPr>
        <w:fldChar w:fldCharType="begin"/>
      </w:r>
      <w:r>
        <w:rPr>
          <w:rFonts w:ascii="宋体" w:hAnsi="宋体" w:cs="宋体"/>
          <w:szCs w:val="21"/>
          <w:highlight w:val="none"/>
        </w:rPr>
        <w:instrText xml:space="preserve"> HYPERLINK \l _Toc1299 </w:instrText>
      </w:r>
      <w:r>
        <w:rPr>
          <w:rFonts w:ascii="宋体" w:hAnsi="宋体" w:cs="宋体"/>
          <w:szCs w:val="21"/>
          <w:highlight w:val="none"/>
        </w:rPr>
        <w:fldChar w:fldCharType="separate"/>
      </w:r>
      <w:r>
        <w:rPr>
          <w:rFonts w:hint="eastAsia" w:ascii="宋体" w:hAnsi="宋体" w:eastAsia="宋体" w:cs="方正小标宋简体"/>
          <w:bCs/>
          <w:szCs w:val="28"/>
          <w:highlight w:val="none"/>
        </w:rPr>
        <w:t>第五章</w:t>
      </w:r>
      <w:r>
        <w:rPr>
          <w:rFonts w:ascii="宋体" w:hAnsi="宋体" w:eastAsia="宋体" w:cs="方正小标宋简体"/>
          <w:bCs/>
          <w:szCs w:val="28"/>
          <w:highlight w:val="none"/>
        </w:rPr>
        <w:t xml:space="preserve"> </w:t>
      </w:r>
      <w:r>
        <w:rPr>
          <w:rFonts w:hint="eastAsia" w:ascii="宋体" w:hAnsi="宋体" w:eastAsia="宋体" w:cs="方正小标宋简体"/>
          <w:bCs/>
          <w:szCs w:val="28"/>
          <w:highlight w:val="none"/>
        </w:rPr>
        <w:t>用户需求书</w:t>
      </w:r>
      <w:r>
        <w:rPr>
          <w:highlight w:val="none"/>
        </w:rPr>
        <w:tab/>
      </w:r>
      <w:r>
        <w:rPr>
          <w:highlight w:val="none"/>
        </w:rPr>
        <w:fldChar w:fldCharType="begin"/>
      </w:r>
      <w:r>
        <w:rPr>
          <w:highlight w:val="none"/>
        </w:rPr>
        <w:instrText xml:space="preserve"> PAGEREF _Toc1299 \h </w:instrText>
      </w:r>
      <w:r>
        <w:rPr>
          <w:highlight w:val="none"/>
        </w:rPr>
        <w:fldChar w:fldCharType="separate"/>
      </w:r>
      <w:r>
        <w:rPr>
          <w:highlight w:val="none"/>
        </w:rPr>
        <w:t>48</w:t>
      </w:r>
      <w:r>
        <w:rPr>
          <w:highlight w:val="none"/>
        </w:rPr>
        <w:fldChar w:fldCharType="end"/>
      </w:r>
      <w:r>
        <w:rPr>
          <w:rFonts w:ascii="宋体" w:hAnsi="宋体" w:cs="宋体"/>
          <w:szCs w:val="21"/>
          <w:highlight w:val="none"/>
        </w:rPr>
        <w:fldChar w:fldCharType="end"/>
      </w:r>
    </w:p>
    <w:p>
      <w:pPr>
        <w:pStyle w:val="3"/>
        <w:tabs>
          <w:tab w:val="right" w:leader="dot" w:pos="9219"/>
        </w:tabs>
        <w:spacing w:before="0" w:after="0" w:line="600" w:lineRule="exact"/>
        <w:ind w:firstLine="2635" w:firstLineChars="1250"/>
        <w:jc w:val="both"/>
        <w:rPr>
          <w:rStyle w:val="28"/>
          <w:rFonts w:ascii="宋体"/>
          <w:szCs w:val="21"/>
          <w:highlight w:val="none"/>
        </w:rPr>
      </w:pPr>
      <w:r>
        <w:rPr>
          <w:rFonts w:ascii="宋体" w:hAnsi="宋体" w:cs="宋体"/>
          <w:sz w:val="21"/>
          <w:szCs w:val="21"/>
          <w:highlight w:val="none"/>
        </w:rPr>
        <w:fldChar w:fldCharType="end"/>
      </w:r>
    </w:p>
    <w:p>
      <w:pPr>
        <w:jc w:val="left"/>
        <w:rPr>
          <w:rFonts w:ascii="宋体" w:cs="宋体"/>
          <w:szCs w:val="21"/>
          <w:highlight w:val="none"/>
        </w:rPr>
      </w:pPr>
    </w:p>
    <w:p>
      <w:pPr>
        <w:jc w:val="left"/>
        <w:rPr>
          <w:rFonts w:ascii="宋体" w:cs="宋体"/>
          <w:szCs w:val="28"/>
          <w:highlight w:val="none"/>
        </w:rPr>
      </w:pPr>
    </w:p>
    <w:p>
      <w:pPr>
        <w:jc w:val="center"/>
        <w:rPr>
          <w:rFonts w:ascii="宋体" w:cs="宋体"/>
          <w:szCs w:val="28"/>
          <w:highlight w:val="none"/>
        </w:rPr>
      </w:pPr>
    </w:p>
    <w:p>
      <w:pPr>
        <w:jc w:val="left"/>
        <w:rPr>
          <w:rFonts w:ascii="宋体" w:cs="宋体"/>
          <w:szCs w:val="28"/>
          <w:highlight w:val="none"/>
        </w:rPr>
      </w:pPr>
    </w:p>
    <w:p>
      <w:pPr>
        <w:jc w:val="left"/>
        <w:rPr>
          <w:rFonts w:ascii="宋体" w:cs="宋体"/>
          <w:szCs w:val="28"/>
          <w:highlight w:val="none"/>
        </w:rPr>
      </w:pPr>
    </w:p>
    <w:p>
      <w:pPr>
        <w:jc w:val="left"/>
        <w:rPr>
          <w:rFonts w:ascii="宋体" w:cs="宋体"/>
          <w:szCs w:val="28"/>
          <w:highlight w:val="none"/>
        </w:rPr>
      </w:pPr>
    </w:p>
    <w:p>
      <w:pPr>
        <w:jc w:val="left"/>
        <w:rPr>
          <w:rFonts w:ascii="宋体" w:cs="宋体"/>
          <w:szCs w:val="28"/>
          <w:highlight w:val="none"/>
        </w:rPr>
      </w:pPr>
    </w:p>
    <w:p>
      <w:pPr>
        <w:rPr>
          <w:rFonts w:ascii="宋体" w:cs="宋体"/>
          <w:szCs w:val="28"/>
          <w:highlight w:val="none"/>
        </w:rPr>
      </w:pPr>
      <w:bookmarkStart w:id="20" w:name="_Toc20342"/>
      <w:bookmarkStart w:id="21" w:name="_Toc30233"/>
      <w:bookmarkStart w:id="22" w:name="_Toc13623"/>
      <w:bookmarkStart w:id="23" w:name="_Toc18544"/>
      <w:bookmarkStart w:id="24" w:name="_Toc9851"/>
      <w:bookmarkStart w:id="25" w:name="_Toc11052"/>
      <w:bookmarkStart w:id="26" w:name="_Toc31020"/>
      <w:bookmarkStart w:id="27" w:name="_Toc14897"/>
      <w:bookmarkStart w:id="28" w:name="_Toc471482359"/>
      <w:bookmarkStart w:id="29" w:name="_Toc30578"/>
      <w:bookmarkStart w:id="30" w:name="_Toc14177"/>
      <w:bookmarkStart w:id="31" w:name="_Toc9092"/>
      <w:bookmarkStart w:id="32" w:name="_Toc32556"/>
      <w:bookmarkStart w:id="33" w:name="_Toc27762"/>
      <w:bookmarkStart w:id="34" w:name="_Toc32719"/>
      <w:bookmarkStart w:id="35" w:name="_Toc24752"/>
      <w:bookmarkStart w:id="36" w:name="_Toc461525294"/>
      <w:bookmarkStart w:id="37" w:name="_Toc12557"/>
      <w:bookmarkStart w:id="38" w:name="_Toc6747"/>
      <w:bookmarkStart w:id="39" w:name="_Toc29385"/>
      <w:bookmarkStart w:id="40" w:name="_Toc24235"/>
      <w:r>
        <w:rPr>
          <w:rFonts w:ascii="宋体" w:cs="宋体"/>
          <w:szCs w:val="28"/>
          <w:highlight w:val="none"/>
        </w:rPr>
        <w:br w:type="page"/>
      </w:r>
    </w:p>
    <w:p>
      <w:pPr>
        <w:pStyle w:val="3"/>
        <w:spacing w:before="0" w:after="0" w:line="600" w:lineRule="exact"/>
        <w:rPr>
          <w:rFonts w:ascii="宋体" w:cs="宋体"/>
          <w:szCs w:val="28"/>
          <w:highlight w:val="none"/>
        </w:rPr>
      </w:pPr>
      <w:bookmarkStart w:id="41" w:name="_Toc20140"/>
      <w:r>
        <w:rPr>
          <w:rFonts w:hint="eastAsia" w:ascii="宋体" w:hAnsi="宋体" w:cs="宋体"/>
          <w:szCs w:val="28"/>
          <w:highlight w:val="none"/>
        </w:rPr>
        <w:t>第一章</w:t>
      </w:r>
      <w:r>
        <w:rPr>
          <w:rFonts w:ascii="宋体" w:hAnsi="宋体" w:cs="宋体"/>
          <w:szCs w:val="28"/>
          <w:highlight w:val="none"/>
        </w:rPr>
        <w:t xml:space="preserve"> </w:t>
      </w:r>
      <w:r>
        <w:rPr>
          <w:rFonts w:hint="eastAsia" w:ascii="宋体" w:hAnsi="宋体" w:cs="宋体"/>
          <w:szCs w:val="28"/>
          <w:highlight w:val="none"/>
        </w:rPr>
        <w:t>比选须知</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4"/>
        <w:spacing w:before="120" w:after="120" w:line="540" w:lineRule="exact"/>
        <w:jc w:val="left"/>
        <w:rPr>
          <w:sz w:val="24"/>
          <w:szCs w:val="24"/>
          <w:highlight w:val="none"/>
        </w:rPr>
      </w:pPr>
      <w:bookmarkStart w:id="42" w:name="_Toc24239"/>
      <w:bookmarkStart w:id="43" w:name="_Toc21200"/>
      <w:bookmarkStart w:id="44" w:name="_Toc17641"/>
      <w:bookmarkStart w:id="45" w:name="_Toc24301"/>
      <w:bookmarkStart w:id="46" w:name="_Toc21327"/>
      <w:bookmarkStart w:id="47" w:name="_Toc20765"/>
      <w:bookmarkStart w:id="48" w:name="_Toc461525295"/>
      <w:bookmarkStart w:id="49" w:name="_Toc18263"/>
      <w:bookmarkStart w:id="50" w:name="_Toc11329"/>
      <w:bookmarkStart w:id="51" w:name="_Toc11337"/>
      <w:bookmarkStart w:id="52" w:name="_Toc8003"/>
      <w:bookmarkStart w:id="53" w:name="_Toc5848"/>
      <w:bookmarkStart w:id="54" w:name="_Toc2162"/>
      <w:bookmarkStart w:id="55" w:name="_Toc14984"/>
      <w:bookmarkStart w:id="56" w:name="_Toc2242"/>
      <w:bookmarkStart w:id="57" w:name="_Toc31166"/>
      <w:bookmarkStart w:id="58" w:name="_Toc14510"/>
      <w:bookmarkStart w:id="59" w:name="_Toc471482360"/>
      <w:bookmarkStart w:id="60" w:name="_Toc32591"/>
      <w:bookmarkStart w:id="61" w:name="_Toc17254"/>
      <w:bookmarkStart w:id="62" w:name="_Toc25750"/>
      <w:bookmarkStart w:id="63" w:name="_Toc18968"/>
      <w:r>
        <w:rPr>
          <w:rFonts w:hint="eastAsia"/>
          <w:sz w:val="24"/>
          <w:szCs w:val="24"/>
          <w:highlight w:val="none"/>
        </w:rPr>
        <w:t>前附表</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tbl>
      <w:tblPr>
        <w:tblStyle w:val="25"/>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732"/>
        <w:gridCol w:w="7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970" w:type="dxa"/>
            <w:vAlign w:val="center"/>
          </w:tcPr>
          <w:p>
            <w:pPr>
              <w:jc w:val="center"/>
              <w:rPr>
                <w:rFonts w:ascii="宋体" w:cs="宋体"/>
                <w:b/>
                <w:szCs w:val="21"/>
                <w:highlight w:val="none"/>
              </w:rPr>
            </w:pPr>
            <w:r>
              <w:rPr>
                <w:rFonts w:hint="eastAsia" w:ascii="宋体" w:hAnsi="宋体" w:cs="宋体"/>
                <w:b/>
                <w:szCs w:val="21"/>
                <w:highlight w:val="none"/>
              </w:rPr>
              <w:t>序号</w:t>
            </w:r>
          </w:p>
        </w:tc>
        <w:tc>
          <w:tcPr>
            <w:tcW w:w="1732" w:type="dxa"/>
            <w:vAlign w:val="center"/>
          </w:tcPr>
          <w:p>
            <w:pPr>
              <w:jc w:val="left"/>
              <w:rPr>
                <w:rFonts w:ascii="宋体" w:cs="宋体"/>
                <w:b/>
                <w:szCs w:val="21"/>
                <w:highlight w:val="none"/>
              </w:rPr>
            </w:pPr>
          </w:p>
        </w:tc>
        <w:tc>
          <w:tcPr>
            <w:tcW w:w="7074" w:type="dxa"/>
            <w:vAlign w:val="center"/>
          </w:tcPr>
          <w:p>
            <w:pPr>
              <w:jc w:val="center"/>
              <w:rPr>
                <w:rFonts w:ascii="宋体" w:cs="宋体"/>
                <w:b/>
                <w:szCs w:val="21"/>
                <w:highlight w:val="none"/>
              </w:rPr>
            </w:pPr>
            <w:r>
              <w:rPr>
                <w:rFonts w:hint="eastAsia" w:ascii="宋体" w:hAnsi="宋体" w:cs="宋体"/>
                <w:b/>
                <w:szCs w:val="21"/>
                <w:highlight w:val="none"/>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w:t>
            </w:r>
          </w:p>
        </w:tc>
        <w:tc>
          <w:tcPr>
            <w:tcW w:w="1732" w:type="dxa"/>
            <w:vAlign w:val="center"/>
          </w:tcPr>
          <w:p>
            <w:pPr>
              <w:jc w:val="left"/>
              <w:rPr>
                <w:rFonts w:ascii="宋体" w:cs="宋体"/>
                <w:szCs w:val="21"/>
                <w:highlight w:val="none"/>
              </w:rPr>
            </w:pPr>
            <w:r>
              <w:rPr>
                <w:rFonts w:hint="eastAsia" w:ascii="宋体" w:hAnsi="宋体" w:cs="宋体"/>
                <w:szCs w:val="21"/>
                <w:highlight w:val="none"/>
              </w:rPr>
              <w:t>项目名称</w:t>
            </w:r>
          </w:p>
        </w:tc>
        <w:tc>
          <w:tcPr>
            <w:tcW w:w="7074" w:type="dxa"/>
            <w:vAlign w:val="center"/>
          </w:tcPr>
          <w:p>
            <w:pPr>
              <w:spacing w:line="300" w:lineRule="exact"/>
              <w:ind w:left="0" w:leftChars="0" w:hanging="10" w:firstLineChars="0"/>
              <w:rPr>
                <w:rFonts w:ascii="宋体" w:cs="宋体"/>
                <w:b/>
                <w:sz w:val="28"/>
                <w:szCs w:val="21"/>
                <w:highlight w:val="none"/>
              </w:rPr>
            </w:pPr>
            <w:r>
              <w:rPr>
                <w:rFonts w:hint="eastAsia" w:ascii="宋体" w:hAnsi="宋体" w:cs="宋体"/>
                <w:szCs w:val="21"/>
                <w:highlight w:val="none"/>
                <w:u w:val="single"/>
                <w:lang w:eastAsia="zh-CN"/>
              </w:rPr>
              <w:t>南宁轨道交通运营有限公司2021年至2022年物资管理内控建设及执行情况专项审计项目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2</w:t>
            </w:r>
          </w:p>
        </w:tc>
        <w:tc>
          <w:tcPr>
            <w:tcW w:w="1732" w:type="dxa"/>
            <w:vAlign w:val="center"/>
          </w:tcPr>
          <w:p>
            <w:pPr>
              <w:jc w:val="left"/>
              <w:rPr>
                <w:rFonts w:ascii="宋体" w:cs="宋体"/>
                <w:szCs w:val="21"/>
                <w:highlight w:val="none"/>
              </w:rPr>
            </w:pPr>
            <w:r>
              <w:rPr>
                <w:rFonts w:hint="eastAsia" w:ascii="宋体" w:hAnsi="宋体" w:cs="宋体"/>
                <w:szCs w:val="21"/>
                <w:highlight w:val="none"/>
              </w:rPr>
              <w:t>项目范围</w:t>
            </w:r>
          </w:p>
        </w:tc>
        <w:tc>
          <w:tcPr>
            <w:tcW w:w="7074" w:type="dxa"/>
          </w:tcPr>
          <w:p>
            <w:pPr>
              <w:spacing w:line="300" w:lineRule="exact"/>
              <w:rPr>
                <w:rFonts w:ascii="宋体" w:cs="宋体"/>
                <w:szCs w:val="21"/>
                <w:highlight w:val="none"/>
              </w:rPr>
            </w:pPr>
            <w:r>
              <w:rPr>
                <w:rFonts w:hint="eastAsia" w:ascii="宋体" w:hAnsi="宋体" w:cs="宋体"/>
                <w:szCs w:val="21"/>
                <w:highlight w:val="none"/>
              </w:rPr>
              <w:t>对</w:t>
            </w:r>
            <w:r>
              <w:rPr>
                <w:rFonts w:hint="eastAsia" w:ascii="宋体" w:hAnsi="宋体" w:cs="宋体"/>
                <w:szCs w:val="21"/>
                <w:highlight w:val="none"/>
                <w:lang w:val="en-US" w:eastAsia="zh-CN"/>
              </w:rPr>
              <w:t>南宁轨道交通</w:t>
            </w:r>
            <w:r>
              <w:rPr>
                <w:rFonts w:hint="eastAsia" w:ascii="宋体" w:hAnsi="宋体" w:cs="宋体"/>
                <w:szCs w:val="21"/>
                <w:highlight w:val="none"/>
              </w:rPr>
              <w:t>运营</w:t>
            </w:r>
            <w:r>
              <w:rPr>
                <w:rFonts w:hint="eastAsia" w:ascii="宋体" w:hAnsi="宋体" w:cs="宋体"/>
                <w:szCs w:val="21"/>
                <w:highlight w:val="none"/>
                <w:lang w:val="en-US" w:eastAsia="zh-CN"/>
              </w:rPr>
              <w:t>有限</w:t>
            </w:r>
            <w:r>
              <w:rPr>
                <w:rFonts w:hint="eastAsia" w:ascii="宋体" w:hAnsi="宋体" w:cs="宋体"/>
                <w:szCs w:val="21"/>
                <w:highlight w:val="none"/>
              </w:rPr>
              <w:t>公司2021年至2022年物资管理内控建设及执行情况开展审计，包括内控建设的合法合规合理性及执行的效率效果等情况，作出客观公正、实事求是的评价</w:t>
            </w:r>
            <w:r>
              <w:rPr>
                <w:rFonts w:hint="eastAsia" w:ascii="宋体" w:hAnsi="宋体" w:cs="宋体"/>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3</w:t>
            </w:r>
          </w:p>
        </w:tc>
        <w:tc>
          <w:tcPr>
            <w:tcW w:w="1732" w:type="dxa"/>
            <w:vAlign w:val="center"/>
          </w:tcPr>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项目内容及成果要求</w:t>
            </w:r>
          </w:p>
        </w:tc>
        <w:tc>
          <w:tcPr>
            <w:tcW w:w="7074" w:type="dxa"/>
          </w:tcPr>
          <w:p>
            <w:pPr>
              <w:numPr>
                <w:ilvl w:val="0"/>
                <w:numId w:val="1"/>
              </w:num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审计内容</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按照《中华人民共和国民法典》《中华人民共和国招标投标法》《中华人民共和国招标投标法实施条例》《广西壮族自治区企业国有资产交易监督管理办法》及其他法律法规，以及南宁轨道交通集团有限责任公司、南宁轨道交通运营有限公司招标采购、物资管理等规章制度的规定，对南宁轨道交通运营有限公司2021年至2022年物资管理内控建设的合法合规合理性及执行的效率效果进行审查、监督及评价，重点关注包括但不限于以下内容：</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（一）关注南宁轨道交通运营有限公司物资采购、验收、领用、盘点、处置等全流程相关制度的建立健全情况，设计是否合理，与采购相关的内部控制是否等到有效执行；</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（二）关注采购环节相关岗位设置是否符合不相容岗位相互分离的原则。</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三）关注物资采购计划编制、执行及变更的合规性、合理性、及时性，是否存在采购计划编制、执行及变更流程不符合规章制度的情形；是否存在计划安排不合理导致短缺、积压可能导致企业生产停滞或资源浪费的情形，是否存在不及时编制或执行采购计划等人为制造紧急采购等情形；</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（四）关注采购方式是否符合相关规定，采购方式选择的决策流程是否符合内部控制指引的规定；</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（五）关注评标或评审人员的选定、资质、专业、数量等是否符合相关规定；</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六）关注评标或评审程序的合法合规性，是否按法律法规、公司规章制度对投标人资格、投标文件等进行审查，是否存在围标、串标等损害南宁轨道交通运营有限公司利益等情形，评标或评审的过程和成果记录是否完整；</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（七）关注验收流程的合法合规性，验收人员组成是否符合不相容岗位互相分离原则，是否按合同约定的品牌、规格型号、数量、质量等要素验收，相关验收人员签字是否齐全，验收入库登记是否正确；</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（八）关注物资存放和移动是否符合相关规定，管理职责是否清晰、制衡，是否存在非物资管理、监督、仓储人员在未经授权情况下接触物资等情形；</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（九）关注物资领用手续是否完整，计量计价是否准确，账务处理是否正确，成本消耗是否存在异常；</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（十）关注物资盘点程序是否符合相关规定，盘点人员组成是否合规合理，组织实施是否有序，盘盈盘亏处置是否符合规定，盘点各环节的审核签字手续是否完备，是否按规定出具盘点报告等；</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（十一）关注损坏、废旧等物资的管理是否符合相关规定，对具有回收价值的物资或危旧物资，存放保管是否安全，处置是否合法合规合理；</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（十二）物资各归口管理部门、生产技术部、财务部的物资台账登记是否完整、连续，账账是否相符；</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（十三）是否存在长期积压、大量在途物资情形，并分析形成原因；</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（十四）其他涉及物资管理的合法合规合理情况；</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（十五）集团公司关注的其他事项情况。</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二、审计要求及成果</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根据《中华人民共和国招标投标法》《中华人民共和国招标投标法实施条例》《广西壮族自治区企业国有资产交易监督管理办法》《中华人民共和国民法典》《企业内部控制基本规范》及其他相关法律法规、规章制度，以及南宁轨道交通集团有限责任公司、南宁轨道交通运营有限公司招标采购、物资管理等相关制度开展工作，对南宁轨道交通运营有限公司2021年至2022年物资管理内控建设及执行情况开展审计，包括内控建设的合法合规合理性及执行的效率效果等情况，作出客观公正、实事求是的评价，出具南宁轨道交通运营有限公司2021年至2022年物资管理内控建设及执行情况专项审计报告及管理建议书，并经南宁轨道交通集团有限责任公司审批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shd w:val="clear" w:color="auto" w:fill="FFFFFF"/>
            <w:vAlign w:val="center"/>
          </w:tcPr>
          <w:p>
            <w:pPr>
              <w:jc w:val="center"/>
              <w:rPr>
                <w:rFonts w:ascii="宋体" w:cs="宋体"/>
                <w:szCs w:val="21"/>
                <w:highlight w:val="none"/>
              </w:rPr>
            </w:pPr>
            <w:r>
              <w:rPr>
                <w:rFonts w:ascii="宋体" w:hAnsi="宋体" w:cs="宋体"/>
                <w:szCs w:val="21"/>
                <w:highlight w:val="none"/>
              </w:rPr>
              <w:t>4</w:t>
            </w:r>
          </w:p>
        </w:tc>
        <w:tc>
          <w:tcPr>
            <w:tcW w:w="1732" w:type="dxa"/>
            <w:shd w:val="clear" w:color="auto" w:fill="FFFFFF"/>
            <w:vAlign w:val="center"/>
          </w:tcPr>
          <w:p>
            <w:pPr>
              <w:jc w:val="left"/>
              <w:rPr>
                <w:rFonts w:ascii="宋体" w:cs="宋体"/>
                <w:szCs w:val="21"/>
                <w:highlight w:val="none"/>
              </w:rPr>
            </w:pPr>
            <w:r>
              <w:rPr>
                <w:rFonts w:hint="eastAsia" w:ascii="宋体" w:hAnsi="宋体" w:cs="宋体"/>
                <w:szCs w:val="21"/>
                <w:highlight w:val="none"/>
              </w:rPr>
              <w:t>资金来源</w:t>
            </w:r>
          </w:p>
        </w:tc>
        <w:tc>
          <w:tcPr>
            <w:tcW w:w="7074" w:type="dxa"/>
            <w:shd w:val="clear" w:color="auto" w:fill="FFFFFF"/>
          </w:tcPr>
          <w:p>
            <w:pPr>
              <w:ind w:right="-3"/>
              <w:jc w:val="left"/>
              <w:rPr>
                <w:rFonts w:ascii="宋体" w:cs="宋体"/>
                <w:szCs w:val="21"/>
                <w:highlight w:val="none"/>
              </w:rPr>
            </w:pPr>
            <w:r>
              <w:rPr>
                <w:rFonts w:hint="eastAsia" w:ascii="宋体" w:hAnsi="宋体" w:cs="宋体"/>
                <w:szCs w:val="21"/>
                <w:highlight w:val="none"/>
              </w:rPr>
              <w:t>企业自有资金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5</w:t>
            </w:r>
          </w:p>
        </w:tc>
        <w:tc>
          <w:tcPr>
            <w:tcW w:w="1732" w:type="dxa"/>
            <w:vAlign w:val="center"/>
          </w:tcPr>
          <w:p>
            <w:pPr>
              <w:jc w:val="left"/>
              <w:rPr>
                <w:rFonts w:ascii="宋体" w:cs="宋体"/>
                <w:szCs w:val="21"/>
                <w:highlight w:val="none"/>
              </w:rPr>
            </w:pPr>
            <w:r>
              <w:rPr>
                <w:rFonts w:hint="eastAsia" w:ascii="宋体" w:hAnsi="宋体" w:cs="宋体"/>
                <w:szCs w:val="21"/>
                <w:highlight w:val="none"/>
              </w:rPr>
              <w:t>计费方式</w:t>
            </w:r>
          </w:p>
        </w:tc>
        <w:tc>
          <w:tcPr>
            <w:tcW w:w="7074" w:type="dxa"/>
          </w:tcPr>
          <w:p>
            <w:pPr>
              <w:ind w:right="-3"/>
              <w:jc w:val="left"/>
              <w:rPr>
                <w:rFonts w:ascii="宋体" w:cs="宋体"/>
                <w:szCs w:val="21"/>
                <w:highlight w:val="none"/>
              </w:rPr>
            </w:pPr>
            <w:r>
              <w:rPr>
                <w:rFonts w:hint="eastAsia" w:ascii="宋体" w:hAnsi="宋体" w:cs="宋体"/>
                <w:szCs w:val="21"/>
                <w:highlight w:val="none"/>
              </w:rPr>
              <w:t>采用总价包干（包括但不限于税费、交通费、食宿费、差旅费等），费用不予调整。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6</w:t>
            </w:r>
          </w:p>
        </w:tc>
        <w:tc>
          <w:tcPr>
            <w:tcW w:w="1732" w:type="dxa"/>
            <w:vAlign w:val="center"/>
          </w:tcPr>
          <w:p>
            <w:pPr>
              <w:jc w:val="left"/>
              <w:rPr>
                <w:rFonts w:ascii="宋体" w:cs="宋体"/>
                <w:szCs w:val="21"/>
                <w:highlight w:val="none"/>
              </w:rPr>
            </w:pPr>
            <w:r>
              <w:rPr>
                <w:rFonts w:hint="eastAsia" w:ascii="宋体" w:hAnsi="宋体" w:cs="宋体"/>
                <w:szCs w:val="21"/>
                <w:highlight w:val="none"/>
              </w:rPr>
              <w:t>上限控制价</w:t>
            </w:r>
          </w:p>
        </w:tc>
        <w:tc>
          <w:tcPr>
            <w:tcW w:w="7074" w:type="dxa"/>
            <w:vAlign w:val="center"/>
          </w:tcPr>
          <w:p>
            <w:pPr>
              <w:ind w:right="-3"/>
              <w:jc w:val="left"/>
              <w:rPr>
                <w:rFonts w:hint="eastAsia" w:ascii="宋体" w:eastAsia="宋体" w:cs="宋体"/>
                <w:szCs w:val="21"/>
                <w:highlight w:val="none"/>
                <w:lang w:eastAsia="zh-CN"/>
              </w:rPr>
            </w:pPr>
            <w:r>
              <w:rPr>
                <w:rFonts w:hint="eastAsia" w:ascii="宋体" w:hAnsi="宋体" w:cs="宋体"/>
                <w:szCs w:val="21"/>
                <w:highlight w:val="none"/>
              </w:rPr>
              <w:t>人民币：</w:t>
            </w:r>
            <w:r>
              <w:rPr>
                <w:rFonts w:hint="eastAsia" w:ascii="宋体" w:hAnsi="宋体" w:cs="宋体"/>
                <w:szCs w:val="21"/>
                <w:highlight w:val="none"/>
                <w:lang w:val="en-US" w:eastAsia="zh-CN"/>
              </w:rPr>
              <w:t>76</w:t>
            </w:r>
            <w:r>
              <w:rPr>
                <w:rFonts w:ascii="宋体" w:hAnsi="宋体" w:cs="宋体"/>
                <w:szCs w:val="21"/>
                <w:highlight w:val="none"/>
              </w:rPr>
              <w:t>,000.00</w:t>
            </w:r>
            <w:r>
              <w:rPr>
                <w:rFonts w:hint="eastAsia" w:ascii="宋体" w:hAnsi="宋体" w:cs="宋体"/>
                <w:szCs w:val="21"/>
                <w:highlight w:val="none"/>
              </w:rPr>
              <w:t>元</w:t>
            </w:r>
            <w:r>
              <w:rPr>
                <w:rFonts w:hint="eastAsia" w:ascii="宋体" w:hAnsi="宋体" w:cs="宋体"/>
                <w:szCs w:val="21"/>
                <w:highlight w:val="none"/>
                <w:lang w:eastAsia="zh-CN"/>
              </w:rPr>
              <w:t>（</w:t>
            </w:r>
            <w:r>
              <w:rPr>
                <w:rFonts w:hint="eastAsia" w:ascii="宋体" w:hAnsi="宋体" w:cs="宋体"/>
                <w:szCs w:val="21"/>
                <w:highlight w:val="none"/>
              </w:rPr>
              <w:t>含税</w:t>
            </w:r>
            <w:r>
              <w:rPr>
                <w:rFonts w:hint="eastAsia" w:ascii="宋体" w:hAnsi="宋体" w:cs="宋体"/>
                <w:szCs w:val="21"/>
                <w:highlight w:val="none"/>
                <w:lang w:eastAsia="zh-CN"/>
              </w:rPr>
              <w:t>）</w:t>
            </w:r>
            <w:r>
              <w:rPr>
                <w:rFonts w:hint="eastAsia" w:ascii="宋体" w:hAnsi="宋体" w:cs="宋体"/>
                <w:szCs w:val="21"/>
                <w:highlight w:val="none"/>
              </w:rPr>
              <w:t>，</w:t>
            </w:r>
            <w:r>
              <w:rPr>
                <w:rFonts w:hint="eastAsia" w:ascii="宋体" w:hAnsi="宋体" w:cs="宋体"/>
                <w:szCs w:val="21"/>
                <w:highlight w:val="none"/>
                <w:lang w:val="en-US" w:eastAsia="zh-CN"/>
              </w:rPr>
              <w:t>71,698.11</w:t>
            </w:r>
            <w:r>
              <w:rPr>
                <w:rFonts w:hint="eastAsia" w:ascii="宋体" w:hAnsi="宋体" w:cs="宋体"/>
                <w:szCs w:val="21"/>
                <w:highlight w:val="none"/>
              </w:rPr>
              <w:t>元</w:t>
            </w:r>
            <w:r>
              <w:rPr>
                <w:rFonts w:hint="eastAsia" w:ascii="宋体" w:hAnsi="宋体" w:cs="宋体"/>
                <w:szCs w:val="21"/>
                <w:highlight w:val="none"/>
                <w:lang w:eastAsia="zh-CN"/>
              </w:rPr>
              <w:t>（</w:t>
            </w:r>
            <w:r>
              <w:rPr>
                <w:rFonts w:hint="eastAsia" w:ascii="宋体" w:hAnsi="宋体" w:cs="宋体"/>
                <w:szCs w:val="21"/>
                <w:highlight w:val="none"/>
              </w:rPr>
              <w:t>不含税</w:t>
            </w:r>
            <w:r>
              <w:rPr>
                <w:rFonts w:hint="eastAsia" w:ascii="宋体" w:hAnsi="宋体" w:cs="宋体"/>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7</w:t>
            </w:r>
          </w:p>
        </w:tc>
        <w:tc>
          <w:tcPr>
            <w:tcW w:w="1732" w:type="dxa"/>
            <w:vAlign w:val="center"/>
          </w:tcPr>
          <w:p>
            <w:pPr>
              <w:jc w:val="left"/>
              <w:rPr>
                <w:rFonts w:ascii="宋体" w:cs="宋体"/>
                <w:szCs w:val="21"/>
                <w:highlight w:val="none"/>
              </w:rPr>
            </w:pPr>
            <w:r>
              <w:rPr>
                <w:rFonts w:hint="eastAsia" w:ascii="宋体" w:hAnsi="宋体" w:cs="宋体"/>
                <w:szCs w:val="21"/>
                <w:highlight w:val="none"/>
              </w:rPr>
              <w:t>报价方式</w:t>
            </w:r>
          </w:p>
        </w:tc>
        <w:tc>
          <w:tcPr>
            <w:tcW w:w="7074" w:type="dxa"/>
            <w:vAlign w:val="center"/>
          </w:tcPr>
          <w:p>
            <w:pPr>
              <w:ind w:right="-3"/>
              <w:jc w:val="left"/>
              <w:rPr>
                <w:rFonts w:ascii="宋体" w:cs="宋体"/>
                <w:szCs w:val="21"/>
                <w:highlight w:val="none"/>
              </w:rPr>
            </w:pPr>
            <w:r>
              <w:rPr>
                <w:rFonts w:hint="eastAsia" w:ascii="宋体" w:hAnsi="宋体" w:cs="宋体"/>
                <w:szCs w:val="21"/>
                <w:highlight w:val="none"/>
              </w:rPr>
              <w:t>比选申请人必须对比选项目内容中所有工作内容作完整唯一的报价。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8</w:t>
            </w:r>
          </w:p>
        </w:tc>
        <w:tc>
          <w:tcPr>
            <w:tcW w:w="1732" w:type="dxa"/>
            <w:vAlign w:val="center"/>
          </w:tcPr>
          <w:p>
            <w:pPr>
              <w:jc w:val="left"/>
              <w:rPr>
                <w:rFonts w:ascii="宋体" w:cs="宋体"/>
                <w:szCs w:val="21"/>
                <w:highlight w:val="none"/>
              </w:rPr>
            </w:pPr>
            <w:r>
              <w:rPr>
                <w:rFonts w:hint="eastAsia" w:ascii="宋体" w:hAnsi="宋体" w:cs="宋体"/>
                <w:szCs w:val="21"/>
                <w:highlight w:val="none"/>
              </w:rPr>
              <w:t>服务期限</w:t>
            </w:r>
          </w:p>
        </w:tc>
        <w:tc>
          <w:tcPr>
            <w:tcW w:w="7074" w:type="dxa"/>
            <w:vAlign w:val="center"/>
          </w:tcPr>
          <w:p>
            <w:pPr>
              <w:ind w:right="-3"/>
              <w:jc w:val="left"/>
              <w:rPr>
                <w:rFonts w:ascii="宋体" w:cs="宋体"/>
                <w:szCs w:val="21"/>
                <w:highlight w:val="none"/>
              </w:rPr>
            </w:pPr>
            <w:r>
              <w:rPr>
                <w:rFonts w:hint="eastAsia" w:ascii="宋体" w:hAnsi="宋体" w:cs="宋体"/>
                <w:szCs w:val="21"/>
                <w:highlight w:val="none"/>
                <w:lang w:val="en-US" w:eastAsia="zh-CN"/>
              </w:rPr>
              <w:t>3</w:t>
            </w:r>
            <w:r>
              <w:rPr>
                <w:rFonts w:hint="eastAsia" w:ascii="宋体" w:hAnsi="宋体" w:cs="宋体"/>
                <w:szCs w:val="21"/>
                <w:highlight w:val="none"/>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9</w:t>
            </w:r>
          </w:p>
        </w:tc>
        <w:tc>
          <w:tcPr>
            <w:tcW w:w="1732" w:type="dxa"/>
            <w:vAlign w:val="center"/>
          </w:tcPr>
          <w:p>
            <w:pPr>
              <w:jc w:val="left"/>
              <w:rPr>
                <w:rFonts w:ascii="宋体" w:cs="宋体"/>
                <w:szCs w:val="21"/>
                <w:highlight w:val="none"/>
              </w:rPr>
            </w:pPr>
            <w:r>
              <w:rPr>
                <w:rFonts w:hint="eastAsia" w:ascii="宋体" w:hAnsi="宋体" w:cs="宋体"/>
                <w:szCs w:val="21"/>
                <w:highlight w:val="none"/>
              </w:rPr>
              <w:t>比选申请人资格要求</w:t>
            </w:r>
          </w:p>
        </w:tc>
        <w:tc>
          <w:tcPr>
            <w:tcW w:w="7074" w:type="dxa"/>
            <w:vAlign w:val="center"/>
          </w:tcPr>
          <w:p>
            <w:pPr>
              <w:shd w:val="clear"/>
              <w:ind w:right="-3"/>
              <w:jc w:val="left"/>
              <w:rPr>
                <w:rFonts w:ascii="宋体" w:cs="宋体"/>
                <w:szCs w:val="21"/>
                <w:highlight w:val="none"/>
              </w:rPr>
            </w:pPr>
            <w:r>
              <w:rPr>
                <w:rFonts w:ascii="宋体" w:hAnsi="宋体" w:cs="宋体"/>
                <w:szCs w:val="21"/>
                <w:highlight w:val="none"/>
              </w:rPr>
              <w:t>1</w:t>
            </w:r>
            <w:r>
              <w:rPr>
                <w:rFonts w:hint="eastAsia" w:ascii="宋体" w:hAnsi="宋体" w:cs="宋体"/>
                <w:szCs w:val="21"/>
                <w:highlight w:val="none"/>
              </w:rPr>
              <w:t>、比选申请人为中华人民共和国境内依法设立的</w:t>
            </w:r>
            <w:r>
              <w:rPr>
                <w:rFonts w:hint="eastAsia" w:ascii="宋体" w:hAnsi="宋体" w:cs="宋体"/>
                <w:szCs w:val="21"/>
                <w:highlight w:val="none"/>
                <w:lang w:val="en-US" w:eastAsia="zh-CN"/>
              </w:rPr>
              <w:t>法人或其他组织</w:t>
            </w:r>
            <w:r>
              <w:rPr>
                <w:rFonts w:hint="eastAsia" w:ascii="宋体" w:hAnsi="宋体" w:cs="宋体"/>
                <w:szCs w:val="21"/>
                <w:highlight w:val="none"/>
              </w:rPr>
              <w:t>，</w:t>
            </w:r>
            <w:r>
              <w:rPr>
                <w:rFonts w:hint="eastAsia" w:ascii="宋体" w:hAnsi="宋体" w:cs="宋体"/>
                <w:szCs w:val="21"/>
                <w:highlight w:val="none"/>
                <w:lang w:eastAsia="zh-CN"/>
              </w:rPr>
              <w:t>必须</w:t>
            </w:r>
            <w:r>
              <w:rPr>
                <w:rFonts w:hint="eastAsia" w:ascii="宋体" w:hAnsi="宋体" w:cs="宋体"/>
                <w:szCs w:val="21"/>
                <w:highlight w:val="none"/>
              </w:rPr>
              <w:t>持有合法有效的财政部门颁发的会计师事务所执业证书</w:t>
            </w:r>
            <w:r>
              <w:rPr>
                <w:rFonts w:hint="eastAsia" w:ascii="宋体" w:hAnsi="宋体" w:cs="宋体"/>
                <w:szCs w:val="21"/>
                <w:highlight w:val="none"/>
                <w:lang w:val="en-US" w:eastAsia="zh-CN"/>
              </w:rPr>
              <w:t>；</w:t>
            </w:r>
            <w:r>
              <w:rPr>
                <w:rFonts w:hint="eastAsia" w:ascii="宋体" w:hAnsi="宋体" w:cs="宋体"/>
                <w:szCs w:val="21"/>
                <w:highlight w:val="none"/>
              </w:rPr>
              <w:t>没有处于被行政主管部门或业主取消比选申请资格的处罚期内，且没有处于被责令停业，财产被接管、破产状态；近三年无不良执业记录</w:t>
            </w:r>
            <w:r>
              <w:rPr>
                <w:rFonts w:hint="eastAsia" w:ascii="宋体" w:hAnsi="宋体" w:cs="宋体"/>
                <w:szCs w:val="21"/>
                <w:highlight w:val="none"/>
                <w:lang w:val="en-US" w:eastAsia="zh-CN"/>
              </w:rPr>
              <w:t>；</w:t>
            </w:r>
            <w:r>
              <w:rPr>
                <w:rFonts w:hint="eastAsia" w:ascii="宋体" w:hAnsi="宋体" w:cs="宋体"/>
                <w:szCs w:val="21"/>
                <w:highlight w:val="none"/>
              </w:rPr>
              <w:t>比选申请截止时间前3年内没有骗取中选、严重违约或重大质量安全责任事故的情况。若以分支机构参与投标，必须出具总部授权参与证明。</w:t>
            </w:r>
          </w:p>
          <w:p>
            <w:pPr>
              <w:shd w:val="clear"/>
              <w:ind w:right="-3"/>
              <w:jc w:val="left"/>
              <w:rPr>
                <w:rFonts w:ascii="宋体" w:cs="宋体"/>
                <w:szCs w:val="21"/>
                <w:highlight w:val="none"/>
              </w:rPr>
            </w:pPr>
            <w:r>
              <w:rPr>
                <w:rFonts w:ascii="宋体" w:hAnsi="宋体" w:cs="宋体"/>
                <w:kern w:val="0"/>
                <w:szCs w:val="21"/>
                <w:highlight w:val="none"/>
              </w:rPr>
              <w:t>2</w:t>
            </w:r>
            <w:r>
              <w:rPr>
                <w:rFonts w:hint="eastAsia" w:ascii="宋体" w:hAnsi="宋体" w:cs="宋体"/>
                <w:kern w:val="0"/>
                <w:szCs w:val="21"/>
                <w:highlight w:val="none"/>
              </w:rPr>
              <w:t>、本次比选不接受联合体报价，母、子公司只允许其中一家公司参与比选申请；同一法人代表，只接受一家参与比选申请。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10</w:t>
            </w:r>
          </w:p>
        </w:tc>
        <w:tc>
          <w:tcPr>
            <w:tcW w:w="1732" w:type="dxa"/>
            <w:vAlign w:val="center"/>
          </w:tcPr>
          <w:p>
            <w:pPr>
              <w:jc w:val="left"/>
              <w:rPr>
                <w:rFonts w:ascii="宋体" w:cs="宋体"/>
                <w:szCs w:val="21"/>
                <w:highlight w:val="none"/>
              </w:rPr>
            </w:pPr>
            <w:r>
              <w:rPr>
                <w:rFonts w:hint="eastAsia" w:ascii="宋体" w:hAnsi="宋体" w:cs="宋体"/>
                <w:szCs w:val="21"/>
                <w:highlight w:val="none"/>
              </w:rPr>
              <w:t>获取比选文件方式</w:t>
            </w:r>
          </w:p>
        </w:tc>
        <w:tc>
          <w:tcPr>
            <w:tcW w:w="7074" w:type="dxa"/>
            <w:vAlign w:val="center"/>
          </w:tcPr>
          <w:p>
            <w:pPr>
              <w:jc w:val="left"/>
              <w:rPr>
                <w:rFonts w:ascii="宋体" w:cs="宋体"/>
                <w:szCs w:val="21"/>
                <w:highlight w:val="none"/>
              </w:rPr>
            </w:pPr>
            <w:r>
              <w:rPr>
                <w:rFonts w:hint="eastAsia" w:ascii="宋体" w:hAnsi="宋体" w:cs="宋体"/>
                <w:szCs w:val="21"/>
                <w:highlight w:val="none"/>
              </w:rPr>
              <w:t>本项目实行网上发布电子版比选文件，不出售纸质比选文件。凡有意参与的潜在比选申请人，请登录南宁轨道交通集团有限责任公司官网</w:t>
            </w:r>
            <w:r>
              <w:rPr>
                <w:rFonts w:ascii="宋体" w:hAnsi="宋体" w:cs="宋体"/>
                <w:szCs w:val="21"/>
                <w:highlight w:val="none"/>
              </w:rPr>
              <w:t>(http://www.nngdjt.com/)</w:t>
            </w:r>
            <w:r>
              <w:rPr>
                <w:rFonts w:hint="eastAsia" w:ascii="宋体" w:hAnsi="宋体" w:cs="宋体"/>
                <w:szCs w:val="21"/>
                <w:highlight w:val="none"/>
              </w:rPr>
              <w:t>的招标招商中的招标公告处下载比选文件。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11</w:t>
            </w:r>
          </w:p>
        </w:tc>
        <w:tc>
          <w:tcPr>
            <w:tcW w:w="1732" w:type="dxa"/>
            <w:vAlign w:val="center"/>
          </w:tcPr>
          <w:p>
            <w:pPr>
              <w:jc w:val="left"/>
              <w:rPr>
                <w:rFonts w:ascii="宋体" w:cs="宋体"/>
                <w:szCs w:val="21"/>
                <w:highlight w:val="none"/>
              </w:rPr>
            </w:pPr>
            <w:r>
              <w:rPr>
                <w:rFonts w:hint="eastAsia" w:ascii="宋体" w:hAnsi="宋体" w:cs="宋体"/>
                <w:szCs w:val="21"/>
                <w:highlight w:val="none"/>
              </w:rPr>
              <w:t>比选有效期</w:t>
            </w:r>
            <w:r>
              <w:rPr>
                <w:rFonts w:ascii="宋体" w:hAnsi="宋体" w:cs="宋体"/>
                <w:szCs w:val="21"/>
                <w:highlight w:val="none"/>
              </w:rPr>
              <w:t xml:space="preserve"> </w:t>
            </w:r>
          </w:p>
        </w:tc>
        <w:tc>
          <w:tcPr>
            <w:tcW w:w="7074" w:type="dxa"/>
            <w:vAlign w:val="center"/>
          </w:tcPr>
          <w:p>
            <w:pPr>
              <w:ind w:right="-82"/>
              <w:jc w:val="left"/>
              <w:rPr>
                <w:rFonts w:ascii="宋体" w:cs="宋体"/>
                <w:szCs w:val="21"/>
                <w:highlight w:val="none"/>
              </w:rPr>
            </w:pPr>
            <w:r>
              <w:rPr>
                <w:rFonts w:ascii="宋体" w:hAnsi="宋体" w:cs="宋体"/>
                <w:szCs w:val="21"/>
                <w:highlight w:val="none"/>
              </w:rPr>
              <w:t>90</w:t>
            </w:r>
            <w:r>
              <w:rPr>
                <w:rFonts w:hint="eastAsia" w:ascii="宋体" w:hAnsi="宋体" w:cs="宋体"/>
                <w:szCs w:val="21"/>
                <w:highlight w:val="none"/>
              </w:rPr>
              <w:t>天（比选有效期是指为保证比选发起人有足够的时间完成评审和与中选人签订合同而在一定时间内保持有效的期限。比选有效期从比选申请文件递交截止之日算起。）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12</w:t>
            </w:r>
          </w:p>
        </w:tc>
        <w:tc>
          <w:tcPr>
            <w:tcW w:w="1732" w:type="dxa"/>
            <w:vAlign w:val="center"/>
          </w:tcPr>
          <w:p>
            <w:pPr>
              <w:jc w:val="left"/>
              <w:rPr>
                <w:rFonts w:ascii="宋体" w:cs="宋体"/>
                <w:szCs w:val="21"/>
                <w:highlight w:val="none"/>
              </w:rPr>
            </w:pPr>
            <w:r>
              <w:rPr>
                <w:rFonts w:hint="eastAsia" w:ascii="宋体" w:hAnsi="宋体" w:cs="宋体"/>
                <w:szCs w:val="21"/>
                <w:highlight w:val="none"/>
              </w:rPr>
              <w:t>比选申请文件份数</w:t>
            </w:r>
          </w:p>
        </w:tc>
        <w:tc>
          <w:tcPr>
            <w:tcW w:w="7074" w:type="dxa"/>
            <w:vAlign w:val="center"/>
          </w:tcPr>
          <w:p>
            <w:pPr>
              <w:ind w:right="-82"/>
              <w:jc w:val="left"/>
              <w:rPr>
                <w:rFonts w:ascii="宋体" w:cs="宋体"/>
                <w:szCs w:val="21"/>
                <w:highlight w:val="none"/>
              </w:rPr>
            </w:pPr>
            <w:r>
              <w:rPr>
                <w:rFonts w:hint="eastAsia" w:ascii="宋体" w:hAnsi="宋体" w:cs="宋体"/>
                <w:szCs w:val="21"/>
                <w:highlight w:val="none"/>
              </w:rPr>
              <w:t>纸质版一式五份，其中正本一份、副本四份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13</w:t>
            </w:r>
          </w:p>
        </w:tc>
        <w:tc>
          <w:tcPr>
            <w:tcW w:w="1732" w:type="dxa"/>
            <w:vAlign w:val="center"/>
          </w:tcPr>
          <w:p>
            <w:pPr>
              <w:jc w:val="left"/>
              <w:rPr>
                <w:rFonts w:ascii="宋体" w:cs="宋体"/>
                <w:szCs w:val="21"/>
                <w:highlight w:val="none"/>
              </w:rPr>
            </w:pPr>
            <w:r>
              <w:rPr>
                <w:rFonts w:hint="eastAsia" w:ascii="宋体" w:hAnsi="宋体" w:cs="宋体"/>
                <w:szCs w:val="21"/>
                <w:highlight w:val="none"/>
              </w:rPr>
              <w:t>比选申请文件递交地址</w:t>
            </w:r>
          </w:p>
        </w:tc>
        <w:tc>
          <w:tcPr>
            <w:tcW w:w="7074" w:type="dxa"/>
            <w:shd w:val="clear" w:color="auto" w:fill="auto"/>
            <w:vAlign w:val="center"/>
          </w:tcPr>
          <w:p>
            <w:pPr>
              <w:ind w:right="-3"/>
              <w:jc w:val="left"/>
              <w:rPr>
                <w:rFonts w:ascii="宋体" w:cs="宋体"/>
                <w:b/>
                <w:szCs w:val="21"/>
                <w:highlight w:val="none"/>
              </w:rPr>
            </w:pPr>
            <w:r>
              <w:rPr>
                <w:rFonts w:hint="eastAsia" w:ascii="宋体" w:hAnsi="宋体" w:cs="宋体"/>
                <w:b/>
                <w:szCs w:val="21"/>
                <w:highlight w:val="none"/>
              </w:rPr>
              <w:t>地点：广西南宁市云景路</w:t>
            </w:r>
            <w:r>
              <w:rPr>
                <w:rFonts w:ascii="宋体" w:hAnsi="宋体" w:cs="宋体"/>
                <w:b/>
                <w:szCs w:val="21"/>
                <w:highlight w:val="none"/>
              </w:rPr>
              <w:t>69</w:t>
            </w:r>
            <w:r>
              <w:rPr>
                <w:rFonts w:hint="eastAsia" w:ascii="宋体" w:hAnsi="宋体" w:cs="宋体"/>
                <w:b/>
                <w:szCs w:val="21"/>
                <w:highlight w:val="none"/>
              </w:rPr>
              <w:t>号南宁轨道交通集团有限责任公司</w:t>
            </w:r>
            <w:r>
              <w:rPr>
                <w:rFonts w:ascii="宋体" w:hAnsi="宋体" w:cs="宋体"/>
                <w:b/>
                <w:szCs w:val="21"/>
                <w:highlight w:val="none"/>
              </w:rPr>
              <w:t>A2</w:t>
            </w:r>
            <w:r>
              <w:rPr>
                <w:rFonts w:hint="eastAsia" w:ascii="宋体" w:hAnsi="宋体" w:cs="宋体"/>
                <w:b/>
                <w:szCs w:val="21"/>
                <w:highlight w:val="none"/>
              </w:rPr>
              <w:t>栋</w:t>
            </w:r>
            <w:r>
              <w:rPr>
                <w:rFonts w:hint="eastAsia" w:ascii="宋体" w:hAnsi="宋体" w:cs="宋体"/>
                <w:b/>
                <w:szCs w:val="21"/>
                <w:highlight w:val="none"/>
                <w:lang w:val="en-US" w:eastAsia="zh-CN"/>
              </w:rPr>
              <w:t>104</w:t>
            </w:r>
            <w:r>
              <w:rPr>
                <w:rFonts w:hint="eastAsia" w:ascii="宋体" w:hAnsi="宋体" w:cs="宋体"/>
                <w:b/>
                <w:szCs w:val="21"/>
                <w:highlight w:val="none"/>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shd w:val="clear" w:color="auto" w:fill="FFFFFF"/>
            <w:vAlign w:val="center"/>
          </w:tcPr>
          <w:p>
            <w:pPr>
              <w:jc w:val="center"/>
              <w:rPr>
                <w:rFonts w:ascii="宋体" w:cs="宋体"/>
                <w:szCs w:val="21"/>
                <w:highlight w:val="none"/>
              </w:rPr>
            </w:pPr>
            <w:r>
              <w:rPr>
                <w:rFonts w:ascii="宋体" w:hAnsi="宋体" w:cs="宋体"/>
                <w:szCs w:val="21"/>
                <w:highlight w:val="none"/>
              </w:rPr>
              <w:t>14</w:t>
            </w:r>
          </w:p>
        </w:tc>
        <w:tc>
          <w:tcPr>
            <w:tcW w:w="1732" w:type="dxa"/>
            <w:shd w:val="clear" w:color="auto" w:fill="FFFFFF"/>
            <w:vAlign w:val="center"/>
          </w:tcPr>
          <w:p>
            <w:pPr>
              <w:jc w:val="left"/>
              <w:rPr>
                <w:rFonts w:ascii="宋体" w:cs="宋体"/>
                <w:szCs w:val="21"/>
                <w:highlight w:val="none"/>
              </w:rPr>
            </w:pPr>
            <w:r>
              <w:rPr>
                <w:rFonts w:hint="eastAsia" w:ascii="宋体" w:hAnsi="宋体" w:cs="宋体"/>
                <w:szCs w:val="21"/>
                <w:highlight w:val="none"/>
              </w:rPr>
              <w:t>比选申请文件递交日期</w:t>
            </w:r>
            <w:r>
              <w:rPr>
                <w:rFonts w:ascii="宋体" w:hAnsi="宋体" w:cs="宋体"/>
                <w:szCs w:val="21"/>
                <w:highlight w:val="none"/>
              </w:rPr>
              <w:t xml:space="preserve"> </w:t>
            </w:r>
          </w:p>
        </w:tc>
        <w:tc>
          <w:tcPr>
            <w:tcW w:w="7074" w:type="dxa"/>
            <w:shd w:val="clear" w:color="auto" w:fill="auto"/>
            <w:vAlign w:val="center"/>
          </w:tcPr>
          <w:p>
            <w:pPr>
              <w:ind w:right="753"/>
              <w:jc w:val="left"/>
              <w:rPr>
                <w:rFonts w:ascii="宋体" w:cs="宋体"/>
                <w:szCs w:val="21"/>
                <w:highlight w:val="none"/>
              </w:rPr>
            </w:pPr>
            <w:r>
              <w:rPr>
                <w:rFonts w:ascii="宋体" w:hAnsi="宋体" w:cs="宋体"/>
                <w:szCs w:val="21"/>
                <w:highlight w:val="none"/>
              </w:rPr>
              <w:t>2023</w:t>
            </w:r>
            <w:r>
              <w:rPr>
                <w:rFonts w:hint="eastAsia" w:ascii="宋体" w:hAnsi="宋体" w:cs="宋体"/>
                <w:szCs w:val="21"/>
                <w:highlight w:val="none"/>
              </w:rPr>
              <w:t>年</w:t>
            </w:r>
            <w:r>
              <w:rPr>
                <w:rFonts w:hint="eastAsia" w:ascii="宋体" w:hAnsi="宋体" w:cs="宋体"/>
                <w:szCs w:val="21"/>
                <w:highlight w:val="none"/>
                <w:lang w:val="en-US" w:eastAsia="zh-CN"/>
              </w:rPr>
              <w:t>7月12日</w:t>
            </w:r>
            <w:r>
              <w:rPr>
                <w:rFonts w:hint="eastAsia" w:ascii="宋体" w:hAnsi="宋体" w:cs="宋体"/>
                <w:szCs w:val="21"/>
                <w:highlight w:val="none"/>
              </w:rPr>
              <w:t>上午</w:t>
            </w:r>
            <w:r>
              <w:rPr>
                <w:rFonts w:ascii="宋体" w:hAnsi="宋体" w:cs="宋体"/>
                <w:szCs w:val="21"/>
                <w:highlight w:val="none"/>
              </w:rPr>
              <w:t>8:3</w:t>
            </w:r>
            <w:r>
              <w:rPr>
                <w:rFonts w:ascii="宋体" w:cs="宋体"/>
                <w:szCs w:val="21"/>
                <w:highlight w:val="none"/>
              </w:rPr>
              <w:t>0</w:t>
            </w:r>
            <w:r>
              <w:rPr>
                <w:rFonts w:hint="eastAsia" w:ascii="宋体" w:cs="宋体"/>
                <w:szCs w:val="21"/>
                <w:highlight w:val="none"/>
                <w:lang w:val="en-US" w:eastAsia="zh-CN"/>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shd w:val="clear" w:color="auto" w:fill="FFFFFF"/>
            <w:vAlign w:val="center"/>
          </w:tcPr>
          <w:p>
            <w:pPr>
              <w:jc w:val="center"/>
              <w:rPr>
                <w:rFonts w:ascii="宋体" w:cs="宋体"/>
                <w:szCs w:val="21"/>
                <w:highlight w:val="none"/>
              </w:rPr>
            </w:pPr>
            <w:r>
              <w:rPr>
                <w:rFonts w:ascii="宋体" w:hAnsi="宋体" w:cs="宋体"/>
                <w:szCs w:val="21"/>
                <w:highlight w:val="none"/>
              </w:rPr>
              <w:t>15</w:t>
            </w:r>
          </w:p>
        </w:tc>
        <w:tc>
          <w:tcPr>
            <w:tcW w:w="1732" w:type="dxa"/>
            <w:shd w:val="clear" w:color="auto" w:fill="FFFFFF"/>
            <w:vAlign w:val="center"/>
          </w:tcPr>
          <w:p>
            <w:pPr>
              <w:jc w:val="left"/>
              <w:rPr>
                <w:rFonts w:ascii="宋体" w:cs="宋体"/>
                <w:szCs w:val="21"/>
                <w:highlight w:val="none"/>
              </w:rPr>
            </w:pPr>
            <w:r>
              <w:rPr>
                <w:rFonts w:hint="eastAsia" w:ascii="宋体" w:hAnsi="宋体" w:cs="宋体"/>
                <w:szCs w:val="21"/>
                <w:highlight w:val="none"/>
              </w:rPr>
              <w:t>比选时间、地点</w:t>
            </w:r>
            <w:r>
              <w:rPr>
                <w:rFonts w:ascii="宋体" w:hAnsi="宋体" w:cs="宋体"/>
                <w:szCs w:val="21"/>
                <w:highlight w:val="none"/>
              </w:rPr>
              <w:t xml:space="preserve">          </w:t>
            </w:r>
          </w:p>
        </w:tc>
        <w:tc>
          <w:tcPr>
            <w:tcW w:w="7074" w:type="dxa"/>
            <w:shd w:val="clear" w:color="auto" w:fill="auto"/>
            <w:vAlign w:val="center"/>
          </w:tcPr>
          <w:p>
            <w:pPr>
              <w:ind w:right="-3"/>
              <w:jc w:val="left"/>
              <w:rPr>
                <w:rFonts w:ascii="宋体" w:cs="宋体"/>
                <w:szCs w:val="21"/>
                <w:highlight w:val="none"/>
              </w:rPr>
            </w:pPr>
            <w:r>
              <w:rPr>
                <w:rFonts w:hint="eastAsia" w:ascii="宋体" w:hAnsi="宋体" w:cs="宋体"/>
                <w:szCs w:val="21"/>
                <w:highlight w:val="none"/>
              </w:rPr>
              <w:t>时间：</w:t>
            </w:r>
            <w:r>
              <w:rPr>
                <w:rFonts w:ascii="宋体" w:hAnsi="宋体" w:cs="宋体"/>
                <w:szCs w:val="21"/>
                <w:highlight w:val="none"/>
              </w:rPr>
              <w:t>2023</w:t>
            </w:r>
            <w:r>
              <w:rPr>
                <w:rFonts w:hint="eastAsia" w:ascii="宋体" w:hAnsi="宋体" w:cs="宋体"/>
                <w:szCs w:val="21"/>
                <w:highlight w:val="none"/>
              </w:rPr>
              <w:t>年</w:t>
            </w:r>
            <w:r>
              <w:rPr>
                <w:rFonts w:hint="eastAsia" w:ascii="宋体" w:hAnsi="宋体" w:cs="宋体"/>
                <w:szCs w:val="21"/>
                <w:highlight w:val="none"/>
                <w:lang w:val="en-US" w:eastAsia="zh-CN"/>
              </w:rPr>
              <w:t>7月12</w:t>
            </w:r>
            <w:bookmarkStart w:id="610" w:name="_GoBack"/>
            <w:bookmarkEnd w:id="610"/>
            <w:r>
              <w:rPr>
                <w:rFonts w:hint="eastAsia" w:ascii="宋体" w:hAnsi="宋体" w:cs="宋体"/>
                <w:szCs w:val="21"/>
                <w:highlight w:val="none"/>
                <w:lang w:val="en-US" w:eastAsia="zh-CN"/>
              </w:rPr>
              <w:t>日</w:t>
            </w:r>
            <w:r>
              <w:rPr>
                <w:rFonts w:hint="eastAsia" w:ascii="宋体" w:hAnsi="宋体" w:cs="宋体"/>
                <w:szCs w:val="21"/>
                <w:highlight w:val="none"/>
              </w:rPr>
              <w:t>上午</w:t>
            </w:r>
            <w:r>
              <w:rPr>
                <w:rFonts w:ascii="宋体" w:hAnsi="宋体" w:cs="宋体"/>
                <w:szCs w:val="21"/>
                <w:highlight w:val="none"/>
              </w:rPr>
              <w:t>9:00</w:t>
            </w:r>
          </w:p>
          <w:p>
            <w:pPr>
              <w:ind w:right="-3"/>
              <w:jc w:val="left"/>
              <w:rPr>
                <w:rFonts w:ascii="宋体" w:cs="宋体"/>
                <w:szCs w:val="21"/>
                <w:highlight w:val="none"/>
              </w:rPr>
            </w:pPr>
            <w:r>
              <w:rPr>
                <w:rFonts w:hint="eastAsia" w:ascii="宋体" w:hAnsi="宋体" w:cs="宋体"/>
                <w:szCs w:val="21"/>
                <w:highlight w:val="none"/>
              </w:rPr>
              <w:t>地点：广西南宁市云景路</w:t>
            </w:r>
            <w:r>
              <w:rPr>
                <w:rFonts w:ascii="宋体" w:hAnsi="宋体" w:cs="宋体"/>
                <w:szCs w:val="21"/>
                <w:highlight w:val="none"/>
              </w:rPr>
              <w:t>69</w:t>
            </w:r>
            <w:r>
              <w:rPr>
                <w:rFonts w:hint="eastAsia" w:ascii="宋体" w:hAnsi="宋体" w:cs="宋体"/>
                <w:szCs w:val="21"/>
                <w:highlight w:val="none"/>
              </w:rPr>
              <w:t>号南宁轨道交通集团有限责任公司</w:t>
            </w:r>
            <w:r>
              <w:rPr>
                <w:rFonts w:ascii="宋体" w:hAnsi="宋体" w:cs="宋体"/>
                <w:szCs w:val="21"/>
                <w:highlight w:val="none"/>
              </w:rPr>
              <w:t>A2</w:t>
            </w:r>
            <w:r>
              <w:rPr>
                <w:rFonts w:hint="eastAsia" w:ascii="宋体" w:hAnsi="宋体" w:cs="宋体"/>
                <w:szCs w:val="21"/>
                <w:highlight w:val="none"/>
                <w:lang w:val="en-US" w:eastAsia="zh-CN"/>
              </w:rPr>
              <w:t>栋104</w:t>
            </w:r>
            <w:r>
              <w:rPr>
                <w:rFonts w:hint="eastAsia" w:ascii="宋体" w:hAnsi="宋体" w:cs="宋体"/>
                <w:szCs w:val="21"/>
                <w:highlight w:val="none"/>
              </w:rPr>
              <w:t>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16</w:t>
            </w:r>
          </w:p>
        </w:tc>
        <w:tc>
          <w:tcPr>
            <w:tcW w:w="1732" w:type="dxa"/>
            <w:vAlign w:val="center"/>
          </w:tcPr>
          <w:p>
            <w:pPr>
              <w:jc w:val="left"/>
              <w:rPr>
                <w:rFonts w:ascii="宋体" w:cs="宋体"/>
                <w:szCs w:val="21"/>
                <w:highlight w:val="none"/>
              </w:rPr>
            </w:pPr>
            <w:r>
              <w:rPr>
                <w:rFonts w:hint="eastAsia" w:ascii="宋体" w:hAnsi="宋体" w:cs="宋体"/>
                <w:szCs w:val="21"/>
                <w:highlight w:val="none"/>
              </w:rPr>
              <w:t>评比办法</w:t>
            </w:r>
          </w:p>
        </w:tc>
        <w:tc>
          <w:tcPr>
            <w:tcW w:w="7074" w:type="dxa"/>
            <w:vAlign w:val="center"/>
          </w:tcPr>
          <w:p>
            <w:pPr>
              <w:ind w:right="753"/>
              <w:jc w:val="left"/>
              <w:rPr>
                <w:rFonts w:ascii="宋体" w:cs="宋体"/>
                <w:szCs w:val="21"/>
                <w:highlight w:val="none"/>
              </w:rPr>
            </w:pPr>
            <w:r>
              <w:rPr>
                <w:rFonts w:hint="eastAsia" w:ascii="宋体" w:hAnsi="宋体" w:cs="宋体"/>
                <w:szCs w:val="21"/>
                <w:highlight w:val="none"/>
              </w:rPr>
              <w:t>综合评分办法（详见第四章）</w:t>
            </w:r>
            <w:r>
              <w:rPr>
                <w:rFonts w:ascii="宋体" w:hAnsi="宋体" w:cs="宋体"/>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17</w:t>
            </w:r>
          </w:p>
        </w:tc>
        <w:tc>
          <w:tcPr>
            <w:tcW w:w="1732" w:type="dxa"/>
            <w:vAlign w:val="center"/>
          </w:tcPr>
          <w:p>
            <w:pPr>
              <w:jc w:val="left"/>
              <w:rPr>
                <w:rFonts w:ascii="宋体" w:cs="宋体"/>
                <w:szCs w:val="21"/>
                <w:highlight w:val="none"/>
              </w:rPr>
            </w:pPr>
            <w:r>
              <w:rPr>
                <w:rFonts w:hint="eastAsia" w:ascii="宋体" w:hAnsi="宋体" w:cs="宋体"/>
                <w:szCs w:val="21"/>
                <w:highlight w:val="none"/>
              </w:rPr>
              <w:t>中选通知</w:t>
            </w:r>
          </w:p>
        </w:tc>
        <w:tc>
          <w:tcPr>
            <w:tcW w:w="7074" w:type="dxa"/>
            <w:vAlign w:val="center"/>
          </w:tcPr>
          <w:p>
            <w:pPr>
              <w:ind w:right="-3"/>
              <w:jc w:val="both"/>
              <w:rPr>
                <w:rFonts w:ascii="宋体" w:cs="宋体"/>
                <w:szCs w:val="21"/>
                <w:highlight w:val="none"/>
              </w:rPr>
            </w:pPr>
            <w:r>
              <w:rPr>
                <w:rFonts w:hint="eastAsia" w:ascii="宋体" w:hAnsi="宋体" w:cs="宋体"/>
                <w:szCs w:val="21"/>
                <w:highlight w:val="none"/>
              </w:rPr>
              <w:t>比选人根据评审小组的评比结果在比选有效期内向中选的比选申请人发出中选通知书。</w:t>
            </w:r>
          </w:p>
          <w:p>
            <w:pPr>
              <w:ind w:right="-3"/>
              <w:jc w:val="both"/>
              <w:rPr>
                <w:rFonts w:ascii="宋体" w:cs="宋体"/>
                <w:szCs w:val="21"/>
                <w:highlight w:val="none"/>
              </w:rPr>
            </w:pPr>
            <w:r>
              <w:rPr>
                <w:rFonts w:hint="eastAsia" w:ascii="宋体" w:hAnsi="宋体" w:cs="宋体"/>
                <w:szCs w:val="21"/>
                <w:highlight w:val="none"/>
              </w:rPr>
              <w:t>比选人无义务向未中选的比选申请人解释未中选原因和退还其比选文件。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18</w:t>
            </w:r>
          </w:p>
        </w:tc>
        <w:tc>
          <w:tcPr>
            <w:tcW w:w="1732" w:type="dxa"/>
            <w:vAlign w:val="center"/>
          </w:tcPr>
          <w:p>
            <w:pPr>
              <w:spacing w:line="240" w:lineRule="exact"/>
              <w:jc w:val="left"/>
              <w:rPr>
                <w:rFonts w:ascii="宋体"/>
                <w:szCs w:val="21"/>
                <w:highlight w:val="none"/>
              </w:rPr>
            </w:pPr>
            <w:r>
              <w:rPr>
                <w:rFonts w:hint="eastAsia" w:ascii="宋体" w:hAnsi="宋体"/>
                <w:szCs w:val="21"/>
                <w:highlight w:val="none"/>
              </w:rPr>
              <w:t>比选保证金</w:t>
            </w:r>
          </w:p>
        </w:tc>
        <w:tc>
          <w:tcPr>
            <w:tcW w:w="7074" w:type="dxa"/>
            <w:vAlign w:val="center"/>
          </w:tcPr>
          <w:p>
            <w:pPr>
              <w:spacing w:line="240" w:lineRule="exact"/>
              <w:rPr>
                <w:rFonts w:ascii="宋体"/>
                <w:szCs w:val="21"/>
                <w:highlight w:val="none"/>
              </w:rPr>
            </w:pPr>
            <w:r>
              <w:rPr>
                <w:rFonts w:hint="eastAsia" w:ascii="宋体" w:hAnsi="宋体"/>
                <w:szCs w:val="21"/>
                <w:highlight w:val="none"/>
              </w:rPr>
              <w:t>本项目不设比选保证金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19</w:t>
            </w:r>
          </w:p>
        </w:tc>
        <w:tc>
          <w:tcPr>
            <w:tcW w:w="1732" w:type="dxa"/>
            <w:vAlign w:val="center"/>
          </w:tcPr>
          <w:p>
            <w:pPr>
              <w:spacing w:line="240" w:lineRule="exact"/>
              <w:jc w:val="left"/>
              <w:rPr>
                <w:rFonts w:ascii="宋体"/>
                <w:szCs w:val="21"/>
                <w:highlight w:val="none"/>
              </w:rPr>
            </w:pPr>
            <w:r>
              <w:rPr>
                <w:rFonts w:hint="eastAsia" w:ascii="宋体" w:hAnsi="宋体"/>
                <w:szCs w:val="21"/>
                <w:highlight w:val="none"/>
              </w:rPr>
              <w:t>履约保证金</w:t>
            </w:r>
          </w:p>
        </w:tc>
        <w:tc>
          <w:tcPr>
            <w:tcW w:w="7074" w:type="dxa"/>
            <w:vAlign w:val="center"/>
          </w:tcPr>
          <w:p>
            <w:pPr>
              <w:spacing w:line="240" w:lineRule="exact"/>
              <w:jc w:val="left"/>
              <w:rPr>
                <w:rFonts w:ascii="宋体"/>
                <w:szCs w:val="21"/>
                <w:highlight w:val="none"/>
              </w:rPr>
            </w:pPr>
            <w:r>
              <w:rPr>
                <w:rFonts w:hint="eastAsia" w:ascii="宋体" w:hAnsi="宋体"/>
                <w:szCs w:val="21"/>
                <w:highlight w:val="none"/>
              </w:rPr>
              <w:t>本项目不设履约保证金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20</w:t>
            </w:r>
          </w:p>
        </w:tc>
        <w:tc>
          <w:tcPr>
            <w:tcW w:w="1732" w:type="dxa"/>
            <w:vAlign w:val="center"/>
          </w:tcPr>
          <w:p>
            <w:pPr>
              <w:jc w:val="left"/>
              <w:rPr>
                <w:rFonts w:ascii="宋体" w:cs="宋体"/>
                <w:szCs w:val="21"/>
                <w:highlight w:val="none"/>
              </w:rPr>
            </w:pPr>
            <w:r>
              <w:rPr>
                <w:rFonts w:hint="eastAsia" w:ascii="宋体" w:hAnsi="宋体" w:cs="宋体"/>
                <w:szCs w:val="21"/>
                <w:highlight w:val="none"/>
              </w:rPr>
              <w:t>联系方式</w:t>
            </w:r>
          </w:p>
        </w:tc>
        <w:tc>
          <w:tcPr>
            <w:tcW w:w="7074" w:type="dxa"/>
            <w:vAlign w:val="center"/>
          </w:tcPr>
          <w:p>
            <w:pPr>
              <w:ind w:right="-82"/>
              <w:jc w:val="left"/>
              <w:rPr>
                <w:rFonts w:ascii="宋体"/>
                <w:szCs w:val="21"/>
                <w:highlight w:val="none"/>
              </w:rPr>
            </w:pPr>
            <w:r>
              <w:rPr>
                <w:rFonts w:hint="eastAsia" w:ascii="宋体" w:hAnsi="宋体"/>
                <w:szCs w:val="21"/>
                <w:highlight w:val="none"/>
              </w:rPr>
              <w:t>南宁轨道交通集团有限责任公司审计部</w:t>
            </w:r>
            <w:r>
              <w:rPr>
                <w:rFonts w:ascii="宋体" w:hAnsi="宋体"/>
                <w:szCs w:val="21"/>
                <w:highlight w:val="none"/>
              </w:rPr>
              <w:t>/</w:t>
            </w:r>
            <w:r>
              <w:rPr>
                <w:rFonts w:hint="eastAsia" w:ascii="宋体" w:hAnsi="宋体"/>
                <w:szCs w:val="21"/>
                <w:highlight w:val="none"/>
              </w:rPr>
              <w:t>监事会工作部</w:t>
            </w:r>
            <w:r>
              <w:rPr>
                <w:rFonts w:ascii="宋体" w:hAnsi="宋体"/>
                <w:szCs w:val="21"/>
                <w:highlight w:val="none"/>
              </w:rPr>
              <w:t xml:space="preserve"> </w:t>
            </w:r>
          </w:p>
          <w:p>
            <w:pPr>
              <w:ind w:right="-82"/>
              <w:jc w:val="left"/>
              <w:rPr>
                <w:rFonts w:hint="default" w:ascii="宋体"/>
                <w:szCs w:val="21"/>
                <w:highlight w:val="none"/>
                <w:lang w:val="en-US"/>
              </w:rPr>
            </w:pPr>
            <w:r>
              <w:rPr>
                <w:rFonts w:hint="eastAsia" w:ascii="宋体" w:hAnsi="宋体"/>
                <w:szCs w:val="21"/>
                <w:highlight w:val="none"/>
                <w:lang w:val="en-US" w:eastAsia="zh-CN"/>
              </w:rPr>
              <w:t>邓</w:t>
            </w:r>
            <w:r>
              <w:rPr>
                <w:rFonts w:hint="eastAsia" w:ascii="宋体" w:hAnsi="宋体"/>
                <w:szCs w:val="21"/>
                <w:highlight w:val="none"/>
              </w:rPr>
              <w:t>工</w:t>
            </w:r>
            <w:r>
              <w:rPr>
                <w:rFonts w:ascii="宋体" w:hAnsi="宋体"/>
                <w:szCs w:val="21"/>
                <w:highlight w:val="none"/>
              </w:rPr>
              <w:t xml:space="preserve">  </w:t>
            </w:r>
            <w:r>
              <w:rPr>
                <w:rFonts w:hint="eastAsia" w:ascii="宋体" w:hAnsi="宋体"/>
                <w:szCs w:val="21"/>
                <w:highlight w:val="none"/>
                <w:lang w:val="en-US" w:eastAsia="zh-CN"/>
              </w:rPr>
              <w:t>2332828/2778323</w:t>
            </w:r>
          </w:p>
          <w:p>
            <w:pPr>
              <w:ind w:right="-82"/>
              <w:jc w:val="left"/>
              <w:rPr>
                <w:rFonts w:ascii="宋体" w:cs="宋体"/>
                <w:szCs w:val="21"/>
                <w:highlight w:val="none"/>
              </w:rPr>
            </w:pPr>
            <w:r>
              <w:rPr>
                <w:rFonts w:hint="eastAsia" w:ascii="宋体" w:hAnsi="宋体"/>
                <w:szCs w:val="21"/>
                <w:highlight w:val="none"/>
              </w:rPr>
              <w:t>邮箱：nngdsjb902@163.com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21</w:t>
            </w:r>
          </w:p>
        </w:tc>
        <w:tc>
          <w:tcPr>
            <w:tcW w:w="1732" w:type="dxa"/>
            <w:vAlign w:val="center"/>
          </w:tcPr>
          <w:p>
            <w:pPr>
              <w:jc w:val="left"/>
              <w:rPr>
                <w:rFonts w:ascii="宋体" w:cs="宋体"/>
                <w:szCs w:val="21"/>
                <w:highlight w:val="none"/>
              </w:rPr>
            </w:pPr>
            <w:r>
              <w:rPr>
                <w:rFonts w:hint="eastAsia" w:ascii="宋体" w:hAnsi="宋体" w:cs="宋体"/>
                <w:szCs w:val="21"/>
                <w:highlight w:val="none"/>
              </w:rPr>
              <w:t>其他事项</w:t>
            </w:r>
          </w:p>
        </w:tc>
        <w:tc>
          <w:tcPr>
            <w:tcW w:w="7074" w:type="dxa"/>
            <w:vAlign w:val="center"/>
          </w:tcPr>
          <w:p>
            <w:pPr>
              <w:ind w:right="-3"/>
              <w:jc w:val="left"/>
              <w:rPr>
                <w:rFonts w:ascii="宋体" w:cs="宋体"/>
                <w:szCs w:val="21"/>
                <w:highlight w:val="none"/>
              </w:rPr>
            </w:pPr>
            <w:r>
              <w:rPr>
                <w:rFonts w:hint="eastAsia" w:ascii="宋体" w:hAnsi="宋体" w:cs="宋体"/>
                <w:b/>
                <w:szCs w:val="21"/>
                <w:highlight w:val="none"/>
              </w:rPr>
              <w:t>中选单位如放弃中选资格，则比选发起人有权将其列入不良行为记录名单、一年内禁止其参加比选发起人的任何采购活动。</w:t>
            </w:r>
          </w:p>
        </w:tc>
      </w:tr>
    </w:tbl>
    <w:p>
      <w:pPr>
        <w:rPr>
          <w:highlight w:val="none"/>
        </w:rPr>
      </w:pPr>
      <w:bookmarkStart w:id="64" w:name="_Toc461525297"/>
      <w:bookmarkStart w:id="65" w:name="_Toc12419"/>
      <w:bookmarkStart w:id="66" w:name="_Toc18983"/>
      <w:bookmarkStart w:id="67" w:name="_Toc16198"/>
      <w:bookmarkStart w:id="68" w:name="_Toc28086"/>
      <w:bookmarkStart w:id="69" w:name="_Toc26201"/>
      <w:bookmarkStart w:id="70" w:name="_Toc471482361"/>
      <w:bookmarkStart w:id="71" w:name="_Toc3861"/>
      <w:bookmarkStart w:id="72" w:name="_Toc30162"/>
      <w:bookmarkStart w:id="73" w:name="_Toc336"/>
      <w:bookmarkStart w:id="74" w:name="_Toc12506"/>
      <w:bookmarkStart w:id="75" w:name="_Toc6681"/>
      <w:bookmarkStart w:id="76" w:name="_Toc32363"/>
      <w:bookmarkStart w:id="77" w:name="_Toc20803"/>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r>
        <w:rPr>
          <w:highlight w:val="none"/>
        </w:rPr>
        <w:br w:type="page"/>
      </w:r>
    </w:p>
    <w:p>
      <w:pPr>
        <w:pStyle w:val="4"/>
        <w:spacing w:beforeLines="50" w:afterLines="50" w:line="540" w:lineRule="exact"/>
        <w:jc w:val="center"/>
        <w:rPr>
          <w:rFonts w:ascii="宋体"/>
          <w:b/>
          <w:sz w:val="21"/>
          <w:szCs w:val="21"/>
          <w:highlight w:val="none"/>
        </w:rPr>
      </w:pPr>
      <w:bookmarkStart w:id="78" w:name="_Toc6713"/>
      <w:bookmarkStart w:id="79" w:name="_Toc31396"/>
      <w:bookmarkStart w:id="80" w:name="_Toc17477"/>
      <w:bookmarkStart w:id="81" w:name="_Toc18262"/>
      <w:bookmarkStart w:id="82" w:name="_Toc3416"/>
      <w:bookmarkStart w:id="83" w:name="_Toc7188"/>
      <w:bookmarkStart w:id="84" w:name="_Toc28512"/>
      <w:bookmarkStart w:id="85" w:name="_Toc5182"/>
      <w:r>
        <w:rPr>
          <w:rFonts w:hint="eastAsia" w:ascii="宋体" w:hAnsi="宋体"/>
          <w:b/>
          <w:sz w:val="21"/>
          <w:szCs w:val="21"/>
          <w:highlight w:val="none"/>
        </w:rPr>
        <w:t>一、总则</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2"/>
        <w:rPr>
          <w:rFonts w:ascii="宋体" w:cs="宋体"/>
          <w:b/>
          <w:szCs w:val="21"/>
          <w:highlight w:val="none"/>
        </w:rPr>
      </w:pPr>
      <w:bookmarkStart w:id="86" w:name="_Toc310318572"/>
      <w:bookmarkStart w:id="87" w:name="_Toc114052340"/>
      <w:bookmarkStart w:id="88" w:name="_Toc286386834"/>
      <w:bookmarkStart w:id="89" w:name="_Toc114052414"/>
      <w:r>
        <w:rPr>
          <w:rFonts w:ascii="宋体" w:hAnsi="宋体" w:cs="宋体"/>
          <w:b/>
          <w:szCs w:val="21"/>
          <w:highlight w:val="none"/>
        </w:rPr>
        <w:t>1.</w:t>
      </w:r>
      <w:r>
        <w:rPr>
          <w:rFonts w:hint="eastAsia" w:ascii="宋体" w:hAnsi="宋体" w:cs="宋体"/>
          <w:b/>
          <w:szCs w:val="21"/>
          <w:highlight w:val="none"/>
        </w:rPr>
        <w:t>项目比选说明</w:t>
      </w:r>
      <w:bookmarkEnd w:id="86"/>
      <w:bookmarkEnd w:id="87"/>
      <w:bookmarkEnd w:id="88"/>
      <w:bookmarkEnd w:id="89"/>
    </w:p>
    <w:p>
      <w:pPr>
        <w:spacing w:line="500" w:lineRule="exact"/>
        <w:ind w:firstLine="420" w:firstLineChars="200"/>
        <w:rPr>
          <w:rFonts w:ascii="宋体" w:cs="宋体"/>
          <w:szCs w:val="21"/>
          <w:highlight w:val="none"/>
        </w:rPr>
      </w:pPr>
      <w:r>
        <w:rPr>
          <w:rFonts w:ascii="宋体" w:hAnsi="宋体" w:cs="宋体"/>
          <w:szCs w:val="21"/>
          <w:highlight w:val="none"/>
        </w:rPr>
        <w:t xml:space="preserve">1.1 </w:t>
      </w:r>
      <w:r>
        <w:rPr>
          <w:rFonts w:hint="eastAsia" w:ascii="宋体" w:hAnsi="宋体" w:cs="宋体"/>
          <w:szCs w:val="21"/>
          <w:highlight w:val="none"/>
        </w:rPr>
        <w:t>项目比选的说明见比选须知前附表（以下称“前附表”）第</w:t>
      </w:r>
      <w:r>
        <w:rPr>
          <w:rFonts w:ascii="宋体" w:hAnsi="宋体" w:cs="宋体"/>
          <w:szCs w:val="21"/>
          <w:highlight w:val="none"/>
        </w:rPr>
        <w:t>1</w:t>
      </w:r>
      <w:r>
        <w:rPr>
          <w:rFonts w:hint="eastAsia" w:ascii="宋体" w:hAnsi="宋体" w:cs="宋体"/>
          <w:szCs w:val="21"/>
          <w:highlight w:val="none"/>
        </w:rPr>
        <w:t>项～第</w:t>
      </w:r>
      <w:r>
        <w:rPr>
          <w:rFonts w:ascii="宋体" w:hAnsi="宋体" w:cs="宋体"/>
          <w:szCs w:val="21"/>
          <w:highlight w:val="none"/>
        </w:rPr>
        <w:t>21</w:t>
      </w:r>
      <w:r>
        <w:rPr>
          <w:rFonts w:hint="eastAsia" w:ascii="宋体" w:hAnsi="宋体" w:cs="宋体"/>
          <w:szCs w:val="21"/>
          <w:highlight w:val="none"/>
        </w:rPr>
        <w:t>项所述。</w:t>
      </w:r>
    </w:p>
    <w:p>
      <w:pPr>
        <w:spacing w:line="500" w:lineRule="exact"/>
        <w:ind w:firstLine="420" w:firstLineChars="200"/>
        <w:rPr>
          <w:rFonts w:ascii="宋体" w:cs="宋体"/>
          <w:szCs w:val="21"/>
          <w:highlight w:val="none"/>
        </w:rPr>
      </w:pPr>
      <w:r>
        <w:rPr>
          <w:rFonts w:ascii="宋体" w:hAnsi="宋体" w:cs="宋体"/>
          <w:szCs w:val="21"/>
          <w:highlight w:val="none"/>
        </w:rPr>
        <w:t xml:space="preserve">1.2 </w:t>
      </w:r>
      <w:r>
        <w:rPr>
          <w:rFonts w:hint="eastAsia" w:ascii="宋体" w:hAnsi="宋体" w:cs="宋体"/>
          <w:szCs w:val="21"/>
          <w:highlight w:val="none"/>
        </w:rPr>
        <w:t>上述项目按照有关规定执行，现通过公开比选来择优选定服务单位。</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2"/>
        <w:rPr>
          <w:rFonts w:ascii="宋体" w:cs="宋体"/>
          <w:b/>
          <w:szCs w:val="21"/>
          <w:highlight w:val="none"/>
        </w:rPr>
      </w:pPr>
      <w:r>
        <w:rPr>
          <w:rFonts w:ascii="宋体" w:hAnsi="宋体" w:cs="宋体"/>
          <w:b/>
          <w:szCs w:val="21"/>
          <w:highlight w:val="none"/>
        </w:rPr>
        <w:t>2.</w:t>
      </w:r>
      <w:r>
        <w:rPr>
          <w:rFonts w:hint="eastAsia" w:ascii="宋体" w:hAnsi="宋体" w:cs="宋体"/>
          <w:b/>
          <w:szCs w:val="21"/>
          <w:highlight w:val="none"/>
        </w:rPr>
        <w:t>工作内容</w:t>
      </w:r>
    </w:p>
    <w:p>
      <w:pPr>
        <w:spacing w:line="500" w:lineRule="exact"/>
        <w:ind w:firstLine="420" w:firstLineChars="200"/>
        <w:rPr>
          <w:rFonts w:ascii="宋体" w:cs="宋体"/>
          <w:szCs w:val="21"/>
          <w:highlight w:val="none"/>
        </w:rPr>
      </w:pPr>
      <w:r>
        <w:rPr>
          <w:rFonts w:ascii="宋体" w:hAnsi="宋体" w:cs="宋体"/>
          <w:szCs w:val="21"/>
          <w:highlight w:val="none"/>
        </w:rPr>
        <w:t xml:space="preserve">2.1 </w:t>
      </w:r>
      <w:r>
        <w:rPr>
          <w:rFonts w:hint="eastAsia" w:ascii="宋体" w:hAnsi="宋体" w:cs="宋体"/>
          <w:szCs w:val="21"/>
          <w:highlight w:val="none"/>
          <w:lang w:val="en-US" w:eastAsia="zh-CN"/>
        </w:rPr>
        <w:t>审计</w:t>
      </w:r>
      <w:r>
        <w:rPr>
          <w:rFonts w:hint="eastAsia" w:ascii="宋体" w:hAnsi="宋体" w:cs="宋体"/>
          <w:szCs w:val="21"/>
          <w:highlight w:val="none"/>
        </w:rPr>
        <w:t>内容</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20" w:firstLineChars="200"/>
        <w:textAlignment w:val="auto"/>
        <w:rPr>
          <w:rFonts w:hint="eastAsia" w:ascii="宋体" w:hAnsi="宋体" w:cs="宋体"/>
          <w:szCs w:val="21"/>
          <w:highlight w:val="none"/>
        </w:rPr>
      </w:pPr>
      <w:r>
        <w:rPr>
          <w:rFonts w:hint="eastAsia" w:ascii="宋体" w:hAnsi="宋体" w:cs="宋体"/>
          <w:szCs w:val="21"/>
          <w:highlight w:val="none"/>
        </w:rPr>
        <w:t>对</w:t>
      </w:r>
      <w:r>
        <w:rPr>
          <w:rFonts w:hint="eastAsia" w:ascii="宋体" w:hAnsi="宋体" w:cs="宋体"/>
          <w:szCs w:val="21"/>
          <w:highlight w:val="none"/>
          <w:lang w:eastAsia="zh-CN"/>
        </w:rPr>
        <w:t>南宁轨道交通运营有限公司</w:t>
      </w:r>
      <w:r>
        <w:rPr>
          <w:rFonts w:hint="eastAsia" w:ascii="宋体" w:hAnsi="宋体" w:cs="宋体"/>
          <w:szCs w:val="21"/>
          <w:highlight w:val="none"/>
        </w:rPr>
        <w:t>2021</w:t>
      </w:r>
      <w:r>
        <w:rPr>
          <w:rFonts w:hint="eastAsia" w:ascii="宋体" w:hAnsi="宋体" w:cs="宋体"/>
          <w:szCs w:val="21"/>
          <w:highlight w:val="none"/>
          <w:lang w:val="en-US" w:eastAsia="zh-CN"/>
        </w:rPr>
        <w:t>年至</w:t>
      </w:r>
      <w:r>
        <w:rPr>
          <w:rFonts w:hint="eastAsia" w:ascii="宋体" w:hAnsi="宋体" w:cs="宋体"/>
          <w:szCs w:val="21"/>
          <w:highlight w:val="none"/>
        </w:rPr>
        <w:t>2022年物资管理内控建设的合法合规合理性及执行的效率效果进行审查、监督及评价，重点关注包括但不限于以下内容：</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20" w:firstLineChars="200"/>
        <w:textAlignment w:val="auto"/>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1</w:t>
      </w:r>
      <w:r>
        <w:rPr>
          <w:rFonts w:hint="eastAsia" w:ascii="宋体" w:hAnsi="宋体" w:cs="宋体"/>
          <w:szCs w:val="21"/>
          <w:highlight w:val="none"/>
        </w:rPr>
        <w:t>）关注</w:t>
      </w:r>
      <w:r>
        <w:rPr>
          <w:rFonts w:hint="eastAsia" w:ascii="宋体" w:hAnsi="宋体" w:cs="宋体"/>
          <w:szCs w:val="21"/>
          <w:highlight w:val="none"/>
          <w:lang w:eastAsia="zh-CN"/>
        </w:rPr>
        <w:t>南宁轨道交通运营有限公司</w:t>
      </w:r>
      <w:r>
        <w:rPr>
          <w:rFonts w:hint="eastAsia" w:ascii="宋体" w:hAnsi="宋体" w:cs="宋体"/>
          <w:szCs w:val="21"/>
          <w:highlight w:val="none"/>
        </w:rPr>
        <w:t>物资采购、验收、领用、盘点、处置等全流程相关制度的建立健全情况，设计是否合理，与采购相关的内部控制是否等到有效执行；</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20" w:firstLineChars="200"/>
        <w:textAlignment w:val="auto"/>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2</w:t>
      </w:r>
      <w:r>
        <w:rPr>
          <w:rFonts w:hint="eastAsia" w:ascii="宋体" w:hAnsi="宋体" w:cs="宋体"/>
          <w:szCs w:val="21"/>
          <w:highlight w:val="none"/>
        </w:rPr>
        <w:t>）关注采购环节相关岗位设置是否符合不相容岗位相互分离的原则。</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20" w:firstLineChars="200"/>
        <w:textAlignment w:val="auto"/>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3</w:t>
      </w:r>
      <w:r>
        <w:rPr>
          <w:rFonts w:hint="eastAsia" w:ascii="宋体" w:hAnsi="宋体" w:cs="宋体"/>
          <w:szCs w:val="21"/>
          <w:highlight w:val="none"/>
        </w:rPr>
        <w:t>）关注物资采购计划编制、执行及变更的合规性、合理性、及时性，是否存在采购计划编制、执行及变更流程不符合规章制度的情形；是否存在计划安排不合理导致短缺、积压可能导致企业生产停滞或资源浪费的情形，是否存在不及时编制或执行采购计划等人为制造紧急采购等情形；</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20" w:firstLineChars="200"/>
        <w:textAlignment w:val="auto"/>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4</w:t>
      </w:r>
      <w:r>
        <w:rPr>
          <w:rFonts w:hint="eastAsia" w:ascii="宋体" w:hAnsi="宋体" w:cs="宋体"/>
          <w:szCs w:val="21"/>
          <w:highlight w:val="none"/>
        </w:rPr>
        <w:t>）关注采购方式是否符合相关规定，采购方式选择的决策流程是否符合内部控制指引的规定；</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20" w:firstLineChars="200"/>
        <w:textAlignment w:val="auto"/>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5</w:t>
      </w:r>
      <w:r>
        <w:rPr>
          <w:rFonts w:hint="eastAsia" w:ascii="宋体" w:hAnsi="宋体" w:cs="宋体"/>
          <w:szCs w:val="21"/>
          <w:highlight w:val="none"/>
        </w:rPr>
        <w:t>）关注评标或评审人员的选定、资质、专业、数量等是否符合相关规定；</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20" w:firstLineChars="200"/>
        <w:textAlignment w:val="auto"/>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6</w:t>
      </w:r>
      <w:r>
        <w:rPr>
          <w:rFonts w:hint="eastAsia" w:ascii="宋体" w:hAnsi="宋体" w:cs="宋体"/>
          <w:szCs w:val="21"/>
          <w:highlight w:val="none"/>
        </w:rPr>
        <w:t>）关注评标或评审程序的合法合规性，是否按法律法规、公司规章制度对投标人资格、投标文件等进行审查，是否存在围标、串标等损害</w:t>
      </w:r>
      <w:r>
        <w:rPr>
          <w:rFonts w:hint="eastAsia" w:ascii="宋体" w:hAnsi="宋体" w:cs="宋体"/>
          <w:szCs w:val="21"/>
          <w:highlight w:val="none"/>
          <w:lang w:eastAsia="zh-CN"/>
        </w:rPr>
        <w:t>南宁轨道交通运营有限公司</w:t>
      </w:r>
      <w:r>
        <w:rPr>
          <w:rFonts w:hint="eastAsia" w:ascii="宋体" w:hAnsi="宋体" w:cs="宋体"/>
          <w:szCs w:val="21"/>
          <w:highlight w:val="none"/>
        </w:rPr>
        <w:t>利益等情形，评标或评审的过程和成果记录是否完整；</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20" w:firstLineChars="200"/>
        <w:textAlignment w:val="auto"/>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7</w:t>
      </w:r>
      <w:r>
        <w:rPr>
          <w:rFonts w:hint="eastAsia" w:ascii="宋体" w:hAnsi="宋体" w:cs="宋体"/>
          <w:szCs w:val="21"/>
          <w:highlight w:val="none"/>
        </w:rPr>
        <w:t>）关注验收流程的合法合规性，验收人员组成是否符合不相容岗位互相分离原则，是否按合同约定的品牌、规格型号、数量、质量等要素验收，相关验收人员签字是否齐全，验收入库登记是否正确；</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20" w:firstLineChars="200"/>
        <w:textAlignment w:val="auto"/>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8</w:t>
      </w:r>
      <w:r>
        <w:rPr>
          <w:rFonts w:hint="eastAsia" w:ascii="宋体" w:hAnsi="宋体" w:cs="宋体"/>
          <w:szCs w:val="21"/>
          <w:highlight w:val="none"/>
        </w:rPr>
        <w:t>）关注物资存放和移动是否符合相关规定，管理职责是否清晰、制衡，是否存在非物资管理、监督、仓储人员在未经授权情况下接触物资等情形；</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20" w:firstLineChars="200"/>
        <w:textAlignment w:val="auto"/>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9</w:t>
      </w:r>
      <w:r>
        <w:rPr>
          <w:rFonts w:hint="eastAsia" w:ascii="宋体" w:hAnsi="宋体" w:cs="宋体"/>
          <w:szCs w:val="21"/>
          <w:highlight w:val="none"/>
        </w:rPr>
        <w:t>）关注物资领用手续是否完整，计量计价是否准确，账务处理是否正确，成本消耗是否存在异常；</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20" w:firstLineChars="200"/>
        <w:textAlignment w:val="auto"/>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10</w:t>
      </w:r>
      <w:r>
        <w:rPr>
          <w:rFonts w:hint="eastAsia" w:ascii="宋体" w:hAnsi="宋体" w:cs="宋体"/>
          <w:szCs w:val="21"/>
          <w:highlight w:val="none"/>
        </w:rPr>
        <w:t>）关注物资盘点程序是否符合相关规定，盘点人员组成是否合规合理，组织实施是否有序，盘盈盘亏处置是否符合规定，盘点各环节的审核签字手续是否完备，是否按规定出具盘点报告等；</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20" w:firstLineChars="200"/>
        <w:textAlignment w:val="auto"/>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11</w:t>
      </w:r>
      <w:r>
        <w:rPr>
          <w:rFonts w:hint="eastAsia" w:ascii="宋体" w:hAnsi="宋体" w:cs="宋体"/>
          <w:szCs w:val="21"/>
          <w:highlight w:val="none"/>
        </w:rPr>
        <w:t>）关注损坏、废旧等物资的管理是否符合相关规定，对具有回收价值的物资或危旧物资，存放保管是否安全，处置是否合法合规合理；</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20" w:firstLineChars="200"/>
        <w:textAlignment w:val="auto"/>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12</w:t>
      </w:r>
      <w:r>
        <w:rPr>
          <w:rFonts w:hint="eastAsia" w:ascii="宋体" w:hAnsi="宋体" w:cs="宋体"/>
          <w:szCs w:val="21"/>
          <w:highlight w:val="none"/>
        </w:rPr>
        <w:t>）物资各归口管理部门、生产技术部、财务部的物资台账登记是否完整、连续，账账是否相符；</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20" w:firstLineChars="200"/>
        <w:textAlignment w:val="auto"/>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13</w:t>
      </w:r>
      <w:r>
        <w:rPr>
          <w:rFonts w:hint="eastAsia" w:ascii="宋体" w:hAnsi="宋体" w:cs="宋体"/>
          <w:szCs w:val="21"/>
          <w:highlight w:val="none"/>
        </w:rPr>
        <w:t>）是否存在长期积压、大量在途物资情形，并分析形成原因；</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20" w:firstLineChars="200"/>
        <w:textAlignment w:val="auto"/>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14</w:t>
      </w:r>
      <w:r>
        <w:rPr>
          <w:rFonts w:hint="eastAsia" w:ascii="宋体" w:hAnsi="宋体" w:cs="宋体"/>
          <w:szCs w:val="21"/>
          <w:highlight w:val="none"/>
        </w:rPr>
        <w:t>）其他涉及物资管理的合法合规合理情况；</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20" w:firstLineChars="200"/>
        <w:textAlignment w:val="auto"/>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15</w:t>
      </w:r>
      <w:r>
        <w:rPr>
          <w:rFonts w:hint="eastAsia" w:ascii="宋体" w:hAnsi="宋体" w:cs="宋体"/>
          <w:szCs w:val="21"/>
          <w:highlight w:val="none"/>
        </w:rPr>
        <w:t>）集团公司关注的其他事项情况。</w:t>
      </w:r>
    </w:p>
    <w:p>
      <w:pPr>
        <w:spacing w:line="500" w:lineRule="exact"/>
        <w:ind w:firstLine="420" w:firstLineChars="200"/>
        <w:rPr>
          <w:rFonts w:ascii="宋体" w:cs="宋体"/>
          <w:szCs w:val="21"/>
          <w:highlight w:val="none"/>
        </w:rPr>
      </w:pPr>
      <w:r>
        <w:rPr>
          <w:rFonts w:ascii="宋体" w:hAnsi="宋体" w:cs="宋体"/>
          <w:szCs w:val="21"/>
          <w:highlight w:val="none"/>
        </w:rPr>
        <w:t xml:space="preserve">2.2 </w:t>
      </w:r>
      <w:r>
        <w:rPr>
          <w:rFonts w:hint="eastAsia" w:ascii="宋体" w:hAnsi="宋体" w:cs="宋体"/>
          <w:szCs w:val="21"/>
          <w:highlight w:val="none"/>
          <w:lang w:val="en-US" w:eastAsia="zh-CN"/>
        </w:rPr>
        <w:t>审计</w:t>
      </w:r>
      <w:r>
        <w:rPr>
          <w:rFonts w:hint="eastAsia" w:ascii="宋体" w:hAnsi="宋体" w:cs="宋体"/>
          <w:szCs w:val="21"/>
          <w:highlight w:val="none"/>
        </w:rPr>
        <w:t>要求及成果</w:t>
      </w:r>
    </w:p>
    <w:p>
      <w:pPr>
        <w:spacing w:line="5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根据《中华人民共和国招标投标法》《中华人民共和国招标投标法实施条例》《广西壮族自治区企业国有资产交易监督管理办法》《中华人民共和国民法典》《企业内部控制基本规范》及其他相关法律法规、规章制度，以及南宁轨道交通集团有限责任公司、南宁轨道交通运营有限公司招标采购、物资管理等相关制度开展工作，对南宁轨道交通运营有限公司2021年至2022年物资管理内控建设及执行情况开展审计，包括内控建设的合法合规合理性及执行的效率效果等情况，作出客观公正、实事求是的评价，出具南宁轨道交通运营有限公司2021年至2022年物资管理内控建设及执行情况专项审计报告及管理建议书，并经南宁轨道交通集团有限责任公司审批通过。</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2"/>
        <w:rPr>
          <w:rFonts w:ascii="宋体" w:cs="宋体"/>
          <w:b/>
          <w:szCs w:val="21"/>
          <w:highlight w:val="none"/>
        </w:rPr>
      </w:pPr>
      <w:r>
        <w:rPr>
          <w:rFonts w:ascii="宋体" w:hAnsi="宋体" w:cs="宋体"/>
          <w:b/>
          <w:szCs w:val="21"/>
          <w:highlight w:val="none"/>
        </w:rPr>
        <w:t>3.</w:t>
      </w:r>
      <w:r>
        <w:rPr>
          <w:rFonts w:hint="eastAsia" w:ascii="宋体" w:hAnsi="宋体" w:cs="宋体"/>
          <w:b/>
          <w:szCs w:val="21"/>
          <w:highlight w:val="none"/>
        </w:rPr>
        <w:t>资金来源</w:t>
      </w:r>
    </w:p>
    <w:p>
      <w:pPr>
        <w:spacing w:line="500" w:lineRule="exact"/>
        <w:ind w:firstLine="420" w:firstLineChars="200"/>
        <w:rPr>
          <w:rFonts w:ascii="宋体" w:cs="宋体"/>
          <w:szCs w:val="21"/>
          <w:highlight w:val="none"/>
        </w:rPr>
      </w:pPr>
      <w:r>
        <w:rPr>
          <w:rFonts w:ascii="宋体" w:hAnsi="宋体" w:cs="宋体"/>
          <w:szCs w:val="21"/>
          <w:highlight w:val="none"/>
        </w:rPr>
        <w:t xml:space="preserve">3.1 </w:t>
      </w:r>
      <w:r>
        <w:rPr>
          <w:rFonts w:hint="eastAsia" w:ascii="宋体" w:hAnsi="宋体" w:cs="宋体"/>
          <w:szCs w:val="21"/>
          <w:highlight w:val="none"/>
        </w:rPr>
        <w:t>资金来源见前附表第</w:t>
      </w:r>
      <w:r>
        <w:rPr>
          <w:rFonts w:ascii="宋体" w:hAnsi="宋体" w:cs="宋体"/>
          <w:szCs w:val="21"/>
          <w:highlight w:val="none"/>
        </w:rPr>
        <w:t>4</w:t>
      </w:r>
      <w:r>
        <w:rPr>
          <w:rFonts w:hint="eastAsia" w:ascii="宋体" w:hAnsi="宋体" w:cs="宋体"/>
          <w:szCs w:val="21"/>
          <w:highlight w:val="none"/>
        </w:rPr>
        <w:t>项所述。</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2"/>
        <w:rPr>
          <w:rFonts w:ascii="宋体" w:cs="宋体"/>
          <w:b/>
          <w:szCs w:val="21"/>
          <w:highlight w:val="none"/>
        </w:rPr>
      </w:pPr>
      <w:r>
        <w:rPr>
          <w:rFonts w:ascii="宋体" w:hAnsi="宋体" w:cs="宋体"/>
          <w:b/>
          <w:szCs w:val="21"/>
          <w:highlight w:val="none"/>
        </w:rPr>
        <w:t>4.</w:t>
      </w:r>
      <w:bookmarkStart w:id="90" w:name="_Toc114052416"/>
      <w:bookmarkStart w:id="91" w:name="_Toc310318574"/>
      <w:bookmarkStart w:id="92" w:name="_Toc114052342"/>
      <w:bookmarkStart w:id="93" w:name="_Toc286386836"/>
      <w:r>
        <w:rPr>
          <w:rFonts w:hint="eastAsia" w:ascii="宋体" w:hAnsi="宋体" w:cs="宋体"/>
          <w:b/>
          <w:szCs w:val="21"/>
          <w:highlight w:val="none"/>
        </w:rPr>
        <w:t>比选申请人资格要求</w:t>
      </w:r>
      <w:bookmarkEnd w:id="90"/>
      <w:bookmarkEnd w:id="91"/>
      <w:bookmarkEnd w:id="92"/>
      <w:bookmarkEnd w:id="93"/>
    </w:p>
    <w:p>
      <w:pPr>
        <w:spacing w:line="500" w:lineRule="exact"/>
        <w:ind w:firstLine="420" w:firstLineChars="200"/>
        <w:rPr>
          <w:rFonts w:ascii="宋体" w:cs="宋体"/>
          <w:szCs w:val="21"/>
          <w:highlight w:val="none"/>
        </w:rPr>
      </w:pPr>
      <w:r>
        <w:rPr>
          <w:rFonts w:ascii="宋体" w:hAnsi="宋体" w:cs="宋体"/>
          <w:szCs w:val="21"/>
          <w:highlight w:val="none"/>
        </w:rPr>
        <w:t xml:space="preserve">4.1 </w:t>
      </w:r>
      <w:r>
        <w:rPr>
          <w:rFonts w:hint="eastAsia" w:ascii="宋体" w:hAnsi="宋体" w:cs="宋体"/>
          <w:szCs w:val="21"/>
          <w:highlight w:val="none"/>
          <w:lang w:val="en-US" w:eastAsia="zh-CN"/>
        </w:rPr>
        <w:t>比</w:t>
      </w:r>
      <w:r>
        <w:rPr>
          <w:rFonts w:hint="eastAsia" w:ascii="宋体" w:hAnsi="宋体" w:cs="宋体"/>
          <w:szCs w:val="21"/>
          <w:highlight w:val="none"/>
        </w:rPr>
        <w:t>选申请人必须具有前附表第</w:t>
      </w:r>
      <w:r>
        <w:rPr>
          <w:rFonts w:ascii="宋体" w:hAnsi="宋体" w:cs="宋体"/>
          <w:szCs w:val="21"/>
          <w:highlight w:val="none"/>
        </w:rPr>
        <w:t>9</w:t>
      </w:r>
      <w:r>
        <w:rPr>
          <w:rFonts w:hint="eastAsia" w:ascii="宋体" w:hAnsi="宋体" w:cs="宋体"/>
          <w:szCs w:val="21"/>
          <w:highlight w:val="none"/>
        </w:rPr>
        <w:t>项相应的资质及要求。</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2"/>
        <w:rPr>
          <w:rFonts w:ascii="宋体" w:cs="宋体"/>
          <w:b/>
          <w:szCs w:val="21"/>
          <w:highlight w:val="none"/>
        </w:rPr>
      </w:pPr>
      <w:r>
        <w:rPr>
          <w:rFonts w:ascii="宋体" w:hAnsi="宋体" w:cs="宋体"/>
          <w:b/>
          <w:szCs w:val="21"/>
          <w:highlight w:val="none"/>
        </w:rPr>
        <w:t>5.</w:t>
      </w:r>
      <w:bookmarkStart w:id="94" w:name="_Toc310318575"/>
      <w:bookmarkStart w:id="95" w:name="_Toc286386837"/>
      <w:bookmarkStart w:id="96" w:name="_Toc114052417"/>
      <w:bookmarkStart w:id="97" w:name="_Toc114052343"/>
      <w:r>
        <w:rPr>
          <w:rFonts w:hint="eastAsia" w:ascii="宋体" w:hAnsi="宋体" w:cs="宋体"/>
          <w:b/>
          <w:szCs w:val="21"/>
          <w:highlight w:val="none"/>
        </w:rPr>
        <w:t>申请比选费用</w:t>
      </w:r>
      <w:bookmarkEnd w:id="94"/>
      <w:bookmarkEnd w:id="95"/>
      <w:bookmarkEnd w:id="96"/>
      <w:bookmarkEnd w:id="97"/>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5.1 </w:t>
      </w:r>
      <w:r>
        <w:rPr>
          <w:rFonts w:hint="eastAsia" w:ascii="宋体" w:hAnsi="宋体" w:cs="宋体"/>
          <w:szCs w:val="21"/>
          <w:highlight w:val="none"/>
        </w:rPr>
        <w:t>比选申请人应承担其编制文件与递交文件所涉及的一切费用。不管评比结果如何，比选人对上述费用不负任何责任。</w:t>
      </w:r>
    </w:p>
    <w:p>
      <w:pPr>
        <w:pStyle w:val="4"/>
        <w:spacing w:beforeLines="50" w:afterLines="50" w:line="500" w:lineRule="exact"/>
        <w:jc w:val="center"/>
        <w:rPr>
          <w:rFonts w:ascii="宋体"/>
          <w:b/>
          <w:sz w:val="21"/>
          <w:szCs w:val="21"/>
          <w:highlight w:val="none"/>
        </w:rPr>
      </w:pPr>
      <w:bookmarkStart w:id="98" w:name="_Toc20218"/>
      <w:bookmarkStart w:id="99" w:name="_Toc14739"/>
      <w:bookmarkStart w:id="100" w:name="_Toc2963"/>
      <w:bookmarkStart w:id="101" w:name="_Toc4989"/>
      <w:bookmarkStart w:id="102" w:name="_Toc4734"/>
      <w:bookmarkStart w:id="103" w:name="_Toc5628"/>
      <w:bookmarkStart w:id="104" w:name="_Toc11648"/>
      <w:r>
        <w:rPr>
          <w:rFonts w:hint="eastAsia" w:ascii="宋体" w:hAnsi="宋体"/>
          <w:b/>
          <w:sz w:val="21"/>
          <w:szCs w:val="21"/>
          <w:highlight w:val="none"/>
        </w:rPr>
        <w:t>二</w:t>
      </w:r>
      <w:bookmarkStart w:id="105" w:name="_Toc22143"/>
      <w:bookmarkStart w:id="106" w:name="_Toc17725"/>
      <w:bookmarkStart w:id="107" w:name="_Toc16023"/>
      <w:bookmarkStart w:id="108" w:name="_Toc17323"/>
      <w:bookmarkStart w:id="109" w:name="_Toc3066"/>
      <w:bookmarkStart w:id="110" w:name="_Toc6541"/>
      <w:bookmarkStart w:id="111" w:name="_Toc8029"/>
      <w:bookmarkStart w:id="112" w:name="_Toc26124"/>
      <w:bookmarkStart w:id="113" w:name="_Toc25256"/>
      <w:bookmarkStart w:id="114" w:name="_Toc26141"/>
      <w:bookmarkStart w:id="115" w:name="_Toc18809"/>
      <w:bookmarkStart w:id="116" w:name="_Toc5207"/>
      <w:bookmarkStart w:id="117" w:name="_Toc461525298"/>
      <w:bookmarkStart w:id="118" w:name="_Toc471482362"/>
      <w:bookmarkStart w:id="119" w:name="_Toc15439"/>
      <w:r>
        <w:rPr>
          <w:rFonts w:hint="eastAsia" w:ascii="宋体" w:hAnsi="宋体"/>
          <w:b/>
          <w:sz w:val="21"/>
          <w:szCs w:val="21"/>
          <w:highlight w:val="none"/>
        </w:rPr>
        <w:t>、比选文件</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2"/>
        <w:rPr>
          <w:rFonts w:ascii="宋体" w:cs="宋体"/>
          <w:b/>
          <w:szCs w:val="21"/>
          <w:highlight w:val="none"/>
        </w:rPr>
      </w:pPr>
      <w:r>
        <w:rPr>
          <w:rFonts w:ascii="宋体" w:hAnsi="宋体" w:cs="宋体"/>
          <w:b/>
          <w:szCs w:val="21"/>
          <w:highlight w:val="none"/>
        </w:rPr>
        <w:t>6.</w:t>
      </w:r>
      <w:bookmarkStart w:id="120" w:name="_Toc114052419"/>
      <w:bookmarkStart w:id="121" w:name="_Toc310318577"/>
      <w:bookmarkStart w:id="122" w:name="_Toc114052345"/>
      <w:bookmarkStart w:id="123" w:name="_Toc286386839"/>
      <w:r>
        <w:rPr>
          <w:rFonts w:hint="eastAsia" w:ascii="宋体" w:hAnsi="宋体" w:cs="宋体"/>
          <w:b/>
          <w:szCs w:val="21"/>
          <w:highlight w:val="none"/>
        </w:rPr>
        <w:t>比选文件的组成</w:t>
      </w:r>
      <w:bookmarkEnd w:id="120"/>
      <w:bookmarkEnd w:id="121"/>
      <w:bookmarkEnd w:id="122"/>
      <w:bookmarkEnd w:id="123"/>
    </w:p>
    <w:p>
      <w:pPr>
        <w:spacing w:line="500" w:lineRule="exact"/>
        <w:ind w:firstLine="420" w:firstLineChars="200"/>
        <w:rPr>
          <w:rFonts w:ascii="宋体" w:cs="宋体"/>
          <w:szCs w:val="21"/>
          <w:highlight w:val="none"/>
        </w:rPr>
      </w:pPr>
      <w:r>
        <w:rPr>
          <w:rFonts w:ascii="宋体" w:hAnsi="宋体" w:cs="宋体"/>
          <w:szCs w:val="21"/>
          <w:highlight w:val="none"/>
        </w:rPr>
        <w:t xml:space="preserve">6.1 </w:t>
      </w:r>
      <w:r>
        <w:rPr>
          <w:rFonts w:hint="eastAsia" w:ascii="宋体" w:hAnsi="宋体" w:cs="宋体"/>
          <w:szCs w:val="21"/>
          <w:highlight w:val="none"/>
        </w:rPr>
        <w:t>比选文件包括比选须知前附表、比选须知、合同条款（格式）、比选申请文件格式、评比办法。</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2"/>
        <w:rPr>
          <w:rFonts w:ascii="宋体" w:cs="宋体"/>
          <w:b/>
          <w:szCs w:val="21"/>
          <w:highlight w:val="none"/>
        </w:rPr>
      </w:pPr>
      <w:r>
        <w:rPr>
          <w:rFonts w:ascii="宋体" w:hAnsi="宋体" w:cs="宋体"/>
          <w:b/>
          <w:szCs w:val="21"/>
          <w:highlight w:val="none"/>
        </w:rPr>
        <w:t>7.</w:t>
      </w:r>
      <w:bookmarkStart w:id="124" w:name="_Toc114052346"/>
      <w:bookmarkStart w:id="125" w:name="_Toc286386840"/>
      <w:bookmarkStart w:id="126" w:name="_Toc114052420"/>
      <w:bookmarkStart w:id="127" w:name="_Toc310318578"/>
      <w:r>
        <w:rPr>
          <w:rFonts w:hint="eastAsia" w:ascii="宋体" w:hAnsi="宋体" w:cs="宋体"/>
          <w:b/>
          <w:szCs w:val="21"/>
          <w:highlight w:val="none"/>
        </w:rPr>
        <w:t>比选文件的解释</w:t>
      </w:r>
      <w:bookmarkEnd w:id="124"/>
      <w:bookmarkEnd w:id="125"/>
      <w:bookmarkEnd w:id="126"/>
      <w:bookmarkEnd w:id="127"/>
    </w:p>
    <w:p>
      <w:pPr>
        <w:spacing w:line="500" w:lineRule="exact"/>
        <w:ind w:firstLine="420" w:firstLineChars="200"/>
        <w:rPr>
          <w:rFonts w:ascii="宋体" w:cs="宋体"/>
          <w:szCs w:val="21"/>
          <w:highlight w:val="none"/>
        </w:rPr>
      </w:pPr>
      <w:r>
        <w:rPr>
          <w:rFonts w:ascii="宋体" w:hAnsi="宋体" w:cs="宋体"/>
          <w:szCs w:val="21"/>
          <w:highlight w:val="none"/>
        </w:rPr>
        <w:t xml:space="preserve">7.1 </w:t>
      </w:r>
      <w:r>
        <w:rPr>
          <w:rFonts w:hint="eastAsia" w:ascii="宋体" w:hAnsi="宋体" w:cs="宋体"/>
          <w:szCs w:val="21"/>
          <w:highlight w:val="none"/>
        </w:rPr>
        <w:t>比选申请人在获取比选文件后，若有问题需要澄清，均应在递交文件截止时间</w:t>
      </w:r>
      <w:r>
        <w:rPr>
          <w:rFonts w:ascii="宋体" w:hAnsi="宋体" w:cs="宋体"/>
          <w:szCs w:val="21"/>
          <w:highlight w:val="none"/>
        </w:rPr>
        <w:t>3</w:t>
      </w:r>
      <w:r>
        <w:rPr>
          <w:rFonts w:hint="eastAsia" w:ascii="宋体" w:hAnsi="宋体" w:cs="宋体"/>
          <w:szCs w:val="21"/>
          <w:highlight w:val="none"/>
        </w:rPr>
        <w:t>个工作日前的正常工作时间内，用当面递交或传真书面通知比选人，其他方式为无效。比选人将于递交文件截止时间</w:t>
      </w:r>
      <w:r>
        <w:rPr>
          <w:rFonts w:ascii="宋体" w:hAnsi="宋体" w:cs="宋体"/>
          <w:szCs w:val="21"/>
          <w:highlight w:val="none"/>
        </w:rPr>
        <w:t>2</w:t>
      </w:r>
      <w:r>
        <w:rPr>
          <w:rFonts w:hint="eastAsia" w:ascii="宋体" w:hAnsi="宋体" w:cs="宋体"/>
          <w:szCs w:val="21"/>
          <w:highlight w:val="none"/>
        </w:rPr>
        <w:t>天前以书面形式</w:t>
      </w:r>
      <w:r>
        <w:rPr>
          <w:rFonts w:ascii="宋体" w:cs="宋体"/>
          <w:szCs w:val="21"/>
          <w:highlight w:val="none"/>
        </w:rPr>
        <w:t>,</w:t>
      </w:r>
      <w:r>
        <w:rPr>
          <w:rFonts w:hint="eastAsia" w:ascii="宋体" w:hAnsi="宋体" w:cs="宋体"/>
          <w:szCs w:val="21"/>
          <w:highlight w:val="none"/>
        </w:rPr>
        <w:t>在比选人官网发布，予以答复。</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2"/>
        <w:rPr>
          <w:rFonts w:ascii="宋体" w:cs="宋体"/>
          <w:b/>
          <w:szCs w:val="21"/>
          <w:highlight w:val="none"/>
        </w:rPr>
      </w:pPr>
      <w:r>
        <w:rPr>
          <w:rFonts w:ascii="宋体" w:hAnsi="宋体" w:cs="宋体"/>
          <w:b/>
          <w:szCs w:val="21"/>
          <w:highlight w:val="none"/>
        </w:rPr>
        <w:t>8.</w:t>
      </w:r>
      <w:bookmarkStart w:id="128" w:name="_Toc114052347"/>
      <w:bookmarkStart w:id="129" w:name="_Toc114052421"/>
      <w:bookmarkStart w:id="130" w:name="_Toc286386841"/>
      <w:bookmarkStart w:id="131" w:name="_Toc310318579"/>
      <w:r>
        <w:rPr>
          <w:rFonts w:hint="eastAsia" w:ascii="宋体" w:hAnsi="宋体" w:cs="宋体"/>
          <w:b/>
          <w:szCs w:val="21"/>
          <w:highlight w:val="none"/>
        </w:rPr>
        <w:t>比选文件的修改</w:t>
      </w:r>
      <w:bookmarkEnd w:id="128"/>
      <w:bookmarkEnd w:id="129"/>
      <w:bookmarkEnd w:id="130"/>
      <w:bookmarkEnd w:id="131"/>
    </w:p>
    <w:p>
      <w:pPr>
        <w:spacing w:line="500" w:lineRule="exact"/>
        <w:ind w:firstLine="420" w:firstLineChars="200"/>
        <w:rPr>
          <w:rFonts w:ascii="宋体" w:cs="宋体"/>
          <w:szCs w:val="21"/>
          <w:highlight w:val="none"/>
        </w:rPr>
      </w:pPr>
      <w:r>
        <w:rPr>
          <w:rFonts w:ascii="宋体" w:hAnsi="宋体" w:cs="宋体"/>
          <w:szCs w:val="21"/>
          <w:highlight w:val="none"/>
        </w:rPr>
        <w:t xml:space="preserve">8.1 </w:t>
      </w:r>
      <w:r>
        <w:rPr>
          <w:rFonts w:hint="eastAsia" w:ascii="宋体" w:hAnsi="宋体" w:cs="宋体"/>
          <w:szCs w:val="21"/>
          <w:highlight w:val="none"/>
        </w:rPr>
        <w:t>在递交文件截止日期前</w:t>
      </w:r>
      <w:r>
        <w:rPr>
          <w:rFonts w:ascii="宋体" w:hAnsi="宋体" w:cs="宋体"/>
          <w:szCs w:val="21"/>
          <w:highlight w:val="none"/>
        </w:rPr>
        <w:t>2</w:t>
      </w:r>
      <w:r>
        <w:rPr>
          <w:rFonts w:hint="eastAsia" w:ascii="宋体" w:hAnsi="宋体" w:cs="宋体"/>
          <w:szCs w:val="21"/>
          <w:highlight w:val="none"/>
        </w:rPr>
        <w:t>天，比选人可以采用补充通知的方式修改比选文件。</w:t>
      </w:r>
    </w:p>
    <w:p>
      <w:pPr>
        <w:spacing w:line="500" w:lineRule="exact"/>
        <w:ind w:firstLine="420" w:firstLineChars="200"/>
        <w:rPr>
          <w:rFonts w:ascii="宋体" w:cs="宋体"/>
          <w:szCs w:val="21"/>
          <w:highlight w:val="none"/>
        </w:rPr>
      </w:pPr>
      <w:r>
        <w:rPr>
          <w:rFonts w:ascii="宋体" w:hAnsi="宋体" w:cs="宋体"/>
          <w:szCs w:val="21"/>
          <w:highlight w:val="none"/>
        </w:rPr>
        <w:t xml:space="preserve">8.2 </w:t>
      </w:r>
      <w:r>
        <w:rPr>
          <w:rFonts w:hint="eastAsia" w:ascii="宋体" w:hAnsi="宋体" w:cs="宋体"/>
          <w:szCs w:val="21"/>
          <w:highlight w:val="none"/>
        </w:rPr>
        <w:t>补充通知将以书面形式，在比选人官网发布，补充通知作为比选文件的组成部分，对比选申请人起约束作用。</w:t>
      </w:r>
    </w:p>
    <w:p>
      <w:pPr>
        <w:pStyle w:val="4"/>
        <w:tabs>
          <w:tab w:val="left" w:pos="3030"/>
        </w:tabs>
        <w:spacing w:beforeLines="50" w:afterLines="50" w:line="500" w:lineRule="exact"/>
        <w:ind w:firstLine="422" w:firstLineChars="200"/>
        <w:jc w:val="center"/>
        <w:rPr>
          <w:rFonts w:ascii="宋体"/>
          <w:b/>
          <w:sz w:val="21"/>
          <w:szCs w:val="21"/>
          <w:highlight w:val="none"/>
        </w:rPr>
      </w:pPr>
      <w:bookmarkStart w:id="132" w:name="_Toc22084"/>
      <w:bookmarkStart w:id="133" w:name="_Toc25820"/>
      <w:bookmarkStart w:id="134" w:name="_Toc23609"/>
      <w:bookmarkStart w:id="135" w:name="_Toc31749"/>
      <w:bookmarkStart w:id="136" w:name="_Toc30617"/>
      <w:bookmarkStart w:id="137" w:name="_Toc17382"/>
      <w:bookmarkStart w:id="138" w:name="_Toc27671"/>
      <w:bookmarkStart w:id="139" w:name="_Toc6395"/>
      <w:bookmarkStart w:id="140" w:name="_Toc9199"/>
      <w:bookmarkStart w:id="141" w:name="_Toc461525299"/>
      <w:bookmarkStart w:id="142" w:name="_Toc19209"/>
      <w:bookmarkStart w:id="143" w:name="_Toc29216"/>
      <w:bookmarkStart w:id="144" w:name="_Toc9684"/>
      <w:bookmarkStart w:id="145" w:name="_Toc18772"/>
      <w:bookmarkStart w:id="146" w:name="_Toc471482363"/>
      <w:bookmarkStart w:id="147" w:name="_Toc24574"/>
      <w:bookmarkStart w:id="148" w:name="_Toc32337"/>
      <w:bookmarkStart w:id="149" w:name="_Toc9453"/>
      <w:bookmarkStart w:id="150" w:name="_Toc24005"/>
      <w:bookmarkStart w:id="151" w:name="_Toc8400"/>
      <w:bookmarkStart w:id="152" w:name="_Toc10523"/>
      <w:bookmarkStart w:id="153" w:name="_Toc26897"/>
      <w:r>
        <w:rPr>
          <w:rFonts w:hint="eastAsia" w:ascii="宋体" w:hAnsi="宋体"/>
          <w:b/>
          <w:sz w:val="21"/>
          <w:szCs w:val="21"/>
          <w:highlight w:val="none"/>
        </w:rPr>
        <w:t>三、申请比选报价说明</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Fonts w:ascii="宋体"/>
          <w:b/>
          <w:sz w:val="21"/>
          <w:szCs w:val="21"/>
          <w:highlight w:val="none"/>
        </w:rPr>
        <w:tab/>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2"/>
        <w:rPr>
          <w:rFonts w:ascii="宋体" w:cs="宋体"/>
          <w:b/>
          <w:szCs w:val="21"/>
          <w:highlight w:val="none"/>
        </w:rPr>
      </w:pPr>
      <w:r>
        <w:rPr>
          <w:rFonts w:ascii="宋体" w:hAnsi="宋体" w:cs="宋体"/>
          <w:b/>
          <w:szCs w:val="21"/>
          <w:highlight w:val="none"/>
        </w:rPr>
        <w:t>9.</w:t>
      </w:r>
      <w:bookmarkStart w:id="154" w:name="_Toc114052349"/>
      <w:bookmarkStart w:id="155" w:name="_Toc114052423"/>
      <w:bookmarkStart w:id="156" w:name="_Toc286386843"/>
      <w:bookmarkStart w:id="157" w:name="_Toc310318581"/>
      <w:r>
        <w:rPr>
          <w:rFonts w:hint="eastAsia" w:ascii="宋体" w:hAnsi="宋体" w:cs="宋体"/>
          <w:b/>
          <w:szCs w:val="21"/>
          <w:highlight w:val="none"/>
        </w:rPr>
        <w:t>申请比选</w:t>
      </w:r>
      <w:bookmarkEnd w:id="154"/>
      <w:bookmarkEnd w:id="155"/>
      <w:bookmarkEnd w:id="156"/>
      <w:r>
        <w:rPr>
          <w:rFonts w:hint="eastAsia" w:ascii="宋体" w:hAnsi="宋体" w:cs="宋体"/>
          <w:b/>
          <w:szCs w:val="21"/>
          <w:highlight w:val="none"/>
        </w:rPr>
        <w:t>报价</w:t>
      </w:r>
      <w:bookmarkEnd w:id="157"/>
    </w:p>
    <w:p>
      <w:pPr>
        <w:spacing w:line="500" w:lineRule="exact"/>
        <w:ind w:firstLine="420" w:firstLineChars="200"/>
        <w:rPr>
          <w:rFonts w:ascii="宋体" w:cs="宋体"/>
          <w:szCs w:val="21"/>
          <w:highlight w:val="none"/>
        </w:rPr>
      </w:pPr>
      <w:r>
        <w:rPr>
          <w:rFonts w:ascii="宋体" w:hAnsi="宋体" w:cs="宋体"/>
          <w:szCs w:val="21"/>
          <w:highlight w:val="none"/>
        </w:rPr>
        <w:t xml:space="preserve">9.1 </w:t>
      </w:r>
      <w:r>
        <w:rPr>
          <w:rFonts w:hint="eastAsia" w:ascii="宋体" w:hAnsi="宋体" w:cs="宋体"/>
          <w:szCs w:val="21"/>
          <w:highlight w:val="none"/>
        </w:rPr>
        <w:t>申请比选报价见比选须知前附表第</w:t>
      </w:r>
      <w:r>
        <w:rPr>
          <w:rFonts w:ascii="宋体" w:hAnsi="宋体" w:cs="宋体"/>
          <w:szCs w:val="21"/>
          <w:highlight w:val="none"/>
        </w:rPr>
        <w:t>7</w:t>
      </w:r>
      <w:r>
        <w:rPr>
          <w:rFonts w:hint="eastAsia" w:ascii="宋体" w:hAnsi="宋体" w:cs="宋体"/>
          <w:szCs w:val="21"/>
          <w:highlight w:val="none"/>
        </w:rPr>
        <w:t>项所述。</w:t>
      </w:r>
    </w:p>
    <w:p>
      <w:pPr>
        <w:pStyle w:val="4"/>
        <w:spacing w:beforeLines="50" w:afterLines="50" w:line="500" w:lineRule="exact"/>
        <w:jc w:val="center"/>
        <w:rPr>
          <w:b/>
          <w:sz w:val="21"/>
          <w:szCs w:val="21"/>
          <w:highlight w:val="none"/>
        </w:rPr>
      </w:pPr>
      <w:bookmarkStart w:id="158" w:name="_Toc461525300"/>
      <w:bookmarkStart w:id="159" w:name="_Toc18607"/>
      <w:bookmarkStart w:id="160" w:name="_Toc23455"/>
      <w:bookmarkStart w:id="161" w:name="_Toc17259"/>
      <w:bookmarkStart w:id="162" w:name="_Toc32390"/>
      <w:bookmarkStart w:id="163" w:name="_Toc8092"/>
      <w:bookmarkStart w:id="164" w:name="_Toc17722"/>
      <w:bookmarkStart w:id="165" w:name="_Toc23191"/>
      <w:bookmarkStart w:id="166" w:name="_Toc11943"/>
      <w:bookmarkStart w:id="167" w:name="_Toc24807"/>
      <w:bookmarkStart w:id="168" w:name="_Toc25487"/>
      <w:bookmarkStart w:id="169" w:name="_Toc471482364"/>
      <w:bookmarkStart w:id="170" w:name="_Toc26723"/>
      <w:bookmarkStart w:id="171" w:name="_Toc7287"/>
      <w:bookmarkStart w:id="172" w:name="_Toc9795"/>
      <w:bookmarkStart w:id="173" w:name="_Toc16264"/>
      <w:bookmarkStart w:id="174" w:name="_Toc25856"/>
      <w:bookmarkStart w:id="175" w:name="_Toc23781"/>
      <w:bookmarkStart w:id="176" w:name="_Toc5583"/>
      <w:bookmarkStart w:id="177" w:name="_Toc17188"/>
      <w:bookmarkStart w:id="178" w:name="_Toc31461"/>
      <w:bookmarkStart w:id="179" w:name="_Toc2346"/>
      <w:r>
        <w:rPr>
          <w:rFonts w:hint="eastAsia"/>
          <w:b/>
          <w:sz w:val="21"/>
          <w:szCs w:val="21"/>
          <w:highlight w:val="none"/>
        </w:rPr>
        <w:t>四、比选申请文件的编制</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2"/>
        <w:rPr>
          <w:rFonts w:ascii="宋体" w:cs="宋体"/>
          <w:b/>
          <w:szCs w:val="21"/>
          <w:highlight w:val="none"/>
        </w:rPr>
      </w:pPr>
      <w:r>
        <w:rPr>
          <w:rFonts w:ascii="宋体" w:hAnsi="宋体" w:cs="宋体"/>
          <w:b/>
          <w:szCs w:val="21"/>
          <w:highlight w:val="none"/>
        </w:rPr>
        <w:t>10.</w:t>
      </w:r>
      <w:bookmarkStart w:id="180" w:name="_Toc310318583"/>
      <w:bookmarkStart w:id="181" w:name="_Toc286386845"/>
      <w:r>
        <w:rPr>
          <w:rFonts w:hint="eastAsia" w:ascii="宋体" w:hAnsi="宋体" w:cs="宋体"/>
          <w:b/>
          <w:szCs w:val="21"/>
          <w:highlight w:val="none"/>
        </w:rPr>
        <w:t>比选申请文件编写注意事项</w:t>
      </w:r>
      <w:bookmarkEnd w:id="180"/>
      <w:bookmarkEnd w:id="181"/>
    </w:p>
    <w:p>
      <w:pPr>
        <w:spacing w:line="500" w:lineRule="exact"/>
        <w:ind w:firstLine="420" w:firstLineChars="200"/>
        <w:rPr>
          <w:rFonts w:ascii="宋体" w:cs="宋体"/>
          <w:szCs w:val="21"/>
          <w:highlight w:val="none"/>
        </w:rPr>
      </w:pPr>
      <w:r>
        <w:rPr>
          <w:rFonts w:ascii="宋体" w:hAnsi="宋体" w:cs="宋体"/>
          <w:szCs w:val="21"/>
          <w:highlight w:val="none"/>
        </w:rPr>
        <w:t>10.1</w:t>
      </w:r>
      <w:r>
        <w:rPr>
          <w:rFonts w:hint="eastAsia" w:ascii="宋体" w:hAnsi="宋体" w:cs="宋体"/>
          <w:szCs w:val="21"/>
          <w:highlight w:val="none"/>
        </w:rPr>
        <w:t>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spacing w:line="500" w:lineRule="exact"/>
        <w:ind w:firstLine="420" w:firstLineChars="200"/>
        <w:rPr>
          <w:rFonts w:ascii="宋体" w:cs="宋体"/>
          <w:szCs w:val="21"/>
          <w:highlight w:val="none"/>
        </w:rPr>
      </w:pPr>
      <w:r>
        <w:rPr>
          <w:rFonts w:ascii="宋体" w:hAnsi="宋体" w:cs="宋体"/>
          <w:szCs w:val="21"/>
          <w:highlight w:val="none"/>
        </w:rPr>
        <w:t xml:space="preserve">10.2 </w:t>
      </w:r>
      <w:r>
        <w:rPr>
          <w:rFonts w:hint="eastAsia" w:ascii="宋体" w:hAnsi="宋体" w:cs="宋体"/>
          <w:szCs w:val="21"/>
          <w:highlight w:val="none"/>
        </w:rPr>
        <w:t>比选文件提出的实质性要求和条件是指本比选项目所涉及的最低人员配置、价格、服务及其它要求、合同条款等内容。</w:t>
      </w:r>
    </w:p>
    <w:p>
      <w:pPr>
        <w:spacing w:line="500" w:lineRule="exact"/>
        <w:ind w:firstLine="420" w:firstLineChars="200"/>
        <w:rPr>
          <w:rFonts w:ascii="宋体" w:cs="宋体"/>
          <w:szCs w:val="21"/>
          <w:highlight w:val="none"/>
        </w:rPr>
      </w:pPr>
      <w:r>
        <w:rPr>
          <w:rFonts w:ascii="宋体" w:hAnsi="宋体" w:cs="宋体"/>
          <w:szCs w:val="21"/>
          <w:highlight w:val="none"/>
        </w:rPr>
        <w:t xml:space="preserve">10.3 </w:t>
      </w:r>
      <w:r>
        <w:rPr>
          <w:rFonts w:hint="eastAsia" w:ascii="宋体" w:hAnsi="宋体" w:cs="宋体"/>
          <w:szCs w:val="21"/>
          <w:highlight w:val="none"/>
        </w:rPr>
        <w:t>比选申请人的比选申请文件所有来往函件统一使用中文</w:t>
      </w:r>
      <w:r>
        <w:rPr>
          <w:rFonts w:hint="eastAsia" w:ascii="宋体" w:hAnsi="宋体" w:cs="宋体"/>
          <w:szCs w:val="21"/>
          <w:highlight w:val="none"/>
          <w:lang w:eastAsia="zh-CN"/>
        </w:rPr>
        <w:t>（</w:t>
      </w:r>
      <w:r>
        <w:rPr>
          <w:rFonts w:hint="eastAsia" w:ascii="宋体" w:hAnsi="宋体" w:cs="宋体"/>
          <w:szCs w:val="21"/>
          <w:highlight w:val="none"/>
        </w:rPr>
        <w:t>特别规定除外</w:t>
      </w:r>
      <w:r>
        <w:rPr>
          <w:rFonts w:hint="eastAsia" w:ascii="宋体" w:hAnsi="宋体" w:cs="宋体"/>
          <w:szCs w:val="21"/>
          <w:highlight w:val="none"/>
          <w:lang w:eastAsia="zh-CN"/>
        </w:rPr>
        <w:t>）</w:t>
      </w:r>
      <w:r>
        <w:rPr>
          <w:rFonts w:hint="eastAsia" w:ascii="宋体" w:hAnsi="宋体" w:cs="宋体"/>
          <w:szCs w:val="21"/>
          <w:highlight w:val="none"/>
        </w:rPr>
        <w:t>。</w:t>
      </w:r>
    </w:p>
    <w:p>
      <w:pPr>
        <w:spacing w:line="500" w:lineRule="exact"/>
        <w:ind w:firstLine="420" w:firstLineChars="200"/>
        <w:rPr>
          <w:rFonts w:ascii="宋体" w:cs="宋体"/>
          <w:szCs w:val="21"/>
          <w:highlight w:val="none"/>
        </w:rPr>
      </w:pPr>
      <w:r>
        <w:rPr>
          <w:rFonts w:ascii="宋体" w:hAnsi="宋体" w:cs="宋体"/>
          <w:szCs w:val="21"/>
          <w:highlight w:val="none"/>
        </w:rPr>
        <w:t xml:space="preserve">10.4 </w:t>
      </w:r>
      <w:r>
        <w:rPr>
          <w:rFonts w:hint="eastAsia" w:ascii="宋体" w:hAnsi="宋体" w:cs="宋体"/>
          <w:szCs w:val="21"/>
          <w:highlight w:val="none"/>
        </w:rPr>
        <w:t>比选申请文件中使用的计量单位除比选文件中有特殊规定外，一律使用法定计量单位。</w:t>
      </w:r>
    </w:p>
    <w:p>
      <w:pPr>
        <w:spacing w:line="500" w:lineRule="exact"/>
        <w:ind w:firstLine="420" w:firstLineChars="200"/>
        <w:rPr>
          <w:rFonts w:ascii="宋体" w:cs="宋体"/>
          <w:szCs w:val="21"/>
          <w:highlight w:val="none"/>
        </w:rPr>
      </w:pPr>
      <w:r>
        <w:rPr>
          <w:rFonts w:ascii="宋体" w:hAnsi="宋体" w:cs="宋体"/>
          <w:szCs w:val="21"/>
          <w:highlight w:val="none"/>
        </w:rPr>
        <w:t xml:space="preserve">10.5 </w:t>
      </w:r>
      <w:r>
        <w:rPr>
          <w:rFonts w:hint="eastAsia" w:ascii="宋体" w:hAnsi="宋体" w:cs="宋体"/>
          <w:szCs w:val="21"/>
          <w:highlight w:val="none"/>
        </w:rPr>
        <w:t>比选申请文件必须装订成册，不允许以活页夹等形式封装。</w:t>
      </w:r>
    </w:p>
    <w:p>
      <w:pPr>
        <w:spacing w:line="500" w:lineRule="exact"/>
        <w:ind w:firstLine="420" w:firstLineChars="200"/>
        <w:rPr>
          <w:rFonts w:ascii="宋体" w:cs="宋体"/>
          <w:szCs w:val="21"/>
          <w:highlight w:val="none"/>
        </w:rPr>
      </w:pPr>
      <w:r>
        <w:rPr>
          <w:rFonts w:ascii="宋体" w:hAnsi="宋体" w:cs="宋体"/>
          <w:szCs w:val="21"/>
          <w:highlight w:val="none"/>
        </w:rPr>
        <w:t xml:space="preserve">10.6 </w:t>
      </w:r>
      <w:r>
        <w:rPr>
          <w:rFonts w:hint="eastAsia" w:ascii="宋体" w:hAnsi="宋体" w:cs="宋体"/>
          <w:szCs w:val="21"/>
          <w:highlight w:val="none"/>
        </w:rPr>
        <w:t>比选申请文件的所有组成部分均须加盖法人单位公章或骑缝章。</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2"/>
        <w:rPr>
          <w:rFonts w:ascii="宋体" w:cs="宋体"/>
          <w:b/>
          <w:szCs w:val="21"/>
          <w:highlight w:val="none"/>
        </w:rPr>
      </w:pPr>
      <w:bookmarkStart w:id="182" w:name="_Toc310318584"/>
      <w:bookmarkStart w:id="183" w:name="_Toc114052352"/>
      <w:bookmarkStart w:id="184" w:name="_Toc286386846"/>
      <w:bookmarkStart w:id="185" w:name="_Toc114052426"/>
      <w:r>
        <w:rPr>
          <w:rFonts w:ascii="宋体" w:hAnsi="宋体" w:cs="宋体"/>
          <w:b/>
          <w:szCs w:val="21"/>
          <w:highlight w:val="none"/>
        </w:rPr>
        <w:t>11.</w:t>
      </w:r>
      <w:r>
        <w:rPr>
          <w:rFonts w:hint="eastAsia" w:ascii="宋体" w:hAnsi="宋体" w:cs="宋体"/>
          <w:b/>
          <w:szCs w:val="21"/>
          <w:highlight w:val="none"/>
        </w:rPr>
        <w:t>比选申请文件的组成</w:t>
      </w:r>
      <w:bookmarkEnd w:id="182"/>
      <w:bookmarkEnd w:id="183"/>
      <w:bookmarkEnd w:id="184"/>
      <w:bookmarkEnd w:id="185"/>
    </w:p>
    <w:p>
      <w:pPr>
        <w:spacing w:line="500" w:lineRule="exact"/>
        <w:ind w:firstLine="420" w:firstLineChars="200"/>
        <w:rPr>
          <w:rFonts w:ascii="宋体" w:cs="宋体"/>
          <w:szCs w:val="21"/>
          <w:highlight w:val="none"/>
        </w:rPr>
      </w:pPr>
      <w:bookmarkStart w:id="186" w:name="_Toc114052354"/>
      <w:r>
        <w:rPr>
          <w:rFonts w:ascii="宋体" w:hAnsi="宋体" w:cs="宋体"/>
          <w:szCs w:val="21"/>
          <w:highlight w:val="none"/>
        </w:rPr>
        <w:t xml:space="preserve">11.1 </w:t>
      </w:r>
      <w:r>
        <w:rPr>
          <w:rFonts w:hint="eastAsia" w:ascii="宋体" w:hAnsi="宋体" w:cs="宋体"/>
          <w:szCs w:val="21"/>
          <w:highlight w:val="none"/>
        </w:rPr>
        <w:t>比选申请文件由资格审查部分、技术部分、商务部分三部分组成，详细要求与部分格式详见第三章。</w:t>
      </w:r>
    </w:p>
    <w:p>
      <w:pPr>
        <w:spacing w:line="500" w:lineRule="exact"/>
        <w:ind w:firstLine="420" w:firstLineChars="200"/>
        <w:rPr>
          <w:rFonts w:ascii="宋体" w:cs="宋体"/>
          <w:szCs w:val="21"/>
          <w:highlight w:val="none"/>
        </w:rPr>
      </w:pPr>
      <w:r>
        <w:rPr>
          <w:rFonts w:ascii="宋体" w:hAnsi="宋体" w:cs="宋体"/>
          <w:szCs w:val="21"/>
          <w:highlight w:val="none"/>
        </w:rPr>
        <w:t xml:space="preserve">11.2 </w:t>
      </w:r>
      <w:r>
        <w:rPr>
          <w:rFonts w:hint="eastAsia" w:ascii="宋体" w:hAnsi="宋体" w:cs="宋体"/>
          <w:szCs w:val="21"/>
          <w:highlight w:val="none"/>
        </w:rPr>
        <w:t>资格审查部分主要包括下列内容：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200"/>
        <w:textAlignment w:val="auto"/>
        <w:rPr>
          <w:rFonts w:hint="eastAsia" w:ascii="宋体" w:hAnsi="宋体" w:eastAsia="宋体" w:cs="宋体"/>
          <w:szCs w:val="21"/>
          <w:highlight w:val="none"/>
          <w:lang w:val="en-US" w:eastAsia="zh-CN"/>
        </w:rPr>
      </w:pPr>
      <w:r>
        <w:rPr>
          <w:rFonts w:hint="eastAsia" w:ascii="宋体" w:hAnsi="宋体" w:cs="宋体"/>
          <w:szCs w:val="21"/>
          <w:highlight w:val="none"/>
          <w:lang w:eastAsia="zh-CN"/>
        </w:rPr>
        <w:t>（</w:t>
      </w:r>
      <w:r>
        <w:rPr>
          <w:rFonts w:hint="eastAsia" w:ascii="宋体" w:hAnsi="宋体" w:cs="宋体"/>
          <w:szCs w:val="21"/>
          <w:highlight w:val="none"/>
          <w:lang w:val="en-US" w:eastAsia="zh-CN"/>
        </w:rPr>
        <w:t>1）</w:t>
      </w:r>
      <w:r>
        <w:rPr>
          <w:rFonts w:hint="eastAsia" w:ascii="宋体" w:hAnsi="宋体" w:cs="宋体"/>
          <w:szCs w:val="21"/>
          <w:highlight w:val="none"/>
        </w:rPr>
        <w:t>诚信声明（原件）</w:t>
      </w:r>
      <w:r>
        <w:rPr>
          <w:rFonts w:hint="eastAsia" w:ascii="宋体" w:hAnsi="宋体" w:cs="宋体"/>
          <w:szCs w:val="21"/>
          <w:highlight w:val="none"/>
          <w:lang w:val="en-US" w:eastAsia="zh-CN"/>
        </w:rPr>
        <w:t>；</w:t>
      </w:r>
    </w:p>
    <w:p>
      <w:pPr>
        <w:spacing w:line="500" w:lineRule="exact"/>
        <w:ind w:firstLine="420" w:firstLineChars="200"/>
        <w:rPr>
          <w:rFonts w:hint="eastAsia" w:ascii="宋体" w:hAnsi="宋体" w:eastAsia="宋体" w:cs="宋体"/>
          <w:szCs w:val="21"/>
          <w:highlight w:val="none"/>
          <w:lang w:val="en-US" w:eastAsia="zh-CN"/>
        </w:rPr>
      </w:pPr>
      <w:r>
        <w:rPr>
          <w:rFonts w:hint="eastAsia" w:ascii="宋体" w:hAnsi="宋体" w:eastAsia="宋体" w:cs="宋体"/>
          <w:highlight w:val="none"/>
          <w:lang w:eastAsia="zh-CN"/>
        </w:rPr>
        <w:t>（</w:t>
      </w:r>
      <w:r>
        <w:rPr>
          <w:rFonts w:hint="eastAsia" w:ascii="宋体" w:hAnsi="宋体" w:eastAsia="宋体" w:cs="宋体"/>
          <w:highlight w:val="none"/>
          <w:lang w:val="en-US" w:eastAsia="zh-CN"/>
        </w:rPr>
        <w:t>2）</w:t>
      </w:r>
      <w:r>
        <w:rPr>
          <w:rFonts w:hint="eastAsia" w:ascii="宋体" w:hAnsi="宋体" w:cs="宋体"/>
          <w:szCs w:val="21"/>
          <w:highlight w:val="none"/>
        </w:rPr>
        <w:t>会计师事务所执业证书</w:t>
      </w:r>
      <w:r>
        <w:rPr>
          <w:rFonts w:hint="eastAsia" w:ascii="宋体" w:hAnsi="宋体" w:cs="宋体"/>
          <w:szCs w:val="21"/>
          <w:highlight w:val="none"/>
          <w:lang w:eastAsia="zh-CN"/>
        </w:rPr>
        <w:t>（</w:t>
      </w:r>
      <w:r>
        <w:rPr>
          <w:rFonts w:hint="eastAsia" w:ascii="宋体" w:hAnsi="宋体" w:cs="宋体"/>
          <w:szCs w:val="21"/>
          <w:highlight w:val="none"/>
        </w:rPr>
        <w:t>复印件加盖单位公章）</w:t>
      </w:r>
      <w:r>
        <w:rPr>
          <w:rFonts w:hint="eastAsia" w:ascii="宋体" w:hAnsi="宋体" w:cs="宋体"/>
          <w:szCs w:val="21"/>
          <w:highlight w:val="none"/>
          <w:lang w:val="en-US" w:eastAsia="zh-CN"/>
        </w:rPr>
        <w:t>；</w:t>
      </w:r>
    </w:p>
    <w:p>
      <w:pPr>
        <w:spacing w:line="500" w:lineRule="exact"/>
        <w:ind w:firstLine="420" w:firstLineChars="200"/>
        <w:rPr>
          <w:rFonts w:hint="eastAsia" w:eastAsia="宋体"/>
          <w:lang w:eastAsia="zh-CN"/>
        </w:rPr>
      </w:pPr>
      <w:r>
        <w:rPr>
          <w:rFonts w:hint="eastAsia" w:ascii="宋体" w:hAnsi="宋体" w:cs="宋体"/>
          <w:szCs w:val="21"/>
          <w:highlight w:val="none"/>
          <w:lang w:eastAsia="zh-CN"/>
        </w:rPr>
        <w:t>（</w:t>
      </w:r>
      <w:r>
        <w:rPr>
          <w:rFonts w:hint="eastAsia" w:ascii="宋体" w:hAnsi="宋体" w:cs="宋体"/>
          <w:szCs w:val="21"/>
          <w:highlight w:val="none"/>
          <w:lang w:val="en-US" w:eastAsia="zh-CN"/>
        </w:rPr>
        <w:t>3）</w:t>
      </w:r>
      <w:r>
        <w:rPr>
          <w:rFonts w:hint="eastAsia" w:ascii="宋体" w:hAnsi="宋体" w:cs="宋体"/>
          <w:szCs w:val="21"/>
          <w:highlight w:val="none"/>
        </w:rPr>
        <w:t>没有处于被行政主管部门或业主取消比选申请资格的处罚期内，且没有处于被责令停业，财产被接管、破产状态</w:t>
      </w:r>
      <w:r>
        <w:rPr>
          <w:rFonts w:hint="eastAsia" w:ascii="宋体" w:hAnsi="宋体" w:cs="宋体"/>
          <w:szCs w:val="21"/>
          <w:highlight w:val="none"/>
          <w:lang w:eastAsia="zh-CN"/>
        </w:rPr>
        <w:t>（</w:t>
      </w:r>
      <w:r>
        <w:rPr>
          <w:rFonts w:hint="eastAsia" w:ascii="宋体" w:hAnsi="宋体" w:cs="宋体"/>
          <w:szCs w:val="21"/>
          <w:highlight w:val="none"/>
        </w:rPr>
        <w:t>复印件加盖单位公章）</w:t>
      </w:r>
      <w:r>
        <w:rPr>
          <w:rFonts w:hint="eastAsia" w:ascii="宋体" w:hAnsi="宋体" w:cs="宋体"/>
          <w:szCs w:val="21"/>
          <w:highlight w:val="none"/>
          <w:lang w:val="en-US" w:eastAsia="zh-CN"/>
        </w:rPr>
        <w:t>；</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lang w:eastAsia="zh-CN"/>
        </w:rPr>
        <w:t>（</w:t>
      </w:r>
      <w:r>
        <w:rPr>
          <w:rFonts w:hint="eastAsia" w:ascii="宋体" w:hAnsi="宋体" w:cs="宋体"/>
          <w:szCs w:val="21"/>
          <w:highlight w:val="none"/>
          <w:lang w:val="en-US" w:eastAsia="zh-CN"/>
        </w:rPr>
        <w:t>4）</w:t>
      </w:r>
      <w:r>
        <w:rPr>
          <w:rFonts w:hint="eastAsia"/>
          <w:highlight w:val="none"/>
          <w:lang w:val="en-US" w:eastAsia="zh-CN"/>
        </w:rPr>
        <w:t>上级主管部门出具的近三年无不良执业记录证明</w:t>
      </w:r>
      <w:r>
        <w:rPr>
          <w:rFonts w:hint="eastAsia" w:ascii="宋体" w:hAnsi="宋体" w:cs="宋体"/>
          <w:szCs w:val="21"/>
          <w:highlight w:val="none"/>
          <w:lang w:eastAsia="zh-CN"/>
        </w:rPr>
        <w:t>（</w:t>
      </w:r>
      <w:r>
        <w:rPr>
          <w:rFonts w:hint="eastAsia" w:ascii="宋体" w:hAnsi="宋体" w:cs="宋体"/>
          <w:szCs w:val="21"/>
          <w:highlight w:val="none"/>
        </w:rPr>
        <w:t>复印件加盖单位公章）</w:t>
      </w:r>
      <w:r>
        <w:rPr>
          <w:rFonts w:hint="eastAsia" w:ascii="宋体" w:hAnsi="宋体" w:cs="宋体"/>
          <w:szCs w:val="21"/>
          <w:highlight w:val="none"/>
          <w:lang w:val="en-US" w:eastAsia="zh-CN"/>
        </w:rPr>
        <w:t>；</w:t>
      </w:r>
    </w:p>
    <w:p>
      <w:pPr>
        <w:spacing w:line="500" w:lineRule="exact"/>
        <w:ind w:firstLine="420" w:firstLineChars="200"/>
        <w:rPr>
          <w:rFonts w:hint="eastAsia"/>
          <w:lang w:val="en-US" w:eastAsia="zh-CN"/>
        </w:rPr>
      </w:pPr>
      <w:r>
        <w:rPr>
          <w:rFonts w:hint="eastAsia"/>
          <w:lang w:val="en-US" w:eastAsia="zh-CN"/>
        </w:rPr>
        <w:t>（5）比选申请截止时间前3年内没有骗取中选、严重违约或重大质量安全责任事故的情况</w:t>
      </w:r>
      <w:r>
        <w:rPr>
          <w:rFonts w:hint="eastAsia" w:ascii="宋体" w:hAnsi="宋体" w:cs="宋体"/>
          <w:szCs w:val="21"/>
          <w:highlight w:val="none"/>
          <w:lang w:eastAsia="zh-CN"/>
        </w:rPr>
        <w:t>（</w:t>
      </w:r>
      <w:r>
        <w:rPr>
          <w:rFonts w:hint="eastAsia" w:ascii="宋体" w:hAnsi="宋体" w:cs="宋体"/>
          <w:szCs w:val="21"/>
          <w:highlight w:val="none"/>
        </w:rPr>
        <w:t>复印件加盖单位公章）</w:t>
      </w:r>
      <w:r>
        <w:rPr>
          <w:rFonts w:hint="eastAsia" w:ascii="宋体" w:hAnsi="宋体" w:cs="宋体"/>
          <w:szCs w:val="21"/>
          <w:highlight w:val="none"/>
          <w:lang w:val="en-US" w:eastAsia="zh-CN"/>
        </w:rPr>
        <w:t>；</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6</w:t>
      </w:r>
      <w:r>
        <w:rPr>
          <w:rFonts w:hint="eastAsia" w:ascii="宋体" w:hAnsi="宋体" w:cs="宋体"/>
          <w:szCs w:val="21"/>
          <w:highlight w:val="none"/>
        </w:rPr>
        <w:t>）法定代表人资格证明书（原件）</w:t>
      </w:r>
      <w:r>
        <w:rPr>
          <w:rFonts w:hint="eastAsia" w:ascii="宋体" w:hAnsi="宋体" w:cs="宋体"/>
          <w:szCs w:val="21"/>
          <w:highlight w:val="none"/>
          <w:lang w:val="en-US" w:eastAsia="zh-CN"/>
        </w:rPr>
        <w:t>；</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7</w:t>
      </w:r>
      <w:r>
        <w:rPr>
          <w:rFonts w:hint="eastAsia" w:ascii="宋体" w:hAnsi="宋体" w:cs="宋体"/>
          <w:szCs w:val="21"/>
          <w:highlight w:val="none"/>
        </w:rPr>
        <w:t>）法定代表人</w:t>
      </w:r>
      <w:r>
        <w:rPr>
          <w:rFonts w:hint="eastAsia" w:ascii="宋体" w:hAnsi="宋体" w:cs="宋体"/>
          <w:szCs w:val="21"/>
          <w:highlight w:val="none"/>
          <w:lang w:eastAsia="zh-CN"/>
        </w:rPr>
        <w:t>（</w:t>
      </w:r>
      <w:r>
        <w:rPr>
          <w:rFonts w:hint="eastAsia" w:ascii="宋体" w:hAnsi="宋体" w:cs="宋体"/>
          <w:szCs w:val="21"/>
          <w:highlight w:val="none"/>
          <w:lang w:val="en-US" w:eastAsia="zh-CN"/>
        </w:rPr>
        <w:t>负责人</w:t>
      </w:r>
      <w:r>
        <w:rPr>
          <w:rFonts w:hint="eastAsia" w:ascii="宋体" w:hAnsi="宋体" w:cs="宋体"/>
          <w:szCs w:val="21"/>
          <w:highlight w:val="none"/>
          <w:lang w:eastAsia="zh-CN"/>
        </w:rPr>
        <w:t>）</w:t>
      </w:r>
      <w:r>
        <w:rPr>
          <w:rFonts w:hint="eastAsia" w:ascii="宋体" w:hAnsi="宋体" w:cs="宋体"/>
          <w:szCs w:val="21"/>
          <w:highlight w:val="none"/>
        </w:rPr>
        <w:t>身份证</w:t>
      </w:r>
      <w:r>
        <w:rPr>
          <w:rFonts w:hint="eastAsia" w:ascii="宋体" w:hAnsi="宋体" w:cs="宋体"/>
          <w:szCs w:val="21"/>
          <w:highlight w:val="none"/>
          <w:lang w:eastAsia="zh-CN"/>
        </w:rPr>
        <w:t>（</w:t>
      </w:r>
      <w:r>
        <w:rPr>
          <w:rFonts w:hint="eastAsia" w:ascii="宋体" w:hAnsi="宋体" w:cs="宋体"/>
          <w:szCs w:val="21"/>
          <w:highlight w:val="none"/>
        </w:rPr>
        <w:t>复印件加盖单位公章）</w:t>
      </w:r>
      <w:r>
        <w:rPr>
          <w:rFonts w:hint="eastAsia" w:ascii="宋体" w:hAnsi="宋体" w:cs="宋体"/>
          <w:szCs w:val="21"/>
          <w:highlight w:val="none"/>
          <w:lang w:val="en-US" w:eastAsia="zh-CN"/>
        </w:rPr>
        <w:t>；</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8</w:t>
      </w:r>
      <w:r>
        <w:rPr>
          <w:rFonts w:hint="eastAsia" w:ascii="宋体" w:hAnsi="宋体" w:cs="宋体"/>
          <w:szCs w:val="21"/>
          <w:highlight w:val="none"/>
        </w:rPr>
        <w:t>）比选申请文件签署授权委托书（原件）</w:t>
      </w:r>
      <w:r>
        <w:rPr>
          <w:rFonts w:hint="eastAsia" w:ascii="宋体" w:hAnsi="宋体" w:cs="宋体"/>
          <w:szCs w:val="21"/>
          <w:highlight w:val="none"/>
          <w:lang w:val="en-US" w:eastAsia="zh-CN"/>
        </w:rPr>
        <w:t>；</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9</w:t>
      </w:r>
      <w:r>
        <w:rPr>
          <w:rFonts w:hint="eastAsia" w:ascii="宋体" w:hAnsi="宋体" w:cs="宋体"/>
          <w:szCs w:val="21"/>
          <w:highlight w:val="none"/>
        </w:rPr>
        <w:t>）授权代表人身份证（复印件加盖单位公章）</w:t>
      </w:r>
      <w:r>
        <w:rPr>
          <w:rFonts w:hint="eastAsia" w:ascii="宋体" w:hAnsi="宋体" w:cs="宋体"/>
          <w:szCs w:val="21"/>
          <w:highlight w:val="none"/>
          <w:lang w:val="en-US" w:eastAsia="zh-CN"/>
        </w:rPr>
        <w:t>；</w:t>
      </w:r>
    </w:p>
    <w:p>
      <w:pPr>
        <w:spacing w:line="500" w:lineRule="exact"/>
        <w:ind w:firstLine="420" w:firstLineChars="200"/>
        <w:rPr>
          <w:rFonts w:hint="default" w:ascii="宋体" w:hAnsi="宋体" w:eastAsia="宋体" w:cs="宋体"/>
          <w:kern w:val="2"/>
          <w:sz w:val="21"/>
          <w:szCs w:val="21"/>
          <w:highlight w:val="none"/>
          <w:lang w:val="en-US" w:eastAsia="zh-CN" w:bidi="ar-SA"/>
        </w:rPr>
      </w:pPr>
      <w:r>
        <w:rPr>
          <w:rFonts w:hint="eastAsia" w:ascii="宋体" w:hAnsi="宋体" w:cs="宋体"/>
          <w:szCs w:val="21"/>
          <w:highlight w:val="none"/>
        </w:rPr>
        <w:t>（</w:t>
      </w:r>
      <w:r>
        <w:rPr>
          <w:rFonts w:hint="eastAsia" w:ascii="宋体" w:hAnsi="宋体" w:cs="宋体"/>
          <w:szCs w:val="21"/>
          <w:highlight w:val="none"/>
          <w:lang w:val="en-US" w:eastAsia="zh-CN"/>
        </w:rPr>
        <w:t>10</w:t>
      </w:r>
      <w:r>
        <w:rPr>
          <w:rFonts w:hint="eastAsia" w:ascii="宋体" w:hAnsi="宋体" w:cs="宋体"/>
          <w:szCs w:val="21"/>
          <w:highlight w:val="none"/>
        </w:rPr>
        <w:t>）</w:t>
      </w:r>
      <w:r>
        <w:rPr>
          <w:rFonts w:hint="eastAsia" w:ascii="宋体" w:hAnsi="宋体" w:eastAsia="宋体" w:cs="宋体"/>
          <w:kern w:val="2"/>
          <w:sz w:val="21"/>
          <w:szCs w:val="21"/>
          <w:highlight w:val="none"/>
          <w:lang w:val="en-US" w:eastAsia="zh-CN" w:bidi="ar-SA"/>
        </w:rPr>
        <w:t>其他</w:t>
      </w:r>
      <w:r>
        <w:rPr>
          <w:rFonts w:hint="eastAsia" w:ascii="宋体" w:hAnsi="宋体" w:cs="宋体"/>
          <w:kern w:val="2"/>
          <w:sz w:val="21"/>
          <w:szCs w:val="21"/>
          <w:highlight w:val="none"/>
          <w:lang w:val="en-US" w:eastAsia="zh-CN" w:bidi="ar-SA"/>
        </w:rPr>
        <w:t>。</w:t>
      </w:r>
    </w:p>
    <w:bookmarkEnd w:id="186"/>
    <w:p>
      <w:pPr>
        <w:spacing w:line="500" w:lineRule="exact"/>
        <w:ind w:firstLine="525" w:firstLineChars="250"/>
        <w:rPr>
          <w:rFonts w:ascii="宋体" w:cs="宋体"/>
          <w:szCs w:val="21"/>
          <w:highlight w:val="none"/>
        </w:rPr>
      </w:pPr>
      <w:r>
        <w:rPr>
          <w:rFonts w:ascii="宋体" w:hAnsi="宋体" w:cs="宋体"/>
          <w:szCs w:val="21"/>
          <w:highlight w:val="none"/>
        </w:rPr>
        <w:t xml:space="preserve">11.3 </w:t>
      </w:r>
      <w:r>
        <w:rPr>
          <w:rFonts w:hint="eastAsia" w:ascii="宋体" w:hAnsi="宋体" w:cs="宋体"/>
          <w:szCs w:val="21"/>
          <w:highlight w:val="none"/>
        </w:rPr>
        <w:t>技术部分主要包括下列内容：</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）业绩表</w:t>
      </w:r>
      <w:r>
        <w:rPr>
          <w:rFonts w:hint="eastAsia" w:ascii="宋体" w:hAnsi="宋体" w:cs="宋体"/>
          <w:szCs w:val="21"/>
          <w:highlight w:val="none"/>
          <w:lang w:val="en-US" w:eastAsia="zh-CN"/>
        </w:rPr>
        <w:t>；</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2</w:t>
      </w:r>
      <w:r>
        <w:rPr>
          <w:rFonts w:hint="eastAsia" w:ascii="宋体" w:hAnsi="宋体" w:cs="宋体"/>
          <w:szCs w:val="21"/>
          <w:highlight w:val="none"/>
        </w:rPr>
        <w:t>）拟投入人员配置明细表</w:t>
      </w:r>
      <w:r>
        <w:rPr>
          <w:rFonts w:hint="eastAsia" w:ascii="宋体" w:hAnsi="宋体" w:cs="宋体"/>
          <w:szCs w:val="21"/>
          <w:highlight w:val="none"/>
          <w:lang w:val="en-US" w:eastAsia="zh-CN"/>
        </w:rPr>
        <w:t>；</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3</w:t>
      </w:r>
      <w:r>
        <w:rPr>
          <w:rFonts w:hint="eastAsia" w:ascii="宋体" w:hAnsi="宋体" w:cs="宋体"/>
          <w:szCs w:val="21"/>
          <w:highlight w:val="none"/>
        </w:rPr>
        <w:t>）拟投入人员的相关工作业绩、资历及能力（由比选申请人自行编写）</w:t>
      </w:r>
      <w:r>
        <w:rPr>
          <w:rFonts w:hint="eastAsia" w:ascii="宋体" w:hAnsi="宋体" w:cs="宋体"/>
          <w:szCs w:val="21"/>
          <w:highlight w:val="none"/>
          <w:lang w:val="en-US" w:eastAsia="zh-CN"/>
        </w:rPr>
        <w:t>；</w:t>
      </w:r>
    </w:p>
    <w:p>
      <w:pPr>
        <w:spacing w:line="500" w:lineRule="exact"/>
        <w:ind w:firstLine="420" w:firstLineChars="200"/>
        <w:rPr>
          <w:highlight w:val="none"/>
        </w:rPr>
      </w:pPr>
      <w:r>
        <w:rPr>
          <w:rFonts w:hint="eastAsia" w:ascii="宋体" w:hAnsi="宋体" w:cs="宋体"/>
          <w:szCs w:val="21"/>
          <w:highlight w:val="none"/>
        </w:rPr>
        <w:t>（</w:t>
      </w:r>
      <w:r>
        <w:rPr>
          <w:rFonts w:ascii="宋体" w:hAnsi="宋体" w:cs="宋体"/>
          <w:szCs w:val="21"/>
          <w:highlight w:val="none"/>
        </w:rPr>
        <w:t>4</w:t>
      </w:r>
      <w:r>
        <w:rPr>
          <w:rFonts w:hint="eastAsia" w:ascii="宋体" w:hAnsi="宋体" w:cs="宋体"/>
          <w:szCs w:val="21"/>
          <w:highlight w:val="none"/>
        </w:rPr>
        <w:t>）</w:t>
      </w:r>
      <w:r>
        <w:rPr>
          <w:rFonts w:hint="eastAsia" w:ascii="宋体" w:hAnsi="宋体" w:cs="宋体"/>
          <w:szCs w:val="21"/>
          <w:highlight w:val="none"/>
          <w:lang w:val="en-US" w:eastAsia="zh-CN"/>
        </w:rPr>
        <w:t>拟投入人员中正式员工劳动合同</w:t>
      </w:r>
      <w:r>
        <w:rPr>
          <w:rFonts w:hint="default" w:ascii="宋体" w:hAnsi="宋体" w:cs="宋体"/>
          <w:szCs w:val="21"/>
          <w:highlight w:val="none"/>
          <w:lang w:val="en-US" w:eastAsia="zh-CN"/>
        </w:rPr>
        <w:t>及</w:t>
      </w:r>
      <w:r>
        <w:rPr>
          <w:rFonts w:hint="eastAsia" w:ascii="宋体" w:hAnsi="宋体" w:cs="宋体"/>
          <w:szCs w:val="21"/>
          <w:highlight w:val="none"/>
          <w:lang w:val="en-US" w:eastAsia="zh-CN"/>
        </w:rPr>
        <w:t>近3个月社保缴付证明（复印件加盖单位公章）；</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5</w:t>
      </w:r>
      <w:r>
        <w:rPr>
          <w:rFonts w:hint="eastAsia" w:ascii="宋体" w:hAnsi="宋体" w:cs="宋体"/>
          <w:szCs w:val="21"/>
          <w:highlight w:val="none"/>
        </w:rPr>
        <w:t>）服务方案（由比选申请人自行编写）</w:t>
      </w:r>
      <w:r>
        <w:rPr>
          <w:rFonts w:hint="eastAsia" w:ascii="宋体" w:hAnsi="宋体" w:cs="宋体"/>
          <w:szCs w:val="21"/>
          <w:highlight w:val="none"/>
          <w:lang w:val="en-US" w:eastAsia="zh-CN"/>
        </w:rPr>
        <w:t>；</w:t>
      </w:r>
    </w:p>
    <w:p>
      <w:pPr>
        <w:spacing w:line="500" w:lineRule="exact"/>
        <w:ind w:firstLine="420" w:firstLineChars="200"/>
        <w:rPr>
          <w:rFonts w:hint="eastAsia" w:ascii="宋体" w:eastAsia="宋体" w:cs="宋体"/>
          <w:szCs w:val="21"/>
          <w:highlight w:val="none"/>
          <w:lang w:eastAsia="zh-CN"/>
        </w:rPr>
      </w:pPr>
      <w:r>
        <w:rPr>
          <w:rFonts w:hint="eastAsia" w:ascii="宋体" w:hAnsi="宋体" w:cs="宋体"/>
          <w:szCs w:val="21"/>
          <w:highlight w:val="none"/>
        </w:rPr>
        <w:t>（</w:t>
      </w:r>
      <w:r>
        <w:rPr>
          <w:rFonts w:hint="eastAsia" w:ascii="宋体" w:hAnsi="宋体" w:cs="宋体"/>
          <w:szCs w:val="21"/>
          <w:highlight w:val="none"/>
          <w:lang w:val="en-US" w:eastAsia="zh-CN"/>
        </w:rPr>
        <w:t>6</w:t>
      </w:r>
      <w:r>
        <w:rPr>
          <w:rFonts w:hint="eastAsia" w:ascii="宋体" w:hAnsi="宋体" w:cs="宋体"/>
          <w:szCs w:val="21"/>
          <w:highlight w:val="none"/>
        </w:rPr>
        <w:t>）其他</w:t>
      </w:r>
      <w:r>
        <w:rPr>
          <w:rFonts w:hint="eastAsia" w:ascii="宋体" w:hAnsi="宋体" w:cs="宋体"/>
          <w:szCs w:val="21"/>
          <w:highlight w:val="none"/>
          <w:lang w:eastAsia="zh-CN"/>
        </w:rPr>
        <w:t>。</w:t>
      </w:r>
    </w:p>
    <w:p>
      <w:pPr>
        <w:spacing w:line="500" w:lineRule="exact"/>
        <w:ind w:firstLine="420" w:firstLineChars="200"/>
        <w:rPr>
          <w:rFonts w:ascii="宋体" w:cs="宋体"/>
          <w:szCs w:val="21"/>
          <w:highlight w:val="none"/>
        </w:rPr>
      </w:pPr>
      <w:r>
        <w:rPr>
          <w:rFonts w:ascii="宋体" w:hAnsi="宋体" w:cs="宋体"/>
          <w:szCs w:val="21"/>
          <w:highlight w:val="none"/>
        </w:rPr>
        <w:t xml:space="preserve">11.4 </w:t>
      </w:r>
      <w:r>
        <w:rPr>
          <w:rFonts w:hint="eastAsia" w:ascii="宋体" w:hAnsi="宋体" w:cs="宋体"/>
          <w:szCs w:val="21"/>
          <w:highlight w:val="none"/>
        </w:rPr>
        <w:t>商务部分主要包括下列内容：</w:t>
      </w:r>
    </w:p>
    <w:p>
      <w:pPr>
        <w:spacing w:line="500" w:lineRule="exact"/>
        <w:ind w:firstLine="420" w:firstLineChars="200"/>
        <w:rPr>
          <w:rFonts w:hint="eastAsia" w:ascii="宋体" w:eastAsia="宋体" w:cs="宋体"/>
          <w:szCs w:val="21"/>
          <w:highlight w:val="none"/>
          <w:lang w:eastAsia="zh-CN"/>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）报价表</w:t>
      </w:r>
      <w:r>
        <w:rPr>
          <w:rFonts w:hint="eastAsia" w:ascii="宋体" w:hAnsi="宋体" w:cs="宋体"/>
          <w:szCs w:val="21"/>
          <w:highlight w:val="none"/>
          <w:lang w:eastAsia="zh-CN"/>
        </w:rPr>
        <w:t>。</w:t>
      </w:r>
    </w:p>
    <w:p>
      <w:pPr>
        <w:spacing w:line="500" w:lineRule="exact"/>
        <w:ind w:firstLine="420" w:firstLineChars="200"/>
        <w:rPr>
          <w:rFonts w:ascii="宋体" w:cs="宋体"/>
          <w:szCs w:val="21"/>
          <w:highlight w:val="none"/>
        </w:rPr>
      </w:pPr>
      <w:r>
        <w:rPr>
          <w:rFonts w:ascii="宋体" w:hAnsi="宋体" w:cs="宋体"/>
          <w:szCs w:val="21"/>
          <w:highlight w:val="none"/>
        </w:rPr>
        <w:t xml:space="preserve">11.5 </w:t>
      </w:r>
      <w:r>
        <w:rPr>
          <w:rFonts w:hint="eastAsia" w:ascii="宋体" w:hAnsi="宋体" w:cs="宋体"/>
          <w:szCs w:val="21"/>
          <w:highlight w:val="none"/>
        </w:rPr>
        <w:t>比选申请人需按照比选人提供的比选申请文件格式和顺序另行编制比选申请文件，但表格可以按同样格式扩展。</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2"/>
        <w:rPr>
          <w:rFonts w:ascii="宋体" w:cs="宋体"/>
          <w:b/>
          <w:szCs w:val="21"/>
          <w:highlight w:val="none"/>
        </w:rPr>
      </w:pPr>
      <w:r>
        <w:rPr>
          <w:rFonts w:ascii="宋体" w:hAnsi="宋体" w:cs="宋体"/>
          <w:b/>
          <w:szCs w:val="21"/>
          <w:highlight w:val="none"/>
        </w:rPr>
        <w:t>12.</w:t>
      </w:r>
      <w:bookmarkStart w:id="187" w:name="_Toc286386847"/>
      <w:bookmarkStart w:id="188" w:name="_Toc114052363"/>
      <w:bookmarkStart w:id="189" w:name="_Toc310318585"/>
      <w:bookmarkStart w:id="190" w:name="_Toc114052427"/>
      <w:r>
        <w:rPr>
          <w:rFonts w:hint="eastAsia" w:ascii="宋体" w:hAnsi="宋体" w:cs="宋体"/>
          <w:b/>
          <w:szCs w:val="21"/>
          <w:highlight w:val="none"/>
        </w:rPr>
        <w:t>比选有效期</w:t>
      </w:r>
      <w:bookmarkEnd w:id="187"/>
      <w:bookmarkEnd w:id="188"/>
      <w:bookmarkEnd w:id="189"/>
      <w:bookmarkEnd w:id="190"/>
    </w:p>
    <w:p>
      <w:pPr>
        <w:spacing w:line="500" w:lineRule="exact"/>
        <w:ind w:firstLine="420" w:firstLineChars="200"/>
        <w:rPr>
          <w:rFonts w:ascii="宋体" w:cs="宋体"/>
          <w:szCs w:val="21"/>
          <w:highlight w:val="none"/>
        </w:rPr>
      </w:pPr>
      <w:r>
        <w:rPr>
          <w:rFonts w:ascii="宋体" w:hAnsi="宋体" w:cs="宋体"/>
          <w:szCs w:val="21"/>
          <w:highlight w:val="none"/>
        </w:rPr>
        <w:t xml:space="preserve">12.1 </w:t>
      </w:r>
      <w:r>
        <w:rPr>
          <w:rFonts w:hint="eastAsia" w:ascii="宋体" w:hAnsi="宋体" w:cs="宋体"/>
          <w:szCs w:val="21"/>
          <w:highlight w:val="none"/>
        </w:rPr>
        <w:t>比选申请文件在前附表第</w:t>
      </w:r>
      <w:r>
        <w:rPr>
          <w:rFonts w:ascii="宋体" w:hAnsi="宋体" w:cs="宋体"/>
          <w:szCs w:val="21"/>
          <w:highlight w:val="none"/>
        </w:rPr>
        <w:t>11</w:t>
      </w:r>
      <w:r>
        <w:rPr>
          <w:rFonts w:hint="eastAsia" w:ascii="宋体" w:hAnsi="宋体" w:cs="宋体"/>
          <w:szCs w:val="21"/>
          <w:highlight w:val="none"/>
        </w:rPr>
        <w:t>条规定的递交比选申请文件日期之后的</w:t>
      </w:r>
      <w:r>
        <w:rPr>
          <w:rFonts w:ascii="宋体" w:hAnsi="宋体" w:cs="宋体"/>
          <w:szCs w:val="21"/>
          <w:highlight w:val="none"/>
        </w:rPr>
        <w:t>90</w:t>
      </w:r>
      <w:r>
        <w:rPr>
          <w:rFonts w:hint="eastAsia" w:ascii="宋体" w:hAnsi="宋体" w:cs="宋体"/>
          <w:szCs w:val="21"/>
          <w:highlight w:val="none"/>
        </w:rPr>
        <w:t>天内有效。</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2"/>
        <w:rPr>
          <w:rFonts w:ascii="宋体" w:cs="宋体"/>
          <w:b/>
          <w:szCs w:val="21"/>
          <w:highlight w:val="none"/>
        </w:rPr>
      </w:pPr>
      <w:r>
        <w:rPr>
          <w:rFonts w:ascii="宋体" w:hAnsi="宋体" w:cs="宋体"/>
          <w:b/>
          <w:szCs w:val="21"/>
          <w:highlight w:val="none"/>
        </w:rPr>
        <w:t>13.</w:t>
      </w:r>
      <w:r>
        <w:rPr>
          <w:rFonts w:hint="eastAsia" w:ascii="宋体" w:hAnsi="宋体" w:cs="宋体"/>
          <w:b/>
          <w:szCs w:val="21"/>
          <w:highlight w:val="none"/>
        </w:rPr>
        <w:t>比选保证金</w:t>
      </w:r>
    </w:p>
    <w:p>
      <w:pPr>
        <w:spacing w:line="500" w:lineRule="exact"/>
        <w:ind w:firstLine="420" w:firstLineChars="200"/>
        <w:rPr>
          <w:rFonts w:ascii="宋体" w:cs="宋体"/>
          <w:szCs w:val="21"/>
          <w:highlight w:val="none"/>
        </w:rPr>
      </w:pPr>
      <w:r>
        <w:rPr>
          <w:rFonts w:ascii="宋体" w:hAnsi="宋体" w:cs="宋体"/>
          <w:szCs w:val="21"/>
          <w:highlight w:val="none"/>
        </w:rPr>
        <w:t xml:space="preserve">13.1 </w:t>
      </w:r>
      <w:r>
        <w:rPr>
          <w:rFonts w:hint="eastAsia" w:ascii="宋体" w:hAnsi="宋体" w:cs="宋体"/>
          <w:szCs w:val="21"/>
          <w:highlight w:val="none"/>
        </w:rPr>
        <w:t>本项目不设比选保证金。</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2"/>
        <w:rPr>
          <w:rFonts w:ascii="宋体" w:cs="宋体"/>
          <w:b/>
          <w:szCs w:val="21"/>
          <w:highlight w:val="none"/>
        </w:rPr>
      </w:pPr>
      <w:r>
        <w:rPr>
          <w:rFonts w:ascii="宋体" w:hAnsi="宋体" w:cs="宋体"/>
          <w:b/>
          <w:szCs w:val="21"/>
          <w:highlight w:val="none"/>
        </w:rPr>
        <w:t>14.</w:t>
      </w:r>
      <w:bookmarkStart w:id="191" w:name="_Toc114052429"/>
      <w:bookmarkStart w:id="192" w:name="_Toc114052365"/>
      <w:bookmarkStart w:id="193" w:name="_Toc286386849"/>
      <w:bookmarkStart w:id="194" w:name="_Toc310318587"/>
      <w:r>
        <w:rPr>
          <w:rFonts w:hint="eastAsia" w:ascii="宋体" w:hAnsi="宋体" w:cs="宋体"/>
          <w:b/>
          <w:szCs w:val="21"/>
          <w:highlight w:val="none"/>
        </w:rPr>
        <w:t>比选答疑</w:t>
      </w:r>
      <w:bookmarkEnd w:id="191"/>
      <w:bookmarkEnd w:id="192"/>
      <w:bookmarkEnd w:id="193"/>
      <w:bookmarkEnd w:id="194"/>
    </w:p>
    <w:p>
      <w:pPr>
        <w:spacing w:line="500" w:lineRule="exact"/>
        <w:ind w:firstLine="420" w:firstLineChars="200"/>
        <w:rPr>
          <w:rFonts w:ascii="宋体" w:cs="宋体"/>
          <w:szCs w:val="21"/>
          <w:highlight w:val="none"/>
        </w:rPr>
      </w:pPr>
      <w:r>
        <w:rPr>
          <w:rFonts w:ascii="宋体" w:hAnsi="宋体" w:cs="宋体"/>
          <w:szCs w:val="21"/>
          <w:highlight w:val="none"/>
        </w:rPr>
        <w:t xml:space="preserve">14.1 </w:t>
      </w:r>
      <w:r>
        <w:rPr>
          <w:rFonts w:hint="eastAsia" w:ascii="宋体" w:hAnsi="宋体" w:cs="宋体"/>
          <w:szCs w:val="21"/>
          <w:highlight w:val="none"/>
        </w:rPr>
        <w:t>比选申请人提出的与比选有关的任何问题均应在递交文件截止时间</w:t>
      </w:r>
      <w:r>
        <w:rPr>
          <w:rFonts w:ascii="宋体" w:hAnsi="宋体" w:cs="宋体"/>
          <w:szCs w:val="21"/>
          <w:highlight w:val="none"/>
        </w:rPr>
        <w:t>3</w:t>
      </w:r>
      <w:r>
        <w:rPr>
          <w:rFonts w:hint="eastAsia" w:ascii="宋体" w:hAnsi="宋体" w:cs="宋体"/>
          <w:szCs w:val="21"/>
          <w:highlight w:val="none"/>
        </w:rPr>
        <w:t>个工作日前的正常工作时间内，用当面递交或传真书面通知比选人，其他方式为无效。比选人将以书面形式通过“比选补遗文件”的形式予以答复。</w:t>
      </w:r>
    </w:p>
    <w:p>
      <w:pPr>
        <w:spacing w:line="500" w:lineRule="exact"/>
        <w:ind w:firstLine="420" w:firstLineChars="200"/>
        <w:rPr>
          <w:rFonts w:ascii="宋体" w:cs="宋体"/>
          <w:szCs w:val="21"/>
          <w:highlight w:val="none"/>
        </w:rPr>
      </w:pPr>
      <w:r>
        <w:rPr>
          <w:rFonts w:ascii="宋体" w:hAnsi="宋体" w:cs="宋体"/>
          <w:szCs w:val="21"/>
          <w:highlight w:val="none"/>
        </w:rPr>
        <w:t xml:space="preserve">14.2 </w:t>
      </w:r>
      <w:r>
        <w:rPr>
          <w:rFonts w:hint="eastAsia" w:ascii="宋体" w:hAnsi="宋体" w:cs="宋体"/>
          <w:szCs w:val="21"/>
          <w:highlight w:val="none"/>
        </w:rPr>
        <w:t>比选补遗文件包括所有问题和答复，比选人将于递交文件截止时间</w:t>
      </w:r>
      <w:r>
        <w:rPr>
          <w:rFonts w:ascii="宋体" w:hAnsi="宋体" w:cs="宋体"/>
          <w:szCs w:val="21"/>
          <w:highlight w:val="none"/>
        </w:rPr>
        <w:t>2</w:t>
      </w:r>
      <w:r>
        <w:rPr>
          <w:rFonts w:hint="eastAsia" w:ascii="宋体" w:hAnsi="宋体" w:cs="宋体"/>
          <w:szCs w:val="21"/>
          <w:highlight w:val="none"/>
        </w:rPr>
        <w:t>天前以书面形式，在比选人官网发布，予以答复。</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2"/>
        <w:rPr>
          <w:rFonts w:ascii="宋体" w:cs="宋体"/>
          <w:b/>
          <w:szCs w:val="21"/>
          <w:highlight w:val="none"/>
        </w:rPr>
      </w:pPr>
      <w:r>
        <w:rPr>
          <w:rFonts w:ascii="宋体" w:hAnsi="宋体" w:cs="宋体"/>
          <w:b/>
          <w:szCs w:val="21"/>
          <w:highlight w:val="none"/>
        </w:rPr>
        <w:t>15.</w:t>
      </w:r>
      <w:bookmarkStart w:id="195" w:name="_Toc310318588"/>
      <w:bookmarkStart w:id="196" w:name="_Toc114052366"/>
      <w:bookmarkStart w:id="197" w:name="_Toc286386850"/>
      <w:bookmarkStart w:id="198" w:name="_Toc114052430"/>
      <w:r>
        <w:rPr>
          <w:rFonts w:hint="eastAsia" w:ascii="宋体" w:hAnsi="宋体" w:cs="宋体"/>
          <w:b/>
          <w:szCs w:val="21"/>
          <w:highlight w:val="none"/>
        </w:rPr>
        <w:t>比选申请文件的份数</w:t>
      </w:r>
      <w:bookmarkEnd w:id="195"/>
      <w:bookmarkEnd w:id="196"/>
      <w:bookmarkEnd w:id="197"/>
      <w:bookmarkEnd w:id="198"/>
      <w:r>
        <w:rPr>
          <w:rFonts w:hint="eastAsia" w:ascii="宋体" w:hAnsi="宋体" w:cs="宋体"/>
          <w:b/>
          <w:szCs w:val="21"/>
          <w:highlight w:val="none"/>
        </w:rPr>
        <w:t>和签署</w:t>
      </w:r>
    </w:p>
    <w:p>
      <w:pPr>
        <w:spacing w:line="500" w:lineRule="exact"/>
        <w:ind w:firstLine="420" w:firstLineChars="200"/>
        <w:rPr>
          <w:rFonts w:ascii="宋体" w:cs="宋体"/>
          <w:szCs w:val="21"/>
          <w:highlight w:val="none"/>
        </w:rPr>
      </w:pPr>
      <w:r>
        <w:rPr>
          <w:rFonts w:ascii="宋体" w:hAnsi="宋体" w:cs="宋体"/>
          <w:szCs w:val="21"/>
          <w:highlight w:val="none"/>
        </w:rPr>
        <w:t xml:space="preserve">15.1 </w:t>
      </w:r>
      <w:r>
        <w:rPr>
          <w:rFonts w:hint="eastAsia" w:ascii="宋体" w:hAnsi="宋体" w:cs="宋体"/>
          <w:szCs w:val="21"/>
          <w:highlight w:val="none"/>
        </w:rPr>
        <w:t>比选申请人按比选文件规定，编制一份比选申请文件“正本”和前附表第</w:t>
      </w:r>
      <w:r>
        <w:rPr>
          <w:rFonts w:ascii="宋体" w:hAnsi="宋体" w:cs="宋体"/>
          <w:szCs w:val="21"/>
          <w:highlight w:val="none"/>
        </w:rPr>
        <w:t>12</w:t>
      </w:r>
      <w:r>
        <w:rPr>
          <w:rFonts w:hint="eastAsia" w:ascii="宋体" w:hAnsi="宋体" w:cs="宋体"/>
          <w:szCs w:val="21"/>
          <w:highlight w:val="none"/>
        </w:rPr>
        <w:t>项所述份数的“副本”，并标明“比选申请文件正本”和“比选申请文件副本”。比选申请文件正本和副本如有不一致之处，以正本为准。</w:t>
      </w:r>
    </w:p>
    <w:p>
      <w:pPr>
        <w:spacing w:line="500" w:lineRule="exact"/>
        <w:ind w:firstLine="420" w:firstLineChars="200"/>
        <w:rPr>
          <w:rFonts w:ascii="宋体" w:cs="宋体"/>
          <w:szCs w:val="21"/>
          <w:highlight w:val="none"/>
        </w:rPr>
      </w:pPr>
      <w:r>
        <w:rPr>
          <w:rFonts w:ascii="宋体" w:hAnsi="宋体" w:cs="宋体"/>
          <w:szCs w:val="21"/>
          <w:highlight w:val="none"/>
        </w:rPr>
        <w:t xml:space="preserve">15.2 </w:t>
      </w:r>
      <w:r>
        <w:rPr>
          <w:rFonts w:hint="eastAsia" w:ascii="宋体" w:hAnsi="宋体" w:cs="宋体"/>
          <w:szCs w:val="21"/>
          <w:highlight w:val="none"/>
        </w:rPr>
        <w:t>比选申请文件正本与副本均应使用不能擦去的黑色墨水打印或书写，装订成册，由比选申请人法定代表人或授权委托代理人亲自签署或加盖印鉴，并加盖比选申请人单位公章。</w:t>
      </w:r>
    </w:p>
    <w:p>
      <w:pPr>
        <w:spacing w:line="500" w:lineRule="exact"/>
        <w:ind w:firstLine="420" w:firstLineChars="200"/>
        <w:rPr>
          <w:rFonts w:ascii="宋体" w:cs="宋体"/>
          <w:szCs w:val="21"/>
          <w:highlight w:val="none"/>
        </w:rPr>
      </w:pPr>
      <w:r>
        <w:rPr>
          <w:rFonts w:ascii="宋体" w:hAnsi="宋体" w:cs="宋体"/>
          <w:szCs w:val="21"/>
          <w:highlight w:val="none"/>
        </w:rPr>
        <w:t xml:space="preserve">15.3 </w:t>
      </w:r>
      <w:r>
        <w:rPr>
          <w:rFonts w:hint="eastAsia" w:ascii="宋体" w:hAnsi="宋体" w:cs="宋体"/>
          <w:szCs w:val="21"/>
          <w:highlight w:val="none"/>
        </w:rPr>
        <w:t>全套比选申请文件应无涂改和行间插字，除非这些删改是根据比选人指示进行的；或者是比选申请人造成的必须修改的错误，但修改处应由比选申请文件签字人签字证明，否则修改无效。</w:t>
      </w:r>
    </w:p>
    <w:p>
      <w:pPr>
        <w:pStyle w:val="4"/>
        <w:spacing w:beforeLines="50" w:afterLines="50" w:line="500" w:lineRule="exact"/>
        <w:jc w:val="center"/>
        <w:rPr>
          <w:b/>
          <w:sz w:val="21"/>
          <w:szCs w:val="21"/>
          <w:highlight w:val="none"/>
        </w:rPr>
      </w:pPr>
      <w:bookmarkStart w:id="199" w:name="_Toc31804"/>
      <w:bookmarkStart w:id="200" w:name="_Toc32046"/>
      <w:bookmarkStart w:id="201" w:name="_Toc11391"/>
      <w:bookmarkStart w:id="202" w:name="_Toc27875"/>
      <w:bookmarkStart w:id="203" w:name="_Toc23604"/>
      <w:bookmarkStart w:id="204" w:name="_Toc14726"/>
      <w:bookmarkStart w:id="205" w:name="_Toc461525301"/>
      <w:bookmarkStart w:id="206" w:name="_Toc2153"/>
      <w:bookmarkStart w:id="207" w:name="_Toc8725"/>
      <w:bookmarkStart w:id="208" w:name="_Toc28307"/>
      <w:bookmarkStart w:id="209" w:name="_Toc15430"/>
      <w:bookmarkStart w:id="210" w:name="_Toc17030"/>
      <w:bookmarkStart w:id="211" w:name="_Toc23101"/>
      <w:bookmarkStart w:id="212" w:name="_Toc7811"/>
      <w:bookmarkStart w:id="213" w:name="_Toc16937"/>
      <w:bookmarkStart w:id="214" w:name="_Toc5900"/>
      <w:bookmarkStart w:id="215" w:name="_Toc15955"/>
      <w:bookmarkStart w:id="216" w:name="_Toc19276"/>
      <w:bookmarkStart w:id="217" w:name="_Toc471482365"/>
      <w:bookmarkStart w:id="218" w:name="_Toc4540"/>
      <w:bookmarkStart w:id="219" w:name="_Toc25460"/>
      <w:bookmarkStart w:id="220" w:name="_Toc28652"/>
      <w:r>
        <w:rPr>
          <w:rFonts w:hint="eastAsia"/>
          <w:b/>
          <w:sz w:val="21"/>
          <w:szCs w:val="21"/>
          <w:highlight w:val="none"/>
        </w:rPr>
        <w:t>五、比选申请文件的递交</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2"/>
        <w:rPr>
          <w:rFonts w:ascii="宋体" w:cs="宋体"/>
          <w:b/>
          <w:szCs w:val="21"/>
          <w:highlight w:val="none"/>
        </w:rPr>
      </w:pPr>
      <w:r>
        <w:rPr>
          <w:rFonts w:ascii="宋体" w:hAnsi="宋体" w:cs="宋体"/>
          <w:b/>
          <w:szCs w:val="21"/>
          <w:highlight w:val="none"/>
        </w:rPr>
        <w:t>16.</w:t>
      </w:r>
      <w:r>
        <w:rPr>
          <w:rFonts w:hint="eastAsia" w:ascii="宋体" w:hAnsi="宋体" w:cs="宋体"/>
          <w:b/>
          <w:szCs w:val="21"/>
          <w:highlight w:val="none"/>
        </w:rPr>
        <w:t>比选申请文件的密封与标志</w:t>
      </w:r>
    </w:p>
    <w:p>
      <w:pPr>
        <w:spacing w:line="500" w:lineRule="exact"/>
        <w:ind w:firstLine="420" w:firstLineChars="200"/>
        <w:rPr>
          <w:rFonts w:ascii="宋体" w:cs="宋体"/>
          <w:szCs w:val="21"/>
          <w:highlight w:val="none"/>
        </w:rPr>
      </w:pPr>
      <w:r>
        <w:rPr>
          <w:rFonts w:ascii="宋体" w:hAnsi="宋体" w:cs="宋体"/>
          <w:szCs w:val="21"/>
          <w:highlight w:val="none"/>
        </w:rPr>
        <w:t xml:space="preserve">16.1 </w:t>
      </w:r>
      <w:r>
        <w:rPr>
          <w:rFonts w:hint="eastAsia" w:ascii="宋体" w:hAnsi="宋体" w:cs="宋体"/>
          <w:szCs w:val="21"/>
          <w:highlight w:val="none"/>
        </w:rPr>
        <w:t>比选申请文件装订要求：比选由申请文件由资格审查部分、技术部分、商务部分合并装订。</w:t>
      </w:r>
    </w:p>
    <w:p>
      <w:pPr>
        <w:spacing w:line="500" w:lineRule="exact"/>
        <w:ind w:firstLine="420" w:firstLineChars="200"/>
        <w:rPr>
          <w:rFonts w:ascii="宋体" w:cs="宋体"/>
          <w:szCs w:val="21"/>
          <w:highlight w:val="none"/>
        </w:rPr>
      </w:pPr>
      <w:r>
        <w:rPr>
          <w:rFonts w:ascii="宋体" w:hAnsi="宋体" w:cs="宋体"/>
          <w:szCs w:val="21"/>
          <w:highlight w:val="none"/>
        </w:rPr>
        <w:t xml:space="preserve">16.2 </w:t>
      </w:r>
      <w:r>
        <w:rPr>
          <w:rFonts w:hint="eastAsia" w:ascii="宋体" w:hAnsi="宋体" w:cs="宋体"/>
          <w:szCs w:val="21"/>
          <w:highlight w:val="none"/>
        </w:rPr>
        <w:t>比选申请文件的资格审查部分、技术部分、商务部分合并装订成册，并分正、副本，其中正本一册，副本四册，密封在一个比选文件密封袋中。</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16.3 </w:t>
      </w:r>
      <w:r>
        <w:rPr>
          <w:rFonts w:hint="eastAsia" w:ascii="宋体" w:hAnsi="宋体" w:cs="宋体"/>
          <w:szCs w:val="21"/>
          <w:highlight w:val="none"/>
        </w:rPr>
        <w:t>密封袋封口处都应加盖比选申请人法人单位公章或粘贴加盖法人单位公章的密封条，若密封袋没有加盖法人单位公章或破损严重，有可能导致比选人的拒收。</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2"/>
        <w:rPr>
          <w:rFonts w:ascii="宋体" w:cs="宋体"/>
          <w:b/>
          <w:szCs w:val="21"/>
          <w:highlight w:val="none"/>
        </w:rPr>
      </w:pPr>
      <w:r>
        <w:rPr>
          <w:rFonts w:ascii="宋体" w:hAnsi="宋体" w:cs="宋体"/>
          <w:b/>
          <w:szCs w:val="21"/>
          <w:highlight w:val="none"/>
        </w:rPr>
        <w:t>17.</w:t>
      </w:r>
      <w:r>
        <w:rPr>
          <w:rFonts w:hint="eastAsia" w:ascii="宋体" w:hAnsi="宋体" w:cs="宋体"/>
          <w:b/>
          <w:szCs w:val="21"/>
          <w:highlight w:val="none"/>
        </w:rPr>
        <w:t>递交比选文件截止期</w:t>
      </w:r>
    </w:p>
    <w:p>
      <w:pPr>
        <w:spacing w:line="500" w:lineRule="exact"/>
        <w:ind w:firstLine="420" w:firstLineChars="200"/>
        <w:rPr>
          <w:rFonts w:ascii="宋体" w:cs="宋体"/>
          <w:szCs w:val="21"/>
          <w:highlight w:val="none"/>
        </w:rPr>
      </w:pPr>
      <w:r>
        <w:rPr>
          <w:rFonts w:ascii="宋体" w:hAnsi="宋体" w:cs="宋体"/>
          <w:szCs w:val="21"/>
          <w:highlight w:val="none"/>
        </w:rPr>
        <w:t xml:space="preserve">17.1 </w:t>
      </w:r>
      <w:r>
        <w:rPr>
          <w:rFonts w:hint="eastAsia" w:ascii="宋体" w:hAnsi="宋体" w:cs="宋体"/>
          <w:szCs w:val="21"/>
          <w:highlight w:val="none"/>
        </w:rPr>
        <w:t>比选申请人应在前附表第</w:t>
      </w:r>
      <w:r>
        <w:rPr>
          <w:rFonts w:ascii="宋体" w:hAnsi="宋体" w:cs="宋体"/>
          <w:szCs w:val="21"/>
          <w:highlight w:val="none"/>
        </w:rPr>
        <w:t>14</w:t>
      </w:r>
      <w:r>
        <w:rPr>
          <w:rFonts w:hint="eastAsia" w:ascii="宋体" w:hAnsi="宋体" w:cs="宋体"/>
          <w:szCs w:val="21"/>
          <w:highlight w:val="none"/>
        </w:rPr>
        <w:t>项所述规定的时间，将比选申请文件递交至前附表第</w:t>
      </w:r>
      <w:r>
        <w:rPr>
          <w:rFonts w:ascii="宋体" w:hAnsi="宋体" w:cs="宋体"/>
          <w:szCs w:val="21"/>
          <w:highlight w:val="none"/>
        </w:rPr>
        <w:t>13</w:t>
      </w:r>
      <w:r>
        <w:rPr>
          <w:rFonts w:hint="eastAsia" w:ascii="宋体" w:hAnsi="宋体" w:cs="宋体"/>
          <w:szCs w:val="21"/>
          <w:highlight w:val="none"/>
        </w:rPr>
        <w:t>项所述的单位和地址。</w:t>
      </w:r>
      <w:bookmarkStart w:id="221" w:name="_Toc27095"/>
      <w:bookmarkStart w:id="222" w:name="_Toc6376"/>
      <w:bookmarkStart w:id="223" w:name="_Toc29047"/>
      <w:bookmarkStart w:id="224" w:name="_Toc471482366"/>
      <w:bookmarkStart w:id="225" w:name="_Toc22118"/>
      <w:bookmarkStart w:id="226" w:name="_Toc1057"/>
      <w:bookmarkStart w:id="227" w:name="_Toc31139"/>
      <w:bookmarkStart w:id="228" w:name="_Toc17217"/>
      <w:bookmarkStart w:id="229" w:name="_Toc461525302"/>
      <w:bookmarkStart w:id="230" w:name="_Toc32687"/>
      <w:bookmarkStart w:id="231" w:name="_Toc20601"/>
      <w:bookmarkStart w:id="232" w:name="_Toc20356"/>
      <w:bookmarkStart w:id="233" w:name="_Toc31034"/>
      <w:bookmarkStart w:id="234" w:name="_Toc30232"/>
    </w:p>
    <w:p>
      <w:pPr>
        <w:spacing w:line="500" w:lineRule="exact"/>
        <w:ind w:firstLine="420" w:firstLineChars="200"/>
        <w:rPr>
          <w:rFonts w:ascii="宋体"/>
          <w:szCs w:val="21"/>
          <w:highlight w:val="none"/>
        </w:rPr>
      </w:pPr>
      <w:r>
        <w:rPr>
          <w:rFonts w:ascii="宋体" w:hAnsi="宋体" w:cs="宋体"/>
          <w:szCs w:val="21"/>
          <w:highlight w:val="none"/>
        </w:rPr>
        <w:t>1</w:t>
      </w:r>
      <w:r>
        <w:rPr>
          <w:rFonts w:ascii="宋体" w:hAnsi="宋体"/>
          <w:szCs w:val="21"/>
          <w:highlight w:val="none"/>
        </w:rPr>
        <w:t xml:space="preserve">7.2 </w:t>
      </w:r>
      <w:r>
        <w:rPr>
          <w:rFonts w:hint="eastAsia" w:ascii="宋体" w:hAnsi="宋体"/>
          <w:szCs w:val="21"/>
          <w:highlight w:val="none"/>
        </w:rPr>
        <w:t>比选发起人可以以补充通知方式，酌情延长递交比选申请文件的截止日期。在上述情况下，比选发起人与比选申请人在比选截止日期以前拥有的全部权力、责任和义务，将适用于延长后新的递交文件截止日期。</w:t>
      </w:r>
    </w:p>
    <w:p>
      <w:pPr>
        <w:spacing w:line="500" w:lineRule="exact"/>
        <w:ind w:firstLine="420" w:firstLineChars="200"/>
        <w:rPr>
          <w:szCs w:val="21"/>
          <w:highlight w:val="none"/>
        </w:rPr>
      </w:pPr>
      <w:r>
        <w:rPr>
          <w:rFonts w:ascii="宋体" w:hAnsi="宋体"/>
          <w:szCs w:val="21"/>
          <w:highlight w:val="none"/>
        </w:rPr>
        <w:t xml:space="preserve">17.3 </w:t>
      </w:r>
      <w:r>
        <w:rPr>
          <w:rFonts w:hint="eastAsia" w:ascii="宋体" w:hAnsi="宋体"/>
          <w:szCs w:val="21"/>
          <w:highlight w:val="none"/>
        </w:rPr>
        <w:t>凡没有以补</w:t>
      </w:r>
      <w:r>
        <w:rPr>
          <w:rFonts w:hint="eastAsia"/>
          <w:szCs w:val="21"/>
          <w:highlight w:val="none"/>
        </w:rPr>
        <w:t>充方式获得酌情延长递交文件截止日期的比选申请人，比选发起人将拒收在递交文件截止日期以后送到的比选申请文件。</w:t>
      </w:r>
    </w:p>
    <w:p>
      <w:pPr>
        <w:pStyle w:val="4"/>
        <w:spacing w:beforeLines="50" w:afterLines="50" w:line="500" w:lineRule="exact"/>
        <w:jc w:val="center"/>
        <w:rPr>
          <w:b/>
          <w:sz w:val="21"/>
          <w:szCs w:val="21"/>
          <w:highlight w:val="none"/>
        </w:rPr>
      </w:pPr>
      <w:bookmarkStart w:id="235" w:name="_Toc19136"/>
      <w:bookmarkStart w:id="236" w:name="_Toc26873"/>
      <w:bookmarkStart w:id="237" w:name="_Toc24817"/>
      <w:bookmarkStart w:id="238" w:name="_Toc31410"/>
      <w:bookmarkStart w:id="239" w:name="_Toc26025"/>
      <w:bookmarkStart w:id="240" w:name="_Toc16157"/>
      <w:bookmarkStart w:id="241" w:name="_Toc13760"/>
      <w:bookmarkStart w:id="242" w:name="_Toc5184"/>
      <w:r>
        <w:rPr>
          <w:rFonts w:hint="eastAsia"/>
          <w:b/>
          <w:sz w:val="21"/>
          <w:szCs w:val="21"/>
          <w:highlight w:val="none"/>
        </w:rPr>
        <w:t>六、</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Fonts w:hint="eastAsia"/>
          <w:b/>
          <w:sz w:val="21"/>
          <w:szCs w:val="21"/>
          <w:highlight w:val="none"/>
        </w:rPr>
        <w:t>评审</w:t>
      </w:r>
      <w:bookmarkEnd w:id="235"/>
      <w:bookmarkEnd w:id="236"/>
      <w:bookmarkEnd w:id="237"/>
      <w:bookmarkEnd w:id="238"/>
      <w:bookmarkEnd w:id="239"/>
      <w:bookmarkEnd w:id="240"/>
      <w:bookmarkEnd w:id="241"/>
      <w:bookmarkEnd w:id="242"/>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2"/>
        <w:rPr>
          <w:rFonts w:ascii="宋体" w:cs="宋体"/>
          <w:b/>
          <w:szCs w:val="21"/>
          <w:highlight w:val="none"/>
        </w:rPr>
      </w:pPr>
      <w:bookmarkStart w:id="243" w:name="_Toc436771484"/>
      <w:bookmarkStart w:id="244" w:name="_Toc535961531"/>
      <w:r>
        <w:rPr>
          <w:rFonts w:ascii="宋体" w:hAnsi="宋体" w:cs="宋体"/>
          <w:b/>
          <w:szCs w:val="21"/>
          <w:highlight w:val="none"/>
        </w:rPr>
        <w:t>18.</w:t>
      </w:r>
      <w:r>
        <w:rPr>
          <w:rFonts w:hint="eastAsia" w:ascii="宋体" w:hAnsi="宋体" w:cs="宋体"/>
          <w:b/>
          <w:szCs w:val="21"/>
          <w:highlight w:val="none"/>
        </w:rPr>
        <w:t>评审</w:t>
      </w:r>
      <w:bookmarkEnd w:id="243"/>
      <w:r>
        <w:rPr>
          <w:rFonts w:hint="eastAsia" w:ascii="宋体" w:hAnsi="宋体" w:cs="宋体"/>
          <w:b/>
          <w:szCs w:val="21"/>
          <w:highlight w:val="none"/>
        </w:rPr>
        <w:t>程序</w:t>
      </w:r>
      <w:bookmarkEnd w:id="244"/>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18.1 </w:t>
      </w:r>
      <w:r>
        <w:rPr>
          <w:rFonts w:hint="eastAsia" w:ascii="宋体" w:hAnsi="宋体" w:cs="宋体"/>
          <w:szCs w:val="21"/>
          <w:highlight w:val="none"/>
        </w:rPr>
        <w:t>比选发起人将于前附表第</w:t>
      </w:r>
      <w:r>
        <w:rPr>
          <w:rFonts w:ascii="宋体" w:hAnsi="宋体" w:cs="宋体"/>
          <w:szCs w:val="21"/>
          <w:highlight w:val="none"/>
        </w:rPr>
        <w:t>11</w:t>
      </w:r>
      <w:r>
        <w:rPr>
          <w:rFonts w:hint="eastAsia" w:ascii="宋体" w:hAnsi="宋体" w:cs="宋体"/>
          <w:szCs w:val="21"/>
          <w:highlight w:val="none"/>
        </w:rPr>
        <w:t>项规定的时间和地点举行评审会议，参加评审的比选申请人的法定代表人或授权委托代理人应签名报到，以证明其出席评审会议，并携带有效证明材料前往，以证实其身份。</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18.2 </w:t>
      </w:r>
      <w:r>
        <w:rPr>
          <w:rFonts w:hint="eastAsia" w:ascii="宋体" w:hAnsi="宋体" w:cs="宋体"/>
          <w:szCs w:val="21"/>
          <w:highlight w:val="none"/>
        </w:rPr>
        <w:t>本项目由南宁轨道交通集团有限责任公司相关人员组成评审小组，评审小组由</w:t>
      </w:r>
      <w:r>
        <w:rPr>
          <w:rFonts w:ascii="宋体" w:hAnsi="宋体" w:cs="宋体"/>
          <w:szCs w:val="21"/>
          <w:highlight w:val="none"/>
        </w:rPr>
        <w:t>3</w:t>
      </w:r>
      <w:r>
        <w:rPr>
          <w:rFonts w:hint="eastAsia" w:ascii="宋体" w:hAnsi="宋体" w:cs="宋体"/>
          <w:szCs w:val="21"/>
          <w:highlight w:val="none"/>
        </w:rPr>
        <w:t>人及以上单数组成，共同对比选申请文件按照评审标准的规定进行评审。</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18.3 </w:t>
      </w:r>
      <w:r>
        <w:rPr>
          <w:rFonts w:hint="eastAsia" w:ascii="宋体" w:hAnsi="宋体" w:cs="宋体"/>
          <w:szCs w:val="21"/>
          <w:highlight w:val="none"/>
        </w:rPr>
        <w:t>评审小组成员应当独立、客观、公正地履行职责，遵守职业道德，对所提出的评审意见承担个人责任；评审小组成员及其他工作人员应对整个评审活动保密。</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18.4 </w:t>
      </w:r>
      <w:r>
        <w:rPr>
          <w:rFonts w:hint="eastAsia" w:ascii="宋体" w:hAnsi="宋体" w:cs="宋体"/>
          <w:szCs w:val="21"/>
          <w:highlight w:val="none"/>
        </w:rPr>
        <w:t>评审会议程序：</w:t>
      </w:r>
    </w:p>
    <w:p>
      <w:pPr>
        <w:tabs>
          <w:tab w:val="left" w:pos="8610"/>
        </w:tabs>
        <w:spacing w:line="500" w:lineRule="exact"/>
        <w:ind w:firstLine="315" w:firstLineChars="150"/>
        <w:rPr>
          <w:rFonts w:hint="eastAsia" w:ascii="宋体" w:eastAsia="宋体" w:cs="宋体"/>
          <w:strike/>
          <w:dstrike w:val="0"/>
          <w:szCs w:val="21"/>
          <w:highlight w:val="none"/>
          <w:lang w:val="en-US" w:eastAsia="zh-CN"/>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）比选申请人的法定代表人或授权委托代理人应签名报到，比选人验证法定代表人资格证明书、授权委托书及有效身份证明，确认文件是否密封，文件外包装签署是否正确</w:t>
      </w:r>
      <w:r>
        <w:rPr>
          <w:rFonts w:hint="eastAsia" w:ascii="宋体" w:hAnsi="宋体" w:cs="宋体"/>
          <w:szCs w:val="21"/>
          <w:highlight w:val="none"/>
          <w:lang w:val="en-US" w:eastAsia="zh-CN"/>
        </w:rPr>
        <w:t>后</w:t>
      </w:r>
      <w:r>
        <w:rPr>
          <w:rFonts w:hint="eastAsia" w:ascii="宋体" w:hAnsi="宋体" w:cs="宋体"/>
          <w:szCs w:val="21"/>
          <w:highlight w:val="none"/>
          <w:lang w:eastAsia="zh-CN"/>
        </w:rPr>
        <w:t>，</w:t>
      </w:r>
      <w:r>
        <w:rPr>
          <w:rFonts w:hint="eastAsia" w:ascii="宋体" w:hAnsi="宋体" w:cs="宋体"/>
          <w:szCs w:val="21"/>
          <w:highlight w:val="none"/>
        </w:rPr>
        <w:t>比选申请人退场</w:t>
      </w:r>
      <w:r>
        <w:rPr>
          <w:rFonts w:hint="eastAsia" w:ascii="宋体" w:hAnsi="宋体" w:cs="宋体"/>
          <w:szCs w:val="21"/>
          <w:highlight w:val="none"/>
          <w:lang w:val="en-US" w:eastAsia="zh-CN"/>
        </w:rPr>
        <w:t>；</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2</w:t>
      </w:r>
      <w:r>
        <w:rPr>
          <w:rFonts w:hint="eastAsia" w:ascii="宋体" w:hAnsi="宋体" w:cs="宋体"/>
          <w:szCs w:val="21"/>
          <w:highlight w:val="none"/>
        </w:rPr>
        <w:t>）启封比选申请文件的资格审查部分，移交评审小组进行资格审查；</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3</w:t>
      </w:r>
      <w:r>
        <w:rPr>
          <w:rFonts w:hint="eastAsia" w:ascii="宋体" w:hAnsi="宋体" w:cs="宋体"/>
          <w:szCs w:val="21"/>
          <w:highlight w:val="none"/>
        </w:rPr>
        <w:t>）主持人宣布审查结果，并宣读通过资格审查的比选申请人名称以及比选发起人认为需要的其他内容；</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4</w:t>
      </w:r>
      <w:r>
        <w:rPr>
          <w:rFonts w:hint="eastAsia" w:ascii="宋体" w:hAnsi="宋体" w:cs="宋体"/>
          <w:szCs w:val="21"/>
          <w:highlight w:val="none"/>
        </w:rPr>
        <w:t>）启封通过资格审查的比选申请文件的技术部分，移交评审小组评审；</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5</w:t>
      </w:r>
      <w:r>
        <w:rPr>
          <w:rFonts w:hint="eastAsia" w:ascii="宋体" w:hAnsi="宋体" w:cs="宋体"/>
          <w:szCs w:val="21"/>
          <w:highlight w:val="none"/>
        </w:rPr>
        <w:t>）启封通过资格审查的比选申请文件的商务部分，移交评审小组评审；</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6</w:t>
      </w:r>
      <w:r>
        <w:rPr>
          <w:rFonts w:hint="eastAsia" w:ascii="宋体" w:hAnsi="宋体" w:cs="宋体"/>
          <w:szCs w:val="21"/>
          <w:highlight w:val="none"/>
        </w:rPr>
        <w:t>）在评审过程中工作人员做比选记录，评审小组在比选记录表上签字确认，主持人宣读比选结果；</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7</w:t>
      </w:r>
      <w:r>
        <w:rPr>
          <w:rFonts w:hint="eastAsia" w:ascii="宋体" w:hAnsi="宋体" w:cs="宋体"/>
          <w:szCs w:val="21"/>
          <w:highlight w:val="none"/>
        </w:rPr>
        <w:t>）评审结束。</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2"/>
        <w:rPr>
          <w:rFonts w:ascii="宋体" w:cs="宋体"/>
          <w:b/>
          <w:szCs w:val="21"/>
          <w:highlight w:val="none"/>
        </w:rPr>
      </w:pPr>
      <w:bookmarkStart w:id="245" w:name="_Toc392862499"/>
      <w:bookmarkStart w:id="246" w:name="_Toc436771486"/>
      <w:bookmarkStart w:id="247" w:name="_Toc535961532"/>
      <w:r>
        <w:rPr>
          <w:rFonts w:ascii="宋体" w:hAnsi="宋体" w:cs="宋体"/>
          <w:b/>
          <w:szCs w:val="21"/>
          <w:highlight w:val="none"/>
        </w:rPr>
        <w:t>19.</w:t>
      </w:r>
      <w:r>
        <w:rPr>
          <w:rFonts w:hint="eastAsia" w:ascii="宋体" w:hAnsi="宋体" w:cs="宋体"/>
          <w:b/>
          <w:szCs w:val="21"/>
          <w:highlight w:val="none"/>
        </w:rPr>
        <w:t>评审</w:t>
      </w:r>
      <w:bookmarkEnd w:id="245"/>
      <w:bookmarkEnd w:id="246"/>
      <w:r>
        <w:rPr>
          <w:rFonts w:hint="eastAsia" w:ascii="宋体" w:hAnsi="宋体" w:cs="宋体"/>
          <w:b/>
          <w:szCs w:val="21"/>
          <w:highlight w:val="none"/>
        </w:rPr>
        <w:t>规则</w:t>
      </w:r>
      <w:bookmarkEnd w:id="247"/>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19.1 </w:t>
      </w:r>
      <w:r>
        <w:rPr>
          <w:rFonts w:hint="eastAsia" w:ascii="宋体" w:hAnsi="宋体" w:cs="宋体"/>
          <w:szCs w:val="21"/>
          <w:highlight w:val="none"/>
        </w:rPr>
        <w:t>本采购项目比选上限控制价为：人民币</w:t>
      </w:r>
      <w:r>
        <w:rPr>
          <w:rFonts w:hint="eastAsia" w:ascii="宋体" w:hAnsi="宋体" w:cs="宋体"/>
          <w:szCs w:val="21"/>
          <w:highlight w:val="none"/>
          <w:u w:val="single"/>
          <w:lang w:val="en-US" w:eastAsia="zh-CN"/>
        </w:rPr>
        <w:t>76</w:t>
      </w:r>
      <w:r>
        <w:rPr>
          <w:rFonts w:ascii="宋体" w:hAnsi="宋体" w:cs="宋体"/>
          <w:szCs w:val="21"/>
          <w:highlight w:val="none"/>
          <w:u w:val="single"/>
        </w:rPr>
        <w:t>,</w:t>
      </w:r>
      <w:r>
        <w:rPr>
          <w:rFonts w:hint="eastAsia" w:ascii="宋体" w:hAnsi="宋体" w:cs="宋体"/>
          <w:szCs w:val="21"/>
          <w:highlight w:val="none"/>
          <w:u w:val="single"/>
          <w:lang w:val="en-US" w:eastAsia="zh-CN"/>
        </w:rPr>
        <w:t>000.00</w:t>
      </w:r>
      <w:r>
        <w:rPr>
          <w:rFonts w:hint="eastAsia" w:ascii="宋体" w:hAnsi="宋体" w:cs="宋体"/>
          <w:szCs w:val="21"/>
          <w:highlight w:val="none"/>
          <w:u w:val="none"/>
        </w:rPr>
        <w:t>元</w:t>
      </w:r>
      <w:r>
        <w:rPr>
          <w:rFonts w:ascii="宋体" w:hAnsi="宋体" w:cs="宋体"/>
          <w:szCs w:val="21"/>
          <w:highlight w:val="none"/>
          <w:u w:val="none"/>
        </w:rPr>
        <w:t>(</w:t>
      </w:r>
      <w:r>
        <w:rPr>
          <w:rFonts w:hint="eastAsia" w:ascii="宋体" w:hAnsi="宋体" w:cs="宋体"/>
          <w:szCs w:val="21"/>
          <w:highlight w:val="none"/>
          <w:u w:val="none"/>
        </w:rPr>
        <w:t>含税</w:t>
      </w:r>
      <w:r>
        <w:rPr>
          <w:rFonts w:ascii="宋体" w:hAnsi="宋体" w:cs="宋体"/>
          <w:szCs w:val="21"/>
          <w:highlight w:val="none"/>
          <w:u w:val="none"/>
        </w:rPr>
        <w:t>)</w:t>
      </w:r>
      <w:r>
        <w:rPr>
          <w:rFonts w:hint="eastAsia" w:ascii="宋体" w:hAnsi="宋体" w:cs="宋体"/>
          <w:szCs w:val="21"/>
          <w:highlight w:val="none"/>
        </w:rPr>
        <w:t>，</w:t>
      </w:r>
      <w:r>
        <w:rPr>
          <w:rFonts w:hint="eastAsia" w:ascii="宋体" w:hAnsi="宋体" w:cs="宋体"/>
          <w:szCs w:val="21"/>
          <w:highlight w:val="none"/>
          <w:u w:val="single"/>
          <w:lang w:val="en-US" w:eastAsia="zh-CN"/>
        </w:rPr>
        <w:t>71,698.11</w:t>
      </w:r>
      <w:r>
        <w:rPr>
          <w:rFonts w:hint="eastAsia" w:ascii="宋体" w:hAnsi="宋体" w:cs="宋体"/>
          <w:szCs w:val="21"/>
          <w:highlight w:val="none"/>
          <w:u w:val="none"/>
        </w:rPr>
        <w:t>元</w:t>
      </w:r>
      <w:r>
        <w:rPr>
          <w:rFonts w:ascii="宋体" w:hAnsi="宋体" w:cs="宋体"/>
          <w:szCs w:val="21"/>
          <w:highlight w:val="none"/>
          <w:u w:val="none"/>
        </w:rPr>
        <w:t>(</w:t>
      </w:r>
      <w:r>
        <w:rPr>
          <w:rFonts w:hint="eastAsia" w:ascii="宋体" w:hAnsi="宋体" w:cs="宋体"/>
          <w:szCs w:val="21"/>
          <w:highlight w:val="none"/>
          <w:u w:val="none"/>
        </w:rPr>
        <w:t>不含税</w:t>
      </w:r>
      <w:r>
        <w:rPr>
          <w:rFonts w:ascii="宋体" w:hAnsi="宋体" w:cs="宋体"/>
          <w:szCs w:val="21"/>
          <w:highlight w:val="none"/>
          <w:u w:val="none"/>
        </w:rPr>
        <w:t>)</w:t>
      </w:r>
      <w:r>
        <w:rPr>
          <w:rFonts w:hint="eastAsia" w:ascii="宋体" w:hAnsi="宋体" w:cs="宋体"/>
          <w:szCs w:val="21"/>
          <w:highlight w:val="none"/>
        </w:rPr>
        <w:t>。当比选申请人报价超过上限控制价时，比选申请文件无效。</w:t>
      </w:r>
      <w:r>
        <w:rPr>
          <w:rFonts w:ascii="宋体" w:hAnsi="宋体" w:cs="宋体"/>
          <w:szCs w:val="21"/>
          <w:highlight w:val="none"/>
        </w:rPr>
        <w:t xml:space="preserve"> </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19.2 </w:t>
      </w:r>
      <w:r>
        <w:rPr>
          <w:rFonts w:hint="eastAsia" w:ascii="宋体" w:hAnsi="宋体" w:cs="宋体"/>
          <w:szCs w:val="21"/>
          <w:highlight w:val="none"/>
        </w:rPr>
        <w:t>比选申请人在评审过程中所进行的力图影响评审公正性的活动，可能导致其中选无效。</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19.3 </w:t>
      </w:r>
      <w:r>
        <w:rPr>
          <w:rFonts w:hint="eastAsia" w:ascii="宋体" w:hAnsi="宋体" w:cs="宋体"/>
          <w:szCs w:val="21"/>
          <w:highlight w:val="none"/>
        </w:rPr>
        <w:t>比选申请文件的澄清或说明：</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）评审小组将以书面形式要求比选申请人就其比选申请文件中含义不明确、同类问题表述不一致或有明显文字错误等的内容予以澄清或说明；</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2</w:t>
      </w:r>
      <w:r>
        <w:rPr>
          <w:rFonts w:hint="eastAsia" w:ascii="宋体" w:hAnsi="宋体" w:cs="宋体"/>
          <w:szCs w:val="21"/>
          <w:highlight w:val="none"/>
        </w:rPr>
        <w:t>）比选申请人对要求澄清或说明的内容应在评审小组规定的时间内以书面形式予以澄清，该澄清或说明函应有法定代表人或其委托代理人的签名</w:t>
      </w:r>
      <w:r>
        <w:rPr>
          <w:rFonts w:hint="eastAsia"/>
          <w:highlight w:val="none"/>
        </w:rPr>
        <w:t>并盖法人单位公章</w:t>
      </w:r>
      <w:r>
        <w:rPr>
          <w:rFonts w:hint="eastAsia" w:ascii="宋体" w:hAnsi="宋体" w:cs="宋体"/>
          <w:szCs w:val="21"/>
          <w:highlight w:val="none"/>
        </w:rPr>
        <w:t>；</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3</w:t>
      </w:r>
      <w:r>
        <w:rPr>
          <w:rFonts w:hint="eastAsia" w:ascii="宋体" w:hAnsi="宋体" w:cs="宋体"/>
          <w:szCs w:val="21"/>
          <w:highlight w:val="none"/>
        </w:rPr>
        <w:t>）比选申请人的澄清或说明函作为比选申请文件的组成部分；</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4</w:t>
      </w:r>
      <w:r>
        <w:rPr>
          <w:rFonts w:hint="eastAsia" w:ascii="宋体" w:hAnsi="宋体" w:cs="宋体"/>
          <w:szCs w:val="21"/>
          <w:highlight w:val="none"/>
        </w:rPr>
        <w:t>）比选申请人对比选申请文件的澄清或说明不得超出比选申请文件的范围或改变比选的实质内容。</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2"/>
        <w:rPr>
          <w:rFonts w:ascii="宋体" w:cs="宋体"/>
          <w:b/>
          <w:szCs w:val="21"/>
          <w:highlight w:val="none"/>
        </w:rPr>
      </w:pPr>
      <w:bookmarkStart w:id="248" w:name="_Toc114052439"/>
      <w:bookmarkStart w:id="249" w:name="_Toc392862500"/>
      <w:bookmarkStart w:id="250" w:name="_Toc535961533"/>
      <w:bookmarkStart w:id="251" w:name="_Toc114052375"/>
      <w:bookmarkStart w:id="252" w:name="_Toc286386859"/>
      <w:bookmarkStart w:id="253" w:name="_Toc436771487"/>
      <w:r>
        <w:rPr>
          <w:rFonts w:ascii="宋体" w:hAnsi="宋体" w:cs="宋体"/>
          <w:b/>
          <w:szCs w:val="21"/>
          <w:highlight w:val="none"/>
        </w:rPr>
        <w:t>20.</w:t>
      </w:r>
      <w:r>
        <w:rPr>
          <w:rFonts w:hint="eastAsia" w:ascii="宋体" w:hAnsi="宋体" w:cs="宋体"/>
          <w:b/>
          <w:szCs w:val="21"/>
          <w:highlight w:val="none"/>
        </w:rPr>
        <w:t>评审保密</w:t>
      </w:r>
      <w:bookmarkEnd w:id="248"/>
      <w:bookmarkEnd w:id="249"/>
      <w:bookmarkEnd w:id="250"/>
      <w:bookmarkEnd w:id="251"/>
      <w:bookmarkEnd w:id="252"/>
      <w:bookmarkEnd w:id="253"/>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20.1 </w:t>
      </w:r>
      <w:r>
        <w:rPr>
          <w:rFonts w:hint="eastAsia" w:ascii="宋体" w:hAnsi="宋体" w:cs="宋体"/>
          <w:szCs w:val="21"/>
          <w:highlight w:val="none"/>
        </w:rPr>
        <w:t>评审全过程内容和比选申请文件的评审结果，不得向比选申请人和与该过程无关的其他单位和个人泄露。</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20.2 </w:t>
      </w:r>
      <w:r>
        <w:rPr>
          <w:rFonts w:hint="eastAsia" w:ascii="宋体" w:hAnsi="宋体" w:cs="宋体"/>
          <w:szCs w:val="21"/>
          <w:highlight w:val="none"/>
        </w:rPr>
        <w:t>比选申请人对比选发起人和评审小组成员施加任何有影响的行为，都将被取消比选资格。</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2"/>
        <w:rPr>
          <w:rFonts w:ascii="宋体" w:cs="宋体"/>
          <w:b/>
          <w:szCs w:val="21"/>
          <w:highlight w:val="none"/>
        </w:rPr>
      </w:pPr>
      <w:bookmarkStart w:id="254" w:name="_Toc310318598"/>
      <w:r>
        <w:rPr>
          <w:rFonts w:ascii="宋体" w:hAnsi="宋体" w:cs="宋体"/>
          <w:b/>
          <w:szCs w:val="21"/>
          <w:highlight w:val="none"/>
        </w:rPr>
        <w:t>21.</w:t>
      </w:r>
      <w:r>
        <w:rPr>
          <w:rFonts w:hint="eastAsia" w:ascii="宋体" w:hAnsi="宋体" w:cs="宋体"/>
          <w:b/>
          <w:szCs w:val="21"/>
          <w:highlight w:val="none"/>
        </w:rPr>
        <w:t>比选申请文件评比</w:t>
      </w:r>
      <w:bookmarkEnd w:id="254"/>
      <w:r>
        <w:rPr>
          <w:rFonts w:hint="eastAsia" w:ascii="宋体" w:hAnsi="宋体" w:cs="宋体"/>
          <w:b/>
          <w:szCs w:val="21"/>
          <w:highlight w:val="none"/>
        </w:rPr>
        <w:t>相关要求</w:t>
      </w:r>
    </w:p>
    <w:p>
      <w:pPr>
        <w:spacing w:line="500" w:lineRule="exact"/>
        <w:ind w:firstLine="420" w:firstLineChars="200"/>
        <w:rPr>
          <w:rFonts w:ascii="宋体" w:cs="宋体"/>
          <w:szCs w:val="21"/>
          <w:highlight w:val="none"/>
        </w:rPr>
      </w:pPr>
      <w:r>
        <w:rPr>
          <w:rFonts w:ascii="宋体" w:hAnsi="宋体" w:cs="宋体"/>
          <w:szCs w:val="21"/>
          <w:highlight w:val="none"/>
        </w:rPr>
        <w:t xml:space="preserve">21.1 </w:t>
      </w:r>
      <w:r>
        <w:rPr>
          <w:rFonts w:hint="eastAsia" w:ascii="宋体" w:hAnsi="宋体" w:cs="宋体"/>
          <w:szCs w:val="21"/>
          <w:highlight w:val="none"/>
        </w:rPr>
        <w:t>比选申请人资格审查</w:t>
      </w:r>
    </w:p>
    <w:p>
      <w:pPr>
        <w:spacing w:line="500" w:lineRule="exact"/>
        <w:ind w:firstLine="420" w:firstLineChars="200"/>
        <w:rPr>
          <w:rFonts w:ascii="宋体" w:cs="宋体"/>
          <w:szCs w:val="21"/>
          <w:highlight w:val="none"/>
        </w:rPr>
      </w:pPr>
      <w:r>
        <w:rPr>
          <w:rFonts w:hint="eastAsia" w:ascii="宋体" w:hAnsi="宋体" w:cs="宋体"/>
          <w:szCs w:val="21"/>
          <w:highlight w:val="none"/>
        </w:rPr>
        <w:t>只有通过资格审查才能进入下一步的评比，资格审查资料有任何一项不合格者其资格审查视为不通过。</w:t>
      </w:r>
    </w:p>
    <w:p>
      <w:pPr>
        <w:spacing w:line="500" w:lineRule="exact"/>
        <w:ind w:firstLine="422" w:firstLineChars="200"/>
        <w:rPr>
          <w:rFonts w:ascii="宋体" w:cs="宋体"/>
          <w:b/>
          <w:szCs w:val="21"/>
          <w:highlight w:val="none"/>
        </w:rPr>
      </w:pPr>
      <w:r>
        <w:rPr>
          <w:rFonts w:ascii="宋体" w:hAnsi="宋体" w:cs="宋体"/>
          <w:b/>
          <w:szCs w:val="21"/>
          <w:highlight w:val="none"/>
        </w:rPr>
        <w:t xml:space="preserve">21.2 </w:t>
      </w:r>
      <w:r>
        <w:rPr>
          <w:rFonts w:hint="eastAsia" w:ascii="宋体" w:hAnsi="宋体" w:cs="宋体"/>
          <w:b/>
          <w:szCs w:val="21"/>
          <w:highlight w:val="none"/>
        </w:rPr>
        <w:t>比选申请人或其比选文件有下列情况之一者，其比选申请文件将视为无效或作废处理：</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rPr>
          <w:rFonts w:ascii="宋体" w:cs="宋体"/>
          <w:b/>
          <w:szCs w:val="21"/>
          <w:highlight w:val="none"/>
        </w:rPr>
      </w:pPr>
      <w:r>
        <w:rPr>
          <w:rFonts w:hint="eastAsia" w:ascii="宋体" w:hAnsi="宋体" w:cs="宋体"/>
          <w:b/>
          <w:szCs w:val="21"/>
          <w:highlight w:val="none"/>
        </w:rPr>
        <w:t>（</w:t>
      </w:r>
      <w:r>
        <w:rPr>
          <w:rFonts w:ascii="宋体" w:hAnsi="宋体" w:cs="宋体"/>
          <w:b/>
          <w:szCs w:val="21"/>
          <w:highlight w:val="none"/>
        </w:rPr>
        <w:t>1</w:t>
      </w:r>
      <w:r>
        <w:rPr>
          <w:rFonts w:hint="eastAsia" w:ascii="宋体" w:hAnsi="宋体" w:cs="宋体"/>
          <w:b/>
          <w:szCs w:val="21"/>
          <w:highlight w:val="none"/>
        </w:rPr>
        <w:t>）比选申请文件未按照规定的要求装订、密封和标记的；</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rPr>
          <w:rFonts w:ascii="宋体" w:cs="宋体"/>
          <w:b/>
          <w:szCs w:val="21"/>
          <w:highlight w:val="none"/>
        </w:rPr>
      </w:pPr>
      <w:r>
        <w:rPr>
          <w:rFonts w:hint="eastAsia" w:ascii="宋体" w:hAnsi="宋体" w:cs="宋体"/>
          <w:b/>
          <w:szCs w:val="21"/>
          <w:highlight w:val="none"/>
        </w:rPr>
        <w:t>（</w:t>
      </w:r>
      <w:r>
        <w:rPr>
          <w:rFonts w:ascii="宋体" w:hAnsi="宋体" w:cs="宋体"/>
          <w:b/>
          <w:szCs w:val="21"/>
          <w:highlight w:val="none"/>
        </w:rPr>
        <w:t>2</w:t>
      </w:r>
      <w:r>
        <w:rPr>
          <w:rFonts w:hint="eastAsia" w:ascii="宋体" w:hAnsi="宋体" w:cs="宋体"/>
          <w:b/>
          <w:szCs w:val="21"/>
          <w:highlight w:val="none"/>
        </w:rPr>
        <w:t>）本须知第</w:t>
      </w:r>
      <w:r>
        <w:rPr>
          <w:rFonts w:ascii="宋体" w:hAnsi="宋体" w:cs="宋体"/>
          <w:b/>
          <w:szCs w:val="21"/>
          <w:highlight w:val="none"/>
        </w:rPr>
        <w:t>11</w:t>
      </w:r>
      <w:r>
        <w:rPr>
          <w:rFonts w:hint="eastAsia" w:ascii="宋体" w:hAnsi="宋体" w:cs="宋体"/>
          <w:b/>
          <w:szCs w:val="21"/>
          <w:highlight w:val="none"/>
        </w:rPr>
        <w:t>条规定的比选申请文件有关内容未按本须知第</w:t>
      </w:r>
      <w:r>
        <w:rPr>
          <w:rFonts w:ascii="宋体" w:hAnsi="宋体" w:cs="宋体"/>
          <w:b/>
          <w:szCs w:val="21"/>
          <w:highlight w:val="none"/>
        </w:rPr>
        <w:t>15</w:t>
      </w:r>
      <w:r>
        <w:rPr>
          <w:rFonts w:hint="eastAsia" w:ascii="宋体" w:hAnsi="宋体" w:cs="宋体"/>
          <w:b/>
          <w:szCs w:val="21"/>
          <w:highlight w:val="none"/>
        </w:rPr>
        <w:t>条规定加盖比选申请人公章、未经比选申请人负责人或其委托代理人签字或盖章的；</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rPr>
          <w:rFonts w:ascii="宋体" w:cs="宋体"/>
          <w:b/>
          <w:szCs w:val="21"/>
          <w:highlight w:val="none"/>
        </w:rPr>
      </w:pPr>
      <w:r>
        <w:rPr>
          <w:rFonts w:hint="eastAsia" w:ascii="宋体" w:hAnsi="宋体" w:cs="宋体"/>
          <w:b/>
          <w:szCs w:val="21"/>
          <w:highlight w:val="none"/>
        </w:rPr>
        <w:t>（</w:t>
      </w:r>
      <w:r>
        <w:rPr>
          <w:rFonts w:ascii="宋体" w:hAnsi="宋体" w:cs="宋体"/>
          <w:b/>
          <w:szCs w:val="21"/>
          <w:highlight w:val="none"/>
        </w:rPr>
        <w:t>3</w:t>
      </w:r>
      <w:r>
        <w:rPr>
          <w:rFonts w:hint="eastAsia" w:ascii="宋体" w:hAnsi="宋体" w:cs="宋体"/>
          <w:b/>
          <w:szCs w:val="21"/>
          <w:highlight w:val="none"/>
        </w:rPr>
        <w:t>）不按本须知第</w:t>
      </w:r>
      <w:r>
        <w:rPr>
          <w:rFonts w:ascii="宋体" w:hAnsi="宋体" w:cs="宋体"/>
          <w:b/>
          <w:szCs w:val="21"/>
          <w:highlight w:val="none"/>
        </w:rPr>
        <w:t>11</w:t>
      </w:r>
      <w:r>
        <w:rPr>
          <w:rFonts w:hint="eastAsia" w:ascii="宋体" w:hAnsi="宋体" w:cs="宋体"/>
          <w:b/>
          <w:szCs w:val="21"/>
          <w:highlight w:val="none"/>
        </w:rPr>
        <w:t>条内容提供资料的；逾期递交比选申请文件的；</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rPr>
          <w:rFonts w:ascii="宋体" w:cs="宋体"/>
          <w:b/>
          <w:szCs w:val="21"/>
          <w:highlight w:val="none"/>
        </w:rPr>
      </w:pPr>
      <w:r>
        <w:rPr>
          <w:rFonts w:hint="eastAsia" w:ascii="宋体" w:hAnsi="宋体" w:cs="宋体"/>
          <w:b/>
          <w:szCs w:val="21"/>
          <w:highlight w:val="none"/>
        </w:rPr>
        <w:t>（</w:t>
      </w:r>
      <w:r>
        <w:rPr>
          <w:rFonts w:ascii="宋体" w:hAnsi="宋体" w:cs="宋体"/>
          <w:b/>
          <w:szCs w:val="21"/>
          <w:highlight w:val="none"/>
        </w:rPr>
        <w:t>4</w:t>
      </w:r>
      <w:r>
        <w:rPr>
          <w:rFonts w:hint="eastAsia" w:ascii="宋体" w:hAnsi="宋体" w:cs="宋体"/>
          <w:b/>
          <w:szCs w:val="21"/>
          <w:highlight w:val="none"/>
        </w:rPr>
        <w:t>）比选申请文件内容不真实的；</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rPr>
          <w:rFonts w:ascii="宋体" w:cs="宋体"/>
          <w:b/>
          <w:szCs w:val="21"/>
          <w:highlight w:val="none"/>
        </w:rPr>
      </w:pPr>
      <w:r>
        <w:rPr>
          <w:rFonts w:hint="eastAsia" w:ascii="宋体" w:hAnsi="宋体" w:cs="宋体"/>
          <w:b/>
          <w:szCs w:val="21"/>
          <w:highlight w:val="none"/>
        </w:rPr>
        <w:t>（</w:t>
      </w:r>
      <w:r>
        <w:rPr>
          <w:rFonts w:ascii="宋体" w:hAnsi="宋体" w:cs="宋体"/>
          <w:b/>
          <w:szCs w:val="21"/>
          <w:highlight w:val="none"/>
        </w:rPr>
        <w:t>5</w:t>
      </w:r>
      <w:r>
        <w:rPr>
          <w:rFonts w:hint="eastAsia" w:ascii="宋体" w:hAnsi="宋体" w:cs="宋体"/>
          <w:b/>
          <w:szCs w:val="21"/>
          <w:highlight w:val="none"/>
        </w:rPr>
        <w:t>）比选申请文件实质上没有响应比选文件的要求的（包括以下内容：比选项目所涉及的人员配置、业绩、价格、服务内容、合同条款等）；</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rPr>
          <w:rFonts w:hint="eastAsia" w:ascii="宋体" w:eastAsia="宋体"/>
          <w:szCs w:val="21"/>
          <w:highlight w:val="none"/>
          <w:lang w:val="en-US" w:eastAsia="zh-CN"/>
        </w:rPr>
      </w:pPr>
      <w:r>
        <w:rPr>
          <w:rFonts w:hint="eastAsia" w:ascii="宋体" w:hAnsi="宋体"/>
          <w:b/>
          <w:szCs w:val="21"/>
          <w:highlight w:val="none"/>
        </w:rPr>
        <w:t>（</w:t>
      </w:r>
      <w:r>
        <w:rPr>
          <w:rFonts w:ascii="宋体" w:hAnsi="宋体"/>
          <w:b/>
          <w:szCs w:val="21"/>
          <w:highlight w:val="none"/>
        </w:rPr>
        <w:t>6</w:t>
      </w:r>
      <w:r>
        <w:rPr>
          <w:rFonts w:hint="eastAsia" w:ascii="宋体" w:hAnsi="宋体"/>
          <w:b/>
          <w:szCs w:val="21"/>
          <w:highlight w:val="none"/>
        </w:rPr>
        <w:t>）比选申请人报价超过上控价的，比选申请文件作无效处理</w:t>
      </w:r>
      <w:r>
        <w:rPr>
          <w:rFonts w:hint="eastAsia" w:ascii="宋体" w:hAnsi="宋体"/>
          <w:b/>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rPr>
          <w:rFonts w:ascii="宋体" w:cs="宋体"/>
          <w:b/>
          <w:szCs w:val="21"/>
          <w:highlight w:val="none"/>
        </w:rPr>
      </w:pPr>
      <w:r>
        <w:rPr>
          <w:rFonts w:hint="eastAsia" w:ascii="宋体" w:hAnsi="宋体" w:cs="宋体"/>
          <w:b/>
          <w:szCs w:val="21"/>
          <w:highlight w:val="none"/>
        </w:rPr>
        <w:t>（</w:t>
      </w:r>
      <w:r>
        <w:rPr>
          <w:rFonts w:ascii="宋体" w:hAnsi="宋体" w:cs="宋体"/>
          <w:b/>
          <w:szCs w:val="21"/>
          <w:highlight w:val="none"/>
        </w:rPr>
        <w:t>7</w:t>
      </w:r>
      <w:r>
        <w:rPr>
          <w:rFonts w:hint="eastAsia" w:ascii="宋体" w:hAnsi="宋体" w:cs="宋体"/>
          <w:b/>
          <w:szCs w:val="21"/>
          <w:highlight w:val="none"/>
        </w:rPr>
        <w:t>）比选申请人不符合前附表第</w:t>
      </w:r>
      <w:r>
        <w:rPr>
          <w:rFonts w:ascii="宋体" w:hAnsi="宋体" w:cs="宋体"/>
          <w:b/>
          <w:szCs w:val="21"/>
          <w:highlight w:val="none"/>
        </w:rPr>
        <w:t>9</w:t>
      </w:r>
      <w:r>
        <w:rPr>
          <w:rFonts w:hint="eastAsia" w:ascii="宋体" w:hAnsi="宋体" w:cs="宋体"/>
          <w:b/>
          <w:szCs w:val="21"/>
          <w:highlight w:val="none"/>
        </w:rPr>
        <w:t>条所述资格要求或比选申请人符合前附表第</w:t>
      </w:r>
      <w:r>
        <w:rPr>
          <w:rFonts w:ascii="宋体" w:hAnsi="宋体" w:cs="宋体"/>
          <w:b/>
          <w:szCs w:val="21"/>
          <w:highlight w:val="none"/>
        </w:rPr>
        <w:t>9</w:t>
      </w:r>
      <w:r>
        <w:rPr>
          <w:rFonts w:hint="eastAsia" w:ascii="宋体" w:hAnsi="宋体" w:cs="宋体"/>
          <w:b/>
          <w:szCs w:val="21"/>
          <w:highlight w:val="none"/>
        </w:rPr>
        <w:t>条所述资格要求但就本比选项目分别提交两个（每个正本一份、副本四份）及以上的比选申请文件的。</w:t>
      </w:r>
    </w:p>
    <w:p>
      <w:pPr>
        <w:spacing w:line="500" w:lineRule="exact"/>
        <w:ind w:firstLine="420" w:firstLineChars="200"/>
        <w:rPr>
          <w:rFonts w:ascii="宋体" w:cs="宋体"/>
          <w:szCs w:val="21"/>
          <w:highlight w:val="none"/>
        </w:rPr>
      </w:pPr>
      <w:r>
        <w:rPr>
          <w:rFonts w:ascii="宋体" w:hAnsi="宋体" w:cs="宋体"/>
          <w:szCs w:val="21"/>
          <w:highlight w:val="none"/>
        </w:rPr>
        <w:t xml:space="preserve">21.3 </w:t>
      </w:r>
      <w:r>
        <w:rPr>
          <w:rFonts w:hint="eastAsia" w:ascii="宋体" w:hAnsi="宋体" w:cs="宋体"/>
          <w:szCs w:val="21"/>
          <w:highlight w:val="none"/>
        </w:rPr>
        <w:t>评比细则</w:t>
      </w:r>
    </w:p>
    <w:p>
      <w:pPr>
        <w:spacing w:line="500" w:lineRule="exact"/>
        <w:ind w:firstLine="420" w:firstLineChars="200"/>
        <w:rPr>
          <w:rFonts w:ascii="宋体" w:cs="宋体"/>
          <w:szCs w:val="21"/>
          <w:highlight w:val="none"/>
        </w:rPr>
      </w:pPr>
      <w:r>
        <w:rPr>
          <w:rFonts w:hint="eastAsia" w:ascii="宋体" w:hAnsi="宋体" w:cs="宋体"/>
          <w:szCs w:val="21"/>
          <w:highlight w:val="none"/>
        </w:rPr>
        <w:t>详见第四章。</w:t>
      </w:r>
    </w:p>
    <w:p>
      <w:pPr>
        <w:spacing w:line="500" w:lineRule="exact"/>
        <w:ind w:firstLine="420" w:firstLineChars="200"/>
        <w:rPr>
          <w:rFonts w:ascii="宋体" w:cs="宋体"/>
          <w:szCs w:val="21"/>
          <w:highlight w:val="none"/>
        </w:rPr>
      </w:pPr>
      <w:r>
        <w:rPr>
          <w:rFonts w:ascii="宋体" w:hAnsi="宋体" w:cs="宋体"/>
          <w:szCs w:val="21"/>
          <w:highlight w:val="none"/>
        </w:rPr>
        <w:t xml:space="preserve">21.4 </w:t>
      </w:r>
      <w:r>
        <w:rPr>
          <w:rFonts w:hint="eastAsia" w:ascii="宋体" w:hAnsi="宋体" w:cs="宋体"/>
          <w:szCs w:val="21"/>
          <w:highlight w:val="none"/>
        </w:rPr>
        <w:t>确定中选人</w:t>
      </w:r>
    </w:p>
    <w:p>
      <w:pPr>
        <w:spacing w:line="500" w:lineRule="exact"/>
        <w:ind w:firstLine="420" w:firstLineChars="200"/>
        <w:rPr>
          <w:rFonts w:ascii="宋体" w:cs="宋体"/>
          <w:szCs w:val="21"/>
          <w:highlight w:val="none"/>
        </w:rPr>
      </w:pPr>
      <w:r>
        <w:rPr>
          <w:rFonts w:hint="eastAsia" w:ascii="宋体" w:hAnsi="宋体" w:cs="宋体"/>
          <w:szCs w:val="21"/>
          <w:highlight w:val="none"/>
        </w:rPr>
        <w:t>评审小组将按照综合得分由低到高进行排序，得分最高的排名第一（当综合得分相同时</w:t>
      </w:r>
      <w:r>
        <w:rPr>
          <w:rFonts w:ascii="宋体" w:cs="宋体"/>
          <w:szCs w:val="21"/>
          <w:highlight w:val="none"/>
        </w:rPr>
        <w:t>,</w:t>
      </w:r>
      <w:r>
        <w:rPr>
          <w:rFonts w:hint="eastAsia" w:ascii="宋体" w:hAnsi="宋体" w:cs="宋体"/>
          <w:szCs w:val="21"/>
          <w:highlight w:val="none"/>
        </w:rPr>
        <w:t>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选条件的，比选发起人可以按照评审小组提出的中选候选人名单排序依次确定其他中选候选人为中选人，也可以重新比选。</w:t>
      </w:r>
    </w:p>
    <w:p>
      <w:pPr>
        <w:spacing w:line="500" w:lineRule="exact"/>
        <w:ind w:firstLine="420" w:firstLineChars="200"/>
        <w:rPr>
          <w:rFonts w:ascii="宋体" w:cs="宋体"/>
          <w:szCs w:val="21"/>
          <w:highlight w:val="none"/>
        </w:rPr>
      </w:pPr>
      <w:r>
        <w:rPr>
          <w:rFonts w:ascii="宋体" w:hAnsi="宋体" w:cs="宋体"/>
          <w:szCs w:val="21"/>
          <w:highlight w:val="none"/>
        </w:rPr>
        <w:t xml:space="preserve">21.5 </w:t>
      </w:r>
      <w:r>
        <w:rPr>
          <w:rFonts w:hint="eastAsia" w:ascii="宋体" w:hAnsi="宋体" w:cs="宋体"/>
          <w:szCs w:val="21"/>
          <w:highlight w:val="none"/>
        </w:rPr>
        <w:t>出现下列特殊情况之一，南宁轨道交通集团有限责任公司将重新组织比选：</w:t>
      </w:r>
    </w:p>
    <w:p>
      <w:pPr>
        <w:spacing w:line="500" w:lineRule="exact"/>
        <w:ind w:firstLine="420" w:firstLineChars="200"/>
        <w:rPr>
          <w:rFonts w:ascii="宋体" w:cs="宋体"/>
          <w:szCs w:val="21"/>
          <w:highlight w:val="none"/>
        </w:rPr>
      </w:pPr>
      <w:r>
        <w:rPr>
          <w:rFonts w:ascii="宋体" w:hAnsi="宋体" w:cs="宋体"/>
          <w:szCs w:val="21"/>
          <w:highlight w:val="none"/>
        </w:rPr>
        <w:t xml:space="preserve">21.5.1 </w:t>
      </w:r>
      <w:r>
        <w:rPr>
          <w:rFonts w:hint="eastAsia" w:ascii="宋体" w:hAnsi="宋体" w:cs="宋体"/>
          <w:szCs w:val="21"/>
          <w:highlight w:val="none"/>
        </w:rPr>
        <w:t>在比选申请文件递交截止时间到达时提交比选申请文件的比选申请人少于</w:t>
      </w:r>
      <w:r>
        <w:rPr>
          <w:rFonts w:ascii="宋体" w:hAnsi="宋体" w:cs="宋体"/>
          <w:szCs w:val="21"/>
          <w:highlight w:val="none"/>
        </w:rPr>
        <w:t>3</w:t>
      </w:r>
      <w:r>
        <w:rPr>
          <w:rFonts w:hint="eastAsia" w:ascii="宋体" w:hAnsi="宋体" w:cs="宋体"/>
          <w:szCs w:val="21"/>
          <w:highlight w:val="none"/>
        </w:rPr>
        <w:t>家的；</w:t>
      </w:r>
    </w:p>
    <w:p>
      <w:pPr>
        <w:spacing w:line="500" w:lineRule="exact"/>
        <w:ind w:firstLine="420" w:firstLineChars="200"/>
        <w:rPr>
          <w:rFonts w:ascii="宋体" w:cs="宋体"/>
          <w:szCs w:val="21"/>
          <w:highlight w:val="none"/>
        </w:rPr>
      </w:pPr>
      <w:r>
        <w:rPr>
          <w:rFonts w:ascii="宋体" w:hAnsi="宋体" w:cs="宋体"/>
          <w:szCs w:val="21"/>
          <w:highlight w:val="none"/>
        </w:rPr>
        <w:t xml:space="preserve">21.5.2 </w:t>
      </w:r>
      <w:r>
        <w:rPr>
          <w:rFonts w:hint="eastAsia" w:ascii="宋体" w:hAnsi="宋体" w:cs="宋体"/>
          <w:szCs w:val="21"/>
          <w:highlight w:val="none"/>
        </w:rPr>
        <w:t>在比选申请文件有效的比选申请人不足</w:t>
      </w:r>
      <w:r>
        <w:rPr>
          <w:rFonts w:ascii="宋体" w:hAnsi="宋体" w:cs="宋体"/>
          <w:szCs w:val="21"/>
          <w:highlight w:val="none"/>
        </w:rPr>
        <w:t>2</w:t>
      </w:r>
      <w:r>
        <w:rPr>
          <w:rFonts w:hint="eastAsia" w:ascii="宋体" w:hAnsi="宋体" w:cs="宋体"/>
          <w:szCs w:val="21"/>
          <w:highlight w:val="none"/>
        </w:rPr>
        <w:t>家，且评委认为没有竞争力的；</w:t>
      </w:r>
    </w:p>
    <w:p>
      <w:pPr>
        <w:spacing w:line="500" w:lineRule="exact"/>
        <w:ind w:firstLine="420" w:firstLineChars="200"/>
        <w:rPr>
          <w:rFonts w:ascii="宋体" w:cs="宋体"/>
          <w:szCs w:val="21"/>
          <w:highlight w:val="none"/>
        </w:rPr>
      </w:pPr>
      <w:r>
        <w:rPr>
          <w:rFonts w:ascii="宋体" w:hAnsi="宋体" w:cs="宋体"/>
          <w:szCs w:val="21"/>
          <w:highlight w:val="none"/>
        </w:rPr>
        <w:t xml:space="preserve">21.5.3 </w:t>
      </w:r>
      <w:r>
        <w:rPr>
          <w:rFonts w:hint="eastAsia" w:ascii="宋体" w:hAnsi="宋体" w:cs="宋体"/>
          <w:szCs w:val="21"/>
          <w:highlight w:val="none"/>
        </w:rPr>
        <w:t>有效比选申请文件只有</w:t>
      </w:r>
      <w:r>
        <w:rPr>
          <w:rFonts w:ascii="宋体" w:hAnsi="宋体" w:cs="宋体"/>
          <w:szCs w:val="21"/>
          <w:highlight w:val="none"/>
        </w:rPr>
        <w:t>1</w:t>
      </w:r>
      <w:r>
        <w:rPr>
          <w:rFonts w:hint="eastAsia" w:ascii="宋体" w:hAnsi="宋体" w:cs="宋体"/>
          <w:szCs w:val="21"/>
          <w:highlight w:val="none"/>
        </w:rPr>
        <w:t>家或</w:t>
      </w:r>
      <w:r>
        <w:rPr>
          <w:rFonts w:ascii="宋体" w:cs="宋体"/>
          <w:szCs w:val="21"/>
          <w:highlight w:val="none"/>
        </w:rPr>
        <w:t>0</w:t>
      </w:r>
      <w:r>
        <w:rPr>
          <w:rFonts w:hint="eastAsia" w:ascii="宋体" w:hAnsi="宋体" w:cs="宋体"/>
          <w:szCs w:val="21"/>
          <w:highlight w:val="none"/>
        </w:rPr>
        <w:t>家的。</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2"/>
        <w:rPr>
          <w:rFonts w:ascii="宋体" w:cs="宋体"/>
          <w:b/>
          <w:szCs w:val="21"/>
          <w:highlight w:val="none"/>
        </w:rPr>
      </w:pPr>
      <w:bookmarkStart w:id="255" w:name="_Toc286386861"/>
      <w:bookmarkStart w:id="256" w:name="_Toc114052377"/>
      <w:bookmarkStart w:id="257" w:name="_Toc310318599"/>
      <w:bookmarkStart w:id="258" w:name="_Toc114052441"/>
      <w:r>
        <w:rPr>
          <w:rFonts w:ascii="宋体" w:hAnsi="宋体" w:cs="宋体"/>
          <w:b/>
          <w:szCs w:val="21"/>
          <w:highlight w:val="none"/>
        </w:rPr>
        <w:t>22.</w:t>
      </w:r>
      <w:r>
        <w:rPr>
          <w:rFonts w:hint="eastAsia" w:ascii="宋体" w:hAnsi="宋体" w:cs="宋体"/>
          <w:b/>
          <w:szCs w:val="21"/>
          <w:highlight w:val="none"/>
        </w:rPr>
        <w:t>评比结果公示</w:t>
      </w:r>
      <w:bookmarkEnd w:id="255"/>
      <w:bookmarkEnd w:id="256"/>
      <w:bookmarkEnd w:id="257"/>
      <w:bookmarkEnd w:id="258"/>
    </w:p>
    <w:p>
      <w:pPr>
        <w:spacing w:line="500" w:lineRule="exact"/>
        <w:ind w:firstLine="420" w:firstLineChars="200"/>
        <w:rPr>
          <w:rFonts w:ascii="宋体" w:cs="宋体"/>
          <w:szCs w:val="21"/>
          <w:highlight w:val="none"/>
        </w:rPr>
      </w:pPr>
      <w:r>
        <w:rPr>
          <w:rFonts w:ascii="宋体" w:hAnsi="宋体" w:cs="宋体"/>
          <w:szCs w:val="21"/>
          <w:highlight w:val="none"/>
        </w:rPr>
        <w:t xml:space="preserve">22.1 </w:t>
      </w:r>
      <w:r>
        <w:rPr>
          <w:rFonts w:hint="eastAsia" w:ascii="宋体" w:hAnsi="宋体" w:cs="宋体"/>
          <w:szCs w:val="21"/>
          <w:highlight w:val="none"/>
        </w:rPr>
        <w:t>在评比结束后，比选人将在南宁轨道交通集团有限责任公司官网</w:t>
      </w:r>
      <w:r>
        <w:rPr>
          <w:rFonts w:ascii="宋体" w:hAnsi="宋体" w:cs="宋体"/>
          <w:szCs w:val="21"/>
          <w:highlight w:val="none"/>
        </w:rPr>
        <w:t>(http://www.nngdjt.com/)</w:t>
      </w:r>
      <w:r>
        <w:rPr>
          <w:rFonts w:hint="eastAsia" w:ascii="宋体" w:hAnsi="宋体" w:cs="宋体"/>
          <w:szCs w:val="21"/>
          <w:highlight w:val="none"/>
        </w:rPr>
        <w:t>的招标招商中的中标信息处公示评比结果。</w:t>
      </w:r>
    </w:p>
    <w:p>
      <w:pPr>
        <w:spacing w:line="500" w:lineRule="exact"/>
        <w:ind w:firstLine="315" w:firstLineChars="150"/>
        <w:rPr>
          <w:rFonts w:ascii="宋体" w:cs="宋体"/>
          <w:szCs w:val="21"/>
          <w:highlight w:val="none"/>
        </w:rPr>
      </w:pPr>
      <w:r>
        <w:rPr>
          <w:rFonts w:ascii="宋体" w:hAnsi="宋体" w:cs="宋体"/>
          <w:szCs w:val="21"/>
          <w:highlight w:val="none"/>
        </w:rPr>
        <w:t xml:space="preserve">22.2 </w:t>
      </w:r>
      <w:r>
        <w:rPr>
          <w:rFonts w:hint="eastAsia" w:ascii="宋体" w:hAnsi="宋体" w:cs="宋体"/>
          <w:szCs w:val="21"/>
          <w:highlight w:val="none"/>
        </w:rPr>
        <w:t>比选申请人如对评比结果有异议，在评比结果公示</w:t>
      </w:r>
      <w:r>
        <w:rPr>
          <w:rFonts w:ascii="宋体" w:hAnsi="宋体" w:cs="宋体"/>
          <w:szCs w:val="21"/>
          <w:highlight w:val="none"/>
        </w:rPr>
        <w:t>3</w:t>
      </w:r>
      <w:r>
        <w:rPr>
          <w:rFonts w:hint="eastAsia" w:ascii="宋体" w:hAnsi="宋体" w:cs="宋体"/>
          <w:szCs w:val="21"/>
          <w:highlight w:val="none"/>
        </w:rPr>
        <w:t>天内，可以书面形式向比选人提出质疑。比选人应当在收到比选申请人的书面质疑后</w:t>
      </w:r>
      <w:r>
        <w:rPr>
          <w:rFonts w:ascii="宋体" w:hAnsi="宋体" w:cs="宋体"/>
          <w:szCs w:val="21"/>
          <w:highlight w:val="none"/>
        </w:rPr>
        <w:t>5</w:t>
      </w:r>
      <w:r>
        <w:rPr>
          <w:rFonts w:hint="eastAsia" w:ascii="宋体" w:hAnsi="宋体" w:cs="宋体"/>
          <w:szCs w:val="21"/>
          <w:highlight w:val="none"/>
        </w:rPr>
        <w:t>个工作日内做出答复，但答复的内容不得涉及商业秘密。</w:t>
      </w:r>
    </w:p>
    <w:p>
      <w:pPr>
        <w:pStyle w:val="4"/>
        <w:spacing w:beforeLines="50" w:afterLines="50" w:line="500" w:lineRule="exact"/>
        <w:jc w:val="center"/>
        <w:rPr>
          <w:b/>
          <w:sz w:val="21"/>
          <w:szCs w:val="21"/>
          <w:highlight w:val="none"/>
        </w:rPr>
      </w:pPr>
      <w:bookmarkStart w:id="259" w:name="_Toc20403"/>
      <w:bookmarkStart w:id="260" w:name="_Toc461525303"/>
      <w:bookmarkStart w:id="261" w:name="_Toc16935"/>
      <w:bookmarkStart w:id="262" w:name="_Toc5074"/>
      <w:bookmarkStart w:id="263" w:name="_Toc16746"/>
      <w:bookmarkStart w:id="264" w:name="_Toc15810"/>
      <w:bookmarkStart w:id="265" w:name="_Toc4410"/>
      <w:bookmarkStart w:id="266" w:name="_Toc13919"/>
      <w:bookmarkStart w:id="267" w:name="_Toc529"/>
      <w:bookmarkStart w:id="268" w:name="_Toc28390"/>
      <w:bookmarkStart w:id="269" w:name="_Toc6141"/>
      <w:bookmarkStart w:id="270" w:name="_Toc30023"/>
      <w:bookmarkStart w:id="271" w:name="_Toc8363"/>
      <w:bookmarkStart w:id="272" w:name="_Toc17996"/>
      <w:bookmarkStart w:id="273" w:name="_Toc12010"/>
      <w:bookmarkStart w:id="274" w:name="_Toc24316"/>
      <w:bookmarkStart w:id="275" w:name="_Toc471482367"/>
      <w:bookmarkStart w:id="276" w:name="_Toc7357"/>
      <w:bookmarkStart w:id="277" w:name="_Toc19549"/>
      <w:bookmarkStart w:id="278" w:name="_Toc24212"/>
      <w:bookmarkStart w:id="279" w:name="_Toc12149"/>
      <w:bookmarkStart w:id="280" w:name="_Toc4943"/>
      <w:r>
        <w:rPr>
          <w:rFonts w:hint="eastAsia"/>
          <w:b/>
          <w:sz w:val="21"/>
          <w:szCs w:val="21"/>
          <w:highlight w:val="none"/>
        </w:rPr>
        <w:t>七、授予合同</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2"/>
        <w:rPr>
          <w:rFonts w:ascii="宋体" w:cs="宋体"/>
          <w:szCs w:val="21"/>
          <w:highlight w:val="none"/>
        </w:rPr>
      </w:pPr>
      <w:r>
        <w:rPr>
          <w:rFonts w:ascii="宋体" w:hAnsi="宋体" w:cs="宋体"/>
          <w:b/>
          <w:szCs w:val="21"/>
          <w:highlight w:val="none"/>
        </w:rPr>
        <w:t>23.</w:t>
      </w:r>
      <w:r>
        <w:rPr>
          <w:rFonts w:hint="eastAsia" w:ascii="宋体" w:hAnsi="宋体" w:cs="宋体"/>
          <w:b/>
          <w:szCs w:val="21"/>
          <w:highlight w:val="none"/>
        </w:rPr>
        <w:t>中选通知书</w:t>
      </w:r>
    </w:p>
    <w:p>
      <w:pPr>
        <w:spacing w:line="460" w:lineRule="exact"/>
        <w:ind w:firstLine="420" w:firstLineChars="200"/>
        <w:rPr>
          <w:rFonts w:ascii="宋体" w:cs="宋体"/>
          <w:szCs w:val="21"/>
          <w:highlight w:val="none"/>
        </w:rPr>
      </w:pPr>
      <w:r>
        <w:rPr>
          <w:rFonts w:ascii="宋体" w:hAnsi="宋体" w:cs="宋体"/>
          <w:szCs w:val="21"/>
          <w:highlight w:val="none"/>
        </w:rPr>
        <w:t xml:space="preserve">23.1 </w:t>
      </w:r>
      <w:r>
        <w:rPr>
          <w:rFonts w:hint="eastAsia" w:ascii="宋体" w:hAnsi="宋体" w:cs="宋体"/>
          <w:szCs w:val="21"/>
          <w:highlight w:val="none"/>
        </w:rPr>
        <w:t>比选人将向中选人发出中选通知书。</w:t>
      </w:r>
    </w:p>
    <w:p>
      <w:pPr>
        <w:spacing w:line="460" w:lineRule="exact"/>
        <w:ind w:firstLine="420" w:firstLineChars="200"/>
        <w:rPr>
          <w:rFonts w:ascii="宋体" w:cs="宋体"/>
          <w:szCs w:val="21"/>
          <w:highlight w:val="none"/>
        </w:rPr>
      </w:pPr>
      <w:r>
        <w:rPr>
          <w:rFonts w:ascii="宋体" w:hAnsi="宋体" w:cs="宋体"/>
          <w:szCs w:val="21"/>
          <w:highlight w:val="none"/>
        </w:rPr>
        <w:t xml:space="preserve">23.2 </w:t>
      </w:r>
      <w:r>
        <w:rPr>
          <w:rFonts w:hint="eastAsia" w:ascii="宋体" w:hAnsi="宋体" w:cs="宋体"/>
          <w:szCs w:val="21"/>
          <w:highlight w:val="none"/>
        </w:rPr>
        <w:t>比选人无义务向落选的比选申请人解释落选原因和退还比选申请文件。</w:t>
      </w:r>
    </w:p>
    <w:p>
      <w:pPr>
        <w:spacing w:line="460" w:lineRule="exact"/>
        <w:ind w:firstLine="420" w:firstLineChars="200"/>
        <w:rPr>
          <w:rFonts w:ascii="宋体" w:cs="宋体"/>
          <w:szCs w:val="21"/>
          <w:highlight w:val="none"/>
        </w:rPr>
      </w:pPr>
      <w:r>
        <w:rPr>
          <w:rFonts w:ascii="宋体" w:hAnsi="宋体" w:cs="宋体"/>
          <w:szCs w:val="21"/>
          <w:highlight w:val="none"/>
        </w:rPr>
        <w:t xml:space="preserve">23.3 </w:t>
      </w:r>
      <w:r>
        <w:rPr>
          <w:rFonts w:hint="eastAsia" w:ascii="宋体" w:hAnsi="宋体" w:cs="宋体"/>
          <w:szCs w:val="21"/>
          <w:highlight w:val="none"/>
        </w:rPr>
        <w:t>中选通知书作为合同的组成部分。</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2"/>
        <w:rPr>
          <w:rFonts w:ascii="宋体" w:cs="宋体"/>
          <w:b/>
          <w:szCs w:val="21"/>
          <w:highlight w:val="none"/>
        </w:rPr>
      </w:pPr>
      <w:r>
        <w:rPr>
          <w:rFonts w:ascii="宋体" w:hAnsi="宋体" w:cs="宋体"/>
          <w:b/>
          <w:szCs w:val="21"/>
          <w:highlight w:val="none"/>
        </w:rPr>
        <w:t>24.</w:t>
      </w:r>
      <w:r>
        <w:rPr>
          <w:rFonts w:hint="eastAsia" w:ascii="宋体" w:hAnsi="宋体" w:cs="宋体"/>
          <w:b/>
          <w:szCs w:val="21"/>
          <w:highlight w:val="none"/>
        </w:rPr>
        <w:t>合同的签署</w:t>
      </w:r>
    </w:p>
    <w:p>
      <w:pPr>
        <w:spacing w:line="460" w:lineRule="exact"/>
        <w:ind w:firstLine="420" w:firstLineChars="200"/>
        <w:jc w:val="center"/>
        <w:rPr>
          <w:rFonts w:hint="eastAsia" w:ascii="宋体" w:hAnsi="宋体" w:cs="宋体"/>
          <w:szCs w:val="21"/>
          <w:highlight w:val="none"/>
        </w:rPr>
      </w:pPr>
      <w:r>
        <w:rPr>
          <w:rFonts w:ascii="宋体" w:hAnsi="宋体" w:cs="宋体"/>
          <w:szCs w:val="21"/>
          <w:highlight w:val="none"/>
        </w:rPr>
        <w:t>24.1</w:t>
      </w:r>
      <w:r>
        <w:rPr>
          <w:rFonts w:hint="eastAsia" w:ascii="宋体" w:hAnsi="宋体" w:cs="宋体"/>
          <w:szCs w:val="21"/>
          <w:highlight w:val="none"/>
        </w:rPr>
        <w:t>中选人收到中选通知书后</w:t>
      </w:r>
      <w:r>
        <w:rPr>
          <w:rFonts w:ascii="宋体" w:hAnsi="宋体" w:cs="宋体"/>
          <w:szCs w:val="21"/>
          <w:highlight w:val="none"/>
        </w:rPr>
        <w:t>20</w:t>
      </w:r>
      <w:r>
        <w:rPr>
          <w:rFonts w:hint="eastAsia" w:ascii="宋体" w:hAnsi="宋体" w:cs="宋体"/>
          <w:szCs w:val="21"/>
          <w:highlight w:val="none"/>
        </w:rPr>
        <w:t>日内，中选单位法定代表人或授权代理人与比选发起人联系办理合同签订事宜。若逾期比选发起人有权取消其中选资格，并选择评审排名次之的比选申请人为本项目中选人；中选的比选申请人若因自己的原因不能履约签订合同，比选发起人将取消其中选资格并且</w:t>
      </w:r>
    </w:p>
    <w:p>
      <w:pPr>
        <w:spacing w:line="460" w:lineRule="exact"/>
        <w:jc w:val="both"/>
        <w:rPr>
          <w:rFonts w:ascii="宋体"/>
          <w:b/>
          <w:bCs/>
          <w:sz w:val="28"/>
          <w:szCs w:val="28"/>
          <w:highlight w:val="none"/>
        </w:rPr>
      </w:pPr>
      <w:r>
        <w:rPr>
          <w:rFonts w:hint="eastAsia" w:ascii="宋体" w:hAnsi="宋体" w:cs="宋体"/>
          <w:szCs w:val="21"/>
          <w:highlight w:val="none"/>
        </w:rPr>
        <w:t>列为不诚信单位，并在后续排名中选候选人中依次向上递补确定中选人或重新比选确定中选人。</w:t>
      </w:r>
      <w:r>
        <w:rPr>
          <w:rFonts w:ascii="楷体_GB2312" w:eastAsia="楷体_GB2312"/>
          <w:b/>
          <w:sz w:val="24"/>
          <w:highlight w:val="none"/>
        </w:rPr>
        <w:br w:type="page"/>
      </w:r>
      <w:bookmarkStart w:id="281" w:name="_Toc11246"/>
      <w:bookmarkStart w:id="282" w:name="_Toc3339"/>
      <w:bookmarkStart w:id="283" w:name="_Toc19761"/>
      <w:bookmarkStart w:id="284" w:name="_Toc535961544"/>
      <w:bookmarkStart w:id="285" w:name="_Toc4447"/>
      <w:bookmarkStart w:id="286" w:name="_Toc30996"/>
      <w:bookmarkStart w:id="287" w:name="_Toc23613"/>
      <w:bookmarkStart w:id="288" w:name="_Toc7444"/>
      <w:bookmarkStart w:id="289" w:name="_Toc461525304"/>
      <w:bookmarkStart w:id="290" w:name="_Toc5964"/>
      <w:bookmarkStart w:id="291" w:name="_Toc21358"/>
      <w:bookmarkStart w:id="292" w:name="_Toc4769"/>
      <w:bookmarkStart w:id="293" w:name="_Toc16062"/>
      <w:bookmarkStart w:id="294" w:name="_Toc471482368"/>
      <w:bookmarkStart w:id="295" w:name="_Toc31070"/>
      <w:bookmarkStart w:id="296" w:name="_Toc2960"/>
      <w:bookmarkStart w:id="297" w:name="_Toc12854"/>
      <w:bookmarkStart w:id="298" w:name="_Toc1354"/>
      <w:bookmarkStart w:id="299" w:name="_Toc21670"/>
      <w:bookmarkStart w:id="300" w:name="_Toc7234"/>
      <w:bookmarkStart w:id="301" w:name="_Toc333307121"/>
      <w:r>
        <w:rPr>
          <w:rFonts w:hint="eastAsia" w:ascii="宋体" w:hAnsi="宋体"/>
          <w:b/>
          <w:bCs/>
          <w:sz w:val="28"/>
          <w:szCs w:val="28"/>
          <w:highlight w:val="none"/>
        </w:rPr>
        <w:t>第二章</w:t>
      </w:r>
      <w:bookmarkStart w:id="302" w:name="_Toc392862509"/>
      <w:r>
        <w:rPr>
          <w:rFonts w:ascii="宋体" w:hAnsi="宋体"/>
          <w:b/>
          <w:bCs/>
          <w:sz w:val="28"/>
          <w:szCs w:val="28"/>
          <w:highlight w:val="none"/>
        </w:rPr>
        <w:t xml:space="preserve"> </w:t>
      </w:r>
      <w:r>
        <w:rPr>
          <w:rFonts w:hint="eastAsia" w:ascii="宋体" w:hAnsi="宋体"/>
          <w:b/>
          <w:bCs/>
          <w:sz w:val="28"/>
          <w:szCs w:val="28"/>
          <w:highlight w:val="none"/>
        </w:rPr>
        <w:t>合同条款（格式）</w:t>
      </w:r>
      <w:bookmarkEnd w:id="281"/>
      <w:bookmarkEnd w:id="282"/>
      <w:bookmarkEnd w:id="283"/>
      <w:bookmarkEnd w:id="284"/>
      <w:bookmarkEnd w:id="285"/>
      <w:bookmarkEnd w:id="286"/>
      <w:bookmarkEnd w:id="287"/>
      <w:bookmarkEnd w:id="288"/>
    </w:p>
    <w:bookmarkEnd w:id="302"/>
    <w:p>
      <w:pPr>
        <w:widowControl/>
        <w:spacing w:line="600" w:lineRule="exact"/>
        <w:jc w:val="center"/>
        <w:rPr>
          <w:rFonts w:ascii="宋体"/>
          <w:bCs/>
          <w:sz w:val="28"/>
          <w:highlight w:val="none"/>
        </w:rPr>
      </w:pPr>
    </w:p>
    <w:p>
      <w:pPr>
        <w:widowControl/>
        <w:spacing w:line="600" w:lineRule="exact"/>
        <w:jc w:val="center"/>
        <w:rPr>
          <w:rFonts w:hint="eastAsia" w:ascii="宋体" w:eastAsia="宋体"/>
          <w:b/>
          <w:sz w:val="44"/>
          <w:szCs w:val="44"/>
          <w:highlight w:val="none"/>
          <w:lang w:val="en-US" w:eastAsia="zh-CN"/>
        </w:rPr>
      </w:pPr>
      <w:r>
        <w:rPr>
          <w:rFonts w:hint="eastAsia" w:ascii="宋体" w:hAnsi="宋体"/>
          <w:b/>
          <w:sz w:val="44"/>
          <w:szCs w:val="44"/>
          <w:highlight w:val="none"/>
          <w:lang w:eastAsia="zh-CN"/>
        </w:rPr>
        <w:t>南宁轨道交通运营有限公司2021年至2022年物资管理内控建设及执行情况</w:t>
      </w:r>
      <w:r>
        <w:rPr>
          <w:rFonts w:hint="eastAsia" w:ascii="宋体" w:hAnsi="宋体"/>
          <w:b/>
          <w:sz w:val="44"/>
          <w:szCs w:val="44"/>
          <w:highlight w:val="none"/>
        </w:rPr>
        <w:t>专项审计</w:t>
      </w:r>
      <w:r>
        <w:rPr>
          <w:rFonts w:hint="eastAsia" w:ascii="宋体" w:hAnsi="宋体"/>
          <w:b/>
          <w:sz w:val="44"/>
          <w:szCs w:val="44"/>
          <w:highlight w:val="none"/>
          <w:lang w:val="en-US" w:eastAsia="zh-CN"/>
        </w:rPr>
        <w:t>项目</w:t>
      </w:r>
    </w:p>
    <w:tbl>
      <w:tblPr>
        <w:tblStyle w:val="26"/>
        <w:tblpPr w:leftFromText="180" w:rightFromText="180" w:vertAnchor="text" w:horzAnchor="page" w:tblpX="2742" w:tblpY="435"/>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1869" w:type="dxa"/>
          </w:tcPr>
          <w:p>
            <w:pPr>
              <w:keepNext w:val="0"/>
              <w:keepLines w:val="0"/>
              <w:pageBreakBefore w:val="0"/>
              <w:widowControl w:val="0"/>
              <w:kinsoku/>
              <w:wordWrap/>
              <w:overflowPunct/>
              <w:topLinePunct w:val="0"/>
              <w:autoSpaceDE/>
              <w:autoSpaceDN/>
              <w:bidi w:val="0"/>
              <w:adjustRightInd/>
              <w:snapToGrid w:val="0"/>
              <w:spacing w:afterAutospacing="0" w:line="540" w:lineRule="exact"/>
              <w:jc w:val="center"/>
              <w:textAlignment w:val="baseline"/>
              <w:rPr>
                <w:rFonts w:ascii="宋体" w:hAnsi="宋体"/>
                <w:color w:val="000000"/>
                <w:sz w:val="28"/>
                <w:szCs w:val="30"/>
                <w:highlight w:val="none"/>
              </w:rPr>
            </w:pPr>
            <w:r>
              <w:rPr>
                <w:rFonts w:hint="eastAsia" w:ascii="宋体" w:hAnsi="宋体"/>
                <w:color w:val="000000"/>
                <w:sz w:val="28"/>
                <w:szCs w:val="30"/>
                <w:highlight w:val="none"/>
              </w:rPr>
              <w:t>项目编号：</w:t>
            </w:r>
          </w:p>
        </w:tc>
        <w:tc>
          <w:tcPr>
            <w:tcW w:w="4761" w:type="dxa"/>
          </w:tcPr>
          <w:p>
            <w:pPr>
              <w:keepNext w:val="0"/>
              <w:keepLines w:val="0"/>
              <w:pageBreakBefore w:val="0"/>
              <w:widowControl w:val="0"/>
              <w:kinsoku/>
              <w:wordWrap/>
              <w:overflowPunct/>
              <w:topLinePunct w:val="0"/>
              <w:autoSpaceDE/>
              <w:autoSpaceDN/>
              <w:bidi w:val="0"/>
              <w:adjustRightInd/>
              <w:snapToGrid w:val="0"/>
              <w:spacing w:afterAutospacing="0" w:line="540" w:lineRule="exact"/>
              <w:jc w:val="center"/>
              <w:textAlignment w:val="baseline"/>
              <w:rPr>
                <w:rFonts w:ascii="宋体" w:hAnsi="宋体"/>
                <w:color w:val="000000"/>
                <w:sz w:val="28"/>
                <w:szCs w:val="3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trPr>
        <w:tc>
          <w:tcPr>
            <w:tcW w:w="1869" w:type="dxa"/>
          </w:tcPr>
          <w:p>
            <w:pPr>
              <w:keepNext w:val="0"/>
              <w:keepLines w:val="0"/>
              <w:pageBreakBefore w:val="0"/>
              <w:widowControl w:val="0"/>
              <w:kinsoku/>
              <w:wordWrap/>
              <w:overflowPunct/>
              <w:topLinePunct w:val="0"/>
              <w:autoSpaceDE/>
              <w:autoSpaceDN/>
              <w:bidi w:val="0"/>
              <w:adjustRightInd/>
              <w:snapToGrid w:val="0"/>
              <w:spacing w:afterAutospacing="0" w:line="540" w:lineRule="exact"/>
              <w:jc w:val="center"/>
              <w:textAlignment w:val="baseline"/>
              <w:rPr>
                <w:rFonts w:ascii="宋体" w:hAnsi="宋体"/>
                <w:color w:val="000000"/>
                <w:sz w:val="28"/>
                <w:szCs w:val="30"/>
                <w:highlight w:val="none"/>
              </w:rPr>
            </w:pPr>
            <w:r>
              <w:rPr>
                <w:rFonts w:hint="eastAsia" w:ascii="宋体" w:hAnsi="宋体"/>
                <w:color w:val="000000"/>
                <w:sz w:val="28"/>
                <w:szCs w:val="30"/>
                <w:highlight w:val="none"/>
              </w:rPr>
              <w:t>合同编号：</w:t>
            </w:r>
          </w:p>
        </w:tc>
        <w:tc>
          <w:tcPr>
            <w:tcW w:w="4761" w:type="dxa"/>
          </w:tcPr>
          <w:p>
            <w:pPr>
              <w:keepNext w:val="0"/>
              <w:keepLines w:val="0"/>
              <w:pageBreakBefore w:val="0"/>
              <w:widowControl w:val="0"/>
              <w:kinsoku/>
              <w:wordWrap/>
              <w:overflowPunct/>
              <w:topLinePunct w:val="0"/>
              <w:autoSpaceDE/>
              <w:autoSpaceDN/>
              <w:bidi w:val="0"/>
              <w:adjustRightInd/>
              <w:snapToGrid w:val="0"/>
              <w:spacing w:afterAutospacing="0" w:line="540" w:lineRule="exact"/>
              <w:jc w:val="center"/>
              <w:textAlignment w:val="baseline"/>
              <w:rPr>
                <w:rFonts w:ascii="宋体" w:hAnsi="宋体"/>
                <w:color w:val="000000"/>
                <w:sz w:val="28"/>
                <w:szCs w:val="30"/>
                <w:highlight w:val="none"/>
              </w:rPr>
            </w:pPr>
          </w:p>
        </w:tc>
      </w:tr>
    </w:tbl>
    <w:p>
      <w:pPr>
        <w:spacing w:line="360" w:lineRule="auto"/>
        <w:jc w:val="center"/>
        <w:rPr>
          <w:rFonts w:ascii="宋体"/>
          <w:b/>
          <w:bCs/>
          <w:sz w:val="44"/>
          <w:highlight w:val="none"/>
        </w:rPr>
      </w:pPr>
    </w:p>
    <w:p>
      <w:pPr>
        <w:spacing w:line="360" w:lineRule="auto"/>
        <w:jc w:val="center"/>
        <w:rPr>
          <w:rFonts w:ascii="宋体"/>
          <w:b/>
          <w:bCs/>
          <w:sz w:val="44"/>
          <w:highlight w:val="none"/>
        </w:rPr>
      </w:pPr>
    </w:p>
    <w:p>
      <w:pPr>
        <w:spacing w:line="360" w:lineRule="auto"/>
        <w:ind w:firstLine="3507" w:firstLineChars="794"/>
        <w:rPr>
          <w:rFonts w:ascii="宋体"/>
          <w:b/>
          <w:bCs/>
          <w:sz w:val="44"/>
          <w:highlight w:val="none"/>
        </w:rPr>
      </w:pPr>
    </w:p>
    <w:p>
      <w:pPr>
        <w:snapToGrid w:val="0"/>
        <w:spacing w:after="312" w:afterAutospacing="0" w:line="800" w:lineRule="exact"/>
        <w:ind w:left="2443" w:right="-28" w:hanging="2443" w:hangingChars="338"/>
        <w:jc w:val="center"/>
        <w:textAlignment w:val="baseline"/>
        <w:rPr>
          <w:rFonts w:ascii="楷体_GB2312" w:eastAsia="楷体_GB2312"/>
          <w:b/>
          <w:color w:val="000000"/>
          <w:sz w:val="72"/>
          <w:szCs w:val="52"/>
          <w:highlight w:val="none"/>
        </w:rPr>
      </w:pPr>
      <w:r>
        <w:rPr>
          <w:rFonts w:hint="eastAsia"/>
          <w:b/>
          <w:color w:val="000000"/>
          <w:sz w:val="72"/>
          <w:szCs w:val="52"/>
          <w:highlight w:val="none"/>
        </w:rPr>
        <w:t>合</w:t>
      </w:r>
    </w:p>
    <w:p>
      <w:pPr>
        <w:snapToGrid w:val="0"/>
        <w:spacing w:after="312" w:afterAutospacing="0" w:line="800" w:lineRule="exact"/>
        <w:ind w:left="2443" w:right="-28" w:hanging="2443" w:hangingChars="338"/>
        <w:jc w:val="center"/>
        <w:textAlignment w:val="baseline"/>
        <w:rPr>
          <w:rFonts w:ascii="宋体" w:hAnsi="宋体"/>
          <w:b/>
          <w:color w:val="000000"/>
          <w:sz w:val="72"/>
          <w:szCs w:val="52"/>
          <w:highlight w:val="none"/>
        </w:rPr>
      </w:pPr>
      <w:r>
        <w:rPr>
          <w:rFonts w:hint="eastAsia"/>
          <w:b/>
          <w:color w:val="000000"/>
          <w:sz w:val="72"/>
          <w:szCs w:val="52"/>
          <w:highlight w:val="none"/>
        </w:rPr>
        <w:t>同</w:t>
      </w:r>
    </w:p>
    <w:p>
      <w:pPr>
        <w:snapToGrid w:val="0"/>
        <w:spacing w:after="312" w:afterAutospacing="0" w:line="800" w:lineRule="exact"/>
        <w:ind w:left="2443" w:right="-28" w:hanging="2443" w:hangingChars="338"/>
        <w:jc w:val="center"/>
        <w:textAlignment w:val="baseline"/>
        <w:rPr>
          <w:b/>
          <w:color w:val="000000"/>
          <w:sz w:val="72"/>
          <w:szCs w:val="52"/>
          <w:highlight w:val="none"/>
        </w:rPr>
      </w:pPr>
      <w:r>
        <w:rPr>
          <w:rFonts w:hint="eastAsia"/>
          <w:b/>
          <w:color w:val="000000"/>
          <w:sz w:val="72"/>
          <w:szCs w:val="52"/>
          <w:highlight w:val="none"/>
        </w:rPr>
        <w:t>书</w:t>
      </w:r>
    </w:p>
    <w:p>
      <w:pPr>
        <w:spacing w:line="360" w:lineRule="auto"/>
        <w:jc w:val="center"/>
        <w:rPr>
          <w:rFonts w:ascii="宋体"/>
          <w:b/>
          <w:bCs/>
          <w:sz w:val="44"/>
          <w:highlight w:val="none"/>
        </w:rPr>
      </w:pPr>
      <w:r>
        <w:rPr>
          <w:rFonts w:hint="eastAsia" w:ascii="宋体" w:hAnsi="宋体"/>
          <w:b/>
          <w:color w:val="000000"/>
          <w:sz w:val="52"/>
          <w:highlight w:val="none"/>
        </w:rPr>
        <w:pict>
          <v:shape id="_x0000_i1025" o:spt="75" alt="2011101891424664" type="#_x0000_t75" style="height:136.15pt;width:122.5pt;" filled="f" o:preferrelative="t" stroked="f" coordsize="21600,21600">
            <v:path/>
            <v:fill on="f" focussize="0,0"/>
            <v:stroke on="f"/>
            <v:imagedata r:id="rId8" o:title=""/>
            <o:lock v:ext="edit" aspectratio="t"/>
            <w10:wrap type="none"/>
            <w10:anchorlock/>
          </v:shape>
        </w:pict>
      </w:r>
    </w:p>
    <w:p>
      <w:pPr>
        <w:snapToGrid w:val="0"/>
        <w:spacing w:before="0" w:after="312" w:afterAutospacing="0" w:line="400" w:lineRule="exact"/>
        <w:textAlignment w:val="baseline"/>
        <w:rPr>
          <w:rFonts w:hint="eastAsia" w:ascii="宋体" w:hAnsi="宋体"/>
          <w:b/>
          <w:color w:val="000000"/>
          <w:sz w:val="28"/>
          <w:szCs w:val="28"/>
          <w:highlight w:val="none"/>
        </w:rPr>
      </w:pPr>
    </w:p>
    <w:p>
      <w:pPr>
        <w:snapToGrid w:val="0"/>
        <w:spacing w:before="0" w:after="312" w:afterAutospacing="0" w:line="400" w:lineRule="exact"/>
        <w:textAlignment w:val="baseline"/>
        <w:rPr>
          <w:rFonts w:ascii="宋体" w:hAnsi="宋体"/>
          <w:b/>
          <w:color w:val="000000"/>
          <w:sz w:val="28"/>
          <w:szCs w:val="28"/>
          <w:highlight w:val="none"/>
        </w:rPr>
      </w:pPr>
      <w:r>
        <w:rPr>
          <w:rFonts w:hint="eastAsia" w:ascii="宋体" w:hAnsi="宋体"/>
          <w:b/>
          <w:color w:val="000000"/>
          <w:sz w:val="28"/>
          <w:szCs w:val="28"/>
          <w:highlight w:val="none"/>
        </w:rPr>
        <w:t>甲    方：</w:t>
      </w:r>
      <w:r>
        <w:rPr>
          <w:rFonts w:hint="eastAsia"/>
          <w:color w:val="000000"/>
          <w:sz w:val="28"/>
          <w:szCs w:val="28"/>
          <w:highlight w:val="none"/>
        </w:rPr>
        <w:t>南宁轨道交通集团有限责任公司</w:t>
      </w:r>
    </w:p>
    <w:p>
      <w:pPr>
        <w:snapToGrid w:val="0"/>
        <w:spacing w:before="0" w:after="312" w:afterAutospacing="0" w:line="400" w:lineRule="exact"/>
        <w:textAlignment w:val="baseline"/>
        <w:rPr>
          <w:color w:val="000000"/>
          <w:sz w:val="28"/>
          <w:szCs w:val="28"/>
          <w:highlight w:val="none"/>
        </w:rPr>
      </w:pPr>
      <w:r>
        <w:rPr>
          <w:rFonts w:hint="eastAsia" w:ascii="宋体" w:hAnsi="宋体"/>
          <w:b/>
          <w:color w:val="000000"/>
          <w:sz w:val="28"/>
          <w:szCs w:val="28"/>
          <w:highlight w:val="none"/>
        </w:rPr>
        <w:t>乙    方：</w:t>
      </w:r>
      <w:r>
        <w:rPr>
          <w:color w:val="000000"/>
          <w:sz w:val="28"/>
          <w:szCs w:val="28"/>
          <w:highlight w:val="none"/>
        </w:rPr>
        <w:t xml:space="preserve"> </w:t>
      </w:r>
    </w:p>
    <w:p>
      <w:pPr>
        <w:snapToGrid w:val="0"/>
        <w:spacing w:before="0" w:after="312" w:afterAutospacing="0" w:line="400" w:lineRule="exact"/>
        <w:textAlignment w:val="baseline"/>
        <w:rPr>
          <w:rFonts w:ascii="宋体" w:hAnsi="宋体"/>
          <w:b/>
          <w:color w:val="000000"/>
          <w:sz w:val="28"/>
          <w:szCs w:val="28"/>
          <w:highlight w:val="none"/>
        </w:rPr>
      </w:pPr>
      <w:r>
        <w:rPr>
          <w:rFonts w:hint="eastAsia" w:ascii="宋体" w:hAnsi="宋体"/>
          <w:b/>
          <w:color w:val="000000"/>
          <w:sz w:val="28"/>
          <w:szCs w:val="28"/>
          <w:highlight w:val="none"/>
        </w:rPr>
        <w:t>签约日期：</w:t>
      </w:r>
      <w:r>
        <w:rPr>
          <w:rFonts w:hint="eastAsia" w:ascii="宋体" w:hAnsi="宋体"/>
          <w:b/>
          <w:color w:val="000000"/>
          <w:sz w:val="28"/>
          <w:szCs w:val="28"/>
          <w:highlight w:val="none"/>
          <w:u w:val="single" w:color="000000"/>
        </w:rPr>
        <w:t xml:space="preserve">       </w:t>
      </w:r>
      <w:r>
        <w:rPr>
          <w:rFonts w:hint="eastAsia" w:ascii="宋体" w:hAnsi="宋体"/>
          <w:color w:val="000000"/>
          <w:sz w:val="28"/>
          <w:szCs w:val="28"/>
          <w:highlight w:val="none"/>
        </w:rPr>
        <w:t>年</w:t>
      </w:r>
      <w:r>
        <w:rPr>
          <w:rFonts w:hint="eastAsia" w:ascii="宋体" w:hAnsi="宋体"/>
          <w:b/>
          <w:bCs/>
          <w:color w:val="000000"/>
          <w:sz w:val="28"/>
          <w:szCs w:val="28"/>
          <w:highlight w:val="none"/>
          <w:u w:val="single" w:color="000000"/>
        </w:rPr>
        <w:t xml:space="preserve">　 </w:t>
      </w:r>
      <w:r>
        <w:rPr>
          <w:rFonts w:hint="eastAsia" w:ascii="宋体" w:hAnsi="宋体"/>
          <w:color w:val="000000"/>
          <w:sz w:val="28"/>
          <w:szCs w:val="28"/>
          <w:highlight w:val="none"/>
          <w:u w:val="single" w:color="000000"/>
        </w:rPr>
        <w:t>　</w:t>
      </w:r>
      <w:r>
        <w:rPr>
          <w:rFonts w:hint="eastAsia" w:ascii="宋体" w:hAnsi="宋体"/>
          <w:color w:val="000000"/>
          <w:sz w:val="28"/>
          <w:szCs w:val="28"/>
          <w:highlight w:val="none"/>
        </w:rPr>
        <w:t>月</w:t>
      </w:r>
      <w:r>
        <w:rPr>
          <w:rFonts w:hint="eastAsia" w:ascii="宋体" w:hAnsi="宋体"/>
          <w:color w:val="000000"/>
          <w:sz w:val="28"/>
          <w:szCs w:val="28"/>
          <w:highlight w:val="none"/>
          <w:u w:val="single" w:color="000000"/>
        </w:rPr>
        <w:t xml:space="preserve">　    </w:t>
      </w:r>
      <w:r>
        <w:rPr>
          <w:rFonts w:hint="eastAsia" w:ascii="宋体" w:hAnsi="宋体"/>
          <w:color w:val="000000"/>
          <w:sz w:val="28"/>
          <w:szCs w:val="28"/>
          <w:highlight w:val="none"/>
        </w:rPr>
        <w:t>日</w:t>
      </w:r>
    </w:p>
    <w:p>
      <w:pPr>
        <w:snapToGrid w:val="0"/>
        <w:spacing w:before="0" w:after="312" w:afterAutospacing="0" w:line="400" w:lineRule="exact"/>
        <w:ind w:right="-86"/>
        <w:textAlignment w:val="baseline"/>
        <w:rPr>
          <w:rFonts w:ascii="宋体" w:hAnsi="宋体"/>
          <w:b/>
          <w:bCs/>
          <w:sz w:val="28"/>
          <w:szCs w:val="28"/>
          <w:highlight w:val="none"/>
        </w:rPr>
      </w:pPr>
      <w:r>
        <w:rPr>
          <w:rFonts w:hint="eastAsia" w:ascii="宋体" w:hAnsi="宋体"/>
          <w:b/>
          <w:color w:val="000000"/>
          <w:sz w:val="28"/>
          <w:szCs w:val="28"/>
          <w:highlight w:val="none"/>
        </w:rPr>
        <w:t>签约</w:t>
      </w:r>
      <w:r>
        <w:rPr>
          <w:rFonts w:hint="eastAsia" w:ascii="宋体" w:hAnsi="宋体"/>
          <w:b/>
          <w:bCs/>
          <w:color w:val="000000"/>
          <w:sz w:val="28"/>
          <w:szCs w:val="28"/>
          <w:highlight w:val="none"/>
        </w:rPr>
        <w:t>地点：</w:t>
      </w:r>
      <w:r>
        <w:rPr>
          <w:rFonts w:ascii="宋体" w:hAnsi="宋体"/>
          <w:b/>
          <w:color w:val="000000"/>
          <w:sz w:val="28"/>
          <w:szCs w:val="28"/>
          <w:highlight w:val="none"/>
        </w:rPr>
        <w:t xml:space="preserve"> </w:t>
      </w:r>
      <w:r>
        <w:rPr>
          <w:rFonts w:hint="eastAsia" w:ascii="宋体" w:hAnsi="宋体"/>
          <w:color w:val="000000"/>
          <w:sz w:val="28"/>
          <w:szCs w:val="28"/>
          <w:highlight w:val="none"/>
        </w:rPr>
        <w:t>广西壮族自治区南宁市</w:t>
      </w:r>
      <w:bookmarkStart w:id="303" w:name="_Toc369787000"/>
      <w:bookmarkEnd w:id="303"/>
    </w:p>
    <w:bookmarkEnd w:id="289"/>
    <w:bookmarkEnd w:id="290"/>
    <w:bookmarkEnd w:id="291"/>
    <w:bookmarkEnd w:id="292"/>
    <w:bookmarkEnd w:id="293"/>
    <w:bookmarkEnd w:id="294"/>
    <w:bookmarkEnd w:id="295"/>
    <w:bookmarkEnd w:id="296"/>
    <w:bookmarkEnd w:id="297"/>
    <w:bookmarkEnd w:id="298"/>
    <w:bookmarkEnd w:id="299"/>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b/>
          <w:sz w:val="36"/>
          <w:szCs w:val="36"/>
          <w:highlight w:val="none"/>
        </w:rPr>
      </w:pPr>
      <w:r>
        <w:rPr>
          <w:rFonts w:hint="eastAsia" w:ascii="宋体" w:hAnsi="宋体"/>
          <w:b/>
          <w:sz w:val="36"/>
          <w:szCs w:val="36"/>
          <w:highlight w:val="none"/>
        </w:rPr>
        <w:t>南宁轨道</w:t>
      </w:r>
      <w:r>
        <w:rPr>
          <w:rFonts w:hint="eastAsia" w:ascii="宋体" w:hAnsi="宋体"/>
          <w:b/>
          <w:sz w:val="36"/>
          <w:szCs w:val="36"/>
          <w:highlight w:val="none"/>
          <w:lang w:val="en-US" w:eastAsia="zh-CN"/>
        </w:rPr>
        <w:t>交通运营有限</w:t>
      </w:r>
      <w:r>
        <w:rPr>
          <w:rFonts w:hint="eastAsia" w:ascii="宋体" w:hAnsi="宋体"/>
          <w:b/>
          <w:sz w:val="36"/>
          <w:szCs w:val="36"/>
          <w:highlight w:val="none"/>
        </w:rPr>
        <w:t>公司202</w:t>
      </w:r>
      <w:r>
        <w:rPr>
          <w:rFonts w:hint="eastAsia" w:ascii="宋体" w:hAnsi="宋体"/>
          <w:b/>
          <w:sz w:val="36"/>
          <w:szCs w:val="36"/>
          <w:highlight w:val="none"/>
          <w:lang w:val="en-US" w:eastAsia="zh-CN"/>
        </w:rPr>
        <w:t>1</w:t>
      </w:r>
      <w:r>
        <w:rPr>
          <w:rFonts w:hint="eastAsia" w:ascii="宋体" w:hAnsi="宋体"/>
          <w:b/>
          <w:sz w:val="36"/>
          <w:szCs w:val="36"/>
          <w:highlight w:val="none"/>
        </w:rPr>
        <w:t>年至2022年</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宋体"/>
          <w:b/>
          <w:sz w:val="36"/>
          <w:szCs w:val="36"/>
          <w:highlight w:val="none"/>
        </w:rPr>
      </w:pPr>
      <w:r>
        <w:rPr>
          <w:rFonts w:hint="eastAsia" w:ascii="宋体" w:hAnsi="宋体"/>
          <w:b/>
          <w:sz w:val="36"/>
          <w:szCs w:val="36"/>
          <w:highlight w:val="none"/>
        </w:rPr>
        <w:t>采购及合同管理专项审计项目合同书</w:t>
      </w:r>
    </w:p>
    <w:p>
      <w:pPr>
        <w:spacing w:line="520" w:lineRule="exact"/>
        <w:rPr>
          <w:rFonts w:ascii="仿宋_GB2312" w:hAnsi="宋体" w:eastAsia="仿宋_GB2312"/>
          <w:sz w:val="28"/>
          <w:szCs w:val="28"/>
          <w:highlight w:val="none"/>
        </w:rPr>
      </w:pPr>
    </w:p>
    <w:p>
      <w:pPr>
        <w:spacing w:line="540" w:lineRule="exact"/>
        <w:rPr>
          <w:rFonts w:ascii="宋体"/>
          <w:sz w:val="28"/>
          <w:szCs w:val="28"/>
          <w:highlight w:val="none"/>
        </w:rPr>
      </w:pPr>
      <w:r>
        <w:rPr>
          <w:rFonts w:hint="eastAsia" w:ascii="宋体" w:hAnsi="宋体"/>
          <w:sz w:val="28"/>
          <w:szCs w:val="28"/>
          <w:highlight w:val="none"/>
        </w:rPr>
        <w:t>甲</w:t>
      </w:r>
      <w:r>
        <w:rPr>
          <w:rFonts w:ascii="宋体" w:hAnsi="宋体"/>
          <w:sz w:val="28"/>
          <w:szCs w:val="28"/>
          <w:highlight w:val="none"/>
        </w:rPr>
        <w:t xml:space="preserve">    </w:t>
      </w:r>
      <w:r>
        <w:rPr>
          <w:rFonts w:hint="eastAsia" w:ascii="宋体" w:hAnsi="宋体"/>
          <w:sz w:val="28"/>
          <w:szCs w:val="28"/>
          <w:highlight w:val="none"/>
        </w:rPr>
        <w:t>方：南宁轨道交通集团有限责任公司</w:t>
      </w:r>
    </w:p>
    <w:p>
      <w:pPr>
        <w:spacing w:line="540" w:lineRule="exact"/>
        <w:rPr>
          <w:rFonts w:ascii="宋体"/>
          <w:sz w:val="28"/>
          <w:szCs w:val="28"/>
          <w:highlight w:val="none"/>
        </w:rPr>
      </w:pPr>
      <w:r>
        <w:rPr>
          <w:rFonts w:hint="eastAsia" w:ascii="宋体" w:hAnsi="宋体"/>
          <w:sz w:val="28"/>
          <w:szCs w:val="28"/>
          <w:highlight w:val="none"/>
        </w:rPr>
        <w:t>地</w:t>
      </w:r>
      <w:r>
        <w:rPr>
          <w:rFonts w:ascii="宋体" w:hAnsi="宋体"/>
          <w:sz w:val="28"/>
          <w:szCs w:val="28"/>
          <w:highlight w:val="none"/>
        </w:rPr>
        <w:t xml:space="preserve">    </w:t>
      </w:r>
      <w:r>
        <w:rPr>
          <w:rFonts w:hint="eastAsia" w:ascii="宋体" w:hAnsi="宋体"/>
          <w:sz w:val="28"/>
          <w:szCs w:val="28"/>
          <w:highlight w:val="none"/>
        </w:rPr>
        <w:t>址：南宁市青秀区云景路</w:t>
      </w:r>
      <w:r>
        <w:rPr>
          <w:rFonts w:ascii="宋体" w:hAnsi="宋体"/>
          <w:sz w:val="28"/>
          <w:szCs w:val="28"/>
          <w:highlight w:val="none"/>
        </w:rPr>
        <w:t>69</w:t>
      </w:r>
      <w:r>
        <w:rPr>
          <w:rFonts w:hint="eastAsia" w:ascii="宋体" w:hAnsi="宋体"/>
          <w:sz w:val="28"/>
          <w:szCs w:val="28"/>
          <w:highlight w:val="none"/>
        </w:rPr>
        <w:t>号</w:t>
      </w:r>
    </w:p>
    <w:p>
      <w:pPr>
        <w:spacing w:line="540" w:lineRule="exact"/>
        <w:rPr>
          <w:rFonts w:ascii="宋体"/>
          <w:sz w:val="28"/>
          <w:szCs w:val="28"/>
          <w:highlight w:val="none"/>
        </w:rPr>
      </w:pPr>
      <w:r>
        <w:rPr>
          <w:rFonts w:hint="eastAsia" w:ascii="宋体" w:hAnsi="宋体"/>
          <w:sz w:val="28"/>
          <w:szCs w:val="28"/>
          <w:highlight w:val="none"/>
        </w:rPr>
        <w:t>联系方式：</w:t>
      </w:r>
    </w:p>
    <w:p>
      <w:pPr>
        <w:spacing w:line="540" w:lineRule="exact"/>
        <w:rPr>
          <w:rFonts w:ascii="宋体"/>
          <w:sz w:val="28"/>
          <w:szCs w:val="28"/>
          <w:highlight w:val="none"/>
        </w:rPr>
      </w:pPr>
    </w:p>
    <w:p>
      <w:pPr>
        <w:spacing w:line="540" w:lineRule="exact"/>
        <w:rPr>
          <w:rFonts w:ascii="宋体"/>
          <w:sz w:val="28"/>
          <w:szCs w:val="28"/>
          <w:highlight w:val="none"/>
        </w:rPr>
      </w:pPr>
      <w:r>
        <w:rPr>
          <w:rFonts w:hint="eastAsia" w:ascii="宋体" w:hAnsi="宋体"/>
          <w:sz w:val="28"/>
          <w:szCs w:val="28"/>
          <w:highlight w:val="none"/>
        </w:rPr>
        <w:t>乙</w:t>
      </w:r>
      <w:r>
        <w:rPr>
          <w:rFonts w:ascii="宋体" w:hAnsi="宋体"/>
          <w:sz w:val="28"/>
          <w:szCs w:val="28"/>
          <w:highlight w:val="none"/>
        </w:rPr>
        <w:t xml:space="preserve">    </w:t>
      </w:r>
      <w:r>
        <w:rPr>
          <w:rFonts w:hint="eastAsia" w:ascii="宋体" w:hAnsi="宋体"/>
          <w:sz w:val="28"/>
          <w:szCs w:val="28"/>
          <w:highlight w:val="none"/>
        </w:rPr>
        <w:t>方：</w:t>
      </w:r>
    </w:p>
    <w:p>
      <w:pPr>
        <w:spacing w:line="540" w:lineRule="exact"/>
        <w:rPr>
          <w:rFonts w:ascii="宋体"/>
          <w:sz w:val="28"/>
          <w:szCs w:val="28"/>
          <w:highlight w:val="none"/>
        </w:rPr>
      </w:pPr>
      <w:r>
        <w:rPr>
          <w:rFonts w:hint="eastAsia" w:ascii="宋体" w:hAnsi="宋体"/>
          <w:sz w:val="28"/>
          <w:szCs w:val="28"/>
          <w:highlight w:val="none"/>
        </w:rPr>
        <w:t>地</w:t>
      </w:r>
      <w:r>
        <w:rPr>
          <w:rFonts w:ascii="宋体" w:hAnsi="宋体"/>
          <w:sz w:val="28"/>
          <w:szCs w:val="28"/>
          <w:highlight w:val="none"/>
        </w:rPr>
        <w:t xml:space="preserve">    </w:t>
      </w:r>
      <w:r>
        <w:rPr>
          <w:rFonts w:hint="eastAsia" w:ascii="宋体" w:hAnsi="宋体"/>
          <w:sz w:val="28"/>
          <w:szCs w:val="28"/>
          <w:highlight w:val="none"/>
        </w:rPr>
        <w:t>址：</w:t>
      </w:r>
    </w:p>
    <w:p>
      <w:pPr>
        <w:spacing w:line="540" w:lineRule="exact"/>
        <w:rPr>
          <w:rFonts w:ascii="宋体"/>
          <w:sz w:val="28"/>
          <w:szCs w:val="28"/>
          <w:highlight w:val="none"/>
        </w:rPr>
      </w:pPr>
      <w:r>
        <w:rPr>
          <w:rFonts w:hint="eastAsia" w:ascii="宋体" w:hAnsi="宋体"/>
          <w:sz w:val="28"/>
          <w:szCs w:val="28"/>
          <w:highlight w:val="none"/>
        </w:rPr>
        <w:t>联系方式：</w:t>
      </w:r>
    </w:p>
    <w:p>
      <w:pPr>
        <w:spacing w:line="540" w:lineRule="exact"/>
        <w:rPr>
          <w:rFonts w:ascii="宋体"/>
          <w:sz w:val="28"/>
          <w:szCs w:val="28"/>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rPr>
        <w:t>甲方因业务发展需要，通过公开比选确定乙方中选</w:t>
      </w:r>
      <w:r>
        <w:rPr>
          <w:rFonts w:hint="eastAsia" w:ascii="宋体" w:hAnsi="宋体"/>
          <w:sz w:val="28"/>
          <w:szCs w:val="28"/>
          <w:highlight w:val="none"/>
          <w:u w:val="single"/>
          <w:lang w:eastAsia="zh-CN"/>
        </w:rPr>
        <w:t>南宁轨道交通运营有限公司2021年至2022年物资管理内控建设及执行情况</w:t>
      </w:r>
      <w:r>
        <w:rPr>
          <w:rFonts w:hint="eastAsia" w:ascii="宋体" w:hAnsi="宋体"/>
          <w:sz w:val="28"/>
          <w:szCs w:val="28"/>
          <w:highlight w:val="none"/>
          <w:u w:val="single"/>
        </w:rPr>
        <w:t>专项审计项目</w:t>
      </w:r>
      <w:r>
        <w:rPr>
          <w:rFonts w:hint="eastAsia" w:ascii="宋体" w:hAnsi="宋体"/>
          <w:sz w:val="28"/>
          <w:szCs w:val="28"/>
          <w:highlight w:val="none"/>
        </w:rPr>
        <w:t>，经双方平等友好协商，达成如下协议：</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宋体"/>
          <w:b/>
          <w:sz w:val="28"/>
          <w:szCs w:val="28"/>
          <w:highlight w:val="none"/>
        </w:rPr>
      </w:pPr>
      <w:r>
        <w:rPr>
          <w:rFonts w:hint="eastAsia" w:ascii="宋体" w:hAnsi="宋体"/>
          <w:b/>
          <w:sz w:val="28"/>
          <w:szCs w:val="28"/>
          <w:highlight w:val="none"/>
        </w:rPr>
        <w:t>一、合同文件的优先次序</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lang w:eastAsia="zh-CN"/>
        </w:rPr>
        <w:t>（</w:t>
      </w:r>
      <w:r>
        <w:rPr>
          <w:rFonts w:hint="eastAsia" w:ascii="宋体" w:hAnsi="宋体"/>
          <w:sz w:val="28"/>
          <w:szCs w:val="28"/>
          <w:highlight w:val="none"/>
        </w:rPr>
        <w:t>一</w:t>
      </w:r>
      <w:r>
        <w:rPr>
          <w:rFonts w:hint="eastAsia" w:ascii="宋体" w:hAnsi="宋体"/>
          <w:sz w:val="28"/>
          <w:szCs w:val="28"/>
          <w:highlight w:val="none"/>
          <w:lang w:eastAsia="zh-CN"/>
        </w:rPr>
        <w:t>）</w:t>
      </w:r>
      <w:r>
        <w:rPr>
          <w:rFonts w:hint="eastAsia" w:ascii="宋体" w:hAnsi="宋体"/>
          <w:sz w:val="28"/>
          <w:szCs w:val="28"/>
          <w:highlight w:val="none"/>
        </w:rPr>
        <w:t>下列文件一起构成合同文件</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lang w:val="en-US" w:eastAsia="zh-CN"/>
        </w:rPr>
        <w:t>1.</w:t>
      </w:r>
      <w:r>
        <w:rPr>
          <w:rFonts w:hint="eastAsia" w:ascii="宋体" w:hAnsi="宋体"/>
          <w:sz w:val="28"/>
          <w:szCs w:val="28"/>
          <w:highlight w:val="none"/>
        </w:rPr>
        <w:t>合同协议书及各种合同附件（含比选评审期间和合同谈判过程中的澄清文件和补充资料）；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lang w:val="en-US" w:eastAsia="zh-CN"/>
        </w:rPr>
        <w:t>2.</w:t>
      </w:r>
      <w:r>
        <w:rPr>
          <w:rFonts w:hint="eastAsia" w:ascii="宋体" w:hAnsi="宋体"/>
          <w:sz w:val="28"/>
          <w:szCs w:val="28"/>
          <w:highlight w:val="none"/>
        </w:rPr>
        <w:t>中选通知书；</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lang w:val="en-US" w:eastAsia="zh-CN"/>
        </w:rPr>
        <w:t>3.</w:t>
      </w:r>
      <w:r>
        <w:rPr>
          <w:rFonts w:hint="eastAsia" w:ascii="宋体" w:hAnsi="宋体"/>
          <w:sz w:val="28"/>
          <w:szCs w:val="28"/>
          <w:highlight w:val="none"/>
        </w:rPr>
        <w:t>比选申请文件及比选申请函；</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lang w:val="en-US" w:eastAsia="zh-CN"/>
        </w:rPr>
        <w:t>4.</w:t>
      </w:r>
      <w:r>
        <w:rPr>
          <w:rFonts w:hint="eastAsia" w:ascii="宋体" w:hAnsi="宋体"/>
          <w:sz w:val="28"/>
          <w:szCs w:val="28"/>
          <w:highlight w:val="none"/>
        </w:rPr>
        <w:t>比选文件；</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lang w:val="en-US" w:eastAsia="zh-CN"/>
        </w:rPr>
        <w:t>5.</w:t>
      </w:r>
      <w:r>
        <w:rPr>
          <w:rFonts w:hint="eastAsia" w:ascii="宋体" w:hAnsi="宋体"/>
          <w:sz w:val="28"/>
          <w:szCs w:val="28"/>
          <w:highlight w:val="none"/>
        </w:rPr>
        <w:t>其他合同文件。</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rPr>
        <w:t>（二）上述文件互相补充和解释，如有不明确或不一致之处，以上述次序在先者为准；同一次序的文件以时间在后的为准。</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宋体"/>
          <w:b/>
          <w:sz w:val="28"/>
          <w:szCs w:val="28"/>
          <w:highlight w:val="none"/>
        </w:rPr>
      </w:pPr>
      <w:r>
        <w:rPr>
          <w:rFonts w:hint="eastAsia" w:ascii="宋体" w:hAnsi="宋体"/>
          <w:b/>
          <w:sz w:val="28"/>
          <w:szCs w:val="28"/>
          <w:highlight w:val="none"/>
        </w:rPr>
        <w:t>二、</w:t>
      </w:r>
      <w:r>
        <w:rPr>
          <w:rFonts w:hint="eastAsia" w:ascii="宋体" w:hAnsi="宋体"/>
          <w:b/>
          <w:sz w:val="28"/>
          <w:szCs w:val="28"/>
          <w:highlight w:val="none"/>
          <w:lang w:val="en-US" w:eastAsia="zh-CN"/>
        </w:rPr>
        <w:t>审计</w:t>
      </w:r>
      <w:r>
        <w:rPr>
          <w:rFonts w:hint="eastAsia" w:ascii="宋体" w:hAnsi="宋体"/>
          <w:b/>
          <w:sz w:val="28"/>
          <w:szCs w:val="28"/>
          <w:highlight w:val="none"/>
        </w:rPr>
        <w:t>内容和要求</w:t>
      </w:r>
    </w:p>
    <w:p>
      <w:pPr>
        <w:spacing w:line="540" w:lineRule="exact"/>
        <w:ind w:firstLine="420" w:firstLineChars="150"/>
        <w:rPr>
          <w:rFonts w:hint="default" w:ascii="宋体" w:eastAsia="宋体"/>
          <w:sz w:val="28"/>
          <w:szCs w:val="28"/>
          <w:highlight w:val="none"/>
          <w:lang w:val="en-US" w:eastAsia="zh-CN"/>
        </w:rPr>
      </w:pPr>
      <w:r>
        <w:rPr>
          <w:rFonts w:hint="eastAsia" w:ascii="宋体" w:hAnsi="宋体"/>
          <w:sz w:val="28"/>
          <w:szCs w:val="28"/>
          <w:highlight w:val="none"/>
        </w:rPr>
        <w:t>（一）</w:t>
      </w:r>
      <w:r>
        <w:rPr>
          <w:rFonts w:hint="eastAsia" w:ascii="宋体" w:hAnsi="宋体"/>
          <w:sz w:val="28"/>
          <w:szCs w:val="28"/>
          <w:highlight w:val="none"/>
          <w:lang w:val="en-US" w:eastAsia="zh-CN"/>
        </w:rPr>
        <w:t>审计</w:t>
      </w:r>
      <w:r>
        <w:rPr>
          <w:rFonts w:hint="eastAsia" w:ascii="宋体" w:hAnsi="宋体"/>
          <w:sz w:val="28"/>
          <w:szCs w:val="28"/>
          <w:highlight w:val="none"/>
        </w:rPr>
        <w:t>内容</w:t>
      </w:r>
      <w:r>
        <w:rPr>
          <w:rFonts w:hint="eastAsia" w:ascii="宋体" w:hAnsi="宋体"/>
          <w:sz w:val="28"/>
          <w:szCs w:val="28"/>
          <w:highlight w:val="none"/>
          <w:lang w:eastAsia="zh-CN"/>
        </w:rPr>
        <w:t>、</w:t>
      </w:r>
      <w:r>
        <w:rPr>
          <w:rFonts w:hint="eastAsia" w:ascii="宋体" w:hAnsi="宋体"/>
          <w:sz w:val="28"/>
          <w:szCs w:val="28"/>
          <w:highlight w:val="none"/>
          <w:lang w:val="en-US" w:eastAsia="zh-CN"/>
        </w:rPr>
        <w:t>范围</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rPr>
      </w:pPr>
      <w:r>
        <w:rPr>
          <w:rFonts w:hint="eastAsia" w:ascii="宋体" w:hAnsi="宋体" w:cs="仿宋"/>
          <w:sz w:val="28"/>
          <w:szCs w:val="28"/>
          <w:highlight w:val="none"/>
        </w:rPr>
        <w:t>对</w:t>
      </w:r>
      <w:r>
        <w:rPr>
          <w:rFonts w:hint="eastAsia" w:ascii="宋体" w:hAnsi="宋体" w:cs="仿宋"/>
          <w:sz w:val="28"/>
          <w:szCs w:val="28"/>
          <w:highlight w:val="none"/>
          <w:lang w:val="en-US" w:eastAsia="zh-CN"/>
        </w:rPr>
        <w:t>南宁轨道交通</w:t>
      </w:r>
      <w:r>
        <w:rPr>
          <w:rFonts w:hint="eastAsia" w:ascii="宋体" w:hAnsi="宋体" w:cs="仿宋"/>
          <w:sz w:val="28"/>
          <w:szCs w:val="28"/>
          <w:highlight w:val="none"/>
        </w:rPr>
        <w:t>运营</w:t>
      </w:r>
      <w:r>
        <w:rPr>
          <w:rFonts w:hint="eastAsia" w:ascii="宋体" w:hAnsi="宋体" w:cs="仿宋"/>
          <w:sz w:val="28"/>
          <w:szCs w:val="28"/>
          <w:highlight w:val="none"/>
          <w:lang w:val="en-US" w:eastAsia="zh-CN"/>
        </w:rPr>
        <w:t>有限</w:t>
      </w:r>
      <w:r>
        <w:rPr>
          <w:rFonts w:hint="eastAsia" w:ascii="宋体" w:hAnsi="宋体" w:cs="仿宋"/>
          <w:sz w:val="28"/>
          <w:szCs w:val="28"/>
          <w:highlight w:val="none"/>
        </w:rPr>
        <w:t>公司2021</w:t>
      </w:r>
      <w:r>
        <w:rPr>
          <w:rFonts w:hint="eastAsia" w:ascii="宋体" w:hAnsi="宋体" w:cs="仿宋"/>
          <w:sz w:val="28"/>
          <w:szCs w:val="28"/>
          <w:highlight w:val="none"/>
          <w:lang w:val="en-US" w:eastAsia="zh-CN"/>
        </w:rPr>
        <w:t>年至</w:t>
      </w:r>
      <w:r>
        <w:rPr>
          <w:rFonts w:hint="eastAsia" w:ascii="宋体" w:hAnsi="宋体" w:cs="仿宋"/>
          <w:sz w:val="28"/>
          <w:szCs w:val="28"/>
          <w:highlight w:val="none"/>
        </w:rPr>
        <w:t>2022年物资管理内控建设的合法合规合理性及执行的效率效果进行审查、监督及评价，重点关注包括但不限于以下内容：</w:t>
      </w:r>
    </w:p>
    <w:p>
      <w:pPr>
        <w:keepNext w:val="0"/>
        <w:keepLines w:val="0"/>
        <w:pageBreakBefore w:val="0"/>
        <w:widowControl/>
        <w:numPr>
          <w:ilvl w:val="0"/>
          <w:numId w:val="2"/>
        </w:numPr>
        <w:tabs>
          <w:tab w:val="left" w:pos="0"/>
        </w:tabs>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rPr>
      </w:pPr>
      <w:r>
        <w:rPr>
          <w:rFonts w:hint="eastAsia" w:ascii="宋体" w:hAnsi="宋体" w:cs="仿宋"/>
          <w:sz w:val="28"/>
          <w:szCs w:val="28"/>
          <w:highlight w:val="none"/>
        </w:rPr>
        <w:t>关注</w:t>
      </w:r>
      <w:r>
        <w:rPr>
          <w:rFonts w:hint="eastAsia" w:ascii="宋体" w:hAnsi="宋体" w:cs="仿宋"/>
          <w:sz w:val="28"/>
          <w:szCs w:val="28"/>
          <w:highlight w:val="none"/>
          <w:lang w:eastAsia="zh-CN"/>
        </w:rPr>
        <w:t>南宁轨道交通运营有限公司</w:t>
      </w:r>
      <w:r>
        <w:rPr>
          <w:rFonts w:hint="eastAsia" w:ascii="宋体" w:hAnsi="宋体" w:cs="仿宋"/>
          <w:sz w:val="28"/>
          <w:szCs w:val="28"/>
          <w:highlight w:val="none"/>
        </w:rPr>
        <w:t>物资采购、验收、领用、盘点、处置等全流程相关制度的建立健全情况，设计是否合理，与采购相关的内部控制是否等到有效执行；</w:t>
      </w:r>
    </w:p>
    <w:p>
      <w:pPr>
        <w:keepNext w:val="0"/>
        <w:keepLines w:val="0"/>
        <w:pageBreakBefore w:val="0"/>
        <w:widowControl/>
        <w:numPr>
          <w:ilvl w:val="0"/>
          <w:numId w:val="2"/>
        </w:numPr>
        <w:tabs>
          <w:tab w:val="left" w:pos="0"/>
        </w:tabs>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rPr>
      </w:pPr>
      <w:r>
        <w:rPr>
          <w:rFonts w:hint="eastAsia" w:ascii="宋体" w:hAnsi="宋体" w:cs="仿宋"/>
          <w:sz w:val="28"/>
          <w:szCs w:val="28"/>
          <w:highlight w:val="none"/>
        </w:rPr>
        <w:t>关注采购环节相关岗位设置是否符合不相容岗位相互分离的原则。</w:t>
      </w:r>
    </w:p>
    <w:p>
      <w:pPr>
        <w:keepNext w:val="0"/>
        <w:keepLines w:val="0"/>
        <w:pageBreakBefore w:val="0"/>
        <w:widowControl/>
        <w:numPr>
          <w:ilvl w:val="0"/>
          <w:numId w:val="2"/>
        </w:numPr>
        <w:tabs>
          <w:tab w:val="left" w:pos="0"/>
        </w:tabs>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rPr>
      </w:pPr>
      <w:r>
        <w:rPr>
          <w:rFonts w:hint="eastAsia" w:ascii="宋体" w:hAnsi="宋体" w:cs="仿宋"/>
          <w:sz w:val="28"/>
          <w:szCs w:val="28"/>
          <w:highlight w:val="none"/>
        </w:rPr>
        <w:t>关注物资采购计划编制、执行及变更的合规性、合理性、及时性，是否存在采购计划编制、执行及变更流程不符合规章制度的情形；是否存在计划安排不合理导致短缺、积压可能导致企业生产停滞或资源浪费的情形，是否存在不及时编制或执行采购计划等人为制造紧急采购等情形；</w:t>
      </w:r>
    </w:p>
    <w:p>
      <w:pPr>
        <w:keepNext w:val="0"/>
        <w:keepLines w:val="0"/>
        <w:pageBreakBefore w:val="0"/>
        <w:widowControl/>
        <w:numPr>
          <w:ilvl w:val="0"/>
          <w:numId w:val="2"/>
        </w:numPr>
        <w:tabs>
          <w:tab w:val="left" w:pos="0"/>
        </w:tabs>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rPr>
      </w:pPr>
      <w:r>
        <w:rPr>
          <w:rFonts w:hint="eastAsia" w:ascii="宋体" w:hAnsi="宋体" w:cs="仿宋"/>
          <w:sz w:val="28"/>
          <w:szCs w:val="28"/>
          <w:highlight w:val="none"/>
        </w:rPr>
        <w:t>关注采购方式是否符合相关规定，采购方式选择的决策流程是否符合内部控制指引的规定；</w:t>
      </w:r>
    </w:p>
    <w:p>
      <w:pPr>
        <w:keepNext w:val="0"/>
        <w:keepLines w:val="0"/>
        <w:pageBreakBefore w:val="0"/>
        <w:widowControl/>
        <w:numPr>
          <w:ilvl w:val="0"/>
          <w:numId w:val="2"/>
        </w:numPr>
        <w:tabs>
          <w:tab w:val="left" w:pos="0"/>
        </w:tabs>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rPr>
      </w:pPr>
      <w:r>
        <w:rPr>
          <w:rFonts w:hint="eastAsia" w:ascii="宋体" w:hAnsi="宋体" w:cs="仿宋"/>
          <w:sz w:val="28"/>
          <w:szCs w:val="28"/>
          <w:highlight w:val="none"/>
        </w:rPr>
        <w:t>关注评标或评审人员的选定、资质、专业、数量等是否符合相关规定；</w:t>
      </w:r>
    </w:p>
    <w:p>
      <w:pPr>
        <w:keepNext w:val="0"/>
        <w:keepLines w:val="0"/>
        <w:pageBreakBefore w:val="0"/>
        <w:widowControl/>
        <w:numPr>
          <w:ilvl w:val="0"/>
          <w:numId w:val="2"/>
        </w:numPr>
        <w:tabs>
          <w:tab w:val="left" w:pos="0"/>
        </w:tabs>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rPr>
      </w:pPr>
      <w:r>
        <w:rPr>
          <w:rFonts w:hint="eastAsia" w:ascii="宋体" w:hAnsi="宋体" w:cs="仿宋"/>
          <w:sz w:val="28"/>
          <w:szCs w:val="28"/>
          <w:highlight w:val="none"/>
        </w:rPr>
        <w:t>关注评标或评审程序的合法合规性，是否按法律法规、公司规章制度对投标人资格、投标文件等进行审查，是否存在围标、串标等损害</w:t>
      </w:r>
      <w:r>
        <w:rPr>
          <w:rFonts w:hint="eastAsia" w:ascii="宋体" w:hAnsi="宋体" w:cs="仿宋"/>
          <w:sz w:val="28"/>
          <w:szCs w:val="28"/>
          <w:highlight w:val="none"/>
          <w:lang w:eastAsia="zh-CN"/>
        </w:rPr>
        <w:t>南宁轨道交通运营有限公司</w:t>
      </w:r>
      <w:r>
        <w:rPr>
          <w:rFonts w:hint="eastAsia" w:ascii="宋体" w:hAnsi="宋体" w:cs="仿宋"/>
          <w:sz w:val="28"/>
          <w:szCs w:val="28"/>
          <w:highlight w:val="none"/>
        </w:rPr>
        <w:t>利益等情形，评标或评审的过程和成果记录是否完整；</w:t>
      </w:r>
    </w:p>
    <w:p>
      <w:pPr>
        <w:keepNext w:val="0"/>
        <w:keepLines w:val="0"/>
        <w:pageBreakBefore w:val="0"/>
        <w:widowControl/>
        <w:numPr>
          <w:ilvl w:val="0"/>
          <w:numId w:val="2"/>
        </w:numPr>
        <w:tabs>
          <w:tab w:val="left" w:pos="0"/>
        </w:tabs>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rPr>
      </w:pPr>
      <w:r>
        <w:rPr>
          <w:rFonts w:hint="eastAsia" w:ascii="宋体" w:hAnsi="宋体" w:cs="仿宋"/>
          <w:sz w:val="28"/>
          <w:szCs w:val="28"/>
          <w:highlight w:val="none"/>
        </w:rPr>
        <w:t>关注验收流程的合法合规性，验收人员组成是否符合不相容岗位互相分离原则，是否按合同约定的品牌、规格型号、数量、质量等要素验收，相关验收人员签字是否齐全，验收入库登记是否正确；</w:t>
      </w:r>
    </w:p>
    <w:p>
      <w:pPr>
        <w:keepNext w:val="0"/>
        <w:keepLines w:val="0"/>
        <w:pageBreakBefore w:val="0"/>
        <w:widowControl/>
        <w:numPr>
          <w:ilvl w:val="0"/>
          <w:numId w:val="2"/>
        </w:numPr>
        <w:tabs>
          <w:tab w:val="left" w:pos="0"/>
        </w:tabs>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rPr>
      </w:pPr>
      <w:r>
        <w:rPr>
          <w:rFonts w:hint="eastAsia" w:ascii="宋体" w:hAnsi="宋体" w:cs="仿宋"/>
          <w:sz w:val="28"/>
          <w:szCs w:val="28"/>
          <w:highlight w:val="none"/>
        </w:rPr>
        <w:t>关注物资存放和移动是否符合相关规定，管理职责是否清晰、制衡，是否存在非物资管理、监督、仓储人员在未经授权情况下接触物资等情形；</w:t>
      </w:r>
    </w:p>
    <w:p>
      <w:pPr>
        <w:keepNext w:val="0"/>
        <w:keepLines w:val="0"/>
        <w:pageBreakBefore w:val="0"/>
        <w:widowControl/>
        <w:numPr>
          <w:ilvl w:val="0"/>
          <w:numId w:val="2"/>
        </w:numPr>
        <w:tabs>
          <w:tab w:val="left" w:pos="0"/>
        </w:tabs>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rPr>
      </w:pPr>
      <w:r>
        <w:rPr>
          <w:rFonts w:hint="eastAsia" w:ascii="宋体" w:hAnsi="宋体" w:cs="仿宋"/>
          <w:sz w:val="28"/>
          <w:szCs w:val="28"/>
          <w:highlight w:val="none"/>
        </w:rPr>
        <w:t>关注物资领用手续是否完整，计量计价是否准确，账务处理是否正确，成本消耗是否存在异常；</w:t>
      </w:r>
    </w:p>
    <w:p>
      <w:pPr>
        <w:keepNext w:val="0"/>
        <w:keepLines w:val="0"/>
        <w:pageBreakBefore w:val="0"/>
        <w:widowControl/>
        <w:numPr>
          <w:ilvl w:val="0"/>
          <w:numId w:val="2"/>
        </w:numPr>
        <w:tabs>
          <w:tab w:val="left" w:pos="0"/>
        </w:tabs>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rPr>
      </w:pPr>
      <w:r>
        <w:rPr>
          <w:rFonts w:hint="eastAsia" w:ascii="宋体" w:hAnsi="宋体" w:cs="仿宋"/>
          <w:sz w:val="28"/>
          <w:szCs w:val="28"/>
          <w:highlight w:val="none"/>
        </w:rPr>
        <w:t>关注物资盘点程序是否符合相关规定，盘点人员组成是否合规合理，组织实施是否有序，盘盈盘亏处置是否符合规定，盘点各环节的审核签字手续是否完备，是否按规定出具盘点报告等；</w:t>
      </w:r>
    </w:p>
    <w:p>
      <w:pPr>
        <w:keepNext w:val="0"/>
        <w:keepLines w:val="0"/>
        <w:pageBreakBefore w:val="0"/>
        <w:widowControl/>
        <w:numPr>
          <w:ilvl w:val="0"/>
          <w:numId w:val="2"/>
        </w:numPr>
        <w:tabs>
          <w:tab w:val="left" w:pos="0"/>
        </w:tabs>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rPr>
      </w:pPr>
      <w:r>
        <w:rPr>
          <w:rFonts w:hint="eastAsia" w:ascii="宋体" w:hAnsi="宋体" w:cs="仿宋"/>
          <w:sz w:val="28"/>
          <w:szCs w:val="28"/>
          <w:highlight w:val="none"/>
        </w:rPr>
        <w:t>关注损坏、废旧等物资的管理是否符合相关规定，对具有回收价值的物资或危旧物资，存放保管是否安全，处置是否合法合规合理；</w:t>
      </w:r>
    </w:p>
    <w:p>
      <w:pPr>
        <w:keepNext w:val="0"/>
        <w:keepLines w:val="0"/>
        <w:pageBreakBefore w:val="0"/>
        <w:widowControl/>
        <w:numPr>
          <w:ilvl w:val="0"/>
          <w:numId w:val="2"/>
        </w:numPr>
        <w:tabs>
          <w:tab w:val="left" w:pos="0"/>
        </w:tabs>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rPr>
      </w:pPr>
      <w:r>
        <w:rPr>
          <w:rFonts w:hint="eastAsia" w:ascii="宋体" w:hAnsi="宋体" w:cs="仿宋"/>
          <w:sz w:val="28"/>
          <w:szCs w:val="28"/>
          <w:highlight w:val="none"/>
        </w:rPr>
        <w:t>物资各归口管理部门、生产技术部、财务部的物资台账登记是否完整、连续，账账是否相符；</w:t>
      </w:r>
    </w:p>
    <w:p>
      <w:pPr>
        <w:keepNext w:val="0"/>
        <w:keepLines w:val="0"/>
        <w:pageBreakBefore w:val="0"/>
        <w:widowControl/>
        <w:numPr>
          <w:ilvl w:val="0"/>
          <w:numId w:val="2"/>
        </w:numPr>
        <w:tabs>
          <w:tab w:val="left" w:pos="0"/>
        </w:tabs>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rPr>
      </w:pPr>
      <w:r>
        <w:rPr>
          <w:rFonts w:hint="eastAsia" w:ascii="宋体" w:hAnsi="宋体" w:cs="仿宋"/>
          <w:sz w:val="28"/>
          <w:szCs w:val="28"/>
          <w:highlight w:val="none"/>
        </w:rPr>
        <w:t>是否存在长期积压、大量在途物资情形，并分析形成原因；</w:t>
      </w:r>
    </w:p>
    <w:p>
      <w:pPr>
        <w:keepNext w:val="0"/>
        <w:keepLines w:val="0"/>
        <w:pageBreakBefore w:val="0"/>
        <w:widowControl/>
        <w:numPr>
          <w:ilvl w:val="0"/>
          <w:numId w:val="2"/>
        </w:numPr>
        <w:tabs>
          <w:tab w:val="left" w:pos="0"/>
        </w:tabs>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rPr>
      </w:pPr>
      <w:r>
        <w:rPr>
          <w:rFonts w:hint="eastAsia" w:ascii="宋体" w:hAnsi="宋体" w:cs="仿宋"/>
          <w:sz w:val="28"/>
          <w:szCs w:val="28"/>
          <w:highlight w:val="none"/>
        </w:rPr>
        <w:t>其他涉及物资管理的合法合规合理情况；</w:t>
      </w:r>
    </w:p>
    <w:p>
      <w:pPr>
        <w:keepNext w:val="0"/>
        <w:keepLines w:val="0"/>
        <w:pageBreakBefore w:val="0"/>
        <w:widowControl/>
        <w:numPr>
          <w:ilvl w:val="0"/>
          <w:numId w:val="2"/>
        </w:numPr>
        <w:tabs>
          <w:tab w:val="left" w:pos="0"/>
        </w:tabs>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lang w:val="en-US" w:eastAsia="zh-CN"/>
        </w:rPr>
      </w:pPr>
      <w:r>
        <w:rPr>
          <w:rFonts w:hint="eastAsia" w:ascii="宋体" w:hAnsi="宋体" w:cs="仿宋"/>
          <w:sz w:val="28"/>
          <w:szCs w:val="28"/>
          <w:highlight w:val="none"/>
        </w:rPr>
        <w:t>集团公司关注的其他事项情况。</w:t>
      </w:r>
    </w:p>
    <w:p>
      <w:pPr>
        <w:widowControl/>
        <w:spacing w:line="540" w:lineRule="exact"/>
        <w:ind w:firstLine="420" w:firstLineChars="150"/>
        <w:jc w:val="left"/>
        <w:rPr>
          <w:rFonts w:hint="eastAsia" w:ascii="宋体" w:hAnsi="宋体"/>
          <w:sz w:val="28"/>
          <w:szCs w:val="28"/>
          <w:highlight w:val="none"/>
        </w:rPr>
      </w:pPr>
      <w:r>
        <w:rPr>
          <w:rFonts w:hint="eastAsia" w:ascii="宋体" w:hAnsi="宋体"/>
          <w:sz w:val="28"/>
          <w:szCs w:val="28"/>
          <w:highlight w:val="none"/>
        </w:rPr>
        <w:t>（二）</w:t>
      </w:r>
      <w:r>
        <w:rPr>
          <w:rFonts w:hint="eastAsia" w:ascii="宋体" w:hAnsi="宋体"/>
          <w:sz w:val="28"/>
          <w:szCs w:val="28"/>
          <w:highlight w:val="none"/>
          <w:lang w:val="en-US" w:eastAsia="zh-CN"/>
        </w:rPr>
        <w:t>审计</w:t>
      </w:r>
      <w:r>
        <w:rPr>
          <w:rFonts w:hint="eastAsia" w:ascii="宋体" w:hAnsi="宋体"/>
          <w:sz w:val="28"/>
          <w:szCs w:val="28"/>
          <w:highlight w:val="none"/>
        </w:rPr>
        <w:t>对象、范围</w:t>
      </w:r>
    </w:p>
    <w:p>
      <w:pPr>
        <w:pStyle w:val="55"/>
        <w:pageBreakBefore w:val="0"/>
        <w:widowControl w:val="0"/>
        <w:shd w:val="clear" w:color="auto" w:fill="auto"/>
        <w:kinsoku/>
        <w:wordWrap/>
        <w:overflowPunct/>
        <w:topLinePunct w:val="0"/>
        <w:autoSpaceDE/>
        <w:autoSpaceDN/>
        <w:bidi w:val="0"/>
        <w:adjustRightInd/>
        <w:snapToGrid/>
        <w:spacing w:before="0" w:after="0" w:line="540" w:lineRule="exact"/>
        <w:ind w:right="0" w:firstLine="560" w:firstLineChars="200"/>
        <w:jc w:val="both"/>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审计</w:t>
      </w:r>
      <w:r>
        <w:rPr>
          <w:rFonts w:hint="eastAsia" w:ascii="宋体" w:hAnsi="宋体" w:eastAsia="宋体" w:cs="宋体"/>
          <w:sz w:val="28"/>
          <w:szCs w:val="28"/>
          <w:highlight w:val="none"/>
        </w:rPr>
        <w:t>对象：</w:t>
      </w:r>
      <w:r>
        <w:rPr>
          <w:rFonts w:hint="eastAsia" w:ascii="宋体" w:hAnsi="宋体" w:eastAsia="宋体" w:cs="宋体"/>
          <w:sz w:val="28"/>
          <w:szCs w:val="28"/>
          <w:highlight w:val="none"/>
          <w:lang w:val="en-US" w:eastAsia="zh-CN"/>
        </w:rPr>
        <w:t>南宁</w:t>
      </w:r>
      <w:r>
        <w:rPr>
          <w:rFonts w:hint="eastAsia" w:ascii="宋体" w:hAnsi="宋体" w:eastAsia="宋体" w:cs="宋体"/>
          <w:sz w:val="28"/>
          <w:szCs w:val="28"/>
          <w:highlight w:val="none"/>
        </w:rPr>
        <w:t>轨道</w:t>
      </w:r>
      <w:r>
        <w:rPr>
          <w:rFonts w:hint="eastAsia" w:ascii="宋体" w:hAnsi="宋体" w:cs="宋体"/>
          <w:sz w:val="28"/>
          <w:szCs w:val="28"/>
          <w:highlight w:val="none"/>
          <w:lang w:val="en-US" w:eastAsia="zh-CN"/>
        </w:rPr>
        <w:t>交通运营有限</w:t>
      </w:r>
      <w:r>
        <w:rPr>
          <w:rFonts w:hint="eastAsia" w:ascii="宋体" w:hAnsi="宋体" w:eastAsia="宋体" w:cs="宋体"/>
          <w:sz w:val="28"/>
          <w:szCs w:val="28"/>
          <w:highlight w:val="none"/>
        </w:rPr>
        <w:t>公司</w:t>
      </w:r>
      <w:r>
        <w:rPr>
          <w:rFonts w:hint="eastAsia" w:ascii="宋体" w:hAnsi="宋体" w:cs="宋体"/>
          <w:sz w:val="28"/>
          <w:szCs w:val="28"/>
          <w:highlight w:val="none"/>
          <w:lang w:val="en-US" w:eastAsia="zh-CN"/>
        </w:rPr>
        <w:t>2021年至2022年物资管理内控建设及执行情况</w:t>
      </w:r>
      <w:r>
        <w:rPr>
          <w:rFonts w:hint="eastAsia" w:ascii="宋体" w:hAnsi="宋体" w:cs="宋体"/>
          <w:sz w:val="28"/>
          <w:szCs w:val="28"/>
          <w:highlight w:val="none"/>
          <w:lang w:val="zh-CN" w:eastAsia="zh-CN"/>
        </w:rPr>
        <w:t>。</w:t>
      </w:r>
    </w:p>
    <w:p>
      <w:pPr>
        <w:pStyle w:val="55"/>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560" w:firstLineChars="200"/>
        <w:jc w:val="both"/>
        <w:textAlignment w:val="auto"/>
        <w:rPr>
          <w:rFonts w:hint="eastAsia" w:ascii="宋体" w:hAnsi="宋体" w:eastAsia="宋体" w:cs="宋体"/>
          <w:sz w:val="28"/>
          <w:szCs w:val="28"/>
          <w:highlight w:val="none"/>
          <w:lang w:val="zh-CN"/>
        </w:rPr>
      </w:pPr>
      <w:r>
        <w:rPr>
          <w:rFonts w:hint="eastAsia" w:ascii="宋体" w:hAnsi="宋体" w:eastAsia="宋体" w:cs="宋体"/>
          <w:sz w:val="28"/>
          <w:szCs w:val="28"/>
          <w:highlight w:val="none"/>
          <w:lang w:val="en-US" w:eastAsia="zh-CN"/>
        </w:rPr>
        <w:t>审计</w:t>
      </w:r>
      <w:r>
        <w:rPr>
          <w:rFonts w:hint="eastAsia" w:ascii="宋体" w:hAnsi="宋体" w:eastAsia="宋体" w:cs="宋体"/>
          <w:sz w:val="28"/>
          <w:szCs w:val="28"/>
          <w:highlight w:val="none"/>
        </w:rPr>
        <w:t>范围：</w:t>
      </w:r>
      <w:r>
        <w:rPr>
          <w:rFonts w:hint="eastAsia" w:ascii="宋体" w:hAnsi="宋体" w:eastAsia="宋体" w:cs="宋体"/>
          <w:sz w:val="28"/>
          <w:szCs w:val="28"/>
          <w:highlight w:val="none"/>
          <w:lang w:val="zh-CN"/>
        </w:rPr>
        <w:t>2021年</w:t>
      </w:r>
      <w:r>
        <w:rPr>
          <w:rFonts w:hint="eastAsia" w:ascii="宋体" w:hAnsi="宋体" w:eastAsia="宋体" w:cs="宋体"/>
          <w:sz w:val="28"/>
          <w:szCs w:val="28"/>
          <w:highlight w:val="none"/>
          <w:lang w:val="en-US" w:eastAsia="zh-CN"/>
        </w:rPr>
        <w:t>1月</w:t>
      </w:r>
      <w:r>
        <w:rPr>
          <w:rFonts w:hint="eastAsia" w:ascii="宋体" w:hAnsi="宋体" w:eastAsia="宋体" w:cs="宋体"/>
          <w:sz w:val="28"/>
          <w:szCs w:val="28"/>
          <w:highlight w:val="none"/>
          <w:lang w:val="zh-CN"/>
        </w:rPr>
        <w:t>至2022年</w:t>
      </w:r>
      <w:r>
        <w:rPr>
          <w:rFonts w:hint="eastAsia" w:ascii="宋体" w:hAnsi="宋体" w:eastAsia="宋体" w:cs="宋体"/>
          <w:sz w:val="28"/>
          <w:szCs w:val="28"/>
          <w:highlight w:val="none"/>
          <w:lang w:val="en-US" w:eastAsia="zh-CN"/>
        </w:rPr>
        <w:t>12月</w:t>
      </w:r>
      <w:r>
        <w:rPr>
          <w:rFonts w:hint="eastAsia" w:ascii="宋体" w:hAnsi="宋体" w:eastAsia="宋体" w:cs="宋体"/>
          <w:sz w:val="28"/>
          <w:szCs w:val="28"/>
          <w:highlight w:val="none"/>
          <w:lang w:val="zh-CN"/>
        </w:rPr>
        <w:t>，必要时追溯到相关年度或延伸审计有关单位（部门）。</w:t>
      </w:r>
    </w:p>
    <w:p>
      <w:pPr>
        <w:spacing w:line="540" w:lineRule="exact"/>
        <w:ind w:firstLine="420" w:firstLineChars="150"/>
        <w:rPr>
          <w:rFonts w:ascii="宋体"/>
          <w:sz w:val="28"/>
          <w:szCs w:val="28"/>
          <w:highlight w:val="none"/>
        </w:rPr>
      </w:pPr>
      <w:r>
        <w:rPr>
          <w:rFonts w:hint="eastAsia" w:ascii="宋体" w:hAnsi="宋体"/>
          <w:sz w:val="28"/>
          <w:szCs w:val="28"/>
          <w:highlight w:val="none"/>
        </w:rPr>
        <w:t>（三）</w:t>
      </w:r>
      <w:r>
        <w:rPr>
          <w:rFonts w:hint="eastAsia" w:ascii="宋体" w:hAnsi="宋体"/>
          <w:sz w:val="28"/>
          <w:szCs w:val="28"/>
          <w:highlight w:val="none"/>
          <w:lang w:val="en-US" w:eastAsia="zh-CN"/>
        </w:rPr>
        <w:t>审计</w:t>
      </w:r>
      <w:r>
        <w:rPr>
          <w:rFonts w:hint="eastAsia" w:ascii="宋体" w:hAnsi="宋体"/>
          <w:sz w:val="28"/>
          <w:szCs w:val="28"/>
          <w:highlight w:val="none"/>
        </w:rPr>
        <w:t>要求及成果</w:t>
      </w:r>
    </w:p>
    <w:p>
      <w:pPr>
        <w:spacing w:line="540" w:lineRule="exact"/>
        <w:ind w:firstLine="560" w:firstLineChars="200"/>
        <w:rPr>
          <w:rFonts w:hint="eastAsia" w:ascii="宋体" w:hAnsi="宋体"/>
          <w:sz w:val="28"/>
          <w:szCs w:val="28"/>
          <w:highlight w:val="none"/>
        </w:rPr>
      </w:pPr>
      <w:r>
        <w:rPr>
          <w:rFonts w:hint="eastAsia" w:ascii="宋体" w:hAnsi="宋体"/>
          <w:sz w:val="28"/>
          <w:szCs w:val="28"/>
          <w:highlight w:val="none"/>
        </w:rPr>
        <w:t>根据《中华人民共和国招标投标法》《中华人民共和国招标投标法实施条例》《广西壮族自治区企业国有资产交易监督管理办法》《中华人民共和国民法典》《企业内部控制基本规范》及其他相关法律法规、规章制度，以及南宁轨道交通集团有限责任公司、南宁轨道交通运营有限公司招标采购、物资管理等相关制度开展工作，对</w:t>
      </w:r>
      <w:r>
        <w:rPr>
          <w:rFonts w:hint="eastAsia" w:ascii="宋体" w:hAnsi="宋体"/>
          <w:sz w:val="28"/>
          <w:szCs w:val="28"/>
          <w:highlight w:val="none"/>
          <w:lang w:eastAsia="zh-CN"/>
        </w:rPr>
        <w:t>南宁轨道交通运营有限公司</w:t>
      </w:r>
      <w:r>
        <w:rPr>
          <w:rFonts w:hint="eastAsia" w:ascii="宋体" w:hAnsi="宋体"/>
          <w:sz w:val="28"/>
          <w:szCs w:val="28"/>
          <w:highlight w:val="none"/>
        </w:rPr>
        <w:t>2021年至2022年物资管理内控建设及执行情况开展审计，包括内控建设的合法合规合理性及执行的效率效果等情况，作出客观公正、实事求是的评价，出具南宁轨道交通运营有限公司2021年至2022年物资管理内控建设及执行情况专项审计报告及管理建议书，并经南宁轨道交通集团有限责任公司审批通过。</w:t>
      </w:r>
    </w:p>
    <w:p>
      <w:pPr>
        <w:spacing w:line="540" w:lineRule="exact"/>
        <w:ind w:firstLine="562" w:firstLineChars="200"/>
        <w:rPr>
          <w:rFonts w:ascii="宋体"/>
          <w:b/>
          <w:sz w:val="28"/>
          <w:szCs w:val="28"/>
          <w:highlight w:val="none"/>
        </w:rPr>
      </w:pPr>
      <w:r>
        <w:rPr>
          <w:rFonts w:hint="eastAsia" w:ascii="宋体" w:hAnsi="宋体"/>
          <w:b/>
          <w:sz w:val="28"/>
          <w:szCs w:val="28"/>
          <w:highlight w:val="none"/>
        </w:rPr>
        <w:t>三、乙方权利义务</w:t>
      </w:r>
    </w:p>
    <w:p>
      <w:pPr>
        <w:spacing w:line="540" w:lineRule="exact"/>
        <w:ind w:firstLine="420" w:firstLineChars="150"/>
        <w:rPr>
          <w:rFonts w:ascii="宋体"/>
          <w:b/>
          <w:sz w:val="28"/>
          <w:szCs w:val="28"/>
          <w:highlight w:val="none"/>
        </w:rPr>
      </w:pPr>
      <w:r>
        <w:rPr>
          <w:rFonts w:hint="eastAsia" w:ascii="宋体" w:hAnsi="宋体"/>
          <w:sz w:val="28"/>
          <w:szCs w:val="28"/>
          <w:highlight w:val="none"/>
        </w:rPr>
        <w:t>（一）乙方应按照《中华人民共和国审计法》《中华人民共和国注册会计师法》《中国注册会计师执业准则》等法律法规的要求，对被</w:t>
      </w:r>
      <w:r>
        <w:rPr>
          <w:rFonts w:hint="eastAsia" w:ascii="宋体" w:hAnsi="宋体"/>
          <w:sz w:val="28"/>
          <w:szCs w:val="28"/>
          <w:highlight w:val="none"/>
          <w:lang w:val="en-US" w:eastAsia="zh-CN"/>
        </w:rPr>
        <w:t>审计</w:t>
      </w:r>
      <w:r>
        <w:rPr>
          <w:rFonts w:hint="eastAsia" w:ascii="宋体" w:hAnsi="宋体"/>
          <w:sz w:val="28"/>
          <w:szCs w:val="28"/>
          <w:highlight w:val="none"/>
        </w:rPr>
        <w:t>单位提供的</w:t>
      </w:r>
      <w:r>
        <w:rPr>
          <w:rFonts w:hint="eastAsia" w:ascii="宋体" w:hAnsi="宋体"/>
          <w:sz w:val="28"/>
          <w:szCs w:val="28"/>
          <w:highlight w:val="none"/>
          <w:lang w:val="en-US" w:eastAsia="zh-CN"/>
        </w:rPr>
        <w:t>会计报表</w:t>
      </w:r>
      <w:r>
        <w:rPr>
          <w:rFonts w:hint="eastAsia" w:ascii="宋体" w:hAnsi="宋体"/>
          <w:sz w:val="28"/>
          <w:szCs w:val="28"/>
          <w:highlight w:val="none"/>
        </w:rPr>
        <w:t>及其他有关资料，实施必要的</w:t>
      </w:r>
      <w:r>
        <w:rPr>
          <w:rFonts w:hint="eastAsia" w:ascii="宋体" w:hAnsi="宋体"/>
          <w:sz w:val="28"/>
          <w:szCs w:val="28"/>
          <w:highlight w:val="none"/>
          <w:lang w:val="en-US" w:eastAsia="zh-CN"/>
        </w:rPr>
        <w:t>审计</w:t>
      </w:r>
      <w:r>
        <w:rPr>
          <w:rFonts w:hint="eastAsia" w:ascii="宋体" w:hAnsi="宋体"/>
          <w:sz w:val="28"/>
          <w:szCs w:val="28"/>
          <w:highlight w:val="none"/>
        </w:rPr>
        <w:t>工作程序，在约定时间内出具</w:t>
      </w:r>
      <w:r>
        <w:rPr>
          <w:rFonts w:hint="eastAsia" w:ascii="宋体" w:hAnsi="宋体"/>
          <w:sz w:val="28"/>
          <w:szCs w:val="28"/>
          <w:highlight w:val="none"/>
          <w:lang w:eastAsia="zh-CN"/>
        </w:rPr>
        <w:t>南宁轨道交通运营有限公司2021年至2022年物资管理内控建设及执行情况</w:t>
      </w:r>
      <w:r>
        <w:rPr>
          <w:rFonts w:hint="eastAsia" w:ascii="宋体" w:hAnsi="宋体"/>
          <w:sz w:val="28"/>
          <w:szCs w:val="28"/>
          <w:highlight w:val="none"/>
        </w:rPr>
        <w:t>专项审计报告</w:t>
      </w:r>
      <w:r>
        <w:rPr>
          <w:rFonts w:hint="eastAsia" w:ascii="宋体" w:hAnsi="宋体"/>
          <w:sz w:val="28"/>
          <w:szCs w:val="28"/>
          <w:highlight w:val="none"/>
          <w:lang w:val="en-US" w:eastAsia="zh-CN"/>
        </w:rPr>
        <w:t>及管理建议书各</w:t>
      </w:r>
      <w:r>
        <w:rPr>
          <w:rFonts w:hint="eastAsia" w:ascii="宋体" w:hAnsi="宋体"/>
          <w:b/>
          <w:sz w:val="28"/>
          <w:szCs w:val="28"/>
          <w:highlight w:val="none"/>
          <w:u w:val="single"/>
        </w:rPr>
        <w:t>一式</w:t>
      </w:r>
      <w:r>
        <w:rPr>
          <w:rFonts w:ascii="宋体" w:hAnsi="宋体"/>
          <w:b/>
          <w:sz w:val="28"/>
          <w:szCs w:val="28"/>
          <w:highlight w:val="none"/>
          <w:u w:val="single"/>
        </w:rPr>
        <w:t>5</w:t>
      </w:r>
      <w:r>
        <w:rPr>
          <w:rFonts w:hint="eastAsia" w:ascii="宋体" w:hAnsi="宋体"/>
          <w:b/>
          <w:sz w:val="28"/>
          <w:szCs w:val="28"/>
          <w:highlight w:val="none"/>
          <w:u w:val="single"/>
        </w:rPr>
        <w:t>份</w:t>
      </w:r>
      <w:r>
        <w:rPr>
          <w:rFonts w:hint="eastAsia" w:ascii="宋体" w:hAnsi="宋体"/>
          <w:sz w:val="28"/>
          <w:szCs w:val="28"/>
          <w:highlight w:val="none"/>
        </w:rPr>
        <w:t>，</w:t>
      </w:r>
      <w:r>
        <w:rPr>
          <w:rFonts w:hint="eastAsia" w:ascii="宋体" w:hAnsi="宋体"/>
          <w:sz w:val="28"/>
          <w:szCs w:val="28"/>
          <w:highlight w:val="none"/>
          <w:lang w:val="en-US" w:eastAsia="zh-CN"/>
        </w:rPr>
        <w:t>审计</w:t>
      </w:r>
      <w:r>
        <w:rPr>
          <w:rFonts w:hint="eastAsia" w:ascii="宋体" w:hAnsi="宋体"/>
          <w:sz w:val="28"/>
          <w:szCs w:val="28"/>
          <w:highlight w:val="none"/>
        </w:rPr>
        <w:t>报告</w:t>
      </w:r>
      <w:r>
        <w:rPr>
          <w:rFonts w:hint="eastAsia" w:ascii="宋体" w:hAnsi="宋体"/>
          <w:sz w:val="28"/>
          <w:szCs w:val="28"/>
          <w:highlight w:val="none"/>
          <w:lang w:eastAsia="zh-CN"/>
        </w:rPr>
        <w:t>及</w:t>
      </w:r>
      <w:r>
        <w:rPr>
          <w:rFonts w:hint="eastAsia" w:ascii="宋体" w:hAnsi="宋体"/>
          <w:sz w:val="28"/>
          <w:szCs w:val="28"/>
          <w:highlight w:val="none"/>
          <w:lang w:val="en-US" w:eastAsia="zh-CN"/>
        </w:rPr>
        <w:t>管理建议书</w:t>
      </w:r>
      <w:r>
        <w:rPr>
          <w:rFonts w:hint="eastAsia" w:ascii="宋体" w:hAnsi="宋体"/>
          <w:sz w:val="28"/>
          <w:szCs w:val="28"/>
          <w:highlight w:val="none"/>
        </w:rPr>
        <w:t>格式和内容要符合相关规定要求；乙方应当保证</w:t>
      </w:r>
      <w:r>
        <w:rPr>
          <w:rFonts w:hint="eastAsia" w:ascii="宋体" w:hAnsi="宋体"/>
          <w:sz w:val="28"/>
          <w:szCs w:val="28"/>
          <w:highlight w:val="none"/>
          <w:lang w:val="en-US" w:eastAsia="zh-CN"/>
        </w:rPr>
        <w:t>审计</w:t>
      </w:r>
      <w:r>
        <w:rPr>
          <w:rFonts w:hint="eastAsia" w:ascii="宋体" w:hAnsi="宋体"/>
          <w:sz w:val="28"/>
          <w:szCs w:val="28"/>
          <w:highlight w:val="none"/>
        </w:rPr>
        <w:t>报告的真实性、合法性、准确性，由于</w:t>
      </w:r>
      <w:r>
        <w:rPr>
          <w:rFonts w:hint="eastAsia" w:ascii="宋体" w:hAnsi="宋体"/>
          <w:sz w:val="28"/>
          <w:szCs w:val="28"/>
          <w:highlight w:val="none"/>
          <w:lang w:val="en-US" w:eastAsia="zh-CN"/>
        </w:rPr>
        <w:t>审计</w:t>
      </w:r>
      <w:r>
        <w:rPr>
          <w:rFonts w:hint="eastAsia" w:ascii="宋体" w:hAnsi="宋体"/>
          <w:sz w:val="28"/>
          <w:szCs w:val="28"/>
          <w:highlight w:val="none"/>
        </w:rPr>
        <w:t>报告不真实、不合法、不完整或不符合相关规定要求导致甲方受到损失的，乙方应当承担赔偿责任。</w:t>
      </w:r>
    </w:p>
    <w:p>
      <w:pPr>
        <w:spacing w:line="540" w:lineRule="exact"/>
        <w:ind w:firstLine="420" w:firstLineChars="150"/>
        <w:rPr>
          <w:rFonts w:ascii="宋体"/>
          <w:sz w:val="28"/>
          <w:szCs w:val="28"/>
          <w:highlight w:val="none"/>
        </w:rPr>
      </w:pPr>
      <w:r>
        <w:rPr>
          <w:rFonts w:hint="eastAsia" w:ascii="宋体" w:hAnsi="宋体"/>
          <w:sz w:val="28"/>
          <w:szCs w:val="28"/>
          <w:highlight w:val="none"/>
        </w:rPr>
        <w:t>（二）乙方对在执行业务过程中知悉的商业秘密负有保密义务。除法律另有规定者外，未经甲方及被</w:t>
      </w:r>
      <w:r>
        <w:rPr>
          <w:rFonts w:hint="eastAsia" w:ascii="宋体" w:hAnsi="宋体"/>
          <w:sz w:val="28"/>
          <w:szCs w:val="28"/>
          <w:highlight w:val="none"/>
          <w:lang w:val="en-US" w:eastAsia="zh-CN"/>
        </w:rPr>
        <w:t>审计</w:t>
      </w:r>
      <w:r>
        <w:rPr>
          <w:rFonts w:hint="eastAsia" w:ascii="宋体" w:hAnsi="宋体"/>
          <w:sz w:val="28"/>
          <w:szCs w:val="28"/>
          <w:highlight w:val="none"/>
        </w:rPr>
        <w:t>单位书面同意，乙方不得将相关资料和信息对外公开或泄露给第三方。</w:t>
      </w:r>
    </w:p>
    <w:p>
      <w:pPr>
        <w:spacing w:line="540" w:lineRule="exact"/>
        <w:ind w:firstLine="420" w:firstLineChars="150"/>
        <w:rPr>
          <w:rFonts w:ascii="宋体"/>
          <w:sz w:val="28"/>
          <w:szCs w:val="28"/>
          <w:highlight w:val="none"/>
        </w:rPr>
      </w:pPr>
      <w:r>
        <w:rPr>
          <w:rFonts w:hint="eastAsia" w:ascii="宋体" w:hAnsi="宋体"/>
          <w:sz w:val="28"/>
          <w:szCs w:val="28"/>
          <w:highlight w:val="none"/>
        </w:rPr>
        <w:t>（三）乙方应在本合同签订</w:t>
      </w:r>
      <w:r>
        <w:rPr>
          <w:rFonts w:ascii="宋体" w:hAnsi="宋体"/>
          <w:b/>
          <w:sz w:val="28"/>
          <w:szCs w:val="28"/>
          <w:highlight w:val="none"/>
          <w:u w:val="single"/>
        </w:rPr>
        <w:t xml:space="preserve"> </w:t>
      </w:r>
      <w:r>
        <w:rPr>
          <w:rFonts w:hint="eastAsia" w:ascii="宋体" w:hAnsi="宋体"/>
          <w:b/>
          <w:sz w:val="28"/>
          <w:szCs w:val="28"/>
          <w:highlight w:val="none"/>
          <w:u w:val="single"/>
          <w:lang w:val="en-US" w:eastAsia="zh-CN"/>
        </w:rPr>
        <w:t>5</w:t>
      </w:r>
      <w:r>
        <w:rPr>
          <w:rFonts w:hint="eastAsia" w:ascii="宋体" w:hAnsi="宋体"/>
          <w:b/>
          <w:sz w:val="28"/>
          <w:szCs w:val="28"/>
          <w:highlight w:val="none"/>
          <w:u w:val="single"/>
        </w:rPr>
        <w:t>个工作日</w:t>
      </w:r>
      <w:r>
        <w:rPr>
          <w:rFonts w:ascii="宋体" w:hAnsi="宋体"/>
          <w:b/>
          <w:sz w:val="28"/>
          <w:szCs w:val="28"/>
          <w:highlight w:val="none"/>
          <w:u w:val="single"/>
        </w:rPr>
        <w:t xml:space="preserve"> </w:t>
      </w:r>
      <w:r>
        <w:rPr>
          <w:rFonts w:hint="eastAsia" w:ascii="宋体" w:hAnsi="宋体"/>
          <w:sz w:val="28"/>
          <w:szCs w:val="28"/>
          <w:highlight w:val="none"/>
        </w:rPr>
        <w:t>内向甲方提交需要提供的资料清单，否则由此造成的工作延误的责任由乙方承担。</w:t>
      </w:r>
    </w:p>
    <w:p>
      <w:pPr>
        <w:spacing w:line="540" w:lineRule="exact"/>
        <w:ind w:firstLine="420" w:firstLineChars="150"/>
        <w:rPr>
          <w:rFonts w:ascii="宋体"/>
          <w:sz w:val="28"/>
          <w:szCs w:val="28"/>
          <w:highlight w:val="none"/>
        </w:rPr>
      </w:pPr>
      <w:r>
        <w:rPr>
          <w:rFonts w:hint="eastAsia" w:ascii="宋体" w:hAnsi="宋体"/>
          <w:sz w:val="28"/>
          <w:szCs w:val="28"/>
          <w:highlight w:val="none"/>
        </w:rPr>
        <w:t>（四）乙方应按照要求指派足够具有相应业务资格的</w:t>
      </w:r>
      <w:r>
        <w:rPr>
          <w:rFonts w:hint="eastAsia" w:ascii="宋体" w:hAnsi="宋体"/>
          <w:sz w:val="28"/>
          <w:szCs w:val="28"/>
          <w:highlight w:val="none"/>
          <w:lang w:val="en-US" w:eastAsia="zh-CN"/>
        </w:rPr>
        <w:t>审计</w:t>
      </w:r>
      <w:r>
        <w:rPr>
          <w:rFonts w:hint="eastAsia" w:ascii="宋体" w:hAnsi="宋体"/>
          <w:sz w:val="28"/>
          <w:szCs w:val="28"/>
          <w:highlight w:val="none"/>
        </w:rPr>
        <w:t>人员负责本次</w:t>
      </w:r>
      <w:r>
        <w:rPr>
          <w:rFonts w:hint="eastAsia" w:ascii="宋体" w:hAnsi="宋体"/>
          <w:sz w:val="28"/>
          <w:szCs w:val="28"/>
          <w:highlight w:val="none"/>
          <w:lang w:val="en-US" w:eastAsia="zh-CN"/>
        </w:rPr>
        <w:t>审计</w:t>
      </w:r>
      <w:r>
        <w:rPr>
          <w:rFonts w:hint="eastAsia" w:ascii="宋体" w:hAnsi="宋体"/>
          <w:sz w:val="28"/>
          <w:szCs w:val="28"/>
          <w:highlight w:val="none"/>
        </w:rPr>
        <w:t>业务，明确</w:t>
      </w:r>
      <w:r>
        <w:rPr>
          <w:rFonts w:hint="eastAsia" w:ascii="宋体" w:hAnsi="宋体"/>
          <w:sz w:val="28"/>
          <w:szCs w:val="28"/>
          <w:highlight w:val="none"/>
          <w:lang w:val="en-US" w:eastAsia="zh-CN"/>
        </w:rPr>
        <w:t>审计</w:t>
      </w:r>
      <w:r>
        <w:rPr>
          <w:rFonts w:hint="eastAsia" w:ascii="宋体" w:hAnsi="宋体"/>
          <w:sz w:val="28"/>
          <w:szCs w:val="28"/>
          <w:highlight w:val="none"/>
        </w:rPr>
        <w:t>人员名单，并将</w:t>
      </w:r>
      <w:r>
        <w:rPr>
          <w:rFonts w:hint="eastAsia" w:ascii="宋体" w:hAnsi="宋体"/>
          <w:sz w:val="28"/>
          <w:szCs w:val="28"/>
          <w:highlight w:val="none"/>
          <w:lang w:val="en-US" w:eastAsia="zh-CN"/>
        </w:rPr>
        <w:t>审计</w:t>
      </w:r>
      <w:r>
        <w:rPr>
          <w:rFonts w:hint="eastAsia" w:ascii="宋体" w:hAnsi="宋体"/>
          <w:sz w:val="28"/>
          <w:szCs w:val="28"/>
          <w:highlight w:val="none"/>
        </w:rPr>
        <w:t>人员名单及人员资质等资料作为报告附件，确保按约定时间和质量完成</w:t>
      </w:r>
      <w:r>
        <w:rPr>
          <w:rFonts w:hint="eastAsia" w:ascii="宋体" w:hAnsi="宋体"/>
          <w:sz w:val="28"/>
          <w:szCs w:val="28"/>
          <w:highlight w:val="none"/>
          <w:lang w:val="en-US" w:eastAsia="zh-CN"/>
        </w:rPr>
        <w:t>审计</w:t>
      </w:r>
      <w:r>
        <w:rPr>
          <w:rFonts w:hint="eastAsia" w:ascii="宋体" w:hAnsi="宋体"/>
          <w:sz w:val="28"/>
          <w:szCs w:val="28"/>
          <w:highlight w:val="none"/>
        </w:rPr>
        <w:t>工作并出具</w:t>
      </w:r>
      <w:r>
        <w:rPr>
          <w:rFonts w:hint="eastAsia" w:ascii="宋体" w:hAnsi="宋体"/>
          <w:sz w:val="28"/>
          <w:szCs w:val="28"/>
          <w:highlight w:val="none"/>
          <w:lang w:val="en-US" w:eastAsia="zh-CN"/>
        </w:rPr>
        <w:t>审计</w:t>
      </w:r>
      <w:r>
        <w:rPr>
          <w:rFonts w:hint="eastAsia" w:ascii="宋体" w:hAnsi="宋体"/>
          <w:sz w:val="28"/>
          <w:szCs w:val="28"/>
          <w:highlight w:val="none"/>
        </w:rPr>
        <w:t>报告</w:t>
      </w:r>
      <w:r>
        <w:rPr>
          <w:rFonts w:hint="eastAsia" w:ascii="宋体" w:hAnsi="宋体"/>
          <w:sz w:val="28"/>
          <w:szCs w:val="28"/>
          <w:highlight w:val="none"/>
          <w:lang w:val="en-US" w:eastAsia="zh-CN"/>
        </w:rPr>
        <w:t>及管理建议书</w:t>
      </w:r>
      <w:r>
        <w:rPr>
          <w:rFonts w:hint="eastAsia" w:ascii="宋体" w:hAnsi="宋体"/>
          <w:sz w:val="28"/>
          <w:szCs w:val="28"/>
          <w:highlight w:val="none"/>
        </w:rPr>
        <w:t>，不得转让或转包本合同权利义务。</w:t>
      </w:r>
    </w:p>
    <w:p>
      <w:pPr>
        <w:spacing w:line="540" w:lineRule="exact"/>
        <w:ind w:firstLine="420" w:firstLineChars="150"/>
        <w:rPr>
          <w:rFonts w:ascii="宋体"/>
          <w:sz w:val="28"/>
          <w:szCs w:val="28"/>
          <w:highlight w:val="none"/>
        </w:rPr>
      </w:pPr>
      <w:r>
        <w:rPr>
          <w:rFonts w:hint="eastAsia" w:ascii="宋体" w:hAnsi="宋体"/>
          <w:sz w:val="28"/>
          <w:szCs w:val="28"/>
          <w:highlight w:val="none"/>
        </w:rPr>
        <w:t>（五）</w:t>
      </w:r>
      <w:r>
        <w:rPr>
          <w:rFonts w:hint="eastAsia" w:ascii="宋体" w:hAnsi="宋体"/>
          <w:sz w:val="28"/>
          <w:szCs w:val="28"/>
          <w:highlight w:val="none"/>
          <w:lang w:val="en-US" w:eastAsia="zh-CN"/>
        </w:rPr>
        <w:t>审计</w:t>
      </w:r>
      <w:r>
        <w:rPr>
          <w:rFonts w:hint="eastAsia" w:ascii="宋体" w:hAnsi="宋体"/>
          <w:sz w:val="28"/>
          <w:szCs w:val="28"/>
          <w:highlight w:val="none"/>
        </w:rPr>
        <w:t>过程中乙方</w:t>
      </w:r>
      <w:r>
        <w:rPr>
          <w:rFonts w:hint="eastAsia" w:ascii="宋体" w:hAnsi="宋体"/>
          <w:sz w:val="28"/>
          <w:szCs w:val="28"/>
          <w:highlight w:val="none"/>
          <w:lang w:val="en-US" w:eastAsia="zh-CN"/>
        </w:rPr>
        <w:t>根据甲方要求，</w:t>
      </w:r>
      <w:r>
        <w:rPr>
          <w:rFonts w:hint="eastAsia" w:ascii="宋体" w:hAnsi="宋体"/>
          <w:sz w:val="28"/>
          <w:szCs w:val="28"/>
          <w:highlight w:val="none"/>
        </w:rPr>
        <w:t>参与召开不少于以下会议，</w:t>
      </w:r>
      <w:r>
        <w:rPr>
          <w:rFonts w:hint="eastAsia" w:ascii="宋体" w:hAnsi="宋体"/>
          <w:sz w:val="28"/>
          <w:szCs w:val="28"/>
          <w:highlight w:val="none"/>
          <w:lang w:val="en-US" w:eastAsia="zh-CN"/>
        </w:rPr>
        <w:t>审</w:t>
      </w:r>
      <w:r>
        <w:rPr>
          <w:rFonts w:hint="eastAsia" w:ascii="宋体" w:hAnsi="宋体"/>
          <w:sz w:val="28"/>
          <w:szCs w:val="28"/>
          <w:highlight w:val="none"/>
        </w:rPr>
        <w:t>前沟通会议、</w:t>
      </w:r>
      <w:r>
        <w:rPr>
          <w:rFonts w:hint="eastAsia" w:ascii="宋体" w:hAnsi="宋体"/>
          <w:sz w:val="28"/>
          <w:szCs w:val="28"/>
          <w:highlight w:val="none"/>
          <w:lang w:val="en-US" w:eastAsia="zh-CN"/>
        </w:rPr>
        <w:t>审计进点会议、审</w:t>
      </w:r>
      <w:r>
        <w:rPr>
          <w:rFonts w:hint="eastAsia" w:ascii="宋体" w:hAnsi="宋体"/>
          <w:sz w:val="28"/>
          <w:szCs w:val="28"/>
          <w:highlight w:val="none"/>
        </w:rPr>
        <w:t>中沟通会议、</w:t>
      </w:r>
      <w:r>
        <w:rPr>
          <w:rFonts w:hint="eastAsia" w:ascii="宋体" w:hAnsi="宋体"/>
          <w:sz w:val="28"/>
          <w:szCs w:val="28"/>
          <w:highlight w:val="none"/>
          <w:lang w:val="en-US" w:eastAsia="zh-CN"/>
        </w:rPr>
        <w:t>审计</w:t>
      </w:r>
      <w:r>
        <w:rPr>
          <w:rFonts w:hint="eastAsia" w:ascii="宋体" w:hAnsi="宋体"/>
          <w:sz w:val="28"/>
          <w:szCs w:val="28"/>
          <w:highlight w:val="none"/>
        </w:rPr>
        <w:t>撤点会议、</w:t>
      </w:r>
      <w:r>
        <w:rPr>
          <w:rFonts w:hint="eastAsia" w:ascii="宋体" w:hAnsi="宋体"/>
          <w:sz w:val="28"/>
          <w:szCs w:val="28"/>
          <w:highlight w:val="none"/>
          <w:lang w:val="en-US" w:eastAsia="zh-CN"/>
        </w:rPr>
        <w:t>审计</w:t>
      </w:r>
      <w:r>
        <w:rPr>
          <w:rFonts w:hint="eastAsia" w:ascii="宋体" w:hAnsi="宋体"/>
          <w:sz w:val="28"/>
          <w:szCs w:val="28"/>
          <w:highlight w:val="none"/>
        </w:rPr>
        <w:t>征求意见沟通会。</w:t>
      </w:r>
    </w:p>
    <w:p>
      <w:pPr>
        <w:spacing w:line="540" w:lineRule="exact"/>
        <w:ind w:firstLine="420" w:firstLineChars="150"/>
        <w:rPr>
          <w:rFonts w:hint="eastAsia" w:ascii="宋体" w:hAnsi="宋体"/>
          <w:sz w:val="28"/>
          <w:szCs w:val="28"/>
          <w:highlight w:val="none"/>
        </w:rPr>
      </w:pPr>
      <w:r>
        <w:rPr>
          <w:rFonts w:hint="eastAsia" w:ascii="宋体" w:hAnsi="宋体"/>
          <w:sz w:val="28"/>
          <w:szCs w:val="28"/>
          <w:highlight w:val="none"/>
        </w:rPr>
        <w:t>（六）正式审计报告出具前，乙方向甲方提供包括但不限于完整的审计工作底稿、审计取证单等作为审计档案。</w:t>
      </w:r>
    </w:p>
    <w:p>
      <w:pPr>
        <w:spacing w:line="540" w:lineRule="exact"/>
        <w:ind w:firstLine="420" w:firstLineChars="150"/>
        <w:rPr>
          <w:rFonts w:ascii="宋体"/>
          <w:sz w:val="28"/>
          <w:szCs w:val="28"/>
          <w:highlight w:val="none"/>
        </w:rPr>
      </w:pPr>
      <w:r>
        <w:rPr>
          <w:rFonts w:hint="eastAsia" w:ascii="宋体" w:hAnsi="宋体"/>
          <w:sz w:val="28"/>
          <w:szCs w:val="28"/>
          <w:highlight w:val="none"/>
        </w:rPr>
        <w:t>（</w:t>
      </w:r>
      <w:r>
        <w:rPr>
          <w:rFonts w:hint="eastAsia" w:ascii="宋体" w:hAnsi="宋体"/>
          <w:sz w:val="28"/>
          <w:szCs w:val="28"/>
          <w:highlight w:val="none"/>
          <w:lang w:val="en-US" w:eastAsia="zh-CN"/>
        </w:rPr>
        <w:t>七</w:t>
      </w:r>
      <w:r>
        <w:rPr>
          <w:rFonts w:hint="eastAsia" w:ascii="宋体" w:hAnsi="宋体"/>
          <w:sz w:val="28"/>
          <w:szCs w:val="28"/>
          <w:highlight w:val="none"/>
        </w:rPr>
        <w:t>）如因乙方原因导致出具的</w:t>
      </w:r>
      <w:r>
        <w:rPr>
          <w:rFonts w:hint="eastAsia" w:ascii="宋体" w:hAnsi="宋体"/>
          <w:sz w:val="28"/>
          <w:szCs w:val="28"/>
          <w:highlight w:val="none"/>
          <w:lang w:val="en-US" w:eastAsia="zh-CN"/>
        </w:rPr>
        <w:t>审计</w:t>
      </w:r>
      <w:r>
        <w:rPr>
          <w:rFonts w:hint="eastAsia" w:ascii="宋体" w:hAnsi="宋体"/>
          <w:sz w:val="28"/>
          <w:szCs w:val="28"/>
          <w:highlight w:val="none"/>
        </w:rPr>
        <w:t>报告不合格的，乙方应当负责修正直至合格为止，由此导致</w:t>
      </w:r>
      <w:r>
        <w:rPr>
          <w:rFonts w:hint="eastAsia" w:ascii="宋体" w:hAnsi="宋体"/>
          <w:sz w:val="28"/>
          <w:szCs w:val="28"/>
          <w:highlight w:val="none"/>
          <w:lang w:val="en-US" w:eastAsia="zh-CN"/>
        </w:rPr>
        <w:t>审计</w:t>
      </w:r>
      <w:r>
        <w:rPr>
          <w:rFonts w:hint="eastAsia" w:ascii="宋体" w:hAnsi="宋体"/>
          <w:sz w:val="28"/>
          <w:szCs w:val="28"/>
          <w:highlight w:val="none"/>
        </w:rPr>
        <w:t>工作延误的责任由乙方承担。</w:t>
      </w:r>
    </w:p>
    <w:p>
      <w:pPr>
        <w:spacing w:line="540" w:lineRule="exact"/>
        <w:ind w:firstLine="562" w:firstLineChars="200"/>
        <w:rPr>
          <w:rFonts w:ascii="宋体"/>
          <w:b/>
          <w:sz w:val="28"/>
          <w:szCs w:val="28"/>
          <w:highlight w:val="none"/>
        </w:rPr>
      </w:pPr>
      <w:r>
        <w:rPr>
          <w:rFonts w:hint="eastAsia" w:ascii="宋体" w:hAnsi="宋体"/>
          <w:b/>
          <w:sz w:val="28"/>
          <w:szCs w:val="28"/>
          <w:highlight w:val="none"/>
        </w:rPr>
        <w:t>四、甲方权利义务</w:t>
      </w:r>
    </w:p>
    <w:p>
      <w:pPr>
        <w:spacing w:line="540" w:lineRule="exact"/>
        <w:ind w:firstLine="420" w:firstLineChars="150"/>
        <w:rPr>
          <w:rFonts w:ascii="宋体"/>
          <w:sz w:val="28"/>
          <w:szCs w:val="28"/>
          <w:highlight w:val="none"/>
        </w:rPr>
      </w:pPr>
      <w:r>
        <w:rPr>
          <w:rFonts w:hint="eastAsia" w:ascii="宋体" w:hAnsi="宋体"/>
          <w:sz w:val="28"/>
          <w:szCs w:val="28"/>
          <w:highlight w:val="none"/>
        </w:rPr>
        <w:t>（一）甲方应对乙方开展业务工作协调相关各方给予充分的合作，提供必要的条件，并按乙方的要求，协调相关各方提供业务所需的</w:t>
      </w:r>
      <w:r>
        <w:rPr>
          <w:rFonts w:hint="eastAsia" w:ascii="宋体" w:hAnsi="宋体"/>
          <w:sz w:val="28"/>
          <w:szCs w:val="28"/>
          <w:highlight w:val="none"/>
          <w:lang w:eastAsia="zh-CN"/>
        </w:rPr>
        <w:t>会计凭证、</w:t>
      </w:r>
      <w:r>
        <w:rPr>
          <w:rFonts w:hint="eastAsia" w:ascii="宋体" w:hAnsi="宋体"/>
          <w:sz w:val="28"/>
          <w:szCs w:val="28"/>
          <w:highlight w:val="none"/>
          <w:lang w:val="en-US" w:eastAsia="zh-CN"/>
        </w:rPr>
        <w:t>账册、报表</w:t>
      </w:r>
      <w:r>
        <w:rPr>
          <w:rFonts w:hint="eastAsia" w:ascii="宋体" w:hAnsi="宋体"/>
          <w:sz w:val="28"/>
          <w:szCs w:val="28"/>
          <w:highlight w:val="none"/>
        </w:rPr>
        <w:t>以及其他在执业过程中所需要查看的各种文件资料，有权监督、指正乙方的工作。</w:t>
      </w:r>
    </w:p>
    <w:p>
      <w:pPr>
        <w:spacing w:line="540" w:lineRule="exact"/>
        <w:ind w:firstLine="420" w:firstLineChars="150"/>
        <w:rPr>
          <w:rFonts w:ascii="宋体"/>
          <w:sz w:val="28"/>
          <w:szCs w:val="28"/>
          <w:highlight w:val="none"/>
        </w:rPr>
      </w:pPr>
      <w:r>
        <w:rPr>
          <w:rFonts w:hint="eastAsia" w:ascii="宋体" w:hAnsi="宋体"/>
          <w:sz w:val="28"/>
          <w:szCs w:val="28"/>
          <w:highlight w:val="none"/>
        </w:rPr>
        <w:t>（二）乙方认为需要发函向有关部门询证时，甲方应当提供便利。</w:t>
      </w:r>
    </w:p>
    <w:p>
      <w:pPr>
        <w:spacing w:line="540" w:lineRule="exact"/>
        <w:ind w:firstLine="562" w:firstLineChars="200"/>
        <w:rPr>
          <w:rFonts w:ascii="宋体"/>
          <w:b/>
          <w:bCs/>
          <w:sz w:val="28"/>
          <w:szCs w:val="28"/>
          <w:highlight w:val="none"/>
        </w:rPr>
      </w:pPr>
      <w:r>
        <w:rPr>
          <w:rFonts w:hint="eastAsia" w:ascii="宋体" w:hAnsi="宋体"/>
          <w:b/>
          <w:bCs/>
          <w:sz w:val="28"/>
          <w:szCs w:val="28"/>
          <w:highlight w:val="none"/>
        </w:rPr>
        <w:t>五、工期进度要求</w:t>
      </w:r>
    </w:p>
    <w:p>
      <w:pPr>
        <w:tabs>
          <w:tab w:val="left" w:pos="720"/>
        </w:tabs>
        <w:spacing w:line="540" w:lineRule="exact"/>
        <w:ind w:firstLine="420" w:firstLineChars="150"/>
        <w:rPr>
          <w:rFonts w:ascii="宋体"/>
          <w:sz w:val="28"/>
          <w:szCs w:val="28"/>
          <w:highlight w:val="none"/>
        </w:rPr>
      </w:pPr>
      <w:r>
        <w:rPr>
          <w:rFonts w:hint="eastAsia" w:ascii="宋体" w:hAnsi="宋体"/>
          <w:sz w:val="28"/>
          <w:szCs w:val="28"/>
          <w:highlight w:val="none"/>
        </w:rPr>
        <w:t>（一）本合同生效之日起</w:t>
      </w:r>
      <w:r>
        <w:rPr>
          <w:rFonts w:ascii="宋体" w:hAnsi="宋体"/>
          <w:b/>
          <w:sz w:val="28"/>
          <w:szCs w:val="28"/>
          <w:highlight w:val="none"/>
          <w:u w:val="single"/>
        </w:rPr>
        <w:t xml:space="preserve"> </w:t>
      </w:r>
      <w:r>
        <w:rPr>
          <w:rFonts w:hint="eastAsia" w:ascii="宋体" w:hAnsi="宋体"/>
          <w:b/>
          <w:sz w:val="28"/>
          <w:szCs w:val="28"/>
          <w:highlight w:val="none"/>
          <w:u w:val="single"/>
          <w:lang w:val="en-US" w:eastAsia="zh-CN"/>
        </w:rPr>
        <w:t>5</w:t>
      </w:r>
      <w:r>
        <w:rPr>
          <w:rFonts w:hint="eastAsia" w:ascii="宋体" w:hAnsi="宋体"/>
          <w:b/>
          <w:sz w:val="28"/>
          <w:szCs w:val="28"/>
          <w:highlight w:val="none"/>
          <w:u w:val="single"/>
        </w:rPr>
        <w:t>个工作日内</w:t>
      </w:r>
      <w:r>
        <w:rPr>
          <w:rFonts w:ascii="宋体" w:hAnsi="宋体"/>
          <w:b/>
          <w:sz w:val="28"/>
          <w:szCs w:val="28"/>
          <w:highlight w:val="none"/>
          <w:u w:val="single"/>
        </w:rPr>
        <w:t xml:space="preserve"> </w:t>
      </w:r>
      <w:r>
        <w:rPr>
          <w:rFonts w:hint="eastAsia" w:ascii="宋体" w:hAnsi="宋体"/>
          <w:sz w:val="28"/>
          <w:szCs w:val="28"/>
          <w:highlight w:val="none"/>
        </w:rPr>
        <w:t>，</w:t>
      </w:r>
      <w:r>
        <w:rPr>
          <w:rFonts w:hint="eastAsia" w:ascii="宋体" w:hAnsi="宋体"/>
          <w:sz w:val="28"/>
          <w:szCs w:val="28"/>
          <w:highlight w:val="none"/>
          <w:lang w:val="en-US" w:eastAsia="zh-CN"/>
        </w:rPr>
        <w:t>审计项目</w:t>
      </w:r>
      <w:r>
        <w:rPr>
          <w:rFonts w:hint="eastAsia" w:ascii="宋体" w:hAnsi="宋体"/>
          <w:sz w:val="28"/>
          <w:szCs w:val="28"/>
          <w:highlight w:val="none"/>
        </w:rPr>
        <w:t>组进场</w:t>
      </w:r>
      <w:r>
        <w:rPr>
          <w:rFonts w:hint="eastAsia" w:ascii="宋体" w:hAnsi="宋体"/>
          <w:sz w:val="28"/>
          <w:szCs w:val="28"/>
          <w:highlight w:val="none"/>
          <w:lang w:val="en-US" w:eastAsia="zh-CN"/>
        </w:rPr>
        <w:t>审计</w:t>
      </w:r>
      <w:r>
        <w:rPr>
          <w:rFonts w:hint="eastAsia" w:ascii="宋体" w:hAnsi="宋体"/>
          <w:sz w:val="28"/>
          <w:szCs w:val="28"/>
          <w:highlight w:val="none"/>
        </w:rPr>
        <w:t>。</w:t>
      </w:r>
    </w:p>
    <w:p>
      <w:pPr>
        <w:tabs>
          <w:tab w:val="left" w:pos="720"/>
        </w:tabs>
        <w:spacing w:line="540" w:lineRule="exact"/>
        <w:ind w:firstLine="420" w:firstLineChars="150"/>
        <w:rPr>
          <w:rFonts w:ascii="宋体"/>
          <w:sz w:val="28"/>
          <w:szCs w:val="28"/>
          <w:highlight w:val="none"/>
        </w:rPr>
      </w:pPr>
      <w:r>
        <w:rPr>
          <w:rFonts w:hint="eastAsia" w:ascii="宋体" w:hAnsi="宋体"/>
          <w:sz w:val="28"/>
          <w:szCs w:val="28"/>
          <w:highlight w:val="none"/>
        </w:rPr>
        <w:t>（二）乙方</w:t>
      </w:r>
      <w:r>
        <w:rPr>
          <w:rFonts w:hint="eastAsia" w:ascii="宋体" w:hAnsi="宋体"/>
          <w:sz w:val="28"/>
          <w:szCs w:val="28"/>
          <w:highlight w:val="none"/>
          <w:lang w:val="en-US" w:eastAsia="zh-CN"/>
        </w:rPr>
        <w:t>审计项目</w:t>
      </w:r>
      <w:r>
        <w:rPr>
          <w:rFonts w:hint="eastAsia" w:ascii="宋体" w:hAnsi="宋体"/>
          <w:sz w:val="28"/>
          <w:szCs w:val="28"/>
          <w:highlight w:val="none"/>
        </w:rPr>
        <w:t>组进场</w:t>
      </w:r>
      <w:r>
        <w:rPr>
          <w:rFonts w:hint="eastAsia" w:ascii="宋体" w:hAnsi="宋体"/>
          <w:sz w:val="28"/>
          <w:szCs w:val="28"/>
          <w:highlight w:val="none"/>
          <w:lang w:val="en-US" w:eastAsia="zh-CN"/>
        </w:rPr>
        <w:t>审计</w:t>
      </w:r>
      <w:r>
        <w:rPr>
          <w:rFonts w:hint="eastAsia" w:ascii="宋体" w:hAnsi="宋体"/>
          <w:sz w:val="28"/>
          <w:szCs w:val="28"/>
          <w:highlight w:val="none"/>
        </w:rPr>
        <w:t>之日起</w:t>
      </w:r>
      <w:r>
        <w:rPr>
          <w:rFonts w:ascii="宋体" w:hAnsi="宋体"/>
          <w:sz w:val="28"/>
          <w:szCs w:val="28"/>
          <w:highlight w:val="none"/>
          <w:u w:val="single"/>
        </w:rPr>
        <w:t xml:space="preserve"> </w:t>
      </w:r>
      <w:r>
        <w:rPr>
          <w:rFonts w:hint="eastAsia" w:ascii="宋体" w:hAnsi="宋体"/>
          <w:sz w:val="28"/>
          <w:szCs w:val="28"/>
          <w:highlight w:val="none"/>
          <w:u w:val="single"/>
          <w:lang w:val="en-US" w:eastAsia="zh-CN"/>
        </w:rPr>
        <w:t>21</w:t>
      </w:r>
      <w:r>
        <w:rPr>
          <w:rFonts w:hint="eastAsia" w:ascii="宋体" w:hAnsi="宋体"/>
          <w:b/>
          <w:sz w:val="28"/>
          <w:szCs w:val="28"/>
          <w:highlight w:val="none"/>
          <w:u w:val="single"/>
        </w:rPr>
        <w:t>个工作日</w:t>
      </w:r>
      <w:r>
        <w:rPr>
          <w:rFonts w:ascii="宋体" w:hAnsi="宋体"/>
          <w:b/>
          <w:sz w:val="28"/>
          <w:szCs w:val="28"/>
          <w:highlight w:val="none"/>
          <w:u w:val="single"/>
        </w:rPr>
        <w:t xml:space="preserve"> </w:t>
      </w:r>
      <w:r>
        <w:rPr>
          <w:rFonts w:hint="eastAsia" w:ascii="宋体" w:hAnsi="宋体"/>
          <w:sz w:val="28"/>
          <w:szCs w:val="28"/>
          <w:highlight w:val="none"/>
        </w:rPr>
        <w:t>内出具</w:t>
      </w:r>
      <w:r>
        <w:rPr>
          <w:rFonts w:hint="eastAsia" w:ascii="宋体" w:hAnsi="宋体"/>
          <w:sz w:val="28"/>
          <w:szCs w:val="28"/>
          <w:highlight w:val="none"/>
          <w:lang w:val="en-US" w:eastAsia="zh-CN"/>
        </w:rPr>
        <w:t>审计</w:t>
      </w:r>
      <w:r>
        <w:rPr>
          <w:rFonts w:hint="eastAsia" w:ascii="宋体" w:hAnsi="宋体"/>
          <w:sz w:val="28"/>
          <w:szCs w:val="28"/>
          <w:highlight w:val="none"/>
        </w:rPr>
        <w:t>报告</w:t>
      </w:r>
      <w:r>
        <w:rPr>
          <w:rFonts w:hint="eastAsia" w:ascii="宋体" w:hAnsi="宋体"/>
          <w:sz w:val="28"/>
          <w:szCs w:val="28"/>
          <w:highlight w:val="none"/>
          <w:lang w:val="en-US" w:eastAsia="zh-CN"/>
        </w:rPr>
        <w:t>及管理建议书</w:t>
      </w:r>
      <w:r>
        <w:rPr>
          <w:rFonts w:hint="eastAsia" w:ascii="宋体" w:hAnsi="宋体"/>
          <w:sz w:val="28"/>
          <w:szCs w:val="28"/>
          <w:highlight w:val="none"/>
        </w:rPr>
        <w:t>初稿，征询甲方的意见，并根据甲方的意见进行修订或补充，经甲方审批通过后</w:t>
      </w:r>
      <w:r>
        <w:rPr>
          <w:rFonts w:ascii="宋体" w:hAnsi="宋体"/>
          <w:sz w:val="28"/>
          <w:szCs w:val="28"/>
          <w:highlight w:val="none"/>
          <w:u w:val="single"/>
        </w:rPr>
        <w:t xml:space="preserve"> </w:t>
      </w:r>
      <w:r>
        <w:rPr>
          <w:rFonts w:hint="eastAsia" w:ascii="宋体" w:hAnsi="宋体"/>
          <w:b/>
          <w:bCs/>
          <w:sz w:val="28"/>
          <w:szCs w:val="28"/>
          <w:highlight w:val="none"/>
          <w:u w:val="single"/>
          <w:lang w:val="en-US" w:eastAsia="zh-CN"/>
        </w:rPr>
        <w:t>3</w:t>
      </w:r>
      <w:r>
        <w:rPr>
          <w:rFonts w:hint="eastAsia" w:ascii="宋体" w:hAnsi="宋体"/>
          <w:b/>
          <w:bCs/>
          <w:sz w:val="28"/>
          <w:szCs w:val="28"/>
          <w:highlight w:val="none"/>
          <w:u w:val="single"/>
        </w:rPr>
        <w:t>个工作日</w:t>
      </w:r>
      <w:r>
        <w:rPr>
          <w:rFonts w:ascii="宋体" w:hAnsi="宋体"/>
          <w:b/>
          <w:bCs/>
          <w:sz w:val="28"/>
          <w:szCs w:val="28"/>
          <w:highlight w:val="none"/>
          <w:u w:val="single"/>
        </w:rPr>
        <w:t xml:space="preserve"> </w:t>
      </w:r>
      <w:r>
        <w:rPr>
          <w:rFonts w:hint="eastAsia" w:ascii="宋体" w:hAnsi="宋体"/>
          <w:sz w:val="28"/>
          <w:szCs w:val="28"/>
          <w:highlight w:val="none"/>
        </w:rPr>
        <w:t>内出具正式</w:t>
      </w:r>
      <w:r>
        <w:rPr>
          <w:rFonts w:hint="eastAsia" w:ascii="宋体" w:hAnsi="宋体"/>
          <w:sz w:val="28"/>
          <w:szCs w:val="28"/>
          <w:highlight w:val="none"/>
          <w:lang w:val="en-US" w:eastAsia="zh-CN"/>
        </w:rPr>
        <w:t>审计</w:t>
      </w:r>
      <w:r>
        <w:rPr>
          <w:rFonts w:hint="eastAsia" w:ascii="宋体" w:hAnsi="宋体"/>
          <w:sz w:val="28"/>
          <w:szCs w:val="28"/>
          <w:highlight w:val="none"/>
        </w:rPr>
        <w:t>报告</w:t>
      </w:r>
      <w:r>
        <w:rPr>
          <w:rFonts w:hint="eastAsia" w:ascii="宋体" w:hAnsi="宋体"/>
          <w:sz w:val="28"/>
          <w:szCs w:val="28"/>
          <w:highlight w:val="none"/>
          <w:lang w:val="en-US" w:eastAsia="zh-CN"/>
        </w:rPr>
        <w:t>及管理建议书</w:t>
      </w:r>
      <w:r>
        <w:rPr>
          <w:rFonts w:hint="eastAsia" w:ascii="宋体" w:hAnsi="宋体"/>
          <w:sz w:val="28"/>
          <w:szCs w:val="28"/>
          <w:highlight w:val="none"/>
        </w:rPr>
        <w:t>各</w:t>
      </w:r>
      <w:r>
        <w:rPr>
          <w:rFonts w:ascii="宋体" w:hAnsi="宋体"/>
          <w:sz w:val="28"/>
          <w:szCs w:val="28"/>
          <w:highlight w:val="none"/>
          <w:u w:val="single"/>
        </w:rPr>
        <w:t xml:space="preserve"> </w:t>
      </w:r>
      <w:r>
        <w:rPr>
          <w:rFonts w:hint="eastAsia" w:ascii="宋体" w:hAnsi="宋体"/>
          <w:b/>
          <w:sz w:val="28"/>
          <w:szCs w:val="28"/>
          <w:highlight w:val="none"/>
          <w:u w:val="single"/>
        </w:rPr>
        <w:t>一式</w:t>
      </w:r>
      <w:r>
        <w:rPr>
          <w:rFonts w:ascii="宋体" w:hAnsi="宋体"/>
          <w:b/>
          <w:sz w:val="28"/>
          <w:szCs w:val="28"/>
          <w:highlight w:val="none"/>
          <w:u w:val="single"/>
        </w:rPr>
        <w:t xml:space="preserve"> 5 </w:t>
      </w:r>
      <w:r>
        <w:rPr>
          <w:rFonts w:hint="eastAsia" w:ascii="宋体" w:hAnsi="宋体"/>
          <w:b/>
          <w:sz w:val="28"/>
          <w:szCs w:val="28"/>
          <w:highlight w:val="none"/>
          <w:u w:val="single"/>
        </w:rPr>
        <w:t>份</w:t>
      </w:r>
      <w:r>
        <w:rPr>
          <w:rFonts w:ascii="宋体" w:hAnsi="宋体"/>
          <w:b/>
          <w:sz w:val="28"/>
          <w:szCs w:val="28"/>
          <w:highlight w:val="none"/>
          <w:u w:val="single"/>
        </w:rPr>
        <w:t xml:space="preserve"> </w:t>
      </w:r>
      <w:r>
        <w:rPr>
          <w:rFonts w:hint="eastAsia" w:ascii="宋体" w:hAnsi="宋体"/>
          <w:sz w:val="28"/>
          <w:szCs w:val="28"/>
          <w:highlight w:val="none"/>
        </w:rPr>
        <w:t>和电子文档、扫描文档各一份。</w:t>
      </w:r>
    </w:p>
    <w:p>
      <w:pPr>
        <w:tabs>
          <w:tab w:val="left" w:pos="720"/>
        </w:tabs>
        <w:spacing w:line="540" w:lineRule="exact"/>
        <w:ind w:firstLine="562" w:firstLineChars="200"/>
        <w:rPr>
          <w:rFonts w:ascii="宋体"/>
          <w:b/>
          <w:sz w:val="28"/>
          <w:szCs w:val="28"/>
          <w:highlight w:val="none"/>
        </w:rPr>
      </w:pPr>
      <w:r>
        <w:rPr>
          <w:rFonts w:hint="eastAsia" w:ascii="宋体" w:hAnsi="宋体"/>
          <w:b/>
          <w:sz w:val="28"/>
          <w:szCs w:val="28"/>
          <w:highlight w:val="none"/>
        </w:rPr>
        <w:t>六、</w:t>
      </w:r>
      <w:r>
        <w:rPr>
          <w:rFonts w:hint="eastAsia" w:ascii="宋体" w:hAnsi="宋体"/>
          <w:b/>
          <w:sz w:val="28"/>
          <w:szCs w:val="28"/>
          <w:highlight w:val="none"/>
          <w:lang w:val="en-US" w:eastAsia="zh-CN"/>
        </w:rPr>
        <w:t>审计</w:t>
      </w:r>
      <w:r>
        <w:rPr>
          <w:rFonts w:hint="eastAsia" w:ascii="宋体" w:hAnsi="宋体"/>
          <w:b/>
          <w:sz w:val="28"/>
          <w:szCs w:val="28"/>
          <w:highlight w:val="none"/>
        </w:rPr>
        <w:t>费用金额及支付</w:t>
      </w:r>
    </w:p>
    <w:p>
      <w:pPr>
        <w:spacing w:line="540" w:lineRule="exact"/>
        <w:ind w:firstLine="551" w:firstLineChars="197"/>
        <w:rPr>
          <w:rFonts w:ascii="宋体"/>
          <w:sz w:val="28"/>
          <w:szCs w:val="28"/>
          <w:highlight w:val="none"/>
        </w:rPr>
      </w:pPr>
      <w:r>
        <w:rPr>
          <w:rFonts w:hint="eastAsia" w:ascii="宋体" w:hAnsi="宋体"/>
          <w:sz w:val="28"/>
          <w:szCs w:val="28"/>
          <w:highlight w:val="none"/>
        </w:rPr>
        <w:t>本次</w:t>
      </w:r>
      <w:r>
        <w:rPr>
          <w:rFonts w:hint="eastAsia" w:ascii="宋体" w:hAnsi="宋体"/>
          <w:sz w:val="28"/>
          <w:szCs w:val="28"/>
          <w:highlight w:val="none"/>
          <w:lang w:val="en-US" w:eastAsia="zh-CN"/>
        </w:rPr>
        <w:t>审计</w:t>
      </w:r>
      <w:r>
        <w:rPr>
          <w:rFonts w:hint="eastAsia" w:ascii="宋体" w:hAnsi="宋体"/>
          <w:sz w:val="28"/>
          <w:szCs w:val="28"/>
          <w:highlight w:val="none"/>
        </w:rPr>
        <w:t>业务的收费实行固定总价包干的原则，</w:t>
      </w:r>
      <w:r>
        <w:rPr>
          <w:rFonts w:hint="eastAsia" w:ascii="宋体" w:hAnsi="宋体"/>
          <w:sz w:val="28"/>
          <w:szCs w:val="28"/>
          <w:highlight w:val="none"/>
          <w:lang w:val="en-US" w:eastAsia="zh-CN"/>
        </w:rPr>
        <w:t>审计</w:t>
      </w:r>
      <w:r>
        <w:rPr>
          <w:rFonts w:hint="eastAsia" w:ascii="宋体" w:hAnsi="宋体"/>
          <w:sz w:val="28"/>
          <w:szCs w:val="28"/>
          <w:highlight w:val="none"/>
        </w:rPr>
        <w:t>费用为人民币：不含税</w:t>
      </w:r>
      <w:r>
        <w:rPr>
          <w:rFonts w:ascii="宋体" w:hAnsi="宋体"/>
          <w:sz w:val="28"/>
          <w:szCs w:val="28"/>
          <w:highlight w:val="none"/>
          <w:u w:val="single"/>
        </w:rPr>
        <w:t xml:space="preserve">       </w:t>
      </w:r>
      <w:r>
        <w:rPr>
          <w:rFonts w:hint="eastAsia" w:ascii="宋体" w:hAnsi="宋体"/>
          <w:sz w:val="28"/>
          <w:szCs w:val="28"/>
          <w:highlight w:val="none"/>
        </w:rPr>
        <w:t>元，</w:t>
      </w:r>
      <w:r>
        <w:rPr>
          <w:rFonts w:hint="eastAsia" w:ascii="宋体" w:hAnsi="宋体"/>
          <w:sz w:val="28"/>
          <w:szCs w:val="28"/>
          <w:highlight w:val="none"/>
          <w:lang w:val="en-US" w:eastAsia="zh-CN"/>
        </w:rPr>
        <w:t>增值税税额</w:t>
      </w:r>
      <w:r>
        <w:rPr>
          <w:rFonts w:ascii="宋体" w:hAnsi="宋体"/>
          <w:sz w:val="28"/>
          <w:szCs w:val="28"/>
          <w:highlight w:val="none"/>
          <w:u w:val="single"/>
        </w:rPr>
        <w:t xml:space="preserve">     </w:t>
      </w:r>
      <w:r>
        <w:rPr>
          <w:rFonts w:hint="eastAsia" w:ascii="宋体" w:hAnsi="宋体"/>
          <w:sz w:val="28"/>
          <w:szCs w:val="28"/>
          <w:highlight w:val="none"/>
          <w:u w:val="single"/>
          <w:lang w:val="en-US" w:eastAsia="zh-CN"/>
        </w:rPr>
        <w:t xml:space="preserve"> </w:t>
      </w:r>
      <w:r>
        <w:rPr>
          <w:rFonts w:ascii="宋体" w:hAnsi="宋体"/>
          <w:sz w:val="28"/>
          <w:szCs w:val="28"/>
          <w:highlight w:val="none"/>
          <w:u w:val="single"/>
        </w:rPr>
        <w:t xml:space="preserve"> </w:t>
      </w:r>
      <w:r>
        <w:rPr>
          <w:rFonts w:hint="eastAsia" w:ascii="宋体" w:hAnsi="宋体"/>
          <w:sz w:val="28"/>
          <w:szCs w:val="28"/>
          <w:highlight w:val="none"/>
        </w:rPr>
        <w:t>元</w:t>
      </w:r>
      <w:r>
        <w:rPr>
          <w:rFonts w:hint="eastAsia" w:ascii="宋体" w:hAnsi="宋体"/>
          <w:sz w:val="28"/>
          <w:szCs w:val="28"/>
          <w:highlight w:val="none"/>
          <w:lang w:eastAsia="zh-CN"/>
        </w:rPr>
        <w:t>（</w:t>
      </w:r>
      <w:r>
        <w:rPr>
          <w:rFonts w:hint="eastAsia" w:ascii="宋体" w:hAnsi="宋体"/>
          <w:sz w:val="28"/>
          <w:szCs w:val="28"/>
          <w:highlight w:val="none"/>
        </w:rPr>
        <w:t>税率</w:t>
      </w:r>
      <w:r>
        <w:rPr>
          <w:rFonts w:ascii="宋体" w:hAnsi="宋体"/>
          <w:sz w:val="28"/>
          <w:szCs w:val="28"/>
          <w:highlight w:val="none"/>
        </w:rPr>
        <w:t xml:space="preserve"> </w:t>
      </w:r>
      <w:r>
        <w:rPr>
          <w:rFonts w:ascii="宋体" w:hAnsi="宋体"/>
          <w:sz w:val="28"/>
          <w:szCs w:val="28"/>
          <w:highlight w:val="none"/>
          <w:u w:val="single"/>
        </w:rPr>
        <w:t xml:space="preserve">     </w:t>
      </w:r>
      <w:r>
        <w:rPr>
          <w:rFonts w:hint="eastAsia" w:ascii="宋体" w:hAnsi="宋体"/>
          <w:sz w:val="28"/>
          <w:szCs w:val="28"/>
          <w:highlight w:val="none"/>
          <w:u w:val="single"/>
          <w:lang w:val="en-US" w:eastAsia="zh-CN"/>
        </w:rPr>
        <w:t>%</w:t>
      </w:r>
      <w:r>
        <w:rPr>
          <w:rFonts w:hint="eastAsia" w:ascii="宋体" w:hAnsi="宋体"/>
          <w:sz w:val="28"/>
          <w:szCs w:val="28"/>
          <w:highlight w:val="none"/>
          <w:lang w:eastAsia="zh-CN"/>
        </w:rPr>
        <w:t>）</w:t>
      </w:r>
      <w:r>
        <w:rPr>
          <w:rFonts w:hint="eastAsia" w:ascii="宋体" w:hAnsi="宋体"/>
          <w:sz w:val="28"/>
          <w:szCs w:val="28"/>
          <w:highlight w:val="none"/>
        </w:rPr>
        <w:t>，价税合计</w:t>
      </w:r>
      <w:r>
        <w:rPr>
          <w:rFonts w:ascii="宋体" w:hAnsi="宋体"/>
          <w:sz w:val="28"/>
          <w:szCs w:val="28"/>
          <w:highlight w:val="none"/>
          <w:u w:val="single"/>
        </w:rPr>
        <w:t xml:space="preserve">       </w:t>
      </w:r>
      <w:r>
        <w:rPr>
          <w:rFonts w:hint="eastAsia" w:ascii="宋体" w:hAnsi="宋体"/>
          <w:sz w:val="28"/>
          <w:szCs w:val="28"/>
          <w:highlight w:val="none"/>
        </w:rPr>
        <w:t>元</w:t>
      </w:r>
      <w:r>
        <w:rPr>
          <w:rFonts w:hint="eastAsia" w:ascii="宋体" w:hAnsi="宋体"/>
          <w:sz w:val="28"/>
          <w:szCs w:val="28"/>
          <w:highlight w:val="none"/>
          <w:lang w:eastAsia="zh-CN"/>
        </w:rPr>
        <w:t>，</w:t>
      </w:r>
      <w:r>
        <w:rPr>
          <w:rFonts w:hint="eastAsia" w:ascii="宋体" w:hAnsi="宋体"/>
          <w:sz w:val="28"/>
          <w:szCs w:val="28"/>
          <w:highlight w:val="none"/>
          <w:lang w:val="en-US" w:eastAsia="zh-CN"/>
        </w:rPr>
        <w:t>合同不含税价格不因国家政策调整税率而调整。审计</w:t>
      </w:r>
      <w:r>
        <w:rPr>
          <w:rFonts w:hint="eastAsia" w:ascii="宋体" w:hAnsi="宋体"/>
          <w:sz w:val="28"/>
          <w:szCs w:val="28"/>
          <w:highlight w:val="none"/>
        </w:rPr>
        <w:t>费用由</w:t>
      </w:r>
      <w:r>
        <w:rPr>
          <w:rFonts w:hint="eastAsia" w:ascii="宋体" w:hAnsi="宋体"/>
          <w:sz w:val="28"/>
          <w:szCs w:val="28"/>
          <w:highlight w:val="none"/>
          <w:u w:val="single"/>
        </w:rPr>
        <w:t>甲方</w:t>
      </w:r>
      <w:r>
        <w:rPr>
          <w:rFonts w:hint="eastAsia" w:ascii="宋体" w:hAnsi="宋体"/>
          <w:sz w:val="28"/>
          <w:szCs w:val="28"/>
          <w:highlight w:val="none"/>
        </w:rPr>
        <w:t>支付，自乙方出具</w:t>
      </w:r>
      <w:r>
        <w:rPr>
          <w:rFonts w:hint="eastAsia" w:ascii="宋体" w:hAnsi="宋体"/>
          <w:sz w:val="28"/>
          <w:szCs w:val="28"/>
          <w:highlight w:val="none"/>
          <w:lang w:val="en-US" w:eastAsia="zh-CN"/>
        </w:rPr>
        <w:t>审计</w:t>
      </w:r>
      <w:r>
        <w:rPr>
          <w:rFonts w:hint="eastAsia" w:ascii="宋体" w:hAnsi="宋体"/>
          <w:sz w:val="28"/>
          <w:szCs w:val="28"/>
          <w:highlight w:val="none"/>
        </w:rPr>
        <w:t>报告</w:t>
      </w:r>
      <w:r>
        <w:rPr>
          <w:rFonts w:hint="eastAsia" w:ascii="宋体" w:hAnsi="宋体"/>
          <w:sz w:val="28"/>
          <w:szCs w:val="28"/>
          <w:highlight w:val="none"/>
          <w:lang w:val="en-US" w:eastAsia="zh-CN"/>
        </w:rPr>
        <w:t>及管理建议书</w:t>
      </w:r>
      <w:r>
        <w:rPr>
          <w:rFonts w:hint="eastAsia" w:ascii="宋体" w:hAnsi="宋体"/>
          <w:sz w:val="28"/>
          <w:szCs w:val="28"/>
          <w:highlight w:val="none"/>
        </w:rPr>
        <w:t>（正式版），经</w:t>
      </w:r>
      <w:r>
        <w:rPr>
          <w:rFonts w:ascii="宋体" w:hAnsi="宋体"/>
          <w:sz w:val="28"/>
          <w:szCs w:val="28"/>
          <w:highlight w:val="none"/>
          <w:u w:val="single"/>
        </w:rPr>
        <w:t xml:space="preserve"> </w:t>
      </w:r>
      <w:r>
        <w:rPr>
          <w:rFonts w:hint="eastAsia" w:ascii="宋体" w:hAnsi="宋体"/>
          <w:sz w:val="28"/>
          <w:szCs w:val="28"/>
          <w:highlight w:val="none"/>
          <w:u w:val="single"/>
        </w:rPr>
        <w:t>甲方</w:t>
      </w:r>
      <w:r>
        <w:rPr>
          <w:rFonts w:ascii="宋体" w:hAnsi="宋体"/>
          <w:sz w:val="28"/>
          <w:szCs w:val="28"/>
          <w:highlight w:val="none"/>
          <w:u w:val="single"/>
        </w:rPr>
        <w:t xml:space="preserve"> </w:t>
      </w:r>
      <w:r>
        <w:rPr>
          <w:rFonts w:hint="eastAsia" w:ascii="宋体" w:hAnsi="宋体"/>
          <w:sz w:val="28"/>
          <w:szCs w:val="28"/>
          <w:highlight w:val="none"/>
        </w:rPr>
        <w:t>审批通过后</w:t>
      </w:r>
      <w:r>
        <w:rPr>
          <w:rFonts w:ascii="宋体" w:hAnsi="宋体"/>
          <w:sz w:val="28"/>
          <w:szCs w:val="28"/>
          <w:highlight w:val="none"/>
        </w:rPr>
        <w:t>30</w:t>
      </w:r>
      <w:r>
        <w:rPr>
          <w:rFonts w:hint="eastAsia" w:ascii="宋体" w:hAnsi="宋体"/>
          <w:sz w:val="28"/>
          <w:szCs w:val="28"/>
          <w:highlight w:val="none"/>
        </w:rPr>
        <w:t>个工作日内，完成计量结算手续并提供合法等额增值税专用发票后</w:t>
      </w:r>
      <w:r>
        <w:rPr>
          <w:rFonts w:ascii="宋体" w:hAnsi="宋体"/>
          <w:sz w:val="28"/>
          <w:szCs w:val="28"/>
          <w:highlight w:val="none"/>
        </w:rPr>
        <w:t>20</w:t>
      </w:r>
      <w:r>
        <w:rPr>
          <w:rFonts w:hint="eastAsia" w:ascii="宋体" w:hAnsi="宋体"/>
          <w:sz w:val="28"/>
          <w:szCs w:val="28"/>
          <w:highlight w:val="none"/>
        </w:rPr>
        <w:t>个工作日内一次性支付结算款。如乙方未足额提供增值税专用发票的，甲方有权顺延付款时间直至乙方补足发票之日止再起算付款时间。</w:t>
      </w:r>
    </w:p>
    <w:p>
      <w:pPr>
        <w:spacing w:line="540" w:lineRule="exact"/>
        <w:ind w:firstLine="551" w:firstLineChars="196"/>
        <w:rPr>
          <w:rFonts w:ascii="宋体"/>
          <w:sz w:val="28"/>
          <w:szCs w:val="28"/>
          <w:highlight w:val="none"/>
        </w:rPr>
      </w:pPr>
      <w:r>
        <w:rPr>
          <w:rFonts w:hint="eastAsia" w:ascii="宋体" w:hAnsi="宋体"/>
          <w:b/>
          <w:bCs/>
          <w:sz w:val="28"/>
          <w:szCs w:val="28"/>
          <w:highlight w:val="none"/>
        </w:rPr>
        <w:t>上述费用包括了</w:t>
      </w:r>
      <w:r>
        <w:rPr>
          <w:rFonts w:hint="eastAsia" w:ascii="宋体" w:hAnsi="宋体"/>
          <w:b/>
          <w:bCs/>
          <w:sz w:val="28"/>
          <w:szCs w:val="28"/>
          <w:highlight w:val="none"/>
          <w:lang w:val="en-US" w:eastAsia="zh-CN"/>
        </w:rPr>
        <w:t>审计</w:t>
      </w:r>
      <w:r>
        <w:rPr>
          <w:rFonts w:hint="eastAsia" w:ascii="宋体" w:hAnsi="宋体"/>
          <w:b/>
          <w:bCs/>
          <w:sz w:val="28"/>
          <w:szCs w:val="28"/>
          <w:highlight w:val="none"/>
        </w:rPr>
        <w:t>费用以及</w:t>
      </w:r>
      <w:r>
        <w:rPr>
          <w:rFonts w:hint="eastAsia" w:ascii="宋体" w:hAnsi="宋体"/>
          <w:b/>
          <w:bCs/>
          <w:sz w:val="28"/>
          <w:szCs w:val="28"/>
          <w:highlight w:val="none"/>
          <w:lang w:val="en-US" w:eastAsia="zh-CN"/>
        </w:rPr>
        <w:t>审计</w:t>
      </w:r>
      <w:r>
        <w:rPr>
          <w:rFonts w:hint="eastAsia" w:ascii="宋体" w:hAnsi="宋体"/>
          <w:b/>
          <w:bCs/>
          <w:sz w:val="28"/>
          <w:szCs w:val="28"/>
          <w:highlight w:val="none"/>
        </w:rPr>
        <w:t>过程中发生其他所有费用（包括但不限于税费、交通费、食宿费、差旅费等），除此之外，乙方不得向甲方或被</w:t>
      </w:r>
      <w:r>
        <w:rPr>
          <w:rFonts w:hint="eastAsia" w:ascii="宋体" w:hAnsi="宋体"/>
          <w:b/>
          <w:bCs/>
          <w:sz w:val="28"/>
          <w:szCs w:val="28"/>
          <w:highlight w:val="none"/>
          <w:lang w:val="en-US" w:eastAsia="zh-CN"/>
        </w:rPr>
        <w:t>审计</w:t>
      </w:r>
      <w:r>
        <w:rPr>
          <w:rFonts w:hint="eastAsia" w:ascii="宋体" w:hAnsi="宋体"/>
          <w:b/>
          <w:bCs/>
          <w:sz w:val="28"/>
          <w:szCs w:val="28"/>
          <w:highlight w:val="none"/>
        </w:rPr>
        <w:t>单位另行收取任何费用</w:t>
      </w:r>
      <w:r>
        <w:rPr>
          <w:rFonts w:hint="eastAsia" w:ascii="宋体" w:hAnsi="宋体"/>
          <w:sz w:val="28"/>
          <w:szCs w:val="28"/>
          <w:highlight w:val="none"/>
        </w:rPr>
        <w:t>。</w:t>
      </w:r>
    </w:p>
    <w:p>
      <w:pPr>
        <w:spacing w:line="540" w:lineRule="exact"/>
        <w:ind w:firstLine="562" w:firstLineChars="200"/>
        <w:rPr>
          <w:rFonts w:ascii="宋体"/>
          <w:b/>
          <w:sz w:val="28"/>
          <w:szCs w:val="28"/>
          <w:highlight w:val="none"/>
        </w:rPr>
      </w:pPr>
      <w:r>
        <w:rPr>
          <w:rFonts w:hint="eastAsia" w:ascii="宋体" w:hAnsi="宋体"/>
          <w:b/>
          <w:sz w:val="28"/>
          <w:szCs w:val="28"/>
          <w:highlight w:val="none"/>
        </w:rPr>
        <w:t>七、违约责任</w:t>
      </w:r>
    </w:p>
    <w:p>
      <w:pPr>
        <w:spacing w:line="540" w:lineRule="exact"/>
        <w:ind w:firstLine="420" w:firstLineChars="150"/>
        <w:rPr>
          <w:rFonts w:ascii="宋体"/>
          <w:sz w:val="28"/>
          <w:szCs w:val="28"/>
          <w:highlight w:val="none"/>
        </w:rPr>
      </w:pPr>
      <w:r>
        <w:rPr>
          <w:rFonts w:hint="eastAsia" w:ascii="宋体" w:hAnsi="宋体"/>
          <w:sz w:val="28"/>
          <w:szCs w:val="28"/>
          <w:highlight w:val="none"/>
        </w:rPr>
        <w:t>（一）本合同正式签订生效后，任何一方不履行或不完全履行本合同约定条款的，即构成违约。任何一方违约不履行本合同，违约方应向守约方支付由于违约造成的一切损失。</w:t>
      </w:r>
    </w:p>
    <w:p>
      <w:pPr>
        <w:spacing w:line="540" w:lineRule="exact"/>
        <w:ind w:firstLine="420" w:firstLineChars="150"/>
        <w:rPr>
          <w:rFonts w:ascii="宋体"/>
          <w:sz w:val="28"/>
          <w:szCs w:val="28"/>
          <w:highlight w:val="none"/>
        </w:rPr>
      </w:pPr>
      <w:r>
        <w:rPr>
          <w:rFonts w:hint="eastAsia" w:ascii="宋体" w:hAnsi="宋体"/>
          <w:sz w:val="28"/>
          <w:szCs w:val="28"/>
          <w:highlight w:val="none"/>
        </w:rPr>
        <w:t>（二）如乙方不能按照本合同约定履行义务的，甲方有权直接解除合同，剩余</w:t>
      </w:r>
      <w:r>
        <w:rPr>
          <w:rFonts w:hint="eastAsia" w:ascii="宋体" w:hAnsi="宋体"/>
          <w:sz w:val="28"/>
          <w:szCs w:val="28"/>
          <w:highlight w:val="none"/>
          <w:lang w:val="en-US" w:eastAsia="zh-CN"/>
        </w:rPr>
        <w:t>审计</w:t>
      </w:r>
      <w:r>
        <w:rPr>
          <w:rFonts w:hint="eastAsia" w:ascii="宋体" w:hAnsi="宋体"/>
          <w:sz w:val="28"/>
          <w:szCs w:val="28"/>
          <w:highlight w:val="none"/>
        </w:rPr>
        <w:t>费用不予支付。甲方有权视情形要求乙方退回已支付的全部或部分</w:t>
      </w:r>
      <w:r>
        <w:rPr>
          <w:rFonts w:hint="eastAsia" w:ascii="宋体" w:hAnsi="宋体"/>
          <w:sz w:val="28"/>
          <w:szCs w:val="28"/>
          <w:highlight w:val="none"/>
          <w:lang w:val="en-US" w:eastAsia="zh-CN"/>
        </w:rPr>
        <w:t>审计</w:t>
      </w:r>
      <w:r>
        <w:rPr>
          <w:rFonts w:hint="eastAsia" w:ascii="宋体" w:hAnsi="宋体"/>
          <w:sz w:val="28"/>
          <w:szCs w:val="28"/>
          <w:highlight w:val="none"/>
        </w:rPr>
        <w:t>费用，给甲方造成其他损失的，乙方还应进行赔偿。若乙方延期交付</w:t>
      </w:r>
      <w:r>
        <w:rPr>
          <w:rFonts w:hint="eastAsia" w:ascii="宋体" w:hAnsi="宋体"/>
          <w:sz w:val="28"/>
          <w:szCs w:val="28"/>
          <w:highlight w:val="none"/>
          <w:lang w:val="en-US" w:eastAsia="zh-CN"/>
        </w:rPr>
        <w:t>审计</w:t>
      </w:r>
      <w:r>
        <w:rPr>
          <w:rFonts w:hint="eastAsia" w:ascii="宋体" w:hAnsi="宋体"/>
          <w:sz w:val="28"/>
          <w:szCs w:val="28"/>
          <w:highlight w:val="none"/>
        </w:rPr>
        <w:t>报告</w:t>
      </w:r>
      <w:r>
        <w:rPr>
          <w:rFonts w:hint="eastAsia" w:ascii="宋体" w:hAnsi="宋体"/>
          <w:sz w:val="28"/>
          <w:szCs w:val="28"/>
          <w:highlight w:val="none"/>
          <w:lang w:val="en-US" w:eastAsia="zh-CN"/>
        </w:rPr>
        <w:t>及管理建议书</w:t>
      </w:r>
      <w:r>
        <w:rPr>
          <w:rFonts w:hint="eastAsia" w:ascii="宋体" w:hAnsi="宋体"/>
          <w:sz w:val="28"/>
          <w:szCs w:val="28"/>
          <w:highlight w:val="none"/>
        </w:rPr>
        <w:t>初稿或正式版，甲方有权按照</w:t>
      </w:r>
      <w:r>
        <w:rPr>
          <w:rFonts w:hint="eastAsia" w:ascii="宋体" w:hAnsi="宋体"/>
          <w:sz w:val="28"/>
          <w:szCs w:val="28"/>
          <w:highlight w:val="none"/>
          <w:lang w:val="en-US" w:eastAsia="zh-CN"/>
        </w:rPr>
        <w:t>审计</w:t>
      </w:r>
      <w:r>
        <w:rPr>
          <w:rFonts w:hint="eastAsia" w:ascii="宋体" w:hAnsi="宋体"/>
          <w:sz w:val="28"/>
          <w:szCs w:val="28"/>
          <w:highlight w:val="none"/>
        </w:rPr>
        <w:t>费用总额的千分之三</w:t>
      </w:r>
      <w:r>
        <w:rPr>
          <w:rFonts w:ascii="宋体" w:hAnsi="宋体"/>
          <w:sz w:val="28"/>
          <w:szCs w:val="28"/>
          <w:highlight w:val="none"/>
        </w:rPr>
        <w:t>/</w:t>
      </w:r>
      <w:r>
        <w:rPr>
          <w:rFonts w:hint="eastAsia" w:ascii="宋体" w:hAnsi="宋体"/>
          <w:sz w:val="28"/>
          <w:szCs w:val="28"/>
          <w:highlight w:val="none"/>
        </w:rPr>
        <w:t>每日</w:t>
      </w:r>
      <w:r>
        <w:rPr>
          <w:rFonts w:ascii="宋体" w:hAnsi="宋体"/>
          <w:sz w:val="28"/>
          <w:szCs w:val="28"/>
          <w:highlight w:val="none"/>
        </w:rPr>
        <w:t>*</w:t>
      </w:r>
      <w:r>
        <w:rPr>
          <w:rFonts w:hint="eastAsia" w:ascii="宋体" w:hAnsi="宋体"/>
          <w:sz w:val="28"/>
          <w:szCs w:val="28"/>
          <w:highlight w:val="none"/>
        </w:rPr>
        <w:t>（延期天数）向乙方收取违约金。</w:t>
      </w:r>
    </w:p>
    <w:p>
      <w:pPr>
        <w:spacing w:line="540" w:lineRule="exact"/>
        <w:ind w:firstLine="420" w:firstLineChars="150"/>
        <w:rPr>
          <w:rFonts w:ascii="宋体"/>
          <w:sz w:val="28"/>
          <w:szCs w:val="28"/>
          <w:highlight w:val="none"/>
        </w:rPr>
      </w:pPr>
      <w:r>
        <w:rPr>
          <w:rFonts w:hint="eastAsia" w:ascii="宋体" w:hAnsi="宋体"/>
          <w:sz w:val="28"/>
          <w:szCs w:val="28"/>
          <w:highlight w:val="none"/>
        </w:rPr>
        <w:t>（三）甲方无故逾期办理合同款支付手续的，甲方应按逾期付款总额每日万分之五向乙方支付违约金。</w:t>
      </w:r>
    </w:p>
    <w:p>
      <w:pPr>
        <w:spacing w:line="540" w:lineRule="exact"/>
        <w:ind w:firstLine="420" w:firstLineChars="150"/>
        <w:rPr>
          <w:rFonts w:ascii="宋体"/>
          <w:sz w:val="28"/>
          <w:szCs w:val="28"/>
          <w:highlight w:val="none"/>
        </w:rPr>
      </w:pPr>
      <w:r>
        <w:rPr>
          <w:rFonts w:hint="eastAsia" w:ascii="宋体" w:hAnsi="宋体"/>
          <w:sz w:val="28"/>
          <w:szCs w:val="28"/>
          <w:highlight w:val="none"/>
        </w:rPr>
        <w:t>（四）乙方不履行保密条款、过失或故意泄露其知悉的甲方保密事项或擅自</w:t>
      </w:r>
      <w:r>
        <w:rPr>
          <w:rFonts w:hint="eastAsia" w:ascii="宋体" w:hAnsi="宋体"/>
          <w:sz w:val="28"/>
          <w:szCs w:val="28"/>
          <w:highlight w:val="none"/>
          <w:lang w:val="en-US" w:eastAsia="zh-CN"/>
        </w:rPr>
        <w:t>在</w:t>
      </w:r>
      <w:r>
        <w:rPr>
          <w:rFonts w:hint="eastAsia" w:ascii="宋体" w:hAnsi="宋体"/>
          <w:sz w:val="28"/>
          <w:szCs w:val="28"/>
          <w:highlight w:val="none"/>
        </w:rPr>
        <w:t>合同约定的工作内容之外使用甲方保密事项从而甲方造成损失的，乙方应承担相应的赔偿责任。</w:t>
      </w:r>
    </w:p>
    <w:p>
      <w:pPr>
        <w:spacing w:line="540" w:lineRule="exact"/>
        <w:ind w:firstLine="420" w:firstLineChars="150"/>
        <w:rPr>
          <w:rFonts w:ascii="宋体"/>
          <w:sz w:val="28"/>
          <w:szCs w:val="28"/>
          <w:highlight w:val="none"/>
        </w:rPr>
      </w:pPr>
      <w:r>
        <w:rPr>
          <w:rFonts w:hint="eastAsia" w:ascii="宋体" w:hAnsi="宋体"/>
          <w:sz w:val="28"/>
          <w:szCs w:val="28"/>
          <w:highlight w:val="none"/>
        </w:rPr>
        <w:t>（五）在本合同内确定的现场负责人原则上不予更换，若要更换需经得甲方同意，未经甲方同意而更换的，甲方可终止合同。现场负责人进驻</w:t>
      </w:r>
      <w:r>
        <w:rPr>
          <w:rFonts w:hint="eastAsia" w:ascii="宋体" w:hAnsi="宋体"/>
          <w:sz w:val="28"/>
          <w:szCs w:val="28"/>
          <w:highlight w:val="none"/>
          <w:lang w:val="en-US" w:eastAsia="zh-CN"/>
        </w:rPr>
        <w:t>审计</w:t>
      </w:r>
      <w:r>
        <w:rPr>
          <w:rFonts w:hint="eastAsia" w:ascii="宋体" w:hAnsi="宋体"/>
          <w:sz w:val="28"/>
          <w:szCs w:val="28"/>
          <w:highlight w:val="none"/>
        </w:rPr>
        <w:t>现场工作时间不得少于</w:t>
      </w:r>
      <w:r>
        <w:rPr>
          <w:rFonts w:ascii="宋体" w:hAnsi="宋体"/>
          <w:sz w:val="28"/>
          <w:szCs w:val="28"/>
          <w:highlight w:val="none"/>
        </w:rPr>
        <w:t>10</w:t>
      </w:r>
      <w:r>
        <w:rPr>
          <w:rFonts w:hint="eastAsia" w:ascii="宋体" w:hAnsi="宋体"/>
          <w:sz w:val="28"/>
          <w:szCs w:val="28"/>
          <w:highlight w:val="none"/>
        </w:rPr>
        <w:t>个工作日，否则视为乙方违约，并处以</w:t>
      </w:r>
      <w:r>
        <w:rPr>
          <w:rFonts w:ascii="宋体" w:hAnsi="宋体"/>
          <w:sz w:val="28"/>
          <w:szCs w:val="28"/>
          <w:highlight w:val="none"/>
        </w:rPr>
        <w:t>5000</w:t>
      </w:r>
      <w:r>
        <w:rPr>
          <w:rFonts w:hint="eastAsia" w:ascii="宋体" w:hAnsi="宋体"/>
          <w:sz w:val="28"/>
          <w:szCs w:val="28"/>
          <w:highlight w:val="none"/>
        </w:rPr>
        <w:t>元的违约金。</w:t>
      </w:r>
    </w:p>
    <w:p>
      <w:pPr>
        <w:spacing w:line="540" w:lineRule="exact"/>
        <w:ind w:firstLine="420" w:firstLineChars="150"/>
        <w:rPr>
          <w:rFonts w:ascii="宋体"/>
          <w:sz w:val="28"/>
          <w:szCs w:val="28"/>
          <w:highlight w:val="none"/>
        </w:rPr>
      </w:pPr>
      <w:r>
        <w:rPr>
          <w:rFonts w:hint="eastAsia" w:ascii="宋体" w:hAnsi="宋体"/>
          <w:sz w:val="28"/>
          <w:szCs w:val="28"/>
          <w:highlight w:val="none"/>
        </w:rPr>
        <w:t>（六）在本合同内确定的项目团队人员不应更换，如未经甲方同意擅自更换项目团队人员的，甲方将视其违约，并处以</w:t>
      </w:r>
      <w:r>
        <w:rPr>
          <w:rFonts w:ascii="宋体" w:hAnsi="宋体"/>
          <w:sz w:val="28"/>
          <w:szCs w:val="28"/>
          <w:highlight w:val="none"/>
        </w:rPr>
        <w:t>2000</w:t>
      </w:r>
      <w:r>
        <w:rPr>
          <w:rFonts w:hint="eastAsia" w:ascii="宋体" w:hAnsi="宋体"/>
          <w:sz w:val="28"/>
          <w:szCs w:val="28"/>
          <w:highlight w:val="none"/>
        </w:rPr>
        <w:t>元</w:t>
      </w:r>
      <w:r>
        <w:rPr>
          <w:rFonts w:ascii="宋体" w:hAnsi="宋体"/>
          <w:sz w:val="28"/>
          <w:szCs w:val="28"/>
          <w:highlight w:val="none"/>
        </w:rPr>
        <w:t>/</w:t>
      </w:r>
      <w:r>
        <w:rPr>
          <w:rFonts w:hint="eastAsia" w:ascii="宋体" w:hAnsi="宋体"/>
          <w:sz w:val="28"/>
          <w:szCs w:val="28"/>
          <w:highlight w:val="none"/>
        </w:rPr>
        <w:t>人的违约金。</w:t>
      </w:r>
    </w:p>
    <w:p>
      <w:pPr>
        <w:spacing w:line="540" w:lineRule="exact"/>
        <w:ind w:firstLine="562" w:firstLineChars="200"/>
        <w:rPr>
          <w:rFonts w:ascii="宋体"/>
          <w:b/>
          <w:sz w:val="28"/>
          <w:szCs w:val="28"/>
          <w:highlight w:val="none"/>
        </w:rPr>
      </w:pPr>
      <w:r>
        <w:rPr>
          <w:rFonts w:hint="eastAsia" w:ascii="宋体" w:hAnsi="宋体"/>
          <w:b/>
          <w:sz w:val="28"/>
          <w:szCs w:val="28"/>
          <w:highlight w:val="none"/>
        </w:rPr>
        <w:t>八、合同有效期</w:t>
      </w:r>
    </w:p>
    <w:p>
      <w:pPr>
        <w:spacing w:line="540" w:lineRule="exact"/>
        <w:ind w:firstLine="560" w:firstLineChars="200"/>
        <w:rPr>
          <w:rFonts w:ascii="宋体"/>
          <w:sz w:val="28"/>
          <w:szCs w:val="28"/>
          <w:highlight w:val="none"/>
        </w:rPr>
      </w:pPr>
      <w:r>
        <w:rPr>
          <w:rFonts w:hint="eastAsia" w:ascii="宋体" w:hAnsi="宋体"/>
          <w:sz w:val="28"/>
          <w:szCs w:val="28"/>
          <w:highlight w:val="none"/>
        </w:rPr>
        <w:t>本合同书自甲、乙双方法定代表人或授权委托人签字或盖法人章并加盖甲、乙双方公司公章或合同专用章之日起生效，并在双方履行完毕本合同约定的所有义务后终止，但其中第九条第（二）款规定的保密义务并不因本合同终止而失效。</w:t>
      </w:r>
    </w:p>
    <w:p>
      <w:pPr>
        <w:numPr>
          <w:ilvl w:val="0"/>
          <w:numId w:val="3"/>
        </w:numPr>
        <w:spacing w:line="540" w:lineRule="exact"/>
        <w:ind w:firstLine="562" w:firstLineChars="200"/>
        <w:rPr>
          <w:rFonts w:ascii="宋体"/>
          <w:b/>
          <w:bCs/>
          <w:sz w:val="28"/>
          <w:szCs w:val="28"/>
          <w:highlight w:val="none"/>
        </w:rPr>
      </w:pPr>
      <w:r>
        <w:rPr>
          <w:rFonts w:hint="eastAsia" w:ascii="宋体" w:hAnsi="宋体"/>
          <w:b/>
          <w:bCs/>
          <w:sz w:val="28"/>
          <w:szCs w:val="28"/>
          <w:highlight w:val="none"/>
        </w:rPr>
        <w:t>保密条款</w:t>
      </w:r>
    </w:p>
    <w:p>
      <w:pPr>
        <w:spacing w:line="540" w:lineRule="exact"/>
        <w:ind w:firstLine="420" w:firstLineChars="150"/>
        <w:rPr>
          <w:rFonts w:ascii="宋体"/>
          <w:sz w:val="28"/>
          <w:szCs w:val="28"/>
          <w:highlight w:val="none"/>
        </w:rPr>
      </w:pPr>
      <w:r>
        <w:rPr>
          <w:rFonts w:hint="eastAsia" w:ascii="宋体" w:hAnsi="宋体"/>
          <w:sz w:val="28"/>
          <w:szCs w:val="28"/>
          <w:highlight w:val="none"/>
        </w:rPr>
        <w:t>（一）乙方在</w:t>
      </w:r>
      <w:r>
        <w:rPr>
          <w:rFonts w:hint="eastAsia" w:ascii="宋体" w:hAnsi="宋体"/>
          <w:sz w:val="28"/>
          <w:szCs w:val="28"/>
          <w:highlight w:val="none"/>
          <w:lang w:val="en-US" w:eastAsia="zh-CN"/>
        </w:rPr>
        <w:t>审计</w:t>
      </w:r>
      <w:r>
        <w:rPr>
          <w:rFonts w:hint="eastAsia" w:ascii="宋体" w:hAnsi="宋体"/>
          <w:sz w:val="28"/>
          <w:szCs w:val="28"/>
          <w:highlight w:val="none"/>
        </w:rPr>
        <w:t>过程中发现对象或其所属单位在</w:t>
      </w:r>
      <w:r>
        <w:rPr>
          <w:rFonts w:hint="eastAsia" w:ascii="宋体" w:hAnsi="宋体"/>
          <w:sz w:val="28"/>
          <w:szCs w:val="28"/>
          <w:highlight w:val="none"/>
          <w:lang w:val="en-US" w:eastAsia="zh-CN"/>
        </w:rPr>
        <w:t>采购及合同管理、会计核算、财务管理等</w:t>
      </w:r>
      <w:r>
        <w:rPr>
          <w:rFonts w:hint="eastAsia" w:ascii="宋体" w:hAnsi="宋体"/>
          <w:sz w:val="28"/>
          <w:szCs w:val="28"/>
          <w:highlight w:val="none"/>
        </w:rPr>
        <w:t>有重大缺陷，有导致产生重大弊端的可能，应及时将有关情况通报甲方。</w:t>
      </w:r>
    </w:p>
    <w:p>
      <w:pPr>
        <w:spacing w:line="540" w:lineRule="exact"/>
        <w:ind w:firstLine="420" w:firstLineChars="150"/>
        <w:rPr>
          <w:rFonts w:ascii="宋体"/>
          <w:sz w:val="28"/>
          <w:szCs w:val="28"/>
          <w:highlight w:val="none"/>
        </w:rPr>
      </w:pPr>
      <w:r>
        <w:rPr>
          <w:rFonts w:hint="eastAsia" w:ascii="宋体" w:hAnsi="宋体"/>
          <w:sz w:val="28"/>
          <w:szCs w:val="28"/>
          <w:highlight w:val="none"/>
        </w:rPr>
        <w:t>（二）乙方对工作中知悉的商业秘密保密，不得将所获得的有关资料和文件用于与委托事项无关的活动。本义务在委托事项结束后，仍然有效。保密承诺书作为本合同的附件。</w:t>
      </w:r>
    </w:p>
    <w:p>
      <w:pPr>
        <w:spacing w:line="540" w:lineRule="exact"/>
        <w:ind w:firstLine="562" w:firstLineChars="200"/>
        <w:rPr>
          <w:rFonts w:ascii="宋体"/>
          <w:b/>
          <w:sz w:val="28"/>
          <w:szCs w:val="28"/>
          <w:highlight w:val="none"/>
        </w:rPr>
      </w:pPr>
      <w:r>
        <w:rPr>
          <w:rFonts w:hint="eastAsia" w:ascii="宋体" w:hAnsi="宋体"/>
          <w:b/>
          <w:sz w:val="28"/>
          <w:szCs w:val="28"/>
          <w:highlight w:val="none"/>
        </w:rPr>
        <w:t>十、争议解决</w:t>
      </w:r>
    </w:p>
    <w:p>
      <w:pPr>
        <w:spacing w:line="540" w:lineRule="exact"/>
        <w:ind w:firstLine="560"/>
        <w:rPr>
          <w:rFonts w:ascii="宋体"/>
          <w:bCs/>
          <w:sz w:val="28"/>
          <w:szCs w:val="28"/>
          <w:highlight w:val="none"/>
        </w:rPr>
      </w:pPr>
      <w:r>
        <w:rPr>
          <w:rFonts w:hint="eastAsia" w:ascii="宋体" w:hAnsi="宋体"/>
          <w:bCs/>
          <w:sz w:val="28"/>
          <w:szCs w:val="28"/>
          <w:highlight w:val="none"/>
        </w:rPr>
        <w:t>在本</w:t>
      </w:r>
      <w:r>
        <w:rPr>
          <w:rFonts w:hint="eastAsia" w:ascii="宋体" w:hAnsi="宋体"/>
          <w:sz w:val="28"/>
          <w:szCs w:val="28"/>
          <w:highlight w:val="none"/>
        </w:rPr>
        <w:t>合同</w:t>
      </w:r>
      <w:r>
        <w:rPr>
          <w:rFonts w:hint="eastAsia" w:ascii="宋体" w:hAnsi="宋体"/>
          <w:bCs/>
          <w:sz w:val="28"/>
          <w:szCs w:val="28"/>
          <w:highlight w:val="none"/>
        </w:rPr>
        <w:t>履行过程中发生争议的，应首先友好协商解决，协商不成的，任何一方有权向本</w:t>
      </w:r>
      <w:r>
        <w:rPr>
          <w:rFonts w:hint="eastAsia" w:ascii="宋体" w:hAnsi="宋体"/>
          <w:sz w:val="28"/>
          <w:szCs w:val="28"/>
          <w:highlight w:val="none"/>
        </w:rPr>
        <w:t>合同</w:t>
      </w:r>
      <w:r>
        <w:rPr>
          <w:rFonts w:hint="eastAsia" w:ascii="宋体" w:hAnsi="宋体"/>
          <w:bCs/>
          <w:sz w:val="28"/>
          <w:szCs w:val="28"/>
          <w:highlight w:val="none"/>
        </w:rPr>
        <w:t>甲方营业执照上记载的经营地址所在地有管辖权的人民法院提起诉讼。</w:t>
      </w:r>
    </w:p>
    <w:p>
      <w:pPr>
        <w:spacing w:line="540" w:lineRule="exact"/>
        <w:ind w:firstLine="560" w:firstLineChars="200"/>
        <w:rPr>
          <w:rFonts w:ascii="宋体"/>
          <w:bCs/>
          <w:sz w:val="28"/>
          <w:szCs w:val="28"/>
          <w:highlight w:val="none"/>
        </w:rPr>
      </w:pPr>
      <w:r>
        <w:rPr>
          <w:rFonts w:hint="eastAsia" w:ascii="宋体" w:hAnsi="宋体"/>
          <w:bCs/>
          <w:sz w:val="28"/>
          <w:szCs w:val="28"/>
          <w:highlight w:val="none"/>
        </w:rPr>
        <w:t>十一、本</w:t>
      </w:r>
      <w:r>
        <w:rPr>
          <w:rFonts w:hint="eastAsia" w:ascii="宋体" w:hAnsi="宋体"/>
          <w:sz w:val="28"/>
          <w:szCs w:val="28"/>
          <w:highlight w:val="none"/>
        </w:rPr>
        <w:t>合同</w:t>
      </w:r>
      <w:r>
        <w:rPr>
          <w:rFonts w:hint="eastAsia" w:ascii="宋体" w:hAnsi="宋体"/>
          <w:bCs/>
          <w:sz w:val="28"/>
          <w:szCs w:val="28"/>
          <w:highlight w:val="none"/>
        </w:rPr>
        <w:t>书未尽事宜，经双方共同协商，签订补充协议。补充协议与本</w:t>
      </w:r>
      <w:r>
        <w:rPr>
          <w:rFonts w:hint="eastAsia" w:ascii="宋体" w:hAnsi="宋体"/>
          <w:sz w:val="28"/>
          <w:szCs w:val="28"/>
          <w:highlight w:val="none"/>
        </w:rPr>
        <w:t>合同</w:t>
      </w:r>
      <w:r>
        <w:rPr>
          <w:rFonts w:hint="eastAsia" w:ascii="宋体" w:hAnsi="宋体"/>
          <w:bCs/>
          <w:sz w:val="28"/>
          <w:szCs w:val="28"/>
          <w:highlight w:val="none"/>
        </w:rPr>
        <w:t>书具有同等法律效力。</w:t>
      </w:r>
    </w:p>
    <w:p>
      <w:pPr>
        <w:spacing w:line="540" w:lineRule="exact"/>
        <w:ind w:firstLine="560" w:firstLineChars="200"/>
        <w:rPr>
          <w:rFonts w:ascii="宋体"/>
          <w:bCs/>
          <w:sz w:val="28"/>
          <w:szCs w:val="28"/>
          <w:highlight w:val="none"/>
        </w:rPr>
      </w:pPr>
      <w:r>
        <w:rPr>
          <w:rFonts w:hint="eastAsia" w:ascii="宋体" w:hAnsi="宋体"/>
          <w:bCs/>
          <w:sz w:val="28"/>
          <w:szCs w:val="28"/>
          <w:highlight w:val="none"/>
        </w:rPr>
        <w:t>十二、本</w:t>
      </w:r>
      <w:r>
        <w:rPr>
          <w:rFonts w:hint="eastAsia" w:ascii="宋体" w:hAnsi="宋体"/>
          <w:sz w:val="28"/>
          <w:szCs w:val="28"/>
          <w:highlight w:val="none"/>
        </w:rPr>
        <w:t>合同</w:t>
      </w:r>
      <w:r>
        <w:rPr>
          <w:rFonts w:hint="eastAsia" w:ascii="宋体" w:hAnsi="宋体"/>
          <w:bCs/>
          <w:sz w:val="28"/>
          <w:szCs w:val="28"/>
          <w:highlight w:val="none"/>
        </w:rPr>
        <w:t>书一式</w:t>
      </w:r>
      <w:r>
        <w:rPr>
          <w:rFonts w:ascii="宋体" w:hAnsi="宋体"/>
          <w:b/>
          <w:bCs/>
          <w:sz w:val="28"/>
          <w:szCs w:val="28"/>
          <w:highlight w:val="none"/>
          <w:u w:val="single"/>
        </w:rPr>
        <w:t xml:space="preserve">  </w:t>
      </w:r>
      <w:r>
        <w:rPr>
          <w:rFonts w:hint="eastAsia" w:ascii="宋体" w:hAnsi="宋体"/>
          <w:b w:val="0"/>
          <w:bCs w:val="0"/>
          <w:sz w:val="28"/>
          <w:szCs w:val="28"/>
          <w:highlight w:val="none"/>
          <w:u w:val="single"/>
          <w:lang w:val="en-US" w:eastAsia="zh-CN"/>
        </w:rPr>
        <w:t>陆</w:t>
      </w:r>
      <w:r>
        <w:rPr>
          <w:rFonts w:ascii="宋体" w:hAnsi="宋体"/>
          <w:b/>
          <w:bCs/>
          <w:sz w:val="28"/>
          <w:szCs w:val="28"/>
          <w:highlight w:val="none"/>
          <w:u w:val="single"/>
        </w:rPr>
        <w:t xml:space="preserve">  </w:t>
      </w:r>
      <w:r>
        <w:rPr>
          <w:rFonts w:hint="eastAsia" w:ascii="宋体" w:hAnsi="宋体"/>
          <w:bCs/>
          <w:sz w:val="28"/>
          <w:szCs w:val="28"/>
          <w:highlight w:val="none"/>
        </w:rPr>
        <w:t>份，甲方执</w:t>
      </w:r>
      <w:r>
        <w:rPr>
          <w:rFonts w:ascii="宋体" w:hAnsi="宋体"/>
          <w:bCs/>
          <w:sz w:val="28"/>
          <w:szCs w:val="28"/>
          <w:highlight w:val="none"/>
          <w:u w:val="single"/>
        </w:rPr>
        <w:t xml:space="preserve"> </w:t>
      </w:r>
      <w:r>
        <w:rPr>
          <w:rFonts w:hint="eastAsia" w:ascii="宋体" w:hAnsi="宋体"/>
          <w:bCs/>
          <w:sz w:val="28"/>
          <w:szCs w:val="28"/>
          <w:highlight w:val="none"/>
          <w:u w:val="single"/>
          <w:lang w:val="en-US" w:eastAsia="zh-CN"/>
        </w:rPr>
        <w:t>肆</w:t>
      </w:r>
      <w:r>
        <w:rPr>
          <w:rFonts w:ascii="宋体" w:hAnsi="宋体"/>
          <w:bCs/>
          <w:sz w:val="28"/>
          <w:szCs w:val="28"/>
          <w:highlight w:val="none"/>
          <w:u w:val="single"/>
        </w:rPr>
        <w:t xml:space="preserve"> </w:t>
      </w:r>
      <w:r>
        <w:rPr>
          <w:rFonts w:hint="eastAsia" w:ascii="宋体" w:hAnsi="宋体"/>
          <w:bCs/>
          <w:sz w:val="28"/>
          <w:szCs w:val="28"/>
          <w:highlight w:val="none"/>
        </w:rPr>
        <w:t>份，乙方执</w:t>
      </w:r>
      <w:r>
        <w:rPr>
          <w:rFonts w:ascii="宋体" w:hAnsi="宋体"/>
          <w:b/>
          <w:bCs/>
          <w:sz w:val="28"/>
          <w:szCs w:val="28"/>
          <w:highlight w:val="none"/>
          <w:u w:val="single"/>
        </w:rPr>
        <w:t xml:space="preserve"> </w:t>
      </w:r>
      <w:r>
        <w:rPr>
          <w:rFonts w:hint="eastAsia" w:ascii="宋体" w:hAnsi="宋体"/>
          <w:b w:val="0"/>
          <w:bCs w:val="0"/>
          <w:sz w:val="28"/>
          <w:szCs w:val="28"/>
          <w:highlight w:val="none"/>
          <w:u w:val="single"/>
          <w:lang w:val="en-US" w:eastAsia="zh-CN"/>
        </w:rPr>
        <w:t>贰</w:t>
      </w:r>
      <w:r>
        <w:rPr>
          <w:rFonts w:ascii="宋体" w:hAnsi="宋体"/>
          <w:b/>
          <w:bCs/>
          <w:sz w:val="28"/>
          <w:szCs w:val="28"/>
          <w:highlight w:val="none"/>
          <w:u w:val="single"/>
        </w:rPr>
        <w:t xml:space="preserve"> </w:t>
      </w:r>
      <w:r>
        <w:rPr>
          <w:rFonts w:hint="eastAsia" w:ascii="宋体" w:hAnsi="宋体"/>
          <w:bCs/>
          <w:sz w:val="28"/>
          <w:szCs w:val="28"/>
          <w:highlight w:val="none"/>
        </w:rPr>
        <w:t>份，并具有同等法律效力。</w:t>
      </w:r>
    </w:p>
    <w:p>
      <w:pPr>
        <w:spacing w:line="540" w:lineRule="exact"/>
        <w:ind w:firstLine="560" w:firstLineChars="200"/>
        <w:rPr>
          <w:rFonts w:ascii="宋体"/>
          <w:sz w:val="28"/>
          <w:szCs w:val="28"/>
          <w:highlight w:val="none"/>
        </w:rPr>
      </w:pPr>
      <w:r>
        <w:rPr>
          <w:rFonts w:hint="eastAsia" w:ascii="宋体" w:hAnsi="宋体"/>
          <w:sz w:val="28"/>
          <w:szCs w:val="28"/>
          <w:highlight w:val="none"/>
        </w:rPr>
        <w:t>十三、各方在本合同中预留的电话和地址为有效通讯方式。任何一方不得拒收其他的邮件，一方按其他的通讯地址寄出的文件信函，在交寄后第三天即视为对方实际收到，一方改变通讯地址的，最晚应当在变更通讯地址前三日书面告知对方，否则其他方按原通讯地址寄出的文件、信函仍视为有效送达，由此造成的一切不利后果由改变地址的一方承担。</w:t>
      </w:r>
    </w:p>
    <w:p>
      <w:pPr>
        <w:spacing w:line="540" w:lineRule="exact"/>
        <w:ind w:firstLine="560" w:firstLineChars="200"/>
        <w:rPr>
          <w:rFonts w:ascii="宋体"/>
          <w:sz w:val="28"/>
          <w:szCs w:val="28"/>
          <w:highlight w:val="none"/>
        </w:rPr>
      </w:pPr>
      <w:r>
        <w:rPr>
          <w:rFonts w:hint="eastAsia" w:ascii="宋体" w:hAnsi="宋体"/>
          <w:sz w:val="28"/>
          <w:szCs w:val="28"/>
          <w:highlight w:val="none"/>
        </w:rPr>
        <w:t>附件：保密承诺书</w:t>
      </w:r>
    </w:p>
    <w:p>
      <w:pPr>
        <w:spacing w:line="540" w:lineRule="exact"/>
        <w:rPr>
          <w:rFonts w:ascii="宋体"/>
          <w:sz w:val="28"/>
          <w:szCs w:val="28"/>
          <w:highlight w:val="none"/>
        </w:rPr>
      </w:pPr>
      <w:r>
        <w:rPr>
          <w:rFonts w:ascii="宋体"/>
          <w:sz w:val="28"/>
          <w:szCs w:val="28"/>
          <w:highlight w:val="none"/>
        </w:rPr>
        <w:br w:type="page"/>
      </w:r>
    </w:p>
    <w:p>
      <w:pPr>
        <w:pStyle w:val="2"/>
        <w:spacing w:after="0" w:line="540" w:lineRule="exact"/>
        <w:rPr>
          <w:rFonts w:ascii="宋体"/>
          <w:sz w:val="28"/>
          <w:szCs w:val="28"/>
          <w:highlight w:val="none"/>
        </w:rPr>
      </w:pPr>
      <w:r>
        <w:rPr>
          <w:rFonts w:hint="eastAsia" w:ascii="宋体" w:hAnsi="宋体"/>
          <w:sz w:val="28"/>
          <w:szCs w:val="28"/>
          <w:highlight w:val="none"/>
        </w:rPr>
        <w:t>（本页无正文）</w:t>
      </w:r>
    </w:p>
    <w:p>
      <w:pPr>
        <w:pStyle w:val="2"/>
        <w:spacing w:after="0" w:line="540" w:lineRule="exact"/>
        <w:rPr>
          <w:rFonts w:ascii="宋体"/>
          <w:sz w:val="28"/>
          <w:szCs w:val="28"/>
          <w:highlight w:val="none"/>
        </w:rPr>
      </w:pPr>
    </w:p>
    <w:p>
      <w:pPr>
        <w:spacing w:line="540" w:lineRule="exact"/>
        <w:ind w:firstLine="420" w:firstLineChars="150"/>
        <w:rPr>
          <w:rFonts w:ascii="宋体"/>
          <w:sz w:val="28"/>
          <w:szCs w:val="28"/>
          <w:highlight w:val="none"/>
        </w:rPr>
      </w:pPr>
      <w:r>
        <w:rPr>
          <w:rFonts w:hint="eastAsia" w:ascii="宋体" w:hAnsi="宋体"/>
          <w:sz w:val="28"/>
          <w:szCs w:val="28"/>
          <w:highlight w:val="none"/>
        </w:rPr>
        <w:t>甲方：南宁轨道交通集团有限责任公司</w:t>
      </w:r>
    </w:p>
    <w:p>
      <w:pPr>
        <w:spacing w:line="540" w:lineRule="exact"/>
        <w:ind w:firstLine="420" w:firstLineChars="150"/>
        <w:rPr>
          <w:rFonts w:ascii="宋体"/>
          <w:sz w:val="28"/>
          <w:szCs w:val="28"/>
          <w:highlight w:val="none"/>
        </w:rPr>
      </w:pPr>
      <w:r>
        <w:rPr>
          <w:rFonts w:hint="eastAsia" w:ascii="宋体" w:hAnsi="宋体"/>
          <w:sz w:val="28"/>
          <w:szCs w:val="28"/>
          <w:highlight w:val="none"/>
        </w:rPr>
        <w:t>法定代表人或委托代理人：</w:t>
      </w:r>
    </w:p>
    <w:p>
      <w:pPr>
        <w:spacing w:line="540" w:lineRule="exact"/>
        <w:ind w:firstLine="420" w:firstLineChars="150"/>
        <w:rPr>
          <w:rFonts w:ascii="宋体"/>
          <w:sz w:val="28"/>
          <w:szCs w:val="28"/>
          <w:highlight w:val="none"/>
        </w:rPr>
      </w:pPr>
      <w:r>
        <w:rPr>
          <w:rFonts w:hint="eastAsia" w:ascii="宋体" w:hAnsi="宋体"/>
          <w:sz w:val="28"/>
          <w:szCs w:val="28"/>
          <w:highlight w:val="none"/>
        </w:rPr>
        <w:t>联系人：</w:t>
      </w:r>
    </w:p>
    <w:p>
      <w:pPr>
        <w:spacing w:line="540" w:lineRule="exact"/>
        <w:ind w:firstLine="420" w:firstLineChars="150"/>
        <w:rPr>
          <w:rFonts w:ascii="宋体"/>
          <w:sz w:val="28"/>
          <w:szCs w:val="28"/>
          <w:highlight w:val="none"/>
        </w:rPr>
      </w:pPr>
      <w:r>
        <w:rPr>
          <w:rFonts w:hint="eastAsia" w:ascii="宋体" w:hAnsi="宋体"/>
          <w:sz w:val="28"/>
          <w:szCs w:val="28"/>
          <w:highlight w:val="none"/>
        </w:rPr>
        <w:t>联系电话：</w:t>
      </w:r>
      <w:r>
        <w:rPr>
          <w:rFonts w:ascii="宋体" w:hAnsi="宋体"/>
          <w:sz w:val="28"/>
          <w:szCs w:val="28"/>
          <w:highlight w:val="none"/>
        </w:rPr>
        <w:t xml:space="preserve">                  </w:t>
      </w:r>
      <w:r>
        <w:rPr>
          <w:rFonts w:hint="eastAsia" w:ascii="宋体" w:hAnsi="宋体"/>
          <w:sz w:val="28"/>
          <w:szCs w:val="28"/>
          <w:highlight w:val="none"/>
        </w:rPr>
        <w:t>电子邮件：</w:t>
      </w:r>
    </w:p>
    <w:p>
      <w:pPr>
        <w:widowControl/>
        <w:spacing w:line="540" w:lineRule="exact"/>
        <w:ind w:firstLine="420" w:firstLineChars="150"/>
        <w:rPr>
          <w:rFonts w:ascii="宋体"/>
          <w:sz w:val="28"/>
          <w:szCs w:val="28"/>
          <w:highlight w:val="none"/>
        </w:rPr>
      </w:pPr>
      <w:r>
        <w:rPr>
          <w:rFonts w:hint="eastAsia" w:ascii="宋体" w:hAnsi="宋体"/>
          <w:sz w:val="28"/>
          <w:szCs w:val="28"/>
          <w:highlight w:val="none"/>
        </w:rPr>
        <w:t>通讯地址：广西南宁市云景路</w:t>
      </w:r>
      <w:r>
        <w:rPr>
          <w:rFonts w:ascii="宋体" w:hAnsi="宋体"/>
          <w:sz w:val="28"/>
          <w:szCs w:val="28"/>
          <w:highlight w:val="none"/>
        </w:rPr>
        <w:t>69</w:t>
      </w:r>
      <w:r>
        <w:rPr>
          <w:rFonts w:hint="eastAsia" w:ascii="宋体" w:hAnsi="宋体"/>
          <w:sz w:val="28"/>
          <w:szCs w:val="28"/>
          <w:highlight w:val="none"/>
        </w:rPr>
        <w:t>号</w:t>
      </w:r>
    </w:p>
    <w:p>
      <w:pPr>
        <w:widowControl/>
        <w:spacing w:line="540" w:lineRule="exact"/>
        <w:ind w:firstLine="420" w:firstLineChars="150"/>
        <w:rPr>
          <w:rFonts w:ascii="宋体"/>
          <w:sz w:val="28"/>
          <w:szCs w:val="28"/>
          <w:highlight w:val="none"/>
        </w:rPr>
      </w:pPr>
      <w:r>
        <w:rPr>
          <w:rFonts w:hint="eastAsia" w:ascii="宋体" w:hAnsi="宋体"/>
          <w:sz w:val="28"/>
          <w:szCs w:val="28"/>
          <w:highlight w:val="none"/>
        </w:rPr>
        <w:t>时间：</w:t>
      </w:r>
      <w:r>
        <w:rPr>
          <w:rFonts w:ascii="宋体" w:hAnsi="宋体"/>
          <w:sz w:val="28"/>
          <w:szCs w:val="28"/>
          <w:highlight w:val="none"/>
        </w:rPr>
        <w:t xml:space="preserve">     </w:t>
      </w:r>
      <w:r>
        <w:rPr>
          <w:rFonts w:hint="eastAsia" w:ascii="宋体" w:hAnsi="宋体"/>
          <w:sz w:val="28"/>
          <w:szCs w:val="28"/>
          <w:highlight w:val="none"/>
        </w:rPr>
        <w:t>年</w:t>
      </w:r>
      <w:r>
        <w:rPr>
          <w:rFonts w:ascii="宋体" w:hAnsi="宋体"/>
          <w:sz w:val="28"/>
          <w:szCs w:val="28"/>
          <w:highlight w:val="none"/>
        </w:rPr>
        <w:t xml:space="preserve">   </w:t>
      </w:r>
      <w:r>
        <w:rPr>
          <w:rFonts w:hint="eastAsia" w:ascii="宋体" w:hAnsi="宋体"/>
          <w:sz w:val="28"/>
          <w:szCs w:val="28"/>
          <w:highlight w:val="none"/>
        </w:rPr>
        <w:t>月</w:t>
      </w:r>
      <w:r>
        <w:rPr>
          <w:rFonts w:ascii="宋体" w:hAnsi="宋体"/>
          <w:sz w:val="28"/>
          <w:szCs w:val="28"/>
          <w:highlight w:val="none"/>
        </w:rPr>
        <w:t xml:space="preserve">   </w:t>
      </w:r>
      <w:r>
        <w:rPr>
          <w:rFonts w:hint="eastAsia" w:ascii="宋体" w:hAnsi="宋体"/>
          <w:sz w:val="28"/>
          <w:szCs w:val="28"/>
          <w:highlight w:val="none"/>
        </w:rPr>
        <w:t>日</w:t>
      </w:r>
    </w:p>
    <w:p>
      <w:pPr>
        <w:widowControl/>
        <w:spacing w:line="540" w:lineRule="exact"/>
        <w:ind w:firstLine="420" w:firstLineChars="150"/>
        <w:rPr>
          <w:rFonts w:ascii="宋体" w:hAnsi="宋体"/>
          <w:sz w:val="28"/>
          <w:szCs w:val="28"/>
          <w:highlight w:val="none"/>
        </w:rPr>
      </w:pPr>
      <w:r>
        <w:rPr>
          <w:rFonts w:hint="eastAsia" w:ascii="宋体" w:hAnsi="宋体"/>
          <w:sz w:val="28"/>
          <w:szCs w:val="28"/>
          <w:highlight w:val="none"/>
        </w:rPr>
        <w:t>纳税人识别号：</w:t>
      </w:r>
      <w:r>
        <w:rPr>
          <w:rFonts w:ascii="宋体" w:hAnsi="宋体"/>
          <w:sz w:val="28"/>
          <w:szCs w:val="28"/>
          <w:highlight w:val="none"/>
        </w:rPr>
        <w:t>914501006821248433</w:t>
      </w:r>
    </w:p>
    <w:p>
      <w:pPr>
        <w:spacing w:line="540" w:lineRule="exact"/>
        <w:ind w:firstLine="420" w:firstLineChars="150"/>
        <w:rPr>
          <w:rFonts w:ascii="宋体" w:hAnsi="宋体"/>
          <w:sz w:val="28"/>
          <w:szCs w:val="28"/>
          <w:highlight w:val="none"/>
        </w:rPr>
      </w:pPr>
      <w:r>
        <w:rPr>
          <w:rFonts w:hint="eastAsia" w:ascii="宋体" w:hAnsi="宋体"/>
          <w:sz w:val="28"/>
          <w:szCs w:val="28"/>
          <w:highlight w:val="none"/>
        </w:rPr>
        <w:t>开户行及账号：建行南宁市朝阳支行营业</w:t>
      </w:r>
      <w:r>
        <w:rPr>
          <w:rFonts w:hint="eastAsia" w:ascii="宋体" w:hAnsi="宋体"/>
          <w:sz w:val="28"/>
          <w:szCs w:val="28"/>
          <w:highlight w:val="none"/>
          <w:lang w:val="en-US" w:eastAsia="zh-CN"/>
        </w:rPr>
        <w:t>部</w:t>
      </w:r>
      <w:r>
        <w:rPr>
          <w:rFonts w:ascii="宋体" w:hAnsi="宋体"/>
          <w:sz w:val="28"/>
          <w:szCs w:val="28"/>
          <w:highlight w:val="none"/>
        </w:rPr>
        <w:t>45001604473059116688</w:t>
      </w:r>
    </w:p>
    <w:p>
      <w:pPr>
        <w:spacing w:line="540" w:lineRule="exact"/>
        <w:rPr>
          <w:rFonts w:ascii="宋体"/>
          <w:sz w:val="28"/>
          <w:szCs w:val="28"/>
          <w:highlight w:val="none"/>
        </w:rPr>
      </w:pPr>
    </w:p>
    <w:p>
      <w:pPr>
        <w:spacing w:line="540" w:lineRule="exact"/>
        <w:ind w:firstLine="480"/>
        <w:rPr>
          <w:rFonts w:ascii="宋体"/>
          <w:sz w:val="28"/>
          <w:szCs w:val="28"/>
          <w:highlight w:val="none"/>
        </w:rPr>
      </w:pPr>
    </w:p>
    <w:p>
      <w:pPr>
        <w:spacing w:line="540" w:lineRule="exact"/>
        <w:ind w:firstLine="480"/>
        <w:rPr>
          <w:rFonts w:ascii="宋体"/>
          <w:sz w:val="28"/>
          <w:szCs w:val="28"/>
          <w:highlight w:val="none"/>
        </w:rPr>
      </w:pPr>
      <w:r>
        <w:rPr>
          <w:rFonts w:hint="eastAsia" w:ascii="宋体" w:hAnsi="宋体"/>
          <w:sz w:val="28"/>
          <w:szCs w:val="28"/>
          <w:highlight w:val="none"/>
        </w:rPr>
        <w:t>乙方：</w:t>
      </w:r>
    </w:p>
    <w:p>
      <w:pPr>
        <w:spacing w:line="540" w:lineRule="exact"/>
        <w:ind w:firstLine="480"/>
        <w:rPr>
          <w:rFonts w:ascii="宋体"/>
          <w:sz w:val="28"/>
          <w:szCs w:val="28"/>
          <w:highlight w:val="none"/>
        </w:rPr>
      </w:pPr>
      <w:r>
        <w:rPr>
          <w:rFonts w:hint="eastAsia" w:ascii="宋体" w:hAnsi="宋体"/>
          <w:sz w:val="28"/>
          <w:szCs w:val="28"/>
          <w:highlight w:val="none"/>
        </w:rPr>
        <w:t>法定代表人（负责人）或委托代理人：</w:t>
      </w:r>
    </w:p>
    <w:p>
      <w:pPr>
        <w:spacing w:line="540" w:lineRule="exact"/>
        <w:ind w:firstLine="480"/>
        <w:rPr>
          <w:rFonts w:ascii="宋体"/>
          <w:sz w:val="28"/>
          <w:szCs w:val="28"/>
          <w:highlight w:val="none"/>
        </w:rPr>
      </w:pPr>
      <w:r>
        <w:rPr>
          <w:rFonts w:hint="eastAsia" w:ascii="宋体" w:hAnsi="宋体"/>
          <w:sz w:val="28"/>
          <w:szCs w:val="28"/>
          <w:highlight w:val="none"/>
        </w:rPr>
        <w:t>联系人：</w:t>
      </w:r>
    </w:p>
    <w:p>
      <w:pPr>
        <w:spacing w:line="540" w:lineRule="exact"/>
        <w:ind w:firstLine="480"/>
        <w:rPr>
          <w:rFonts w:ascii="宋体"/>
          <w:sz w:val="28"/>
          <w:szCs w:val="28"/>
          <w:highlight w:val="none"/>
        </w:rPr>
      </w:pPr>
      <w:r>
        <w:rPr>
          <w:rFonts w:hint="eastAsia" w:ascii="宋体" w:hAnsi="宋体"/>
          <w:sz w:val="28"/>
          <w:szCs w:val="28"/>
          <w:highlight w:val="none"/>
        </w:rPr>
        <w:t>联系电话：</w:t>
      </w:r>
      <w:r>
        <w:rPr>
          <w:rFonts w:ascii="宋体" w:hAnsi="宋体"/>
          <w:sz w:val="28"/>
          <w:szCs w:val="28"/>
          <w:highlight w:val="none"/>
        </w:rPr>
        <w:t xml:space="preserve">                  </w:t>
      </w:r>
      <w:r>
        <w:rPr>
          <w:rFonts w:hint="eastAsia" w:ascii="宋体" w:hAnsi="宋体"/>
          <w:sz w:val="28"/>
          <w:szCs w:val="28"/>
          <w:highlight w:val="none"/>
        </w:rPr>
        <w:t>电子邮件：</w:t>
      </w:r>
    </w:p>
    <w:p>
      <w:pPr>
        <w:spacing w:line="540" w:lineRule="exact"/>
        <w:ind w:firstLine="480"/>
        <w:rPr>
          <w:rFonts w:ascii="宋体"/>
          <w:sz w:val="28"/>
          <w:szCs w:val="28"/>
          <w:highlight w:val="none"/>
        </w:rPr>
      </w:pPr>
      <w:r>
        <w:rPr>
          <w:rFonts w:hint="eastAsia" w:ascii="宋体" w:hAnsi="宋体"/>
          <w:sz w:val="28"/>
          <w:szCs w:val="28"/>
          <w:highlight w:val="none"/>
        </w:rPr>
        <w:t>通讯地址：</w:t>
      </w:r>
    </w:p>
    <w:p>
      <w:pPr>
        <w:spacing w:line="540" w:lineRule="exact"/>
        <w:ind w:firstLine="480"/>
        <w:rPr>
          <w:rFonts w:ascii="宋体"/>
          <w:sz w:val="28"/>
          <w:szCs w:val="28"/>
          <w:highlight w:val="none"/>
        </w:rPr>
      </w:pPr>
      <w:r>
        <w:rPr>
          <w:rFonts w:hint="eastAsia" w:ascii="宋体" w:hAnsi="宋体"/>
          <w:sz w:val="28"/>
          <w:szCs w:val="28"/>
          <w:highlight w:val="none"/>
        </w:rPr>
        <w:t>时间：</w:t>
      </w:r>
      <w:r>
        <w:rPr>
          <w:rFonts w:ascii="宋体" w:hAnsi="宋体"/>
          <w:sz w:val="28"/>
          <w:szCs w:val="28"/>
          <w:highlight w:val="none"/>
        </w:rPr>
        <w:t xml:space="preserve">     </w:t>
      </w:r>
      <w:r>
        <w:rPr>
          <w:rFonts w:hint="eastAsia" w:ascii="宋体" w:hAnsi="宋体"/>
          <w:sz w:val="28"/>
          <w:szCs w:val="28"/>
          <w:highlight w:val="none"/>
        </w:rPr>
        <w:t>年</w:t>
      </w:r>
      <w:r>
        <w:rPr>
          <w:rFonts w:ascii="宋体" w:hAnsi="宋体"/>
          <w:sz w:val="28"/>
          <w:szCs w:val="28"/>
          <w:highlight w:val="none"/>
        </w:rPr>
        <w:t xml:space="preserve">   </w:t>
      </w:r>
      <w:r>
        <w:rPr>
          <w:rFonts w:hint="eastAsia" w:ascii="宋体" w:hAnsi="宋体"/>
          <w:sz w:val="28"/>
          <w:szCs w:val="28"/>
          <w:highlight w:val="none"/>
        </w:rPr>
        <w:t>月</w:t>
      </w:r>
      <w:r>
        <w:rPr>
          <w:rFonts w:ascii="宋体" w:hAnsi="宋体"/>
          <w:sz w:val="28"/>
          <w:szCs w:val="28"/>
          <w:highlight w:val="none"/>
        </w:rPr>
        <w:t xml:space="preserve">   </w:t>
      </w:r>
      <w:r>
        <w:rPr>
          <w:rFonts w:hint="eastAsia" w:ascii="宋体" w:hAnsi="宋体"/>
          <w:sz w:val="28"/>
          <w:szCs w:val="28"/>
          <w:highlight w:val="none"/>
        </w:rPr>
        <w:t>日</w:t>
      </w:r>
    </w:p>
    <w:p>
      <w:pPr>
        <w:spacing w:line="540" w:lineRule="exact"/>
        <w:ind w:firstLine="480"/>
        <w:rPr>
          <w:rFonts w:ascii="宋体"/>
          <w:sz w:val="28"/>
          <w:szCs w:val="28"/>
          <w:highlight w:val="none"/>
        </w:rPr>
      </w:pPr>
      <w:r>
        <w:rPr>
          <w:rFonts w:hint="eastAsia" w:ascii="宋体" w:hAnsi="宋体"/>
          <w:sz w:val="28"/>
          <w:szCs w:val="28"/>
          <w:highlight w:val="none"/>
        </w:rPr>
        <w:t>纳税人识别号：</w:t>
      </w:r>
    </w:p>
    <w:p>
      <w:pPr>
        <w:spacing w:line="540" w:lineRule="exact"/>
        <w:ind w:firstLine="480"/>
        <w:rPr>
          <w:rFonts w:ascii="仿宋_GB2312" w:hAnsi="宋体" w:eastAsia="仿宋_GB2312"/>
          <w:sz w:val="28"/>
          <w:szCs w:val="28"/>
          <w:highlight w:val="none"/>
        </w:rPr>
        <w:sectPr>
          <w:footerReference r:id="rId5" w:type="default"/>
          <w:pgSz w:w="11906" w:h="16838"/>
          <w:pgMar w:top="1440" w:right="1247" w:bottom="1440" w:left="1440" w:header="851" w:footer="992" w:gutter="0"/>
          <w:pgNumType w:start="1"/>
          <w:cols w:space="720" w:num="1"/>
          <w:docGrid w:type="lines" w:linePitch="312" w:charSpace="0"/>
        </w:sectPr>
      </w:pPr>
      <w:r>
        <w:rPr>
          <w:rFonts w:hint="eastAsia" w:ascii="宋体" w:hAnsi="宋体"/>
          <w:sz w:val="28"/>
          <w:szCs w:val="28"/>
          <w:highlight w:val="none"/>
        </w:rPr>
        <w:t>开户行及账号：</w:t>
      </w:r>
    </w:p>
    <w:p>
      <w:pPr>
        <w:widowControl/>
        <w:spacing w:line="480" w:lineRule="exact"/>
        <w:ind w:right="420"/>
        <w:jc w:val="left"/>
        <w:rPr>
          <w:rFonts w:ascii="仿宋_GB2312" w:hAnsi="宋体" w:eastAsia="仿宋_GB2312"/>
          <w:sz w:val="28"/>
          <w:szCs w:val="28"/>
          <w:highlight w:val="none"/>
        </w:rPr>
      </w:pPr>
      <w:r>
        <w:rPr>
          <w:rFonts w:hint="eastAsia" w:ascii="仿宋_GB2312" w:hAnsi="宋体" w:eastAsia="仿宋_GB2312"/>
          <w:sz w:val="28"/>
          <w:szCs w:val="28"/>
          <w:highlight w:val="none"/>
        </w:rPr>
        <w:t>附件：</w:t>
      </w:r>
      <w:r>
        <w:rPr>
          <w:rFonts w:ascii="仿宋_GB2312" w:hAnsi="宋体" w:eastAsia="仿宋_GB2312"/>
          <w:sz w:val="28"/>
          <w:szCs w:val="28"/>
          <w:highlight w:val="none"/>
        </w:rPr>
        <w:t xml:space="preserve">  </w:t>
      </w:r>
    </w:p>
    <w:p>
      <w:pPr>
        <w:widowControl/>
        <w:spacing w:line="600" w:lineRule="exact"/>
        <w:jc w:val="center"/>
        <w:rPr>
          <w:rFonts w:ascii="宋体"/>
          <w:b/>
          <w:bCs/>
          <w:sz w:val="36"/>
          <w:szCs w:val="36"/>
          <w:highlight w:val="none"/>
        </w:rPr>
      </w:pPr>
      <w:r>
        <w:rPr>
          <w:rFonts w:hint="eastAsia" w:ascii="宋体" w:hAnsi="宋体"/>
          <w:b/>
          <w:bCs/>
          <w:sz w:val="36"/>
          <w:szCs w:val="36"/>
          <w:highlight w:val="none"/>
        </w:rPr>
        <w:t>保密承诺书</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sz w:val="28"/>
          <w:szCs w:val="28"/>
          <w:highlight w:val="none"/>
        </w:rPr>
      </w:pPr>
    </w:p>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ascii="仿宋" w:hAnsi="仿宋" w:eastAsia="仿宋"/>
          <w:sz w:val="28"/>
          <w:szCs w:val="28"/>
          <w:highlight w:val="none"/>
        </w:rPr>
      </w:pPr>
      <w:r>
        <w:rPr>
          <w:rFonts w:hint="eastAsia" w:ascii="仿宋" w:hAnsi="仿宋" w:eastAsia="仿宋"/>
          <w:sz w:val="28"/>
          <w:szCs w:val="28"/>
          <w:highlight w:val="none"/>
        </w:rPr>
        <w:t>致：南宁轨道交通集团有限责任公司</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hint="eastAsia" w:ascii="仿宋" w:hAnsi="仿宋" w:eastAsia="仿宋"/>
          <w:sz w:val="28"/>
          <w:szCs w:val="28"/>
          <w:highlight w:val="none"/>
        </w:rPr>
        <w:t>我方在实施贵方项目</w:t>
      </w:r>
      <w:r>
        <w:rPr>
          <w:rFonts w:hint="eastAsia" w:ascii="仿宋" w:hAnsi="仿宋" w:eastAsia="仿宋"/>
          <w:sz w:val="28"/>
          <w:szCs w:val="28"/>
          <w:highlight w:val="none"/>
          <w:lang w:val="en-US" w:eastAsia="zh-CN"/>
        </w:rPr>
        <w:t>审计</w:t>
      </w:r>
      <w:r>
        <w:rPr>
          <w:rFonts w:hint="eastAsia" w:ascii="仿宋" w:hAnsi="仿宋" w:eastAsia="仿宋"/>
          <w:sz w:val="28"/>
          <w:szCs w:val="28"/>
          <w:highlight w:val="none"/>
        </w:rPr>
        <w:t>工作期间，就保密事宜做出如下承诺：</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1.</w:t>
      </w:r>
      <w:r>
        <w:rPr>
          <w:rFonts w:hint="eastAsia" w:ascii="仿宋" w:hAnsi="仿宋" w:eastAsia="仿宋"/>
          <w:sz w:val="28"/>
          <w:szCs w:val="28"/>
          <w:highlight w:val="none"/>
        </w:rPr>
        <w:t>我方理解贵方的保密信息。贵方拥有的不为公众所知悉、能为他人带来经济利益或其他利益、具有实用性的信息等均属商业秘密和秘密信息；包括但不限于贵我双方正在或将要签订的合同信息、合同履行、我方提供</w:t>
      </w:r>
      <w:r>
        <w:rPr>
          <w:rFonts w:hint="eastAsia" w:ascii="仿宋" w:hAnsi="仿宋" w:eastAsia="仿宋"/>
          <w:sz w:val="28"/>
          <w:szCs w:val="28"/>
          <w:highlight w:val="none"/>
          <w:lang w:val="en-US" w:eastAsia="zh-CN"/>
        </w:rPr>
        <w:t>审计</w:t>
      </w:r>
      <w:r>
        <w:rPr>
          <w:rFonts w:hint="eastAsia" w:ascii="仿宋" w:hAnsi="仿宋" w:eastAsia="仿宋"/>
          <w:sz w:val="28"/>
          <w:szCs w:val="28"/>
          <w:highlight w:val="none"/>
        </w:rPr>
        <w:t>服务时所接触到的涉及贵方经营管理等事项的信息。</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2.</w:t>
      </w:r>
      <w:r>
        <w:rPr>
          <w:rFonts w:hint="eastAsia" w:ascii="仿宋" w:hAnsi="仿宋" w:eastAsia="仿宋"/>
          <w:sz w:val="28"/>
          <w:szCs w:val="28"/>
          <w:highlight w:val="none"/>
        </w:rPr>
        <w:t>我方自知悉贵方的保密信息之日起，依照法律法规规定及有关约定承担保密义务。</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3.</w:t>
      </w:r>
      <w:r>
        <w:rPr>
          <w:rFonts w:hint="eastAsia" w:ascii="仿宋" w:hAnsi="仿宋" w:eastAsia="仿宋"/>
          <w:sz w:val="28"/>
          <w:szCs w:val="28"/>
          <w:highlight w:val="none"/>
        </w:rPr>
        <w:t>未经贵方同意，我方不擅自保存与贵方保密信息有关的任何物品、资料，也不私自进行复制、交流或者转移。</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4.</w:t>
      </w:r>
      <w:r>
        <w:rPr>
          <w:rFonts w:hint="eastAsia" w:ascii="仿宋" w:hAnsi="仿宋" w:eastAsia="仿宋"/>
          <w:sz w:val="28"/>
          <w:szCs w:val="28"/>
          <w:highlight w:val="none"/>
        </w:rPr>
        <w:t>除因合同需要外，未经贵方同意，我方不以泄露、告知、公布、发布、出版、传授、转让或者其他任何方式使任何第三方（包括我方不应或不需知悉该项秘密的雇员）知悉贵方的保密信息，也不在合同过程中不正当使用或者在合同过程之外使用或许可、帮助他人使用贵方的保密信息。</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5.</w:t>
      </w:r>
      <w:r>
        <w:rPr>
          <w:rFonts w:hint="eastAsia" w:ascii="仿宋" w:hAnsi="仿宋" w:eastAsia="仿宋"/>
          <w:sz w:val="28"/>
          <w:szCs w:val="28"/>
          <w:highlight w:val="none"/>
        </w:rPr>
        <w:t>我方不会擅自使用任何属于第三方的保密信息，且保证此类信息不会侵犯任何第三方的知识产权及其它权益。若我方违反本规定而导致贵方遭受第三方的侵权指控时，我方承担法律责任。</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6.</w:t>
      </w:r>
      <w:r>
        <w:rPr>
          <w:rFonts w:hint="eastAsia" w:ascii="仿宋" w:hAnsi="仿宋" w:eastAsia="仿宋"/>
          <w:sz w:val="28"/>
          <w:szCs w:val="28"/>
          <w:highlight w:val="none"/>
        </w:rPr>
        <w:t>若我方发现贵方的保密信息可能被泄露或已经被泄露时，会及时通知贵方，并采取有效措施防止保密信息进一步泄露。</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7.</w:t>
      </w:r>
      <w:r>
        <w:rPr>
          <w:rFonts w:hint="eastAsia" w:ascii="仿宋" w:hAnsi="仿宋" w:eastAsia="仿宋"/>
          <w:sz w:val="28"/>
          <w:szCs w:val="28"/>
          <w:highlight w:val="none"/>
        </w:rPr>
        <w:t>无论何种原因导致合同未签订或合同结束，我方均按照本合同约定对接触、知悉的保密信息承担保密义务，该保密义务直至这些保密信息由贵方公开或已实际公开时止。</w:t>
      </w:r>
    </w:p>
    <w:p>
      <w:pPr>
        <w:keepNext w:val="0"/>
        <w:keepLines w:val="0"/>
        <w:pageBreakBefore w:val="0"/>
        <w:widowControl/>
        <w:kinsoku/>
        <w:wordWrap/>
        <w:overflowPunct/>
        <w:topLinePunct w:val="0"/>
        <w:autoSpaceDE/>
        <w:autoSpaceDN/>
        <w:bidi w:val="0"/>
        <w:adjustRightInd/>
        <w:snapToGrid/>
        <w:spacing w:line="460" w:lineRule="exact"/>
        <w:ind w:firstLine="2520" w:firstLineChars="900"/>
        <w:jc w:val="both"/>
        <w:textAlignment w:val="auto"/>
        <w:rPr>
          <w:rFonts w:ascii="仿宋" w:hAnsi="宋体" w:eastAsia="仿宋"/>
          <w:sz w:val="28"/>
          <w:szCs w:val="28"/>
          <w:highlight w:val="none"/>
        </w:rPr>
      </w:pPr>
      <w:r>
        <w:rPr>
          <w:rFonts w:hint="eastAsia" w:ascii="仿宋" w:hAnsi="仿宋" w:eastAsia="仿宋"/>
          <w:sz w:val="28"/>
          <w:szCs w:val="28"/>
          <w:highlight w:val="none"/>
        </w:rPr>
        <w:t>乙方：（公章）　</w:t>
      </w:r>
      <w:r>
        <w:rPr>
          <w:rFonts w:ascii="仿宋" w:hAnsi="宋体" w:eastAsia="仿宋"/>
          <w:sz w:val="28"/>
          <w:szCs w:val="28"/>
          <w:highlight w:val="none"/>
        </w:rPr>
        <w:t>   </w:t>
      </w:r>
      <w:r>
        <w:rPr>
          <w:rFonts w:ascii="仿宋" w:hAnsi="仿宋" w:eastAsia="仿宋"/>
          <w:sz w:val="28"/>
          <w:szCs w:val="28"/>
          <w:highlight w:val="none"/>
        </w:rPr>
        <w:t xml:space="preserve">                   </w:t>
      </w:r>
      <w:r>
        <w:rPr>
          <w:rFonts w:ascii="仿宋" w:hAnsi="宋体" w:eastAsia="仿宋"/>
          <w:sz w:val="28"/>
          <w:szCs w:val="28"/>
          <w:highlight w:val="none"/>
        </w:rPr>
        <w:t> </w:t>
      </w:r>
    </w:p>
    <w:p>
      <w:pPr>
        <w:keepNext w:val="0"/>
        <w:keepLines w:val="0"/>
        <w:pageBreakBefore w:val="0"/>
        <w:widowControl/>
        <w:kinsoku/>
        <w:wordWrap/>
        <w:overflowPunct/>
        <w:topLinePunct w:val="0"/>
        <w:autoSpaceDE/>
        <w:autoSpaceDN/>
        <w:bidi w:val="0"/>
        <w:adjustRightInd/>
        <w:snapToGrid/>
        <w:spacing w:line="460" w:lineRule="exact"/>
        <w:ind w:firstLine="5600" w:firstLineChars="2000"/>
        <w:jc w:val="both"/>
        <w:textAlignment w:val="auto"/>
        <w:rPr>
          <w:rFonts w:ascii="仿宋" w:hAnsi="仿宋" w:eastAsia="仿宋"/>
          <w:sz w:val="24"/>
          <w:highlight w:val="none"/>
        </w:rPr>
      </w:pPr>
      <w:r>
        <w:rPr>
          <w:rFonts w:hint="eastAsia" w:ascii="仿宋" w:hAnsi="仿宋" w:eastAsia="仿宋"/>
          <w:sz w:val="28"/>
          <w:szCs w:val="28"/>
          <w:highlight w:val="none"/>
        </w:rPr>
        <w:t>年</w:t>
      </w:r>
      <w:r>
        <w:rPr>
          <w:rFonts w:ascii="仿宋" w:hAnsi="仿宋" w:eastAsia="仿宋"/>
          <w:sz w:val="28"/>
          <w:szCs w:val="28"/>
          <w:highlight w:val="none"/>
        </w:rPr>
        <w:t xml:space="preserve">  </w:t>
      </w:r>
      <w:r>
        <w:rPr>
          <w:rFonts w:hint="eastAsia" w:ascii="仿宋" w:hAnsi="仿宋" w:eastAsia="仿宋"/>
          <w:sz w:val="28"/>
          <w:szCs w:val="28"/>
          <w:highlight w:val="none"/>
        </w:rPr>
        <w:t>月</w:t>
      </w:r>
      <w:r>
        <w:rPr>
          <w:rFonts w:ascii="仿宋" w:hAnsi="仿宋" w:eastAsia="仿宋"/>
          <w:sz w:val="28"/>
          <w:szCs w:val="28"/>
          <w:highlight w:val="none"/>
        </w:rPr>
        <w:t xml:space="preserve">  </w:t>
      </w:r>
      <w:r>
        <w:rPr>
          <w:rFonts w:hint="eastAsia" w:ascii="仿宋" w:hAnsi="仿宋" w:eastAsia="仿宋"/>
          <w:sz w:val="28"/>
          <w:szCs w:val="28"/>
          <w:highlight w:val="none"/>
        </w:rPr>
        <w:t>日</w:t>
      </w:r>
    </w:p>
    <w:p>
      <w:pPr>
        <w:pStyle w:val="3"/>
        <w:numPr>
          <w:ilvl w:val="0"/>
          <w:numId w:val="4"/>
        </w:numPr>
        <w:spacing w:before="0" w:after="0" w:line="540" w:lineRule="exact"/>
        <w:rPr>
          <w:rFonts w:ascii="宋体" w:cs="宋体"/>
          <w:szCs w:val="28"/>
          <w:highlight w:val="none"/>
        </w:rPr>
      </w:pPr>
      <w:bookmarkStart w:id="304" w:name="_Toc23661"/>
      <w:bookmarkStart w:id="305" w:name="_Toc30239"/>
      <w:bookmarkStart w:id="306" w:name="_Toc32280"/>
      <w:bookmarkStart w:id="307" w:name="_Toc27378"/>
      <w:bookmarkStart w:id="308" w:name="_Toc471482369"/>
      <w:bookmarkStart w:id="309" w:name="_Toc20710"/>
      <w:bookmarkStart w:id="310" w:name="_Toc16386"/>
      <w:bookmarkStart w:id="311" w:name="_Toc6779"/>
      <w:bookmarkStart w:id="312" w:name="_Toc1897"/>
      <w:bookmarkStart w:id="313" w:name="_Toc24668"/>
      <w:bookmarkStart w:id="314" w:name="_Toc15172"/>
      <w:bookmarkStart w:id="315" w:name="_Toc26692"/>
      <w:bookmarkStart w:id="316" w:name="_Toc461525321"/>
      <w:bookmarkStart w:id="317" w:name="_Toc29471"/>
      <w:r>
        <w:rPr>
          <w:rFonts w:ascii="宋体" w:hAnsi="宋体" w:cs="宋体"/>
          <w:szCs w:val="28"/>
          <w:highlight w:val="none"/>
        </w:rPr>
        <w:t xml:space="preserve"> </w:t>
      </w:r>
      <w:bookmarkStart w:id="318" w:name="_Toc15480"/>
      <w:bookmarkStart w:id="319" w:name="_Toc12974"/>
      <w:bookmarkStart w:id="320" w:name="_Toc18993"/>
      <w:bookmarkStart w:id="321" w:name="_Toc30463"/>
      <w:bookmarkStart w:id="322" w:name="_Toc28616"/>
      <w:bookmarkStart w:id="323" w:name="_Toc21863"/>
      <w:bookmarkStart w:id="324" w:name="_Toc2650"/>
      <w:r>
        <w:rPr>
          <w:rFonts w:hint="eastAsia" w:ascii="宋体" w:hAnsi="宋体" w:cs="宋体"/>
          <w:szCs w:val="28"/>
          <w:highlight w:val="none"/>
        </w:rPr>
        <w:t>比选</w:t>
      </w:r>
      <w:bookmarkEnd w:id="300"/>
      <w:bookmarkEnd w:id="301"/>
      <w:r>
        <w:rPr>
          <w:rFonts w:hint="eastAsia" w:ascii="宋体" w:hAnsi="宋体" w:cs="宋体"/>
          <w:szCs w:val="28"/>
          <w:highlight w:val="none"/>
        </w:rPr>
        <w:t>申请文件（格式）</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Start w:id="325" w:name="_Toc114052391"/>
    </w:p>
    <w:p>
      <w:pPr>
        <w:jc w:val="center"/>
        <w:rPr>
          <w:rFonts w:ascii="宋体" w:cs="宋体"/>
          <w:szCs w:val="28"/>
          <w:highlight w:val="none"/>
        </w:rPr>
      </w:pPr>
    </w:p>
    <w:p>
      <w:pPr>
        <w:ind w:right="753"/>
        <w:jc w:val="center"/>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（封面格式）</w:t>
      </w: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center"/>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项目比选申请文件</w:t>
      </w:r>
    </w:p>
    <w:p>
      <w:pPr>
        <w:pStyle w:val="24"/>
        <w:jc w:val="center"/>
        <w:rPr>
          <w:b w:val="0"/>
          <w:bCs w:val="0"/>
          <w:sz w:val="28"/>
          <w:szCs w:val="28"/>
          <w:highlight w:val="none"/>
        </w:rPr>
      </w:pPr>
      <w:bookmarkStart w:id="326" w:name="_Toc22529"/>
      <w:bookmarkStart w:id="327" w:name="_Toc6045"/>
      <w:bookmarkStart w:id="328" w:name="_Toc16428"/>
      <w:bookmarkStart w:id="329" w:name="_Toc461525322"/>
      <w:bookmarkStart w:id="330" w:name="_Toc10669"/>
      <w:bookmarkStart w:id="331" w:name="_Toc31417"/>
      <w:bookmarkStart w:id="332" w:name="_Toc18503"/>
      <w:bookmarkStart w:id="333" w:name="_Toc24727"/>
      <w:bookmarkStart w:id="334" w:name="_Toc12677"/>
      <w:r>
        <w:rPr>
          <w:rFonts w:hint="eastAsia"/>
          <w:b w:val="0"/>
          <w:bCs w:val="0"/>
          <w:sz w:val="28"/>
          <w:szCs w:val="28"/>
          <w:highlight w:val="none"/>
        </w:rPr>
        <w:t>资格审查部分</w:t>
      </w:r>
      <w:bookmarkEnd w:id="326"/>
      <w:bookmarkEnd w:id="327"/>
      <w:bookmarkEnd w:id="328"/>
      <w:bookmarkEnd w:id="329"/>
      <w:bookmarkEnd w:id="330"/>
      <w:bookmarkEnd w:id="331"/>
      <w:bookmarkEnd w:id="332"/>
      <w:bookmarkEnd w:id="333"/>
      <w:bookmarkEnd w:id="334"/>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r>
        <w:rPr>
          <w:rFonts w:hint="eastAsia" w:ascii="宋体" w:hAnsi="宋体" w:cs="宋体"/>
          <w:sz w:val="28"/>
          <w:szCs w:val="28"/>
          <w:highlight w:val="none"/>
        </w:rPr>
        <w:t>比选申</w:t>
      </w:r>
      <w:bookmarkEnd w:id="325"/>
      <w:r>
        <w:rPr>
          <w:rFonts w:hint="eastAsia" w:ascii="宋体" w:hAnsi="宋体" w:cs="宋体"/>
          <w:sz w:val="28"/>
          <w:szCs w:val="28"/>
          <w:highlight w:val="none"/>
        </w:rPr>
        <w:t>请</w:t>
      </w:r>
      <w:bookmarkStart w:id="335" w:name="_Toc114052392"/>
      <w:r>
        <w:rPr>
          <w:rFonts w:hint="eastAsia" w:ascii="宋体" w:hAnsi="宋体" w:cs="宋体"/>
          <w:sz w:val="28"/>
          <w:szCs w:val="28"/>
          <w:highlight w:val="none"/>
        </w:rPr>
        <w:t>人：</w:t>
      </w:r>
      <w:bookmarkEnd w:id="335"/>
      <w:r>
        <w:rPr>
          <w:rFonts w:hint="eastAsia" w:ascii="宋体" w:hAnsi="宋体" w:cs="宋体"/>
          <w:sz w:val="28"/>
          <w:szCs w:val="28"/>
          <w:highlight w:val="none"/>
        </w:rPr>
        <w:t>（加盖单位公章）</w:t>
      </w:r>
    </w:p>
    <w:p>
      <w:pPr>
        <w:ind w:right="753"/>
        <w:jc w:val="left"/>
        <w:rPr>
          <w:rFonts w:ascii="宋体" w:cs="宋体"/>
          <w:sz w:val="28"/>
          <w:szCs w:val="28"/>
          <w:highlight w:val="none"/>
        </w:rPr>
      </w:pPr>
      <w:r>
        <w:rPr>
          <w:rFonts w:hint="eastAsia" w:ascii="宋体" w:hAnsi="宋体" w:cs="宋体"/>
          <w:sz w:val="28"/>
          <w:szCs w:val="28"/>
          <w:highlight w:val="none"/>
        </w:rPr>
        <w:t>法定代表人（负责人）或委托代</w:t>
      </w:r>
      <w:bookmarkStart w:id="336" w:name="_Toc333307122"/>
      <w:r>
        <w:rPr>
          <w:rFonts w:hint="eastAsia" w:ascii="宋体" w:hAnsi="宋体" w:cs="宋体"/>
          <w:sz w:val="28"/>
          <w:szCs w:val="28"/>
          <w:highlight w:val="none"/>
        </w:rPr>
        <w:t>理人</w:t>
      </w:r>
      <w:bookmarkEnd w:id="336"/>
      <w:r>
        <w:rPr>
          <w:rFonts w:hint="eastAsia" w:ascii="宋体" w:hAnsi="宋体" w:cs="宋体"/>
          <w:sz w:val="28"/>
          <w:szCs w:val="28"/>
          <w:highlight w:val="none"/>
        </w:rPr>
        <w:t>：（签字）</w:t>
      </w:r>
    </w:p>
    <w:p>
      <w:pPr>
        <w:ind w:right="753" w:firstLine="1260" w:firstLineChars="450"/>
        <w:jc w:val="left"/>
        <w:rPr>
          <w:rFonts w:ascii="宋体" w:cs="宋体"/>
          <w:sz w:val="28"/>
          <w:szCs w:val="28"/>
          <w:highlight w:val="none"/>
        </w:rPr>
      </w:pPr>
    </w:p>
    <w:p>
      <w:pPr>
        <w:ind w:right="753" w:firstLine="2380" w:firstLineChars="850"/>
        <w:jc w:val="left"/>
        <w:rPr>
          <w:rFonts w:ascii="宋体" w:cs="宋体"/>
          <w:sz w:val="28"/>
          <w:szCs w:val="28"/>
          <w:highlight w:val="none"/>
        </w:rPr>
      </w:pPr>
      <w:r>
        <w:rPr>
          <w:rFonts w:hint="eastAsia" w:ascii="宋体" w:hAnsi="宋体" w:cs="宋体"/>
          <w:sz w:val="28"/>
          <w:szCs w:val="28"/>
          <w:highlight w:val="none"/>
        </w:rPr>
        <w:t>年</w:t>
      </w:r>
      <w:r>
        <w:rPr>
          <w:rFonts w:ascii="宋体" w:hAnsi="宋体" w:cs="宋体"/>
          <w:sz w:val="28"/>
          <w:szCs w:val="28"/>
          <w:highlight w:val="none"/>
        </w:rPr>
        <w:t xml:space="preserve">    </w:t>
      </w:r>
      <w:r>
        <w:rPr>
          <w:rFonts w:hint="eastAsia" w:ascii="宋体" w:hAnsi="宋体" w:cs="宋体"/>
          <w:sz w:val="28"/>
          <w:szCs w:val="28"/>
          <w:highlight w:val="none"/>
        </w:rPr>
        <w:t>月</w:t>
      </w:r>
      <w:r>
        <w:rPr>
          <w:rFonts w:ascii="宋体" w:hAnsi="宋体" w:cs="宋体"/>
          <w:sz w:val="28"/>
          <w:szCs w:val="28"/>
          <w:highlight w:val="none"/>
        </w:rPr>
        <w:t xml:space="preserve">    </w:t>
      </w:r>
      <w:r>
        <w:rPr>
          <w:rFonts w:hint="eastAsia" w:ascii="宋体" w:hAnsi="宋体" w:cs="宋体"/>
          <w:sz w:val="28"/>
          <w:szCs w:val="28"/>
          <w:highlight w:val="none"/>
        </w:rPr>
        <w:t>日</w:t>
      </w:r>
    </w:p>
    <w:p>
      <w:pPr>
        <w:ind w:right="753" w:firstLine="1260" w:firstLineChars="450"/>
        <w:jc w:val="left"/>
        <w:rPr>
          <w:rFonts w:ascii="宋体" w:cs="宋体"/>
          <w:sz w:val="28"/>
          <w:szCs w:val="28"/>
          <w:highlight w:val="none"/>
        </w:rPr>
      </w:pPr>
    </w:p>
    <w:p>
      <w:pPr>
        <w:ind w:right="753" w:firstLine="1260" w:firstLineChars="450"/>
        <w:jc w:val="left"/>
        <w:rPr>
          <w:rFonts w:ascii="宋体" w:cs="宋体"/>
          <w:sz w:val="28"/>
          <w:szCs w:val="28"/>
          <w:highlight w:val="none"/>
        </w:rPr>
      </w:pPr>
    </w:p>
    <w:p>
      <w:pPr>
        <w:ind w:right="753" w:firstLine="1260" w:firstLineChars="450"/>
        <w:jc w:val="left"/>
        <w:rPr>
          <w:rFonts w:ascii="宋体" w:cs="宋体"/>
          <w:sz w:val="28"/>
          <w:szCs w:val="28"/>
          <w:highlight w:val="none"/>
        </w:rPr>
      </w:pPr>
    </w:p>
    <w:p>
      <w:pPr>
        <w:ind w:right="753" w:firstLine="1260" w:firstLineChars="450"/>
        <w:jc w:val="left"/>
        <w:rPr>
          <w:rFonts w:ascii="宋体" w:cs="宋体"/>
          <w:sz w:val="28"/>
          <w:szCs w:val="28"/>
          <w:highlight w:val="none"/>
        </w:rPr>
      </w:pPr>
    </w:p>
    <w:p>
      <w:pPr>
        <w:pStyle w:val="13"/>
        <w:rPr>
          <w:highlight w:val="none"/>
        </w:rPr>
      </w:pPr>
      <w:bookmarkStart w:id="337" w:name="_Toc7849"/>
      <w:bookmarkStart w:id="338" w:name="_Toc461525323"/>
    </w:p>
    <w:p>
      <w:pPr>
        <w:pStyle w:val="4"/>
        <w:jc w:val="center"/>
        <w:rPr>
          <w:b/>
          <w:highlight w:val="none"/>
        </w:rPr>
      </w:pPr>
      <w:bookmarkStart w:id="339" w:name="_Toc30348"/>
      <w:bookmarkStart w:id="340" w:name="_Toc13042"/>
      <w:bookmarkStart w:id="341" w:name="_Toc28967"/>
      <w:bookmarkStart w:id="342" w:name="_Toc5961"/>
      <w:bookmarkStart w:id="343" w:name="_Toc29495"/>
      <w:bookmarkStart w:id="344" w:name="_Toc30961"/>
      <w:bookmarkStart w:id="345" w:name="_Toc16191"/>
      <w:bookmarkStart w:id="346" w:name="_Toc17090"/>
      <w:bookmarkStart w:id="347" w:name="_Toc471482370"/>
      <w:bookmarkStart w:id="348" w:name="_Toc31765"/>
      <w:bookmarkStart w:id="349" w:name="_Toc7514"/>
      <w:bookmarkStart w:id="350" w:name="_Toc7031"/>
      <w:bookmarkStart w:id="351" w:name="_Toc25559"/>
      <w:bookmarkStart w:id="352" w:name="_Toc24695"/>
      <w:bookmarkStart w:id="353" w:name="_Toc1883"/>
      <w:bookmarkStart w:id="354" w:name="_Toc889"/>
      <w:bookmarkStart w:id="355" w:name="_Toc16376"/>
      <w:r>
        <w:rPr>
          <w:rFonts w:hint="eastAsia"/>
          <w:b/>
          <w:highlight w:val="none"/>
        </w:rPr>
        <w:t>一、资格审查文件目录</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numPr>
          <w:ilvl w:val="0"/>
          <w:numId w:val="0"/>
        </w:numPr>
        <w:tabs>
          <w:tab w:val="left" w:pos="826"/>
        </w:tabs>
        <w:spacing w:line="560" w:lineRule="exact"/>
        <w:ind w:left="426" w:leftChars="0"/>
        <w:rPr>
          <w:rFonts w:hint="eastAsia" w:ascii="宋体" w:hAnsi="宋体" w:eastAsia="宋体" w:cs="宋体"/>
          <w:kern w:val="0"/>
          <w:sz w:val="24"/>
          <w:highlight w:val="none"/>
        </w:rPr>
      </w:pPr>
      <w:r>
        <w:rPr>
          <w:rFonts w:hint="eastAsia" w:ascii="宋体" w:hAnsi="宋体" w:eastAsia="宋体" w:cs="宋体"/>
          <w:kern w:val="0"/>
          <w:sz w:val="24"/>
          <w:highlight w:val="none"/>
          <w:lang w:val="en-US" w:eastAsia="zh-CN"/>
        </w:rPr>
        <w:t>1.</w:t>
      </w:r>
      <w:r>
        <w:rPr>
          <w:rFonts w:hint="eastAsia" w:ascii="宋体" w:hAnsi="宋体" w:eastAsia="宋体" w:cs="宋体"/>
          <w:kern w:val="0"/>
          <w:sz w:val="24"/>
          <w:highlight w:val="none"/>
        </w:rPr>
        <w:t>诚信声明（原件）</w:t>
      </w:r>
      <w:r>
        <w:rPr>
          <w:rFonts w:hint="eastAsia" w:ascii="宋体" w:hAnsi="宋体" w:cs="宋体"/>
          <w:szCs w:val="21"/>
          <w:highlight w:val="none"/>
          <w:lang w:val="en-US" w:eastAsia="zh-CN"/>
        </w:rPr>
        <w:t>；</w:t>
      </w:r>
    </w:p>
    <w:p>
      <w:pPr>
        <w:numPr>
          <w:ilvl w:val="0"/>
          <w:numId w:val="0"/>
        </w:numPr>
        <w:tabs>
          <w:tab w:val="left" w:pos="826"/>
        </w:tabs>
        <w:spacing w:line="560" w:lineRule="exact"/>
        <w:ind w:left="426" w:leftChars="0"/>
        <w:rPr>
          <w:rFonts w:hint="eastAsia" w:ascii="宋体" w:hAnsi="宋体" w:eastAsia="宋体" w:cs="宋体"/>
          <w:kern w:val="0"/>
          <w:sz w:val="24"/>
          <w:highlight w:val="none"/>
          <w:lang w:val="en-US" w:eastAsia="zh-CN"/>
        </w:rPr>
      </w:pPr>
      <w:r>
        <w:rPr>
          <w:rFonts w:hint="eastAsia" w:ascii="宋体" w:hAnsi="宋体" w:eastAsia="宋体" w:cs="宋体"/>
          <w:sz w:val="24"/>
          <w:szCs w:val="24"/>
          <w:highlight w:val="none"/>
          <w:lang w:val="en-US" w:eastAsia="zh-CN"/>
        </w:rPr>
        <w:t>2.</w:t>
      </w:r>
      <w:r>
        <w:rPr>
          <w:rFonts w:hint="eastAsia" w:ascii="宋体" w:hAnsi="宋体" w:eastAsia="宋体" w:cs="宋体"/>
          <w:kern w:val="0"/>
          <w:sz w:val="24"/>
          <w:highlight w:val="none"/>
          <w:lang w:val="en-US" w:eastAsia="zh-CN"/>
        </w:rPr>
        <w:t>会计师事务所执业证书（提供复印件加盖单位公章）</w:t>
      </w:r>
      <w:r>
        <w:rPr>
          <w:rFonts w:hint="eastAsia" w:ascii="宋体" w:hAnsi="宋体" w:cs="宋体"/>
          <w:szCs w:val="21"/>
          <w:highlight w:val="none"/>
          <w:lang w:val="en-US" w:eastAsia="zh-CN"/>
        </w:rPr>
        <w:t>；</w:t>
      </w:r>
    </w:p>
    <w:p>
      <w:pPr>
        <w:numPr>
          <w:ilvl w:val="0"/>
          <w:numId w:val="0"/>
        </w:numPr>
        <w:tabs>
          <w:tab w:val="left" w:pos="826"/>
        </w:tabs>
        <w:spacing w:line="560" w:lineRule="exact"/>
        <w:ind w:left="664" w:leftChars="202" w:hanging="240" w:hangingChars="1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没有处于被行政主管部门或业主取消比选申请资格的处罚期内，且没有处于被责令停业，财产被接管、破产状态（</w:t>
      </w:r>
      <w:r>
        <w:rPr>
          <w:rFonts w:hint="eastAsia" w:ascii="宋体" w:hAnsi="宋体" w:eastAsia="宋体" w:cs="宋体"/>
          <w:sz w:val="24"/>
          <w:szCs w:val="24"/>
          <w:highlight w:val="none"/>
          <w:lang w:val="en-US" w:eastAsia="zh-CN"/>
        </w:rPr>
        <w:t>提供</w:t>
      </w:r>
      <w:r>
        <w:rPr>
          <w:rFonts w:hint="eastAsia" w:ascii="宋体" w:hAnsi="宋体" w:eastAsia="宋体" w:cs="宋体"/>
          <w:sz w:val="24"/>
          <w:szCs w:val="24"/>
          <w:highlight w:val="none"/>
        </w:rPr>
        <w:t>复印件加盖单位公章）</w:t>
      </w:r>
      <w:r>
        <w:rPr>
          <w:rFonts w:hint="eastAsia" w:ascii="宋体" w:hAnsi="宋体" w:cs="宋体"/>
          <w:szCs w:val="21"/>
          <w:highlight w:val="none"/>
          <w:lang w:val="en-US" w:eastAsia="zh-CN"/>
        </w:rPr>
        <w:t>；</w:t>
      </w:r>
    </w:p>
    <w:p>
      <w:pPr>
        <w:numPr>
          <w:ilvl w:val="0"/>
          <w:numId w:val="0"/>
        </w:numPr>
        <w:tabs>
          <w:tab w:val="left" w:pos="826"/>
        </w:tabs>
        <w:spacing w:line="560" w:lineRule="exact"/>
        <w:ind w:left="664" w:leftChars="202" w:hanging="240" w:hangingChars="100"/>
        <w:rPr>
          <w:rFonts w:hint="eastAsia" w:ascii="宋体" w:hAnsi="宋体" w:eastAsia="宋体" w:cs="宋体"/>
          <w:szCs w:val="28"/>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上级主管部门出具的近三年无不良执业记录证明（</w:t>
      </w:r>
      <w:r>
        <w:rPr>
          <w:rFonts w:hint="eastAsia" w:ascii="宋体" w:hAnsi="宋体" w:eastAsia="宋体" w:cs="宋体"/>
          <w:sz w:val="24"/>
          <w:szCs w:val="24"/>
          <w:highlight w:val="none"/>
          <w:lang w:val="en-US" w:eastAsia="zh-CN"/>
        </w:rPr>
        <w:t>提供</w:t>
      </w:r>
      <w:r>
        <w:rPr>
          <w:rFonts w:hint="eastAsia" w:ascii="宋体" w:hAnsi="宋体" w:eastAsia="宋体" w:cs="宋体"/>
          <w:sz w:val="24"/>
          <w:szCs w:val="24"/>
          <w:highlight w:val="none"/>
        </w:rPr>
        <w:t>复印件加盖单位公章）</w:t>
      </w:r>
      <w:r>
        <w:rPr>
          <w:rFonts w:hint="eastAsia" w:ascii="宋体" w:hAnsi="宋体" w:eastAsia="宋体" w:cs="宋体"/>
          <w:sz w:val="24"/>
          <w:szCs w:val="24"/>
          <w:highlight w:val="none"/>
          <w:lang w:val="en-US" w:eastAsia="zh-CN"/>
        </w:rPr>
        <w:t>；</w:t>
      </w:r>
    </w:p>
    <w:p>
      <w:pPr>
        <w:numPr>
          <w:ilvl w:val="0"/>
          <w:numId w:val="0"/>
        </w:numPr>
        <w:tabs>
          <w:tab w:val="left" w:pos="826"/>
        </w:tabs>
        <w:spacing w:line="560" w:lineRule="exact"/>
        <w:ind w:left="664" w:leftChars="202" w:hanging="240" w:hangingChars="1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5.比选申请截止时间前3年内没有骗取中选、严重违约或重大质量安全责任事故的情况（提供复印</w:t>
      </w:r>
      <w:r>
        <w:rPr>
          <w:rFonts w:hint="eastAsia" w:ascii="宋体" w:hAnsi="宋体" w:eastAsia="宋体" w:cs="宋体"/>
          <w:sz w:val="24"/>
          <w:szCs w:val="24"/>
          <w:highlight w:val="none"/>
        </w:rPr>
        <w:t>件加盖单位公章）</w:t>
      </w:r>
      <w:r>
        <w:rPr>
          <w:rFonts w:hint="eastAsia" w:ascii="宋体" w:hAnsi="宋体" w:cs="宋体"/>
          <w:szCs w:val="21"/>
          <w:highlight w:val="none"/>
          <w:lang w:val="en-US" w:eastAsia="zh-CN"/>
        </w:rPr>
        <w:t>；</w:t>
      </w:r>
    </w:p>
    <w:p>
      <w:pPr>
        <w:numPr>
          <w:ilvl w:val="0"/>
          <w:numId w:val="0"/>
        </w:numPr>
        <w:tabs>
          <w:tab w:val="left" w:pos="826"/>
        </w:tabs>
        <w:spacing w:line="560" w:lineRule="exact"/>
        <w:ind w:left="426" w:leftChars="0"/>
        <w:rPr>
          <w:rFonts w:hint="eastAsia" w:ascii="宋体" w:hAnsi="宋体" w:eastAsia="宋体" w:cs="宋体"/>
          <w:sz w:val="24"/>
          <w:highlight w:val="none"/>
        </w:rPr>
      </w:pPr>
      <w:r>
        <w:rPr>
          <w:rFonts w:hint="eastAsia" w:ascii="宋体" w:hAnsi="宋体" w:eastAsia="宋体" w:cs="宋体"/>
          <w:sz w:val="24"/>
          <w:highlight w:val="none"/>
          <w:lang w:val="en-US" w:eastAsia="zh-CN"/>
        </w:rPr>
        <w:t>6.</w:t>
      </w:r>
      <w:r>
        <w:rPr>
          <w:rFonts w:hint="eastAsia" w:ascii="宋体" w:hAnsi="宋体" w:eastAsia="宋体" w:cs="宋体"/>
          <w:sz w:val="24"/>
          <w:highlight w:val="none"/>
        </w:rPr>
        <w:t>法定代表人</w:t>
      </w: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负责人</w:t>
      </w:r>
      <w:r>
        <w:rPr>
          <w:rFonts w:hint="eastAsia" w:ascii="宋体" w:hAnsi="宋体" w:eastAsia="宋体" w:cs="宋体"/>
          <w:sz w:val="24"/>
          <w:highlight w:val="none"/>
          <w:lang w:eastAsia="zh-CN"/>
        </w:rPr>
        <w:t>）</w:t>
      </w:r>
      <w:r>
        <w:rPr>
          <w:rFonts w:hint="eastAsia" w:ascii="宋体" w:hAnsi="宋体" w:eastAsia="宋体" w:cs="宋体"/>
          <w:sz w:val="24"/>
          <w:highlight w:val="none"/>
        </w:rPr>
        <w:t>资格证明书（原件）</w:t>
      </w:r>
      <w:r>
        <w:rPr>
          <w:rFonts w:hint="eastAsia" w:ascii="宋体" w:hAnsi="宋体" w:cs="宋体"/>
          <w:szCs w:val="21"/>
          <w:highlight w:val="none"/>
          <w:lang w:val="en-US" w:eastAsia="zh-CN"/>
        </w:rPr>
        <w:t>；</w:t>
      </w:r>
    </w:p>
    <w:p>
      <w:pPr>
        <w:numPr>
          <w:ilvl w:val="0"/>
          <w:numId w:val="0"/>
        </w:numPr>
        <w:tabs>
          <w:tab w:val="left" w:pos="826"/>
        </w:tabs>
        <w:spacing w:line="560" w:lineRule="exact"/>
        <w:ind w:left="426" w:leftChars="0"/>
        <w:rPr>
          <w:rFonts w:hint="eastAsia" w:ascii="宋体" w:hAnsi="宋体" w:eastAsia="宋体" w:cs="宋体"/>
          <w:sz w:val="24"/>
          <w:highlight w:val="none"/>
        </w:rPr>
      </w:pPr>
      <w:r>
        <w:rPr>
          <w:rFonts w:hint="eastAsia" w:ascii="宋体" w:hAnsi="宋体" w:eastAsia="宋体" w:cs="宋体"/>
          <w:sz w:val="24"/>
          <w:highlight w:val="none"/>
          <w:lang w:val="en-US" w:eastAsia="zh-CN"/>
        </w:rPr>
        <w:t>7.</w:t>
      </w:r>
      <w:r>
        <w:rPr>
          <w:rFonts w:hint="eastAsia" w:ascii="宋体" w:hAnsi="宋体" w:eastAsia="宋体" w:cs="宋体"/>
          <w:sz w:val="24"/>
          <w:highlight w:val="none"/>
        </w:rPr>
        <w:t>法定代表人</w:t>
      </w: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负责人</w:t>
      </w:r>
      <w:r>
        <w:rPr>
          <w:rFonts w:hint="eastAsia" w:ascii="宋体" w:hAnsi="宋体" w:eastAsia="宋体" w:cs="宋体"/>
          <w:sz w:val="24"/>
          <w:highlight w:val="none"/>
          <w:lang w:eastAsia="zh-CN"/>
        </w:rPr>
        <w:t>）</w:t>
      </w:r>
      <w:r>
        <w:rPr>
          <w:rFonts w:hint="eastAsia" w:ascii="宋体" w:hAnsi="宋体" w:eastAsia="宋体" w:cs="宋体"/>
          <w:sz w:val="24"/>
          <w:highlight w:val="none"/>
        </w:rPr>
        <w:t>身份证明文件（</w:t>
      </w:r>
      <w:r>
        <w:rPr>
          <w:rFonts w:hint="eastAsia" w:ascii="宋体" w:hAnsi="宋体" w:eastAsia="宋体" w:cs="宋体"/>
          <w:sz w:val="24"/>
          <w:highlight w:val="none"/>
          <w:lang w:val="en-US" w:eastAsia="zh-CN"/>
        </w:rPr>
        <w:t>提供</w:t>
      </w:r>
      <w:r>
        <w:rPr>
          <w:rFonts w:hint="eastAsia" w:ascii="宋体" w:hAnsi="宋体" w:eastAsia="宋体" w:cs="宋体"/>
          <w:sz w:val="24"/>
          <w:highlight w:val="none"/>
        </w:rPr>
        <w:t>复印件</w:t>
      </w:r>
      <w:r>
        <w:rPr>
          <w:rFonts w:hint="eastAsia" w:ascii="宋体" w:hAnsi="宋体" w:eastAsia="宋体" w:cs="宋体"/>
          <w:kern w:val="0"/>
          <w:sz w:val="24"/>
          <w:highlight w:val="none"/>
        </w:rPr>
        <w:t>加盖单位公章</w:t>
      </w:r>
      <w:r>
        <w:rPr>
          <w:rFonts w:hint="eastAsia" w:ascii="宋体" w:hAnsi="宋体" w:eastAsia="宋体" w:cs="宋体"/>
          <w:sz w:val="24"/>
          <w:highlight w:val="none"/>
        </w:rPr>
        <w:t>）</w:t>
      </w:r>
      <w:r>
        <w:rPr>
          <w:rFonts w:hint="eastAsia" w:ascii="宋体" w:hAnsi="宋体" w:cs="宋体"/>
          <w:szCs w:val="21"/>
          <w:highlight w:val="none"/>
          <w:lang w:val="en-US" w:eastAsia="zh-CN"/>
        </w:rPr>
        <w:t>；</w:t>
      </w:r>
    </w:p>
    <w:p>
      <w:pPr>
        <w:numPr>
          <w:ilvl w:val="0"/>
          <w:numId w:val="0"/>
        </w:numPr>
        <w:tabs>
          <w:tab w:val="left" w:pos="826"/>
        </w:tabs>
        <w:spacing w:line="560" w:lineRule="exact"/>
        <w:ind w:left="426" w:leftChars="0"/>
        <w:rPr>
          <w:rFonts w:hint="eastAsia" w:ascii="宋体" w:hAnsi="宋体" w:eastAsia="宋体" w:cs="宋体"/>
          <w:kern w:val="0"/>
          <w:sz w:val="24"/>
          <w:highlight w:val="none"/>
        </w:rPr>
      </w:pPr>
      <w:r>
        <w:rPr>
          <w:rFonts w:hint="eastAsia" w:ascii="宋体" w:hAnsi="宋体" w:eastAsia="宋体" w:cs="宋体"/>
          <w:kern w:val="0"/>
          <w:sz w:val="24"/>
          <w:highlight w:val="none"/>
          <w:lang w:val="en-US" w:eastAsia="zh-CN"/>
        </w:rPr>
        <w:t>8.</w:t>
      </w:r>
      <w:r>
        <w:rPr>
          <w:rFonts w:hint="eastAsia" w:ascii="宋体" w:hAnsi="宋体" w:eastAsia="宋体" w:cs="宋体"/>
          <w:kern w:val="0"/>
          <w:sz w:val="24"/>
          <w:highlight w:val="none"/>
        </w:rPr>
        <w:t>比选申请文件签署授权委托书（原件）</w:t>
      </w:r>
      <w:r>
        <w:rPr>
          <w:rFonts w:hint="eastAsia" w:ascii="宋体" w:hAnsi="宋体" w:cs="宋体"/>
          <w:szCs w:val="21"/>
          <w:highlight w:val="none"/>
          <w:lang w:val="en-US" w:eastAsia="zh-CN"/>
        </w:rPr>
        <w:t>；</w:t>
      </w:r>
    </w:p>
    <w:p>
      <w:pPr>
        <w:numPr>
          <w:ilvl w:val="0"/>
          <w:numId w:val="0"/>
        </w:numPr>
        <w:tabs>
          <w:tab w:val="left" w:pos="826"/>
        </w:tabs>
        <w:spacing w:line="560" w:lineRule="exact"/>
        <w:ind w:left="426" w:leftChars="0"/>
        <w:rPr>
          <w:rFonts w:hint="eastAsia" w:ascii="宋体" w:hAnsi="宋体" w:eastAsia="宋体" w:cs="宋体"/>
          <w:kern w:val="0"/>
          <w:sz w:val="24"/>
          <w:highlight w:val="none"/>
        </w:rPr>
      </w:pPr>
      <w:r>
        <w:rPr>
          <w:rFonts w:hint="eastAsia" w:ascii="宋体" w:hAnsi="宋体" w:eastAsia="宋体" w:cs="宋体"/>
          <w:kern w:val="0"/>
          <w:sz w:val="24"/>
          <w:highlight w:val="none"/>
          <w:lang w:val="en-US" w:eastAsia="zh-CN"/>
        </w:rPr>
        <w:t>9.</w:t>
      </w:r>
      <w:r>
        <w:rPr>
          <w:rFonts w:hint="eastAsia" w:ascii="宋体" w:hAnsi="宋体" w:eastAsia="宋体" w:cs="宋体"/>
          <w:kern w:val="0"/>
          <w:sz w:val="24"/>
          <w:highlight w:val="none"/>
        </w:rPr>
        <w:t>授权代理人身份证明文件（提供复印件加盖单位公章）</w:t>
      </w:r>
      <w:r>
        <w:rPr>
          <w:rFonts w:hint="eastAsia" w:ascii="宋体" w:hAnsi="宋体" w:cs="宋体"/>
          <w:szCs w:val="21"/>
          <w:highlight w:val="none"/>
          <w:lang w:val="en-US" w:eastAsia="zh-CN"/>
        </w:rPr>
        <w:t>；</w:t>
      </w:r>
    </w:p>
    <w:p>
      <w:pPr>
        <w:numPr>
          <w:ilvl w:val="0"/>
          <w:numId w:val="0"/>
        </w:numPr>
        <w:tabs>
          <w:tab w:val="left" w:pos="826"/>
        </w:tabs>
        <w:spacing w:line="560" w:lineRule="exact"/>
        <w:ind w:left="426" w:leftChars="0"/>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10.其他。</w:t>
      </w:r>
    </w:p>
    <w:p>
      <w:pPr>
        <w:ind w:right="753"/>
        <w:jc w:val="left"/>
        <w:rPr>
          <w:rFonts w:ascii="宋体" w:cs="宋体"/>
          <w:sz w:val="24"/>
          <w:highlight w:val="none"/>
        </w:rPr>
      </w:pPr>
    </w:p>
    <w:p>
      <w:pPr>
        <w:ind w:right="-21" w:firstLine="360" w:firstLineChars="150"/>
        <w:jc w:val="left"/>
        <w:rPr>
          <w:rFonts w:ascii="宋体" w:cs="宋体"/>
          <w:sz w:val="24"/>
          <w:highlight w:val="none"/>
        </w:rPr>
      </w:pPr>
      <w:r>
        <w:rPr>
          <w:rFonts w:hint="eastAsia" w:ascii="宋体" w:hAnsi="宋体" w:cs="宋体"/>
          <w:sz w:val="24"/>
          <w:highlight w:val="none"/>
        </w:rPr>
        <w:t>备注：以上材料均需加盖单位公章，并按照目录顺序编排，标注页码</w:t>
      </w:r>
    </w:p>
    <w:p>
      <w:pPr>
        <w:jc w:val="left"/>
        <w:rPr>
          <w:rFonts w:ascii="宋体" w:cs="宋体"/>
          <w:sz w:val="24"/>
          <w:highlight w:val="none"/>
        </w:rPr>
      </w:pPr>
    </w:p>
    <w:p>
      <w:pPr>
        <w:jc w:val="left"/>
        <w:rPr>
          <w:rFonts w:ascii="宋体" w:cs="宋体"/>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2"/>
        <w:rPr>
          <w:rFonts w:ascii="宋体"/>
          <w:b/>
          <w:bCs/>
          <w:sz w:val="28"/>
          <w:szCs w:val="28"/>
          <w:highlight w:val="none"/>
        </w:rPr>
      </w:pPr>
      <w:bookmarkStart w:id="356" w:name="_Toc1582"/>
      <w:bookmarkStart w:id="357" w:name="_Toc27423"/>
      <w:bookmarkStart w:id="358" w:name="_Toc461525324"/>
      <w:r>
        <w:rPr>
          <w:highlight w:val="none"/>
        </w:rPr>
        <w:br w:type="page"/>
      </w:r>
      <w:bookmarkEnd w:id="356"/>
      <w:bookmarkEnd w:id="357"/>
      <w:bookmarkEnd w:id="358"/>
      <w:bookmarkStart w:id="359" w:name="_Toc29347"/>
      <w:bookmarkStart w:id="360" w:name="_Toc14714"/>
      <w:bookmarkStart w:id="361" w:name="_Toc29655"/>
      <w:bookmarkStart w:id="362" w:name="_Toc24466"/>
      <w:bookmarkStart w:id="363" w:name="_Toc15465"/>
      <w:bookmarkStart w:id="364" w:name="_Toc26924"/>
      <w:bookmarkStart w:id="365" w:name="_Toc17531"/>
      <w:bookmarkStart w:id="366" w:name="_Toc18804"/>
      <w:bookmarkStart w:id="367" w:name="_Toc461525329"/>
      <w:bookmarkStart w:id="368" w:name="_Toc15071"/>
      <w:bookmarkStart w:id="369" w:name="_Toc30157"/>
      <w:bookmarkStart w:id="370" w:name="_Toc32325"/>
      <w:r>
        <w:rPr>
          <w:rFonts w:ascii="宋体" w:hAnsi="宋体"/>
          <w:b/>
          <w:bCs/>
          <w:sz w:val="28"/>
          <w:szCs w:val="28"/>
          <w:highlight w:val="none"/>
        </w:rPr>
        <w:t>1.</w:t>
      </w:r>
      <w:r>
        <w:rPr>
          <w:rFonts w:hint="eastAsia" w:ascii="宋体" w:hAnsi="宋体"/>
          <w:b/>
          <w:bCs/>
          <w:sz w:val="28"/>
          <w:szCs w:val="28"/>
          <w:highlight w:val="none"/>
        </w:rPr>
        <w:t>诚信声明</w:t>
      </w:r>
    </w:p>
    <w:p>
      <w:pPr>
        <w:spacing w:line="560" w:lineRule="exact"/>
        <w:ind w:firstLine="420" w:firstLineChars="200"/>
        <w:rPr>
          <w:rFonts w:ascii="宋体"/>
          <w:highlight w:val="none"/>
        </w:rPr>
      </w:pPr>
    </w:p>
    <w:p>
      <w:pPr>
        <w:spacing w:line="540" w:lineRule="exact"/>
        <w:ind w:firstLine="470" w:firstLineChars="196"/>
        <w:rPr>
          <w:rFonts w:ascii="宋体"/>
          <w:sz w:val="24"/>
          <w:highlight w:val="none"/>
        </w:rPr>
      </w:pPr>
      <w:r>
        <w:rPr>
          <w:rFonts w:hint="eastAsia" w:ascii="宋体" w:hAnsi="宋体"/>
          <w:sz w:val="24"/>
          <w:highlight w:val="none"/>
        </w:rPr>
        <w:t>本人</w:t>
      </w:r>
      <w:r>
        <w:rPr>
          <w:rFonts w:ascii="宋体" w:hAnsi="宋体"/>
          <w:sz w:val="24"/>
          <w:highlight w:val="none"/>
        </w:rPr>
        <w:t xml:space="preserve">       </w:t>
      </w:r>
      <w:r>
        <w:rPr>
          <w:rFonts w:hint="eastAsia" w:ascii="宋体" w:hAnsi="宋体"/>
          <w:sz w:val="24"/>
          <w:highlight w:val="none"/>
        </w:rPr>
        <w:t>（法定代表人</w:t>
      </w:r>
      <w:r>
        <w:rPr>
          <w:rFonts w:hint="eastAsia" w:ascii="宋体" w:hAnsi="宋体"/>
          <w:sz w:val="24"/>
          <w:highlight w:val="none"/>
          <w:lang w:eastAsia="zh-CN"/>
        </w:rPr>
        <w:t>（</w:t>
      </w:r>
      <w:r>
        <w:rPr>
          <w:rFonts w:hint="eastAsia" w:ascii="宋体" w:hAnsi="宋体"/>
          <w:sz w:val="24"/>
          <w:highlight w:val="none"/>
          <w:lang w:val="en-US" w:eastAsia="zh-CN"/>
        </w:rPr>
        <w:t>负责人</w:t>
      </w:r>
      <w:r>
        <w:rPr>
          <w:rFonts w:hint="eastAsia" w:ascii="宋体" w:hAnsi="宋体"/>
          <w:sz w:val="24"/>
          <w:highlight w:val="none"/>
          <w:lang w:eastAsia="zh-CN"/>
        </w:rPr>
        <w:t>）</w:t>
      </w:r>
      <w:r>
        <w:rPr>
          <w:rFonts w:hint="eastAsia" w:ascii="宋体" w:hAnsi="宋体"/>
          <w:sz w:val="24"/>
          <w:highlight w:val="none"/>
        </w:rPr>
        <w:t>、身份证号码</w:t>
      </w:r>
      <w:r>
        <w:rPr>
          <w:rFonts w:ascii="宋体" w:hAnsi="宋体"/>
          <w:sz w:val="24"/>
          <w:highlight w:val="none"/>
        </w:rPr>
        <w:t xml:space="preserve">              </w:t>
      </w:r>
      <w:r>
        <w:rPr>
          <w:rFonts w:hint="eastAsia" w:ascii="宋体" w:hAnsi="宋体"/>
          <w:sz w:val="24"/>
          <w:highlight w:val="none"/>
        </w:rPr>
        <w:t>）郑重声明：</w:t>
      </w:r>
    </w:p>
    <w:p>
      <w:pPr>
        <w:spacing w:line="540" w:lineRule="exact"/>
        <w:ind w:firstLine="470" w:firstLineChars="196"/>
        <w:rPr>
          <w:rFonts w:ascii="宋体"/>
          <w:sz w:val="24"/>
          <w:highlight w:val="none"/>
        </w:rPr>
      </w:pPr>
      <w:r>
        <w:rPr>
          <w:rFonts w:ascii="宋体" w:hAnsi="宋体"/>
          <w:sz w:val="24"/>
          <w:highlight w:val="none"/>
        </w:rPr>
        <w:t>1.</w:t>
      </w:r>
      <w:r>
        <w:rPr>
          <w:rFonts w:hint="eastAsia" w:ascii="宋体" w:hAnsi="宋体"/>
          <w:sz w:val="24"/>
          <w:highlight w:val="none"/>
        </w:rPr>
        <w:t>本企业参加</w:t>
      </w:r>
      <w:r>
        <w:rPr>
          <w:rFonts w:ascii="宋体" w:hAnsi="宋体"/>
          <w:sz w:val="24"/>
          <w:highlight w:val="none"/>
          <w:u w:val="single"/>
        </w:rPr>
        <w:t xml:space="preserve">                   </w:t>
      </w:r>
      <w:r>
        <w:rPr>
          <w:rFonts w:ascii="宋体" w:hAnsi="宋体"/>
          <w:b/>
          <w:sz w:val="24"/>
          <w:highlight w:val="none"/>
          <w:u w:val="single"/>
        </w:rPr>
        <w:t xml:space="preserve">  </w:t>
      </w:r>
      <w:r>
        <w:rPr>
          <w:rFonts w:hint="eastAsia" w:ascii="宋体" w:hAnsi="宋体"/>
          <w:sz w:val="24"/>
          <w:highlight w:val="none"/>
        </w:rPr>
        <w:t>项目比选活动所提交的所有资料、填写数据及所包含的附件资料内容是真实的、合法的、有效的；</w:t>
      </w:r>
    </w:p>
    <w:p>
      <w:pPr>
        <w:spacing w:line="540" w:lineRule="exact"/>
        <w:ind w:firstLine="470" w:firstLineChars="196"/>
        <w:rPr>
          <w:rFonts w:ascii="宋体"/>
          <w:sz w:val="24"/>
          <w:highlight w:val="none"/>
        </w:rPr>
      </w:pPr>
      <w:r>
        <w:rPr>
          <w:rFonts w:ascii="宋体" w:hAnsi="宋体"/>
          <w:sz w:val="24"/>
          <w:highlight w:val="none"/>
        </w:rPr>
        <w:t>2.</w:t>
      </w:r>
      <w:r>
        <w:rPr>
          <w:rFonts w:hint="eastAsia" w:ascii="宋体" w:hAnsi="宋体"/>
          <w:sz w:val="24"/>
          <w:highlight w:val="none"/>
        </w:rPr>
        <w:t>本企业未被国家、广西壮族自治区、南宁市相关行政主管部门通报停止投标活动，无犯罪行贿记录；</w:t>
      </w:r>
    </w:p>
    <w:p>
      <w:pPr>
        <w:spacing w:line="540" w:lineRule="exact"/>
        <w:ind w:firstLine="470" w:firstLineChars="196"/>
        <w:rPr>
          <w:rFonts w:ascii="宋体"/>
          <w:sz w:val="24"/>
          <w:highlight w:val="none"/>
        </w:rPr>
      </w:pPr>
      <w:r>
        <w:rPr>
          <w:rFonts w:ascii="宋体" w:hAnsi="宋体"/>
          <w:sz w:val="24"/>
          <w:highlight w:val="none"/>
        </w:rPr>
        <w:t>3.</w:t>
      </w:r>
      <w:r>
        <w:rPr>
          <w:rFonts w:hint="eastAsia" w:ascii="宋体" w:hAnsi="宋体"/>
          <w:sz w:val="24"/>
          <w:highlight w:val="none"/>
        </w:rPr>
        <w:t>同时，我方在此所作的声明也是真实有效的，并愿意对在比选过程中有关部门的调查结果承担责任；</w:t>
      </w:r>
    </w:p>
    <w:p>
      <w:pPr>
        <w:spacing w:line="540" w:lineRule="exact"/>
        <w:ind w:firstLine="470" w:firstLineChars="196"/>
        <w:rPr>
          <w:rFonts w:ascii="宋体"/>
          <w:sz w:val="24"/>
          <w:highlight w:val="none"/>
        </w:rPr>
      </w:pPr>
      <w:r>
        <w:rPr>
          <w:rFonts w:ascii="宋体" w:hAnsi="宋体"/>
          <w:sz w:val="24"/>
          <w:highlight w:val="none"/>
        </w:rPr>
        <w:t>4.</w:t>
      </w:r>
      <w:r>
        <w:rPr>
          <w:rFonts w:hint="eastAsia" w:ascii="宋体" w:hAnsi="宋体"/>
          <w:sz w:val="24"/>
          <w:highlight w:val="none"/>
        </w:rPr>
        <w:t>本企业提交的所有比选申请资料如有不实，愿接受相关部门依据有关法律法规给予的处罚</w:t>
      </w:r>
      <w:r>
        <w:rPr>
          <w:rFonts w:hint="eastAsia" w:ascii="宋体" w:hAnsi="宋体" w:cs="宋体"/>
          <w:szCs w:val="21"/>
          <w:highlight w:val="none"/>
          <w:lang w:val="en-US" w:eastAsia="zh-CN"/>
        </w:rPr>
        <w:t>；</w:t>
      </w:r>
    </w:p>
    <w:p>
      <w:pPr>
        <w:spacing w:line="540" w:lineRule="exact"/>
        <w:ind w:firstLine="470" w:firstLineChars="196"/>
        <w:rPr>
          <w:rFonts w:ascii="宋体"/>
          <w:sz w:val="24"/>
          <w:highlight w:val="none"/>
        </w:rPr>
      </w:pPr>
      <w:r>
        <w:rPr>
          <w:rFonts w:ascii="宋体" w:hAnsi="宋体"/>
          <w:sz w:val="24"/>
          <w:highlight w:val="none"/>
        </w:rPr>
        <w:t>5.</w:t>
      </w:r>
      <w:r>
        <w:rPr>
          <w:rFonts w:hint="eastAsia" w:ascii="宋体" w:hAnsi="宋体"/>
          <w:sz w:val="24"/>
          <w:highlight w:val="none"/>
        </w:rPr>
        <w:t>本企业提供的服务不存在知识产权或专利纠纷，保证甲方能正常使用本企业所提供的服务。</w:t>
      </w:r>
    </w:p>
    <w:p>
      <w:pPr>
        <w:spacing w:line="540" w:lineRule="exact"/>
        <w:ind w:firstLine="470" w:firstLineChars="196"/>
        <w:rPr>
          <w:rFonts w:ascii="宋体"/>
          <w:sz w:val="24"/>
          <w:highlight w:val="none"/>
        </w:rPr>
      </w:pPr>
      <w:r>
        <w:rPr>
          <w:rFonts w:ascii="宋体" w:hAnsi="宋体"/>
          <w:sz w:val="24"/>
          <w:highlight w:val="none"/>
        </w:rPr>
        <w:t>6.</w:t>
      </w:r>
      <w:r>
        <w:rPr>
          <w:rFonts w:hint="eastAsia" w:ascii="宋体" w:hAnsi="宋体"/>
          <w:sz w:val="24"/>
          <w:highlight w:val="none"/>
        </w:rPr>
        <w:t>其他……</w:t>
      </w:r>
    </w:p>
    <w:p>
      <w:pPr>
        <w:spacing w:line="360" w:lineRule="auto"/>
        <w:ind w:firstLine="470" w:firstLineChars="196"/>
        <w:rPr>
          <w:rFonts w:ascii="宋体"/>
          <w:sz w:val="24"/>
          <w:highlight w:val="none"/>
        </w:rPr>
      </w:pPr>
    </w:p>
    <w:p>
      <w:pPr>
        <w:spacing w:line="360" w:lineRule="auto"/>
        <w:ind w:firstLine="470" w:firstLineChars="196"/>
        <w:rPr>
          <w:rFonts w:ascii="宋体"/>
          <w:sz w:val="24"/>
          <w:highlight w:val="none"/>
        </w:rPr>
      </w:pPr>
    </w:p>
    <w:p>
      <w:pPr>
        <w:spacing w:line="360" w:lineRule="auto"/>
        <w:rPr>
          <w:rFonts w:ascii="宋体" w:cs="宋体"/>
          <w:sz w:val="24"/>
          <w:highlight w:val="none"/>
        </w:rPr>
      </w:pPr>
    </w:p>
    <w:p>
      <w:pPr>
        <w:spacing w:line="360" w:lineRule="auto"/>
        <w:rPr>
          <w:rFonts w:ascii="宋体" w:cs="宋体"/>
          <w:sz w:val="24"/>
          <w:highlight w:val="none"/>
        </w:rPr>
      </w:pPr>
      <w:r>
        <w:rPr>
          <w:rFonts w:hint="eastAsia" w:ascii="宋体" w:hAnsi="宋体" w:cs="宋体"/>
          <w:sz w:val="24"/>
          <w:highlight w:val="none"/>
        </w:rPr>
        <w:t>比选申请人：（加盖单位公章）</w:t>
      </w:r>
    </w:p>
    <w:p>
      <w:pPr>
        <w:spacing w:line="360" w:lineRule="auto"/>
        <w:ind w:firstLine="470" w:firstLineChars="196"/>
        <w:rPr>
          <w:rFonts w:ascii="宋体"/>
          <w:sz w:val="24"/>
          <w:highlight w:val="none"/>
        </w:rPr>
      </w:pPr>
    </w:p>
    <w:p>
      <w:pPr>
        <w:spacing w:line="360" w:lineRule="auto"/>
        <w:rPr>
          <w:rFonts w:ascii="宋体"/>
          <w:sz w:val="24"/>
          <w:highlight w:val="none"/>
        </w:rPr>
      </w:pPr>
      <w:r>
        <w:rPr>
          <w:rFonts w:hint="eastAsia" w:ascii="宋体" w:hAnsi="宋体" w:cs="宋体"/>
          <w:sz w:val="24"/>
          <w:highlight w:val="none"/>
        </w:rPr>
        <w:t>法定代表人（负责人）或委托代理人</w:t>
      </w:r>
      <w:r>
        <w:rPr>
          <w:rFonts w:hint="eastAsia" w:ascii="宋体" w:hAnsi="宋体"/>
          <w:sz w:val="24"/>
          <w:highlight w:val="none"/>
        </w:rPr>
        <w:t>：（签字）</w:t>
      </w:r>
    </w:p>
    <w:p>
      <w:pPr>
        <w:spacing w:line="360" w:lineRule="auto"/>
        <w:ind w:firstLine="470" w:firstLineChars="196"/>
        <w:rPr>
          <w:rFonts w:ascii="宋体"/>
          <w:sz w:val="24"/>
          <w:highlight w:val="none"/>
        </w:rPr>
      </w:pPr>
    </w:p>
    <w:p>
      <w:pPr>
        <w:spacing w:line="360" w:lineRule="auto"/>
        <w:rPr>
          <w:rFonts w:ascii="宋体" w:cs="宋体"/>
          <w:sz w:val="24"/>
          <w:highlight w:val="none"/>
        </w:rPr>
      </w:pPr>
      <w:r>
        <w:rPr>
          <w:rFonts w:hint="eastAsia" w:ascii="宋体" w:hAnsi="宋体" w:cs="宋体"/>
          <w:sz w:val="24"/>
          <w:highlight w:val="none"/>
        </w:rPr>
        <w:t>日期：　　年</w:t>
      </w:r>
      <w:r>
        <w:rPr>
          <w:rFonts w:ascii="宋体" w:hAnsi="宋体" w:cs="宋体"/>
          <w:sz w:val="24"/>
          <w:highlight w:val="none"/>
        </w:rPr>
        <w:t xml:space="preserve">   </w:t>
      </w:r>
      <w:r>
        <w:rPr>
          <w:rFonts w:hint="eastAsia" w:ascii="宋体" w:hAnsi="宋体" w:cs="宋体"/>
          <w:sz w:val="24"/>
          <w:highlight w:val="none"/>
        </w:rPr>
        <w:t>月</w:t>
      </w:r>
      <w:r>
        <w:rPr>
          <w:rFonts w:ascii="宋体" w:hAnsi="宋体" w:cs="宋体"/>
          <w:sz w:val="24"/>
          <w:highlight w:val="none"/>
        </w:rPr>
        <w:t xml:space="preserve">    </w:t>
      </w:r>
      <w:r>
        <w:rPr>
          <w:rFonts w:hint="eastAsia" w:ascii="宋体" w:hAnsi="宋体" w:cs="宋体"/>
          <w:sz w:val="24"/>
          <w:highlight w:val="none"/>
        </w:rPr>
        <w:t>日</w:t>
      </w:r>
    </w:p>
    <w:p>
      <w:pPr>
        <w:spacing w:line="360" w:lineRule="auto"/>
        <w:ind w:firstLine="470" w:firstLineChars="196"/>
        <w:rPr>
          <w:sz w:val="24"/>
          <w:highlight w:val="none"/>
        </w:rPr>
      </w:pPr>
    </w:p>
    <w:p>
      <w:pPr>
        <w:spacing w:line="360" w:lineRule="auto"/>
        <w:ind w:firstLine="470" w:firstLineChars="196"/>
        <w:rPr>
          <w:sz w:val="24"/>
          <w:highlight w:val="none"/>
        </w:rPr>
      </w:pPr>
    </w:p>
    <w:p>
      <w:pPr>
        <w:spacing w:line="360" w:lineRule="auto"/>
        <w:ind w:firstLine="470" w:firstLineChars="196"/>
        <w:rPr>
          <w:sz w:val="24"/>
          <w:highlight w:val="none"/>
        </w:rPr>
      </w:pPr>
    </w:p>
    <w:p>
      <w:pPr>
        <w:spacing w:line="360" w:lineRule="auto"/>
        <w:ind w:firstLine="470" w:firstLineChars="196"/>
        <w:rPr>
          <w:sz w:val="24"/>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2"/>
        <w:rPr>
          <w:rFonts w:ascii="宋体"/>
          <w:b/>
          <w:bCs/>
          <w:sz w:val="28"/>
          <w:szCs w:val="28"/>
          <w:highlight w:val="none"/>
        </w:rPr>
      </w:pPr>
      <w:r>
        <w:rPr>
          <w:rFonts w:ascii="宋体"/>
          <w:b/>
          <w:bCs/>
          <w:sz w:val="28"/>
          <w:szCs w:val="28"/>
          <w:highlight w:val="none"/>
        </w:rPr>
        <w:t>2.</w:t>
      </w:r>
      <w:r>
        <w:rPr>
          <w:rFonts w:hint="eastAsia" w:ascii="宋体"/>
          <w:b/>
          <w:bCs/>
          <w:sz w:val="28"/>
          <w:szCs w:val="28"/>
          <w:highlight w:val="none"/>
        </w:rPr>
        <w:t>会计师事务所执业证书（提供复印件加盖单位公章）</w:t>
      </w:r>
    </w:p>
    <w:p>
      <w:pPr>
        <w:spacing w:line="360" w:lineRule="auto"/>
        <w:ind w:firstLine="470" w:firstLineChars="196"/>
        <w:rPr>
          <w:sz w:val="24"/>
          <w:highlight w:val="none"/>
        </w:rPr>
      </w:pPr>
    </w:p>
    <w:p>
      <w:pPr>
        <w:pStyle w:val="2"/>
        <w:rPr>
          <w:sz w:val="24"/>
          <w:highlight w:val="none"/>
        </w:rPr>
      </w:pPr>
    </w:p>
    <w:p>
      <w:pPr>
        <w:pStyle w:val="2"/>
        <w:rPr>
          <w:sz w:val="24"/>
          <w:highlight w:val="none"/>
        </w:rPr>
      </w:pPr>
    </w:p>
    <w:p>
      <w:pPr>
        <w:pStyle w:val="2"/>
        <w:rPr>
          <w:sz w:val="24"/>
          <w:highlight w:val="none"/>
        </w:rPr>
      </w:pPr>
    </w:p>
    <w:p>
      <w:pPr>
        <w:pStyle w:val="2"/>
        <w:rPr>
          <w:sz w:val="24"/>
          <w:highlight w:val="none"/>
        </w:rPr>
      </w:pPr>
    </w:p>
    <w:p>
      <w:pPr>
        <w:pStyle w:val="2"/>
        <w:rPr>
          <w:sz w:val="24"/>
          <w:highlight w:val="none"/>
        </w:rPr>
      </w:pPr>
    </w:p>
    <w:p>
      <w:pPr>
        <w:pStyle w:val="2"/>
        <w:rPr>
          <w:sz w:val="24"/>
          <w:highlight w:val="none"/>
        </w:rPr>
      </w:pPr>
    </w:p>
    <w:p>
      <w:pPr>
        <w:pStyle w:val="2"/>
        <w:rPr>
          <w:sz w:val="24"/>
          <w:highlight w:val="none"/>
        </w:rPr>
      </w:pPr>
    </w:p>
    <w:p>
      <w:pPr>
        <w:pStyle w:val="2"/>
        <w:rPr>
          <w:sz w:val="24"/>
          <w:highlight w:val="none"/>
        </w:rPr>
      </w:pPr>
    </w:p>
    <w:p>
      <w:pPr>
        <w:pStyle w:val="2"/>
        <w:rPr>
          <w:sz w:val="24"/>
          <w:highlight w:val="none"/>
        </w:rPr>
      </w:pPr>
    </w:p>
    <w:p>
      <w:pPr>
        <w:pStyle w:val="2"/>
        <w:rPr>
          <w:sz w:val="24"/>
          <w:highlight w:val="none"/>
        </w:rPr>
      </w:pPr>
    </w:p>
    <w:p>
      <w:pPr>
        <w:pStyle w:val="2"/>
        <w:rPr>
          <w:sz w:val="24"/>
          <w:highlight w:val="none"/>
        </w:rPr>
      </w:pPr>
    </w:p>
    <w:p>
      <w:pPr>
        <w:pStyle w:val="2"/>
        <w:rPr>
          <w:sz w:val="24"/>
          <w:highlight w:val="none"/>
        </w:rPr>
      </w:pPr>
    </w:p>
    <w:p>
      <w:pPr>
        <w:pStyle w:val="2"/>
        <w:rPr>
          <w:sz w:val="24"/>
          <w:highlight w:val="none"/>
        </w:rPr>
      </w:pPr>
    </w:p>
    <w:p>
      <w:pPr>
        <w:pStyle w:val="2"/>
        <w:rPr>
          <w:sz w:val="24"/>
          <w:highlight w:val="none"/>
        </w:rPr>
      </w:pPr>
    </w:p>
    <w:p>
      <w:pPr>
        <w:pStyle w:val="2"/>
        <w:rPr>
          <w:sz w:val="24"/>
          <w:highlight w:val="none"/>
        </w:rPr>
      </w:pPr>
    </w:p>
    <w:p>
      <w:pPr>
        <w:pStyle w:val="2"/>
        <w:rPr>
          <w:sz w:val="24"/>
          <w:highlight w:val="none"/>
        </w:rPr>
      </w:pPr>
    </w:p>
    <w:p>
      <w:pPr>
        <w:pStyle w:val="2"/>
        <w:rPr>
          <w:sz w:val="24"/>
          <w:highlight w:val="none"/>
        </w:rPr>
      </w:pPr>
    </w:p>
    <w:p>
      <w:pPr>
        <w:pStyle w:val="2"/>
        <w:rPr>
          <w:sz w:val="24"/>
          <w:highlight w:val="none"/>
        </w:rPr>
      </w:pPr>
    </w:p>
    <w:p>
      <w:pPr>
        <w:pStyle w:val="2"/>
        <w:rPr>
          <w:sz w:val="24"/>
          <w:highlight w:val="none"/>
        </w:rPr>
      </w:pPr>
    </w:p>
    <w:p>
      <w:pPr>
        <w:pStyle w:val="2"/>
        <w:rPr>
          <w:sz w:val="24"/>
          <w:highlight w:val="none"/>
        </w:rPr>
      </w:pPr>
    </w:p>
    <w:p>
      <w:pPr>
        <w:pStyle w:val="2"/>
        <w:rPr>
          <w:sz w:val="24"/>
          <w:highlight w:val="none"/>
        </w:rPr>
      </w:pPr>
    </w:p>
    <w:p>
      <w:pPr>
        <w:pStyle w:val="2"/>
        <w:rPr>
          <w:sz w:val="24"/>
          <w:highlight w:val="none"/>
        </w:rPr>
      </w:pPr>
    </w:p>
    <w:p>
      <w:pPr>
        <w:pStyle w:val="2"/>
        <w:rPr>
          <w:sz w:val="24"/>
          <w:highlight w:val="none"/>
        </w:rPr>
      </w:pPr>
    </w:p>
    <w:p>
      <w:pPr>
        <w:pStyle w:val="2"/>
        <w:rPr>
          <w:sz w:val="24"/>
          <w:highlight w:val="none"/>
        </w:rPr>
      </w:pPr>
    </w:p>
    <w:p>
      <w:pPr>
        <w:pStyle w:val="2"/>
        <w:rPr>
          <w:sz w:val="24"/>
          <w:highlight w:val="none"/>
        </w:rPr>
      </w:pPr>
    </w:p>
    <w:p>
      <w:pPr>
        <w:pStyle w:val="2"/>
        <w:rPr>
          <w:sz w:val="24"/>
          <w:highlight w:val="none"/>
        </w:rPr>
      </w:pPr>
    </w:p>
    <w:p>
      <w:pPr>
        <w:pStyle w:val="2"/>
        <w:rPr>
          <w:sz w:val="24"/>
          <w:highlight w:val="none"/>
        </w:rPr>
      </w:pPr>
    </w:p>
    <w:p>
      <w:pPr>
        <w:pStyle w:val="2"/>
        <w:rPr>
          <w:sz w:val="24"/>
          <w:highlight w:val="none"/>
        </w:rPr>
      </w:pPr>
    </w:p>
    <w:p>
      <w:pPr>
        <w:pStyle w:val="2"/>
        <w:rPr>
          <w:sz w:val="24"/>
          <w:highlight w:val="none"/>
        </w:rPr>
      </w:pPr>
    </w:p>
    <w:bookmarkEnd w:id="359"/>
    <w:bookmarkEnd w:id="360"/>
    <w:bookmarkEnd w:id="361"/>
    <w:bookmarkEnd w:id="362"/>
    <w:bookmarkEnd w:id="363"/>
    <w:bookmarkEnd w:id="364"/>
    <w:bookmarkEnd w:id="365"/>
    <w:bookmarkEnd w:id="366"/>
    <w:bookmarkEnd w:id="367"/>
    <w:bookmarkEnd w:id="368"/>
    <w:bookmarkEnd w:id="369"/>
    <w:bookmarkEnd w:id="370"/>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2"/>
        <w:rPr>
          <w:rFonts w:hint="eastAsia" w:ascii="宋体"/>
          <w:b/>
          <w:bCs/>
          <w:sz w:val="28"/>
          <w:szCs w:val="28"/>
          <w:highlight w:val="none"/>
        </w:rPr>
      </w:pPr>
      <w:bookmarkStart w:id="371" w:name="_Toc3498"/>
      <w:bookmarkStart w:id="372" w:name="_Toc32075"/>
      <w:bookmarkStart w:id="373" w:name="_Toc7760"/>
      <w:bookmarkStart w:id="374" w:name="_Toc16756"/>
      <w:bookmarkStart w:id="375" w:name="_Toc750"/>
      <w:bookmarkStart w:id="376" w:name="_Toc28436"/>
      <w:bookmarkStart w:id="377" w:name="_Toc19937"/>
      <w:bookmarkStart w:id="378" w:name="_Toc6606"/>
      <w:bookmarkStart w:id="379" w:name="_Toc25670"/>
      <w:r>
        <w:rPr>
          <w:rFonts w:hint="eastAsia" w:ascii="宋体"/>
          <w:b/>
          <w:bCs/>
          <w:sz w:val="28"/>
          <w:szCs w:val="28"/>
          <w:highlight w:val="none"/>
          <w:lang w:val="en-US" w:eastAsia="zh-CN"/>
        </w:rPr>
        <w:t>3.</w:t>
      </w:r>
      <w:r>
        <w:rPr>
          <w:rFonts w:hint="eastAsia" w:ascii="宋体"/>
          <w:b/>
          <w:bCs/>
          <w:sz w:val="28"/>
          <w:szCs w:val="28"/>
          <w:highlight w:val="none"/>
        </w:rPr>
        <w:t>没有处于被行政主管部门或业主取消比选申请资格的处罚期内，且没有处于被责令停业，财产被接管、破产状态（</w:t>
      </w:r>
      <w:r>
        <w:rPr>
          <w:rFonts w:hint="eastAsia" w:ascii="宋体"/>
          <w:b/>
          <w:bCs/>
          <w:sz w:val="28"/>
          <w:szCs w:val="28"/>
          <w:highlight w:val="none"/>
          <w:lang w:val="en-US" w:eastAsia="zh-CN"/>
        </w:rPr>
        <w:t>提供</w:t>
      </w:r>
      <w:r>
        <w:rPr>
          <w:rFonts w:hint="eastAsia" w:ascii="宋体"/>
          <w:b/>
          <w:bCs/>
          <w:sz w:val="28"/>
          <w:szCs w:val="28"/>
          <w:highlight w:val="none"/>
        </w:rPr>
        <w:t>复印件加盖单位公章）</w:t>
      </w: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2"/>
        <w:rPr>
          <w:rFonts w:hint="eastAsia" w:ascii="宋体"/>
          <w:b/>
          <w:bCs/>
          <w:sz w:val="28"/>
          <w:szCs w:val="28"/>
          <w:highlight w:val="none"/>
        </w:rPr>
      </w:pPr>
      <w:r>
        <w:rPr>
          <w:rFonts w:hint="eastAsia" w:ascii="宋体"/>
          <w:b/>
          <w:bCs/>
          <w:sz w:val="28"/>
          <w:szCs w:val="28"/>
          <w:highlight w:val="none"/>
          <w:lang w:val="en-US" w:eastAsia="zh-CN"/>
        </w:rPr>
        <w:t>4.</w:t>
      </w:r>
      <w:r>
        <w:rPr>
          <w:rFonts w:hint="eastAsia" w:ascii="宋体"/>
          <w:b/>
          <w:bCs/>
          <w:sz w:val="28"/>
          <w:szCs w:val="28"/>
          <w:highlight w:val="none"/>
        </w:rPr>
        <w:t>上级主管部门出具的近三年无不良执业记录证明（</w:t>
      </w:r>
      <w:r>
        <w:rPr>
          <w:rFonts w:hint="eastAsia" w:ascii="宋体"/>
          <w:b/>
          <w:bCs/>
          <w:sz w:val="28"/>
          <w:szCs w:val="28"/>
          <w:highlight w:val="none"/>
          <w:lang w:val="en-US" w:eastAsia="zh-CN"/>
        </w:rPr>
        <w:t>提供</w:t>
      </w:r>
      <w:r>
        <w:rPr>
          <w:rFonts w:hint="eastAsia" w:ascii="宋体"/>
          <w:b/>
          <w:bCs/>
          <w:sz w:val="28"/>
          <w:szCs w:val="28"/>
          <w:highlight w:val="none"/>
        </w:rPr>
        <w:t>复印件加盖单位公章）</w:t>
      </w: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2"/>
        <w:rPr>
          <w:rFonts w:hint="default" w:ascii="宋体"/>
          <w:b/>
          <w:bCs/>
          <w:sz w:val="28"/>
          <w:szCs w:val="28"/>
          <w:highlight w:val="none"/>
          <w:lang w:val="en-US" w:eastAsia="zh-CN"/>
        </w:rPr>
      </w:pPr>
      <w:r>
        <w:rPr>
          <w:rFonts w:hint="eastAsia" w:ascii="宋体"/>
          <w:b/>
          <w:bCs/>
          <w:sz w:val="28"/>
          <w:szCs w:val="28"/>
          <w:highlight w:val="none"/>
          <w:lang w:val="en-US" w:eastAsia="zh-CN"/>
        </w:rPr>
        <w:t>5.比选申请截止时间前3年内没有骗取中选、严重违约或重大质量安全责任事故的情况（提供复印</w:t>
      </w:r>
      <w:r>
        <w:rPr>
          <w:rFonts w:hint="eastAsia" w:ascii="宋体"/>
          <w:b/>
          <w:bCs/>
          <w:sz w:val="28"/>
          <w:szCs w:val="28"/>
          <w:highlight w:val="none"/>
        </w:rPr>
        <w:t>件加盖单位公章）</w:t>
      </w: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2"/>
        <w:rPr>
          <w:rFonts w:ascii="宋体"/>
          <w:b/>
          <w:bCs/>
          <w:sz w:val="28"/>
          <w:szCs w:val="28"/>
          <w:highlight w:val="none"/>
        </w:rPr>
      </w:pPr>
      <w:r>
        <w:rPr>
          <w:rFonts w:hint="eastAsia" w:ascii="宋体"/>
          <w:b/>
          <w:bCs/>
          <w:sz w:val="28"/>
          <w:szCs w:val="28"/>
          <w:highlight w:val="none"/>
          <w:lang w:val="en-US" w:eastAsia="zh-CN"/>
        </w:rPr>
        <w:t>6.</w:t>
      </w:r>
      <w:r>
        <w:rPr>
          <w:rFonts w:hint="eastAsia" w:ascii="宋体"/>
          <w:b/>
          <w:bCs/>
          <w:sz w:val="28"/>
          <w:szCs w:val="28"/>
          <w:highlight w:val="none"/>
        </w:rPr>
        <w:t>法定</w:t>
      </w:r>
      <w:r>
        <w:rPr>
          <w:rFonts w:hint="eastAsia" w:ascii="宋体"/>
          <w:b/>
          <w:bCs/>
          <w:sz w:val="28"/>
          <w:szCs w:val="28"/>
          <w:highlight w:val="none"/>
          <w:lang w:val="en-US" w:eastAsia="zh-CN"/>
        </w:rPr>
        <w:t>代表人</w:t>
      </w:r>
      <w:r>
        <w:rPr>
          <w:rFonts w:hint="eastAsia" w:ascii="宋体"/>
          <w:b/>
          <w:bCs/>
          <w:sz w:val="28"/>
          <w:szCs w:val="28"/>
          <w:highlight w:val="none"/>
          <w:lang w:eastAsia="zh-CN"/>
        </w:rPr>
        <w:t>（</w:t>
      </w:r>
      <w:r>
        <w:rPr>
          <w:rFonts w:hint="eastAsia" w:ascii="宋体"/>
          <w:b/>
          <w:bCs/>
          <w:sz w:val="28"/>
          <w:szCs w:val="28"/>
          <w:highlight w:val="none"/>
          <w:lang w:val="en-US" w:eastAsia="zh-CN"/>
        </w:rPr>
        <w:t>负责人</w:t>
      </w:r>
      <w:r>
        <w:rPr>
          <w:rFonts w:hint="eastAsia" w:ascii="宋体"/>
          <w:b/>
          <w:bCs/>
          <w:sz w:val="28"/>
          <w:szCs w:val="28"/>
          <w:highlight w:val="none"/>
          <w:lang w:eastAsia="zh-CN"/>
        </w:rPr>
        <w:t>）</w:t>
      </w:r>
      <w:r>
        <w:rPr>
          <w:rFonts w:hint="eastAsia" w:ascii="宋体"/>
          <w:b/>
          <w:bCs/>
          <w:sz w:val="28"/>
          <w:szCs w:val="28"/>
          <w:highlight w:val="none"/>
        </w:rPr>
        <w:t>资格证明书</w:t>
      </w:r>
    </w:p>
    <w:p>
      <w:pPr>
        <w:rPr>
          <w:rFonts w:ascii="宋体"/>
          <w:b/>
          <w:sz w:val="36"/>
          <w:highlight w:val="none"/>
        </w:rPr>
      </w:pPr>
    </w:p>
    <w:p>
      <w:pPr>
        <w:rPr>
          <w:rFonts w:ascii="宋体"/>
          <w:b/>
          <w:highlight w:val="none"/>
        </w:rPr>
      </w:pPr>
    </w:p>
    <w:p>
      <w:pPr>
        <w:spacing w:line="360" w:lineRule="auto"/>
        <w:ind w:firstLine="612"/>
        <w:rPr>
          <w:rFonts w:ascii="宋体"/>
          <w:sz w:val="24"/>
          <w:highlight w:val="none"/>
        </w:rPr>
      </w:pPr>
      <w:r>
        <w:rPr>
          <w:rFonts w:hint="eastAsia" w:ascii="宋体" w:hAnsi="宋体"/>
          <w:sz w:val="24"/>
          <w:highlight w:val="none"/>
        </w:rPr>
        <w:t>单位名称：</w:t>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p>
    <w:p>
      <w:pPr>
        <w:spacing w:line="360" w:lineRule="auto"/>
        <w:ind w:firstLine="612"/>
        <w:rPr>
          <w:rFonts w:ascii="宋体"/>
          <w:sz w:val="24"/>
          <w:highlight w:val="none"/>
        </w:rPr>
      </w:pPr>
    </w:p>
    <w:p>
      <w:pPr>
        <w:spacing w:line="360" w:lineRule="auto"/>
        <w:ind w:firstLine="610"/>
        <w:rPr>
          <w:rFonts w:ascii="宋体"/>
          <w:sz w:val="24"/>
          <w:highlight w:val="none"/>
          <w:u w:val="single"/>
        </w:rPr>
      </w:pPr>
      <w:r>
        <w:rPr>
          <w:rFonts w:hint="eastAsia" w:ascii="宋体" w:hAnsi="宋体"/>
          <w:sz w:val="24"/>
          <w:highlight w:val="none"/>
        </w:rPr>
        <w:t>单位性质：</w:t>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p>
    <w:p>
      <w:pPr>
        <w:spacing w:line="360" w:lineRule="auto"/>
        <w:ind w:firstLine="610"/>
        <w:rPr>
          <w:rFonts w:ascii="宋体"/>
          <w:sz w:val="24"/>
          <w:highlight w:val="none"/>
        </w:rPr>
      </w:pPr>
    </w:p>
    <w:p>
      <w:pPr>
        <w:spacing w:line="360" w:lineRule="auto"/>
        <w:ind w:firstLine="610"/>
        <w:rPr>
          <w:rFonts w:ascii="宋体"/>
          <w:sz w:val="24"/>
          <w:highlight w:val="none"/>
          <w:u w:val="single"/>
        </w:rPr>
      </w:pPr>
      <w:r>
        <w:rPr>
          <w:rFonts w:hint="eastAsia" w:ascii="宋体" w:hAnsi="宋体"/>
          <w:sz w:val="24"/>
          <w:highlight w:val="none"/>
        </w:rPr>
        <w:t>地</w:t>
      </w:r>
      <w:r>
        <w:rPr>
          <w:rFonts w:ascii="宋体" w:hAnsi="宋体"/>
          <w:sz w:val="24"/>
          <w:highlight w:val="none"/>
        </w:rPr>
        <w:t xml:space="preserve">    </w:t>
      </w:r>
      <w:r>
        <w:rPr>
          <w:rFonts w:hint="eastAsia" w:ascii="宋体" w:hAnsi="宋体"/>
          <w:sz w:val="24"/>
          <w:highlight w:val="none"/>
        </w:rPr>
        <w:t>址：</w:t>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hAnsi="宋体"/>
          <w:sz w:val="24"/>
          <w:highlight w:val="none"/>
          <w:u w:val="single"/>
        </w:rPr>
        <w:t xml:space="preserve">     </w:t>
      </w:r>
      <w:r>
        <w:rPr>
          <w:rFonts w:ascii="宋体" w:hAnsi="宋体"/>
          <w:sz w:val="24"/>
          <w:highlight w:val="none"/>
          <w:u w:val="single"/>
        </w:rPr>
        <w:tab/>
      </w:r>
      <w:r>
        <w:rPr>
          <w:rFonts w:ascii="宋体" w:hAnsi="宋体"/>
          <w:sz w:val="24"/>
          <w:highlight w:val="none"/>
          <w:u w:val="single"/>
        </w:rPr>
        <w:tab/>
      </w:r>
    </w:p>
    <w:p>
      <w:pPr>
        <w:spacing w:line="360" w:lineRule="auto"/>
        <w:ind w:firstLine="610"/>
        <w:rPr>
          <w:rFonts w:ascii="宋体"/>
          <w:sz w:val="24"/>
          <w:highlight w:val="none"/>
        </w:rPr>
      </w:pPr>
    </w:p>
    <w:p>
      <w:pPr>
        <w:spacing w:line="360" w:lineRule="auto"/>
        <w:ind w:firstLine="610"/>
        <w:rPr>
          <w:rFonts w:ascii="宋体"/>
          <w:sz w:val="24"/>
          <w:highlight w:val="none"/>
        </w:rPr>
      </w:pPr>
      <w:r>
        <w:rPr>
          <w:rFonts w:hint="eastAsia" w:ascii="宋体" w:hAnsi="宋体"/>
          <w:sz w:val="24"/>
          <w:highlight w:val="none"/>
        </w:rPr>
        <w:t>成立时间：</w:t>
      </w:r>
      <w:r>
        <w:rPr>
          <w:rFonts w:ascii="宋体" w:hAnsi="宋体"/>
          <w:sz w:val="24"/>
          <w:highlight w:val="none"/>
        </w:rPr>
        <w:t xml:space="preserve"> </w:t>
      </w:r>
      <w:r>
        <w:rPr>
          <w:rFonts w:hint="eastAsia" w:ascii="宋体" w:hAnsi="宋体"/>
          <w:sz w:val="24"/>
          <w:highlight w:val="none"/>
        </w:rPr>
        <w:t>年</w:t>
      </w:r>
      <w:r>
        <w:rPr>
          <w:rFonts w:ascii="宋体" w:hAnsi="宋体"/>
          <w:sz w:val="24"/>
          <w:highlight w:val="none"/>
        </w:rPr>
        <w:t xml:space="preserve"> </w:t>
      </w:r>
      <w:r>
        <w:rPr>
          <w:rFonts w:hint="eastAsia" w:ascii="宋体" w:hAnsi="宋体"/>
          <w:sz w:val="24"/>
          <w:highlight w:val="none"/>
        </w:rPr>
        <w:t>月</w:t>
      </w:r>
      <w:r>
        <w:rPr>
          <w:rFonts w:ascii="宋体" w:hAnsi="宋体"/>
          <w:sz w:val="24"/>
          <w:highlight w:val="none"/>
        </w:rPr>
        <w:t xml:space="preserve"> </w:t>
      </w:r>
      <w:r>
        <w:rPr>
          <w:rFonts w:hint="eastAsia" w:ascii="宋体" w:hAnsi="宋体"/>
          <w:sz w:val="24"/>
          <w:highlight w:val="none"/>
        </w:rPr>
        <w:t>日</w:t>
      </w:r>
    </w:p>
    <w:p>
      <w:pPr>
        <w:spacing w:line="360" w:lineRule="auto"/>
        <w:ind w:firstLine="610"/>
        <w:rPr>
          <w:rFonts w:ascii="宋体"/>
          <w:sz w:val="24"/>
          <w:highlight w:val="none"/>
        </w:rPr>
      </w:pPr>
    </w:p>
    <w:p>
      <w:pPr>
        <w:spacing w:line="360" w:lineRule="auto"/>
        <w:ind w:firstLine="610"/>
        <w:rPr>
          <w:rFonts w:ascii="宋体"/>
          <w:sz w:val="24"/>
          <w:highlight w:val="none"/>
          <w:u w:val="single"/>
        </w:rPr>
      </w:pPr>
      <w:r>
        <w:rPr>
          <w:rFonts w:hint="eastAsia" w:ascii="宋体" w:hAnsi="宋体"/>
          <w:sz w:val="24"/>
          <w:highlight w:val="none"/>
        </w:rPr>
        <w:t>经营期限：</w:t>
      </w:r>
      <w:r>
        <w:rPr>
          <w:rFonts w:ascii="宋体"/>
          <w:sz w:val="24"/>
          <w:highlight w:val="none"/>
          <w:u w:val="single"/>
        </w:rPr>
        <w:tab/>
      </w:r>
      <w:r>
        <w:rPr>
          <w:rFonts w:ascii="宋体" w:hAnsi="宋体"/>
          <w:sz w:val="24"/>
          <w:highlight w:val="none"/>
          <w:u w:val="single"/>
        </w:rPr>
        <w:t xml:space="preserve">       </w:t>
      </w:r>
      <w:r>
        <w:rPr>
          <w:rFonts w:ascii="宋体" w:hAnsi="宋体"/>
          <w:sz w:val="24"/>
          <w:highlight w:val="none"/>
          <w:u w:val="single"/>
        </w:rPr>
        <w:tab/>
      </w:r>
    </w:p>
    <w:p>
      <w:pPr>
        <w:spacing w:line="360" w:lineRule="auto"/>
        <w:ind w:firstLine="610"/>
        <w:rPr>
          <w:rFonts w:ascii="宋体"/>
          <w:sz w:val="24"/>
          <w:highlight w:val="none"/>
        </w:rPr>
      </w:pPr>
    </w:p>
    <w:p>
      <w:pPr>
        <w:spacing w:line="360" w:lineRule="auto"/>
        <w:ind w:firstLine="610"/>
        <w:rPr>
          <w:rFonts w:ascii="宋体"/>
          <w:sz w:val="24"/>
          <w:highlight w:val="none"/>
          <w:u w:val="single"/>
        </w:rPr>
      </w:pPr>
      <w:r>
        <w:rPr>
          <w:rFonts w:hint="eastAsia" w:ascii="宋体" w:hAnsi="宋体"/>
          <w:sz w:val="24"/>
          <w:highlight w:val="none"/>
        </w:rPr>
        <w:t>姓</w:t>
      </w:r>
      <w:r>
        <w:rPr>
          <w:rFonts w:ascii="宋体" w:hAnsi="宋体"/>
          <w:sz w:val="24"/>
          <w:highlight w:val="none"/>
        </w:rPr>
        <w:t xml:space="preserve">    </w:t>
      </w:r>
      <w:r>
        <w:rPr>
          <w:rFonts w:hint="eastAsia" w:ascii="宋体" w:hAnsi="宋体"/>
          <w:sz w:val="24"/>
          <w:highlight w:val="none"/>
        </w:rPr>
        <w:t>名：</w:t>
      </w:r>
      <w:r>
        <w:rPr>
          <w:rFonts w:ascii="宋体" w:hAnsi="宋体"/>
          <w:sz w:val="24"/>
          <w:highlight w:val="none"/>
        </w:rPr>
        <w:t xml:space="preserve">  </w:t>
      </w:r>
      <w:r>
        <w:rPr>
          <w:rFonts w:hint="eastAsia" w:ascii="宋体" w:hAnsi="宋体"/>
          <w:sz w:val="24"/>
          <w:highlight w:val="none"/>
        </w:rPr>
        <w:t>性</w:t>
      </w:r>
      <w:r>
        <w:rPr>
          <w:rFonts w:ascii="宋体" w:hAnsi="宋体"/>
          <w:sz w:val="24"/>
          <w:highlight w:val="none"/>
        </w:rPr>
        <w:t xml:space="preserve">   </w:t>
      </w:r>
      <w:r>
        <w:rPr>
          <w:rFonts w:hint="eastAsia" w:ascii="宋体" w:hAnsi="宋体"/>
          <w:sz w:val="24"/>
          <w:highlight w:val="none"/>
        </w:rPr>
        <w:t>别：</w:t>
      </w:r>
      <w:r>
        <w:rPr>
          <w:rFonts w:ascii="宋体" w:hAnsi="宋体"/>
          <w:sz w:val="24"/>
          <w:highlight w:val="none"/>
        </w:rPr>
        <w:t xml:space="preserve">   </w:t>
      </w:r>
      <w:r>
        <w:rPr>
          <w:rFonts w:hint="eastAsia" w:ascii="宋体" w:hAnsi="宋体"/>
          <w:sz w:val="24"/>
          <w:highlight w:val="none"/>
        </w:rPr>
        <w:t>年</w:t>
      </w:r>
      <w:r>
        <w:rPr>
          <w:rFonts w:ascii="宋体" w:hAnsi="宋体"/>
          <w:sz w:val="24"/>
          <w:highlight w:val="none"/>
        </w:rPr>
        <w:t xml:space="preserve">   </w:t>
      </w:r>
      <w:r>
        <w:rPr>
          <w:rFonts w:hint="eastAsia" w:ascii="宋体" w:hAnsi="宋体"/>
          <w:sz w:val="24"/>
          <w:highlight w:val="none"/>
        </w:rPr>
        <w:t>龄：</w:t>
      </w:r>
      <w:r>
        <w:rPr>
          <w:rFonts w:ascii="宋体" w:hAnsi="宋体"/>
          <w:sz w:val="24"/>
          <w:highlight w:val="none"/>
        </w:rPr>
        <w:t xml:space="preserve">   </w:t>
      </w:r>
      <w:r>
        <w:rPr>
          <w:rFonts w:hint="eastAsia" w:ascii="宋体" w:hAnsi="宋体"/>
          <w:sz w:val="24"/>
          <w:highlight w:val="none"/>
        </w:rPr>
        <w:t>职务：</w:t>
      </w:r>
      <w:r>
        <w:rPr>
          <w:rFonts w:ascii="宋体"/>
          <w:sz w:val="24"/>
          <w:highlight w:val="none"/>
          <w:u w:val="single"/>
        </w:rPr>
        <w:tab/>
      </w:r>
      <w:r>
        <w:rPr>
          <w:rFonts w:ascii="宋体"/>
          <w:sz w:val="24"/>
          <w:highlight w:val="none"/>
          <w:u w:val="single"/>
        </w:rPr>
        <w:tab/>
      </w:r>
    </w:p>
    <w:p>
      <w:pPr>
        <w:spacing w:line="360" w:lineRule="auto"/>
        <w:ind w:firstLine="610"/>
        <w:rPr>
          <w:rFonts w:ascii="宋体"/>
          <w:sz w:val="24"/>
          <w:highlight w:val="none"/>
        </w:rPr>
      </w:pPr>
    </w:p>
    <w:p>
      <w:pPr>
        <w:spacing w:line="360" w:lineRule="auto"/>
        <w:ind w:firstLine="610"/>
        <w:rPr>
          <w:rFonts w:ascii="宋体"/>
          <w:sz w:val="24"/>
          <w:highlight w:val="none"/>
        </w:rPr>
      </w:pPr>
      <w:r>
        <w:rPr>
          <w:rFonts w:hint="eastAsia" w:ascii="宋体" w:hAnsi="宋体"/>
          <w:sz w:val="24"/>
          <w:highlight w:val="none"/>
        </w:rPr>
        <w:t>系</w:t>
      </w:r>
      <w:r>
        <w:rPr>
          <w:rFonts w:ascii="宋体" w:hAnsi="宋体"/>
          <w:sz w:val="24"/>
          <w:highlight w:val="none"/>
          <w:u w:val="single"/>
        </w:rPr>
        <w:t xml:space="preserve">          </w:t>
      </w:r>
      <w:r>
        <w:rPr>
          <w:rFonts w:hint="eastAsia" w:ascii="宋体" w:hAnsi="宋体"/>
          <w:sz w:val="24"/>
          <w:highlight w:val="none"/>
          <w:u w:val="single"/>
        </w:rPr>
        <w:t>（比选申请人单位名称）</w:t>
      </w:r>
      <w:r>
        <w:rPr>
          <w:rFonts w:ascii="宋体" w:hAnsi="宋体"/>
          <w:sz w:val="24"/>
          <w:highlight w:val="none"/>
          <w:u w:val="single"/>
        </w:rPr>
        <w:t xml:space="preserve">         </w:t>
      </w:r>
      <w:r>
        <w:rPr>
          <w:rFonts w:hint="eastAsia" w:ascii="宋体" w:hAnsi="宋体"/>
          <w:sz w:val="24"/>
          <w:highlight w:val="none"/>
        </w:rPr>
        <w:t>的法定代表人</w:t>
      </w:r>
      <w:r>
        <w:rPr>
          <w:rFonts w:hint="eastAsia" w:ascii="宋体" w:hAnsi="宋体"/>
          <w:sz w:val="24"/>
          <w:highlight w:val="none"/>
          <w:lang w:eastAsia="zh-CN"/>
        </w:rPr>
        <w:t>（</w:t>
      </w:r>
      <w:r>
        <w:rPr>
          <w:rFonts w:hint="eastAsia" w:ascii="宋体" w:hAnsi="宋体"/>
          <w:sz w:val="24"/>
          <w:highlight w:val="none"/>
          <w:lang w:val="en-US" w:eastAsia="zh-CN"/>
        </w:rPr>
        <w:t>负责人</w:t>
      </w:r>
      <w:r>
        <w:rPr>
          <w:rFonts w:hint="eastAsia" w:ascii="宋体" w:hAnsi="宋体"/>
          <w:sz w:val="24"/>
          <w:highlight w:val="none"/>
          <w:lang w:eastAsia="zh-CN"/>
        </w:rPr>
        <w:t>）</w:t>
      </w:r>
      <w:r>
        <w:rPr>
          <w:rFonts w:hint="eastAsia" w:ascii="宋体" w:hAnsi="宋体"/>
          <w:sz w:val="24"/>
          <w:highlight w:val="none"/>
        </w:rPr>
        <w:t>。</w:t>
      </w:r>
    </w:p>
    <w:p>
      <w:pPr>
        <w:spacing w:line="360" w:lineRule="auto"/>
        <w:ind w:firstLine="610"/>
        <w:rPr>
          <w:rFonts w:ascii="宋体"/>
          <w:sz w:val="24"/>
          <w:highlight w:val="none"/>
        </w:rPr>
      </w:pPr>
    </w:p>
    <w:p>
      <w:pPr>
        <w:spacing w:line="360" w:lineRule="auto"/>
        <w:ind w:firstLine="610"/>
        <w:rPr>
          <w:rFonts w:ascii="宋体"/>
          <w:sz w:val="24"/>
          <w:highlight w:val="none"/>
        </w:rPr>
      </w:pPr>
      <w:r>
        <w:rPr>
          <w:rFonts w:hint="eastAsia" w:ascii="宋体" w:hAnsi="宋体"/>
          <w:sz w:val="24"/>
          <w:highlight w:val="none"/>
        </w:rPr>
        <w:t>特此证明。</w:t>
      </w:r>
    </w:p>
    <w:p>
      <w:pPr>
        <w:tabs>
          <w:tab w:val="left" w:pos="720"/>
          <w:tab w:val="left" w:pos="900"/>
        </w:tabs>
        <w:spacing w:line="360" w:lineRule="auto"/>
        <w:rPr>
          <w:rFonts w:ascii="宋体"/>
          <w:sz w:val="24"/>
          <w:highlight w:val="none"/>
        </w:rPr>
      </w:pPr>
    </w:p>
    <w:p>
      <w:pPr>
        <w:tabs>
          <w:tab w:val="left" w:pos="720"/>
          <w:tab w:val="left" w:pos="900"/>
        </w:tabs>
        <w:spacing w:line="360" w:lineRule="auto"/>
        <w:jc w:val="center"/>
        <w:rPr>
          <w:rFonts w:ascii="宋体"/>
          <w:sz w:val="24"/>
          <w:highlight w:val="none"/>
        </w:rPr>
      </w:pPr>
      <w:r>
        <w:rPr>
          <w:rFonts w:ascii="宋体" w:hAnsi="宋体"/>
          <w:sz w:val="24"/>
          <w:highlight w:val="none"/>
        </w:rPr>
        <w:t xml:space="preserve">                           </w:t>
      </w:r>
      <w:r>
        <w:rPr>
          <w:rFonts w:hint="eastAsia" w:ascii="宋体" w:hAnsi="宋体"/>
          <w:sz w:val="24"/>
          <w:highlight w:val="none"/>
        </w:rPr>
        <w:t>比选申请人：</w:t>
      </w:r>
      <w:r>
        <w:rPr>
          <w:rFonts w:ascii="宋体" w:hAnsi="宋体"/>
          <w:sz w:val="24"/>
          <w:highlight w:val="none"/>
          <w:u w:val="single"/>
        </w:rPr>
        <w:t xml:space="preserve">     </w:t>
      </w:r>
      <w:r>
        <w:rPr>
          <w:rFonts w:hint="eastAsia" w:ascii="宋体" w:hAnsi="宋体"/>
          <w:sz w:val="24"/>
          <w:highlight w:val="none"/>
          <w:u w:val="single"/>
        </w:rPr>
        <w:t>（加盖单位公章）</w:t>
      </w:r>
      <w:r>
        <w:rPr>
          <w:rFonts w:ascii="宋体" w:hAnsi="宋体"/>
          <w:sz w:val="24"/>
          <w:highlight w:val="none"/>
          <w:u w:val="single"/>
        </w:rPr>
        <w:t xml:space="preserve">    </w:t>
      </w:r>
    </w:p>
    <w:p>
      <w:pPr>
        <w:spacing w:line="360" w:lineRule="auto"/>
        <w:jc w:val="center"/>
        <w:rPr>
          <w:rFonts w:ascii="宋体"/>
          <w:sz w:val="24"/>
          <w:highlight w:val="none"/>
        </w:rPr>
      </w:pPr>
      <w:r>
        <w:rPr>
          <w:rFonts w:ascii="宋体" w:hAnsi="宋体"/>
          <w:sz w:val="24"/>
          <w:highlight w:val="none"/>
        </w:rPr>
        <w:t xml:space="preserve">                                  </w:t>
      </w:r>
      <w:r>
        <w:rPr>
          <w:rFonts w:hint="eastAsia" w:ascii="宋体" w:hAnsi="宋体"/>
          <w:sz w:val="24"/>
          <w:highlight w:val="none"/>
        </w:rPr>
        <w:t>日</w:t>
      </w:r>
      <w:r>
        <w:rPr>
          <w:rFonts w:ascii="宋体" w:hAnsi="宋体"/>
          <w:sz w:val="24"/>
          <w:highlight w:val="none"/>
        </w:rPr>
        <w:t xml:space="preserve">  </w:t>
      </w:r>
      <w:r>
        <w:rPr>
          <w:rFonts w:hint="eastAsia" w:ascii="宋体" w:hAnsi="宋体"/>
          <w:sz w:val="24"/>
          <w:highlight w:val="none"/>
        </w:rPr>
        <w:t>期：</w:t>
      </w:r>
      <w:r>
        <w:rPr>
          <w:rFonts w:ascii="宋体" w:hAnsi="宋体"/>
          <w:sz w:val="24"/>
          <w:highlight w:val="none"/>
        </w:rPr>
        <w:t xml:space="preserve"> </w:t>
      </w:r>
      <w:r>
        <w:rPr>
          <w:rFonts w:hint="eastAsia" w:ascii="宋体" w:hAnsi="宋体"/>
          <w:sz w:val="24"/>
          <w:highlight w:val="none"/>
        </w:rPr>
        <w:t>年</w:t>
      </w:r>
      <w:r>
        <w:rPr>
          <w:rFonts w:ascii="宋体" w:hAnsi="宋体"/>
          <w:sz w:val="24"/>
          <w:highlight w:val="none"/>
        </w:rPr>
        <w:t xml:space="preserve">  </w:t>
      </w:r>
      <w:r>
        <w:rPr>
          <w:rFonts w:hint="eastAsia" w:ascii="宋体" w:hAnsi="宋体"/>
          <w:sz w:val="24"/>
          <w:highlight w:val="none"/>
        </w:rPr>
        <w:t>月</w:t>
      </w:r>
      <w:r>
        <w:rPr>
          <w:rFonts w:ascii="宋体" w:hAnsi="宋体"/>
          <w:sz w:val="24"/>
          <w:highlight w:val="none"/>
        </w:rPr>
        <w:t xml:space="preserve">   </w:t>
      </w:r>
      <w:r>
        <w:rPr>
          <w:rFonts w:hint="eastAsia" w:ascii="宋体" w:hAnsi="宋体"/>
          <w:sz w:val="24"/>
          <w:highlight w:val="none"/>
        </w:rPr>
        <w:t>日</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2"/>
        <w:rPr>
          <w:sz w:val="28"/>
          <w:szCs w:val="28"/>
          <w:highlight w:val="none"/>
        </w:rPr>
      </w:pPr>
      <w:r>
        <w:rPr>
          <w:rFonts w:ascii="楷体_GB2312" w:eastAsia="楷体_GB2312"/>
          <w:b/>
          <w:sz w:val="24"/>
          <w:highlight w:val="none"/>
        </w:rPr>
        <w:br w:type="page"/>
      </w:r>
      <w:bookmarkEnd w:id="371"/>
      <w:bookmarkEnd w:id="372"/>
      <w:bookmarkEnd w:id="373"/>
      <w:bookmarkEnd w:id="374"/>
      <w:bookmarkEnd w:id="375"/>
      <w:bookmarkEnd w:id="376"/>
      <w:bookmarkEnd w:id="377"/>
      <w:bookmarkEnd w:id="378"/>
      <w:bookmarkEnd w:id="379"/>
      <w:r>
        <w:rPr>
          <w:rFonts w:hint="eastAsia" w:ascii="宋体" w:hAnsi="宋体" w:eastAsia="楷体_GB2312"/>
          <w:b/>
          <w:kern w:val="0"/>
          <w:sz w:val="28"/>
          <w:szCs w:val="28"/>
          <w:highlight w:val="none"/>
          <w:lang w:val="en-US" w:eastAsia="zh-CN"/>
        </w:rPr>
        <w:t>7</w:t>
      </w:r>
      <w:r>
        <w:rPr>
          <w:rFonts w:ascii="宋体" w:hAnsi="宋体"/>
          <w:b/>
          <w:kern w:val="0"/>
          <w:sz w:val="28"/>
          <w:szCs w:val="28"/>
          <w:highlight w:val="none"/>
        </w:rPr>
        <w:t>.</w:t>
      </w:r>
      <w:r>
        <w:rPr>
          <w:rFonts w:hint="eastAsia" w:ascii="宋体" w:hAnsi="宋体"/>
          <w:b/>
          <w:kern w:val="0"/>
          <w:sz w:val="28"/>
          <w:szCs w:val="28"/>
          <w:highlight w:val="none"/>
        </w:rPr>
        <w:t>法定</w:t>
      </w:r>
      <w:r>
        <w:rPr>
          <w:rFonts w:hint="eastAsia" w:ascii="宋体"/>
          <w:b/>
          <w:bCs/>
          <w:sz w:val="28"/>
          <w:szCs w:val="28"/>
          <w:highlight w:val="none"/>
        </w:rPr>
        <w:t>代表人</w:t>
      </w:r>
      <w:r>
        <w:rPr>
          <w:rFonts w:hint="eastAsia" w:ascii="宋体" w:hAnsi="宋体"/>
          <w:b/>
          <w:kern w:val="0"/>
          <w:sz w:val="28"/>
          <w:szCs w:val="28"/>
          <w:highlight w:val="none"/>
          <w:lang w:eastAsia="zh-CN"/>
        </w:rPr>
        <w:t>（</w:t>
      </w:r>
      <w:r>
        <w:rPr>
          <w:rFonts w:hint="eastAsia" w:ascii="宋体" w:hAnsi="宋体"/>
          <w:b/>
          <w:kern w:val="0"/>
          <w:sz w:val="28"/>
          <w:szCs w:val="28"/>
          <w:highlight w:val="none"/>
          <w:lang w:val="en-US" w:eastAsia="zh-CN"/>
        </w:rPr>
        <w:t>负责人</w:t>
      </w:r>
      <w:r>
        <w:rPr>
          <w:rFonts w:hint="eastAsia" w:ascii="宋体" w:hAnsi="宋体"/>
          <w:b/>
          <w:kern w:val="0"/>
          <w:sz w:val="28"/>
          <w:szCs w:val="28"/>
          <w:highlight w:val="none"/>
          <w:lang w:eastAsia="zh-CN"/>
        </w:rPr>
        <w:t>）</w:t>
      </w:r>
      <w:r>
        <w:rPr>
          <w:rFonts w:hint="eastAsia" w:ascii="宋体" w:hAnsi="宋体"/>
          <w:b/>
          <w:kern w:val="0"/>
          <w:sz w:val="28"/>
          <w:szCs w:val="28"/>
          <w:highlight w:val="none"/>
        </w:rPr>
        <w:t>身份证明文件（</w:t>
      </w:r>
      <w:r>
        <w:rPr>
          <w:rFonts w:hint="eastAsia" w:ascii="宋体" w:hAnsi="宋体"/>
          <w:b/>
          <w:kern w:val="0"/>
          <w:sz w:val="28"/>
          <w:szCs w:val="28"/>
          <w:highlight w:val="none"/>
          <w:lang w:val="en-US" w:eastAsia="zh-CN"/>
        </w:rPr>
        <w:t>提供</w:t>
      </w:r>
      <w:r>
        <w:rPr>
          <w:rFonts w:hint="eastAsia" w:ascii="宋体" w:hAnsi="宋体"/>
          <w:b/>
          <w:kern w:val="0"/>
          <w:sz w:val="28"/>
          <w:szCs w:val="28"/>
          <w:highlight w:val="none"/>
        </w:rPr>
        <w:t>复印件加盖单位公章）</w:t>
      </w:r>
    </w:p>
    <w:p>
      <w:pPr>
        <w:rPr>
          <w:sz w:val="28"/>
          <w:szCs w:val="28"/>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2"/>
        <w:rPr>
          <w:rFonts w:ascii="宋体"/>
          <w:b/>
          <w:kern w:val="0"/>
          <w:sz w:val="28"/>
          <w:szCs w:val="28"/>
          <w:highlight w:val="none"/>
        </w:rPr>
      </w:pPr>
      <w:r>
        <w:rPr>
          <w:rFonts w:hint="eastAsia" w:ascii="宋体" w:hAnsi="宋体"/>
          <w:b/>
          <w:kern w:val="0"/>
          <w:sz w:val="28"/>
          <w:szCs w:val="28"/>
          <w:highlight w:val="none"/>
          <w:lang w:val="en-US" w:eastAsia="zh-CN"/>
        </w:rPr>
        <w:t>8</w:t>
      </w:r>
      <w:r>
        <w:rPr>
          <w:rFonts w:ascii="宋体" w:hAnsi="宋体"/>
          <w:b/>
          <w:kern w:val="0"/>
          <w:sz w:val="28"/>
          <w:szCs w:val="28"/>
          <w:highlight w:val="none"/>
        </w:rPr>
        <w:t>.</w:t>
      </w:r>
      <w:r>
        <w:rPr>
          <w:rFonts w:hint="eastAsia" w:ascii="宋体" w:hAnsi="宋体"/>
          <w:b/>
          <w:kern w:val="0"/>
          <w:sz w:val="28"/>
          <w:szCs w:val="28"/>
          <w:highlight w:val="none"/>
        </w:rPr>
        <w:t>比选申请文件签署授权</w:t>
      </w:r>
      <w:r>
        <w:rPr>
          <w:rFonts w:hint="eastAsia" w:ascii="宋体"/>
          <w:b/>
          <w:bCs/>
          <w:sz w:val="28"/>
          <w:szCs w:val="28"/>
          <w:highlight w:val="none"/>
        </w:rPr>
        <w:t>委托书</w:t>
      </w:r>
    </w:p>
    <w:p>
      <w:pPr>
        <w:spacing w:line="480" w:lineRule="auto"/>
        <w:jc w:val="center"/>
        <w:rPr>
          <w:rFonts w:ascii="楷体_GB2312" w:eastAsia="楷体_GB2312"/>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本授权委托书声明：我</w:t>
      </w:r>
      <w:r>
        <w:rPr>
          <w:rFonts w:ascii="宋体" w:hAnsi="宋体"/>
          <w:kern w:val="0"/>
          <w:sz w:val="24"/>
          <w:highlight w:val="none"/>
          <w:u w:val="single"/>
        </w:rPr>
        <w:t xml:space="preserve">   </w:t>
      </w:r>
      <w:r>
        <w:rPr>
          <w:rFonts w:hint="eastAsia" w:ascii="宋体" w:hAnsi="宋体"/>
          <w:kern w:val="0"/>
          <w:sz w:val="24"/>
          <w:highlight w:val="none"/>
          <w:u w:val="single"/>
        </w:rPr>
        <w:t>（姓名）</w:t>
      </w:r>
      <w:r>
        <w:rPr>
          <w:rFonts w:ascii="宋体" w:hAnsi="宋体"/>
          <w:kern w:val="0"/>
          <w:sz w:val="24"/>
          <w:highlight w:val="none"/>
          <w:u w:val="single"/>
        </w:rPr>
        <w:t xml:space="preserve">    </w:t>
      </w:r>
      <w:r>
        <w:rPr>
          <w:rFonts w:hint="eastAsia" w:ascii="宋体" w:hAnsi="宋体"/>
          <w:kern w:val="0"/>
          <w:sz w:val="24"/>
          <w:highlight w:val="none"/>
        </w:rPr>
        <w:t>系</w:t>
      </w:r>
      <w:r>
        <w:rPr>
          <w:rFonts w:hint="eastAsia" w:ascii="宋体" w:hAnsi="宋体"/>
          <w:kern w:val="0"/>
          <w:sz w:val="24"/>
          <w:highlight w:val="none"/>
          <w:u w:val="single"/>
        </w:rPr>
        <w:t>（比选申请人名称）</w:t>
      </w:r>
      <w:r>
        <w:rPr>
          <w:rFonts w:hint="eastAsia" w:ascii="宋体" w:hAnsi="宋体"/>
          <w:kern w:val="0"/>
          <w:sz w:val="24"/>
          <w:highlight w:val="none"/>
        </w:rPr>
        <w:t>的法定代表人</w:t>
      </w:r>
      <w:r>
        <w:rPr>
          <w:rFonts w:hint="eastAsia" w:ascii="宋体" w:hAnsi="宋体"/>
          <w:kern w:val="0"/>
          <w:sz w:val="24"/>
          <w:highlight w:val="none"/>
          <w:lang w:eastAsia="zh-CN"/>
        </w:rPr>
        <w:t>（</w:t>
      </w:r>
      <w:r>
        <w:rPr>
          <w:rFonts w:hint="eastAsia" w:ascii="宋体" w:hAnsi="宋体"/>
          <w:kern w:val="0"/>
          <w:sz w:val="24"/>
          <w:highlight w:val="none"/>
          <w:lang w:val="en-US" w:eastAsia="zh-CN"/>
        </w:rPr>
        <w:t>负责人</w:t>
      </w:r>
      <w:r>
        <w:rPr>
          <w:rFonts w:hint="eastAsia" w:ascii="宋体" w:hAnsi="宋体"/>
          <w:kern w:val="0"/>
          <w:sz w:val="24"/>
          <w:highlight w:val="none"/>
          <w:lang w:eastAsia="zh-CN"/>
        </w:rPr>
        <w:t>）</w:t>
      </w:r>
      <w:r>
        <w:rPr>
          <w:rFonts w:hint="eastAsia" w:ascii="宋体" w:hAnsi="宋体"/>
          <w:kern w:val="0"/>
          <w:sz w:val="24"/>
          <w:highlight w:val="none"/>
        </w:rPr>
        <w:t>，现授权委托</w:t>
      </w:r>
      <w:r>
        <w:rPr>
          <w:rFonts w:ascii="宋体" w:hAnsi="宋体"/>
          <w:kern w:val="0"/>
          <w:sz w:val="24"/>
          <w:highlight w:val="none"/>
          <w:u w:val="single"/>
        </w:rPr>
        <w:t>(</w:t>
      </w:r>
      <w:r>
        <w:rPr>
          <w:rFonts w:hint="eastAsia" w:ascii="宋体" w:hAnsi="宋体"/>
          <w:kern w:val="0"/>
          <w:sz w:val="24"/>
          <w:highlight w:val="none"/>
          <w:u w:val="single"/>
        </w:rPr>
        <w:t>比选申请人名称</w:t>
      </w:r>
      <w:r>
        <w:rPr>
          <w:rFonts w:ascii="宋体" w:hAnsi="宋体"/>
          <w:kern w:val="0"/>
          <w:sz w:val="24"/>
          <w:highlight w:val="none"/>
          <w:u w:val="single"/>
        </w:rPr>
        <w:t xml:space="preserve">)        </w:t>
      </w:r>
      <w:r>
        <w:rPr>
          <w:rFonts w:hint="eastAsia" w:ascii="宋体" w:hAnsi="宋体"/>
          <w:kern w:val="0"/>
          <w:sz w:val="24"/>
          <w:highlight w:val="none"/>
        </w:rPr>
        <w:t>的</w:t>
      </w:r>
      <w:r>
        <w:rPr>
          <w:rFonts w:ascii="宋体" w:hAnsi="宋体"/>
          <w:kern w:val="0"/>
          <w:sz w:val="24"/>
          <w:highlight w:val="none"/>
          <w:u w:val="single"/>
        </w:rPr>
        <w:t xml:space="preserve">   </w:t>
      </w:r>
      <w:r>
        <w:rPr>
          <w:rFonts w:hint="eastAsia" w:ascii="宋体" w:hAnsi="宋体"/>
          <w:kern w:val="0"/>
          <w:sz w:val="24"/>
          <w:highlight w:val="none"/>
          <w:u w:val="single"/>
        </w:rPr>
        <w:t>（姓名）</w:t>
      </w:r>
      <w:r>
        <w:rPr>
          <w:rFonts w:ascii="宋体" w:hAnsi="宋体"/>
          <w:kern w:val="0"/>
          <w:sz w:val="24"/>
          <w:highlight w:val="none"/>
          <w:u w:val="single"/>
        </w:rPr>
        <w:t xml:space="preserve">  </w:t>
      </w:r>
      <w:r>
        <w:rPr>
          <w:rFonts w:hint="eastAsia" w:ascii="宋体" w:hAnsi="宋体"/>
          <w:kern w:val="0"/>
          <w:sz w:val="24"/>
          <w:highlight w:val="none"/>
        </w:rPr>
        <w:t>为我公司代理人，以本公司名义参加项目比选活动。代理人在评审、合同过程中所签署的一切文件和处理与之有关的一切事务，我均予以确认。</w:t>
      </w:r>
    </w:p>
    <w:p>
      <w:pPr>
        <w:autoSpaceDE w:val="0"/>
        <w:autoSpaceDN w:val="0"/>
        <w:adjustRightInd w:val="0"/>
        <w:spacing w:line="480" w:lineRule="auto"/>
        <w:ind w:firstLine="614" w:firstLineChars="256"/>
        <w:rPr>
          <w:rFonts w:ascii="宋体"/>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代理人无转委托权。特此委托。</w:t>
      </w:r>
    </w:p>
    <w:p>
      <w:pPr>
        <w:autoSpaceDE w:val="0"/>
        <w:autoSpaceDN w:val="0"/>
        <w:adjustRightInd w:val="0"/>
        <w:spacing w:line="480" w:lineRule="auto"/>
        <w:ind w:firstLine="614" w:firstLineChars="256"/>
        <w:rPr>
          <w:rFonts w:ascii="宋体"/>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代理人：</w:t>
      </w:r>
      <w:r>
        <w:rPr>
          <w:rFonts w:ascii="宋体" w:hAnsi="宋体"/>
          <w:kern w:val="0"/>
          <w:sz w:val="24"/>
          <w:highlight w:val="none"/>
        </w:rPr>
        <w:t xml:space="preserve">    </w:t>
      </w:r>
      <w:r>
        <w:rPr>
          <w:rFonts w:hint="eastAsia" w:ascii="宋体" w:hAnsi="宋体"/>
          <w:kern w:val="0"/>
          <w:sz w:val="24"/>
          <w:highlight w:val="none"/>
        </w:rPr>
        <w:t>性别：</w:t>
      </w:r>
      <w:r>
        <w:rPr>
          <w:rFonts w:ascii="宋体" w:hAnsi="宋体"/>
          <w:kern w:val="0"/>
          <w:sz w:val="24"/>
          <w:highlight w:val="none"/>
        </w:rPr>
        <w:t xml:space="preserve">     </w:t>
      </w:r>
      <w:r>
        <w:rPr>
          <w:rFonts w:hint="eastAsia" w:ascii="宋体" w:hAnsi="宋体"/>
          <w:kern w:val="0"/>
          <w:sz w:val="24"/>
          <w:highlight w:val="none"/>
        </w:rPr>
        <w:t>年龄：</w:t>
      </w: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单位：</w:t>
      </w:r>
      <w:r>
        <w:rPr>
          <w:rFonts w:ascii="宋体" w:hAnsi="宋体"/>
          <w:kern w:val="0"/>
          <w:sz w:val="24"/>
          <w:highlight w:val="none"/>
        </w:rPr>
        <w:t xml:space="preserve">      </w:t>
      </w:r>
      <w:r>
        <w:rPr>
          <w:rFonts w:hint="eastAsia" w:ascii="宋体" w:hAnsi="宋体"/>
          <w:kern w:val="0"/>
          <w:sz w:val="24"/>
          <w:highlight w:val="none"/>
        </w:rPr>
        <w:t>部门：</w:t>
      </w:r>
      <w:r>
        <w:rPr>
          <w:rFonts w:ascii="宋体" w:hAnsi="宋体"/>
          <w:kern w:val="0"/>
          <w:sz w:val="24"/>
          <w:highlight w:val="none"/>
        </w:rPr>
        <w:t xml:space="preserve">     </w:t>
      </w:r>
      <w:r>
        <w:rPr>
          <w:rFonts w:hint="eastAsia" w:ascii="宋体" w:hAnsi="宋体"/>
          <w:kern w:val="0"/>
          <w:sz w:val="24"/>
          <w:highlight w:val="none"/>
        </w:rPr>
        <w:t>职务：</w:t>
      </w:r>
    </w:p>
    <w:p>
      <w:pPr>
        <w:autoSpaceDE w:val="0"/>
        <w:autoSpaceDN w:val="0"/>
        <w:adjustRightInd w:val="0"/>
        <w:spacing w:line="480" w:lineRule="auto"/>
        <w:ind w:firstLine="614" w:firstLineChars="256"/>
        <w:rPr>
          <w:rFonts w:ascii="宋体"/>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比选申请人：（加盖单位公章）</w:t>
      </w:r>
    </w:p>
    <w:p>
      <w:pPr>
        <w:autoSpaceDE w:val="0"/>
        <w:autoSpaceDN w:val="0"/>
        <w:adjustRightInd w:val="0"/>
        <w:spacing w:line="480" w:lineRule="auto"/>
        <w:ind w:firstLine="614" w:firstLineChars="256"/>
        <w:rPr>
          <w:rFonts w:ascii="宋体"/>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法定代表人（负责人）：（签字）</w:t>
      </w:r>
    </w:p>
    <w:p>
      <w:pPr>
        <w:autoSpaceDE w:val="0"/>
        <w:autoSpaceDN w:val="0"/>
        <w:adjustRightInd w:val="0"/>
        <w:spacing w:line="480" w:lineRule="auto"/>
        <w:ind w:firstLine="614" w:firstLineChars="256"/>
        <w:rPr>
          <w:rFonts w:ascii="宋体"/>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日期：</w:t>
      </w:r>
      <w:r>
        <w:rPr>
          <w:rFonts w:ascii="宋体" w:hAnsi="宋体"/>
          <w:kern w:val="0"/>
          <w:sz w:val="24"/>
          <w:highlight w:val="none"/>
        </w:rPr>
        <w:t xml:space="preserve">   </w:t>
      </w:r>
      <w:r>
        <w:rPr>
          <w:rFonts w:hint="eastAsia" w:ascii="宋体" w:hAnsi="宋体"/>
          <w:kern w:val="0"/>
          <w:sz w:val="24"/>
          <w:highlight w:val="none"/>
        </w:rPr>
        <w:t>年</w:t>
      </w:r>
      <w:r>
        <w:rPr>
          <w:rFonts w:ascii="宋体" w:hAnsi="宋体"/>
          <w:kern w:val="0"/>
          <w:sz w:val="24"/>
          <w:highlight w:val="none"/>
        </w:rPr>
        <w:t xml:space="preserve">   </w:t>
      </w:r>
      <w:r>
        <w:rPr>
          <w:rFonts w:hint="eastAsia" w:ascii="宋体" w:hAnsi="宋体"/>
          <w:kern w:val="0"/>
          <w:sz w:val="24"/>
          <w:highlight w:val="none"/>
        </w:rPr>
        <w:t>月</w:t>
      </w:r>
      <w:r>
        <w:rPr>
          <w:rFonts w:ascii="宋体" w:hAnsi="宋体"/>
          <w:kern w:val="0"/>
          <w:sz w:val="24"/>
          <w:highlight w:val="none"/>
        </w:rPr>
        <w:t xml:space="preserve">   </w:t>
      </w:r>
      <w:r>
        <w:rPr>
          <w:rFonts w:hint="eastAsia" w:ascii="宋体" w:hAnsi="宋体"/>
          <w:kern w:val="0"/>
          <w:sz w:val="24"/>
          <w:highlight w:val="none"/>
        </w:rPr>
        <w:t>日</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2"/>
        <w:rPr>
          <w:rStyle w:val="32"/>
          <w:szCs w:val="28"/>
          <w:highlight w:val="none"/>
        </w:rPr>
      </w:pPr>
      <w:r>
        <w:rPr>
          <w:rFonts w:ascii="宋体"/>
          <w:kern w:val="0"/>
          <w:sz w:val="24"/>
          <w:highlight w:val="none"/>
        </w:rPr>
        <w:br w:type="page"/>
      </w:r>
      <w:bookmarkStart w:id="380" w:name="_Toc29504"/>
      <w:bookmarkStart w:id="381" w:name="_Toc18479"/>
      <w:bookmarkStart w:id="382" w:name="_Toc880"/>
      <w:bookmarkStart w:id="383" w:name="_Toc1509"/>
      <w:bookmarkStart w:id="384" w:name="_Toc2475"/>
      <w:bookmarkStart w:id="385" w:name="_Toc11434"/>
      <w:bookmarkStart w:id="386" w:name="_Toc26749"/>
      <w:bookmarkStart w:id="387" w:name="_Toc30136"/>
      <w:r>
        <w:rPr>
          <w:rFonts w:hint="eastAsia" w:ascii="宋体" w:hAnsi="宋体"/>
          <w:b/>
          <w:kern w:val="0"/>
          <w:sz w:val="28"/>
          <w:szCs w:val="28"/>
          <w:highlight w:val="none"/>
          <w:lang w:val="en-US" w:eastAsia="zh-CN"/>
        </w:rPr>
        <w:t>9</w:t>
      </w:r>
      <w:r>
        <w:rPr>
          <w:rFonts w:hint="eastAsia" w:ascii="宋体" w:hAnsi="宋体"/>
          <w:b/>
          <w:kern w:val="0"/>
          <w:sz w:val="28"/>
          <w:szCs w:val="28"/>
          <w:highlight w:val="none"/>
        </w:rPr>
        <w:t>.授权代理人身份证明文件（提供复印件加盖单位公章）</w:t>
      </w:r>
    </w:p>
    <w:bookmarkEnd w:id="380"/>
    <w:bookmarkEnd w:id="381"/>
    <w:bookmarkEnd w:id="382"/>
    <w:bookmarkEnd w:id="383"/>
    <w:bookmarkEnd w:id="384"/>
    <w:bookmarkEnd w:id="385"/>
    <w:bookmarkEnd w:id="386"/>
    <w:bookmarkEnd w:id="387"/>
    <w:p>
      <w:pPr>
        <w:spacing w:line="600" w:lineRule="exact"/>
        <w:jc w:val="center"/>
        <w:rPr>
          <w:rFonts w:ascii="宋体" w:cs="宋体"/>
          <w:sz w:val="28"/>
          <w:szCs w:val="28"/>
          <w:highlight w:val="none"/>
        </w:rPr>
      </w:pPr>
    </w:p>
    <w:p>
      <w:pPr>
        <w:spacing w:line="600" w:lineRule="exact"/>
        <w:jc w:val="center"/>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2"/>
        <w:rPr>
          <w:rFonts w:hint="default" w:ascii="宋体" w:hAnsi="宋体" w:eastAsia="宋体"/>
          <w:kern w:val="0"/>
          <w:sz w:val="24"/>
          <w:highlight w:val="none"/>
          <w:lang w:val="en-US" w:eastAsia="zh-CN"/>
        </w:rPr>
      </w:pPr>
      <w:r>
        <w:rPr>
          <w:rFonts w:hint="eastAsia" w:ascii="宋体" w:hAnsi="宋体"/>
          <w:b/>
          <w:kern w:val="0"/>
          <w:sz w:val="28"/>
          <w:szCs w:val="28"/>
          <w:highlight w:val="none"/>
          <w:lang w:val="en-US" w:eastAsia="zh-CN"/>
        </w:rPr>
        <w:t>10</w:t>
      </w:r>
      <w:r>
        <w:rPr>
          <w:rFonts w:ascii="宋体" w:hAnsi="宋体"/>
          <w:b/>
          <w:kern w:val="0"/>
          <w:sz w:val="28"/>
          <w:szCs w:val="28"/>
          <w:highlight w:val="none"/>
        </w:rPr>
        <w:t>.</w:t>
      </w:r>
      <w:r>
        <w:rPr>
          <w:rFonts w:hint="eastAsia" w:ascii="宋体"/>
          <w:b/>
          <w:bCs/>
          <w:sz w:val="28"/>
          <w:szCs w:val="28"/>
          <w:highlight w:val="none"/>
          <w:lang w:val="en-US" w:eastAsia="zh-CN"/>
        </w:rPr>
        <w:t>其他</w:t>
      </w:r>
    </w:p>
    <w:p>
      <w:pPr>
        <w:widowControl/>
        <w:jc w:val="left"/>
        <w:rPr>
          <w:rFonts w:ascii="宋体"/>
          <w:i/>
          <w:kern w:val="0"/>
          <w:sz w:val="28"/>
          <w:szCs w:val="28"/>
          <w:highlight w:val="none"/>
        </w:rPr>
      </w:pPr>
    </w:p>
    <w:p>
      <w:pPr>
        <w:widowControl/>
        <w:jc w:val="left"/>
        <w:rPr>
          <w:rFonts w:ascii="宋体"/>
          <w:i/>
          <w:kern w:val="0"/>
          <w:sz w:val="28"/>
          <w:szCs w:val="28"/>
          <w:highlight w:val="none"/>
        </w:rPr>
      </w:pPr>
      <w:r>
        <w:rPr>
          <w:rFonts w:ascii="宋体"/>
          <w:i/>
          <w:kern w:val="0"/>
          <w:sz w:val="28"/>
          <w:szCs w:val="28"/>
          <w:highlight w:val="none"/>
        </w:rPr>
        <w:br w:type="page"/>
      </w:r>
    </w:p>
    <w:p>
      <w:pPr>
        <w:ind w:right="753"/>
        <w:jc w:val="center"/>
        <w:rPr>
          <w:rFonts w:ascii="宋体" w:cs="宋体"/>
          <w:sz w:val="28"/>
          <w:szCs w:val="28"/>
          <w:highlight w:val="none"/>
        </w:rPr>
      </w:pPr>
      <w:r>
        <w:rPr>
          <w:rFonts w:hint="eastAsia" w:ascii="宋体" w:hAnsi="宋体" w:cs="宋体"/>
          <w:sz w:val="28"/>
          <w:szCs w:val="28"/>
          <w:highlight w:val="none"/>
        </w:rPr>
        <w:t>（封面格式）</w:t>
      </w: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jc w:val="center"/>
        <w:rPr>
          <w:rFonts w:ascii="宋体" w:cs="宋体"/>
          <w:szCs w:val="28"/>
          <w:highlight w:val="none"/>
        </w:rPr>
      </w:pPr>
    </w:p>
    <w:p>
      <w:pPr>
        <w:jc w:val="center"/>
        <w:rPr>
          <w:rFonts w:ascii="宋体" w:cs="宋体"/>
          <w:szCs w:val="28"/>
          <w:highlight w:val="none"/>
        </w:rPr>
      </w:pPr>
      <w:r>
        <w:rPr>
          <w:rFonts w:hint="eastAsia" w:ascii="宋体" w:hAnsi="宋体" w:cs="宋体"/>
          <w:sz w:val="28"/>
          <w:szCs w:val="28"/>
          <w:highlight w:val="none"/>
        </w:rPr>
        <w:t>项目比选申请文件</w:t>
      </w:r>
    </w:p>
    <w:p>
      <w:pPr>
        <w:pStyle w:val="24"/>
        <w:jc w:val="center"/>
        <w:rPr>
          <w:b w:val="0"/>
          <w:bCs w:val="0"/>
          <w:sz w:val="28"/>
          <w:szCs w:val="28"/>
          <w:highlight w:val="none"/>
        </w:rPr>
      </w:pPr>
      <w:bookmarkStart w:id="388" w:name="_Toc18631"/>
      <w:bookmarkStart w:id="389" w:name="_Toc16451"/>
      <w:bookmarkStart w:id="390" w:name="_Toc144"/>
      <w:bookmarkStart w:id="391" w:name="_Toc31069"/>
      <w:bookmarkStart w:id="392" w:name="_Toc4828"/>
      <w:bookmarkStart w:id="393" w:name="_Toc461525334"/>
      <w:bookmarkStart w:id="394" w:name="_Toc124"/>
      <w:bookmarkStart w:id="395" w:name="_Toc25575"/>
      <w:bookmarkStart w:id="396" w:name="_Toc23149"/>
      <w:bookmarkStart w:id="397" w:name="_Toc10507"/>
      <w:r>
        <w:rPr>
          <w:rFonts w:hint="eastAsia"/>
          <w:b w:val="0"/>
          <w:bCs w:val="0"/>
          <w:sz w:val="28"/>
          <w:szCs w:val="28"/>
          <w:highlight w:val="none"/>
        </w:rPr>
        <w:t>技术部分</w:t>
      </w:r>
      <w:bookmarkEnd w:id="388"/>
      <w:bookmarkEnd w:id="389"/>
      <w:bookmarkEnd w:id="390"/>
      <w:bookmarkEnd w:id="391"/>
      <w:bookmarkEnd w:id="392"/>
      <w:bookmarkEnd w:id="393"/>
      <w:bookmarkEnd w:id="394"/>
      <w:bookmarkEnd w:id="395"/>
      <w:bookmarkEnd w:id="396"/>
      <w:bookmarkEnd w:id="397"/>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 w:val="28"/>
          <w:szCs w:val="28"/>
          <w:highlight w:val="none"/>
        </w:rPr>
      </w:pPr>
      <w:r>
        <w:rPr>
          <w:rFonts w:hint="eastAsia" w:ascii="宋体" w:hAnsi="宋体" w:cs="宋体"/>
          <w:sz w:val="28"/>
          <w:szCs w:val="28"/>
          <w:highlight w:val="none"/>
        </w:rPr>
        <w:t>比选申请人：（盖单位公章）</w:t>
      </w:r>
    </w:p>
    <w:p>
      <w:pPr>
        <w:ind w:right="753"/>
        <w:jc w:val="left"/>
        <w:rPr>
          <w:rFonts w:ascii="宋体" w:cs="宋体"/>
          <w:sz w:val="28"/>
          <w:szCs w:val="28"/>
          <w:highlight w:val="none"/>
        </w:rPr>
      </w:pPr>
      <w:r>
        <w:rPr>
          <w:rFonts w:hint="eastAsia" w:ascii="宋体" w:hAnsi="宋体" w:cs="宋体"/>
          <w:sz w:val="28"/>
          <w:szCs w:val="28"/>
          <w:highlight w:val="none"/>
        </w:rPr>
        <w:t>法定代表人（负责人）或委托代理人：（签字）</w:t>
      </w:r>
    </w:p>
    <w:p>
      <w:pPr>
        <w:ind w:right="753"/>
        <w:jc w:val="left"/>
        <w:rPr>
          <w:rFonts w:ascii="宋体" w:cs="宋体"/>
          <w:sz w:val="28"/>
          <w:szCs w:val="28"/>
          <w:highlight w:val="none"/>
        </w:rPr>
      </w:pPr>
    </w:p>
    <w:p>
      <w:pPr>
        <w:ind w:right="753"/>
        <w:jc w:val="left"/>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年</w:t>
      </w:r>
      <w:r>
        <w:rPr>
          <w:rFonts w:ascii="宋体" w:hAnsi="宋体" w:cs="宋体"/>
          <w:sz w:val="28"/>
          <w:szCs w:val="28"/>
          <w:highlight w:val="none"/>
        </w:rPr>
        <w:t xml:space="preserve">    </w:t>
      </w:r>
      <w:r>
        <w:rPr>
          <w:rFonts w:hint="eastAsia" w:ascii="宋体" w:hAnsi="宋体" w:cs="宋体"/>
          <w:sz w:val="28"/>
          <w:szCs w:val="28"/>
          <w:highlight w:val="none"/>
        </w:rPr>
        <w:t>月</w:t>
      </w:r>
      <w:r>
        <w:rPr>
          <w:rFonts w:ascii="宋体" w:hAnsi="宋体" w:cs="宋体"/>
          <w:sz w:val="28"/>
          <w:szCs w:val="28"/>
          <w:highlight w:val="none"/>
        </w:rPr>
        <w:t xml:space="preserve">    </w:t>
      </w:r>
      <w:r>
        <w:rPr>
          <w:rFonts w:hint="eastAsia" w:ascii="宋体" w:hAnsi="宋体" w:cs="宋体"/>
          <w:sz w:val="28"/>
          <w:szCs w:val="28"/>
          <w:highlight w:val="none"/>
        </w:rPr>
        <w:t>日</w:t>
      </w:r>
    </w:p>
    <w:p>
      <w:pPr>
        <w:ind w:right="753"/>
        <w:jc w:val="left"/>
        <w:rPr>
          <w:rFonts w:ascii="宋体" w:cs="宋体"/>
          <w:sz w:val="28"/>
          <w:szCs w:val="28"/>
          <w:highlight w:val="none"/>
        </w:rPr>
      </w:pPr>
    </w:p>
    <w:p>
      <w:pPr>
        <w:keepNext/>
        <w:keepLines/>
        <w:pageBreakBefore w:val="0"/>
        <w:widowControl w:val="0"/>
        <w:kinsoku/>
        <w:wordWrap/>
        <w:overflowPunct/>
        <w:topLinePunct w:val="0"/>
        <w:autoSpaceDE/>
        <w:autoSpaceDN/>
        <w:bidi w:val="0"/>
        <w:adjustRightInd/>
        <w:snapToGrid/>
        <w:spacing w:line="413" w:lineRule="auto"/>
        <w:textAlignment w:val="auto"/>
        <w:outlineLvl w:val="9"/>
        <w:rPr>
          <w:rFonts w:ascii="宋体" w:cs="宋体"/>
          <w:kern w:val="2"/>
          <w:szCs w:val="28"/>
          <w:highlight w:val="none"/>
        </w:rPr>
      </w:pPr>
      <w:bookmarkStart w:id="398" w:name="_Toc26769"/>
      <w:bookmarkStart w:id="399" w:name="_Toc23508"/>
      <w:bookmarkStart w:id="400" w:name="_Toc32510"/>
      <w:bookmarkStart w:id="401" w:name="_Toc29536"/>
      <w:bookmarkStart w:id="402" w:name="_Toc1986"/>
      <w:bookmarkStart w:id="403" w:name="_Toc471482371"/>
      <w:bookmarkStart w:id="404" w:name="_Toc21144"/>
      <w:bookmarkStart w:id="405" w:name="_Toc31521"/>
      <w:bookmarkStart w:id="406" w:name="_Toc31582"/>
      <w:bookmarkStart w:id="407" w:name="_Toc9379"/>
    </w:p>
    <w:p>
      <w:pPr>
        <w:rPr>
          <w:highlight w:val="none"/>
        </w:rPr>
      </w:pPr>
    </w:p>
    <w:p>
      <w:pPr>
        <w:pStyle w:val="4"/>
        <w:jc w:val="center"/>
        <w:rPr>
          <w:b/>
          <w:highlight w:val="none"/>
        </w:rPr>
      </w:pPr>
      <w:bookmarkStart w:id="408" w:name="_Toc12404"/>
      <w:bookmarkStart w:id="409" w:name="_Toc32476"/>
      <w:bookmarkStart w:id="410" w:name="_Toc22366"/>
      <w:bookmarkStart w:id="411" w:name="_Toc3401"/>
      <w:bookmarkStart w:id="412" w:name="_Toc30597"/>
      <w:bookmarkStart w:id="413" w:name="_Toc31102"/>
      <w:bookmarkStart w:id="414" w:name="_Toc11499"/>
      <w:bookmarkStart w:id="415" w:name="_Toc29703"/>
      <w:r>
        <w:rPr>
          <w:rFonts w:hint="eastAsia"/>
          <w:b/>
          <w:highlight w:val="none"/>
        </w:rPr>
        <w:t>二、技术部分材料目录</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业绩表</w:t>
      </w:r>
      <w:r>
        <w:rPr>
          <w:rFonts w:hint="eastAsia" w:ascii="宋体" w:hAnsi="宋体" w:cs="宋体"/>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宋体" w:hAnsi="宋体" w:eastAsia="宋体" w:cs="宋体"/>
          <w:kern w:val="2"/>
          <w:sz w:val="28"/>
          <w:szCs w:val="28"/>
          <w:highlight w:val="none"/>
          <w:lang w:val="en-US" w:eastAsia="zh-CN" w:bidi="ar-SA"/>
        </w:rPr>
      </w:pPr>
      <w:r>
        <w:rPr>
          <w:rFonts w:ascii="宋体" w:hAnsi="宋体" w:eastAsia="宋体" w:cs="宋体"/>
          <w:kern w:val="2"/>
          <w:sz w:val="28"/>
          <w:szCs w:val="28"/>
          <w:highlight w:val="none"/>
          <w:lang w:val="en-US" w:eastAsia="zh-CN" w:bidi="ar-SA"/>
        </w:rPr>
        <w:t>2.</w:t>
      </w:r>
      <w:r>
        <w:rPr>
          <w:rFonts w:hint="eastAsia" w:ascii="宋体" w:hAnsi="宋体" w:eastAsia="宋体" w:cs="宋体"/>
          <w:kern w:val="2"/>
          <w:sz w:val="28"/>
          <w:szCs w:val="28"/>
          <w:highlight w:val="none"/>
          <w:lang w:val="en-US" w:eastAsia="zh-CN" w:bidi="ar-SA"/>
        </w:rPr>
        <w:t>拟投入人员配置明细表</w:t>
      </w:r>
      <w:r>
        <w:rPr>
          <w:rFonts w:hint="eastAsia" w:ascii="宋体" w:hAnsi="宋体" w:cs="宋体"/>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cs="宋体"/>
          <w:sz w:val="28"/>
          <w:szCs w:val="28"/>
          <w:highlight w:val="none"/>
        </w:rPr>
      </w:pPr>
      <w:r>
        <w:rPr>
          <w:rFonts w:hint="eastAsia" w:ascii="宋体" w:hAnsi="宋体" w:cs="宋体"/>
          <w:sz w:val="28"/>
          <w:szCs w:val="28"/>
          <w:highlight w:val="none"/>
          <w:lang w:val="en-US" w:eastAsia="zh-CN"/>
        </w:rPr>
        <w:t>3</w:t>
      </w:r>
      <w:r>
        <w:rPr>
          <w:rFonts w:ascii="宋体" w:hAnsi="宋体" w:cs="宋体"/>
          <w:sz w:val="28"/>
          <w:szCs w:val="28"/>
          <w:highlight w:val="none"/>
        </w:rPr>
        <w:t>.</w:t>
      </w:r>
      <w:r>
        <w:rPr>
          <w:rFonts w:hint="eastAsia" w:ascii="宋体" w:hAnsi="宋体" w:cs="宋体"/>
          <w:sz w:val="28"/>
          <w:szCs w:val="28"/>
          <w:highlight w:val="none"/>
        </w:rPr>
        <w:t>拟投入人员的相关工作业绩、资历及能力（由比选申请人自行编写）</w:t>
      </w:r>
      <w:r>
        <w:rPr>
          <w:rFonts w:hint="eastAsia" w:ascii="宋体" w:hAnsi="宋体" w:cs="宋体"/>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280" w:hanging="280" w:hangingChars="100"/>
        <w:textAlignment w:val="auto"/>
        <w:rPr>
          <w:rFonts w:hint="eastAsia" w:ascii="宋体" w:hAnsi="宋体" w:cs="宋体"/>
          <w:sz w:val="28"/>
          <w:szCs w:val="28"/>
          <w:highlight w:val="none"/>
          <w:lang w:val="en-US" w:eastAsia="zh-CN"/>
        </w:rPr>
      </w:pPr>
      <w:r>
        <w:rPr>
          <w:rFonts w:hint="eastAsia" w:ascii="宋体" w:hAnsi="宋体" w:cs="宋体"/>
          <w:sz w:val="28"/>
          <w:szCs w:val="28"/>
          <w:highlight w:val="none"/>
          <w:lang w:val="en-US" w:eastAsia="zh-CN"/>
        </w:rPr>
        <w:t>4.拟投入人员中正式员工劳动合同</w:t>
      </w:r>
      <w:r>
        <w:rPr>
          <w:rFonts w:hint="default" w:ascii="宋体" w:hAnsi="宋体" w:cs="宋体"/>
          <w:sz w:val="28"/>
          <w:szCs w:val="28"/>
          <w:highlight w:val="none"/>
          <w:lang w:val="en-US" w:eastAsia="zh-CN"/>
        </w:rPr>
        <w:t>及</w:t>
      </w:r>
      <w:r>
        <w:rPr>
          <w:rFonts w:hint="eastAsia" w:ascii="宋体" w:hAnsi="宋体" w:cs="宋体"/>
          <w:sz w:val="28"/>
          <w:szCs w:val="28"/>
          <w:highlight w:val="none"/>
          <w:lang w:val="en-US" w:eastAsia="zh-CN"/>
        </w:rPr>
        <w:t>近3个月社保缴付证明（提供复印件加盖单位公章）</w:t>
      </w:r>
      <w:r>
        <w:rPr>
          <w:rFonts w:hint="eastAsia" w:ascii="宋体" w:hAnsi="宋体" w:cs="宋体"/>
          <w:szCs w:val="21"/>
          <w:highlight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540" w:lineRule="exact"/>
        <w:textAlignment w:val="auto"/>
        <w:rPr>
          <w:rFonts w:hint="eastAsia" w:ascii="宋体" w:hAnsi="宋体" w:cs="宋体"/>
          <w:sz w:val="28"/>
          <w:szCs w:val="28"/>
          <w:highlight w:val="none"/>
        </w:rPr>
      </w:pPr>
      <w:r>
        <w:rPr>
          <w:rFonts w:hint="eastAsia" w:ascii="宋体" w:hAnsi="宋体" w:cs="宋体"/>
          <w:sz w:val="28"/>
          <w:szCs w:val="28"/>
          <w:highlight w:val="none"/>
          <w:lang w:val="en-US" w:eastAsia="zh-CN"/>
        </w:rPr>
        <w:t>5</w:t>
      </w:r>
      <w:r>
        <w:rPr>
          <w:rFonts w:ascii="宋体" w:hAnsi="宋体" w:cs="宋体"/>
          <w:sz w:val="28"/>
          <w:szCs w:val="28"/>
          <w:highlight w:val="none"/>
        </w:rPr>
        <w:t>.</w:t>
      </w:r>
      <w:r>
        <w:rPr>
          <w:rFonts w:hint="eastAsia" w:ascii="宋体" w:hAnsi="宋体" w:cs="宋体"/>
          <w:sz w:val="28"/>
          <w:szCs w:val="28"/>
          <w:highlight w:val="none"/>
        </w:rPr>
        <w:t>服务方案（由比选申请人自行编写）</w:t>
      </w:r>
      <w:r>
        <w:rPr>
          <w:rFonts w:hint="eastAsia" w:ascii="宋体" w:hAnsi="宋体" w:cs="宋体"/>
          <w:szCs w:val="21"/>
          <w:highlight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540" w:lineRule="exact"/>
        <w:textAlignment w:val="auto"/>
        <w:rPr>
          <w:rFonts w:hint="default" w:ascii="宋体" w:hAnsi="宋体" w:eastAsia="宋体" w:cs="宋体"/>
          <w:sz w:val="28"/>
          <w:szCs w:val="28"/>
          <w:highlight w:val="none"/>
          <w:lang w:val="en-US" w:eastAsia="zh-CN"/>
        </w:rPr>
      </w:pPr>
      <w:r>
        <w:rPr>
          <w:rFonts w:hint="eastAsia" w:ascii="宋体" w:hAnsi="宋体" w:cs="宋体"/>
          <w:sz w:val="28"/>
          <w:szCs w:val="28"/>
          <w:highlight w:val="none"/>
          <w:lang w:val="en-US" w:eastAsia="zh-CN"/>
        </w:rPr>
        <w:t>6.其他。</w:t>
      </w:r>
    </w:p>
    <w:p>
      <w:pPr>
        <w:ind w:right="753"/>
        <w:jc w:val="left"/>
        <w:rPr>
          <w:rFonts w:ascii="宋体" w:cs="宋体"/>
          <w:sz w:val="28"/>
          <w:szCs w:val="28"/>
          <w:highlight w:val="none"/>
        </w:rPr>
      </w:pPr>
    </w:p>
    <w:p>
      <w:pPr>
        <w:ind w:right="753"/>
        <w:jc w:val="left"/>
        <w:rPr>
          <w:rFonts w:ascii="宋体" w:cs="宋体"/>
          <w:sz w:val="28"/>
          <w:szCs w:val="28"/>
          <w:highlight w:val="none"/>
        </w:rPr>
      </w:pPr>
    </w:p>
    <w:p>
      <w:pPr>
        <w:spacing w:line="540" w:lineRule="exact"/>
        <w:rPr>
          <w:rFonts w:ascii="宋体" w:cs="宋体"/>
          <w:sz w:val="28"/>
          <w:szCs w:val="28"/>
          <w:highlight w:val="none"/>
        </w:rPr>
      </w:pPr>
      <w:r>
        <w:rPr>
          <w:rFonts w:hint="eastAsia" w:ascii="宋体" w:hAnsi="宋体" w:cs="宋体"/>
          <w:sz w:val="28"/>
          <w:szCs w:val="28"/>
          <w:highlight w:val="none"/>
        </w:rPr>
        <w:t>备注：以上材料均需加盖单位公章，并按照目录顺序编排，标注页码</w:t>
      </w: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pStyle w:val="5"/>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ascii="宋体"/>
          <w:b/>
          <w:highlight w:val="none"/>
        </w:rPr>
      </w:pPr>
      <w:bookmarkStart w:id="416" w:name="_Toc24439"/>
      <w:bookmarkStart w:id="417" w:name="_Toc25382"/>
      <w:bookmarkStart w:id="418" w:name="_Toc10356"/>
      <w:bookmarkStart w:id="419" w:name="_Toc7527"/>
      <w:bookmarkStart w:id="420" w:name="_Toc6881"/>
      <w:bookmarkStart w:id="421" w:name="_Toc9604"/>
      <w:bookmarkStart w:id="422" w:name="_Toc19216"/>
      <w:bookmarkStart w:id="423" w:name="_Toc32624"/>
      <w:bookmarkStart w:id="424" w:name="_Toc6862"/>
      <w:bookmarkStart w:id="425" w:name="_Toc461525332"/>
      <w:bookmarkStart w:id="426" w:name="_Toc30501"/>
      <w:bookmarkStart w:id="427" w:name="_Toc19445"/>
      <w:bookmarkStart w:id="428" w:name="_Toc31867"/>
      <w:r>
        <w:rPr>
          <w:rFonts w:ascii="宋体" w:hAnsi="宋体"/>
          <w:b/>
          <w:highlight w:val="none"/>
        </w:rPr>
        <w:t>1.</w:t>
      </w:r>
      <w:r>
        <w:rPr>
          <w:rFonts w:hint="eastAsia" w:ascii="宋体" w:hAnsi="宋体"/>
          <w:b/>
          <w:highlight w:val="none"/>
        </w:rPr>
        <w:t>业绩表</w:t>
      </w:r>
      <w:bookmarkEnd w:id="416"/>
      <w:bookmarkEnd w:id="417"/>
      <w:bookmarkEnd w:id="418"/>
      <w:bookmarkEnd w:id="419"/>
      <w:bookmarkEnd w:id="420"/>
      <w:bookmarkEnd w:id="421"/>
      <w:bookmarkEnd w:id="422"/>
      <w:bookmarkEnd w:id="423"/>
    </w:p>
    <w:tbl>
      <w:tblPr>
        <w:tblStyle w:val="25"/>
        <w:tblW w:w="8609" w:type="dxa"/>
        <w:jc w:val="center"/>
        <w:tblLayout w:type="fixed"/>
        <w:tblCellMar>
          <w:top w:w="0" w:type="dxa"/>
          <w:left w:w="108" w:type="dxa"/>
          <w:bottom w:w="0" w:type="dxa"/>
          <w:right w:w="108" w:type="dxa"/>
        </w:tblCellMar>
      </w:tblPr>
      <w:tblGrid>
        <w:gridCol w:w="5"/>
        <w:gridCol w:w="704"/>
        <w:gridCol w:w="2070"/>
        <w:gridCol w:w="2607"/>
        <w:gridCol w:w="1875"/>
        <w:gridCol w:w="1348"/>
      </w:tblGrid>
      <w:tr>
        <w:tblPrEx>
          <w:tblCellMar>
            <w:top w:w="0" w:type="dxa"/>
            <w:left w:w="108" w:type="dxa"/>
            <w:bottom w:w="0" w:type="dxa"/>
            <w:right w:w="108" w:type="dxa"/>
          </w:tblCellMar>
        </w:tblPrEx>
        <w:trPr>
          <w:trHeight w:val="450" w:hRule="atLeast"/>
          <w:jc w:val="center"/>
        </w:trPr>
        <w:tc>
          <w:tcPr>
            <w:tcW w:w="70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r>
              <w:rPr>
                <w:rFonts w:hint="eastAsia" w:ascii="宋体" w:hAnsi="宋体" w:cs="宋体"/>
                <w:kern w:val="0"/>
                <w:sz w:val="24"/>
                <w:highlight w:val="none"/>
              </w:rPr>
              <w:t>序号</w:t>
            </w:r>
          </w:p>
        </w:tc>
        <w:tc>
          <w:tcPr>
            <w:tcW w:w="207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highlight w:val="none"/>
              </w:rPr>
            </w:pPr>
            <w:r>
              <w:rPr>
                <w:rFonts w:hint="eastAsia" w:ascii="宋体" w:hAnsi="宋体" w:cs="宋体"/>
                <w:kern w:val="0"/>
                <w:sz w:val="24"/>
                <w:highlight w:val="none"/>
              </w:rPr>
              <w:t>合同对方名称</w:t>
            </w:r>
          </w:p>
        </w:tc>
        <w:tc>
          <w:tcPr>
            <w:tcW w:w="260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highlight w:val="none"/>
              </w:rPr>
            </w:pPr>
            <w:r>
              <w:rPr>
                <w:rFonts w:hint="eastAsia" w:ascii="宋体" w:hAnsi="宋体" w:cs="宋体"/>
                <w:kern w:val="0"/>
                <w:sz w:val="24"/>
                <w:highlight w:val="none"/>
                <w:lang w:val="en-US" w:eastAsia="zh-CN"/>
              </w:rPr>
              <w:t>审计</w:t>
            </w:r>
            <w:r>
              <w:rPr>
                <w:rFonts w:hint="eastAsia" w:ascii="宋体" w:hAnsi="宋体" w:cs="宋体"/>
                <w:kern w:val="0"/>
                <w:sz w:val="24"/>
                <w:highlight w:val="none"/>
              </w:rPr>
              <w:t>内容</w:t>
            </w:r>
          </w:p>
        </w:tc>
        <w:tc>
          <w:tcPr>
            <w:tcW w:w="1875"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highlight w:val="none"/>
              </w:rPr>
            </w:pPr>
            <w:r>
              <w:rPr>
                <w:rFonts w:hint="eastAsia" w:ascii="宋体" w:hAnsi="宋体" w:cs="宋体"/>
                <w:kern w:val="0"/>
                <w:sz w:val="24"/>
                <w:highlight w:val="none"/>
              </w:rPr>
              <w:t>业绩类型</w:t>
            </w:r>
          </w:p>
        </w:tc>
        <w:tc>
          <w:tcPr>
            <w:tcW w:w="13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r>
              <w:rPr>
                <w:rFonts w:hint="eastAsia" w:ascii="宋体" w:hAnsi="宋体" w:cs="宋体"/>
                <w:kern w:val="0"/>
                <w:sz w:val="24"/>
                <w:highlight w:val="none"/>
              </w:rPr>
              <w:t>合同签订时间</w:t>
            </w:r>
          </w:p>
        </w:tc>
      </w:tr>
      <w:tr>
        <w:tblPrEx>
          <w:tblCellMar>
            <w:top w:w="0" w:type="dxa"/>
            <w:left w:w="108" w:type="dxa"/>
            <w:bottom w:w="0" w:type="dxa"/>
            <w:right w:w="108" w:type="dxa"/>
          </w:tblCellMar>
        </w:tblPrEx>
        <w:trPr>
          <w:trHeight w:val="450" w:hRule="atLeast"/>
          <w:jc w:val="center"/>
        </w:trPr>
        <w:tc>
          <w:tcPr>
            <w:tcW w:w="70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070"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2607"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1875"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070"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2607"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1875"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070"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2607"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1875"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070"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2607"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1875"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070"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2607"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1875"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070"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2607"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1875"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070"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2607"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1875"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070"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2607"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1875"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070"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2607"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1875"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gridBefore w:val="1"/>
          <w:wBefore w:w="5" w:type="dxa"/>
          <w:trHeight w:val="450"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070"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2607"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1875"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gridBefore w:val="1"/>
          <w:wBefore w:w="5" w:type="dxa"/>
          <w:trHeight w:val="450"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070"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2607"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1875"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gridBefore w:val="1"/>
          <w:wBefore w:w="5" w:type="dxa"/>
          <w:trHeight w:val="450"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070"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2607"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1875"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bl>
    <w:p>
      <w:pPr>
        <w:spacing w:line="480" w:lineRule="exact"/>
        <w:ind w:left="31680" w:hanging="480" w:hangingChars="200"/>
        <w:rPr>
          <w:rFonts w:ascii="宋体"/>
          <w:sz w:val="24"/>
          <w:highlight w:val="none"/>
        </w:rPr>
      </w:pPr>
      <w:r>
        <w:rPr>
          <w:rFonts w:hint="eastAsia" w:ascii="宋体" w:hAnsi="宋体"/>
          <w:sz w:val="24"/>
          <w:highlight w:val="none"/>
        </w:rPr>
        <w:t>注：</w:t>
      </w:r>
      <w:r>
        <w:rPr>
          <w:rFonts w:ascii="宋体" w:hAnsi="宋体"/>
          <w:sz w:val="24"/>
          <w:highlight w:val="none"/>
        </w:rPr>
        <w:t>1.</w:t>
      </w:r>
      <w:r>
        <w:rPr>
          <w:rFonts w:hint="eastAsia" w:ascii="宋体" w:hAnsi="宋体"/>
          <w:sz w:val="24"/>
          <w:highlight w:val="none"/>
        </w:rPr>
        <w:t>此表业绩是指</w:t>
      </w:r>
      <w:r>
        <w:rPr>
          <w:rFonts w:ascii="宋体" w:hAnsi="宋体"/>
          <w:sz w:val="24"/>
          <w:highlight w:val="none"/>
        </w:rPr>
        <w:t>2018</w:t>
      </w:r>
      <w:r>
        <w:rPr>
          <w:rFonts w:hint="eastAsia" w:ascii="宋体" w:hAnsi="宋体"/>
          <w:sz w:val="24"/>
          <w:highlight w:val="none"/>
        </w:rPr>
        <w:t>年</w:t>
      </w:r>
      <w:r>
        <w:rPr>
          <w:rFonts w:ascii="宋体" w:hAnsi="宋体"/>
          <w:sz w:val="24"/>
          <w:highlight w:val="none"/>
        </w:rPr>
        <w:t>1</w:t>
      </w:r>
      <w:r>
        <w:rPr>
          <w:rFonts w:hint="eastAsia" w:ascii="宋体" w:hAnsi="宋体"/>
          <w:sz w:val="24"/>
          <w:highlight w:val="none"/>
        </w:rPr>
        <w:t>月</w:t>
      </w:r>
      <w:r>
        <w:rPr>
          <w:rFonts w:ascii="宋体" w:hAnsi="宋体"/>
          <w:sz w:val="24"/>
          <w:highlight w:val="none"/>
        </w:rPr>
        <w:t>1</w:t>
      </w:r>
      <w:r>
        <w:rPr>
          <w:rFonts w:hint="eastAsia" w:ascii="宋体" w:hAnsi="宋体"/>
          <w:sz w:val="24"/>
          <w:highlight w:val="none"/>
        </w:rPr>
        <w:t>日至今，与本项目相关或相近的服务经验（参照评分细则）。</w:t>
      </w:r>
    </w:p>
    <w:p>
      <w:pPr>
        <w:spacing w:line="480" w:lineRule="exact"/>
        <w:ind w:left="479" w:leftChars="228"/>
        <w:rPr>
          <w:rFonts w:ascii="宋体"/>
          <w:sz w:val="24"/>
          <w:szCs w:val="28"/>
          <w:highlight w:val="none"/>
        </w:rPr>
      </w:pPr>
      <w:r>
        <w:rPr>
          <w:rFonts w:ascii="宋体" w:hAnsi="宋体"/>
          <w:sz w:val="24"/>
          <w:highlight w:val="none"/>
        </w:rPr>
        <w:t>2.</w:t>
      </w:r>
      <w:r>
        <w:rPr>
          <w:rFonts w:hint="eastAsia" w:ascii="宋体" w:hAnsi="宋体"/>
          <w:sz w:val="24"/>
          <w:highlight w:val="none"/>
        </w:rPr>
        <w:t>此表须附相应合同复印件（必须体现</w:t>
      </w:r>
      <w:r>
        <w:rPr>
          <w:rFonts w:hint="eastAsia" w:ascii="宋体" w:hAnsi="宋体" w:cs="宋体"/>
          <w:kern w:val="0"/>
          <w:sz w:val="24"/>
          <w:highlight w:val="none"/>
        </w:rPr>
        <w:t>合同对方名称及签订时间，涉及商业秘密的内容可以隐去</w:t>
      </w:r>
      <w:r>
        <w:rPr>
          <w:rFonts w:hint="eastAsia" w:ascii="宋体" w:hAnsi="宋体"/>
          <w:sz w:val="24"/>
          <w:highlight w:val="none"/>
        </w:rPr>
        <w:t>）</w:t>
      </w:r>
      <w:r>
        <w:rPr>
          <w:rFonts w:hint="eastAsia" w:ascii="宋体" w:hAnsi="宋体"/>
          <w:sz w:val="24"/>
          <w:szCs w:val="28"/>
          <w:highlight w:val="none"/>
        </w:rPr>
        <w:t>证明材料</w:t>
      </w:r>
      <w:r>
        <w:rPr>
          <w:rFonts w:hint="eastAsia" w:ascii="宋体" w:hAnsi="宋体"/>
          <w:sz w:val="24"/>
          <w:highlight w:val="none"/>
        </w:rPr>
        <w:t>。</w:t>
      </w:r>
      <w:r>
        <w:rPr>
          <w:rFonts w:hint="eastAsia" w:ascii="宋体" w:hAnsi="宋体"/>
          <w:sz w:val="24"/>
          <w:szCs w:val="28"/>
          <w:highlight w:val="none"/>
        </w:rPr>
        <w:t>未附证明材料的项目视为无效。</w:t>
      </w:r>
    </w:p>
    <w:p>
      <w:pPr>
        <w:spacing w:line="480" w:lineRule="exact"/>
        <w:rPr>
          <w:rFonts w:ascii="宋体" w:cs="宋体"/>
          <w:sz w:val="28"/>
          <w:szCs w:val="28"/>
          <w:highlight w:val="none"/>
        </w:rPr>
      </w:pPr>
    </w:p>
    <w:p>
      <w:pPr>
        <w:ind w:right="-21"/>
        <w:jc w:val="left"/>
        <w:rPr>
          <w:rFonts w:ascii="宋体" w:cs="宋体"/>
          <w:sz w:val="28"/>
          <w:szCs w:val="28"/>
          <w:highlight w:val="none"/>
        </w:rPr>
      </w:pPr>
    </w:p>
    <w:p>
      <w:pPr>
        <w:ind w:right="-21"/>
        <w:jc w:val="left"/>
        <w:rPr>
          <w:rFonts w:ascii="宋体" w:cs="宋体"/>
          <w:sz w:val="28"/>
          <w:szCs w:val="28"/>
          <w:highlight w:val="none"/>
        </w:rPr>
      </w:pPr>
    </w:p>
    <w:p>
      <w:pPr>
        <w:ind w:right="-21"/>
        <w:jc w:val="left"/>
        <w:rPr>
          <w:rFonts w:ascii="宋体" w:cs="宋体"/>
          <w:sz w:val="28"/>
          <w:szCs w:val="28"/>
          <w:highlight w:val="none"/>
        </w:rPr>
      </w:pPr>
    </w:p>
    <w:p>
      <w:pPr>
        <w:ind w:right="-21"/>
        <w:jc w:val="left"/>
        <w:rPr>
          <w:rFonts w:ascii="宋体" w:cs="宋体"/>
          <w:sz w:val="28"/>
          <w:szCs w:val="28"/>
          <w:highlight w:val="none"/>
        </w:rPr>
      </w:pPr>
    </w:p>
    <w:p>
      <w:pPr>
        <w:pStyle w:val="2"/>
        <w:rPr>
          <w:highlight w:val="none"/>
        </w:rPr>
      </w:pPr>
    </w:p>
    <w:p>
      <w:pPr>
        <w:pStyle w:val="2"/>
        <w:rPr>
          <w:highlight w:val="none"/>
        </w:rPr>
      </w:pPr>
    </w:p>
    <w:p>
      <w:pPr>
        <w:pStyle w:val="5"/>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ascii="宋体"/>
          <w:b/>
          <w:highlight w:val="none"/>
        </w:rPr>
      </w:pPr>
      <w:bookmarkStart w:id="429" w:name="_Toc27864"/>
      <w:bookmarkStart w:id="430" w:name="_Toc14359"/>
      <w:bookmarkStart w:id="431" w:name="_Toc30796"/>
      <w:bookmarkStart w:id="432" w:name="_Toc21426"/>
      <w:bookmarkStart w:id="433" w:name="_Toc28309"/>
      <w:bookmarkStart w:id="434" w:name="_Toc5471"/>
      <w:bookmarkStart w:id="435" w:name="_Toc12801"/>
      <w:bookmarkStart w:id="436" w:name="_Toc24135"/>
      <w:r>
        <w:rPr>
          <w:rFonts w:ascii="宋体" w:hAnsi="宋体"/>
          <w:b/>
          <w:highlight w:val="none"/>
        </w:rPr>
        <w:t>2.</w:t>
      </w:r>
      <w:r>
        <w:rPr>
          <w:rFonts w:hint="eastAsia" w:ascii="宋体" w:hAnsi="宋体"/>
          <w:b/>
          <w:highlight w:val="none"/>
        </w:rPr>
        <w:t>拟投入人员</w:t>
      </w:r>
      <w:r>
        <w:rPr>
          <w:rFonts w:hint="eastAsia" w:ascii="宋体"/>
          <w:b/>
          <w:highlight w:val="none"/>
        </w:rPr>
        <w:t>配置</w:t>
      </w:r>
      <w:r>
        <w:rPr>
          <w:rFonts w:hint="eastAsia" w:ascii="宋体" w:hAnsi="宋体"/>
          <w:b/>
          <w:highlight w:val="none"/>
        </w:rPr>
        <w:t>明细表</w:t>
      </w:r>
      <w:bookmarkEnd w:id="429"/>
      <w:bookmarkEnd w:id="430"/>
      <w:bookmarkEnd w:id="431"/>
      <w:bookmarkEnd w:id="432"/>
      <w:bookmarkEnd w:id="433"/>
      <w:bookmarkEnd w:id="434"/>
      <w:bookmarkEnd w:id="435"/>
      <w:bookmarkEnd w:id="436"/>
    </w:p>
    <w:tbl>
      <w:tblPr>
        <w:tblStyle w:val="25"/>
        <w:tblW w:w="8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66"/>
        <w:gridCol w:w="810"/>
        <w:gridCol w:w="851"/>
        <w:gridCol w:w="724"/>
        <w:gridCol w:w="992"/>
        <w:gridCol w:w="1134"/>
        <w:gridCol w:w="709"/>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675"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序号</w:t>
            </w:r>
          </w:p>
        </w:tc>
        <w:tc>
          <w:tcPr>
            <w:tcW w:w="866"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姓名</w:t>
            </w:r>
          </w:p>
        </w:tc>
        <w:tc>
          <w:tcPr>
            <w:tcW w:w="810"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年龄</w:t>
            </w:r>
          </w:p>
        </w:tc>
        <w:tc>
          <w:tcPr>
            <w:tcW w:w="851"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性别</w:t>
            </w:r>
          </w:p>
        </w:tc>
        <w:tc>
          <w:tcPr>
            <w:tcW w:w="724"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学历</w:t>
            </w:r>
          </w:p>
        </w:tc>
        <w:tc>
          <w:tcPr>
            <w:tcW w:w="992"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专业</w:t>
            </w:r>
          </w:p>
        </w:tc>
        <w:tc>
          <w:tcPr>
            <w:tcW w:w="1134"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资格证</w:t>
            </w:r>
          </w:p>
        </w:tc>
        <w:tc>
          <w:tcPr>
            <w:tcW w:w="709"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执业年限</w:t>
            </w:r>
          </w:p>
        </w:tc>
        <w:tc>
          <w:tcPr>
            <w:tcW w:w="1485"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工作职责分工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675" w:type="dxa"/>
          </w:tcPr>
          <w:p>
            <w:pPr>
              <w:pStyle w:val="10"/>
              <w:spacing w:line="400" w:lineRule="exact"/>
              <w:ind w:left="0" w:leftChars="0"/>
              <w:rPr>
                <w:rFonts w:ascii="宋体"/>
                <w:szCs w:val="21"/>
                <w:highlight w:val="none"/>
              </w:rPr>
            </w:pPr>
          </w:p>
        </w:tc>
        <w:tc>
          <w:tcPr>
            <w:tcW w:w="866" w:type="dxa"/>
          </w:tcPr>
          <w:p>
            <w:pPr>
              <w:pStyle w:val="10"/>
              <w:spacing w:line="400" w:lineRule="exact"/>
              <w:ind w:left="0" w:leftChars="0"/>
              <w:rPr>
                <w:rFonts w:ascii="宋体"/>
                <w:szCs w:val="21"/>
                <w:highlight w:val="none"/>
              </w:rPr>
            </w:pPr>
          </w:p>
        </w:tc>
        <w:tc>
          <w:tcPr>
            <w:tcW w:w="810" w:type="dxa"/>
          </w:tcPr>
          <w:p>
            <w:pPr>
              <w:pStyle w:val="10"/>
              <w:spacing w:line="400" w:lineRule="exact"/>
              <w:ind w:left="0" w:leftChars="0"/>
              <w:rPr>
                <w:rFonts w:ascii="宋体"/>
                <w:szCs w:val="21"/>
                <w:highlight w:val="none"/>
              </w:rPr>
            </w:pPr>
          </w:p>
        </w:tc>
        <w:tc>
          <w:tcPr>
            <w:tcW w:w="851" w:type="dxa"/>
          </w:tcPr>
          <w:p>
            <w:pPr>
              <w:pStyle w:val="10"/>
              <w:spacing w:line="400" w:lineRule="exact"/>
              <w:ind w:left="0" w:leftChars="0"/>
              <w:rPr>
                <w:rFonts w:ascii="宋体"/>
                <w:szCs w:val="21"/>
                <w:highlight w:val="none"/>
              </w:rPr>
            </w:pPr>
          </w:p>
        </w:tc>
        <w:tc>
          <w:tcPr>
            <w:tcW w:w="724"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1134" w:type="dxa"/>
          </w:tcPr>
          <w:p>
            <w:pPr>
              <w:pStyle w:val="10"/>
              <w:spacing w:line="400" w:lineRule="exact"/>
              <w:ind w:left="0" w:leftChars="0"/>
              <w:rPr>
                <w:rFonts w:ascii="宋体"/>
                <w:szCs w:val="21"/>
                <w:highlight w:val="none"/>
              </w:rPr>
            </w:pPr>
          </w:p>
        </w:tc>
        <w:tc>
          <w:tcPr>
            <w:tcW w:w="709" w:type="dxa"/>
          </w:tcPr>
          <w:p>
            <w:pPr>
              <w:pStyle w:val="10"/>
              <w:spacing w:line="400" w:lineRule="exact"/>
              <w:ind w:left="0" w:leftChars="0"/>
              <w:rPr>
                <w:rFonts w:ascii="宋体"/>
                <w:szCs w:val="21"/>
                <w:highlight w:val="none"/>
              </w:rPr>
            </w:pPr>
          </w:p>
        </w:tc>
        <w:tc>
          <w:tcPr>
            <w:tcW w:w="1485"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675" w:type="dxa"/>
          </w:tcPr>
          <w:p>
            <w:pPr>
              <w:pStyle w:val="10"/>
              <w:spacing w:line="400" w:lineRule="exact"/>
              <w:ind w:left="0" w:leftChars="0"/>
              <w:rPr>
                <w:rFonts w:ascii="宋体"/>
                <w:szCs w:val="21"/>
                <w:highlight w:val="none"/>
              </w:rPr>
            </w:pPr>
          </w:p>
        </w:tc>
        <w:tc>
          <w:tcPr>
            <w:tcW w:w="866" w:type="dxa"/>
          </w:tcPr>
          <w:p>
            <w:pPr>
              <w:pStyle w:val="10"/>
              <w:spacing w:line="400" w:lineRule="exact"/>
              <w:ind w:left="0" w:leftChars="0"/>
              <w:rPr>
                <w:rFonts w:ascii="宋体"/>
                <w:szCs w:val="21"/>
                <w:highlight w:val="none"/>
              </w:rPr>
            </w:pPr>
          </w:p>
        </w:tc>
        <w:tc>
          <w:tcPr>
            <w:tcW w:w="810" w:type="dxa"/>
          </w:tcPr>
          <w:p>
            <w:pPr>
              <w:pStyle w:val="10"/>
              <w:spacing w:line="400" w:lineRule="exact"/>
              <w:ind w:left="0" w:leftChars="0"/>
              <w:rPr>
                <w:rFonts w:ascii="宋体"/>
                <w:szCs w:val="21"/>
                <w:highlight w:val="none"/>
              </w:rPr>
            </w:pPr>
          </w:p>
        </w:tc>
        <w:tc>
          <w:tcPr>
            <w:tcW w:w="851" w:type="dxa"/>
          </w:tcPr>
          <w:p>
            <w:pPr>
              <w:pStyle w:val="10"/>
              <w:spacing w:line="400" w:lineRule="exact"/>
              <w:ind w:left="0" w:leftChars="0"/>
              <w:rPr>
                <w:rFonts w:ascii="宋体"/>
                <w:szCs w:val="21"/>
                <w:highlight w:val="none"/>
              </w:rPr>
            </w:pPr>
          </w:p>
        </w:tc>
        <w:tc>
          <w:tcPr>
            <w:tcW w:w="724"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1134" w:type="dxa"/>
          </w:tcPr>
          <w:p>
            <w:pPr>
              <w:pStyle w:val="10"/>
              <w:spacing w:line="400" w:lineRule="exact"/>
              <w:ind w:left="0" w:leftChars="0"/>
              <w:rPr>
                <w:rFonts w:ascii="宋体"/>
                <w:szCs w:val="21"/>
                <w:highlight w:val="none"/>
              </w:rPr>
            </w:pPr>
          </w:p>
        </w:tc>
        <w:tc>
          <w:tcPr>
            <w:tcW w:w="709" w:type="dxa"/>
          </w:tcPr>
          <w:p>
            <w:pPr>
              <w:pStyle w:val="10"/>
              <w:spacing w:line="400" w:lineRule="exact"/>
              <w:ind w:left="0" w:leftChars="0"/>
              <w:rPr>
                <w:rFonts w:ascii="宋体"/>
                <w:szCs w:val="21"/>
                <w:highlight w:val="none"/>
              </w:rPr>
            </w:pPr>
          </w:p>
        </w:tc>
        <w:tc>
          <w:tcPr>
            <w:tcW w:w="1485"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75" w:type="dxa"/>
          </w:tcPr>
          <w:p>
            <w:pPr>
              <w:pStyle w:val="10"/>
              <w:spacing w:line="400" w:lineRule="exact"/>
              <w:ind w:left="0" w:leftChars="0"/>
              <w:rPr>
                <w:rFonts w:ascii="宋体"/>
                <w:szCs w:val="21"/>
                <w:highlight w:val="none"/>
              </w:rPr>
            </w:pPr>
          </w:p>
        </w:tc>
        <w:tc>
          <w:tcPr>
            <w:tcW w:w="866" w:type="dxa"/>
          </w:tcPr>
          <w:p>
            <w:pPr>
              <w:pStyle w:val="10"/>
              <w:spacing w:line="400" w:lineRule="exact"/>
              <w:ind w:left="0" w:leftChars="0"/>
              <w:rPr>
                <w:rFonts w:ascii="宋体"/>
                <w:szCs w:val="21"/>
                <w:highlight w:val="none"/>
              </w:rPr>
            </w:pPr>
          </w:p>
        </w:tc>
        <w:tc>
          <w:tcPr>
            <w:tcW w:w="810" w:type="dxa"/>
          </w:tcPr>
          <w:p>
            <w:pPr>
              <w:pStyle w:val="10"/>
              <w:spacing w:line="400" w:lineRule="exact"/>
              <w:ind w:left="0" w:leftChars="0"/>
              <w:rPr>
                <w:rFonts w:ascii="宋体"/>
                <w:szCs w:val="21"/>
                <w:highlight w:val="none"/>
              </w:rPr>
            </w:pPr>
          </w:p>
        </w:tc>
        <w:tc>
          <w:tcPr>
            <w:tcW w:w="851" w:type="dxa"/>
          </w:tcPr>
          <w:p>
            <w:pPr>
              <w:pStyle w:val="10"/>
              <w:spacing w:line="400" w:lineRule="exact"/>
              <w:ind w:left="0" w:leftChars="0"/>
              <w:rPr>
                <w:rFonts w:ascii="宋体"/>
                <w:szCs w:val="21"/>
                <w:highlight w:val="none"/>
              </w:rPr>
            </w:pPr>
          </w:p>
        </w:tc>
        <w:tc>
          <w:tcPr>
            <w:tcW w:w="724"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1134" w:type="dxa"/>
          </w:tcPr>
          <w:p>
            <w:pPr>
              <w:pStyle w:val="10"/>
              <w:spacing w:line="400" w:lineRule="exact"/>
              <w:ind w:left="0" w:leftChars="0"/>
              <w:rPr>
                <w:rFonts w:ascii="宋体"/>
                <w:szCs w:val="21"/>
                <w:highlight w:val="none"/>
              </w:rPr>
            </w:pPr>
          </w:p>
        </w:tc>
        <w:tc>
          <w:tcPr>
            <w:tcW w:w="709" w:type="dxa"/>
          </w:tcPr>
          <w:p>
            <w:pPr>
              <w:pStyle w:val="10"/>
              <w:spacing w:line="400" w:lineRule="exact"/>
              <w:ind w:left="0" w:leftChars="0"/>
              <w:rPr>
                <w:rFonts w:ascii="宋体"/>
                <w:szCs w:val="21"/>
                <w:highlight w:val="none"/>
              </w:rPr>
            </w:pPr>
          </w:p>
        </w:tc>
        <w:tc>
          <w:tcPr>
            <w:tcW w:w="1485"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75" w:type="dxa"/>
          </w:tcPr>
          <w:p>
            <w:pPr>
              <w:pStyle w:val="10"/>
              <w:spacing w:line="400" w:lineRule="exact"/>
              <w:ind w:left="0" w:leftChars="0"/>
              <w:rPr>
                <w:rFonts w:ascii="宋体"/>
                <w:szCs w:val="21"/>
                <w:highlight w:val="none"/>
              </w:rPr>
            </w:pPr>
          </w:p>
        </w:tc>
        <w:tc>
          <w:tcPr>
            <w:tcW w:w="866" w:type="dxa"/>
          </w:tcPr>
          <w:p>
            <w:pPr>
              <w:pStyle w:val="10"/>
              <w:spacing w:line="400" w:lineRule="exact"/>
              <w:ind w:left="0" w:leftChars="0"/>
              <w:rPr>
                <w:rFonts w:ascii="宋体"/>
                <w:szCs w:val="21"/>
                <w:highlight w:val="none"/>
              </w:rPr>
            </w:pPr>
          </w:p>
        </w:tc>
        <w:tc>
          <w:tcPr>
            <w:tcW w:w="810" w:type="dxa"/>
          </w:tcPr>
          <w:p>
            <w:pPr>
              <w:pStyle w:val="10"/>
              <w:spacing w:line="400" w:lineRule="exact"/>
              <w:ind w:left="0" w:leftChars="0"/>
              <w:rPr>
                <w:rFonts w:ascii="宋体"/>
                <w:szCs w:val="21"/>
                <w:highlight w:val="none"/>
              </w:rPr>
            </w:pPr>
          </w:p>
        </w:tc>
        <w:tc>
          <w:tcPr>
            <w:tcW w:w="851" w:type="dxa"/>
          </w:tcPr>
          <w:p>
            <w:pPr>
              <w:pStyle w:val="10"/>
              <w:spacing w:line="400" w:lineRule="exact"/>
              <w:ind w:left="0" w:leftChars="0"/>
              <w:rPr>
                <w:rFonts w:ascii="宋体"/>
                <w:szCs w:val="21"/>
                <w:highlight w:val="none"/>
              </w:rPr>
            </w:pPr>
          </w:p>
        </w:tc>
        <w:tc>
          <w:tcPr>
            <w:tcW w:w="724"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1134" w:type="dxa"/>
          </w:tcPr>
          <w:p>
            <w:pPr>
              <w:pStyle w:val="10"/>
              <w:spacing w:line="400" w:lineRule="exact"/>
              <w:ind w:left="0" w:leftChars="0"/>
              <w:rPr>
                <w:rFonts w:ascii="宋体"/>
                <w:szCs w:val="21"/>
                <w:highlight w:val="none"/>
              </w:rPr>
            </w:pPr>
          </w:p>
        </w:tc>
        <w:tc>
          <w:tcPr>
            <w:tcW w:w="709" w:type="dxa"/>
          </w:tcPr>
          <w:p>
            <w:pPr>
              <w:pStyle w:val="10"/>
              <w:spacing w:line="400" w:lineRule="exact"/>
              <w:ind w:left="0" w:leftChars="0"/>
              <w:rPr>
                <w:rFonts w:ascii="宋体"/>
                <w:szCs w:val="21"/>
                <w:highlight w:val="none"/>
              </w:rPr>
            </w:pPr>
          </w:p>
        </w:tc>
        <w:tc>
          <w:tcPr>
            <w:tcW w:w="1485"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675" w:type="dxa"/>
          </w:tcPr>
          <w:p>
            <w:pPr>
              <w:pStyle w:val="10"/>
              <w:spacing w:line="400" w:lineRule="exact"/>
              <w:ind w:left="0" w:leftChars="0"/>
              <w:rPr>
                <w:rFonts w:ascii="宋体"/>
                <w:szCs w:val="21"/>
                <w:highlight w:val="none"/>
              </w:rPr>
            </w:pPr>
          </w:p>
        </w:tc>
        <w:tc>
          <w:tcPr>
            <w:tcW w:w="866" w:type="dxa"/>
          </w:tcPr>
          <w:p>
            <w:pPr>
              <w:pStyle w:val="10"/>
              <w:spacing w:line="400" w:lineRule="exact"/>
              <w:ind w:left="0" w:leftChars="0"/>
              <w:rPr>
                <w:rFonts w:ascii="宋体"/>
                <w:szCs w:val="21"/>
                <w:highlight w:val="none"/>
              </w:rPr>
            </w:pPr>
          </w:p>
        </w:tc>
        <w:tc>
          <w:tcPr>
            <w:tcW w:w="810" w:type="dxa"/>
          </w:tcPr>
          <w:p>
            <w:pPr>
              <w:pStyle w:val="10"/>
              <w:spacing w:line="400" w:lineRule="exact"/>
              <w:ind w:left="0" w:leftChars="0"/>
              <w:rPr>
                <w:rFonts w:ascii="宋体"/>
                <w:szCs w:val="21"/>
                <w:highlight w:val="none"/>
              </w:rPr>
            </w:pPr>
          </w:p>
        </w:tc>
        <w:tc>
          <w:tcPr>
            <w:tcW w:w="851" w:type="dxa"/>
          </w:tcPr>
          <w:p>
            <w:pPr>
              <w:pStyle w:val="10"/>
              <w:spacing w:line="400" w:lineRule="exact"/>
              <w:ind w:left="0" w:leftChars="0"/>
              <w:rPr>
                <w:rFonts w:ascii="宋体"/>
                <w:szCs w:val="21"/>
                <w:highlight w:val="none"/>
              </w:rPr>
            </w:pPr>
          </w:p>
        </w:tc>
        <w:tc>
          <w:tcPr>
            <w:tcW w:w="724"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1134" w:type="dxa"/>
          </w:tcPr>
          <w:p>
            <w:pPr>
              <w:pStyle w:val="10"/>
              <w:spacing w:line="400" w:lineRule="exact"/>
              <w:ind w:left="0" w:leftChars="0"/>
              <w:rPr>
                <w:rFonts w:ascii="宋体"/>
                <w:szCs w:val="21"/>
                <w:highlight w:val="none"/>
              </w:rPr>
            </w:pPr>
          </w:p>
        </w:tc>
        <w:tc>
          <w:tcPr>
            <w:tcW w:w="709" w:type="dxa"/>
          </w:tcPr>
          <w:p>
            <w:pPr>
              <w:pStyle w:val="10"/>
              <w:spacing w:line="400" w:lineRule="exact"/>
              <w:ind w:left="0" w:leftChars="0"/>
              <w:rPr>
                <w:rFonts w:ascii="宋体"/>
                <w:szCs w:val="21"/>
                <w:highlight w:val="none"/>
              </w:rPr>
            </w:pPr>
          </w:p>
        </w:tc>
        <w:tc>
          <w:tcPr>
            <w:tcW w:w="1485" w:type="dxa"/>
          </w:tcPr>
          <w:p>
            <w:pPr>
              <w:pStyle w:val="10"/>
              <w:spacing w:line="400" w:lineRule="exact"/>
              <w:ind w:left="0" w:leftChars="0"/>
              <w:rPr>
                <w:rFonts w:ascii="宋体"/>
                <w:szCs w:val="21"/>
                <w:highlight w:val="none"/>
              </w:rPr>
            </w:pPr>
          </w:p>
        </w:tc>
      </w:tr>
    </w:tbl>
    <w:p>
      <w:pPr>
        <w:spacing w:line="480" w:lineRule="exact"/>
        <w:rPr>
          <w:rFonts w:ascii="宋体"/>
          <w:sz w:val="24"/>
          <w:highlight w:val="none"/>
        </w:rPr>
      </w:pPr>
      <w:r>
        <w:rPr>
          <w:rFonts w:hint="eastAsia" w:ascii="宋体" w:hAnsi="宋体"/>
          <w:sz w:val="24"/>
          <w:highlight w:val="none"/>
        </w:rPr>
        <w:t>注：</w:t>
      </w:r>
      <w:r>
        <w:rPr>
          <w:rFonts w:ascii="宋体" w:hAnsi="宋体"/>
          <w:sz w:val="24"/>
          <w:highlight w:val="none"/>
        </w:rPr>
        <w:t>1.</w:t>
      </w:r>
      <w:r>
        <w:rPr>
          <w:rFonts w:hint="eastAsia" w:ascii="宋体" w:hAnsi="宋体"/>
          <w:sz w:val="24"/>
          <w:highlight w:val="none"/>
        </w:rPr>
        <w:t>此表须附执业资格证书复印件等证明材料。</w:t>
      </w:r>
    </w:p>
    <w:p>
      <w:pPr>
        <w:spacing w:line="480" w:lineRule="exact"/>
        <w:ind w:left="479" w:leftChars="228"/>
        <w:rPr>
          <w:rFonts w:ascii="宋体"/>
          <w:sz w:val="24"/>
          <w:highlight w:val="none"/>
        </w:rPr>
      </w:pPr>
      <w:r>
        <w:rPr>
          <w:rFonts w:ascii="宋体" w:hAnsi="宋体"/>
          <w:sz w:val="24"/>
          <w:highlight w:val="none"/>
        </w:rPr>
        <w:t>2</w:t>
      </w:r>
      <w:r>
        <w:rPr>
          <w:rFonts w:ascii="宋体"/>
          <w:sz w:val="24"/>
          <w:highlight w:val="none"/>
        </w:rPr>
        <w:t>.</w:t>
      </w:r>
      <w:r>
        <w:rPr>
          <w:rFonts w:hint="eastAsia" w:ascii="宋体" w:hAnsi="宋体"/>
          <w:sz w:val="24"/>
          <w:highlight w:val="none"/>
          <w:u w:val="single"/>
        </w:rPr>
        <w:t>此表拟定的项目现场负责人原则上不予更换</w:t>
      </w:r>
      <w:r>
        <w:rPr>
          <w:rFonts w:ascii="宋体"/>
          <w:sz w:val="24"/>
          <w:highlight w:val="none"/>
          <w:u w:val="single"/>
        </w:rPr>
        <w:t>,</w:t>
      </w:r>
      <w:r>
        <w:rPr>
          <w:rFonts w:hint="eastAsia" w:ascii="宋体" w:hAnsi="宋体"/>
          <w:sz w:val="24"/>
          <w:highlight w:val="none"/>
          <w:u w:val="single"/>
        </w:rPr>
        <w:t>若要更换需经甲方同意，未经甲方同意而更换的，甲方可终止合同。</w:t>
      </w:r>
    </w:p>
    <w:p>
      <w:pPr>
        <w:spacing w:line="480" w:lineRule="exact"/>
        <w:rPr>
          <w:rFonts w:ascii="宋体" w:cs="宋体"/>
          <w:sz w:val="28"/>
          <w:szCs w:val="28"/>
          <w:highlight w:val="none"/>
        </w:rPr>
      </w:pPr>
    </w:p>
    <w:p>
      <w:pPr>
        <w:rPr>
          <w:rFonts w:ascii="宋体" w:cs="宋体"/>
          <w:sz w:val="28"/>
          <w:szCs w:val="28"/>
          <w:highlight w:val="none"/>
        </w:rPr>
      </w:pPr>
    </w:p>
    <w:p>
      <w:pPr>
        <w:rPr>
          <w:rFonts w:ascii="宋体" w:cs="宋体"/>
          <w:sz w:val="28"/>
          <w:szCs w:val="28"/>
          <w:highlight w:val="none"/>
        </w:rPr>
      </w:pPr>
    </w:p>
    <w:p>
      <w:pPr>
        <w:rPr>
          <w:rFonts w:ascii="宋体" w:cs="宋体"/>
          <w:sz w:val="28"/>
          <w:szCs w:val="28"/>
          <w:highlight w:val="none"/>
        </w:rPr>
      </w:pPr>
    </w:p>
    <w:p>
      <w:pPr>
        <w:rPr>
          <w:rFonts w:ascii="宋体" w:cs="宋体"/>
          <w:sz w:val="28"/>
          <w:szCs w:val="28"/>
          <w:highlight w:val="none"/>
        </w:rPr>
      </w:pPr>
    </w:p>
    <w:p>
      <w:pPr>
        <w:rPr>
          <w:highlight w:val="none"/>
        </w:rPr>
      </w:pPr>
    </w:p>
    <w:p>
      <w:pPr>
        <w:rPr>
          <w:highlight w:val="none"/>
        </w:rPr>
      </w:pPr>
    </w:p>
    <w:p>
      <w:pPr>
        <w:rPr>
          <w:highlight w:val="none"/>
        </w:rPr>
      </w:pPr>
    </w:p>
    <w:p>
      <w:pPr>
        <w:rPr>
          <w:highlight w:val="none"/>
        </w:rPr>
      </w:pPr>
    </w:p>
    <w:bookmarkEnd w:id="424"/>
    <w:bookmarkEnd w:id="425"/>
    <w:bookmarkEnd w:id="426"/>
    <w:p>
      <w:pPr>
        <w:rPr>
          <w:highlight w:val="none"/>
        </w:rPr>
      </w:pPr>
    </w:p>
    <w:p>
      <w:pPr>
        <w:rPr>
          <w:highlight w:val="none"/>
        </w:rPr>
      </w:pPr>
    </w:p>
    <w:p>
      <w:pPr>
        <w:rPr>
          <w:highlight w:val="none"/>
        </w:rPr>
      </w:pPr>
    </w:p>
    <w:p>
      <w:pPr>
        <w:rPr>
          <w:highlight w:val="none"/>
        </w:rPr>
      </w:pPr>
    </w:p>
    <w:p>
      <w:pPr>
        <w:pStyle w:val="2"/>
        <w:rPr>
          <w:highlight w:val="none"/>
        </w:rPr>
      </w:pPr>
    </w:p>
    <w:p>
      <w:pPr>
        <w:pStyle w:val="5"/>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ascii="宋体"/>
          <w:b/>
          <w:highlight w:val="none"/>
        </w:rPr>
      </w:pPr>
      <w:r>
        <w:rPr>
          <w:rFonts w:ascii="宋体" w:hAnsi="宋体"/>
          <w:b/>
          <w:highlight w:val="none"/>
        </w:rPr>
        <w:t>3.</w:t>
      </w:r>
      <w:r>
        <w:rPr>
          <w:rFonts w:hint="eastAsia" w:ascii="宋体" w:hAnsi="宋体"/>
          <w:b/>
          <w:highlight w:val="none"/>
        </w:rPr>
        <w:t>拟投入人员的相关工作业绩、资历及能力</w:t>
      </w:r>
    </w:p>
    <w:tbl>
      <w:tblPr>
        <w:tblStyle w:val="25"/>
        <w:tblW w:w="85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828"/>
        <w:gridCol w:w="1137"/>
        <w:gridCol w:w="1020"/>
        <w:gridCol w:w="1529"/>
        <w:gridCol w:w="113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7" w:hRule="atLeast"/>
          <w:jc w:val="center"/>
        </w:trPr>
        <w:tc>
          <w:tcPr>
            <w:tcW w:w="755"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序号</w:t>
            </w:r>
          </w:p>
        </w:tc>
        <w:tc>
          <w:tcPr>
            <w:tcW w:w="828"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姓名</w:t>
            </w:r>
          </w:p>
        </w:tc>
        <w:tc>
          <w:tcPr>
            <w:tcW w:w="1137"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工作职责分工</w:t>
            </w:r>
          </w:p>
        </w:tc>
        <w:tc>
          <w:tcPr>
            <w:tcW w:w="1020"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工作业绩数量</w:t>
            </w:r>
          </w:p>
        </w:tc>
        <w:tc>
          <w:tcPr>
            <w:tcW w:w="1529"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lang w:val="en-US" w:eastAsia="zh-CN"/>
              </w:rPr>
              <w:t>审计</w:t>
            </w:r>
            <w:r>
              <w:rPr>
                <w:rFonts w:hint="eastAsia" w:ascii="宋体" w:hAnsi="宋体"/>
                <w:szCs w:val="21"/>
                <w:highlight w:val="none"/>
              </w:rPr>
              <w:t>内容</w:t>
            </w:r>
          </w:p>
        </w:tc>
        <w:tc>
          <w:tcPr>
            <w:tcW w:w="1136"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业绩类型</w:t>
            </w:r>
          </w:p>
        </w:tc>
        <w:tc>
          <w:tcPr>
            <w:tcW w:w="2126"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755" w:type="dxa"/>
          </w:tcPr>
          <w:p>
            <w:pPr>
              <w:pStyle w:val="10"/>
              <w:spacing w:line="400" w:lineRule="exact"/>
              <w:ind w:left="0" w:leftChars="0"/>
              <w:rPr>
                <w:rFonts w:ascii="宋体"/>
                <w:szCs w:val="21"/>
                <w:highlight w:val="none"/>
              </w:rPr>
            </w:pPr>
          </w:p>
        </w:tc>
        <w:tc>
          <w:tcPr>
            <w:tcW w:w="828" w:type="dxa"/>
          </w:tcPr>
          <w:p>
            <w:pPr>
              <w:pStyle w:val="10"/>
              <w:spacing w:line="400" w:lineRule="exact"/>
              <w:ind w:left="0" w:leftChars="0"/>
              <w:rPr>
                <w:rFonts w:ascii="宋体"/>
                <w:szCs w:val="21"/>
                <w:highlight w:val="none"/>
              </w:rPr>
            </w:pPr>
          </w:p>
        </w:tc>
        <w:tc>
          <w:tcPr>
            <w:tcW w:w="1137" w:type="dxa"/>
          </w:tcPr>
          <w:p>
            <w:pPr>
              <w:pStyle w:val="10"/>
              <w:spacing w:line="400" w:lineRule="exact"/>
              <w:ind w:left="0" w:leftChars="0"/>
              <w:rPr>
                <w:rFonts w:ascii="宋体"/>
                <w:szCs w:val="21"/>
                <w:highlight w:val="none"/>
              </w:rPr>
            </w:pPr>
          </w:p>
        </w:tc>
        <w:tc>
          <w:tcPr>
            <w:tcW w:w="1020" w:type="dxa"/>
          </w:tcPr>
          <w:p>
            <w:pPr>
              <w:pStyle w:val="10"/>
              <w:spacing w:line="400" w:lineRule="exact"/>
              <w:ind w:left="0" w:leftChars="0"/>
              <w:rPr>
                <w:rFonts w:ascii="宋体"/>
                <w:szCs w:val="21"/>
                <w:highlight w:val="none"/>
              </w:rPr>
            </w:pPr>
          </w:p>
        </w:tc>
        <w:tc>
          <w:tcPr>
            <w:tcW w:w="1529" w:type="dxa"/>
          </w:tcPr>
          <w:p>
            <w:pPr>
              <w:pStyle w:val="10"/>
              <w:spacing w:line="400" w:lineRule="exact"/>
              <w:ind w:left="0" w:leftChars="0"/>
              <w:rPr>
                <w:rFonts w:ascii="宋体"/>
                <w:szCs w:val="21"/>
                <w:highlight w:val="none"/>
              </w:rPr>
            </w:pPr>
          </w:p>
        </w:tc>
        <w:tc>
          <w:tcPr>
            <w:tcW w:w="1136" w:type="dxa"/>
          </w:tcPr>
          <w:p>
            <w:pPr>
              <w:pStyle w:val="10"/>
              <w:spacing w:line="400" w:lineRule="exact"/>
              <w:ind w:left="0" w:leftChars="0"/>
              <w:rPr>
                <w:rFonts w:ascii="宋体"/>
                <w:szCs w:val="21"/>
                <w:highlight w:val="none"/>
              </w:rPr>
            </w:pPr>
          </w:p>
        </w:tc>
        <w:tc>
          <w:tcPr>
            <w:tcW w:w="2126" w:type="dxa"/>
          </w:tcPr>
          <w:p>
            <w:pPr>
              <w:pStyle w:val="10"/>
              <w:spacing w:after="0" w:line="400" w:lineRule="exact"/>
              <w:ind w:left="0" w:leftChars="0"/>
              <w:rPr>
                <w:rFonts w:ascii="宋体"/>
                <w:szCs w:val="21"/>
                <w:highlight w:val="none"/>
              </w:rPr>
            </w:pPr>
            <w:r>
              <w:rPr>
                <w:rFonts w:hint="eastAsia" w:ascii="宋体" w:hAnsi="宋体"/>
                <w:szCs w:val="21"/>
                <w:highlight w:val="none"/>
              </w:rPr>
              <w:t>提供个人履历（含会计师事务所</w:t>
            </w:r>
            <w:r>
              <w:rPr>
                <w:rFonts w:hint="eastAsia" w:ascii="宋体" w:hAnsi="宋体"/>
                <w:szCs w:val="21"/>
                <w:highlight w:val="none"/>
                <w:lang w:val="en-US" w:eastAsia="zh-CN"/>
              </w:rPr>
              <w:t>审计</w:t>
            </w:r>
            <w:r>
              <w:rPr>
                <w:rFonts w:hint="eastAsia" w:ascii="宋体" w:hAnsi="宋体"/>
                <w:szCs w:val="21"/>
                <w:highlight w:val="none"/>
              </w:rPr>
              <w:t>工作年限、经验证明）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755" w:type="dxa"/>
          </w:tcPr>
          <w:p>
            <w:pPr>
              <w:pStyle w:val="10"/>
              <w:spacing w:line="400" w:lineRule="exact"/>
              <w:ind w:left="0" w:leftChars="0"/>
              <w:rPr>
                <w:rFonts w:ascii="宋体"/>
                <w:szCs w:val="21"/>
                <w:highlight w:val="none"/>
              </w:rPr>
            </w:pPr>
          </w:p>
        </w:tc>
        <w:tc>
          <w:tcPr>
            <w:tcW w:w="828" w:type="dxa"/>
          </w:tcPr>
          <w:p>
            <w:pPr>
              <w:pStyle w:val="10"/>
              <w:spacing w:line="400" w:lineRule="exact"/>
              <w:ind w:left="0" w:leftChars="0"/>
              <w:rPr>
                <w:rFonts w:ascii="宋体"/>
                <w:szCs w:val="21"/>
                <w:highlight w:val="none"/>
              </w:rPr>
            </w:pPr>
          </w:p>
        </w:tc>
        <w:tc>
          <w:tcPr>
            <w:tcW w:w="1137" w:type="dxa"/>
          </w:tcPr>
          <w:p>
            <w:pPr>
              <w:pStyle w:val="10"/>
              <w:spacing w:line="400" w:lineRule="exact"/>
              <w:ind w:left="0" w:leftChars="0"/>
              <w:rPr>
                <w:rFonts w:ascii="宋体"/>
                <w:szCs w:val="21"/>
                <w:highlight w:val="none"/>
              </w:rPr>
            </w:pPr>
          </w:p>
        </w:tc>
        <w:tc>
          <w:tcPr>
            <w:tcW w:w="1020" w:type="dxa"/>
          </w:tcPr>
          <w:p>
            <w:pPr>
              <w:pStyle w:val="10"/>
              <w:spacing w:line="400" w:lineRule="exact"/>
              <w:ind w:left="0" w:leftChars="0"/>
              <w:rPr>
                <w:rFonts w:ascii="宋体"/>
                <w:szCs w:val="21"/>
                <w:highlight w:val="none"/>
              </w:rPr>
            </w:pPr>
          </w:p>
        </w:tc>
        <w:tc>
          <w:tcPr>
            <w:tcW w:w="1529" w:type="dxa"/>
          </w:tcPr>
          <w:p>
            <w:pPr>
              <w:pStyle w:val="10"/>
              <w:spacing w:line="400" w:lineRule="exact"/>
              <w:ind w:left="0" w:leftChars="0"/>
              <w:rPr>
                <w:rFonts w:ascii="宋体"/>
                <w:szCs w:val="21"/>
                <w:highlight w:val="none"/>
              </w:rPr>
            </w:pPr>
          </w:p>
        </w:tc>
        <w:tc>
          <w:tcPr>
            <w:tcW w:w="1136"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755" w:type="dxa"/>
          </w:tcPr>
          <w:p>
            <w:pPr>
              <w:pStyle w:val="10"/>
              <w:spacing w:line="400" w:lineRule="exact"/>
              <w:ind w:left="0" w:leftChars="0"/>
              <w:rPr>
                <w:rFonts w:ascii="宋体"/>
                <w:szCs w:val="21"/>
                <w:highlight w:val="none"/>
              </w:rPr>
            </w:pPr>
          </w:p>
        </w:tc>
        <w:tc>
          <w:tcPr>
            <w:tcW w:w="828" w:type="dxa"/>
          </w:tcPr>
          <w:p>
            <w:pPr>
              <w:pStyle w:val="10"/>
              <w:spacing w:line="400" w:lineRule="exact"/>
              <w:ind w:left="0" w:leftChars="0"/>
              <w:rPr>
                <w:rFonts w:ascii="宋体"/>
                <w:szCs w:val="21"/>
                <w:highlight w:val="none"/>
              </w:rPr>
            </w:pPr>
          </w:p>
        </w:tc>
        <w:tc>
          <w:tcPr>
            <w:tcW w:w="1137" w:type="dxa"/>
          </w:tcPr>
          <w:p>
            <w:pPr>
              <w:pStyle w:val="10"/>
              <w:spacing w:line="400" w:lineRule="exact"/>
              <w:ind w:left="0" w:leftChars="0"/>
              <w:rPr>
                <w:rFonts w:ascii="宋体"/>
                <w:szCs w:val="21"/>
                <w:highlight w:val="none"/>
              </w:rPr>
            </w:pPr>
          </w:p>
        </w:tc>
        <w:tc>
          <w:tcPr>
            <w:tcW w:w="1020" w:type="dxa"/>
          </w:tcPr>
          <w:p>
            <w:pPr>
              <w:pStyle w:val="10"/>
              <w:spacing w:line="400" w:lineRule="exact"/>
              <w:ind w:left="0" w:leftChars="0"/>
              <w:rPr>
                <w:rFonts w:ascii="宋体"/>
                <w:szCs w:val="21"/>
                <w:highlight w:val="none"/>
              </w:rPr>
            </w:pPr>
          </w:p>
        </w:tc>
        <w:tc>
          <w:tcPr>
            <w:tcW w:w="1529" w:type="dxa"/>
          </w:tcPr>
          <w:p>
            <w:pPr>
              <w:pStyle w:val="10"/>
              <w:spacing w:line="400" w:lineRule="exact"/>
              <w:ind w:left="0" w:leftChars="0"/>
              <w:rPr>
                <w:rFonts w:ascii="宋体"/>
                <w:szCs w:val="21"/>
                <w:highlight w:val="none"/>
              </w:rPr>
            </w:pPr>
          </w:p>
        </w:tc>
        <w:tc>
          <w:tcPr>
            <w:tcW w:w="1136"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755" w:type="dxa"/>
          </w:tcPr>
          <w:p>
            <w:pPr>
              <w:pStyle w:val="10"/>
              <w:spacing w:line="400" w:lineRule="exact"/>
              <w:ind w:left="0" w:leftChars="0"/>
              <w:rPr>
                <w:rFonts w:ascii="宋体"/>
                <w:szCs w:val="21"/>
                <w:highlight w:val="none"/>
              </w:rPr>
            </w:pPr>
          </w:p>
        </w:tc>
        <w:tc>
          <w:tcPr>
            <w:tcW w:w="828" w:type="dxa"/>
          </w:tcPr>
          <w:p>
            <w:pPr>
              <w:pStyle w:val="10"/>
              <w:spacing w:line="400" w:lineRule="exact"/>
              <w:ind w:left="0" w:leftChars="0"/>
              <w:rPr>
                <w:rFonts w:ascii="宋体"/>
                <w:szCs w:val="21"/>
                <w:highlight w:val="none"/>
              </w:rPr>
            </w:pPr>
          </w:p>
        </w:tc>
        <w:tc>
          <w:tcPr>
            <w:tcW w:w="1137" w:type="dxa"/>
          </w:tcPr>
          <w:p>
            <w:pPr>
              <w:pStyle w:val="10"/>
              <w:spacing w:line="400" w:lineRule="exact"/>
              <w:ind w:left="0" w:leftChars="0"/>
              <w:rPr>
                <w:rFonts w:ascii="宋体"/>
                <w:szCs w:val="21"/>
                <w:highlight w:val="none"/>
              </w:rPr>
            </w:pPr>
          </w:p>
        </w:tc>
        <w:tc>
          <w:tcPr>
            <w:tcW w:w="1020" w:type="dxa"/>
          </w:tcPr>
          <w:p>
            <w:pPr>
              <w:pStyle w:val="10"/>
              <w:spacing w:line="400" w:lineRule="exact"/>
              <w:ind w:left="0" w:leftChars="0"/>
              <w:rPr>
                <w:rFonts w:ascii="宋体"/>
                <w:szCs w:val="21"/>
                <w:highlight w:val="none"/>
              </w:rPr>
            </w:pPr>
          </w:p>
        </w:tc>
        <w:tc>
          <w:tcPr>
            <w:tcW w:w="1529" w:type="dxa"/>
          </w:tcPr>
          <w:p>
            <w:pPr>
              <w:pStyle w:val="10"/>
              <w:spacing w:line="400" w:lineRule="exact"/>
              <w:ind w:left="0" w:leftChars="0"/>
              <w:rPr>
                <w:rFonts w:ascii="宋体"/>
                <w:szCs w:val="21"/>
                <w:highlight w:val="none"/>
              </w:rPr>
            </w:pPr>
          </w:p>
        </w:tc>
        <w:tc>
          <w:tcPr>
            <w:tcW w:w="1136"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755" w:type="dxa"/>
          </w:tcPr>
          <w:p>
            <w:pPr>
              <w:pStyle w:val="10"/>
              <w:spacing w:line="400" w:lineRule="exact"/>
              <w:ind w:left="0" w:leftChars="0"/>
              <w:rPr>
                <w:rFonts w:ascii="宋体"/>
                <w:szCs w:val="21"/>
                <w:highlight w:val="none"/>
              </w:rPr>
            </w:pPr>
          </w:p>
        </w:tc>
        <w:tc>
          <w:tcPr>
            <w:tcW w:w="828" w:type="dxa"/>
          </w:tcPr>
          <w:p>
            <w:pPr>
              <w:pStyle w:val="10"/>
              <w:spacing w:line="400" w:lineRule="exact"/>
              <w:ind w:left="0" w:leftChars="0"/>
              <w:rPr>
                <w:rFonts w:ascii="宋体"/>
                <w:szCs w:val="21"/>
                <w:highlight w:val="none"/>
              </w:rPr>
            </w:pPr>
          </w:p>
        </w:tc>
        <w:tc>
          <w:tcPr>
            <w:tcW w:w="1137" w:type="dxa"/>
          </w:tcPr>
          <w:p>
            <w:pPr>
              <w:pStyle w:val="10"/>
              <w:spacing w:line="400" w:lineRule="exact"/>
              <w:ind w:left="0" w:leftChars="0"/>
              <w:rPr>
                <w:rFonts w:ascii="宋体"/>
                <w:szCs w:val="21"/>
                <w:highlight w:val="none"/>
              </w:rPr>
            </w:pPr>
          </w:p>
        </w:tc>
        <w:tc>
          <w:tcPr>
            <w:tcW w:w="1020" w:type="dxa"/>
          </w:tcPr>
          <w:p>
            <w:pPr>
              <w:pStyle w:val="10"/>
              <w:spacing w:line="400" w:lineRule="exact"/>
              <w:ind w:left="0" w:leftChars="0"/>
              <w:rPr>
                <w:rFonts w:ascii="宋体"/>
                <w:szCs w:val="21"/>
                <w:highlight w:val="none"/>
              </w:rPr>
            </w:pPr>
          </w:p>
        </w:tc>
        <w:tc>
          <w:tcPr>
            <w:tcW w:w="1529" w:type="dxa"/>
          </w:tcPr>
          <w:p>
            <w:pPr>
              <w:pStyle w:val="10"/>
              <w:spacing w:line="400" w:lineRule="exact"/>
              <w:ind w:left="0" w:leftChars="0"/>
              <w:rPr>
                <w:rFonts w:ascii="宋体"/>
                <w:szCs w:val="21"/>
                <w:highlight w:val="none"/>
              </w:rPr>
            </w:pPr>
          </w:p>
        </w:tc>
        <w:tc>
          <w:tcPr>
            <w:tcW w:w="1136"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bl>
    <w:p>
      <w:pPr>
        <w:spacing w:line="480" w:lineRule="exact"/>
        <w:ind w:left="31680" w:hanging="480" w:hangingChars="200"/>
        <w:rPr>
          <w:rFonts w:ascii="宋体"/>
          <w:sz w:val="24"/>
          <w:highlight w:val="none"/>
        </w:rPr>
      </w:pPr>
      <w:r>
        <w:rPr>
          <w:rFonts w:hint="eastAsia" w:ascii="宋体" w:hAnsi="宋体"/>
          <w:sz w:val="24"/>
          <w:highlight w:val="none"/>
        </w:rPr>
        <w:t>注：此表业绩是指</w:t>
      </w:r>
      <w:r>
        <w:rPr>
          <w:rFonts w:ascii="宋体" w:hAnsi="宋体"/>
          <w:sz w:val="24"/>
          <w:highlight w:val="none"/>
        </w:rPr>
        <w:t>2018</w:t>
      </w:r>
      <w:r>
        <w:rPr>
          <w:rFonts w:hint="eastAsia" w:ascii="宋体" w:hAnsi="宋体"/>
          <w:sz w:val="24"/>
          <w:highlight w:val="none"/>
        </w:rPr>
        <w:t>年</w:t>
      </w:r>
      <w:r>
        <w:rPr>
          <w:rFonts w:ascii="宋体" w:hAnsi="宋体"/>
          <w:sz w:val="24"/>
          <w:highlight w:val="none"/>
        </w:rPr>
        <w:t>1</w:t>
      </w:r>
      <w:r>
        <w:rPr>
          <w:rFonts w:hint="eastAsia" w:ascii="宋体" w:hAnsi="宋体"/>
          <w:sz w:val="24"/>
          <w:highlight w:val="none"/>
        </w:rPr>
        <w:t>月</w:t>
      </w:r>
      <w:r>
        <w:rPr>
          <w:rFonts w:ascii="宋体" w:hAnsi="宋体"/>
          <w:sz w:val="24"/>
          <w:highlight w:val="none"/>
        </w:rPr>
        <w:t>1</w:t>
      </w:r>
      <w:r>
        <w:rPr>
          <w:rFonts w:hint="eastAsia" w:ascii="宋体" w:hAnsi="宋体"/>
          <w:sz w:val="24"/>
          <w:highlight w:val="none"/>
        </w:rPr>
        <w:t>日至今，与本项目相关或相近的服务经验（参照评分细则），须附工作业绩的</w:t>
      </w:r>
      <w:r>
        <w:rPr>
          <w:rFonts w:hint="eastAsia" w:ascii="宋体" w:hAnsi="宋体"/>
          <w:sz w:val="24"/>
          <w:highlight w:val="none"/>
          <w:lang w:val="en-US" w:eastAsia="zh-CN"/>
        </w:rPr>
        <w:t>审计</w:t>
      </w:r>
      <w:r>
        <w:rPr>
          <w:rFonts w:hint="eastAsia" w:ascii="宋体" w:hAnsi="宋体"/>
          <w:sz w:val="24"/>
          <w:highlight w:val="none"/>
        </w:rPr>
        <w:t>报告名称内容及签字页等证明材料。</w:t>
      </w:r>
    </w:p>
    <w:p>
      <w:pPr>
        <w:spacing w:line="480" w:lineRule="exact"/>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pStyle w:val="2"/>
        <w:rPr>
          <w:rFonts w:ascii="宋体" w:cs="宋体"/>
          <w:sz w:val="28"/>
          <w:szCs w:val="28"/>
          <w:highlight w:val="none"/>
        </w:rPr>
      </w:pPr>
    </w:p>
    <w:p>
      <w:pPr>
        <w:pStyle w:val="5"/>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hint="eastAsia" w:ascii="宋体" w:hAnsi="宋体" w:eastAsia="宋体" w:cs="Times New Roman"/>
          <w:b/>
          <w:kern w:val="0"/>
          <w:sz w:val="28"/>
          <w:szCs w:val="20"/>
          <w:highlight w:val="none"/>
          <w:lang w:val="en-US" w:eastAsia="zh-CN" w:bidi="ar-SA"/>
        </w:rPr>
      </w:pPr>
      <w:r>
        <w:rPr>
          <w:rFonts w:hint="eastAsia" w:ascii="宋体" w:hAnsi="宋体" w:eastAsia="宋体" w:cs="Times New Roman"/>
          <w:b/>
          <w:kern w:val="0"/>
          <w:sz w:val="28"/>
          <w:szCs w:val="20"/>
          <w:highlight w:val="none"/>
          <w:lang w:val="en-US" w:eastAsia="zh-CN" w:bidi="ar-SA"/>
        </w:rPr>
        <w:t>4.拟投入人员中正式员工劳动合同</w:t>
      </w:r>
      <w:r>
        <w:rPr>
          <w:rFonts w:hint="default" w:ascii="宋体" w:hAnsi="宋体" w:cs="Times New Roman"/>
          <w:b/>
          <w:kern w:val="0"/>
          <w:sz w:val="28"/>
          <w:szCs w:val="20"/>
          <w:highlight w:val="none"/>
          <w:lang w:val="en-US" w:eastAsia="zh-CN" w:bidi="ar-SA"/>
        </w:rPr>
        <w:t>及</w:t>
      </w:r>
      <w:r>
        <w:rPr>
          <w:rFonts w:hint="eastAsia" w:ascii="宋体" w:hAnsi="宋体" w:eastAsia="宋体" w:cs="Times New Roman"/>
          <w:b/>
          <w:kern w:val="0"/>
          <w:sz w:val="28"/>
          <w:szCs w:val="20"/>
          <w:highlight w:val="none"/>
          <w:lang w:val="en-US" w:eastAsia="zh-CN" w:bidi="ar-SA"/>
        </w:rPr>
        <w:t>近3个月社保缴付证明（</w:t>
      </w:r>
      <w:r>
        <w:rPr>
          <w:rFonts w:hint="eastAsia" w:ascii="宋体" w:hAnsi="宋体" w:cs="Times New Roman"/>
          <w:b/>
          <w:kern w:val="0"/>
          <w:sz w:val="28"/>
          <w:szCs w:val="20"/>
          <w:highlight w:val="none"/>
          <w:lang w:val="en-US" w:eastAsia="zh-CN" w:bidi="ar-SA"/>
        </w:rPr>
        <w:t>提供</w:t>
      </w:r>
      <w:r>
        <w:rPr>
          <w:rFonts w:hint="eastAsia" w:ascii="宋体" w:hAnsi="宋体" w:eastAsia="宋体" w:cs="Times New Roman"/>
          <w:b/>
          <w:kern w:val="0"/>
          <w:sz w:val="28"/>
          <w:szCs w:val="20"/>
          <w:highlight w:val="none"/>
          <w:lang w:val="en-US" w:eastAsia="zh-CN" w:bidi="ar-SA"/>
        </w:rPr>
        <w:t>复印件加盖单位公章）</w:t>
      </w:r>
    </w:p>
    <w:p>
      <w:pPr>
        <w:ind w:firstLine="420" w:firstLineChars="150"/>
        <w:rPr>
          <w:rFonts w:ascii="宋体" w:cs="宋体"/>
          <w:sz w:val="28"/>
          <w:szCs w:val="28"/>
          <w:highlight w:val="none"/>
        </w:rPr>
      </w:pPr>
    </w:p>
    <w:p>
      <w:pPr>
        <w:pStyle w:val="2"/>
        <w:rPr>
          <w:rFonts w:ascii="宋体" w:cs="宋体"/>
          <w:sz w:val="28"/>
          <w:szCs w:val="28"/>
          <w:highlight w:val="none"/>
        </w:rPr>
      </w:pPr>
    </w:p>
    <w:p>
      <w:pPr>
        <w:pStyle w:val="2"/>
        <w:rPr>
          <w:rFonts w:ascii="宋体" w:cs="宋体"/>
          <w:sz w:val="28"/>
          <w:szCs w:val="28"/>
          <w:highlight w:val="none"/>
        </w:rPr>
      </w:pPr>
    </w:p>
    <w:p>
      <w:pPr>
        <w:pStyle w:val="2"/>
        <w:rPr>
          <w:rFonts w:ascii="宋体" w:cs="宋体"/>
          <w:sz w:val="28"/>
          <w:szCs w:val="28"/>
          <w:highlight w:val="none"/>
        </w:rPr>
      </w:pPr>
    </w:p>
    <w:p>
      <w:pPr>
        <w:pStyle w:val="2"/>
        <w:rPr>
          <w:rFonts w:ascii="宋体" w:cs="宋体"/>
          <w:sz w:val="28"/>
          <w:szCs w:val="28"/>
          <w:highlight w:val="none"/>
        </w:rPr>
      </w:pPr>
    </w:p>
    <w:p>
      <w:pPr>
        <w:pStyle w:val="2"/>
        <w:rPr>
          <w:rFonts w:ascii="宋体" w:cs="宋体"/>
          <w:sz w:val="28"/>
          <w:szCs w:val="28"/>
          <w:highlight w:val="none"/>
        </w:rPr>
      </w:pPr>
    </w:p>
    <w:p>
      <w:pPr>
        <w:pStyle w:val="2"/>
        <w:rPr>
          <w:rFonts w:ascii="宋体" w:cs="宋体"/>
          <w:sz w:val="28"/>
          <w:szCs w:val="28"/>
          <w:highlight w:val="none"/>
        </w:rPr>
      </w:pPr>
    </w:p>
    <w:p>
      <w:pPr>
        <w:pStyle w:val="2"/>
        <w:rPr>
          <w:rFonts w:ascii="宋体" w:cs="宋体"/>
          <w:sz w:val="28"/>
          <w:szCs w:val="28"/>
          <w:highlight w:val="none"/>
        </w:rPr>
      </w:pPr>
    </w:p>
    <w:p>
      <w:pPr>
        <w:pStyle w:val="2"/>
        <w:rPr>
          <w:rFonts w:ascii="宋体" w:cs="宋体"/>
          <w:sz w:val="28"/>
          <w:szCs w:val="28"/>
          <w:highlight w:val="none"/>
        </w:rPr>
      </w:pPr>
    </w:p>
    <w:p>
      <w:pPr>
        <w:pStyle w:val="2"/>
        <w:rPr>
          <w:rFonts w:ascii="宋体" w:cs="宋体"/>
          <w:sz w:val="28"/>
          <w:szCs w:val="28"/>
          <w:highlight w:val="none"/>
        </w:rPr>
      </w:pPr>
    </w:p>
    <w:p>
      <w:pPr>
        <w:pStyle w:val="2"/>
        <w:rPr>
          <w:rFonts w:ascii="宋体" w:cs="宋体"/>
          <w:sz w:val="28"/>
          <w:szCs w:val="28"/>
          <w:highlight w:val="none"/>
        </w:rPr>
      </w:pPr>
    </w:p>
    <w:p>
      <w:pPr>
        <w:pStyle w:val="2"/>
        <w:rPr>
          <w:rFonts w:ascii="宋体" w:cs="宋体"/>
          <w:sz w:val="28"/>
          <w:szCs w:val="28"/>
          <w:highlight w:val="none"/>
        </w:rPr>
      </w:pPr>
    </w:p>
    <w:p>
      <w:pPr>
        <w:pStyle w:val="2"/>
        <w:rPr>
          <w:rFonts w:ascii="宋体" w:cs="宋体"/>
          <w:sz w:val="28"/>
          <w:szCs w:val="28"/>
          <w:highlight w:val="none"/>
        </w:rPr>
      </w:pPr>
    </w:p>
    <w:p>
      <w:pPr>
        <w:pStyle w:val="2"/>
        <w:rPr>
          <w:rFonts w:ascii="宋体" w:cs="宋体"/>
          <w:sz w:val="28"/>
          <w:szCs w:val="28"/>
          <w:highlight w:val="none"/>
        </w:rPr>
      </w:pPr>
    </w:p>
    <w:p>
      <w:pPr>
        <w:pStyle w:val="2"/>
        <w:rPr>
          <w:rFonts w:ascii="宋体" w:cs="宋体"/>
          <w:sz w:val="28"/>
          <w:szCs w:val="28"/>
          <w:highlight w:val="none"/>
        </w:rPr>
      </w:pPr>
    </w:p>
    <w:p>
      <w:pPr>
        <w:pStyle w:val="2"/>
        <w:rPr>
          <w:rFonts w:ascii="宋体" w:cs="宋体"/>
          <w:sz w:val="28"/>
          <w:szCs w:val="28"/>
          <w:highlight w:val="none"/>
        </w:rPr>
      </w:pPr>
    </w:p>
    <w:p>
      <w:pPr>
        <w:pStyle w:val="2"/>
        <w:rPr>
          <w:rFonts w:ascii="宋体" w:cs="宋体"/>
          <w:sz w:val="28"/>
          <w:szCs w:val="28"/>
          <w:highlight w:val="none"/>
        </w:rPr>
      </w:pPr>
    </w:p>
    <w:p>
      <w:pPr>
        <w:pStyle w:val="5"/>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ascii="宋体"/>
          <w:b/>
          <w:highlight w:val="none"/>
        </w:rPr>
      </w:pPr>
      <w:bookmarkStart w:id="437" w:name="_Toc30924"/>
      <w:bookmarkStart w:id="438" w:name="_Toc5051"/>
      <w:bookmarkStart w:id="439" w:name="_Toc17896"/>
      <w:bookmarkStart w:id="440" w:name="_Toc21725"/>
      <w:bookmarkStart w:id="441" w:name="_Toc597"/>
      <w:bookmarkStart w:id="442" w:name="_Toc28584"/>
      <w:bookmarkStart w:id="443" w:name="_Toc29269"/>
      <w:bookmarkStart w:id="444" w:name="_Toc17903"/>
      <w:r>
        <w:rPr>
          <w:rFonts w:hint="eastAsia" w:ascii="宋体" w:hAnsi="宋体"/>
          <w:b/>
          <w:highlight w:val="none"/>
          <w:lang w:val="en-US" w:eastAsia="zh-CN"/>
        </w:rPr>
        <w:t>5</w:t>
      </w:r>
      <w:r>
        <w:rPr>
          <w:rFonts w:ascii="宋体" w:hAnsi="宋体"/>
          <w:b/>
          <w:highlight w:val="none"/>
        </w:rPr>
        <w:t>.</w:t>
      </w:r>
      <w:r>
        <w:rPr>
          <w:rFonts w:hint="eastAsia" w:ascii="宋体" w:hAnsi="宋体"/>
          <w:b/>
          <w:highlight w:val="none"/>
        </w:rPr>
        <w:t>服务方案（由比选申请人自行编写）</w:t>
      </w:r>
      <w:bookmarkEnd w:id="437"/>
      <w:bookmarkEnd w:id="438"/>
      <w:bookmarkEnd w:id="439"/>
      <w:bookmarkEnd w:id="440"/>
      <w:bookmarkEnd w:id="441"/>
      <w:bookmarkEnd w:id="442"/>
      <w:bookmarkEnd w:id="443"/>
      <w:bookmarkEnd w:id="444"/>
    </w:p>
    <w:p>
      <w:pPr>
        <w:spacing w:line="540" w:lineRule="exact"/>
        <w:ind w:firstLine="560" w:firstLineChars="200"/>
        <w:rPr>
          <w:rFonts w:ascii="宋体" w:cs="宋体"/>
          <w:sz w:val="28"/>
          <w:szCs w:val="28"/>
          <w:highlight w:val="none"/>
        </w:rPr>
      </w:pPr>
      <w:r>
        <w:rPr>
          <w:rFonts w:hint="eastAsia" w:ascii="宋体" w:hAnsi="宋体" w:cs="宋体"/>
          <w:sz w:val="28"/>
          <w:szCs w:val="28"/>
          <w:highlight w:val="none"/>
        </w:rPr>
        <w:t>备注：主要从服务态度、质量控制、进度控制等方面进行阐述。该服务方案将作为合同的附件。</w:t>
      </w: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pStyle w:val="5"/>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ascii="宋体" w:cs="宋体"/>
          <w:b/>
          <w:sz w:val="28"/>
          <w:szCs w:val="28"/>
          <w:highlight w:val="none"/>
        </w:rPr>
      </w:pPr>
      <w:r>
        <w:rPr>
          <w:rFonts w:ascii="宋体" w:cs="宋体"/>
          <w:sz w:val="28"/>
          <w:szCs w:val="28"/>
          <w:highlight w:val="none"/>
        </w:rPr>
        <w:br w:type="page"/>
      </w:r>
      <w:r>
        <w:rPr>
          <w:rFonts w:hint="eastAsia" w:ascii="宋体" w:hAnsi="宋体" w:cs="宋体"/>
          <w:b/>
          <w:sz w:val="28"/>
          <w:szCs w:val="28"/>
          <w:highlight w:val="none"/>
          <w:lang w:val="en-US" w:eastAsia="zh-CN"/>
        </w:rPr>
        <w:t>6</w:t>
      </w:r>
      <w:r>
        <w:rPr>
          <w:rFonts w:ascii="宋体" w:hAnsi="宋体" w:cs="宋体"/>
          <w:b/>
          <w:sz w:val="28"/>
          <w:szCs w:val="28"/>
          <w:highlight w:val="none"/>
        </w:rPr>
        <w:t>.</w:t>
      </w:r>
      <w:r>
        <w:rPr>
          <w:rFonts w:hint="eastAsia" w:ascii="宋体" w:hAnsi="宋体"/>
          <w:b/>
          <w:highlight w:val="none"/>
        </w:rPr>
        <w:t>其他</w:t>
      </w:r>
    </w:p>
    <w:p>
      <w:pPr>
        <w:widowControl/>
        <w:jc w:val="left"/>
        <w:rPr>
          <w:rFonts w:ascii="宋体" w:cs="宋体"/>
          <w:i/>
          <w:sz w:val="28"/>
          <w:szCs w:val="28"/>
          <w:highlight w:val="none"/>
        </w:rPr>
      </w:pPr>
      <w:r>
        <w:rPr>
          <w:rFonts w:ascii="宋体" w:cs="宋体"/>
          <w:i/>
          <w:sz w:val="28"/>
          <w:szCs w:val="28"/>
          <w:highlight w:val="none"/>
        </w:rPr>
        <w:br w:type="page"/>
      </w:r>
    </w:p>
    <w:p>
      <w:pPr>
        <w:ind w:right="753"/>
        <w:jc w:val="center"/>
        <w:rPr>
          <w:rFonts w:ascii="宋体" w:cs="宋体"/>
          <w:sz w:val="28"/>
          <w:szCs w:val="28"/>
          <w:highlight w:val="none"/>
        </w:rPr>
      </w:pPr>
      <w:bookmarkStart w:id="445" w:name="_Toc24947"/>
      <w:bookmarkStart w:id="446" w:name="_Toc12434"/>
      <w:bookmarkStart w:id="447" w:name="_Toc26103"/>
      <w:bookmarkStart w:id="448" w:name="_Toc25435"/>
      <w:bookmarkStart w:id="449" w:name="_Toc27920"/>
      <w:bookmarkStart w:id="450" w:name="_Toc5462"/>
      <w:bookmarkStart w:id="451" w:name="_Toc15155"/>
      <w:bookmarkStart w:id="452" w:name="_Toc9617"/>
      <w:r>
        <w:rPr>
          <w:rFonts w:hint="eastAsia" w:ascii="宋体" w:hAnsi="宋体" w:cs="宋体"/>
          <w:sz w:val="28"/>
          <w:szCs w:val="28"/>
          <w:highlight w:val="none"/>
        </w:rPr>
        <w:t>（封面格式）</w:t>
      </w:r>
    </w:p>
    <w:p>
      <w:pPr>
        <w:ind w:right="753"/>
        <w:jc w:val="left"/>
        <w:rPr>
          <w:rFonts w:ascii="宋体" w:cs="宋体"/>
          <w:szCs w:val="28"/>
          <w:highlight w:val="none"/>
        </w:rPr>
      </w:pPr>
    </w:p>
    <w:p>
      <w:pPr>
        <w:ind w:right="753"/>
        <w:jc w:val="left"/>
        <w:rPr>
          <w:rFonts w:ascii="宋体" w:cs="宋体"/>
          <w:szCs w:val="28"/>
          <w:highlight w:val="none"/>
        </w:rPr>
      </w:pPr>
    </w:p>
    <w:p>
      <w:pPr>
        <w:ind w:right="753"/>
        <w:jc w:val="center"/>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项目比选申请文件</w:t>
      </w:r>
    </w:p>
    <w:p>
      <w:pPr>
        <w:pStyle w:val="24"/>
        <w:jc w:val="center"/>
        <w:rPr>
          <w:highlight w:val="none"/>
        </w:rPr>
      </w:pPr>
      <w:bookmarkStart w:id="453" w:name="_Toc10925"/>
      <w:bookmarkStart w:id="454" w:name="_Toc3587"/>
      <w:bookmarkStart w:id="455" w:name="_Toc3278"/>
      <w:bookmarkStart w:id="456" w:name="_Toc15573"/>
      <w:bookmarkStart w:id="457" w:name="_Toc21287"/>
      <w:bookmarkStart w:id="458" w:name="_Toc461525327"/>
      <w:bookmarkStart w:id="459" w:name="_Toc27059"/>
      <w:bookmarkStart w:id="460" w:name="_Toc20460"/>
      <w:bookmarkStart w:id="461" w:name="_Toc196"/>
      <w:r>
        <w:rPr>
          <w:rFonts w:hint="eastAsia"/>
          <w:b w:val="0"/>
          <w:bCs w:val="0"/>
          <w:sz w:val="28"/>
          <w:szCs w:val="28"/>
          <w:highlight w:val="none"/>
        </w:rPr>
        <w:t>商务部分</w:t>
      </w:r>
      <w:bookmarkEnd w:id="453"/>
      <w:bookmarkEnd w:id="454"/>
      <w:bookmarkEnd w:id="455"/>
      <w:bookmarkEnd w:id="456"/>
      <w:bookmarkEnd w:id="457"/>
      <w:bookmarkEnd w:id="458"/>
      <w:bookmarkEnd w:id="459"/>
      <w:bookmarkEnd w:id="460"/>
      <w:bookmarkEnd w:id="461"/>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r>
        <w:rPr>
          <w:rFonts w:hint="eastAsia" w:ascii="宋体" w:hAnsi="宋体" w:cs="宋体"/>
          <w:sz w:val="28"/>
          <w:szCs w:val="28"/>
          <w:highlight w:val="none"/>
        </w:rPr>
        <w:t>比选申请人：（加盖单位章）</w:t>
      </w:r>
    </w:p>
    <w:p>
      <w:pPr>
        <w:ind w:right="753"/>
        <w:jc w:val="left"/>
        <w:rPr>
          <w:rFonts w:ascii="宋体" w:cs="宋体"/>
          <w:sz w:val="28"/>
          <w:szCs w:val="28"/>
          <w:highlight w:val="none"/>
        </w:rPr>
      </w:pPr>
      <w:r>
        <w:rPr>
          <w:rFonts w:hint="eastAsia" w:ascii="宋体" w:hAnsi="宋体" w:cs="宋体"/>
          <w:sz w:val="28"/>
          <w:szCs w:val="28"/>
          <w:highlight w:val="none"/>
        </w:rPr>
        <w:t>法定代表人（负责人）或委托代理人：（签字）</w:t>
      </w:r>
    </w:p>
    <w:p>
      <w:pPr>
        <w:ind w:right="753"/>
        <w:jc w:val="left"/>
        <w:rPr>
          <w:rFonts w:ascii="宋体" w:cs="宋体"/>
          <w:sz w:val="28"/>
          <w:szCs w:val="28"/>
          <w:highlight w:val="none"/>
        </w:rPr>
      </w:pPr>
      <w:bookmarkStart w:id="462" w:name="_Toc333307134"/>
    </w:p>
    <w:p>
      <w:pPr>
        <w:ind w:right="753"/>
        <w:jc w:val="left"/>
        <w:rPr>
          <w:rFonts w:ascii="宋体" w:cs="宋体"/>
          <w:sz w:val="28"/>
          <w:szCs w:val="28"/>
          <w:highlight w:val="none"/>
        </w:rPr>
      </w:pPr>
    </w:p>
    <w:p>
      <w:pPr>
        <w:ind w:right="753"/>
        <w:jc w:val="left"/>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年</w:t>
      </w:r>
      <w:r>
        <w:rPr>
          <w:rFonts w:ascii="宋体" w:hAnsi="宋体" w:cs="宋体"/>
          <w:sz w:val="28"/>
          <w:szCs w:val="28"/>
          <w:highlight w:val="none"/>
        </w:rPr>
        <w:t xml:space="preserve">    </w:t>
      </w:r>
      <w:bookmarkEnd w:id="462"/>
      <w:r>
        <w:rPr>
          <w:rFonts w:hint="eastAsia" w:ascii="宋体" w:hAnsi="宋体" w:cs="宋体"/>
          <w:sz w:val="28"/>
          <w:szCs w:val="28"/>
          <w:highlight w:val="none"/>
        </w:rPr>
        <w:t>月</w:t>
      </w:r>
      <w:bookmarkStart w:id="463" w:name="_Toc333307135"/>
      <w:r>
        <w:rPr>
          <w:rFonts w:ascii="宋体" w:hAnsi="宋体" w:cs="宋体"/>
          <w:sz w:val="28"/>
          <w:szCs w:val="28"/>
          <w:highlight w:val="none"/>
        </w:rPr>
        <w:t xml:space="preserve">    </w:t>
      </w:r>
      <w:r>
        <w:rPr>
          <w:rFonts w:hint="eastAsia" w:ascii="宋体" w:hAnsi="宋体" w:cs="宋体"/>
          <w:sz w:val="28"/>
          <w:szCs w:val="28"/>
          <w:highlight w:val="none"/>
        </w:rPr>
        <w:t>日</w:t>
      </w: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keepNext/>
        <w:keepLines/>
        <w:pageBreakBefore w:val="0"/>
        <w:widowControl w:val="0"/>
        <w:kinsoku/>
        <w:wordWrap/>
        <w:overflowPunct/>
        <w:topLinePunct w:val="0"/>
        <w:autoSpaceDE/>
        <w:autoSpaceDN/>
        <w:bidi w:val="0"/>
        <w:adjustRightInd/>
        <w:snapToGrid/>
        <w:spacing w:before="0" w:after="0" w:line="600" w:lineRule="exact"/>
        <w:jc w:val="center"/>
        <w:textAlignment w:val="auto"/>
        <w:outlineLvl w:val="9"/>
        <w:rPr>
          <w:rFonts w:ascii="宋体" w:cs="宋体"/>
          <w:kern w:val="2"/>
          <w:szCs w:val="28"/>
          <w:highlight w:val="none"/>
        </w:rPr>
      </w:pPr>
      <w:bookmarkStart w:id="464" w:name="_Toc7127"/>
      <w:bookmarkStart w:id="465" w:name="_Toc2010"/>
      <w:bookmarkStart w:id="466" w:name="_Toc21835"/>
      <w:bookmarkStart w:id="467" w:name="_Toc30879"/>
      <w:bookmarkStart w:id="468" w:name="_Toc461525328"/>
      <w:bookmarkStart w:id="469" w:name="_Toc5616"/>
      <w:bookmarkStart w:id="470" w:name="_Toc16542"/>
      <w:bookmarkStart w:id="471" w:name="_Toc24408"/>
      <w:bookmarkStart w:id="472" w:name="_Toc11015"/>
      <w:bookmarkStart w:id="473" w:name="_Toc24524"/>
      <w:bookmarkStart w:id="474" w:name="_Toc4901"/>
      <w:bookmarkStart w:id="475" w:name="_Toc17346"/>
      <w:bookmarkStart w:id="476" w:name="_Toc471482372"/>
      <w:bookmarkStart w:id="477" w:name="_Toc257"/>
    </w:p>
    <w:p>
      <w:pPr>
        <w:rPr>
          <w:highlight w:val="none"/>
        </w:rPr>
      </w:pPr>
    </w:p>
    <w:p>
      <w:pPr>
        <w:pStyle w:val="4"/>
        <w:spacing w:before="0" w:after="0" w:line="600" w:lineRule="exact"/>
        <w:jc w:val="center"/>
        <w:rPr>
          <w:b/>
          <w:highlight w:val="none"/>
        </w:rPr>
      </w:pPr>
      <w:bookmarkStart w:id="478" w:name="_Toc21708"/>
      <w:bookmarkStart w:id="479" w:name="_Toc12276"/>
      <w:bookmarkStart w:id="480" w:name="_Toc25672"/>
      <w:bookmarkStart w:id="481" w:name="_Toc5984"/>
      <w:bookmarkStart w:id="482" w:name="_Toc27214"/>
      <w:bookmarkStart w:id="483" w:name="_Toc8407"/>
      <w:bookmarkStart w:id="484" w:name="_Toc9809"/>
      <w:r>
        <w:rPr>
          <w:rFonts w:hint="eastAsia"/>
          <w:b/>
          <w:highlight w:val="none"/>
        </w:rPr>
        <w:t>三、商务部分材料目录</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bookmarkEnd w:id="463"/>
    <w:p>
      <w:pPr>
        <w:spacing w:line="540" w:lineRule="exact"/>
        <w:jc w:val="center"/>
        <w:rPr>
          <w:rFonts w:ascii="宋体" w:cs="宋体"/>
          <w:b/>
          <w:sz w:val="28"/>
          <w:szCs w:val="28"/>
          <w:highlight w:val="none"/>
        </w:rPr>
      </w:pPr>
      <w:r>
        <w:rPr>
          <w:rFonts w:ascii="宋体" w:hAnsi="宋体" w:cs="宋体"/>
          <w:b/>
          <w:sz w:val="28"/>
          <w:szCs w:val="28"/>
          <w:highlight w:val="none"/>
        </w:rPr>
        <w:t>1.</w:t>
      </w:r>
      <w:r>
        <w:rPr>
          <w:rFonts w:hint="eastAsia" w:ascii="宋体" w:hAnsi="宋体" w:cs="宋体"/>
          <w:b/>
          <w:sz w:val="28"/>
          <w:szCs w:val="28"/>
          <w:highlight w:val="none"/>
        </w:rPr>
        <w:t>报价表</w:t>
      </w:r>
    </w:p>
    <w:p>
      <w:pPr>
        <w:spacing w:line="540" w:lineRule="exact"/>
        <w:rPr>
          <w:rFonts w:ascii="宋体" w:cs="宋体"/>
          <w:sz w:val="28"/>
          <w:szCs w:val="28"/>
          <w:highlight w:val="none"/>
        </w:rPr>
      </w:pPr>
    </w:p>
    <w:p>
      <w:pPr>
        <w:spacing w:line="540" w:lineRule="exact"/>
        <w:rPr>
          <w:rFonts w:ascii="宋体" w:cs="宋体"/>
          <w:sz w:val="28"/>
          <w:szCs w:val="28"/>
          <w:highlight w:val="none"/>
        </w:rPr>
      </w:pPr>
      <w:r>
        <w:rPr>
          <w:rFonts w:hint="eastAsia" w:ascii="宋体" w:hAnsi="宋体" w:cs="宋体"/>
          <w:sz w:val="28"/>
          <w:szCs w:val="28"/>
          <w:highlight w:val="none"/>
        </w:rPr>
        <w:t>备注：以上材料均需加盖单位公章，并按照目录顺序编排，标注页码。</w:t>
      </w:r>
    </w:p>
    <w:p>
      <w:pPr>
        <w:spacing w:line="540" w:lineRule="exac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pStyle w:val="5"/>
        <w:keepNext/>
        <w:keepLines/>
        <w:pageBreakBefore w:val="0"/>
        <w:widowControl w:val="0"/>
        <w:kinsoku/>
        <w:wordWrap/>
        <w:overflowPunct/>
        <w:topLinePunct w:val="0"/>
        <w:autoSpaceDE/>
        <w:autoSpaceDN/>
        <w:bidi w:val="0"/>
        <w:adjustRightInd/>
        <w:snapToGrid/>
        <w:spacing w:before="0" w:after="0" w:line="600" w:lineRule="exact"/>
        <w:textAlignment w:val="auto"/>
        <w:rPr>
          <w:b/>
          <w:bCs/>
          <w:highlight w:val="none"/>
        </w:rPr>
      </w:pPr>
      <w:bookmarkStart w:id="485" w:name="_Toc1148"/>
      <w:bookmarkStart w:id="486" w:name="_Toc26609"/>
      <w:bookmarkStart w:id="487" w:name="_Toc20415"/>
      <w:bookmarkStart w:id="488" w:name="_Toc17958"/>
      <w:bookmarkStart w:id="489" w:name="_Toc9748"/>
      <w:bookmarkStart w:id="490" w:name="_Toc29844"/>
      <w:bookmarkStart w:id="491" w:name="_Toc25896"/>
      <w:bookmarkStart w:id="492" w:name="_Toc25214"/>
      <w:bookmarkStart w:id="493" w:name="_Toc6408"/>
      <w:bookmarkStart w:id="494" w:name="_Toc29457"/>
      <w:bookmarkStart w:id="495" w:name="_Toc461525330"/>
      <w:bookmarkStart w:id="496" w:name="_Toc3569"/>
      <w:r>
        <w:rPr>
          <w:b/>
          <w:bCs/>
          <w:highlight w:val="none"/>
        </w:rPr>
        <w:t>1.</w:t>
      </w:r>
      <w:r>
        <w:rPr>
          <w:rFonts w:hint="eastAsia"/>
          <w:b/>
          <w:bCs/>
          <w:highlight w:val="none"/>
        </w:rPr>
        <w:t>报价表</w:t>
      </w:r>
      <w:bookmarkEnd w:id="485"/>
      <w:bookmarkEnd w:id="486"/>
      <w:r>
        <w:rPr>
          <w:rFonts w:hint="eastAsia"/>
          <w:b/>
          <w:bCs/>
          <w:highlight w:val="none"/>
        </w:rPr>
        <w:t>（格式）</w:t>
      </w:r>
      <w:bookmarkEnd w:id="487"/>
      <w:bookmarkEnd w:id="488"/>
      <w:bookmarkEnd w:id="489"/>
      <w:bookmarkEnd w:id="490"/>
      <w:bookmarkEnd w:id="491"/>
      <w:bookmarkEnd w:id="492"/>
      <w:bookmarkEnd w:id="493"/>
      <w:bookmarkEnd w:id="494"/>
      <w:bookmarkEnd w:id="495"/>
      <w:bookmarkEnd w:id="496"/>
    </w:p>
    <w:tbl>
      <w:tblPr>
        <w:tblStyle w:val="25"/>
        <w:tblW w:w="84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438"/>
        <w:gridCol w:w="1362"/>
        <w:gridCol w:w="2841"/>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09" w:type="dxa"/>
            <w:vAlign w:val="center"/>
          </w:tcPr>
          <w:p>
            <w:pPr>
              <w:jc w:val="center"/>
              <w:rPr>
                <w:rFonts w:ascii="宋体" w:cs="宋体"/>
                <w:szCs w:val="21"/>
                <w:highlight w:val="none"/>
              </w:rPr>
            </w:pPr>
            <w:r>
              <w:rPr>
                <w:rFonts w:hint="eastAsia" w:ascii="宋体" w:hAnsi="宋体" w:cs="宋体"/>
                <w:szCs w:val="21"/>
                <w:highlight w:val="none"/>
              </w:rPr>
              <w:t>序号</w:t>
            </w:r>
          </w:p>
        </w:tc>
        <w:tc>
          <w:tcPr>
            <w:tcW w:w="2438" w:type="dxa"/>
            <w:vAlign w:val="center"/>
          </w:tcPr>
          <w:p>
            <w:pPr>
              <w:jc w:val="center"/>
              <w:rPr>
                <w:rFonts w:ascii="宋体" w:cs="宋体"/>
                <w:szCs w:val="21"/>
                <w:highlight w:val="none"/>
              </w:rPr>
            </w:pPr>
            <w:r>
              <w:rPr>
                <w:rFonts w:hint="eastAsia" w:ascii="宋体" w:hAnsi="宋体" w:cs="宋体"/>
                <w:szCs w:val="21"/>
                <w:highlight w:val="none"/>
              </w:rPr>
              <w:t>服务内容</w:t>
            </w:r>
          </w:p>
        </w:tc>
        <w:tc>
          <w:tcPr>
            <w:tcW w:w="1362" w:type="dxa"/>
            <w:vAlign w:val="center"/>
          </w:tcPr>
          <w:p>
            <w:pPr>
              <w:jc w:val="center"/>
              <w:rPr>
                <w:rFonts w:ascii="宋体" w:cs="宋体"/>
                <w:szCs w:val="21"/>
                <w:highlight w:val="none"/>
              </w:rPr>
            </w:pPr>
            <w:r>
              <w:rPr>
                <w:rFonts w:hint="eastAsia" w:ascii="宋体" w:hAnsi="宋体" w:cs="宋体"/>
                <w:szCs w:val="21"/>
                <w:highlight w:val="none"/>
              </w:rPr>
              <w:t>服务期限</w:t>
            </w:r>
          </w:p>
        </w:tc>
        <w:tc>
          <w:tcPr>
            <w:tcW w:w="2841" w:type="dxa"/>
            <w:vAlign w:val="center"/>
          </w:tcPr>
          <w:p>
            <w:pPr>
              <w:jc w:val="center"/>
              <w:rPr>
                <w:rFonts w:ascii="宋体" w:cs="宋体"/>
                <w:szCs w:val="21"/>
                <w:highlight w:val="none"/>
              </w:rPr>
            </w:pPr>
            <w:r>
              <w:rPr>
                <w:rFonts w:hint="eastAsia" w:ascii="宋体" w:hAnsi="宋体" w:cs="宋体"/>
                <w:szCs w:val="21"/>
                <w:highlight w:val="none"/>
              </w:rPr>
              <w:t>报价</w:t>
            </w:r>
            <w:r>
              <w:rPr>
                <w:rFonts w:ascii="宋体" w:hAnsi="宋体" w:cs="宋体"/>
                <w:szCs w:val="21"/>
                <w:highlight w:val="none"/>
              </w:rPr>
              <w:t xml:space="preserve">  </w:t>
            </w:r>
          </w:p>
        </w:tc>
        <w:tc>
          <w:tcPr>
            <w:tcW w:w="1092" w:type="dxa"/>
          </w:tcPr>
          <w:p>
            <w:pPr>
              <w:jc w:val="center"/>
              <w:rPr>
                <w:rFonts w:ascii="宋体" w:cs="宋体"/>
                <w:szCs w:val="21"/>
                <w:highlight w:val="none"/>
              </w:rPr>
            </w:pPr>
            <w:r>
              <w:rPr>
                <w:rFonts w:hint="eastAsia" w:ascii="宋体" w:hAnsi="宋体" w:cs="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jc w:val="center"/>
        </w:trPr>
        <w:tc>
          <w:tcPr>
            <w:tcW w:w="709" w:type="dxa"/>
            <w:vAlign w:val="center"/>
          </w:tcPr>
          <w:p>
            <w:pPr>
              <w:jc w:val="center"/>
              <w:rPr>
                <w:rFonts w:ascii="宋体" w:cs="宋体"/>
                <w:szCs w:val="21"/>
                <w:highlight w:val="none"/>
              </w:rPr>
            </w:pPr>
            <w:r>
              <w:rPr>
                <w:rFonts w:ascii="宋体" w:hAnsi="宋体" w:cs="宋体"/>
                <w:szCs w:val="21"/>
                <w:highlight w:val="none"/>
              </w:rPr>
              <w:t>1</w:t>
            </w:r>
          </w:p>
        </w:tc>
        <w:tc>
          <w:tcPr>
            <w:tcW w:w="2438" w:type="dxa"/>
            <w:vAlign w:val="center"/>
          </w:tcPr>
          <w:p>
            <w:pPr>
              <w:jc w:val="left"/>
              <w:rPr>
                <w:rFonts w:ascii="宋体" w:cs="宋体"/>
                <w:szCs w:val="21"/>
                <w:highlight w:val="none"/>
              </w:rPr>
            </w:pPr>
            <w:r>
              <w:rPr>
                <w:rFonts w:hint="eastAsia" w:ascii="宋体" w:hAnsi="宋体" w:cs="宋体"/>
                <w:szCs w:val="21"/>
                <w:highlight w:val="none"/>
                <w:lang w:eastAsia="zh-CN"/>
              </w:rPr>
              <w:t>南宁轨道交通运营有限公司2021年至2022年物资管理内控建设及执行情况</w:t>
            </w:r>
            <w:r>
              <w:rPr>
                <w:rFonts w:hint="eastAsia" w:ascii="宋体" w:hAnsi="宋体" w:cs="宋体"/>
                <w:szCs w:val="21"/>
                <w:highlight w:val="none"/>
                <w:lang w:val="en-US" w:eastAsia="zh-CN"/>
              </w:rPr>
              <w:t>专项审计</w:t>
            </w:r>
            <w:r>
              <w:rPr>
                <w:rFonts w:hint="eastAsia" w:ascii="宋体" w:hAnsi="宋体" w:cs="宋体"/>
                <w:szCs w:val="21"/>
                <w:highlight w:val="none"/>
              </w:rPr>
              <w:t>项目</w:t>
            </w:r>
          </w:p>
        </w:tc>
        <w:tc>
          <w:tcPr>
            <w:tcW w:w="1362" w:type="dxa"/>
            <w:vAlign w:val="center"/>
          </w:tcPr>
          <w:p>
            <w:pPr>
              <w:jc w:val="center"/>
              <w:rPr>
                <w:rFonts w:ascii="宋体" w:cs="宋体"/>
                <w:szCs w:val="21"/>
                <w:highlight w:val="none"/>
              </w:rPr>
            </w:pPr>
          </w:p>
        </w:tc>
        <w:tc>
          <w:tcPr>
            <w:tcW w:w="2841" w:type="dxa"/>
            <w:vAlign w:val="center"/>
          </w:tcPr>
          <w:p>
            <w:pPr>
              <w:rPr>
                <w:rFonts w:hint="default" w:ascii="宋体" w:eastAsia="宋体" w:cs="宋体"/>
                <w:szCs w:val="21"/>
                <w:highlight w:val="none"/>
                <w:u w:val="single"/>
                <w:lang w:val="en-US" w:eastAsia="zh-CN"/>
              </w:rPr>
            </w:pPr>
            <w:r>
              <w:rPr>
                <w:rFonts w:hint="eastAsia" w:ascii="宋体" w:hAnsi="宋体" w:cs="宋体"/>
                <w:szCs w:val="21"/>
                <w:highlight w:val="none"/>
              </w:rPr>
              <w:t>不含税：</w:t>
            </w:r>
            <w:r>
              <w:rPr>
                <w:rFonts w:hint="eastAsia" w:ascii="宋体" w:cs="宋体"/>
                <w:szCs w:val="21"/>
                <w:highlight w:val="none"/>
                <w:u w:val="single"/>
                <w:lang w:val="en-US" w:eastAsia="zh-CN"/>
              </w:rPr>
              <w:t xml:space="preserve">         元</w:t>
            </w:r>
          </w:p>
          <w:p>
            <w:pPr>
              <w:rPr>
                <w:rFonts w:ascii="宋体" w:cs="宋体"/>
                <w:szCs w:val="21"/>
                <w:highlight w:val="none"/>
              </w:rPr>
            </w:pPr>
            <w:r>
              <w:rPr>
                <w:rFonts w:hint="eastAsia" w:ascii="宋体" w:hAnsi="宋体" w:cs="宋体"/>
                <w:szCs w:val="21"/>
                <w:highlight w:val="none"/>
              </w:rPr>
              <w:t>税率（</w:t>
            </w:r>
            <w:r>
              <w:rPr>
                <w:rFonts w:ascii="宋体" w:hAnsi="宋体" w:cs="宋体"/>
                <w:szCs w:val="21"/>
                <w:highlight w:val="none"/>
              </w:rPr>
              <w:t xml:space="preserve">   %</w:t>
            </w:r>
            <w:r>
              <w:rPr>
                <w:rFonts w:hint="eastAsia" w:ascii="宋体" w:hAnsi="宋体" w:cs="宋体"/>
                <w:szCs w:val="21"/>
                <w:highlight w:val="none"/>
              </w:rPr>
              <w:t>）</w:t>
            </w:r>
          </w:p>
          <w:p>
            <w:pPr>
              <w:rPr>
                <w:rFonts w:ascii="宋体" w:cs="宋体"/>
                <w:szCs w:val="21"/>
                <w:highlight w:val="none"/>
              </w:rPr>
            </w:pPr>
          </w:p>
          <w:p>
            <w:pPr>
              <w:rPr>
                <w:rFonts w:hint="default" w:ascii="宋体" w:eastAsia="宋体" w:cs="宋体"/>
                <w:szCs w:val="21"/>
                <w:highlight w:val="none"/>
                <w:lang w:val="en-US" w:eastAsia="zh-CN"/>
              </w:rPr>
            </w:pPr>
            <w:r>
              <w:rPr>
                <w:rFonts w:hint="eastAsia" w:ascii="宋体" w:hAnsi="宋体" w:cs="宋体"/>
                <w:szCs w:val="21"/>
                <w:highlight w:val="none"/>
              </w:rPr>
              <w:t>价税合计</w:t>
            </w:r>
            <w:r>
              <w:rPr>
                <w:rFonts w:hint="eastAsia" w:ascii="宋体" w:hAnsi="宋体" w:cs="宋体"/>
                <w:szCs w:val="21"/>
                <w:highlight w:val="none"/>
                <w:u w:val="none"/>
              </w:rPr>
              <w:t>：</w:t>
            </w:r>
            <w:r>
              <w:rPr>
                <w:rFonts w:hint="eastAsia" w:ascii="宋体" w:hAnsi="宋体" w:cs="宋体"/>
                <w:szCs w:val="21"/>
                <w:highlight w:val="none"/>
                <w:u w:val="single"/>
                <w:lang w:eastAsia="zh-CN"/>
              </w:rPr>
              <w:t xml:space="preserve"> </w:t>
            </w:r>
            <w:r>
              <w:rPr>
                <w:rFonts w:hint="eastAsia" w:ascii="宋体" w:hAnsi="宋体" w:cs="宋体"/>
                <w:szCs w:val="21"/>
                <w:highlight w:val="none"/>
                <w:u w:val="single"/>
                <w:lang w:val="en-US" w:eastAsia="zh-CN"/>
              </w:rPr>
              <w:t xml:space="preserve">      元</w:t>
            </w:r>
          </w:p>
        </w:tc>
        <w:tc>
          <w:tcPr>
            <w:tcW w:w="1092" w:type="dxa"/>
          </w:tcPr>
          <w:p>
            <w:pPr>
              <w:rPr>
                <w:rFonts w:ascii="宋体" w:cs="宋体"/>
                <w:szCs w:val="21"/>
                <w:highlight w:val="none"/>
              </w:rPr>
            </w:pPr>
          </w:p>
        </w:tc>
      </w:tr>
    </w:tbl>
    <w:p>
      <w:pPr>
        <w:spacing w:line="480" w:lineRule="exact"/>
        <w:ind w:left="31680" w:hanging="560" w:hangingChars="200"/>
        <w:rPr>
          <w:rFonts w:ascii="宋体" w:cs="宋体"/>
          <w:sz w:val="28"/>
          <w:szCs w:val="28"/>
          <w:highlight w:val="none"/>
        </w:rPr>
      </w:pPr>
      <w:r>
        <w:rPr>
          <w:rFonts w:hint="eastAsia" w:ascii="宋体" w:hAnsi="宋体" w:cs="宋体"/>
          <w:sz w:val="28"/>
          <w:szCs w:val="28"/>
          <w:highlight w:val="none"/>
        </w:rPr>
        <w:t>注：</w:t>
      </w:r>
      <w:r>
        <w:rPr>
          <w:rFonts w:ascii="宋体" w:hAnsi="宋体" w:cs="宋体"/>
          <w:sz w:val="28"/>
          <w:szCs w:val="28"/>
          <w:highlight w:val="none"/>
        </w:rPr>
        <w:t>1.</w:t>
      </w:r>
      <w:r>
        <w:rPr>
          <w:rFonts w:hint="eastAsia" w:ascii="宋体" w:hAnsi="宋体" w:cs="宋体"/>
          <w:sz w:val="28"/>
          <w:szCs w:val="28"/>
          <w:highlight w:val="none"/>
        </w:rPr>
        <w:t>本表根据需要可扩展。未按照本比选报价表的格式及要求填写比选报价表的，将视为不满足比选文件要求，从而导致该比选申请人竞选无效。</w:t>
      </w:r>
    </w:p>
    <w:p>
      <w:pPr>
        <w:spacing w:line="480" w:lineRule="exact"/>
        <w:ind w:firstLine="560" w:firstLineChars="200"/>
        <w:rPr>
          <w:rFonts w:ascii="宋体" w:cs="宋体"/>
          <w:sz w:val="28"/>
          <w:szCs w:val="28"/>
          <w:highlight w:val="none"/>
          <w:u w:val="single"/>
        </w:rPr>
      </w:pPr>
      <w:r>
        <w:rPr>
          <w:rFonts w:ascii="宋体" w:hAnsi="宋体" w:cs="宋体"/>
          <w:sz w:val="28"/>
          <w:szCs w:val="28"/>
          <w:highlight w:val="none"/>
          <w:u w:val="single"/>
        </w:rPr>
        <w:t>2</w:t>
      </w:r>
      <w:r>
        <w:rPr>
          <w:rFonts w:ascii="宋体" w:cs="宋体"/>
          <w:sz w:val="28"/>
          <w:szCs w:val="28"/>
          <w:highlight w:val="none"/>
          <w:u w:val="single"/>
        </w:rPr>
        <w:t>.</w:t>
      </w:r>
      <w:r>
        <w:rPr>
          <w:rFonts w:hint="eastAsia" w:ascii="宋体" w:hAnsi="宋体" w:cs="宋体"/>
          <w:sz w:val="28"/>
          <w:szCs w:val="28"/>
          <w:highlight w:val="none"/>
          <w:u w:val="single"/>
        </w:rPr>
        <w:t>以本表中不含税报价作为评审基准价以及评分的确定依据。</w:t>
      </w:r>
    </w:p>
    <w:p>
      <w:pPr>
        <w:spacing w:line="480" w:lineRule="exact"/>
        <w:rPr>
          <w:rFonts w:ascii="宋体" w:cs="宋体"/>
          <w:sz w:val="28"/>
          <w:szCs w:val="28"/>
          <w:highlight w:val="none"/>
        </w:rPr>
      </w:pPr>
    </w:p>
    <w:p>
      <w:pPr>
        <w:spacing w:line="480" w:lineRule="exact"/>
        <w:rPr>
          <w:rFonts w:ascii="宋体" w:cs="宋体"/>
          <w:sz w:val="28"/>
          <w:szCs w:val="28"/>
          <w:highlight w:val="none"/>
        </w:rPr>
      </w:pPr>
      <w:r>
        <w:rPr>
          <w:rFonts w:hint="eastAsia" w:ascii="宋体" w:hAnsi="宋体" w:cs="宋体"/>
          <w:sz w:val="28"/>
          <w:szCs w:val="28"/>
          <w:highlight w:val="none"/>
        </w:rPr>
        <w:t>比选申请人：（加盖单位公章）</w:t>
      </w:r>
      <w:r>
        <w:rPr>
          <w:rFonts w:ascii="宋体" w:hAnsi="宋体" w:cs="宋体"/>
          <w:sz w:val="28"/>
          <w:szCs w:val="28"/>
          <w:highlight w:val="none"/>
        </w:rPr>
        <w:t xml:space="preserve">                                </w:t>
      </w:r>
    </w:p>
    <w:p>
      <w:pPr>
        <w:spacing w:line="480" w:lineRule="exact"/>
        <w:rPr>
          <w:rFonts w:ascii="宋体" w:cs="宋体"/>
          <w:sz w:val="28"/>
          <w:szCs w:val="28"/>
          <w:highlight w:val="none"/>
        </w:rPr>
      </w:pPr>
      <w:r>
        <w:rPr>
          <w:rFonts w:hint="eastAsia" w:ascii="宋体" w:hAnsi="宋体" w:cs="宋体"/>
          <w:sz w:val="28"/>
          <w:szCs w:val="28"/>
          <w:highlight w:val="none"/>
        </w:rPr>
        <w:t>法定代表人（负责人）或其委托代理人：（签字）</w:t>
      </w:r>
      <w:r>
        <w:rPr>
          <w:rFonts w:ascii="宋体" w:hAnsi="宋体" w:cs="宋体"/>
          <w:sz w:val="28"/>
          <w:szCs w:val="28"/>
          <w:highlight w:val="none"/>
        </w:rPr>
        <w:t xml:space="preserve"> </w:t>
      </w:r>
    </w:p>
    <w:p>
      <w:pPr>
        <w:spacing w:line="480" w:lineRule="exact"/>
        <w:rPr>
          <w:rFonts w:ascii="宋体" w:cs="宋体"/>
          <w:sz w:val="28"/>
          <w:szCs w:val="28"/>
          <w:highlight w:val="none"/>
        </w:rPr>
      </w:pPr>
    </w:p>
    <w:p>
      <w:pPr>
        <w:spacing w:line="480" w:lineRule="exact"/>
        <w:rPr>
          <w:rFonts w:ascii="宋体" w:cs="宋体"/>
          <w:sz w:val="28"/>
          <w:szCs w:val="28"/>
          <w:highlight w:val="none"/>
        </w:rPr>
      </w:pPr>
    </w:p>
    <w:p>
      <w:pPr>
        <w:spacing w:line="480" w:lineRule="exact"/>
        <w:rPr>
          <w:rFonts w:ascii="宋体" w:cs="宋体"/>
          <w:sz w:val="28"/>
          <w:szCs w:val="28"/>
          <w:highlight w:val="none"/>
        </w:rPr>
      </w:pPr>
    </w:p>
    <w:p>
      <w:pPr>
        <w:jc w:val="center"/>
        <w:rPr>
          <w:rFonts w:ascii="宋体" w:cs="宋体"/>
          <w:sz w:val="28"/>
          <w:szCs w:val="28"/>
          <w:highlight w:val="none"/>
        </w:rPr>
      </w:pPr>
    </w:p>
    <w:bookmarkEnd w:id="427"/>
    <w:bookmarkEnd w:id="428"/>
    <w:bookmarkEnd w:id="445"/>
    <w:bookmarkEnd w:id="446"/>
    <w:bookmarkEnd w:id="447"/>
    <w:bookmarkEnd w:id="448"/>
    <w:bookmarkEnd w:id="449"/>
    <w:bookmarkEnd w:id="450"/>
    <w:bookmarkEnd w:id="451"/>
    <w:bookmarkEnd w:id="452"/>
    <w:p>
      <w:pPr>
        <w:keepNext/>
        <w:keepLines/>
        <w:pageBreakBefore w:val="0"/>
        <w:widowControl w:val="0"/>
        <w:kinsoku/>
        <w:wordWrap/>
        <w:overflowPunct/>
        <w:topLinePunct w:val="0"/>
        <w:autoSpaceDE/>
        <w:autoSpaceDN/>
        <w:bidi w:val="0"/>
        <w:adjustRightInd/>
        <w:snapToGrid/>
        <w:spacing w:before="0" w:after="0" w:line="600" w:lineRule="exact"/>
        <w:textAlignment w:val="auto"/>
        <w:outlineLvl w:val="9"/>
        <w:rPr>
          <w:rFonts w:ascii="宋体" w:cs="宋体"/>
          <w:b w:val="0"/>
          <w:kern w:val="2"/>
          <w:szCs w:val="28"/>
          <w:highlight w:val="none"/>
        </w:rPr>
      </w:pPr>
      <w:bookmarkStart w:id="497" w:name="_Toc471482373"/>
      <w:bookmarkStart w:id="498" w:name="_Toc2193"/>
    </w:p>
    <w:p>
      <w:pPr>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keepNext/>
        <w:keepLines/>
        <w:pageBreakBefore w:val="0"/>
        <w:widowControl w:val="0"/>
        <w:kinsoku/>
        <w:wordWrap/>
        <w:overflowPunct/>
        <w:topLinePunct w:val="0"/>
        <w:autoSpaceDE/>
        <w:autoSpaceDN/>
        <w:bidi w:val="0"/>
        <w:adjustRightInd/>
        <w:snapToGrid/>
        <w:spacing w:before="0" w:after="0" w:line="600" w:lineRule="exact"/>
        <w:textAlignment w:val="auto"/>
        <w:outlineLvl w:val="9"/>
        <w:rPr>
          <w:b w:val="0"/>
          <w:kern w:val="2"/>
          <w:sz w:val="21"/>
          <w:szCs w:val="24"/>
          <w:highlight w:val="none"/>
        </w:rPr>
      </w:pPr>
    </w:p>
    <w:p>
      <w:pPr>
        <w:rPr>
          <w:highlight w:val="none"/>
        </w:rPr>
      </w:pPr>
    </w:p>
    <w:p>
      <w:pPr>
        <w:pStyle w:val="3"/>
        <w:spacing w:before="0" w:after="0" w:line="600" w:lineRule="exact"/>
        <w:rPr>
          <w:highlight w:val="none"/>
        </w:rPr>
      </w:pPr>
      <w:bookmarkStart w:id="499" w:name="_Toc7168"/>
      <w:bookmarkStart w:id="500" w:name="_Toc22689"/>
      <w:bookmarkStart w:id="501" w:name="_Toc7086"/>
      <w:bookmarkStart w:id="502" w:name="_Toc29161"/>
      <w:bookmarkStart w:id="503" w:name="_Toc8240"/>
      <w:bookmarkStart w:id="504" w:name="_Toc3272"/>
      <w:bookmarkStart w:id="505" w:name="_Toc30863"/>
      <w:r>
        <w:rPr>
          <w:rFonts w:hint="eastAsia"/>
          <w:highlight w:val="none"/>
        </w:rPr>
        <w:t>第四章</w:t>
      </w:r>
      <w:r>
        <w:rPr>
          <w:highlight w:val="none"/>
        </w:rPr>
        <w:t xml:space="preserve"> </w:t>
      </w:r>
      <w:r>
        <w:rPr>
          <w:rFonts w:hint="eastAsia"/>
          <w:highlight w:val="none"/>
        </w:rPr>
        <w:t>评比办法</w:t>
      </w:r>
      <w:bookmarkEnd w:id="497"/>
      <w:bookmarkEnd w:id="498"/>
      <w:bookmarkEnd w:id="499"/>
      <w:bookmarkEnd w:id="500"/>
      <w:bookmarkEnd w:id="501"/>
      <w:bookmarkEnd w:id="502"/>
      <w:bookmarkEnd w:id="503"/>
      <w:bookmarkEnd w:id="504"/>
      <w:bookmarkEnd w:id="505"/>
    </w:p>
    <w:p>
      <w:pPr>
        <w:rPr>
          <w:highlight w:val="none"/>
        </w:rPr>
      </w:pPr>
      <w:bookmarkStart w:id="506" w:name="_Toc28938"/>
      <w:bookmarkStart w:id="507" w:name="_Toc2433"/>
      <w:bookmarkStart w:id="508" w:name="_Toc7201"/>
      <w:bookmarkStart w:id="509" w:name="_Toc17031"/>
      <w:bookmarkStart w:id="510" w:name="_Toc18215"/>
      <w:bookmarkStart w:id="511" w:name="_Toc3898"/>
      <w:bookmarkStart w:id="512" w:name="_Toc16236"/>
      <w:bookmarkStart w:id="513" w:name="_Toc471482374"/>
      <w:bookmarkStart w:id="514" w:name="_Toc10015"/>
      <w:bookmarkStart w:id="515" w:name="_Toc31412"/>
      <w:bookmarkStart w:id="516" w:name="_Toc2996"/>
    </w:p>
    <w:p>
      <w:pPr>
        <w:pStyle w:val="4"/>
        <w:spacing w:before="0" w:after="0" w:line="540" w:lineRule="exact"/>
        <w:rPr>
          <w:b/>
          <w:highlight w:val="none"/>
        </w:rPr>
      </w:pPr>
      <w:bookmarkStart w:id="517" w:name="_Toc3261"/>
      <w:bookmarkStart w:id="518" w:name="_Toc11093"/>
      <w:bookmarkStart w:id="519" w:name="_Toc25326"/>
      <w:bookmarkStart w:id="520" w:name="_Toc21341"/>
      <w:bookmarkStart w:id="521" w:name="_Toc6298"/>
      <w:bookmarkStart w:id="522" w:name="_Toc30260"/>
      <w:bookmarkStart w:id="523" w:name="_Toc24016"/>
      <w:r>
        <w:rPr>
          <w:rFonts w:hint="eastAsia"/>
          <w:b/>
          <w:highlight w:val="none"/>
        </w:rPr>
        <w:t>一、综合评分办法</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spacing w:line="540" w:lineRule="exact"/>
        <w:ind w:firstLine="560" w:firstLineChars="200"/>
        <w:rPr>
          <w:rFonts w:ascii="宋体" w:cs="宋体"/>
          <w:sz w:val="28"/>
          <w:szCs w:val="28"/>
          <w:highlight w:val="none"/>
        </w:rPr>
      </w:pPr>
      <w:r>
        <w:rPr>
          <w:rFonts w:hint="eastAsia" w:ascii="宋体" w:hAnsi="宋体" w:cs="宋体"/>
          <w:sz w:val="28"/>
          <w:szCs w:val="28"/>
          <w:highlight w:val="none"/>
        </w:rPr>
        <w:t>评审小组首先对比选申请人进行资格审查，评审小组对通过资格审查的比选申请人按相应的评分细则对技术部分、商务部分各自进行打分后进行汇总，比选申请人的最终得分是评审小组每一位成员综合得分计算出来的算术平均值。</w:t>
      </w:r>
    </w:p>
    <w:p>
      <w:pPr>
        <w:spacing w:line="540" w:lineRule="exact"/>
        <w:ind w:firstLine="560" w:firstLineChars="200"/>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资格评审：对比选申请人的资格条件、比选申请文件的完整性和有效性、比选申请文件的有效期等方面进行审查。通过资格评审的比选申请文件进入技术、商务评审。</w:t>
      </w:r>
    </w:p>
    <w:p>
      <w:pPr>
        <w:spacing w:line="540" w:lineRule="exact"/>
        <w:ind w:firstLine="560" w:firstLineChars="200"/>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技术、商务评审：由评审小组按照比选文件的要求，对照比选申请文件的应答进行比较，并对各比选申请文件的技术、商务内容进行评审，且技术部分、商务部分由评审小组讨论定档后进行打分。</w:t>
      </w:r>
    </w:p>
    <w:p>
      <w:pPr>
        <w:spacing w:line="540" w:lineRule="exact"/>
        <w:ind w:firstLine="560" w:firstLineChars="200"/>
        <w:rPr>
          <w:rFonts w:ascii="宋体" w:cs="宋体"/>
          <w:sz w:val="28"/>
          <w:szCs w:val="28"/>
          <w:highlight w:val="none"/>
        </w:rPr>
      </w:pPr>
      <w:r>
        <w:rPr>
          <w:rFonts w:ascii="宋体" w:hAnsi="宋体" w:cs="宋体"/>
          <w:sz w:val="28"/>
          <w:szCs w:val="28"/>
          <w:highlight w:val="none"/>
        </w:rPr>
        <w:t>3.</w:t>
      </w:r>
      <w:r>
        <w:rPr>
          <w:rFonts w:hint="eastAsia" w:ascii="宋体" w:hAnsi="宋体" w:cs="宋体"/>
          <w:sz w:val="28"/>
          <w:szCs w:val="28"/>
          <w:highlight w:val="none"/>
        </w:rPr>
        <w:t>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评审小组的要求。如比选申请人拒绝接受澄清、说明或补正，该报价做无效报价处理。</w:t>
      </w:r>
    </w:p>
    <w:p>
      <w:pPr>
        <w:spacing w:line="540" w:lineRule="exact"/>
        <w:ind w:firstLine="560" w:firstLineChars="200"/>
        <w:rPr>
          <w:rFonts w:ascii="宋体" w:cs="宋体"/>
          <w:sz w:val="28"/>
          <w:szCs w:val="28"/>
          <w:highlight w:val="none"/>
        </w:rPr>
      </w:pPr>
      <w:r>
        <w:rPr>
          <w:rFonts w:ascii="宋体" w:hAnsi="宋体" w:cs="宋体"/>
          <w:sz w:val="28"/>
          <w:szCs w:val="28"/>
          <w:highlight w:val="none"/>
        </w:rPr>
        <w:t>4.</w:t>
      </w:r>
      <w:r>
        <w:rPr>
          <w:rFonts w:hint="eastAsia" w:ascii="宋体" w:hAnsi="宋体" w:cs="宋体"/>
          <w:sz w:val="28"/>
          <w:szCs w:val="28"/>
          <w:highlight w:val="none"/>
        </w:rPr>
        <w:t>商务报价评审应以报价口径范围一致的评审价为依据。评审价应在报价的基础上，按照下列约定的因素和方法进行计算（下述修正属于非实质性修改比选申请文件；比选申请人如拒绝下述修正的，则属重大偏差，按无效报价处理）：</w:t>
      </w:r>
    </w:p>
    <w:p>
      <w:pPr>
        <w:spacing w:line="540" w:lineRule="exact"/>
        <w:ind w:firstLine="420" w:firstLineChars="150"/>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）如果数字表示的金额和用文字表示的金额不一致时，应以文字表示的金额为准；</w:t>
      </w:r>
    </w:p>
    <w:p>
      <w:pPr>
        <w:spacing w:line="540" w:lineRule="exact"/>
        <w:ind w:firstLine="420" w:firstLineChars="150"/>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）当单价与数量的乘积与合价不一致时，以合价为准，并调整单价；</w:t>
      </w:r>
    </w:p>
    <w:p>
      <w:pPr>
        <w:spacing w:line="540" w:lineRule="exact"/>
        <w:ind w:firstLine="420" w:firstLineChars="150"/>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3</w:t>
      </w:r>
      <w:r>
        <w:rPr>
          <w:rFonts w:hint="eastAsia" w:ascii="宋体" w:hAnsi="宋体" w:cs="宋体"/>
          <w:sz w:val="28"/>
          <w:szCs w:val="28"/>
          <w:highlight w:val="none"/>
        </w:rPr>
        <w:t>）当合价与报价总价不一致时，以报价总价为准，调整相关合价；</w:t>
      </w:r>
    </w:p>
    <w:p>
      <w:pPr>
        <w:spacing w:line="540" w:lineRule="exact"/>
        <w:ind w:firstLine="420" w:firstLineChars="150"/>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4</w:t>
      </w:r>
      <w:r>
        <w:rPr>
          <w:rFonts w:hint="eastAsia" w:ascii="宋体" w:hAnsi="宋体" w:cs="宋体"/>
          <w:sz w:val="28"/>
          <w:szCs w:val="28"/>
          <w:highlight w:val="none"/>
        </w:rPr>
        <w:t>）评审期间，评审小组不接受任何比选申请人主动提出的对报价及单价、合价的调整；</w:t>
      </w:r>
    </w:p>
    <w:p>
      <w:pPr>
        <w:spacing w:line="540" w:lineRule="exact"/>
        <w:ind w:firstLine="420" w:firstLineChars="150"/>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5</w:t>
      </w:r>
      <w:r>
        <w:rPr>
          <w:rFonts w:hint="eastAsia" w:ascii="宋体" w:hAnsi="宋体" w:cs="宋体"/>
          <w:sz w:val="28"/>
          <w:szCs w:val="28"/>
          <w:highlight w:val="none"/>
        </w:rPr>
        <w:t>）其它未尽事宜，由评审小组审议确定</w:t>
      </w:r>
      <w:r>
        <w:rPr>
          <w:rFonts w:ascii="宋体" w:hAnsi="宋体" w:cs="宋体"/>
          <w:sz w:val="28"/>
          <w:szCs w:val="28"/>
          <w:highlight w:val="none"/>
        </w:rPr>
        <w:t>(</w:t>
      </w:r>
      <w:r>
        <w:rPr>
          <w:rFonts w:hint="eastAsia" w:ascii="宋体" w:hAnsi="宋体" w:cs="宋体"/>
          <w:sz w:val="28"/>
          <w:szCs w:val="28"/>
          <w:highlight w:val="none"/>
        </w:rPr>
        <w:t>如意见不一致时，以记名方式投票确定</w:t>
      </w:r>
      <w:r>
        <w:rPr>
          <w:rFonts w:ascii="宋体" w:hAnsi="宋体" w:cs="宋体"/>
          <w:sz w:val="28"/>
          <w:szCs w:val="28"/>
          <w:highlight w:val="none"/>
        </w:rPr>
        <w:t>)</w:t>
      </w:r>
      <w:r>
        <w:rPr>
          <w:rFonts w:hint="eastAsia" w:ascii="宋体" w:hAnsi="宋体" w:cs="宋体"/>
          <w:sz w:val="28"/>
          <w:szCs w:val="28"/>
          <w:highlight w:val="none"/>
        </w:rPr>
        <w:t>。</w:t>
      </w:r>
    </w:p>
    <w:p>
      <w:pPr>
        <w:spacing w:line="540" w:lineRule="exact"/>
        <w:ind w:firstLine="560" w:firstLineChars="200"/>
        <w:rPr>
          <w:rFonts w:ascii="宋体" w:cs="宋体"/>
          <w:sz w:val="28"/>
          <w:szCs w:val="28"/>
          <w:highlight w:val="none"/>
        </w:rPr>
      </w:pPr>
      <w:r>
        <w:rPr>
          <w:rFonts w:ascii="宋体" w:hAnsi="宋体" w:cs="宋体"/>
          <w:sz w:val="28"/>
          <w:szCs w:val="28"/>
          <w:highlight w:val="none"/>
        </w:rPr>
        <w:t>5.</w:t>
      </w:r>
      <w:r>
        <w:rPr>
          <w:rFonts w:hint="eastAsia" w:ascii="宋体" w:hAnsi="宋体" w:cs="宋体"/>
          <w:sz w:val="28"/>
          <w:szCs w:val="28"/>
          <w:highlight w:val="none"/>
        </w:rPr>
        <w:t>在评审过程中，评审小组发现投标人的报价明显低于其他投标报价，使得其投标报价可能低于其成本的，应当要求该比选申请人做出书面说明并提供相关证明材料。比选申请人不能合理说明或者不能提供相关证明材料的，由评审小组认定该比选申请人以低于成本报价，报价不合理，其比选申请文件作无效处理。</w:t>
      </w:r>
    </w:p>
    <w:p>
      <w:pPr>
        <w:pStyle w:val="4"/>
        <w:spacing w:before="0" w:after="0" w:line="540" w:lineRule="exact"/>
        <w:rPr>
          <w:b/>
          <w:highlight w:val="none"/>
        </w:rPr>
      </w:pPr>
      <w:bookmarkStart w:id="524" w:name="_Toc29182"/>
      <w:bookmarkStart w:id="525" w:name="_Toc18543"/>
      <w:bookmarkStart w:id="526" w:name="_Toc5579"/>
      <w:bookmarkStart w:id="527" w:name="_Toc30979"/>
      <w:bookmarkStart w:id="528" w:name="_Toc7245"/>
      <w:bookmarkStart w:id="529" w:name="_Toc5190"/>
      <w:bookmarkStart w:id="530" w:name="_Toc28487"/>
      <w:bookmarkStart w:id="531" w:name="_Toc7740"/>
      <w:bookmarkStart w:id="532" w:name="_Toc5576"/>
      <w:bookmarkStart w:id="533" w:name="_Toc29031"/>
      <w:bookmarkStart w:id="534" w:name="_Toc14568"/>
      <w:bookmarkStart w:id="535" w:name="_Toc32565"/>
      <w:bookmarkStart w:id="536" w:name="_Toc471482375"/>
      <w:bookmarkStart w:id="537" w:name="_Toc9093"/>
      <w:bookmarkStart w:id="538" w:name="_Toc20237"/>
      <w:bookmarkStart w:id="539" w:name="_Toc14401"/>
      <w:bookmarkStart w:id="540" w:name="_Toc17260"/>
      <w:bookmarkStart w:id="541" w:name="_Toc15054"/>
      <w:r>
        <w:rPr>
          <w:rFonts w:hint="eastAsia"/>
          <w:b/>
          <w:highlight w:val="none"/>
        </w:rPr>
        <w:t>二、总分计算公式</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spacing w:line="540" w:lineRule="exact"/>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总分即比选申请人评分综合得分，其计算公式：</w:t>
      </w:r>
    </w:p>
    <w:p>
      <w:pPr>
        <w:spacing w:line="540" w:lineRule="exact"/>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总分＝商务部分得分</w:t>
      </w:r>
      <w:r>
        <w:rPr>
          <w:rFonts w:ascii="宋体" w:hAnsi="宋体" w:cs="宋体"/>
          <w:sz w:val="28"/>
          <w:szCs w:val="28"/>
          <w:highlight w:val="none"/>
        </w:rPr>
        <w:t>+</w:t>
      </w:r>
      <w:r>
        <w:rPr>
          <w:rFonts w:hint="eastAsia" w:ascii="宋体" w:hAnsi="宋体" w:cs="宋体"/>
          <w:sz w:val="28"/>
          <w:szCs w:val="28"/>
          <w:highlight w:val="none"/>
        </w:rPr>
        <w:t>技术部分得分</w:t>
      </w:r>
    </w:p>
    <w:p>
      <w:pPr>
        <w:spacing w:line="480" w:lineRule="exact"/>
        <w:ind w:firstLine="560"/>
        <w:rPr>
          <w:rFonts w:ascii="宋体" w:cs="宋体"/>
          <w:sz w:val="28"/>
          <w:szCs w:val="28"/>
          <w:highlight w:val="none"/>
        </w:rPr>
      </w:pPr>
      <w:r>
        <w:rPr>
          <w:rFonts w:hint="eastAsia" w:ascii="宋体" w:hAnsi="宋体" w:cs="宋体"/>
          <w:sz w:val="28"/>
          <w:szCs w:val="28"/>
          <w:highlight w:val="none"/>
        </w:rPr>
        <w:t>注：各项指标的分数计算四舍五入，取小数点后两位。</w:t>
      </w:r>
    </w:p>
    <w:p>
      <w:pPr>
        <w:pStyle w:val="4"/>
        <w:spacing w:before="0" w:after="0" w:line="480" w:lineRule="exact"/>
        <w:rPr>
          <w:b/>
          <w:highlight w:val="none"/>
        </w:rPr>
      </w:pPr>
      <w:bookmarkStart w:id="542" w:name="_Toc15930"/>
      <w:bookmarkStart w:id="543" w:name="_Toc18027"/>
      <w:bookmarkStart w:id="544" w:name="_Toc471482376"/>
      <w:bookmarkStart w:id="545" w:name="_Toc26842"/>
      <w:bookmarkStart w:id="546" w:name="_Toc2392"/>
      <w:bookmarkStart w:id="547" w:name="_Toc10906"/>
      <w:bookmarkStart w:id="548" w:name="_Toc13406"/>
      <w:bookmarkStart w:id="549" w:name="_Toc28207"/>
      <w:bookmarkStart w:id="550" w:name="_Toc31078"/>
      <w:bookmarkStart w:id="551" w:name="_Toc11354"/>
      <w:bookmarkStart w:id="552" w:name="_Toc2613"/>
      <w:bookmarkStart w:id="553" w:name="_Toc10918"/>
      <w:bookmarkStart w:id="554" w:name="_Toc2553"/>
      <w:bookmarkStart w:id="555" w:name="_Toc5094"/>
      <w:bookmarkStart w:id="556" w:name="_Toc32296"/>
      <w:bookmarkStart w:id="557" w:name="_Toc2727"/>
      <w:bookmarkStart w:id="558" w:name="_Toc9696"/>
      <w:bookmarkStart w:id="559" w:name="_Toc25894"/>
      <w:r>
        <w:rPr>
          <w:rFonts w:hint="eastAsia"/>
          <w:b/>
          <w:highlight w:val="none"/>
        </w:rPr>
        <w:t>三、评分细则</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13"/>
        <w:spacing w:line="480" w:lineRule="exact"/>
        <w:rPr>
          <w:sz w:val="28"/>
          <w:szCs w:val="28"/>
          <w:highlight w:val="none"/>
        </w:rPr>
      </w:pPr>
      <w:bookmarkStart w:id="560" w:name="_Toc1358"/>
      <w:bookmarkStart w:id="561" w:name="_Toc15382"/>
      <w:bookmarkStart w:id="562" w:name="_Toc18752"/>
      <w:r>
        <w:rPr>
          <w:sz w:val="28"/>
          <w:szCs w:val="28"/>
          <w:highlight w:val="none"/>
        </w:rPr>
        <w:t>1.</w:t>
      </w:r>
      <w:r>
        <w:rPr>
          <w:rFonts w:hint="eastAsia"/>
          <w:sz w:val="28"/>
          <w:szCs w:val="28"/>
          <w:highlight w:val="none"/>
        </w:rPr>
        <w:t>商务部分评分细则（满分</w:t>
      </w:r>
      <w:r>
        <w:rPr>
          <w:rFonts w:hint="eastAsia"/>
          <w:sz w:val="28"/>
          <w:szCs w:val="28"/>
          <w:highlight w:val="none"/>
          <w:lang w:val="en-US" w:eastAsia="zh-CN"/>
        </w:rPr>
        <w:t>20</w:t>
      </w:r>
      <w:r>
        <w:rPr>
          <w:rFonts w:hint="eastAsia"/>
          <w:sz w:val="28"/>
          <w:szCs w:val="28"/>
          <w:highlight w:val="none"/>
        </w:rPr>
        <w:t>分）</w:t>
      </w:r>
      <w:bookmarkEnd w:id="560"/>
      <w:bookmarkEnd w:id="561"/>
      <w:bookmarkEnd w:id="562"/>
    </w:p>
    <w:tbl>
      <w:tblPr>
        <w:tblStyle w:val="25"/>
        <w:tblW w:w="83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209"/>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cs="宋体"/>
                <w:kern w:val="0"/>
                <w:sz w:val="24"/>
                <w:highlight w:val="none"/>
              </w:rPr>
            </w:pPr>
            <w:r>
              <w:rPr>
                <w:rFonts w:hint="eastAsia" w:ascii="宋体" w:hAnsi="宋体" w:cs="宋体"/>
                <w:kern w:val="0"/>
                <w:sz w:val="24"/>
                <w:highlight w:val="none"/>
              </w:rPr>
              <w:t>序号</w:t>
            </w:r>
          </w:p>
        </w:tc>
        <w:tc>
          <w:tcPr>
            <w:tcW w:w="2209" w:type="dxa"/>
            <w:vAlign w:val="center"/>
          </w:tcPr>
          <w:p>
            <w:pPr>
              <w:jc w:val="center"/>
              <w:rPr>
                <w:rFonts w:ascii="宋体" w:cs="宋体"/>
                <w:sz w:val="24"/>
                <w:highlight w:val="none"/>
              </w:rPr>
            </w:pPr>
            <w:r>
              <w:rPr>
                <w:rFonts w:hint="eastAsia" w:ascii="宋体" w:hAnsi="宋体" w:cs="宋体"/>
                <w:kern w:val="0"/>
                <w:sz w:val="24"/>
                <w:highlight w:val="none"/>
              </w:rPr>
              <w:t>评分因素</w:t>
            </w:r>
          </w:p>
        </w:tc>
        <w:tc>
          <w:tcPr>
            <w:tcW w:w="5358" w:type="dxa"/>
            <w:vAlign w:val="center"/>
          </w:tcPr>
          <w:p>
            <w:pPr>
              <w:jc w:val="center"/>
              <w:rPr>
                <w:rFonts w:ascii="宋体" w:cs="宋体"/>
                <w:sz w:val="24"/>
                <w:highlight w:val="none"/>
              </w:rPr>
            </w:pPr>
            <w:r>
              <w:rPr>
                <w:rFonts w:hint="eastAsia" w:ascii="宋体" w:hAnsi="宋体" w:cs="宋体"/>
                <w:kern w:val="0"/>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cs="宋体"/>
                <w:sz w:val="24"/>
                <w:highlight w:val="none"/>
              </w:rPr>
            </w:pPr>
            <w:r>
              <w:rPr>
                <w:rFonts w:ascii="宋体" w:hAnsi="宋体" w:cs="宋体"/>
                <w:kern w:val="0"/>
                <w:sz w:val="24"/>
                <w:highlight w:val="none"/>
              </w:rPr>
              <w:t>1</w:t>
            </w:r>
          </w:p>
        </w:tc>
        <w:tc>
          <w:tcPr>
            <w:tcW w:w="2209" w:type="dxa"/>
            <w:vAlign w:val="center"/>
          </w:tcPr>
          <w:p>
            <w:pPr>
              <w:jc w:val="center"/>
              <w:rPr>
                <w:rFonts w:ascii="宋体" w:cs="宋体"/>
                <w:kern w:val="0"/>
                <w:sz w:val="24"/>
                <w:highlight w:val="none"/>
              </w:rPr>
            </w:pPr>
            <w:r>
              <w:rPr>
                <w:rFonts w:hint="eastAsia" w:ascii="宋体" w:hAnsi="宋体" w:cs="宋体"/>
                <w:kern w:val="0"/>
                <w:sz w:val="24"/>
                <w:highlight w:val="none"/>
              </w:rPr>
              <w:t>本项目报价评分</w:t>
            </w:r>
          </w:p>
          <w:p>
            <w:pPr>
              <w:jc w:val="center"/>
              <w:rPr>
                <w:rFonts w:ascii="宋体" w:cs="宋体"/>
                <w:kern w:val="0"/>
                <w:sz w:val="24"/>
                <w:highlight w:val="none"/>
              </w:rPr>
            </w:pPr>
            <w:r>
              <w:rPr>
                <w:rFonts w:hint="eastAsia" w:ascii="宋体" w:hAnsi="宋体" w:cs="宋体"/>
                <w:kern w:val="0"/>
                <w:sz w:val="24"/>
                <w:highlight w:val="none"/>
              </w:rPr>
              <w:t>（满分</w:t>
            </w:r>
            <w:r>
              <w:rPr>
                <w:rFonts w:hint="eastAsia" w:ascii="宋体" w:hAnsi="宋体" w:cs="宋体"/>
                <w:kern w:val="0"/>
                <w:sz w:val="24"/>
                <w:highlight w:val="none"/>
                <w:lang w:val="en-US" w:eastAsia="zh-CN"/>
              </w:rPr>
              <w:t>20</w:t>
            </w:r>
            <w:r>
              <w:rPr>
                <w:rFonts w:hint="eastAsia" w:ascii="宋体" w:hAnsi="宋体" w:cs="宋体"/>
                <w:kern w:val="0"/>
                <w:sz w:val="24"/>
                <w:highlight w:val="none"/>
              </w:rPr>
              <w:t>分）</w:t>
            </w:r>
          </w:p>
        </w:tc>
        <w:tc>
          <w:tcPr>
            <w:tcW w:w="5358" w:type="dxa"/>
            <w:vAlign w:val="center"/>
          </w:tcPr>
          <w:p>
            <w:pPr>
              <w:ind w:firstLine="482" w:firstLineChars="200"/>
              <w:jc w:val="left"/>
              <w:rPr>
                <w:rFonts w:ascii="宋体"/>
                <w:b/>
                <w:kern w:val="0"/>
                <w:sz w:val="24"/>
                <w:highlight w:val="none"/>
              </w:rPr>
            </w:pPr>
            <w:r>
              <w:rPr>
                <w:rFonts w:hint="eastAsia" w:ascii="宋体" w:hAnsi="宋体"/>
                <w:b/>
                <w:kern w:val="0"/>
                <w:sz w:val="24"/>
                <w:highlight w:val="none"/>
              </w:rPr>
              <w:t>比选申请人价格大于上控价时比选申请文件作无效处理。</w:t>
            </w:r>
          </w:p>
          <w:p>
            <w:pPr>
              <w:ind w:firstLine="480" w:firstLineChars="200"/>
              <w:jc w:val="left"/>
              <w:rPr>
                <w:rFonts w:ascii="宋体"/>
                <w:sz w:val="24"/>
                <w:highlight w:val="none"/>
              </w:rPr>
            </w:pPr>
            <w:r>
              <w:rPr>
                <w:rFonts w:hint="eastAsia" w:ascii="宋体" w:hAnsi="宋体"/>
                <w:kern w:val="0"/>
                <w:sz w:val="24"/>
                <w:highlight w:val="none"/>
              </w:rPr>
              <w:t>当比选申请人价格小于或者等于上控价时，资格审查合格的有效报价投标人在</w:t>
            </w:r>
            <w:r>
              <w:rPr>
                <w:rFonts w:ascii="宋体" w:hAnsi="宋体"/>
                <w:kern w:val="0"/>
                <w:sz w:val="24"/>
                <w:highlight w:val="none"/>
              </w:rPr>
              <w:t>5</w:t>
            </w:r>
            <w:r>
              <w:rPr>
                <w:rFonts w:hint="eastAsia" w:ascii="宋体" w:hAnsi="宋体"/>
                <w:kern w:val="0"/>
                <w:sz w:val="24"/>
                <w:highlight w:val="none"/>
              </w:rPr>
              <w:t>家以上（不含</w:t>
            </w:r>
            <w:r>
              <w:rPr>
                <w:rFonts w:ascii="宋体" w:hAnsi="宋体"/>
                <w:kern w:val="0"/>
                <w:sz w:val="24"/>
                <w:highlight w:val="none"/>
              </w:rPr>
              <w:t>5</w:t>
            </w:r>
            <w:r>
              <w:rPr>
                <w:rFonts w:hint="eastAsia" w:ascii="宋体" w:hAnsi="宋体"/>
                <w:kern w:val="0"/>
                <w:sz w:val="24"/>
                <w:highlight w:val="none"/>
              </w:rPr>
              <w:t>家）的，将去掉最高和最低有效报价后，取有效报价的算术平均值作</w:t>
            </w:r>
            <w:r>
              <w:rPr>
                <w:rFonts w:hint="eastAsia" w:ascii="宋体" w:hAnsi="宋体"/>
                <w:sz w:val="24"/>
                <w:highlight w:val="none"/>
              </w:rPr>
              <w:t>为评审基准价；资格审查合格的投标人在</w:t>
            </w:r>
            <w:r>
              <w:rPr>
                <w:rFonts w:ascii="宋体" w:hAnsi="宋体"/>
                <w:sz w:val="24"/>
                <w:highlight w:val="none"/>
              </w:rPr>
              <w:t>5</w:t>
            </w:r>
            <w:r>
              <w:rPr>
                <w:rFonts w:hint="eastAsia" w:ascii="宋体" w:hAnsi="宋体"/>
                <w:sz w:val="24"/>
                <w:highlight w:val="none"/>
              </w:rPr>
              <w:t>家以下（含</w:t>
            </w:r>
            <w:r>
              <w:rPr>
                <w:rFonts w:ascii="宋体" w:hAnsi="宋体"/>
                <w:sz w:val="24"/>
                <w:highlight w:val="none"/>
              </w:rPr>
              <w:t>5</w:t>
            </w:r>
            <w:r>
              <w:rPr>
                <w:rFonts w:hint="eastAsia" w:ascii="宋体" w:hAnsi="宋体"/>
                <w:sz w:val="24"/>
                <w:highlight w:val="none"/>
              </w:rPr>
              <w:t>家）的，</w:t>
            </w:r>
            <w:r>
              <w:rPr>
                <w:rFonts w:hint="eastAsia" w:ascii="宋体" w:hAnsi="宋体"/>
                <w:kern w:val="0"/>
                <w:sz w:val="24"/>
                <w:highlight w:val="none"/>
              </w:rPr>
              <w:t>取有效报价的算术平均值作</w:t>
            </w:r>
            <w:r>
              <w:rPr>
                <w:rFonts w:hint="eastAsia" w:ascii="宋体" w:hAnsi="宋体"/>
                <w:sz w:val="24"/>
                <w:highlight w:val="none"/>
              </w:rPr>
              <w:t>为评审基准价。</w:t>
            </w:r>
            <w:r>
              <w:rPr>
                <w:rFonts w:ascii="宋体" w:hAnsi="宋体"/>
                <w:sz w:val="24"/>
                <w:highlight w:val="none"/>
              </w:rPr>
              <w:t xml:space="preserve"> </w:t>
            </w:r>
          </w:p>
          <w:p>
            <w:pPr>
              <w:ind w:firstLine="480" w:firstLineChars="200"/>
              <w:jc w:val="left"/>
              <w:rPr>
                <w:rFonts w:ascii="宋体"/>
                <w:sz w:val="24"/>
                <w:highlight w:val="none"/>
              </w:rPr>
            </w:pPr>
            <w:r>
              <w:rPr>
                <w:rFonts w:hint="eastAsia" w:ascii="宋体" w:hAnsi="宋体"/>
                <w:sz w:val="24"/>
                <w:highlight w:val="none"/>
              </w:rPr>
              <w:t>评审时以经评审的基准价为最高分，采用内插法计算，投标人报价每高于基准价</w:t>
            </w:r>
            <w:r>
              <w:rPr>
                <w:rFonts w:ascii="宋体" w:hAnsi="宋体"/>
                <w:sz w:val="24"/>
                <w:highlight w:val="none"/>
              </w:rPr>
              <w:t>1</w:t>
            </w:r>
            <w:r>
              <w:rPr>
                <w:rFonts w:hint="eastAsia" w:ascii="宋体" w:hAnsi="宋体"/>
                <w:sz w:val="24"/>
                <w:highlight w:val="none"/>
              </w:rPr>
              <w:t>％的扣</w:t>
            </w:r>
            <w:r>
              <w:rPr>
                <w:rFonts w:ascii="宋体" w:hAnsi="宋体"/>
                <w:sz w:val="24"/>
                <w:highlight w:val="none"/>
              </w:rPr>
              <w:t>1</w:t>
            </w:r>
            <w:r>
              <w:rPr>
                <w:rFonts w:hint="eastAsia" w:ascii="宋体" w:hAnsi="宋体"/>
                <w:sz w:val="24"/>
                <w:highlight w:val="none"/>
              </w:rPr>
              <w:t>分，每低于基准价</w:t>
            </w:r>
            <w:r>
              <w:rPr>
                <w:rFonts w:ascii="宋体" w:hAnsi="宋体"/>
                <w:sz w:val="24"/>
                <w:highlight w:val="none"/>
              </w:rPr>
              <w:t>1</w:t>
            </w:r>
            <w:r>
              <w:rPr>
                <w:rFonts w:hint="eastAsia" w:ascii="宋体" w:hAnsi="宋体"/>
                <w:sz w:val="24"/>
                <w:highlight w:val="none"/>
              </w:rPr>
              <w:t>％的扣</w:t>
            </w:r>
            <w:r>
              <w:rPr>
                <w:rFonts w:ascii="宋体" w:hAnsi="宋体"/>
                <w:sz w:val="24"/>
                <w:highlight w:val="none"/>
              </w:rPr>
              <w:t>0.5</w:t>
            </w:r>
            <w:r>
              <w:rPr>
                <w:rFonts w:hint="eastAsia" w:ascii="宋体" w:hAnsi="宋体"/>
                <w:sz w:val="24"/>
                <w:highlight w:val="none"/>
              </w:rPr>
              <w:t>分，扣完即止。</w:t>
            </w:r>
          </w:p>
        </w:tc>
      </w:tr>
    </w:tbl>
    <w:p>
      <w:pPr>
        <w:spacing w:line="500" w:lineRule="exact"/>
        <w:jc w:val="left"/>
        <w:rPr>
          <w:rFonts w:hint="eastAsia" w:ascii="宋体" w:hAnsi="宋体" w:eastAsia="宋体" w:cs="宋体"/>
          <w:sz w:val="28"/>
          <w:szCs w:val="28"/>
          <w:highlight w:val="none"/>
          <w:u w:val="single"/>
        </w:rPr>
      </w:pPr>
      <w:r>
        <w:rPr>
          <w:rFonts w:hint="eastAsia" w:ascii="宋体" w:hAnsi="宋体" w:cs="宋体"/>
          <w:sz w:val="28"/>
          <w:szCs w:val="28"/>
          <w:highlight w:val="none"/>
          <w:u w:val="none"/>
        </w:rPr>
        <w:t>注：</w:t>
      </w:r>
      <w:r>
        <w:rPr>
          <w:rFonts w:hint="eastAsia" w:ascii="宋体" w:hAnsi="宋体" w:eastAsia="宋体" w:cs="宋体"/>
          <w:sz w:val="28"/>
          <w:szCs w:val="28"/>
          <w:highlight w:val="none"/>
          <w:u w:val="single"/>
        </w:rPr>
        <w:t>1.</w:t>
      </w:r>
      <w:r>
        <w:rPr>
          <w:rFonts w:hint="eastAsia" w:ascii="宋体" w:hAnsi="宋体" w:eastAsia="宋体" w:cs="宋体"/>
          <w:kern w:val="0"/>
          <w:sz w:val="28"/>
          <w:szCs w:val="28"/>
          <w:highlight w:val="none"/>
          <w:u w:val="single"/>
        </w:rPr>
        <w:t>按四舍五入取小数点后两位。</w:t>
      </w:r>
    </w:p>
    <w:p>
      <w:pPr>
        <w:spacing w:line="500" w:lineRule="exact"/>
        <w:ind w:firstLine="560" w:firstLineChars="200"/>
        <w:jc w:val="left"/>
        <w:rPr>
          <w:rFonts w:ascii="宋体" w:cs="宋体"/>
          <w:sz w:val="28"/>
          <w:szCs w:val="28"/>
          <w:highlight w:val="none"/>
          <w:u w:val="single"/>
        </w:rPr>
      </w:pPr>
      <w:r>
        <w:rPr>
          <w:rFonts w:ascii="宋体" w:hAnsi="宋体" w:cs="宋体"/>
          <w:sz w:val="28"/>
          <w:szCs w:val="28"/>
          <w:highlight w:val="none"/>
          <w:u w:val="single"/>
        </w:rPr>
        <w:t>2.</w:t>
      </w:r>
      <w:r>
        <w:rPr>
          <w:rFonts w:hint="eastAsia" w:ascii="宋体" w:hAnsi="宋体" w:cs="宋体"/>
          <w:sz w:val="28"/>
          <w:szCs w:val="28"/>
          <w:highlight w:val="none"/>
          <w:u w:val="single"/>
        </w:rPr>
        <w:t>以不含税报价作为评审基准价以及评分的确定依据。</w:t>
      </w:r>
    </w:p>
    <w:p>
      <w:pPr>
        <w:jc w:val="left"/>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技术部分评分细则（满分</w:t>
      </w:r>
      <w:r>
        <w:rPr>
          <w:rFonts w:hint="eastAsia" w:ascii="宋体" w:hAnsi="宋体" w:cs="宋体"/>
          <w:sz w:val="28"/>
          <w:szCs w:val="28"/>
          <w:highlight w:val="none"/>
          <w:lang w:val="en-US" w:eastAsia="zh-CN"/>
        </w:rPr>
        <w:t>80</w:t>
      </w:r>
      <w:r>
        <w:rPr>
          <w:rFonts w:hint="eastAsia" w:ascii="宋体" w:hAnsi="宋体" w:cs="宋体"/>
          <w:sz w:val="28"/>
          <w:szCs w:val="28"/>
          <w:highlight w:val="none"/>
        </w:rPr>
        <w:t>分）</w:t>
      </w:r>
    </w:p>
    <w:tbl>
      <w:tblPr>
        <w:tblStyle w:val="25"/>
        <w:tblW w:w="8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2070"/>
        <w:gridCol w:w="4305"/>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731" w:type="dxa"/>
            <w:vAlign w:val="center"/>
          </w:tcPr>
          <w:p>
            <w:pPr>
              <w:jc w:val="center"/>
              <w:rPr>
                <w:rFonts w:ascii="宋体" w:cs="宋体"/>
                <w:sz w:val="24"/>
                <w:highlight w:val="none"/>
              </w:rPr>
            </w:pPr>
            <w:r>
              <w:rPr>
                <w:rFonts w:hint="eastAsia" w:ascii="宋体" w:hAnsi="宋体" w:cs="宋体"/>
                <w:sz w:val="24"/>
                <w:highlight w:val="none"/>
              </w:rPr>
              <w:t>序号</w:t>
            </w:r>
          </w:p>
        </w:tc>
        <w:tc>
          <w:tcPr>
            <w:tcW w:w="2070" w:type="dxa"/>
            <w:vAlign w:val="center"/>
          </w:tcPr>
          <w:p>
            <w:pPr>
              <w:jc w:val="center"/>
              <w:rPr>
                <w:rFonts w:ascii="宋体" w:cs="宋体"/>
                <w:sz w:val="24"/>
                <w:highlight w:val="none"/>
              </w:rPr>
            </w:pPr>
            <w:r>
              <w:rPr>
                <w:rFonts w:hint="eastAsia" w:ascii="宋体" w:hAnsi="宋体" w:cs="宋体"/>
                <w:sz w:val="24"/>
                <w:highlight w:val="none"/>
              </w:rPr>
              <w:t>评分因素</w:t>
            </w:r>
          </w:p>
        </w:tc>
        <w:tc>
          <w:tcPr>
            <w:tcW w:w="5655" w:type="dxa"/>
            <w:gridSpan w:val="2"/>
            <w:vAlign w:val="center"/>
          </w:tcPr>
          <w:p>
            <w:pPr>
              <w:jc w:val="center"/>
              <w:rPr>
                <w:rFonts w:ascii="宋体" w:cs="宋体"/>
                <w:sz w:val="24"/>
                <w:highlight w:val="none"/>
              </w:rPr>
            </w:pPr>
            <w:r>
              <w:rPr>
                <w:rFonts w:hint="eastAsia" w:ascii="宋体" w:hAnsi="宋体" w:cs="宋体"/>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731" w:type="dxa"/>
            <w:vAlign w:val="center"/>
          </w:tcPr>
          <w:p>
            <w:pPr>
              <w:jc w:val="center"/>
              <w:rPr>
                <w:rFonts w:ascii="宋体" w:cs="宋体"/>
                <w:kern w:val="0"/>
                <w:sz w:val="24"/>
                <w:highlight w:val="none"/>
              </w:rPr>
            </w:pPr>
            <w:r>
              <w:rPr>
                <w:rFonts w:ascii="宋体" w:hAnsi="宋体" w:cs="宋体"/>
                <w:kern w:val="0"/>
                <w:sz w:val="24"/>
                <w:highlight w:val="none"/>
              </w:rPr>
              <w:t>1</w:t>
            </w:r>
          </w:p>
        </w:tc>
        <w:tc>
          <w:tcPr>
            <w:tcW w:w="2070" w:type="dxa"/>
            <w:vAlign w:val="center"/>
          </w:tcPr>
          <w:p>
            <w:pPr>
              <w:jc w:val="center"/>
              <w:rPr>
                <w:rFonts w:ascii="宋体" w:cs="宋体"/>
                <w:kern w:val="0"/>
                <w:sz w:val="24"/>
                <w:highlight w:val="none"/>
              </w:rPr>
            </w:pPr>
            <w:r>
              <w:rPr>
                <w:rFonts w:hint="eastAsia" w:ascii="宋体" w:hAnsi="宋体" w:cs="宋体"/>
                <w:kern w:val="0"/>
                <w:sz w:val="24"/>
                <w:highlight w:val="none"/>
              </w:rPr>
              <w:t>业绩表</w:t>
            </w:r>
          </w:p>
          <w:p>
            <w:pPr>
              <w:jc w:val="center"/>
              <w:rPr>
                <w:rFonts w:ascii="宋体" w:cs="宋体"/>
                <w:kern w:val="0"/>
                <w:sz w:val="24"/>
                <w:highlight w:val="none"/>
              </w:rPr>
            </w:pPr>
            <w:r>
              <w:rPr>
                <w:rFonts w:hint="eastAsia" w:ascii="宋体" w:hAnsi="宋体" w:cs="宋体"/>
                <w:kern w:val="0"/>
                <w:sz w:val="24"/>
                <w:highlight w:val="none"/>
              </w:rPr>
              <w:t>（满分</w:t>
            </w:r>
            <w:r>
              <w:rPr>
                <w:rFonts w:ascii="宋体" w:hAnsi="宋体" w:cs="宋体"/>
                <w:kern w:val="0"/>
                <w:sz w:val="24"/>
                <w:highlight w:val="none"/>
              </w:rPr>
              <w:t xml:space="preserve"> </w:t>
            </w:r>
            <w:r>
              <w:rPr>
                <w:rFonts w:hint="eastAsia" w:ascii="宋体" w:hAnsi="宋体" w:cs="宋体"/>
                <w:kern w:val="0"/>
                <w:sz w:val="24"/>
                <w:highlight w:val="none"/>
                <w:lang w:val="en-US" w:eastAsia="zh-CN"/>
              </w:rPr>
              <w:t>10</w:t>
            </w:r>
            <w:r>
              <w:rPr>
                <w:rFonts w:hint="eastAsia" w:ascii="宋体" w:hAnsi="宋体" w:cs="宋体"/>
                <w:kern w:val="0"/>
                <w:sz w:val="24"/>
                <w:highlight w:val="none"/>
              </w:rPr>
              <w:t>分）</w:t>
            </w:r>
          </w:p>
        </w:tc>
        <w:tc>
          <w:tcPr>
            <w:tcW w:w="5655" w:type="dxa"/>
            <w:gridSpan w:val="2"/>
            <w:vAlign w:val="center"/>
          </w:tcPr>
          <w:p>
            <w:pPr>
              <w:jc w:val="left"/>
              <w:rPr>
                <w:rFonts w:ascii="宋体" w:cs="宋体"/>
                <w:sz w:val="24"/>
                <w:highlight w:val="none"/>
              </w:rPr>
            </w:pPr>
            <w:r>
              <w:rPr>
                <w:rFonts w:ascii="宋体" w:hAnsi="宋体" w:cs="宋体"/>
                <w:sz w:val="24"/>
                <w:highlight w:val="none"/>
                <w:u w:val="single"/>
              </w:rPr>
              <w:t>2018</w:t>
            </w:r>
            <w:r>
              <w:rPr>
                <w:rFonts w:hint="eastAsia" w:ascii="宋体" w:hAnsi="宋体" w:cs="宋体"/>
                <w:sz w:val="24"/>
                <w:highlight w:val="none"/>
              </w:rPr>
              <w:t>年</w:t>
            </w:r>
            <w:r>
              <w:rPr>
                <w:rFonts w:ascii="宋体" w:hAnsi="宋体" w:cs="宋体"/>
                <w:sz w:val="24"/>
                <w:highlight w:val="none"/>
              </w:rPr>
              <w:t>1</w:t>
            </w:r>
            <w:r>
              <w:rPr>
                <w:rFonts w:hint="eastAsia" w:ascii="宋体" w:hAnsi="宋体" w:cs="宋体"/>
                <w:sz w:val="24"/>
                <w:highlight w:val="none"/>
              </w:rPr>
              <w:t>月</w:t>
            </w:r>
            <w:r>
              <w:rPr>
                <w:rFonts w:ascii="宋体" w:hAnsi="宋体" w:cs="宋体"/>
                <w:sz w:val="24"/>
                <w:highlight w:val="none"/>
              </w:rPr>
              <w:t>1</w:t>
            </w:r>
            <w:r>
              <w:rPr>
                <w:rFonts w:hint="eastAsia" w:ascii="宋体" w:hAnsi="宋体" w:cs="宋体"/>
                <w:sz w:val="24"/>
                <w:highlight w:val="none"/>
              </w:rPr>
              <w:t>日至今，对与本项目相关或相近的服务经验，以提供合同复印件（体现合同对方名称</w:t>
            </w:r>
            <w:r>
              <w:rPr>
                <w:rFonts w:ascii="宋体" w:hAnsi="宋体" w:cs="宋体"/>
                <w:sz w:val="24"/>
                <w:highlight w:val="none"/>
              </w:rPr>
              <w:t>/</w:t>
            </w:r>
            <w:r>
              <w:rPr>
                <w:rFonts w:hint="eastAsia" w:ascii="宋体" w:hAnsi="宋体" w:cs="宋体"/>
                <w:sz w:val="24"/>
                <w:highlight w:val="none"/>
              </w:rPr>
              <w:t>签订时间</w:t>
            </w:r>
            <w:r>
              <w:rPr>
                <w:rFonts w:ascii="宋体" w:hAnsi="宋体" w:cs="宋体"/>
                <w:sz w:val="24"/>
                <w:highlight w:val="none"/>
              </w:rPr>
              <w:t>/</w:t>
            </w:r>
            <w:r>
              <w:rPr>
                <w:rFonts w:hint="eastAsia" w:ascii="宋体" w:hAnsi="宋体" w:cs="宋体"/>
                <w:sz w:val="24"/>
                <w:highlight w:val="none"/>
                <w:lang w:val="en-US" w:eastAsia="zh-CN"/>
              </w:rPr>
              <w:t>审计</w:t>
            </w:r>
            <w:r>
              <w:rPr>
                <w:rFonts w:hint="eastAsia" w:ascii="宋体" w:hAnsi="宋体" w:cs="宋体"/>
                <w:sz w:val="24"/>
                <w:highlight w:val="none"/>
              </w:rPr>
              <w:t>内容，涉及商业秘密的内容可以隐去）证明材料为准。不附</w:t>
            </w:r>
            <w:r>
              <w:rPr>
                <w:rFonts w:hint="eastAsia" w:ascii="宋体" w:hAnsi="宋体" w:cs="宋体"/>
                <w:sz w:val="24"/>
                <w:highlight w:val="none"/>
                <w:lang w:val="en-US" w:eastAsia="zh-CN"/>
              </w:rPr>
              <w:t>审计</w:t>
            </w:r>
            <w:r>
              <w:rPr>
                <w:rFonts w:hint="eastAsia" w:ascii="宋体" w:hAnsi="宋体" w:cs="宋体"/>
                <w:sz w:val="24"/>
                <w:highlight w:val="none"/>
              </w:rPr>
              <w:t>内容或内容要求不明确的不算业绩，该项分值最高为</w:t>
            </w:r>
            <w:r>
              <w:rPr>
                <w:rFonts w:hint="eastAsia" w:ascii="宋体" w:hAnsi="宋体" w:cs="宋体"/>
                <w:sz w:val="24"/>
                <w:highlight w:val="none"/>
                <w:lang w:val="en-US" w:eastAsia="zh-CN"/>
              </w:rPr>
              <w:t>10</w:t>
            </w:r>
            <w:r>
              <w:rPr>
                <w:rFonts w:hint="eastAsia" w:ascii="宋体" w:hAnsi="宋体" w:cs="宋体"/>
                <w:sz w:val="24"/>
                <w:highlight w:val="none"/>
              </w:rPr>
              <w:t>分</w:t>
            </w:r>
            <w:r>
              <w:rPr>
                <w:rFonts w:hint="eastAsia" w:ascii="宋体" w:hAnsi="宋体" w:cs="宋体"/>
                <w:sz w:val="24"/>
                <w:highlight w:val="none"/>
                <w:lang w:eastAsia="zh-CN"/>
              </w:rPr>
              <w:t>，</w:t>
            </w:r>
            <w:r>
              <w:rPr>
                <w:rFonts w:hint="eastAsia" w:ascii="宋体" w:hAnsi="宋体" w:cs="宋体"/>
                <w:sz w:val="24"/>
                <w:highlight w:val="none"/>
                <w:lang w:val="en-US" w:eastAsia="zh-CN"/>
              </w:rPr>
              <w:t>其中：国有企业物资管理或资产管理内控建设及执行情况专项审计业绩</w:t>
            </w:r>
            <w:r>
              <w:rPr>
                <w:rFonts w:hint="eastAsia" w:ascii="宋体" w:hAnsi="宋体" w:cs="宋体"/>
                <w:sz w:val="24"/>
                <w:highlight w:val="none"/>
                <w:shd w:val="clear"/>
              </w:rPr>
              <w:t>每个</w:t>
            </w:r>
            <w:r>
              <w:rPr>
                <w:rFonts w:hint="eastAsia" w:ascii="宋体" w:hAnsi="宋体" w:cs="宋体"/>
                <w:sz w:val="24"/>
                <w:highlight w:val="none"/>
                <w:shd w:val="clear"/>
                <w:lang w:val="en-US" w:eastAsia="zh-CN"/>
              </w:rPr>
              <w:t>2</w:t>
            </w:r>
            <w:r>
              <w:rPr>
                <w:rFonts w:hint="eastAsia" w:ascii="宋体" w:hAnsi="宋体" w:cs="宋体"/>
                <w:sz w:val="24"/>
                <w:highlight w:val="none"/>
                <w:shd w:val="clear"/>
              </w:rPr>
              <w:t>分</w:t>
            </w:r>
            <w:r>
              <w:rPr>
                <w:rFonts w:hint="eastAsia" w:ascii="宋体" w:hAnsi="宋体" w:cs="宋体"/>
                <w:sz w:val="24"/>
                <w:highlight w:val="none"/>
                <w:shd w:val="clear"/>
                <w:lang w:val="en-US" w:eastAsia="zh-CN"/>
              </w:rPr>
              <w:t>；其他内控建设及执行情况专项审计业绩每个1分（该类业绩得分上限4分）</w:t>
            </w:r>
            <w:r>
              <w:rPr>
                <w:rFonts w:hint="eastAsia" w:ascii="宋体" w:hAnsi="宋体" w:cs="宋体"/>
                <w:sz w:val="24"/>
                <w:highlight w:val="none"/>
                <w:shd w:val="cle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731" w:type="dxa"/>
            <w:vMerge w:val="restart"/>
            <w:vAlign w:val="center"/>
          </w:tcPr>
          <w:p>
            <w:pPr>
              <w:jc w:val="center"/>
              <w:rPr>
                <w:rFonts w:ascii="宋体" w:cs="宋体"/>
                <w:kern w:val="0"/>
                <w:sz w:val="24"/>
                <w:highlight w:val="none"/>
              </w:rPr>
            </w:pPr>
            <w:r>
              <w:rPr>
                <w:rFonts w:ascii="宋体" w:hAnsi="宋体" w:cs="宋体"/>
                <w:kern w:val="0"/>
                <w:sz w:val="24"/>
                <w:highlight w:val="none"/>
              </w:rPr>
              <w:t>2</w:t>
            </w:r>
          </w:p>
        </w:tc>
        <w:tc>
          <w:tcPr>
            <w:tcW w:w="2070" w:type="dxa"/>
            <w:vMerge w:val="restart"/>
            <w:vAlign w:val="center"/>
          </w:tcPr>
          <w:p>
            <w:pPr>
              <w:jc w:val="center"/>
              <w:rPr>
                <w:rFonts w:ascii="宋体" w:cs="宋体"/>
                <w:kern w:val="0"/>
                <w:sz w:val="24"/>
                <w:highlight w:val="none"/>
              </w:rPr>
            </w:pPr>
            <w:r>
              <w:rPr>
                <w:rFonts w:hint="eastAsia" w:ascii="宋体" w:hAnsi="宋体" w:cs="宋体"/>
                <w:kern w:val="0"/>
                <w:sz w:val="24"/>
                <w:highlight w:val="none"/>
              </w:rPr>
              <w:t>拟投入人员的相关工作业绩、资历及能力</w:t>
            </w:r>
          </w:p>
          <w:p>
            <w:pPr>
              <w:jc w:val="center"/>
              <w:rPr>
                <w:rFonts w:ascii="宋体" w:cs="宋体"/>
                <w:kern w:val="0"/>
                <w:sz w:val="24"/>
                <w:highlight w:val="none"/>
              </w:rPr>
            </w:pPr>
            <w:r>
              <w:rPr>
                <w:rFonts w:hint="eastAsia" w:ascii="宋体" w:hAnsi="宋体" w:cs="宋体"/>
                <w:kern w:val="0"/>
                <w:sz w:val="24"/>
                <w:highlight w:val="none"/>
              </w:rPr>
              <w:t>（满分</w:t>
            </w:r>
            <w:r>
              <w:rPr>
                <w:rFonts w:hint="eastAsia" w:ascii="宋体" w:hAnsi="宋体" w:cs="宋体"/>
                <w:kern w:val="0"/>
                <w:sz w:val="24"/>
                <w:highlight w:val="none"/>
                <w:lang w:val="en-US" w:eastAsia="zh-CN"/>
              </w:rPr>
              <w:t>40</w:t>
            </w:r>
            <w:r>
              <w:rPr>
                <w:rFonts w:hint="eastAsia" w:ascii="宋体" w:hAnsi="宋体" w:cs="宋体"/>
                <w:kern w:val="0"/>
                <w:sz w:val="24"/>
                <w:highlight w:val="none"/>
              </w:rPr>
              <w:t>分）</w:t>
            </w:r>
          </w:p>
        </w:tc>
        <w:tc>
          <w:tcPr>
            <w:tcW w:w="4305" w:type="dxa"/>
            <w:vAlign w:val="center"/>
          </w:tcPr>
          <w:p>
            <w:pPr>
              <w:jc w:val="left"/>
              <w:rPr>
                <w:rFonts w:ascii="宋体" w:cs="宋体"/>
                <w:sz w:val="24"/>
                <w:highlight w:val="none"/>
              </w:rPr>
            </w:pPr>
            <w:r>
              <w:rPr>
                <w:rFonts w:hint="eastAsia"/>
                <w:sz w:val="24"/>
                <w:highlight w:val="none"/>
              </w:rPr>
              <w:t>项</w:t>
            </w:r>
            <w:r>
              <w:rPr>
                <w:rFonts w:hint="eastAsia" w:ascii="宋体" w:hAnsi="宋体"/>
                <w:sz w:val="24"/>
                <w:highlight w:val="none"/>
              </w:rPr>
              <w:t>目现场负责人</w:t>
            </w:r>
            <w:r>
              <w:rPr>
                <w:rFonts w:hint="eastAsia" w:ascii="宋体" w:hAnsi="宋体"/>
                <w:sz w:val="24"/>
                <w:highlight w:val="none"/>
                <w:u w:val="single"/>
              </w:rPr>
              <w:t>（项目现场负责人不予更换，否则终止合同）</w:t>
            </w:r>
            <w:r>
              <w:rPr>
                <w:rFonts w:hint="eastAsia" w:ascii="宋体" w:hAnsi="宋体"/>
                <w:sz w:val="24"/>
                <w:highlight w:val="none"/>
              </w:rPr>
              <w:t>持有注册会计师执业证书并具有</w:t>
            </w:r>
            <w:r>
              <w:rPr>
                <w:rFonts w:ascii="宋体" w:hAnsi="宋体"/>
                <w:sz w:val="24"/>
                <w:highlight w:val="none"/>
                <w:u w:val="single"/>
              </w:rPr>
              <w:t xml:space="preserve"> 8 </w:t>
            </w:r>
            <w:r>
              <w:rPr>
                <w:rFonts w:hint="eastAsia" w:ascii="宋体" w:hAnsi="宋体"/>
                <w:sz w:val="24"/>
                <w:highlight w:val="none"/>
              </w:rPr>
              <w:t>年（含）以上会计师事务所注册会计师执业工作经验得</w:t>
            </w:r>
            <w:r>
              <w:rPr>
                <w:rFonts w:ascii="宋体" w:hAnsi="宋体"/>
                <w:sz w:val="24"/>
                <w:highlight w:val="none"/>
                <w:u w:val="single"/>
              </w:rPr>
              <w:t xml:space="preserve"> </w:t>
            </w:r>
            <w:r>
              <w:rPr>
                <w:rFonts w:hint="eastAsia" w:ascii="宋体" w:hAnsi="宋体"/>
                <w:sz w:val="24"/>
                <w:highlight w:val="none"/>
                <w:u w:val="single"/>
                <w:lang w:val="en-US" w:eastAsia="zh-CN"/>
              </w:rPr>
              <w:t>15</w:t>
            </w:r>
            <w:r>
              <w:rPr>
                <w:rFonts w:ascii="宋体" w:hAnsi="宋体"/>
                <w:sz w:val="24"/>
                <w:highlight w:val="none"/>
                <w:u w:val="single"/>
              </w:rPr>
              <w:t xml:space="preserve"> </w:t>
            </w:r>
            <w:r>
              <w:rPr>
                <w:rFonts w:hint="eastAsia" w:ascii="宋体" w:hAnsi="宋体"/>
                <w:sz w:val="24"/>
                <w:highlight w:val="none"/>
              </w:rPr>
              <w:t>分；持有注册会计师执业证书并具有</w:t>
            </w:r>
            <w:r>
              <w:rPr>
                <w:rFonts w:ascii="宋体" w:hAnsi="宋体"/>
                <w:sz w:val="24"/>
                <w:highlight w:val="none"/>
                <w:u w:val="single"/>
              </w:rPr>
              <w:t xml:space="preserve"> 5 </w:t>
            </w:r>
            <w:r>
              <w:rPr>
                <w:rFonts w:hint="eastAsia" w:ascii="宋体" w:hAnsi="宋体"/>
                <w:sz w:val="24"/>
                <w:highlight w:val="none"/>
              </w:rPr>
              <w:t>年（含）以上会计师事务所注册会计师执业工作经验得</w:t>
            </w:r>
            <w:r>
              <w:rPr>
                <w:rFonts w:hint="eastAsia" w:ascii="宋体" w:hAnsi="宋体"/>
                <w:sz w:val="24"/>
                <w:highlight w:val="none"/>
                <w:u w:val="single"/>
                <w:lang w:val="en-US" w:eastAsia="zh-CN"/>
              </w:rPr>
              <w:t xml:space="preserve"> </w:t>
            </w:r>
            <w:r>
              <w:rPr>
                <w:rFonts w:ascii="宋体" w:hAnsi="宋体"/>
                <w:sz w:val="24"/>
                <w:highlight w:val="none"/>
                <w:u w:val="single"/>
              </w:rPr>
              <w:t xml:space="preserve">8 </w:t>
            </w:r>
            <w:r>
              <w:rPr>
                <w:rFonts w:hint="eastAsia" w:ascii="宋体" w:hAnsi="宋体"/>
                <w:sz w:val="24"/>
                <w:highlight w:val="none"/>
              </w:rPr>
              <w:t>分；其他为</w:t>
            </w:r>
            <w:r>
              <w:rPr>
                <w:rFonts w:hint="eastAsia" w:ascii="宋体" w:hAnsi="宋体"/>
                <w:sz w:val="24"/>
                <w:highlight w:val="none"/>
                <w:u w:val="single"/>
                <w:lang w:val="en-US" w:eastAsia="zh-CN"/>
              </w:rPr>
              <w:t xml:space="preserve"> </w:t>
            </w:r>
            <w:r>
              <w:rPr>
                <w:rFonts w:ascii="宋体" w:hAnsi="宋体"/>
                <w:sz w:val="24"/>
                <w:highlight w:val="none"/>
                <w:u w:val="single"/>
              </w:rPr>
              <w:t>0</w:t>
            </w:r>
            <w:r>
              <w:rPr>
                <w:rFonts w:hint="eastAsia" w:ascii="宋体" w:hAnsi="宋体"/>
                <w:sz w:val="24"/>
                <w:highlight w:val="none"/>
                <w:u w:val="single"/>
                <w:lang w:val="en-US" w:eastAsia="zh-CN"/>
              </w:rPr>
              <w:t xml:space="preserve"> </w:t>
            </w:r>
            <w:r>
              <w:rPr>
                <w:rFonts w:hint="eastAsia" w:ascii="宋体" w:hAnsi="宋体"/>
                <w:sz w:val="24"/>
                <w:highlight w:val="none"/>
              </w:rPr>
              <w:t>分。</w:t>
            </w:r>
          </w:p>
        </w:tc>
        <w:tc>
          <w:tcPr>
            <w:tcW w:w="1350" w:type="dxa"/>
            <w:vAlign w:val="center"/>
          </w:tcPr>
          <w:p>
            <w:pPr>
              <w:jc w:val="center"/>
              <w:rPr>
                <w:rFonts w:ascii="宋体" w:cs="宋体"/>
                <w:kern w:val="0"/>
                <w:sz w:val="24"/>
                <w:highlight w:val="none"/>
              </w:rPr>
            </w:pPr>
            <w:r>
              <w:rPr>
                <w:rFonts w:hint="eastAsia" w:ascii="宋体" w:hAnsi="宋体" w:cs="宋体"/>
                <w:kern w:val="0"/>
                <w:sz w:val="24"/>
                <w:highlight w:val="none"/>
              </w:rPr>
              <w:t>满分为</w:t>
            </w:r>
            <w:r>
              <w:rPr>
                <w:rFonts w:ascii="宋体" w:hAnsi="宋体" w:cs="宋体"/>
                <w:kern w:val="0"/>
                <w:sz w:val="24"/>
                <w:highlight w:val="none"/>
                <w:u w:val="single"/>
              </w:rPr>
              <w:t xml:space="preserve"> </w:t>
            </w:r>
            <w:r>
              <w:rPr>
                <w:rFonts w:hint="eastAsia" w:ascii="宋体" w:hAnsi="宋体" w:cs="宋体"/>
                <w:kern w:val="0"/>
                <w:sz w:val="24"/>
                <w:highlight w:val="none"/>
                <w:u w:val="single"/>
                <w:lang w:val="en-US" w:eastAsia="zh-CN"/>
              </w:rPr>
              <w:t>15</w:t>
            </w:r>
            <w:r>
              <w:rPr>
                <w:rFonts w:ascii="宋体" w:hAnsi="宋体" w:cs="宋体"/>
                <w:kern w:val="0"/>
                <w:sz w:val="24"/>
                <w:highlight w:val="none"/>
                <w:u w:val="single"/>
              </w:rPr>
              <w:t xml:space="preserve"> </w:t>
            </w:r>
            <w:r>
              <w:rPr>
                <w:rFonts w:hint="eastAsia" w:ascii="宋体" w:hAnsi="宋体" w:cs="宋体"/>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731" w:type="dxa"/>
            <w:vMerge w:val="continue"/>
            <w:vAlign w:val="center"/>
          </w:tcPr>
          <w:p>
            <w:pPr>
              <w:jc w:val="center"/>
              <w:rPr>
                <w:rFonts w:ascii="宋体" w:cs="宋体"/>
                <w:kern w:val="0"/>
                <w:sz w:val="24"/>
                <w:highlight w:val="none"/>
              </w:rPr>
            </w:pPr>
          </w:p>
        </w:tc>
        <w:tc>
          <w:tcPr>
            <w:tcW w:w="2070" w:type="dxa"/>
            <w:vMerge w:val="continue"/>
            <w:vAlign w:val="center"/>
          </w:tcPr>
          <w:p>
            <w:pPr>
              <w:jc w:val="center"/>
              <w:rPr>
                <w:rFonts w:ascii="宋体" w:cs="宋体"/>
                <w:kern w:val="0"/>
                <w:sz w:val="24"/>
                <w:highlight w:val="none"/>
              </w:rPr>
            </w:pPr>
          </w:p>
        </w:tc>
        <w:tc>
          <w:tcPr>
            <w:tcW w:w="4305" w:type="dxa"/>
            <w:vAlign w:val="center"/>
          </w:tcPr>
          <w:p>
            <w:pPr>
              <w:jc w:val="left"/>
              <w:rPr>
                <w:rFonts w:ascii="宋体"/>
                <w:sz w:val="24"/>
                <w:highlight w:val="none"/>
              </w:rPr>
            </w:pPr>
            <w:r>
              <w:rPr>
                <w:rFonts w:hint="eastAsia" w:ascii="宋体" w:hAnsi="宋体" w:cs="宋体"/>
                <w:sz w:val="24"/>
                <w:highlight w:val="none"/>
              </w:rPr>
              <w:t>派到本项目现场负责人有本项目相关或相近的服务经验（</w:t>
            </w:r>
            <w:r>
              <w:rPr>
                <w:rFonts w:ascii="宋体" w:hAnsi="宋体"/>
                <w:sz w:val="24"/>
                <w:highlight w:val="none"/>
                <w:u w:val="single"/>
              </w:rPr>
              <w:t xml:space="preserve"> 2018 </w:t>
            </w:r>
            <w:r>
              <w:rPr>
                <w:rFonts w:hint="eastAsia" w:ascii="宋体" w:hAnsi="宋体" w:cs="宋体"/>
                <w:sz w:val="24"/>
                <w:highlight w:val="none"/>
              </w:rPr>
              <w:t>年</w:t>
            </w:r>
            <w:r>
              <w:rPr>
                <w:rFonts w:ascii="宋体" w:hAnsi="宋体" w:cs="宋体"/>
                <w:sz w:val="24"/>
                <w:highlight w:val="none"/>
              </w:rPr>
              <w:t>1</w:t>
            </w:r>
            <w:r>
              <w:rPr>
                <w:rFonts w:hint="eastAsia" w:ascii="宋体" w:hAnsi="宋体" w:cs="宋体"/>
                <w:sz w:val="24"/>
                <w:highlight w:val="none"/>
              </w:rPr>
              <w:t>月</w:t>
            </w:r>
            <w:r>
              <w:rPr>
                <w:rFonts w:ascii="宋体" w:hAnsi="宋体" w:cs="宋体"/>
                <w:sz w:val="24"/>
                <w:highlight w:val="none"/>
              </w:rPr>
              <w:t>1</w:t>
            </w:r>
            <w:r>
              <w:rPr>
                <w:rFonts w:hint="eastAsia" w:ascii="宋体" w:hAnsi="宋体" w:cs="宋体"/>
                <w:sz w:val="24"/>
                <w:highlight w:val="none"/>
              </w:rPr>
              <w:t>日至今），要求附上</w:t>
            </w:r>
            <w:r>
              <w:rPr>
                <w:rFonts w:hint="eastAsia" w:ascii="宋体" w:hAnsi="宋体" w:cs="宋体"/>
                <w:sz w:val="24"/>
                <w:highlight w:val="none"/>
                <w:lang w:val="en-US" w:eastAsia="zh-CN"/>
              </w:rPr>
              <w:t>审计</w:t>
            </w:r>
            <w:r>
              <w:rPr>
                <w:rFonts w:hint="eastAsia" w:ascii="宋体" w:hAnsi="宋体" w:cs="宋体"/>
                <w:sz w:val="24"/>
                <w:highlight w:val="none"/>
              </w:rPr>
              <w:t>报告名称内容及签字页，否则不算业绩分，该项分值最高为</w:t>
            </w:r>
            <w:r>
              <w:rPr>
                <w:rFonts w:ascii="宋体" w:hAnsi="宋体"/>
                <w:sz w:val="24"/>
                <w:highlight w:val="none"/>
                <w:u w:val="single"/>
              </w:rPr>
              <w:t xml:space="preserve"> </w:t>
            </w:r>
            <w:r>
              <w:rPr>
                <w:rFonts w:hint="eastAsia" w:ascii="宋体" w:hAnsi="宋体"/>
                <w:sz w:val="24"/>
                <w:highlight w:val="none"/>
                <w:u w:val="single"/>
                <w:lang w:val="en-US" w:eastAsia="zh-CN"/>
              </w:rPr>
              <w:t>15</w:t>
            </w:r>
            <w:r>
              <w:rPr>
                <w:rFonts w:ascii="宋体" w:hAnsi="宋体"/>
                <w:sz w:val="24"/>
                <w:highlight w:val="none"/>
                <w:u w:val="single"/>
              </w:rPr>
              <w:t xml:space="preserve"> </w:t>
            </w:r>
            <w:r>
              <w:rPr>
                <w:rFonts w:hint="eastAsia" w:ascii="宋体" w:hAnsi="宋体" w:cs="宋体"/>
                <w:sz w:val="24"/>
                <w:highlight w:val="none"/>
              </w:rPr>
              <w:t>分，</w:t>
            </w:r>
            <w:r>
              <w:rPr>
                <w:rFonts w:hint="eastAsia" w:ascii="宋体" w:hAnsi="宋体" w:cs="宋体"/>
                <w:sz w:val="24"/>
                <w:highlight w:val="none"/>
                <w:lang w:val="en-US" w:eastAsia="zh-CN"/>
              </w:rPr>
              <w:t>其中：国有企业物资管理或资产管理内控建设及执行情况专项审计业绩</w:t>
            </w:r>
            <w:r>
              <w:rPr>
                <w:rFonts w:hint="eastAsia" w:ascii="宋体" w:hAnsi="宋体" w:cs="宋体"/>
                <w:sz w:val="24"/>
                <w:highlight w:val="none"/>
                <w:shd w:val="clear"/>
              </w:rPr>
              <w:t>每个</w:t>
            </w:r>
            <w:r>
              <w:rPr>
                <w:rFonts w:hint="eastAsia" w:ascii="宋体" w:hAnsi="宋体" w:cs="宋体"/>
                <w:sz w:val="24"/>
                <w:highlight w:val="none"/>
                <w:shd w:val="clear"/>
                <w:lang w:val="en-US" w:eastAsia="zh-CN"/>
              </w:rPr>
              <w:t>5</w:t>
            </w:r>
            <w:r>
              <w:rPr>
                <w:rFonts w:hint="eastAsia" w:ascii="宋体" w:hAnsi="宋体" w:cs="宋体"/>
                <w:sz w:val="24"/>
                <w:highlight w:val="none"/>
                <w:shd w:val="clear"/>
              </w:rPr>
              <w:t>分</w:t>
            </w:r>
            <w:r>
              <w:rPr>
                <w:rFonts w:hint="eastAsia" w:ascii="宋体" w:hAnsi="宋体" w:cs="宋体"/>
                <w:sz w:val="24"/>
                <w:highlight w:val="none"/>
                <w:shd w:val="clear"/>
                <w:lang w:val="en-US" w:eastAsia="zh-CN"/>
              </w:rPr>
              <w:t>；其他内控建设及执行情况专项审计业绩每个3分（该类业绩得分上限6分）；其他为</w:t>
            </w:r>
            <w:r>
              <w:rPr>
                <w:rFonts w:hint="eastAsia" w:ascii="宋体" w:hAnsi="宋体" w:cs="宋体"/>
                <w:sz w:val="24"/>
                <w:highlight w:val="none"/>
                <w:u w:val="single"/>
                <w:shd w:val="clear"/>
                <w:lang w:val="en-US" w:eastAsia="zh-CN"/>
              </w:rPr>
              <w:t xml:space="preserve"> 0 </w:t>
            </w:r>
            <w:r>
              <w:rPr>
                <w:rFonts w:hint="eastAsia" w:ascii="宋体" w:hAnsi="宋体" w:cs="宋体"/>
                <w:sz w:val="24"/>
                <w:highlight w:val="none"/>
                <w:shd w:val="clear"/>
                <w:lang w:val="en-US" w:eastAsia="zh-CN"/>
              </w:rPr>
              <w:t>分</w:t>
            </w:r>
            <w:r>
              <w:rPr>
                <w:rFonts w:hint="eastAsia" w:ascii="宋体" w:hAnsi="宋体" w:cs="宋体"/>
                <w:sz w:val="24"/>
                <w:highlight w:val="none"/>
              </w:rPr>
              <w:t>。</w:t>
            </w:r>
          </w:p>
        </w:tc>
        <w:tc>
          <w:tcPr>
            <w:tcW w:w="1350" w:type="dxa"/>
            <w:vAlign w:val="center"/>
          </w:tcPr>
          <w:p>
            <w:pPr>
              <w:jc w:val="center"/>
              <w:rPr>
                <w:rFonts w:ascii="宋体" w:cs="宋体"/>
                <w:kern w:val="0"/>
                <w:sz w:val="24"/>
                <w:highlight w:val="none"/>
              </w:rPr>
            </w:pPr>
            <w:r>
              <w:rPr>
                <w:rFonts w:hint="eastAsia" w:ascii="宋体" w:hAnsi="宋体" w:cs="宋体"/>
                <w:kern w:val="0"/>
                <w:sz w:val="24"/>
                <w:highlight w:val="none"/>
              </w:rPr>
              <w:t>满分为</w:t>
            </w:r>
            <w:r>
              <w:rPr>
                <w:rFonts w:ascii="宋体" w:hAnsi="宋体" w:cs="宋体"/>
                <w:kern w:val="0"/>
                <w:sz w:val="24"/>
                <w:highlight w:val="none"/>
                <w:u w:val="single"/>
              </w:rPr>
              <w:t xml:space="preserve"> </w:t>
            </w:r>
            <w:r>
              <w:rPr>
                <w:rFonts w:hint="eastAsia" w:ascii="宋体" w:hAnsi="宋体" w:cs="宋体"/>
                <w:kern w:val="0"/>
                <w:sz w:val="24"/>
                <w:highlight w:val="none"/>
                <w:u w:val="single"/>
                <w:lang w:val="en-US" w:eastAsia="zh-CN"/>
              </w:rPr>
              <w:t>15</w:t>
            </w:r>
            <w:r>
              <w:rPr>
                <w:rFonts w:ascii="宋体" w:hAnsi="宋体" w:cs="宋体"/>
                <w:kern w:val="0"/>
                <w:sz w:val="24"/>
                <w:highlight w:val="none"/>
                <w:u w:val="single"/>
              </w:rPr>
              <w:t xml:space="preserve"> </w:t>
            </w:r>
            <w:r>
              <w:rPr>
                <w:rFonts w:hint="eastAsia" w:ascii="宋体" w:hAnsi="宋体" w:cs="宋体"/>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31" w:type="dxa"/>
            <w:vMerge w:val="continue"/>
            <w:vAlign w:val="center"/>
          </w:tcPr>
          <w:p>
            <w:pPr>
              <w:jc w:val="center"/>
              <w:rPr>
                <w:rFonts w:ascii="宋体" w:cs="宋体"/>
                <w:kern w:val="0"/>
                <w:sz w:val="24"/>
                <w:highlight w:val="none"/>
              </w:rPr>
            </w:pPr>
          </w:p>
        </w:tc>
        <w:tc>
          <w:tcPr>
            <w:tcW w:w="2070" w:type="dxa"/>
            <w:vMerge w:val="continue"/>
            <w:vAlign w:val="center"/>
          </w:tcPr>
          <w:p>
            <w:pPr>
              <w:jc w:val="center"/>
              <w:rPr>
                <w:rFonts w:ascii="宋体" w:cs="宋体"/>
                <w:kern w:val="0"/>
                <w:sz w:val="24"/>
                <w:highlight w:val="none"/>
              </w:rPr>
            </w:pPr>
          </w:p>
        </w:tc>
        <w:tc>
          <w:tcPr>
            <w:tcW w:w="4305" w:type="dxa"/>
            <w:vAlign w:val="center"/>
          </w:tcPr>
          <w:p>
            <w:pPr>
              <w:jc w:val="left"/>
              <w:rPr>
                <w:rFonts w:ascii="宋体" w:cs="宋体"/>
                <w:sz w:val="24"/>
                <w:highlight w:val="none"/>
              </w:rPr>
            </w:pPr>
            <w:r>
              <w:rPr>
                <w:rFonts w:hint="eastAsia" w:ascii="宋体" w:hAnsi="宋体" w:cs="宋体"/>
                <w:sz w:val="24"/>
                <w:highlight w:val="none"/>
              </w:rPr>
              <w:t>派到</w:t>
            </w:r>
            <w:r>
              <w:rPr>
                <w:rFonts w:hint="eastAsia" w:ascii="宋体" w:hAnsi="宋体" w:cs="宋体"/>
                <w:sz w:val="24"/>
                <w:highlight w:val="none"/>
                <w:lang w:val="en-US" w:eastAsia="zh-CN"/>
              </w:rPr>
              <w:t>本</w:t>
            </w:r>
            <w:r>
              <w:rPr>
                <w:rFonts w:hint="eastAsia" w:ascii="宋体" w:hAnsi="宋体" w:cs="宋体"/>
                <w:sz w:val="24"/>
                <w:highlight w:val="none"/>
              </w:rPr>
              <w:t>项目的团队成员由</w:t>
            </w:r>
            <w:r>
              <w:rPr>
                <w:rFonts w:ascii="宋体" w:hAnsi="宋体"/>
                <w:sz w:val="24"/>
                <w:highlight w:val="none"/>
                <w:u w:val="single"/>
              </w:rPr>
              <w:t xml:space="preserve"> </w:t>
            </w:r>
            <w:r>
              <w:rPr>
                <w:rFonts w:hint="eastAsia" w:ascii="宋体" w:hAnsi="宋体"/>
                <w:sz w:val="24"/>
                <w:highlight w:val="none"/>
                <w:u w:val="single"/>
                <w:lang w:val="en-US" w:eastAsia="zh-CN"/>
              </w:rPr>
              <w:t>4</w:t>
            </w:r>
            <w:r>
              <w:rPr>
                <w:rFonts w:ascii="宋体" w:hAnsi="宋体"/>
                <w:sz w:val="24"/>
                <w:highlight w:val="none"/>
                <w:u w:val="single"/>
              </w:rPr>
              <w:t xml:space="preserve"> </w:t>
            </w:r>
            <w:r>
              <w:rPr>
                <w:rFonts w:hint="eastAsia" w:ascii="宋体" w:hAnsi="宋体" w:cs="宋体"/>
                <w:sz w:val="24"/>
                <w:highlight w:val="none"/>
              </w:rPr>
              <w:t>人及以上正式员工组成的得</w:t>
            </w:r>
            <w:r>
              <w:rPr>
                <w:rFonts w:hint="eastAsia" w:ascii="宋体" w:hAnsi="宋体" w:cs="宋体"/>
                <w:sz w:val="24"/>
                <w:highlight w:val="none"/>
                <w:u w:val="single"/>
                <w:lang w:val="en-US" w:eastAsia="zh-CN"/>
              </w:rPr>
              <w:t xml:space="preserve"> 7 </w:t>
            </w:r>
            <w:r>
              <w:rPr>
                <w:rFonts w:hint="eastAsia" w:ascii="宋体" w:hAnsi="宋体" w:cs="宋体"/>
                <w:sz w:val="24"/>
                <w:highlight w:val="none"/>
              </w:rPr>
              <w:t>分，</w:t>
            </w:r>
            <w:r>
              <w:rPr>
                <w:rFonts w:hint="eastAsia" w:ascii="宋体" w:hAnsi="宋体" w:cs="宋体"/>
                <w:sz w:val="24"/>
                <w:highlight w:val="none"/>
                <w:lang w:val="en-US" w:eastAsia="zh-CN"/>
              </w:rPr>
              <w:t>成员</w:t>
            </w:r>
            <w:r>
              <w:rPr>
                <w:rFonts w:hint="eastAsia" w:ascii="宋体" w:hAnsi="宋体"/>
                <w:sz w:val="24"/>
                <w:highlight w:val="none"/>
                <w:lang w:val="en-US" w:eastAsia="zh-CN"/>
              </w:rPr>
              <w:t>具有</w:t>
            </w:r>
            <w:r>
              <w:rPr>
                <w:rFonts w:hint="eastAsia" w:ascii="宋体" w:hAnsi="宋体" w:cs="宋体"/>
                <w:sz w:val="24"/>
                <w:highlight w:val="none"/>
                <w:lang w:val="en-US" w:eastAsia="zh-CN"/>
              </w:rPr>
              <w:t>国有企业物资管理或资产管理内控建设及执行情况专项审计</w:t>
            </w:r>
            <w:r>
              <w:rPr>
                <w:rFonts w:hint="eastAsia" w:ascii="宋体" w:hAnsi="宋体" w:cs="宋体"/>
                <w:sz w:val="24"/>
                <w:highlight w:val="none"/>
              </w:rPr>
              <w:t>服务经验</w:t>
            </w:r>
            <w:r>
              <w:rPr>
                <w:rFonts w:hint="eastAsia" w:ascii="宋体" w:hAnsi="宋体"/>
                <w:sz w:val="24"/>
                <w:highlight w:val="none"/>
                <w:lang w:val="en-US" w:eastAsia="zh-CN"/>
              </w:rPr>
              <w:t>得</w:t>
            </w:r>
            <w:r>
              <w:rPr>
                <w:rFonts w:hint="eastAsia" w:ascii="宋体" w:hAnsi="宋体"/>
                <w:sz w:val="24"/>
                <w:highlight w:val="none"/>
                <w:u w:val="none"/>
                <w:lang w:val="en-US" w:eastAsia="zh-CN"/>
              </w:rPr>
              <w:t xml:space="preserve"> 3 </w:t>
            </w:r>
            <w:r>
              <w:rPr>
                <w:rFonts w:hint="eastAsia" w:ascii="宋体" w:hAnsi="宋体"/>
                <w:sz w:val="24"/>
                <w:highlight w:val="none"/>
              </w:rPr>
              <w:t>分</w:t>
            </w:r>
            <w:r>
              <w:rPr>
                <w:rFonts w:hint="eastAsia" w:ascii="宋体" w:hAnsi="宋体"/>
                <w:sz w:val="24"/>
                <w:highlight w:val="none"/>
                <w:lang w:eastAsia="zh-CN"/>
              </w:rPr>
              <w:t>，</w:t>
            </w:r>
            <w:r>
              <w:rPr>
                <w:rFonts w:hint="eastAsia" w:ascii="宋体" w:hAnsi="宋体"/>
                <w:sz w:val="24"/>
                <w:highlight w:val="none"/>
                <w:lang w:val="en-US" w:eastAsia="zh-CN"/>
              </w:rPr>
              <w:t>具有其他内控建设及执行情况专项审计服务经验得</w:t>
            </w:r>
            <w:r>
              <w:rPr>
                <w:rFonts w:hint="eastAsia" w:ascii="宋体" w:hAnsi="宋体"/>
                <w:sz w:val="24"/>
                <w:highlight w:val="none"/>
                <w:u w:val="single"/>
                <w:lang w:val="en-US" w:eastAsia="zh-CN"/>
              </w:rPr>
              <w:t xml:space="preserve"> 1 </w:t>
            </w:r>
            <w:r>
              <w:rPr>
                <w:rFonts w:hint="eastAsia" w:ascii="宋体" w:hAnsi="宋体"/>
                <w:sz w:val="24"/>
                <w:highlight w:val="none"/>
                <w:lang w:val="en-US" w:eastAsia="zh-CN"/>
              </w:rPr>
              <w:t>分，</w:t>
            </w:r>
            <w:r>
              <w:rPr>
                <w:rFonts w:hint="eastAsia" w:ascii="宋体" w:hAnsi="宋体" w:cs="宋体"/>
                <w:sz w:val="24"/>
                <w:highlight w:val="none"/>
                <w:lang w:val="en-US" w:eastAsia="zh-CN"/>
              </w:rPr>
              <w:t>，</w:t>
            </w:r>
            <w:r>
              <w:rPr>
                <w:rFonts w:hint="eastAsia" w:ascii="宋体" w:hAnsi="宋体" w:cs="宋体"/>
                <w:sz w:val="24"/>
                <w:highlight w:val="none"/>
              </w:rPr>
              <w:t>其他为</w:t>
            </w:r>
            <w:r>
              <w:rPr>
                <w:rFonts w:hint="eastAsia" w:ascii="宋体" w:hAnsi="宋体" w:cs="宋体"/>
                <w:sz w:val="24"/>
                <w:highlight w:val="none"/>
                <w:u w:val="single"/>
                <w:lang w:val="en-US" w:eastAsia="zh-CN"/>
              </w:rPr>
              <w:t xml:space="preserve"> </w:t>
            </w:r>
            <w:r>
              <w:rPr>
                <w:rFonts w:ascii="宋体" w:hAnsi="宋体" w:cs="宋体"/>
                <w:sz w:val="24"/>
                <w:highlight w:val="none"/>
                <w:u w:val="single"/>
              </w:rPr>
              <w:t>0</w:t>
            </w:r>
            <w:r>
              <w:rPr>
                <w:rFonts w:hint="eastAsia" w:ascii="宋体" w:hAnsi="宋体" w:cs="宋体"/>
                <w:sz w:val="24"/>
                <w:highlight w:val="none"/>
                <w:u w:val="single"/>
                <w:lang w:val="en-US" w:eastAsia="zh-CN"/>
              </w:rPr>
              <w:t xml:space="preserve"> </w:t>
            </w:r>
            <w:r>
              <w:rPr>
                <w:rFonts w:hint="eastAsia" w:ascii="宋体" w:hAnsi="宋体" w:cs="宋体"/>
                <w:sz w:val="24"/>
                <w:highlight w:val="none"/>
              </w:rPr>
              <w:t>分。</w:t>
            </w:r>
          </w:p>
        </w:tc>
        <w:tc>
          <w:tcPr>
            <w:tcW w:w="1350" w:type="dxa"/>
            <w:vAlign w:val="center"/>
          </w:tcPr>
          <w:p>
            <w:pPr>
              <w:jc w:val="center"/>
              <w:rPr>
                <w:rFonts w:ascii="宋体" w:cs="宋体"/>
                <w:kern w:val="0"/>
                <w:sz w:val="24"/>
                <w:highlight w:val="none"/>
              </w:rPr>
            </w:pPr>
            <w:r>
              <w:rPr>
                <w:rFonts w:hint="eastAsia" w:ascii="宋体" w:hAnsi="宋体" w:cs="宋体"/>
                <w:kern w:val="0"/>
                <w:sz w:val="24"/>
                <w:highlight w:val="none"/>
              </w:rPr>
              <w:t>满分为</w:t>
            </w:r>
            <w:r>
              <w:rPr>
                <w:rFonts w:ascii="宋体" w:hAnsi="宋体" w:cs="宋体"/>
                <w:kern w:val="0"/>
                <w:sz w:val="24"/>
                <w:highlight w:val="none"/>
                <w:u w:val="single"/>
              </w:rPr>
              <w:t xml:space="preserve"> </w:t>
            </w:r>
            <w:r>
              <w:rPr>
                <w:rFonts w:hint="eastAsia" w:ascii="宋体" w:hAnsi="宋体" w:cs="宋体"/>
                <w:kern w:val="0"/>
                <w:sz w:val="24"/>
                <w:highlight w:val="none"/>
                <w:u w:val="single"/>
                <w:lang w:val="en-US" w:eastAsia="zh-CN"/>
              </w:rPr>
              <w:t>10</w:t>
            </w:r>
            <w:r>
              <w:rPr>
                <w:rFonts w:ascii="宋体" w:hAnsi="宋体" w:cs="宋体"/>
                <w:kern w:val="0"/>
                <w:sz w:val="24"/>
                <w:highlight w:val="none"/>
                <w:u w:val="single"/>
              </w:rPr>
              <w:t xml:space="preserve"> </w:t>
            </w:r>
            <w:r>
              <w:rPr>
                <w:rFonts w:hint="eastAsia" w:ascii="宋体" w:hAnsi="宋体" w:cs="宋体"/>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31" w:type="dxa"/>
            <w:vMerge w:val="restart"/>
            <w:vAlign w:val="center"/>
          </w:tcPr>
          <w:p>
            <w:pPr>
              <w:jc w:val="center"/>
              <w:rPr>
                <w:rFonts w:ascii="宋体" w:cs="宋体"/>
                <w:kern w:val="0"/>
                <w:sz w:val="24"/>
                <w:highlight w:val="none"/>
              </w:rPr>
            </w:pPr>
            <w:r>
              <w:rPr>
                <w:rFonts w:ascii="宋体" w:hAnsi="宋体" w:cs="宋体"/>
                <w:kern w:val="0"/>
                <w:sz w:val="24"/>
                <w:highlight w:val="none"/>
              </w:rPr>
              <w:t>3</w:t>
            </w:r>
          </w:p>
        </w:tc>
        <w:tc>
          <w:tcPr>
            <w:tcW w:w="2070" w:type="dxa"/>
            <w:vMerge w:val="restart"/>
            <w:vAlign w:val="center"/>
          </w:tcPr>
          <w:p>
            <w:pPr>
              <w:jc w:val="center"/>
              <w:rPr>
                <w:rFonts w:ascii="宋体" w:cs="宋体"/>
                <w:kern w:val="0"/>
                <w:sz w:val="24"/>
                <w:highlight w:val="none"/>
              </w:rPr>
            </w:pPr>
            <w:r>
              <w:rPr>
                <w:rFonts w:hint="eastAsia" w:ascii="宋体" w:hAnsi="宋体" w:cs="宋体"/>
                <w:kern w:val="0"/>
                <w:sz w:val="24"/>
                <w:highlight w:val="none"/>
              </w:rPr>
              <w:t>服务方案</w:t>
            </w:r>
          </w:p>
          <w:p>
            <w:pPr>
              <w:jc w:val="center"/>
              <w:rPr>
                <w:rFonts w:ascii="宋体" w:cs="宋体"/>
                <w:kern w:val="0"/>
                <w:sz w:val="24"/>
                <w:highlight w:val="none"/>
              </w:rPr>
            </w:pPr>
            <w:r>
              <w:rPr>
                <w:rFonts w:hint="eastAsia" w:ascii="宋体" w:hAnsi="宋体" w:cs="宋体"/>
                <w:kern w:val="0"/>
                <w:sz w:val="24"/>
                <w:highlight w:val="none"/>
              </w:rPr>
              <w:t>（满分</w:t>
            </w:r>
            <w:r>
              <w:rPr>
                <w:rFonts w:hint="eastAsia" w:ascii="宋体" w:hAnsi="宋体" w:cs="宋体"/>
                <w:kern w:val="0"/>
                <w:sz w:val="24"/>
                <w:highlight w:val="none"/>
                <w:lang w:val="en-US" w:eastAsia="zh-CN"/>
              </w:rPr>
              <w:t>30</w:t>
            </w:r>
            <w:r>
              <w:rPr>
                <w:rFonts w:hint="eastAsia" w:ascii="宋体" w:hAnsi="宋体" w:cs="宋体"/>
                <w:kern w:val="0"/>
                <w:sz w:val="24"/>
                <w:highlight w:val="none"/>
              </w:rPr>
              <w:t>分）</w:t>
            </w:r>
          </w:p>
          <w:p>
            <w:pPr>
              <w:jc w:val="center"/>
              <w:rPr>
                <w:rFonts w:ascii="宋体" w:cs="宋体"/>
                <w:kern w:val="0"/>
                <w:sz w:val="24"/>
                <w:highlight w:val="none"/>
              </w:rPr>
            </w:pPr>
            <w:r>
              <w:rPr>
                <w:rFonts w:hint="eastAsia" w:ascii="宋体" w:hAnsi="宋体" w:cs="宋体"/>
                <w:kern w:val="0"/>
                <w:sz w:val="24"/>
                <w:highlight w:val="none"/>
              </w:rPr>
              <w:t>（主要从服务态度、质量控制措施、进度控制措施等方面进行阐述。）</w:t>
            </w:r>
          </w:p>
        </w:tc>
        <w:tc>
          <w:tcPr>
            <w:tcW w:w="4305" w:type="dxa"/>
            <w:vAlign w:val="center"/>
          </w:tcPr>
          <w:p>
            <w:pPr>
              <w:jc w:val="center"/>
              <w:rPr>
                <w:rFonts w:ascii="宋体" w:cs="宋体"/>
                <w:kern w:val="0"/>
                <w:sz w:val="24"/>
                <w:highlight w:val="none"/>
              </w:rPr>
            </w:pPr>
            <w:r>
              <w:rPr>
                <w:rFonts w:hint="eastAsia" w:ascii="宋体" w:hAnsi="宋体" w:cs="宋体"/>
                <w:kern w:val="0"/>
                <w:sz w:val="24"/>
                <w:highlight w:val="none"/>
              </w:rPr>
              <w:t>一般</w:t>
            </w:r>
          </w:p>
        </w:tc>
        <w:tc>
          <w:tcPr>
            <w:tcW w:w="1350" w:type="dxa"/>
            <w:vAlign w:val="center"/>
          </w:tcPr>
          <w:p>
            <w:pPr>
              <w:jc w:val="center"/>
              <w:rPr>
                <w:rFonts w:hint="eastAsia" w:ascii="宋体" w:eastAsia="宋体" w:cs="宋体"/>
                <w:kern w:val="0"/>
                <w:sz w:val="24"/>
                <w:highlight w:val="none"/>
                <w:lang w:eastAsia="zh-CN"/>
              </w:rPr>
            </w:pPr>
            <w:r>
              <w:rPr>
                <w:rFonts w:ascii="宋体" w:cs="宋体"/>
                <w:kern w:val="0"/>
                <w:sz w:val="24"/>
                <w:highlight w:val="none"/>
              </w:rPr>
              <w:t>0</w:t>
            </w:r>
            <w:r>
              <w:rPr>
                <w:rFonts w:hint="eastAsia"/>
                <w:highlight w:val="none"/>
              </w:rPr>
              <w:t>≤</w:t>
            </w:r>
            <w:r>
              <w:rPr>
                <w:rFonts w:ascii="宋体" w:hAnsi="宋体" w:cs="宋体"/>
                <w:kern w:val="0"/>
                <w:sz w:val="24"/>
                <w:highlight w:val="none"/>
              </w:rPr>
              <w:t>m</w:t>
            </w:r>
            <w:r>
              <w:rPr>
                <w:rFonts w:hint="eastAsia" w:ascii="宋体" w:hAnsi="宋体" w:cs="宋体"/>
                <w:kern w:val="0"/>
                <w:sz w:val="24"/>
                <w:highlight w:val="none"/>
              </w:rPr>
              <w:t>≦</w:t>
            </w:r>
            <w:r>
              <w:rPr>
                <w:rFonts w:ascii="宋体" w:hAnsi="宋体" w:cs="宋体"/>
                <w:kern w:val="0"/>
                <w:sz w:val="24"/>
                <w:highlight w:val="none"/>
              </w:rPr>
              <w:t>1</w:t>
            </w:r>
            <w:r>
              <w:rPr>
                <w:rFonts w:hint="eastAsia" w:ascii="宋体" w:hAnsi="宋体" w:cs="宋体"/>
                <w:kern w:val="0"/>
                <w:sz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31" w:type="dxa"/>
            <w:vMerge w:val="continue"/>
            <w:vAlign w:val="center"/>
          </w:tcPr>
          <w:p>
            <w:pPr>
              <w:jc w:val="center"/>
              <w:rPr>
                <w:rFonts w:ascii="宋体" w:cs="宋体"/>
                <w:kern w:val="0"/>
                <w:sz w:val="24"/>
                <w:highlight w:val="none"/>
              </w:rPr>
            </w:pPr>
          </w:p>
        </w:tc>
        <w:tc>
          <w:tcPr>
            <w:tcW w:w="2070" w:type="dxa"/>
            <w:vMerge w:val="continue"/>
            <w:vAlign w:val="center"/>
          </w:tcPr>
          <w:p>
            <w:pPr>
              <w:jc w:val="center"/>
              <w:rPr>
                <w:rFonts w:ascii="宋体" w:cs="宋体"/>
                <w:kern w:val="0"/>
                <w:sz w:val="24"/>
                <w:highlight w:val="none"/>
              </w:rPr>
            </w:pPr>
          </w:p>
        </w:tc>
        <w:tc>
          <w:tcPr>
            <w:tcW w:w="4305" w:type="dxa"/>
            <w:vAlign w:val="center"/>
          </w:tcPr>
          <w:p>
            <w:pPr>
              <w:jc w:val="center"/>
              <w:rPr>
                <w:rFonts w:ascii="宋体" w:cs="宋体"/>
                <w:kern w:val="0"/>
                <w:sz w:val="24"/>
                <w:highlight w:val="none"/>
              </w:rPr>
            </w:pPr>
            <w:r>
              <w:rPr>
                <w:rFonts w:hint="eastAsia" w:ascii="宋体" w:hAnsi="宋体" w:cs="宋体"/>
                <w:kern w:val="0"/>
                <w:sz w:val="24"/>
                <w:highlight w:val="none"/>
              </w:rPr>
              <w:t>良好</w:t>
            </w:r>
          </w:p>
        </w:tc>
        <w:tc>
          <w:tcPr>
            <w:tcW w:w="1350" w:type="dxa"/>
            <w:vAlign w:val="center"/>
          </w:tcPr>
          <w:p>
            <w:pPr>
              <w:jc w:val="center"/>
              <w:rPr>
                <w:rFonts w:hint="eastAsia" w:ascii="宋体" w:eastAsia="宋体" w:cs="宋体"/>
                <w:kern w:val="0"/>
                <w:sz w:val="24"/>
                <w:highlight w:val="none"/>
                <w:lang w:eastAsia="zh-CN"/>
              </w:rPr>
            </w:pPr>
            <w:r>
              <w:rPr>
                <w:rFonts w:ascii="宋体" w:hAnsi="宋体" w:cs="宋体"/>
                <w:kern w:val="0"/>
                <w:sz w:val="24"/>
                <w:highlight w:val="none"/>
              </w:rPr>
              <w:t>1</w:t>
            </w:r>
            <w:r>
              <w:rPr>
                <w:rFonts w:hint="eastAsia" w:ascii="宋体" w:hAnsi="宋体" w:cs="宋体"/>
                <w:kern w:val="0"/>
                <w:sz w:val="24"/>
                <w:highlight w:val="none"/>
                <w:lang w:val="en-US" w:eastAsia="zh-CN"/>
              </w:rPr>
              <w:t>0</w:t>
            </w:r>
            <w:r>
              <w:rPr>
                <w:rFonts w:hint="eastAsia" w:ascii="宋体" w:hAnsi="宋体" w:cs="宋体"/>
                <w:kern w:val="0"/>
                <w:sz w:val="24"/>
                <w:highlight w:val="none"/>
              </w:rPr>
              <w:t>＜</w:t>
            </w:r>
            <w:r>
              <w:rPr>
                <w:rFonts w:ascii="宋体" w:hAnsi="宋体" w:cs="宋体"/>
                <w:kern w:val="0"/>
                <w:sz w:val="24"/>
                <w:highlight w:val="none"/>
              </w:rPr>
              <w:t>m</w:t>
            </w:r>
            <w:r>
              <w:rPr>
                <w:rFonts w:hint="eastAsia"/>
                <w:highlight w:val="none"/>
              </w:rPr>
              <w:t>≤</w:t>
            </w:r>
            <w:r>
              <w:rPr>
                <w:rFonts w:ascii="宋体" w:hAnsi="宋体" w:cs="宋体"/>
                <w:kern w:val="0"/>
                <w:sz w:val="24"/>
                <w:highlight w:val="none"/>
              </w:rPr>
              <w:t>2</w:t>
            </w:r>
            <w:r>
              <w:rPr>
                <w:rFonts w:hint="eastAsia" w:ascii="宋体" w:hAnsi="宋体" w:cs="宋体"/>
                <w:kern w:val="0"/>
                <w:sz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31" w:type="dxa"/>
            <w:vMerge w:val="continue"/>
            <w:vAlign w:val="center"/>
          </w:tcPr>
          <w:p>
            <w:pPr>
              <w:jc w:val="center"/>
              <w:rPr>
                <w:rFonts w:ascii="宋体" w:cs="宋体"/>
                <w:kern w:val="0"/>
                <w:sz w:val="24"/>
                <w:highlight w:val="none"/>
              </w:rPr>
            </w:pPr>
          </w:p>
        </w:tc>
        <w:tc>
          <w:tcPr>
            <w:tcW w:w="2070" w:type="dxa"/>
            <w:vMerge w:val="continue"/>
            <w:vAlign w:val="center"/>
          </w:tcPr>
          <w:p>
            <w:pPr>
              <w:jc w:val="center"/>
              <w:rPr>
                <w:rFonts w:ascii="宋体" w:cs="宋体"/>
                <w:kern w:val="0"/>
                <w:sz w:val="24"/>
                <w:highlight w:val="none"/>
              </w:rPr>
            </w:pPr>
          </w:p>
        </w:tc>
        <w:tc>
          <w:tcPr>
            <w:tcW w:w="4305" w:type="dxa"/>
            <w:vAlign w:val="center"/>
          </w:tcPr>
          <w:p>
            <w:pPr>
              <w:jc w:val="center"/>
              <w:rPr>
                <w:rFonts w:ascii="宋体" w:cs="宋体"/>
                <w:kern w:val="0"/>
                <w:sz w:val="24"/>
                <w:highlight w:val="none"/>
              </w:rPr>
            </w:pPr>
            <w:r>
              <w:rPr>
                <w:rFonts w:hint="eastAsia" w:ascii="宋体" w:hAnsi="宋体" w:cs="宋体"/>
                <w:kern w:val="0"/>
                <w:sz w:val="24"/>
                <w:highlight w:val="none"/>
              </w:rPr>
              <w:t>优秀</w:t>
            </w:r>
          </w:p>
        </w:tc>
        <w:tc>
          <w:tcPr>
            <w:tcW w:w="1350" w:type="dxa"/>
            <w:vAlign w:val="center"/>
          </w:tcPr>
          <w:p>
            <w:pPr>
              <w:jc w:val="center"/>
              <w:rPr>
                <w:rFonts w:ascii="宋体" w:cs="宋体"/>
                <w:kern w:val="0"/>
                <w:sz w:val="24"/>
                <w:highlight w:val="none"/>
              </w:rPr>
            </w:pPr>
            <w:r>
              <w:rPr>
                <w:rFonts w:ascii="宋体" w:hAnsi="宋体" w:cs="宋体"/>
                <w:kern w:val="0"/>
                <w:sz w:val="24"/>
                <w:highlight w:val="none"/>
              </w:rPr>
              <w:t>2</w:t>
            </w:r>
            <w:r>
              <w:rPr>
                <w:rFonts w:hint="eastAsia" w:ascii="宋体" w:hAnsi="宋体" w:cs="宋体"/>
                <w:kern w:val="0"/>
                <w:sz w:val="24"/>
                <w:highlight w:val="none"/>
                <w:lang w:val="en-US" w:eastAsia="zh-CN"/>
              </w:rPr>
              <w:t>0</w:t>
            </w:r>
            <w:r>
              <w:rPr>
                <w:rFonts w:hint="eastAsia" w:ascii="宋体" w:hAnsi="宋体" w:cs="宋体"/>
                <w:kern w:val="0"/>
                <w:sz w:val="24"/>
                <w:highlight w:val="none"/>
              </w:rPr>
              <w:t>＜</w:t>
            </w:r>
            <w:r>
              <w:rPr>
                <w:rFonts w:ascii="宋体" w:hAnsi="宋体" w:cs="宋体"/>
                <w:kern w:val="0"/>
                <w:sz w:val="24"/>
                <w:highlight w:val="none"/>
              </w:rPr>
              <w:t>m</w:t>
            </w:r>
            <w:r>
              <w:rPr>
                <w:rFonts w:hint="eastAsia"/>
                <w:highlight w:val="none"/>
              </w:rPr>
              <w:t>≤</w:t>
            </w:r>
            <w:r>
              <w:rPr>
                <w:rFonts w:ascii="宋体" w:hAnsi="宋体" w:cs="宋体"/>
                <w:kern w:val="0"/>
                <w:sz w:val="24"/>
                <w:highlight w:val="none"/>
              </w:rPr>
              <w:t>30</w:t>
            </w:r>
          </w:p>
        </w:tc>
      </w:tr>
    </w:tbl>
    <w:p>
      <w:pPr>
        <w:pStyle w:val="4"/>
        <w:spacing w:before="0" w:after="0" w:line="480" w:lineRule="exact"/>
        <w:rPr>
          <w:rFonts w:ascii="宋体" w:cs="仿宋"/>
          <w:szCs w:val="28"/>
          <w:highlight w:val="none"/>
        </w:rPr>
      </w:pPr>
      <w:bookmarkStart w:id="563" w:name="_Toc21685"/>
      <w:bookmarkStart w:id="564" w:name="_Toc27525"/>
      <w:bookmarkStart w:id="565" w:name="_Toc32310"/>
      <w:bookmarkStart w:id="566" w:name="_Toc22367"/>
      <w:bookmarkStart w:id="567" w:name="_Toc7198"/>
      <w:bookmarkStart w:id="568" w:name="_Toc25386"/>
      <w:bookmarkStart w:id="569" w:name="_Toc28185"/>
      <w:bookmarkStart w:id="570" w:name="_Toc27375"/>
      <w:bookmarkStart w:id="571" w:name="_Toc19395"/>
      <w:bookmarkStart w:id="572" w:name="_Toc13854"/>
      <w:bookmarkStart w:id="573" w:name="_Toc24296"/>
      <w:bookmarkStart w:id="574" w:name="_Toc471482377"/>
      <w:bookmarkStart w:id="575" w:name="_Toc19365"/>
      <w:bookmarkStart w:id="576" w:name="_Toc15663"/>
      <w:bookmarkStart w:id="577" w:name="_Toc10183"/>
      <w:bookmarkStart w:id="578" w:name="_Toc19593"/>
      <w:bookmarkStart w:id="579" w:name="_Toc17415"/>
      <w:bookmarkStart w:id="580" w:name="_Toc14432"/>
      <w:r>
        <w:rPr>
          <w:rFonts w:hint="eastAsia" w:ascii="宋体" w:hAnsi="宋体" w:cs="仿宋"/>
          <w:szCs w:val="28"/>
          <w:highlight w:val="none"/>
        </w:rPr>
        <w:t>四、中选标准</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spacing w:line="480" w:lineRule="exact"/>
        <w:ind w:firstLine="560" w:firstLineChars="200"/>
        <w:rPr>
          <w:rFonts w:ascii="宋体" w:cs="仿宋"/>
          <w:sz w:val="28"/>
          <w:szCs w:val="28"/>
          <w:highlight w:val="none"/>
        </w:rPr>
      </w:pPr>
      <w:r>
        <w:rPr>
          <w:rFonts w:hint="eastAsia" w:ascii="宋体" w:hAnsi="宋体" w:cs="仿宋"/>
          <w:sz w:val="28"/>
          <w:szCs w:val="28"/>
          <w:highlight w:val="none"/>
        </w:rPr>
        <w:t>评审小组将按照综合得分进行排序，得分最高的排名第一（当综合得分相同时，按照技术部分得分由高到低顺序排列</w:t>
      </w:r>
      <w:r>
        <w:rPr>
          <w:rFonts w:hint="eastAsia" w:ascii="宋体" w:hAnsi="宋体" w:cs="仿宋"/>
          <w:sz w:val="28"/>
          <w:szCs w:val="28"/>
          <w:highlight w:val="none"/>
          <w:lang w:val="en-US" w:eastAsia="zh-CN"/>
        </w:rPr>
        <w:t>；当综合得分且技术部分得分相同的，</w:t>
      </w:r>
      <w:r>
        <w:rPr>
          <w:rFonts w:hint="eastAsia" w:ascii="宋体" w:hAnsi="宋体" w:cs="仿宋"/>
          <w:sz w:val="28"/>
          <w:szCs w:val="28"/>
          <w:highlight w:val="none"/>
        </w:rPr>
        <w:t>按报价由低到高顺序排列；如意见不一致时，以记名方式投票并按照多数评审意见确定）。如排名第一的比选候选人放弃中选、因不可抗力不能履行合同，或者被查实存在影响比选结果的违法行为等情形，不符合比选条件的，比选发起人可以按照评审小组提出的中选候选人名单排序依次确定其他中选候选人为中选人，也可以重新比选。</w:t>
      </w:r>
    </w:p>
    <w:p>
      <w:pPr>
        <w:pStyle w:val="13"/>
        <w:pageBreakBefore/>
        <w:widowControl/>
        <w:adjustRightInd/>
        <w:snapToGrid w:val="0"/>
        <w:spacing w:line="600" w:lineRule="exact"/>
        <w:jc w:val="center"/>
        <w:outlineLvl w:val="0"/>
        <w:rPr>
          <w:rStyle w:val="57"/>
          <w:rFonts w:ascii="宋体" w:hAnsi="宋体" w:eastAsia="宋体" w:cs="方正小标宋简体"/>
          <w:bCs/>
          <w:sz w:val="28"/>
          <w:szCs w:val="28"/>
          <w:highlight w:val="none"/>
        </w:rPr>
      </w:pPr>
      <w:bookmarkStart w:id="581" w:name="_Toc8402"/>
      <w:bookmarkStart w:id="582" w:name="_Toc28535"/>
      <w:bookmarkStart w:id="583" w:name="_Toc9597"/>
      <w:bookmarkStart w:id="584" w:name="_Toc100643475"/>
      <w:bookmarkStart w:id="585" w:name="_Toc28135"/>
      <w:bookmarkStart w:id="586" w:name="_Toc21321"/>
      <w:bookmarkStart w:id="587" w:name="_Toc30897"/>
      <w:bookmarkStart w:id="588" w:name="_Toc26409"/>
      <w:bookmarkStart w:id="589" w:name="_Toc5010"/>
      <w:bookmarkStart w:id="590" w:name="_Toc25061"/>
      <w:bookmarkStart w:id="591" w:name="_Toc20298"/>
      <w:bookmarkStart w:id="592" w:name="_Toc492478835"/>
      <w:bookmarkStart w:id="593" w:name="_Toc16754"/>
      <w:bookmarkStart w:id="594" w:name="_Toc13941"/>
      <w:bookmarkStart w:id="595" w:name="_Toc14566"/>
      <w:bookmarkStart w:id="596" w:name="_Toc31681"/>
      <w:bookmarkStart w:id="597" w:name="_Toc1299"/>
      <w:bookmarkStart w:id="598" w:name="_Toc1144"/>
      <w:bookmarkStart w:id="599" w:name="_Toc26446"/>
      <w:bookmarkStart w:id="600" w:name="_Toc26468"/>
      <w:bookmarkStart w:id="601" w:name="_Toc14659"/>
      <w:bookmarkStart w:id="602" w:name="_Toc12314"/>
      <w:bookmarkStart w:id="603" w:name="_Toc18668"/>
      <w:bookmarkStart w:id="604" w:name="_Toc328"/>
      <w:bookmarkStart w:id="605" w:name="_Toc6454"/>
      <w:bookmarkStart w:id="606" w:name="_Toc26741"/>
      <w:bookmarkStart w:id="607" w:name="_Toc6337"/>
      <w:bookmarkStart w:id="608" w:name="_Toc12695"/>
      <w:r>
        <w:rPr>
          <w:rStyle w:val="57"/>
          <w:rFonts w:hint="eastAsia" w:ascii="宋体" w:hAnsi="宋体" w:eastAsia="宋体" w:cs="方正小标宋简体"/>
          <w:bCs/>
          <w:sz w:val="28"/>
          <w:szCs w:val="28"/>
          <w:highlight w:val="none"/>
        </w:rPr>
        <w:t>第五章</w:t>
      </w:r>
      <w:r>
        <w:rPr>
          <w:rStyle w:val="57"/>
          <w:rFonts w:ascii="宋体" w:hAnsi="宋体" w:eastAsia="宋体" w:cs="方正小标宋简体"/>
          <w:bCs/>
          <w:sz w:val="28"/>
          <w:szCs w:val="28"/>
          <w:highlight w:val="none"/>
        </w:rPr>
        <w:t xml:space="preserve"> </w:t>
      </w:r>
      <w:r>
        <w:rPr>
          <w:rStyle w:val="57"/>
          <w:rFonts w:hint="eastAsia" w:ascii="宋体" w:hAnsi="宋体" w:eastAsia="宋体" w:cs="方正小标宋简体"/>
          <w:bCs/>
          <w:sz w:val="28"/>
          <w:szCs w:val="28"/>
          <w:highlight w:val="none"/>
        </w:rPr>
        <w:t>用户需求书</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numPr>
          <w:ilvl w:val="255"/>
          <w:numId w:val="0"/>
        </w:numPr>
        <w:snapToGrid w:val="0"/>
        <w:spacing w:line="240" w:lineRule="auto"/>
        <w:jc w:val="center"/>
        <w:textAlignment w:val="baseline"/>
        <w:rPr>
          <w:rFonts w:ascii="宋体" w:cs="仿宋"/>
          <w:b/>
          <w:color w:val="000000"/>
          <w:kern w:val="58"/>
          <w:sz w:val="18"/>
          <w:szCs w:val="18"/>
          <w:highlight w:val="none"/>
        </w:rPr>
      </w:pPr>
      <w:bookmarkStart w:id="609" w:name="_Toc72762753"/>
    </w:p>
    <w:p>
      <w:pPr>
        <w:keepNext w:val="0"/>
        <w:keepLines w:val="0"/>
        <w:pageBreakBefore w:val="0"/>
        <w:widowControl/>
        <w:numPr>
          <w:ilvl w:val="255"/>
          <w:numId w:val="0"/>
        </w:numPr>
        <w:kinsoku/>
        <w:wordWrap/>
        <w:overflowPunct/>
        <w:topLinePunct w:val="0"/>
        <w:autoSpaceDE/>
        <w:autoSpaceDN/>
        <w:bidi w:val="0"/>
        <w:adjustRightInd/>
        <w:snapToGrid w:val="0"/>
        <w:spacing w:line="540" w:lineRule="exact"/>
        <w:ind w:firstLine="560" w:firstLineChars="200"/>
        <w:textAlignment w:val="baseline"/>
        <w:outlineLvl w:val="1"/>
        <w:rPr>
          <w:rFonts w:ascii="仿宋" w:hAnsi="仿宋" w:eastAsia="仿宋" w:cs="仿宋"/>
          <w:b/>
          <w:color w:val="000000"/>
          <w:kern w:val="58"/>
          <w:sz w:val="28"/>
          <w:szCs w:val="28"/>
          <w:highlight w:val="none"/>
        </w:rPr>
      </w:pPr>
      <w:r>
        <w:rPr>
          <w:rFonts w:hint="eastAsia" w:ascii="黑体" w:hAnsi="黑体" w:eastAsia="黑体" w:cs="黑体"/>
          <w:bCs/>
          <w:color w:val="000000"/>
          <w:kern w:val="58"/>
          <w:sz w:val="28"/>
          <w:szCs w:val="28"/>
          <w:highlight w:val="none"/>
        </w:rPr>
        <w:t>一、技术需求及数量表</w:t>
      </w:r>
      <w:bookmarkEnd w:id="609"/>
    </w:p>
    <w:p>
      <w:pPr>
        <w:keepNext w:val="0"/>
        <w:keepLines w:val="0"/>
        <w:pageBreakBefore w:val="0"/>
        <w:widowControl w:val="0"/>
        <w:kinsoku/>
        <w:wordWrap/>
        <w:overflowPunct/>
        <w:topLinePunct w:val="0"/>
        <w:autoSpaceDE/>
        <w:autoSpaceDN/>
        <w:bidi w:val="0"/>
        <w:adjustRightInd/>
        <w:snapToGrid w:val="0"/>
        <w:spacing w:line="540" w:lineRule="exact"/>
        <w:ind w:firstLine="560" w:firstLineChars="200"/>
        <w:textAlignment w:val="baseline"/>
        <w:outlineLvl w:val="2"/>
        <w:rPr>
          <w:rFonts w:ascii="楷体" w:hAnsi="楷体" w:eastAsia="楷体" w:cs="楷体"/>
          <w:sz w:val="28"/>
          <w:szCs w:val="28"/>
          <w:highlight w:val="none"/>
        </w:rPr>
      </w:pPr>
      <w:r>
        <w:rPr>
          <w:rFonts w:hint="eastAsia" w:ascii="楷体" w:hAnsi="楷体" w:eastAsia="楷体" w:cs="楷体"/>
          <w:sz w:val="28"/>
          <w:szCs w:val="28"/>
          <w:highlight w:val="none"/>
        </w:rPr>
        <w:t>（一）</w:t>
      </w:r>
      <w:r>
        <w:rPr>
          <w:rFonts w:hint="eastAsia" w:ascii="楷体" w:hAnsi="楷体" w:eastAsia="楷体" w:cs="楷体"/>
          <w:sz w:val="28"/>
          <w:szCs w:val="28"/>
          <w:highlight w:val="none"/>
          <w:lang w:val="en-US" w:eastAsia="zh-CN"/>
        </w:rPr>
        <w:t>审计</w:t>
      </w:r>
      <w:r>
        <w:rPr>
          <w:rFonts w:hint="eastAsia" w:ascii="楷体" w:hAnsi="楷体" w:eastAsia="楷体" w:cs="楷体"/>
          <w:sz w:val="28"/>
          <w:szCs w:val="28"/>
          <w:highlight w:val="none"/>
        </w:rPr>
        <w:t>目标</w:t>
      </w:r>
    </w:p>
    <w:p>
      <w:pPr>
        <w:keepNext w:val="0"/>
        <w:keepLines w:val="0"/>
        <w:pageBreakBefore w:val="0"/>
        <w:kinsoku/>
        <w:wordWrap/>
        <w:overflowPunct/>
        <w:topLinePunct w:val="0"/>
        <w:autoSpaceDE/>
        <w:autoSpaceDN/>
        <w:bidi w:val="0"/>
        <w:adjustRightInd w:val="0"/>
        <w:snapToGrid w:val="0"/>
        <w:spacing w:line="540" w:lineRule="exact"/>
        <w:ind w:firstLine="560" w:firstLineChars="200"/>
        <w:textAlignment w:val="baseline"/>
        <w:rPr>
          <w:rFonts w:ascii="仿宋" w:hAnsi="仿宋" w:eastAsia="仿宋" w:cs="仿宋"/>
          <w:sz w:val="28"/>
          <w:szCs w:val="28"/>
          <w:highlight w:val="none"/>
        </w:rPr>
      </w:pPr>
      <w:r>
        <w:rPr>
          <w:rFonts w:hint="eastAsia" w:ascii="仿宋" w:hAnsi="仿宋" w:eastAsia="仿宋" w:cs="仿宋"/>
          <w:sz w:val="28"/>
          <w:szCs w:val="28"/>
          <w:highlight w:val="none"/>
        </w:rPr>
        <w:t>根据《中华人民共和国招标投标法》《中华人民共和国招标投标法实施条例》《广西壮族自治区企业国有资产交易监督管理办法》《中华人民共和国民法典》《企业内部控制基本规范》及其他相关法律法规、规章制度，以及南宁轨道交通集团有限责任公司、南宁轨道交通运营有限公司招标采购、物资管理等相关制度开展工作，对</w:t>
      </w:r>
      <w:r>
        <w:rPr>
          <w:rFonts w:hint="eastAsia" w:ascii="仿宋" w:hAnsi="仿宋" w:eastAsia="仿宋" w:cs="仿宋"/>
          <w:sz w:val="28"/>
          <w:szCs w:val="28"/>
          <w:highlight w:val="none"/>
          <w:lang w:eastAsia="zh-CN"/>
        </w:rPr>
        <w:t>南宁轨道交通运营有限公司</w:t>
      </w:r>
      <w:r>
        <w:rPr>
          <w:rFonts w:hint="eastAsia" w:ascii="仿宋" w:hAnsi="仿宋" w:eastAsia="仿宋" w:cs="仿宋"/>
          <w:sz w:val="28"/>
          <w:szCs w:val="28"/>
          <w:highlight w:val="none"/>
        </w:rPr>
        <w:t>2021年至2022年物资管理内控建设及执行情况开展审计，包括内控建设的合法合规合理性及执行的效率效果等情况，作出客观公正、实事求是的评价，出具南宁轨道交通运营有限公司2021年至2022年物资管理内控建设及执行情况专项审计报告及管理建议书，并经南宁轨道交通集团有限责任公司审批通过。</w:t>
      </w:r>
      <w:r>
        <w:rPr>
          <w:rFonts w:hint="eastAsia" w:ascii="仿宋" w:hAnsi="仿宋" w:eastAsia="仿宋" w:cs="仿宋"/>
          <w:sz w:val="28"/>
          <w:szCs w:val="28"/>
          <w:highlight w:val="none"/>
          <w:lang w:val="en-US" w:eastAsia="zh-CN"/>
        </w:rPr>
        <w:t>审计</w:t>
      </w:r>
      <w:r>
        <w:rPr>
          <w:rFonts w:hint="eastAsia" w:ascii="仿宋" w:hAnsi="仿宋" w:eastAsia="仿宋" w:cs="仿宋"/>
          <w:sz w:val="28"/>
          <w:szCs w:val="28"/>
          <w:highlight w:val="none"/>
        </w:rPr>
        <w:t>重点主要包括但不仅限于以下内容：</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1.关注南宁轨道交通运营有限公司物资采购、验收、领用、盘点、处置等全流程相关制度的建立健全情况，设计是否合理，与采购相关的内部控制是否等到有效执行；</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2.关注采购环节相关岗位设置是否符合不相容岗位相互分离的原则。</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3.关注物资采购计划编制、执行及变更的合规性、合理性、及时性，是否存在采购计划编制、执行及变更流程不符合规章制度的情形；是否存在计划安排不合理导致短缺、积压可能导致企业生产停滞或资源浪费的情形，是否存在不及时编制或执行采购计划等人为制造紧急采购等情形；</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4.关注采购方式是否符合相关规定，采购方式选择的决策流程是否符合内部控制指引的规定；</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5.关注评标或评审人员的选定、资质、专业、数量等是否符合相关规定；</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6.关注评标或评审程序的合法合规性，是否按法律法规、公司规章制度对投标人资格、投标文件等进行审查，是否存在围标、串标等损害南宁轨道交通运营有限公司利益等情形，评标或评审的过程和成果记录是否完整；</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7.关注验收流程的合法合规性，验收人员组成是否符合不相容岗位互相分离原则，是否按合同约定的品牌、规格型号、数量、质量等要素验收，相关验收人员签字是否齐全，验收入库登记是否正确；</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8.关注物资存放和移动是否符合相关规定，管理职责是否清晰、制衡，是否存在非物资管理、监督、仓储人员在未经授权情况下接触物资等情形；</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9.关注物资领用手续是否完整，计量计价是否准确，账务处理是否正确，成本消耗是否存在异常；</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10.关注物资盘点程序是否符合相关规定，盘点人员组成是否合规合理，组织实施是否有序，盘盈盘亏处置是否符合规定，盘点各环节的审核签字手续是否完备，是否按规定出具盘点报告等；</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11.关注损坏、废旧等物资的管理是否符合相关规定，对具有回收价值的物资或危旧物资，存放保管是否安全，处置是否合法合规合理；</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12.物资各归口管理部门、生产技术部、财务部的物资台账登记是否完整、连续，账账是否相符；</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13.是否存在长期积压、大量在途物资情形，并分析形成原因；</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14.其他涉及物资管理的合法合规合理情况；</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15.集团公司关注的其他事项情况。</w:t>
      </w:r>
    </w:p>
    <w:p>
      <w:pPr>
        <w:keepNext w:val="0"/>
        <w:keepLines w:val="0"/>
        <w:pageBreakBefore w:val="0"/>
        <w:widowControl w:val="0"/>
        <w:kinsoku/>
        <w:wordWrap/>
        <w:overflowPunct/>
        <w:topLinePunct w:val="0"/>
        <w:autoSpaceDE/>
        <w:autoSpaceDN/>
        <w:bidi w:val="0"/>
        <w:adjustRightInd/>
        <w:snapToGrid w:val="0"/>
        <w:spacing w:line="540" w:lineRule="exact"/>
        <w:ind w:firstLine="560" w:firstLineChars="200"/>
        <w:textAlignment w:val="baseline"/>
        <w:outlineLvl w:val="2"/>
        <w:rPr>
          <w:rFonts w:hint="eastAsia" w:ascii="楷体" w:hAnsi="楷体" w:eastAsia="楷体" w:cs="楷体"/>
          <w:sz w:val="28"/>
          <w:szCs w:val="28"/>
          <w:highlight w:val="none"/>
        </w:rPr>
      </w:pPr>
      <w:r>
        <w:rPr>
          <w:rFonts w:hint="eastAsia" w:ascii="楷体" w:hAnsi="楷体" w:eastAsia="楷体" w:cs="楷体"/>
          <w:sz w:val="28"/>
          <w:szCs w:val="28"/>
          <w:highlight w:val="none"/>
        </w:rPr>
        <w:t>（二）</w:t>
      </w:r>
      <w:r>
        <w:rPr>
          <w:rFonts w:hint="eastAsia" w:ascii="楷体" w:hAnsi="楷体" w:eastAsia="楷体" w:cs="楷体"/>
          <w:sz w:val="28"/>
          <w:szCs w:val="28"/>
          <w:highlight w:val="none"/>
          <w:lang w:val="en-US" w:eastAsia="zh-CN"/>
        </w:rPr>
        <w:t>审计</w:t>
      </w:r>
      <w:r>
        <w:rPr>
          <w:rFonts w:hint="eastAsia" w:ascii="楷体" w:hAnsi="楷体" w:eastAsia="楷体" w:cs="楷体"/>
          <w:sz w:val="28"/>
          <w:szCs w:val="28"/>
          <w:highlight w:val="none"/>
        </w:rPr>
        <w:t>对象、范围</w:t>
      </w:r>
    </w:p>
    <w:p>
      <w:pPr>
        <w:pStyle w:val="55"/>
        <w:pageBreakBefore w:val="0"/>
        <w:widowControl w:val="0"/>
        <w:shd w:val="clear" w:color="auto" w:fill="auto"/>
        <w:kinsoku/>
        <w:wordWrap/>
        <w:overflowPunct/>
        <w:topLinePunct w:val="0"/>
        <w:autoSpaceDE/>
        <w:autoSpaceDN/>
        <w:bidi w:val="0"/>
        <w:adjustRightInd/>
        <w:snapToGrid/>
        <w:spacing w:before="0" w:after="0" w:line="540" w:lineRule="exact"/>
        <w:ind w:right="0" w:firstLine="562" w:firstLineChars="200"/>
        <w:jc w:val="both"/>
        <w:textAlignment w:val="auto"/>
        <w:rPr>
          <w:rFonts w:hint="eastAsia" w:ascii="仿宋" w:hAnsi="仿宋" w:eastAsia="仿宋" w:cs="仿宋"/>
          <w:b w:val="0"/>
          <w:bCs w:val="0"/>
          <w:kern w:val="2"/>
          <w:sz w:val="28"/>
          <w:szCs w:val="28"/>
          <w:highlight w:val="none"/>
          <w:lang w:val="en-US" w:eastAsia="zh-CN" w:bidi="ar-SA"/>
        </w:rPr>
      </w:pPr>
      <w:r>
        <w:rPr>
          <w:rFonts w:hint="eastAsia" w:ascii="仿宋" w:hAnsi="仿宋" w:eastAsia="仿宋" w:cs="仿宋"/>
          <w:b/>
          <w:bCs/>
          <w:sz w:val="28"/>
          <w:szCs w:val="28"/>
          <w:highlight w:val="none"/>
          <w:lang w:val="en-US" w:eastAsia="zh-CN"/>
        </w:rPr>
        <w:t>审计对象：</w:t>
      </w:r>
      <w:r>
        <w:rPr>
          <w:rFonts w:hint="eastAsia" w:ascii="仿宋" w:hAnsi="仿宋" w:eastAsia="仿宋" w:cs="仿宋"/>
          <w:b w:val="0"/>
          <w:bCs w:val="0"/>
          <w:kern w:val="2"/>
          <w:sz w:val="28"/>
          <w:szCs w:val="28"/>
          <w:highlight w:val="none"/>
          <w:lang w:val="en-US" w:eastAsia="zh-CN" w:bidi="ar-SA"/>
        </w:rPr>
        <w:t>南宁轨道交通运营有限公司2021年至2022年物资管理内控建设及执行情况。</w:t>
      </w:r>
    </w:p>
    <w:p>
      <w:pPr>
        <w:keepNext w:val="0"/>
        <w:keepLines w:val="0"/>
        <w:pageBreakBefore w:val="0"/>
        <w:kinsoku/>
        <w:wordWrap/>
        <w:overflowPunct/>
        <w:topLinePunct w:val="0"/>
        <w:autoSpaceDE/>
        <w:autoSpaceDN/>
        <w:bidi w:val="0"/>
        <w:snapToGrid w:val="0"/>
        <w:spacing w:line="540" w:lineRule="exact"/>
        <w:ind w:firstLine="562"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bCs/>
          <w:sz w:val="28"/>
          <w:szCs w:val="28"/>
          <w:highlight w:val="none"/>
          <w:lang w:val="en-US" w:eastAsia="zh-CN"/>
        </w:rPr>
        <w:t>审计范围：</w:t>
      </w:r>
      <w:r>
        <w:rPr>
          <w:rFonts w:hint="eastAsia" w:ascii="仿宋" w:hAnsi="仿宋" w:eastAsia="仿宋" w:cs="仿宋"/>
          <w:b w:val="0"/>
          <w:bCs w:val="0"/>
          <w:sz w:val="28"/>
          <w:szCs w:val="28"/>
          <w:highlight w:val="none"/>
          <w:lang w:val="en-US" w:eastAsia="zh-CN"/>
        </w:rPr>
        <w:t>2021年1月至2022年12月，必要时追溯到相关年度或延伸审计有关单位（部门）。</w:t>
      </w:r>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MingLiU">
    <w:altName w:val="PMingLiU-ExtB"/>
    <w:panose1 w:val="02020509000000000000"/>
    <w:charset w:val="88"/>
    <w:family w:val="moder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097" o:spid="_x0000_s4097" o:spt="202" type="#_x0000_t202" style="position:absolute;left:0pt;margin-top:0pt;height:12.4pt;width:23.3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t>第</w:t>
                </w:r>
                <w:r>
                  <w:rPr>
                    <w:sz w:val="18"/>
                  </w:rPr>
                  <w:fldChar w:fldCharType="begin"/>
                </w:r>
                <w:r>
                  <w:rPr>
                    <w:sz w:val="18"/>
                  </w:rPr>
                  <w:instrText xml:space="preserve"> PAGE  \* MERGEFORMAT </w:instrText>
                </w:r>
                <w:r>
                  <w:rPr>
                    <w:sz w:val="18"/>
                  </w:rPr>
                  <w:fldChar w:fldCharType="separate"/>
                </w:r>
                <w:r>
                  <w:t>17</w:t>
                </w:r>
                <w:r>
                  <w:rPr>
                    <w:sz w:val="18"/>
                  </w:rPr>
                  <w:fldChar w:fldCharType="end"/>
                </w:r>
                <w:r>
                  <w:rPr>
                    <w:rFonts w:hint="eastAsia"/>
                    <w:sz w:val="18"/>
                  </w:rPr>
                  <w:t>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文本框5" o:spid="_x0000_s4098" o:spt="202" type="#_x0000_t202" style="position:absolute;left:0pt;margin-top:0pt;height:12.4pt;width:33.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t>第</w:t>
                </w:r>
                <w:r>
                  <w:rPr>
                    <w:sz w:val="18"/>
                  </w:rPr>
                  <w:fldChar w:fldCharType="begin"/>
                </w:r>
                <w:r>
                  <w:rPr>
                    <w:sz w:val="18"/>
                  </w:rPr>
                  <w:instrText xml:space="preserve"> PAGE  \* MERGEFORMAT </w:instrText>
                </w:r>
                <w:r>
                  <w:rPr>
                    <w:sz w:val="18"/>
                  </w:rPr>
                  <w:fldChar w:fldCharType="separate"/>
                </w:r>
                <w:r>
                  <w:t>41</w:t>
                </w:r>
                <w:r>
                  <w:rPr>
                    <w:sz w:val="18"/>
                  </w:rPr>
                  <w:fldChar w:fldCharType="end"/>
                </w:r>
                <w:r>
                  <w:rPr>
                    <w:rFonts w:hint="eastAsia"/>
                    <w:sz w:val="18"/>
                  </w:rPr>
                  <w:t>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290778"/>
    <w:multiLevelType w:val="singleLevel"/>
    <w:tmpl w:val="8B290778"/>
    <w:lvl w:ilvl="0" w:tentative="0">
      <w:start w:val="1"/>
      <w:numFmt w:val="chineseCounting"/>
      <w:suff w:val="nothing"/>
      <w:lvlText w:val="%1、"/>
      <w:lvlJc w:val="left"/>
      <w:rPr>
        <w:rFonts w:hint="eastAsia"/>
      </w:rPr>
    </w:lvl>
  </w:abstractNum>
  <w:abstractNum w:abstractNumId="1">
    <w:nsid w:val="EEEF4CCC"/>
    <w:multiLevelType w:val="singleLevel"/>
    <w:tmpl w:val="EEEF4CCC"/>
    <w:lvl w:ilvl="0" w:tentative="0">
      <w:start w:val="1"/>
      <w:numFmt w:val="decimal"/>
      <w:lvlText w:val="%1."/>
      <w:lvlJc w:val="left"/>
      <w:pPr>
        <w:tabs>
          <w:tab w:val="left" w:pos="312"/>
        </w:tabs>
      </w:pPr>
    </w:lvl>
  </w:abstractNum>
  <w:abstractNum w:abstractNumId="2">
    <w:nsid w:val="28C8FEF5"/>
    <w:multiLevelType w:val="singleLevel"/>
    <w:tmpl w:val="28C8FEF5"/>
    <w:lvl w:ilvl="0" w:tentative="0">
      <w:start w:val="9"/>
      <w:numFmt w:val="chineseCounting"/>
      <w:suff w:val="nothing"/>
      <w:lvlText w:val="%1、"/>
      <w:lvlJc w:val="left"/>
      <w:rPr>
        <w:rFonts w:hint="eastAsia" w:cs="Times New Roman"/>
      </w:rPr>
    </w:lvl>
  </w:abstractNum>
  <w:abstractNum w:abstractNumId="3">
    <w:nsid w:val="52ABEA66"/>
    <w:multiLevelType w:val="singleLevel"/>
    <w:tmpl w:val="52ABEA66"/>
    <w:lvl w:ilvl="0" w:tentative="0">
      <w:start w:val="3"/>
      <w:numFmt w:val="chineseCounting"/>
      <w:suff w:val="space"/>
      <w:lvlText w:val="第%1章"/>
      <w:lvlJc w:val="left"/>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zcwYjUyYWEzNDhkOTNiY2MxNzE1N2I4YzdiMWRlZjYifQ=="/>
    <w:docVar w:name="KSO_WPS_MARK_KEY" w:val="fb463319-963e-4835-b8a1-aa9826869839"/>
  </w:docVars>
  <w:rsids>
    <w:rsidRoot w:val="00172A27"/>
    <w:rsid w:val="00002B51"/>
    <w:rsid w:val="00004008"/>
    <w:rsid w:val="00004A25"/>
    <w:rsid w:val="00004D1D"/>
    <w:rsid w:val="00006245"/>
    <w:rsid w:val="00006C07"/>
    <w:rsid w:val="00006E49"/>
    <w:rsid w:val="00007092"/>
    <w:rsid w:val="00007885"/>
    <w:rsid w:val="00010DF1"/>
    <w:rsid w:val="00011A3B"/>
    <w:rsid w:val="00011A63"/>
    <w:rsid w:val="000121F0"/>
    <w:rsid w:val="000133ED"/>
    <w:rsid w:val="00013699"/>
    <w:rsid w:val="00013C92"/>
    <w:rsid w:val="000152A8"/>
    <w:rsid w:val="000158C4"/>
    <w:rsid w:val="00015BF7"/>
    <w:rsid w:val="00016D41"/>
    <w:rsid w:val="00016E1C"/>
    <w:rsid w:val="00017A1B"/>
    <w:rsid w:val="0002218A"/>
    <w:rsid w:val="000246E0"/>
    <w:rsid w:val="0002500A"/>
    <w:rsid w:val="00025256"/>
    <w:rsid w:val="000254A0"/>
    <w:rsid w:val="0002675F"/>
    <w:rsid w:val="00026993"/>
    <w:rsid w:val="00026FFC"/>
    <w:rsid w:val="00027E27"/>
    <w:rsid w:val="000318D8"/>
    <w:rsid w:val="00037691"/>
    <w:rsid w:val="000414D1"/>
    <w:rsid w:val="00042228"/>
    <w:rsid w:val="0004665C"/>
    <w:rsid w:val="00047299"/>
    <w:rsid w:val="000473D4"/>
    <w:rsid w:val="00047F27"/>
    <w:rsid w:val="00050E7F"/>
    <w:rsid w:val="00052B63"/>
    <w:rsid w:val="00054F81"/>
    <w:rsid w:val="0005651D"/>
    <w:rsid w:val="00057BDC"/>
    <w:rsid w:val="00062107"/>
    <w:rsid w:val="0007095D"/>
    <w:rsid w:val="000721B2"/>
    <w:rsid w:val="00072A19"/>
    <w:rsid w:val="0007429E"/>
    <w:rsid w:val="000765B5"/>
    <w:rsid w:val="00076DF2"/>
    <w:rsid w:val="00081999"/>
    <w:rsid w:val="00083154"/>
    <w:rsid w:val="0008406D"/>
    <w:rsid w:val="000843B4"/>
    <w:rsid w:val="00084B2A"/>
    <w:rsid w:val="000871E2"/>
    <w:rsid w:val="00090EC8"/>
    <w:rsid w:val="00091253"/>
    <w:rsid w:val="00094668"/>
    <w:rsid w:val="000971C8"/>
    <w:rsid w:val="000A4B9C"/>
    <w:rsid w:val="000A5B69"/>
    <w:rsid w:val="000A6250"/>
    <w:rsid w:val="000B0BA3"/>
    <w:rsid w:val="000B1064"/>
    <w:rsid w:val="000B1107"/>
    <w:rsid w:val="000B2862"/>
    <w:rsid w:val="000B39B7"/>
    <w:rsid w:val="000B6659"/>
    <w:rsid w:val="000B7BBC"/>
    <w:rsid w:val="000C2B82"/>
    <w:rsid w:val="000C488A"/>
    <w:rsid w:val="000C4E33"/>
    <w:rsid w:val="000C69D0"/>
    <w:rsid w:val="000C69DD"/>
    <w:rsid w:val="000D0354"/>
    <w:rsid w:val="000D58F6"/>
    <w:rsid w:val="000D5C3F"/>
    <w:rsid w:val="000D5E8D"/>
    <w:rsid w:val="000D5FD2"/>
    <w:rsid w:val="000D67D8"/>
    <w:rsid w:val="000D7E70"/>
    <w:rsid w:val="000E03A8"/>
    <w:rsid w:val="000E11C7"/>
    <w:rsid w:val="000E3A4D"/>
    <w:rsid w:val="000E3EF7"/>
    <w:rsid w:val="000E5816"/>
    <w:rsid w:val="000E59C4"/>
    <w:rsid w:val="000E6869"/>
    <w:rsid w:val="000F032E"/>
    <w:rsid w:val="000F0956"/>
    <w:rsid w:val="000F1C10"/>
    <w:rsid w:val="000F2D03"/>
    <w:rsid w:val="000F36DC"/>
    <w:rsid w:val="000F4134"/>
    <w:rsid w:val="000F453A"/>
    <w:rsid w:val="000F5090"/>
    <w:rsid w:val="000F5CAA"/>
    <w:rsid w:val="00100558"/>
    <w:rsid w:val="00100DB4"/>
    <w:rsid w:val="00100DD8"/>
    <w:rsid w:val="001014A5"/>
    <w:rsid w:val="00104022"/>
    <w:rsid w:val="00104172"/>
    <w:rsid w:val="00104382"/>
    <w:rsid w:val="00104A6A"/>
    <w:rsid w:val="00106405"/>
    <w:rsid w:val="00107C43"/>
    <w:rsid w:val="00111B38"/>
    <w:rsid w:val="00111C5D"/>
    <w:rsid w:val="00111EE3"/>
    <w:rsid w:val="001144D2"/>
    <w:rsid w:val="0011630A"/>
    <w:rsid w:val="00117DCA"/>
    <w:rsid w:val="001202B5"/>
    <w:rsid w:val="00124D07"/>
    <w:rsid w:val="00125175"/>
    <w:rsid w:val="001255FC"/>
    <w:rsid w:val="00125FC1"/>
    <w:rsid w:val="00126543"/>
    <w:rsid w:val="00127D4A"/>
    <w:rsid w:val="001330C5"/>
    <w:rsid w:val="001332EA"/>
    <w:rsid w:val="00135714"/>
    <w:rsid w:val="00135E2A"/>
    <w:rsid w:val="001365C6"/>
    <w:rsid w:val="00137E71"/>
    <w:rsid w:val="001413BC"/>
    <w:rsid w:val="0014338D"/>
    <w:rsid w:val="0014456C"/>
    <w:rsid w:val="001449DE"/>
    <w:rsid w:val="00150488"/>
    <w:rsid w:val="00153375"/>
    <w:rsid w:val="00153BCB"/>
    <w:rsid w:val="00154126"/>
    <w:rsid w:val="00154909"/>
    <w:rsid w:val="00155A9D"/>
    <w:rsid w:val="00157582"/>
    <w:rsid w:val="0015794B"/>
    <w:rsid w:val="0016414A"/>
    <w:rsid w:val="001662B3"/>
    <w:rsid w:val="001662F2"/>
    <w:rsid w:val="001663DA"/>
    <w:rsid w:val="00170EBD"/>
    <w:rsid w:val="001713FC"/>
    <w:rsid w:val="001717CC"/>
    <w:rsid w:val="00172A27"/>
    <w:rsid w:val="00176048"/>
    <w:rsid w:val="00177BAE"/>
    <w:rsid w:val="00180195"/>
    <w:rsid w:val="0018182F"/>
    <w:rsid w:val="00187C7B"/>
    <w:rsid w:val="00190FB9"/>
    <w:rsid w:val="00191030"/>
    <w:rsid w:val="0019366E"/>
    <w:rsid w:val="00194BAE"/>
    <w:rsid w:val="00196765"/>
    <w:rsid w:val="001A01E7"/>
    <w:rsid w:val="001A5DA1"/>
    <w:rsid w:val="001A7092"/>
    <w:rsid w:val="001A74F7"/>
    <w:rsid w:val="001A7FCC"/>
    <w:rsid w:val="001B0A62"/>
    <w:rsid w:val="001B0FDD"/>
    <w:rsid w:val="001B1E3E"/>
    <w:rsid w:val="001B7505"/>
    <w:rsid w:val="001B7E76"/>
    <w:rsid w:val="001C499E"/>
    <w:rsid w:val="001C4EF7"/>
    <w:rsid w:val="001C54B8"/>
    <w:rsid w:val="001C5BB9"/>
    <w:rsid w:val="001D3F0A"/>
    <w:rsid w:val="001D54D7"/>
    <w:rsid w:val="001D7F3C"/>
    <w:rsid w:val="001E04F0"/>
    <w:rsid w:val="001E07E2"/>
    <w:rsid w:val="001E086F"/>
    <w:rsid w:val="001E3135"/>
    <w:rsid w:val="001E3877"/>
    <w:rsid w:val="001E3FCC"/>
    <w:rsid w:val="001E56AB"/>
    <w:rsid w:val="001E6897"/>
    <w:rsid w:val="001E6FA6"/>
    <w:rsid w:val="001E7BFE"/>
    <w:rsid w:val="001F0714"/>
    <w:rsid w:val="001F10DD"/>
    <w:rsid w:val="001F16A1"/>
    <w:rsid w:val="001F35F6"/>
    <w:rsid w:val="001F3870"/>
    <w:rsid w:val="001F4BDB"/>
    <w:rsid w:val="001F5D48"/>
    <w:rsid w:val="001F701C"/>
    <w:rsid w:val="0020071F"/>
    <w:rsid w:val="00200760"/>
    <w:rsid w:val="00200936"/>
    <w:rsid w:val="00203566"/>
    <w:rsid w:val="00204B8B"/>
    <w:rsid w:val="002055AA"/>
    <w:rsid w:val="00205A6E"/>
    <w:rsid w:val="00207C93"/>
    <w:rsid w:val="00210672"/>
    <w:rsid w:val="002115C2"/>
    <w:rsid w:val="00212D27"/>
    <w:rsid w:val="002134A1"/>
    <w:rsid w:val="0021374F"/>
    <w:rsid w:val="00214422"/>
    <w:rsid w:val="00217254"/>
    <w:rsid w:val="00217C6B"/>
    <w:rsid w:val="00217DD1"/>
    <w:rsid w:val="00220974"/>
    <w:rsid w:val="00220C52"/>
    <w:rsid w:val="0022139E"/>
    <w:rsid w:val="002230F2"/>
    <w:rsid w:val="00225ADC"/>
    <w:rsid w:val="00225B9E"/>
    <w:rsid w:val="002267BB"/>
    <w:rsid w:val="00227BD1"/>
    <w:rsid w:val="00227EA2"/>
    <w:rsid w:val="0023123F"/>
    <w:rsid w:val="00233044"/>
    <w:rsid w:val="00234C00"/>
    <w:rsid w:val="00237C61"/>
    <w:rsid w:val="0024165C"/>
    <w:rsid w:val="00241BF1"/>
    <w:rsid w:val="0024220F"/>
    <w:rsid w:val="002422EC"/>
    <w:rsid w:val="00242EA9"/>
    <w:rsid w:val="002459DE"/>
    <w:rsid w:val="002470C0"/>
    <w:rsid w:val="002472A7"/>
    <w:rsid w:val="00247729"/>
    <w:rsid w:val="00250437"/>
    <w:rsid w:val="002528A0"/>
    <w:rsid w:val="002536AF"/>
    <w:rsid w:val="00254C9E"/>
    <w:rsid w:val="00262DFF"/>
    <w:rsid w:val="00263316"/>
    <w:rsid w:val="00263451"/>
    <w:rsid w:val="00263EEA"/>
    <w:rsid w:val="002651B0"/>
    <w:rsid w:val="002658DA"/>
    <w:rsid w:val="0026672D"/>
    <w:rsid w:val="0026684B"/>
    <w:rsid w:val="00270C77"/>
    <w:rsid w:val="00271F3E"/>
    <w:rsid w:val="0027349F"/>
    <w:rsid w:val="002742AA"/>
    <w:rsid w:val="00275CC8"/>
    <w:rsid w:val="00276ECA"/>
    <w:rsid w:val="00280012"/>
    <w:rsid w:val="00282402"/>
    <w:rsid w:val="00282FAF"/>
    <w:rsid w:val="00283FCC"/>
    <w:rsid w:val="002843C7"/>
    <w:rsid w:val="002866C4"/>
    <w:rsid w:val="00291FEC"/>
    <w:rsid w:val="00293368"/>
    <w:rsid w:val="0029350D"/>
    <w:rsid w:val="00294554"/>
    <w:rsid w:val="0029680C"/>
    <w:rsid w:val="00296D4F"/>
    <w:rsid w:val="002979D7"/>
    <w:rsid w:val="002A05FA"/>
    <w:rsid w:val="002A0884"/>
    <w:rsid w:val="002A26D4"/>
    <w:rsid w:val="002A2901"/>
    <w:rsid w:val="002A5A1A"/>
    <w:rsid w:val="002A7554"/>
    <w:rsid w:val="002A75C4"/>
    <w:rsid w:val="002A7A98"/>
    <w:rsid w:val="002B05FF"/>
    <w:rsid w:val="002B51AA"/>
    <w:rsid w:val="002B5539"/>
    <w:rsid w:val="002B5664"/>
    <w:rsid w:val="002B710B"/>
    <w:rsid w:val="002B74C3"/>
    <w:rsid w:val="002C1563"/>
    <w:rsid w:val="002C254F"/>
    <w:rsid w:val="002C3F22"/>
    <w:rsid w:val="002C4464"/>
    <w:rsid w:val="002C44B1"/>
    <w:rsid w:val="002C4B45"/>
    <w:rsid w:val="002C5102"/>
    <w:rsid w:val="002C552D"/>
    <w:rsid w:val="002C57EF"/>
    <w:rsid w:val="002C61BE"/>
    <w:rsid w:val="002C7300"/>
    <w:rsid w:val="002D06CA"/>
    <w:rsid w:val="002D09F6"/>
    <w:rsid w:val="002D16C9"/>
    <w:rsid w:val="002D1B87"/>
    <w:rsid w:val="002D2471"/>
    <w:rsid w:val="002D2C24"/>
    <w:rsid w:val="002D3A09"/>
    <w:rsid w:val="002D5CD5"/>
    <w:rsid w:val="002D65F7"/>
    <w:rsid w:val="002E05BD"/>
    <w:rsid w:val="002E0B24"/>
    <w:rsid w:val="002E0BCC"/>
    <w:rsid w:val="002E10D0"/>
    <w:rsid w:val="002E41B0"/>
    <w:rsid w:val="002E47C6"/>
    <w:rsid w:val="002E4D62"/>
    <w:rsid w:val="002E6443"/>
    <w:rsid w:val="002E6D50"/>
    <w:rsid w:val="002E6F39"/>
    <w:rsid w:val="002F1056"/>
    <w:rsid w:val="002F1449"/>
    <w:rsid w:val="002F4DBA"/>
    <w:rsid w:val="002F6707"/>
    <w:rsid w:val="00300C77"/>
    <w:rsid w:val="00301494"/>
    <w:rsid w:val="003020C2"/>
    <w:rsid w:val="00302D33"/>
    <w:rsid w:val="003031F8"/>
    <w:rsid w:val="003033FE"/>
    <w:rsid w:val="00304405"/>
    <w:rsid w:val="00304AC6"/>
    <w:rsid w:val="00306511"/>
    <w:rsid w:val="003067AD"/>
    <w:rsid w:val="00307333"/>
    <w:rsid w:val="003110D9"/>
    <w:rsid w:val="003117D9"/>
    <w:rsid w:val="00311BC7"/>
    <w:rsid w:val="0031513B"/>
    <w:rsid w:val="003208C7"/>
    <w:rsid w:val="0032184E"/>
    <w:rsid w:val="00321F90"/>
    <w:rsid w:val="00326138"/>
    <w:rsid w:val="00330B76"/>
    <w:rsid w:val="00331802"/>
    <w:rsid w:val="00331EB2"/>
    <w:rsid w:val="00334F8D"/>
    <w:rsid w:val="00337398"/>
    <w:rsid w:val="00337566"/>
    <w:rsid w:val="0033784C"/>
    <w:rsid w:val="0034058C"/>
    <w:rsid w:val="00341C6C"/>
    <w:rsid w:val="00343658"/>
    <w:rsid w:val="00344C38"/>
    <w:rsid w:val="00344EA4"/>
    <w:rsid w:val="00345496"/>
    <w:rsid w:val="0034733B"/>
    <w:rsid w:val="00350501"/>
    <w:rsid w:val="003507ED"/>
    <w:rsid w:val="0035191D"/>
    <w:rsid w:val="00352F24"/>
    <w:rsid w:val="00355333"/>
    <w:rsid w:val="00355ADB"/>
    <w:rsid w:val="0036247E"/>
    <w:rsid w:val="00362B06"/>
    <w:rsid w:val="00364F8E"/>
    <w:rsid w:val="003657B7"/>
    <w:rsid w:val="00365A1A"/>
    <w:rsid w:val="003746B0"/>
    <w:rsid w:val="00374814"/>
    <w:rsid w:val="00376F95"/>
    <w:rsid w:val="003803D4"/>
    <w:rsid w:val="0038052C"/>
    <w:rsid w:val="00381A61"/>
    <w:rsid w:val="0038264F"/>
    <w:rsid w:val="0038312E"/>
    <w:rsid w:val="003842F0"/>
    <w:rsid w:val="003853DF"/>
    <w:rsid w:val="003863C4"/>
    <w:rsid w:val="00387605"/>
    <w:rsid w:val="003878E6"/>
    <w:rsid w:val="00387B3C"/>
    <w:rsid w:val="00387F20"/>
    <w:rsid w:val="00387FBC"/>
    <w:rsid w:val="00392166"/>
    <w:rsid w:val="00393E7F"/>
    <w:rsid w:val="00393FC8"/>
    <w:rsid w:val="00394F55"/>
    <w:rsid w:val="003954D2"/>
    <w:rsid w:val="00397194"/>
    <w:rsid w:val="003A430C"/>
    <w:rsid w:val="003A4DE9"/>
    <w:rsid w:val="003A6A4D"/>
    <w:rsid w:val="003A7735"/>
    <w:rsid w:val="003B1B29"/>
    <w:rsid w:val="003B2094"/>
    <w:rsid w:val="003B427D"/>
    <w:rsid w:val="003B4A82"/>
    <w:rsid w:val="003B6F49"/>
    <w:rsid w:val="003B7D31"/>
    <w:rsid w:val="003C02CA"/>
    <w:rsid w:val="003C1763"/>
    <w:rsid w:val="003C4311"/>
    <w:rsid w:val="003C766A"/>
    <w:rsid w:val="003C7972"/>
    <w:rsid w:val="003C7C92"/>
    <w:rsid w:val="003C7F0E"/>
    <w:rsid w:val="003D011C"/>
    <w:rsid w:val="003D162C"/>
    <w:rsid w:val="003D27B8"/>
    <w:rsid w:val="003D33D6"/>
    <w:rsid w:val="003D3CD0"/>
    <w:rsid w:val="003D5D3B"/>
    <w:rsid w:val="003D6E24"/>
    <w:rsid w:val="003E27D1"/>
    <w:rsid w:val="003E3E70"/>
    <w:rsid w:val="003E3E74"/>
    <w:rsid w:val="003E510F"/>
    <w:rsid w:val="003E52EC"/>
    <w:rsid w:val="003E55BC"/>
    <w:rsid w:val="003E6D8E"/>
    <w:rsid w:val="003F2167"/>
    <w:rsid w:val="003F3584"/>
    <w:rsid w:val="003F52A4"/>
    <w:rsid w:val="003F5B13"/>
    <w:rsid w:val="003F5E76"/>
    <w:rsid w:val="003F6C46"/>
    <w:rsid w:val="004017C8"/>
    <w:rsid w:val="0040307D"/>
    <w:rsid w:val="004031ED"/>
    <w:rsid w:val="0040386D"/>
    <w:rsid w:val="00405BCC"/>
    <w:rsid w:val="0040627C"/>
    <w:rsid w:val="00410B70"/>
    <w:rsid w:val="0041753C"/>
    <w:rsid w:val="00417A21"/>
    <w:rsid w:val="00417DB0"/>
    <w:rsid w:val="004218F8"/>
    <w:rsid w:val="00423131"/>
    <w:rsid w:val="004251A5"/>
    <w:rsid w:val="0042526B"/>
    <w:rsid w:val="00430979"/>
    <w:rsid w:val="00430B52"/>
    <w:rsid w:val="004334BA"/>
    <w:rsid w:val="00434578"/>
    <w:rsid w:val="00435970"/>
    <w:rsid w:val="0043626D"/>
    <w:rsid w:val="0043640E"/>
    <w:rsid w:val="00437045"/>
    <w:rsid w:val="00442786"/>
    <w:rsid w:val="004444FC"/>
    <w:rsid w:val="004476AA"/>
    <w:rsid w:val="0045021E"/>
    <w:rsid w:val="00450B15"/>
    <w:rsid w:val="00450FEE"/>
    <w:rsid w:val="00452227"/>
    <w:rsid w:val="00452AD2"/>
    <w:rsid w:val="0045560B"/>
    <w:rsid w:val="00455AC3"/>
    <w:rsid w:val="00457035"/>
    <w:rsid w:val="0046006F"/>
    <w:rsid w:val="00460F9E"/>
    <w:rsid w:val="00460FDC"/>
    <w:rsid w:val="00461356"/>
    <w:rsid w:val="00462355"/>
    <w:rsid w:val="00462B7F"/>
    <w:rsid w:val="004635EE"/>
    <w:rsid w:val="004638BB"/>
    <w:rsid w:val="00463D99"/>
    <w:rsid w:val="004651BB"/>
    <w:rsid w:val="0046549A"/>
    <w:rsid w:val="004715C3"/>
    <w:rsid w:val="004737FA"/>
    <w:rsid w:val="00474728"/>
    <w:rsid w:val="004748BA"/>
    <w:rsid w:val="00474A64"/>
    <w:rsid w:val="00475158"/>
    <w:rsid w:val="00475E22"/>
    <w:rsid w:val="004763C9"/>
    <w:rsid w:val="0047642C"/>
    <w:rsid w:val="00476779"/>
    <w:rsid w:val="004807F0"/>
    <w:rsid w:val="00481247"/>
    <w:rsid w:val="004820A1"/>
    <w:rsid w:val="004820CB"/>
    <w:rsid w:val="00482717"/>
    <w:rsid w:val="00482F02"/>
    <w:rsid w:val="00483CBB"/>
    <w:rsid w:val="004850E6"/>
    <w:rsid w:val="004868D1"/>
    <w:rsid w:val="00487EC6"/>
    <w:rsid w:val="00490B21"/>
    <w:rsid w:val="0049328C"/>
    <w:rsid w:val="00494717"/>
    <w:rsid w:val="004A0744"/>
    <w:rsid w:val="004A310F"/>
    <w:rsid w:val="004A6C34"/>
    <w:rsid w:val="004B331D"/>
    <w:rsid w:val="004B48F1"/>
    <w:rsid w:val="004B494F"/>
    <w:rsid w:val="004B4F24"/>
    <w:rsid w:val="004B5660"/>
    <w:rsid w:val="004B7F0E"/>
    <w:rsid w:val="004C5AC1"/>
    <w:rsid w:val="004D1C27"/>
    <w:rsid w:val="004D3130"/>
    <w:rsid w:val="004D3145"/>
    <w:rsid w:val="004D42A9"/>
    <w:rsid w:val="004D5312"/>
    <w:rsid w:val="004E1506"/>
    <w:rsid w:val="004E31A6"/>
    <w:rsid w:val="004E3306"/>
    <w:rsid w:val="004E3429"/>
    <w:rsid w:val="004E3788"/>
    <w:rsid w:val="004E3A93"/>
    <w:rsid w:val="004E6C6E"/>
    <w:rsid w:val="004F0CD4"/>
    <w:rsid w:val="004F2D28"/>
    <w:rsid w:val="004F34AC"/>
    <w:rsid w:val="004F3BC3"/>
    <w:rsid w:val="004F4C1F"/>
    <w:rsid w:val="004F660A"/>
    <w:rsid w:val="004F6677"/>
    <w:rsid w:val="004F782F"/>
    <w:rsid w:val="004F7FAC"/>
    <w:rsid w:val="00500FEC"/>
    <w:rsid w:val="00501978"/>
    <w:rsid w:val="00502D40"/>
    <w:rsid w:val="00504C65"/>
    <w:rsid w:val="005065E5"/>
    <w:rsid w:val="005107C6"/>
    <w:rsid w:val="00511213"/>
    <w:rsid w:val="00511364"/>
    <w:rsid w:val="0051600C"/>
    <w:rsid w:val="005205E4"/>
    <w:rsid w:val="00520A84"/>
    <w:rsid w:val="00520B2C"/>
    <w:rsid w:val="00520EF5"/>
    <w:rsid w:val="0052179A"/>
    <w:rsid w:val="00521903"/>
    <w:rsid w:val="00521DA4"/>
    <w:rsid w:val="0052204A"/>
    <w:rsid w:val="0052268A"/>
    <w:rsid w:val="005233B9"/>
    <w:rsid w:val="00523976"/>
    <w:rsid w:val="00523DB7"/>
    <w:rsid w:val="0052471F"/>
    <w:rsid w:val="005247AB"/>
    <w:rsid w:val="00524974"/>
    <w:rsid w:val="00524FF5"/>
    <w:rsid w:val="005263F8"/>
    <w:rsid w:val="0052767A"/>
    <w:rsid w:val="00527B03"/>
    <w:rsid w:val="00531853"/>
    <w:rsid w:val="00531F0E"/>
    <w:rsid w:val="005328E2"/>
    <w:rsid w:val="0053315A"/>
    <w:rsid w:val="0053358D"/>
    <w:rsid w:val="005340B2"/>
    <w:rsid w:val="00534718"/>
    <w:rsid w:val="00535E21"/>
    <w:rsid w:val="005364BD"/>
    <w:rsid w:val="00536A5A"/>
    <w:rsid w:val="00536E3A"/>
    <w:rsid w:val="005376ED"/>
    <w:rsid w:val="00545C2A"/>
    <w:rsid w:val="00546EFD"/>
    <w:rsid w:val="005503C0"/>
    <w:rsid w:val="00551DD2"/>
    <w:rsid w:val="0055217D"/>
    <w:rsid w:val="00552270"/>
    <w:rsid w:val="00553DD4"/>
    <w:rsid w:val="00555E5B"/>
    <w:rsid w:val="00560FA9"/>
    <w:rsid w:val="005613F7"/>
    <w:rsid w:val="00561FE2"/>
    <w:rsid w:val="005622A4"/>
    <w:rsid w:val="00562ABA"/>
    <w:rsid w:val="00562EAB"/>
    <w:rsid w:val="00563FB5"/>
    <w:rsid w:val="00564227"/>
    <w:rsid w:val="00565FF0"/>
    <w:rsid w:val="00566670"/>
    <w:rsid w:val="005676C8"/>
    <w:rsid w:val="0057008C"/>
    <w:rsid w:val="00572644"/>
    <w:rsid w:val="00573FA2"/>
    <w:rsid w:val="00575606"/>
    <w:rsid w:val="00580760"/>
    <w:rsid w:val="005809CB"/>
    <w:rsid w:val="00584540"/>
    <w:rsid w:val="00585C0E"/>
    <w:rsid w:val="005875A2"/>
    <w:rsid w:val="00591346"/>
    <w:rsid w:val="00591B2E"/>
    <w:rsid w:val="00592AF0"/>
    <w:rsid w:val="00593BB5"/>
    <w:rsid w:val="00596B87"/>
    <w:rsid w:val="0059783D"/>
    <w:rsid w:val="005A059C"/>
    <w:rsid w:val="005A0E7A"/>
    <w:rsid w:val="005A28C9"/>
    <w:rsid w:val="005A47F9"/>
    <w:rsid w:val="005A619E"/>
    <w:rsid w:val="005A6664"/>
    <w:rsid w:val="005B0AB7"/>
    <w:rsid w:val="005B11E5"/>
    <w:rsid w:val="005B14EB"/>
    <w:rsid w:val="005B14F2"/>
    <w:rsid w:val="005B3DF5"/>
    <w:rsid w:val="005B54F2"/>
    <w:rsid w:val="005B5526"/>
    <w:rsid w:val="005B64D9"/>
    <w:rsid w:val="005B652B"/>
    <w:rsid w:val="005B6F50"/>
    <w:rsid w:val="005B798C"/>
    <w:rsid w:val="005B7AF7"/>
    <w:rsid w:val="005C1763"/>
    <w:rsid w:val="005C1BC8"/>
    <w:rsid w:val="005C1C3F"/>
    <w:rsid w:val="005C4241"/>
    <w:rsid w:val="005C5233"/>
    <w:rsid w:val="005C629B"/>
    <w:rsid w:val="005C7DD0"/>
    <w:rsid w:val="005D12B6"/>
    <w:rsid w:val="005D2EE0"/>
    <w:rsid w:val="005D4AA7"/>
    <w:rsid w:val="005D610E"/>
    <w:rsid w:val="005D6203"/>
    <w:rsid w:val="005D67DE"/>
    <w:rsid w:val="005E0625"/>
    <w:rsid w:val="005E11C9"/>
    <w:rsid w:val="005E181C"/>
    <w:rsid w:val="005E30F0"/>
    <w:rsid w:val="005E3167"/>
    <w:rsid w:val="005E3C6C"/>
    <w:rsid w:val="005E4417"/>
    <w:rsid w:val="005E58A7"/>
    <w:rsid w:val="005E771F"/>
    <w:rsid w:val="005F0B89"/>
    <w:rsid w:val="005F0C00"/>
    <w:rsid w:val="005F3985"/>
    <w:rsid w:val="005F39F5"/>
    <w:rsid w:val="005F5682"/>
    <w:rsid w:val="005F61DA"/>
    <w:rsid w:val="005F648A"/>
    <w:rsid w:val="005F6C66"/>
    <w:rsid w:val="006008C7"/>
    <w:rsid w:val="00603374"/>
    <w:rsid w:val="00603A49"/>
    <w:rsid w:val="006049AB"/>
    <w:rsid w:val="006051E7"/>
    <w:rsid w:val="00606295"/>
    <w:rsid w:val="006066CA"/>
    <w:rsid w:val="00607D40"/>
    <w:rsid w:val="00610A30"/>
    <w:rsid w:val="00612B65"/>
    <w:rsid w:val="00613EC0"/>
    <w:rsid w:val="006144E3"/>
    <w:rsid w:val="00614654"/>
    <w:rsid w:val="0061502C"/>
    <w:rsid w:val="006159B4"/>
    <w:rsid w:val="006175FC"/>
    <w:rsid w:val="00617C40"/>
    <w:rsid w:val="006210C2"/>
    <w:rsid w:val="006235ED"/>
    <w:rsid w:val="00624490"/>
    <w:rsid w:val="0062657D"/>
    <w:rsid w:val="006319C5"/>
    <w:rsid w:val="0063331F"/>
    <w:rsid w:val="006335CD"/>
    <w:rsid w:val="00636000"/>
    <w:rsid w:val="00636A59"/>
    <w:rsid w:val="00637A2B"/>
    <w:rsid w:val="006400D4"/>
    <w:rsid w:val="00642AF7"/>
    <w:rsid w:val="00642D62"/>
    <w:rsid w:val="00643D34"/>
    <w:rsid w:val="00644AFE"/>
    <w:rsid w:val="00645680"/>
    <w:rsid w:val="00647AD4"/>
    <w:rsid w:val="006503EA"/>
    <w:rsid w:val="00651393"/>
    <w:rsid w:val="00651C7F"/>
    <w:rsid w:val="00652FD2"/>
    <w:rsid w:val="00653E9B"/>
    <w:rsid w:val="00654370"/>
    <w:rsid w:val="006559DE"/>
    <w:rsid w:val="00656234"/>
    <w:rsid w:val="00656C32"/>
    <w:rsid w:val="00656F19"/>
    <w:rsid w:val="006575BA"/>
    <w:rsid w:val="00657B19"/>
    <w:rsid w:val="006606FC"/>
    <w:rsid w:val="00662D72"/>
    <w:rsid w:val="00662DEB"/>
    <w:rsid w:val="006639E9"/>
    <w:rsid w:val="00664FA6"/>
    <w:rsid w:val="00666898"/>
    <w:rsid w:val="00670C0F"/>
    <w:rsid w:val="00671723"/>
    <w:rsid w:val="00672608"/>
    <w:rsid w:val="006730D5"/>
    <w:rsid w:val="00673458"/>
    <w:rsid w:val="00674162"/>
    <w:rsid w:val="00674A93"/>
    <w:rsid w:val="00676A54"/>
    <w:rsid w:val="00677603"/>
    <w:rsid w:val="006777EA"/>
    <w:rsid w:val="00677AE0"/>
    <w:rsid w:val="0068193F"/>
    <w:rsid w:val="00681B94"/>
    <w:rsid w:val="00681BB8"/>
    <w:rsid w:val="00681C07"/>
    <w:rsid w:val="00682AF5"/>
    <w:rsid w:val="0068602D"/>
    <w:rsid w:val="006874C9"/>
    <w:rsid w:val="0068796D"/>
    <w:rsid w:val="00690198"/>
    <w:rsid w:val="00690253"/>
    <w:rsid w:val="006907B4"/>
    <w:rsid w:val="00692714"/>
    <w:rsid w:val="006942C0"/>
    <w:rsid w:val="00694527"/>
    <w:rsid w:val="00694561"/>
    <w:rsid w:val="00694D8E"/>
    <w:rsid w:val="00696999"/>
    <w:rsid w:val="00696B4F"/>
    <w:rsid w:val="00696CD5"/>
    <w:rsid w:val="006A0FE4"/>
    <w:rsid w:val="006A2417"/>
    <w:rsid w:val="006A2AD8"/>
    <w:rsid w:val="006A3FF6"/>
    <w:rsid w:val="006A5709"/>
    <w:rsid w:val="006A6C7D"/>
    <w:rsid w:val="006A6D27"/>
    <w:rsid w:val="006A6E4A"/>
    <w:rsid w:val="006B16DE"/>
    <w:rsid w:val="006B49FD"/>
    <w:rsid w:val="006B5BE2"/>
    <w:rsid w:val="006B6579"/>
    <w:rsid w:val="006B6C08"/>
    <w:rsid w:val="006B7746"/>
    <w:rsid w:val="006C0098"/>
    <w:rsid w:val="006C02BD"/>
    <w:rsid w:val="006C094B"/>
    <w:rsid w:val="006C0E34"/>
    <w:rsid w:val="006C6482"/>
    <w:rsid w:val="006D36A8"/>
    <w:rsid w:val="006D36AA"/>
    <w:rsid w:val="006D38FB"/>
    <w:rsid w:val="006D41DD"/>
    <w:rsid w:val="006D4A24"/>
    <w:rsid w:val="006D61E6"/>
    <w:rsid w:val="006D62C5"/>
    <w:rsid w:val="006D68F2"/>
    <w:rsid w:val="006D73F0"/>
    <w:rsid w:val="006E052D"/>
    <w:rsid w:val="006E0D8D"/>
    <w:rsid w:val="006E1592"/>
    <w:rsid w:val="006E1EF1"/>
    <w:rsid w:val="006E5019"/>
    <w:rsid w:val="006E7797"/>
    <w:rsid w:val="006E78D1"/>
    <w:rsid w:val="006F2492"/>
    <w:rsid w:val="006F2782"/>
    <w:rsid w:val="006F2C1F"/>
    <w:rsid w:val="006F34D0"/>
    <w:rsid w:val="006F4155"/>
    <w:rsid w:val="006F4D37"/>
    <w:rsid w:val="006F505E"/>
    <w:rsid w:val="006F5482"/>
    <w:rsid w:val="006F63EB"/>
    <w:rsid w:val="006F7940"/>
    <w:rsid w:val="00700116"/>
    <w:rsid w:val="00700F73"/>
    <w:rsid w:val="00701580"/>
    <w:rsid w:val="00701CC3"/>
    <w:rsid w:val="00702856"/>
    <w:rsid w:val="00702E3F"/>
    <w:rsid w:val="007031AF"/>
    <w:rsid w:val="00703456"/>
    <w:rsid w:val="00703842"/>
    <w:rsid w:val="00703BBC"/>
    <w:rsid w:val="00703D15"/>
    <w:rsid w:val="0070596A"/>
    <w:rsid w:val="007060B5"/>
    <w:rsid w:val="007062DA"/>
    <w:rsid w:val="007063A5"/>
    <w:rsid w:val="00706C79"/>
    <w:rsid w:val="00706E71"/>
    <w:rsid w:val="00710093"/>
    <w:rsid w:val="00711148"/>
    <w:rsid w:val="00711185"/>
    <w:rsid w:val="00711F3C"/>
    <w:rsid w:val="00713068"/>
    <w:rsid w:val="0071383F"/>
    <w:rsid w:val="00714029"/>
    <w:rsid w:val="00714401"/>
    <w:rsid w:val="00716480"/>
    <w:rsid w:val="00720B8A"/>
    <w:rsid w:val="00720E98"/>
    <w:rsid w:val="007210A5"/>
    <w:rsid w:val="007230CD"/>
    <w:rsid w:val="0072378D"/>
    <w:rsid w:val="00724E11"/>
    <w:rsid w:val="007257AE"/>
    <w:rsid w:val="007300B9"/>
    <w:rsid w:val="00730D40"/>
    <w:rsid w:val="007310C7"/>
    <w:rsid w:val="0073318F"/>
    <w:rsid w:val="007337F6"/>
    <w:rsid w:val="00735747"/>
    <w:rsid w:val="00741229"/>
    <w:rsid w:val="00742890"/>
    <w:rsid w:val="007432C4"/>
    <w:rsid w:val="00743B6C"/>
    <w:rsid w:val="00743FDD"/>
    <w:rsid w:val="00744A70"/>
    <w:rsid w:val="0074508E"/>
    <w:rsid w:val="007511BB"/>
    <w:rsid w:val="00751C62"/>
    <w:rsid w:val="007536A1"/>
    <w:rsid w:val="00753C29"/>
    <w:rsid w:val="00753FFB"/>
    <w:rsid w:val="00761C4D"/>
    <w:rsid w:val="007666EF"/>
    <w:rsid w:val="00766EE3"/>
    <w:rsid w:val="0077030B"/>
    <w:rsid w:val="00770B78"/>
    <w:rsid w:val="007716C9"/>
    <w:rsid w:val="00772492"/>
    <w:rsid w:val="0077288A"/>
    <w:rsid w:val="00772F9C"/>
    <w:rsid w:val="0077410B"/>
    <w:rsid w:val="0077550F"/>
    <w:rsid w:val="00780E9E"/>
    <w:rsid w:val="007818D3"/>
    <w:rsid w:val="00784805"/>
    <w:rsid w:val="00785936"/>
    <w:rsid w:val="00785FC2"/>
    <w:rsid w:val="00787F88"/>
    <w:rsid w:val="00787FA1"/>
    <w:rsid w:val="007916B0"/>
    <w:rsid w:val="00791D50"/>
    <w:rsid w:val="007939B8"/>
    <w:rsid w:val="00795C21"/>
    <w:rsid w:val="00796AE4"/>
    <w:rsid w:val="00797853"/>
    <w:rsid w:val="007A34C0"/>
    <w:rsid w:val="007A542B"/>
    <w:rsid w:val="007A6451"/>
    <w:rsid w:val="007A6A6C"/>
    <w:rsid w:val="007A7416"/>
    <w:rsid w:val="007A7652"/>
    <w:rsid w:val="007B02BE"/>
    <w:rsid w:val="007B182E"/>
    <w:rsid w:val="007B2280"/>
    <w:rsid w:val="007B2684"/>
    <w:rsid w:val="007B6363"/>
    <w:rsid w:val="007B73E1"/>
    <w:rsid w:val="007C1A40"/>
    <w:rsid w:val="007C2055"/>
    <w:rsid w:val="007C22C0"/>
    <w:rsid w:val="007C516C"/>
    <w:rsid w:val="007C5741"/>
    <w:rsid w:val="007C738D"/>
    <w:rsid w:val="007D1501"/>
    <w:rsid w:val="007D1932"/>
    <w:rsid w:val="007D32B0"/>
    <w:rsid w:val="007D40B3"/>
    <w:rsid w:val="007D40FB"/>
    <w:rsid w:val="007D4FFE"/>
    <w:rsid w:val="007E1344"/>
    <w:rsid w:val="007E1350"/>
    <w:rsid w:val="007E252F"/>
    <w:rsid w:val="007E33FA"/>
    <w:rsid w:val="007E3448"/>
    <w:rsid w:val="007E5F74"/>
    <w:rsid w:val="007E6518"/>
    <w:rsid w:val="007E7A17"/>
    <w:rsid w:val="007F2463"/>
    <w:rsid w:val="007F26E2"/>
    <w:rsid w:val="007F2BD5"/>
    <w:rsid w:val="007F2D6D"/>
    <w:rsid w:val="007F2E38"/>
    <w:rsid w:val="007F6031"/>
    <w:rsid w:val="007F6096"/>
    <w:rsid w:val="0080034E"/>
    <w:rsid w:val="00800A22"/>
    <w:rsid w:val="008055BB"/>
    <w:rsid w:val="0080641C"/>
    <w:rsid w:val="00806743"/>
    <w:rsid w:val="00807671"/>
    <w:rsid w:val="00807D9C"/>
    <w:rsid w:val="00811D8C"/>
    <w:rsid w:val="00816FC4"/>
    <w:rsid w:val="00817879"/>
    <w:rsid w:val="008206E1"/>
    <w:rsid w:val="00820C0E"/>
    <w:rsid w:val="00821BA4"/>
    <w:rsid w:val="00825269"/>
    <w:rsid w:val="00827179"/>
    <w:rsid w:val="00827A4B"/>
    <w:rsid w:val="00827DB5"/>
    <w:rsid w:val="00831C1E"/>
    <w:rsid w:val="0083249F"/>
    <w:rsid w:val="008332FB"/>
    <w:rsid w:val="00834BCC"/>
    <w:rsid w:val="008353D7"/>
    <w:rsid w:val="00835478"/>
    <w:rsid w:val="00836174"/>
    <w:rsid w:val="00836556"/>
    <w:rsid w:val="00836871"/>
    <w:rsid w:val="0084084E"/>
    <w:rsid w:val="008410F3"/>
    <w:rsid w:val="00844617"/>
    <w:rsid w:val="00845004"/>
    <w:rsid w:val="008457F9"/>
    <w:rsid w:val="00846762"/>
    <w:rsid w:val="00850667"/>
    <w:rsid w:val="008510DD"/>
    <w:rsid w:val="00854C44"/>
    <w:rsid w:val="008563C0"/>
    <w:rsid w:val="00857F6A"/>
    <w:rsid w:val="008607B0"/>
    <w:rsid w:val="00862772"/>
    <w:rsid w:val="008635F2"/>
    <w:rsid w:val="008646EA"/>
    <w:rsid w:val="00864F39"/>
    <w:rsid w:val="00870E5A"/>
    <w:rsid w:val="00872827"/>
    <w:rsid w:val="0087313E"/>
    <w:rsid w:val="00877E85"/>
    <w:rsid w:val="008805E8"/>
    <w:rsid w:val="00882F8B"/>
    <w:rsid w:val="008834ED"/>
    <w:rsid w:val="00883718"/>
    <w:rsid w:val="00886E35"/>
    <w:rsid w:val="00892886"/>
    <w:rsid w:val="00893618"/>
    <w:rsid w:val="00894324"/>
    <w:rsid w:val="0089679A"/>
    <w:rsid w:val="008969C1"/>
    <w:rsid w:val="00897DC4"/>
    <w:rsid w:val="008A0ABA"/>
    <w:rsid w:val="008A0E4B"/>
    <w:rsid w:val="008A2B13"/>
    <w:rsid w:val="008A372E"/>
    <w:rsid w:val="008A4515"/>
    <w:rsid w:val="008A4698"/>
    <w:rsid w:val="008A7A6C"/>
    <w:rsid w:val="008A7DE9"/>
    <w:rsid w:val="008B0C09"/>
    <w:rsid w:val="008B1E80"/>
    <w:rsid w:val="008B3868"/>
    <w:rsid w:val="008B3B20"/>
    <w:rsid w:val="008B51AB"/>
    <w:rsid w:val="008B6658"/>
    <w:rsid w:val="008B7FA5"/>
    <w:rsid w:val="008C1D3B"/>
    <w:rsid w:val="008C24EB"/>
    <w:rsid w:val="008C2790"/>
    <w:rsid w:val="008C3EDE"/>
    <w:rsid w:val="008C524B"/>
    <w:rsid w:val="008C577B"/>
    <w:rsid w:val="008C5A01"/>
    <w:rsid w:val="008C66A8"/>
    <w:rsid w:val="008D0B52"/>
    <w:rsid w:val="008D17E1"/>
    <w:rsid w:val="008D373D"/>
    <w:rsid w:val="008D38B8"/>
    <w:rsid w:val="008D54C1"/>
    <w:rsid w:val="008D569C"/>
    <w:rsid w:val="008D63CB"/>
    <w:rsid w:val="008D656C"/>
    <w:rsid w:val="008D7BB8"/>
    <w:rsid w:val="008E09CE"/>
    <w:rsid w:val="008E09EA"/>
    <w:rsid w:val="008E172F"/>
    <w:rsid w:val="008E436C"/>
    <w:rsid w:val="008E7D03"/>
    <w:rsid w:val="008F4978"/>
    <w:rsid w:val="008F4C7F"/>
    <w:rsid w:val="008F4EE0"/>
    <w:rsid w:val="008F5F3D"/>
    <w:rsid w:val="008F6C78"/>
    <w:rsid w:val="008F6DDD"/>
    <w:rsid w:val="008F6FE6"/>
    <w:rsid w:val="008F7CE8"/>
    <w:rsid w:val="00900D3F"/>
    <w:rsid w:val="00901FB3"/>
    <w:rsid w:val="00903E67"/>
    <w:rsid w:val="00903F1E"/>
    <w:rsid w:val="0090560B"/>
    <w:rsid w:val="00905D49"/>
    <w:rsid w:val="009064FF"/>
    <w:rsid w:val="0090660E"/>
    <w:rsid w:val="009067DC"/>
    <w:rsid w:val="009108C5"/>
    <w:rsid w:val="00910B5D"/>
    <w:rsid w:val="009110B9"/>
    <w:rsid w:val="0091410D"/>
    <w:rsid w:val="00915BDE"/>
    <w:rsid w:val="00920052"/>
    <w:rsid w:val="0092125A"/>
    <w:rsid w:val="00922051"/>
    <w:rsid w:val="00923522"/>
    <w:rsid w:val="0092381E"/>
    <w:rsid w:val="00923DEA"/>
    <w:rsid w:val="00925008"/>
    <w:rsid w:val="00925374"/>
    <w:rsid w:val="00925B65"/>
    <w:rsid w:val="0092648E"/>
    <w:rsid w:val="00926A62"/>
    <w:rsid w:val="0092735A"/>
    <w:rsid w:val="00927E6C"/>
    <w:rsid w:val="00931680"/>
    <w:rsid w:val="00933863"/>
    <w:rsid w:val="00937DDE"/>
    <w:rsid w:val="009429D4"/>
    <w:rsid w:val="00943377"/>
    <w:rsid w:val="00943701"/>
    <w:rsid w:val="00944FB5"/>
    <w:rsid w:val="00947030"/>
    <w:rsid w:val="00947099"/>
    <w:rsid w:val="009472A5"/>
    <w:rsid w:val="009475F3"/>
    <w:rsid w:val="00947974"/>
    <w:rsid w:val="0095191D"/>
    <w:rsid w:val="00952656"/>
    <w:rsid w:val="00952CAE"/>
    <w:rsid w:val="009534F2"/>
    <w:rsid w:val="00954C30"/>
    <w:rsid w:val="00956A89"/>
    <w:rsid w:val="00957780"/>
    <w:rsid w:val="0096317C"/>
    <w:rsid w:val="0096538C"/>
    <w:rsid w:val="00965D26"/>
    <w:rsid w:val="00965EF2"/>
    <w:rsid w:val="009660FE"/>
    <w:rsid w:val="009662B5"/>
    <w:rsid w:val="009665A3"/>
    <w:rsid w:val="00966EC0"/>
    <w:rsid w:val="00967B5B"/>
    <w:rsid w:val="00970B9C"/>
    <w:rsid w:val="00971836"/>
    <w:rsid w:val="00972036"/>
    <w:rsid w:val="00973407"/>
    <w:rsid w:val="00973AC7"/>
    <w:rsid w:val="0097492D"/>
    <w:rsid w:val="0097497A"/>
    <w:rsid w:val="00975C9C"/>
    <w:rsid w:val="00976405"/>
    <w:rsid w:val="00977E6E"/>
    <w:rsid w:val="00981420"/>
    <w:rsid w:val="00981480"/>
    <w:rsid w:val="009822C4"/>
    <w:rsid w:val="00983375"/>
    <w:rsid w:val="00984C52"/>
    <w:rsid w:val="00985417"/>
    <w:rsid w:val="009907F3"/>
    <w:rsid w:val="00990889"/>
    <w:rsid w:val="00990997"/>
    <w:rsid w:val="00991722"/>
    <w:rsid w:val="00991B0C"/>
    <w:rsid w:val="00991BCE"/>
    <w:rsid w:val="00992F4F"/>
    <w:rsid w:val="00993FC8"/>
    <w:rsid w:val="00994276"/>
    <w:rsid w:val="00994C6F"/>
    <w:rsid w:val="00995434"/>
    <w:rsid w:val="00996294"/>
    <w:rsid w:val="009963A8"/>
    <w:rsid w:val="009A0088"/>
    <w:rsid w:val="009A0D31"/>
    <w:rsid w:val="009A166A"/>
    <w:rsid w:val="009A1BEB"/>
    <w:rsid w:val="009A1CF8"/>
    <w:rsid w:val="009A1E0A"/>
    <w:rsid w:val="009A287B"/>
    <w:rsid w:val="009A66F0"/>
    <w:rsid w:val="009A6C58"/>
    <w:rsid w:val="009A7422"/>
    <w:rsid w:val="009B089A"/>
    <w:rsid w:val="009B2C73"/>
    <w:rsid w:val="009B33E9"/>
    <w:rsid w:val="009B34B6"/>
    <w:rsid w:val="009B4307"/>
    <w:rsid w:val="009B528F"/>
    <w:rsid w:val="009C00F7"/>
    <w:rsid w:val="009C0879"/>
    <w:rsid w:val="009C14E9"/>
    <w:rsid w:val="009C186F"/>
    <w:rsid w:val="009C1E69"/>
    <w:rsid w:val="009C2A59"/>
    <w:rsid w:val="009C2EFC"/>
    <w:rsid w:val="009C2FFD"/>
    <w:rsid w:val="009C3D96"/>
    <w:rsid w:val="009C6307"/>
    <w:rsid w:val="009C668E"/>
    <w:rsid w:val="009C6B00"/>
    <w:rsid w:val="009C71BB"/>
    <w:rsid w:val="009C7B2B"/>
    <w:rsid w:val="009D0FD9"/>
    <w:rsid w:val="009D3277"/>
    <w:rsid w:val="009D3BD0"/>
    <w:rsid w:val="009D513C"/>
    <w:rsid w:val="009E0520"/>
    <w:rsid w:val="009E2C75"/>
    <w:rsid w:val="009E4832"/>
    <w:rsid w:val="009E570F"/>
    <w:rsid w:val="009E6FB5"/>
    <w:rsid w:val="009F029C"/>
    <w:rsid w:val="009F0627"/>
    <w:rsid w:val="009F1157"/>
    <w:rsid w:val="009F1510"/>
    <w:rsid w:val="009F1541"/>
    <w:rsid w:val="009F1A57"/>
    <w:rsid w:val="009F34C2"/>
    <w:rsid w:val="009F40CE"/>
    <w:rsid w:val="009F4345"/>
    <w:rsid w:val="009F4E41"/>
    <w:rsid w:val="00A0015F"/>
    <w:rsid w:val="00A0020F"/>
    <w:rsid w:val="00A00C70"/>
    <w:rsid w:val="00A0108B"/>
    <w:rsid w:val="00A01CE2"/>
    <w:rsid w:val="00A02ED0"/>
    <w:rsid w:val="00A02F87"/>
    <w:rsid w:val="00A03BB4"/>
    <w:rsid w:val="00A046F3"/>
    <w:rsid w:val="00A047C5"/>
    <w:rsid w:val="00A1056E"/>
    <w:rsid w:val="00A119B9"/>
    <w:rsid w:val="00A1249B"/>
    <w:rsid w:val="00A12A60"/>
    <w:rsid w:val="00A1614B"/>
    <w:rsid w:val="00A1660A"/>
    <w:rsid w:val="00A2066A"/>
    <w:rsid w:val="00A21227"/>
    <w:rsid w:val="00A21392"/>
    <w:rsid w:val="00A22C8A"/>
    <w:rsid w:val="00A23221"/>
    <w:rsid w:val="00A252DF"/>
    <w:rsid w:val="00A26E79"/>
    <w:rsid w:val="00A31A45"/>
    <w:rsid w:val="00A31DE0"/>
    <w:rsid w:val="00A32002"/>
    <w:rsid w:val="00A32508"/>
    <w:rsid w:val="00A351A0"/>
    <w:rsid w:val="00A3568F"/>
    <w:rsid w:val="00A36A96"/>
    <w:rsid w:val="00A36D92"/>
    <w:rsid w:val="00A377CD"/>
    <w:rsid w:val="00A379BD"/>
    <w:rsid w:val="00A37D27"/>
    <w:rsid w:val="00A4270E"/>
    <w:rsid w:val="00A44AD2"/>
    <w:rsid w:val="00A4561E"/>
    <w:rsid w:val="00A4573B"/>
    <w:rsid w:val="00A46EA5"/>
    <w:rsid w:val="00A479FB"/>
    <w:rsid w:val="00A518B0"/>
    <w:rsid w:val="00A52877"/>
    <w:rsid w:val="00A537FC"/>
    <w:rsid w:val="00A561E8"/>
    <w:rsid w:val="00A56842"/>
    <w:rsid w:val="00A616C5"/>
    <w:rsid w:val="00A61CA3"/>
    <w:rsid w:val="00A63017"/>
    <w:rsid w:val="00A64448"/>
    <w:rsid w:val="00A654AD"/>
    <w:rsid w:val="00A674F2"/>
    <w:rsid w:val="00A71652"/>
    <w:rsid w:val="00A71675"/>
    <w:rsid w:val="00A73818"/>
    <w:rsid w:val="00A73CA7"/>
    <w:rsid w:val="00A7427D"/>
    <w:rsid w:val="00A74F6E"/>
    <w:rsid w:val="00A75B4C"/>
    <w:rsid w:val="00A76476"/>
    <w:rsid w:val="00A76CED"/>
    <w:rsid w:val="00A77692"/>
    <w:rsid w:val="00A77A7F"/>
    <w:rsid w:val="00A80840"/>
    <w:rsid w:val="00A8085C"/>
    <w:rsid w:val="00A827FE"/>
    <w:rsid w:val="00A8562F"/>
    <w:rsid w:val="00A90AD2"/>
    <w:rsid w:val="00A920A8"/>
    <w:rsid w:val="00A92252"/>
    <w:rsid w:val="00A93494"/>
    <w:rsid w:val="00A93EE1"/>
    <w:rsid w:val="00A93F70"/>
    <w:rsid w:val="00A9405C"/>
    <w:rsid w:val="00A9418A"/>
    <w:rsid w:val="00A941D2"/>
    <w:rsid w:val="00A953B2"/>
    <w:rsid w:val="00A96F71"/>
    <w:rsid w:val="00A9730D"/>
    <w:rsid w:val="00AA318E"/>
    <w:rsid w:val="00AA517C"/>
    <w:rsid w:val="00AA7731"/>
    <w:rsid w:val="00AB0368"/>
    <w:rsid w:val="00AB265D"/>
    <w:rsid w:val="00AB409A"/>
    <w:rsid w:val="00AB43E0"/>
    <w:rsid w:val="00AB5A0C"/>
    <w:rsid w:val="00AB5DF9"/>
    <w:rsid w:val="00AB78A7"/>
    <w:rsid w:val="00AC1EB9"/>
    <w:rsid w:val="00AC5AED"/>
    <w:rsid w:val="00AD1F56"/>
    <w:rsid w:val="00AD3BE5"/>
    <w:rsid w:val="00AD3EEE"/>
    <w:rsid w:val="00AD4DAF"/>
    <w:rsid w:val="00AD4DCB"/>
    <w:rsid w:val="00AD5CC4"/>
    <w:rsid w:val="00AD6ADB"/>
    <w:rsid w:val="00AE0161"/>
    <w:rsid w:val="00AE1498"/>
    <w:rsid w:val="00AE37CB"/>
    <w:rsid w:val="00AE4DCD"/>
    <w:rsid w:val="00AE6F43"/>
    <w:rsid w:val="00AE6FCF"/>
    <w:rsid w:val="00AE7C08"/>
    <w:rsid w:val="00AF0E19"/>
    <w:rsid w:val="00AF0EC6"/>
    <w:rsid w:val="00AF1E1B"/>
    <w:rsid w:val="00AF1FEC"/>
    <w:rsid w:val="00AF2299"/>
    <w:rsid w:val="00AF33C1"/>
    <w:rsid w:val="00AF3484"/>
    <w:rsid w:val="00AF421E"/>
    <w:rsid w:val="00AF4972"/>
    <w:rsid w:val="00AF49CD"/>
    <w:rsid w:val="00AF688A"/>
    <w:rsid w:val="00B008BD"/>
    <w:rsid w:val="00B00AD9"/>
    <w:rsid w:val="00B00B67"/>
    <w:rsid w:val="00B00BC1"/>
    <w:rsid w:val="00B0126B"/>
    <w:rsid w:val="00B01CA7"/>
    <w:rsid w:val="00B023E0"/>
    <w:rsid w:val="00B03FD4"/>
    <w:rsid w:val="00B0496F"/>
    <w:rsid w:val="00B05395"/>
    <w:rsid w:val="00B059BC"/>
    <w:rsid w:val="00B05C87"/>
    <w:rsid w:val="00B062A1"/>
    <w:rsid w:val="00B0772F"/>
    <w:rsid w:val="00B10140"/>
    <w:rsid w:val="00B10715"/>
    <w:rsid w:val="00B117C6"/>
    <w:rsid w:val="00B11EC3"/>
    <w:rsid w:val="00B12216"/>
    <w:rsid w:val="00B13899"/>
    <w:rsid w:val="00B13DFF"/>
    <w:rsid w:val="00B1458C"/>
    <w:rsid w:val="00B1739A"/>
    <w:rsid w:val="00B1756D"/>
    <w:rsid w:val="00B177A2"/>
    <w:rsid w:val="00B22E21"/>
    <w:rsid w:val="00B23644"/>
    <w:rsid w:val="00B25D75"/>
    <w:rsid w:val="00B25DB5"/>
    <w:rsid w:val="00B26CD5"/>
    <w:rsid w:val="00B301AB"/>
    <w:rsid w:val="00B34D7D"/>
    <w:rsid w:val="00B34F16"/>
    <w:rsid w:val="00B3542A"/>
    <w:rsid w:val="00B35D8E"/>
    <w:rsid w:val="00B36DC9"/>
    <w:rsid w:val="00B402E5"/>
    <w:rsid w:val="00B41E48"/>
    <w:rsid w:val="00B43223"/>
    <w:rsid w:val="00B443BB"/>
    <w:rsid w:val="00B467CB"/>
    <w:rsid w:val="00B469E5"/>
    <w:rsid w:val="00B478FE"/>
    <w:rsid w:val="00B51185"/>
    <w:rsid w:val="00B540C3"/>
    <w:rsid w:val="00B54FAB"/>
    <w:rsid w:val="00B5621D"/>
    <w:rsid w:val="00B6060D"/>
    <w:rsid w:val="00B62EA7"/>
    <w:rsid w:val="00B636B2"/>
    <w:rsid w:val="00B63F4B"/>
    <w:rsid w:val="00B67CD5"/>
    <w:rsid w:val="00B72C7C"/>
    <w:rsid w:val="00B733C2"/>
    <w:rsid w:val="00B738A1"/>
    <w:rsid w:val="00B75321"/>
    <w:rsid w:val="00B75665"/>
    <w:rsid w:val="00B75BC8"/>
    <w:rsid w:val="00B7608E"/>
    <w:rsid w:val="00B809B9"/>
    <w:rsid w:val="00B809CD"/>
    <w:rsid w:val="00B81B6C"/>
    <w:rsid w:val="00B826DA"/>
    <w:rsid w:val="00B82A3E"/>
    <w:rsid w:val="00B83FE9"/>
    <w:rsid w:val="00B84823"/>
    <w:rsid w:val="00B853E5"/>
    <w:rsid w:val="00B856A9"/>
    <w:rsid w:val="00B861BA"/>
    <w:rsid w:val="00B865F9"/>
    <w:rsid w:val="00B87317"/>
    <w:rsid w:val="00B87A6D"/>
    <w:rsid w:val="00B91279"/>
    <w:rsid w:val="00B91D02"/>
    <w:rsid w:val="00B929C6"/>
    <w:rsid w:val="00B938F2"/>
    <w:rsid w:val="00B95263"/>
    <w:rsid w:val="00B96A90"/>
    <w:rsid w:val="00B97878"/>
    <w:rsid w:val="00BA2E15"/>
    <w:rsid w:val="00BA38E7"/>
    <w:rsid w:val="00BA47CC"/>
    <w:rsid w:val="00BA4898"/>
    <w:rsid w:val="00BA5D4B"/>
    <w:rsid w:val="00BA6CC9"/>
    <w:rsid w:val="00BB1563"/>
    <w:rsid w:val="00BB1AC1"/>
    <w:rsid w:val="00BB1CE9"/>
    <w:rsid w:val="00BB2B71"/>
    <w:rsid w:val="00BB3953"/>
    <w:rsid w:val="00BB560E"/>
    <w:rsid w:val="00BB7658"/>
    <w:rsid w:val="00BC1D80"/>
    <w:rsid w:val="00BC1EA5"/>
    <w:rsid w:val="00BC1F5B"/>
    <w:rsid w:val="00BC2FE1"/>
    <w:rsid w:val="00BC31E1"/>
    <w:rsid w:val="00BC3915"/>
    <w:rsid w:val="00BC39BA"/>
    <w:rsid w:val="00BC560D"/>
    <w:rsid w:val="00BC5A13"/>
    <w:rsid w:val="00BC5C52"/>
    <w:rsid w:val="00BC6036"/>
    <w:rsid w:val="00BC63F1"/>
    <w:rsid w:val="00BC6E26"/>
    <w:rsid w:val="00BC72DB"/>
    <w:rsid w:val="00BD02E3"/>
    <w:rsid w:val="00BD0CA4"/>
    <w:rsid w:val="00BD39DA"/>
    <w:rsid w:val="00BD5C71"/>
    <w:rsid w:val="00BE0066"/>
    <w:rsid w:val="00BE0E6E"/>
    <w:rsid w:val="00BE144B"/>
    <w:rsid w:val="00BE316C"/>
    <w:rsid w:val="00BE4617"/>
    <w:rsid w:val="00BE56E6"/>
    <w:rsid w:val="00BE680E"/>
    <w:rsid w:val="00BE7AB5"/>
    <w:rsid w:val="00BF0B16"/>
    <w:rsid w:val="00BF1068"/>
    <w:rsid w:val="00BF2461"/>
    <w:rsid w:val="00BF27B6"/>
    <w:rsid w:val="00BF5A24"/>
    <w:rsid w:val="00BF6FFF"/>
    <w:rsid w:val="00BF7C00"/>
    <w:rsid w:val="00BF7CED"/>
    <w:rsid w:val="00C00BD1"/>
    <w:rsid w:val="00C00C48"/>
    <w:rsid w:val="00C017DA"/>
    <w:rsid w:val="00C018D4"/>
    <w:rsid w:val="00C031DA"/>
    <w:rsid w:val="00C042A7"/>
    <w:rsid w:val="00C042C9"/>
    <w:rsid w:val="00C054B0"/>
    <w:rsid w:val="00C100E2"/>
    <w:rsid w:val="00C10E75"/>
    <w:rsid w:val="00C11249"/>
    <w:rsid w:val="00C11DE8"/>
    <w:rsid w:val="00C12369"/>
    <w:rsid w:val="00C12947"/>
    <w:rsid w:val="00C14E0E"/>
    <w:rsid w:val="00C150A0"/>
    <w:rsid w:val="00C1532D"/>
    <w:rsid w:val="00C210A5"/>
    <w:rsid w:val="00C224F7"/>
    <w:rsid w:val="00C22A46"/>
    <w:rsid w:val="00C22CB7"/>
    <w:rsid w:val="00C237AC"/>
    <w:rsid w:val="00C2430B"/>
    <w:rsid w:val="00C26EC8"/>
    <w:rsid w:val="00C3009A"/>
    <w:rsid w:val="00C3171E"/>
    <w:rsid w:val="00C329B4"/>
    <w:rsid w:val="00C34718"/>
    <w:rsid w:val="00C349EA"/>
    <w:rsid w:val="00C358EC"/>
    <w:rsid w:val="00C36607"/>
    <w:rsid w:val="00C3691B"/>
    <w:rsid w:val="00C408D9"/>
    <w:rsid w:val="00C410D2"/>
    <w:rsid w:val="00C414F9"/>
    <w:rsid w:val="00C41DAB"/>
    <w:rsid w:val="00C421E1"/>
    <w:rsid w:val="00C42771"/>
    <w:rsid w:val="00C42931"/>
    <w:rsid w:val="00C43B58"/>
    <w:rsid w:val="00C506B5"/>
    <w:rsid w:val="00C50E3A"/>
    <w:rsid w:val="00C51FBF"/>
    <w:rsid w:val="00C53358"/>
    <w:rsid w:val="00C5515A"/>
    <w:rsid w:val="00C55206"/>
    <w:rsid w:val="00C56208"/>
    <w:rsid w:val="00C61094"/>
    <w:rsid w:val="00C61725"/>
    <w:rsid w:val="00C62EBC"/>
    <w:rsid w:val="00C6389C"/>
    <w:rsid w:val="00C64FE4"/>
    <w:rsid w:val="00C65BF3"/>
    <w:rsid w:val="00C720E1"/>
    <w:rsid w:val="00C73F1F"/>
    <w:rsid w:val="00C75272"/>
    <w:rsid w:val="00C829AF"/>
    <w:rsid w:val="00C82F90"/>
    <w:rsid w:val="00C8416C"/>
    <w:rsid w:val="00C84694"/>
    <w:rsid w:val="00C8578D"/>
    <w:rsid w:val="00C8784A"/>
    <w:rsid w:val="00C90686"/>
    <w:rsid w:val="00C907FB"/>
    <w:rsid w:val="00C909E6"/>
    <w:rsid w:val="00C92E47"/>
    <w:rsid w:val="00C932B5"/>
    <w:rsid w:val="00C93313"/>
    <w:rsid w:val="00C94958"/>
    <w:rsid w:val="00C978E3"/>
    <w:rsid w:val="00C97915"/>
    <w:rsid w:val="00C97BCD"/>
    <w:rsid w:val="00CA0A3D"/>
    <w:rsid w:val="00CA1ED9"/>
    <w:rsid w:val="00CA3E2F"/>
    <w:rsid w:val="00CA3EBF"/>
    <w:rsid w:val="00CA3EF9"/>
    <w:rsid w:val="00CA73C4"/>
    <w:rsid w:val="00CA75AC"/>
    <w:rsid w:val="00CB0506"/>
    <w:rsid w:val="00CB0AC7"/>
    <w:rsid w:val="00CB0E24"/>
    <w:rsid w:val="00CB2297"/>
    <w:rsid w:val="00CB2CA6"/>
    <w:rsid w:val="00CB57CE"/>
    <w:rsid w:val="00CB5C1E"/>
    <w:rsid w:val="00CB616E"/>
    <w:rsid w:val="00CB6194"/>
    <w:rsid w:val="00CB737A"/>
    <w:rsid w:val="00CC102B"/>
    <w:rsid w:val="00CC2381"/>
    <w:rsid w:val="00CC2A60"/>
    <w:rsid w:val="00CC3070"/>
    <w:rsid w:val="00CC3D31"/>
    <w:rsid w:val="00CC437F"/>
    <w:rsid w:val="00CC43AF"/>
    <w:rsid w:val="00CC4549"/>
    <w:rsid w:val="00CD073C"/>
    <w:rsid w:val="00CD4270"/>
    <w:rsid w:val="00CD4D69"/>
    <w:rsid w:val="00CD71E8"/>
    <w:rsid w:val="00CE0155"/>
    <w:rsid w:val="00CE0A32"/>
    <w:rsid w:val="00CE1850"/>
    <w:rsid w:val="00CE23A5"/>
    <w:rsid w:val="00CE30B1"/>
    <w:rsid w:val="00CE4F73"/>
    <w:rsid w:val="00CE5A5A"/>
    <w:rsid w:val="00CE5BDF"/>
    <w:rsid w:val="00CE5D9E"/>
    <w:rsid w:val="00CE7ECA"/>
    <w:rsid w:val="00CF00D5"/>
    <w:rsid w:val="00CF0337"/>
    <w:rsid w:val="00CF06D9"/>
    <w:rsid w:val="00CF1155"/>
    <w:rsid w:val="00CF12A6"/>
    <w:rsid w:val="00CF197F"/>
    <w:rsid w:val="00CF1EB2"/>
    <w:rsid w:val="00CF3BDE"/>
    <w:rsid w:val="00CF4158"/>
    <w:rsid w:val="00CF7C56"/>
    <w:rsid w:val="00D0175D"/>
    <w:rsid w:val="00D02330"/>
    <w:rsid w:val="00D032D8"/>
    <w:rsid w:val="00D03BE6"/>
    <w:rsid w:val="00D03C48"/>
    <w:rsid w:val="00D049F1"/>
    <w:rsid w:val="00D04E41"/>
    <w:rsid w:val="00D07337"/>
    <w:rsid w:val="00D1000B"/>
    <w:rsid w:val="00D10AA3"/>
    <w:rsid w:val="00D13079"/>
    <w:rsid w:val="00D13DCE"/>
    <w:rsid w:val="00D15248"/>
    <w:rsid w:val="00D15510"/>
    <w:rsid w:val="00D16E11"/>
    <w:rsid w:val="00D176A2"/>
    <w:rsid w:val="00D20075"/>
    <w:rsid w:val="00D23760"/>
    <w:rsid w:val="00D23AFB"/>
    <w:rsid w:val="00D23C43"/>
    <w:rsid w:val="00D24C05"/>
    <w:rsid w:val="00D25DE3"/>
    <w:rsid w:val="00D315C0"/>
    <w:rsid w:val="00D315F3"/>
    <w:rsid w:val="00D34C37"/>
    <w:rsid w:val="00D34E39"/>
    <w:rsid w:val="00D3534C"/>
    <w:rsid w:val="00D354F4"/>
    <w:rsid w:val="00D3552A"/>
    <w:rsid w:val="00D4002E"/>
    <w:rsid w:val="00D407DE"/>
    <w:rsid w:val="00D40CEC"/>
    <w:rsid w:val="00D41738"/>
    <w:rsid w:val="00D433B3"/>
    <w:rsid w:val="00D443CC"/>
    <w:rsid w:val="00D46894"/>
    <w:rsid w:val="00D507F4"/>
    <w:rsid w:val="00D52BE8"/>
    <w:rsid w:val="00D54F3B"/>
    <w:rsid w:val="00D55C10"/>
    <w:rsid w:val="00D56C31"/>
    <w:rsid w:val="00D579A2"/>
    <w:rsid w:val="00D600B3"/>
    <w:rsid w:val="00D6358F"/>
    <w:rsid w:val="00D63CC3"/>
    <w:rsid w:val="00D63E91"/>
    <w:rsid w:val="00D732E5"/>
    <w:rsid w:val="00D73B09"/>
    <w:rsid w:val="00D742E1"/>
    <w:rsid w:val="00D74463"/>
    <w:rsid w:val="00D7582F"/>
    <w:rsid w:val="00D75C7C"/>
    <w:rsid w:val="00D761F0"/>
    <w:rsid w:val="00D76A57"/>
    <w:rsid w:val="00D772DE"/>
    <w:rsid w:val="00D80198"/>
    <w:rsid w:val="00D8507B"/>
    <w:rsid w:val="00D85F8E"/>
    <w:rsid w:val="00D8652C"/>
    <w:rsid w:val="00D914A6"/>
    <w:rsid w:val="00D92C31"/>
    <w:rsid w:val="00D92FC9"/>
    <w:rsid w:val="00D9330F"/>
    <w:rsid w:val="00D93B29"/>
    <w:rsid w:val="00D944E2"/>
    <w:rsid w:val="00D950F2"/>
    <w:rsid w:val="00D971A1"/>
    <w:rsid w:val="00DA03D7"/>
    <w:rsid w:val="00DA1387"/>
    <w:rsid w:val="00DA4E23"/>
    <w:rsid w:val="00DA63B8"/>
    <w:rsid w:val="00DA6417"/>
    <w:rsid w:val="00DA6860"/>
    <w:rsid w:val="00DB0858"/>
    <w:rsid w:val="00DB0F37"/>
    <w:rsid w:val="00DB14BB"/>
    <w:rsid w:val="00DB26F2"/>
    <w:rsid w:val="00DB380C"/>
    <w:rsid w:val="00DB5C83"/>
    <w:rsid w:val="00DB5F70"/>
    <w:rsid w:val="00DB60F3"/>
    <w:rsid w:val="00DB6B5A"/>
    <w:rsid w:val="00DB7E76"/>
    <w:rsid w:val="00DC1ACB"/>
    <w:rsid w:val="00DC2510"/>
    <w:rsid w:val="00DC43C6"/>
    <w:rsid w:val="00DC59C1"/>
    <w:rsid w:val="00DC5FD4"/>
    <w:rsid w:val="00DC775F"/>
    <w:rsid w:val="00DC7921"/>
    <w:rsid w:val="00DD0A9E"/>
    <w:rsid w:val="00DD32AF"/>
    <w:rsid w:val="00DD4FE5"/>
    <w:rsid w:val="00DD5E9A"/>
    <w:rsid w:val="00DD6EE9"/>
    <w:rsid w:val="00DE1945"/>
    <w:rsid w:val="00DE49FC"/>
    <w:rsid w:val="00DE5DD6"/>
    <w:rsid w:val="00DF15FA"/>
    <w:rsid w:val="00DF2F5C"/>
    <w:rsid w:val="00DF3530"/>
    <w:rsid w:val="00DF558F"/>
    <w:rsid w:val="00DF55B1"/>
    <w:rsid w:val="00DF6274"/>
    <w:rsid w:val="00DF6D2A"/>
    <w:rsid w:val="00DF7B8A"/>
    <w:rsid w:val="00E0238B"/>
    <w:rsid w:val="00E06513"/>
    <w:rsid w:val="00E06D2A"/>
    <w:rsid w:val="00E1169E"/>
    <w:rsid w:val="00E119A2"/>
    <w:rsid w:val="00E12DE5"/>
    <w:rsid w:val="00E130DB"/>
    <w:rsid w:val="00E13D05"/>
    <w:rsid w:val="00E148B9"/>
    <w:rsid w:val="00E16FDA"/>
    <w:rsid w:val="00E20573"/>
    <w:rsid w:val="00E20A47"/>
    <w:rsid w:val="00E21DF0"/>
    <w:rsid w:val="00E2309E"/>
    <w:rsid w:val="00E23A7C"/>
    <w:rsid w:val="00E23B0B"/>
    <w:rsid w:val="00E23C4C"/>
    <w:rsid w:val="00E26491"/>
    <w:rsid w:val="00E31781"/>
    <w:rsid w:val="00E3316F"/>
    <w:rsid w:val="00E33679"/>
    <w:rsid w:val="00E34032"/>
    <w:rsid w:val="00E35197"/>
    <w:rsid w:val="00E3629C"/>
    <w:rsid w:val="00E37CB1"/>
    <w:rsid w:val="00E37EBB"/>
    <w:rsid w:val="00E41A39"/>
    <w:rsid w:val="00E439DF"/>
    <w:rsid w:val="00E44356"/>
    <w:rsid w:val="00E44DE9"/>
    <w:rsid w:val="00E464F5"/>
    <w:rsid w:val="00E51231"/>
    <w:rsid w:val="00E512B9"/>
    <w:rsid w:val="00E57433"/>
    <w:rsid w:val="00E60E29"/>
    <w:rsid w:val="00E6140A"/>
    <w:rsid w:val="00E616C9"/>
    <w:rsid w:val="00E639CA"/>
    <w:rsid w:val="00E63B7F"/>
    <w:rsid w:val="00E651B5"/>
    <w:rsid w:val="00E66CEB"/>
    <w:rsid w:val="00E67C7F"/>
    <w:rsid w:val="00E706BC"/>
    <w:rsid w:val="00E7154B"/>
    <w:rsid w:val="00E71A92"/>
    <w:rsid w:val="00E72289"/>
    <w:rsid w:val="00E7336B"/>
    <w:rsid w:val="00E73BA7"/>
    <w:rsid w:val="00E76525"/>
    <w:rsid w:val="00E770BD"/>
    <w:rsid w:val="00E77E30"/>
    <w:rsid w:val="00E80FB5"/>
    <w:rsid w:val="00E829A1"/>
    <w:rsid w:val="00E839B5"/>
    <w:rsid w:val="00E85D20"/>
    <w:rsid w:val="00E86942"/>
    <w:rsid w:val="00E90521"/>
    <w:rsid w:val="00E91556"/>
    <w:rsid w:val="00E92BD2"/>
    <w:rsid w:val="00E93428"/>
    <w:rsid w:val="00E93C5B"/>
    <w:rsid w:val="00E94D01"/>
    <w:rsid w:val="00E955BC"/>
    <w:rsid w:val="00E96EF9"/>
    <w:rsid w:val="00E9795C"/>
    <w:rsid w:val="00EA42EC"/>
    <w:rsid w:val="00EA5D5C"/>
    <w:rsid w:val="00EB2242"/>
    <w:rsid w:val="00EB37C3"/>
    <w:rsid w:val="00EB38D0"/>
    <w:rsid w:val="00EB3F04"/>
    <w:rsid w:val="00EC3092"/>
    <w:rsid w:val="00EC4BE7"/>
    <w:rsid w:val="00EC4C1B"/>
    <w:rsid w:val="00EC4EE9"/>
    <w:rsid w:val="00EC5321"/>
    <w:rsid w:val="00EC5715"/>
    <w:rsid w:val="00EC5B83"/>
    <w:rsid w:val="00EC6077"/>
    <w:rsid w:val="00EC6583"/>
    <w:rsid w:val="00EC6897"/>
    <w:rsid w:val="00EC6B9A"/>
    <w:rsid w:val="00ED1C74"/>
    <w:rsid w:val="00ED4FF9"/>
    <w:rsid w:val="00ED7CAE"/>
    <w:rsid w:val="00EE0DCE"/>
    <w:rsid w:val="00EE35C1"/>
    <w:rsid w:val="00EE3A55"/>
    <w:rsid w:val="00EE5A55"/>
    <w:rsid w:val="00EE6555"/>
    <w:rsid w:val="00EF0449"/>
    <w:rsid w:val="00EF2D7C"/>
    <w:rsid w:val="00EF3D53"/>
    <w:rsid w:val="00EF4097"/>
    <w:rsid w:val="00EF5EB2"/>
    <w:rsid w:val="00EF623F"/>
    <w:rsid w:val="00F0018D"/>
    <w:rsid w:val="00F001E2"/>
    <w:rsid w:val="00F02945"/>
    <w:rsid w:val="00F02CC2"/>
    <w:rsid w:val="00F02F82"/>
    <w:rsid w:val="00F02FB9"/>
    <w:rsid w:val="00F04785"/>
    <w:rsid w:val="00F04914"/>
    <w:rsid w:val="00F05490"/>
    <w:rsid w:val="00F054A4"/>
    <w:rsid w:val="00F06CBB"/>
    <w:rsid w:val="00F06E4E"/>
    <w:rsid w:val="00F07C7C"/>
    <w:rsid w:val="00F11D60"/>
    <w:rsid w:val="00F1278A"/>
    <w:rsid w:val="00F1651B"/>
    <w:rsid w:val="00F16792"/>
    <w:rsid w:val="00F20E6F"/>
    <w:rsid w:val="00F2284D"/>
    <w:rsid w:val="00F22B9A"/>
    <w:rsid w:val="00F22F32"/>
    <w:rsid w:val="00F23292"/>
    <w:rsid w:val="00F2373C"/>
    <w:rsid w:val="00F239D3"/>
    <w:rsid w:val="00F2523B"/>
    <w:rsid w:val="00F27D2C"/>
    <w:rsid w:val="00F30AAA"/>
    <w:rsid w:val="00F32BC2"/>
    <w:rsid w:val="00F33E38"/>
    <w:rsid w:val="00F3418D"/>
    <w:rsid w:val="00F3645E"/>
    <w:rsid w:val="00F36FB3"/>
    <w:rsid w:val="00F37420"/>
    <w:rsid w:val="00F4020C"/>
    <w:rsid w:val="00F43605"/>
    <w:rsid w:val="00F45FE2"/>
    <w:rsid w:val="00F46586"/>
    <w:rsid w:val="00F473C7"/>
    <w:rsid w:val="00F501A1"/>
    <w:rsid w:val="00F50765"/>
    <w:rsid w:val="00F52E1F"/>
    <w:rsid w:val="00F53299"/>
    <w:rsid w:val="00F53BF5"/>
    <w:rsid w:val="00F550E7"/>
    <w:rsid w:val="00F56C1B"/>
    <w:rsid w:val="00F57E0E"/>
    <w:rsid w:val="00F600EB"/>
    <w:rsid w:val="00F601A5"/>
    <w:rsid w:val="00F603C2"/>
    <w:rsid w:val="00F6186B"/>
    <w:rsid w:val="00F6275D"/>
    <w:rsid w:val="00F62CB0"/>
    <w:rsid w:val="00F62DA0"/>
    <w:rsid w:val="00F64279"/>
    <w:rsid w:val="00F65597"/>
    <w:rsid w:val="00F65661"/>
    <w:rsid w:val="00F65857"/>
    <w:rsid w:val="00F66111"/>
    <w:rsid w:val="00F66117"/>
    <w:rsid w:val="00F6656C"/>
    <w:rsid w:val="00F7348C"/>
    <w:rsid w:val="00F74418"/>
    <w:rsid w:val="00F75963"/>
    <w:rsid w:val="00F76EC6"/>
    <w:rsid w:val="00F804F1"/>
    <w:rsid w:val="00F824D0"/>
    <w:rsid w:val="00F82BBF"/>
    <w:rsid w:val="00F835EF"/>
    <w:rsid w:val="00F83772"/>
    <w:rsid w:val="00F84DB1"/>
    <w:rsid w:val="00F8599C"/>
    <w:rsid w:val="00F8691B"/>
    <w:rsid w:val="00F90798"/>
    <w:rsid w:val="00F90E6A"/>
    <w:rsid w:val="00F92349"/>
    <w:rsid w:val="00F94989"/>
    <w:rsid w:val="00F95259"/>
    <w:rsid w:val="00F96EDF"/>
    <w:rsid w:val="00FA1172"/>
    <w:rsid w:val="00FA2117"/>
    <w:rsid w:val="00FA3994"/>
    <w:rsid w:val="00FA3BF6"/>
    <w:rsid w:val="00FA3F96"/>
    <w:rsid w:val="00FA4930"/>
    <w:rsid w:val="00FA66EA"/>
    <w:rsid w:val="00FA6DD7"/>
    <w:rsid w:val="00FA749C"/>
    <w:rsid w:val="00FA7F63"/>
    <w:rsid w:val="00FB2E85"/>
    <w:rsid w:val="00FB421B"/>
    <w:rsid w:val="00FB47BD"/>
    <w:rsid w:val="00FB6CD1"/>
    <w:rsid w:val="00FC4079"/>
    <w:rsid w:val="00FC46E6"/>
    <w:rsid w:val="00FC4DA0"/>
    <w:rsid w:val="00FC5C7D"/>
    <w:rsid w:val="00FC682F"/>
    <w:rsid w:val="00FD01A4"/>
    <w:rsid w:val="00FD0ECB"/>
    <w:rsid w:val="00FD109B"/>
    <w:rsid w:val="00FD1BF5"/>
    <w:rsid w:val="00FD22A0"/>
    <w:rsid w:val="00FD252F"/>
    <w:rsid w:val="00FD30AF"/>
    <w:rsid w:val="00FD3E98"/>
    <w:rsid w:val="00FD4FBC"/>
    <w:rsid w:val="00FD5F7C"/>
    <w:rsid w:val="00FD7525"/>
    <w:rsid w:val="00FD76EE"/>
    <w:rsid w:val="00FD7729"/>
    <w:rsid w:val="00FE0059"/>
    <w:rsid w:val="00FE095E"/>
    <w:rsid w:val="00FE21F9"/>
    <w:rsid w:val="00FE2806"/>
    <w:rsid w:val="00FE30B7"/>
    <w:rsid w:val="00FE4DB8"/>
    <w:rsid w:val="00FE76A7"/>
    <w:rsid w:val="00FF00A5"/>
    <w:rsid w:val="00FF0CC3"/>
    <w:rsid w:val="00FF1968"/>
    <w:rsid w:val="00FF29F5"/>
    <w:rsid w:val="00FF36AD"/>
    <w:rsid w:val="00FF3ED2"/>
    <w:rsid w:val="00FF41B3"/>
    <w:rsid w:val="00FF47B4"/>
    <w:rsid w:val="00FF73BF"/>
    <w:rsid w:val="00FF7981"/>
    <w:rsid w:val="00FF7E0A"/>
    <w:rsid w:val="01281A93"/>
    <w:rsid w:val="0222795D"/>
    <w:rsid w:val="0273086B"/>
    <w:rsid w:val="02AB6268"/>
    <w:rsid w:val="02B33080"/>
    <w:rsid w:val="03516C2A"/>
    <w:rsid w:val="03985C7D"/>
    <w:rsid w:val="039A405D"/>
    <w:rsid w:val="03D72DE7"/>
    <w:rsid w:val="04B31573"/>
    <w:rsid w:val="05241B93"/>
    <w:rsid w:val="057712E0"/>
    <w:rsid w:val="0659602B"/>
    <w:rsid w:val="068124F2"/>
    <w:rsid w:val="069B4465"/>
    <w:rsid w:val="074B5158"/>
    <w:rsid w:val="07AB246B"/>
    <w:rsid w:val="07DB1F40"/>
    <w:rsid w:val="080028EE"/>
    <w:rsid w:val="0828470C"/>
    <w:rsid w:val="08D74FC5"/>
    <w:rsid w:val="08FD0388"/>
    <w:rsid w:val="09630D8D"/>
    <w:rsid w:val="09AE79E2"/>
    <w:rsid w:val="09C71513"/>
    <w:rsid w:val="09D300D1"/>
    <w:rsid w:val="0A4C3E0F"/>
    <w:rsid w:val="0A735B07"/>
    <w:rsid w:val="0A8F02C9"/>
    <w:rsid w:val="0B252163"/>
    <w:rsid w:val="0B425200"/>
    <w:rsid w:val="0C094F89"/>
    <w:rsid w:val="0C145AEF"/>
    <w:rsid w:val="0C30025C"/>
    <w:rsid w:val="0D7B6C02"/>
    <w:rsid w:val="0EDB787F"/>
    <w:rsid w:val="0FA61452"/>
    <w:rsid w:val="0FB466B0"/>
    <w:rsid w:val="10D04EDF"/>
    <w:rsid w:val="11457BE2"/>
    <w:rsid w:val="116A622C"/>
    <w:rsid w:val="117B1504"/>
    <w:rsid w:val="118D1C38"/>
    <w:rsid w:val="11E46F6F"/>
    <w:rsid w:val="11F37030"/>
    <w:rsid w:val="12062478"/>
    <w:rsid w:val="124962F0"/>
    <w:rsid w:val="1250401C"/>
    <w:rsid w:val="132035A6"/>
    <w:rsid w:val="13270AAD"/>
    <w:rsid w:val="13527FA6"/>
    <w:rsid w:val="13602F23"/>
    <w:rsid w:val="13E729A1"/>
    <w:rsid w:val="140E6614"/>
    <w:rsid w:val="14B552DF"/>
    <w:rsid w:val="152F2F86"/>
    <w:rsid w:val="157F35A5"/>
    <w:rsid w:val="15B80938"/>
    <w:rsid w:val="16403A11"/>
    <w:rsid w:val="16CB6554"/>
    <w:rsid w:val="16E24139"/>
    <w:rsid w:val="170F0C33"/>
    <w:rsid w:val="17497BA2"/>
    <w:rsid w:val="175427B6"/>
    <w:rsid w:val="180B15DA"/>
    <w:rsid w:val="181D3C99"/>
    <w:rsid w:val="194526CA"/>
    <w:rsid w:val="198C3482"/>
    <w:rsid w:val="199B70C1"/>
    <w:rsid w:val="1A6E1B33"/>
    <w:rsid w:val="1A7600F5"/>
    <w:rsid w:val="1ACC2C07"/>
    <w:rsid w:val="1AFF2C62"/>
    <w:rsid w:val="1B190BC1"/>
    <w:rsid w:val="1B50328A"/>
    <w:rsid w:val="1B5B21F6"/>
    <w:rsid w:val="1B896C48"/>
    <w:rsid w:val="1BBE19E0"/>
    <w:rsid w:val="1C3B44E8"/>
    <w:rsid w:val="1C592A6B"/>
    <w:rsid w:val="1CEB383B"/>
    <w:rsid w:val="1D0750E7"/>
    <w:rsid w:val="1D157D7A"/>
    <w:rsid w:val="1D78034B"/>
    <w:rsid w:val="1DB40E63"/>
    <w:rsid w:val="1E5148EB"/>
    <w:rsid w:val="1E841815"/>
    <w:rsid w:val="1EC937F5"/>
    <w:rsid w:val="1EDF2263"/>
    <w:rsid w:val="1F1A0C3B"/>
    <w:rsid w:val="1F2C732E"/>
    <w:rsid w:val="1F5972B0"/>
    <w:rsid w:val="1FAA075C"/>
    <w:rsid w:val="208F6258"/>
    <w:rsid w:val="21072EE1"/>
    <w:rsid w:val="21964DFD"/>
    <w:rsid w:val="21AB2385"/>
    <w:rsid w:val="231433E7"/>
    <w:rsid w:val="232A31F2"/>
    <w:rsid w:val="2349207C"/>
    <w:rsid w:val="239A6560"/>
    <w:rsid w:val="23EE42A9"/>
    <w:rsid w:val="23F308EE"/>
    <w:rsid w:val="245360EB"/>
    <w:rsid w:val="247513A1"/>
    <w:rsid w:val="24FC7F7D"/>
    <w:rsid w:val="2524289E"/>
    <w:rsid w:val="25344C05"/>
    <w:rsid w:val="26BA3725"/>
    <w:rsid w:val="26DD260F"/>
    <w:rsid w:val="271F1233"/>
    <w:rsid w:val="27394EB2"/>
    <w:rsid w:val="27B02A42"/>
    <w:rsid w:val="280A0526"/>
    <w:rsid w:val="281E70EA"/>
    <w:rsid w:val="28496DC7"/>
    <w:rsid w:val="2894383B"/>
    <w:rsid w:val="28A90254"/>
    <w:rsid w:val="29037CEC"/>
    <w:rsid w:val="290C056A"/>
    <w:rsid w:val="290F13E3"/>
    <w:rsid w:val="29732D2A"/>
    <w:rsid w:val="297629F2"/>
    <w:rsid w:val="2A150A7B"/>
    <w:rsid w:val="2A5E39DA"/>
    <w:rsid w:val="2B0A25F1"/>
    <w:rsid w:val="2BDC13E8"/>
    <w:rsid w:val="2C2F6C5B"/>
    <w:rsid w:val="2C35087C"/>
    <w:rsid w:val="2CD425E5"/>
    <w:rsid w:val="2D4F0F38"/>
    <w:rsid w:val="2D6476F3"/>
    <w:rsid w:val="2DC07B00"/>
    <w:rsid w:val="2DC74CB6"/>
    <w:rsid w:val="2E5A18B6"/>
    <w:rsid w:val="2E9928E0"/>
    <w:rsid w:val="2EAD63A8"/>
    <w:rsid w:val="2EB95886"/>
    <w:rsid w:val="2EBE6008"/>
    <w:rsid w:val="2F4803A8"/>
    <w:rsid w:val="2F9E1B21"/>
    <w:rsid w:val="2FD7696A"/>
    <w:rsid w:val="301557AF"/>
    <w:rsid w:val="30A82D39"/>
    <w:rsid w:val="31110C1F"/>
    <w:rsid w:val="31731ED1"/>
    <w:rsid w:val="32B72893"/>
    <w:rsid w:val="32D71C99"/>
    <w:rsid w:val="32FC5E04"/>
    <w:rsid w:val="3309576B"/>
    <w:rsid w:val="337B6D0E"/>
    <w:rsid w:val="33856CD3"/>
    <w:rsid w:val="33A8297E"/>
    <w:rsid w:val="34820AFC"/>
    <w:rsid w:val="34BA2147"/>
    <w:rsid w:val="36043848"/>
    <w:rsid w:val="36306832"/>
    <w:rsid w:val="36483135"/>
    <w:rsid w:val="373C7CDF"/>
    <w:rsid w:val="37AA430A"/>
    <w:rsid w:val="37BE7040"/>
    <w:rsid w:val="381A3ED0"/>
    <w:rsid w:val="386C6B6D"/>
    <w:rsid w:val="389F5823"/>
    <w:rsid w:val="38EC0857"/>
    <w:rsid w:val="39477140"/>
    <w:rsid w:val="39924D42"/>
    <w:rsid w:val="39A4566F"/>
    <w:rsid w:val="39AA33F1"/>
    <w:rsid w:val="3A0A710D"/>
    <w:rsid w:val="3A3B6F95"/>
    <w:rsid w:val="3A7114AF"/>
    <w:rsid w:val="3AB94700"/>
    <w:rsid w:val="3B2B1543"/>
    <w:rsid w:val="3B5B6D71"/>
    <w:rsid w:val="3B900DC8"/>
    <w:rsid w:val="3B981772"/>
    <w:rsid w:val="3BCD4780"/>
    <w:rsid w:val="3BE02516"/>
    <w:rsid w:val="3C421154"/>
    <w:rsid w:val="3CED4FAC"/>
    <w:rsid w:val="3D23141F"/>
    <w:rsid w:val="3D593E8C"/>
    <w:rsid w:val="3DAF1262"/>
    <w:rsid w:val="3E611883"/>
    <w:rsid w:val="3F291AE9"/>
    <w:rsid w:val="3F5868E2"/>
    <w:rsid w:val="3F842C17"/>
    <w:rsid w:val="3FCE3382"/>
    <w:rsid w:val="4039719F"/>
    <w:rsid w:val="40A85D30"/>
    <w:rsid w:val="40FE18D7"/>
    <w:rsid w:val="41071E4D"/>
    <w:rsid w:val="41DB5DDC"/>
    <w:rsid w:val="421678CB"/>
    <w:rsid w:val="42834427"/>
    <w:rsid w:val="42A61B46"/>
    <w:rsid w:val="42B53FDE"/>
    <w:rsid w:val="42DB2BF2"/>
    <w:rsid w:val="42F8672B"/>
    <w:rsid w:val="430B100B"/>
    <w:rsid w:val="43312BF2"/>
    <w:rsid w:val="43D52B21"/>
    <w:rsid w:val="44057143"/>
    <w:rsid w:val="440C0C76"/>
    <w:rsid w:val="44497C1B"/>
    <w:rsid w:val="44976E5A"/>
    <w:rsid w:val="45F50E41"/>
    <w:rsid w:val="46164319"/>
    <w:rsid w:val="47472A18"/>
    <w:rsid w:val="475B6207"/>
    <w:rsid w:val="476A1E74"/>
    <w:rsid w:val="476B0FBA"/>
    <w:rsid w:val="478E5F3C"/>
    <w:rsid w:val="480E2214"/>
    <w:rsid w:val="48B81E35"/>
    <w:rsid w:val="49444BDC"/>
    <w:rsid w:val="4A43105C"/>
    <w:rsid w:val="4DA44ADF"/>
    <w:rsid w:val="4DC2042B"/>
    <w:rsid w:val="4DDE719A"/>
    <w:rsid w:val="4DFB2E3E"/>
    <w:rsid w:val="4E7711DC"/>
    <w:rsid w:val="4EA10878"/>
    <w:rsid w:val="4F4B516F"/>
    <w:rsid w:val="4F755271"/>
    <w:rsid w:val="4FBE7BEA"/>
    <w:rsid w:val="5029647A"/>
    <w:rsid w:val="50D80FF9"/>
    <w:rsid w:val="51227B42"/>
    <w:rsid w:val="51265F87"/>
    <w:rsid w:val="514D1E63"/>
    <w:rsid w:val="51596929"/>
    <w:rsid w:val="51BC507B"/>
    <w:rsid w:val="52631353"/>
    <w:rsid w:val="52A343D8"/>
    <w:rsid w:val="52AF37C9"/>
    <w:rsid w:val="531B502D"/>
    <w:rsid w:val="53942531"/>
    <w:rsid w:val="54B924DC"/>
    <w:rsid w:val="54FA7809"/>
    <w:rsid w:val="555B3BB0"/>
    <w:rsid w:val="55F42094"/>
    <w:rsid w:val="5787345A"/>
    <w:rsid w:val="5801517A"/>
    <w:rsid w:val="58192794"/>
    <w:rsid w:val="58777780"/>
    <w:rsid w:val="58985265"/>
    <w:rsid w:val="58E66F69"/>
    <w:rsid w:val="59505D9C"/>
    <w:rsid w:val="595653DC"/>
    <w:rsid w:val="597C7653"/>
    <w:rsid w:val="59893102"/>
    <w:rsid w:val="5990205B"/>
    <w:rsid w:val="59C65937"/>
    <w:rsid w:val="59E648CF"/>
    <w:rsid w:val="5A0568D9"/>
    <w:rsid w:val="5B2E163E"/>
    <w:rsid w:val="5B4F2CD5"/>
    <w:rsid w:val="5B6414CE"/>
    <w:rsid w:val="5BC32BEB"/>
    <w:rsid w:val="5BE12C55"/>
    <w:rsid w:val="5BFC3D1F"/>
    <w:rsid w:val="5C603089"/>
    <w:rsid w:val="5CA443F9"/>
    <w:rsid w:val="5CA65081"/>
    <w:rsid w:val="5CBE4A16"/>
    <w:rsid w:val="5CBF11B4"/>
    <w:rsid w:val="5D6C6EC5"/>
    <w:rsid w:val="5DCB066D"/>
    <w:rsid w:val="5E1D48DB"/>
    <w:rsid w:val="5E4C13B8"/>
    <w:rsid w:val="5E52066F"/>
    <w:rsid w:val="5EA22713"/>
    <w:rsid w:val="5F8B10A0"/>
    <w:rsid w:val="5F8F47E3"/>
    <w:rsid w:val="5FA44B5D"/>
    <w:rsid w:val="600052D9"/>
    <w:rsid w:val="60D32977"/>
    <w:rsid w:val="613715C7"/>
    <w:rsid w:val="626266A7"/>
    <w:rsid w:val="626A3A22"/>
    <w:rsid w:val="62E32DA4"/>
    <w:rsid w:val="62E47EA2"/>
    <w:rsid w:val="62EB1475"/>
    <w:rsid w:val="634D5CB6"/>
    <w:rsid w:val="637D64BE"/>
    <w:rsid w:val="63A34E8F"/>
    <w:rsid w:val="63E00724"/>
    <w:rsid w:val="6478698A"/>
    <w:rsid w:val="64E21676"/>
    <w:rsid w:val="64F57EEB"/>
    <w:rsid w:val="650B1736"/>
    <w:rsid w:val="652D2AF4"/>
    <w:rsid w:val="654710AE"/>
    <w:rsid w:val="65A268A9"/>
    <w:rsid w:val="65B00BC4"/>
    <w:rsid w:val="66331E21"/>
    <w:rsid w:val="66C343CE"/>
    <w:rsid w:val="66CA20DF"/>
    <w:rsid w:val="66D16009"/>
    <w:rsid w:val="670A38BA"/>
    <w:rsid w:val="67341C19"/>
    <w:rsid w:val="673955E1"/>
    <w:rsid w:val="67440CAB"/>
    <w:rsid w:val="678A5E57"/>
    <w:rsid w:val="67B0300C"/>
    <w:rsid w:val="68122C54"/>
    <w:rsid w:val="685C2695"/>
    <w:rsid w:val="68B14C68"/>
    <w:rsid w:val="68C61866"/>
    <w:rsid w:val="69C97850"/>
    <w:rsid w:val="6A7448D3"/>
    <w:rsid w:val="6AA33BCA"/>
    <w:rsid w:val="6B0D446E"/>
    <w:rsid w:val="6B4A19A8"/>
    <w:rsid w:val="6B4B796F"/>
    <w:rsid w:val="6BAB4E1D"/>
    <w:rsid w:val="6BE712D3"/>
    <w:rsid w:val="6C192926"/>
    <w:rsid w:val="6C321222"/>
    <w:rsid w:val="6C3F217F"/>
    <w:rsid w:val="6D575136"/>
    <w:rsid w:val="6D9E1B77"/>
    <w:rsid w:val="6DCC048E"/>
    <w:rsid w:val="6E1D48F0"/>
    <w:rsid w:val="6E7A1830"/>
    <w:rsid w:val="6EB54C74"/>
    <w:rsid w:val="6EBF3327"/>
    <w:rsid w:val="6ECE3EA8"/>
    <w:rsid w:val="6F0C3B6A"/>
    <w:rsid w:val="700B0DBE"/>
    <w:rsid w:val="708010B7"/>
    <w:rsid w:val="71BD2C85"/>
    <w:rsid w:val="71C02CF2"/>
    <w:rsid w:val="71EF7786"/>
    <w:rsid w:val="72413A77"/>
    <w:rsid w:val="7257796A"/>
    <w:rsid w:val="72AD05F6"/>
    <w:rsid w:val="72D62FE8"/>
    <w:rsid w:val="72DE5608"/>
    <w:rsid w:val="72F86392"/>
    <w:rsid w:val="73B94EA3"/>
    <w:rsid w:val="742A0C47"/>
    <w:rsid w:val="754014EE"/>
    <w:rsid w:val="75567A5E"/>
    <w:rsid w:val="759743BB"/>
    <w:rsid w:val="7625040A"/>
    <w:rsid w:val="76771710"/>
    <w:rsid w:val="76DE1161"/>
    <w:rsid w:val="76E55C60"/>
    <w:rsid w:val="773D74D7"/>
    <w:rsid w:val="77C9622C"/>
    <w:rsid w:val="78E8647F"/>
    <w:rsid w:val="79EE5838"/>
    <w:rsid w:val="7A2C6801"/>
    <w:rsid w:val="7A2E4B0E"/>
    <w:rsid w:val="7B6859D1"/>
    <w:rsid w:val="7B8F4CDB"/>
    <w:rsid w:val="7BAA4093"/>
    <w:rsid w:val="7BD101DF"/>
    <w:rsid w:val="7C043694"/>
    <w:rsid w:val="7C387D72"/>
    <w:rsid w:val="7CA32F91"/>
    <w:rsid w:val="7CC22809"/>
    <w:rsid w:val="7D3824FF"/>
    <w:rsid w:val="7D844C59"/>
    <w:rsid w:val="7DA84E33"/>
    <w:rsid w:val="7DAD550E"/>
    <w:rsid w:val="7DFC33EB"/>
    <w:rsid w:val="7E8A165C"/>
    <w:rsid w:val="7EAA02A2"/>
    <w:rsid w:val="7F2771AD"/>
    <w:rsid w:val="7F9928B6"/>
    <w:rsid w:val="7FB543BB"/>
    <w:rsid w:val="7FC6567C"/>
    <w:rsid w:val="7FFD164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qFormat="1" w:unhideWhenUsed="0" w:uiPriority="99" w:semiHidden="0" w:name="toa heading"/>
    <w:lsdException w:uiPriority="99" w:name="List" w:locked="1"/>
    <w:lsdException w:uiPriority="99" w:name="List Bullet" w:locked="1"/>
    <w:lsdException w:unhideWhenUsed="0" w:uiPriority="0" w:semiHidden="0"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qFormat="1" w:unhideWhenUsed="0" w:uiPriority="99" w:semiHidden="0" w:name="Document Map"/>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0"/>
    <w:qFormat/>
    <w:uiPriority w:val="99"/>
    <w:pPr>
      <w:keepNext/>
      <w:keepLines/>
      <w:spacing w:before="340" w:after="330" w:line="576" w:lineRule="auto"/>
      <w:jc w:val="center"/>
      <w:outlineLvl w:val="0"/>
    </w:pPr>
    <w:rPr>
      <w:b/>
      <w:kern w:val="44"/>
      <w:sz w:val="28"/>
      <w:szCs w:val="20"/>
    </w:rPr>
  </w:style>
  <w:style w:type="paragraph" w:styleId="4">
    <w:name w:val="heading 2"/>
    <w:basedOn w:val="1"/>
    <w:next w:val="1"/>
    <w:link w:val="31"/>
    <w:qFormat/>
    <w:uiPriority w:val="99"/>
    <w:pPr>
      <w:keepNext/>
      <w:keepLines/>
      <w:spacing w:before="260" w:after="260" w:line="413" w:lineRule="auto"/>
      <w:outlineLvl w:val="1"/>
    </w:pPr>
    <w:rPr>
      <w:rFonts w:ascii="Arial" w:hAnsi="Arial"/>
      <w:kern w:val="0"/>
      <w:sz w:val="28"/>
      <w:szCs w:val="20"/>
    </w:rPr>
  </w:style>
  <w:style w:type="paragraph" w:styleId="5">
    <w:name w:val="heading 3"/>
    <w:basedOn w:val="1"/>
    <w:next w:val="1"/>
    <w:link w:val="32"/>
    <w:qFormat/>
    <w:uiPriority w:val="99"/>
    <w:pPr>
      <w:keepNext/>
      <w:keepLines/>
      <w:spacing w:before="260" w:after="260" w:line="413" w:lineRule="auto"/>
      <w:outlineLvl w:val="2"/>
    </w:pPr>
    <w:rPr>
      <w:kern w:val="0"/>
      <w:sz w:val="28"/>
      <w:szCs w:val="20"/>
    </w:rPr>
  </w:style>
  <w:style w:type="character" w:default="1" w:styleId="27">
    <w:name w:val="Default Paragraph Font"/>
    <w:semiHidden/>
    <w:qFormat/>
    <w:uiPriority w:val="99"/>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3"/>
    <w:qFormat/>
    <w:uiPriority w:val="99"/>
    <w:pPr>
      <w:spacing w:after="120"/>
    </w:pPr>
  </w:style>
  <w:style w:type="paragraph" w:styleId="6">
    <w:name w:val="toc 7"/>
    <w:basedOn w:val="1"/>
    <w:next w:val="1"/>
    <w:qFormat/>
    <w:uiPriority w:val="99"/>
    <w:pPr>
      <w:ind w:left="2520" w:leftChars="1200"/>
    </w:pPr>
  </w:style>
  <w:style w:type="paragraph" w:styleId="7">
    <w:name w:val="Document Map"/>
    <w:basedOn w:val="1"/>
    <w:link w:val="34"/>
    <w:qFormat/>
    <w:uiPriority w:val="99"/>
    <w:rPr>
      <w:rFonts w:ascii="宋体"/>
      <w:sz w:val="18"/>
      <w:szCs w:val="18"/>
    </w:rPr>
  </w:style>
  <w:style w:type="paragraph" w:styleId="8">
    <w:name w:val="toa heading"/>
    <w:basedOn w:val="1"/>
    <w:next w:val="1"/>
    <w:qFormat/>
    <w:uiPriority w:val="99"/>
    <w:pPr>
      <w:spacing w:before="120"/>
    </w:pPr>
    <w:rPr>
      <w:rFonts w:ascii="Arial" w:hAnsi="Arial"/>
      <w:sz w:val="24"/>
    </w:rPr>
  </w:style>
  <w:style w:type="paragraph" w:styleId="9">
    <w:name w:val="annotation text"/>
    <w:basedOn w:val="1"/>
    <w:link w:val="35"/>
    <w:qFormat/>
    <w:uiPriority w:val="99"/>
    <w:pPr>
      <w:jc w:val="left"/>
    </w:pPr>
    <w:rPr>
      <w:rFonts w:ascii="Calibri" w:hAnsi="Calibri"/>
      <w:szCs w:val="22"/>
    </w:rPr>
  </w:style>
  <w:style w:type="paragraph" w:styleId="10">
    <w:name w:val="Body Text Indent"/>
    <w:basedOn w:val="1"/>
    <w:link w:val="36"/>
    <w:qFormat/>
    <w:uiPriority w:val="99"/>
    <w:pPr>
      <w:spacing w:after="120"/>
      <w:ind w:left="420" w:leftChars="200"/>
    </w:pPr>
  </w:style>
  <w:style w:type="paragraph" w:styleId="11">
    <w:name w:val="toc 5"/>
    <w:basedOn w:val="1"/>
    <w:next w:val="1"/>
    <w:qFormat/>
    <w:uiPriority w:val="99"/>
    <w:pPr>
      <w:ind w:left="1680" w:leftChars="800"/>
    </w:pPr>
  </w:style>
  <w:style w:type="paragraph" w:styleId="12">
    <w:name w:val="toc 3"/>
    <w:basedOn w:val="1"/>
    <w:next w:val="1"/>
    <w:qFormat/>
    <w:uiPriority w:val="99"/>
    <w:pPr>
      <w:ind w:left="840" w:leftChars="400"/>
    </w:pPr>
  </w:style>
  <w:style w:type="paragraph" w:styleId="13">
    <w:name w:val="Plain Text"/>
    <w:basedOn w:val="1"/>
    <w:link w:val="37"/>
    <w:qFormat/>
    <w:uiPriority w:val="99"/>
    <w:pPr>
      <w:adjustRightInd w:val="0"/>
      <w:spacing w:line="312" w:lineRule="atLeast"/>
      <w:textAlignment w:val="baseline"/>
    </w:pPr>
    <w:rPr>
      <w:rFonts w:ascii="宋体" w:hAnsi="Courier New"/>
    </w:rPr>
  </w:style>
  <w:style w:type="paragraph" w:styleId="14">
    <w:name w:val="toc 8"/>
    <w:basedOn w:val="1"/>
    <w:next w:val="1"/>
    <w:qFormat/>
    <w:uiPriority w:val="99"/>
    <w:pPr>
      <w:ind w:left="2940" w:leftChars="1400"/>
    </w:pPr>
  </w:style>
  <w:style w:type="paragraph" w:styleId="15">
    <w:name w:val="Balloon Text"/>
    <w:basedOn w:val="1"/>
    <w:link w:val="38"/>
    <w:qFormat/>
    <w:uiPriority w:val="99"/>
    <w:rPr>
      <w:sz w:val="18"/>
      <w:szCs w:val="18"/>
    </w:rPr>
  </w:style>
  <w:style w:type="paragraph" w:styleId="16">
    <w:name w:val="footer"/>
    <w:basedOn w:val="1"/>
    <w:link w:val="39"/>
    <w:qFormat/>
    <w:uiPriority w:val="99"/>
    <w:pPr>
      <w:tabs>
        <w:tab w:val="center" w:pos="4153"/>
        <w:tab w:val="right" w:pos="8306"/>
      </w:tabs>
      <w:snapToGrid w:val="0"/>
      <w:jc w:val="left"/>
    </w:pPr>
    <w:rPr>
      <w:sz w:val="18"/>
    </w:rPr>
  </w:style>
  <w:style w:type="paragraph" w:styleId="17">
    <w:name w:val="header"/>
    <w:basedOn w:val="1"/>
    <w:link w:val="4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qFormat/>
    <w:uiPriority w:val="99"/>
  </w:style>
  <w:style w:type="paragraph" w:styleId="19">
    <w:name w:val="toc 4"/>
    <w:basedOn w:val="1"/>
    <w:next w:val="1"/>
    <w:qFormat/>
    <w:uiPriority w:val="99"/>
    <w:pPr>
      <w:ind w:left="1260" w:leftChars="600"/>
    </w:pPr>
  </w:style>
  <w:style w:type="paragraph" w:styleId="20">
    <w:name w:val="toc 6"/>
    <w:basedOn w:val="1"/>
    <w:next w:val="1"/>
    <w:qFormat/>
    <w:uiPriority w:val="99"/>
    <w:pPr>
      <w:ind w:left="2100" w:leftChars="1000"/>
    </w:pPr>
  </w:style>
  <w:style w:type="paragraph" w:styleId="21">
    <w:name w:val="Body Text Indent 3"/>
    <w:basedOn w:val="1"/>
    <w:link w:val="41"/>
    <w:qFormat/>
    <w:uiPriority w:val="99"/>
    <w:pPr>
      <w:spacing w:after="120"/>
      <w:ind w:left="420" w:leftChars="200"/>
    </w:pPr>
    <w:rPr>
      <w:sz w:val="16"/>
      <w:szCs w:val="16"/>
    </w:rPr>
  </w:style>
  <w:style w:type="paragraph" w:styleId="22">
    <w:name w:val="toc 2"/>
    <w:basedOn w:val="1"/>
    <w:next w:val="1"/>
    <w:qFormat/>
    <w:uiPriority w:val="99"/>
    <w:pPr>
      <w:ind w:left="420" w:leftChars="200"/>
    </w:pPr>
  </w:style>
  <w:style w:type="paragraph" w:styleId="23">
    <w:name w:val="toc 9"/>
    <w:basedOn w:val="1"/>
    <w:next w:val="1"/>
    <w:qFormat/>
    <w:uiPriority w:val="99"/>
    <w:pPr>
      <w:ind w:left="3360" w:leftChars="1600"/>
    </w:pPr>
  </w:style>
  <w:style w:type="paragraph" w:styleId="24">
    <w:name w:val="annotation subject"/>
    <w:basedOn w:val="9"/>
    <w:next w:val="9"/>
    <w:link w:val="42"/>
    <w:qFormat/>
    <w:uiPriority w:val="99"/>
    <w:rPr>
      <w:rFonts w:ascii="Times New Roman" w:hAnsi="Times New Roman"/>
      <w:b/>
      <w:bCs/>
      <w:szCs w:val="24"/>
    </w:rPr>
  </w:style>
  <w:style w:type="table" w:styleId="26">
    <w:name w:val="Table Grid"/>
    <w:basedOn w:val="25"/>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Hyperlink"/>
    <w:basedOn w:val="27"/>
    <w:qFormat/>
    <w:uiPriority w:val="99"/>
    <w:rPr>
      <w:rFonts w:cs="Times New Roman"/>
      <w:color w:val="0000FF"/>
      <w:u w:val="single"/>
    </w:rPr>
  </w:style>
  <w:style w:type="character" w:styleId="29">
    <w:name w:val="annotation reference"/>
    <w:basedOn w:val="27"/>
    <w:qFormat/>
    <w:uiPriority w:val="99"/>
    <w:rPr>
      <w:rFonts w:cs="Times New Roman"/>
      <w:sz w:val="21"/>
    </w:rPr>
  </w:style>
  <w:style w:type="character" w:customStyle="1" w:styleId="30">
    <w:name w:val="Heading 1 Char"/>
    <w:basedOn w:val="27"/>
    <w:link w:val="3"/>
    <w:qFormat/>
    <w:locked/>
    <w:uiPriority w:val="99"/>
    <w:rPr>
      <w:rFonts w:ascii="Times New Roman" w:hAnsi="Times New Roman" w:eastAsia="宋体"/>
      <w:b/>
      <w:kern w:val="44"/>
      <w:sz w:val="20"/>
    </w:rPr>
  </w:style>
  <w:style w:type="character" w:customStyle="1" w:styleId="31">
    <w:name w:val="Heading 2 Char"/>
    <w:basedOn w:val="27"/>
    <w:link w:val="4"/>
    <w:qFormat/>
    <w:locked/>
    <w:uiPriority w:val="99"/>
    <w:rPr>
      <w:rFonts w:ascii="Arial" w:hAnsi="Arial" w:eastAsia="宋体"/>
      <w:sz w:val="20"/>
    </w:rPr>
  </w:style>
  <w:style w:type="character" w:customStyle="1" w:styleId="32">
    <w:name w:val="Heading 3 Char"/>
    <w:basedOn w:val="27"/>
    <w:link w:val="5"/>
    <w:qFormat/>
    <w:locked/>
    <w:uiPriority w:val="99"/>
    <w:rPr>
      <w:rFonts w:eastAsia="宋体"/>
      <w:sz w:val="28"/>
    </w:rPr>
  </w:style>
  <w:style w:type="character" w:customStyle="1" w:styleId="33">
    <w:name w:val="Body Text Char"/>
    <w:basedOn w:val="27"/>
    <w:link w:val="2"/>
    <w:semiHidden/>
    <w:qFormat/>
    <w:uiPriority w:val="99"/>
    <w:rPr>
      <w:szCs w:val="24"/>
    </w:rPr>
  </w:style>
  <w:style w:type="character" w:customStyle="1" w:styleId="34">
    <w:name w:val="Document Map Char"/>
    <w:basedOn w:val="27"/>
    <w:link w:val="7"/>
    <w:qFormat/>
    <w:locked/>
    <w:uiPriority w:val="99"/>
    <w:rPr>
      <w:rFonts w:ascii="宋体"/>
      <w:kern w:val="2"/>
      <w:sz w:val="18"/>
    </w:rPr>
  </w:style>
  <w:style w:type="character" w:customStyle="1" w:styleId="35">
    <w:name w:val="Comment Text Char"/>
    <w:basedOn w:val="27"/>
    <w:link w:val="9"/>
    <w:qFormat/>
    <w:locked/>
    <w:uiPriority w:val="99"/>
    <w:rPr>
      <w:rFonts w:ascii="Calibri" w:hAnsi="Calibri"/>
      <w:kern w:val="2"/>
      <w:sz w:val="22"/>
    </w:rPr>
  </w:style>
  <w:style w:type="character" w:customStyle="1" w:styleId="36">
    <w:name w:val="Body Text Indent Char"/>
    <w:basedOn w:val="27"/>
    <w:link w:val="10"/>
    <w:qFormat/>
    <w:locked/>
    <w:uiPriority w:val="99"/>
    <w:rPr>
      <w:rFonts w:cs="Times New Roman"/>
      <w:kern w:val="2"/>
      <w:sz w:val="24"/>
      <w:szCs w:val="24"/>
    </w:rPr>
  </w:style>
  <w:style w:type="character" w:customStyle="1" w:styleId="37">
    <w:name w:val="Plain Text Char"/>
    <w:basedOn w:val="27"/>
    <w:link w:val="13"/>
    <w:qFormat/>
    <w:locked/>
    <w:uiPriority w:val="99"/>
    <w:rPr>
      <w:rFonts w:ascii="宋体" w:hAnsi="Courier New"/>
      <w:kern w:val="2"/>
      <w:sz w:val="24"/>
    </w:rPr>
  </w:style>
  <w:style w:type="character" w:customStyle="1" w:styleId="38">
    <w:name w:val="Balloon Text Char"/>
    <w:basedOn w:val="27"/>
    <w:link w:val="15"/>
    <w:qFormat/>
    <w:locked/>
    <w:uiPriority w:val="99"/>
    <w:rPr>
      <w:kern w:val="2"/>
      <w:sz w:val="18"/>
    </w:rPr>
  </w:style>
  <w:style w:type="character" w:customStyle="1" w:styleId="39">
    <w:name w:val="Footer Char"/>
    <w:basedOn w:val="27"/>
    <w:link w:val="16"/>
    <w:semiHidden/>
    <w:qFormat/>
    <w:uiPriority w:val="99"/>
    <w:rPr>
      <w:sz w:val="18"/>
      <w:szCs w:val="18"/>
    </w:rPr>
  </w:style>
  <w:style w:type="character" w:customStyle="1" w:styleId="40">
    <w:name w:val="Header Char"/>
    <w:basedOn w:val="27"/>
    <w:link w:val="17"/>
    <w:semiHidden/>
    <w:qFormat/>
    <w:uiPriority w:val="99"/>
    <w:rPr>
      <w:sz w:val="18"/>
      <w:szCs w:val="18"/>
    </w:rPr>
  </w:style>
  <w:style w:type="character" w:customStyle="1" w:styleId="41">
    <w:name w:val="Body Text Indent 3 Char"/>
    <w:basedOn w:val="27"/>
    <w:link w:val="21"/>
    <w:qFormat/>
    <w:locked/>
    <w:uiPriority w:val="99"/>
    <w:rPr>
      <w:kern w:val="2"/>
      <w:sz w:val="16"/>
    </w:rPr>
  </w:style>
  <w:style w:type="character" w:customStyle="1" w:styleId="42">
    <w:name w:val="Comment Subject Char"/>
    <w:basedOn w:val="35"/>
    <w:link w:val="24"/>
    <w:qFormat/>
    <w:locked/>
    <w:uiPriority w:val="99"/>
    <w:rPr>
      <w:rFonts w:cs="Times New Roman"/>
      <w:szCs w:val="22"/>
    </w:rPr>
  </w:style>
  <w:style w:type="character" w:customStyle="1" w:styleId="43">
    <w:name w:val="1101 Char"/>
    <w:link w:val="44"/>
    <w:qFormat/>
    <w:locked/>
    <w:uiPriority w:val="99"/>
    <w:rPr>
      <w:rFonts w:ascii="宋体" w:eastAsia="宋体"/>
      <w:kern w:val="2"/>
      <w:sz w:val="28"/>
    </w:rPr>
  </w:style>
  <w:style w:type="paragraph" w:customStyle="1" w:styleId="44">
    <w:name w:val="1101"/>
    <w:basedOn w:val="1"/>
    <w:link w:val="43"/>
    <w:qFormat/>
    <w:uiPriority w:val="99"/>
    <w:pPr>
      <w:ind w:firstLine="560" w:firstLineChars="200"/>
      <w:jc w:val="left"/>
    </w:pPr>
    <w:rPr>
      <w:rFonts w:ascii="宋体" w:hAnsi="宋体"/>
      <w:sz w:val="28"/>
      <w:szCs w:val="28"/>
    </w:rPr>
  </w:style>
  <w:style w:type="character" w:customStyle="1" w:styleId="45">
    <w:name w:val="正文文本缩进 Char"/>
    <w:basedOn w:val="27"/>
    <w:qFormat/>
    <w:uiPriority w:val="99"/>
    <w:rPr>
      <w:rFonts w:cs="Times New Roman"/>
      <w:kern w:val="2"/>
      <w:sz w:val="24"/>
      <w:szCs w:val="24"/>
    </w:rPr>
  </w:style>
  <w:style w:type="paragraph" w:customStyle="1" w:styleId="46">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47">
    <w:name w:val="纯文本1"/>
    <w:basedOn w:val="1"/>
    <w:qFormat/>
    <w:uiPriority w:val="99"/>
    <w:rPr>
      <w:rFonts w:ascii="宋体" w:hAnsi="Courier New" w:cs="黑体"/>
      <w:szCs w:val="21"/>
    </w:rPr>
  </w:style>
  <w:style w:type="paragraph" w:customStyle="1" w:styleId="48">
    <w:name w:val="ST20_2"/>
    <w:basedOn w:val="1"/>
    <w:qFormat/>
    <w:uiPriority w:val="99"/>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49">
    <w:name w:val="款下正文"/>
    <w:basedOn w:val="1"/>
    <w:qFormat/>
    <w:uiPriority w:val="99"/>
    <w:pPr>
      <w:spacing w:beforeLines="50" w:afterLines="50" w:line="480" w:lineRule="exact"/>
      <w:ind w:firstLine="480" w:firstLineChars="200"/>
    </w:pPr>
    <w:rPr>
      <w:sz w:val="24"/>
      <w:szCs w:val="28"/>
    </w:rPr>
  </w:style>
  <w:style w:type="paragraph" w:customStyle="1" w:styleId="50">
    <w:name w:val="TOC 标题1"/>
    <w:basedOn w:val="3"/>
    <w:next w:val="1"/>
    <w:qFormat/>
    <w:uiPriority w:val="99"/>
    <w:pPr>
      <w:widowControl/>
      <w:spacing w:before="480" w:after="0" w:line="276" w:lineRule="auto"/>
      <w:jc w:val="left"/>
      <w:outlineLvl w:val="9"/>
    </w:pPr>
    <w:rPr>
      <w:rFonts w:ascii="Cambria" w:hAnsi="Cambria"/>
      <w:bCs/>
      <w:color w:val="365F91"/>
      <w:kern w:val="0"/>
      <w:szCs w:val="28"/>
    </w:rPr>
  </w:style>
  <w:style w:type="paragraph" w:customStyle="1" w:styleId="51">
    <w:name w:val="样式1"/>
    <w:basedOn w:val="3"/>
    <w:qFormat/>
    <w:uiPriority w:val="99"/>
  </w:style>
  <w:style w:type="paragraph" w:customStyle="1" w:styleId="52">
    <w:name w:val="列出段落1"/>
    <w:basedOn w:val="1"/>
    <w:qFormat/>
    <w:uiPriority w:val="99"/>
    <w:pPr>
      <w:ind w:firstLine="420" w:firstLineChars="200"/>
    </w:pPr>
    <w:rPr>
      <w:rFonts w:ascii="Calibri" w:hAnsi="Calibri"/>
      <w:szCs w:val="22"/>
    </w:rPr>
  </w:style>
  <w:style w:type="character" w:customStyle="1" w:styleId="53">
    <w:name w:val="未处理的提及1"/>
    <w:basedOn w:val="27"/>
    <w:semiHidden/>
    <w:qFormat/>
    <w:uiPriority w:val="99"/>
    <w:rPr>
      <w:rFonts w:cs="Times New Roman"/>
      <w:color w:val="808080"/>
      <w:shd w:val="clear" w:color="auto" w:fill="E6E6E6"/>
    </w:rPr>
  </w:style>
  <w:style w:type="character" w:customStyle="1" w:styleId="54">
    <w:name w:val="正文文本_"/>
    <w:basedOn w:val="27"/>
    <w:link w:val="55"/>
    <w:qFormat/>
    <w:locked/>
    <w:uiPriority w:val="99"/>
    <w:rPr>
      <w:rFonts w:ascii="MingLiU" w:hAnsi="MingLiU" w:eastAsia="MingLiU" w:cs="MingLiU"/>
      <w:sz w:val="27"/>
      <w:szCs w:val="27"/>
      <w:shd w:val="clear" w:color="auto" w:fill="FFFFFF"/>
    </w:rPr>
  </w:style>
  <w:style w:type="paragraph" w:customStyle="1" w:styleId="55">
    <w:name w:val="正文文本2"/>
    <w:basedOn w:val="1"/>
    <w:link w:val="54"/>
    <w:qFormat/>
    <w:uiPriority w:val="99"/>
    <w:pPr>
      <w:shd w:val="clear" w:color="auto" w:fill="FFFFFF"/>
      <w:spacing w:before="1200" w:after="840" w:line="240" w:lineRule="atLeast"/>
      <w:jc w:val="right"/>
    </w:pPr>
    <w:rPr>
      <w:rFonts w:ascii="MingLiU" w:hAnsi="MingLiU" w:eastAsia="MingLiU" w:cs="MingLiU"/>
      <w:kern w:val="0"/>
      <w:sz w:val="27"/>
      <w:szCs w:val="27"/>
    </w:rPr>
  </w:style>
  <w:style w:type="paragraph" w:styleId="56">
    <w:name w:val="List Paragraph"/>
    <w:basedOn w:val="1"/>
    <w:qFormat/>
    <w:uiPriority w:val="99"/>
    <w:pPr>
      <w:ind w:firstLine="420" w:firstLineChars="200"/>
    </w:pPr>
  </w:style>
  <w:style w:type="character" w:customStyle="1" w:styleId="57">
    <w:name w:val="标题 2 Char"/>
    <w:qFormat/>
    <w:uiPriority w:val="99"/>
    <w:rPr>
      <w:rFonts w:ascii="Arial" w:hAnsi="Arial" w:eastAsia="黑体"/>
      <w:b/>
      <w:sz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53</Pages>
  <Words>18664</Words>
  <Characters>19363</Characters>
  <Lines>0</Lines>
  <Paragraphs>0</Paragraphs>
  <TotalTime>9</TotalTime>
  <ScaleCrop>false</ScaleCrop>
  <LinksUpToDate>false</LinksUpToDate>
  <CharactersWithSpaces>20082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2023-01-19T03:01:00Z</dcterms:created>
  <dc:creator>jkghj</dc:creator>
  <cp:lastModifiedBy>邓伟</cp:lastModifiedBy>
  <cp:lastPrinted>2021-11-12T08:32:00Z</cp:lastPrinted>
  <dcterms:modified xsi:type="dcterms:W3CDTF">2023-07-04T00:32:18Z</dcterms:modified>
  <dc:title>附件3：二号线公司比选文件</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C9108F0D9F024D3DB593E2CECFE48426</vt:lpwstr>
  </property>
</Properties>
</file>