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4"/>
        <w:spacing w:before="0"/>
        <w:ind w:left="1" w:right="-57" w:firstLine="0"/>
        <w:jc w:val="center"/>
        <w:rPr>
          <w:rFonts w:ascii="宋体" w:hAnsi="宋体"/>
          <w:b/>
          <w:color w:val="auto"/>
          <w:spacing w:val="-4"/>
          <w:sz w:val="44"/>
          <w:szCs w:val="44"/>
          <w:highlight w:val="none"/>
          <w:u w:val="single"/>
        </w:rPr>
      </w:pPr>
      <w:bookmarkStart w:id="325" w:name="_GoBack"/>
      <w:r>
        <w:rPr>
          <w:rFonts w:hint="eastAsia" w:ascii="宋体" w:hAnsi="宋体"/>
          <w:b/>
          <w:color w:val="auto"/>
          <w:spacing w:val="-4"/>
          <w:sz w:val="44"/>
          <w:szCs w:val="44"/>
          <w:highlight w:val="none"/>
          <w:u w:val="single"/>
        </w:rPr>
        <w:t>南宁轨道交通运营有限公司</w:t>
      </w:r>
    </w:p>
    <w:p>
      <w:pPr>
        <w:pStyle w:val="24"/>
        <w:spacing w:before="0"/>
        <w:ind w:left="1" w:right="-57"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u w:val="single"/>
        </w:rPr>
        <w:t>2023年办公家具采购项目</w:t>
      </w:r>
    </w:p>
    <w:p>
      <w:pPr>
        <w:spacing w:before="0"/>
        <w:ind w:left="0" w:right="-57" w:firstLine="0"/>
        <w:jc w:val="center"/>
        <w:rPr>
          <w:rFonts w:ascii="宋体" w:hAnsi="宋体"/>
          <w:b/>
          <w:color w:val="auto"/>
          <w:sz w:val="72"/>
          <w:szCs w:val="7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项目编号：202305170008</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before="0"/>
        <w:ind w:right="-57" w:firstLine="0"/>
        <w:jc w:val="center"/>
        <w:rPr>
          <w:rFonts w:ascii="宋体" w:hAnsi="宋体"/>
          <w:b/>
          <w:color w:val="auto"/>
          <w:sz w:val="36"/>
          <w:szCs w:val="36"/>
          <w:highlight w:val="none"/>
        </w:rPr>
      </w:pPr>
      <w:r>
        <w:rPr>
          <w:rFonts w:ascii="宋体" w:hAnsi="宋体"/>
          <w:b/>
          <w:color w:val="auto"/>
          <w:sz w:val="36"/>
          <w:szCs w:val="36"/>
          <w:highlight w:val="none"/>
        </w:rPr>
        <w:t>年</w:t>
      </w:r>
      <w:r>
        <w:rPr>
          <w:rFonts w:hint="eastAsia" w:ascii="宋体" w:hAnsi="宋体"/>
          <w:b/>
          <w:color w:val="auto"/>
          <w:sz w:val="36"/>
          <w:szCs w:val="36"/>
          <w:highlight w:val="none"/>
        </w:rPr>
        <w:t xml:space="preserve">  </w:t>
      </w:r>
      <w:r>
        <w:rPr>
          <w:rFonts w:ascii="宋体" w:hAnsi="宋体"/>
          <w:b/>
          <w:color w:val="auto"/>
          <w:sz w:val="36"/>
          <w:szCs w:val="36"/>
          <w:highlight w:val="none"/>
        </w:rPr>
        <w:t>月</w:t>
      </w:r>
    </w:p>
    <w:p>
      <w:pPr>
        <w:spacing w:before="0"/>
        <w:ind w:right="-57" w:firstLine="0"/>
        <w:jc w:val="center"/>
        <w:rPr>
          <w:rFonts w:ascii="宋体" w:hAnsi="宋体"/>
          <w:b/>
          <w:color w:val="auto"/>
          <w:sz w:val="36"/>
          <w:szCs w:val="36"/>
          <w:highlight w:val="none"/>
        </w:rPr>
      </w:pPr>
    </w:p>
    <w:p>
      <w:pPr>
        <w:spacing w:before="0"/>
        <w:ind w:right="-57" w:firstLine="0"/>
        <w:jc w:val="center"/>
        <w:rPr>
          <w:rFonts w:ascii="宋体" w:hAnsi="宋体"/>
          <w:b/>
          <w:color w:val="auto"/>
          <w:sz w:val="36"/>
          <w:szCs w:val="36"/>
          <w:highlight w:val="none"/>
        </w:rPr>
      </w:pPr>
    </w:p>
    <w:p>
      <w:pPr>
        <w:spacing w:before="0"/>
        <w:ind w:left="0" w:right="-57" w:firstLine="0"/>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6"/>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7"/>
            <w:tabs>
              <w:tab w:val="right" w:leader="dot" w:pos="9059"/>
            </w:tabs>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"_Toc101965673" </w:instrText>
          </w:r>
          <w:r>
            <w:rPr>
              <w:color w:val="auto"/>
              <w:highlight w:val="none"/>
            </w:rPr>
            <w:fldChar w:fldCharType="separate"/>
          </w:r>
          <w:r>
            <w:rPr>
              <w:rStyle w:val="31"/>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_Toc101965673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"_Toc101965674" </w:instrText>
          </w:r>
          <w:r>
            <w:rPr>
              <w:color w:val="auto"/>
              <w:highlight w:val="none"/>
            </w:rPr>
            <w:fldChar w:fldCharType="separate"/>
          </w:r>
          <w:r>
            <w:rPr>
              <w:rStyle w:val="31"/>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_Toc101965674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"_Toc101965675" </w:instrText>
          </w:r>
          <w:r>
            <w:rPr>
              <w:color w:val="auto"/>
              <w:highlight w:val="none"/>
            </w:rPr>
            <w:fldChar w:fldCharType="separate"/>
          </w:r>
          <w:r>
            <w:rPr>
              <w:rStyle w:val="31"/>
              <w:rFonts w:hint="eastAsia" w:ascii="宋体" w:hAnsi="宋体"/>
              <w:color w:val="auto"/>
              <w:highlight w:val="none"/>
            </w:rPr>
            <w:t>一、项目概况</w:t>
          </w:r>
          <w:r>
            <w:rPr>
              <w:color w:val="auto"/>
              <w:highlight w:val="none"/>
            </w:rPr>
            <w:tab/>
          </w:r>
          <w:r>
            <w:rPr>
              <w:color w:val="auto"/>
              <w:highlight w:val="none"/>
            </w:rPr>
            <w:fldChar w:fldCharType="begin"/>
          </w:r>
          <w:r>
            <w:rPr>
              <w:color w:val="auto"/>
              <w:highlight w:val="none"/>
            </w:rPr>
            <w:instrText xml:space="preserve"> PAGEREF _Toc101965675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"_Toc101965676" </w:instrText>
          </w:r>
          <w:r>
            <w:rPr>
              <w:color w:val="auto"/>
              <w:highlight w:val="none"/>
            </w:rPr>
            <w:fldChar w:fldCharType="separate"/>
          </w:r>
          <w:r>
            <w:rPr>
              <w:rStyle w:val="31"/>
              <w:rFonts w:hint="eastAsia" w:ascii="宋体" w:hAnsi="宋体"/>
              <w:color w:val="auto"/>
              <w:highlight w:val="none"/>
            </w:rPr>
            <w:t>二、比选人资格要求</w:t>
          </w:r>
          <w:r>
            <w:rPr>
              <w:color w:val="auto"/>
              <w:highlight w:val="none"/>
            </w:rPr>
            <w:tab/>
          </w:r>
          <w:r>
            <w:rPr>
              <w:color w:val="auto"/>
              <w:highlight w:val="none"/>
            </w:rPr>
            <w:fldChar w:fldCharType="begin"/>
          </w:r>
          <w:r>
            <w:rPr>
              <w:color w:val="auto"/>
              <w:highlight w:val="none"/>
            </w:rPr>
            <w:instrText xml:space="preserve"> PAGEREF _Toc101965676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"_Toc101965677" </w:instrText>
          </w:r>
          <w:r>
            <w:rPr>
              <w:color w:val="auto"/>
              <w:highlight w:val="none"/>
            </w:rPr>
            <w:fldChar w:fldCharType="separate"/>
          </w:r>
          <w:r>
            <w:rPr>
              <w:rStyle w:val="31"/>
              <w:rFonts w:hint="eastAsia" w:ascii="宋体" w:hAnsi="宋体"/>
              <w:color w:val="auto"/>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_Toc101965677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"_Toc101965678" </w:instrText>
          </w:r>
          <w:r>
            <w:rPr>
              <w:color w:val="auto"/>
              <w:highlight w:val="none"/>
            </w:rPr>
            <w:fldChar w:fldCharType="separate"/>
          </w:r>
          <w:r>
            <w:rPr>
              <w:rStyle w:val="31"/>
              <w:rFonts w:hint="eastAsia" w:ascii="宋体" w:hAnsi="宋体"/>
              <w:color w:val="auto"/>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_Toc101965678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"_Toc101965679" </w:instrText>
          </w:r>
          <w:r>
            <w:rPr>
              <w:color w:val="auto"/>
              <w:highlight w:val="none"/>
            </w:rPr>
            <w:fldChar w:fldCharType="separate"/>
          </w:r>
          <w:r>
            <w:rPr>
              <w:rStyle w:val="31"/>
              <w:rFonts w:hint="eastAsia" w:ascii="宋体" w:hAnsi="宋体"/>
              <w:color w:val="auto"/>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_Toc101965679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"_Toc101965680" </w:instrText>
          </w:r>
          <w:r>
            <w:rPr>
              <w:color w:val="auto"/>
              <w:highlight w:val="none"/>
            </w:rPr>
            <w:fldChar w:fldCharType="separate"/>
          </w:r>
          <w:r>
            <w:rPr>
              <w:rStyle w:val="31"/>
              <w:rFonts w:hint="eastAsia" w:ascii="宋体" w:hAnsi="宋体"/>
              <w:color w:val="auto"/>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_Toc101965680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"_Toc101965681" </w:instrText>
          </w:r>
          <w:r>
            <w:rPr>
              <w:color w:val="auto"/>
              <w:highlight w:val="none"/>
            </w:rPr>
            <w:fldChar w:fldCharType="separate"/>
          </w:r>
          <w:r>
            <w:rPr>
              <w:rStyle w:val="31"/>
              <w:rFonts w:hint="eastAsia" w:ascii="宋体" w:hAnsi="宋体"/>
              <w:color w:val="auto"/>
              <w:highlight w:val="none"/>
            </w:rPr>
            <w:t>七、报价要求</w:t>
          </w:r>
          <w:r>
            <w:rPr>
              <w:color w:val="auto"/>
              <w:highlight w:val="none"/>
            </w:rPr>
            <w:tab/>
          </w:r>
          <w:r>
            <w:rPr>
              <w:color w:val="auto"/>
              <w:highlight w:val="none"/>
            </w:rPr>
            <w:fldChar w:fldCharType="begin"/>
          </w:r>
          <w:r>
            <w:rPr>
              <w:color w:val="auto"/>
              <w:highlight w:val="none"/>
            </w:rPr>
            <w:instrText xml:space="preserve"> PAGEREF _Toc101965681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"_Toc101965682" </w:instrText>
          </w:r>
          <w:r>
            <w:rPr>
              <w:color w:val="auto"/>
              <w:highlight w:val="none"/>
            </w:rPr>
            <w:fldChar w:fldCharType="separate"/>
          </w:r>
          <w:r>
            <w:rPr>
              <w:rStyle w:val="31"/>
              <w:rFonts w:hint="eastAsia" w:ascii="宋体" w:hAnsi="宋体"/>
              <w:color w:val="auto"/>
              <w:highlight w:val="none"/>
            </w:rPr>
            <w:t>八、评审规则</w:t>
          </w:r>
          <w:r>
            <w:rPr>
              <w:color w:val="auto"/>
              <w:highlight w:val="none"/>
            </w:rPr>
            <w:tab/>
          </w:r>
          <w:r>
            <w:rPr>
              <w:color w:val="auto"/>
              <w:highlight w:val="none"/>
            </w:rPr>
            <w:fldChar w:fldCharType="begin"/>
          </w:r>
          <w:r>
            <w:rPr>
              <w:color w:val="auto"/>
              <w:highlight w:val="none"/>
            </w:rPr>
            <w:instrText xml:space="preserve"> PAGEREF _Toc101965682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"_Toc101965683" </w:instrText>
          </w:r>
          <w:r>
            <w:rPr>
              <w:color w:val="auto"/>
              <w:highlight w:val="none"/>
            </w:rPr>
            <w:fldChar w:fldCharType="separate"/>
          </w:r>
          <w:r>
            <w:rPr>
              <w:rStyle w:val="31"/>
              <w:rFonts w:hint="eastAsia" w:ascii="宋体" w:hAnsi="宋体"/>
              <w:color w:val="auto"/>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_Toc101965683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"_Toc101965684" </w:instrText>
          </w:r>
          <w:r>
            <w:rPr>
              <w:color w:val="auto"/>
              <w:highlight w:val="none"/>
            </w:rPr>
            <w:fldChar w:fldCharType="separate"/>
          </w:r>
          <w:r>
            <w:rPr>
              <w:rStyle w:val="31"/>
              <w:rFonts w:hint="eastAsia" w:ascii="宋体" w:hAnsi="宋体"/>
              <w:color w:val="auto"/>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_Toc101965684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"_Toc101965685" </w:instrText>
          </w:r>
          <w:r>
            <w:rPr>
              <w:color w:val="auto"/>
              <w:highlight w:val="none"/>
            </w:rPr>
            <w:fldChar w:fldCharType="separate"/>
          </w:r>
          <w:r>
            <w:rPr>
              <w:rStyle w:val="31"/>
              <w:rFonts w:hint="eastAsia" w:ascii="宋体" w:hAnsi="宋体"/>
              <w:color w:val="auto"/>
              <w:highlight w:val="none"/>
            </w:rPr>
            <w:t>十、比选保证金</w:t>
          </w:r>
          <w:r>
            <w:rPr>
              <w:color w:val="auto"/>
              <w:highlight w:val="none"/>
            </w:rPr>
            <w:tab/>
          </w:r>
          <w:r>
            <w:rPr>
              <w:color w:val="auto"/>
              <w:highlight w:val="none"/>
            </w:rPr>
            <w:fldChar w:fldCharType="begin"/>
          </w:r>
          <w:r>
            <w:rPr>
              <w:color w:val="auto"/>
              <w:highlight w:val="none"/>
            </w:rPr>
            <w:instrText xml:space="preserve"> PAGEREF _Toc101965685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"_Toc101965686" </w:instrText>
          </w:r>
          <w:r>
            <w:rPr>
              <w:color w:val="auto"/>
              <w:highlight w:val="none"/>
            </w:rPr>
            <w:fldChar w:fldCharType="separate"/>
          </w:r>
          <w:r>
            <w:rPr>
              <w:rStyle w:val="31"/>
              <w:rFonts w:hint="eastAsia" w:ascii="宋体" w:hAnsi="宋体"/>
              <w:color w:val="auto"/>
              <w:highlight w:val="none"/>
            </w:rPr>
            <w:t>十一、履约担保</w:t>
          </w:r>
          <w:r>
            <w:rPr>
              <w:color w:val="auto"/>
              <w:highlight w:val="none"/>
            </w:rPr>
            <w:tab/>
          </w:r>
          <w:r>
            <w:rPr>
              <w:color w:val="auto"/>
              <w:highlight w:val="none"/>
            </w:rPr>
            <w:fldChar w:fldCharType="begin"/>
          </w:r>
          <w:r>
            <w:rPr>
              <w:color w:val="auto"/>
              <w:highlight w:val="none"/>
            </w:rPr>
            <w:instrText xml:space="preserve"> PAGEREF _Toc101965686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"_Toc101965687" </w:instrText>
          </w:r>
          <w:r>
            <w:rPr>
              <w:color w:val="auto"/>
              <w:highlight w:val="none"/>
            </w:rPr>
            <w:fldChar w:fldCharType="separate"/>
          </w:r>
          <w:r>
            <w:rPr>
              <w:rStyle w:val="31"/>
              <w:rFonts w:hint="eastAsia" w:ascii="宋体" w:hAnsi="宋体"/>
              <w:color w:val="auto"/>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_Toc101965687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"_Toc101965688" </w:instrText>
          </w:r>
          <w:r>
            <w:rPr>
              <w:color w:val="auto"/>
              <w:highlight w:val="none"/>
            </w:rPr>
            <w:fldChar w:fldCharType="separate"/>
          </w:r>
          <w:r>
            <w:rPr>
              <w:rStyle w:val="31"/>
              <w:rFonts w:hint="eastAsia" w:ascii="Arial" w:hAnsi="宋体" w:eastAsia="黑体"/>
              <w:b/>
              <w:color w:val="auto"/>
              <w:highlight w:val="none"/>
            </w:rPr>
            <w:t>第三章</w:t>
          </w:r>
          <w:r>
            <w:rPr>
              <w:rStyle w:val="31"/>
              <w:rFonts w:ascii="Arial" w:hAnsi="宋体" w:eastAsia="黑体"/>
              <w:b/>
              <w:color w:val="auto"/>
              <w:highlight w:val="none"/>
            </w:rPr>
            <w:t xml:space="preserve"> </w:t>
          </w:r>
          <w:r>
            <w:rPr>
              <w:rStyle w:val="31"/>
              <w:rFonts w:hint="eastAsia" w:ascii="Arial" w:hAnsi="宋体" w:eastAsia="黑体"/>
              <w:b/>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_Toc101965688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"_Toc101965689" </w:instrText>
          </w:r>
          <w:r>
            <w:rPr>
              <w:color w:val="auto"/>
              <w:highlight w:val="none"/>
            </w:rPr>
            <w:fldChar w:fldCharType="separate"/>
          </w:r>
          <w:r>
            <w:rPr>
              <w:rStyle w:val="31"/>
              <w:rFonts w:hint="eastAsia" w:ascii="宋体" w:hAnsi="宋体"/>
              <w:color w:val="auto"/>
              <w:highlight w:val="none"/>
            </w:rPr>
            <w:t>第一部分</w:t>
          </w:r>
          <w:r>
            <w:rPr>
              <w:rStyle w:val="31"/>
              <w:rFonts w:ascii="宋体" w:hAnsi="宋体"/>
              <w:color w:val="auto"/>
              <w:highlight w:val="none"/>
            </w:rPr>
            <w:t xml:space="preserve"> </w:t>
          </w:r>
          <w:r>
            <w:rPr>
              <w:rStyle w:val="31"/>
              <w:rFonts w:hint="eastAsia" w:ascii="宋体" w:hAnsi="宋体"/>
              <w:color w:val="auto"/>
              <w:highlight w:val="none"/>
            </w:rPr>
            <w:t>合同协议书</w:t>
          </w:r>
          <w:r>
            <w:rPr>
              <w:color w:val="auto"/>
              <w:highlight w:val="none"/>
            </w:rPr>
            <w:tab/>
          </w:r>
          <w:r>
            <w:rPr>
              <w:color w:val="auto"/>
              <w:highlight w:val="none"/>
            </w:rPr>
            <w:fldChar w:fldCharType="begin"/>
          </w:r>
          <w:r>
            <w:rPr>
              <w:color w:val="auto"/>
              <w:highlight w:val="none"/>
            </w:rPr>
            <w:instrText xml:space="preserve"> PAGEREF _Toc101965689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"_Toc101965690" </w:instrText>
          </w:r>
          <w:r>
            <w:rPr>
              <w:color w:val="auto"/>
              <w:highlight w:val="none"/>
            </w:rPr>
            <w:fldChar w:fldCharType="separate"/>
          </w:r>
          <w:r>
            <w:rPr>
              <w:rStyle w:val="31"/>
              <w:rFonts w:hint="eastAsia"/>
              <w:color w:val="auto"/>
              <w:highlight w:val="none"/>
            </w:rPr>
            <w:t>第二部分</w:t>
          </w:r>
          <w:r>
            <w:rPr>
              <w:rStyle w:val="31"/>
              <w:color w:val="auto"/>
              <w:highlight w:val="none"/>
            </w:rPr>
            <w:t xml:space="preserve"> </w:t>
          </w:r>
          <w:r>
            <w:rPr>
              <w:rStyle w:val="31"/>
              <w:rFonts w:hint="eastAsia"/>
              <w:color w:val="auto"/>
              <w:highlight w:val="none"/>
            </w:rPr>
            <w:t>中选通知书</w:t>
          </w:r>
          <w:r>
            <w:rPr>
              <w:color w:val="auto"/>
              <w:highlight w:val="none"/>
            </w:rPr>
            <w:tab/>
          </w:r>
          <w:r>
            <w:rPr>
              <w:color w:val="auto"/>
              <w:highlight w:val="none"/>
            </w:rPr>
            <w:fldChar w:fldCharType="begin"/>
          </w:r>
          <w:r>
            <w:rPr>
              <w:color w:val="auto"/>
              <w:highlight w:val="none"/>
            </w:rPr>
            <w:instrText xml:space="preserve"> PAGEREF _Toc101965690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"_Toc101965691" </w:instrText>
          </w:r>
          <w:r>
            <w:rPr>
              <w:color w:val="auto"/>
              <w:highlight w:val="none"/>
            </w:rPr>
            <w:fldChar w:fldCharType="separate"/>
          </w:r>
          <w:r>
            <w:rPr>
              <w:rStyle w:val="31"/>
              <w:rFonts w:hint="eastAsia"/>
              <w:color w:val="auto"/>
              <w:highlight w:val="none"/>
            </w:rPr>
            <w:t>第三部分</w:t>
          </w:r>
          <w:r>
            <w:rPr>
              <w:rStyle w:val="31"/>
              <w:color w:val="auto"/>
              <w:highlight w:val="none"/>
            </w:rPr>
            <w:t xml:space="preserve"> </w:t>
          </w:r>
          <w:r>
            <w:rPr>
              <w:rStyle w:val="31"/>
              <w:rFonts w:hint="eastAsia"/>
              <w:color w:val="auto"/>
              <w:highlight w:val="none"/>
            </w:rPr>
            <w:t>价格组成文件</w:t>
          </w:r>
          <w:r>
            <w:rPr>
              <w:color w:val="auto"/>
              <w:highlight w:val="none"/>
            </w:rPr>
            <w:tab/>
          </w:r>
          <w:r>
            <w:rPr>
              <w:color w:val="auto"/>
              <w:highlight w:val="none"/>
            </w:rPr>
            <w:fldChar w:fldCharType="begin"/>
          </w:r>
          <w:r>
            <w:rPr>
              <w:color w:val="auto"/>
              <w:highlight w:val="none"/>
            </w:rPr>
            <w:instrText xml:space="preserve"> PAGEREF _Toc101965691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"_Toc101965692" </w:instrText>
          </w:r>
          <w:r>
            <w:rPr>
              <w:color w:val="auto"/>
              <w:highlight w:val="none"/>
            </w:rPr>
            <w:fldChar w:fldCharType="separate"/>
          </w:r>
          <w:r>
            <w:rPr>
              <w:rStyle w:val="31"/>
              <w:rFonts w:hint="eastAsia" w:ascii="宋体" w:hAnsi="宋体"/>
              <w:color w:val="auto"/>
              <w:highlight w:val="none"/>
            </w:rPr>
            <w:t>第四部分</w:t>
          </w:r>
          <w:r>
            <w:rPr>
              <w:rStyle w:val="31"/>
              <w:rFonts w:ascii="宋体" w:hAnsi="宋体"/>
              <w:color w:val="auto"/>
              <w:highlight w:val="none"/>
            </w:rPr>
            <w:t xml:space="preserve"> </w:t>
          </w:r>
          <w:r>
            <w:rPr>
              <w:rStyle w:val="31"/>
              <w:rFonts w:hint="eastAsia" w:ascii="宋体" w:hAnsi="宋体"/>
              <w:color w:val="auto"/>
              <w:highlight w:val="none"/>
            </w:rPr>
            <w:t>合同条款</w:t>
          </w:r>
          <w:r>
            <w:rPr>
              <w:color w:val="auto"/>
              <w:highlight w:val="none"/>
            </w:rPr>
            <w:tab/>
          </w:r>
          <w:r>
            <w:rPr>
              <w:color w:val="auto"/>
              <w:highlight w:val="none"/>
            </w:rPr>
            <w:fldChar w:fldCharType="begin"/>
          </w:r>
          <w:r>
            <w:rPr>
              <w:color w:val="auto"/>
              <w:highlight w:val="none"/>
            </w:rPr>
            <w:instrText xml:space="preserve"> PAGEREF _Toc101965692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"_Toc101965693" </w:instrText>
          </w:r>
          <w:r>
            <w:rPr>
              <w:color w:val="auto"/>
              <w:highlight w:val="none"/>
            </w:rPr>
            <w:fldChar w:fldCharType="separate"/>
          </w:r>
          <w:r>
            <w:rPr>
              <w:rStyle w:val="31"/>
              <w:rFonts w:hint="eastAsia"/>
              <w:color w:val="auto"/>
              <w:highlight w:val="none"/>
            </w:rPr>
            <w:t>第五部分</w:t>
          </w:r>
          <w:r>
            <w:rPr>
              <w:rStyle w:val="31"/>
              <w:color w:val="auto"/>
              <w:highlight w:val="none"/>
            </w:rPr>
            <w:t xml:space="preserve"> </w:t>
          </w:r>
          <w:r>
            <w:rPr>
              <w:rStyle w:val="31"/>
              <w:rFonts w:hint="eastAsia"/>
              <w:color w:val="auto"/>
              <w:highlight w:val="none"/>
            </w:rPr>
            <w:t>技术规格书</w:t>
          </w:r>
          <w:r>
            <w:rPr>
              <w:color w:val="auto"/>
              <w:highlight w:val="none"/>
            </w:rPr>
            <w:tab/>
          </w:r>
          <w:r>
            <w:rPr>
              <w:color w:val="auto"/>
              <w:highlight w:val="none"/>
            </w:rPr>
            <w:fldChar w:fldCharType="begin"/>
          </w:r>
          <w:r>
            <w:rPr>
              <w:color w:val="auto"/>
              <w:highlight w:val="none"/>
            </w:rPr>
            <w:instrText xml:space="preserve"> PAGEREF _Toc101965693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"_Toc101965694" </w:instrText>
          </w:r>
          <w:r>
            <w:rPr>
              <w:color w:val="auto"/>
              <w:highlight w:val="none"/>
            </w:rPr>
            <w:fldChar w:fldCharType="separate"/>
          </w:r>
          <w:r>
            <w:rPr>
              <w:rStyle w:val="31"/>
              <w:rFonts w:hint="eastAsia" w:ascii="宋体" w:hAnsi="宋体"/>
              <w:iCs/>
              <w:color w:val="auto"/>
              <w:highlight w:val="none"/>
            </w:rPr>
            <w:t>第六部分</w:t>
          </w:r>
          <w:r>
            <w:rPr>
              <w:rStyle w:val="31"/>
              <w:rFonts w:ascii="宋体" w:hAnsi="宋体"/>
              <w:iCs/>
              <w:color w:val="auto"/>
              <w:highlight w:val="none"/>
            </w:rPr>
            <w:t xml:space="preserve"> </w:t>
          </w:r>
          <w:r>
            <w:rPr>
              <w:rStyle w:val="31"/>
              <w:rFonts w:hint="eastAsia" w:ascii="宋体" w:hAnsi="宋体"/>
              <w:iCs/>
              <w:color w:val="auto"/>
              <w:highlight w:val="none"/>
            </w:rPr>
            <w:t>合同附件</w:t>
          </w:r>
          <w:r>
            <w:rPr>
              <w:color w:val="auto"/>
              <w:highlight w:val="none"/>
            </w:rPr>
            <w:tab/>
          </w:r>
          <w:r>
            <w:rPr>
              <w:color w:val="auto"/>
              <w:highlight w:val="none"/>
            </w:rPr>
            <w:fldChar w:fldCharType="begin"/>
          </w:r>
          <w:r>
            <w:rPr>
              <w:color w:val="auto"/>
              <w:highlight w:val="none"/>
            </w:rPr>
            <w:instrText xml:space="preserve"> PAGEREF _Toc101965694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"_Toc101965695" </w:instrText>
          </w:r>
          <w:r>
            <w:rPr>
              <w:color w:val="auto"/>
              <w:highlight w:val="none"/>
            </w:rPr>
            <w:fldChar w:fldCharType="separate"/>
          </w:r>
          <w:r>
            <w:rPr>
              <w:rStyle w:val="31"/>
              <w:rFonts w:hint="eastAsia"/>
              <w:color w:val="auto"/>
              <w:highlight w:val="none"/>
            </w:rPr>
            <w:t>第七部分</w:t>
          </w:r>
          <w:r>
            <w:rPr>
              <w:rStyle w:val="31"/>
              <w:color w:val="auto"/>
              <w:highlight w:val="none"/>
            </w:rPr>
            <w:t xml:space="preserve"> </w:t>
          </w:r>
          <w:r>
            <w:rPr>
              <w:rStyle w:val="31"/>
              <w:rFonts w:hint="eastAsia"/>
              <w:color w:val="auto"/>
              <w:highlight w:val="none"/>
            </w:rPr>
            <w:t>比选文件</w:t>
          </w:r>
          <w:r>
            <w:rPr>
              <w:color w:val="auto"/>
              <w:highlight w:val="none"/>
            </w:rPr>
            <w:tab/>
          </w:r>
          <w:r>
            <w:rPr>
              <w:color w:val="auto"/>
              <w:highlight w:val="none"/>
            </w:rPr>
            <w:fldChar w:fldCharType="begin"/>
          </w:r>
          <w:r>
            <w:rPr>
              <w:color w:val="auto"/>
              <w:highlight w:val="none"/>
            </w:rPr>
            <w:instrText xml:space="preserve"> PAGEREF _Toc101965695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1"/>
              <w:rFonts w:hint="eastAsia"/>
              <w:color w:val="auto"/>
              <w:highlight w:val="none"/>
            </w:rPr>
            <w:t>第八部分</w:t>
          </w:r>
          <w:r>
            <w:rPr>
              <w:rStyle w:val="31"/>
              <w:color w:val="auto"/>
              <w:highlight w:val="none"/>
            </w:rPr>
            <w:t xml:space="preserve"> </w:t>
          </w:r>
          <w:r>
            <w:rPr>
              <w:rStyle w:val="31"/>
              <w:rFonts w:hint="eastAsia"/>
              <w:color w:val="auto"/>
              <w:highlight w:val="none"/>
            </w:rPr>
            <w:t>比选申请文件</w:t>
          </w:r>
          <w:r>
            <w:rPr>
              <w:color w:val="auto"/>
              <w:highlight w:val="none"/>
            </w:rPr>
            <w:tab/>
          </w:r>
          <w:r>
            <w:rPr>
              <w:color w:val="auto"/>
              <w:highlight w:val="none"/>
            </w:rPr>
            <w:fldChar w:fldCharType="begin"/>
          </w:r>
          <w:r>
            <w:rPr>
              <w:color w:val="auto"/>
              <w:highlight w:val="none"/>
            </w:rPr>
            <w:instrText xml:space="preserve"> PAGEREF _Toc101965696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"_Toc101965697" </w:instrText>
          </w:r>
          <w:r>
            <w:rPr>
              <w:color w:val="auto"/>
              <w:highlight w:val="none"/>
            </w:rPr>
            <w:fldChar w:fldCharType="separate"/>
          </w:r>
          <w:r>
            <w:rPr>
              <w:rStyle w:val="31"/>
              <w:rFonts w:hint="eastAsia" w:ascii="Arial" w:hAnsi="宋体" w:eastAsia="黑体"/>
              <w:b/>
              <w:color w:val="auto"/>
              <w:highlight w:val="none"/>
            </w:rPr>
            <w:t>第四章</w:t>
          </w:r>
          <w:r>
            <w:rPr>
              <w:rStyle w:val="31"/>
              <w:rFonts w:ascii="Arial" w:hAnsi="宋体" w:eastAsia="黑体"/>
              <w:b/>
              <w:color w:val="auto"/>
              <w:highlight w:val="none"/>
            </w:rPr>
            <w:t xml:space="preserve"> </w:t>
          </w:r>
          <w:r>
            <w:rPr>
              <w:rStyle w:val="31"/>
              <w:rFonts w:hint="eastAsia" w:ascii="Arial" w:hAnsi="宋体" w:eastAsia="黑体"/>
              <w:b/>
              <w:color w:val="auto"/>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_Toc101965697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"_Toc101965698" </w:instrText>
          </w:r>
          <w:r>
            <w:rPr>
              <w:color w:val="auto"/>
              <w:highlight w:val="none"/>
            </w:rPr>
            <w:fldChar w:fldCharType="separate"/>
          </w:r>
          <w:r>
            <w:rPr>
              <w:rStyle w:val="31"/>
              <w:rFonts w:hint="eastAsia"/>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_Toc101965698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"_Toc101965699" </w:instrText>
          </w:r>
          <w:r>
            <w:rPr>
              <w:color w:val="auto"/>
              <w:highlight w:val="none"/>
            </w:rPr>
            <w:fldChar w:fldCharType="separate"/>
          </w:r>
          <w:r>
            <w:rPr>
              <w:rStyle w:val="31"/>
              <w:rFonts w:hint="eastAsia"/>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_Toc101965699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"_Toc101965700" </w:instrText>
          </w:r>
          <w:r>
            <w:rPr>
              <w:color w:val="auto"/>
              <w:highlight w:val="none"/>
            </w:rPr>
            <w:fldChar w:fldCharType="separate"/>
          </w:r>
          <w:r>
            <w:rPr>
              <w:rStyle w:val="31"/>
              <w:rFonts w:hint="eastAsia"/>
              <w:color w:val="auto"/>
              <w:highlight w:val="none"/>
            </w:rPr>
            <w:t>三、比选申请报价表</w:t>
          </w:r>
          <w:r>
            <w:rPr>
              <w:color w:val="auto"/>
              <w:highlight w:val="none"/>
            </w:rPr>
            <w:tab/>
          </w:r>
          <w:r>
            <w:rPr>
              <w:color w:val="auto"/>
              <w:highlight w:val="none"/>
            </w:rPr>
            <w:fldChar w:fldCharType="begin"/>
          </w:r>
          <w:r>
            <w:rPr>
              <w:color w:val="auto"/>
              <w:highlight w:val="none"/>
            </w:rPr>
            <w:instrText xml:space="preserve"> PAGEREF _Toc101965700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"_Toc101965701" </w:instrText>
          </w:r>
          <w:r>
            <w:rPr>
              <w:color w:val="auto"/>
              <w:highlight w:val="none"/>
            </w:rPr>
            <w:fldChar w:fldCharType="separate"/>
          </w:r>
          <w:r>
            <w:rPr>
              <w:rStyle w:val="31"/>
              <w:rFonts w:hint="eastAsia"/>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_Toc101965701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"_Toc101965702" </w:instrText>
          </w:r>
          <w:r>
            <w:rPr>
              <w:color w:val="auto"/>
              <w:highlight w:val="none"/>
            </w:rPr>
            <w:fldChar w:fldCharType="separate"/>
          </w:r>
          <w:r>
            <w:rPr>
              <w:rStyle w:val="31"/>
              <w:rFonts w:hint="eastAsia"/>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_Toc101965702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"_Toc101965703" </w:instrText>
          </w:r>
          <w:r>
            <w:rPr>
              <w:color w:val="auto"/>
              <w:highlight w:val="none"/>
            </w:rPr>
            <w:fldChar w:fldCharType="separate"/>
          </w:r>
          <w:r>
            <w:rPr>
              <w:rStyle w:val="31"/>
              <w:rFonts w:hint="eastAsia"/>
              <w:color w:val="auto"/>
              <w:highlight w:val="none"/>
            </w:rPr>
            <w:t>六、类似项目业绩表</w:t>
          </w:r>
          <w:r>
            <w:rPr>
              <w:color w:val="auto"/>
              <w:highlight w:val="none"/>
            </w:rPr>
            <w:tab/>
          </w:r>
          <w:r>
            <w:rPr>
              <w:color w:val="auto"/>
              <w:highlight w:val="none"/>
            </w:rPr>
            <w:fldChar w:fldCharType="begin"/>
          </w:r>
          <w:r>
            <w:rPr>
              <w:color w:val="auto"/>
              <w:highlight w:val="none"/>
            </w:rPr>
            <w:instrText xml:space="preserve"> PAGEREF _Toc101965703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"_Toc101965704" </w:instrText>
          </w:r>
          <w:r>
            <w:rPr>
              <w:color w:val="auto"/>
              <w:highlight w:val="none"/>
            </w:rPr>
            <w:fldChar w:fldCharType="separate"/>
          </w:r>
          <w:r>
            <w:rPr>
              <w:rStyle w:val="31"/>
              <w:rFonts w:hint="eastAsia"/>
              <w:color w:val="auto"/>
              <w:highlight w:val="none"/>
            </w:rPr>
            <w:t>七、比选响应表</w:t>
          </w:r>
          <w:r>
            <w:rPr>
              <w:color w:val="auto"/>
              <w:highlight w:val="none"/>
            </w:rPr>
            <w:tab/>
          </w:r>
          <w:r>
            <w:rPr>
              <w:color w:val="auto"/>
              <w:highlight w:val="none"/>
            </w:rPr>
            <w:fldChar w:fldCharType="begin"/>
          </w:r>
          <w:r>
            <w:rPr>
              <w:color w:val="auto"/>
              <w:highlight w:val="none"/>
            </w:rPr>
            <w:instrText xml:space="preserve"> PAGEREF _Toc101965704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"_Toc101965705" </w:instrText>
          </w:r>
          <w:r>
            <w:rPr>
              <w:color w:val="auto"/>
              <w:highlight w:val="none"/>
            </w:rPr>
            <w:fldChar w:fldCharType="separate"/>
          </w:r>
          <w:r>
            <w:rPr>
              <w:rStyle w:val="31"/>
              <w:rFonts w:hint="eastAsia"/>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_Toc101965705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"_Toc101965706" </w:instrText>
          </w:r>
          <w:r>
            <w:rPr>
              <w:color w:val="auto"/>
              <w:highlight w:val="none"/>
            </w:rPr>
            <w:fldChar w:fldCharType="separate"/>
          </w:r>
          <w:r>
            <w:rPr>
              <w:rStyle w:val="31"/>
              <w:rFonts w:hint="eastAsia" w:hAnsi="宋体"/>
              <w:b/>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_Toc101965706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宋体" w:hAnsi="宋体"/>
              <w:color w:val="auto"/>
              <w:highlight w:val="none"/>
            </w:rPr>
          </w:pPr>
          <w:r>
            <w:rPr>
              <w:rFonts w:ascii="宋体" w:hAnsi="宋体"/>
              <w:color w:val="auto"/>
              <w:highlight w:val="none"/>
            </w:rPr>
            <w:fldChar w:fldCharType="end"/>
          </w:r>
        </w:p>
      </w:sdtContent>
    </w:sdt>
    <w:p>
      <w:pPr>
        <w:pStyle w:val="17"/>
        <w:tabs>
          <w:tab w:val="right" w:leader="dot" w:pos="9072"/>
        </w:tabs>
        <w:spacing w:before="0" w:after="0" w:afterAutospacing="0" w:line="240" w:lineRule="auto"/>
        <w:ind w:right="-57" w:firstLine="437"/>
        <w:jc w:val="center"/>
        <w:rPr>
          <w:rFonts w:ascii="宋体" w:hAnsi="宋体"/>
          <w:color w:val="auto"/>
          <w:highlight w:val="none"/>
        </w:rPr>
      </w:pPr>
    </w:p>
    <w:p>
      <w:pPr>
        <w:pStyle w:val="2"/>
        <w:pageBreakBefore/>
        <w:ind w:right="-57" w:firstLine="0"/>
        <w:jc w:val="center"/>
        <w:outlineLvl w:val="0"/>
        <w:rPr>
          <w:rStyle w:val="39"/>
          <w:rFonts w:ascii="宋体" w:hAnsi="宋体" w:eastAsia="宋体"/>
          <w:color w:val="auto"/>
          <w:highlight w:val="none"/>
        </w:rPr>
      </w:pPr>
      <w:bookmarkStart w:id="0" w:name="_Toc14762"/>
      <w:bookmarkStart w:id="1" w:name="_Toc23476"/>
      <w:bookmarkStart w:id="2" w:name="_Toc481"/>
      <w:bookmarkStart w:id="3" w:name="_Toc492478714"/>
      <w:bookmarkStart w:id="4" w:name="_Toc375039061"/>
      <w:bookmarkStart w:id="5" w:name="_Toc30647"/>
      <w:bookmarkStart w:id="6" w:name="_Toc101965673"/>
      <w:bookmarkStart w:id="7" w:name="_Toc25355"/>
      <w:bookmarkStart w:id="8" w:name="_Toc237"/>
      <w:bookmarkStart w:id="9" w:name="_Toc23367"/>
      <w:bookmarkStart w:id="10" w:name="_Toc26620"/>
      <w:bookmarkStart w:id="11" w:name="_Toc26192"/>
      <w:bookmarkStart w:id="12" w:name="_Toc17906"/>
      <w:bookmarkStart w:id="13" w:name="_Toc3400"/>
      <w:bookmarkStart w:id="14" w:name="_Toc15211"/>
      <w:bookmarkStart w:id="15" w:name="_Toc3658"/>
      <w:bookmarkStart w:id="16" w:name="_Toc1227"/>
      <w:bookmarkStart w:id="17" w:name="_Toc26939"/>
      <w:bookmarkStart w:id="18" w:name="_Toc5910"/>
      <w:bookmarkStart w:id="19" w:name="_Toc1363"/>
      <w:r>
        <w:rPr>
          <w:rStyle w:val="39"/>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8"/>
          <w:szCs w:val="28"/>
          <w:highlight w:val="none"/>
          <w:u w:val="single"/>
        </w:rPr>
        <w:t>南宁轨道交通运营有限公司2023年办公家具</w:t>
      </w:r>
      <w:r>
        <w:rPr>
          <w:rFonts w:hint="eastAsia" w:ascii="宋体" w:hAnsi="宋体"/>
          <w:b/>
          <w:color w:val="auto"/>
          <w:sz w:val="28"/>
          <w:szCs w:val="28"/>
          <w:highlight w:val="none"/>
        </w:rPr>
        <w:t>采购项目比选公告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南宁轨道交通运营有限公司2023年办公家具采购项目</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202305170008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南宁轨道交通运营有限公司2023年办公家具采购项目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不含税上限控制价为人民币捌万捌仟元整（￥88000.00元）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90天 ，以交货通知发出起算。</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项目地点：广西壮族自治区南宁市内比选人指定地点。</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职员椅子、钢制文件柜、卡座、会议桌等物资采购，</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3.1为中华人民共和国境内依法设立的法人或其他组织（若以分公司名义参与比选申请，必须出具总公司授权参与的证明。）</w:t>
      </w:r>
    </w:p>
    <w:p>
      <w:pPr>
        <w:pStyle w:val="34"/>
        <w:ind w:left="0" w:firstLine="420" w:firstLineChars="200"/>
        <w:rPr>
          <w:rFonts w:ascii="宋体" w:hAnsi="宋体"/>
          <w:color w:val="auto"/>
          <w:highlight w:val="none"/>
        </w:rPr>
      </w:pPr>
      <w:r>
        <w:rPr>
          <w:rFonts w:hint="eastAsia" w:ascii="宋体" w:hAnsi="宋体"/>
          <w:color w:val="auto"/>
          <w:highlight w:val="none"/>
        </w:rPr>
        <w:t>3.2 资质条件：经营范围至少包括下列范围之一：①</w:t>
      </w:r>
      <w:r>
        <w:rPr>
          <w:rFonts w:ascii="Helvetica" w:hAnsi="Helvetica" w:eastAsia="Helvetica" w:cs="Helvetica"/>
          <w:color w:val="auto"/>
          <w:highlight w:val="none"/>
          <w:shd w:val="clear" w:color="auto" w:fill="FFFFFF"/>
        </w:rPr>
        <w:t>办公家具</w:t>
      </w:r>
      <w:r>
        <w:rPr>
          <w:rFonts w:hint="eastAsia" w:ascii="宋体" w:hAnsi="宋体"/>
          <w:color w:val="auto"/>
          <w:highlight w:val="none"/>
        </w:rPr>
        <w:t>，②</w:t>
      </w:r>
      <w:r>
        <w:rPr>
          <w:rFonts w:ascii="Helvetica" w:hAnsi="Helvetica" w:eastAsia="Helvetica" w:cs="Helvetica"/>
          <w:color w:val="auto"/>
          <w:highlight w:val="none"/>
          <w:shd w:val="clear" w:color="auto" w:fill="FFFFFF"/>
        </w:rPr>
        <w:t>办公用品销售</w:t>
      </w:r>
      <w:r>
        <w:rPr>
          <w:rFonts w:hint="eastAsia" w:ascii="宋体" w:hAnsi="宋体"/>
          <w:color w:val="auto"/>
          <w:highlight w:val="none"/>
        </w:rPr>
        <w:t>，③</w:t>
      </w:r>
      <w:r>
        <w:rPr>
          <w:rFonts w:ascii="Helvetica" w:hAnsi="Helvetica" w:eastAsia="Helvetica" w:cs="Helvetica"/>
          <w:color w:val="auto"/>
          <w:highlight w:val="none"/>
          <w:shd w:val="clear" w:color="auto" w:fill="FFFFFF"/>
        </w:rPr>
        <w:t>家具销售</w:t>
      </w:r>
      <w:r>
        <w:rPr>
          <w:rFonts w:hint="eastAsia" w:ascii="宋体" w:hAnsi="宋体"/>
          <w:color w:val="auto"/>
          <w:highlight w:val="none"/>
        </w:rPr>
        <w:t>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3.3业绩条件：无业绩要求。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 2023 年</w:t>
      </w:r>
      <w:r>
        <w:rPr>
          <w:rFonts w:hint="eastAsia" w:ascii="宋体" w:hAnsi="宋体"/>
          <w:color w:val="auto"/>
          <w:highlight w:val="none"/>
          <w:lang w:val="en-US" w:eastAsia="zh-CN"/>
        </w:rPr>
        <w:t>8</w:t>
      </w:r>
      <w:r>
        <w:rPr>
          <w:rFonts w:hint="eastAsia" w:ascii="宋体" w:hAnsi="宋体"/>
          <w:color w:val="auto"/>
          <w:highlight w:val="none"/>
        </w:rPr>
        <w:t xml:space="preserve">月 </w:t>
      </w:r>
      <w:r>
        <w:rPr>
          <w:rFonts w:hint="eastAsia" w:ascii="宋体" w:hAnsi="宋体"/>
          <w:color w:val="auto"/>
          <w:highlight w:val="none"/>
          <w:lang w:val="en-US" w:eastAsia="zh-CN"/>
        </w:rPr>
        <w:t>24</w:t>
      </w:r>
      <w:r>
        <w:rPr>
          <w:rFonts w:hint="eastAsia" w:ascii="宋体" w:hAnsi="宋体"/>
          <w:color w:val="auto"/>
          <w:highlight w:val="none"/>
        </w:rPr>
        <w:t>日</w:t>
      </w:r>
      <w:r>
        <w:rPr>
          <w:rFonts w:hint="eastAsia" w:ascii="宋体" w:hAnsi="宋体"/>
          <w:color w:val="auto"/>
          <w:highlight w:val="none"/>
          <w:lang w:val="en-US" w:eastAsia="zh-CN"/>
        </w:rPr>
        <w:t>14</w:t>
      </w:r>
      <w:r>
        <w:rPr>
          <w:rFonts w:hint="eastAsia" w:ascii="宋体" w:hAnsi="宋体"/>
          <w:color w:val="auto"/>
          <w:highlight w:val="none"/>
        </w:rPr>
        <w:t>时</w:t>
      </w:r>
      <w:r>
        <w:rPr>
          <w:rFonts w:hint="eastAsia" w:ascii="宋体" w:hAnsi="宋体"/>
          <w:color w:val="auto"/>
          <w:highlight w:val="none"/>
          <w:lang w:val="en-US" w:eastAsia="zh-CN"/>
        </w:rPr>
        <w:t>3</w:t>
      </w:r>
      <w:r>
        <w:rPr>
          <w:rFonts w:hint="eastAsia" w:ascii="宋体" w:hAnsi="宋体"/>
          <w:color w:val="auto"/>
          <w:highlight w:val="none"/>
        </w:rPr>
        <w:t>0分—</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0</w:t>
      </w:r>
      <w:r>
        <w:rPr>
          <w:rFonts w:hint="eastAsia" w:ascii="宋体" w:hAnsi="宋体"/>
          <w:color w:val="auto"/>
          <w:highlight w:val="none"/>
        </w:rPr>
        <w:t>0分（北京时间）递交，递交地点</w:t>
      </w:r>
      <w:r>
        <w:rPr>
          <w:rFonts w:hint="eastAsia" w:ascii="宋体" w:hAnsi="宋体"/>
          <w:color w:val="auto"/>
          <w:highlight w:val="none"/>
          <w:u w:val="single"/>
        </w:rPr>
        <w:t>在广西南宁市青秀区云景路83号南宁轨道交通运营有限公司1号线屯里车辆段综合楼205会议室，递交现场联系人：韦工，电话：15777155495</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rPr>
        <w:t xml:space="preserve">(韦工、苏工)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话：0771-2778303、0771-2778625</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电子邮件：</w:t>
      </w:r>
    </w:p>
    <w:p>
      <w:pPr>
        <w:spacing w:before="0" w:after="0" w:afterAutospacing="0" w:line="240" w:lineRule="auto"/>
        <w:ind w:left="0" w:right="0" w:firstLine="420" w:firstLineChars="200"/>
        <w:rPr>
          <w:rFonts w:ascii="宋体" w:hAnsi="宋体"/>
          <w:color w:val="auto"/>
          <w:highlight w:val="none"/>
        </w:rPr>
      </w:pPr>
      <w:r>
        <w:rPr>
          <w:rFonts w:hint="eastAsia" w:ascii="宋体" w:hAnsi="宋体"/>
          <w:color w:val="auto"/>
          <w:highlight w:val="none"/>
        </w:rPr>
        <w:t>纪律监督部门及电话</w:t>
      </w:r>
      <w:r>
        <w:rPr>
          <w:rFonts w:ascii="宋体" w:hAnsi="宋体"/>
          <w:color w:val="auto"/>
          <w:highlight w:val="none"/>
        </w:rPr>
        <w:t xml:space="preserve"> </w:t>
      </w:r>
      <w:r>
        <w:rPr>
          <w:rFonts w:hint="eastAsia" w:ascii="宋体" w:hAnsi="宋体"/>
          <w:color w:val="auto"/>
          <w:highlight w:val="none"/>
        </w:rPr>
        <w:t>：</w:t>
      </w:r>
      <w:r>
        <w:rPr>
          <w:color w:val="auto"/>
          <w:highlight w:val="none"/>
        </w:rPr>
        <w:t>南宁轨道交通运营有限公司纪检监察室0771-2778084</w:t>
      </w:r>
    </w:p>
    <w:p>
      <w:pPr>
        <w:spacing w:before="0" w:after="0" w:afterAutospacing="0"/>
        <w:ind w:left="0" w:right="0" w:firstLine="420" w:firstLineChars="200"/>
        <w:rPr>
          <w:rFonts w:ascii="宋体" w:hAnsi="宋体"/>
          <w:color w:val="auto"/>
          <w:highlight w:val="none"/>
        </w:rPr>
      </w:pPr>
    </w:p>
    <w:p>
      <w:pPr>
        <w:spacing w:before="0" w:after="120" w:line="380" w:lineRule="exact"/>
        <w:ind w:right="-57"/>
        <w:rPr>
          <w:rFonts w:ascii="宋体" w:hAnsi="宋体"/>
          <w:color w:val="auto"/>
          <w:highlight w:val="none"/>
        </w:rPr>
      </w:pPr>
      <w:r>
        <w:rPr>
          <w:rFonts w:hint="eastAsia" w:ascii="宋体" w:hAnsi="宋体"/>
          <w:color w:val="auto"/>
          <w:highlight w:val="none"/>
        </w:rPr>
        <w:t xml:space="preserve"> </w:t>
      </w: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39"/>
          <w:rFonts w:ascii="宋体" w:hAnsi="宋体" w:eastAsia="宋体"/>
          <w:color w:val="auto"/>
          <w:highlight w:val="none"/>
        </w:rPr>
      </w:pPr>
      <w:bookmarkStart w:id="21" w:name="_Toc322528192"/>
      <w:bookmarkEnd w:id="21"/>
      <w:bookmarkStart w:id="22" w:name="_Toc512357502"/>
      <w:bookmarkStart w:id="23" w:name="_Toc24390"/>
      <w:bookmarkStart w:id="24" w:name="_Toc18454"/>
      <w:bookmarkStart w:id="25" w:name="_Toc21830"/>
      <w:bookmarkStart w:id="26" w:name="_Toc101965674"/>
      <w:bookmarkStart w:id="27" w:name="_Toc3495"/>
      <w:bookmarkStart w:id="28" w:name="_Toc24972"/>
      <w:bookmarkStart w:id="29" w:name="_Toc30950"/>
      <w:bookmarkStart w:id="30" w:name="_Toc30725"/>
      <w:bookmarkStart w:id="31" w:name="_Toc1230"/>
      <w:bookmarkStart w:id="32" w:name="_Toc17240"/>
      <w:bookmarkStart w:id="33" w:name="_Toc17735"/>
      <w:bookmarkStart w:id="34" w:name="_Toc15976"/>
      <w:bookmarkStart w:id="35" w:name="_Toc22273"/>
      <w:bookmarkStart w:id="36" w:name="_Toc29836"/>
      <w:bookmarkStart w:id="37" w:name="_Toc30883"/>
      <w:bookmarkStart w:id="38" w:name="_Toc12635"/>
      <w:bookmarkStart w:id="39" w:name="_Toc17594"/>
      <w:bookmarkStart w:id="40" w:name="_Toc20201"/>
      <w:r>
        <w:rPr>
          <w:rStyle w:val="39"/>
          <w:rFonts w:hint="eastAsia" w:ascii="宋体" w:hAnsi="宋体" w:eastAsia="宋体"/>
          <w:color w:val="auto"/>
          <w:highlight w:val="none"/>
        </w:rPr>
        <w:t>第二章</w:t>
      </w:r>
      <w:bookmarkEnd w:id="22"/>
      <w:r>
        <w:rPr>
          <w:rStyle w:val="39"/>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4"/>
        <w:spacing w:after="0" w:afterAutospacing="0" w:line="360" w:lineRule="auto"/>
        <w:ind w:left="468" w:leftChars="200" w:right="0" w:hanging="48" w:hangingChars="20"/>
        <w:rPr>
          <w:rFonts w:ascii="宋体" w:hAnsi="宋体" w:eastAsia="宋体"/>
          <w:color w:val="auto"/>
          <w:sz w:val="24"/>
          <w:szCs w:val="24"/>
          <w:highlight w:val="none"/>
        </w:rPr>
      </w:pPr>
      <w:bookmarkStart w:id="41" w:name="_Toc322528193"/>
      <w:bookmarkEnd w:id="41"/>
      <w:bookmarkStart w:id="42" w:name="_Toc101965675"/>
      <w:r>
        <w:rPr>
          <w:rFonts w:hint="eastAsia" w:ascii="宋体" w:hAnsi="宋体" w:eastAsia="宋体"/>
          <w:color w:val="auto"/>
          <w:sz w:val="24"/>
          <w:szCs w:val="24"/>
          <w:highlight w:val="none"/>
        </w:rPr>
        <w:t>一、项目概况</w:t>
      </w:r>
      <w:bookmarkEnd w:id="42"/>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202305170008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南宁轨道交通运营有限公司2023年办公家具采购项目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不含税上限控制价为人民币捌万捌仟元整（￥88000.00元）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90天 ，以交货通知发出起算，</w:t>
      </w:r>
      <w:r>
        <w:rPr>
          <w:rFonts w:hint="eastAsia" w:ascii="宋体" w:hAnsi="宋体"/>
          <w:color w:val="auto"/>
          <w:highlight w:val="none"/>
        </w:rPr>
        <w:t xml:space="preserve"> 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项目地点：广西壮族自治区南宁市内比选人指定地点。</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职员椅子、钢制文件柜、卡座、会议桌等物资采购，</w:t>
      </w:r>
      <w:r>
        <w:rPr>
          <w:rFonts w:hint="eastAsia" w:ascii="宋体" w:hAnsi="宋体"/>
          <w:color w:val="auto"/>
          <w:highlight w:val="none"/>
        </w:rPr>
        <w:t>具体详见用户需求书。</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43" w:name="_Toc492478722"/>
      <w:bookmarkStart w:id="44" w:name="_Toc28220"/>
      <w:bookmarkStart w:id="45" w:name="_Toc16131"/>
      <w:bookmarkStart w:id="46" w:name="_Toc2609"/>
      <w:bookmarkStart w:id="47" w:name="_Toc12983509"/>
      <w:bookmarkStart w:id="48" w:name="_Toc29160"/>
      <w:bookmarkStart w:id="49" w:name="_Toc3854"/>
      <w:bookmarkStart w:id="50" w:name="_Toc19617"/>
      <w:bookmarkStart w:id="51" w:name="_Toc18528"/>
      <w:bookmarkStart w:id="52" w:name="_Toc383891172"/>
      <w:bookmarkStart w:id="53" w:name="_Toc16608"/>
      <w:bookmarkStart w:id="54" w:name="_Toc5487"/>
      <w:bookmarkStart w:id="55" w:name="_Toc6528"/>
      <w:bookmarkStart w:id="56" w:name="_Toc15763"/>
      <w:bookmarkStart w:id="57" w:name="_Toc2986"/>
      <w:bookmarkStart w:id="58" w:name="_Toc390098423"/>
      <w:bookmarkStart w:id="59" w:name="_Toc8562"/>
      <w:bookmarkStart w:id="60" w:name="_Toc385427797"/>
      <w:bookmarkStart w:id="61" w:name="_Toc9677"/>
      <w:bookmarkStart w:id="62" w:name="_Toc7339"/>
      <w:bookmarkStart w:id="63" w:name="_Toc375039068"/>
      <w:bookmarkStart w:id="64" w:name="_Toc5160"/>
      <w:bookmarkStart w:id="65" w:name="_Toc16530"/>
      <w:bookmarkStart w:id="66" w:name="_Toc101965676"/>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olor w:val="auto"/>
          <w:sz w:val="24"/>
          <w:szCs w:val="24"/>
          <w:highlight w:val="none"/>
        </w:rPr>
        <w:t>人资格要求</w:t>
      </w:r>
      <w:bookmarkEnd w:id="66"/>
    </w:p>
    <w:p>
      <w:pPr>
        <w:spacing w:before="0" w:after="0" w:afterAutospacing="0"/>
        <w:ind w:left="0" w:right="0" w:firstLine="420" w:firstLineChars="200"/>
        <w:rPr>
          <w:rFonts w:ascii="宋体" w:hAnsi="宋体"/>
          <w:color w:val="auto"/>
          <w:highlight w:val="none"/>
        </w:rPr>
      </w:pPr>
      <w:bookmarkStart w:id="67" w:name="_Toc28044"/>
      <w:bookmarkStart w:id="68" w:name="_Toc10869"/>
      <w:bookmarkStart w:id="69" w:name="_Toc7604"/>
      <w:bookmarkStart w:id="70" w:name="_Toc17335"/>
      <w:bookmarkStart w:id="71" w:name="_Toc16406"/>
      <w:bookmarkStart w:id="72" w:name="_Toc24557"/>
      <w:bookmarkStart w:id="73" w:name="_Toc18679"/>
      <w:bookmarkStart w:id="74" w:name="_Toc492478726"/>
      <w:bookmarkStart w:id="75" w:name="_Toc375039072"/>
      <w:bookmarkStart w:id="76" w:name="_Toc25361"/>
      <w:bookmarkStart w:id="77" w:name="_Toc17692"/>
      <w:bookmarkStart w:id="78" w:name="_Toc30363"/>
      <w:bookmarkStart w:id="79" w:name="_Toc4718"/>
      <w:bookmarkStart w:id="80" w:name="_Toc24759"/>
      <w:bookmarkStart w:id="81" w:name="_Toc383891176"/>
      <w:bookmarkStart w:id="82" w:name="_Toc14185"/>
      <w:bookmarkStart w:id="83" w:name="_Toc2902"/>
      <w:bookmarkStart w:id="84" w:name="_Toc390098427"/>
      <w:bookmarkStart w:id="85" w:name="_Toc95"/>
      <w:bookmarkStart w:id="86" w:name="_Toc385427801"/>
      <w:bookmarkStart w:id="87" w:name="_Toc27913"/>
      <w:bookmarkStart w:id="88" w:name="_Toc12983513"/>
      <w:bookmarkStart w:id="89" w:name="_Toc5805"/>
      <w:r>
        <w:rPr>
          <w:rFonts w:hint="eastAsia" w:ascii="宋体" w:hAnsi="宋体"/>
          <w:color w:val="auto"/>
          <w:highlight w:val="none"/>
        </w:rPr>
        <w:t>2.1为中华人民共和国境内依法设立的法人或其他组织（若以分公司名义参与比选申请，必须出具总公司授权参与的证明。）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 资质条件：经营范围至少包括下列范围之一：①</w:t>
      </w:r>
      <w:r>
        <w:rPr>
          <w:rFonts w:ascii="Helvetica" w:hAnsi="Helvetica" w:eastAsia="Helvetica" w:cs="Helvetica"/>
          <w:color w:val="auto"/>
          <w:highlight w:val="none"/>
          <w:shd w:val="clear" w:color="auto" w:fill="FFFFFF"/>
        </w:rPr>
        <w:t>办公家具</w:t>
      </w:r>
      <w:r>
        <w:rPr>
          <w:rFonts w:hint="eastAsia" w:ascii="宋体" w:hAnsi="宋体"/>
          <w:color w:val="auto"/>
          <w:highlight w:val="none"/>
        </w:rPr>
        <w:t>，②</w:t>
      </w:r>
      <w:r>
        <w:rPr>
          <w:rFonts w:ascii="Helvetica" w:hAnsi="Helvetica" w:eastAsia="Helvetica" w:cs="Helvetica"/>
          <w:color w:val="auto"/>
          <w:highlight w:val="none"/>
          <w:shd w:val="clear" w:color="auto" w:fill="FFFFFF"/>
        </w:rPr>
        <w:t>办公用品销售</w:t>
      </w:r>
      <w:r>
        <w:rPr>
          <w:rFonts w:hint="eastAsia" w:ascii="宋体" w:hAnsi="宋体"/>
          <w:color w:val="auto"/>
          <w:highlight w:val="none"/>
        </w:rPr>
        <w:t>，③</w:t>
      </w:r>
      <w:r>
        <w:rPr>
          <w:rFonts w:ascii="Helvetica" w:hAnsi="Helvetica" w:eastAsia="Helvetica" w:cs="Helvetica"/>
          <w:color w:val="auto"/>
          <w:highlight w:val="none"/>
          <w:shd w:val="clear" w:color="auto" w:fill="FFFFFF"/>
        </w:rPr>
        <w:t>家具销售</w:t>
      </w:r>
      <w:r>
        <w:rPr>
          <w:rFonts w:hint="eastAsia" w:ascii="宋体" w:hAnsi="宋体"/>
          <w:color w:val="auto"/>
          <w:highlight w:val="none"/>
        </w:rPr>
        <w:t>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2.3业绩条件：无业绩要求；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2.6本项目不接受联合体比选申请。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90" w:name="_Toc101965677"/>
      <w:r>
        <w:rPr>
          <w:rFonts w:hint="eastAsia" w:ascii="宋体" w:hAnsi="宋体" w:eastAsia="宋体"/>
          <w:color w:val="auto"/>
          <w:sz w:val="24"/>
          <w:szCs w:val="24"/>
          <w:highlight w:val="none"/>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olor w:val="auto"/>
          <w:sz w:val="24"/>
          <w:szCs w:val="24"/>
          <w:highlight w:val="none"/>
        </w:rPr>
        <w:t>比选申请文件内容</w:t>
      </w:r>
      <w:bookmarkEnd w:id="9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（6）类似项目业绩表（如有）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（8）其他（如原厂授权等）</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91" w:name="_Toc101965678"/>
      <w:r>
        <w:rPr>
          <w:rFonts w:hint="eastAsia" w:ascii="宋体" w:hAnsi="宋体" w:eastAsia="宋体"/>
          <w:color w:val="auto"/>
          <w:sz w:val="24"/>
          <w:szCs w:val="24"/>
          <w:highlight w:val="none"/>
        </w:rPr>
        <w:t>四、比选申请文件签字及装订要求</w:t>
      </w:r>
      <w:bookmarkEnd w:id="91"/>
    </w:p>
    <w:p>
      <w:pPr>
        <w:spacing w:before="0" w:after="0" w:afterAutospacing="0"/>
        <w:ind w:left="0" w:right="0" w:firstLine="420" w:firstLineChars="200"/>
        <w:rPr>
          <w:rFonts w:ascii="宋体" w:hAnsi="宋体"/>
          <w:color w:val="auto"/>
          <w:highlight w:val="none"/>
        </w:rPr>
      </w:pPr>
      <w:bookmarkStart w:id="92" w:name="_Toc385427802"/>
      <w:bookmarkStart w:id="93" w:name="_Toc12456"/>
      <w:bookmarkStart w:id="94" w:name="_Toc20025"/>
      <w:bookmarkStart w:id="95" w:name="_Toc21673"/>
      <w:bookmarkStart w:id="96" w:name="_Toc11259"/>
      <w:bookmarkStart w:id="97" w:name="_Toc16186"/>
      <w:bookmarkStart w:id="98" w:name="_Toc26680"/>
      <w:bookmarkStart w:id="99" w:name="_Toc26150"/>
      <w:bookmarkStart w:id="100" w:name="_Toc492478727"/>
      <w:bookmarkStart w:id="101" w:name="_Toc16435"/>
      <w:bookmarkStart w:id="102" w:name="_Toc13418"/>
      <w:bookmarkStart w:id="103" w:name="_Toc25750600"/>
      <w:bookmarkStart w:id="104" w:name="_Toc18350"/>
      <w:bookmarkStart w:id="105" w:name="_Toc29862"/>
      <w:bookmarkStart w:id="106" w:name="_Toc375039073"/>
      <w:bookmarkStart w:id="107" w:name="_Toc390098428"/>
      <w:bookmarkStart w:id="108" w:name="_Toc12983514"/>
      <w:bookmarkStart w:id="109" w:name="_Toc23794"/>
      <w:bookmarkStart w:id="110" w:name="_Toc383891177"/>
      <w:bookmarkStart w:id="111" w:name="_Toc9592"/>
      <w:bookmarkStart w:id="112" w:name="_Toc12074"/>
      <w:bookmarkStart w:id="113" w:name="_Toc2819"/>
      <w:bookmarkStart w:id="114" w:name="_Toc4384"/>
      <w:bookmarkStart w:id="115" w:name="_Toc1733"/>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。但由此不一致造成的评标差错由比选申请人自形承担。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在比选申请文件规定的相关位置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是指应为法定代表人或被授权人在规定签署处亲笔写上个人的名字或者加盖个人签字章的行为。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 xml:space="preserve"> 南宁轨道交通运营有限公司2023年办公家具采购项目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 xml:space="preserve">  202305170008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6" w:name="_Toc101965679"/>
      <w:r>
        <w:rPr>
          <w:rFonts w:hint="eastAsia" w:ascii="宋体" w:hAnsi="宋体" w:eastAsia="宋体"/>
          <w:color w:val="auto"/>
          <w:sz w:val="24"/>
          <w:szCs w:val="24"/>
          <w:highlight w:val="none"/>
        </w:rPr>
        <w:t>五、比选申请文件的递交</w:t>
      </w:r>
      <w:bookmarkEnd w:id="11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5.1比选申请文件须密封后于 2023 年 </w:t>
      </w:r>
      <w:r>
        <w:rPr>
          <w:rFonts w:hint="eastAsia" w:ascii="宋体" w:hAnsi="宋体"/>
          <w:color w:val="auto"/>
          <w:highlight w:val="none"/>
          <w:lang w:val="en-US" w:eastAsia="zh-CN"/>
        </w:rPr>
        <w:t>8</w:t>
      </w:r>
      <w:r>
        <w:rPr>
          <w:rFonts w:hint="eastAsia" w:ascii="宋体" w:hAnsi="宋体"/>
          <w:color w:val="auto"/>
          <w:highlight w:val="none"/>
        </w:rPr>
        <w:t xml:space="preserve"> 月 </w:t>
      </w:r>
      <w:r>
        <w:rPr>
          <w:rFonts w:hint="eastAsia" w:ascii="宋体" w:hAnsi="宋体"/>
          <w:color w:val="auto"/>
          <w:highlight w:val="none"/>
          <w:lang w:val="en-US" w:eastAsia="zh-CN"/>
        </w:rPr>
        <w:t>24</w:t>
      </w:r>
      <w:r>
        <w:rPr>
          <w:rFonts w:hint="eastAsia" w:ascii="宋体" w:hAnsi="宋体"/>
          <w:color w:val="auto"/>
          <w:highlight w:val="none"/>
        </w:rPr>
        <w:t xml:space="preserve"> 日</w:t>
      </w:r>
      <w:r>
        <w:rPr>
          <w:rFonts w:hint="eastAsia" w:ascii="宋体" w:hAnsi="宋体"/>
          <w:color w:val="auto"/>
          <w:highlight w:val="none"/>
          <w:lang w:val="en-US" w:eastAsia="zh-CN"/>
        </w:rPr>
        <w:t>14</w:t>
      </w:r>
      <w:r>
        <w:rPr>
          <w:rFonts w:hint="eastAsia" w:ascii="宋体" w:hAnsi="宋体"/>
          <w:color w:val="auto"/>
          <w:highlight w:val="none"/>
        </w:rPr>
        <w:t>时</w:t>
      </w:r>
      <w:r>
        <w:rPr>
          <w:rFonts w:hint="eastAsia" w:ascii="宋体" w:hAnsi="宋体"/>
          <w:color w:val="auto"/>
          <w:highlight w:val="none"/>
          <w:lang w:val="en-US" w:eastAsia="zh-CN"/>
        </w:rPr>
        <w:t>3</w:t>
      </w:r>
      <w:r>
        <w:rPr>
          <w:rFonts w:hint="eastAsia" w:ascii="宋体" w:hAnsi="宋体"/>
          <w:color w:val="auto"/>
          <w:highlight w:val="none"/>
        </w:rPr>
        <w:t>0分—</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0</w:t>
      </w:r>
      <w:r>
        <w:rPr>
          <w:rFonts w:hint="eastAsia" w:ascii="宋体" w:hAnsi="宋体"/>
          <w:color w:val="auto"/>
          <w:highlight w:val="none"/>
        </w:rPr>
        <w:t>0分（北京时间）递交，递交地点在广西南宁市青秀区云景路83号</w:t>
      </w:r>
      <w:r>
        <w:rPr>
          <w:rFonts w:hint="eastAsia" w:ascii="宋体" w:hAnsi="宋体"/>
          <w:color w:val="auto"/>
          <w:highlight w:val="none"/>
          <w:u w:val="none"/>
        </w:rPr>
        <w:t>1号线</w:t>
      </w:r>
      <w:r>
        <w:rPr>
          <w:rFonts w:hint="eastAsia" w:ascii="宋体" w:hAnsi="宋体"/>
          <w:color w:val="auto"/>
          <w:highlight w:val="none"/>
        </w:rPr>
        <w:t xml:space="preserve">屯里车辆段综合楼  </w:t>
      </w:r>
      <w:r>
        <w:rPr>
          <w:rFonts w:hint="eastAsia" w:ascii="宋体" w:hAnsi="宋体"/>
          <w:color w:val="auto"/>
          <w:highlight w:val="none"/>
          <w:lang w:val="en-US" w:eastAsia="zh-CN"/>
        </w:rPr>
        <w:t>205</w:t>
      </w:r>
      <w:r>
        <w:rPr>
          <w:rFonts w:hint="eastAsia" w:ascii="宋体" w:hAnsi="宋体"/>
          <w:color w:val="auto"/>
          <w:highlight w:val="none"/>
        </w:rPr>
        <w:t xml:space="preserve">  会议室；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5.2逾期送达或未送达指定地点的比选申请文件，比选人不予受理。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5.3未按本文件要求密封的比选申请文件不予受理。</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7" w:name="_Toc101965680"/>
      <w:r>
        <w:rPr>
          <w:rFonts w:hint="eastAsia" w:ascii="宋体" w:hAnsi="宋体" w:eastAsia="宋体"/>
          <w:color w:val="auto"/>
          <w:sz w:val="24"/>
          <w:szCs w:val="24"/>
          <w:highlight w:val="none"/>
        </w:rPr>
        <w:t>六、比选申请人提出问题的截止时间</w:t>
      </w:r>
      <w:bookmarkEnd w:id="1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lang w:val="en-US" w:eastAsia="zh-CN"/>
        </w:rPr>
        <w:t>2023</w:t>
      </w:r>
      <w:r>
        <w:rPr>
          <w:rFonts w:hint="eastAsia" w:ascii="宋体" w:hAnsi="宋体"/>
          <w:color w:val="auto"/>
          <w:highlight w:val="none"/>
        </w:rPr>
        <w:t>年</w:t>
      </w:r>
      <w:r>
        <w:rPr>
          <w:rFonts w:hint="eastAsia" w:ascii="宋体" w:hAnsi="宋体"/>
          <w:color w:val="auto"/>
          <w:highlight w:val="none"/>
          <w:lang w:val="en-US" w:eastAsia="zh-CN"/>
        </w:rPr>
        <w:t>8</w:t>
      </w:r>
      <w:r>
        <w:rPr>
          <w:rFonts w:hint="eastAsia" w:ascii="宋体" w:hAnsi="宋体"/>
          <w:color w:val="auto"/>
          <w:highlight w:val="none"/>
        </w:rPr>
        <w:t>月</w:t>
      </w:r>
      <w:r>
        <w:rPr>
          <w:rFonts w:hint="eastAsia" w:ascii="宋体" w:hAnsi="宋体"/>
          <w:color w:val="auto"/>
          <w:highlight w:val="none"/>
          <w:lang w:val="en-US" w:eastAsia="zh-CN"/>
        </w:rPr>
        <w:t>16</w:t>
      </w:r>
      <w:r>
        <w:rPr>
          <w:rFonts w:hint="eastAsia" w:ascii="宋体" w:hAnsi="宋体"/>
          <w:color w:val="auto"/>
          <w:highlight w:val="none"/>
        </w:rPr>
        <w:t>日</w:t>
      </w:r>
      <w:r>
        <w:rPr>
          <w:rFonts w:hint="eastAsia" w:ascii="宋体" w:hAnsi="宋体"/>
          <w:color w:val="auto"/>
          <w:highlight w:val="none"/>
          <w:u w:val="single"/>
          <w:lang w:val="en-US" w:eastAsia="zh-CN"/>
        </w:rPr>
        <w:t>18</w:t>
      </w:r>
      <w:r>
        <w:rPr>
          <w:rFonts w:hint="eastAsia" w:ascii="宋体" w:hAnsi="宋体"/>
          <w:color w:val="auto"/>
          <w:highlight w:val="none"/>
        </w:rPr>
        <w:t>时</w:t>
      </w:r>
      <w:r>
        <w:rPr>
          <w:rFonts w:hint="eastAsia" w:ascii="宋体" w:hAnsi="宋体"/>
          <w:color w:val="auto"/>
          <w:highlight w:val="none"/>
          <w:lang w:val="en-US" w:eastAsia="zh-CN"/>
        </w:rPr>
        <w:t>0</w:t>
      </w:r>
      <w:r>
        <w:rPr>
          <w:rFonts w:hint="eastAsia" w:ascii="宋体" w:hAnsi="宋体"/>
          <w:color w:val="auto"/>
          <w:highlight w:val="none"/>
          <w:u w:val="single"/>
          <w:lang w:val="en-US" w:eastAsia="zh-CN"/>
        </w:rPr>
        <w:t>0</w:t>
      </w:r>
      <w:r>
        <w:rPr>
          <w:rFonts w:hint="eastAsia" w:ascii="宋体" w:hAnsi="宋体"/>
          <w:color w:val="auto"/>
          <w:highlight w:val="none"/>
        </w:rPr>
        <w:t>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6.2需澄清的问题需以书面形式于上述提出问题截止时间前将加盖法人公章的电子版扫描件发到2059201254@qq.com邮箱。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8" w:name="_Toc101965681"/>
      <w:r>
        <w:rPr>
          <w:rFonts w:hint="eastAsia" w:ascii="宋体" w:hAnsi="宋体" w:eastAsia="宋体"/>
          <w:color w:val="auto"/>
          <w:sz w:val="24"/>
          <w:szCs w:val="24"/>
          <w:highlight w:val="none"/>
        </w:rPr>
        <w:t>七、报价要求</w:t>
      </w:r>
      <w:bookmarkEnd w:id="11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7.1本项目合同价格形式采用以下方式：</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本项目采用不含税报价，在签订本项目合同时，</w:t>
      </w:r>
      <w:r>
        <w:rPr>
          <w:rFonts w:hint="eastAsia"/>
          <w:color w:val="auto"/>
          <w:highlight w:val="none"/>
        </w:rPr>
        <w:t>遵循国家现行税法的相关规定</w:t>
      </w:r>
      <w:r>
        <w:rPr>
          <w:color w:val="auto"/>
          <w:highlight w:val="none"/>
        </w:rPr>
        <w:t>在中标人不含税</w:t>
      </w:r>
      <w:r>
        <w:rPr>
          <w:rFonts w:hint="eastAsia"/>
          <w:color w:val="auto"/>
          <w:highlight w:val="none"/>
        </w:rPr>
        <w:t>单</w:t>
      </w:r>
      <w:r>
        <w:rPr>
          <w:color w:val="auto"/>
          <w:highlight w:val="none"/>
        </w:rPr>
        <w:t>价的基础上</w:t>
      </w:r>
      <w:r>
        <w:rPr>
          <w:rFonts w:hint="eastAsia"/>
          <w:color w:val="auto"/>
          <w:highlight w:val="none"/>
        </w:rPr>
        <w:t>逐项增加税费，并</w:t>
      </w:r>
      <w:r>
        <w:rPr>
          <w:color w:val="auto"/>
          <w:highlight w:val="none"/>
        </w:rPr>
        <w:t>明确相应税率和税金</w:t>
      </w:r>
      <w:r>
        <w:rPr>
          <w:rFonts w:hint="eastAsia"/>
          <w:color w:val="auto"/>
          <w:highlight w:val="none"/>
        </w:rPr>
        <w:t>，</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）评标价以不含税总报价为基准。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（5）当各子目的合价累计不等于总价时，应以各子目合价累计数为准，修正总价。</w:t>
      </w:r>
    </w:p>
    <w:p>
      <w:pPr>
        <w:pStyle w:val="34"/>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（6）按上述（2）-（5）规则对比选申请报价进行修正。</w:t>
      </w:r>
      <w:r>
        <w:rPr>
          <w:rFonts w:hint="eastAsia" w:ascii="宋体" w:hAnsi="宋体" w:cs="Arial"/>
          <w:color w:val="auto"/>
          <w:highlight w:val="none"/>
        </w:rPr>
        <w:t>评标价格及中标价均以修正后的报价为准。</w:t>
      </w:r>
      <w:r>
        <w:rPr>
          <w:rFonts w:hint="eastAsia" w:ascii="宋体" w:hAnsi="宋体"/>
          <w:color w:val="auto"/>
          <w:highlight w:val="none"/>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9" w:name="_Toc101965682"/>
      <w:r>
        <w:rPr>
          <w:rFonts w:hint="eastAsia" w:ascii="宋体" w:hAnsi="宋体" w:eastAsia="宋体"/>
          <w:color w:val="auto"/>
          <w:sz w:val="24"/>
          <w:szCs w:val="24"/>
          <w:highlight w:val="none"/>
        </w:rPr>
        <w:t>八、评审规则</w:t>
      </w:r>
      <w:bookmarkEnd w:id="11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8.1本项目评标办法采用以下方式：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最低评审价法</w:t>
      </w:r>
      <w:r>
        <w:rPr>
          <w:rFonts w:hint="eastAsia" w:ascii="宋体" w:hAnsi="宋体"/>
          <w:color w:val="auto"/>
          <w:highlight w:val="none"/>
        </w:rPr>
        <w:t>。最低的有效报价作为推荐中选候选人依据。</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（4）比选申请报价明细表出现负偏离的。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（6）评标价超出本项目控制价的。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0" w:name="_Toc101965683"/>
      <w:r>
        <w:rPr>
          <w:rFonts w:hint="eastAsia" w:ascii="宋体" w:hAnsi="宋体" w:eastAsia="宋体"/>
          <w:color w:val="auto"/>
          <w:sz w:val="24"/>
          <w:szCs w:val="24"/>
          <w:highlight w:val="none"/>
        </w:rPr>
        <w:t>九、重新比选或不再比选</w:t>
      </w:r>
      <w:bookmarkEnd w:id="120"/>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1" w:name="_Toc101965684"/>
      <w:r>
        <w:rPr>
          <w:rFonts w:hint="eastAsia" w:ascii="宋体" w:hAnsi="宋体" w:eastAsia="宋体"/>
          <w:color w:val="auto"/>
          <w:sz w:val="24"/>
          <w:szCs w:val="24"/>
          <w:highlight w:val="none"/>
        </w:rPr>
        <w:t>九、比选申请有效期</w:t>
      </w:r>
      <w:bookmarkEnd w:id="1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2" w:name="_Toc101965685"/>
      <w:r>
        <w:rPr>
          <w:rFonts w:hint="eastAsia" w:ascii="宋体" w:hAnsi="宋体" w:eastAsia="宋体"/>
          <w:color w:val="auto"/>
          <w:sz w:val="24"/>
          <w:szCs w:val="24"/>
          <w:highlight w:val="none"/>
        </w:rPr>
        <w:t>十、比选保证金</w:t>
      </w:r>
      <w:bookmarkEnd w:id="12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4"/>
        <w:spacing w:after="0" w:afterAutospacing="0" w:line="360" w:lineRule="auto"/>
        <w:ind w:left="0" w:right="0" w:firstLine="482" w:firstLineChars="200"/>
        <w:rPr>
          <w:rFonts w:ascii="宋体" w:hAnsi="宋体"/>
          <w:color w:val="auto"/>
          <w:highlight w:val="none"/>
        </w:rPr>
      </w:pPr>
      <w:bookmarkStart w:id="123" w:name="_Toc101965686"/>
      <w:r>
        <w:rPr>
          <w:rFonts w:hint="eastAsia" w:ascii="宋体" w:hAnsi="宋体" w:eastAsia="宋体"/>
          <w:color w:val="auto"/>
          <w:sz w:val="24"/>
          <w:szCs w:val="24"/>
          <w:highlight w:val="none"/>
        </w:rPr>
        <w:t>十一、履约担保</w:t>
      </w:r>
      <w:bookmarkEnd w:id="12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11.1履约担保的金额：</w:t>
      </w:r>
      <w:r>
        <w:rPr>
          <w:rFonts w:hint="eastAsia" w:ascii="宋体" w:hAnsi="宋体"/>
          <w:b/>
          <w:bCs/>
          <w:color w:val="auto"/>
          <w:highlight w:val="none"/>
        </w:rPr>
        <w:t>合同总价的</w:t>
      </w:r>
      <w:r>
        <w:rPr>
          <w:rFonts w:ascii="宋体" w:hAnsi="宋体"/>
          <w:b/>
          <w:bCs/>
          <w:color w:val="auto"/>
          <w:highlight w:val="none"/>
        </w:rPr>
        <w:t>5%</w:t>
      </w:r>
      <w:r>
        <w:rPr>
          <w:rFonts w:hint="eastAsia" w:ascii="宋体" w:hAnsi="宋体"/>
          <w:b/>
          <w:bCs/>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11.2履约担保的形式：转账或电汇或银行保函。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11.4递交地点：南宁市青秀区云景路83号；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11.6若中选人未在规定时间内足额缴纳履约担保，比选人有权取消其中选资格。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4" w:name="_Toc101965687"/>
      <w:r>
        <w:rPr>
          <w:rFonts w:hint="eastAsia" w:ascii="宋体" w:hAnsi="宋体" w:eastAsia="宋体"/>
          <w:color w:val="auto"/>
          <w:sz w:val="24"/>
          <w:szCs w:val="24"/>
          <w:highlight w:val="none"/>
        </w:rPr>
        <w:t>十二、不良信用名单条款</w:t>
      </w:r>
      <w:bookmarkEnd w:id="12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25"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right="-57" w:firstLine="0"/>
        <w:jc w:val="center"/>
        <w:outlineLvl w:val="0"/>
        <w:rPr>
          <w:rStyle w:val="39"/>
          <w:rFonts w:hAnsi="宋体"/>
          <w:color w:val="auto"/>
          <w:sz w:val="44"/>
          <w:szCs w:val="44"/>
          <w:highlight w:val="none"/>
        </w:rPr>
      </w:pPr>
      <w:bookmarkStart w:id="126" w:name="_Toc101965688"/>
      <w:r>
        <w:rPr>
          <w:rStyle w:val="39"/>
          <w:rFonts w:hint="eastAsia" w:hAnsi="宋体"/>
          <w:color w:val="auto"/>
          <w:sz w:val="44"/>
          <w:szCs w:val="44"/>
          <w:highlight w:val="none"/>
        </w:rPr>
        <w:t>第三章 合同条款及格式</w:t>
      </w:r>
      <w:bookmarkEnd w:id="125"/>
      <w:bookmarkEnd w:id="126"/>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27" w:name="_Toc286386830"/>
      <w:bookmarkStart w:id="128" w:name="_Toc114052336"/>
      <w:bookmarkStart w:id="129" w:name="_Toc114052410"/>
    </w:p>
    <w:p>
      <w:pPr>
        <w:pageBreakBefore/>
        <w:spacing w:after="120" w:afterLines="50" w:afterAutospacing="0"/>
        <w:ind w:left="1014" w:right="448" w:hanging="1014" w:hangingChars="338"/>
        <w:jc w:val="right"/>
        <w:rPr>
          <w:rFonts w:ascii="宋体" w:hAnsi="宋体"/>
          <w:color w:val="auto"/>
          <w:sz w:val="30"/>
          <w:szCs w:val="30"/>
          <w:highlight w:val="none"/>
        </w:rPr>
      </w:pPr>
    </w:p>
    <w:p>
      <w:pPr>
        <w:spacing w:after="120" w:afterLines="50"/>
        <w:ind w:right="448"/>
        <w:jc w:val="right"/>
        <w:rPr>
          <w:rFonts w:ascii="宋体" w:hAnsi="宋体"/>
          <w:color w:val="auto"/>
          <w:sz w:val="30"/>
          <w:szCs w:val="30"/>
          <w:highlight w:val="none"/>
        </w:rPr>
      </w:pPr>
      <w:r>
        <w:rPr>
          <w:rFonts w:hint="eastAsia" w:ascii="宋体" w:hAnsi="宋体"/>
          <w:color w:val="auto"/>
          <w:sz w:val="30"/>
          <w:szCs w:val="30"/>
          <w:highlight w:val="none"/>
        </w:rPr>
        <w:t>【正本】</w:t>
      </w:r>
    </w:p>
    <w:bookmarkEnd w:id="127"/>
    <w:bookmarkEnd w:id="128"/>
    <w:bookmarkEnd w:id="129"/>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b/>
          <w:color w:val="auto"/>
          <w:sz w:val="44"/>
          <w:szCs w:val="44"/>
          <w:highlight w:val="none"/>
        </w:rPr>
        <w:t>南宁轨道交通运营有限公司2023年办公家具采购项目</w:t>
      </w:r>
    </w:p>
    <w:tbl>
      <w:tblPr>
        <w:tblStyle w:val="2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left"/>
              <w:rPr>
                <w:rFonts w:ascii="宋体" w:hAnsi="宋体"/>
                <w:color w:val="auto"/>
                <w:sz w:val="28"/>
                <w:szCs w:val="30"/>
                <w:highlight w:val="none"/>
              </w:rPr>
            </w:pPr>
            <w:r>
              <w:rPr>
                <w:rFonts w:hint="eastAsia" w:ascii="宋体" w:hAnsi="宋体"/>
                <w:color w:val="auto"/>
                <w:sz w:val="28"/>
                <w:szCs w:val="30"/>
                <w:highlight w:val="none"/>
              </w:rPr>
              <w:t>202305170008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bookmarkStart w:id="130" w:name="_Toc369787000"/>
      <w:bookmarkEnd w:id="130"/>
    </w:p>
    <w:p>
      <w:pPr>
        <w:pStyle w:val="22"/>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中标通知书</w:t>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2.中标文件分项报价表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s="宋体"/>
          <w:color w:val="auto"/>
          <w:szCs w:val="24"/>
          <w:highlight w:val="none"/>
        </w:rPr>
        <w:t>4.含税分项分线报价表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"_Toc5274" </w:instrText>
      </w:r>
      <w:r>
        <w:rPr>
          <w:color w:val="auto"/>
          <w:highlight w:val="none"/>
        </w:rPr>
        <w:fldChar w:fldCharType="separate"/>
      </w:r>
      <w:r>
        <w:rPr>
          <w:rFonts w:hint="eastAsia" w:ascii="宋体" w:hAnsi="宋体" w:cs="宋体"/>
          <w:color w:val="auto"/>
          <w:szCs w:val="24"/>
          <w:highlight w:val="none"/>
        </w:rPr>
        <w:t>附件3.1 含税分项报价汇总表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"_Toc22670" </w:instrText>
      </w:r>
      <w:r>
        <w:rPr>
          <w:color w:val="auto"/>
          <w:highlight w:val="none"/>
        </w:rPr>
        <w:fldChar w:fldCharType="separate"/>
      </w:r>
      <w:r>
        <w:rPr>
          <w:rFonts w:hint="eastAsia" w:ascii="宋体" w:hAnsi="宋体" w:cs="宋体"/>
          <w:color w:val="auto"/>
          <w:szCs w:val="24"/>
          <w:highlight w:val="none"/>
        </w:rPr>
        <w:t>附件3.2 含税分项分线报价表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22"/>
        <w:tabs>
          <w:tab w:val="right" w:leader="dot" w:pos="9069"/>
        </w:tabs>
        <w:snapToGrid w:val="0"/>
        <w:spacing w:line="240" w:lineRule="auto"/>
        <w:ind w:right="-28"/>
        <w:rPr>
          <w:rFonts w:ascii="宋体" w:hAnsi="宋体" w:cs="宋体"/>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cs="宋体"/>
          <w:b/>
          <w:bCs/>
          <w:color w:val="auto"/>
          <w:szCs w:val="24"/>
          <w:highlight w:val="none"/>
        </w:rPr>
        <w:t>第四部分 合同条款</w:t>
      </w:r>
      <w:r>
        <w:rPr>
          <w:rFonts w:hint="eastAsia" w:ascii="宋体" w:hAnsi="宋体" w:cs="宋体"/>
          <w:b/>
          <w:bCs/>
          <w:color w:val="auto"/>
          <w:highlight w:val="none"/>
        </w:rPr>
        <w:tab/>
      </w:r>
      <w:r>
        <w:rPr>
          <w:rFonts w:hint="eastAsia" w:ascii="宋体" w:hAnsi="宋体" w:cs="宋体"/>
          <w:b/>
          <w:bCs/>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s="宋体"/>
          <w:color w:val="auto"/>
          <w:highlight w:val="none"/>
        </w:rPr>
        <w:t>1.定义及解释</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s="宋体"/>
          <w:color w:val="auto"/>
          <w:highlight w:val="none"/>
        </w:rPr>
        <w:t>2.适用性</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s="宋体"/>
          <w:color w:val="auto"/>
          <w:highlight w:val="none"/>
        </w:rPr>
        <w:t>3.来源地</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s="宋体"/>
          <w:color w:val="auto"/>
          <w:highlight w:val="none"/>
        </w:rPr>
        <w:t>4.标准</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s="宋体"/>
          <w:color w:val="auto"/>
          <w:highlight w:val="none"/>
        </w:rPr>
        <w:t>5.合同文件、资料及使用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s="宋体"/>
          <w:color w:val="auto"/>
          <w:highlight w:val="none"/>
        </w:rPr>
        <w:t>6.知识产权</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s="宋体"/>
          <w:color w:val="auto"/>
          <w:highlight w:val="none"/>
        </w:rPr>
        <w:t>7.价格</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s="宋体"/>
          <w:color w:val="auto"/>
          <w:highlight w:val="none"/>
        </w:rPr>
        <w:t>8.合同有效期</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s="宋体"/>
          <w:color w:val="auto"/>
          <w:highlight w:val="none"/>
        </w:rPr>
        <w:t>9.付款</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s="宋体"/>
          <w:color w:val="auto"/>
          <w:highlight w:val="none"/>
        </w:rPr>
        <w:t>10.履约担保</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s="宋体"/>
          <w:color w:val="auto"/>
          <w:highlight w:val="none"/>
        </w:rPr>
        <w:t>11.交货和单据</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s="宋体"/>
          <w:color w:val="auto"/>
          <w:highlight w:val="none"/>
        </w:rPr>
        <w:t>12.违约责任</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s="宋体"/>
          <w:color w:val="auto"/>
          <w:highlight w:val="none"/>
        </w:rPr>
        <w:t>25.索赔与赔偿</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s="宋体"/>
          <w:color w:val="auto"/>
          <w:highlight w:val="none"/>
        </w:rPr>
        <w:t>19.合同转让、分包和中止</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s="宋体"/>
          <w:color w:val="auto"/>
          <w:highlight w:val="none"/>
        </w:rPr>
        <w:t>26.合同终止</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s="宋体"/>
          <w:color w:val="auto"/>
          <w:highlight w:val="none"/>
        </w:rPr>
        <w:t>20.不可抗力</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s="宋体"/>
          <w:color w:val="auto"/>
          <w:highlight w:val="none"/>
        </w:rPr>
        <w:t>22.通知</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s="宋体"/>
          <w:color w:val="auto"/>
          <w:highlight w:val="none"/>
        </w:rPr>
        <w:t>27.争端的解决</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s="宋体"/>
          <w:color w:val="auto"/>
          <w:highlight w:val="none"/>
        </w:rPr>
        <w:t>30.适用法律</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s="宋体"/>
          <w:color w:val="auto"/>
          <w:highlight w:val="none"/>
        </w:rPr>
        <w:t>20.其他</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s="宋体"/>
          <w:color w:val="auto"/>
          <w:highlight w:val="none"/>
        </w:rPr>
        <w:t>31.廉洁条款特别约定</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s="宋体"/>
          <w:color w:val="auto"/>
          <w:highlight w:val="none"/>
        </w:rPr>
        <w:t>32.合同生效和签约地</w:t>
      </w:r>
      <w:r>
        <w:rPr>
          <w:rFonts w:hint="eastAsia" w:ascii="宋体" w:hAnsi="宋体" w:cs="宋体"/>
          <w:color w:val="auto"/>
          <w:highlight w:val="none"/>
        </w:rPr>
        <w:tab/>
      </w:r>
      <w:r>
        <w:rPr>
          <w:rFonts w:hint="eastAsia" w:ascii="宋体" w:hAnsi="宋体" w:cs="宋体"/>
          <w:color w:val="auto"/>
          <w:highlight w:val="none"/>
        </w:rPr>
        <w:fldChar w:fldCharType="end"/>
      </w:r>
    </w:p>
    <w:p>
      <w:pPr>
        <w:pStyle w:val="22"/>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"_Toc16698" </w:instrText>
      </w:r>
      <w:r>
        <w:rPr>
          <w:color w:val="auto"/>
          <w:highlight w:val="none"/>
        </w:rPr>
        <w:fldChar w:fldCharType="separate"/>
      </w:r>
      <w:r>
        <w:rPr>
          <w:rFonts w:hint="eastAsia" w:ascii="宋体" w:hAnsi="宋体"/>
          <w:color w:val="auto"/>
          <w:szCs w:val="24"/>
          <w:highlight w:val="none"/>
        </w:rPr>
        <w:t>1.履约保证金缴纳凭证（履约保函格式附后）</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rPr>
        <w:t>2.乙方营业执照或资质证书等</w:t>
      </w:r>
      <w:r>
        <w:rPr>
          <w:color w:val="auto"/>
          <w:highlight w:val="none"/>
        </w:rPr>
        <w:tab/>
      </w:r>
    </w:p>
    <w:p>
      <w:pPr>
        <w:pStyle w:val="11"/>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rPr>
        <w:t>3.乙方法人授权委托书（如有）</w:t>
      </w:r>
      <w:r>
        <w:rPr>
          <w:color w:val="auto"/>
          <w:highlight w:val="none"/>
        </w:rPr>
        <w:tab/>
      </w:r>
      <w:r>
        <w:rPr>
          <w:rFonts w:ascii="宋体" w:hAnsi="宋体"/>
          <w:color w:val="auto"/>
          <w:szCs w:val="24"/>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"_Toc28104" </w:instrText>
      </w:r>
      <w:r>
        <w:rPr>
          <w:color w:val="auto"/>
          <w:highlight w:val="none"/>
        </w:rPr>
        <w:fldChar w:fldCharType="separate"/>
      </w:r>
      <w:r>
        <w:rPr>
          <w:rFonts w:hint="eastAsia" w:ascii="宋体" w:hAnsi="宋体"/>
          <w:color w:val="auto"/>
          <w:szCs w:val="24"/>
          <w:highlight w:val="none"/>
        </w:rPr>
        <w:t>4.原厂授权证明（如有）</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"_Toc7738" </w:instrText>
      </w:r>
      <w:r>
        <w:rPr>
          <w:color w:val="auto"/>
          <w:highlight w:val="none"/>
        </w:rPr>
        <w:fldChar w:fldCharType="separate"/>
      </w:r>
      <w:r>
        <w:rPr>
          <w:rFonts w:hint="eastAsia" w:ascii="宋体" w:hAnsi="宋体"/>
          <w:color w:val="auto"/>
          <w:szCs w:val="24"/>
          <w:highlight w:val="none"/>
        </w:rPr>
        <w:t>5.供货证明格式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"_Toc8452" </w:instrText>
      </w:r>
      <w:r>
        <w:rPr>
          <w:color w:val="auto"/>
          <w:highlight w:val="none"/>
        </w:rPr>
        <w:fldChar w:fldCharType="separate"/>
      </w:r>
      <w:r>
        <w:rPr>
          <w:rFonts w:hint="eastAsia" w:ascii="宋体" w:hAnsi="宋体"/>
          <w:color w:val="auto"/>
          <w:szCs w:val="24"/>
          <w:highlight w:val="none"/>
        </w:rPr>
        <w:t>6.交货通知格式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szCs w:val="24"/>
          <w:highlight w:val="none"/>
        </w:rPr>
      </w:pPr>
      <w:r>
        <w:rPr>
          <w:color w:val="auto"/>
          <w:highlight w:val="none"/>
        </w:rPr>
        <w:fldChar w:fldCharType="begin"/>
      </w:r>
      <w:r>
        <w:rPr>
          <w:color w:val="auto"/>
          <w:highlight w:val="none"/>
        </w:rPr>
        <w:instrText xml:space="preserve"> HYPERLINK \l "_Toc30967" </w:instrText>
      </w:r>
      <w:r>
        <w:rPr>
          <w:color w:val="auto"/>
          <w:highlight w:val="none"/>
        </w:rPr>
        <w:fldChar w:fldCharType="separate"/>
      </w:r>
      <w:r>
        <w:rPr>
          <w:rFonts w:hint="eastAsia" w:ascii="宋体" w:hAnsi="宋体"/>
          <w:color w:val="auto"/>
          <w:szCs w:val="24"/>
          <w:highlight w:val="none"/>
        </w:rPr>
        <w:t>7.送货单格式</w:t>
      </w:r>
      <w:r>
        <w:rPr>
          <w:color w:val="auto"/>
          <w:highlight w:val="none"/>
        </w:rPr>
        <w:tab/>
      </w:r>
      <w:r>
        <w:rPr>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spacing w:before="0"/>
        <w:ind w:right="0" w:firstLine="198"/>
        <w:jc w:val="center"/>
        <w:outlineLvl w:val="1"/>
        <w:rPr>
          <w:rFonts w:ascii="宋体" w:hAnsi="宋体"/>
          <w:color w:val="auto"/>
          <w:sz w:val="24"/>
          <w:szCs w:val="24"/>
          <w:highlight w:val="none"/>
        </w:rPr>
      </w:pPr>
      <w:bookmarkStart w:id="131" w:name="_Toc22286"/>
      <w:bookmarkStart w:id="132" w:name="_Toc101965689"/>
      <w:r>
        <w:rPr>
          <w:rFonts w:hint="eastAsia" w:ascii="宋体" w:hAnsi="宋体"/>
          <w:color w:val="auto"/>
          <w:sz w:val="24"/>
          <w:szCs w:val="24"/>
          <w:highlight w:val="none"/>
        </w:rPr>
        <w:t>第一部分 合同协议书</w:t>
      </w:r>
      <w:bookmarkEnd w:id="131"/>
      <w:bookmarkEnd w:id="132"/>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 “业主</w:t>
      </w:r>
      <w:r>
        <w:rPr>
          <w:rFonts w:ascii="宋体" w:hAnsi="宋体"/>
          <w:color w:val="auto"/>
          <w:highlight w:val="none"/>
        </w:rPr>
        <w:t>”</w:t>
      </w:r>
      <w:r>
        <w:rPr>
          <w:rFonts w:hint="eastAsia" w:ascii="宋体" w:hAnsi="宋体"/>
          <w:color w:val="auto"/>
          <w:highlight w:val="none"/>
        </w:rPr>
        <w:t>）与（下称“乙方”），双方根据</w:t>
      </w:r>
      <w:r>
        <w:rPr>
          <w:rFonts w:hint="eastAsia" w:ascii="宋体" w:hAnsi="宋体"/>
          <w:color w:val="auto"/>
          <w:highlight w:val="none"/>
          <w:u w:val="single"/>
        </w:rPr>
        <w:t>南宁轨道交通运营有限公司2023年办公家具采购项目</w:t>
      </w:r>
      <w:r>
        <w:rPr>
          <w:rFonts w:hint="eastAsia" w:ascii="宋体" w:hAnsi="宋体"/>
          <w:color w:val="auto"/>
          <w:highlight w:val="none"/>
        </w:rPr>
        <w:t>（项目编号：</w:t>
      </w:r>
      <w:r>
        <w:rPr>
          <w:rFonts w:hint="eastAsia" w:ascii="宋体" w:hAnsi="宋体"/>
          <w:color w:val="auto"/>
          <w:highlight w:val="none"/>
          <w:u w:val="single"/>
        </w:rPr>
        <w:t xml:space="preserve"> 202305170008</w:t>
      </w: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1.1 项目名称：</w:t>
      </w:r>
      <w:r>
        <w:rPr>
          <w:rFonts w:hint="eastAsia" w:ascii="宋体" w:hAnsi="宋体"/>
          <w:color w:val="auto"/>
          <w:highlight w:val="none"/>
          <w:u w:val="single"/>
        </w:rPr>
        <w:t>南宁轨道交通运营有限公司2023年办公家具采购项目</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1.2项目实施地点：</w:t>
      </w:r>
      <w:r>
        <w:rPr>
          <w:rFonts w:hint="eastAsia" w:ascii="宋体" w:hAnsi="宋体"/>
          <w:color w:val="auto"/>
          <w:highlight w:val="none"/>
        </w:rPr>
        <w:t>广西壮族自治区南宁市内比选人指定地点。</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1.3项目范围：</w:t>
      </w:r>
      <w:r>
        <w:rPr>
          <w:rFonts w:hint="eastAsia" w:ascii="宋体" w:hAnsi="宋体"/>
          <w:color w:val="auto"/>
          <w:highlight w:val="none"/>
          <w:u w:val="single"/>
        </w:rPr>
        <w:t>职员椅子、钢制文件柜、卡座、会议桌等物资采购，</w:t>
      </w:r>
      <w:r>
        <w:rPr>
          <w:rFonts w:hint="eastAsia" w:ascii="宋体" w:hAnsi="宋体"/>
          <w:color w:val="auto"/>
          <w:highlight w:val="none"/>
        </w:rPr>
        <w:t>具体详见用户需求书</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1.4 其他：</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rPr>
          <w:color w:val="auto"/>
          <w:highlight w:val="none"/>
        </w:rPr>
      </w:pPr>
      <w:r>
        <w:rPr>
          <w:rFonts w:hint="eastAsia"/>
          <w:color w:val="auto"/>
          <w:highlight w:val="none"/>
        </w:rPr>
        <w:t>甲方同意接受乙方作为中选方并以下列第3条所述价格提供</w:t>
      </w:r>
      <w:r>
        <w:rPr>
          <w:rFonts w:hint="eastAsia"/>
          <w:color w:val="auto"/>
          <w:highlight w:val="none"/>
          <w:u w:val="single"/>
        </w:rPr>
        <w:t>南宁轨道交通运营有限公司2023年办公家具采购项目</w:t>
      </w:r>
      <w:r>
        <w:rPr>
          <w:rFonts w:hint="eastAsia"/>
          <w:color w:val="auto"/>
          <w:highlight w:val="none"/>
        </w:rPr>
        <w:t>项下的</w:t>
      </w:r>
      <w:r>
        <w:rPr>
          <w:rFonts w:hint="eastAsia"/>
          <w:i/>
          <w:color w:val="auto"/>
          <w:highlight w:val="none"/>
          <w:u w:val="single"/>
        </w:rPr>
        <w:t xml:space="preserve"> </w:t>
      </w:r>
      <w:r>
        <w:rPr>
          <w:rFonts w:hint="eastAsia"/>
          <w:color w:val="auto"/>
          <w:highlight w:val="none"/>
          <w:u w:val="single"/>
        </w:rPr>
        <w:t>货物和服务。</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rPr>
        <w:t xml:space="preserve"> （填写） (¥  )</w:t>
      </w:r>
      <w:r>
        <w:rPr>
          <w:rFonts w:hint="eastAsia" w:ascii="宋体" w:hAnsi="宋体"/>
          <w:color w:val="auto"/>
          <w:highlight w:val="none"/>
        </w:rPr>
        <w:t>；税费人民币</w:t>
      </w:r>
      <w:r>
        <w:rPr>
          <w:rFonts w:hint="eastAsia" w:ascii="宋体" w:hAnsi="宋体"/>
          <w:color w:val="auto"/>
          <w:highlight w:val="none"/>
          <w:u w:val="single"/>
        </w:rPr>
        <w:t>（填写）(¥  )</w:t>
      </w:r>
      <w:r>
        <w:rPr>
          <w:rFonts w:hint="eastAsia" w:ascii="宋体" w:hAnsi="宋体"/>
          <w:color w:val="auto"/>
          <w:highlight w:val="none"/>
        </w:rPr>
        <w:t>；税率</w:t>
      </w:r>
      <w:r>
        <w:rPr>
          <w:rFonts w:hint="eastAsia" w:ascii="宋体" w:hAnsi="宋体"/>
          <w:color w:val="auto"/>
          <w:highlight w:val="none"/>
          <w:u w:val="single"/>
        </w:rPr>
        <w:t>（填写）%</w:t>
      </w:r>
      <w:r>
        <w:rPr>
          <w:rFonts w:hint="eastAsia" w:ascii="宋体" w:hAnsi="宋体"/>
          <w:color w:val="auto"/>
          <w:highlight w:val="none"/>
        </w:rPr>
        <w:t>；含税总价：人民币</w:t>
      </w:r>
      <w:r>
        <w:rPr>
          <w:rFonts w:hint="eastAsia" w:ascii="宋体" w:hAnsi="宋体"/>
          <w:color w:val="auto"/>
          <w:highlight w:val="none"/>
          <w:u w:val="single"/>
        </w:rPr>
        <w:t xml:space="preserve"> （填写）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在合同履约过程中，本合同税率将遵照国家现行税法执行，最终税金在结算阶段，按实际产生的税金进行核算。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（2）合同价格形式：</w:t>
      </w:r>
      <w:r>
        <w:rPr>
          <w:rFonts w:hint="eastAsia" w:ascii="宋体" w:hAnsi="宋体"/>
          <w:color w:val="auto"/>
          <w:highlight w:val="none"/>
          <w:u w:val="single"/>
        </w:rPr>
        <w:t>合同不含税单价为固定价</w:t>
      </w:r>
      <w:r>
        <w:rPr>
          <w:rFonts w:hint="eastAsia" w:ascii="宋体" w:hAnsi="宋体"/>
          <w:color w:val="auto"/>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4</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color w:val="auto"/>
          <w:highlight w:val="none"/>
        </w:rPr>
      </w:pPr>
      <w:r>
        <w:rPr>
          <w:rFonts w:hint="eastAsia" w:ascii="宋体" w:hAnsi="宋体" w:cs="Arial"/>
          <w:color w:val="auto"/>
          <w:highlight w:val="none"/>
        </w:rPr>
        <w:t>5.</w:t>
      </w:r>
      <w:r>
        <w:rPr>
          <w:rFonts w:hint="eastAsia"/>
          <w:color w:val="auto"/>
          <w:highlight w:val="none"/>
        </w:rPr>
        <w:t xml:space="preserve"> 甲乙</w:t>
      </w:r>
      <w:r>
        <w:rPr>
          <w:color w:val="auto"/>
          <w:highlight w:val="none"/>
        </w:rPr>
        <w:t>双方依据本次招标文件中的用户需求书</w:t>
      </w:r>
      <w:r>
        <w:rPr>
          <w:rFonts w:hint="eastAsia"/>
          <w:color w:val="auto"/>
          <w:highlight w:val="none"/>
        </w:rPr>
        <w:t>、乙方投标文件（如技术响应表、技术文件等）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rPr>
        <w:t>。</w:t>
      </w:r>
      <w:r>
        <w:rPr>
          <w:color w:val="auto"/>
          <w:highlight w:val="none"/>
        </w:rPr>
        <w:t>并经双方</w:t>
      </w:r>
      <w:r>
        <w:rPr>
          <w:rFonts w:hint="eastAsia"/>
          <w:color w:val="auto"/>
          <w:highlight w:val="none"/>
        </w:rPr>
        <w:t>确认</w:t>
      </w:r>
      <w:r>
        <w:rPr>
          <w:color w:val="auto"/>
          <w:highlight w:val="none"/>
        </w:rPr>
        <w:t>后构成本合同的有效组成部分。在本合同执行中的</w:t>
      </w:r>
      <w:r>
        <w:rPr>
          <w:rFonts w:hint="eastAsia"/>
          <w:color w:val="auto"/>
          <w:highlight w:val="none"/>
        </w:rPr>
        <w:t>物资</w:t>
      </w:r>
      <w:r>
        <w:rPr>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7.</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ascii="宋体" w:hAnsi="宋体" w:cs="宋体"/>
          <w:color w:val="auto"/>
          <w:highlight w:val="none"/>
        </w:rPr>
        <w:t xml:space="preserve">8. </w:t>
      </w:r>
      <w:r>
        <w:rPr>
          <w:rFonts w:hint="eastAsia"/>
          <w:color w:val="auto"/>
          <w:highlight w:val="none"/>
        </w:rPr>
        <w:t>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8</w:t>
      </w:r>
      <w:r>
        <w:rPr>
          <w:rFonts w:hint="eastAsia" w:ascii="宋体" w:hAnsi="宋体" w:cs="Arial"/>
          <w:color w:val="auto"/>
          <w:highlight w:val="none"/>
        </w:rPr>
        <w:t xml:space="preserve">份，甲方持 </w:t>
      </w:r>
      <w:r>
        <w:rPr>
          <w:rFonts w:hint="eastAsia" w:ascii="宋体" w:hAnsi="宋体"/>
          <w:color w:val="auto"/>
          <w:highlight w:val="none"/>
          <w:u w:val="single"/>
        </w:rPr>
        <w:t>7</w:t>
      </w:r>
      <w:r>
        <w:rPr>
          <w:rFonts w:hint="eastAsia" w:ascii="宋体" w:hAnsi="宋体" w:cs="Arial"/>
          <w:color w:val="auto"/>
          <w:highlight w:val="none"/>
        </w:rPr>
        <w:t>份，乙方持</w:t>
      </w:r>
      <w:r>
        <w:rPr>
          <w:rFonts w:hint="eastAsia" w:ascii="宋体" w:hAnsi="宋体"/>
          <w:color w:val="auto"/>
          <w:highlight w:val="none"/>
          <w:u w:val="single"/>
        </w:rPr>
        <w:t>1</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10.本合同协议书经双方法定代表人或授权代表签字并加盖单位公章后生效。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11.</w:t>
      </w:r>
      <w:r>
        <w:rPr>
          <w:rFonts w:hint="eastAsia"/>
          <w:color w:val="auto"/>
          <w:highlight w:val="none"/>
        </w:rPr>
        <w:t xml:space="preserve"> 合同未尽事宜，双方另行签订补充协议。</w:t>
      </w:r>
    </w:p>
    <w:tbl>
      <w:tblPr>
        <w:tblStyle w:val="26"/>
        <w:tblpPr w:leftFromText="180" w:rightFromText="180" w:vertAnchor="text" w:horzAnchor="page" w:tblpX="1419" w:tblpY="229"/>
        <w:tblOverlap w:val="never"/>
        <w:tblW w:w="9585" w:type="dxa"/>
        <w:tblInd w:w="0" w:type="dxa"/>
        <w:tblLayout w:type="autofit"/>
        <w:tblCellMar>
          <w:top w:w="0" w:type="dxa"/>
          <w:left w:w="108" w:type="dxa"/>
          <w:bottom w:w="0" w:type="dxa"/>
          <w:right w:w="108" w:type="dxa"/>
        </w:tblCellMar>
      </w:tblPr>
      <w:tblGrid>
        <w:gridCol w:w="4140"/>
        <w:gridCol w:w="5445"/>
      </w:tblGrid>
      <w:tr>
        <w:tblPrEx>
          <w:tblCellMar>
            <w:top w:w="0" w:type="dxa"/>
            <w:left w:w="108" w:type="dxa"/>
            <w:bottom w:w="0" w:type="dxa"/>
            <w:right w:w="108" w:type="dxa"/>
          </w:tblCellMar>
        </w:tblPrEx>
        <w:trPr>
          <w:trHeight w:val="340" w:hRule="atLeast"/>
        </w:trPr>
        <w:tc>
          <w:tcPr>
            <w:tcW w:w="4140" w:type="dxa"/>
          </w:tcPr>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 xml:space="preserve">甲方：南宁轨道交通运营有限公司   </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地址： 南宁市青秀区云景路83号</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联系电话：0771-2778167</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开户银行：建行南宁市朝阳支行</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纳税人识别号：91450100MAA7LA2147</w:t>
            </w:r>
          </w:p>
        </w:tc>
        <w:tc>
          <w:tcPr>
            <w:tcW w:w="5445" w:type="dxa"/>
          </w:tcPr>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line="240" w:lineRule="auto"/>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240" w:beforeLines="100" w:after="0" w:afterAutospacing="0"/>
        <w:ind w:left="0" w:right="0" w:firstLine="2530" w:firstLineChars="1200"/>
        <w:rPr>
          <w:rFonts w:ascii="宋体" w:hAnsi="宋体"/>
          <w:color w:val="auto"/>
          <w:highlight w:val="none"/>
        </w:rPr>
      </w:pPr>
      <w:r>
        <w:rPr>
          <w:rFonts w:hint="eastAsia" w:ascii="宋体" w:hAnsi="宋体"/>
          <w:b/>
          <w:color w:val="auto"/>
          <w:highlight w:val="none"/>
        </w:rPr>
        <w:t>签订时间：      年     月    日</w:t>
      </w: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33" w:name="_Toc101965690"/>
      <w:bookmarkStart w:id="134" w:name="_Toc92268619"/>
      <w:bookmarkStart w:id="135" w:name="_Toc4837"/>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33"/>
      <w:bookmarkEnd w:id="134"/>
      <w:bookmarkEnd w:id="135"/>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pageBreakBefore/>
        <w:spacing w:before="40" w:after="40" w:line="240" w:lineRule="auto"/>
        <w:jc w:val="center"/>
        <w:rPr>
          <w:rFonts w:ascii="Times New Roman" w:hAnsi="Times New Roman" w:eastAsia="宋体"/>
          <w:color w:val="auto"/>
          <w:highlight w:val="none"/>
        </w:rPr>
      </w:pPr>
      <w:bookmarkStart w:id="136" w:name="_Toc12606"/>
      <w:bookmarkStart w:id="137" w:name="_Toc92268620"/>
      <w:bookmarkStart w:id="138" w:name="_Toc101965691"/>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36"/>
      <w:bookmarkEnd w:id="137"/>
      <w:bookmarkEnd w:id="138"/>
    </w:p>
    <w:p>
      <w:pPr>
        <w:pStyle w:val="52"/>
        <w:adjustRightInd/>
        <w:spacing w:before="0" w:after="0" w:line="360" w:lineRule="auto"/>
        <w:ind w:left="0" w:right="0"/>
        <w:rPr>
          <w:rFonts w:ascii="宋体" w:hAnsi="宋体"/>
          <w:color w:val="auto"/>
          <w:sz w:val="21"/>
          <w:szCs w:val="21"/>
          <w:highlight w:val="none"/>
        </w:rPr>
      </w:pPr>
    </w:p>
    <w:p>
      <w:pPr>
        <w:pStyle w:val="5"/>
        <w:rPr>
          <w:rFonts w:ascii="宋体" w:hAnsi="宋体"/>
          <w:b w:val="0"/>
          <w:color w:val="auto"/>
          <w:sz w:val="21"/>
          <w:szCs w:val="21"/>
          <w:highlight w:val="none"/>
        </w:rPr>
      </w:pPr>
      <w:bookmarkStart w:id="139" w:name="_Toc92268621"/>
      <w:r>
        <w:rPr>
          <w:rFonts w:ascii="宋体" w:hAnsi="宋体"/>
          <w:b w:val="0"/>
          <w:color w:val="auto"/>
          <w:highlight w:val="none"/>
        </w:rPr>
        <w:t>1</w:t>
      </w:r>
      <w:r>
        <w:rPr>
          <w:rFonts w:hint="eastAsia" w:ascii="宋体" w:hAnsi="宋体"/>
          <w:b w:val="0"/>
          <w:color w:val="auto"/>
          <w:highlight w:val="none"/>
        </w:rPr>
        <w:t>.税率确认函</w:t>
      </w:r>
      <w:bookmarkEnd w:id="139"/>
    </w:p>
    <w:p>
      <w:pPr>
        <w:pStyle w:val="5"/>
        <w:rPr>
          <w:rFonts w:ascii="宋体" w:hAnsi="宋体"/>
          <w:b w:val="0"/>
          <w:color w:val="auto"/>
          <w:highlight w:val="none"/>
        </w:rPr>
      </w:pPr>
      <w:bookmarkStart w:id="140" w:name="_Toc92268622"/>
      <w:r>
        <w:rPr>
          <w:rFonts w:hint="eastAsia" w:ascii="宋体" w:hAnsi="宋体"/>
          <w:b w:val="0"/>
          <w:color w:val="auto"/>
          <w:highlight w:val="none"/>
        </w:rPr>
        <w:t>2.中选文件分项报价表</w:t>
      </w:r>
      <w:bookmarkEnd w:id="140"/>
    </w:p>
    <w:p>
      <w:pPr>
        <w:pStyle w:val="5"/>
        <w:rPr>
          <w:rFonts w:ascii="宋体" w:hAnsi="宋体"/>
          <w:b w:val="0"/>
          <w:color w:val="auto"/>
          <w:highlight w:val="none"/>
        </w:rPr>
      </w:pPr>
      <w:bookmarkStart w:id="141" w:name="_Toc92268623"/>
      <w:r>
        <w:rPr>
          <w:rFonts w:hint="eastAsia" w:ascii="宋体" w:hAnsi="宋体"/>
          <w:b w:val="0"/>
          <w:color w:val="auto"/>
          <w:highlight w:val="none"/>
        </w:rPr>
        <w:t>3.含税分项报价汇总表</w:t>
      </w:r>
      <w:bookmarkEnd w:id="141"/>
    </w:p>
    <w:p>
      <w:pPr>
        <w:pStyle w:val="5"/>
        <w:rPr>
          <w:color w:val="auto"/>
          <w:highlight w:val="none"/>
        </w:rPr>
      </w:pPr>
      <w:r>
        <w:rPr>
          <w:rFonts w:hint="eastAsia" w:ascii="宋体" w:hAnsi="宋体"/>
          <w:b w:val="0"/>
          <w:color w:val="auto"/>
          <w:highlight w:val="none"/>
        </w:rPr>
        <w:t>4.含税分项分线报价表</w:t>
      </w:r>
    </w:p>
    <w:p>
      <w:pPr>
        <w:pStyle w:val="52"/>
        <w:adjustRightInd/>
        <w:spacing w:before="0" w:after="0" w:line="360" w:lineRule="auto"/>
        <w:ind w:left="0" w:right="0"/>
        <w:rPr>
          <w:rFonts w:ascii="宋体" w:hAnsi="宋体"/>
          <w:color w:val="auto"/>
          <w:sz w:val="21"/>
          <w:szCs w:val="21"/>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附件3.1 含税分项报价汇总表</w:t>
      </w: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含税分项报价汇总表</w:t>
      </w:r>
    </w:p>
    <w:p>
      <w:pPr>
        <w:spacing w:before="0" w:after="0" w:afterAutospacing="0"/>
        <w:ind w:left="0" w:right="0" w:firstLine="0"/>
        <w:rPr>
          <w:rFonts w:ascii="宋体" w:hAnsi="宋体"/>
          <w:color w:val="auto"/>
          <w:highlight w:val="none"/>
        </w:rPr>
      </w:pPr>
    </w:p>
    <w:tbl>
      <w:tblPr>
        <w:tblStyle w:val="26"/>
        <w:tblW w:w="7780" w:type="dxa"/>
        <w:jc w:val="center"/>
        <w:tblLayout w:type="fixed"/>
        <w:tblCellMar>
          <w:top w:w="0" w:type="dxa"/>
          <w:left w:w="108" w:type="dxa"/>
          <w:bottom w:w="0" w:type="dxa"/>
          <w:right w:w="108" w:type="dxa"/>
        </w:tblCellMar>
      </w:tblPr>
      <w:tblGrid>
        <w:gridCol w:w="594"/>
        <w:gridCol w:w="639"/>
        <w:gridCol w:w="639"/>
        <w:gridCol w:w="639"/>
        <w:gridCol w:w="639"/>
        <w:gridCol w:w="538"/>
        <w:gridCol w:w="525"/>
        <w:gridCol w:w="851"/>
        <w:gridCol w:w="694"/>
        <w:gridCol w:w="582"/>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性能参数</w:t>
            </w:r>
          </w:p>
        </w:tc>
        <w:tc>
          <w:tcPr>
            <w:tcW w:w="5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525"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总数量①</w:t>
            </w:r>
          </w:p>
        </w:tc>
        <w:tc>
          <w:tcPr>
            <w:tcW w:w="851"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不含税单价(元)②</w:t>
            </w:r>
          </w:p>
        </w:tc>
        <w:tc>
          <w:tcPr>
            <w:tcW w:w="694"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不含税合价(元)③</w:t>
            </w:r>
          </w:p>
        </w:tc>
        <w:tc>
          <w:tcPr>
            <w:tcW w:w="582"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color w:val="auto"/>
                <w:sz w:val="15"/>
                <w:szCs w:val="15"/>
                <w:highlight w:val="none"/>
              </w:rPr>
            </w:pPr>
            <w:r>
              <w:rPr>
                <w:rFonts w:hint="eastAsia" w:ascii="宋体" w:hAnsi="宋体"/>
                <w:color w:val="auto"/>
                <w:sz w:val="15"/>
                <w:szCs w:val="15"/>
                <w:highlight w:val="none"/>
              </w:rPr>
              <w:t>税率④</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含税单价(元) ⑤=②×④</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含税合价(元)⑥=⑤×①</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25"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51"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94"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82"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5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w:t>
            </w: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同一规格、型号的货物、材料在各分项报价中应为同一单价。投标人对每种货物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color w:val="auto"/>
          <w:sz w:val="24"/>
          <w:szCs w:val="24"/>
          <w:highlight w:val="none"/>
        </w:rPr>
      </w:pPr>
    </w:p>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p>
    <w:p>
      <w:pPr>
        <w:spacing w:before="0" w:after="0" w:afterAutospacing="0"/>
        <w:ind w:right="0"/>
        <w:rPr>
          <w:rFonts w:ascii="宋体" w:hAnsi="宋体"/>
          <w:color w:val="auto"/>
          <w:highlight w:val="none"/>
        </w:rPr>
      </w:pPr>
    </w:p>
    <w:p>
      <w:pPr>
        <w:spacing w:before="0" w:after="0"/>
        <w:ind w:left="699" w:leftChars="333" w:right="0" w:firstLine="930" w:firstLineChars="441"/>
        <w:rPr>
          <w:rFonts w:ascii="宋体" w:hAnsi="宋体"/>
          <w:b/>
          <w:color w:val="auto"/>
          <w:highlight w:val="none"/>
        </w:rPr>
      </w:pPr>
    </w:p>
    <w:p>
      <w:pPr>
        <w:spacing w:before="0" w:after="0"/>
        <w:ind w:left="699" w:leftChars="333" w:right="0" w:firstLine="930" w:firstLineChars="441"/>
        <w:rPr>
          <w:rFonts w:ascii="宋体" w:hAnsi="宋体"/>
          <w:b/>
          <w:color w:val="auto"/>
          <w:highlight w:val="none"/>
          <w:u w:val="single"/>
        </w:rPr>
      </w:pPr>
    </w:p>
    <w:p>
      <w:pPr>
        <w:pageBreakBefore/>
        <w:spacing w:before="0"/>
        <w:ind w:left="811" w:right="0" w:hanging="811" w:hangingChars="338"/>
        <w:jc w:val="center"/>
        <w:outlineLvl w:val="1"/>
        <w:rPr>
          <w:rFonts w:ascii="宋体" w:hAnsi="宋体"/>
          <w:color w:val="auto"/>
          <w:sz w:val="24"/>
          <w:szCs w:val="24"/>
          <w:highlight w:val="none"/>
        </w:rPr>
      </w:pPr>
      <w:bookmarkStart w:id="142" w:name="_Toc101965692"/>
      <w:bookmarkStart w:id="143" w:name="_Toc16006"/>
      <w:bookmarkStart w:id="144" w:name="_Toc378514952"/>
      <w:bookmarkStart w:id="145" w:name="_Toc43"/>
      <w:bookmarkStart w:id="146" w:name="_Toc4032"/>
      <w:bookmarkStart w:id="147" w:name="_Toc18727"/>
      <w:bookmarkStart w:id="148" w:name="_Toc385427838"/>
      <w:bookmarkStart w:id="149" w:name="_Toc22880"/>
      <w:bookmarkStart w:id="150" w:name="_Toc28024"/>
      <w:bookmarkStart w:id="151" w:name="_Toc29932"/>
      <w:bookmarkStart w:id="152" w:name="_Toc6054"/>
      <w:bookmarkStart w:id="153" w:name="_Toc492478763"/>
      <w:bookmarkStart w:id="154" w:name="_Toc25643"/>
      <w:bookmarkStart w:id="155" w:name="_Toc15707"/>
      <w:bookmarkStart w:id="156" w:name="_Toc19920"/>
      <w:bookmarkStart w:id="157" w:name="_Toc390098464"/>
      <w:bookmarkStart w:id="158" w:name="_Toc14287"/>
      <w:bookmarkStart w:id="159" w:name="_Toc7961"/>
      <w:bookmarkStart w:id="160" w:name="_Toc10730"/>
      <w:bookmarkStart w:id="161" w:name="_Toc2614"/>
      <w:bookmarkStart w:id="162" w:name="_Toc12256"/>
      <w:bookmarkStart w:id="163" w:name="_Toc20484"/>
      <w:bookmarkStart w:id="164" w:name="_Toc25750635"/>
      <w:bookmarkStart w:id="165" w:name="_Toc12080"/>
      <w:bookmarkStart w:id="166" w:name="_Toc31691"/>
      <w:bookmarkStart w:id="167" w:name="_Toc370933855"/>
      <w:r>
        <w:rPr>
          <w:rFonts w:hint="eastAsia" w:ascii="宋体" w:hAnsi="宋体"/>
          <w:color w:val="auto"/>
          <w:sz w:val="24"/>
          <w:szCs w:val="24"/>
          <w:highlight w:val="none"/>
        </w:rPr>
        <w:t>第四部分 合同条款</w:t>
      </w:r>
      <w:bookmarkEnd w:id="142"/>
      <w:bookmarkEnd w:id="143"/>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系指南宁轨道交通运营有限公司。</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“货物”系指乙方按招合同规定向甲方提供的货物、材料、机械、仪器仪表、工具、软件、手册及其它有关资料等。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“备品备件”系指投标人须向招标人提供的用于系统维护、更换、修复的零部件、材料。</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“专用工具及仪器仪表”系指乙方人须向甲方提供的用于系统维护、更换、修复的专用工具及仪器仪表。</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系指招标文件规定乙方须承担的与供货有关的辅助服务，包括但不限于详细设计、设计联络、设备及材料的软硬件开发与制造、深化设计、</w:t>
      </w:r>
      <w:r>
        <w:rPr>
          <w:rFonts w:hint="eastAsia" w:ascii="宋体" w:hAnsi="宋体" w:cs="Arial"/>
          <w:color w:val="auto"/>
          <w:highlight w:val="none"/>
        </w:rPr>
        <w:t>系统集成、生产监造、</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工厂测试、出厂检验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消防验收、</w:t>
      </w:r>
      <w:r>
        <w:rPr>
          <w:rFonts w:hint="eastAsia" w:ascii="宋体" w:hAnsi="宋体"/>
          <w:color w:val="auto"/>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并确保系统通过验收及按要求时间节点开通、</w:t>
      </w:r>
      <w:r>
        <w:rPr>
          <w:rFonts w:hint="eastAsia" w:ascii="宋体" w:hAnsi="宋体"/>
          <w:color w:val="auto"/>
          <w:highlight w:val="none"/>
        </w:rPr>
        <w:t>其他伴随服务和投标人应承担的其它义务。</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“质量保证期”指合同货物验收合格后，乙方按合同约定保证合同货物正常使用，并负责解决合同货物存在的任何质量问题的期限。</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2"/>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“质保期”系指质量三包的期限。</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“保质期”系指在特定的的贮存条件下，保持品质的期限。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2.适用性</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3.来源地</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4.标准</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5.合同文件、资料及使用</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6.知识产权</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7.价格</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7.1综合单价（不含增值税）固定不变，乙方根据甲方每批次交货通知中要求的货物种类、数量按时供货据实结算。乙方不得以任何理由予以合同价格上浮、上调、上涨，但如属经双方协商同意变更的情况除外，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xml:space="preserve">  </w:t>
      </w:r>
      <w:r>
        <w:rPr>
          <w:rFonts w:hint="eastAsia" w:ascii="宋体" w:hAnsi="宋体"/>
          <w:color w:val="auto"/>
          <w:highlight w:val="none"/>
        </w:rPr>
        <w:t>%；不含税总金额：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8.合同有效期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无。</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9.付款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9.1甲方在收到由乙方提供的以下合格材料后60个工作日内按该批次验收合格货物金额的90%支付。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③该批次货物供货通知。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4 \* GB3 \* MERGEFORMAT </w:instrText>
      </w:r>
      <w:r>
        <w:rPr>
          <w:rFonts w:hint="eastAsia" w:ascii="宋体" w:hAnsi="宋体" w:cs="Arial"/>
          <w:color w:val="auto"/>
          <w:highlight w:val="none"/>
        </w:rPr>
        <w:fldChar w:fldCharType="separate"/>
      </w:r>
      <w:r>
        <w:rPr>
          <w:color w:val="auto"/>
          <w:highlight w:val="none"/>
        </w:rPr>
        <w:t>④</w:t>
      </w:r>
      <w:r>
        <w:rPr>
          <w:rFonts w:hint="eastAsia" w:ascii="宋体" w:hAnsi="宋体" w:cs="Arial"/>
          <w:color w:val="auto"/>
          <w:highlight w:val="none"/>
        </w:rPr>
        <w:fldChar w:fldCharType="end"/>
      </w:r>
      <w:r>
        <w:rPr>
          <w:rFonts w:hint="eastAsia" w:ascii="宋体" w:hAnsi="宋体" w:cs="Arial"/>
          <w:color w:val="auto"/>
          <w:highlight w:val="none"/>
        </w:rPr>
        <w:t>该批次货物到货验收合格证明材料。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5 \* GB3 \* MERGEFORMAT </w:instrText>
      </w:r>
      <w:r>
        <w:rPr>
          <w:rFonts w:hint="eastAsia" w:ascii="宋体" w:hAnsi="宋体" w:cs="Arial"/>
          <w:color w:val="auto"/>
          <w:highlight w:val="none"/>
        </w:rPr>
        <w:fldChar w:fldCharType="separate"/>
      </w:r>
      <w:r>
        <w:rPr>
          <w:rFonts w:hint="eastAsia" w:ascii="宋体" w:hAnsi="宋体" w:cs="Arial"/>
          <w:color w:val="auto"/>
          <w:highlight w:val="none"/>
        </w:rPr>
        <w:t>⑤</w:t>
      </w:r>
      <w:r>
        <w:rPr>
          <w:rFonts w:hint="eastAsia" w:ascii="宋体" w:hAnsi="宋体" w:cs="Arial"/>
          <w:color w:val="auto"/>
          <w:highlight w:val="none"/>
        </w:rPr>
        <w:fldChar w:fldCharType="end"/>
      </w:r>
      <w:r>
        <w:rPr>
          <w:rFonts w:hint="eastAsia" w:ascii="宋体" w:hAnsi="宋体" w:cs="Arial"/>
          <w:color w:val="auto"/>
          <w:highlight w:val="none"/>
        </w:rPr>
        <w:t>违约情况及处理证明材料（如有）。</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9.2全部货物到货并验收合格后，乙方根据甲方要求完成档案归档及合同结算经甲方审定后，甲方在收到乙方提供的以下材料后60个工作日内支付至合同最终结算审定金额的95%。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③结算审定资料。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④全部货物供货通知。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⑤全部货物到货验收合格证明。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9.3全部货物质保期满，经甲方确认所有批次产品均无质量问题或乙方已更换有质量问题产品经甲方确认合格后，甲方在收到由乙方提供的以下材料后60个工作日内支付结算审定金额的剩余价款。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②双方确认的质保服务合格证明材料。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w:t>
      </w:r>
      <w:r>
        <w:rPr>
          <w:rFonts w:ascii="宋体" w:hAnsi="宋体" w:cs="Arial"/>
          <w:color w:val="auto"/>
          <w:highlight w:val="none"/>
        </w:rPr>
        <w:t>6</w:t>
      </w:r>
      <w:r>
        <w:rPr>
          <w:rFonts w:hint="eastAsia" w:ascii="宋体" w:hAnsi="宋体" w:cs="Arial"/>
          <w:color w:val="auto"/>
          <w:highlight w:val="none"/>
        </w:rPr>
        <w:t>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（3）供货金额累计达到合同金额的100%（含）。</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color w:val="auto"/>
          <w:highlight w:val="none"/>
        </w:rPr>
      </w:pPr>
      <w:r>
        <w:rPr>
          <w:rFonts w:hint="eastAsia" w:ascii="宋体" w:hAnsi="宋体"/>
          <w:b/>
          <w:color w:val="auto"/>
          <w:highlight w:val="none"/>
        </w:rPr>
        <w:t>10.履约担保</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10.1在合同签订前，乙方应向甲方提供履约保证金，履约保证金的金额为中标价格的5%，币种应为人民币。</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10.2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10.3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10.4乙方提交履约保证金所产生的费用由乙方承担。</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10.6履约保证金在本合同全部货物验收合格之日起四十五（45）天后，根据履约期间甲方的索赔情况，将剩余履约保证金款项无息退还乙方。</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10.7若发生以下行为，甲方将不退还履约保证金：</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10.7.1在合同履行期间，乙方明确表示或者以自己的行为表明不履行主要义务的；</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10.7.2乙方迟延履行主要义务，经催告后在合理期限内仍未履行的；</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10.7.3乙方履行的义务不符合合同约定，经甲方催告后未在合理期限内整改完毕的；</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10.7.4乙方其他违约行为导致合同解除或终止的。</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11.检验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11.10甲方负责的部分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13.交货和单据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13.1交货期：</w:t>
      </w:r>
      <w:r>
        <w:rPr>
          <w:rFonts w:hint="eastAsia" w:ascii="宋体" w:hAnsi="宋体"/>
          <w:color w:val="auto"/>
          <w:highlight w:val="none"/>
          <w:u w:val="single"/>
        </w:rPr>
        <w:t xml:space="preserve"> 90天 </w:t>
      </w:r>
      <w:r>
        <w:rPr>
          <w:rFonts w:hint="eastAsia" w:ascii="宋体" w:hAnsi="宋体" w:cs="Arial"/>
          <w:color w:val="auto"/>
          <w:highlight w:val="none"/>
        </w:rPr>
        <w:t>,以交货通知发出起算。如遇春节期间，交货期可适当延长，但不得超过4个月，具体按交货通知为准。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13.2甲方在合同签订后</w:t>
      </w:r>
      <w:r>
        <w:rPr>
          <w:rFonts w:hint="eastAsia" w:ascii="宋体" w:hAnsi="宋体"/>
          <w:color w:val="auto"/>
          <w:highlight w:val="none"/>
          <w:u w:val="single"/>
        </w:rPr>
        <w:t xml:space="preserve"> （填写） </w:t>
      </w:r>
      <w:r>
        <w:rPr>
          <w:rFonts w:hint="eastAsia" w:ascii="宋体" w:hAnsi="宋体" w:cs="Arial"/>
          <w:color w:val="auto"/>
          <w:highlight w:val="none"/>
        </w:rPr>
        <w:t>天内或交货前</w:t>
      </w:r>
      <w:r>
        <w:rPr>
          <w:rFonts w:hint="eastAsia" w:ascii="宋体" w:hAnsi="宋体"/>
          <w:color w:val="auto"/>
          <w:highlight w:val="none"/>
          <w:u w:val="single"/>
        </w:rPr>
        <w:t xml:space="preserve"> （填写） </w:t>
      </w:r>
      <w:r>
        <w:rPr>
          <w:rFonts w:hint="eastAsia" w:ascii="宋体" w:hAnsi="宋体" w:cs="Arial"/>
          <w:color w:val="auto"/>
          <w:highlight w:val="none"/>
        </w:rPr>
        <w:t>天，甲方向乙方发出交货通知。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（3）合同条款第二部分1.1.10所提及的所有服务内容，但前提条件是该服务并不能免除乙方所承担的义务。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 xml:space="preserve">.5.1.1 </w:t>
      </w:r>
      <w:r>
        <w:rPr>
          <w:rFonts w:hint="eastAsia" w:ascii="宋体" w:hAnsi="宋体"/>
          <w:b/>
          <w:color w:val="auto"/>
          <w:highlight w:val="none"/>
        </w:rPr>
        <w:t>正常质量保证期为：自验收合格之日起</w:t>
      </w:r>
      <w:r>
        <w:rPr>
          <w:rFonts w:hint="eastAsia" w:ascii="宋体" w:hAnsi="宋体"/>
          <w:color w:val="auto"/>
          <w:highlight w:val="none"/>
          <w:u w:val="single"/>
        </w:rPr>
        <w:t xml:space="preserve"> 24 </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rPr>
        <w:t xml:space="preserve"> （填写） </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rPr>
        <w:t xml:space="preserve"> 24 </w:t>
      </w:r>
      <w:r>
        <w:rPr>
          <w:rFonts w:hint="eastAsia" w:ascii="宋体" w:hAnsi="宋体"/>
          <w:color w:val="auto"/>
          <w:highlight w:val="none"/>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 xml:space="preserve">.5.1.5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6质量保证期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18.4.2乙方提供的货物数量；</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18.6.3.5 根据当时的市场价格计算。</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19.3如乙方具有以下情形的，甲方可以中止合同履行:</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1"/>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1"/>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p>
    <w:p>
      <w:pPr>
        <w:tabs>
          <w:tab w:val="left" w:pos="960"/>
        </w:tabs>
        <w:spacing w:before="0" w:after="0" w:afterAutospacing="0"/>
        <w:ind w:left="420" w:right="0" w:firstLine="0"/>
        <w:rPr>
          <w:rFonts w:ascii="宋体" w:hAnsi="宋体"/>
          <w:color w:val="auto"/>
          <w:highlight w:val="none"/>
        </w:rPr>
      </w:pPr>
      <w:r>
        <w:rPr>
          <w:rFonts w:hint="eastAsia" w:ascii="宋体" w:hAnsi="宋体"/>
          <w:color w:val="auto"/>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24.开箱验收及现场保管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24.2甲方将在到货后10个工作日内组织验收。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24.4验收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25.2.3修理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25.2.4替换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25.2.5退货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25.4延迟违约金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5.4.1甲方不得无正当理由拒收货物、拒付货款，若未按合同规定的期限向乙方支付货款，每逾期</w:t>
      </w:r>
      <w:r>
        <w:rPr>
          <w:rFonts w:ascii="宋体" w:hAnsi="宋体"/>
          <w:color w:val="auto"/>
          <w:highlight w:val="none"/>
        </w:rPr>
        <w:t>1天甲方向乙方偿付逾期付款部分总额的</w:t>
      </w:r>
      <w:r>
        <w:rPr>
          <w:rFonts w:hint="eastAsia" w:ascii="宋体" w:hAnsi="宋体"/>
          <w:color w:val="auto"/>
          <w:highlight w:val="none"/>
        </w:rPr>
        <w:t>0.1%/天的违约金。但累计违约金总额不超过逾期付款部分总额的</w:t>
      </w:r>
      <w:r>
        <w:rPr>
          <w:rFonts w:ascii="宋体" w:hAnsi="宋体"/>
          <w:color w:val="auto"/>
          <w:highlight w:val="none"/>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25.4</w:t>
      </w:r>
      <w:r>
        <w:rPr>
          <w:rFonts w:ascii="宋体" w:hAnsi="宋体"/>
          <w:color w:val="auto"/>
          <w:highlight w:val="none"/>
        </w:rPr>
        <w:t>.2</w:t>
      </w:r>
      <w:r>
        <w:rPr>
          <w:rFonts w:hint="eastAsia" w:ascii="宋体" w:hAnsi="宋体"/>
          <w:color w:val="auto"/>
          <w:highlight w:val="none"/>
        </w:rPr>
        <w:t>鉴于甲方属地铁运营单位，对货物的使用时间及效能均有特殊要求，乙方逾期交付货物</w:t>
      </w:r>
      <w:r>
        <w:rPr>
          <w:rFonts w:ascii="宋体" w:hAnsi="宋体"/>
          <w:color w:val="auto"/>
          <w:highlight w:val="none"/>
        </w:rPr>
        <w:t>15天内（含15天），每逾期1天乙方向甲方偿付逾期交货部分总额的</w:t>
      </w:r>
      <w:r>
        <w:rPr>
          <w:rFonts w:hint="eastAsia" w:ascii="宋体" w:hAnsi="宋体"/>
          <w:color w:val="auto"/>
          <w:highlight w:val="none"/>
        </w:rPr>
        <w:t>0.1%/天违约金。逾期交货超过</w:t>
      </w:r>
      <w:r>
        <w:rPr>
          <w:rFonts w:ascii="宋体" w:hAnsi="宋体"/>
          <w:color w:val="auto"/>
          <w:highlight w:val="none"/>
        </w:rPr>
        <w:t>15天，乙方给予甲方逾期货物总价10%的赔偿，同时甲方有权选择解除合同</w:t>
      </w:r>
      <w:r>
        <w:rPr>
          <w:rFonts w:hint="eastAsia" w:ascii="宋体" w:hAnsi="宋体"/>
          <w:color w:val="auto"/>
          <w:highlight w:val="none"/>
        </w:rPr>
        <w:t>，履约保证金不予退还；甲方也有权选择合同继续履行，乙方给予甲方逾期货物总价</w:t>
      </w:r>
      <w:r>
        <w:rPr>
          <w:rFonts w:ascii="宋体" w:hAnsi="宋体"/>
          <w:color w:val="auto"/>
          <w:highlight w:val="none"/>
        </w:rPr>
        <w:t>10%的赔偿金，并且按</w:t>
      </w:r>
      <w:r>
        <w:rPr>
          <w:rFonts w:hint="eastAsia" w:ascii="宋体" w:hAnsi="宋体"/>
          <w:color w:val="auto"/>
          <w:highlight w:val="none"/>
        </w:rPr>
        <w:t>10</w:t>
      </w:r>
      <w:r>
        <w:rPr>
          <w:rFonts w:ascii="宋体" w:hAnsi="宋体"/>
          <w:color w:val="auto"/>
          <w:highlight w:val="none"/>
        </w:rPr>
        <w:t>条</w:t>
      </w:r>
      <w:r>
        <w:rPr>
          <w:rFonts w:hint="eastAsia" w:ascii="宋体" w:hAnsi="宋体"/>
          <w:color w:val="auto"/>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25.6验收时，乙方需保证交付货物满足技术需求和验收标准，否则甲方可以拒收，并要求乙方提供符合要求的货物。</w:t>
      </w:r>
    </w:p>
    <w:p>
      <w:pPr>
        <w:pStyle w:val="34"/>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25.8文件提交延误违约金</w:t>
      </w:r>
    </w:p>
    <w:p>
      <w:pPr>
        <w:pStyle w:val="34"/>
        <w:numPr>
          <w:ilvl w:val="255"/>
          <w:numId w:val="0"/>
        </w:numPr>
        <w:tabs>
          <w:tab w:val="left" w:pos="1134"/>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26.合同终止</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26.1对合同条件所做出的任何修改、补充，须经双方协商达成一致意见后，签订书面协议。</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2"/>
        <w:pageBreakBefore/>
        <w:adjustRightInd/>
        <w:spacing w:before="0" w:after="0" w:line="360" w:lineRule="auto"/>
        <w:ind w:left="0" w:right="0"/>
        <w:rPr>
          <w:rFonts w:ascii="宋体" w:hAnsi="宋体"/>
          <w:color w:val="auto"/>
          <w:sz w:val="21"/>
          <w:szCs w:val="21"/>
          <w:highlight w:val="none"/>
        </w:rPr>
      </w:pPr>
      <w:bookmarkStart w:id="168" w:name="_Toc12983548"/>
      <w:bookmarkStart w:id="169" w:name="_Toc14997"/>
      <w:bookmarkStart w:id="170" w:name="_Toc5186"/>
      <w:bookmarkStart w:id="171" w:name="_Toc29249"/>
      <w:bookmarkStart w:id="172" w:name="_Toc21659"/>
      <w:bookmarkStart w:id="173" w:name="_Toc2753"/>
      <w:bookmarkStart w:id="174" w:name="_Toc21033"/>
      <w:bookmarkStart w:id="175" w:name="_Toc6194"/>
      <w:bookmarkStart w:id="176" w:name="_Toc13288"/>
      <w:bookmarkStart w:id="177" w:name="_Toc5644"/>
      <w:bookmarkStart w:id="178" w:name="_Toc12470"/>
      <w:bookmarkStart w:id="179" w:name="_Toc27258"/>
      <w:bookmarkStart w:id="180" w:name="_Toc27316"/>
      <w:bookmarkStart w:id="181" w:name="_Toc16716"/>
      <w:bookmarkStart w:id="182" w:name="_Toc19448"/>
      <w:bookmarkStart w:id="183" w:name="_Toc21372"/>
      <w:bookmarkStart w:id="184" w:name="_Toc21635"/>
      <w:bookmarkStart w:id="185" w:name="_Toc16443"/>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86" w:name="_Toc101965693"/>
      <w:bookmarkStart w:id="187" w:name="_Toc997"/>
      <w:bookmarkStart w:id="188" w:name="_Toc92268646"/>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186"/>
      <w:bookmarkEnd w:id="187"/>
      <w:bookmarkEnd w:id="188"/>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pageBreakBefore/>
        <w:adjustRightInd/>
        <w:spacing w:before="0" w:after="0" w:line="360" w:lineRule="auto"/>
        <w:ind w:left="0" w:right="0"/>
        <w:rPr>
          <w:rFonts w:ascii="宋体" w:hAnsi="宋体"/>
          <w:color w:val="auto"/>
          <w:sz w:val="21"/>
          <w:szCs w:val="21"/>
          <w:highlight w:val="none"/>
        </w:rPr>
      </w:pPr>
      <w:bookmarkStart w:id="189" w:name="_Toc14746"/>
      <w:bookmarkStart w:id="190" w:name="_Toc29924"/>
      <w:bookmarkStart w:id="191" w:name="_Toc72769348"/>
      <w:bookmarkStart w:id="192" w:name="_Toc75963081"/>
      <w:bookmarkStart w:id="193" w:name="_Toc75264122"/>
      <w:bookmarkStart w:id="194" w:name="_Toc68674896"/>
      <w:bookmarkStart w:id="195" w:name="_Toc480908536"/>
      <w:bookmarkStart w:id="196" w:name="_Toc92268647"/>
      <w:bookmarkStart w:id="197" w:name="_Toc498882140"/>
      <w:bookmarkStart w:id="198" w:name="_Toc483608731"/>
    </w:p>
    <w:p>
      <w:pPr>
        <w:pStyle w:val="4"/>
        <w:spacing w:before="40" w:after="40" w:line="240" w:lineRule="auto"/>
        <w:jc w:val="center"/>
        <w:rPr>
          <w:rFonts w:ascii="宋体" w:hAnsi="宋体" w:eastAsia="宋体"/>
          <w:iCs/>
          <w:color w:val="auto"/>
          <w:highlight w:val="none"/>
        </w:rPr>
      </w:pPr>
      <w:bookmarkStart w:id="199" w:name="_Toc101965694"/>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189"/>
      <w:bookmarkEnd w:id="190"/>
      <w:bookmarkEnd w:id="191"/>
      <w:bookmarkEnd w:id="192"/>
      <w:bookmarkEnd w:id="193"/>
      <w:bookmarkEnd w:id="194"/>
      <w:bookmarkEnd w:id="195"/>
      <w:bookmarkEnd w:id="196"/>
      <w:bookmarkEnd w:id="197"/>
      <w:bookmarkEnd w:id="198"/>
      <w:bookmarkEnd w:id="199"/>
    </w:p>
    <w:p>
      <w:pPr>
        <w:ind w:firstLine="420" w:firstLineChars="200"/>
        <w:textAlignment w:val="bottom"/>
        <w:rPr>
          <w:rFonts w:ascii="宋体" w:hAnsi="宋体"/>
          <w:color w:val="auto"/>
          <w:highlight w:val="none"/>
        </w:rPr>
      </w:pPr>
    </w:p>
    <w:p>
      <w:pPr>
        <w:pStyle w:val="5"/>
        <w:rPr>
          <w:rFonts w:ascii="宋体" w:hAnsi="宋体"/>
          <w:b w:val="0"/>
          <w:color w:val="auto"/>
          <w:highlight w:val="none"/>
        </w:rPr>
      </w:pPr>
      <w:bookmarkStart w:id="200" w:name="_Toc92268648"/>
      <w:r>
        <w:rPr>
          <w:rFonts w:hint="eastAsia" w:ascii="宋体" w:hAnsi="宋体"/>
          <w:b w:val="0"/>
          <w:color w:val="auto"/>
          <w:highlight w:val="none"/>
        </w:rPr>
        <w:t>1.履约保证金缴纳凭证（履约保函格式附后）</w:t>
      </w:r>
      <w:bookmarkEnd w:id="200"/>
    </w:p>
    <w:p>
      <w:pPr>
        <w:pStyle w:val="5"/>
        <w:rPr>
          <w:rFonts w:ascii="宋体" w:hAnsi="宋体"/>
          <w:b w:val="0"/>
          <w:color w:val="auto"/>
          <w:highlight w:val="none"/>
        </w:rPr>
      </w:pPr>
      <w:bookmarkStart w:id="201" w:name="_Toc92268649"/>
      <w:r>
        <w:rPr>
          <w:rFonts w:hint="eastAsia" w:ascii="宋体" w:hAnsi="宋体"/>
          <w:b w:val="0"/>
          <w:color w:val="auto"/>
          <w:highlight w:val="none"/>
        </w:rPr>
        <w:t>2.</w:t>
      </w:r>
      <w:bookmarkEnd w:id="201"/>
      <w:r>
        <w:rPr>
          <w:rFonts w:hint="eastAsia" w:ascii="宋体" w:hAnsi="宋体"/>
          <w:b w:val="0"/>
          <w:color w:val="auto"/>
          <w:highlight w:val="none"/>
        </w:rPr>
        <w:t>乙方营业执照或资质证书等（如有）</w:t>
      </w:r>
    </w:p>
    <w:p>
      <w:pPr>
        <w:pStyle w:val="5"/>
        <w:rPr>
          <w:rFonts w:ascii="宋体" w:hAnsi="宋体"/>
          <w:b w:val="0"/>
          <w:color w:val="auto"/>
          <w:highlight w:val="none"/>
        </w:rPr>
      </w:pPr>
      <w:r>
        <w:rPr>
          <w:rFonts w:hint="eastAsia" w:ascii="宋体" w:hAnsi="宋体"/>
          <w:b w:val="0"/>
          <w:color w:val="auto"/>
          <w:highlight w:val="none"/>
        </w:rPr>
        <w:t>3.乙方法人授权委托书（如有）</w:t>
      </w:r>
    </w:p>
    <w:p>
      <w:pPr>
        <w:pStyle w:val="5"/>
        <w:rPr>
          <w:rFonts w:ascii="宋体" w:hAnsi="宋体"/>
          <w:b w:val="0"/>
          <w:color w:val="auto"/>
          <w:highlight w:val="none"/>
        </w:rPr>
      </w:pPr>
      <w:r>
        <w:rPr>
          <w:rFonts w:hint="eastAsia" w:ascii="宋体" w:hAnsi="宋体"/>
          <w:b w:val="0"/>
          <w:color w:val="auto"/>
          <w:highlight w:val="none"/>
        </w:rPr>
        <w:t>4.原厂授权证明（如有）</w:t>
      </w:r>
    </w:p>
    <w:p>
      <w:pPr>
        <w:pStyle w:val="5"/>
        <w:rPr>
          <w:rFonts w:ascii="宋体" w:hAnsi="宋体"/>
          <w:b w:val="0"/>
          <w:color w:val="auto"/>
          <w:highlight w:val="none"/>
        </w:rPr>
      </w:pPr>
      <w:bookmarkStart w:id="202" w:name="_Toc92268650"/>
      <w:r>
        <w:rPr>
          <w:rFonts w:hint="eastAsia" w:ascii="宋体" w:hAnsi="宋体"/>
          <w:b w:val="0"/>
          <w:color w:val="auto"/>
          <w:highlight w:val="none"/>
        </w:rPr>
        <w:t>5.</w:t>
      </w:r>
      <w:bookmarkEnd w:id="202"/>
      <w:r>
        <w:rPr>
          <w:rFonts w:hint="eastAsia" w:ascii="宋体" w:hAnsi="宋体"/>
          <w:b w:val="0"/>
          <w:color w:val="auto"/>
          <w:highlight w:val="none"/>
        </w:rPr>
        <w:t>供货证明格式（如有）</w:t>
      </w:r>
    </w:p>
    <w:p>
      <w:pPr>
        <w:pStyle w:val="5"/>
        <w:rPr>
          <w:rFonts w:ascii="宋体" w:hAnsi="宋体"/>
          <w:b w:val="0"/>
          <w:color w:val="auto"/>
          <w:highlight w:val="none"/>
        </w:rPr>
      </w:pPr>
      <w:bookmarkStart w:id="203" w:name="_Toc92268651"/>
      <w:r>
        <w:rPr>
          <w:rFonts w:hint="eastAsia" w:ascii="宋体" w:hAnsi="宋体"/>
          <w:b w:val="0"/>
          <w:color w:val="auto"/>
          <w:highlight w:val="none"/>
        </w:rPr>
        <w:t>6.</w:t>
      </w:r>
      <w:bookmarkEnd w:id="203"/>
      <w:r>
        <w:rPr>
          <w:rFonts w:hint="eastAsia" w:ascii="宋体" w:hAnsi="宋体"/>
          <w:b w:val="0"/>
          <w:color w:val="auto"/>
          <w:highlight w:val="none"/>
        </w:rPr>
        <w:t>交货通知格式（如有）</w:t>
      </w:r>
    </w:p>
    <w:p>
      <w:pPr>
        <w:pStyle w:val="5"/>
        <w:rPr>
          <w:rFonts w:ascii="宋体" w:hAnsi="宋体"/>
          <w:b w:val="0"/>
          <w:color w:val="auto"/>
          <w:highlight w:val="none"/>
        </w:rPr>
      </w:pPr>
      <w:r>
        <w:rPr>
          <w:rFonts w:hint="eastAsia" w:ascii="宋体" w:hAnsi="宋体"/>
          <w:b w:val="0"/>
          <w:color w:val="auto"/>
          <w:highlight w:val="none"/>
        </w:rPr>
        <w:t>7.送货单格式（如有）</w:t>
      </w:r>
    </w:p>
    <w:p>
      <w:pPr>
        <w:pStyle w:val="52"/>
        <w:adjustRightInd/>
        <w:spacing w:before="0" w:after="0" w:line="360" w:lineRule="auto"/>
        <w:ind w:left="0" w:right="0"/>
        <w:rPr>
          <w:rFonts w:ascii="宋体" w:hAnsi="宋体"/>
          <w:color w:val="auto"/>
          <w:sz w:val="21"/>
          <w:szCs w:val="21"/>
          <w:highlight w:val="none"/>
        </w:rPr>
      </w:pP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2"/>
        <w:rPr>
          <w:color w:val="auto"/>
          <w:highlight w:val="none"/>
        </w:rPr>
      </w:pPr>
    </w:p>
    <w:p>
      <w:pPr>
        <w:pStyle w:val="2"/>
        <w:rPr>
          <w:color w:val="auto"/>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承诺函（中标后提供）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（以下称“本公司”）现已中标贵司招标的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附件6.2 供货证明格式</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南宁轨道交通运营有限公司：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996" w:type="dxa"/>
            <w:vAlign w:val="center"/>
          </w:tcPr>
          <w:p>
            <w:pPr>
              <w:ind w:left="0" w:firstLine="0"/>
              <w:rPr>
                <w:rFonts w:ascii="宋体" w:hAnsi="宋体"/>
                <w:color w:val="auto"/>
                <w:highlight w:val="none"/>
              </w:rPr>
            </w:pPr>
            <w:r>
              <w:rPr>
                <w:rFonts w:hint="eastAsia" w:ascii="宋体" w:hAnsi="宋体"/>
                <w:color w:val="auto"/>
                <w:highlight w:val="none"/>
              </w:rPr>
              <w:t>计划</w:t>
            </w:r>
          </w:p>
        </w:tc>
        <w:tc>
          <w:tcPr>
            <w:tcW w:w="1284" w:type="dxa"/>
            <w:vAlign w:val="center"/>
          </w:tcPr>
          <w:p>
            <w:pPr>
              <w:ind w:left="0" w:firstLine="0"/>
              <w:rPr>
                <w:rFonts w:ascii="宋体" w:hAnsi="宋体"/>
                <w:color w:val="auto"/>
                <w:highlight w:val="none"/>
              </w:rPr>
            </w:pPr>
            <w:r>
              <w:rPr>
                <w:rFonts w:hint="eastAsia" w:ascii="宋体" w:hAnsi="宋体"/>
                <w:color w:val="auto"/>
                <w:highlight w:val="none"/>
              </w:rPr>
              <w:t>货物名称</w:t>
            </w:r>
          </w:p>
        </w:tc>
        <w:tc>
          <w:tcPr>
            <w:tcW w:w="1516" w:type="dxa"/>
            <w:vAlign w:val="center"/>
          </w:tcPr>
          <w:p>
            <w:pPr>
              <w:ind w:left="0" w:firstLine="0"/>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161" w:type="dxa"/>
            <w:vAlign w:val="center"/>
          </w:tcPr>
          <w:p>
            <w:pPr>
              <w:ind w:left="0" w:firstLine="0"/>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9" w:type="dxa"/>
            <w:vAlign w:val="center"/>
          </w:tcPr>
          <w:p>
            <w:pPr>
              <w:ind w:left="0" w:firstLine="0"/>
              <w:rPr>
                <w:rFonts w:ascii="宋体" w:hAnsi="宋体"/>
                <w:color w:val="auto"/>
                <w:highlight w:val="none"/>
              </w:rPr>
            </w:pPr>
            <w:r>
              <w:rPr>
                <w:rFonts w:hint="eastAsia" w:ascii="宋体" w:hAnsi="宋体"/>
                <w:color w:val="auto"/>
                <w:highlight w:val="none"/>
              </w:rPr>
              <w:t>单位</w:t>
            </w:r>
          </w:p>
        </w:tc>
        <w:tc>
          <w:tcPr>
            <w:tcW w:w="912" w:type="dxa"/>
            <w:vAlign w:val="center"/>
          </w:tcPr>
          <w:p>
            <w:pPr>
              <w:ind w:left="0" w:firstLine="0"/>
              <w:rPr>
                <w:rFonts w:ascii="宋体" w:hAnsi="宋体"/>
                <w:color w:val="auto"/>
                <w:highlight w:val="none"/>
              </w:rPr>
            </w:pPr>
            <w:r>
              <w:rPr>
                <w:rFonts w:hint="eastAsia" w:ascii="宋体" w:hAnsi="宋体"/>
                <w:color w:val="auto"/>
                <w:highlight w:val="none"/>
              </w:rPr>
              <w:t>数量</w:t>
            </w:r>
          </w:p>
        </w:tc>
        <w:tc>
          <w:tcPr>
            <w:tcW w:w="732"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bl>
    <w:p>
      <w:pPr>
        <w:pStyle w:val="2"/>
        <w:spacing w:line="240" w:lineRule="auto"/>
        <w:ind w:left="708" w:leftChars="200" w:right="-28" w:hanging="288" w:hangingChars="144"/>
        <w:rPr>
          <w:rFonts w:hAnsi="宋体"/>
          <w:color w:val="auto"/>
          <w:highlight w:val="none"/>
        </w:rPr>
      </w:pP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 xml:space="preserve">单位：（公章）                       </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地址：</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联系人：                部门及职务：</w:t>
      </w:r>
    </w:p>
    <w:p>
      <w:pPr>
        <w:spacing w:line="240" w:lineRule="auto"/>
        <w:ind w:left="722" w:leftChars="200" w:right="-28" w:hanging="302" w:hangingChars="144"/>
        <w:rPr>
          <w:rFonts w:ascii="宋体" w:hAnsi="宋体"/>
          <w:color w:val="auto"/>
          <w:highlight w:val="none"/>
        </w:rPr>
      </w:pPr>
      <w:r>
        <w:rPr>
          <w:rFonts w:hint="eastAsia" w:ascii="宋体" w:hAnsi="宋体"/>
          <w:color w:val="auto"/>
          <w:highlight w:val="none"/>
        </w:rPr>
        <w:t>联系方式:              日期：</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附件6.3 交货通知格式</w:t>
      </w:r>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2"/>
        <w:spacing w:line="240" w:lineRule="auto"/>
        <w:ind w:leftChars="200" w:right="-28" w:hanging="289" w:hangingChars="144"/>
        <w:jc w:val="center"/>
        <w:rPr>
          <w:rFonts w:hAnsi="宋体"/>
          <w:color w:val="auto"/>
          <w:highlight w:val="none"/>
        </w:rPr>
      </w:pPr>
      <w:r>
        <w:rPr>
          <w:rFonts w:hAnsi="宋体"/>
          <w:b/>
          <w:color w:val="auto"/>
          <w:kern w:val="2"/>
          <w:highlight w:val="none"/>
        </w:rPr>
        <w:t xml:space="preserve">采购项目 </w:t>
      </w:r>
      <w:r>
        <w:rPr>
          <w:rFonts w:hint="eastAsia" w:hAnsi="宋体"/>
          <w:b/>
          <w:color w:val="auto"/>
          <w:kern w:val="2"/>
          <w:highlight w:val="none"/>
        </w:rPr>
        <w:t xml:space="preserve"> </w:t>
      </w:r>
      <w:r>
        <w:rPr>
          <w:rFonts w:hAnsi="宋体"/>
          <w:b/>
          <w:color w:val="auto"/>
          <w:kern w:val="2"/>
          <w:highlight w:val="none"/>
        </w:rPr>
        <w:t xml:space="preserve">号线 第 </w:t>
      </w:r>
      <w:r>
        <w:rPr>
          <w:rFonts w:hint="eastAsia" w:hAnsi="宋体"/>
          <w:b/>
          <w:color w:val="auto"/>
          <w:kern w:val="2"/>
          <w:highlight w:val="none"/>
        </w:rPr>
        <w:t xml:space="preserve"> </w:t>
      </w:r>
      <w:r>
        <w:rPr>
          <w:rFonts w:hAnsi="宋体"/>
          <w:b/>
          <w:color w:val="auto"/>
          <w:kern w:val="2"/>
          <w:highlight w:val="none"/>
        </w:rPr>
        <w:t>批 交货通知</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161" w:type="dxa"/>
            <w:vAlign w:val="center"/>
          </w:tcPr>
          <w:p>
            <w:pPr>
              <w:spacing w:before="0" w:after="0" w:afterAutospacing="0"/>
              <w:ind w:left="0" w:right="0" w:firstLine="0"/>
              <w:jc w:val="center"/>
              <w:textAlignment w:val="center"/>
              <w:rPr>
                <w:rFonts w:ascii="宋体" w:hAnsi="宋体" w:cs="Calibri"/>
                <w:color w:val="auto"/>
                <w:highlight w:val="none"/>
              </w:rPr>
            </w:pPr>
          </w:p>
        </w:tc>
        <w:tc>
          <w:tcPr>
            <w:tcW w:w="1161" w:type="dxa"/>
            <w:vAlign w:val="center"/>
          </w:tcPr>
          <w:p>
            <w:pPr>
              <w:spacing w:before="0" w:after="0" w:afterAutospacing="0"/>
              <w:ind w:right="0"/>
              <w:jc w:val="center"/>
              <w:textAlignment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本通知加盖运营公司</w:t>
      </w:r>
      <w:r>
        <w:rPr>
          <w:rFonts w:hint="eastAsia" w:hAnsi="宋体"/>
          <w:color w:val="auto"/>
          <w:kern w:val="2"/>
          <w:highlight w:val="none"/>
        </w:rPr>
        <w:t>XX</w:t>
      </w:r>
      <w:r>
        <w:rPr>
          <w:rFonts w:hAnsi="宋体"/>
          <w:color w:val="auto"/>
          <w:kern w:val="2"/>
          <w:highlight w:val="none"/>
        </w:rPr>
        <w:t>部公章后有效，送货时携带纸质版一份。</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南宁轨道交通运营有限公司XX中心</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附件6.4 送货单格式</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2"/>
        <w:spacing w:line="240" w:lineRule="auto"/>
        <w:ind w:left="2526" w:right="-28" w:hanging="6"/>
        <w:jc w:val="center"/>
        <w:rPr>
          <w:rFonts w:hAnsi="宋体"/>
          <w:color w:val="auto"/>
          <w:highlight w:val="none"/>
        </w:rPr>
      </w:pPr>
      <w:r>
        <w:rPr>
          <w:rFonts w:hint="eastAsia" w:hAnsi="宋体"/>
          <w:b/>
          <w:color w:val="auto"/>
          <w:highlight w:val="none"/>
        </w:rPr>
        <w:t xml:space="preserve"> </w:t>
      </w:r>
      <w:r>
        <w:rPr>
          <w:rFonts w:hAnsi="宋体"/>
          <w:b/>
          <w:color w:val="auto"/>
          <w:kern w:val="2"/>
          <w:highlight w:val="none"/>
        </w:rPr>
        <w:t xml:space="preserve"> 采购项目 号线 第  批 送货单</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tcPr>
          <w:p>
            <w:pPr>
              <w:pStyle w:val="2"/>
              <w:spacing w:line="240" w:lineRule="auto"/>
              <w:ind w:right="-28"/>
              <w:rPr>
                <w:rFonts w:hAnsi="宋体"/>
                <w:color w:val="auto"/>
                <w:highlight w:val="none"/>
              </w:rPr>
            </w:pPr>
            <w:r>
              <w:rPr>
                <w:rFonts w:hint="eastAsia" w:hAnsi="宋体"/>
                <w:color w:val="auto"/>
                <w:highlight w:val="none"/>
              </w:rPr>
              <w:t>合计</w:t>
            </w: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Ansi="宋体" w:cs="Calibri"/>
          <w:color w:val="auto"/>
          <w:kern w:val="2"/>
          <w:highlight w:val="none"/>
        </w:rPr>
        <w:t>"</w:t>
      </w:r>
      <w:r>
        <w:rPr>
          <w:rFonts w:hint="eastAsia" w:hAnsi="宋体"/>
          <w:color w:val="auto"/>
          <w:highlight w:val="none"/>
        </w:rPr>
        <w:t>实收数量</w:t>
      </w:r>
      <w:r>
        <w:rPr>
          <w:rFonts w:hAnsi="宋体" w:cs="Calibri"/>
          <w:color w:val="auto"/>
          <w:kern w:val="2"/>
          <w:highlight w:val="none"/>
        </w:rPr>
        <w:t>"</w:t>
      </w:r>
      <w:r>
        <w:rPr>
          <w:rFonts w:hint="eastAsia" w:hAnsi="宋体"/>
          <w:color w:val="auto"/>
          <w:highlight w:val="none"/>
        </w:rPr>
        <w:t>为必填项。</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2"/>
        <w:spacing w:line="240" w:lineRule="auto"/>
        <w:ind w:left="708" w:leftChars="200" w:right="-28" w:hanging="288" w:hangingChars="144"/>
        <w:rPr>
          <w:rFonts w:hAnsi="宋体"/>
          <w:color w:val="auto"/>
          <w:highlight w:val="none"/>
        </w:rPr>
      </w:pPr>
    </w:p>
    <w:p>
      <w:pPr>
        <w:pStyle w:val="52"/>
        <w:pageBreakBefore/>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204" w:name="_Toc101965695"/>
      <w:bookmarkStart w:id="205" w:name="_Toc92268652"/>
      <w:bookmarkStart w:id="206" w:name="_Toc24244"/>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204"/>
      <w:bookmarkEnd w:id="205"/>
      <w:bookmarkEnd w:id="206"/>
    </w:p>
    <w:p>
      <w:pPr>
        <w:pStyle w:val="5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2"/>
        <w:adjustRightInd/>
        <w:spacing w:before="0" w:after="0" w:line="360" w:lineRule="auto"/>
        <w:ind w:left="0" w:right="0"/>
        <w:rPr>
          <w:rFonts w:ascii="宋体" w:hAnsi="宋体"/>
          <w:color w:val="auto"/>
          <w:sz w:val="21"/>
          <w:szCs w:val="21"/>
          <w:highlight w:val="none"/>
        </w:rPr>
      </w:pPr>
    </w:p>
    <w:p>
      <w:pPr>
        <w:pStyle w:val="52"/>
        <w:pageBreakBefore/>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207" w:name="_Toc21928"/>
      <w:bookmarkStart w:id="208" w:name="_Toc101965696"/>
      <w:bookmarkStart w:id="209" w:name="_Toc92268653"/>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207"/>
      <w:bookmarkEnd w:id="208"/>
      <w:bookmarkEnd w:id="209"/>
    </w:p>
    <w:p>
      <w:pPr>
        <w:pStyle w:val="5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left="1" w:right="-57" w:firstLine="0"/>
        <w:jc w:val="center"/>
        <w:outlineLvl w:val="0"/>
        <w:rPr>
          <w:rStyle w:val="39"/>
          <w:rFonts w:hAnsi="宋体"/>
          <w:color w:val="auto"/>
          <w:sz w:val="44"/>
          <w:szCs w:val="44"/>
          <w:highlight w:val="none"/>
        </w:rPr>
      </w:pPr>
      <w:bookmarkStart w:id="210" w:name="_Toc101965697"/>
      <w:r>
        <w:rPr>
          <w:rStyle w:val="39"/>
          <w:rFonts w:hint="eastAsia" w:hAnsi="宋体"/>
          <w:color w:val="auto"/>
          <w:sz w:val="44"/>
          <w:szCs w:val="44"/>
          <w:highlight w:val="none"/>
        </w:rPr>
        <w:t>第四章 比选申请文件格式</w:t>
      </w:r>
      <w:bookmarkEnd w:id="210"/>
    </w:p>
    <w:p>
      <w:pPr>
        <w:spacing w:after="120" w:afterLines="50"/>
        <w:jc w:val="center"/>
        <w:rPr>
          <w:b/>
          <w:color w:val="auto"/>
          <w:sz w:val="44"/>
          <w:szCs w:val="44"/>
          <w:highlight w:val="none"/>
        </w:rPr>
      </w:pPr>
    </w:p>
    <w:p>
      <w:pPr>
        <w:pStyle w:val="52"/>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2"/>
        <w:pageBreakBefore/>
        <w:ind w:left="0" w:right="-57" w:firstLine="0"/>
        <w:jc w:val="left"/>
        <w:rPr>
          <w:rStyle w:val="39"/>
          <w:rFonts w:ascii="宋体" w:hAnsi="宋体" w:eastAsia="宋体"/>
          <w:color w:val="auto"/>
          <w:sz w:val="21"/>
          <w:szCs w:val="21"/>
          <w:highlight w:val="none"/>
        </w:rPr>
      </w:pPr>
      <w:r>
        <w:rPr>
          <w:rFonts w:hAnsi="宋体"/>
          <w:b/>
          <w:color w:val="auto"/>
          <w:sz w:val="21"/>
          <w:szCs w:val="21"/>
          <w:highlight w:val="none"/>
        </w:rPr>
        <w:pict>
          <v:shape id="_x0000_s1027" o:spid="_x0000_s1027" o:spt="202" type="#_x0000_t202" style="position:absolute;left:0pt;margin-left:308.55pt;margin-top:19.1pt;height:42.5pt;width:117.35pt;z-index:251678720;mso-width-relative:page;mso-height-relative:page;" coordsize="21600,21600">
            <v:path/>
            <v:fill focussize="0,0"/>
            <v:stroke joinstyle="miter"/>
            <v:imagedata o:title=""/>
            <o:lock v:ext="edit"/>
            <v:textbox>
              <w:txbxContent>
                <w:p>
                  <w:pPr>
                    <w:ind w:left="0" w:firstLine="0"/>
                    <w:jc w:val="center"/>
                    <w:rPr>
                      <w:sz w:val="36"/>
                      <w:szCs w:val="36"/>
                    </w:rPr>
                  </w:pPr>
                  <w:r>
                    <w:rPr>
                      <w:rFonts w:hint="eastAsia"/>
                      <w:sz w:val="36"/>
                      <w:szCs w:val="36"/>
                    </w:rPr>
                    <w:t>正本/副本</w:t>
                  </w:r>
                </w:p>
              </w:txbxContent>
            </v:textbox>
          </v:shape>
        </w:pict>
      </w:r>
      <w:r>
        <w:rPr>
          <w:rStyle w:val="39"/>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rFonts w:ascii="宋体" w:hAnsi="宋体"/>
          <w:b/>
          <w:color w:val="auto"/>
          <w:spacing w:val="-4"/>
          <w:sz w:val="44"/>
          <w:szCs w:val="44"/>
          <w:highlight w:val="none"/>
          <w:u w:val="single"/>
        </w:rPr>
      </w:pPr>
      <w:r>
        <w:rPr>
          <w:rFonts w:hint="eastAsia" w:ascii="宋体" w:hAnsi="宋体"/>
          <w:b/>
          <w:color w:val="auto"/>
          <w:spacing w:val="-4"/>
          <w:sz w:val="44"/>
          <w:szCs w:val="44"/>
          <w:highlight w:val="none"/>
          <w:u w:val="single"/>
        </w:rPr>
        <w:t xml:space="preserve">   南宁轨道交通运营有限公司</w:t>
      </w:r>
    </w:p>
    <w:p>
      <w:pPr>
        <w:jc w:val="center"/>
        <w:rPr>
          <w:color w:val="auto"/>
          <w:sz w:val="28"/>
          <w:szCs w:val="28"/>
          <w:highlight w:val="none"/>
        </w:rPr>
      </w:pPr>
      <w:r>
        <w:rPr>
          <w:rFonts w:hint="eastAsia" w:ascii="宋体" w:hAnsi="宋体"/>
          <w:b/>
          <w:color w:val="auto"/>
          <w:spacing w:val="-4"/>
          <w:sz w:val="44"/>
          <w:szCs w:val="44"/>
          <w:highlight w:val="none"/>
          <w:u w:val="single"/>
        </w:rPr>
        <w:t>2023年办公家具采购项目</w:t>
      </w:r>
    </w:p>
    <w:p>
      <w:pPr>
        <w:jc w:val="center"/>
        <w:rPr>
          <w:color w:val="auto"/>
          <w:sz w:val="28"/>
          <w:szCs w:val="28"/>
          <w:highlight w:val="none"/>
        </w:rPr>
      </w:pPr>
    </w:p>
    <w:p>
      <w:pPr>
        <w:jc w:val="center"/>
        <w:rPr>
          <w:color w:val="auto"/>
          <w:sz w:val="28"/>
          <w:szCs w:val="28"/>
          <w:highlight w:val="none"/>
        </w:rPr>
      </w:pPr>
    </w:p>
    <w:p>
      <w:pPr>
        <w:spacing w:before="240"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firstLine="2380" w:firstLineChars="85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eastAsia"/>
          <w:color w:val="auto"/>
          <w:sz w:val="28"/>
          <w:szCs w:val="28"/>
          <w:highlight w:val="none"/>
          <w:u w:val="single"/>
        </w:rPr>
        <w:t>202305170008</w:t>
      </w:r>
      <w:r>
        <w:rPr>
          <w:rFonts w:hint="eastAsia"/>
          <w:color w:val="auto"/>
          <w:sz w:val="28"/>
          <w:szCs w:val="28"/>
          <w:highlight w:val="none"/>
        </w:rPr>
        <w:t>）</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211" w:name="_Hlk70427841"/>
      <w:r>
        <w:rPr>
          <w:color w:val="auto"/>
          <w:sz w:val="28"/>
          <w:szCs w:val="28"/>
          <w:highlight w:val="none"/>
        </w:rPr>
        <w:t>盖公章</w:t>
      </w:r>
      <w:bookmarkEnd w:id="211"/>
      <w:r>
        <w:rPr>
          <w:color w:val="auto"/>
          <w:sz w:val="28"/>
          <w:szCs w:val="28"/>
          <w:highlight w:val="none"/>
        </w:rPr>
        <w:t>）</w:t>
      </w:r>
    </w:p>
    <w:p>
      <w:pPr>
        <w:ind w:firstLine="1400" w:firstLineChars="500"/>
        <w:rPr>
          <w:rFonts w:hAnsi="宋体"/>
          <w:color w:val="auto"/>
          <w:highlight w:val="none"/>
        </w:rPr>
      </w:pPr>
      <w:r>
        <w:rPr>
          <w:color w:val="auto"/>
          <w:sz w:val="28"/>
          <w:szCs w:val="28"/>
          <w:highlight w:val="none"/>
        </w:rPr>
        <w:t>法定代表人或其委托代理人：（签字或盖章）</w:t>
      </w:r>
    </w:p>
    <w:p>
      <w:pPr>
        <w:pStyle w:val="2"/>
        <w:pageBreakBefore/>
        <w:ind w:right="-57" w:firstLine="0"/>
        <w:jc w:val="center"/>
        <w:rPr>
          <w:rStyle w:val="39"/>
          <w:rFonts w:ascii="宋体" w:hAnsi="宋体" w:eastAsia="宋体"/>
          <w:color w:val="auto"/>
          <w:highlight w:val="none"/>
        </w:rPr>
      </w:pPr>
      <w:r>
        <w:rPr>
          <w:rStyle w:val="39"/>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212" w:name="_Toc22709"/>
      <w:bookmarkStart w:id="213" w:name="_Toc12983549"/>
      <w:bookmarkStart w:id="214" w:name="_Toc23261"/>
      <w:bookmarkStart w:id="215" w:name="_Toc31624"/>
      <w:bookmarkStart w:id="216" w:name="_Toc4027"/>
      <w:bookmarkStart w:id="217" w:name="_Toc3396"/>
      <w:bookmarkStart w:id="218" w:name="_Toc32185"/>
      <w:bookmarkStart w:id="219" w:name="_Toc25325"/>
      <w:bookmarkStart w:id="220" w:name="_Toc6941"/>
      <w:bookmarkStart w:id="221" w:name="_Toc24453"/>
      <w:bookmarkStart w:id="222" w:name="_Toc4873"/>
      <w:bookmarkStart w:id="223" w:name="_Toc31535"/>
      <w:bookmarkStart w:id="224" w:name="_Toc16671"/>
      <w:bookmarkStart w:id="225" w:name="_Toc492478802"/>
      <w:bookmarkStart w:id="226" w:name="_Toc414290520"/>
      <w:bookmarkStart w:id="227" w:name="_Toc12984805"/>
      <w:bookmarkStart w:id="228" w:name="_Toc19412"/>
      <w:bookmarkStart w:id="229" w:name="_Toc24824"/>
      <w:bookmarkStart w:id="230" w:name="_Toc361"/>
      <w:bookmarkStart w:id="231" w:name="_Toc30705"/>
      <w:bookmarkStart w:id="232" w:name="_Toc21274"/>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Pr>
        <w:pStyle w:val="17"/>
        <w:rPr>
          <w:b/>
          <w:color w:val="auto"/>
          <w:highlight w:val="none"/>
          <w:lang w:val="zh-CN"/>
        </w:rPr>
      </w:pPr>
      <w:r>
        <w:rPr>
          <w:rFonts w:hint="eastAsia"/>
          <w:b/>
          <w:color w:val="auto"/>
          <w:highlight w:val="none"/>
        </w:rPr>
        <w:t>一、比选申请函</w:t>
      </w:r>
      <w:r>
        <w:rPr>
          <w:b/>
          <w:color w:val="auto"/>
          <w:highlight w:val="none"/>
        </w:rPr>
        <w:ptab w:relativeTo="margin" w:alignment="right" w:leader="dot"/>
      </w:r>
    </w:p>
    <w:p>
      <w:pPr>
        <w:pStyle w:val="17"/>
        <w:rPr>
          <w:b/>
          <w:color w:val="auto"/>
          <w:highlight w:val="none"/>
        </w:rPr>
      </w:pPr>
      <w:r>
        <w:rPr>
          <w:rFonts w:hint="eastAsia"/>
          <w:b/>
          <w:color w:val="auto"/>
          <w:highlight w:val="none"/>
        </w:rPr>
        <w:t>二、比选承诺函</w:t>
      </w:r>
      <w:r>
        <w:rPr>
          <w:b/>
          <w:color w:val="auto"/>
          <w:highlight w:val="none"/>
        </w:rPr>
        <w:ptab w:relativeTo="margin" w:alignment="right" w:leader="dot"/>
      </w:r>
    </w:p>
    <w:p>
      <w:pPr>
        <w:pStyle w:val="17"/>
        <w:rPr>
          <w:b/>
          <w:color w:val="auto"/>
          <w:highlight w:val="none"/>
        </w:rPr>
      </w:pPr>
      <w:r>
        <w:rPr>
          <w:rFonts w:hint="eastAsia"/>
          <w:b/>
          <w:color w:val="auto"/>
          <w:highlight w:val="none"/>
        </w:rPr>
        <w:t>三、比选申请报价表</w:t>
      </w:r>
      <w:r>
        <w:rPr>
          <w:b/>
          <w:color w:val="auto"/>
          <w:highlight w:val="none"/>
        </w:rPr>
        <w:ptab w:relativeTo="margin" w:alignment="right" w:leader="dot"/>
      </w:r>
    </w:p>
    <w:p>
      <w:pPr>
        <w:pStyle w:val="22"/>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3.1比选申请报价一览表</w:t>
      </w:r>
      <w:r>
        <w:rPr>
          <w:rFonts w:asciiTheme="minorHAnsi" w:hAnsiTheme="minorHAnsi" w:eastAsiaTheme="minorEastAsia"/>
          <w:color w:val="auto"/>
          <w:sz w:val="22"/>
          <w:szCs w:val="22"/>
          <w:highlight w:val="none"/>
        </w:rPr>
        <w:ptab w:relativeTo="margin" w:alignment="right" w:leader="dot"/>
      </w:r>
    </w:p>
    <w:p>
      <w:pPr>
        <w:pStyle w:val="22"/>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3.2比选申请报价明细表</w:t>
      </w:r>
      <w:r>
        <w:rPr>
          <w:rFonts w:asciiTheme="minorHAnsi" w:hAnsiTheme="minorHAnsi" w:eastAsiaTheme="minorEastAsia"/>
          <w:color w:val="auto"/>
          <w:sz w:val="22"/>
          <w:szCs w:val="22"/>
          <w:highlight w:val="none"/>
        </w:rPr>
        <w:ptab w:relativeTo="margin" w:alignment="right" w:leader="dot"/>
      </w:r>
    </w:p>
    <w:p>
      <w:pPr>
        <w:pStyle w:val="17"/>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2"/>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ptab w:relativeTo="margin" w:alignment="right" w:leader="dot"/>
      </w:r>
    </w:p>
    <w:p>
      <w:pPr>
        <w:pStyle w:val="22"/>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ptab w:relativeTo="margin" w:alignment="right" w:leader="dot"/>
      </w:r>
    </w:p>
    <w:p>
      <w:pPr>
        <w:pStyle w:val="17"/>
        <w:rPr>
          <w:b/>
          <w:color w:val="auto"/>
          <w:highlight w:val="none"/>
        </w:rPr>
      </w:pPr>
      <w:r>
        <w:rPr>
          <w:rFonts w:hint="eastAsia"/>
          <w:b/>
          <w:color w:val="auto"/>
          <w:highlight w:val="none"/>
        </w:rPr>
        <w:t>五、企业证照</w:t>
      </w:r>
      <w:r>
        <w:rPr>
          <w:b/>
          <w:color w:val="auto"/>
          <w:highlight w:val="none"/>
        </w:rPr>
        <w:ptab w:relativeTo="margin" w:alignment="right" w:leader="dot"/>
      </w:r>
    </w:p>
    <w:p>
      <w:pPr>
        <w:pStyle w:val="17"/>
        <w:rPr>
          <w:b/>
          <w:color w:val="auto"/>
          <w:highlight w:val="none"/>
        </w:rPr>
      </w:pPr>
      <w:r>
        <w:rPr>
          <w:rFonts w:hint="eastAsia"/>
          <w:b/>
          <w:color w:val="auto"/>
          <w:highlight w:val="none"/>
        </w:rPr>
        <w:t>六、类似项目业绩表</w:t>
      </w:r>
      <w:r>
        <w:rPr>
          <w:b/>
          <w:color w:val="auto"/>
          <w:highlight w:val="none"/>
        </w:rPr>
        <w:ptab w:relativeTo="margin" w:alignment="right" w:leader="dot"/>
      </w:r>
    </w:p>
    <w:p>
      <w:pPr>
        <w:pStyle w:val="17"/>
        <w:rPr>
          <w:b/>
          <w:color w:val="auto"/>
          <w:highlight w:val="none"/>
        </w:rPr>
      </w:pPr>
      <w:r>
        <w:rPr>
          <w:rFonts w:hint="eastAsia"/>
          <w:b/>
          <w:color w:val="auto"/>
          <w:highlight w:val="none"/>
        </w:rPr>
        <w:t>七、比选响应表</w:t>
      </w:r>
      <w:r>
        <w:rPr>
          <w:b/>
          <w:color w:val="auto"/>
          <w:highlight w:val="none"/>
        </w:rPr>
        <w:ptab w:relativeTo="margin" w:alignment="right" w:leader="dot"/>
      </w:r>
    </w:p>
    <w:p>
      <w:pPr>
        <w:pStyle w:val="17"/>
        <w:rPr>
          <w:b/>
          <w:color w:val="auto"/>
          <w:highlight w:val="none"/>
        </w:rPr>
      </w:pPr>
      <w:r>
        <w:rPr>
          <w:rFonts w:hint="eastAsia"/>
          <w:b/>
          <w:color w:val="auto"/>
          <w:highlight w:val="none"/>
        </w:rPr>
        <w:t>八、其他</w:t>
      </w:r>
      <w:r>
        <w:rPr>
          <w:b/>
          <w:color w:val="auto"/>
          <w:highlight w:val="none"/>
        </w:rPr>
        <w:ptab w:relativeTo="margin" w:alignment="right" w:leader="do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3" w:name="_Toc101965698"/>
      <w:r>
        <w:rPr>
          <w:rFonts w:hint="eastAsia" w:ascii="Times New Roman" w:hAnsi="Times New Roman" w:eastAsia="宋体"/>
          <w:color w:val="auto"/>
          <w:highlight w:val="none"/>
        </w:rPr>
        <w:t>一、比选申请函</w:t>
      </w:r>
      <w:bookmarkEnd w:id="233"/>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Arial"/>
          <w:color w:val="auto"/>
          <w:highlight w:val="none"/>
          <w:u w:val="single"/>
        </w:rPr>
        <w:t xml:space="preserve"> 南宁轨道交通运营有限公司</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南宁轨道交通运营有限公司2023年办公家具采购项目</w:t>
      </w:r>
      <w:r>
        <w:rPr>
          <w:rFonts w:hint="eastAsia" w:asciiTheme="minorEastAsia" w:hAnsiTheme="minorEastAsia" w:eastAsiaTheme="minorEastAsia"/>
          <w:color w:val="auto"/>
          <w:highlight w:val="none"/>
        </w:rPr>
        <w:t>的比选公告（项目编号</w:t>
      </w:r>
      <w:r>
        <w:rPr>
          <w:rFonts w:hint="eastAsia" w:ascii="宋体" w:hAnsi="宋体" w:cs="Arial"/>
          <w:color w:val="auto"/>
          <w:highlight w:val="none"/>
          <w:u w:val="single"/>
        </w:rPr>
        <w:t>202305170008</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（投标人名称、地址）提交下述文件正本</w:t>
      </w:r>
      <w:r>
        <w:rPr>
          <w:rFonts w:hint="eastAsia" w:ascii="宋体" w:hAnsi="宋体" w:cs="Arial"/>
          <w:color w:val="auto"/>
          <w:highlight w:val="none"/>
          <w:u w:val="single"/>
        </w:rPr>
        <w:t>1</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4</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2</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如果我方中选，我方将提供金额为合同总价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4" w:name="_Toc101965699"/>
      <w:r>
        <w:rPr>
          <w:rFonts w:hint="eastAsia" w:ascii="Times New Roman" w:hAnsi="Times New Roman" w:eastAsia="宋体"/>
          <w:color w:val="auto"/>
          <w:highlight w:val="none"/>
        </w:rPr>
        <w:t>二、比选承诺函</w:t>
      </w:r>
      <w:bookmarkEnd w:id="234"/>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南宁轨道交通运营有限公司</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没有处于被责令停业，或投标资格被住建部、国家安监总局、广西区或南宁市建设行政主管部门取消，或财产被接管、破产状态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rPr>
        <w:t>投标截止时间前</w:t>
      </w:r>
      <w:r>
        <w:rPr>
          <w:rFonts w:ascii="宋体" w:hAnsi="宋体"/>
          <w:b/>
          <w:color w:val="auto"/>
          <w:highlight w:val="none"/>
        </w:rPr>
        <w:t>3年内没有骗取中标</w:t>
      </w:r>
      <w:r>
        <w:rPr>
          <w:rFonts w:hint="eastAsia" w:ascii="宋体" w:hAnsi="宋体"/>
          <w:b/>
          <w:color w:val="auto"/>
          <w:highlight w:val="none"/>
        </w:rPr>
        <w:t>、严重违约或重大质量安全责任事故。</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是否中标</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5" w:name="_Toc101965700"/>
      <w:r>
        <w:rPr>
          <w:rFonts w:hint="eastAsia" w:ascii="Times New Roman" w:hAnsi="Times New Roman" w:eastAsia="宋体"/>
          <w:color w:val="auto"/>
          <w:highlight w:val="none"/>
        </w:rPr>
        <w:t>三、比选申请报价表</w:t>
      </w:r>
      <w:bookmarkEnd w:id="235"/>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3.1比选申请报价一览表</w:t>
      </w:r>
    </w:p>
    <w:p>
      <w:pPr>
        <w:spacing w:before="0" w:after="0" w:afterAutospacing="0"/>
        <w:ind w:left="0" w:right="0" w:firstLine="420" w:firstLineChars="200"/>
        <w:rPr>
          <w:rFonts w:hAnsi="宋体"/>
          <w:color w:val="auto"/>
          <w:highlight w:val="none"/>
        </w:rPr>
      </w:pPr>
    </w:p>
    <w:tbl>
      <w:tblPr>
        <w:tblStyle w:val="26"/>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color w:val="auto"/>
                <w:kern w:val="2"/>
                <w:highlight w:val="none"/>
              </w:rPr>
            </w:pPr>
            <w:r>
              <w:rPr>
                <w:rFonts w:hint="eastAsia" w:ascii="宋体" w:hAnsi="宋体"/>
                <w:b/>
                <w:color w:val="auto"/>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630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交货期</w:t>
            </w:r>
          </w:p>
        </w:tc>
        <w:tc>
          <w:tcPr>
            <w:tcW w:w="630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单位：元</w:t>
      </w:r>
    </w:p>
    <w:tbl>
      <w:tblPr>
        <w:tblStyle w:val="26"/>
        <w:tblW w:w="7974" w:type="dxa"/>
        <w:jc w:val="center"/>
        <w:tblLayout w:type="fixed"/>
        <w:tblCellMar>
          <w:top w:w="0" w:type="dxa"/>
          <w:left w:w="108" w:type="dxa"/>
          <w:bottom w:w="0" w:type="dxa"/>
          <w:right w:w="108" w:type="dxa"/>
        </w:tblCellMar>
      </w:tblPr>
      <w:tblGrid>
        <w:gridCol w:w="920"/>
        <w:gridCol w:w="930"/>
        <w:gridCol w:w="990"/>
        <w:gridCol w:w="1155"/>
        <w:gridCol w:w="1050"/>
        <w:gridCol w:w="570"/>
        <w:gridCol w:w="630"/>
        <w:gridCol w:w="780"/>
        <w:gridCol w:w="949"/>
      </w:tblGrid>
      <w:tr>
        <w:tblPrEx>
          <w:tblCellMar>
            <w:top w:w="0" w:type="dxa"/>
            <w:left w:w="108" w:type="dxa"/>
            <w:bottom w:w="0" w:type="dxa"/>
            <w:right w:w="108" w:type="dxa"/>
          </w:tblCellMar>
        </w:tblPrEx>
        <w:trPr>
          <w:trHeight w:val="283" w:hRule="atLeast"/>
          <w:jc w:val="center"/>
        </w:trPr>
        <w:tc>
          <w:tcPr>
            <w:tcW w:w="920" w:type="dxa"/>
            <w:vMerge w:val="restart"/>
            <w:tcBorders>
              <w:top w:val="single" w:color="auto" w:sz="12" w:space="0"/>
              <w:left w:val="single" w:color="auto" w:sz="12"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序号</w:t>
            </w:r>
          </w:p>
        </w:tc>
        <w:tc>
          <w:tcPr>
            <w:tcW w:w="930" w:type="dxa"/>
            <w:vMerge w:val="restart"/>
            <w:tcBorders>
              <w:top w:val="single" w:color="auto" w:sz="12" w:space="0"/>
              <w:left w:val="nil"/>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990" w:type="dxa"/>
            <w:vMerge w:val="restart"/>
            <w:tcBorders>
              <w:top w:val="single" w:color="auto" w:sz="12" w:space="0"/>
              <w:left w:val="nil"/>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技术参数</w:t>
            </w:r>
          </w:p>
        </w:tc>
        <w:tc>
          <w:tcPr>
            <w:tcW w:w="2205" w:type="dxa"/>
            <w:gridSpan w:val="2"/>
            <w:tcBorders>
              <w:top w:val="single" w:color="auto" w:sz="12"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品牌及型号</w:t>
            </w:r>
          </w:p>
        </w:tc>
        <w:tc>
          <w:tcPr>
            <w:tcW w:w="570" w:type="dxa"/>
            <w:vMerge w:val="restart"/>
            <w:tcBorders>
              <w:top w:val="single" w:color="auto" w:sz="12" w:space="0"/>
              <w:left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0"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w:t>
            </w:r>
            <w:r>
              <w:rPr>
                <w:rFonts w:ascii="宋体" w:hAnsi="宋体"/>
                <w:color w:val="auto"/>
                <w:sz w:val="15"/>
                <w:szCs w:val="15"/>
                <w:highlight w:val="none"/>
              </w:rPr>
              <w:t>①</w:t>
            </w:r>
          </w:p>
        </w:tc>
        <w:tc>
          <w:tcPr>
            <w:tcW w:w="780"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w:t>
            </w:r>
            <w:r>
              <w:rPr>
                <w:rFonts w:ascii="宋体" w:hAnsi="宋体"/>
                <w:color w:val="auto"/>
                <w:sz w:val="15"/>
                <w:szCs w:val="15"/>
                <w:highlight w:val="none"/>
              </w:rPr>
              <w:t>(元)②</w:t>
            </w:r>
          </w:p>
        </w:tc>
        <w:tc>
          <w:tcPr>
            <w:tcW w:w="949" w:type="dxa"/>
            <w:vMerge w:val="restart"/>
            <w:tcBorders>
              <w:top w:val="single" w:color="auto" w:sz="12" w:space="0"/>
              <w:left w:val="nil"/>
              <w:right w:val="single" w:color="auto" w:sz="12"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w:t>
            </w:r>
            <w:r>
              <w:rPr>
                <w:rFonts w:ascii="宋体" w:hAnsi="宋体"/>
                <w:color w:val="auto"/>
                <w:sz w:val="15"/>
                <w:szCs w:val="15"/>
                <w:highlight w:val="none"/>
              </w:rPr>
              <w:t>(元)③=①×②</w:t>
            </w:r>
          </w:p>
        </w:tc>
      </w:tr>
      <w:tr>
        <w:tblPrEx>
          <w:tblCellMar>
            <w:top w:w="0" w:type="dxa"/>
            <w:left w:w="108" w:type="dxa"/>
            <w:bottom w:w="0" w:type="dxa"/>
            <w:right w:w="108" w:type="dxa"/>
          </w:tblCellMar>
        </w:tblPrEx>
        <w:trPr>
          <w:trHeight w:val="283" w:hRule="atLeast"/>
          <w:jc w:val="center"/>
        </w:trPr>
        <w:tc>
          <w:tcPr>
            <w:tcW w:w="920" w:type="dxa"/>
            <w:vMerge w:val="continue"/>
            <w:tcBorders>
              <w:left w:val="single" w:color="auto" w:sz="12"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930" w:type="dxa"/>
            <w:vMerge w:val="continue"/>
            <w:tcBorders>
              <w:left w:val="nil"/>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990" w:type="dxa"/>
            <w:vMerge w:val="continue"/>
            <w:tcBorders>
              <w:left w:val="nil"/>
              <w:bottom w:val="single" w:color="auto" w:sz="4" w:space="0"/>
              <w:right w:val="single" w:color="auto" w:sz="4" w:space="0"/>
            </w:tcBorders>
          </w:tcPr>
          <w:p>
            <w:pPr>
              <w:ind w:left="0" w:firstLine="0"/>
              <w:rPr>
                <w:rFonts w:ascii="宋体" w:hAnsi="宋体"/>
                <w:color w:val="auto"/>
                <w:sz w:val="15"/>
                <w:szCs w:val="15"/>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参考品牌及型号</w:t>
            </w:r>
          </w:p>
        </w:tc>
        <w:tc>
          <w:tcPr>
            <w:tcW w:w="10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报价品牌及型号</w:t>
            </w:r>
          </w:p>
        </w:tc>
        <w:tc>
          <w:tcPr>
            <w:tcW w:w="570" w:type="dxa"/>
            <w:vMerge w:val="continue"/>
            <w:tcBorders>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630"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780"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949"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227" w:hRule="atLeast"/>
          <w:jc w:val="center"/>
        </w:trPr>
        <w:tc>
          <w:tcPr>
            <w:tcW w:w="920"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w:t>
            </w:r>
          </w:p>
        </w:tc>
        <w:tc>
          <w:tcPr>
            <w:tcW w:w="93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rPr>
          <w:trHeight w:val="227" w:hRule="atLeast"/>
          <w:jc w:val="center"/>
        </w:trPr>
        <w:tc>
          <w:tcPr>
            <w:tcW w:w="920"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w:t>
            </w:r>
          </w:p>
        </w:tc>
        <w:tc>
          <w:tcPr>
            <w:tcW w:w="93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27" w:hRule="atLeast"/>
          <w:jc w:val="center"/>
        </w:trPr>
        <w:tc>
          <w:tcPr>
            <w:tcW w:w="920"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3</w:t>
            </w:r>
          </w:p>
        </w:tc>
        <w:tc>
          <w:tcPr>
            <w:tcW w:w="93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rPr>
          <w:trHeight w:val="227" w:hRule="atLeast"/>
          <w:jc w:val="center"/>
        </w:trPr>
        <w:tc>
          <w:tcPr>
            <w:tcW w:w="920"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93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27" w:hRule="atLeast"/>
          <w:jc w:val="center"/>
        </w:trPr>
        <w:tc>
          <w:tcPr>
            <w:tcW w:w="5615" w:type="dxa"/>
            <w:gridSpan w:val="6"/>
            <w:tcBorders>
              <w:top w:val="single" w:color="auto" w:sz="4" w:space="0"/>
              <w:left w:val="single" w:color="auto" w:sz="12" w:space="0"/>
              <w:bottom w:val="single" w:color="auto" w:sz="12"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630"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p>
        </w:tc>
        <w:tc>
          <w:tcPr>
            <w:tcW w:w="780"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49"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color w:val="auto"/>
                <w:highlight w:val="none"/>
              </w:rPr>
            </w:pPr>
          </w:p>
        </w:tc>
      </w:tr>
    </w:tbl>
    <w:p>
      <w:pPr>
        <w:snapToGrid w:val="0"/>
        <w:spacing w:before="0" w:after="0" w:afterAutospacing="0" w:line="240" w:lineRule="auto"/>
        <w:ind w:left="0" w:right="0" w:firstLine="424" w:firstLineChars="202"/>
        <w:rPr>
          <w:rFonts w:ascii="宋体" w:hAnsi="宋体"/>
          <w:color w:val="auto"/>
          <w:highlight w:val="none"/>
        </w:rPr>
      </w:pPr>
    </w:p>
    <w:p>
      <w:pPr>
        <w:snapToGrid w:val="0"/>
        <w:spacing w:before="0" w:after="0" w:afterAutospacing="0" w:line="320" w:lineRule="exact"/>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snapToGrid w:val="0"/>
        <w:spacing w:before="0" w:after="0" w:afterAutospacing="0" w:line="320" w:lineRule="exact"/>
        <w:ind w:left="0" w:right="0" w:firstLine="424" w:firstLineChars="202"/>
        <w:rPr>
          <w:rFonts w:ascii="宋体" w:hAnsi="宋体"/>
          <w:color w:val="auto"/>
          <w:highlight w:val="none"/>
        </w:rPr>
      </w:pPr>
      <w:r>
        <w:rPr>
          <w:rFonts w:hint="eastAsia" w:ascii="宋体" w:hAnsi="宋体"/>
          <w:color w:val="auto"/>
          <w:highlight w:val="none"/>
        </w:rPr>
        <w:t>2、同一规格、型号的货物、材料在各分项报价中应为同一单价。比选申请人对每种货物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before="0" w:after="0" w:afterAutospacing="0" w:line="320" w:lineRule="exact"/>
        <w:ind w:left="0" w:right="0" w:firstLine="426" w:firstLineChars="202"/>
        <w:rPr>
          <w:rFonts w:ascii="宋体" w:hAnsi="宋体"/>
          <w:b/>
          <w:bCs/>
          <w:color w:val="auto"/>
          <w:highlight w:val="none"/>
        </w:rPr>
      </w:pPr>
      <w:r>
        <w:rPr>
          <w:rFonts w:hint="eastAsia" w:ascii="宋体" w:hAnsi="宋体"/>
          <w:b/>
          <w:bCs/>
          <w:color w:val="auto"/>
          <w:highlight w:val="none"/>
        </w:rPr>
        <w:t>3、若拟采货物未列“参考品牌及型号”，比选申请人也应填报“报价品牌及型号” ，否则将作无效报价处理。</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6" w:name="_Toc101965701"/>
      <w:r>
        <w:rPr>
          <w:rFonts w:hint="eastAsia" w:ascii="Times New Roman" w:hAnsi="Times New Roman" w:eastAsia="宋体"/>
          <w:color w:val="auto"/>
          <w:highlight w:val="none"/>
        </w:rPr>
        <w:t>四、法定代表人身份证明及授权书</w:t>
      </w:r>
      <w:bookmarkEnd w:id="236"/>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投标人：</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 xml:space="preserve">  </w:t>
      </w: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为本公司的合法代理人，就招标编号为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7" w:name="_Toc101965702"/>
      <w:r>
        <w:rPr>
          <w:rFonts w:hint="eastAsia" w:ascii="Times New Roman" w:hAnsi="Times New Roman" w:eastAsia="宋体"/>
          <w:color w:val="auto"/>
          <w:highlight w:val="none"/>
        </w:rPr>
        <w:t>五、企业证照</w:t>
      </w:r>
      <w:bookmarkEnd w:id="237"/>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8" w:name="_Toc101965703"/>
      <w:r>
        <w:rPr>
          <w:rFonts w:hint="eastAsia" w:ascii="Times New Roman" w:hAnsi="Times New Roman" w:eastAsia="宋体"/>
          <w:color w:val="auto"/>
          <w:highlight w:val="none"/>
        </w:rPr>
        <w:t>六、类似项目业绩表</w:t>
      </w:r>
      <w:bookmarkEnd w:id="238"/>
    </w:p>
    <w:p>
      <w:pPr>
        <w:spacing w:before="0" w:after="0" w:afterAutospacing="0"/>
        <w:ind w:left="0" w:right="0" w:firstLine="420" w:firstLineChars="200"/>
        <w:rPr>
          <w:rFonts w:hAnsi="宋体"/>
          <w:color w:val="auto"/>
          <w:highlight w:val="none"/>
        </w:rPr>
      </w:pPr>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6"/>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1339" w:type="dxa"/>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1352" w:type="dxa"/>
            <w:vAlign w:val="center"/>
          </w:tcPr>
          <w:p>
            <w:pPr>
              <w:ind w:left="0" w:firstLine="0"/>
              <w:jc w:val="center"/>
              <w:rPr>
                <w:rFonts w:ascii="宋体" w:hAnsi="宋体"/>
                <w:color w:val="auto"/>
                <w:highlight w:val="none"/>
              </w:rPr>
            </w:pPr>
            <w:r>
              <w:rPr>
                <w:rFonts w:hint="eastAsia" w:ascii="宋体" w:hAnsi="宋体"/>
                <w:color w:val="auto"/>
                <w:highlight w:val="none"/>
              </w:rPr>
              <w:t>合同金额</w:t>
            </w:r>
          </w:p>
        </w:tc>
        <w:tc>
          <w:tcPr>
            <w:tcW w:w="1531" w:type="dxa"/>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275" w:type="dxa"/>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163" w:type="dxa"/>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color w:val="auto"/>
                <w:highlight w:val="none"/>
              </w:rPr>
            </w:pPr>
          </w:p>
        </w:tc>
        <w:tc>
          <w:tcPr>
            <w:tcW w:w="1339"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1352" w:type="dxa"/>
          </w:tcPr>
          <w:p>
            <w:pPr>
              <w:ind w:left="0" w:firstLine="0"/>
              <w:rPr>
                <w:rFonts w:ascii="宋体" w:hAnsi="宋体"/>
                <w:color w:val="auto"/>
                <w:highlight w:val="none"/>
              </w:rPr>
            </w:pPr>
          </w:p>
        </w:tc>
        <w:tc>
          <w:tcPr>
            <w:tcW w:w="1531" w:type="dxa"/>
          </w:tcPr>
          <w:p>
            <w:pPr>
              <w:ind w:left="0" w:firstLine="0"/>
              <w:rPr>
                <w:rFonts w:ascii="宋体" w:hAnsi="宋体"/>
                <w:color w:val="auto"/>
                <w:highlight w:val="none"/>
              </w:rPr>
            </w:pPr>
          </w:p>
        </w:tc>
        <w:tc>
          <w:tcPr>
            <w:tcW w:w="1275" w:type="dxa"/>
          </w:tcPr>
          <w:p>
            <w:pPr>
              <w:ind w:left="0" w:firstLine="0"/>
              <w:rPr>
                <w:rFonts w:ascii="宋体" w:hAnsi="宋体"/>
                <w:color w:val="auto"/>
                <w:highlight w:val="none"/>
              </w:rPr>
            </w:pPr>
          </w:p>
        </w:tc>
        <w:tc>
          <w:tcPr>
            <w:tcW w:w="1163" w:type="dxa"/>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9" w:name="_Toc101965704"/>
      <w:r>
        <w:rPr>
          <w:rFonts w:hint="eastAsia" w:ascii="Times New Roman" w:hAnsi="Times New Roman" w:eastAsia="宋体"/>
          <w:color w:val="auto"/>
          <w:highlight w:val="none"/>
        </w:rPr>
        <w:t>七、比选响应表</w:t>
      </w:r>
      <w:bookmarkEnd w:id="239"/>
    </w:p>
    <w:p>
      <w:pPr>
        <w:spacing w:before="0" w:after="0" w:afterAutospacing="0"/>
        <w:ind w:left="0" w:right="0" w:firstLine="420" w:firstLineChars="200"/>
        <w:rPr>
          <w:rFonts w:hAnsi="宋体"/>
          <w:color w:val="auto"/>
          <w:highlight w:val="none"/>
        </w:rPr>
      </w:pPr>
    </w:p>
    <w:tbl>
      <w:tblPr>
        <w:tblStyle w:val="26"/>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40" w:name="_Toc101965705"/>
      <w:r>
        <w:rPr>
          <w:rFonts w:hint="eastAsia" w:ascii="Times New Roman" w:hAnsi="Times New Roman" w:eastAsia="宋体"/>
          <w:color w:val="auto"/>
          <w:highlight w:val="none"/>
        </w:rPr>
        <w:t>八、其他</w:t>
      </w:r>
      <w:bookmarkEnd w:id="240"/>
    </w:p>
    <w:p>
      <w:pPr>
        <w:spacing w:before="0" w:after="0" w:afterAutospacing="0"/>
        <w:ind w:left="0" w:right="0" w:firstLine="482" w:firstLineChars="200"/>
        <w:rPr>
          <w:rFonts w:hAnsi="宋体"/>
          <w:color w:val="auto"/>
          <w:highlight w:val="none"/>
        </w:rPr>
      </w:pPr>
      <w:r>
        <w:rPr>
          <w:rFonts w:hint="eastAsia" w:ascii="宋体" w:hAnsi="宋体"/>
          <w:b/>
          <w:color w:val="auto"/>
          <w:sz w:val="24"/>
          <w:szCs w:val="24"/>
          <w:highlight w:val="none"/>
        </w:rPr>
        <w:t>【如有，格式自拟】</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Fonts w:hAnsi="宋体"/>
          <w:b/>
          <w:color w:val="auto"/>
          <w:highlight w:val="none"/>
        </w:rPr>
      </w:pPr>
      <w:bookmarkStart w:id="241" w:name="_Toc26409"/>
      <w:bookmarkStart w:id="242" w:name="_Toc25061"/>
      <w:bookmarkStart w:id="243" w:name="_Toc21321"/>
      <w:bookmarkStart w:id="244" w:name="_Toc14566"/>
      <w:bookmarkStart w:id="245" w:name="_Toc20298"/>
      <w:bookmarkStart w:id="246" w:name="_Toc6454"/>
      <w:bookmarkStart w:id="247" w:name="_Toc12695"/>
      <w:bookmarkStart w:id="248" w:name="_Toc31681"/>
      <w:bookmarkStart w:id="249" w:name="_Toc30897"/>
      <w:bookmarkStart w:id="250" w:name="_Toc5010"/>
      <w:bookmarkStart w:id="251" w:name="_Toc13941"/>
      <w:bookmarkStart w:id="252" w:name="_Toc492478835"/>
      <w:bookmarkStart w:id="253" w:name="_Toc28535"/>
      <w:bookmarkStart w:id="254" w:name="_Toc6337"/>
      <w:bookmarkStart w:id="255" w:name="_Toc16754"/>
      <w:bookmarkStart w:id="256" w:name="_Toc9597"/>
      <w:bookmarkStart w:id="257" w:name="_Toc28135"/>
      <w:bookmarkStart w:id="258" w:name="_Toc328"/>
      <w:bookmarkStart w:id="259" w:name="_Toc101965706"/>
      <w:r>
        <w:rPr>
          <w:rStyle w:val="39"/>
          <w:rFonts w:hint="eastAsia" w:ascii="宋体" w:hAnsi="宋体" w:eastAsia="宋体"/>
          <w:color w:val="auto"/>
          <w:highlight w:val="none"/>
        </w:rPr>
        <w:t>第五章用户需求书</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napToGrid w:val="0"/>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一、商务要求</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2.交货期限：合同签订且交货通知书发出后90天内分批交货，如遇春节期间，交货期可适当延长，但不得超过4个月，具体按交货通知为准。</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3.交货地点：广西壮族自治区南宁市内比选人指定地点。</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4.验收：货物到达指定交付地点后，比选人按照双方签订的合同及比选文件要求，于10个工作日内组织验收。</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5.质保期：24个月。</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11.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13.《技术需求及数量表》备注栏中标有：1.备注栏标有“△”的货物是本项目重点物资，交货时须提供原厂供货证明；</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14.备注栏标有“按样品”的货物，中选供应商须按要求提供图纸或样品，并按确认后的图纸或样品供货；</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15.备注栏标有“编号”的货物，交货时须印制甲方提供的编号；</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16.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省级（含省级）以上质量检验中心检测报告。</w:t>
      </w:r>
    </w:p>
    <w:p>
      <w:pPr>
        <w:snapToGrid w:val="0"/>
        <w:spacing w:before="0" w:after="0" w:afterAutospacing="0"/>
        <w:ind w:left="0" w:right="0" w:firstLine="422" w:firstLineChars="200"/>
        <w:jc w:val="left"/>
        <w:rPr>
          <w:rFonts w:ascii="宋体" w:hAnsi="宋体"/>
          <w:b/>
          <w:color w:val="auto"/>
          <w:highlight w:val="none"/>
        </w:rPr>
      </w:pPr>
    </w:p>
    <w:p>
      <w:pPr>
        <w:snapToGrid w:val="0"/>
        <w:ind w:left="0" w:right="0" w:firstLine="0"/>
        <w:jc w:val="left"/>
        <w:outlineLvl w:val="0"/>
        <w:rPr>
          <w:rFonts w:ascii="宋体" w:hAnsi="宋体"/>
          <w:b/>
          <w:color w:val="auto"/>
          <w:highlight w:val="none"/>
        </w:rPr>
      </w:pPr>
      <w:r>
        <w:rPr>
          <w:rFonts w:hint="eastAsia" w:ascii="宋体" w:hAnsi="宋体"/>
          <w:b/>
          <w:color w:val="auto"/>
          <w:highlight w:val="none"/>
        </w:rPr>
        <w:t>二、技术需求及数量表</w:t>
      </w: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0"/>
        <w:jc w:val="left"/>
        <w:rPr>
          <w:rFonts w:ascii="宋体" w:hAnsi="宋体"/>
          <w:b/>
          <w:color w:val="auto"/>
          <w:highlight w:val="none"/>
        </w:rPr>
        <w:sectPr>
          <w:headerReference r:id="rId7" w:type="default"/>
          <w:pgSz w:w="11905" w:h="16838"/>
          <w:pgMar w:top="1418" w:right="1418" w:bottom="1304" w:left="1418" w:header="454" w:footer="567" w:gutter="0"/>
          <w:cols w:space="720" w:num="1"/>
          <w:docGrid w:linePitch="312" w:charSpace="0"/>
        </w:sectPr>
      </w:pPr>
    </w:p>
    <w:tbl>
      <w:tblPr>
        <w:tblStyle w:val="26"/>
        <w:tblW w:w="4996" w:type="pct"/>
        <w:tblInd w:w="0" w:type="dxa"/>
        <w:tblLayout w:type="fixed"/>
        <w:tblCellMar>
          <w:top w:w="0" w:type="dxa"/>
          <w:left w:w="108" w:type="dxa"/>
          <w:bottom w:w="0" w:type="dxa"/>
          <w:right w:w="108" w:type="dxa"/>
        </w:tblCellMar>
      </w:tblPr>
      <w:tblGrid>
        <w:gridCol w:w="723"/>
        <w:gridCol w:w="1425"/>
        <w:gridCol w:w="6311"/>
        <w:gridCol w:w="1098"/>
        <w:gridCol w:w="1098"/>
        <w:gridCol w:w="1097"/>
        <w:gridCol w:w="1097"/>
        <w:gridCol w:w="1472"/>
      </w:tblGrid>
      <w:tr>
        <w:tblPrEx>
          <w:tblCellMar>
            <w:top w:w="0" w:type="dxa"/>
            <w:left w:w="108" w:type="dxa"/>
            <w:bottom w:w="0" w:type="dxa"/>
            <w:right w:w="108" w:type="dxa"/>
          </w:tblCellMar>
        </w:tblPrEx>
        <w:trPr>
          <w:trHeight w:val="389" w:hRule="atLeast"/>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序号</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货物名称</w:t>
            </w:r>
          </w:p>
        </w:tc>
        <w:tc>
          <w:tcPr>
            <w:tcW w:w="2202"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after="0" w:afterAutospacing="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性能参数要求</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参考品牌</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型号</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单位</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总数量</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备注</w:t>
            </w:r>
          </w:p>
        </w:tc>
      </w:tr>
      <w:tr>
        <w:tblPrEx>
          <w:tblCellMar>
            <w:top w:w="0" w:type="dxa"/>
            <w:left w:w="108" w:type="dxa"/>
            <w:bottom w:w="0" w:type="dxa"/>
            <w:right w:w="108" w:type="dxa"/>
          </w:tblCellMar>
        </w:tblPrEx>
        <w:trPr>
          <w:trHeight w:val="50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2202"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after="0" w:afterAutospacing="0"/>
              <w:ind w:left="0" w:right="0" w:firstLine="0"/>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ind w:left="0" w:right="0" w:firstLine="0"/>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3380" w:hRule="atLeast"/>
        </w:trPr>
        <w:tc>
          <w:tcPr>
            <w:tcW w:w="252" w:type="pct"/>
            <w:tcBorders>
              <w:top w:val="nil"/>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497" w:type="pct"/>
            <w:tcBorders>
              <w:top w:val="nil"/>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沙发套装</w:t>
            </w:r>
          </w:p>
        </w:tc>
        <w:tc>
          <w:tcPr>
            <w:tcW w:w="2202" w:type="pct"/>
            <w:tcBorders>
              <w:top w:val="nil"/>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规格：3+2+1,含长茶几一个。沙发：2000W×800D×900H（mm），长茶几：1200W×600D×450H（mm）茶几面板厚度：25mm；</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面料：优质环保PU皮覆面，皮质光泽度好，透气性强；</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曲木板：靠背、坐垫采用多层曲木板热压成型，根据人体工程学原理设计，板材承受压力达300KG，经防潮、防腐、防虫蛀等工艺处理，保证环保；</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泡棉：高弹性聚胺脂定型海棉(模具一次成型)，采用颜色均匀的阻燃定型海绵，其中色泽颜色应均匀、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打底：高弹力独立弹簧或专用弹性绷带作为托承；</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框架：采用实木制内框架，木材经六面刨光处理；</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颜色：木材红棕色，面料黑色。</w:t>
            </w:r>
          </w:p>
        </w:tc>
        <w:tc>
          <w:tcPr>
            <w:tcW w:w="383" w:type="pct"/>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编号，全检</w:t>
            </w:r>
          </w:p>
        </w:tc>
      </w:tr>
      <w:tr>
        <w:tblPrEx>
          <w:tblCellMar>
            <w:top w:w="0" w:type="dxa"/>
            <w:left w:w="108" w:type="dxa"/>
            <w:bottom w:w="0" w:type="dxa"/>
            <w:right w:w="108" w:type="dxa"/>
          </w:tblCellMar>
        </w:tblPrEx>
        <w:trPr>
          <w:trHeight w:val="21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2</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中层椅子</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椅背黒薄网布，座采用布绒覆面，耐磨，透气性强，坐垫：黑色；</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泡棉：高弹性聚胺脂定型海棉(模具一次成型)，泡棉密度≥30kg/m3，回弹力≥41%，不含氟氨化合物，无甲醛及二甲苯等异味，使用无苯胶粘剂粘接，圆润厚实，软硬适中，回弹性好，表面涂有防止老化变形的保护膜；</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优质气压棒，最大承重250KG，回旋次数30万次，性能良好；</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选用优质钢制五星脚及优质高强度尼龙万向轮，承重不低于250kg,活动自如，滑动时无噪音，带头靠、腰靠。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3</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编号，抽检</w:t>
            </w:r>
          </w:p>
        </w:tc>
      </w:tr>
      <w:tr>
        <w:tblPrEx>
          <w:tblCellMar>
            <w:top w:w="0" w:type="dxa"/>
            <w:left w:w="108" w:type="dxa"/>
            <w:bottom w:w="0" w:type="dxa"/>
            <w:right w:w="108" w:type="dxa"/>
          </w:tblCellMar>
        </w:tblPrEx>
        <w:trPr>
          <w:trHeight w:val="23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3</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职员椅子（弓形）</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采用皮质光泽度好,透气性强,优质环保PU皮覆面；钢管壁厚1.8mm；</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泡棉：采用高弹性聚胺脂定型海棉(模具一次成型)，采用颜色均匀的阻燃定型海绵，其中色泽颜色应均匀，允许轻微杂色、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尺寸：总高950mm、坐垫离地高400mm，背靠椅与坐垫拐弯连接处：使用钢质材料。</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△按样品，编号，抽检</w:t>
            </w:r>
          </w:p>
        </w:tc>
      </w:tr>
      <w:tr>
        <w:tblPrEx>
          <w:tblCellMar>
            <w:top w:w="0" w:type="dxa"/>
            <w:left w:w="108" w:type="dxa"/>
            <w:bottom w:w="0" w:type="dxa"/>
            <w:right w:w="108" w:type="dxa"/>
          </w:tblCellMar>
        </w:tblPrEx>
        <w:trPr>
          <w:trHeight w:val="17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调度椅子</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1、面料:选用真皮，触感柔软，耐磨性强；</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2、辅料:第一层优质公仔棉填充，第二层高密度定型棉科学释压支撑，不变形；</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3、脚架：钢制五星脚，美观耐用，可承重1000KG以上；</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4、可160度平躺，座椅可调节高低；</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5、符合人体工学设计，科学4:6座椅比例设计，三段式独立缓冲区，分层缓解腰背压力；</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6、联动式弧形扶手，内置高回弹原生海绵，有效支撑腕部力量；</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7、静音滚轮，防滑、防刮、耐磨。</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16</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△按样品，编号，抽检</w:t>
            </w:r>
          </w:p>
        </w:tc>
      </w:tr>
      <w:tr>
        <w:tblPrEx>
          <w:tblCellMar>
            <w:top w:w="0" w:type="dxa"/>
            <w:left w:w="108" w:type="dxa"/>
            <w:bottom w:w="0" w:type="dxa"/>
            <w:right w:w="108" w:type="dxa"/>
          </w:tblCellMar>
        </w:tblPrEx>
        <w:trPr>
          <w:trHeight w:val="14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钢制文件柜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尺寸：1920H*850W*369D（mm）</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优质五金配件，单柜带锁。</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组</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编号，抽检</w:t>
            </w:r>
          </w:p>
        </w:tc>
      </w:tr>
      <w:tr>
        <w:tblPrEx>
          <w:tblCellMar>
            <w:top w:w="0" w:type="dxa"/>
            <w:left w:w="108" w:type="dxa"/>
            <w:bottom w:w="0" w:type="dxa"/>
            <w:right w:w="108" w:type="dxa"/>
          </w:tblCellMar>
        </w:tblPrEx>
        <w:trPr>
          <w:trHeight w:val="9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6</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折叠椅子</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材质：采用皮质光泽度好,透气性强,优质环保皮覆面+优质静电喷涂钢管，展开尺寸440*400*780（mm）,颜色：黑色。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7</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站厅传单展示架</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长宽高规格：635*360*1275（mm）；</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 xml:space="preserve">材料采用优质0.6MM厚冷轧钢板，经剪板、冲压、折弯、点焊成型，外表经除锈、水洗、酸洗、磷化、再水洗、烘干处理。 表面处理：表面经过脱脂→酸洗→表调→磷化→水洗→烘干→静电喷塑→烘干等九工位处理，底座带滑轮。共9层，带网格挡板。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8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8</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塑料凳</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尺寸：高440mm*宽395mm(底脚宽)±20mm；</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PP材质 加厚好质量 安全耐摔；</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颜色:红色。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84</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3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9</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玻璃文件柜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深宽高规格：390*850*1900（mm）；</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组</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钢材椅</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1、依据人体工程学原理设计；</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2、椅座、背：优质钢材；</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3、脚架：钢材脚架，静电喷涂处理；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4、椅子尺寸常规；</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5、钢材面板厚度1.2mm。</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13</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编号，抽检</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11</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床头柜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 xml:space="preserve">规格：长500*宽400*高550 (mm)；                                          </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面材：优质三聚氰胺板饰面板</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基材采用优质多层板，甲醛释放量符合国标E1级要求，含水率低于9﹪，采用环保型PU聚脂油漆。附着力强、流平性高，涂料亮度均匀，不褪色；家具所使用的粘合剂符合国家强制性标准。上层具有抽屉功能，带锁,下层具备开放式鞋柜功能；</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颜色：可选（首选桃木色）。与桌椅颜色保持一致。</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6</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12</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卷帘</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成份：30%玻璃纤维、70%PVC；开孔率：3%；干燥面积克重量：≥350g/㎡；耐光色牢度：4级以上；耐水色牢度：4级以上；PH值：4-9级；甲醛含量≤20mg/kg；可分解致癌芳香胺燃料≤5mg/kg；可萃取的重金属（汞）&lt;0.02 mg/kg。</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★面料阻燃要求：必须能提供市级（含市级）以上质量监督检验中心提供的检测材料的检测报告 达到B1级检测要求。</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需包安装，安装人员需具备登高作业证。</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所需尺寸长1.75*2.75宽，10个；长1.75*宽1.75，2个；长1.8*宽1.8，26个；合计面积约为160平方，具体以实际测量为主。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平方</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160</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9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13</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报刊架</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材质:钢管+普通夹子</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款式:支架+资料网</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规格:106*63.5*31</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重量:4kg</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台</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14</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屏风</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1、此款屏风采用优质材质，铝合金边框工艺为阳极氧化处理；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2、隔板厚度为40mm，所有铝型材壁厚达到1.2mm厚，材料全部冲压完成，拆装方便自如，配套有强大的走线槽，屏风脚下上配有可调12mm高的金属调节器，优质木色MFC饰面；</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3、长高规格：1200*2000</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4、包安装并包含安装五金配件。</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块</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30</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15</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办公地柜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1、尺寸：800*400*800，两门，双层。</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2、文件密码锁，防锈耐磨。</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3、E1级多层板材，绿色环保，结实耐用，</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4、五金缓冲门铰。</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5、颜色：深胡桃色。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9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16</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 xml:space="preserve">密码文件柜 </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铁皮柜资料档案柜器材柜</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规格：尺寸高1850*900*420mm 厚1.0</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开锁方式：密码+钥匙</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颜色：浅灰色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26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17</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卡座</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规格：★1800*1600*1200</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卡座材质说明：1、框架：横截面为30mm厚组合框架（氧化色），铝合金装饰型材截面厚度为1.2mm，结构型材截面厚度为1.0mm；表面静电粉末喷涂处理；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2、台面基材：采用三聚氰胺饰面板：厚度不低于25mm，品牌相当于或优于大亚、福人、丰林、露水河等品牌。符合GB 18580-2017《室内装饰装修材料 人造板及制品中甲醛释放限量》和《浸渍胶膜纸饰面纤维板和刨花板》要求</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3、五金配件： 五金配件：优质五金配件；所有五金配件均氧化、镀锌、酸洗磷化等防锈处理，表面涂层没有脱落现象，质量标准符合国际及行业要求；</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4、折叠床：白色钢架，方管，管壁厚度1.2mm，承重约200公斤，可折叠使用次数5000次。展开尺寸：长1900mm*宽600mm*高225mm,折叠尺寸：高600mm*宽600mm*厚420mm；（款式颜色待客户确认生产）</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26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18</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职员椅</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1、布料：优质网布，抗张、耐磨性强。透气和防静电性能优越；</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2、黑色背框：70%PP+30%玻纤，更加耐用，椅背耐久测试，座垫施力109kg力，背垫施加45kg，累计循环测试12万次，无异常，；</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3、座垫：≥12厘10层弯曲板，优质切割棉 ,通过座垫耐久测试承重57kg，离座垫高度36mm，自由落体测试10万次，无异常；</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4、黑色PP面固定扶手：70%PP+30%玻纤扶手支架,通过耐久测试：以垂直扶手向内形成10度方向，向两个扶手同时施加41kg力，循环测试6万次无异常；</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 xml:space="preserve">5、大班蝴蝶底盘，后仰结构测试30万次，无异常； </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 xml:space="preserve">6、三级气压杆（氮气），防爆炸，施重123kg，旋转12万次无异常 </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7、五星脚：70%尼龙+30%玻纤尼龙脚</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8、轮子：加强尼龙轮，80000次循环测试无异常；</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9</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6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19</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会议桌</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规格：2800*1200*750</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基材：采用E0级刨花板基材,游离甲醛释放量不低于国内E0级标准；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封边：同色2MM厚PVC直封边；</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五金配件：采用优质阻尼导轨及铰链优质锁具等优质五金配件；所有五金配件均氧化、镀锌、酸洗磷化等防锈处理，表面涂层没有脱落现象，质量标准符合国际及行业要求；</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贴面胶：环保贴面胶和包边胶。</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颜色：款式颜色待客户确认生产</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27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20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bCs/>
                <w:color w:val="auto"/>
                <w:sz w:val="20"/>
                <w:szCs w:val="20"/>
                <w:highlight w:val="none"/>
              </w:rPr>
            </w:pPr>
            <w:r>
              <w:rPr>
                <w:rFonts w:hint="eastAsia" w:ascii="宋体" w:hAnsi="宋体" w:cs="宋体"/>
                <w:b/>
                <w:bCs/>
                <w:color w:val="auto"/>
                <w:sz w:val="20"/>
                <w:szCs w:val="20"/>
                <w:highlight w:val="none"/>
                <w:lang w:bidi="ar"/>
              </w:rPr>
              <w:t>合计</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rPr>
                <w:rFonts w:ascii="宋体" w:hAnsi="宋体" w:cs="宋体"/>
                <w:b/>
                <w:bCs/>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444</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rPr>
                <w:rFonts w:ascii="宋体" w:hAnsi="宋体" w:cs="宋体"/>
                <w:color w:val="auto"/>
                <w:sz w:val="20"/>
                <w:szCs w:val="20"/>
                <w:highlight w:val="none"/>
              </w:rPr>
            </w:pPr>
          </w:p>
        </w:tc>
      </w:tr>
    </w:tbl>
    <w:p>
      <w:pPr>
        <w:snapToGrid w:val="0"/>
        <w:spacing w:before="0" w:after="0" w:afterAutospacing="0"/>
        <w:ind w:left="0" w:right="0" w:firstLine="0"/>
        <w:jc w:val="left"/>
        <w:rPr>
          <w:rFonts w:ascii="宋体" w:hAnsi="宋体"/>
          <w:b/>
          <w:color w:val="auto"/>
          <w:highlight w:val="none"/>
        </w:rPr>
        <w:sectPr>
          <w:pgSz w:w="16838" w:h="11905" w:orient="landscape"/>
          <w:pgMar w:top="1418" w:right="1418" w:bottom="1418" w:left="1304" w:header="454" w:footer="567" w:gutter="0"/>
          <w:cols w:space="720" w:num="1"/>
          <w:docGrid w:linePitch="312" w:charSpace="0"/>
        </w:sectPr>
      </w:pPr>
    </w:p>
    <w:tbl>
      <w:tblPr>
        <w:tblStyle w:val="26"/>
        <w:tblW w:w="9090" w:type="dxa"/>
        <w:tblInd w:w="93" w:type="dxa"/>
        <w:tblLayout w:type="autofit"/>
        <w:tblCellMar>
          <w:top w:w="0" w:type="dxa"/>
          <w:left w:w="108" w:type="dxa"/>
          <w:bottom w:w="0" w:type="dxa"/>
          <w:right w:w="108" w:type="dxa"/>
        </w:tblCellMar>
      </w:tblPr>
      <w:tblGrid>
        <w:gridCol w:w="1139"/>
        <w:gridCol w:w="2370"/>
        <w:gridCol w:w="1791"/>
        <w:gridCol w:w="3790"/>
      </w:tblGrid>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序号</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货物名称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备注</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参考图片</w:t>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沙发套装</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编号，全检</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b/>
                <w:bCs/>
                <w:color w:val="auto"/>
                <w:sz w:val="20"/>
                <w:szCs w:val="20"/>
                <w:highlight w:val="none"/>
              </w:rPr>
            </w:pPr>
            <w:r>
              <w:rPr>
                <w:rFonts w:hint="eastAsia" w:ascii="宋体" w:hAnsi="宋体" w:cs="宋体"/>
                <w:b/>
                <w:bCs/>
                <w:color w:val="auto"/>
                <w:sz w:val="20"/>
                <w:szCs w:val="20"/>
                <w:highlight w:val="none"/>
                <w:bdr w:val="single" w:color="000000" w:sz="4" w:space="0"/>
              </w:rPr>
              <w:drawing>
                <wp:anchor distT="0" distB="0" distL="114300" distR="114300" simplePos="0" relativeHeight="251659264" behindDoc="0" locked="0" layoutInCell="1" allowOverlap="1">
                  <wp:simplePos x="0" y="0"/>
                  <wp:positionH relativeFrom="column">
                    <wp:posOffset>25400</wp:posOffset>
                  </wp:positionH>
                  <wp:positionV relativeFrom="paragraph">
                    <wp:posOffset>161290</wp:posOffset>
                  </wp:positionV>
                  <wp:extent cx="2241550" cy="1153160"/>
                  <wp:effectExtent l="0" t="0" r="6350" b="8890"/>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11"/>
                          <a:stretch>
                            <a:fillRect/>
                          </a:stretch>
                        </pic:blipFill>
                        <pic:spPr>
                          <a:xfrm>
                            <a:off x="0" y="0"/>
                            <a:ext cx="2241550" cy="11531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中层椅子</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0288" behindDoc="0" locked="0" layoutInCell="1" allowOverlap="1">
                  <wp:simplePos x="0" y="0"/>
                  <wp:positionH relativeFrom="column">
                    <wp:posOffset>316230</wp:posOffset>
                  </wp:positionH>
                  <wp:positionV relativeFrom="paragraph">
                    <wp:posOffset>36195</wp:posOffset>
                  </wp:positionV>
                  <wp:extent cx="956310" cy="1274445"/>
                  <wp:effectExtent l="0" t="0" r="15240" b="1905"/>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12"/>
                          <a:stretch>
                            <a:fillRect/>
                          </a:stretch>
                        </pic:blipFill>
                        <pic:spPr>
                          <a:xfrm>
                            <a:off x="0" y="0"/>
                            <a:ext cx="956310" cy="12744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职员椅子（弓形）</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△按样品，编号，抽检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1312" behindDoc="0" locked="0" layoutInCell="1" allowOverlap="1">
                  <wp:simplePos x="0" y="0"/>
                  <wp:positionH relativeFrom="column">
                    <wp:posOffset>390525</wp:posOffset>
                  </wp:positionH>
                  <wp:positionV relativeFrom="paragraph">
                    <wp:posOffset>136525</wp:posOffset>
                  </wp:positionV>
                  <wp:extent cx="908050" cy="1543685"/>
                  <wp:effectExtent l="0" t="0" r="6350" b="18415"/>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13"/>
                          <a:stretch>
                            <a:fillRect/>
                          </a:stretch>
                        </pic:blipFill>
                        <pic:spPr>
                          <a:xfrm>
                            <a:off x="0" y="0"/>
                            <a:ext cx="908050" cy="15436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4</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调度椅子</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△按样品，编号，抽检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2336" behindDoc="0" locked="0" layoutInCell="1" allowOverlap="1">
                  <wp:simplePos x="0" y="0"/>
                  <wp:positionH relativeFrom="column">
                    <wp:posOffset>247650</wp:posOffset>
                  </wp:positionH>
                  <wp:positionV relativeFrom="paragraph">
                    <wp:posOffset>66040</wp:posOffset>
                  </wp:positionV>
                  <wp:extent cx="991870" cy="1320800"/>
                  <wp:effectExtent l="0" t="0" r="17780" b="12700"/>
                  <wp:wrapNone/>
                  <wp:docPr id="19" name="图片_2"/>
                  <wp:cNvGraphicFramePr/>
                  <a:graphic xmlns:a="http://schemas.openxmlformats.org/drawingml/2006/main">
                    <a:graphicData uri="http://schemas.openxmlformats.org/drawingml/2006/picture">
                      <pic:pic xmlns:pic="http://schemas.openxmlformats.org/drawingml/2006/picture">
                        <pic:nvPicPr>
                          <pic:cNvPr id="19" name="图片_2"/>
                          <pic:cNvPicPr/>
                        </pic:nvPicPr>
                        <pic:blipFill>
                          <a:blip r:embed="rId14"/>
                          <a:stretch>
                            <a:fillRect/>
                          </a:stretch>
                        </pic:blipFill>
                        <pic:spPr>
                          <a:xfrm>
                            <a:off x="0" y="0"/>
                            <a:ext cx="991870" cy="13208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钢制文件柜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3360" behindDoc="0" locked="0" layoutInCell="1" allowOverlap="1">
                  <wp:simplePos x="0" y="0"/>
                  <wp:positionH relativeFrom="column">
                    <wp:posOffset>333375</wp:posOffset>
                  </wp:positionH>
                  <wp:positionV relativeFrom="paragraph">
                    <wp:posOffset>54610</wp:posOffset>
                  </wp:positionV>
                  <wp:extent cx="1069340" cy="1540510"/>
                  <wp:effectExtent l="0" t="0" r="16510" b="2540"/>
                  <wp:wrapNone/>
                  <wp:docPr id="12" name="Picture_143"/>
                  <wp:cNvGraphicFramePr/>
                  <a:graphic xmlns:a="http://schemas.openxmlformats.org/drawingml/2006/main">
                    <a:graphicData uri="http://schemas.openxmlformats.org/drawingml/2006/picture">
                      <pic:pic xmlns:pic="http://schemas.openxmlformats.org/drawingml/2006/picture">
                        <pic:nvPicPr>
                          <pic:cNvPr id="12" name="Picture_143"/>
                          <pic:cNvPicPr/>
                        </pic:nvPicPr>
                        <pic:blipFill>
                          <a:blip r:embed="rId15"/>
                          <a:stretch>
                            <a:fillRect/>
                          </a:stretch>
                        </pic:blipFill>
                        <pic:spPr>
                          <a:xfrm>
                            <a:off x="0" y="0"/>
                            <a:ext cx="1069340" cy="15405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6</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折叠椅子</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4384" behindDoc="0" locked="0" layoutInCell="1" allowOverlap="1">
                  <wp:simplePos x="0" y="0"/>
                  <wp:positionH relativeFrom="column">
                    <wp:posOffset>180975</wp:posOffset>
                  </wp:positionH>
                  <wp:positionV relativeFrom="paragraph">
                    <wp:posOffset>307975</wp:posOffset>
                  </wp:positionV>
                  <wp:extent cx="766445" cy="791845"/>
                  <wp:effectExtent l="0" t="0" r="14605" b="8255"/>
                  <wp:wrapNone/>
                  <wp:docPr id="7" name="图片_19"/>
                  <wp:cNvGraphicFramePr/>
                  <a:graphic xmlns:a="http://schemas.openxmlformats.org/drawingml/2006/main">
                    <a:graphicData uri="http://schemas.openxmlformats.org/drawingml/2006/picture">
                      <pic:pic xmlns:pic="http://schemas.openxmlformats.org/drawingml/2006/picture">
                        <pic:nvPicPr>
                          <pic:cNvPr id="7" name="图片_19"/>
                          <pic:cNvPicPr/>
                        </pic:nvPicPr>
                        <pic:blipFill>
                          <a:blip r:embed="rId16"/>
                          <a:stretch>
                            <a:fillRect/>
                          </a:stretch>
                        </pic:blipFill>
                        <pic:spPr>
                          <a:xfrm>
                            <a:off x="0" y="0"/>
                            <a:ext cx="766445" cy="791845"/>
                          </a:xfrm>
                          <a:prstGeom prst="rect">
                            <a:avLst/>
                          </a:prstGeom>
                          <a:noFill/>
                          <a:ln>
                            <a:noFill/>
                          </a:ln>
                        </pic:spPr>
                      </pic:pic>
                    </a:graphicData>
                  </a:graphic>
                </wp:anchor>
              </w:drawing>
            </w:r>
            <w:r>
              <w:rPr>
                <w:rFonts w:hint="eastAsia" w:ascii="宋体" w:hAnsi="宋体" w:cs="宋体"/>
                <w:color w:val="auto"/>
                <w:sz w:val="20"/>
                <w:szCs w:val="20"/>
                <w:highlight w:val="none"/>
              </w:rPr>
              <w:drawing>
                <wp:anchor distT="0" distB="0" distL="114300" distR="114300" simplePos="0" relativeHeight="251665408" behindDoc="0" locked="0" layoutInCell="1" allowOverlap="1">
                  <wp:simplePos x="0" y="0"/>
                  <wp:positionH relativeFrom="column">
                    <wp:posOffset>437515</wp:posOffset>
                  </wp:positionH>
                  <wp:positionV relativeFrom="paragraph">
                    <wp:posOffset>37465</wp:posOffset>
                  </wp:positionV>
                  <wp:extent cx="921385" cy="0"/>
                  <wp:effectExtent l="0" t="0" r="0" b="0"/>
                  <wp:wrapNone/>
                  <wp:docPr id="2" name="图片_19_SpCnt_1"/>
                  <wp:cNvGraphicFramePr/>
                  <a:graphic xmlns:a="http://schemas.openxmlformats.org/drawingml/2006/main">
                    <a:graphicData uri="http://schemas.openxmlformats.org/drawingml/2006/picture">
                      <pic:pic xmlns:pic="http://schemas.openxmlformats.org/drawingml/2006/picture">
                        <pic:nvPicPr>
                          <pic:cNvPr id="2" name="图片_19_SpCnt_1"/>
                          <pic:cNvPicPr/>
                        </pic:nvPicPr>
                        <pic:blipFill>
                          <a:blip r:embed="rId17"/>
                          <a:stretch>
                            <a:fillRect/>
                          </a:stretch>
                        </pic:blipFill>
                        <pic:spPr>
                          <a:xfrm>
                            <a:off x="0" y="0"/>
                            <a:ext cx="921385" cy="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7</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站厅传单展示架</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6432" behindDoc="0" locked="0" layoutInCell="1" allowOverlap="1">
                  <wp:simplePos x="0" y="0"/>
                  <wp:positionH relativeFrom="column">
                    <wp:posOffset>123825</wp:posOffset>
                  </wp:positionH>
                  <wp:positionV relativeFrom="paragraph">
                    <wp:posOffset>104775</wp:posOffset>
                  </wp:positionV>
                  <wp:extent cx="952500" cy="1222375"/>
                  <wp:effectExtent l="0" t="0" r="0" b="15875"/>
                  <wp:wrapNone/>
                  <wp:docPr id="18" name="图片_1_SpCnt_1"/>
                  <wp:cNvGraphicFramePr/>
                  <a:graphic xmlns:a="http://schemas.openxmlformats.org/drawingml/2006/main">
                    <a:graphicData uri="http://schemas.openxmlformats.org/drawingml/2006/picture">
                      <pic:pic xmlns:pic="http://schemas.openxmlformats.org/drawingml/2006/picture">
                        <pic:nvPicPr>
                          <pic:cNvPr id="18" name="图片_1_SpCnt_1"/>
                          <pic:cNvPicPr/>
                        </pic:nvPicPr>
                        <pic:blipFill>
                          <a:blip r:embed="rId18"/>
                          <a:stretch>
                            <a:fillRect/>
                          </a:stretch>
                        </pic:blipFill>
                        <pic:spPr>
                          <a:xfrm>
                            <a:off x="0" y="0"/>
                            <a:ext cx="952500" cy="12223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8</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塑料凳</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7456" behindDoc="0" locked="0" layoutInCell="1" allowOverlap="1">
                  <wp:simplePos x="0" y="0"/>
                  <wp:positionH relativeFrom="column">
                    <wp:posOffset>316230</wp:posOffset>
                  </wp:positionH>
                  <wp:positionV relativeFrom="paragraph">
                    <wp:posOffset>31115</wp:posOffset>
                  </wp:positionV>
                  <wp:extent cx="929640" cy="1094740"/>
                  <wp:effectExtent l="0" t="0" r="3810" b="10160"/>
                  <wp:wrapNone/>
                  <wp:docPr id="20" name="图片_31"/>
                  <wp:cNvGraphicFramePr/>
                  <a:graphic xmlns:a="http://schemas.openxmlformats.org/drawingml/2006/main">
                    <a:graphicData uri="http://schemas.openxmlformats.org/drawingml/2006/picture">
                      <pic:pic xmlns:pic="http://schemas.openxmlformats.org/drawingml/2006/picture">
                        <pic:nvPicPr>
                          <pic:cNvPr id="20" name="图片_31"/>
                          <pic:cNvPicPr/>
                        </pic:nvPicPr>
                        <pic:blipFill>
                          <a:blip r:embed="rId19"/>
                          <a:stretch>
                            <a:fillRect/>
                          </a:stretch>
                        </pic:blipFill>
                        <pic:spPr>
                          <a:xfrm>
                            <a:off x="0" y="0"/>
                            <a:ext cx="929640" cy="10947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9</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玻璃文件柜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8480" behindDoc="0" locked="0" layoutInCell="1" allowOverlap="1">
                  <wp:simplePos x="0" y="0"/>
                  <wp:positionH relativeFrom="column">
                    <wp:posOffset>337820</wp:posOffset>
                  </wp:positionH>
                  <wp:positionV relativeFrom="paragraph">
                    <wp:posOffset>91440</wp:posOffset>
                  </wp:positionV>
                  <wp:extent cx="1139190" cy="1673860"/>
                  <wp:effectExtent l="0" t="0" r="3810" b="2540"/>
                  <wp:wrapNone/>
                  <wp:docPr id="4" name="图片_225"/>
                  <wp:cNvGraphicFramePr/>
                  <a:graphic xmlns:a="http://schemas.openxmlformats.org/drawingml/2006/main">
                    <a:graphicData uri="http://schemas.openxmlformats.org/drawingml/2006/picture">
                      <pic:pic xmlns:pic="http://schemas.openxmlformats.org/drawingml/2006/picture">
                        <pic:nvPicPr>
                          <pic:cNvPr id="4" name="图片_225"/>
                          <pic:cNvPicPr/>
                        </pic:nvPicPr>
                        <pic:blipFill>
                          <a:blip r:embed="rId20"/>
                          <a:stretch>
                            <a:fillRect/>
                          </a:stretch>
                        </pic:blipFill>
                        <pic:spPr>
                          <a:xfrm>
                            <a:off x="0" y="0"/>
                            <a:ext cx="1139190" cy="16738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钢材椅</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9504" behindDoc="0" locked="0" layoutInCell="1" allowOverlap="1">
                  <wp:simplePos x="0" y="0"/>
                  <wp:positionH relativeFrom="column">
                    <wp:posOffset>400050</wp:posOffset>
                  </wp:positionH>
                  <wp:positionV relativeFrom="paragraph">
                    <wp:posOffset>52705</wp:posOffset>
                  </wp:positionV>
                  <wp:extent cx="1060450" cy="1712595"/>
                  <wp:effectExtent l="0" t="0" r="6350" b="1905"/>
                  <wp:wrapNone/>
                  <wp:docPr id="9" name="图片_256"/>
                  <wp:cNvGraphicFramePr/>
                  <a:graphic xmlns:a="http://schemas.openxmlformats.org/drawingml/2006/main">
                    <a:graphicData uri="http://schemas.openxmlformats.org/drawingml/2006/picture">
                      <pic:pic xmlns:pic="http://schemas.openxmlformats.org/drawingml/2006/picture">
                        <pic:nvPicPr>
                          <pic:cNvPr id="9" name="图片_256"/>
                          <pic:cNvPicPr/>
                        </pic:nvPicPr>
                        <pic:blipFill>
                          <a:blip r:embed="rId21"/>
                          <a:stretch>
                            <a:fillRect/>
                          </a:stretch>
                        </pic:blipFill>
                        <pic:spPr>
                          <a:xfrm>
                            <a:off x="0" y="0"/>
                            <a:ext cx="1060450" cy="17125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床头柜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9504" behindDoc="0" locked="0" layoutInCell="1" allowOverlap="1">
                  <wp:simplePos x="0" y="0"/>
                  <wp:positionH relativeFrom="column">
                    <wp:posOffset>275590</wp:posOffset>
                  </wp:positionH>
                  <wp:positionV relativeFrom="paragraph">
                    <wp:posOffset>108585</wp:posOffset>
                  </wp:positionV>
                  <wp:extent cx="1313180" cy="1499870"/>
                  <wp:effectExtent l="0" t="0" r="1270" b="5080"/>
                  <wp:wrapNone/>
                  <wp:docPr id="8" name="图片_46"/>
                  <wp:cNvGraphicFramePr/>
                  <a:graphic xmlns:a="http://schemas.openxmlformats.org/drawingml/2006/main">
                    <a:graphicData uri="http://schemas.openxmlformats.org/drawingml/2006/picture">
                      <pic:pic xmlns:pic="http://schemas.openxmlformats.org/drawingml/2006/picture">
                        <pic:nvPicPr>
                          <pic:cNvPr id="8" name="图片_46"/>
                          <pic:cNvPicPr/>
                        </pic:nvPicPr>
                        <pic:blipFill>
                          <a:blip r:embed="rId22"/>
                          <a:stretch>
                            <a:fillRect/>
                          </a:stretch>
                        </pic:blipFill>
                        <pic:spPr>
                          <a:xfrm>
                            <a:off x="0" y="0"/>
                            <a:ext cx="1313180" cy="14998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卷帘</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0528" behindDoc="0" locked="0" layoutInCell="1" allowOverlap="1">
                  <wp:simplePos x="0" y="0"/>
                  <wp:positionH relativeFrom="column">
                    <wp:posOffset>85725</wp:posOffset>
                  </wp:positionH>
                  <wp:positionV relativeFrom="paragraph">
                    <wp:posOffset>295275</wp:posOffset>
                  </wp:positionV>
                  <wp:extent cx="1320165" cy="1124585"/>
                  <wp:effectExtent l="0" t="0" r="13335" b="18415"/>
                  <wp:wrapNone/>
                  <wp:docPr id="10" name="图片_3"/>
                  <wp:cNvGraphicFramePr/>
                  <a:graphic xmlns:a="http://schemas.openxmlformats.org/drawingml/2006/main">
                    <a:graphicData uri="http://schemas.openxmlformats.org/drawingml/2006/picture">
                      <pic:pic xmlns:pic="http://schemas.openxmlformats.org/drawingml/2006/picture">
                        <pic:nvPicPr>
                          <pic:cNvPr id="10" name="图片_3"/>
                          <pic:cNvPicPr/>
                        </pic:nvPicPr>
                        <pic:blipFill>
                          <a:blip r:embed="rId23"/>
                          <a:stretch>
                            <a:fillRect/>
                          </a:stretch>
                        </pic:blipFill>
                        <pic:spPr>
                          <a:xfrm>
                            <a:off x="0" y="0"/>
                            <a:ext cx="1320165" cy="11245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报刊架</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1552" behindDoc="0" locked="0" layoutInCell="1" allowOverlap="1">
                  <wp:simplePos x="0" y="0"/>
                  <wp:positionH relativeFrom="column">
                    <wp:posOffset>247650</wp:posOffset>
                  </wp:positionH>
                  <wp:positionV relativeFrom="paragraph">
                    <wp:posOffset>365125</wp:posOffset>
                  </wp:positionV>
                  <wp:extent cx="994410" cy="1202055"/>
                  <wp:effectExtent l="0" t="0" r="15240" b="17145"/>
                  <wp:wrapNone/>
                  <wp:docPr id="13" name="图片_20"/>
                  <wp:cNvGraphicFramePr/>
                  <a:graphic xmlns:a="http://schemas.openxmlformats.org/drawingml/2006/main">
                    <a:graphicData uri="http://schemas.openxmlformats.org/drawingml/2006/picture">
                      <pic:pic xmlns:pic="http://schemas.openxmlformats.org/drawingml/2006/picture">
                        <pic:nvPicPr>
                          <pic:cNvPr id="13" name="图片_20"/>
                          <pic:cNvPicPr/>
                        </pic:nvPicPr>
                        <pic:blipFill>
                          <a:blip r:embed="rId24"/>
                          <a:stretch>
                            <a:fillRect/>
                          </a:stretch>
                        </pic:blipFill>
                        <pic:spPr>
                          <a:xfrm>
                            <a:off x="0" y="0"/>
                            <a:ext cx="994410" cy="120205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14</w:t>
            </w:r>
          </w:p>
        </w:tc>
        <w:tc>
          <w:tcPr>
            <w:tcW w:w="0" w:type="auto"/>
            <w:tcBorders>
              <w:top w:val="single" w:color="000000" w:sz="4" w:space="0"/>
              <w:left w:val="nil"/>
              <w:bottom w:val="nil"/>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屏风</w:t>
            </w:r>
          </w:p>
        </w:tc>
        <w:tc>
          <w:tcPr>
            <w:tcW w:w="1800" w:type="dxa"/>
            <w:tcBorders>
              <w:top w:val="single" w:color="000000" w:sz="4" w:space="0"/>
              <w:left w:val="nil"/>
              <w:bottom w:val="nil"/>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nil"/>
              <w:right w:val="single" w:color="000000" w:sz="4" w:space="0"/>
            </w:tcBorders>
            <w:shd w:val="clear" w:color="auto" w:fill="auto"/>
          </w:tcPr>
          <w:p>
            <w:pPr>
              <w:jc w:val="left"/>
              <w:textAlignment w:val="top"/>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2576" behindDoc="0" locked="0" layoutInCell="1" allowOverlap="1">
                  <wp:simplePos x="0" y="0"/>
                  <wp:positionH relativeFrom="column">
                    <wp:posOffset>128270</wp:posOffset>
                  </wp:positionH>
                  <wp:positionV relativeFrom="paragraph">
                    <wp:posOffset>128905</wp:posOffset>
                  </wp:positionV>
                  <wp:extent cx="1042670" cy="1187450"/>
                  <wp:effectExtent l="0" t="0" r="5080" b="12700"/>
                  <wp:wrapNone/>
                  <wp:docPr id="11" name="图片_3_SpCnt_1"/>
                  <wp:cNvGraphicFramePr/>
                  <a:graphic xmlns:a="http://schemas.openxmlformats.org/drawingml/2006/main">
                    <a:graphicData uri="http://schemas.openxmlformats.org/drawingml/2006/picture">
                      <pic:pic xmlns:pic="http://schemas.openxmlformats.org/drawingml/2006/picture">
                        <pic:nvPicPr>
                          <pic:cNvPr id="11" name="图片_3_SpCnt_1"/>
                          <pic:cNvPicPr/>
                        </pic:nvPicPr>
                        <pic:blipFill>
                          <a:blip r:embed="rId25"/>
                          <a:stretch>
                            <a:fillRect/>
                          </a:stretch>
                        </pic:blipFill>
                        <pic:spPr>
                          <a:xfrm>
                            <a:off x="0" y="0"/>
                            <a:ext cx="1042670" cy="11874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办公地柜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tcPr>
          <w:p>
            <w:pPr>
              <w:jc w:val="left"/>
              <w:textAlignment w:val="top"/>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3600" behindDoc="0" locked="0" layoutInCell="1" allowOverlap="1">
                  <wp:simplePos x="0" y="0"/>
                  <wp:positionH relativeFrom="column">
                    <wp:posOffset>10795</wp:posOffset>
                  </wp:positionH>
                  <wp:positionV relativeFrom="paragraph">
                    <wp:posOffset>6350</wp:posOffset>
                  </wp:positionV>
                  <wp:extent cx="1454150" cy="1193165"/>
                  <wp:effectExtent l="0" t="0" r="12700" b="6985"/>
                  <wp:wrapNone/>
                  <wp:docPr id="17" name="图片_1_SpCnt_2"/>
                  <wp:cNvGraphicFramePr/>
                  <a:graphic xmlns:a="http://schemas.openxmlformats.org/drawingml/2006/main">
                    <a:graphicData uri="http://schemas.openxmlformats.org/drawingml/2006/picture">
                      <pic:pic xmlns:pic="http://schemas.openxmlformats.org/drawingml/2006/picture">
                        <pic:nvPicPr>
                          <pic:cNvPr id="17" name="图片_1_SpCnt_2"/>
                          <pic:cNvPicPr/>
                        </pic:nvPicPr>
                        <pic:blipFill>
                          <a:blip r:embed="rId26"/>
                          <a:stretch>
                            <a:fillRect/>
                          </a:stretch>
                        </pic:blipFill>
                        <pic:spPr>
                          <a:xfrm>
                            <a:off x="0" y="0"/>
                            <a:ext cx="1454150" cy="11931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16</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 xml:space="preserve">密码文件柜 </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4624" behindDoc="0" locked="0" layoutInCell="1" allowOverlap="1">
                  <wp:simplePos x="0" y="0"/>
                  <wp:positionH relativeFrom="column">
                    <wp:posOffset>8890</wp:posOffset>
                  </wp:positionH>
                  <wp:positionV relativeFrom="paragraph">
                    <wp:posOffset>6985</wp:posOffset>
                  </wp:positionV>
                  <wp:extent cx="1703705" cy="1520190"/>
                  <wp:effectExtent l="0" t="0" r="10795" b="3810"/>
                  <wp:wrapNone/>
                  <wp:docPr id="14" name="图片_1_SpCnt_3"/>
                  <wp:cNvGraphicFramePr/>
                  <a:graphic xmlns:a="http://schemas.openxmlformats.org/drawingml/2006/main">
                    <a:graphicData uri="http://schemas.openxmlformats.org/drawingml/2006/picture">
                      <pic:pic xmlns:pic="http://schemas.openxmlformats.org/drawingml/2006/picture">
                        <pic:nvPicPr>
                          <pic:cNvPr id="14" name="图片_1_SpCnt_3"/>
                          <pic:cNvPicPr/>
                        </pic:nvPicPr>
                        <pic:blipFill>
                          <a:blip r:embed="rId27"/>
                          <a:stretch>
                            <a:fillRect/>
                          </a:stretch>
                        </pic:blipFill>
                        <pic:spPr>
                          <a:xfrm>
                            <a:off x="0" y="0"/>
                            <a:ext cx="1703705" cy="15201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17</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卡座</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5648" behindDoc="0" locked="0" layoutInCell="1" allowOverlap="1">
                  <wp:simplePos x="0" y="0"/>
                  <wp:positionH relativeFrom="column">
                    <wp:posOffset>159385</wp:posOffset>
                  </wp:positionH>
                  <wp:positionV relativeFrom="paragraph">
                    <wp:posOffset>37465</wp:posOffset>
                  </wp:positionV>
                  <wp:extent cx="1842135" cy="1378585"/>
                  <wp:effectExtent l="0" t="0" r="5715" b="12065"/>
                  <wp:wrapNone/>
                  <wp:docPr id="15" name="图片_1_SpCnt_4"/>
                  <wp:cNvGraphicFramePr/>
                  <a:graphic xmlns:a="http://schemas.openxmlformats.org/drawingml/2006/main">
                    <a:graphicData uri="http://schemas.openxmlformats.org/drawingml/2006/picture">
                      <pic:pic xmlns:pic="http://schemas.openxmlformats.org/drawingml/2006/picture">
                        <pic:nvPicPr>
                          <pic:cNvPr id="15" name="图片_1_SpCnt_4"/>
                          <pic:cNvPicPr/>
                        </pic:nvPicPr>
                        <pic:blipFill>
                          <a:blip r:embed="rId28"/>
                          <a:stretch>
                            <a:fillRect/>
                          </a:stretch>
                        </pic:blipFill>
                        <pic:spPr>
                          <a:xfrm>
                            <a:off x="0" y="0"/>
                            <a:ext cx="1842135" cy="13785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18</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职员椅</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6672" behindDoc="0" locked="0" layoutInCell="1" allowOverlap="1">
                  <wp:simplePos x="0" y="0"/>
                  <wp:positionH relativeFrom="column">
                    <wp:posOffset>8890</wp:posOffset>
                  </wp:positionH>
                  <wp:positionV relativeFrom="paragraph">
                    <wp:posOffset>8890</wp:posOffset>
                  </wp:positionV>
                  <wp:extent cx="1100455" cy="1466850"/>
                  <wp:effectExtent l="0" t="0" r="4445" b="0"/>
                  <wp:wrapNone/>
                  <wp:docPr id="21" name="图片_2_SpCnt_1"/>
                  <wp:cNvGraphicFramePr/>
                  <a:graphic xmlns:a="http://schemas.openxmlformats.org/drawingml/2006/main">
                    <a:graphicData uri="http://schemas.openxmlformats.org/drawingml/2006/picture">
                      <pic:pic xmlns:pic="http://schemas.openxmlformats.org/drawingml/2006/picture">
                        <pic:nvPicPr>
                          <pic:cNvPr id="21" name="图片_2_SpCnt_1"/>
                          <pic:cNvPicPr/>
                        </pic:nvPicPr>
                        <pic:blipFill>
                          <a:blip r:embed="rId29"/>
                          <a:stretch>
                            <a:fillRect/>
                          </a:stretch>
                        </pic:blipFill>
                        <pic:spPr>
                          <a:xfrm>
                            <a:off x="0" y="0"/>
                            <a:ext cx="1100455" cy="14668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19</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会议桌</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7696" behindDoc="0" locked="0" layoutInCell="1" allowOverlap="1">
                  <wp:simplePos x="0" y="0"/>
                  <wp:positionH relativeFrom="column">
                    <wp:posOffset>8890</wp:posOffset>
                  </wp:positionH>
                  <wp:positionV relativeFrom="paragraph">
                    <wp:posOffset>5715</wp:posOffset>
                  </wp:positionV>
                  <wp:extent cx="1060450" cy="1410970"/>
                  <wp:effectExtent l="0" t="0" r="6350" b="17780"/>
                  <wp:wrapNone/>
                  <wp:docPr id="16" name="图片_3_SpCnt_2"/>
                  <wp:cNvGraphicFramePr/>
                  <a:graphic xmlns:a="http://schemas.openxmlformats.org/drawingml/2006/main">
                    <a:graphicData uri="http://schemas.openxmlformats.org/drawingml/2006/picture">
                      <pic:pic xmlns:pic="http://schemas.openxmlformats.org/drawingml/2006/picture">
                        <pic:nvPicPr>
                          <pic:cNvPr id="16" name="图片_3_SpCnt_2"/>
                          <pic:cNvPicPr/>
                        </pic:nvPicPr>
                        <pic:blipFill>
                          <a:blip r:embed="rId30"/>
                          <a:stretch>
                            <a:fillRect/>
                          </a:stretch>
                        </pic:blipFill>
                        <pic:spPr>
                          <a:xfrm>
                            <a:off x="0" y="0"/>
                            <a:ext cx="1060450" cy="1410970"/>
                          </a:xfrm>
                          <a:prstGeom prst="rect">
                            <a:avLst/>
                          </a:prstGeom>
                          <a:noFill/>
                          <a:ln>
                            <a:noFill/>
                          </a:ln>
                        </pic:spPr>
                      </pic:pic>
                    </a:graphicData>
                  </a:graphic>
                </wp:anchor>
              </w:drawing>
            </w:r>
          </w:p>
        </w:tc>
      </w:tr>
    </w:tbl>
    <w:p>
      <w:pPr>
        <w:pStyle w:val="3"/>
        <w:spacing w:after="0" w:line="360" w:lineRule="auto"/>
        <w:ind w:right="-57" w:firstLine="0"/>
        <w:rPr>
          <w:color w:val="auto"/>
          <w:sz w:val="21"/>
          <w:szCs w:val="21"/>
          <w:highlight w:val="none"/>
        </w:rPr>
      </w:pPr>
      <w:bookmarkStart w:id="260" w:name="_Toc28404"/>
      <w:bookmarkStart w:id="261" w:name="_Toc31611"/>
      <w:bookmarkStart w:id="262" w:name="_Toc414290583"/>
      <w:bookmarkStart w:id="263" w:name="_Toc27271"/>
      <w:bookmarkStart w:id="264" w:name="_Toc9730"/>
      <w:bookmarkStart w:id="265" w:name="_Toc23314"/>
      <w:bookmarkStart w:id="266" w:name="_Toc18096"/>
      <w:bookmarkStart w:id="267" w:name="_Toc22464"/>
      <w:bookmarkStart w:id="268" w:name="_Toc16364"/>
      <w:bookmarkStart w:id="269" w:name="_Toc19557"/>
      <w:bookmarkStart w:id="270" w:name="_Toc10968"/>
      <w:bookmarkStart w:id="271" w:name="_Toc492478849"/>
      <w:bookmarkStart w:id="272" w:name="_Toc29245"/>
      <w:bookmarkStart w:id="273" w:name="_Toc9189"/>
      <w:bookmarkStart w:id="274" w:name="_Toc27798"/>
      <w:bookmarkStart w:id="275" w:name="_Toc29923"/>
      <w:bookmarkStart w:id="276" w:name="_Toc434"/>
      <w:bookmarkStart w:id="277" w:name="_Toc15073"/>
      <w:bookmarkStart w:id="278" w:name="_Toc9588"/>
      <w:bookmarkStart w:id="279" w:name="_Toc25750694"/>
      <w:bookmarkStart w:id="280" w:name="_Toc15224"/>
      <w:r>
        <w:rPr>
          <w:rFonts w:hint="eastAsia"/>
          <w:color w:val="auto"/>
          <w:sz w:val="21"/>
          <w:szCs w:val="21"/>
          <w:highlight w:val="none"/>
        </w:rPr>
        <w:t>附表一 资格审查表</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3016"/>
        <w:gridCol w:w="1383"/>
        <w:gridCol w:w="947"/>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项目内容</w:t>
            </w:r>
          </w:p>
        </w:tc>
        <w:tc>
          <w:tcPr>
            <w:tcW w:w="3016"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合格条件标准</w:t>
            </w:r>
          </w:p>
        </w:tc>
        <w:tc>
          <w:tcPr>
            <w:tcW w:w="1383"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评审依据</w:t>
            </w:r>
          </w:p>
        </w:tc>
        <w:tc>
          <w:tcPr>
            <w:tcW w:w="947"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评审结果（合格/不合格）</w:t>
            </w:r>
          </w:p>
        </w:tc>
        <w:tc>
          <w:tcPr>
            <w:tcW w:w="2401"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1690" w:hRule="atLeast"/>
          <w:jc w:val="center"/>
        </w:trPr>
        <w:tc>
          <w:tcPr>
            <w:tcW w:w="437"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1</w:t>
            </w:r>
          </w:p>
        </w:tc>
        <w:tc>
          <w:tcPr>
            <w:tcW w:w="107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身份证明材料</w:t>
            </w:r>
          </w:p>
        </w:tc>
        <w:tc>
          <w:tcPr>
            <w:tcW w:w="301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法定代表人授权书及法定代表人资格证明书（如无授权时，只需提供法定代表人资格证明书）、法定代表人及被授权人身份证复印件。</w:t>
            </w:r>
          </w:p>
        </w:tc>
        <w:tc>
          <w:tcPr>
            <w:tcW w:w="1383"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法定代表人授权书，法定代表人资格证明书和身份证复印件</w:t>
            </w:r>
          </w:p>
        </w:tc>
        <w:tc>
          <w:tcPr>
            <w:tcW w:w="947" w:type="dxa"/>
            <w:vAlign w:val="center"/>
          </w:tcPr>
          <w:p>
            <w:pPr>
              <w:spacing w:before="0" w:after="0" w:afterAutospacing="0"/>
              <w:ind w:left="0" w:right="0" w:firstLine="0"/>
              <w:rPr>
                <w:rFonts w:ascii="宋体" w:hAnsi="宋体" w:cs="宋体"/>
                <w:color w:val="auto"/>
                <w:highlight w:val="none"/>
              </w:rPr>
            </w:pPr>
          </w:p>
        </w:tc>
        <w:tc>
          <w:tcPr>
            <w:tcW w:w="2401"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301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w:t>
            </w:r>
            <w:r>
              <w:rPr>
                <w:rFonts w:hint="eastAsia" w:ascii="宋体" w:hAnsi="宋体" w:cs="宋体"/>
                <w:color w:val="auto"/>
                <w:highlight w:val="none"/>
              </w:rPr>
              <w:t>①</w:t>
            </w:r>
            <w:r>
              <w:rPr>
                <w:color w:val="auto"/>
                <w:highlight w:val="none"/>
              </w:rPr>
              <w:t>办公家具，</w:t>
            </w:r>
            <w:r>
              <w:rPr>
                <w:rFonts w:hint="eastAsia" w:ascii="宋体" w:hAnsi="宋体" w:cs="宋体"/>
                <w:color w:val="auto"/>
                <w:highlight w:val="none"/>
              </w:rPr>
              <w:t>②</w:t>
            </w:r>
            <w:r>
              <w:rPr>
                <w:color w:val="auto"/>
                <w:highlight w:val="none"/>
              </w:rPr>
              <w:t>办公用品销售，</w:t>
            </w:r>
            <w:r>
              <w:rPr>
                <w:rFonts w:hint="eastAsia" w:ascii="宋体" w:hAnsi="宋体" w:cs="宋体"/>
                <w:color w:val="auto"/>
                <w:highlight w:val="none"/>
              </w:rPr>
              <w:t>③</w:t>
            </w:r>
            <w:r>
              <w:rPr>
                <w:color w:val="auto"/>
                <w:highlight w:val="none"/>
              </w:rPr>
              <w:t>家具销售</w:t>
            </w:r>
            <w:r>
              <w:rPr>
                <w:rFonts w:hint="eastAsia"/>
                <w:color w:val="auto"/>
                <w:highlight w:val="none"/>
              </w:rPr>
              <w:t>等</w:t>
            </w:r>
            <w:r>
              <w:rPr>
                <w:rFonts w:hint="eastAsia" w:ascii="宋体" w:hAnsi="宋体"/>
                <w:color w:val="auto"/>
                <w:highlight w:val="none"/>
              </w:rPr>
              <w:t>类似经营范围。</w:t>
            </w:r>
          </w:p>
        </w:tc>
        <w:tc>
          <w:tcPr>
            <w:tcW w:w="138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947"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1970" w:hRule="atLeast"/>
          <w:jc w:val="center"/>
        </w:trPr>
        <w:tc>
          <w:tcPr>
            <w:tcW w:w="437" w:type="dxa"/>
            <w:vAlign w:val="center"/>
          </w:tcPr>
          <w:p>
            <w:pPr>
              <w:spacing w:before="0" w:after="0" w:afterAutospacing="0"/>
              <w:ind w:left="0" w:right="0" w:firstLine="0"/>
              <w:rPr>
                <w:rFonts w:ascii="宋体" w:hAnsi="宋体" w:cs="宋体"/>
                <w:color w:val="auto"/>
                <w:highlight w:val="none"/>
              </w:rPr>
            </w:pPr>
            <w:r>
              <w:rPr>
                <w:rFonts w:ascii="宋体" w:hAnsi="宋体" w:cs="宋体"/>
                <w:color w:val="auto"/>
                <w:highlight w:val="none"/>
              </w:rPr>
              <w:t>3</w:t>
            </w:r>
          </w:p>
        </w:tc>
        <w:tc>
          <w:tcPr>
            <w:tcW w:w="107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承诺函</w:t>
            </w:r>
          </w:p>
        </w:tc>
        <w:tc>
          <w:tcPr>
            <w:tcW w:w="301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比选申请人没有处于行政主管部门或业主取消比选申请资格的处罚期内，且没有被责令停业，财产被接管、破产状态；比选申请截止日前3年内没有骗取中选、严重违约或重大质量安全责任事故的情况。</w:t>
            </w:r>
          </w:p>
        </w:tc>
        <w:tc>
          <w:tcPr>
            <w:tcW w:w="1383"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承诺函原件</w:t>
            </w:r>
          </w:p>
        </w:tc>
        <w:tc>
          <w:tcPr>
            <w:tcW w:w="947" w:type="dxa"/>
            <w:vAlign w:val="center"/>
          </w:tcPr>
          <w:p>
            <w:pPr>
              <w:spacing w:before="0" w:after="0" w:afterAutospacing="0"/>
              <w:ind w:left="0" w:right="0" w:firstLine="0"/>
              <w:rPr>
                <w:rFonts w:ascii="宋体" w:hAnsi="宋体" w:cs="宋体"/>
                <w:color w:val="auto"/>
                <w:highlight w:val="none"/>
              </w:rPr>
            </w:pPr>
          </w:p>
        </w:tc>
        <w:tc>
          <w:tcPr>
            <w:tcW w:w="2401"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按规定格式提供承诺书</w:t>
            </w:r>
          </w:p>
        </w:tc>
      </w:tr>
    </w:tbl>
    <w:p>
      <w:pPr>
        <w:snapToGrid w:val="0"/>
        <w:spacing w:before="0" w:after="0" w:afterAutospacing="0" w:line="240" w:lineRule="auto"/>
        <w:ind w:left="0" w:right="0" w:firstLine="0"/>
        <w:rPr>
          <w:rFonts w:ascii="宋体" w:hAnsi="宋体"/>
          <w:b/>
          <w:color w:val="auto"/>
          <w:highlight w:val="none"/>
        </w:rPr>
      </w:pP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w:t>
      </w:r>
    </w:p>
    <w:p>
      <w:pPr>
        <w:snapToGrid w:val="0"/>
        <w:spacing w:before="0" w:after="0" w:afterAutospacing="0" w:line="240" w:lineRule="auto"/>
        <w:ind w:left="0" w:right="0" w:firstLine="0"/>
        <w:outlineLvl w:val="3"/>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spacing w:after="0" w:line="360" w:lineRule="auto"/>
        <w:ind w:right="-57" w:firstLine="0"/>
        <w:rPr>
          <w:color w:val="auto"/>
          <w:sz w:val="24"/>
          <w:szCs w:val="24"/>
          <w:highlight w:val="none"/>
        </w:rPr>
      </w:pPr>
      <w:r>
        <w:rPr>
          <w:rFonts w:ascii="宋体" w:hAnsi="宋体"/>
          <w:color w:val="auto"/>
          <w:highlight w:val="none"/>
        </w:rPr>
        <w:br w:type="page"/>
      </w:r>
      <w:bookmarkStart w:id="281" w:name="_Toc25750695"/>
      <w:bookmarkStart w:id="282" w:name="_Toc30699"/>
      <w:bookmarkStart w:id="283" w:name="_Toc492478850"/>
      <w:bookmarkStart w:id="284" w:name="_Toc6612"/>
      <w:bookmarkStart w:id="285" w:name="_Toc20215"/>
      <w:bookmarkStart w:id="286" w:name="_Toc12984826"/>
      <w:bookmarkStart w:id="287" w:name="_Toc15103"/>
      <w:bookmarkStart w:id="288" w:name="_Toc191"/>
      <w:bookmarkStart w:id="289" w:name="_Toc5811"/>
      <w:bookmarkStart w:id="290" w:name="_Toc25123"/>
      <w:bookmarkStart w:id="291" w:name="_Toc12983557"/>
      <w:bookmarkStart w:id="292" w:name="_Toc19299"/>
      <w:bookmarkStart w:id="293" w:name="_Toc5737"/>
      <w:bookmarkStart w:id="294" w:name="_Toc6102"/>
      <w:bookmarkStart w:id="295" w:name="_Toc8945"/>
      <w:bookmarkStart w:id="296" w:name="_Toc31487"/>
      <w:bookmarkStart w:id="297" w:name="_Toc7852"/>
      <w:bookmarkStart w:id="298" w:name="_Toc9343"/>
      <w:bookmarkStart w:id="299" w:name="_Toc3409"/>
      <w:bookmarkStart w:id="300" w:name="_Toc1459"/>
      <w:bookmarkStart w:id="301" w:name="_Toc22635"/>
      <w:bookmarkStart w:id="302" w:name="_Toc29670"/>
      <w:r>
        <w:rPr>
          <w:color w:val="auto"/>
          <w:sz w:val="21"/>
          <w:szCs w:val="21"/>
          <w:highlight w:val="none"/>
        </w:rPr>
        <w:t xml:space="preserve">附表二 </w:t>
      </w:r>
      <w:r>
        <w:rPr>
          <w:rFonts w:hint="eastAsia"/>
          <w:color w:val="auto"/>
          <w:sz w:val="21"/>
          <w:szCs w:val="21"/>
          <w:highlight w:val="none"/>
        </w:rPr>
        <w:t>符合性</w:t>
      </w:r>
      <w:r>
        <w:rPr>
          <w:color w:val="auto"/>
          <w:sz w:val="21"/>
          <w:szCs w:val="21"/>
          <w:highlight w:val="none"/>
        </w:rPr>
        <w:t>评审表</w:t>
      </w:r>
      <w:bookmarkEnd w:id="281"/>
      <w:bookmarkEnd w:id="282"/>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left w:val="single" w:color="auto" w:sz="12"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序号</w:t>
            </w:r>
          </w:p>
        </w:tc>
        <w:tc>
          <w:tcPr>
            <w:tcW w:w="6096" w:type="dxa"/>
            <w:tcBorders>
              <w:top w:val="single" w:color="auto" w:sz="12"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评审项目</w:t>
            </w:r>
          </w:p>
        </w:tc>
        <w:tc>
          <w:tcPr>
            <w:tcW w:w="1134" w:type="dxa"/>
            <w:tcBorders>
              <w:top w:val="single" w:color="auto" w:sz="12"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r>
              <w:rPr>
                <w:rFonts w:hint="eastAsia" w:ascii="宋体" w:hAnsi="宋体" w:cs="宋体"/>
                <w:color w:val="auto"/>
                <w:highlight w:val="none"/>
              </w:rPr>
              <w:t>评审结果</w:t>
            </w:r>
          </w:p>
        </w:tc>
        <w:tc>
          <w:tcPr>
            <w:tcW w:w="1098" w:type="dxa"/>
            <w:tcBorders>
              <w:top w:val="single" w:color="auto" w:sz="12"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1</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比选申请文件按要求在规定的位置签字（或盖章）并加盖比选申请人单位公章的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2</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比选申请文件的实质性内容按规定填写、内容齐全的；（按比选文件第四章节规定格式填写的）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3</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在比选申请文件中无虚假文件和/或资料的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4</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比选申请报价明细表无任意一项负偏离的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5</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比选响应表“完全响应”的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6</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比选申请文件按比选文件要求提供按期交货承诺书的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tcBorders>
              <w:top w:val="single" w:color="auto" w:sz="4" w:space="0"/>
              <w:left w:val="single" w:color="auto" w:sz="12" w:space="0"/>
              <w:bottom w:val="single" w:color="auto" w:sz="12"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7</w:t>
            </w:r>
          </w:p>
        </w:tc>
        <w:tc>
          <w:tcPr>
            <w:tcW w:w="6096" w:type="dxa"/>
            <w:tcBorders>
              <w:top w:val="single" w:color="auto" w:sz="4" w:space="0"/>
              <w:left w:val="single" w:color="auto" w:sz="4" w:space="0"/>
              <w:bottom w:val="single" w:color="auto" w:sz="12"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比选文件、法律、法规规定的其他否决比选申请条件</w:t>
            </w:r>
          </w:p>
        </w:tc>
        <w:tc>
          <w:tcPr>
            <w:tcW w:w="1134" w:type="dxa"/>
            <w:tcBorders>
              <w:top w:val="single" w:color="auto" w:sz="4" w:space="0"/>
              <w:left w:val="single" w:color="auto" w:sz="4" w:space="0"/>
              <w:bottom w:val="single" w:color="auto" w:sz="12"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12" w:space="0"/>
              <w:right w:val="single" w:color="auto" w:sz="12" w:space="0"/>
            </w:tcBorders>
            <w:vAlign w:val="center"/>
          </w:tcPr>
          <w:p>
            <w:pPr>
              <w:ind w:left="0" w:firstLine="0"/>
              <w:rPr>
                <w:rFonts w:ascii="宋体" w:hAnsi="宋体" w:cs="宋体"/>
                <w:color w:val="auto"/>
                <w:highlight w:val="none"/>
              </w:rPr>
            </w:pPr>
          </w:p>
        </w:tc>
      </w:tr>
    </w:tbl>
    <w:p>
      <w:pPr>
        <w:spacing w:before="0" w:after="0" w:afterAutospacing="0"/>
        <w:ind w:left="0" w:right="0" w:firstLine="0"/>
        <w:jc w:val="left"/>
        <w:rPr>
          <w:rFonts w:hAnsi="宋体"/>
          <w:color w:val="auto"/>
          <w:highlight w:val="none"/>
        </w:rPr>
      </w:pPr>
    </w:p>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ind w:right="0" w:firstLine="0"/>
        <w:jc w:val="center"/>
        <w:rPr>
          <w:rFonts w:hAnsi="宋体"/>
          <w:b/>
          <w:color w:val="auto"/>
          <w:sz w:val="24"/>
          <w:szCs w:val="24"/>
          <w:highlight w:val="none"/>
        </w:rPr>
      </w:pPr>
      <w:r>
        <w:rPr>
          <w:color w:val="auto"/>
          <w:highlight w:val="none"/>
        </w:rPr>
        <w:br w:type="page"/>
      </w: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Pr>
        <w:spacing w:before="0" w:after="0" w:afterAutospacing="0" w:line="240" w:lineRule="auto"/>
        <w:ind w:left="0" w:right="0" w:firstLine="0"/>
        <w:jc w:val="left"/>
        <w:rPr>
          <w:rFonts w:ascii="宋体" w:hAnsi="宋体"/>
          <w:b/>
          <w:color w:val="auto"/>
          <w:highlight w:val="none"/>
        </w:rPr>
        <w:sectPr>
          <w:footerReference r:id="rId8" w:type="default"/>
          <w:pgSz w:w="11905" w:h="16838"/>
          <w:pgMar w:top="1418" w:right="1418" w:bottom="1418" w:left="1418" w:header="454" w:footer="567" w:gutter="0"/>
          <w:cols w:space="720" w:num="1"/>
          <w:docGrid w:linePitch="319" w:charSpace="0"/>
        </w:sectPr>
      </w:pPr>
    </w:p>
    <w:p>
      <w:pPr>
        <w:spacing w:before="0"/>
        <w:ind w:right="0" w:firstLine="0"/>
        <w:outlineLvl w:val="0"/>
        <w:rPr>
          <w:rFonts w:ascii="宋体" w:hAnsi="宋体"/>
          <w:b/>
          <w:color w:val="auto"/>
          <w:highlight w:val="none"/>
        </w:rPr>
      </w:pPr>
      <w:bookmarkStart w:id="303" w:name="_Toc8803"/>
      <w:bookmarkStart w:id="304" w:name="_Toc6960"/>
      <w:bookmarkStart w:id="305" w:name="_Toc6932"/>
      <w:bookmarkStart w:id="306" w:name="_Toc22594"/>
      <w:bookmarkStart w:id="307" w:name="_Toc21541"/>
      <w:bookmarkStart w:id="308" w:name="_Toc492478858"/>
      <w:bookmarkStart w:id="309" w:name="_Toc1145"/>
      <w:bookmarkStart w:id="310" w:name="_Toc10414"/>
      <w:bookmarkStart w:id="311" w:name="_Toc1480"/>
      <w:bookmarkStart w:id="312" w:name="_Toc414290588"/>
      <w:bookmarkStart w:id="313" w:name="_Toc20211"/>
      <w:bookmarkStart w:id="314" w:name="_Toc13747"/>
      <w:bookmarkStart w:id="315" w:name="_Toc10654"/>
      <w:bookmarkStart w:id="316" w:name="_Toc22896"/>
      <w:bookmarkStart w:id="317" w:name="_Toc27431"/>
      <w:bookmarkStart w:id="318" w:name="_Toc32725"/>
      <w:bookmarkStart w:id="319" w:name="_Toc11048"/>
      <w:bookmarkStart w:id="320" w:name="_Toc4223"/>
      <w:bookmarkStart w:id="321" w:name="_Toc9220"/>
      <w:bookmarkStart w:id="322" w:name="_Toc24793"/>
      <w:r>
        <w:rPr>
          <w:rFonts w:hint="eastAsia" w:ascii="宋体" w:hAnsi="宋体"/>
          <w:b/>
          <w:color w:val="auto"/>
          <w:highlight w:val="none"/>
        </w:rPr>
        <w:t>附表三 比选申请价格评审表</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spacing w:before="159"/>
        <w:ind w:right="-57" w:firstLine="0"/>
        <w:jc w:val="center"/>
        <w:outlineLvl w:val="0"/>
        <w:rPr>
          <w:rFonts w:ascii="宋体" w:hAnsi="宋体"/>
          <w:b/>
          <w:color w:val="auto"/>
          <w:sz w:val="28"/>
          <w:szCs w:val="28"/>
          <w:highlight w:val="none"/>
        </w:rPr>
      </w:pPr>
      <w:bookmarkStart w:id="323" w:name="_Toc10609"/>
      <w:r>
        <w:rPr>
          <w:rFonts w:hint="eastAsia" w:ascii="宋体" w:hAnsi="宋体"/>
          <w:b/>
          <w:color w:val="auto"/>
          <w:sz w:val="28"/>
          <w:szCs w:val="28"/>
          <w:highlight w:val="none"/>
        </w:rPr>
        <w:t>比选申请价格评审表</w:t>
      </w:r>
      <w:bookmarkEnd w:id="323"/>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3"/>
        <w:gridCol w:w="2301"/>
        <w:gridCol w:w="2258"/>
        <w:gridCol w:w="1424"/>
        <w:gridCol w:w="1562"/>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4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239"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121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评审价（元）</w:t>
            </w: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34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2.评标价格及中标价均以修正后价格为准。如投标人不接受按以上规则确定的评标总价和中标价，则其投标将被拒绝。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before="159"/>
        <w:ind w:right="-57" w:firstLine="0"/>
        <w:jc w:val="center"/>
        <w:outlineLvl w:val="0"/>
        <w:rPr>
          <w:rFonts w:ascii="宋体" w:hAnsi="宋体"/>
          <w:b/>
          <w:color w:val="auto"/>
          <w:sz w:val="28"/>
          <w:szCs w:val="28"/>
          <w:highlight w:val="none"/>
        </w:rPr>
      </w:pPr>
      <w:bookmarkStart w:id="324" w:name="_Toc8613"/>
      <w:r>
        <w:rPr>
          <w:rFonts w:hint="eastAsia" w:ascii="宋体" w:hAnsi="宋体"/>
          <w:b/>
          <w:color w:val="auto"/>
          <w:sz w:val="28"/>
          <w:szCs w:val="28"/>
          <w:highlight w:val="none"/>
        </w:rPr>
        <w:t>附表：比选申请报价修正表</w:t>
      </w:r>
      <w:bookmarkEnd w:id="324"/>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85"/>
        <w:gridCol w:w="1272"/>
        <w:gridCol w:w="2396"/>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123" w:type="pct"/>
            <w:tcBorders>
              <w:left w:val="single" w:color="auto" w:sz="4" w:space="0"/>
              <w:bottom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b/>
                <w:color w:val="auto"/>
                <w:sz w:val="24"/>
                <w:szCs w:val="24"/>
                <w:highlight w:val="none"/>
              </w:rPr>
              <w:t>编号</w:t>
            </w:r>
          </w:p>
        </w:tc>
        <w:tc>
          <w:tcPr>
            <w:tcW w:w="685" w:type="pct"/>
            <w:tcBorders>
              <w:left w:val="single" w:color="auto" w:sz="4" w:space="0"/>
              <w:bottom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1290" w:type="pct"/>
            <w:tcBorders>
              <w:left w:val="single" w:color="auto" w:sz="4" w:space="0"/>
              <w:bottom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123" w:type="pct"/>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3877" w:type="pct"/>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3877" w:type="pct"/>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3877" w:type="pct"/>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bookmarkEnd w:id="325"/>
    <w:sectPr>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sdtPr>
    <w:sdtContent>
      <w:sdt>
        <w:sdtPr>
          <w:id w:val="-1669238322"/>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77</w:t>
            </w:r>
            <w:r>
              <w:rPr>
                <w:b/>
                <w:bCs/>
                <w:sz w:val="24"/>
                <w:szCs w:val="24"/>
              </w:rPr>
              <w:fldChar w:fldCharType="end"/>
            </w:r>
          </w:p>
        </w:sdtContent>
      </w:sdt>
    </w:sdtContent>
  </w:sdt>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76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76</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hmZWUyMGMyYTBjOThkNzkwM2YyNDY3YjE3ODA0NWYifQ=="/>
  </w:docVars>
  <w:rsids>
    <w:rsidRoot w:val="00172A27"/>
    <w:rsid w:val="000000F2"/>
    <w:rsid w:val="00000139"/>
    <w:rsid w:val="00003CE2"/>
    <w:rsid w:val="000045EA"/>
    <w:rsid w:val="0000505A"/>
    <w:rsid w:val="00007C3F"/>
    <w:rsid w:val="000143B4"/>
    <w:rsid w:val="000156A5"/>
    <w:rsid w:val="00015B06"/>
    <w:rsid w:val="00022F88"/>
    <w:rsid w:val="0002476E"/>
    <w:rsid w:val="00030F30"/>
    <w:rsid w:val="0003642A"/>
    <w:rsid w:val="000428F8"/>
    <w:rsid w:val="000437E6"/>
    <w:rsid w:val="00043E88"/>
    <w:rsid w:val="00050898"/>
    <w:rsid w:val="0005200D"/>
    <w:rsid w:val="00056B62"/>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72A27"/>
    <w:rsid w:val="00180594"/>
    <w:rsid w:val="00183519"/>
    <w:rsid w:val="00186A28"/>
    <w:rsid w:val="001A37D3"/>
    <w:rsid w:val="001A3FCA"/>
    <w:rsid w:val="001A4AD0"/>
    <w:rsid w:val="001B0893"/>
    <w:rsid w:val="001C0C50"/>
    <w:rsid w:val="001C7BE5"/>
    <w:rsid w:val="001E0D82"/>
    <w:rsid w:val="001E0D93"/>
    <w:rsid w:val="001E5985"/>
    <w:rsid w:val="001E5F4A"/>
    <w:rsid w:val="001F25B0"/>
    <w:rsid w:val="00200610"/>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46D4B"/>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B7F1E"/>
    <w:rsid w:val="003C312A"/>
    <w:rsid w:val="003C4653"/>
    <w:rsid w:val="003D0506"/>
    <w:rsid w:val="003D3A75"/>
    <w:rsid w:val="003D6118"/>
    <w:rsid w:val="003E454F"/>
    <w:rsid w:val="003E6DFB"/>
    <w:rsid w:val="003E75AF"/>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6775D"/>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35498"/>
    <w:rsid w:val="00541401"/>
    <w:rsid w:val="005418DB"/>
    <w:rsid w:val="0054269C"/>
    <w:rsid w:val="005448AD"/>
    <w:rsid w:val="00545844"/>
    <w:rsid w:val="00562190"/>
    <w:rsid w:val="00562E44"/>
    <w:rsid w:val="005648F8"/>
    <w:rsid w:val="00564C20"/>
    <w:rsid w:val="00565FD9"/>
    <w:rsid w:val="00571943"/>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4E88"/>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97161"/>
    <w:rsid w:val="008A0C18"/>
    <w:rsid w:val="008A1E1B"/>
    <w:rsid w:val="008A5463"/>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155"/>
    <w:rsid w:val="00B04E81"/>
    <w:rsid w:val="00B12244"/>
    <w:rsid w:val="00B14E6B"/>
    <w:rsid w:val="00B16089"/>
    <w:rsid w:val="00B204D2"/>
    <w:rsid w:val="00B20B14"/>
    <w:rsid w:val="00B25BF3"/>
    <w:rsid w:val="00B266B6"/>
    <w:rsid w:val="00B31CA2"/>
    <w:rsid w:val="00B457D5"/>
    <w:rsid w:val="00B47764"/>
    <w:rsid w:val="00B4784E"/>
    <w:rsid w:val="00B52D63"/>
    <w:rsid w:val="00B56B83"/>
    <w:rsid w:val="00B6108C"/>
    <w:rsid w:val="00B62476"/>
    <w:rsid w:val="00B6303A"/>
    <w:rsid w:val="00B75E61"/>
    <w:rsid w:val="00B76409"/>
    <w:rsid w:val="00B76717"/>
    <w:rsid w:val="00B774C8"/>
    <w:rsid w:val="00B80D2F"/>
    <w:rsid w:val="00B825E7"/>
    <w:rsid w:val="00B82E58"/>
    <w:rsid w:val="00B863CD"/>
    <w:rsid w:val="00B90078"/>
    <w:rsid w:val="00B90EB4"/>
    <w:rsid w:val="00B97802"/>
    <w:rsid w:val="00BA0E5D"/>
    <w:rsid w:val="00BA3124"/>
    <w:rsid w:val="00BA37AA"/>
    <w:rsid w:val="00BA55B3"/>
    <w:rsid w:val="00BB2B84"/>
    <w:rsid w:val="00BC3657"/>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9325D"/>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8FA"/>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2763A"/>
    <w:rsid w:val="00E312D2"/>
    <w:rsid w:val="00E33009"/>
    <w:rsid w:val="00E3415B"/>
    <w:rsid w:val="00E42EAA"/>
    <w:rsid w:val="00E43660"/>
    <w:rsid w:val="00E449D8"/>
    <w:rsid w:val="00E45D74"/>
    <w:rsid w:val="00E51F99"/>
    <w:rsid w:val="00E52414"/>
    <w:rsid w:val="00E55177"/>
    <w:rsid w:val="00E57591"/>
    <w:rsid w:val="00E653F5"/>
    <w:rsid w:val="00E72F1F"/>
    <w:rsid w:val="00E73DC4"/>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3A42"/>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4EBD"/>
    <w:rsid w:val="00F82ADB"/>
    <w:rsid w:val="00F831B3"/>
    <w:rsid w:val="00F85E17"/>
    <w:rsid w:val="00F86B8B"/>
    <w:rsid w:val="00F8733F"/>
    <w:rsid w:val="00F90DB4"/>
    <w:rsid w:val="00F94057"/>
    <w:rsid w:val="00F95B86"/>
    <w:rsid w:val="00FB3AAB"/>
    <w:rsid w:val="00FC02B4"/>
    <w:rsid w:val="00FD1370"/>
    <w:rsid w:val="00FD5129"/>
    <w:rsid w:val="00FD5F55"/>
    <w:rsid w:val="00FE3364"/>
    <w:rsid w:val="00FE4C53"/>
    <w:rsid w:val="00FE6711"/>
    <w:rsid w:val="00FF2D5E"/>
    <w:rsid w:val="00FF39F8"/>
    <w:rsid w:val="00FF3FB5"/>
    <w:rsid w:val="00FF501A"/>
    <w:rsid w:val="00FF5A2F"/>
    <w:rsid w:val="00FF6546"/>
    <w:rsid w:val="018D0414"/>
    <w:rsid w:val="037E4CFC"/>
    <w:rsid w:val="07733AEC"/>
    <w:rsid w:val="07E27DCD"/>
    <w:rsid w:val="09C81550"/>
    <w:rsid w:val="0D460BF6"/>
    <w:rsid w:val="0E1725C0"/>
    <w:rsid w:val="0F4A08D0"/>
    <w:rsid w:val="10B51888"/>
    <w:rsid w:val="128922A1"/>
    <w:rsid w:val="12B76718"/>
    <w:rsid w:val="13D60C39"/>
    <w:rsid w:val="142F43C4"/>
    <w:rsid w:val="15775841"/>
    <w:rsid w:val="175B7696"/>
    <w:rsid w:val="18747E1F"/>
    <w:rsid w:val="19054A4C"/>
    <w:rsid w:val="1A6D2FD4"/>
    <w:rsid w:val="1AD82D4C"/>
    <w:rsid w:val="1B5C67CB"/>
    <w:rsid w:val="1C237EF5"/>
    <w:rsid w:val="22347EC0"/>
    <w:rsid w:val="23F2074C"/>
    <w:rsid w:val="259D56B8"/>
    <w:rsid w:val="278B636C"/>
    <w:rsid w:val="28931D98"/>
    <w:rsid w:val="28FC47D4"/>
    <w:rsid w:val="2BAC4F46"/>
    <w:rsid w:val="2BED5159"/>
    <w:rsid w:val="303E2560"/>
    <w:rsid w:val="30E509B7"/>
    <w:rsid w:val="34103572"/>
    <w:rsid w:val="3AEC50AC"/>
    <w:rsid w:val="3B50220D"/>
    <w:rsid w:val="3C8814E6"/>
    <w:rsid w:val="3E0A319C"/>
    <w:rsid w:val="3E1A3557"/>
    <w:rsid w:val="40332E52"/>
    <w:rsid w:val="40D57DED"/>
    <w:rsid w:val="43EA5BC6"/>
    <w:rsid w:val="43F02DD9"/>
    <w:rsid w:val="44185EE7"/>
    <w:rsid w:val="444F16BE"/>
    <w:rsid w:val="44A163A9"/>
    <w:rsid w:val="4562779E"/>
    <w:rsid w:val="466854AC"/>
    <w:rsid w:val="46B74872"/>
    <w:rsid w:val="46D87B0C"/>
    <w:rsid w:val="46E47D55"/>
    <w:rsid w:val="4A461D63"/>
    <w:rsid w:val="4CF06711"/>
    <w:rsid w:val="4E232079"/>
    <w:rsid w:val="4E4A5793"/>
    <w:rsid w:val="5047222E"/>
    <w:rsid w:val="537717A2"/>
    <w:rsid w:val="552A7895"/>
    <w:rsid w:val="55D671FC"/>
    <w:rsid w:val="567A72BC"/>
    <w:rsid w:val="58D60995"/>
    <w:rsid w:val="59633BAD"/>
    <w:rsid w:val="5A9A1850"/>
    <w:rsid w:val="5B096777"/>
    <w:rsid w:val="5BC361AC"/>
    <w:rsid w:val="5BF95104"/>
    <w:rsid w:val="5CA850DE"/>
    <w:rsid w:val="5D316825"/>
    <w:rsid w:val="5DA17249"/>
    <w:rsid w:val="5FD4689A"/>
    <w:rsid w:val="606C1411"/>
    <w:rsid w:val="620C07C2"/>
    <w:rsid w:val="63B956D1"/>
    <w:rsid w:val="651D2E62"/>
    <w:rsid w:val="65913850"/>
    <w:rsid w:val="65D26342"/>
    <w:rsid w:val="66B127A6"/>
    <w:rsid w:val="680712BE"/>
    <w:rsid w:val="6C196298"/>
    <w:rsid w:val="6D5F6CA5"/>
    <w:rsid w:val="70840210"/>
    <w:rsid w:val="73A27639"/>
    <w:rsid w:val="73F12087"/>
    <w:rsid w:val="74CE7B18"/>
    <w:rsid w:val="759E3638"/>
    <w:rsid w:val="7875585D"/>
    <w:rsid w:val="78E0091E"/>
    <w:rsid w:val="7D454F77"/>
    <w:rsid w:val="7D7B1275"/>
    <w:rsid w:val="7E751B62"/>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Date"/>
    <w:basedOn w:val="1"/>
    <w:next w:val="1"/>
    <w:link w:val="51"/>
    <w:semiHidden/>
    <w:unhideWhenUsed/>
    <w:qFormat/>
    <w:uiPriority w:val="99"/>
    <w:pPr>
      <w:ind w:left="100" w:leftChars="2500"/>
    </w:p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link w:val="54"/>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8"/>
    <w:next w:val="8"/>
    <w:semiHidden/>
    <w:unhideWhenUsed/>
    <w:qFormat/>
    <w:uiPriority w:val="0"/>
    <w:rPr>
      <w:b/>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8"/>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9"/>
    <w:semiHidden/>
    <w:qFormat/>
    <w:uiPriority w:val="99"/>
    <w:rPr>
      <w:sz w:val="21"/>
      <w:szCs w:val="21"/>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日期 字符"/>
    <w:basedOn w:val="28"/>
    <w:link w:val="13"/>
    <w:semiHidden/>
    <w:qFormat/>
    <w:uiPriority w:val="99"/>
    <w:rPr>
      <w:sz w:val="21"/>
      <w:szCs w:val="21"/>
    </w:rPr>
  </w:style>
  <w:style w:type="paragraph" w:customStyle="1" w:styleId="5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3">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4">
    <w:name w:val="正文文本缩进 3 字符"/>
    <w:basedOn w:val="28"/>
    <w:link w:val="21"/>
    <w:qFormat/>
    <w:uiPriority w:val="0"/>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5A8333-7E92-4518-82DA-C32190D0A50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34013</Words>
  <Characters>36230</Characters>
  <Lines>1797</Lines>
  <Paragraphs>1634</Paragraphs>
  <TotalTime>9</TotalTime>
  <ScaleCrop>false</ScaleCrop>
  <LinksUpToDate>false</LinksUpToDate>
  <CharactersWithSpaces>37370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cp:lastModifiedBy>
  <cp:lastPrinted>2022-04-29T02:41:00Z</cp:lastPrinted>
  <dcterms:modified xsi:type="dcterms:W3CDTF">2023-08-09T01:04:23Z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D79EC26DCF2847F990CA02B56FE5135E</vt:lpwstr>
  </property>
</Properties>
</file>