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kinsoku w:val="0"/>
        <w:overflowPunct w:val="0"/>
        <w:spacing w:before="0"/>
        <w:ind w:left="0" w:right="165"/>
        <w:jc w:val="center"/>
        <w:outlineLvl w:val="0"/>
        <w:rPr>
          <w:rFonts w:hint="default"/>
          <w:b/>
          <w:color w:val="auto"/>
          <w:sz w:val="36"/>
          <w:szCs w:val="36"/>
          <w:highlight w:val="none"/>
        </w:rPr>
      </w:pPr>
      <w:r>
        <w:rPr>
          <w:b/>
          <w:color w:val="auto"/>
          <w:spacing w:val="1"/>
          <w:sz w:val="36"/>
          <w:szCs w:val="36"/>
          <w:highlight w:val="none"/>
        </w:rPr>
        <w:t>南宁轨道交通集团有限责任公司</w:t>
      </w:r>
      <w:r>
        <w:rPr>
          <w:rFonts w:hint="eastAsia"/>
          <w:b/>
          <w:color w:val="auto"/>
          <w:spacing w:val="1"/>
          <w:sz w:val="36"/>
          <w:szCs w:val="36"/>
          <w:highlight w:val="none"/>
          <w:lang w:val="en-US" w:eastAsia="zh-CN"/>
        </w:rPr>
        <w:t>管控</w:t>
      </w:r>
      <w:r>
        <w:rPr>
          <w:b/>
          <w:color w:val="auto"/>
          <w:spacing w:val="1"/>
          <w:sz w:val="36"/>
          <w:szCs w:val="36"/>
          <w:highlight w:val="none"/>
        </w:rPr>
        <w:t>体系优化咨询</w:t>
      </w:r>
      <w:r>
        <w:rPr>
          <w:rFonts w:hint="default"/>
          <w:b/>
          <w:color w:val="auto"/>
          <w:spacing w:val="1"/>
          <w:sz w:val="36"/>
          <w:szCs w:val="36"/>
          <w:highlight w:val="none"/>
        </w:rPr>
        <w:t>项目</w:t>
      </w:r>
      <w:r>
        <w:rPr>
          <w:b/>
          <w:color w:val="auto"/>
          <w:spacing w:val="1"/>
          <w:sz w:val="36"/>
          <w:szCs w:val="36"/>
          <w:highlight w:val="none"/>
        </w:rPr>
        <w:t>比选公告</w:t>
      </w:r>
    </w:p>
    <w:p>
      <w:pPr>
        <w:pStyle w:val="12"/>
        <w:kinsoku w:val="0"/>
        <w:overflowPunct w:val="0"/>
        <w:spacing w:before="0"/>
        <w:ind w:left="0" w:firstLine="552" w:firstLineChars="200"/>
        <w:rPr>
          <w:rFonts w:hint="default"/>
          <w:color w:val="auto"/>
          <w:spacing w:val="-2"/>
          <w:sz w:val="28"/>
          <w:highlight w:val="none"/>
        </w:rPr>
      </w:pPr>
    </w:p>
    <w:p>
      <w:pPr>
        <w:pStyle w:val="12"/>
        <w:kinsoku w:val="0"/>
        <w:overflowPunct w:val="0"/>
        <w:spacing w:before="0" w:line="360" w:lineRule="auto"/>
        <w:ind w:left="0" w:firstLine="552" w:firstLineChars="200"/>
        <w:jc w:val="both"/>
        <w:rPr>
          <w:rFonts w:hint="default" w:asciiTheme="minorEastAsia" w:hAnsiTheme="minorEastAsia" w:eastAsiaTheme="minorEastAsia"/>
          <w:color w:val="auto"/>
          <w:spacing w:val="-2"/>
          <w:sz w:val="28"/>
          <w:szCs w:val="28"/>
          <w:highlight w:val="none"/>
        </w:rPr>
      </w:pPr>
    </w:p>
    <w:p>
      <w:pPr>
        <w:pStyle w:val="12"/>
        <w:kinsoku w:val="0"/>
        <w:overflowPunct w:val="0"/>
        <w:spacing w:before="0" w:line="500" w:lineRule="exact"/>
        <w:ind w:left="0" w:firstLine="552" w:firstLineChars="200"/>
        <w:jc w:val="both"/>
        <w:rPr>
          <w:rFonts w:hint="default" w:asciiTheme="minorEastAsia" w:hAnsiTheme="minorEastAsia" w:eastAsiaTheme="minorEastAsia"/>
          <w:color w:val="auto"/>
          <w:spacing w:val="-2"/>
          <w:sz w:val="28"/>
          <w:szCs w:val="28"/>
          <w:highlight w:val="none"/>
        </w:rPr>
      </w:pPr>
      <w:r>
        <w:rPr>
          <w:rFonts w:asciiTheme="minorEastAsia" w:hAnsiTheme="minorEastAsia" w:eastAsiaTheme="minorEastAsia"/>
          <w:color w:val="auto"/>
          <w:spacing w:val="-2"/>
          <w:sz w:val="28"/>
          <w:szCs w:val="28"/>
          <w:highlight w:val="none"/>
        </w:rPr>
        <w:t>南宁轨道交通集团有限责任公司</w:t>
      </w:r>
      <w:r>
        <w:rPr>
          <w:rFonts w:hint="eastAsia" w:asciiTheme="minorEastAsia" w:hAnsiTheme="minorEastAsia" w:eastAsiaTheme="minorEastAsia"/>
          <w:color w:val="auto"/>
          <w:spacing w:val="-2"/>
          <w:sz w:val="28"/>
          <w:szCs w:val="28"/>
          <w:highlight w:val="none"/>
          <w:lang w:val="en-US" w:eastAsia="zh-CN"/>
        </w:rPr>
        <w:t>管控</w:t>
      </w:r>
      <w:r>
        <w:rPr>
          <w:rFonts w:asciiTheme="minorEastAsia" w:hAnsiTheme="minorEastAsia" w:eastAsiaTheme="minorEastAsia"/>
          <w:color w:val="auto"/>
          <w:spacing w:val="-2"/>
          <w:sz w:val="28"/>
          <w:szCs w:val="28"/>
          <w:highlight w:val="none"/>
        </w:rPr>
        <w:t>体系优化咨询</w:t>
      </w:r>
      <w:r>
        <w:rPr>
          <w:rFonts w:hint="default" w:asciiTheme="minorEastAsia" w:hAnsiTheme="minorEastAsia" w:eastAsiaTheme="minorEastAsia"/>
          <w:color w:val="auto"/>
          <w:spacing w:val="-2"/>
          <w:sz w:val="28"/>
          <w:szCs w:val="28"/>
          <w:highlight w:val="none"/>
        </w:rPr>
        <w:t>项目</w:t>
      </w:r>
      <w:r>
        <w:rPr>
          <w:rFonts w:asciiTheme="minorEastAsia" w:hAnsiTheme="minorEastAsia" w:eastAsiaTheme="minorEastAsia"/>
          <w:color w:val="auto"/>
          <w:spacing w:val="-2"/>
          <w:sz w:val="28"/>
          <w:szCs w:val="28"/>
          <w:highlight w:val="none"/>
        </w:rPr>
        <w:t>含税上限控制价为人民币</w:t>
      </w:r>
      <w:r>
        <w:rPr>
          <w:rFonts w:hint="eastAsia" w:asciiTheme="minorEastAsia" w:hAnsiTheme="minorEastAsia" w:eastAsiaTheme="minorEastAsia"/>
          <w:color w:val="auto"/>
          <w:spacing w:val="-2"/>
          <w:sz w:val="28"/>
          <w:szCs w:val="28"/>
          <w:highlight w:val="none"/>
          <w:u w:val="single"/>
          <w:lang w:val="en-US" w:eastAsia="zh-CN"/>
        </w:rPr>
        <w:t>98</w:t>
      </w:r>
      <w:r>
        <w:rPr>
          <w:rFonts w:asciiTheme="minorEastAsia" w:hAnsiTheme="minorEastAsia" w:eastAsiaTheme="minorEastAsia"/>
          <w:color w:val="auto"/>
          <w:spacing w:val="-2"/>
          <w:sz w:val="28"/>
          <w:szCs w:val="28"/>
          <w:highlight w:val="none"/>
          <w:u w:val="single"/>
        </w:rPr>
        <w:t>万元</w:t>
      </w:r>
      <w:r>
        <w:rPr>
          <w:rFonts w:asciiTheme="minorEastAsia" w:hAnsiTheme="minorEastAsia" w:eastAsiaTheme="minorEastAsia"/>
          <w:color w:val="auto"/>
          <w:spacing w:val="-2"/>
          <w:sz w:val="28"/>
          <w:szCs w:val="28"/>
          <w:highlight w:val="none"/>
        </w:rPr>
        <w:t>，</w:t>
      </w:r>
      <w:r>
        <w:rPr>
          <w:rFonts w:cs="宋体"/>
          <w:color w:val="auto"/>
          <w:sz w:val="28"/>
          <w:highlight w:val="none"/>
        </w:rPr>
        <w:t>根据本集团公司要求，</w:t>
      </w:r>
      <w:r>
        <w:rPr>
          <w:rFonts w:asciiTheme="minorEastAsia" w:hAnsiTheme="minorEastAsia" w:eastAsiaTheme="minorEastAsia"/>
          <w:color w:val="auto"/>
          <w:spacing w:val="-2"/>
          <w:sz w:val="28"/>
          <w:szCs w:val="28"/>
          <w:highlight w:val="none"/>
        </w:rPr>
        <w:t>现就本项目进行公开比选，欢迎符合条件的机构参与比选。</w:t>
      </w:r>
    </w:p>
    <w:p>
      <w:pPr>
        <w:pStyle w:val="12"/>
        <w:kinsoku w:val="0"/>
        <w:overflowPunct w:val="0"/>
        <w:spacing w:before="0" w:line="500" w:lineRule="exact"/>
        <w:ind w:left="0" w:firstLine="550" w:firstLineChars="197"/>
        <w:outlineLvl w:val="9"/>
        <w:rPr>
          <w:rFonts w:hint="default" w:asciiTheme="minorEastAsia" w:hAnsiTheme="minorEastAsia" w:eastAsiaTheme="minorEastAsia"/>
          <w:color w:val="auto"/>
          <w:sz w:val="28"/>
          <w:szCs w:val="28"/>
          <w:highlight w:val="none"/>
        </w:rPr>
      </w:pPr>
      <w:r>
        <w:rPr>
          <w:rFonts w:asciiTheme="minorEastAsia" w:hAnsiTheme="minorEastAsia" w:eastAsiaTheme="minorEastAsia"/>
          <w:b/>
          <w:color w:val="auto"/>
          <w:spacing w:val="-1"/>
          <w:sz w:val="28"/>
          <w:szCs w:val="28"/>
          <w:highlight w:val="none"/>
        </w:rPr>
        <w:t>一、项目内容</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一</w:t>
      </w:r>
      <w:r>
        <w:rPr>
          <w:rFonts w:hint="eastAsia" w:ascii="宋体" w:hAnsi="宋体"/>
          <w:color w:val="auto"/>
          <w:sz w:val="28"/>
          <w:szCs w:val="28"/>
          <w:highlight w:val="none"/>
        </w:rPr>
        <w:t>）在集团公司战略指引、内控、合规、风控管理的要求的基础上，通过调研访谈、对标分析等方式，梳理各业务条线管控工作、各项业务管控权限，出具集团公司本部对二级公司的《管控体系优化项目调研与诊断报告》。</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二</w:t>
      </w:r>
      <w:r>
        <w:rPr>
          <w:rFonts w:hint="eastAsia" w:ascii="宋体" w:hAnsi="宋体"/>
          <w:color w:val="auto"/>
          <w:sz w:val="28"/>
          <w:szCs w:val="28"/>
          <w:highlight w:val="none"/>
        </w:rPr>
        <w:t>）基于调研和诊断结果，通过国内外标杆企业分析，设计集团公司本部对二级公司的管控模式分类，确定总部对不同管控模式的业务单元的管控边界，明确总部的管控职能范围</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出具</w:t>
      </w:r>
      <w:r>
        <w:rPr>
          <w:rFonts w:hint="eastAsia" w:ascii="宋体" w:hAnsi="宋体"/>
          <w:color w:val="auto"/>
          <w:sz w:val="28"/>
          <w:szCs w:val="28"/>
          <w:highlight w:val="none"/>
        </w:rPr>
        <w:t>《集团公司管控模式设计方案》。</w:t>
      </w:r>
    </w:p>
    <w:p>
      <w:pPr>
        <w:pStyle w:val="12"/>
        <w:kinsoku w:val="0"/>
        <w:overflowPunct w:val="0"/>
        <w:spacing w:before="0" w:line="500" w:lineRule="exact"/>
        <w:ind w:left="0" w:firstLine="551" w:firstLineChars="197"/>
        <w:outlineLvl w:val="9"/>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w:t>
      </w:r>
      <w:r>
        <w:rPr>
          <w:rFonts w:hint="eastAsia"/>
          <w:color w:val="auto"/>
          <w:sz w:val="28"/>
          <w:szCs w:val="28"/>
          <w:highlight w:val="none"/>
          <w:lang w:val="en-US" w:eastAsia="zh-CN"/>
        </w:rPr>
        <w:t>三</w:t>
      </w:r>
      <w:r>
        <w:rPr>
          <w:rFonts w:hint="eastAsia" w:ascii="宋体" w:hAnsi="宋体"/>
          <w:color w:val="auto"/>
          <w:sz w:val="28"/>
          <w:szCs w:val="28"/>
          <w:highlight w:val="none"/>
        </w:rPr>
        <w:t>）在集团公司现有管控制度的基础上，对内容进行修订，重新明确管控体系的基本管理要求，包括管控模式分类、管理机构与职责、管控具体操作要求等，</w:t>
      </w:r>
      <w:r>
        <w:rPr>
          <w:rFonts w:hint="eastAsia"/>
          <w:color w:val="auto"/>
          <w:sz w:val="28"/>
          <w:szCs w:val="28"/>
          <w:highlight w:val="none"/>
          <w:lang w:val="en-US" w:eastAsia="zh-CN"/>
        </w:rPr>
        <w:t>制定《集团公司管控管理制度》。</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color w:val="auto"/>
          <w:sz w:val="28"/>
          <w:szCs w:val="28"/>
          <w:highlight w:val="none"/>
          <w:lang w:eastAsia="zh-CN"/>
        </w:rPr>
        <w:t>（</w:t>
      </w:r>
      <w:r>
        <w:rPr>
          <w:rFonts w:hint="eastAsia"/>
          <w:color w:val="auto"/>
          <w:sz w:val="28"/>
          <w:szCs w:val="28"/>
          <w:highlight w:val="none"/>
          <w:lang w:val="en-US" w:eastAsia="zh-CN"/>
        </w:rPr>
        <w:t>四</w:t>
      </w:r>
      <w:r>
        <w:rPr>
          <w:rFonts w:hint="eastAsia"/>
          <w:color w:val="auto"/>
          <w:sz w:val="28"/>
          <w:szCs w:val="28"/>
          <w:highlight w:val="none"/>
          <w:lang w:eastAsia="zh-CN"/>
        </w:rPr>
        <w:t>）</w:t>
      </w:r>
      <w:r>
        <w:rPr>
          <w:rFonts w:hint="eastAsia" w:ascii="宋体" w:hAnsi="宋体"/>
          <w:color w:val="auto"/>
          <w:sz w:val="28"/>
          <w:szCs w:val="28"/>
          <w:highlight w:val="none"/>
        </w:rPr>
        <w:t>按照“一企一策”原则，</w:t>
      </w:r>
      <w:r>
        <w:rPr>
          <w:rFonts w:hint="eastAsia"/>
          <w:color w:val="auto"/>
          <w:sz w:val="28"/>
          <w:szCs w:val="28"/>
          <w:highlight w:val="none"/>
          <w:lang w:val="en-US" w:eastAsia="zh-CN"/>
        </w:rPr>
        <w:t>制定</w:t>
      </w:r>
      <w:r>
        <w:rPr>
          <w:rFonts w:hint="eastAsia" w:ascii="宋体" w:hAnsi="宋体"/>
          <w:color w:val="auto"/>
          <w:sz w:val="28"/>
          <w:szCs w:val="28"/>
          <w:highlight w:val="none"/>
        </w:rPr>
        <w:t>集团公司本部对</w:t>
      </w:r>
      <w:r>
        <w:rPr>
          <w:rFonts w:hint="eastAsia"/>
          <w:color w:val="auto"/>
          <w:sz w:val="28"/>
          <w:szCs w:val="28"/>
          <w:highlight w:val="none"/>
          <w:lang w:val="en-US" w:eastAsia="zh-CN"/>
        </w:rPr>
        <w:t>每个</w:t>
      </w:r>
      <w:r>
        <w:rPr>
          <w:rFonts w:hint="eastAsia" w:ascii="宋体" w:hAnsi="宋体"/>
          <w:color w:val="auto"/>
          <w:sz w:val="28"/>
          <w:szCs w:val="28"/>
          <w:highlight w:val="none"/>
        </w:rPr>
        <w:t>二级</w:t>
      </w:r>
      <w:r>
        <w:rPr>
          <w:rFonts w:hint="eastAsia"/>
          <w:color w:val="auto"/>
          <w:sz w:val="28"/>
          <w:szCs w:val="28"/>
          <w:highlight w:val="none"/>
          <w:lang w:val="en-US" w:eastAsia="zh-CN"/>
        </w:rPr>
        <w:t>子</w:t>
      </w:r>
      <w:r>
        <w:rPr>
          <w:rFonts w:hint="eastAsia" w:ascii="宋体" w:hAnsi="宋体"/>
          <w:color w:val="auto"/>
          <w:sz w:val="28"/>
          <w:szCs w:val="28"/>
          <w:highlight w:val="none"/>
        </w:rPr>
        <w:t>公司的</w:t>
      </w:r>
      <w:r>
        <w:rPr>
          <w:rFonts w:hint="eastAsia"/>
          <w:color w:val="auto"/>
          <w:sz w:val="28"/>
          <w:szCs w:val="28"/>
          <w:highlight w:val="none"/>
          <w:lang w:eastAsia="zh-CN"/>
        </w:rPr>
        <w:t>《</w:t>
      </w:r>
      <w:r>
        <w:rPr>
          <w:rFonts w:hint="eastAsia" w:ascii="宋体" w:hAnsi="宋体"/>
          <w:color w:val="auto"/>
          <w:sz w:val="28"/>
          <w:szCs w:val="28"/>
          <w:highlight w:val="none"/>
        </w:rPr>
        <w:t>管控</w:t>
      </w:r>
      <w:r>
        <w:rPr>
          <w:rFonts w:hint="eastAsia"/>
          <w:color w:val="auto"/>
          <w:sz w:val="28"/>
          <w:szCs w:val="28"/>
          <w:highlight w:val="none"/>
          <w:lang w:val="en-US" w:eastAsia="zh-CN"/>
        </w:rPr>
        <w:t>权责</w:t>
      </w:r>
      <w:r>
        <w:rPr>
          <w:rFonts w:hint="eastAsia" w:ascii="宋体" w:hAnsi="宋体"/>
          <w:color w:val="auto"/>
          <w:sz w:val="28"/>
          <w:szCs w:val="28"/>
          <w:highlight w:val="none"/>
        </w:rPr>
        <w:t>清单</w:t>
      </w:r>
      <w:r>
        <w:rPr>
          <w:rFonts w:hint="eastAsia"/>
          <w:color w:val="auto"/>
          <w:sz w:val="28"/>
          <w:szCs w:val="28"/>
          <w:highlight w:val="none"/>
          <w:lang w:eastAsia="zh-CN"/>
        </w:rPr>
        <w:t>》</w:t>
      </w:r>
      <w:r>
        <w:rPr>
          <w:rFonts w:hint="eastAsia" w:ascii="宋体" w:hAnsi="宋体"/>
          <w:color w:val="auto"/>
          <w:sz w:val="28"/>
          <w:szCs w:val="28"/>
          <w:highlight w:val="none"/>
        </w:rPr>
        <w:t>，实现对二级业务单元的“一企一策”管控。</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五</w:t>
      </w:r>
      <w:r>
        <w:rPr>
          <w:rFonts w:hint="eastAsia" w:ascii="宋体" w:hAnsi="宋体"/>
          <w:color w:val="auto"/>
          <w:sz w:val="28"/>
          <w:szCs w:val="28"/>
          <w:highlight w:val="none"/>
        </w:rPr>
        <w:t>）梳理集团公司</w:t>
      </w:r>
      <w:r>
        <w:rPr>
          <w:rFonts w:hint="eastAsia"/>
          <w:color w:val="auto"/>
          <w:sz w:val="28"/>
          <w:szCs w:val="28"/>
          <w:highlight w:val="none"/>
          <w:lang w:val="en-US" w:eastAsia="zh-CN"/>
        </w:rPr>
        <w:t>总部与二级子公司之间跨层级事项的权限划分，以及总部各决策机构间的权限配置，</w:t>
      </w:r>
      <w:r>
        <w:rPr>
          <w:rFonts w:hint="eastAsia" w:ascii="宋体" w:hAnsi="宋体"/>
          <w:color w:val="auto"/>
          <w:sz w:val="28"/>
          <w:szCs w:val="28"/>
          <w:highlight w:val="none"/>
        </w:rPr>
        <w:t>提出优化建议，并形成</w:t>
      </w:r>
      <w:r>
        <w:rPr>
          <w:rFonts w:hint="eastAsia"/>
          <w:color w:val="auto"/>
          <w:sz w:val="28"/>
          <w:szCs w:val="28"/>
          <w:highlight w:val="none"/>
          <w:lang w:eastAsia="zh-CN"/>
        </w:rPr>
        <w:t>《</w:t>
      </w:r>
      <w:r>
        <w:rPr>
          <w:rFonts w:hint="eastAsia" w:ascii="宋体" w:hAnsi="宋体"/>
          <w:color w:val="auto"/>
          <w:sz w:val="28"/>
          <w:szCs w:val="28"/>
          <w:highlight w:val="none"/>
        </w:rPr>
        <w:t>管控权限</w:t>
      </w:r>
      <w:r>
        <w:rPr>
          <w:rFonts w:hint="eastAsia"/>
          <w:color w:val="auto"/>
          <w:sz w:val="28"/>
          <w:szCs w:val="28"/>
          <w:highlight w:val="none"/>
          <w:lang w:val="en-US" w:eastAsia="zh-CN"/>
        </w:rPr>
        <w:t>指引表》</w:t>
      </w:r>
      <w:r>
        <w:rPr>
          <w:rFonts w:hint="eastAsia" w:ascii="宋体" w:hAnsi="宋体"/>
          <w:color w:val="auto"/>
          <w:sz w:val="28"/>
          <w:szCs w:val="28"/>
          <w:highlight w:val="none"/>
        </w:rPr>
        <w:t>，以此实现集团管控和本部业务</w:t>
      </w:r>
      <w:r>
        <w:rPr>
          <w:rFonts w:hint="eastAsia"/>
          <w:color w:val="auto"/>
          <w:sz w:val="28"/>
          <w:szCs w:val="28"/>
          <w:highlight w:val="none"/>
          <w:lang w:val="en-US" w:eastAsia="zh-CN"/>
        </w:rPr>
        <w:t>决策</w:t>
      </w:r>
      <w:r>
        <w:rPr>
          <w:rFonts w:hint="eastAsia" w:ascii="宋体" w:hAnsi="宋体"/>
          <w:color w:val="auto"/>
          <w:sz w:val="28"/>
          <w:szCs w:val="28"/>
          <w:highlight w:val="none"/>
        </w:rPr>
        <w:t>权责明确、协作紧密、运行高效的目标，推动职能部门优化业务管理制度，并为管控信息化建设奠定管理基础。</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六</w:t>
      </w:r>
      <w:r>
        <w:rPr>
          <w:rFonts w:hint="eastAsia" w:ascii="宋体" w:hAnsi="宋体"/>
          <w:color w:val="auto"/>
          <w:sz w:val="28"/>
          <w:szCs w:val="28"/>
          <w:highlight w:val="none"/>
        </w:rPr>
        <w:t>）提供宣贯服务。乙方负责召开至少一次宣贯会。</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七</w:t>
      </w:r>
      <w:r>
        <w:rPr>
          <w:rFonts w:hint="eastAsia" w:ascii="宋体" w:hAnsi="宋体"/>
          <w:color w:val="auto"/>
          <w:sz w:val="28"/>
          <w:szCs w:val="28"/>
          <w:highlight w:val="none"/>
        </w:rPr>
        <w:t>）提供实施辅导。成果交付实施后，提供为期</w:t>
      </w:r>
      <w:r>
        <w:rPr>
          <w:rFonts w:hint="eastAsia"/>
          <w:color w:val="auto"/>
          <w:sz w:val="28"/>
          <w:szCs w:val="28"/>
          <w:highlight w:val="none"/>
          <w:lang w:val="en-US" w:eastAsia="zh-CN"/>
        </w:rPr>
        <w:t>至少180个自然日</w:t>
      </w:r>
      <w:r>
        <w:rPr>
          <w:rFonts w:hint="eastAsia" w:ascii="宋体" w:hAnsi="宋体"/>
          <w:color w:val="auto"/>
          <w:sz w:val="28"/>
          <w:szCs w:val="28"/>
          <w:highlight w:val="none"/>
        </w:rPr>
        <w:t>的落地执行解释、咨询、评审等</w:t>
      </w:r>
      <w:r>
        <w:rPr>
          <w:rFonts w:hint="eastAsia"/>
          <w:color w:val="auto"/>
          <w:sz w:val="28"/>
          <w:szCs w:val="28"/>
          <w:highlight w:val="none"/>
          <w:lang w:val="en-US" w:eastAsia="zh-CN"/>
        </w:rPr>
        <w:t>辅导</w:t>
      </w:r>
      <w:r>
        <w:rPr>
          <w:rFonts w:hint="eastAsia" w:ascii="宋体" w:hAnsi="宋体"/>
          <w:color w:val="auto"/>
          <w:sz w:val="28"/>
          <w:szCs w:val="28"/>
          <w:highlight w:val="none"/>
        </w:rPr>
        <w:t>服务。</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八</w:t>
      </w:r>
      <w:r>
        <w:rPr>
          <w:rFonts w:hint="eastAsia" w:ascii="宋体" w:hAnsi="宋体"/>
          <w:color w:val="auto"/>
          <w:sz w:val="28"/>
          <w:szCs w:val="28"/>
          <w:highlight w:val="none"/>
        </w:rPr>
        <w:t>）提供调整优化服务。成果交付实施</w:t>
      </w:r>
      <w:r>
        <w:rPr>
          <w:rFonts w:hint="eastAsia"/>
          <w:color w:val="auto"/>
          <w:sz w:val="28"/>
          <w:szCs w:val="28"/>
          <w:highlight w:val="none"/>
          <w:lang w:val="en-US" w:eastAsia="zh-CN"/>
        </w:rPr>
        <w:t>满180个自然日，乙方</w:t>
      </w:r>
      <w:r>
        <w:rPr>
          <w:rFonts w:hint="eastAsia" w:ascii="宋体" w:hAnsi="宋体"/>
          <w:color w:val="auto"/>
          <w:sz w:val="28"/>
          <w:szCs w:val="28"/>
          <w:highlight w:val="none"/>
        </w:rPr>
        <w:t>根据甲方执行情况，对交付的咨询成果进行调整优化。</w:t>
      </w:r>
    </w:p>
    <w:p>
      <w:pPr>
        <w:pStyle w:val="12"/>
        <w:kinsoku w:val="0"/>
        <w:overflowPunct w:val="0"/>
        <w:spacing w:before="0" w:line="500" w:lineRule="exact"/>
        <w:ind w:left="0" w:firstLine="551" w:firstLineChars="197"/>
        <w:outlineLvl w:val="9"/>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color w:val="auto"/>
          <w:sz w:val="28"/>
          <w:szCs w:val="28"/>
          <w:highlight w:val="none"/>
          <w:lang w:val="en-US" w:eastAsia="zh-CN"/>
        </w:rPr>
        <w:t>九</w:t>
      </w:r>
      <w:r>
        <w:rPr>
          <w:rFonts w:hint="eastAsia" w:ascii="宋体" w:hAnsi="宋体"/>
          <w:color w:val="auto"/>
          <w:sz w:val="28"/>
          <w:szCs w:val="28"/>
          <w:highlight w:val="none"/>
        </w:rPr>
        <w:t>）制定项目实施方案、记录工作相关信息、汇报工作进度、汇报项目成果。</w:t>
      </w:r>
    </w:p>
    <w:p>
      <w:pPr>
        <w:pStyle w:val="12"/>
        <w:kinsoku w:val="0"/>
        <w:overflowPunct w:val="0"/>
        <w:spacing w:before="0" w:line="500" w:lineRule="exact"/>
        <w:ind w:left="0" w:firstLine="550" w:firstLineChars="197"/>
        <w:outlineLvl w:val="9"/>
        <w:rPr>
          <w:rFonts w:hint="default" w:asciiTheme="minorEastAsia" w:hAnsiTheme="minorEastAsia" w:eastAsiaTheme="minorEastAsia"/>
          <w:color w:val="auto"/>
          <w:sz w:val="28"/>
          <w:szCs w:val="28"/>
          <w:highlight w:val="none"/>
        </w:rPr>
      </w:pPr>
      <w:r>
        <w:rPr>
          <w:rFonts w:asciiTheme="minorEastAsia" w:hAnsiTheme="minorEastAsia" w:eastAsiaTheme="minorEastAsia"/>
          <w:b/>
          <w:color w:val="auto"/>
          <w:spacing w:val="-1"/>
          <w:sz w:val="28"/>
          <w:szCs w:val="28"/>
          <w:highlight w:val="none"/>
        </w:rPr>
        <w:t>二、比选申请人资格要求</w:t>
      </w:r>
    </w:p>
    <w:p>
      <w:pPr>
        <w:pStyle w:val="17"/>
        <w:shd w:val="clear" w:color="auto" w:fill="FFFFFF"/>
        <w:spacing w:line="500" w:lineRule="exact"/>
        <w:ind w:firstLine="602" w:firstLineChars="215"/>
        <w:rPr>
          <w:rStyle w:val="22"/>
          <w:rFonts w:cs="Arial" w:asciiTheme="minorEastAsia" w:hAnsiTheme="minorEastAsia" w:eastAsiaTheme="minorEastAsia"/>
          <w:color w:val="auto"/>
          <w:sz w:val="28"/>
          <w:szCs w:val="28"/>
          <w:highlight w:val="none"/>
        </w:rPr>
      </w:pPr>
      <w:r>
        <w:rPr>
          <w:rStyle w:val="22"/>
          <w:rFonts w:hint="eastAsia" w:cs="Arial" w:asciiTheme="minorEastAsia" w:hAnsiTheme="minorEastAsia" w:eastAsiaTheme="minorEastAsia"/>
          <w:b w:val="0"/>
          <w:color w:val="auto"/>
          <w:sz w:val="28"/>
          <w:szCs w:val="28"/>
          <w:highlight w:val="none"/>
        </w:rPr>
        <w:t>1.</w:t>
      </w:r>
      <w:r>
        <w:rPr>
          <w:rFonts w:hint="eastAsia" w:asciiTheme="minorEastAsia" w:hAnsiTheme="minorEastAsia" w:eastAsiaTheme="minorEastAsia"/>
          <w:color w:val="auto"/>
          <w:sz w:val="28"/>
          <w:szCs w:val="28"/>
          <w:highlight w:val="none"/>
        </w:rPr>
        <w:t>中华人民共和国境内依法设立的法人或其他组织，经营范围涵盖管理咨询或企业管理咨询或人才管理咨询服务。</w:t>
      </w:r>
    </w:p>
    <w:p>
      <w:pPr>
        <w:pStyle w:val="17"/>
        <w:shd w:val="clear" w:color="auto" w:fill="FFFFFF"/>
        <w:spacing w:line="500" w:lineRule="exact"/>
        <w:ind w:firstLine="599" w:firstLineChars="214"/>
        <w:rPr>
          <w:rFonts w:cs="Arial" w:asciiTheme="minorEastAsia" w:hAnsiTheme="minorEastAsia" w:eastAsiaTheme="minorEastAsia"/>
          <w:color w:val="auto"/>
          <w:sz w:val="28"/>
          <w:szCs w:val="28"/>
          <w:highlight w:val="none"/>
        </w:rPr>
      </w:pPr>
      <w:r>
        <w:rPr>
          <w:rStyle w:val="22"/>
          <w:rFonts w:hint="eastAsia" w:cs="Arial" w:asciiTheme="minorEastAsia" w:hAnsiTheme="minorEastAsia" w:eastAsiaTheme="minorEastAsia"/>
          <w:b w:val="0"/>
          <w:color w:val="auto"/>
          <w:sz w:val="28"/>
          <w:szCs w:val="28"/>
          <w:highlight w:val="none"/>
        </w:rPr>
        <w:t>2.</w:t>
      </w:r>
      <w:r>
        <w:rPr>
          <w:rFonts w:hint="eastAsia" w:cs="Arial" w:asciiTheme="minorEastAsia" w:hAnsiTheme="minorEastAsia" w:eastAsiaTheme="minorEastAsia"/>
          <w:color w:val="auto"/>
          <w:sz w:val="28"/>
          <w:szCs w:val="28"/>
          <w:highlight w:val="none"/>
        </w:rPr>
        <w:t>本次比选不接受联合体报价，母、子公司只允许其中一家公司参与比选；同一法定代表人，只接受一家参与比选。</w:t>
      </w:r>
    </w:p>
    <w:p>
      <w:pPr>
        <w:pStyle w:val="12"/>
        <w:numPr>
          <w:ilvl w:val="0"/>
          <w:numId w:val="1"/>
        </w:numPr>
        <w:kinsoku w:val="0"/>
        <w:overflowPunct w:val="0"/>
        <w:spacing w:before="0" w:line="500" w:lineRule="exact"/>
        <w:outlineLvl w:val="9"/>
        <w:rPr>
          <w:rFonts w:hint="default" w:asciiTheme="minorEastAsia" w:hAnsiTheme="minorEastAsia" w:eastAsiaTheme="minorEastAsia"/>
          <w:b/>
          <w:color w:val="auto"/>
          <w:spacing w:val="-1"/>
          <w:sz w:val="28"/>
          <w:szCs w:val="28"/>
          <w:highlight w:val="none"/>
        </w:rPr>
      </w:pPr>
      <w:r>
        <w:rPr>
          <w:rFonts w:asciiTheme="minorEastAsia" w:hAnsiTheme="minorEastAsia" w:eastAsiaTheme="minorEastAsia"/>
          <w:b/>
          <w:color w:val="auto"/>
          <w:spacing w:val="-1"/>
          <w:sz w:val="28"/>
          <w:szCs w:val="28"/>
          <w:highlight w:val="none"/>
        </w:rPr>
        <w:t>比选保证金</w:t>
      </w:r>
    </w:p>
    <w:p>
      <w:pPr>
        <w:pStyle w:val="12"/>
        <w:kinsoku w:val="0"/>
        <w:overflowPunct w:val="0"/>
        <w:spacing w:before="0" w:line="500" w:lineRule="exact"/>
        <w:ind w:left="0" w:firstLine="552" w:firstLineChars="200"/>
        <w:rPr>
          <w:rFonts w:hint="default" w:asciiTheme="minorEastAsia" w:hAnsiTheme="minorEastAsia" w:eastAsiaTheme="minorEastAsia"/>
          <w:color w:val="auto"/>
          <w:spacing w:val="-2"/>
          <w:sz w:val="28"/>
          <w:szCs w:val="28"/>
          <w:highlight w:val="none"/>
        </w:rPr>
      </w:pPr>
      <w:r>
        <w:rPr>
          <w:rFonts w:asciiTheme="minorEastAsia" w:hAnsiTheme="minorEastAsia" w:eastAsiaTheme="minorEastAsia"/>
          <w:color w:val="auto"/>
          <w:spacing w:val="-2"/>
          <w:sz w:val="28"/>
          <w:szCs w:val="28"/>
          <w:highlight w:val="none"/>
        </w:rPr>
        <w:t>无。</w:t>
      </w:r>
    </w:p>
    <w:p>
      <w:pPr>
        <w:pStyle w:val="12"/>
        <w:numPr>
          <w:ilvl w:val="0"/>
          <w:numId w:val="1"/>
        </w:numPr>
        <w:kinsoku w:val="0"/>
        <w:overflowPunct w:val="0"/>
        <w:spacing w:before="0" w:line="500" w:lineRule="exact"/>
        <w:outlineLvl w:val="9"/>
        <w:rPr>
          <w:rFonts w:hint="default" w:asciiTheme="minorEastAsia" w:hAnsiTheme="minorEastAsia" w:eastAsiaTheme="minorEastAsia"/>
          <w:b/>
          <w:color w:val="auto"/>
          <w:spacing w:val="1"/>
          <w:w w:val="95"/>
          <w:sz w:val="28"/>
          <w:szCs w:val="28"/>
          <w:highlight w:val="none"/>
        </w:rPr>
      </w:pPr>
      <w:r>
        <w:rPr>
          <w:rFonts w:asciiTheme="minorEastAsia" w:hAnsiTheme="minorEastAsia" w:eastAsiaTheme="minorEastAsia"/>
          <w:b/>
          <w:color w:val="auto"/>
          <w:spacing w:val="1"/>
          <w:w w:val="95"/>
          <w:sz w:val="28"/>
          <w:szCs w:val="28"/>
          <w:highlight w:val="none"/>
        </w:rPr>
        <w:t>比选文件的获取</w:t>
      </w:r>
    </w:p>
    <w:p>
      <w:pPr>
        <w:pStyle w:val="12"/>
        <w:kinsoku w:val="0"/>
        <w:overflowPunct w:val="0"/>
        <w:spacing w:before="0" w:line="500" w:lineRule="exact"/>
        <w:ind w:left="0" w:firstLine="552" w:firstLineChars="200"/>
        <w:rPr>
          <w:rFonts w:hint="default" w:asciiTheme="minorEastAsia" w:hAnsiTheme="minorEastAsia" w:eastAsiaTheme="minorEastAsia"/>
          <w:color w:val="auto"/>
          <w:spacing w:val="-2"/>
          <w:sz w:val="28"/>
          <w:szCs w:val="28"/>
          <w:highlight w:val="none"/>
        </w:rPr>
      </w:pPr>
      <w:r>
        <w:rPr>
          <w:rFonts w:asciiTheme="minorEastAsia" w:hAnsiTheme="minorEastAsia" w:eastAsiaTheme="minorEastAsia"/>
          <w:color w:val="auto"/>
          <w:spacing w:val="-2"/>
          <w:sz w:val="28"/>
          <w:szCs w:val="28"/>
          <w:highlight w:val="none"/>
        </w:rPr>
        <w:t>本项目不发放纸质文件，比选申请人自行在南宁轨道交通集团有限责任公司官网</w:t>
      </w:r>
      <w:r>
        <w:rPr>
          <w:color w:val="auto"/>
          <w:highlight w:val="none"/>
        </w:rPr>
        <w:fldChar w:fldCharType="begin"/>
      </w:r>
      <w:r>
        <w:rPr>
          <w:color w:val="auto"/>
          <w:highlight w:val="none"/>
        </w:rPr>
        <w:instrText xml:space="preserve"> HYPERLINK "http://www.nngdjt.com/)%E7%9A%84%E6%8B%9B%E6%A0%87%E6%8B%9B%E5%95%86%E4%B8%AD%E7%9A%84%E6%8B%9B%E6%A0%87%E5%85%AC%E5%91%8A%E5%A4%84%E4%B8%8B%E8%BD%BD%E6%AF%94%E9%80%89%E6%96%87%E4%BB%B6" </w:instrText>
      </w:r>
      <w:r>
        <w:rPr>
          <w:color w:val="auto"/>
          <w:highlight w:val="none"/>
        </w:rPr>
        <w:fldChar w:fldCharType="separate"/>
      </w:r>
      <w:r>
        <w:rPr>
          <w:rFonts w:asciiTheme="minorEastAsia" w:hAnsiTheme="minorEastAsia" w:eastAsiaTheme="minorEastAsia"/>
          <w:color w:val="auto"/>
          <w:spacing w:val="-2"/>
          <w:sz w:val="28"/>
          <w:szCs w:val="28"/>
          <w:highlight w:val="none"/>
        </w:rPr>
        <w:t>(http://www.nngdjt.com/)的“招标招商”栏目中的“招标公告”处下载比选文件</w:t>
      </w:r>
      <w:r>
        <w:rPr>
          <w:rFonts w:asciiTheme="minorEastAsia" w:hAnsiTheme="minorEastAsia" w:eastAsiaTheme="minorEastAsia"/>
          <w:color w:val="auto"/>
          <w:spacing w:val="-2"/>
          <w:sz w:val="28"/>
          <w:szCs w:val="28"/>
          <w:highlight w:val="none"/>
        </w:rPr>
        <w:fldChar w:fldCharType="end"/>
      </w:r>
      <w:r>
        <w:rPr>
          <w:rFonts w:asciiTheme="minorEastAsia" w:hAnsiTheme="minorEastAsia" w:eastAsiaTheme="minorEastAsia"/>
          <w:color w:val="auto"/>
          <w:spacing w:val="-2"/>
          <w:sz w:val="28"/>
          <w:szCs w:val="28"/>
          <w:highlight w:val="none"/>
        </w:rPr>
        <w:t>（见本公告附件）。</w:t>
      </w:r>
    </w:p>
    <w:p>
      <w:pPr>
        <w:pStyle w:val="12"/>
        <w:kinsoku w:val="0"/>
        <w:overflowPunct w:val="0"/>
        <w:spacing w:before="0" w:line="500" w:lineRule="exact"/>
        <w:ind w:left="0" w:firstLine="554" w:firstLineChars="200"/>
        <w:outlineLvl w:val="9"/>
        <w:rPr>
          <w:rFonts w:hint="default" w:asciiTheme="minorEastAsia" w:hAnsiTheme="minorEastAsia" w:eastAsiaTheme="minorEastAsia"/>
          <w:b/>
          <w:color w:val="auto"/>
          <w:spacing w:val="-2"/>
          <w:sz w:val="28"/>
          <w:szCs w:val="28"/>
          <w:highlight w:val="none"/>
        </w:rPr>
      </w:pPr>
      <w:r>
        <w:rPr>
          <w:rFonts w:asciiTheme="minorEastAsia" w:hAnsiTheme="minorEastAsia" w:eastAsiaTheme="minorEastAsia"/>
          <w:b/>
          <w:color w:val="auto"/>
          <w:spacing w:val="-2"/>
          <w:sz w:val="28"/>
          <w:szCs w:val="28"/>
          <w:highlight w:val="none"/>
        </w:rPr>
        <w:t>五、比选时间、地点</w:t>
      </w:r>
    </w:p>
    <w:p>
      <w:pPr>
        <w:pStyle w:val="12"/>
        <w:kinsoku w:val="0"/>
        <w:overflowPunct w:val="0"/>
        <w:spacing w:before="0" w:line="500" w:lineRule="exact"/>
        <w:ind w:left="0" w:firstLine="552" w:firstLineChars="200"/>
        <w:rPr>
          <w:rFonts w:hint="default" w:asciiTheme="minorEastAsia" w:hAnsiTheme="minorEastAsia" w:eastAsiaTheme="minorEastAsia"/>
          <w:color w:val="auto"/>
          <w:spacing w:val="-2"/>
          <w:sz w:val="28"/>
          <w:szCs w:val="28"/>
          <w:highlight w:val="none"/>
          <w:lang w:val="en-US"/>
        </w:rPr>
      </w:pPr>
      <w:r>
        <w:rPr>
          <w:rFonts w:hint="default" w:asciiTheme="minorEastAsia" w:hAnsiTheme="minorEastAsia" w:eastAsiaTheme="minorEastAsia"/>
          <w:color w:val="auto"/>
          <w:spacing w:val="-2"/>
          <w:sz w:val="28"/>
          <w:szCs w:val="28"/>
          <w:highlight w:val="none"/>
        </w:rPr>
        <w:t>1.</w:t>
      </w:r>
      <w:r>
        <w:rPr>
          <w:rFonts w:asciiTheme="minorEastAsia" w:hAnsiTheme="minorEastAsia" w:eastAsiaTheme="minorEastAsia"/>
          <w:color w:val="auto"/>
          <w:spacing w:val="-2"/>
          <w:sz w:val="28"/>
          <w:szCs w:val="28"/>
          <w:highlight w:val="none"/>
        </w:rPr>
        <w:t>时间：</w:t>
      </w:r>
      <w:r>
        <w:rPr>
          <w:rFonts w:hint="default" w:asciiTheme="minorEastAsia" w:hAnsiTheme="minorEastAsia" w:eastAsiaTheme="minorEastAsia"/>
          <w:color w:val="auto"/>
          <w:spacing w:val="-2"/>
          <w:sz w:val="28"/>
          <w:szCs w:val="28"/>
          <w:highlight w:val="yellow"/>
        </w:rPr>
        <w:t>20</w:t>
      </w:r>
      <w:r>
        <w:rPr>
          <w:rFonts w:asciiTheme="minorEastAsia" w:hAnsiTheme="minorEastAsia" w:eastAsiaTheme="minorEastAsia"/>
          <w:color w:val="auto"/>
          <w:spacing w:val="-2"/>
          <w:sz w:val="28"/>
          <w:szCs w:val="28"/>
          <w:highlight w:val="yellow"/>
        </w:rPr>
        <w:t>23年</w:t>
      </w:r>
      <w:r>
        <w:rPr>
          <w:rFonts w:hint="eastAsia" w:asciiTheme="minorEastAsia" w:hAnsiTheme="minorEastAsia" w:eastAsiaTheme="minorEastAsia"/>
          <w:color w:val="auto"/>
          <w:spacing w:val="-2"/>
          <w:sz w:val="28"/>
          <w:szCs w:val="28"/>
          <w:highlight w:val="yellow"/>
          <w:u w:val="single"/>
          <w:lang w:val="en-US" w:eastAsia="zh-CN"/>
        </w:rPr>
        <w:t>9</w:t>
      </w:r>
      <w:r>
        <w:rPr>
          <w:rFonts w:asciiTheme="minorEastAsia" w:hAnsiTheme="minorEastAsia" w:eastAsiaTheme="minorEastAsia"/>
          <w:color w:val="auto"/>
          <w:spacing w:val="-2"/>
          <w:sz w:val="28"/>
          <w:szCs w:val="28"/>
          <w:highlight w:val="yellow"/>
        </w:rPr>
        <w:t>月</w:t>
      </w:r>
      <w:r>
        <w:rPr>
          <w:rFonts w:hint="eastAsia" w:asciiTheme="minorEastAsia" w:hAnsiTheme="minorEastAsia" w:eastAsiaTheme="minorEastAsia"/>
          <w:color w:val="auto"/>
          <w:spacing w:val="-2"/>
          <w:sz w:val="28"/>
          <w:szCs w:val="28"/>
          <w:highlight w:val="yellow"/>
          <w:u w:val="single"/>
          <w:lang w:val="en-US" w:eastAsia="zh-CN"/>
        </w:rPr>
        <w:t>6</w:t>
      </w:r>
      <w:r>
        <w:rPr>
          <w:rFonts w:asciiTheme="minorEastAsia" w:hAnsiTheme="minorEastAsia" w:eastAsiaTheme="minorEastAsia"/>
          <w:color w:val="auto"/>
          <w:spacing w:val="-2"/>
          <w:sz w:val="28"/>
          <w:szCs w:val="28"/>
          <w:highlight w:val="yellow"/>
        </w:rPr>
        <w:t>日</w:t>
      </w:r>
      <w:r>
        <w:rPr>
          <w:rFonts w:hint="eastAsia" w:asciiTheme="minorEastAsia" w:hAnsiTheme="minorEastAsia" w:eastAsiaTheme="minorEastAsia"/>
          <w:color w:val="auto"/>
          <w:spacing w:val="-2"/>
          <w:sz w:val="28"/>
          <w:szCs w:val="28"/>
          <w:highlight w:val="yellow"/>
          <w:u w:val="single"/>
          <w:lang w:val="en-US" w:eastAsia="zh-CN"/>
        </w:rPr>
        <w:t>上午9时00分</w:t>
      </w:r>
      <w:r>
        <w:rPr>
          <w:rFonts w:hint="eastAsia" w:asciiTheme="minorEastAsia" w:hAnsiTheme="minorEastAsia" w:eastAsiaTheme="minorEastAsia"/>
          <w:color w:val="auto"/>
          <w:spacing w:val="-2"/>
          <w:sz w:val="28"/>
          <w:szCs w:val="28"/>
          <w:highlight w:val="none"/>
          <w:lang w:val="en-US" w:eastAsia="zh-CN"/>
        </w:rPr>
        <w:t>。</w:t>
      </w:r>
    </w:p>
    <w:p>
      <w:pPr>
        <w:pStyle w:val="12"/>
        <w:kinsoku w:val="0"/>
        <w:overflowPunct w:val="0"/>
        <w:spacing w:before="0" w:line="500" w:lineRule="exact"/>
        <w:ind w:left="0" w:firstLine="552" w:firstLineChars="200"/>
        <w:rPr>
          <w:rFonts w:hint="default" w:asciiTheme="minorEastAsia" w:hAnsiTheme="minorEastAsia" w:eastAsiaTheme="minorEastAsia"/>
          <w:color w:val="auto"/>
          <w:spacing w:val="-2"/>
          <w:sz w:val="28"/>
          <w:szCs w:val="28"/>
          <w:highlight w:val="none"/>
        </w:rPr>
      </w:pPr>
      <w:r>
        <w:rPr>
          <w:rFonts w:hint="default" w:asciiTheme="minorEastAsia" w:hAnsiTheme="minorEastAsia" w:eastAsiaTheme="minorEastAsia"/>
          <w:color w:val="auto"/>
          <w:spacing w:val="-2"/>
          <w:sz w:val="28"/>
          <w:szCs w:val="28"/>
          <w:highlight w:val="none"/>
        </w:rPr>
        <w:t>2.</w:t>
      </w:r>
      <w:r>
        <w:rPr>
          <w:rFonts w:asciiTheme="minorEastAsia" w:hAnsiTheme="minorEastAsia" w:eastAsiaTheme="minorEastAsia"/>
          <w:color w:val="auto"/>
          <w:spacing w:val="-2"/>
          <w:sz w:val="28"/>
          <w:szCs w:val="28"/>
          <w:highlight w:val="none"/>
        </w:rPr>
        <w:t>地点：广西壮族自治区南宁市青秀区云景路69号南宁轨道交通大厦A2楼</w:t>
      </w:r>
      <w:r>
        <w:rPr>
          <w:rFonts w:hint="eastAsia" w:asciiTheme="minorEastAsia" w:hAnsiTheme="minorEastAsia" w:eastAsiaTheme="minorEastAsia"/>
          <w:color w:val="auto"/>
          <w:spacing w:val="-2"/>
          <w:sz w:val="28"/>
          <w:szCs w:val="28"/>
          <w:highlight w:val="yellow"/>
          <w:u w:val="single"/>
          <w:lang w:val="en-US" w:eastAsia="zh-CN"/>
        </w:rPr>
        <w:t>105</w:t>
      </w:r>
      <w:r>
        <w:rPr>
          <w:rFonts w:asciiTheme="minorEastAsia" w:hAnsiTheme="minorEastAsia" w:eastAsiaTheme="minorEastAsia"/>
          <w:color w:val="auto"/>
          <w:spacing w:val="-2"/>
          <w:sz w:val="28"/>
          <w:szCs w:val="28"/>
          <w:highlight w:val="none"/>
        </w:rPr>
        <w:t>室</w:t>
      </w:r>
    </w:p>
    <w:p>
      <w:pPr>
        <w:pStyle w:val="12"/>
        <w:kinsoku w:val="0"/>
        <w:overflowPunct w:val="0"/>
        <w:spacing w:before="0" w:line="500" w:lineRule="exact"/>
        <w:ind w:left="0" w:firstLine="546" w:firstLineChars="197"/>
        <w:outlineLvl w:val="9"/>
        <w:rPr>
          <w:rFonts w:hint="default" w:asciiTheme="minorEastAsia" w:hAnsiTheme="minorEastAsia" w:eastAsiaTheme="minorEastAsia"/>
          <w:color w:val="auto"/>
          <w:spacing w:val="-2"/>
          <w:sz w:val="28"/>
          <w:szCs w:val="28"/>
          <w:highlight w:val="none"/>
        </w:rPr>
      </w:pPr>
      <w:r>
        <w:rPr>
          <w:rFonts w:asciiTheme="minorEastAsia" w:hAnsiTheme="minorEastAsia" w:eastAsiaTheme="minorEastAsia"/>
          <w:b/>
          <w:color w:val="auto"/>
          <w:spacing w:val="-2"/>
          <w:sz w:val="28"/>
          <w:szCs w:val="28"/>
          <w:highlight w:val="none"/>
        </w:rPr>
        <w:t>六、</w:t>
      </w:r>
      <w:r>
        <w:rPr>
          <w:rFonts w:asciiTheme="minorEastAsia" w:hAnsiTheme="minorEastAsia" w:eastAsiaTheme="minorEastAsia"/>
          <w:b/>
          <w:color w:val="auto"/>
          <w:spacing w:val="-1"/>
          <w:sz w:val="28"/>
          <w:szCs w:val="28"/>
          <w:highlight w:val="none"/>
        </w:rPr>
        <w:t>比选人联系方式</w:t>
      </w:r>
    </w:p>
    <w:p>
      <w:pPr>
        <w:pStyle w:val="12"/>
        <w:kinsoku w:val="0"/>
        <w:overflowPunct w:val="0"/>
        <w:spacing w:before="14" w:line="500" w:lineRule="exact"/>
        <w:ind w:right="3365"/>
        <w:rPr>
          <w:rFonts w:hint="default" w:asciiTheme="minorEastAsia" w:hAnsiTheme="minorEastAsia" w:eastAsiaTheme="minorEastAsia"/>
          <w:color w:val="auto"/>
          <w:spacing w:val="-3"/>
          <w:sz w:val="28"/>
          <w:szCs w:val="28"/>
          <w:highlight w:val="none"/>
        </w:rPr>
      </w:pPr>
      <w:r>
        <w:rPr>
          <w:rFonts w:asciiTheme="minorEastAsia" w:hAnsiTheme="minorEastAsia" w:eastAsiaTheme="minorEastAsia"/>
          <w:color w:val="auto"/>
          <w:spacing w:val="-3"/>
          <w:sz w:val="28"/>
          <w:szCs w:val="28"/>
          <w:highlight w:val="none"/>
        </w:rPr>
        <w:t>联系地址：南宁市青秀区云景路69号</w:t>
      </w:r>
    </w:p>
    <w:p>
      <w:pPr>
        <w:pStyle w:val="12"/>
        <w:tabs>
          <w:tab w:val="left" w:pos="6541"/>
        </w:tabs>
        <w:kinsoku w:val="0"/>
        <w:overflowPunct w:val="0"/>
        <w:spacing w:before="14" w:line="500" w:lineRule="exact"/>
        <w:jc w:val="both"/>
        <w:rPr>
          <w:rFonts w:hint="default" w:asciiTheme="minorEastAsia" w:hAnsiTheme="minorEastAsia" w:eastAsiaTheme="minorEastAsia"/>
          <w:color w:val="auto"/>
          <w:spacing w:val="-2"/>
          <w:sz w:val="28"/>
          <w:szCs w:val="28"/>
          <w:highlight w:val="none"/>
          <w:lang w:val="en-US" w:eastAsia="zh-CN"/>
        </w:rPr>
      </w:pPr>
      <w:r>
        <w:rPr>
          <w:rFonts w:asciiTheme="minorEastAsia" w:hAnsiTheme="minorEastAsia" w:eastAsiaTheme="minorEastAsia"/>
          <w:color w:val="auto"/>
          <w:spacing w:val="-2"/>
          <w:sz w:val="28"/>
          <w:szCs w:val="28"/>
          <w:highlight w:val="none"/>
        </w:rPr>
        <w:t>联系人与电话：</w:t>
      </w:r>
      <w:r>
        <w:rPr>
          <w:rFonts w:hint="eastAsia" w:asciiTheme="minorEastAsia" w:hAnsiTheme="minorEastAsia" w:eastAsiaTheme="minorEastAsia"/>
          <w:color w:val="auto"/>
          <w:spacing w:val="-2"/>
          <w:sz w:val="28"/>
          <w:szCs w:val="28"/>
          <w:highlight w:val="none"/>
          <w:lang w:val="en-US" w:eastAsia="zh-CN"/>
        </w:rPr>
        <w:t>傅</w:t>
      </w:r>
      <w:r>
        <w:rPr>
          <w:rFonts w:asciiTheme="minorEastAsia" w:hAnsiTheme="minorEastAsia" w:eastAsiaTheme="minorEastAsia"/>
          <w:color w:val="auto"/>
          <w:spacing w:val="-2"/>
          <w:sz w:val="28"/>
          <w:szCs w:val="28"/>
          <w:highlight w:val="none"/>
        </w:rPr>
        <w:t>女士 0771-2</w:t>
      </w:r>
      <w:r>
        <w:rPr>
          <w:rFonts w:hint="eastAsia" w:asciiTheme="minorEastAsia" w:hAnsiTheme="minorEastAsia" w:eastAsiaTheme="minorEastAsia"/>
          <w:color w:val="auto"/>
          <w:spacing w:val="-2"/>
          <w:sz w:val="28"/>
          <w:szCs w:val="28"/>
          <w:highlight w:val="none"/>
          <w:lang w:val="en-US" w:eastAsia="zh-CN"/>
        </w:rPr>
        <w:t>778509</w:t>
      </w:r>
    </w:p>
    <w:p>
      <w:pPr>
        <w:pStyle w:val="12"/>
        <w:tabs>
          <w:tab w:val="left" w:pos="6541"/>
        </w:tabs>
        <w:kinsoku w:val="0"/>
        <w:overflowPunct w:val="0"/>
        <w:spacing w:before="14" w:line="500" w:lineRule="exact"/>
        <w:rPr>
          <w:rFonts w:hint="default" w:asciiTheme="minorEastAsia" w:hAnsiTheme="minorEastAsia" w:eastAsiaTheme="minorEastAsia"/>
          <w:color w:val="auto"/>
          <w:spacing w:val="-2"/>
          <w:sz w:val="28"/>
          <w:szCs w:val="28"/>
          <w:highlight w:val="none"/>
        </w:rPr>
      </w:pPr>
    </w:p>
    <w:p>
      <w:pPr>
        <w:pStyle w:val="12"/>
        <w:tabs>
          <w:tab w:val="left" w:pos="6541"/>
        </w:tabs>
        <w:kinsoku w:val="0"/>
        <w:overflowPunct w:val="0"/>
        <w:spacing w:before="14" w:line="500" w:lineRule="exact"/>
        <w:rPr>
          <w:rFonts w:hint="default" w:asciiTheme="minorEastAsia" w:hAnsiTheme="minorEastAsia" w:eastAsiaTheme="minorEastAsia"/>
          <w:color w:val="auto"/>
          <w:sz w:val="28"/>
          <w:szCs w:val="28"/>
          <w:highlight w:val="none"/>
          <w:u w:val="single"/>
        </w:rPr>
      </w:pPr>
    </w:p>
    <w:p>
      <w:pPr>
        <w:pStyle w:val="12"/>
        <w:kinsoku w:val="0"/>
        <w:overflowPunct w:val="0"/>
        <w:spacing w:line="500" w:lineRule="exact"/>
        <w:rPr>
          <w:rFonts w:hint="default" w:asciiTheme="minorEastAsia" w:hAnsiTheme="minorEastAsia" w:eastAsiaTheme="minorEastAsia"/>
          <w:color w:val="auto"/>
          <w:spacing w:val="-2"/>
          <w:w w:val="95"/>
          <w:sz w:val="28"/>
          <w:szCs w:val="28"/>
          <w:highlight w:val="none"/>
        </w:rPr>
      </w:pPr>
      <w:r>
        <w:rPr>
          <w:rFonts w:asciiTheme="minorEastAsia" w:hAnsiTheme="minorEastAsia" w:eastAsiaTheme="minorEastAsia"/>
          <w:b/>
          <w:color w:val="auto"/>
          <w:spacing w:val="-2"/>
          <w:w w:val="95"/>
          <w:sz w:val="28"/>
          <w:szCs w:val="28"/>
          <w:highlight w:val="none"/>
        </w:rPr>
        <w:t>附件</w:t>
      </w:r>
      <w:r>
        <w:rPr>
          <w:rFonts w:asciiTheme="minorEastAsia" w:hAnsiTheme="minorEastAsia" w:eastAsiaTheme="minorEastAsia"/>
          <w:color w:val="auto"/>
          <w:spacing w:val="-2"/>
          <w:w w:val="95"/>
          <w:sz w:val="28"/>
          <w:szCs w:val="28"/>
          <w:highlight w:val="none"/>
        </w:rPr>
        <w:t>：南宁轨道交通集团有限责任公司管</w:t>
      </w:r>
      <w:r>
        <w:rPr>
          <w:rFonts w:hint="eastAsia" w:asciiTheme="minorEastAsia" w:hAnsiTheme="minorEastAsia" w:eastAsiaTheme="minorEastAsia"/>
          <w:color w:val="auto"/>
          <w:spacing w:val="-2"/>
          <w:w w:val="95"/>
          <w:sz w:val="28"/>
          <w:szCs w:val="28"/>
          <w:highlight w:val="none"/>
          <w:lang w:val="en-US" w:eastAsia="zh-CN"/>
        </w:rPr>
        <w:t>控</w:t>
      </w:r>
      <w:r>
        <w:rPr>
          <w:rFonts w:asciiTheme="minorEastAsia" w:hAnsiTheme="minorEastAsia" w:eastAsiaTheme="minorEastAsia"/>
          <w:color w:val="auto"/>
          <w:spacing w:val="-2"/>
          <w:w w:val="95"/>
          <w:sz w:val="28"/>
          <w:szCs w:val="28"/>
          <w:highlight w:val="none"/>
        </w:rPr>
        <w:t>体系优化咨询项目</w:t>
      </w:r>
      <w:r>
        <w:rPr>
          <w:rFonts w:asciiTheme="minorEastAsia" w:hAnsiTheme="minorEastAsia" w:eastAsiaTheme="minorEastAsia"/>
          <w:color w:val="auto"/>
          <w:spacing w:val="-2"/>
          <w:sz w:val="28"/>
          <w:szCs w:val="28"/>
          <w:highlight w:val="none"/>
        </w:rPr>
        <w:t>比选文件</w:t>
      </w:r>
    </w:p>
    <w:p>
      <w:pPr>
        <w:pStyle w:val="12"/>
        <w:kinsoku w:val="0"/>
        <w:overflowPunct w:val="0"/>
        <w:spacing w:before="0" w:line="360" w:lineRule="auto"/>
        <w:ind w:left="0"/>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pacing w:val="-2"/>
          <w:sz w:val="28"/>
          <w:szCs w:val="28"/>
          <w:highlight w:val="none"/>
        </w:rPr>
        <w:br w:type="page"/>
      </w:r>
    </w:p>
    <w:p>
      <w:pPr>
        <w:pStyle w:val="12"/>
        <w:kinsoku w:val="0"/>
        <w:overflowPunct w:val="0"/>
        <w:spacing w:before="0" w:line="360" w:lineRule="auto"/>
        <w:ind w:left="529"/>
        <w:jc w:val="center"/>
        <w:outlineLvl w:val="9"/>
        <w:rPr>
          <w:rFonts w:hint="default" w:ascii="黑体" w:hAnsi="黑体" w:eastAsia="黑体"/>
          <w:color w:val="auto"/>
          <w:sz w:val="44"/>
          <w:highlight w:val="none"/>
        </w:rPr>
      </w:pPr>
      <w:r>
        <w:rPr>
          <w:rFonts w:ascii="黑体" w:hAnsi="黑体" w:eastAsia="黑体"/>
          <w:color w:val="auto"/>
          <w:sz w:val="44"/>
          <w:highlight w:val="none"/>
        </w:rPr>
        <w:t>南宁轨道交通集团有限责任公司</w:t>
      </w:r>
    </w:p>
    <w:p>
      <w:pPr>
        <w:pStyle w:val="12"/>
        <w:kinsoku w:val="0"/>
        <w:overflowPunct w:val="0"/>
        <w:spacing w:before="0" w:line="360" w:lineRule="auto"/>
        <w:ind w:left="529"/>
        <w:jc w:val="center"/>
        <w:outlineLvl w:val="0"/>
        <w:rPr>
          <w:rFonts w:hint="default" w:ascii="黑体" w:hAnsi="黑体" w:eastAsia="黑体"/>
          <w:color w:val="auto"/>
          <w:sz w:val="44"/>
          <w:szCs w:val="22"/>
          <w:highlight w:val="none"/>
        </w:rPr>
      </w:pPr>
      <w:r>
        <w:rPr>
          <w:rFonts w:ascii="黑体" w:hAnsi="黑体" w:eastAsia="黑体"/>
          <w:color w:val="auto"/>
          <w:sz w:val="44"/>
          <w:szCs w:val="22"/>
          <w:highlight w:val="none"/>
        </w:rPr>
        <w:t>管</w:t>
      </w:r>
      <w:r>
        <w:rPr>
          <w:rFonts w:hint="eastAsia" w:ascii="黑体" w:hAnsi="黑体" w:eastAsia="黑体"/>
          <w:color w:val="auto"/>
          <w:sz w:val="44"/>
          <w:szCs w:val="22"/>
          <w:highlight w:val="none"/>
          <w:lang w:val="en-US" w:eastAsia="zh-CN"/>
        </w:rPr>
        <w:t>控</w:t>
      </w:r>
      <w:r>
        <w:rPr>
          <w:rFonts w:ascii="黑体" w:hAnsi="黑体" w:eastAsia="黑体"/>
          <w:color w:val="auto"/>
          <w:sz w:val="44"/>
          <w:szCs w:val="22"/>
          <w:highlight w:val="none"/>
        </w:rPr>
        <w:t>体系优化咨询</w:t>
      </w:r>
      <w:r>
        <w:rPr>
          <w:rFonts w:ascii="黑体" w:hAnsi="黑体" w:eastAsia="黑体"/>
          <w:color w:val="auto"/>
          <w:sz w:val="44"/>
          <w:highlight w:val="none"/>
        </w:rPr>
        <w:t>项目</w:t>
      </w:r>
    </w:p>
    <w:p>
      <w:pPr>
        <w:pStyle w:val="12"/>
        <w:kinsoku w:val="0"/>
        <w:overflowPunct w:val="0"/>
        <w:spacing w:before="0" w:line="539" w:lineRule="exact"/>
        <w:ind w:left="529"/>
        <w:jc w:val="center"/>
        <w:rPr>
          <w:rFonts w:hint="default" w:ascii="黑体" w:hAnsi="黑体" w:eastAsia="黑体"/>
          <w:color w:val="auto"/>
          <w:sz w:val="44"/>
          <w:highlight w:val="none"/>
        </w:rPr>
      </w:pPr>
    </w:p>
    <w:p>
      <w:pPr>
        <w:pStyle w:val="12"/>
        <w:kinsoku w:val="0"/>
        <w:overflowPunct w:val="0"/>
        <w:spacing w:before="1"/>
        <w:ind w:left="0"/>
        <w:rPr>
          <w:rFonts w:hint="default" w:ascii="黑体" w:hAnsi="黑体" w:eastAsia="黑体"/>
          <w:color w:val="auto"/>
          <w:sz w:val="53"/>
          <w:highlight w:val="none"/>
        </w:rPr>
      </w:pPr>
    </w:p>
    <w:p>
      <w:pPr>
        <w:pStyle w:val="12"/>
        <w:kinsoku w:val="0"/>
        <w:overflowPunct w:val="0"/>
        <w:spacing w:before="0"/>
        <w:ind w:left="532"/>
        <w:jc w:val="center"/>
        <w:rPr>
          <w:rFonts w:hint="default" w:ascii="黑体" w:hAnsi="黑体" w:eastAsia="黑体"/>
          <w:color w:val="auto"/>
          <w:sz w:val="44"/>
          <w:highlight w:val="none"/>
        </w:rPr>
      </w:pPr>
      <w:r>
        <w:rPr>
          <w:rFonts w:ascii="黑体" w:hAnsi="黑体" w:eastAsia="黑体"/>
          <w:b/>
          <w:color w:val="auto"/>
          <w:sz w:val="44"/>
          <w:highlight w:val="none"/>
        </w:rPr>
        <w:t>比</w:t>
      </w:r>
    </w:p>
    <w:p>
      <w:pPr>
        <w:pStyle w:val="12"/>
        <w:kinsoku w:val="0"/>
        <w:overflowPunct w:val="0"/>
        <w:spacing w:before="0"/>
        <w:ind w:left="0"/>
        <w:rPr>
          <w:rFonts w:hint="default" w:ascii="黑体" w:hAnsi="黑体" w:eastAsia="黑体"/>
          <w:b/>
          <w:color w:val="auto"/>
          <w:sz w:val="44"/>
          <w:highlight w:val="none"/>
        </w:rPr>
      </w:pPr>
    </w:p>
    <w:p>
      <w:pPr>
        <w:pStyle w:val="12"/>
        <w:kinsoku w:val="0"/>
        <w:overflowPunct w:val="0"/>
        <w:spacing w:before="1"/>
        <w:ind w:left="0"/>
        <w:rPr>
          <w:rFonts w:hint="default" w:ascii="黑体" w:hAnsi="黑体" w:eastAsia="黑体"/>
          <w:b/>
          <w:color w:val="auto"/>
          <w:sz w:val="55"/>
          <w:highlight w:val="none"/>
        </w:rPr>
      </w:pPr>
    </w:p>
    <w:p>
      <w:pPr>
        <w:pStyle w:val="12"/>
        <w:kinsoku w:val="0"/>
        <w:overflowPunct w:val="0"/>
        <w:spacing w:before="0"/>
        <w:ind w:left="532"/>
        <w:jc w:val="center"/>
        <w:rPr>
          <w:rFonts w:hint="default" w:ascii="黑体" w:hAnsi="黑体" w:eastAsia="黑体"/>
          <w:color w:val="auto"/>
          <w:sz w:val="44"/>
          <w:highlight w:val="none"/>
        </w:rPr>
      </w:pPr>
      <w:r>
        <w:rPr>
          <w:rFonts w:ascii="黑体" w:hAnsi="黑体" w:eastAsia="黑体"/>
          <w:b/>
          <w:color w:val="auto"/>
          <w:sz w:val="44"/>
          <w:highlight w:val="none"/>
        </w:rPr>
        <w:t>选</w:t>
      </w:r>
    </w:p>
    <w:p>
      <w:pPr>
        <w:pStyle w:val="12"/>
        <w:kinsoku w:val="0"/>
        <w:overflowPunct w:val="0"/>
        <w:spacing w:before="0"/>
        <w:ind w:left="0"/>
        <w:rPr>
          <w:rFonts w:hint="default" w:ascii="黑体" w:hAnsi="黑体" w:eastAsia="黑体"/>
          <w:b/>
          <w:color w:val="auto"/>
          <w:sz w:val="44"/>
          <w:highlight w:val="none"/>
        </w:rPr>
      </w:pPr>
    </w:p>
    <w:p>
      <w:pPr>
        <w:pStyle w:val="12"/>
        <w:kinsoku w:val="0"/>
        <w:overflowPunct w:val="0"/>
        <w:spacing w:before="1"/>
        <w:ind w:left="0"/>
        <w:rPr>
          <w:rFonts w:hint="default" w:ascii="黑体" w:hAnsi="黑体" w:eastAsia="黑体"/>
          <w:b/>
          <w:color w:val="auto"/>
          <w:sz w:val="55"/>
          <w:highlight w:val="none"/>
        </w:rPr>
      </w:pPr>
    </w:p>
    <w:p>
      <w:pPr>
        <w:pStyle w:val="12"/>
        <w:kinsoku w:val="0"/>
        <w:overflowPunct w:val="0"/>
        <w:spacing w:before="0"/>
        <w:ind w:left="532"/>
        <w:jc w:val="center"/>
        <w:rPr>
          <w:rFonts w:hint="default" w:ascii="黑体" w:hAnsi="黑体" w:eastAsia="黑体"/>
          <w:color w:val="auto"/>
          <w:sz w:val="44"/>
          <w:highlight w:val="none"/>
        </w:rPr>
      </w:pPr>
      <w:r>
        <w:rPr>
          <w:rFonts w:ascii="黑体" w:hAnsi="黑体" w:eastAsia="黑体"/>
          <w:b/>
          <w:color w:val="auto"/>
          <w:sz w:val="44"/>
          <w:highlight w:val="none"/>
        </w:rPr>
        <w:t>文</w:t>
      </w:r>
    </w:p>
    <w:p>
      <w:pPr>
        <w:pStyle w:val="12"/>
        <w:kinsoku w:val="0"/>
        <w:overflowPunct w:val="0"/>
        <w:spacing w:before="0"/>
        <w:ind w:left="0"/>
        <w:rPr>
          <w:rFonts w:hint="default" w:ascii="黑体" w:hAnsi="黑体" w:eastAsia="黑体"/>
          <w:b/>
          <w:color w:val="auto"/>
          <w:sz w:val="44"/>
          <w:highlight w:val="none"/>
        </w:rPr>
      </w:pPr>
    </w:p>
    <w:p>
      <w:pPr>
        <w:pStyle w:val="12"/>
        <w:kinsoku w:val="0"/>
        <w:overflowPunct w:val="0"/>
        <w:spacing w:before="1"/>
        <w:ind w:left="0"/>
        <w:rPr>
          <w:rFonts w:hint="default" w:ascii="黑体" w:hAnsi="黑体" w:eastAsia="黑体"/>
          <w:b/>
          <w:color w:val="auto"/>
          <w:sz w:val="55"/>
          <w:highlight w:val="none"/>
        </w:rPr>
      </w:pPr>
    </w:p>
    <w:p>
      <w:pPr>
        <w:pStyle w:val="12"/>
        <w:kinsoku w:val="0"/>
        <w:overflowPunct w:val="0"/>
        <w:spacing w:before="0"/>
        <w:ind w:left="532"/>
        <w:jc w:val="center"/>
        <w:rPr>
          <w:rFonts w:hint="default" w:ascii="黑体" w:hAnsi="黑体" w:eastAsia="黑体"/>
          <w:color w:val="auto"/>
          <w:sz w:val="44"/>
          <w:highlight w:val="none"/>
        </w:rPr>
      </w:pPr>
      <w:r>
        <w:rPr>
          <w:rFonts w:ascii="黑体" w:hAnsi="黑体" w:eastAsia="黑体"/>
          <w:b/>
          <w:color w:val="auto"/>
          <w:sz w:val="44"/>
          <w:highlight w:val="none"/>
        </w:rPr>
        <w:t>件</w:t>
      </w:r>
    </w:p>
    <w:p>
      <w:pPr>
        <w:pStyle w:val="12"/>
        <w:kinsoku w:val="0"/>
        <w:overflowPunct w:val="0"/>
        <w:spacing w:before="0"/>
        <w:ind w:left="0"/>
        <w:rPr>
          <w:rFonts w:hint="default" w:ascii="黑体" w:hAnsi="黑体" w:eastAsia="黑体"/>
          <w:b/>
          <w:color w:val="auto"/>
          <w:sz w:val="44"/>
          <w:highlight w:val="none"/>
        </w:rPr>
      </w:pPr>
    </w:p>
    <w:p>
      <w:pPr>
        <w:pStyle w:val="12"/>
        <w:kinsoku w:val="0"/>
        <w:overflowPunct w:val="0"/>
        <w:spacing w:before="0"/>
        <w:ind w:left="0"/>
        <w:rPr>
          <w:rFonts w:hint="default" w:ascii="黑体" w:hAnsi="黑体" w:eastAsia="黑体"/>
          <w:b/>
          <w:color w:val="auto"/>
          <w:sz w:val="44"/>
          <w:highlight w:val="none"/>
        </w:rPr>
      </w:pPr>
    </w:p>
    <w:p>
      <w:pPr>
        <w:pStyle w:val="12"/>
        <w:kinsoku w:val="0"/>
        <w:overflowPunct w:val="0"/>
        <w:spacing w:before="0"/>
        <w:ind w:left="0"/>
        <w:rPr>
          <w:rFonts w:hint="default" w:ascii="黑体" w:hAnsi="黑体" w:eastAsia="黑体"/>
          <w:b/>
          <w:color w:val="auto"/>
          <w:sz w:val="44"/>
          <w:highlight w:val="none"/>
        </w:rPr>
      </w:pPr>
    </w:p>
    <w:p>
      <w:pPr>
        <w:pStyle w:val="12"/>
        <w:kinsoku w:val="0"/>
        <w:overflowPunct w:val="0"/>
        <w:spacing w:before="292"/>
        <w:ind w:left="100"/>
        <w:jc w:val="center"/>
        <w:rPr>
          <w:rFonts w:hint="default"/>
          <w:color w:val="auto"/>
          <w:sz w:val="32"/>
          <w:highlight w:val="none"/>
        </w:rPr>
      </w:pPr>
      <w:r>
        <w:rPr>
          <w:b/>
          <w:color w:val="auto"/>
          <w:spacing w:val="1"/>
          <w:sz w:val="32"/>
          <w:highlight w:val="none"/>
        </w:rPr>
        <w:t>比选发起人：南宁轨道交通集团有限责任公司</w:t>
      </w:r>
    </w:p>
    <w:p>
      <w:pPr>
        <w:pStyle w:val="12"/>
        <w:tabs>
          <w:tab w:val="left" w:pos="3601"/>
          <w:tab w:val="left" w:pos="4563"/>
        </w:tabs>
        <w:kinsoku w:val="0"/>
        <w:overflowPunct w:val="0"/>
        <w:spacing w:before="205"/>
        <w:jc w:val="center"/>
        <w:rPr>
          <w:rFonts w:hint="default"/>
          <w:color w:val="auto"/>
          <w:sz w:val="32"/>
          <w:highlight w:val="none"/>
        </w:rPr>
      </w:pPr>
      <w:r>
        <w:rPr>
          <w:b/>
          <w:color w:val="auto"/>
          <w:spacing w:val="-1"/>
          <w:w w:val="95"/>
          <w:sz w:val="32"/>
          <w:highlight w:val="none"/>
        </w:rPr>
        <w:t>2023年</w:t>
      </w:r>
      <w:r>
        <w:rPr>
          <w:rFonts w:hint="eastAsia"/>
          <w:b/>
          <w:color w:val="auto"/>
          <w:spacing w:val="-1"/>
          <w:w w:val="95"/>
          <w:sz w:val="32"/>
          <w:highlight w:val="yellow"/>
          <w:u w:val="single"/>
          <w:lang w:val="en-US" w:eastAsia="zh-CN"/>
        </w:rPr>
        <w:t>8</w:t>
      </w:r>
      <w:r>
        <w:rPr>
          <w:b/>
          <w:color w:val="auto"/>
          <w:w w:val="95"/>
          <w:sz w:val="32"/>
          <w:highlight w:val="yellow"/>
          <w:u w:val="single"/>
        </w:rPr>
        <w:t>月</w:t>
      </w:r>
      <w:r>
        <w:rPr>
          <w:rFonts w:hint="eastAsia"/>
          <w:b/>
          <w:color w:val="auto"/>
          <w:w w:val="95"/>
          <w:sz w:val="32"/>
          <w:highlight w:val="yellow"/>
          <w:u w:val="single"/>
          <w:lang w:val="en-US" w:eastAsia="zh-CN"/>
        </w:rPr>
        <w:t>29</w:t>
      </w:r>
      <w:r>
        <w:rPr>
          <w:b/>
          <w:color w:val="auto"/>
          <w:sz w:val="32"/>
          <w:highlight w:val="yellow"/>
          <w:u w:val="single"/>
        </w:rPr>
        <w:t>日</w:t>
      </w:r>
    </w:p>
    <w:p>
      <w:pPr>
        <w:pStyle w:val="12"/>
        <w:tabs>
          <w:tab w:val="left" w:pos="3601"/>
          <w:tab w:val="left" w:pos="4563"/>
        </w:tabs>
        <w:kinsoku w:val="0"/>
        <w:overflowPunct w:val="0"/>
        <w:spacing w:before="205"/>
        <w:ind w:left="0"/>
        <w:rPr>
          <w:rFonts w:hint="default"/>
          <w:color w:val="auto"/>
          <w:sz w:val="32"/>
          <w:highlight w:val="none"/>
        </w:rPr>
        <w:sectPr>
          <w:footerReference r:id="rId3" w:type="default"/>
          <w:pgSz w:w="11910" w:h="16840"/>
          <w:pgMar w:top="1418" w:right="1418" w:bottom="1418" w:left="1418" w:header="720" w:footer="720" w:gutter="0"/>
          <w:cols w:space="720" w:num="1"/>
        </w:sectPr>
      </w:pPr>
    </w:p>
    <w:p>
      <w:pPr>
        <w:pStyle w:val="12"/>
        <w:kinsoku w:val="0"/>
        <w:overflowPunct w:val="0"/>
        <w:spacing w:before="3"/>
        <w:ind w:left="0"/>
        <w:rPr>
          <w:rFonts w:hint="default"/>
          <w:b/>
          <w:color w:val="auto"/>
          <w:sz w:val="24"/>
          <w:highlight w:val="none"/>
        </w:rPr>
      </w:pPr>
    </w:p>
    <w:p>
      <w:pPr>
        <w:pStyle w:val="2"/>
        <w:kinsoku w:val="0"/>
        <w:overflowPunct w:val="0"/>
        <w:spacing w:before="14"/>
        <w:ind w:left="0" w:right="3"/>
        <w:jc w:val="center"/>
        <w:rPr>
          <w:rFonts w:hint="default"/>
          <w:color w:val="auto"/>
          <w:spacing w:val="-1"/>
          <w:highlight w:val="none"/>
        </w:rPr>
      </w:pPr>
      <w:bookmarkStart w:id="0" w:name="bookmark0"/>
      <w:bookmarkEnd w:id="0"/>
      <w:bookmarkStart w:id="1" w:name="目录"/>
      <w:bookmarkEnd w:id="1"/>
      <w:r>
        <w:rPr>
          <w:color w:val="auto"/>
          <w:spacing w:val="-1"/>
          <w:highlight w:val="none"/>
        </w:rPr>
        <w:t>目录</w:t>
      </w:r>
    </w:p>
    <w:p>
      <w:pPr>
        <w:pStyle w:val="12"/>
        <w:tabs>
          <w:tab w:val="right" w:leader="dot" w:pos="9207"/>
        </w:tabs>
        <w:kinsoku w:val="0"/>
        <w:overflowPunct w:val="0"/>
        <w:spacing w:before="548"/>
        <w:ind w:left="0" w:right="16"/>
        <w:jc w:val="center"/>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"bookmark0" </w:instrText>
      </w:r>
      <w:r>
        <w:rPr>
          <w:color w:val="auto"/>
          <w:highlight w:val="none"/>
        </w:rPr>
        <w:fldChar w:fldCharType="separate"/>
      </w:r>
      <w:r>
        <w:rPr>
          <w:color w:val="auto"/>
          <w:spacing w:val="-1"/>
          <w:highlight w:val="none"/>
        </w:rPr>
        <w:t>目录</w:t>
      </w:r>
      <w:r>
        <w:rPr>
          <w:rFonts w:hint="default" w:ascii="Times New Roman" w:hAnsi="Times New Roman" w:eastAsia="Times New Roman"/>
          <w:b/>
          <w:color w:val="auto"/>
          <w:spacing w:val="-1"/>
          <w:highlight w:val="none"/>
        </w:rPr>
        <w:tab/>
      </w:r>
      <w:r>
        <w:rPr>
          <w:rFonts w:hint="default" w:ascii="Times New Roman" w:hAnsi="Times New Roman" w:eastAsia="Times New Roman"/>
          <w:color w:val="auto"/>
          <w:highlight w:val="none"/>
        </w:rPr>
        <w:t>1</w:t>
      </w:r>
      <w:r>
        <w:rPr>
          <w:rFonts w:hint="default" w:ascii="Times New Roman" w:hAnsi="Times New Roman" w:eastAsia="Times New Roman"/>
          <w:color w:val="auto"/>
          <w:highlight w:val="none"/>
        </w:rPr>
        <w:fldChar w:fldCharType="end"/>
      </w:r>
    </w:p>
    <w:p>
      <w:pPr>
        <w:pStyle w:val="12"/>
        <w:tabs>
          <w:tab w:val="right" w:leader="dot" w:pos="9207"/>
        </w:tabs>
        <w:kinsoku w:val="0"/>
        <w:overflowPunct w:val="0"/>
        <w:spacing w:before="21"/>
        <w:ind w:left="0" w:right="16"/>
        <w:jc w:val="center"/>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"bookmark1" </w:instrText>
      </w:r>
      <w:r>
        <w:rPr>
          <w:color w:val="auto"/>
          <w:highlight w:val="none"/>
        </w:rPr>
        <w:fldChar w:fldCharType="separate"/>
      </w:r>
      <w:r>
        <w:rPr>
          <w:color w:val="auto"/>
          <w:highlight w:val="none"/>
        </w:rPr>
        <w:t>第一章比选须知</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2</w:t>
      </w:r>
      <w:r>
        <w:rPr>
          <w:rFonts w:hint="default" w:ascii="Times New Roman" w:hAnsi="Times New Roman" w:eastAsia="Times New Roman"/>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"bookmark3" </w:instrText>
      </w:r>
      <w:r>
        <w:rPr>
          <w:color w:val="auto"/>
          <w:highlight w:val="none"/>
        </w:rPr>
        <w:fldChar w:fldCharType="separate"/>
      </w:r>
      <w:r>
        <w:rPr>
          <w:color w:val="auto"/>
          <w:highlight w:val="none"/>
        </w:rPr>
        <w:t>一、总则</w:t>
      </w:r>
      <w:r>
        <w:rPr>
          <w:rFonts w:hint="default" w:ascii="Times New Roman" w:hAnsi="Times New Roman" w:eastAsia="Times New Roman"/>
          <w:b/>
          <w:color w:val="auto"/>
          <w:highlight w:val="none"/>
        </w:rPr>
        <w:tab/>
      </w:r>
      <w:r>
        <w:rPr>
          <w:rFonts w:ascii="Times New Roman" w:hAnsi="Times New Roman" w:eastAsiaTheme="minorEastAsia"/>
          <w:color w:val="auto"/>
          <w:highlight w:val="none"/>
        </w:rPr>
        <w:t>4</w:t>
      </w:r>
      <w:r>
        <w:rPr>
          <w:rFonts w:ascii="Times New Roman" w:hAnsi="Times New Roman" w:eastAsiaTheme="minorEastAsia"/>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"bookmark4" </w:instrText>
      </w:r>
      <w:r>
        <w:rPr>
          <w:color w:val="auto"/>
          <w:highlight w:val="none"/>
        </w:rPr>
        <w:fldChar w:fldCharType="separate"/>
      </w:r>
      <w:r>
        <w:rPr>
          <w:color w:val="auto"/>
          <w:highlight w:val="none"/>
        </w:rPr>
        <w:t>二、比选文件</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4</w:t>
      </w:r>
      <w:r>
        <w:rPr>
          <w:rFonts w:hint="default" w:ascii="Times New Roman" w:hAnsi="Times New Roman" w:eastAsia="Times New Roman"/>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"bookmark5" </w:instrText>
      </w:r>
      <w:r>
        <w:rPr>
          <w:color w:val="auto"/>
          <w:highlight w:val="none"/>
        </w:rPr>
        <w:fldChar w:fldCharType="separate"/>
      </w:r>
      <w:r>
        <w:rPr>
          <w:color w:val="auto"/>
          <w:highlight w:val="none"/>
        </w:rPr>
        <w:t>三、申请比选报价说明</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4</w:t>
      </w:r>
      <w:r>
        <w:rPr>
          <w:rFonts w:hint="default" w:ascii="Times New Roman" w:hAnsi="Times New Roman" w:eastAsia="Times New Roman"/>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"bookmark6" </w:instrText>
      </w:r>
      <w:r>
        <w:rPr>
          <w:color w:val="auto"/>
          <w:highlight w:val="none"/>
        </w:rPr>
        <w:fldChar w:fldCharType="separate"/>
      </w:r>
      <w:r>
        <w:rPr>
          <w:color w:val="auto"/>
          <w:highlight w:val="none"/>
        </w:rPr>
        <w:t>四、比选申请文件的编制</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4</w:t>
      </w:r>
      <w:r>
        <w:rPr>
          <w:rFonts w:hint="default" w:ascii="Times New Roman" w:hAnsi="Times New Roman" w:eastAsia="Times New Roman"/>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"bookmark7" </w:instrText>
      </w:r>
      <w:r>
        <w:rPr>
          <w:color w:val="auto"/>
          <w:highlight w:val="none"/>
        </w:rPr>
        <w:fldChar w:fldCharType="separate"/>
      </w:r>
      <w:r>
        <w:rPr>
          <w:color w:val="auto"/>
          <w:highlight w:val="none"/>
        </w:rPr>
        <w:t>五、比选申请文件的递交</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6</w:t>
      </w:r>
      <w:r>
        <w:rPr>
          <w:rFonts w:hint="default" w:ascii="Times New Roman" w:hAnsi="Times New Roman" w:eastAsia="Times New Roman"/>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"bookmark8" </w:instrText>
      </w:r>
      <w:r>
        <w:rPr>
          <w:color w:val="auto"/>
          <w:highlight w:val="none"/>
        </w:rPr>
        <w:fldChar w:fldCharType="separate"/>
      </w:r>
      <w:r>
        <w:rPr>
          <w:color w:val="auto"/>
          <w:highlight w:val="none"/>
        </w:rPr>
        <w:t>六、评比</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6</w:t>
      </w:r>
      <w:r>
        <w:rPr>
          <w:rFonts w:hint="default" w:ascii="Times New Roman" w:hAnsi="Times New Roman" w:eastAsia="Times New Roman"/>
          <w:color w:val="auto"/>
          <w:highlight w:val="none"/>
        </w:rPr>
        <w:fldChar w:fldCharType="end"/>
      </w:r>
    </w:p>
    <w:p>
      <w:pPr>
        <w:pStyle w:val="12"/>
        <w:tabs>
          <w:tab w:val="right" w:leader="dot" w:pos="9307"/>
        </w:tabs>
        <w:kinsoku w:val="0"/>
        <w:overflowPunct w:val="0"/>
        <w:spacing w:before="21"/>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"bookmark9" </w:instrText>
      </w:r>
      <w:r>
        <w:rPr>
          <w:color w:val="auto"/>
          <w:highlight w:val="none"/>
        </w:rPr>
        <w:fldChar w:fldCharType="separate"/>
      </w:r>
      <w:r>
        <w:rPr>
          <w:color w:val="auto"/>
          <w:highlight w:val="none"/>
        </w:rPr>
        <w:t>七、授予合同</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8</w:t>
      </w:r>
      <w:r>
        <w:rPr>
          <w:rFonts w:hint="default" w:ascii="Times New Roman" w:hAnsi="Times New Roman" w:eastAsia="Times New Roman"/>
          <w:color w:val="auto"/>
          <w:highlight w:val="none"/>
        </w:rPr>
        <w:fldChar w:fldCharType="end"/>
      </w:r>
    </w:p>
    <w:p>
      <w:pPr>
        <w:pStyle w:val="12"/>
        <w:tabs>
          <w:tab w:val="right" w:leader="dot" w:pos="9207"/>
        </w:tabs>
        <w:kinsoku w:val="0"/>
        <w:overflowPunct w:val="0"/>
        <w:spacing w:before="21"/>
        <w:ind w:left="0" w:right="16"/>
        <w:jc w:val="center"/>
        <w:rPr>
          <w:rFonts w:hint="default" w:ascii="Times New Roman" w:hAnsi="Times New Roman" w:eastAsia="Times New Roman"/>
          <w:color w:val="auto"/>
          <w:highlight w:val="none"/>
        </w:rPr>
      </w:pPr>
      <w:r>
        <w:rPr>
          <w:color w:val="auto"/>
          <w:highlight w:val="none"/>
        </w:rPr>
        <w:fldChar w:fldCharType="begin"/>
      </w:r>
      <w:r>
        <w:rPr>
          <w:color w:val="auto"/>
          <w:highlight w:val="none"/>
        </w:rPr>
        <w:instrText xml:space="preserve"> HYPERLINK \l "bookmark10" </w:instrText>
      </w:r>
      <w:r>
        <w:rPr>
          <w:color w:val="auto"/>
          <w:highlight w:val="none"/>
        </w:rPr>
        <w:fldChar w:fldCharType="separate"/>
      </w:r>
      <w:r>
        <w:rPr>
          <w:color w:val="auto"/>
          <w:highlight w:val="none"/>
        </w:rPr>
        <w:t>第二章合同条款</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9</w:t>
      </w:r>
      <w:r>
        <w:rPr>
          <w:rFonts w:hint="default" w:ascii="Times New Roman" w:hAnsi="Times New Roman" w:eastAsia="Times New Roman"/>
          <w:color w:val="auto"/>
          <w:highlight w:val="none"/>
        </w:rPr>
        <w:fldChar w:fldCharType="end"/>
      </w:r>
    </w:p>
    <w:p>
      <w:pPr>
        <w:pStyle w:val="12"/>
        <w:tabs>
          <w:tab w:val="right" w:leader="dot" w:pos="9210"/>
        </w:tabs>
        <w:kinsoku w:val="0"/>
        <w:overflowPunct w:val="0"/>
        <w:spacing w:before="21"/>
        <w:ind w:left="0" w:right="13"/>
        <w:jc w:val="center"/>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"bookmark11" </w:instrText>
      </w:r>
      <w:r>
        <w:rPr>
          <w:color w:val="auto"/>
          <w:highlight w:val="none"/>
        </w:rPr>
        <w:fldChar w:fldCharType="separate"/>
      </w:r>
      <w:r>
        <w:rPr>
          <w:color w:val="auto"/>
          <w:highlight w:val="none"/>
        </w:rPr>
        <w:t>第三章比选申请文件（格式）</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1</w:t>
      </w:r>
      <w:r>
        <w:rPr>
          <w:rFonts w:hint="default" w:ascii="Times New Roman" w:hAnsi="Times New Roman" w:eastAsia="Times New Roman"/>
          <w:color w:val="auto"/>
          <w:highlight w:val="none"/>
        </w:rPr>
        <w:fldChar w:fldCharType="end"/>
      </w:r>
      <w:r>
        <w:rPr>
          <w:rFonts w:ascii="Times New Roman" w:hAnsi="Times New Roman"/>
          <w:color w:val="auto"/>
          <w:highlight w:val="none"/>
        </w:rPr>
        <w:t>6</w:t>
      </w:r>
    </w:p>
    <w:p>
      <w:pPr>
        <w:pStyle w:val="12"/>
        <w:tabs>
          <w:tab w:val="right" w:leader="dot" w:pos="9310"/>
        </w:tabs>
        <w:kinsoku w:val="0"/>
        <w:overflowPunct w:val="0"/>
        <w:spacing w:before="21"/>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"bookmark12" </w:instrText>
      </w:r>
      <w:r>
        <w:rPr>
          <w:color w:val="auto"/>
          <w:highlight w:val="none"/>
        </w:rPr>
        <w:fldChar w:fldCharType="separate"/>
      </w:r>
      <w:r>
        <w:rPr>
          <w:color w:val="auto"/>
          <w:highlight w:val="none"/>
        </w:rPr>
        <w:t>一、资格审查文件目录</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1</w:t>
      </w:r>
      <w:r>
        <w:rPr>
          <w:rFonts w:hint="default" w:ascii="Times New Roman" w:hAnsi="Times New Roman" w:eastAsia="Times New Roman"/>
          <w:color w:val="auto"/>
          <w:highlight w:val="none"/>
        </w:rPr>
        <w:fldChar w:fldCharType="end"/>
      </w:r>
      <w:r>
        <w:rPr>
          <w:rFonts w:ascii="Times New Roman" w:hAnsi="Times New Roman"/>
          <w:color w:val="auto"/>
          <w:highlight w:val="none"/>
        </w:rPr>
        <w:t>7</w:t>
      </w:r>
    </w:p>
    <w:p>
      <w:pPr>
        <w:pStyle w:val="12"/>
        <w:tabs>
          <w:tab w:val="right" w:leader="dot" w:pos="9310"/>
        </w:tabs>
        <w:kinsoku w:val="0"/>
        <w:overflowPunct w:val="0"/>
        <w:spacing w:before="21"/>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"bookmark13" </w:instrText>
      </w:r>
      <w:r>
        <w:rPr>
          <w:color w:val="auto"/>
          <w:highlight w:val="none"/>
        </w:rPr>
        <w:fldChar w:fldCharType="separate"/>
      </w:r>
      <w:r>
        <w:rPr>
          <w:color w:val="auto"/>
          <w:highlight w:val="none"/>
        </w:rPr>
        <w:t>二、技术部分材料目录</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2</w:t>
      </w:r>
      <w:r>
        <w:rPr>
          <w:rFonts w:hint="default" w:ascii="Times New Roman" w:hAnsi="Times New Roman" w:eastAsia="Times New Roman"/>
          <w:color w:val="auto"/>
          <w:highlight w:val="none"/>
        </w:rPr>
        <w:fldChar w:fldCharType="end"/>
      </w:r>
      <w:r>
        <w:rPr>
          <w:rFonts w:ascii="Times New Roman" w:hAnsi="Times New Roman"/>
          <w:color w:val="auto"/>
          <w:highlight w:val="none"/>
        </w:rPr>
        <w:t>7</w:t>
      </w:r>
    </w:p>
    <w:p>
      <w:pPr>
        <w:pStyle w:val="12"/>
        <w:tabs>
          <w:tab w:val="right" w:leader="dot" w:pos="9310"/>
        </w:tabs>
        <w:kinsoku w:val="0"/>
        <w:overflowPunct w:val="0"/>
        <w:spacing w:before="21"/>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"bookmark14" </w:instrText>
      </w:r>
      <w:r>
        <w:rPr>
          <w:color w:val="auto"/>
          <w:highlight w:val="none"/>
        </w:rPr>
        <w:fldChar w:fldCharType="separate"/>
      </w:r>
      <w:r>
        <w:rPr>
          <w:color w:val="auto"/>
          <w:highlight w:val="none"/>
        </w:rPr>
        <w:t>三、商务部分材料目录</w:t>
      </w:r>
      <w:r>
        <w:rPr>
          <w:rFonts w:hint="default" w:ascii="Times New Roman" w:hAnsi="Times New Roman" w:eastAsia="Times New Roman"/>
          <w:b/>
          <w:color w:val="auto"/>
          <w:highlight w:val="none"/>
        </w:rPr>
        <w:tab/>
      </w:r>
      <w:r>
        <w:rPr>
          <w:rFonts w:hint="default" w:ascii="Times New Roman" w:hAnsi="Times New Roman" w:eastAsia="Times New Roman"/>
          <w:color w:val="auto"/>
          <w:highlight w:val="none"/>
        </w:rPr>
        <w:t>3</w:t>
      </w:r>
      <w:r>
        <w:rPr>
          <w:rFonts w:hint="default" w:ascii="Times New Roman" w:hAnsi="Times New Roman" w:eastAsia="Times New Roman"/>
          <w:color w:val="auto"/>
          <w:highlight w:val="none"/>
        </w:rPr>
        <w:fldChar w:fldCharType="end"/>
      </w:r>
      <w:r>
        <w:rPr>
          <w:rFonts w:ascii="Times New Roman" w:hAnsi="Times New Roman"/>
          <w:color w:val="auto"/>
          <w:highlight w:val="none"/>
        </w:rPr>
        <w:t>4</w:t>
      </w:r>
    </w:p>
    <w:p>
      <w:pPr>
        <w:pStyle w:val="12"/>
        <w:tabs>
          <w:tab w:val="right" w:leader="dot" w:pos="9210"/>
        </w:tabs>
        <w:kinsoku w:val="0"/>
        <w:overflowPunct w:val="0"/>
        <w:spacing w:before="21"/>
        <w:ind w:left="0" w:right="13"/>
        <w:jc w:val="center"/>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"bookmark15" </w:instrText>
      </w:r>
      <w:r>
        <w:rPr>
          <w:color w:val="auto"/>
          <w:highlight w:val="none"/>
        </w:rPr>
        <w:fldChar w:fldCharType="separate"/>
      </w:r>
      <w:r>
        <w:rPr>
          <w:color w:val="auto"/>
          <w:highlight w:val="none"/>
        </w:rPr>
        <w:t>第四章评比办法</w:t>
      </w:r>
      <w:r>
        <w:rPr>
          <w:rFonts w:hint="default" w:ascii="Times New Roman" w:hAnsi="Times New Roman" w:eastAsia="Times New Roman"/>
          <w:b/>
          <w:color w:val="auto"/>
          <w:highlight w:val="none"/>
        </w:rPr>
        <w:tab/>
      </w:r>
      <w:r>
        <w:rPr>
          <w:rFonts w:hint="default" w:ascii="Times New Roman" w:hAnsi="Times New Roman" w:eastAsia="Times New Roman"/>
          <w:b/>
          <w:color w:val="auto"/>
          <w:highlight w:val="none"/>
        </w:rPr>
        <w:fldChar w:fldCharType="end"/>
      </w:r>
      <w:r>
        <w:rPr>
          <w:rFonts w:ascii="Times New Roman" w:hAnsi="Times New Roman"/>
          <w:color w:val="auto"/>
          <w:highlight w:val="none"/>
        </w:rPr>
        <w:t>35</w:t>
      </w:r>
    </w:p>
    <w:p>
      <w:pPr>
        <w:pStyle w:val="12"/>
        <w:tabs>
          <w:tab w:val="right" w:leader="dot" w:pos="9310"/>
        </w:tabs>
        <w:kinsoku w:val="0"/>
        <w:overflowPunct w:val="0"/>
        <w:spacing w:before="21"/>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"bookmark16" </w:instrText>
      </w:r>
      <w:r>
        <w:rPr>
          <w:color w:val="auto"/>
          <w:highlight w:val="none"/>
        </w:rPr>
        <w:fldChar w:fldCharType="separate"/>
      </w:r>
      <w:r>
        <w:rPr>
          <w:color w:val="auto"/>
          <w:highlight w:val="none"/>
        </w:rPr>
        <w:t>一、综合评分办法</w:t>
      </w:r>
      <w:r>
        <w:rPr>
          <w:rFonts w:hint="default" w:ascii="Times New Roman" w:hAnsi="Times New Roman" w:eastAsia="Times New Roman"/>
          <w:b/>
          <w:color w:val="auto"/>
          <w:highlight w:val="none"/>
        </w:rPr>
        <w:tab/>
      </w:r>
      <w:r>
        <w:rPr>
          <w:rFonts w:hint="default" w:ascii="Times New Roman" w:hAnsi="Times New Roman" w:eastAsia="Times New Roman"/>
          <w:b/>
          <w:color w:val="auto"/>
          <w:highlight w:val="none"/>
        </w:rPr>
        <w:fldChar w:fldCharType="end"/>
      </w:r>
      <w:r>
        <w:rPr>
          <w:rFonts w:ascii="Times New Roman" w:hAnsi="Times New Roman"/>
          <w:color w:val="auto"/>
          <w:highlight w:val="none"/>
        </w:rPr>
        <w:t>35</w:t>
      </w:r>
    </w:p>
    <w:p>
      <w:pPr>
        <w:pStyle w:val="12"/>
        <w:tabs>
          <w:tab w:val="right" w:leader="dot" w:pos="9310"/>
        </w:tabs>
        <w:kinsoku w:val="0"/>
        <w:overflowPunct w:val="0"/>
        <w:spacing w:before="21"/>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"bookmark17" </w:instrText>
      </w:r>
      <w:r>
        <w:rPr>
          <w:color w:val="auto"/>
          <w:highlight w:val="none"/>
        </w:rPr>
        <w:fldChar w:fldCharType="separate"/>
      </w:r>
      <w:r>
        <w:rPr>
          <w:color w:val="auto"/>
          <w:highlight w:val="none"/>
        </w:rPr>
        <w:t>二、总分计算公式</w:t>
      </w:r>
      <w:r>
        <w:rPr>
          <w:rFonts w:hint="default" w:ascii="Times New Roman" w:hAnsi="Times New Roman" w:eastAsia="Times New Roman"/>
          <w:b/>
          <w:color w:val="auto"/>
          <w:highlight w:val="none"/>
        </w:rPr>
        <w:tab/>
      </w:r>
      <w:r>
        <w:rPr>
          <w:rFonts w:hint="default" w:ascii="Times New Roman" w:hAnsi="Times New Roman" w:eastAsia="Times New Roman"/>
          <w:b/>
          <w:color w:val="auto"/>
          <w:highlight w:val="none"/>
        </w:rPr>
        <w:fldChar w:fldCharType="end"/>
      </w:r>
      <w:r>
        <w:rPr>
          <w:rFonts w:ascii="Times New Roman" w:hAnsi="Times New Roman"/>
          <w:color w:val="auto"/>
          <w:highlight w:val="none"/>
        </w:rPr>
        <w:t>35</w:t>
      </w:r>
    </w:p>
    <w:p>
      <w:pPr>
        <w:pStyle w:val="12"/>
        <w:tabs>
          <w:tab w:val="right" w:leader="dot" w:pos="9310"/>
        </w:tabs>
        <w:kinsoku w:val="0"/>
        <w:overflowPunct w:val="0"/>
        <w:spacing w:before="21"/>
        <w:rPr>
          <w:rFonts w:hint="default" w:ascii="Times New Roman" w:hAnsi="Times New Roman"/>
          <w:color w:val="auto"/>
          <w:highlight w:val="none"/>
        </w:rPr>
      </w:pPr>
      <w:r>
        <w:rPr>
          <w:color w:val="auto"/>
          <w:highlight w:val="none"/>
        </w:rPr>
        <w:fldChar w:fldCharType="begin"/>
      </w:r>
      <w:r>
        <w:rPr>
          <w:color w:val="auto"/>
          <w:highlight w:val="none"/>
        </w:rPr>
        <w:instrText xml:space="preserve"> HYPERLINK \l "bookmark18" </w:instrText>
      </w:r>
      <w:r>
        <w:rPr>
          <w:color w:val="auto"/>
          <w:highlight w:val="none"/>
        </w:rPr>
        <w:fldChar w:fldCharType="separate"/>
      </w:r>
      <w:r>
        <w:rPr>
          <w:color w:val="auto"/>
          <w:highlight w:val="none"/>
        </w:rPr>
        <w:t>三、评分细则</w:t>
      </w:r>
      <w:r>
        <w:rPr>
          <w:rFonts w:hint="default" w:ascii="Times New Roman" w:hAnsi="Times New Roman" w:eastAsia="Times New Roman"/>
          <w:b/>
          <w:color w:val="auto"/>
          <w:highlight w:val="none"/>
        </w:rPr>
        <w:tab/>
      </w:r>
      <w:r>
        <w:rPr>
          <w:rFonts w:hint="default" w:ascii="Times New Roman" w:hAnsi="Times New Roman" w:eastAsia="Times New Roman"/>
          <w:b/>
          <w:color w:val="auto"/>
          <w:highlight w:val="none"/>
        </w:rPr>
        <w:fldChar w:fldCharType="end"/>
      </w:r>
      <w:r>
        <w:rPr>
          <w:rFonts w:ascii="Times New Roman" w:hAnsi="Times New Roman"/>
          <w:color w:val="auto"/>
          <w:highlight w:val="none"/>
        </w:rPr>
        <w:t>36</w:t>
      </w:r>
    </w:p>
    <w:p>
      <w:pPr>
        <w:pStyle w:val="12"/>
        <w:tabs>
          <w:tab w:val="right" w:leader="dot" w:pos="9310"/>
        </w:tabs>
        <w:kinsoku w:val="0"/>
        <w:overflowPunct w:val="0"/>
        <w:spacing w:before="21"/>
        <w:rPr>
          <w:rFonts w:hint="default" w:ascii="Times New Roman" w:hAnsi="Times New Roman"/>
          <w:color w:val="auto"/>
          <w:highlight w:val="none"/>
        </w:rPr>
        <w:sectPr>
          <w:footerReference r:id="rId4" w:type="default"/>
          <w:pgSz w:w="11910" w:h="16840"/>
          <w:pgMar w:top="1580" w:right="1140" w:bottom="1180" w:left="1340" w:header="0" w:footer="986" w:gutter="0"/>
          <w:pgNumType w:start="1"/>
          <w:cols w:space="720" w:num="1"/>
        </w:sectPr>
      </w:pPr>
      <w:r>
        <w:rPr>
          <w:color w:val="auto"/>
          <w:highlight w:val="none"/>
        </w:rPr>
        <w:fldChar w:fldCharType="begin"/>
      </w:r>
      <w:r>
        <w:rPr>
          <w:color w:val="auto"/>
          <w:highlight w:val="none"/>
        </w:rPr>
        <w:instrText xml:space="preserve"> HYPERLINK \l "bookmark19" </w:instrText>
      </w:r>
      <w:r>
        <w:rPr>
          <w:color w:val="auto"/>
          <w:highlight w:val="none"/>
        </w:rPr>
        <w:fldChar w:fldCharType="separate"/>
      </w:r>
      <w:r>
        <w:rPr>
          <w:color w:val="auto"/>
          <w:highlight w:val="none"/>
        </w:rPr>
        <w:t>四、中选标准</w:t>
      </w:r>
      <w:r>
        <w:rPr>
          <w:rFonts w:hint="default" w:ascii="Times New Roman" w:hAnsi="Times New Roman" w:eastAsia="Times New Roman"/>
          <w:b/>
          <w:color w:val="auto"/>
          <w:highlight w:val="none"/>
        </w:rPr>
        <w:tab/>
      </w:r>
      <w:r>
        <w:rPr>
          <w:rFonts w:ascii="Times New Roman" w:hAnsi="Times New Roman"/>
          <w:color w:val="auto"/>
          <w:highlight w:val="none"/>
        </w:rPr>
        <w:t>3</w:t>
      </w:r>
      <w:r>
        <w:rPr>
          <w:rFonts w:ascii="Times New Roman" w:hAnsi="Times New Roman"/>
          <w:color w:val="auto"/>
          <w:highlight w:val="none"/>
        </w:rPr>
        <w:fldChar w:fldCharType="end"/>
      </w:r>
      <w:r>
        <w:rPr>
          <w:rFonts w:ascii="Times New Roman" w:hAnsi="Times New Roman"/>
          <w:color w:val="auto"/>
          <w:highlight w:val="none"/>
        </w:rPr>
        <w:t>8</w:t>
      </w:r>
    </w:p>
    <w:p>
      <w:pPr>
        <w:pStyle w:val="3"/>
        <w:kinsoku w:val="0"/>
        <w:overflowPunct w:val="0"/>
        <w:spacing w:line="358" w:lineRule="exact"/>
        <w:ind w:left="0" w:right="5"/>
        <w:jc w:val="center"/>
        <w:rPr>
          <w:rFonts w:hint="default"/>
          <w:b w:val="0"/>
          <w:color w:val="auto"/>
          <w:highlight w:val="none"/>
        </w:rPr>
      </w:pPr>
      <w:bookmarkStart w:id="2" w:name="bookmark1"/>
      <w:bookmarkEnd w:id="2"/>
      <w:bookmarkStart w:id="3" w:name="第一章_比选须知"/>
      <w:bookmarkEnd w:id="3"/>
      <w:bookmarkStart w:id="4" w:name="bookmark2"/>
      <w:bookmarkEnd w:id="4"/>
      <w:bookmarkStart w:id="5" w:name="前附表"/>
      <w:bookmarkEnd w:id="5"/>
      <w:r>
        <w:rPr>
          <w:color w:val="auto"/>
          <w:spacing w:val="-1"/>
          <w:highlight w:val="none"/>
        </w:rPr>
        <w:t>第一章比选须知</w:t>
      </w:r>
    </w:p>
    <w:p>
      <w:pPr>
        <w:pStyle w:val="12"/>
        <w:kinsoku w:val="0"/>
        <w:overflowPunct w:val="0"/>
        <w:spacing w:before="638"/>
        <w:ind w:left="220"/>
        <w:rPr>
          <w:rFonts w:hint="default"/>
          <w:color w:val="auto"/>
          <w:sz w:val="24"/>
          <w:highlight w:val="none"/>
        </w:rPr>
      </w:pPr>
      <w:r>
        <w:rPr>
          <w:color w:val="auto"/>
          <w:sz w:val="24"/>
          <w:highlight w:val="none"/>
        </w:rPr>
        <w:t>前附表</w:t>
      </w:r>
    </w:p>
    <w:p>
      <w:pPr>
        <w:pStyle w:val="12"/>
        <w:kinsoku w:val="0"/>
        <w:overflowPunct w:val="0"/>
        <w:spacing w:before="0"/>
        <w:ind w:left="0"/>
        <w:rPr>
          <w:rFonts w:hint="default"/>
          <w:color w:val="auto"/>
          <w:sz w:val="20"/>
          <w:highlight w:val="none"/>
        </w:rPr>
      </w:pPr>
    </w:p>
    <w:p>
      <w:pPr>
        <w:pStyle w:val="12"/>
        <w:kinsoku w:val="0"/>
        <w:overflowPunct w:val="0"/>
        <w:spacing w:before="3"/>
        <w:ind w:left="0"/>
        <w:rPr>
          <w:rFonts w:hint="default"/>
          <w:color w:val="auto"/>
          <w:sz w:val="11"/>
          <w:highlight w:val="none"/>
        </w:rPr>
      </w:pPr>
    </w:p>
    <w:tbl>
      <w:tblPr>
        <w:tblStyle w:val="19"/>
        <w:tblW w:w="9435" w:type="dxa"/>
        <w:jc w:val="center"/>
        <w:tblLayout w:type="fixed"/>
        <w:tblCellMar>
          <w:top w:w="0" w:type="dxa"/>
          <w:left w:w="108" w:type="dxa"/>
          <w:bottom w:w="0" w:type="dxa"/>
          <w:right w:w="108" w:type="dxa"/>
        </w:tblCellMar>
      </w:tblPr>
      <w:tblGrid>
        <w:gridCol w:w="970"/>
        <w:gridCol w:w="1732"/>
        <w:gridCol w:w="6733"/>
      </w:tblGrid>
      <w:tr>
        <w:tblPrEx>
          <w:tblCellMar>
            <w:top w:w="0" w:type="dxa"/>
            <w:left w:w="108" w:type="dxa"/>
            <w:bottom w:w="0" w:type="dxa"/>
            <w:right w:w="108" w:type="dxa"/>
          </w:tblCellMar>
        </w:tblPrEx>
        <w:trPr>
          <w:trHeight w:val="339"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序号</w:t>
            </w: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内容规定</w:t>
            </w:r>
          </w:p>
        </w:tc>
      </w:tr>
      <w:tr>
        <w:tblPrEx>
          <w:tblCellMar>
            <w:top w:w="0" w:type="dxa"/>
            <w:left w:w="108" w:type="dxa"/>
            <w:bottom w:w="0" w:type="dxa"/>
            <w:right w:w="108" w:type="dxa"/>
          </w:tblCellMar>
        </w:tblPrEx>
        <w:trPr>
          <w:trHeight w:val="643"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项目名称</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南宁轨道交通集团有限责任公司</w:t>
            </w:r>
            <w:r>
              <w:rPr>
                <w:rFonts w:hint="eastAsia" w:asciiTheme="minorEastAsia" w:hAnsiTheme="minorEastAsia" w:eastAsiaTheme="minorEastAsia"/>
                <w:color w:val="auto"/>
                <w:sz w:val="21"/>
                <w:szCs w:val="21"/>
                <w:highlight w:val="none"/>
                <w:lang w:val="en-US" w:eastAsia="zh-CN"/>
              </w:rPr>
              <w:t>管控</w:t>
            </w:r>
            <w:r>
              <w:rPr>
                <w:rFonts w:hint="eastAsia" w:asciiTheme="minorEastAsia" w:hAnsiTheme="minorEastAsia" w:eastAsiaTheme="minorEastAsia"/>
                <w:color w:val="auto"/>
                <w:sz w:val="21"/>
                <w:szCs w:val="21"/>
                <w:highlight w:val="none"/>
              </w:rPr>
              <w:t>体系优化咨询项目</w:t>
            </w:r>
          </w:p>
        </w:tc>
      </w:tr>
      <w:tr>
        <w:tblPrEx>
          <w:tblCellMar>
            <w:top w:w="0" w:type="dxa"/>
            <w:left w:w="108" w:type="dxa"/>
            <w:bottom w:w="0" w:type="dxa"/>
            <w:right w:w="108" w:type="dxa"/>
          </w:tblCellMar>
        </w:tblPrEx>
        <w:trPr>
          <w:trHeight w:val="643"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项目范围</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集团公司本部</w:t>
            </w:r>
            <w:r>
              <w:rPr>
                <w:rFonts w:hint="eastAsia" w:asciiTheme="minorEastAsia" w:hAnsiTheme="minorEastAsia" w:eastAsiaTheme="minorEastAsia"/>
                <w:color w:val="auto"/>
                <w:sz w:val="21"/>
                <w:szCs w:val="21"/>
                <w:highlight w:val="none"/>
                <w:lang w:val="en-US" w:eastAsia="zh-CN"/>
              </w:rPr>
              <w:t>管控体系诊断、管控模式设计、管控边界优化和管控权限优化</w:t>
            </w:r>
            <w:r>
              <w:rPr>
                <w:rFonts w:hint="eastAsia" w:asciiTheme="minorEastAsia" w:hAnsiTheme="minorEastAsia" w:eastAsiaTheme="minorEastAsia"/>
                <w:color w:val="auto"/>
                <w:sz w:val="21"/>
                <w:szCs w:val="21"/>
                <w:highlight w:val="none"/>
              </w:rPr>
              <w:t>。</w:t>
            </w:r>
          </w:p>
        </w:tc>
      </w:tr>
      <w:tr>
        <w:tblPrEx>
          <w:tblCellMar>
            <w:top w:w="0" w:type="dxa"/>
            <w:left w:w="108" w:type="dxa"/>
            <w:bottom w:w="0" w:type="dxa"/>
            <w:right w:w="108" w:type="dxa"/>
          </w:tblCellMar>
        </w:tblPrEx>
        <w:trPr>
          <w:trHeight w:val="6830"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hint="eastAsia" w:asciiTheme="minorEastAsia" w:hAnsiTheme="minorEastAsia" w:eastAsiaTheme="minorEastAsia"/>
                <w:color w:val="auto"/>
                <w:sz w:val="21"/>
                <w:szCs w:val="21"/>
                <w:highlight w:val="none"/>
                <w:lang w:eastAsia="zh-CN"/>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项目内容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一）在集团公司战略指引、内控、合规、风控管理的要求的基础上，通过调研访谈、对标分析等方式，梳理各业务条线管控工作、各项业务管控权限，出具集团公司本部对二级公司的《管控体系优化项目调研与诊断报告》。</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基于调研和诊断结果，通过国内外标杆企业分析，设计集团公司本部对二级公司的管控模式分类，确定总部对不同管控模式的业务单元的管控边界，明确总部的管控职能范围，出具《集团公司管控模式设计方案》。</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（三）在集团公司现有管控制度的基础上，对内容进行修订，重新明确管控体系的基本管理要求，包括管控模式分类、管理机构与职责、管控具体操作要求等，制定《集团公司管控管理制度》。</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（四）按照“一企一策”原则，制定集团公司本部对每个二级子公司的《管控权责清单》，实现对二级业务单元的“一企一策”管控。</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五）梳理集团公司总部与二级子公司之间跨层级事项的权限划分，以及总部各决策机构间的权限配置，提出优化建议，并形成《管控权限指引表》，以此实现集团管控和本部业务决策权责明确、协作紧密、运行高效的目标，推动职能部门优化业务管理制度，并为管控信息化建设奠定管理基础。</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（六）提供宣贯服务。乙方负责召开至少一次宣贯会。</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（七）提供实施辅导。成果交付实施后，提供为期至少180个自然日的落地执行解释、咨询、评审等辅导服务。</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（八）提供调整优化服务。成果交付实施满180个自然日，乙方根据甲方执行情况，对交付的咨询成果进行调整优化。</w:t>
            </w:r>
          </w:p>
          <w:p>
            <w:pPr>
              <w:ind w:firstLine="420" w:firstLineChars="200"/>
              <w:rPr>
                <w:rFonts w:ascii="宋体" w:hAnsi="宋体"/>
                <w:color w:val="auto"/>
                <w:sz w:val="21"/>
                <w:szCs w:val="21"/>
                <w:highlight w:val="none"/>
              </w:rPr>
            </w:pPr>
            <w:r>
              <w:rPr>
                <w:rFonts w:hint="eastAsia" w:ascii="宋体" w:hAnsi="宋体"/>
                <w:color w:val="auto"/>
                <w:sz w:val="21"/>
                <w:szCs w:val="21"/>
                <w:highlight w:val="none"/>
              </w:rPr>
              <w:t>（九）制定项目实施方案、记录工作相关信息、汇报工作进度、汇报项目成果。</w:t>
            </w:r>
          </w:p>
        </w:tc>
      </w:tr>
      <w:tr>
        <w:tblPrEx>
          <w:tblCellMar>
            <w:top w:w="0" w:type="dxa"/>
            <w:left w:w="108" w:type="dxa"/>
            <w:bottom w:w="0" w:type="dxa"/>
            <w:right w:w="108" w:type="dxa"/>
          </w:tblCellMar>
        </w:tblPrEx>
        <w:trPr>
          <w:trHeight w:val="32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资金来源</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企业自筹</w:t>
            </w:r>
          </w:p>
        </w:tc>
      </w:tr>
      <w:tr>
        <w:tblPrEx>
          <w:tblCellMar>
            <w:top w:w="0" w:type="dxa"/>
            <w:left w:w="108" w:type="dxa"/>
            <w:bottom w:w="0" w:type="dxa"/>
            <w:right w:w="108" w:type="dxa"/>
          </w:tblCellMar>
        </w:tblPrEx>
        <w:trPr>
          <w:trHeight w:val="32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计费方式</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包干（含税）</w:t>
            </w:r>
          </w:p>
        </w:tc>
      </w:tr>
      <w:tr>
        <w:tblPrEx>
          <w:tblCellMar>
            <w:top w:w="0" w:type="dxa"/>
            <w:left w:w="108" w:type="dxa"/>
            <w:bottom w:w="0" w:type="dxa"/>
            <w:right w:w="108" w:type="dxa"/>
          </w:tblCellMar>
        </w:tblPrEx>
        <w:trPr>
          <w:trHeight w:val="32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上限控制价</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含税上限控制价为人民币</w:t>
            </w:r>
            <w:r>
              <w:rPr>
                <w:rFonts w:hint="eastAsia" w:asciiTheme="minorEastAsia" w:hAnsiTheme="minorEastAsia" w:eastAsiaTheme="minorEastAsia"/>
                <w:color w:val="auto"/>
                <w:sz w:val="21"/>
                <w:szCs w:val="21"/>
                <w:highlight w:val="none"/>
                <w:lang w:val="en-US" w:eastAsia="zh-CN"/>
              </w:rPr>
              <w:t>98</w:t>
            </w:r>
            <w:r>
              <w:rPr>
                <w:rFonts w:hint="eastAsia" w:asciiTheme="minorEastAsia" w:hAnsiTheme="minorEastAsia" w:eastAsiaTheme="minorEastAsia"/>
                <w:color w:val="auto"/>
                <w:sz w:val="21"/>
                <w:szCs w:val="21"/>
                <w:highlight w:val="none"/>
              </w:rPr>
              <w:t>万元</w:t>
            </w:r>
          </w:p>
        </w:tc>
      </w:tr>
      <w:tr>
        <w:tblPrEx>
          <w:tblCellMar>
            <w:top w:w="0" w:type="dxa"/>
            <w:left w:w="108" w:type="dxa"/>
            <w:bottom w:w="0" w:type="dxa"/>
            <w:right w:w="108" w:type="dxa"/>
          </w:tblCellMar>
        </w:tblPrEx>
        <w:trPr>
          <w:trHeight w:val="590"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报价方式</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rPr>
                <w:rStyle w:val="22"/>
                <w:rFonts w:cs="Arial"/>
                <w:b w:val="0"/>
                <w:color w:val="auto"/>
                <w:sz w:val="21"/>
                <w:szCs w:val="21"/>
                <w:highlight w:val="none"/>
              </w:rPr>
            </w:pPr>
            <w:r>
              <w:rPr>
                <w:rFonts w:hint="eastAsia" w:ascii="宋体" w:hAnsi="宋体" w:cs="宋体"/>
                <w:color w:val="auto"/>
                <w:sz w:val="21"/>
                <w:szCs w:val="21"/>
                <w:highlight w:val="none"/>
              </w:rPr>
              <w:t>比选申请人必须对比选项目内容中所有工作内容作完整唯一的一次性报价，包含完成项目所要求的一切费用。</w:t>
            </w:r>
          </w:p>
          <w:p>
            <w:pPr>
              <w:pStyle w:val="27"/>
              <w:kinsoku w:val="0"/>
              <w:overflowPunct w:val="0"/>
              <w:rPr>
                <w:rFonts w:asciiTheme="minorEastAsia" w:hAnsiTheme="minorEastAsia" w:eastAsiaTheme="minorEastAsia"/>
                <w:color w:val="auto"/>
                <w:sz w:val="21"/>
                <w:szCs w:val="21"/>
                <w:highlight w:val="none"/>
              </w:rPr>
            </w:pPr>
          </w:p>
        </w:tc>
      </w:tr>
      <w:tr>
        <w:tblPrEx>
          <w:tblCellMar>
            <w:top w:w="0" w:type="dxa"/>
            <w:left w:w="108" w:type="dxa"/>
            <w:bottom w:w="0" w:type="dxa"/>
            <w:right w:w="108" w:type="dxa"/>
          </w:tblCellMar>
        </w:tblPrEx>
        <w:trPr>
          <w:trHeight w:val="386"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合同期限</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按照合同约定的日期完成项目工作合同结束。</w:t>
            </w:r>
          </w:p>
        </w:tc>
      </w:tr>
      <w:tr>
        <w:tblPrEx>
          <w:tblCellMar>
            <w:top w:w="0" w:type="dxa"/>
            <w:left w:w="108" w:type="dxa"/>
            <w:bottom w:w="0" w:type="dxa"/>
            <w:right w:w="108" w:type="dxa"/>
          </w:tblCellMar>
        </w:tblPrEx>
        <w:trPr>
          <w:trHeight w:val="2362" w:hRule="exact"/>
          <w:jc w:val="center"/>
        </w:trPr>
        <w:tc>
          <w:tcPr>
            <w:tcW w:w="970" w:type="dxa"/>
            <w:tcBorders>
              <w:top w:val="single" w:color="000000" w:sz="4" w:space="0"/>
              <w:left w:val="single" w:color="000000" w:sz="4" w:space="0"/>
              <w:bottom w:val="single" w:color="auto"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auto"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比选申请人资格要求</w:t>
            </w:r>
          </w:p>
        </w:tc>
        <w:tc>
          <w:tcPr>
            <w:tcW w:w="6733" w:type="dxa"/>
            <w:tcBorders>
              <w:top w:val="single" w:color="000000" w:sz="4" w:space="0"/>
              <w:left w:val="single" w:color="000000" w:sz="4" w:space="0"/>
              <w:bottom w:val="single" w:color="auto" w:sz="4" w:space="0"/>
              <w:right w:val="single" w:color="000000" w:sz="4" w:space="0"/>
              <w:tl2br w:val="nil"/>
              <w:tr2bl w:val="nil"/>
            </w:tcBorders>
            <w:noWrap/>
            <w:vAlign w:val="center"/>
          </w:tcPr>
          <w:p>
            <w:pPr>
              <w:pStyle w:val="17"/>
              <w:shd w:val="clear" w:color="auto" w:fill="FFFFFF"/>
              <w:rPr>
                <w:rStyle w:val="22"/>
                <w:rFonts w:cs="Arial" w:asciiTheme="minorEastAsia" w:hAnsiTheme="minorEastAsia" w:eastAsiaTheme="minorEastAsia"/>
                <w:b w:val="0"/>
                <w:color w:val="auto"/>
                <w:sz w:val="21"/>
                <w:szCs w:val="21"/>
                <w:highlight w:val="none"/>
              </w:rPr>
            </w:pPr>
            <w:r>
              <w:rPr>
                <w:rStyle w:val="22"/>
                <w:rFonts w:hint="eastAsia" w:cs="Arial" w:asciiTheme="minorEastAsia" w:hAnsiTheme="minorEastAsia" w:eastAsiaTheme="minorEastAsia"/>
                <w:b w:val="0"/>
                <w:color w:val="auto"/>
                <w:sz w:val="21"/>
                <w:szCs w:val="21"/>
                <w:highlight w:val="none"/>
              </w:rPr>
              <w:t>1.</w:t>
            </w:r>
            <w:r>
              <w:rPr>
                <w:rFonts w:hint="eastAsia"/>
                <w:color w:val="auto"/>
                <w:highlight w:val="none"/>
              </w:rPr>
              <w:t xml:space="preserve"> </w:t>
            </w:r>
            <w:r>
              <w:rPr>
                <w:rStyle w:val="22"/>
                <w:rFonts w:hint="eastAsia" w:cs="Arial" w:asciiTheme="minorEastAsia" w:hAnsiTheme="minorEastAsia" w:eastAsiaTheme="minorEastAsia"/>
                <w:b w:val="0"/>
                <w:color w:val="auto"/>
                <w:sz w:val="21"/>
                <w:szCs w:val="21"/>
                <w:highlight w:val="none"/>
              </w:rPr>
              <w:t>中华人民共和国境内依法设立的法人或其他组织，经营范围涵盖管理咨询或企业管理咨询服务。</w:t>
            </w:r>
          </w:p>
          <w:p>
            <w:pPr>
              <w:pStyle w:val="17"/>
              <w:shd w:val="clear" w:color="auto" w:fill="FFFFFF"/>
              <w:rPr>
                <w:rStyle w:val="22"/>
                <w:rFonts w:hint="eastAsia" w:cs="Arial" w:asciiTheme="minorEastAsia" w:hAnsiTheme="minorEastAsia" w:eastAsiaTheme="minorEastAsia"/>
                <w:b w:val="0"/>
                <w:color w:val="auto"/>
                <w:sz w:val="21"/>
                <w:szCs w:val="21"/>
                <w:highlight w:val="none"/>
              </w:rPr>
            </w:pPr>
            <w:r>
              <w:rPr>
                <w:rStyle w:val="22"/>
                <w:rFonts w:hint="eastAsia" w:cs="Arial" w:asciiTheme="minorEastAsia" w:hAnsiTheme="minorEastAsia" w:eastAsiaTheme="minorEastAsia"/>
                <w:b w:val="0"/>
                <w:color w:val="auto"/>
                <w:sz w:val="21"/>
                <w:szCs w:val="21"/>
                <w:highlight w:val="none"/>
              </w:rPr>
              <w:t>2.没有处于被行政主管部门或业主取消比选申请资格的处罚期内，且没有处于被责令停业，财产被接管、破产状态；近三年无不良执业记录；比选申请截止时间前3年内没有骗取中选、严重违约或重大质量安全责任事故的情况。</w:t>
            </w:r>
          </w:p>
          <w:p>
            <w:pPr>
              <w:pStyle w:val="17"/>
              <w:shd w:val="clear" w:color="auto" w:fill="FFFFFF"/>
              <w:rPr>
                <w:rFonts w:cs="Arial" w:asciiTheme="minorEastAsia" w:hAnsiTheme="minorEastAsia" w:eastAsiaTheme="minorEastAsia"/>
                <w:color w:val="auto"/>
                <w:sz w:val="21"/>
                <w:szCs w:val="21"/>
                <w:highlight w:val="none"/>
              </w:rPr>
            </w:pPr>
            <w:r>
              <w:rPr>
                <w:rStyle w:val="22"/>
                <w:rFonts w:hint="eastAsia" w:cs="Arial" w:asciiTheme="minorEastAsia" w:hAnsiTheme="minorEastAsia" w:eastAsiaTheme="minorEastAsia"/>
                <w:b w:val="0"/>
                <w:color w:val="auto"/>
                <w:sz w:val="21"/>
                <w:szCs w:val="21"/>
                <w:highlight w:val="none"/>
                <w:lang w:val="en-US" w:eastAsia="zh-CN"/>
              </w:rPr>
              <w:t>3.</w:t>
            </w:r>
            <w:r>
              <w:rPr>
                <w:rStyle w:val="22"/>
                <w:rFonts w:hint="eastAsia" w:cs="Arial" w:asciiTheme="minorEastAsia" w:hAnsiTheme="minorEastAsia" w:eastAsiaTheme="minorEastAsia"/>
                <w:b w:val="0"/>
                <w:color w:val="auto"/>
                <w:sz w:val="21"/>
                <w:szCs w:val="21"/>
                <w:highlight w:val="none"/>
              </w:rPr>
              <w:t>本次比选不接受联合体报价，母、子公司只允许其中一家公司参与比选；同一法定代表人，只接受一家参与比选。</w:t>
            </w:r>
          </w:p>
        </w:tc>
      </w:tr>
      <w:tr>
        <w:tblPrEx>
          <w:tblCellMar>
            <w:top w:w="0" w:type="dxa"/>
            <w:left w:w="108" w:type="dxa"/>
            <w:bottom w:w="0" w:type="dxa"/>
            <w:right w:w="108" w:type="dxa"/>
          </w:tblCellMar>
        </w:tblPrEx>
        <w:trPr>
          <w:trHeight w:val="990" w:hRule="exact"/>
          <w:jc w:val="center"/>
        </w:trPr>
        <w:tc>
          <w:tcPr>
            <w:tcW w:w="9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获取比选文件的方式</w:t>
            </w:r>
          </w:p>
        </w:tc>
        <w:tc>
          <w:tcPr>
            <w:tcW w:w="6733" w:type="dxa"/>
            <w:tcBorders>
              <w:top w:val="single" w:color="auto" w:sz="4" w:space="0"/>
              <w:left w:val="single" w:color="auto" w:sz="4" w:space="0"/>
              <w:bottom w:val="single" w:color="auto" w:sz="4" w:space="0"/>
              <w:right w:val="single" w:color="auto" w:sz="4" w:space="0"/>
              <w:tl2br w:val="nil"/>
              <w:tr2bl w:val="nil"/>
            </w:tcBorders>
            <w:noWrap/>
            <w:vAlign w:val="center"/>
          </w:tcPr>
          <w:p>
            <w:pP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本项目不发放纸质文件，比选申请人自行在南宁轨道交通集团有限责任公司官网(http://www.nngdjt.com/)的“招标招商”栏目中的“招标公告”处下载比选文件。</w:t>
            </w:r>
          </w:p>
        </w:tc>
      </w:tr>
      <w:tr>
        <w:tblPrEx>
          <w:tblCellMar>
            <w:top w:w="0" w:type="dxa"/>
            <w:left w:w="108" w:type="dxa"/>
            <w:bottom w:w="0" w:type="dxa"/>
            <w:right w:w="108" w:type="dxa"/>
          </w:tblCellMar>
        </w:tblPrEx>
        <w:trPr>
          <w:trHeight w:val="946" w:hRule="exact"/>
          <w:jc w:val="center"/>
        </w:trPr>
        <w:tc>
          <w:tcPr>
            <w:tcW w:w="970" w:type="dxa"/>
            <w:tcBorders>
              <w:top w:val="single" w:color="auto"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auto"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比选有效期</w:t>
            </w:r>
          </w:p>
        </w:tc>
        <w:tc>
          <w:tcPr>
            <w:tcW w:w="6733" w:type="dxa"/>
            <w:tcBorders>
              <w:top w:val="single" w:color="auto"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90天（比选有效期是指为保证比选发起人有足够的时间完成评审和与中选人签订合同而在一定时间内保持有效的期限。比选有效期从比选申请文件递交截止之日算起。）</w:t>
            </w:r>
          </w:p>
        </w:tc>
      </w:tr>
      <w:tr>
        <w:tblPrEx>
          <w:tblCellMar>
            <w:top w:w="0" w:type="dxa"/>
            <w:left w:w="108" w:type="dxa"/>
            <w:bottom w:w="0" w:type="dxa"/>
            <w:right w:w="108" w:type="dxa"/>
          </w:tblCellMar>
        </w:tblPrEx>
        <w:trPr>
          <w:trHeight w:val="68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比选申请文件份数</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纸质版一式</w:t>
            </w:r>
            <w:r>
              <w:rPr>
                <w:rFonts w:hint="eastAsia" w:asciiTheme="minorEastAsia" w:hAnsiTheme="minorEastAsia" w:eastAsiaTheme="minorEastAsia"/>
                <w:color w:val="auto"/>
                <w:sz w:val="21"/>
                <w:szCs w:val="21"/>
                <w:highlight w:val="none"/>
                <w:lang w:val="en-US" w:eastAsia="zh-CN"/>
              </w:rPr>
              <w:t>五</w:t>
            </w:r>
            <w:r>
              <w:rPr>
                <w:rFonts w:hint="eastAsia" w:asciiTheme="minorEastAsia" w:hAnsiTheme="minorEastAsia" w:eastAsiaTheme="minorEastAsia"/>
                <w:color w:val="auto"/>
                <w:sz w:val="21"/>
                <w:szCs w:val="21"/>
                <w:highlight w:val="none"/>
              </w:rPr>
              <w:t>份，其中正本一份、副本</w:t>
            </w:r>
            <w:r>
              <w:rPr>
                <w:rFonts w:hint="eastAsia" w:asciiTheme="minorEastAsia" w:hAnsiTheme="minorEastAsia" w:eastAsiaTheme="minorEastAsia"/>
                <w:color w:val="auto"/>
                <w:sz w:val="21"/>
                <w:szCs w:val="21"/>
                <w:highlight w:val="none"/>
                <w:lang w:val="en-US" w:eastAsia="zh-CN"/>
              </w:rPr>
              <w:t>四</w:t>
            </w:r>
            <w:r>
              <w:rPr>
                <w:rFonts w:hint="eastAsia" w:asciiTheme="minorEastAsia" w:hAnsiTheme="minorEastAsia" w:eastAsiaTheme="minorEastAsia"/>
                <w:color w:val="auto"/>
                <w:sz w:val="21"/>
                <w:szCs w:val="21"/>
                <w:highlight w:val="none"/>
              </w:rPr>
              <w:t>份；电子版一式两份（WORD或EXCEL格式一份，盖章后的PDF格式扫描件一份，存于同一个U盘内）。</w:t>
            </w:r>
          </w:p>
        </w:tc>
      </w:tr>
      <w:tr>
        <w:tblPrEx>
          <w:tblCellMar>
            <w:top w:w="0" w:type="dxa"/>
            <w:left w:w="108" w:type="dxa"/>
            <w:bottom w:w="0" w:type="dxa"/>
            <w:right w:w="108" w:type="dxa"/>
          </w:tblCellMar>
        </w:tblPrEx>
        <w:trPr>
          <w:trHeight w:val="706"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比选申请文件</w:t>
            </w:r>
            <w:r>
              <w:rPr>
                <w:rFonts w:hint="eastAsia" w:asciiTheme="minorEastAsia" w:hAnsiTheme="minorEastAsia" w:eastAsiaTheme="minorEastAsia"/>
                <w:color w:val="auto"/>
                <w:sz w:val="21"/>
                <w:szCs w:val="21"/>
                <w:highlight w:val="none"/>
                <w:lang w:val="en-US" w:eastAsia="zh-CN"/>
              </w:rPr>
              <w:t>现场递交</w:t>
            </w:r>
            <w:r>
              <w:rPr>
                <w:rFonts w:hint="eastAsia" w:asciiTheme="minorEastAsia" w:hAnsiTheme="minorEastAsia" w:eastAsiaTheme="minorEastAsia"/>
                <w:color w:val="auto"/>
                <w:sz w:val="21"/>
                <w:szCs w:val="21"/>
                <w:highlight w:val="none"/>
              </w:rPr>
              <w:t>地址</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ind w:left="420" w:hanging="420" w:hanging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地点：广西壮族自治区南宁市青秀区云景路69号南宁轨道交通大厦A2</w:t>
            </w:r>
            <w:r>
              <w:rPr>
                <w:rFonts w:hint="eastAsia" w:asciiTheme="minorEastAsia" w:hAnsiTheme="minorEastAsia" w:eastAsiaTheme="minorEastAsia"/>
                <w:color w:val="auto"/>
                <w:sz w:val="21"/>
                <w:szCs w:val="21"/>
                <w:highlight w:val="none"/>
                <w:lang w:val="en-US" w:eastAsia="zh-CN"/>
              </w:rPr>
              <w:t xml:space="preserve"> 楼</w:t>
            </w:r>
            <w:r>
              <w:rPr>
                <w:rFonts w:hint="eastAsia" w:asciiTheme="minorEastAsia" w:hAnsiTheme="minorEastAsia" w:eastAsiaTheme="minorEastAsia"/>
                <w:color w:val="auto"/>
                <w:sz w:val="21"/>
                <w:szCs w:val="21"/>
                <w:highlight w:val="yellow"/>
                <w:u w:val="single"/>
                <w:lang w:val="en-US" w:eastAsia="zh-CN"/>
              </w:rPr>
              <w:t xml:space="preserve"> 105 </w:t>
            </w:r>
            <w:r>
              <w:rPr>
                <w:rFonts w:hint="eastAsia" w:asciiTheme="minorEastAsia" w:hAnsiTheme="minorEastAsia" w:eastAsiaTheme="minorEastAsia"/>
                <w:color w:val="auto"/>
                <w:sz w:val="21"/>
                <w:szCs w:val="21"/>
                <w:highlight w:val="yellow"/>
              </w:rPr>
              <w:t>室</w:t>
            </w:r>
          </w:p>
        </w:tc>
      </w:tr>
      <w:tr>
        <w:tblPrEx>
          <w:tblCellMar>
            <w:top w:w="0" w:type="dxa"/>
            <w:left w:w="108" w:type="dxa"/>
            <w:bottom w:w="0" w:type="dxa"/>
            <w:right w:w="108" w:type="dxa"/>
          </w:tblCellMar>
        </w:tblPrEx>
        <w:trPr>
          <w:trHeight w:val="609"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比选申请文件递交时间</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yellow"/>
              </w:rPr>
              <w:t>20</w:t>
            </w:r>
            <w:r>
              <w:rPr>
                <w:rFonts w:hint="eastAsia" w:asciiTheme="minorEastAsia" w:hAnsiTheme="minorEastAsia" w:eastAsiaTheme="minorEastAsia"/>
                <w:color w:val="auto"/>
                <w:sz w:val="21"/>
                <w:szCs w:val="21"/>
                <w:highlight w:val="yellow"/>
              </w:rPr>
              <w:t>23年</w:t>
            </w:r>
            <w:r>
              <w:rPr>
                <w:rFonts w:hint="eastAsia" w:asciiTheme="minorEastAsia" w:hAnsiTheme="minorEastAsia" w:eastAsiaTheme="minorEastAsia"/>
                <w:color w:val="auto"/>
                <w:sz w:val="21"/>
                <w:szCs w:val="21"/>
                <w:highlight w:val="yellow"/>
                <w:u w:val="single"/>
                <w:lang w:val="en-US" w:eastAsia="zh-CN"/>
              </w:rPr>
              <w:t>9</w:t>
            </w:r>
            <w:r>
              <w:rPr>
                <w:rFonts w:hint="eastAsia" w:asciiTheme="minorEastAsia" w:hAnsiTheme="minorEastAsia" w:eastAsiaTheme="minorEastAsia"/>
                <w:color w:val="auto"/>
                <w:sz w:val="21"/>
                <w:szCs w:val="21"/>
                <w:highlight w:val="yellow"/>
              </w:rPr>
              <w:t>月</w:t>
            </w:r>
            <w:r>
              <w:rPr>
                <w:rFonts w:hint="eastAsia" w:asciiTheme="minorEastAsia" w:hAnsiTheme="minorEastAsia" w:eastAsiaTheme="minorEastAsia"/>
                <w:color w:val="auto"/>
                <w:sz w:val="21"/>
                <w:szCs w:val="21"/>
                <w:highlight w:val="yellow"/>
                <w:u w:val="single"/>
                <w:lang w:val="en-US" w:eastAsia="zh-CN"/>
              </w:rPr>
              <w:t>6</w:t>
            </w:r>
            <w:r>
              <w:rPr>
                <w:rFonts w:hint="eastAsia" w:asciiTheme="minorEastAsia" w:hAnsiTheme="minorEastAsia" w:eastAsiaTheme="minorEastAsia"/>
                <w:color w:val="auto"/>
                <w:sz w:val="21"/>
                <w:szCs w:val="21"/>
                <w:highlight w:val="yellow"/>
              </w:rPr>
              <w:t>日</w:t>
            </w:r>
            <w:r>
              <w:rPr>
                <w:rFonts w:hint="eastAsia" w:asciiTheme="minorEastAsia" w:hAnsiTheme="minorEastAsia" w:eastAsiaTheme="minorEastAsia"/>
                <w:color w:val="auto"/>
                <w:sz w:val="21"/>
                <w:szCs w:val="21"/>
                <w:highlight w:val="yellow"/>
                <w:u w:val="single"/>
                <w:lang w:val="en-US" w:eastAsia="zh-CN"/>
              </w:rPr>
              <w:t>上午8</w:t>
            </w:r>
            <w:r>
              <w:rPr>
                <w:rFonts w:hint="eastAsia" w:asciiTheme="minorEastAsia" w:hAnsiTheme="minorEastAsia" w:eastAsiaTheme="minorEastAsia"/>
                <w:color w:val="auto"/>
                <w:sz w:val="21"/>
                <w:szCs w:val="21"/>
                <w:highlight w:val="yellow"/>
                <w:lang w:val="en-US" w:eastAsia="zh-CN"/>
              </w:rPr>
              <w:t>:</w:t>
            </w:r>
            <w:r>
              <w:rPr>
                <w:rFonts w:hint="eastAsia" w:asciiTheme="minorEastAsia" w:hAnsiTheme="minorEastAsia" w:eastAsiaTheme="minorEastAsia"/>
                <w:color w:val="auto"/>
                <w:sz w:val="21"/>
                <w:szCs w:val="21"/>
                <w:highlight w:val="yellow"/>
                <w:u w:val="single"/>
                <w:lang w:val="en-US" w:eastAsia="zh-CN"/>
              </w:rPr>
              <w:t>30</w:t>
            </w:r>
            <w:r>
              <w:rPr>
                <w:rFonts w:hint="eastAsia" w:asciiTheme="minorEastAsia" w:hAnsiTheme="minorEastAsia" w:eastAsiaTheme="minorEastAsia"/>
                <w:color w:val="auto"/>
                <w:sz w:val="21"/>
                <w:szCs w:val="21"/>
                <w:highlight w:val="yellow"/>
                <w:lang w:val="en-US" w:eastAsia="zh-CN"/>
              </w:rPr>
              <w:t>-</w:t>
            </w:r>
            <w:r>
              <w:rPr>
                <w:rFonts w:hint="eastAsia" w:asciiTheme="minorEastAsia" w:hAnsiTheme="minorEastAsia" w:eastAsiaTheme="minorEastAsia"/>
                <w:color w:val="auto"/>
                <w:sz w:val="21"/>
                <w:szCs w:val="21"/>
                <w:highlight w:val="yellow"/>
                <w:u w:val="single"/>
                <w:lang w:val="en-US" w:eastAsia="zh-CN"/>
              </w:rPr>
              <w:t>9</w:t>
            </w:r>
            <w:r>
              <w:rPr>
                <w:rFonts w:hint="eastAsia" w:asciiTheme="minorEastAsia" w:hAnsiTheme="minorEastAsia" w:eastAsiaTheme="minorEastAsia"/>
                <w:color w:val="auto"/>
                <w:sz w:val="21"/>
                <w:szCs w:val="21"/>
                <w:highlight w:val="yellow"/>
                <w:lang w:val="en-US" w:eastAsia="zh-CN"/>
              </w:rPr>
              <w:t>:</w:t>
            </w:r>
            <w:r>
              <w:rPr>
                <w:rFonts w:hint="eastAsia" w:asciiTheme="minorEastAsia" w:hAnsiTheme="minorEastAsia" w:eastAsiaTheme="minorEastAsia"/>
                <w:color w:val="auto"/>
                <w:sz w:val="21"/>
                <w:szCs w:val="21"/>
                <w:highlight w:val="yellow"/>
                <w:u w:val="single"/>
                <w:lang w:val="en-US" w:eastAsia="zh-CN"/>
              </w:rPr>
              <w:t>00</w:t>
            </w:r>
            <w:r>
              <w:rPr>
                <w:rFonts w:hint="eastAsia" w:asciiTheme="minorEastAsia" w:hAnsiTheme="minorEastAsia" w:eastAsiaTheme="minorEastAsia"/>
                <w:color w:val="auto"/>
                <w:sz w:val="21"/>
                <w:szCs w:val="21"/>
                <w:highlight w:val="yellow"/>
              </w:rPr>
              <w:t>。</w:t>
            </w:r>
          </w:p>
        </w:tc>
      </w:tr>
      <w:tr>
        <w:tblPrEx>
          <w:tblCellMar>
            <w:top w:w="0" w:type="dxa"/>
            <w:left w:w="108" w:type="dxa"/>
            <w:bottom w:w="0" w:type="dxa"/>
            <w:right w:w="108" w:type="dxa"/>
          </w:tblCellMar>
        </w:tblPrEx>
        <w:trPr>
          <w:trHeight w:val="918"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比选时间、地点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rPr>
              <w:t>时间：</w:t>
            </w:r>
            <w:r>
              <w:rPr>
                <w:rFonts w:asciiTheme="minorEastAsia" w:hAnsiTheme="minorEastAsia" w:eastAsiaTheme="minorEastAsia"/>
                <w:color w:val="auto"/>
                <w:sz w:val="21"/>
                <w:szCs w:val="21"/>
                <w:highlight w:val="yellow"/>
              </w:rPr>
              <w:t>20</w:t>
            </w:r>
            <w:r>
              <w:rPr>
                <w:rFonts w:hint="eastAsia" w:asciiTheme="minorEastAsia" w:hAnsiTheme="minorEastAsia" w:eastAsiaTheme="minorEastAsia"/>
                <w:color w:val="auto"/>
                <w:sz w:val="21"/>
                <w:szCs w:val="21"/>
                <w:highlight w:val="yellow"/>
              </w:rPr>
              <w:t>23年</w:t>
            </w:r>
            <w:r>
              <w:rPr>
                <w:rFonts w:hint="eastAsia" w:asciiTheme="minorEastAsia" w:hAnsiTheme="minorEastAsia" w:eastAsiaTheme="minorEastAsia"/>
                <w:color w:val="auto"/>
                <w:sz w:val="21"/>
                <w:szCs w:val="21"/>
                <w:highlight w:val="yellow"/>
                <w:u w:val="single"/>
                <w:lang w:val="en-US" w:eastAsia="zh-CN"/>
              </w:rPr>
              <w:t>9</w:t>
            </w:r>
            <w:r>
              <w:rPr>
                <w:rFonts w:hint="eastAsia" w:asciiTheme="minorEastAsia" w:hAnsiTheme="minorEastAsia" w:eastAsiaTheme="minorEastAsia"/>
                <w:color w:val="auto"/>
                <w:sz w:val="21"/>
                <w:szCs w:val="21"/>
                <w:highlight w:val="yellow"/>
              </w:rPr>
              <w:t>月</w:t>
            </w:r>
            <w:r>
              <w:rPr>
                <w:rFonts w:hint="eastAsia" w:asciiTheme="minorEastAsia" w:hAnsiTheme="minorEastAsia" w:eastAsiaTheme="minorEastAsia"/>
                <w:color w:val="auto"/>
                <w:sz w:val="21"/>
                <w:szCs w:val="21"/>
                <w:highlight w:val="yellow"/>
                <w:u w:val="single"/>
                <w:lang w:val="en-US" w:eastAsia="zh-CN"/>
              </w:rPr>
              <w:t>6</w:t>
            </w:r>
            <w:r>
              <w:rPr>
                <w:rFonts w:hint="eastAsia" w:asciiTheme="minorEastAsia" w:hAnsiTheme="minorEastAsia" w:eastAsiaTheme="minorEastAsia"/>
                <w:color w:val="auto"/>
                <w:sz w:val="21"/>
                <w:szCs w:val="21"/>
                <w:highlight w:val="yellow"/>
              </w:rPr>
              <w:t>日</w:t>
            </w:r>
            <w:r>
              <w:rPr>
                <w:rFonts w:hint="eastAsia" w:asciiTheme="minorEastAsia" w:hAnsiTheme="minorEastAsia" w:eastAsiaTheme="minorEastAsia"/>
                <w:color w:val="auto"/>
                <w:sz w:val="21"/>
                <w:szCs w:val="21"/>
                <w:highlight w:val="yellow"/>
                <w:u w:val="single"/>
                <w:lang w:val="en-US" w:eastAsia="zh-CN"/>
              </w:rPr>
              <w:t>上午9:00</w:t>
            </w:r>
            <w:r>
              <w:rPr>
                <w:rFonts w:hint="eastAsia" w:asciiTheme="minorEastAsia" w:hAnsiTheme="minorEastAsia" w:eastAsiaTheme="minorEastAsia"/>
                <w:color w:val="auto"/>
                <w:sz w:val="21"/>
                <w:szCs w:val="21"/>
                <w:highlight w:val="yellow"/>
                <w:lang w:val="en-US" w:eastAsia="zh-CN"/>
              </w:rPr>
              <w:t>。</w:t>
            </w:r>
          </w:p>
          <w:p>
            <w:pPr>
              <w:pStyle w:val="27"/>
              <w:kinsoku w:val="0"/>
              <w:overflowPunct w:val="0"/>
              <w:ind w:left="1050" w:hanging="1050" w:hangingChars="5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地点：广西壮族自治区南宁市青秀区云景路69号南宁轨道交通大厦A2楼</w:t>
            </w:r>
            <w:r>
              <w:rPr>
                <w:rFonts w:hint="eastAsia" w:asciiTheme="minorEastAsia" w:hAnsiTheme="minorEastAsia" w:eastAsiaTheme="minorEastAsia"/>
                <w:color w:val="auto"/>
                <w:sz w:val="21"/>
                <w:szCs w:val="21"/>
                <w:highlight w:val="yellow"/>
                <w:u w:val="single"/>
                <w:lang w:val="en-US" w:eastAsia="zh-CN"/>
              </w:rPr>
              <w:t>105</w:t>
            </w:r>
            <w:bookmarkStart w:id="68" w:name="_GoBack"/>
            <w:bookmarkEnd w:id="68"/>
            <w:r>
              <w:rPr>
                <w:rFonts w:hint="eastAsia" w:asciiTheme="minorEastAsia" w:hAnsiTheme="minorEastAsia" w:eastAsiaTheme="minorEastAsia"/>
                <w:color w:val="auto"/>
                <w:sz w:val="21"/>
                <w:szCs w:val="21"/>
                <w:highlight w:val="none"/>
              </w:rPr>
              <w:t>室</w:t>
            </w:r>
          </w:p>
        </w:tc>
      </w:tr>
      <w:tr>
        <w:tblPrEx>
          <w:tblCellMar>
            <w:top w:w="0" w:type="dxa"/>
            <w:left w:w="108" w:type="dxa"/>
            <w:bottom w:w="0" w:type="dxa"/>
            <w:right w:w="108" w:type="dxa"/>
          </w:tblCellMar>
        </w:tblPrEx>
        <w:trPr>
          <w:trHeight w:val="32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评比办法</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综合评分办法（详见第四章）</w:t>
            </w:r>
          </w:p>
        </w:tc>
      </w:tr>
      <w:tr>
        <w:tblPrEx>
          <w:tblCellMar>
            <w:top w:w="0" w:type="dxa"/>
            <w:left w:w="108" w:type="dxa"/>
            <w:bottom w:w="0" w:type="dxa"/>
            <w:right w:w="108" w:type="dxa"/>
          </w:tblCellMar>
        </w:tblPrEx>
        <w:trPr>
          <w:trHeight w:val="99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中选通知</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比选人根据评比委员会的评比结果在比选有效期内向中选的比选申请人发出中选通知书。比选人无义务向未中选的比选申请人解释未中选原因和退还其比选文件。</w:t>
            </w:r>
          </w:p>
        </w:tc>
      </w:tr>
      <w:tr>
        <w:tblPrEx>
          <w:tblCellMar>
            <w:top w:w="0" w:type="dxa"/>
            <w:left w:w="108" w:type="dxa"/>
            <w:bottom w:w="0" w:type="dxa"/>
            <w:right w:w="108" w:type="dxa"/>
          </w:tblCellMar>
        </w:tblPrEx>
        <w:trPr>
          <w:trHeight w:val="510"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比选保证金</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无</w:t>
            </w:r>
          </w:p>
        </w:tc>
      </w:tr>
      <w:tr>
        <w:tblPrEx>
          <w:tblCellMar>
            <w:top w:w="0" w:type="dxa"/>
            <w:left w:w="108" w:type="dxa"/>
            <w:bottom w:w="0" w:type="dxa"/>
            <w:right w:w="108" w:type="dxa"/>
          </w:tblCellMar>
        </w:tblPrEx>
        <w:trPr>
          <w:trHeight w:val="577"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履约保证金</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无</w:t>
            </w:r>
          </w:p>
        </w:tc>
      </w:tr>
      <w:tr>
        <w:tblPrEx>
          <w:tblCellMar>
            <w:top w:w="0" w:type="dxa"/>
            <w:left w:w="108" w:type="dxa"/>
            <w:bottom w:w="0" w:type="dxa"/>
            <w:right w:w="108" w:type="dxa"/>
          </w:tblCellMar>
        </w:tblPrEx>
        <w:trPr>
          <w:trHeight w:val="577"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联系方式</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hint="default" w:asciiTheme="minorEastAsia" w:hAnsiTheme="minorEastAsia" w:eastAsiaTheme="minorEastAsia"/>
                <w:color w:val="auto"/>
                <w:sz w:val="21"/>
                <w:szCs w:val="21"/>
                <w:highlight w:val="none"/>
                <w:lang w:val="en-US" w:eastAsia="zh-CN"/>
              </w:rPr>
            </w:pPr>
            <w:r>
              <w:rPr>
                <w:rFonts w:hint="eastAsia" w:cs="Arial" w:asciiTheme="minorEastAsia" w:hAnsiTheme="minorEastAsia" w:eastAsiaTheme="minorEastAsia"/>
                <w:color w:val="auto"/>
                <w:sz w:val="21"/>
                <w:szCs w:val="21"/>
                <w:highlight w:val="none"/>
              </w:rPr>
              <w:t>联系人与电话：</w:t>
            </w:r>
            <w:r>
              <w:rPr>
                <w:rFonts w:hint="eastAsia" w:cs="Arial" w:asciiTheme="minorEastAsia" w:hAnsiTheme="minorEastAsia" w:eastAsiaTheme="minorEastAsia"/>
                <w:color w:val="auto"/>
                <w:sz w:val="21"/>
                <w:szCs w:val="21"/>
                <w:highlight w:val="none"/>
                <w:lang w:val="en-US" w:eastAsia="zh-CN"/>
              </w:rPr>
              <w:t>傅</w:t>
            </w:r>
            <w:r>
              <w:rPr>
                <w:rFonts w:hint="eastAsia" w:cs="Arial" w:asciiTheme="minorEastAsia" w:hAnsiTheme="minorEastAsia" w:eastAsiaTheme="minorEastAsia"/>
                <w:color w:val="auto"/>
                <w:sz w:val="21"/>
                <w:szCs w:val="21"/>
                <w:highlight w:val="none"/>
              </w:rPr>
              <w:t>女士 0771-</w:t>
            </w:r>
            <w:r>
              <w:rPr>
                <w:rFonts w:hint="eastAsia" w:cs="Arial" w:asciiTheme="minorEastAsia" w:hAnsiTheme="minorEastAsia" w:eastAsiaTheme="minorEastAsia"/>
                <w:color w:val="auto"/>
                <w:sz w:val="21"/>
                <w:szCs w:val="21"/>
                <w:highlight w:val="none"/>
                <w:lang w:val="en-US" w:eastAsia="zh-CN"/>
              </w:rPr>
              <w:t>2778509</w:t>
            </w:r>
          </w:p>
        </w:tc>
      </w:tr>
      <w:tr>
        <w:tblPrEx>
          <w:tblCellMar>
            <w:top w:w="0" w:type="dxa"/>
            <w:left w:w="108" w:type="dxa"/>
            <w:bottom w:w="0" w:type="dxa"/>
            <w:right w:w="108" w:type="dxa"/>
          </w:tblCellMar>
        </w:tblPrEx>
        <w:trPr>
          <w:trHeight w:val="632" w:hRule="exact"/>
          <w:jc w:val="center"/>
        </w:trPr>
        <w:tc>
          <w:tcPr>
            <w:tcW w:w="970"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numPr>
                <w:ilvl w:val="0"/>
                <w:numId w:val="2"/>
              </w:numPr>
              <w:kinsoku w:val="0"/>
              <w:overflowPunct w:val="0"/>
              <w:ind w:left="425" w:leftChars="0" w:hanging="425" w:firstLineChars="0"/>
              <w:jc w:val="center"/>
              <w:rPr>
                <w:rFonts w:asciiTheme="minorEastAsia" w:hAnsiTheme="minorEastAsia" w:eastAsiaTheme="minorEastAsia"/>
                <w:color w:val="auto"/>
                <w:sz w:val="21"/>
                <w:szCs w:val="21"/>
                <w:highlight w:val="none"/>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其他事项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7"/>
              <w:kinsoku w:val="0"/>
              <w:overflowPunct w:val="0"/>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中选单位如放弃中选资格，则比选发起人有权将其列入不良行为记录名单、一年内禁止其参加比选发起人的任何采购活动。</w:t>
            </w:r>
          </w:p>
        </w:tc>
      </w:tr>
    </w:tbl>
    <w:p>
      <w:pPr>
        <w:pStyle w:val="27"/>
        <w:kinsoku w:val="0"/>
        <w:overflowPunct w:val="0"/>
        <w:rPr>
          <w:rFonts w:ascii="宋体" w:hAnsi="宋体"/>
          <w:color w:val="auto"/>
          <w:sz w:val="21"/>
          <w:highlight w:val="none"/>
        </w:rPr>
        <w:sectPr>
          <w:pgSz w:w="11910" w:h="16840"/>
          <w:pgMar w:top="1580" w:right="1020" w:bottom="1200" w:left="1220" w:header="0" w:footer="986" w:gutter="0"/>
          <w:cols w:space="720" w:num="1"/>
        </w:sectPr>
      </w:pPr>
    </w:p>
    <w:p>
      <w:pPr>
        <w:pStyle w:val="27"/>
        <w:kinsoku w:val="0"/>
        <w:overflowPunct w:val="0"/>
        <w:spacing w:line="240" w:lineRule="exact"/>
        <w:ind w:right="104"/>
        <w:rPr>
          <w:rFonts w:ascii="宋体" w:hAnsi="宋体"/>
          <w:color w:val="auto"/>
          <w:sz w:val="21"/>
          <w:highlight w:val="none"/>
        </w:rPr>
      </w:pPr>
    </w:p>
    <w:p>
      <w:pPr>
        <w:pStyle w:val="12"/>
        <w:kinsoku w:val="0"/>
        <w:overflowPunct w:val="0"/>
        <w:spacing w:before="18"/>
        <w:ind w:firstLine="3768"/>
        <w:rPr>
          <w:rFonts w:hint="default"/>
          <w:b/>
          <w:color w:val="auto"/>
          <w:highlight w:val="none"/>
        </w:rPr>
      </w:pPr>
      <w:bookmarkStart w:id="6" w:name="bookmark4"/>
      <w:bookmarkEnd w:id="6"/>
      <w:bookmarkStart w:id="7" w:name="四、比选申请文件的编制"/>
      <w:bookmarkEnd w:id="7"/>
      <w:bookmarkStart w:id="8" w:name="bookmark6"/>
      <w:bookmarkEnd w:id="8"/>
      <w:bookmarkStart w:id="9" w:name="一、总则"/>
      <w:bookmarkEnd w:id="9"/>
      <w:bookmarkStart w:id="10" w:name="三、申请比选报价说明"/>
      <w:bookmarkEnd w:id="10"/>
      <w:bookmarkStart w:id="11" w:name="二、比选文件"/>
      <w:bookmarkEnd w:id="11"/>
      <w:bookmarkStart w:id="12" w:name="bookmark5"/>
      <w:bookmarkEnd w:id="12"/>
      <w:r>
        <w:rPr>
          <w:b/>
          <w:color w:val="auto"/>
          <w:highlight w:val="none"/>
        </w:rPr>
        <w:t>一、总则</w:t>
      </w:r>
    </w:p>
    <w:p>
      <w:pPr>
        <w:pStyle w:val="12"/>
        <w:kinsoku w:val="0"/>
        <w:overflowPunct w:val="0"/>
        <w:spacing w:before="0"/>
        <w:ind w:left="0"/>
        <w:rPr>
          <w:rFonts w:hint="default"/>
          <w:color w:val="auto"/>
          <w:szCs w:val="21"/>
          <w:highlight w:val="none"/>
        </w:rPr>
      </w:pPr>
    </w:p>
    <w:p>
      <w:pPr>
        <w:pStyle w:val="12"/>
        <w:kinsoku w:val="0"/>
        <w:overflowPunct w:val="0"/>
        <w:spacing w:line="272" w:lineRule="auto"/>
        <w:ind w:left="0" w:firstLine="420" w:firstLineChars="200"/>
        <w:rPr>
          <w:rFonts w:hint="default"/>
          <w:color w:val="auto"/>
          <w:highlight w:val="none"/>
        </w:rPr>
      </w:pPr>
      <w:r>
        <w:rPr>
          <w:color w:val="auto"/>
          <w:highlight w:val="none"/>
        </w:rPr>
        <w:t>1.项目比选说明</w:t>
      </w:r>
    </w:p>
    <w:p>
      <w:pPr>
        <w:pStyle w:val="12"/>
        <w:kinsoku w:val="0"/>
        <w:overflowPunct w:val="0"/>
        <w:spacing w:line="272" w:lineRule="auto"/>
        <w:ind w:left="0" w:firstLine="420" w:firstLineChars="200"/>
        <w:rPr>
          <w:rFonts w:hint="default"/>
          <w:color w:val="auto"/>
          <w:highlight w:val="none"/>
        </w:rPr>
      </w:pPr>
      <w:r>
        <w:rPr>
          <w:color w:val="auto"/>
          <w:highlight w:val="none"/>
        </w:rPr>
        <w:t>1.1项目比选的说明见比选须知前附表（以下称“前附表”）第1项～第21项所述。</w:t>
      </w:r>
    </w:p>
    <w:p>
      <w:pPr>
        <w:pStyle w:val="12"/>
        <w:kinsoku w:val="0"/>
        <w:overflowPunct w:val="0"/>
        <w:spacing w:line="272" w:lineRule="auto"/>
        <w:ind w:left="0" w:firstLine="420" w:firstLineChars="200"/>
        <w:rPr>
          <w:rFonts w:hint="default"/>
          <w:color w:val="auto"/>
          <w:highlight w:val="none"/>
        </w:rPr>
      </w:pPr>
      <w:r>
        <w:rPr>
          <w:color w:val="auto"/>
          <w:highlight w:val="none"/>
        </w:rPr>
        <w:t>1.2上述项目按照国家有关的法律、法规作为依据，并按照南宁市政府现行有关规定执行，南宁轨道交通集团有限责任公司现通过公开比选来择优选定服务单位。</w:t>
      </w:r>
    </w:p>
    <w:p>
      <w:pPr>
        <w:pStyle w:val="12"/>
        <w:numPr>
          <w:ilvl w:val="0"/>
          <w:numId w:val="3"/>
        </w:numPr>
        <w:kinsoku w:val="0"/>
        <w:overflowPunct w:val="0"/>
        <w:spacing w:line="272" w:lineRule="auto"/>
        <w:ind w:left="0" w:firstLine="420" w:firstLineChars="200"/>
        <w:rPr>
          <w:color w:val="auto"/>
          <w:highlight w:val="none"/>
        </w:rPr>
      </w:pPr>
      <w:r>
        <w:rPr>
          <w:color w:val="auto"/>
          <w:highlight w:val="none"/>
        </w:rPr>
        <w:t>工作内容</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2.1在集团公司战略指引、内控、合规、风控管理的要求的基础上，通过调研访谈、对标分析等方式，梳理各业务条线管控工作、各项业务管控权限，出具集团公司本部对二级公司的《管控体系优化项目调研与诊断报告》。</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2.2基于调研和诊断结果，通过国内外标杆企业分析，设计集团公司本部对二级公司的管控模式分类，确定总部对不同管控模式的业务单元的管控边界，明确总部的管控职能范围，出具《集团公司管控模式设计方案》。</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2.3在集团公司现有管控制度的基础上，对内容进行修订，重新明确管控体系的基本管理要求，包括管控模式分类、管理机构与职责、管控具体操作要求等，制定《集团公司管控管理制度》。</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2.4按照“一企一策”原则，制定集团公司本部对每个二级子公司的《管控权责清单》，实现对二级业务单元的“一企一策”管控。</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2.5梳理集团公司总部与二级子公司之间跨层级事项的权限划分，以及总部各决策机构间的权限配置，提出优化建议，并形成《管控权限指引表》，以此实现集团管控和本部业务决策权责明确、协作紧密、运行高效的目标，推动职能部门优化业务管理制度，并为管控信息化建设奠定管理基础。</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2.6提供宣贯服务。乙方负责召开至少一次宣贯会。</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2.7提供实施辅导。成果交付实施后，提供为期至少180个自然日的落地执行解释、咨询、评审等辅导服务。</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2.8提供调整优化服务。成果交付实施满180个自然日，乙方根据甲方执行情况，对交付的咨询成果进行调整优化。</w:t>
      </w:r>
    </w:p>
    <w:p>
      <w:pPr>
        <w:pStyle w:val="12"/>
        <w:kinsoku w:val="0"/>
        <w:overflowPunct w:val="0"/>
        <w:spacing w:line="272" w:lineRule="auto"/>
        <w:ind w:left="0" w:firstLine="420" w:firstLineChars="200"/>
        <w:rPr>
          <w:rFonts w:hint="eastAsia"/>
          <w:color w:val="auto"/>
          <w:highlight w:val="none"/>
          <w:lang w:val="en-US" w:eastAsia="zh-CN"/>
        </w:rPr>
      </w:pPr>
      <w:r>
        <w:rPr>
          <w:rFonts w:hint="eastAsia"/>
          <w:color w:val="auto"/>
          <w:highlight w:val="none"/>
          <w:lang w:val="en-US" w:eastAsia="zh-CN"/>
        </w:rPr>
        <w:t>2.9制定项目实施方案、记录工作相关信息、汇报工作进度、汇报项目成果。</w:t>
      </w:r>
    </w:p>
    <w:p>
      <w:pPr>
        <w:pStyle w:val="12"/>
        <w:kinsoku w:val="0"/>
        <w:overflowPunct w:val="0"/>
        <w:spacing w:line="272" w:lineRule="auto"/>
        <w:ind w:left="0" w:firstLine="420" w:firstLineChars="200"/>
        <w:rPr>
          <w:rFonts w:hint="default"/>
          <w:color w:val="auto"/>
          <w:highlight w:val="none"/>
        </w:rPr>
      </w:pPr>
      <w:r>
        <w:rPr>
          <w:color w:val="auto"/>
          <w:highlight w:val="none"/>
        </w:rPr>
        <w:t>3.资金来源：企业自筹</w:t>
      </w:r>
    </w:p>
    <w:p>
      <w:pPr>
        <w:pStyle w:val="12"/>
        <w:kinsoku w:val="0"/>
        <w:overflowPunct w:val="0"/>
        <w:spacing w:line="272" w:lineRule="auto"/>
        <w:ind w:left="0" w:firstLine="420" w:firstLineChars="200"/>
        <w:rPr>
          <w:rFonts w:hint="default"/>
          <w:color w:val="auto"/>
          <w:highlight w:val="none"/>
        </w:rPr>
      </w:pPr>
      <w:r>
        <w:rPr>
          <w:color w:val="auto"/>
          <w:highlight w:val="none"/>
        </w:rPr>
        <w:t>4.比选申请人资格要求</w:t>
      </w:r>
    </w:p>
    <w:p>
      <w:pPr>
        <w:pStyle w:val="12"/>
        <w:kinsoku w:val="0"/>
        <w:overflowPunct w:val="0"/>
        <w:spacing w:line="272" w:lineRule="auto"/>
        <w:ind w:left="0" w:firstLine="420" w:firstLineChars="200"/>
        <w:rPr>
          <w:rFonts w:hint="default"/>
          <w:color w:val="auto"/>
          <w:highlight w:val="none"/>
        </w:rPr>
      </w:pPr>
      <w:r>
        <w:rPr>
          <w:color w:val="auto"/>
          <w:highlight w:val="none"/>
        </w:rPr>
        <w:t>4.1比选申请人必须具有前附表第9项相应的资质及要求。</w:t>
      </w:r>
    </w:p>
    <w:p>
      <w:pPr>
        <w:pStyle w:val="12"/>
        <w:kinsoku w:val="0"/>
        <w:overflowPunct w:val="0"/>
        <w:spacing w:line="272" w:lineRule="auto"/>
        <w:ind w:left="0" w:firstLine="420" w:firstLineChars="200"/>
        <w:rPr>
          <w:rFonts w:hint="default"/>
          <w:color w:val="auto"/>
          <w:highlight w:val="none"/>
        </w:rPr>
      </w:pPr>
      <w:r>
        <w:rPr>
          <w:color w:val="auto"/>
          <w:highlight w:val="none"/>
        </w:rPr>
        <w:t>5.申请比选费用</w:t>
      </w:r>
    </w:p>
    <w:p>
      <w:pPr>
        <w:pStyle w:val="12"/>
        <w:kinsoku w:val="0"/>
        <w:overflowPunct w:val="0"/>
        <w:spacing w:line="272" w:lineRule="auto"/>
        <w:ind w:left="0" w:firstLine="420" w:firstLineChars="200"/>
        <w:rPr>
          <w:rFonts w:hint="default"/>
          <w:color w:val="auto"/>
          <w:szCs w:val="21"/>
          <w:highlight w:val="none"/>
        </w:rPr>
      </w:pPr>
      <w:r>
        <w:rPr>
          <w:color w:val="auto"/>
          <w:szCs w:val="21"/>
          <w:highlight w:val="none"/>
        </w:rPr>
        <w:t>5.1比选申请人应承担其编制文件与递交文件所涉及的一切费用。不管评比结果如何，比选人对上述费用不负任何责任。</w:t>
      </w:r>
    </w:p>
    <w:p>
      <w:pPr>
        <w:pStyle w:val="12"/>
        <w:kinsoku w:val="0"/>
        <w:overflowPunct w:val="0"/>
        <w:spacing w:before="0"/>
        <w:ind w:left="3533" w:right="3560"/>
        <w:jc w:val="center"/>
        <w:rPr>
          <w:rFonts w:hint="default"/>
          <w:b/>
          <w:color w:val="auto"/>
          <w:highlight w:val="none"/>
        </w:rPr>
      </w:pPr>
      <w:r>
        <w:rPr>
          <w:b/>
          <w:color w:val="auto"/>
          <w:highlight w:val="none"/>
        </w:rPr>
        <w:t>二、比选文件</w:t>
      </w:r>
    </w:p>
    <w:p>
      <w:pPr>
        <w:pStyle w:val="12"/>
        <w:kinsoku w:val="0"/>
        <w:overflowPunct w:val="0"/>
        <w:spacing w:line="272" w:lineRule="auto"/>
        <w:ind w:left="0" w:firstLine="420" w:firstLineChars="200"/>
        <w:rPr>
          <w:rFonts w:hint="default"/>
          <w:color w:val="auto"/>
          <w:highlight w:val="none"/>
        </w:rPr>
      </w:pPr>
      <w:r>
        <w:rPr>
          <w:color w:val="auto"/>
          <w:highlight w:val="none"/>
        </w:rPr>
        <w:t>6.比选文件的组成</w:t>
      </w:r>
    </w:p>
    <w:p>
      <w:pPr>
        <w:pStyle w:val="12"/>
        <w:kinsoku w:val="0"/>
        <w:overflowPunct w:val="0"/>
        <w:spacing w:line="272" w:lineRule="auto"/>
        <w:ind w:left="0" w:firstLine="420" w:firstLineChars="200"/>
        <w:rPr>
          <w:rFonts w:hint="default"/>
          <w:color w:val="auto"/>
          <w:highlight w:val="none"/>
        </w:rPr>
      </w:pPr>
      <w:r>
        <w:rPr>
          <w:color w:val="auto"/>
          <w:highlight w:val="none"/>
        </w:rPr>
        <w:t>6.1比选文件包括比选须知前附表、比选须知、合同条款(格式</w:t>
      </w:r>
      <w:r>
        <w:rPr>
          <w:rFonts w:hint="default"/>
          <w:color w:val="auto"/>
          <w:highlight w:val="none"/>
        </w:rPr>
        <w:t>）</w:t>
      </w:r>
      <w:r>
        <w:rPr>
          <w:color w:val="auto"/>
          <w:highlight w:val="none"/>
        </w:rPr>
        <w:t>、比选申请文件格式、评比办法。</w:t>
      </w:r>
    </w:p>
    <w:p>
      <w:pPr>
        <w:pStyle w:val="12"/>
        <w:kinsoku w:val="0"/>
        <w:overflowPunct w:val="0"/>
        <w:spacing w:line="272" w:lineRule="auto"/>
        <w:ind w:left="0" w:firstLine="420" w:firstLineChars="200"/>
        <w:rPr>
          <w:rFonts w:hint="default"/>
          <w:color w:val="auto"/>
          <w:highlight w:val="none"/>
        </w:rPr>
      </w:pPr>
      <w:r>
        <w:rPr>
          <w:color w:val="auto"/>
          <w:highlight w:val="none"/>
        </w:rPr>
        <w:t>6.2比选申请人应认真审阅比选文件中所有的比选文件内容要求。如果比选申请人的比选申请文件不能符合比选文件的要求，责任由比选申请人负责。实质上不响应比选文件要求的比选申请文件将被拒绝。</w:t>
      </w:r>
    </w:p>
    <w:p>
      <w:pPr>
        <w:pStyle w:val="12"/>
        <w:kinsoku w:val="0"/>
        <w:overflowPunct w:val="0"/>
        <w:spacing w:line="272" w:lineRule="auto"/>
        <w:ind w:left="0" w:firstLine="420" w:firstLineChars="200"/>
        <w:rPr>
          <w:rFonts w:hint="default"/>
          <w:color w:val="auto"/>
          <w:highlight w:val="none"/>
        </w:rPr>
      </w:pPr>
      <w:r>
        <w:rPr>
          <w:color w:val="auto"/>
          <w:highlight w:val="none"/>
        </w:rPr>
        <w:t>7.比选文件的解释</w:t>
      </w:r>
    </w:p>
    <w:p>
      <w:pPr>
        <w:pStyle w:val="12"/>
        <w:kinsoku w:val="0"/>
        <w:overflowPunct w:val="0"/>
        <w:spacing w:line="272" w:lineRule="auto"/>
        <w:ind w:left="0" w:firstLine="420" w:firstLineChars="200"/>
        <w:rPr>
          <w:rFonts w:hint="default"/>
          <w:color w:val="auto"/>
          <w:highlight w:val="none"/>
        </w:rPr>
      </w:pPr>
      <w:r>
        <w:rPr>
          <w:color w:val="auto"/>
          <w:highlight w:val="none"/>
        </w:rPr>
        <w:t>7.1比选申请人在获取比选文件后，若有问题需要澄清，均应在递交文件截止时间3个工作日前的正常工作时间内，用当面递交或传真书面通知比选人，其他方式为无效。比选人将于递交文件截止时间2天前以书面形式,在比选人官网发布，予以答复。</w:t>
      </w:r>
    </w:p>
    <w:p>
      <w:pPr>
        <w:pStyle w:val="12"/>
        <w:kinsoku w:val="0"/>
        <w:overflowPunct w:val="0"/>
        <w:spacing w:line="272" w:lineRule="auto"/>
        <w:ind w:left="0" w:firstLine="420" w:firstLineChars="200"/>
        <w:rPr>
          <w:rFonts w:hint="default"/>
          <w:color w:val="auto"/>
          <w:highlight w:val="none"/>
        </w:rPr>
      </w:pPr>
      <w:r>
        <w:rPr>
          <w:color w:val="auto"/>
          <w:highlight w:val="none"/>
        </w:rPr>
        <w:t>8.比选文件的修改</w:t>
      </w:r>
    </w:p>
    <w:p>
      <w:pPr>
        <w:pStyle w:val="12"/>
        <w:kinsoku w:val="0"/>
        <w:overflowPunct w:val="0"/>
        <w:spacing w:line="272" w:lineRule="auto"/>
        <w:ind w:left="0" w:firstLine="420" w:firstLineChars="200"/>
        <w:rPr>
          <w:rFonts w:hint="default"/>
          <w:color w:val="auto"/>
          <w:highlight w:val="none"/>
        </w:rPr>
      </w:pPr>
      <w:r>
        <w:rPr>
          <w:color w:val="auto"/>
          <w:highlight w:val="none"/>
        </w:rPr>
        <w:t>8.1在递交文件截止日期前2天，比选人可以采用补充通知的方式修改比选文件。</w:t>
      </w:r>
    </w:p>
    <w:p>
      <w:pPr>
        <w:pStyle w:val="12"/>
        <w:kinsoku w:val="0"/>
        <w:overflowPunct w:val="0"/>
        <w:spacing w:line="272" w:lineRule="auto"/>
        <w:ind w:left="0" w:firstLine="420" w:firstLineChars="200"/>
        <w:rPr>
          <w:rFonts w:hint="default"/>
          <w:color w:val="auto"/>
          <w:highlight w:val="none"/>
        </w:rPr>
      </w:pPr>
      <w:r>
        <w:rPr>
          <w:color w:val="auto"/>
          <w:highlight w:val="none"/>
        </w:rPr>
        <w:t>8.2补充通知将以书面形式，在比选人官网发布，补充通知作为比选文件的组成部分，对比选申请人起约束作用。</w:t>
      </w:r>
    </w:p>
    <w:p>
      <w:pPr>
        <w:pStyle w:val="12"/>
        <w:kinsoku w:val="0"/>
        <w:overflowPunct w:val="0"/>
        <w:spacing w:before="1"/>
        <w:ind w:left="0"/>
        <w:rPr>
          <w:rFonts w:hint="default"/>
          <w:color w:val="auto"/>
          <w:sz w:val="29"/>
          <w:highlight w:val="none"/>
        </w:rPr>
      </w:pPr>
    </w:p>
    <w:p>
      <w:pPr>
        <w:pStyle w:val="12"/>
        <w:kinsoku w:val="0"/>
        <w:overflowPunct w:val="0"/>
        <w:spacing w:before="0"/>
        <w:ind w:left="3533" w:right="3560"/>
        <w:jc w:val="center"/>
        <w:rPr>
          <w:rFonts w:hint="default"/>
          <w:b/>
          <w:color w:val="auto"/>
          <w:highlight w:val="none"/>
        </w:rPr>
      </w:pPr>
      <w:r>
        <w:rPr>
          <w:b/>
          <w:color w:val="auto"/>
          <w:highlight w:val="none"/>
        </w:rPr>
        <w:t>三、申请比选报价说明</w:t>
      </w:r>
    </w:p>
    <w:p>
      <w:pPr>
        <w:pStyle w:val="12"/>
        <w:kinsoku w:val="0"/>
        <w:overflowPunct w:val="0"/>
        <w:spacing w:before="147"/>
        <w:ind w:left="0" w:firstLine="420" w:firstLineChars="200"/>
        <w:rPr>
          <w:rFonts w:hint="default"/>
          <w:color w:val="auto"/>
          <w:highlight w:val="none"/>
        </w:rPr>
      </w:pPr>
      <w:r>
        <w:rPr>
          <w:color w:val="auto"/>
          <w:highlight w:val="none"/>
        </w:rPr>
        <w:t>9.申请比选报价</w:t>
      </w:r>
    </w:p>
    <w:p>
      <w:pPr>
        <w:pStyle w:val="12"/>
        <w:kinsoku w:val="0"/>
        <w:overflowPunct w:val="0"/>
        <w:ind w:left="0" w:firstLine="420" w:firstLineChars="200"/>
        <w:rPr>
          <w:rFonts w:hint="default"/>
          <w:color w:val="auto"/>
          <w:highlight w:val="none"/>
        </w:rPr>
      </w:pPr>
      <w:r>
        <w:rPr>
          <w:color w:val="auto"/>
          <w:highlight w:val="none"/>
        </w:rPr>
        <w:t>9.1申请比选报价见比选须知前附表第7项所述。</w:t>
      </w:r>
    </w:p>
    <w:p>
      <w:pPr>
        <w:pStyle w:val="12"/>
        <w:kinsoku w:val="0"/>
        <w:overflowPunct w:val="0"/>
        <w:spacing w:before="0"/>
        <w:ind w:left="0"/>
        <w:rPr>
          <w:rFonts w:hint="default"/>
          <w:color w:val="auto"/>
          <w:sz w:val="20"/>
          <w:highlight w:val="none"/>
        </w:rPr>
      </w:pPr>
    </w:p>
    <w:p>
      <w:pPr>
        <w:pStyle w:val="12"/>
        <w:kinsoku w:val="0"/>
        <w:overflowPunct w:val="0"/>
        <w:spacing w:before="147"/>
        <w:ind w:left="3533" w:right="3560"/>
        <w:jc w:val="center"/>
        <w:rPr>
          <w:rFonts w:hint="default"/>
          <w:b/>
          <w:color w:val="auto"/>
          <w:highlight w:val="none"/>
        </w:rPr>
      </w:pPr>
      <w:r>
        <w:rPr>
          <w:b/>
          <w:color w:val="auto"/>
          <w:highlight w:val="none"/>
        </w:rPr>
        <w:t>四、比选申请文件的编制</w:t>
      </w:r>
    </w:p>
    <w:p>
      <w:pPr>
        <w:pStyle w:val="12"/>
        <w:kinsoku w:val="0"/>
        <w:overflowPunct w:val="0"/>
        <w:spacing w:before="150"/>
        <w:ind w:left="0" w:firstLine="420" w:firstLineChars="200"/>
        <w:rPr>
          <w:rFonts w:hint="default"/>
          <w:color w:val="auto"/>
          <w:highlight w:val="none"/>
        </w:rPr>
      </w:pPr>
      <w:r>
        <w:rPr>
          <w:color w:val="auto"/>
          <w:highlight w:val="none"/>
        </w:rPr>
        <w:t>10.比选申请文件编写注意事项</w:t>
      </w:r>
    </w:p>
    <w:p>
      <w:pPr>
        <w:pStyle w:val="12"/>
        <w:kinsoku w:val="0"/>
        <w:overflowPunct w:val="0"/>
        <w:spacing w:line="272" w:lineRule="auto"/>
        <w:ind w:left="0" w:firstLine="420" w:firstLineChars="200"/>
        <w:rPr>
          <w:rFonts w:hint="default"/>
          <w:color w:val="auto"/>
          <w:highlight w:val="none"/>
        </w:rPr>
      </w:pPr>
      <w:r>
        <w:rPr>
          <w:color w:val="auto"/>
          <w:highlight w:val="none"/>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pStyle w:val="12"/>
        <w:kinsoku w:val="0"/>
        <w:overflowPunct w:val="0"/>
        <w:spacing w:line="272" w:lineRule="auto"/>
        <w:ind w:left="0" w:firstLine="420" w:firstLineChars="200"/>
        <w:rPr>
          <w:rFonts w:hint="default"/>
          <w:color w:val="auto"/>
          <w:highlight w:val="none"/>
        </w:rPr>
      </w:pPr>
      <w:r>
        <w:rPr>
          <w:color w:val="auto"/>
          <w:highlight w:val="none"/>
        </w:rPr>
        <w:t>10.2比选文件提出的实质性要求和条件是指本比选项目所涉及的最低人员配置、价格、服务及其它要求、合同条款等内容。</w:t>
      </w:r>
    </w:p>
    <w:p>
      <w:pPr>
        <w:pStyle w:val="12"/>
        <w:kinsoku w:val="0"/>
        <w:overflowPunct w:val="0"/>
        <w:spacing w:line="272" w:lineRule="auto"/>
        <w:ind w:left="0" w:firstLine="420" w:firstLineChars="200"/>
        <w:rPr>
          <w:rFonts w:hint="default"/>
          <w:color w:val="auto"/>
          <w:highlight w:val="none"/>
        </w:rPr>
      </w:pPr>
      <w:r>
        <w:rPr>
          <w:color w:val="auto"/>
          <w:highlight w:val="none"/>
        </w:rPr>
        <w:t>10.3比选申请人的比选申请文件所有来往函件统一使用中文(特别规定除外)。</w:t>
      </w:r>
    </w:p>
    <w:p>
      <w:pPr>
        <w:pStyle w:val="12"/>
        <w:kinsoku w:val="0"/>
        <w:overflowPunct w:val="0"/>
        <w:spacing w:line="272" w:lineRule="auto"/>
        <w:ind w:left="0" w:firstLine="420" w:firstLineChars="200"/>
        <w:rPr>
          <w:rFonts w:hint="default"/>
          <w:color w:val="auto"/>
          <w:highlight w:val="none"/>
        </w:rPr>
      </w:pPr>
      <w:r>
        <w:rPr>
          <w:color w:val="auto"/>
          <w:highlight w:val="none"/>
        </w:rPr>
        <w:t>10.4比选申请文件中使用的计量单位除比选文件中有特殊规定外，一律使用法定计量单位。</w:t>
      </w:r>
    </w:p>
    <w:p>
      <w:pPr>
        <w:pStyle w:val="12"/>
        <w:kinsoku w:val="0"/>
        <w:overflowPunct w:val="0"/>
        <w:spacing w:line="272" w:lineRule="auto"/>
        <w:ind w:left="0" w:firstLine="420" w:firstLineChars="200"/>
        <w:rPr>
          <w:rFonts w:hint="default"/>
          <w:color w:val="auto"/>
          <w:highlight w:val="none"/>
        </w:rPr>
      </w:pPr>
      <w:r>
        <w:rPr>
          <w:color w:val="auto"/>
          <w:highlight w:val="none"/>
        </w:rPr>
        <w:t>11.比选申请文件的组成</w:t>
      </w:r>
    </w:p>
    <w:p>
      <w:pPr>
        <w:pStyle w:val="12"/>
        <w:kinsoku w:val="0"/>
        <w:overflowPunct w:val="0"/>
        <w:spacing w:line="272" w:lineRule="auto"/>
        <w:ind w:left="0" w:firstLine="420" w:firstLineChars="200"/>
        <w:rPr>
          <w:rFonts w:hint="default"/>
          <w:color w:val="auto"/>
          <w:highlight w:val="none"/>
        </w:rPr>
      </w:pPr>
      <w:r>
        <w:rPr>
          <w:color w:val="auto"/>
          <w:highlight w:val="none"/>
        </w:rPr>
        <w:t>11.1比选申请文件由资格审查部分、技术部分、商务部分三部分组成，详细要求与部分格式详见第三章。</w:t>
      </w:r>
    </w:p>
    <w:p>
      <w:pPr>
        <w:pStyle w:val="12"/>
        <w:kinsoku w:val="0"/>
        <w:overflowPunct w:val="0"/>
        <w:spacing w:line="272" w:lineRule="auto"/>
        <w:ind w:left="0" w:firstLine="420" w:firstLineChars="200"/>
        <w:rPr>
          <w:rFonts w:hint="default"/>
          <w:color w:val="auto"/>
          <w:highlight w:val="none"/>
        </w:rPr>
      </w:pPr>
      <w:r>
        <w:rPr>
          <w:color w:val="auto"/>
          <w:highlight w:val="none"/>
        </w:rPr>
        <w:t>11.2资格审查部分主要包括下列内容：</w:t>
      </w:r>
    </w:p>
    <w:p>
      <w:pPr>
        <w:pStyle w:val="12"/>
        <w:kinsoku w:val="0"/>
        <w:overflowPunct w:val="0"/>
        <w:spacing w:line="272" w:lineRule="auto"/>
        <w:ind w:left="100" w:firstLine="420"/>
        <w:rPr>
          <w:rFonts w:hint="default"/>
          <w:color w:val="auto"/>
          <w:highlight w:val="none"/>
        </w:rPr>
      </w:pPr>
      <w:r>
        <w:rPr>
          <w:color w:val="auto"/>
          <w:highlight w:val="none"/>
        </w:rPr>
        <w:t>（1）诚信声明（原件）</w:t>
      </w:r>
    </w:p>
    <w:p>
      <w:pPr>
        <w:pStyle w:val="12"/>
        <w:kinsoku w:val="0"/>
        <w:overflowPunct w:val="0"/>
        <w:spacing w:line="272" w:lineRule="auto"/>
        <w:ind w:left="100" w:firstLine="420"/>
        <w:rPr>
          <w:rFonts w:hint="default"/>
          <w:color w:val="auto"/>
          <w:highlight w:val="none"/>
        </w:rPr>
      </w:pPr>
      <w:r>
        <w:rPr>
          <w:color w:val="auto"/>
          <w:highlight w:val="none"/>
        </w:rPr>
        <w:t>（2）法定代表人资格证明书（原件）</w:t>
      </w:r>
    </w:p>
    <w:p>
      <w:pPr>
        <w:pStyle w:val="12"/>
        <w:kinsoku w:val="0"/>
        <w:overflowPunct w:val="0"/>
        <w:spacing w:line="272" w:lineRule="auto"/>
        <w:ind w:left="100" w:firstLine="420"/>
        <w:rPr>
          <w:rFonts w:hint="default"/>
          <w:color w:val="auto"/>
          <w:highlight w:val="none"/>
        </w:rPr>
      </w:pPr>
      <w:r>
        <w:rPr>
          <w:color w:val="auto"/>
          <w:highlight w:val="none"/>
        </w:rPr>
        <w:t>（3）法定代表人身份证（复印件加盖单位公章）</w:t>
      </w:r>
    </w:p>
    <w:p>
      <w:pPr>
        <w:pStyle w:val="12"/>
        <w:kinsoku w:val="0"/>
        <w:overflowPunct w:val="0"/>
        <w:spacing w:line="272" w:lineRule="auto"/>
        <w:ind w:left="100" w:firstLine="420"/>
        <w:rPr>
          <w:rFonts w:hint="default"/>
          <w:color w:val="auto"/>
          <w:highlight w:val="none"/>
        </w:rPr>
      </w:pPr>
      <w:r>
        <w:rPr>
          <w:color w:val="auto"/>
          <w:highlight w:val="none"/>
        </w:rPr>
        <w:t>（4）比选申请文件签署授权委托书（原件）</w:t>
      </w:r>
    </w:p>
    <w:p>
      <w:pPr>
        <w:pStyle w:val="12"/>
        <w:kinsoku w:val="0"/>
        <w:overflowPunct w:val="0"/>
        <w:spacing w:line="272" w:lineRule="auto"/>
        <w:ind w:left="100" w:firstLine="420"/>
        <w:rPr>
          <w:rFonts w:hint="default"/>
          <w:color w:val="auto"/>
          <w:highlight w:val="none"/>
        </w:rPr>
      </w:pPr>
      <w:r>
        <w:rPr>
          <w:color w:val="auto"/>
          <w:highlight w:val="none"/>
        </w:rPr>
        <w:t>（5）授权代表人身份证（复印件加盖单位公章）</w:t>
      </w:r>
    </w:p>
    <w:p>
      <w:pPr>
        <w:pStyle w:val="12"/>
        <w:kinsoku w:val="0"/>
        <w:overflowPunct w:val="0"/>
        <w:spacing w:line="272" w:lineRule="auto"/>
        <w:ind w:left="100" w:firstLine="420"/>
        <w:rPr>
          <w:rFonts w:hint="default"/>
          <w:color w:val="auto"/>
          <w:highlight w:val="none"/>
        </w:rPr>
      </w:pPr>
      <w:r>
        <w:rPr>
          <w:color w:val="auto"/>
          <w:highlight w:val="none"/>
        </w:rPr>
        <w:t>（6）营业执照副本复印件（加盖单位公章）</w:t>
      </w:r>
    </w:p>
    <w:p>
      <w:pPr>
        <w:pStyle w:val="12"/>
        <w:kinsoku w:val="0"/>
        <w:overflowPunct w:val="0"/>
        <w:spacing w:line="272" w:lineRule="auto"/>
        <w:ind w:left="100" w:firstLine="420"/>
        <w:rPr>
          <w:rFonts w:hint="default"/>
          <w:color w:val="auto"/>
          <w:highlight w:val="none"/>
        </w:rPr>
      </w:pPr>
      <w:r>
        <w:rPr>
          <w:color w:val="auto"/>
          <w:highlight w:val="none"/>
        </w:rPr>
        <w:t>（7）税务登记证（加盖单位公章,如已办理三证合一则不需提供）</w:t>
      </w:r>
    </w:p>
    <w:p>
      <w:pPr>
        <w:pStyle w:val="12"/>
        <w:kinsoku w:val="0"/>
        <w:overflowPunct w:val="0"/>
        <w:spacing w:line="272" w:lineRule="auto"/>
        <w:ind w:left="100" w:firstLine="420"/>
        <w:rPr>
          <w:color w:val="auto"/>
          <w:highlight w:val="none"/>
        </w:rPr>
      </w:pPr>
      <w:r>
        <w:rPr>
          <w:color w:val="auto"/>
          <w:highlight w:val="none"/>
        </w:rPr>
        <w:t>（8）组织机构代码证复印件（加盖单位公章,如已办理三证合一则不需提供）</w:t>
      </w:r>
    </w:p>
    <w:p>
      <w:pPr>
        <w:pStyle w:val="12"/>
        <w:kinsoku w:val="0"/>
        <w:overflowPunct w:val="0"/>
        <w:spacing w:line="272" w:lineRule="auto"/>
        <w:ind w:left="0" w:firstLine="420" w:firstLineChars="200"/>
        <w:rPr>
          <w:rFonts w:hint="default"/>
          <w:color w:val="auto"/>
          <w:highlight w:val="none"/>
        </w:rPr>
      </w:pPr>
      <w:r>
        <w:rPr>
          <w:color w:val="auto"/>
          <w:highlight w:val="none"/>
        </w:rPr>
        <w:t>11.3技术部分主要包括下列内容：</w:t>
      </w:r>
    </w:p>
    <w:p>
      <w:pPr>
        <w:pStyle w:val="12"/>
        <w:kinsoku w:val="0"/>
        <w:overflowPunct w:val="0"/>
        <w:spacing w:before="0" w:line="271" w:lineRule="auto"/>
        <w:ind w:left="0" w:firstLine="412" w:firstLineChars="200"/>
        <w:rPr>
          <w:rFonts w:hint="default"/>
          <w:color w:val="auto"/>
          <w:spacing w:val="-2"/>
          <w:szCs w:val="21"/>
          <w:highlight w:val="none"/>
        </w:rPr>
      </w:pPr>
      <w:r>
        <w:rPr>
          <w:color w:val="auto"/>
          <w:spacing w:val="-2"/>
          <w:szCs w:val="21"/>
          <w:highlight w:val="none"/>
        </w:rPr>
        <w:t>11.3.1综合实力</w:t>
      </w:r>
    </w:p>
    <w:p>
      <w:pPr>
        <w:pStyle w:val="12"/>
        <w:kinsoku w:val="0"/>
        <w:overflowPunct w:val="0"/>
        <w:spacing w:before="0" w:line="271" w:lineRule="auto"/>
        <w:rPr>
          <w:rFonts w:hint="default"/>
          <w:color w:val="auto"/>
          <w:spacing w:val="-2"/>
          <w:szCs w:val="21"/>
          <w:highlight w:val="none"/>
        </w:rPr>
      </w:pPr>
      <w:r>
        <w:rPr>
          <w:color w:val="auto"/>
          <w:spacing w:val="-2"/>
          <w:szCs w:val="21"/>
          <w:highlight w:val="none"/>
        </w:rPr>
        <w:t>（1）近</w:t>
      </w:r>
      <w:r>
        <w:rPr>
          <w:rFonts w:hint="eastAsia"/>
          <w:color w:val="auto"/>
          <w:spacing w:val="-2"/>
          <w:szCs w:val="21"/>
          <w:highlight w:val="none"/>
          <w:lang w:val="en-US" w:eastAsia="zh-CN"/>
        </w:rPr>
        <w:t>三</w:t>
      </w:r>
      <w:r>
        <w:rPr>
          <w:color w:val="auto"/>
          <w:spacing w:val="-2"/>
          <w:szCs w:val="21"/>
          <w:highlight w:val="none"/>
        </w:rPr>
        <w:t>年业绩表-</w:t>
      </w:r>
      <w:r>
        <w:rPr>
          <w:rFonts w:hint="eastAsia"/>
          <w:color w:val="auto"/>
          <w:spacing w:val="-2"/>
          <w:szCs w:val="21"/>
          <w:highlight w:val="none"/>
          <w:lang w:val="en-US" w:eastAsia="zh-CN"/>
        </w:rPr>
        <w:t>服务同类型企业（下辖多元化子企业的集团）的</w:t>
      </w:r>
      <w:r>
        <w:rPr>
          <w:rFonts w:hint="eastAsia" w:cs="宋体"/>
          <w:color w:val="auto"/>
          <w:szCs w:val="21"/>
          <w:highlight w:val="none"/>
          <w:lang w:val="en-US" w:eastAsia="zh-CN"/>
        </w:rPr>
        <w:t>管控体系优化</w:t>
      </w:r>
      <w:r>
        <w:rPr>
          <w:rFonts w:cs="宋体"/>
          <w:color w:val="auto"/>
          <w:szCs w:val="21"/>
          <w:highlight w:val="none"/>
        </w:rPr>
        <w:t>咨询项目</w:t>
      </w:r>
      <w:r>
        <w:rPr>
          <w:color w:val="auto"/>
          <w:spacing w:val="-2"/>
          <w:szCs w:val="21"/>
          <w:highlight w:val="none"/>
        </w:rPr>
        <w:t>（</w:t>
      </w:r>
      <w:r>
        <w:rPr>
          <w:color w:val="auto"/>
          <w:szCs w:val="21"/>
          <w:highlight w:val="none"/>
        </w:rPr>
        <w:t>加盖单位公章</w:t>
      </w:r>
      <w:r>
        <w:rPr>
          <w:color w:val="auto"/>
          <w:spacing w:val="-2"/>
          <w:szCs w:val="21"/>
          <w:highlight w:val="none"/>
        </w:rPr>
        <w:t>）</w:t>
      </w:r>
    </w:p>
    <w:p>
      <w:pPr>
        <w:pStyle w:val="12"/>
        <w:kinsoku w:val="0"/>
        <w:overflowPunct w:val="0"/>
        <w:spacing w:before="0" w:line="271" w:lineRule="auto"/>
        <w:rPr>
          <w:rFonts w:hint="default"/>
          <w:color w:val="auto"/>
          <w:spacing w:val="-2"/>
          <w:szCs w:val="21"/>
          <w:highlight w:val="none"/>
        </w:rPr>
      </w:pPr>
      <w:r>
        <w:rPr>
          <w:color w:val="auto"/>
          <w:spacing w:val="-2"/>
          <w:szCs w:val="21"/>
          <w:highlight w:val="none"/>
        </w:rPr>
        <w:t>（2）拟派项目负责人简历表（</w:t>
      </w:r>
      <w:r>
        <w:rPr>
          <w:color w:val="auto"/>
          <w:szCs w:val="21"/>
          <w:highlight w:val="none"/>
        </w:rPr>
        <w:t>加盖单位公章</w:t>
      </w:r>
      <w:r>
        <w:rPr>
          <w:color w:val="auto"/>
          <w:spacing w:val="-2"/>
          <w:szCs w:val="21"/>
          <w:highlight w:val="none"/>
        </w:rPr>
        <w:t>）</w:t>
      </w:r>
    </w:p>
    <w:p>
      <w:pPr>
        <w:pStyle w:val="12"/>
        <w:kinsoku w:val="0"/>
        <w:overflowPunct w:val="0"/>
        <w:spacing w:before="0" w:line="271" w:lineRule="auto"/>
        <w:rPr>
          <w:rFonts w:hint="default"/>
          <w:color w:val="auto"/>
          <w:spacing w:val="-2"/>
          <w:szCs w:val="21"/>
          <w:highlight w:val="none"/>
        </w:rPr>
      </w:pPr>
      <w:r>
        <w:rPr>
          <w:color w:val="auto"/>
          <w:spacing w:val="-2"/>
          <w:szCs w:val="21"/>
          <w:highlight w:val="none"/>
        </w:rPr>
        <w:t>（</w:t>
      </w:r>
      <w:r>
        <w:rPr>
          <w:rFonts w:hint="eastAsia"/>
          <w:color w:val="auto"/>
          <w:spacing w:val="-2"/>
          <w:szCs w:val="21"/>
          <w:highlight w:val="none"/>
          <w:lang w:val="en-US" w:eastAsia="zh-CN"/>
        </w:rPr>
        <w:t>3</w:t>
      </w:r>
      <w:r>
        <w:rPr>
          <w:color w:val="auto"/>
          <w:spacing w:val="-2"/>
          <w:szCs w:val="21"/>
          <w:highlight w:val="none"/>
        </w:rPr>
        <w:t>）拟投入本项目主要团队成员情况表（</w:t>
      </w:r>
      <w:r>
        <w:rPr>
          <w:color w:val="auto"/>
          <w:szCs w:val="21"/>
          <w:highlight w:val="none"/>
        </w:rPr>
        <w:t>加盖单位公章</w:t>
      </w:r>
      <w:r>
        <w:rPr>
          <w:color w:val="auto"/>
          <w:spacing w:val="-2"/>
          <w:szCs w:val="21"/>
          <w:highlight w:val="none"/>
        </w:rPr>
        <w:t>）</w:t>
      </w:r>
    </w:p>
    <w:p>
      <w:pPr>
        <w:pStyle w:val="12"/>
        <w:kinsoku w:val="0"/>
        <w:overflowPunct w:val="0"/>
        <w:spacing w:before="0" w:line="271" w:lineRule="auto"/>
        <w:ind w:left="0" w:firstLine="412" w:firstLineChars="200"/>
        <w:rPr>
          <w:rFonts w:hint="default" w:cs="宋体"/>
          <w:color w:val="auto"/>
          <w:szCs w:val="21"/>
          <w:highlight w:val="none"/>
        </w:rPr>
      </w:pPr>
      <w:r>
        <w:rPr>
          <w:color w:val="auto"/>
          <w:spacing w:val="-2"/>
          <w:szCs w:val="21"/>
          <w:highlight w:val="none"/>
        </w:rPr>
        <w:t>11.3.2项目服务方案</w:t>
      </w:r>
      <w:r>
        <w:rPr>
          <w:rFonts w:cs="宋体"/>
          <w:color w:val="auto"/>
          <w:szCs w:val="21"/>
          <w:highlight w:val="none"/>
        </w:rPr>
        <w:t>（由比选申请人自行编写,</w:t>
      </w:r>
      <w:r>
        <w:rPr>
          <w:color w:val="auto"/>
          <w:szCs w:val="21"/>
          <w:highlight w:val="none"/>
        </w:rPr>
        <w:t xml:space="preserve"> 加盖单位公章</w:t>
      </w:r>
      <w:r>
        <w:rPr>
          <w:rFonts w:cs="宋体"/>
          <w:color w:val="auto"/>
          <w:szCs w:val="21"/>
          <w:highlight w:val="none"/>
        </w:rPr>
        <w:t>）</w:t>
      </w:r>
    </w:p>
    <w:p>
      <w:pPr>
        <w:pStyle w:val="12"/>
        <w:kinsoku w:val="0"/>
        <w:overflowPunct w:val="0"/>
        <w:spacing w:line="272" w:lineRule="auto"/>
        <w:ind w:left="0" w:firstLine="420" w:firstLineChars="200"/>
        <w:rPr>
          <w:rFonts w:hint="default"/>
          <w:color w:val="auto"/>
          <w:highlight w:val="none"/>
        </w:rPr>
      </w:pPr>
      <w:r>
        <w:rPr>
          <w:color w:val="auto"/>
          <w:highlight w:val="none"/>
        </w:rPr>
        <w:t>11.4商务部分主要包括下列内容：</w:t>
      </w:r>
    </w:p>
    <w:p>
      <w:pPr>
        <w:pStyle w:val="12"/>
        <w:numPr>
          <w:ilvl w:val="0"/>
          <w:numId w:val="4"/>
        </w:numPr>
        <w:kinsoku w:val="0"/>
        <w:overflowPunct w:val="0"/>
        <w:spacing w:line="272" w:lineRule="auto"/>
        <w:ind w:left="100" w:firstLine="420"/>
        <w:rPr>
          <w:rFonts w:hint="default"/>
          <w:color w:val="auto"/>
          <w:highlight w:val="none"/>
        </w:rPr>
      </w:pPr>
      <w:r>
        <w:rPr>
          <w:color w:val="auto"/>
          <w:highlight w:val="none"/>
        </w:rPr>
        <w:t>报价表</w:t>
      </w:r>
    </w:p>
    <w:p>
      <w:pPr>
        <w:pStyle w:val="12"/>
        <w:kinsoku w:val="0"/>
        <w:overflowPunct w:val="0"/>
        <w:spacing w:line="272" w:lineRule="auto"/>
        <w:ind w:left="0" w:firstLine="420" w:firstLineChars="200"/>
        <w:rPr>
          <w:rFonts w:hint="default"/>
          <w:color w:val="auto"/>
          <w:highlight w:val="none"/>
        </w:rPr>
      </w:pPr>
      <w:r>
        <w:rPr>
          <w:color w:val="auto"/>
          <w:highlight w:val="none"/>
        </w:rPr>
        <w:t>11.5比选申请人需按照比选人提供的比选申请文件格式和顺序另行编制比选申请文件，但表格可以按同样格式扩展。</w:t>
      </w:r>
    </w:p>
    <w:p>
      <w:pPr>
        <w:pStyle w:val="12"/>
        <w:kinsoku w:val="0"/>
        <w:overflowPunct w:val="0"/>
        <w:spacing w:line="272" w:lineRule="auto"/>
        <w:ind w:left="0" w:firstLine="420" w:firstLineChars="200"/>
        <w:rPr>
          <w:rFonts w:hint="default"/>
          <w:color w:val="auto"/>
          <w:highlight w:val="none"/>
        </w:rPr>
      </w:pPr>
      <w:r>
        <w:rPr>
          <w:color w:val="auto"/>
          <w:highlight w:val="none"/>
        </w:rPr>
        <w:t>12.比选有效期</w:t>
      </w:r>
    </w:p>
    <w:p>
      <w:pPr>
        <w:pStyle w:val="12"/>
        <w:kinsoku w:val="0"/>
        <w:overflowPunct w:val="0"/>
        <w:spacing w:line="272" w:lineRule="auto"/>
        <w:ind w:left="0" w:firstLine="420" w:firstLineChars="200"/>
        <w:rPr>
          <w:rFonts w:hint="default"/>
          <w:color w:val="auto"/>
          <w:highlight w:val="none"/>
        </w:rPr>
      </w:pPr>
      <w:r>
        <w:rPr>
          <w:color w:val="auto"/>
          <w:highlight w:val="none"/>
        </w:rPr>
        <w:t>12.1比选申请文件在前附表第14条规定的递交比选申请文件日期之后的90天内有效。</w:t>
      </w:r>
    </w:p>
    <w:p>
      <w:pPr>
        <w:pStyle w:val="12"/>
        <w:kinsoku w:val="0"/>
        <w:overflowPunct w:val="0"/>
        <w:spacing w:line="272" w:lineRule="auto"/>
        <w:ind w:left="0" w:firstLine="420" w:firstLineChars="200"/>
        <w:rPr>
          <w:rFonts w:hint="default"/>
          <w:color w:val="auto"/>
          <w:highlight w:val="none"/>
        </w:rPr>
      </w:pPr>
      <w:r>
        <w:rPr>
          <w:color w:val="auto"/>
          <w:highlight w:val="none"/>
        </w:rPr>
        <w:t>13.比选答疑</w:t>
      </w:r>
    </w:p>
    <w:p>
      <w:pPr>
        <w:pStyle w:val="12"/>
        <w:kinsoku w:val="0"/>
        <w:overflowPunct w:val="0"/>
        <w:spacing w:line="272" w:lineRule="auto"/>
        <w:ind w:left="101" w:leftChars="42" w:firstLine="315" w:firstLineChars="150"/>
        <w:rPr>
          <w:rFonts w:hint="default"/>
          <w:color w:val="auto"/>
          <w:highlight w:val="none"/>
        </w:rPr>
      </w:pPr>
      <w:r>
        <w:rPr>
          <w:color w:val="auto"/>
          <w:highlight w:val="none"/>
        </w:rPr>
        <w:t>13.1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pStyle w:val="12"/>
        <w:kinsoku w:val="0"/>
        <w:overflowPunct w:val="0"/>
        <w:spacing w:line="272" w:lineRule="auto"/>
        <w:ind w:left="101" w:leftChars="42" w:firstLine="420" w:firstLineChars="200"/>
        <w:rPr>
          <w:rFonts w:hint="default"/>
          <w:color w:val="auto"/>
          <w:highlight w:val="none"/>
        </w:rPr>
      </w:pPr>
      <w:r>
        <w:rPr>
          <w:color w:val="auto"/>
          <w:highlight w:val="none"/>
        </w:rPr>
        <w:t>13.2比选补遗文件包括所有问题和答复，比选人将于递交文件截止时间2天前以书面形式,在比选人官网发布，予以答复。</w:t>
      </w:r>
    </w:p>
    <w:p>
      <w:pPr>
        <w:pStyle w:val="12"/>
        <w:kinsoku w:val="0"/>
        <w:overflowPunct w:val="0"/>
        <w:spacing w:line="272" w:lineRule="auto"/>
        <w:ind w:left="100" w:firstLine="420"/>
        <w:rPr>
          <w:rFonts w:hint="default"/>
          <w:color w:val="auto"/>
          <w:highlight w:val="none"/>
        </w:rPr>
      </w:pPr>
      <w:r>
        <w:rPr>
          <w:color w:val="auto"/>
          <w:highlight w:val="none"/>
        </w:rPr>
        <w:t>14.比选申请文件的份数和签署</w:t>
      </w:r>
    </w:p>
    <w:p>
      <w:pPr>
        <w:pStyle w:val="12"/>
        <w:kinsoku w:val="0"/>
        <w:overflowPunct w:val="0"/>
        <w:spacing w:line="272" w:lineRule="auto"/>
        <w:ind w:left="100" w:firstLine="420"/>
        <w:rPr>
          <w:rFonts w:hint="default"/>
          <w:color w:val="auto"/>
          <w:highlight w:val="none"/>
        </w:rPr>
      </w:pPr>
      <w:r>
        <w:rPr>
          <w:color w:val="auto"/>
          <w:highlight w:val="none"/>
        </w:rPr>
        <w:t>14.1比选申请人按比选文件规定，编制一份比选申请文件“正本”和</w:t>
      </w:r>
      <w:r>
        <w:rPr>
          <w:rFonts w:hint="eastAsia"/>
          <w:color w:val="auto"/>
          <w:highlight w:val="none"/>
          <w:lang w:val="en-US" w:eastAsia="zh-CN"/>
        </w:rPr>
        <w:t>四</w:t>
      </w:r>
      <w:r>
        <w:rPr>
          <w:color w:val="auto"/>
          <w:highlight w:val="none"/>
        </w:rPr>
        <w:t>份比选申请文件“副本”，并标明“比选申请文件正本”和“比选申请文件副本”。比选申请文件正本和副本如有不一致之处，以正本为准。</w:t>
      </w:r>
    </w:p>
    <w:p>
      <w:pPr>
        <w:pStyle w:val="12"/>
        <w:kinsoku w:val="0"/>
        <w:overflowPunct w:val="0"/>
        <w:spacing w:line="272" w:lineRule="auto"/>
        <w:ind w:left="100" w:firstLine="420"/>
        <w:rPr>
          <w:rFonts w:hint="default"/>
          <w:color w:val="auto"/>
          <w:highlight w:val="none"/>
        </w:rPr>
      </w:pPr>
      <w:r>
        <w:rPr>
          <w:color w:val="auto"/>
          <w:highlight w:val="none"/>
        </w:rPr>
        <w:t>14.2比选申请文件正本与副本均应使用不能擦去的黑色墨水打印或书写，装订成册，由比选申请人负责人或授权委托代理人亲自签署或加盖印鉴，并加盖比选申请人单位公章。</w:t>
      </w:r>
    </w:p>
    <w:p>
      <w:pPr>
        <w:pStyle w:val="12"/>
        <w:kinsoku w:val="0"/>
        <w:overflowPunct w:val="0"/>
        <w:spacing w:line="272" w:lineRule="auto"/>
        <w:ind w:left="100" w:firstLine="420"/>
        <w:rPr>
          <w:rFonts w:hint="default"/>
          <w:color w:val="auto"/>
          <w:highlight w:val="none"/>
        </w:rPr>
      </w:pPr>
      <w:r>
        <w:rPr>
          <w:color w:val="auto"/>
          <w:highlight w:val="none"/>
        </w:rPr>
        <w:t>14.3全套比选申请文件应无涂改和行间插字，除非这些删改是根据比选人指示进行的；或者是比选申请人造成的必须修改的错误，但修改处应由比选申请文件签字人签字证明，否则修改无效。</w:t>
      </w:r>
    </w:p>
    <w:p>
      <w:pPr>
        <w:pStyle w:val="12"/>
        <w:kinsoku w:val="0"/>
        <w:overflowPunct w:val="0"/>
        <w:spacing w:line="272" w:lineRule="auto"/>
        <w:ind w:left="100" w:firstLine="420"/>
        <w:rPr>
          <w:rFonts w:hint="default"/>
          <w:color w:val="auto"/>
          <w:highlight w:val="none"/>
        </w:rPr>
      </w:pPr>
    </w:p>
    <w:p>
      <w:pPr>
        <w:pStyle w:val="12"/>
        <w:kinsoku w:val="0"/>
        <w:overflowPunct w:val="0"/>
        <w:spacing w:before="0"/>
        <w:ind w:left="682" w:right="869"/>
        <w:jc w:val="center"/>
        <w:rPr>
          <w:rFonts w:hint="default"/>
          <w:b/>
          <w:color w:val="auto"/>
          <w:highlight w:val="none"/>
        </w:rPr>
      </w:pPr>
      <w:r>
        <w:rPr>
          <w:b/>
          <w:color w:val="auto"/>
          <w:highlight w:val="none"/>
        </w:rPr>
        <w:t>五、比选申请文件的递交</w:t>
      </w:r>
    </w:p>
    <w:p>
      <w:pPr>
        <w:pStyle w:val="12"/>
        <w:kinsoku w:val="0"/>
        <w:overflowPunct w:val="0"/>
        <w:spacing w:before="0"/>
        <w:ind w:left="0"/>
        <w:rPr>
          <w:rFonts w:hint="default"/>
          <w:color w:val="auto"/>
          <w:sz w:val="20"/>
          <w:highlight w:val="none"/>
        </w:rPr>
      </w:pPr>
    </w:p>
    <w:p>
      <w:pPr>
        <w:pStyle w:val="12"/>
        <w:kinsoku w:val="0"/>
        <w:overflowPunct w:val="0"/>
        <w:spacing w:line="272" w:lineRule="auto"/>
        <w:ind w:left="100" w:firstLine="420"/>
        <w:rPr>
          <w:rFonts w:hint="default"/>
          <w:color w:val="auto"/>
          <w:highlight w:val="none"/>
        </w:rPr>
      </w:pPr>
      <w:r>
        <w:rPr>
          <w:color w:val="auto"/>
          <w:highlight w:val="none"/>
        </w:rPr>
        <w:t>15.比选申请文件的密封与标志</w:t>
      </w:r>
    </w:p>
    <w:p>
      <w:pPr>
        <w:pStyle w:val="12"/>
        <w:kinsoku w:val="0"/>
        <w:overflowPunct w:val="0"/>
        <w:spacing w:line="272" w:lineRule="auto"/>
        <w:ind w:left="100" w:firstLine="420"/>
        <w:rPr>
          <w:rFonts w:hint="default"/>
          <w:color w:val="auto"/>
          <w:highlight w:val="none"/>
        </w:rPr>
      </w:pPr>
      <w:r>
        <w:rPr>
          <w:color w:val="auto"/>
          <w:highlight w:val="none"/>
        </w:rPr>
        <w:t>15.1比选申请文件装订要求：比选申请文件中资格审查部分、技术部分、商务部分分开装订。</w:t>
      </w:r>
    </w:p>
    <w:p>
      <w:pPr>
        <w:pStyle w:val="12"/>
        <w:kinsoku w:val="0"/>
        <w:overflowPunct w:val="0"/>
        <w:spacing w:line="272" w:lineRule="auto"/>
        <w:ind w:left="100" w:firstLine="420"/>
        <w:rPr>
          <w:rFonts w:hint="default"/>
          <w:color w:val="auto"/>
          <w:highlight w:val="none"/>
        </w:rPr>
      </w:pPr>
      <w:r>
        <w:rPr>
          <w:color w:val="auto"/>
          <w:highlight w:val="none"/>
        </w:rPr>
        <w:t>15.2比选申请文件的资格审查部分、技术部分、商务部分分别密封在三个比选文件密封袋中。</w:t>
      </w:r>
    </w:p>
    <w:p>
      <w:pPr>
        <w:pStyle w:val="12"/>
        <w:kinsoku w:val="0"/>
        <w:overflowPunct w:val="0"/>
        <w:spacing w:line="272" w:lineRule="auto"/>
        <w:ind w:left="100" w:firstLine="420"/>
        <w:rPr>
          <w:rFonts w:hint="default"/>
          <w:color w:val="auto"/>
          <w:highlight w:val="none"/>
        </w:rPr>
      </w:pPr>
      <w:r>
        <w:rPr>
          <w:color w:val="auto"/>
          <w:highlight w:val="none"/>
        </w:rPr>
        <w:t>15.3密封袋封口处都应加盖比选申请人公章或粘贴加盖公章的密封条，若密封袋没有加盖公章或破损严重，有可能导致比选人的拒收。</w:t>
      </w:r>
    </w:p>
    <w:p>
      <w:pPr>
        <w:pStyle w:val="12"/>
        <w:kinsoku w:val="0"/>
        <w:overflowPunct w:val="0"/>
        <w:spacing w:line="272" w:lineRule="auto"/>
        <w:ind w:left="100" w:firstLine="420"/>
        <w:rPr>
          <w:rFonts w:hint="default"/>
          <w:color w:val="auto"/>
          <w:highlight w:val="none"/>
        </w:rPr>
      </w:pPr>
      <w:r>
        <w:rPr>
          <w:color w:val="auto"/>
          <w:highlight w:val="none"/>
        </w:rPr>
        <w:t>15.4比选申请文件</w:t>
      </w:r>
      <w:r>
        <w:rPr>
          <w:rFonts w:hint="eastAsia"/>
          <w:color w:val="auto"/>
          <w:highlight w:val="none"/>
          <w:lang w:val="en-US" w:eastAsia="zh-CN"/>
        </w:rPr>
        <w:t>现场递交</w:t>
      </w:r>
      <w:r>
        <w:rPr>
          <w:color w:val="auto"/>
          <w:highlight w:val="none"/>
        </w:rPr>
        <w:t>至前附表第13项所述的单位和地址。</w:t>
      </w:r>
    </w:p>
    <w:p>
      <w:pPr>
        <w:pStyle w:val="12"/>
        <w:kinsoku w:val="0"/>
        <w:overflowPunct w:val="0"/>
        <w:spacing w:line="272" w:lineRule="auto"/>
        <w:ind w:left="100" w:firstLine="420"/>
        <w:rPr>
          <w:rFonts w:hint="default"/>
          <w:color w:val="auto"/>
          <w:highlight w:val="none"/>
        </w:rPr>
      </w:pPr>
      <w:r>
        <w:rPr>
          <w:color w:val="auto"/>
          <w:highlight w:val="none"/>
        </w:rPr>
        <w:t>15.5比选申请文件在运输过程中发生的破损、延误等不可预见的事件，一切责任比选申请人承担，比选人不承担任何责任。</w:t>
      </w:r>
    </w:p>
    <w:p>
      <w:pPr>
        <w:pStyle w:val="12"/>
        <w:kinsoku w:val="0"/>
        <w:overflowPunct w:val="0"/>
        <w:spacing w:line="272" w:lineRule="auto"/>
        <w:ind w:left="100" w:firstLine="420"/>
        <w:rPr>
          <w:rFonts w:hint="default"/>
          <w:color w:val="auto"/>
          <w:highlight w:val="none"/>
        </w:rPr>
      </w:pPr>
      <w:r>
        <w:rPr>
          <w:color w:val="auto"/>
          <w:highlight w:val="none"/>
        </w:rPr>
        <w:t>16.递交比选文件截止期</w:t>
      </w:r>
    </w:p>
    <w:p>
      <w:pPr>
        <w:pStyle w:val="12"/>
        <w:kinsoku w:val="0"/>
        <w:overflowPunct w:val="0"/>
        <w:spacing w:line="272" w:lineRule="auto"/>
        <w:ind w:left="100" w:firstLine="420"/>
        <w:rPr>
          <w:rFonts w:hint="default"/>
          <w:color w:val="auto"/>
          <w:highlight w:val="none"/>
        </w:rPr>
      </w:pPr>
      <w:r>
        <w:rPr>
          <w:color w:val="auto"/>
          <w:highlight w:val="none"/>
        </w:rPr>
        <w:t>16.1比选申请人应在前附表第14项所述规定的时间，将比选申请文件</w:t>
      </w:r>
      <w:r>
        <w:rPr>
          <w:rFonts w:hint="eastAsia"/>
          <w:color w:val="auto"/>
          <w:highlight w:val="none"/>
          <w:lang w:val="en-US" w:eastAsia="zh-CN"/>
        </w:rPr>
        <w:t>现场递交</w:t>
      </w:r>
      <w:r>
        <w:rPr>
          <w:color w:val="auto"/>
          <w:highlight w:val="none"/>
        </w:rPr>
        <w:t>至前附表第13项所述的单位和地址。</w:t>
      </w:r>
    </w:p>
    <w:p>
      <w:pPr>
        <w:pStyle w:val="12"/>
        <w:kinsoku w:val="0"/>
        <w:overflowPunct w:val="0"/>
        <w:spacing w:before="1"/>
        <w:ind w:left="0"/>
        <w:rPr>
          <w:rFonts w:hint="default"/>
          <w:b/>
          <w:color w:val="auto"/>
          <w:sz w:val="29"/>
          <w:highlight w:val="none"/>
        </w:rPr>
      </w:pPr>
    </w:p>
    <w:p>
      <w:pPr>
        <w:pStyle w:val="12"/>
        <w:kinsoku w:val="0"/>
        <w:overflowPunct w:val="0"/>
        <w:spacing w:before="0"/>
        <w:ind w:left="682" w:right="872"/>
        <w:jc w:val="center"/>
        <w:rPr>
          <w:rFonts w:hint="default"/>
          <w:b/>
          <w:color w:val="auto"/>
          <w:highlight w:val="none"/>
        </w:rPr>
      </w:pPr>
      <w:r>
        <w:rPr>
          <w:b/>
          <w:color w:val="auto"/>
          <w:highlight w:val="none"/>
        </w:rPr>
        <w:t>六、评比</w:t>
      </w:r>
    </w:p>
    <w:p>
      <w:pPr>
        <w:pStyle w:val="12"/>
        <w:kinsoku w:val="0"/>
        <w:overflowPunct w:val="0"/>
        <w:spacing w:before="0"/>
        <w:ind w:left="0"/>
        <w:rPr>
          <w:rFonts w:hint="default"/>
          <w:color w:val="auto"/>
          <w:sz w:val="20"/>
          <w:highlight w:val="none"/>
        </w:rPr>
      </w:pPr>
    </w:p>
    <w:p>
      <w:pPr>
        <w:pStyle w:val="12"/>
        <w:kinsoku w:val="0"/>
        <w:overflowPunct w:val="0"/>
        <w:spacing w:line="272" w:lineRule="auto"/>
        <w:ind w:left="100" w:firstLine="420"/>
        <w:rPr>
          <w:rFonts w:hint="default"/>
          <w:color w:val="auto"/>
          <w:highlight w:val="none"/>
        </w:rPr>
      </w:pPr>
      <w:r>
        <w:rPr>
          <w:color w:val="auto"/>
          <w:highlight w:val="none"/>
        </w:rPr>
        <w:t>17.评比委员会</w:t>
      </w:r>
    </w:p>
    <w:p>
      <w:pPr>
        <w:pStyle w:val="12"/>
        <w:kinsoku w:val="0"/>
        <w:overflowPunct w:val="0"/>
        <w:spacing w:line="272" w:lineRule="auto"/>
        <w:ind w:left="100" w:firstLine="420"/>
        <w:rPr>
          <w:rFonts w:hint="default"/>
          <w:color w:val="auto"/>
          <w:highlight w:val="none"/>
        </w:rPr>
      </w:pPr>
      <w:r>
        <w:rPr>
          <w:color w:val="auto"/>
          <w:highlight w:val="none"/>
        </w:rPr>
        <w:t>17.1本项目的评比委员会由经济、技术专家组成。</w:t>
      </w:r>
    </w:p>
    <w:p>
      <w:pPr>
        <w:pStyle w:val="12"/>
        <w:kinsoku w:val="0"/>
        <w:overflowPunct w:val="0"/>
        <w:spacing w:line="272" w:lineRule="auto"/>
        <w:ind w:left="100" w:firstLine="420"/>
        <w:rPr>
          <w:rFonts w:hint="default"/>
          <w:color w:val="auto"/>
          <w:highlight w:val="none"/>
        </w:rPr>
      </w:pPr>
      <w:r>
        <w:rPr>
          <w:color w:val="auto"/>
          <w:highlight w:val="none"/>
        </w:rPr>
        <w:t>17.2评比委员会成员独立、客观、公正地履行职责，遵守职业道德，对所提出的评比意见承担个人责任；评比委员会成员应对整个评比活动保密。</w:t>
      </w:r>
    </w:p>
    <w:p>
      <w:pPr>
        <w:pStyle w:val="12"/>
        <w:kinsoku w:val="0"/>
        <w:overflowPunct w:val="0"/>
        <w:spacing w:line="272" w:lineRule="auto"/>
        <w:ind w:left="100" w:firstLine="420"/>
        <w:rPr>
          <w:rFonts w:hint="default"/>
          <w:color w:val="auto"/>
          <w:highlight w:val="none"/>
        </w:rPr>
      </w:pPr>
      <w:r>
        <w:rPr>
          <w:color w:val="auto"/>
          <w:highlight w:val="none"/>
        </w:rPr>
        <w:t>17.3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pStyle w:val="12"/>
        <w:kinsoku w:val="0"/>
        <w:overflowPunct w:val="0"/>
        <w:spacing w:line="272" w:lineRule="auto"/>
        <w:ind w:left="100" w:firstLine="420"/>
        <w:rPr>
          <w:rFonts w:hint="default"/>
          <w:color w:val="auto"/>
          <w:highlight w:val="none"/>
        </w:rPr>
      </w:pPr>
      <w:r>
        <w:rPr>
          <w:color w:val="auto"/>
          <w:highlight w:val="none"/>
        </w:rPr>
        <w:t>17.4严禁任何单位或个人以任何形式操纵、干预评比过程和评比结果。</w:t>
      </w:r>
    </w:p>
    <w:p>
      <w:pPr>
        <w:pStyle w:val="12"/>
        <w:kinsoku w:val="0"/>
        <w:overflowPunct w:val="0"/>
        <w:spacing w:line="272" w:lineRule="auto"/>
        <w:ind w:left="100" w:firstLine="420"/>
        <w:rPr>
          <w:rFonts w:hint="default"/>
          <w:color w:val="auto"/>
          <w:highlight w:val="none"/>
        </w:rPr>
      </w:pPr>
      <w:r>
        <w:rPr>
          <w:color w:val="auto"/>
          <w:highlight w:val="none"/>
        </w:rPr>
        <w:t>18.评比会议程序：</w:t>
      </w:r>
    </w:p>
    <w:p>
      <w:pPr>
        <w:pStyle w:val="12"/>
        <w:kinsoku w:val="0"/>
        <w:overflowPunct w:val="0"/>
        <w:spacing w:line="272" w:lineRule="auto"/>
        <w:ind w:left="100" w:firstLine="420"/>
        <w:rPr>
          <w:rFonts w:hint="default"/>
          <w:color w:val="auto"/>
          <w:highlight w:val="none"/>
        </w:rPr>
      </w:pPr>
      <w:r>
        <w:rPr>
          <w:color w:val="auto"/>
          <w:highlight w:val="none"/>
        </w:rPr>
        <w:t>18.1比选人纪检监察室人员宣读评标纪律。</w:t>
      </w:r>
    </w:p>
    <w:p>
      <w:pPr>
        <w:pStyle w:val="12"/>
        <w:kinsoku w:val="0"/>
        <w:overflowPunct w:val="0"/>
        <w:spacing w:line="272" w:lineRule="auto"/>
        <w:ind w:left="100" w:firstLine="420"/>
        <w:rPr>
          <w:rFonts w:hint="default"/>
          <w:color w:val="auto"/>
          <w:highlight w:val="none"/>
        </w:rPr>
      </w:pPr>
      <w:r>
        <w:rPr>
          <w:color w:val="auto"/>
          <w:highlight w:val="none"/>
        </w:rPr>
        <w:t>18.</w:t>
      </w:r>
      <w:r>
        <w:rPr>
          <w:rFonts w:hint="eastAsia"/>
          <w:color w:val="auto"/>
          <w:highlight w:val="none"/>
          <w:lang w:val="en-US" w:eastAsia="zh-CN"/>
        </w:rPr>
        <w:t>2</w:t>
      </w:r>
      <w:r>
        <w:rPr>
          <w:color w:val="auto"/>
          <w:highlight w:val="none"/>
        </w:rPr>
        <w:t>由主持人宣布评比会议开始，评比委员会确认文件是否密封。</w:t>
      </w:r>
    </w:p>
    <w:p>
      <w:pPr>
        <w:pStyle w:val="12"/>
        <w:kinsoku w:val="0"/>
        <w:overflowPunct w:val="0"/>
        <w:spacing w:line="272" w:lineRule="auto"/>
        <w:ind w:left="100" w:firstLine="420"/>
        <w:rPr>
          <w:rFonts w:hint="default"/>
          <w:color w:val="auto"/>
          <w:highlight w:val="none"/>
        </w:rPr>
      </w:pPr>
      <w:r>
        <w:rPr>
          <w:color w:val="auto"/>
          <w:highlight w:val="none"/>
        </w:rPr>
        <w:t>18.</w:t>
      </w:r>
      <w:r>
        <w:rPr>
          <w:rFonts w:hint="eastAsia"/>
          <w:color w:val="auto"/>
          <w:highlight w:val="none"/>
          <w:lang w:val="en-US" w:eastAsia="zh-CN"/>
        </w:rPr>
        <w:t>3</w:t>
      </w:r>
      <w:r>
        <w:rPr>
          <w:color w:val="auto"/>
          <w:highlight w:val="none"/>
        </w:rPr>
        <w:t>评比委员会启封比选申请文件的资格审查部分，并进行评审。</w:t>
      </w:r>
    </w:p>
    <w:p>
      <w:pPr>
        <w:pStyle w:val="12"/>
        <w:kinsoku w:val="0"/>
        <w:overflowPunct w:val="0"/>
        <w:spacing w:line="272" w:lineRule="auto"/>
        <w:ind w:left="100" w:firstLine="420"/>
        <w:rPr>
          <w:rFonts w:hint="default"/>
          <w:color w:val="auto"/>
          <w:highlight w:val="none"/>
        </w:rPr>
      </w:pPr>
      <w:r>
        <w:rPr>
          <w:color w:val="auto"/>
          <w:spacing w:val="-4"/>
          <w:highlight w:val="none"/>
        </w:rPr>
        <w:t>18.</w:t>
      </w:r>
      <w:r>
        <w:rPr>
          <w:rFonts w:hint="eastAsia"/>
          <w:color w:val="auto"/>
          <w:spacing w:val="-4"/>
          <w:highlight w:val="none"/>
          <w:lang w:val="en-US" w:eastAsia="zh-CN"/>
        </w:rPr>
        <w:t>4</w:t>
      </w:r>
      <w:r>
        <w:rPr>
          <w:color w:val="auto"/>
          <w:spacing w:val="-4"/>
          <w:highlight w:val="none"/>
        </w:rPr>
        <w:t>由主持人当众宣布审查结果，并宣读有效的比选申请人名称以及比选人认为需要的其他内容</w:t>
      </w:r>
      <w:r>
        <w:rPr>
          <w:color w:val="auto"/>
          <w:highlight w:val="none"/>
        </w:rPr>
        <w:t>，同时由比选人委派一名代表进行现场抽号，抽出的抽签编号顺序即为比选申请人评审顺序。</w:t>
      </w:r>
    </w:p>
    <w:p>
      <w:pPr>
        <w:pStyle w:val="12"/>
        <w:kinsoku w:val="0"/>
        <w:overflowPunct w:val="0"/>
        <w:spacing w:line="272" w:lineRule="auto"/>
        <w:ind w:left="100" w:firstLine="420"/>
        <w:rPr>
          <w:rFonts w:hint="default"/>
          <w:color w:val="auto"/>
          <w:highlight w:val="none"/>
        </w:rPr>
      </w:pPr>
      <w:r>
        <w:rPr>
          <w:color w:val="auto"/>
          <w:highlight w:val="none"/>
        </w:rPr>
        <w:t>18.</w:t>
      </w:r>
      <w:r>
        <w:rPr>
          <w:rFonts w:hint="eastAsia"/>
          <w:color w:val="auto"/>
          <w:highlight w:val="none"/>
          <w:lang w:val="en-US" w:eastAsia="zh-CN"/>
        </w:rPr>
        <w:t>5</w:t>
      </w:r>
      <w:r>
        <w:rPr>
          <w:color w:val="auto"/>
          <w:highlight w:val="none"/>
        </w:rPr>
        <w:t>评比委员会启封通过资格审查的比选申请文件的技术部分，并进行评审。</w:t>
      </w:r>
    </w:p>
    <w:p>
      <w:pPr>
        <w:pStyle w:val="12"/>
        <w:kinsoku w:val="0"/>
        <w:overflowPunct w:val="0"/>
        <w:spacing w:line="272" w:lineRule="auto"/>
        <w:ind w:left="100" w:firstLine="420"/>
        <w:rPr>
          <w:rFonts w:hint="default"/>
          <w:color w:val="auto"/>
          <w:highlight w:val="none"/>
        </w:rPr>
      </w:pPr>
      <w:r>
        <w:rPr>
          <w:color w:val="auto"/>
          <w:highlight w:val="none"/>
        </w:rPr>
        <w:t>18.</w:t>
      </w:r>
      <w:r>
        <w:rPr>
          <w:rFonts w:hint="eastAsia"/>
          <w:color w:val="auto"/>
          <w:highlight w:val="none"/>
          <w:lang w:val="en-US" w:eastAsia="zh-CN"/>
        </w:rPr>
        <w:t>6</w:t>
      </w:r>
      <w:r>
        <w:rPr>
          <w:color w:val="auto"/>
          <w:highlight w:val="none"/>
        </w:rPr>
        <w:t>评比委员会启封通过资格审查的比选申请文件的商务部分，并进行评审。</w:t>
      </w:r>
    </w:p>
    <w:p>
      <w:pPr>
        <w:pStyle w:val="12"/>
        <w:kinsoku w:val="0"/>
        <w:overflowPunct w:val="0"/>
        <w:spacing w:line="272" w:lineRule="auto"/>
        <w:ind w:left="0" w:firstLine="525" w:firstLineChars="250"/>
        <w:rPr>
          <w:rFonts w:hint="default"/>
          <w:color w:val="auto"/>
          <w:highlight w:val="none"/>
        </w:rPr>
      </w:pPr>
      <w:r>
        <w:rPr>
          <w:color w:val="auto"/>
          <w:highlight w:val="none"/>
        </w:rPr>
        <w:t>18.</w:t>
      </w:r>
      <w:r>
        <w:rPr>
          <w:rFonts w:hint="eastAsia"/>
          <w:color w:val="auto"/>
          <w:highlight w:val="none"/>
          <w:lang w:val="en-US" w:eastAsia="zh-CN"/>
        </w:rPr>
        <w:t>7</w:t>
      </w:r>
      <w:r>
        <w:rPr>
          <w:color w:val="auto"/>
          <w:highlight w:val="none"/>
        </w:rPr>
        <w:t>在评比过程中，评比委员、记录人等有关人员在比选记录表上签字确认，主持人宣读比选结果。</w:t>
      </w:r>
    </w:p>
    <w:p>
      <w:pPr>
        <w:pStyle w:val="12"/>
        <w:kinsoku w:val="0"/>
        <w:overflowPunct w:val="0"/>
        <w:spacing w:line="272" w:lineRule="auto"/>
        <w:ind w:left="100" w:firstLine="420"/>
        <w:rPr>
          <w:rFonts w:hint="default"/>
          <w:color w:val="auto"/>
          <w:highlight w:val="none"/>
        </w:rPr>
      </w:pPr>
      <w:r>
        <w:rPr>
          <w:color w:val="auto"/>
          <w:highlight w:val="none"/>
        </w:rPr>
        <w:t>18.</w:t>
      </w:r>
      <w:r>
        <w:rPr>
          <w:rFonts w:hint="eastAsia"/>
          <w:color w:val="auto"/>
          <w:highlight w:val="none"/>
          <w:lang w:val="en-US" w:eastAsia="zh-CN"/>
        </w:rPr>
        <w:t>8</w:t>
      </w:r>
      <w:r>
        <w:rPr>
          <w:color w:val="auto"/>
          <w:highlight w:val="none"/>
        </w:rPr>
        <w:t>评比结束</w:t>
      </w:r>
    </w:p>
    <w:p>
      <w:pPr>
        <w:pStyle w:val="12"/>
        <w:kinsoku w:val="0"/>
        <w:overflowPunct w:val="0"/>
        <w:spacing w:line="272" w:lineRule="auto"/>
        <w:ind w:left="100" w:firstLine="420"/>
        <w:rPr>
          <w:rFonts w:hint="default"/>
          <w:color w:val="auto"/>
          <w:highlight w:val="none"/>
        </w:rPr>
      </w:pPr>
      <w:r>
        <w:rPr>
          <w:color w:val="auto"/>
          <w:highlight w:val="none"/>
        </w:rPr>
        <w:t>19.评比工作相关要求</w:t>
      </w:r>
    </w:p>
    <w:p>
      <w:pPr>
        <w:pStyle w:val="12"/>
        <w:kinsoku w:val="0"/>
        <w:overflowPunct w:val="0"/>
        <w:spacing w:line="272" w:lineRule="auto"/>
        <w:ind w:left="100" w:firstLine="420"/>
        <w:rPr>
          <w:rFonts w:hint="default"/>
          <w:color w:val="auto"/>
          <w:highlight w:val="none"/>
        </w:rPr>
      </w:pPr>
      <w:r>
        <w:rPr>
          <w:color w:val="auto"/>
          <w:highlight w:val="none"/>
        </w:rPr>
        <w:t>19.1本次比选的工作由评比委员会负责。</w:t>
      </w:r>
    </w:p>
    <w:p>
      <w:pPr>
        <w:pStyle w:val="12"/>
        <w:kinsoku w:val="0"/>
        <w:overflowPunct w:val="0"/>
        <w:spacing w:line="272" w:lineRule="auto"/>
        <w:ind w:left="100" w:firstLine="420"/>
        <w:rPr>
          <w:rFonts w:hint="eastAsia"/>
          <w:color w:val="auto"/>
          <w:highlight w:val="none"/>
        </w:rPr>
      </w:pPr>
      <w:r>
        <w:rPr>
          <w:color w:val="auto"/>
          <w:highlight w:val="none"/>
        </w:rPr>
        <w:t>19.2</w:t>
      </w:r>
      <w:r>
        <w:rPr>
          <w:rFonts w:hint="eastAsia"/>
          <w:color w:val="auto"/>
          <w:highlight w:val="none"/>
        </w:rPr>
        <w:t xml:space="preserve">出现下列特殊情况之一，本次比选无效，本公司将重新组织比选： </w:t>
      </w:r>
    </w:p>
    <w:p>
      <w:pPr>
        <w:pStyle w:val="12"/>
        <w:kinsoku w:val="0"/>
        <w:overflowPunct w:val="0"/>
        <w:spacing w:line="272" w:lineRule="auto"/>
        <w:ind w:left="100" w:firstLine="420"/>
        <w:rPr>
          <w:rFonts w:hint="eastAsia"/>
          <w:color w:val="auto"/>
          <w:highlight w:val="none"/>
        </w:rPr>
      </w:pPr>
      <w:r>
        <w:rPr>
          <w:rFonts w:hint="eastAsia"/>
          <w:color w:val="auto"/>
          <w:highlight w:val="none"/>
          <w:lang w:val="en-US" w:eastAsia="zh-CN"/>
        </w:rPr>
        <w:t>19.2.1</w:t>
      </w:r>
      <w:r>
        <w:rPr>
          <w:rFonts w:hint="eastAsia"/>
          <w:color w:val="auto"/>
          <w:highlight w:val="none"/>
        </w:rPr>
        <w:t>在比选申请文件递交截止时间到达时提交比选申请文件的比选申请人少于3家的；</w:t>
      </w:r>
    </w:p>
    <w:p>
      <w:pPr>
        <w:pStyle w:val="12"/>
        <w:kinsoku w:val="0"/>
        <w:overflowPunct w:val="0"/>
        <w:spacing w:line="272" w:lineRule="auto"/>
        <w:ind w:left="100" w:firstLine="420"/>
        <w:rPr>
          <w:rFonts w:hint="eastAsia"/>
          <w:color w:val="auto"/>
          <w:highlight w:val="none"/>
        </w:rPr>
      </w:pPr>
      <w:r>
        <w:rPr>
          <w:rFonts w:hint="eastAsia"/>
          <w:color w:val="auto"/>
          <w:highlight w:val="none"/>
          <w:lang w:val="en-US" w:eastAsia="zh-CN"/>
        </w:rPr>
        <w:t>19.2.2</w:t>
      </w:r>
      <w:r>
        <w:rPr>
          <w:rFonts w:hint="eastAsia"/>
          <w:color w:val="auto"/>
          <w:highlight w:val="none"/>
        </w:rPr>
        <w:t>比选申请文件有效的比选申请人仅有2家，且评委认为没有竞争力的；</w:t>
      </w:r>
    </w:p>
    <w:p>
      <w:pPr>
        <w:pStyle w:val="12"/>
        <w:kinsoku w:val="0"/>
        <w:overflowPunct w:val="0"/>
        <w:spacing w:line="272" w:lineRule="auto"/>
        <w:ind w:left="100" w:firstLine="420"/>
        <w:rPr>
          <w:rFonts w:hint="eastAsia" w:eastAsia="宋体"/>
          <w:color w:val="auto"/>
          <w:highlight w:val="none"/>
          <w:lang w:eastAsia="zh-CN"/>
        </w:rPr>
      </w:pPr>
      <w:r>
        <w:rPr>
          <w:rFonts w:hint="eastAsia"/>
          <w:color w:val="auto"/>
          <w:highlight w:val="none"/>
          <w:lang w:val="en-US" w:eastAsia="zh-CN"/>
        </w:rPr>
        <w:t>19.2.3</w:t>
      </w:r>
      <w:r>
        <w:rPr>
          <w:rFonts w:hint="eastAsia"/>
          <w:color w:val="auto"/>
          <w:highlight w:val="none"/>
        </w:rPr>
        <w:t>有效比选申请文件只有1家或0家的</w:t>
      </w:r>
      <w:r>
        <w:rPr>
          <w:rFonts w:hint="eastAsia"/>
          <w:color w:val="auto"/>
          <w:highlight w:val="none"/>
          <w:lang w:eastAsia="zh-CN"/>
        </w:rPr>
        <w:t>。</w:t>
      </w:r>
    </w:p>
    <w:p>
      <w:pPr>
        <w:pStyle w:val="12"/>
        <w:kinsoku w:val="0"/>
        <w:overflowPunct w:val="0"/>
        <w:spacing w:line="272" w:lineRule="auto"/>
        <w:ind w:left="100" w:firstLine="420"/>
        <w:rPr>
          <w:rFonts w:hint="default"/>
          <w:color w:val="auto"/>
          <w:highlight w:val="none"/>
        </w:rPr>
      </w:pPr>
      <w:r>
        <w:rPr>
          <w:color w:val="auto"/>
          <w:highlight w:val="none"/>
        </w:rPr>
        <w:t>19.3评比过程的保密性。评比委员会成员、有关工作人员及其他知情人不得透露对比选申请文件的评比和比较、中选候选人的推荐情况以及与比选有关的其他情况。</w:t>
      </w:r>
    </w:p>
    <w:p>
      <w:pPr>
        <w:pStyle w:val="12"/>
        <w:kinsoku w:val="0"/>
        <w:overflowPunct w:val="0"/>
        <w:spacing w:line="272" w:lineRule="auto"/>
        <w:ind w:left="100" w:firstLine="420"/>
        <w:rPr>
          <w:rFonts w:hint="default"/>
          <w:color w:val="auto"/>
          <w:highlight w:val="none"/>
        </w:rPr>
      </w:pPr>
      <w:r>
        <w:rPr>
          <w:color w:val="auto"/>
          <w:highlight w:val="none"/>
        </w:rPr>
        <w:t>19.4比选申请人在评比过程中所进行的力图影响评比公正性的活动，可能导致其中选无效。</w:t>
      </w:r>
    </w:p>
    <w:p>
      <w:pPr>
        <w:pStyle w:val="12"/>
        <w:kinsoku w:val="0"/>
        <w:overflowPunct w:val="0"/>
        <w:spacing w:line="272" w:lineRule="auto"/>
        <w:ind w:left="100" w:firstLine="420"/>
        <w:rPr>
          <w:rFonts w:hint="default"/>
          <w:color w:val="auto"/>
          <w:highlight w:val="none"/>
        </w:rPr>
      </w:pPr>
      <w:r>
        <w:rPr>
          <w:color w:val="auto"/>
          <w:highlight w:val="none"/>
        </w:rPr>
        <w:t>19.5比选申请文件的澄清或说明</w:t>
      </w:r>
    </w:p>
    <w:p>
      <w:pPr>
        <w:pStyle w:val="12"/>
        <w:kinsoku w:val="0"/>
        <w:overflowPunct w:val="0"/>
        <w:spacing w:line="272" w:lineRule="auto"/>
        <w:ind w:left="100" w:firstLine="420"/>
        <w:rPr>
          <w:rFonts w:hint="default"/>
          <w:color w:val="auto"/>
          <w:highlight w:val="none"/>
        </w:rPr>
      </w:pPr>
      <w:r>
        <w:rPr>
          <w:color w:val="auto"/>
          <w:highlight w:val="none"/>
        </w:rPr>
        <w:t>19.5.1评比时评比委员会将以书面形式要求比选申请人就其比选申请文件中含义不明确、同类问题表述不一致或有明显文字错误等的内容予以澄清或说明。</w:t>
      </w:r>
    </w:p>
    <w:p>
      <w:pPr>
        <w:pStyle w:val="12"/>
        <w:kinsoku w:val="0"/>
        <w:overflowPunct w:val="0"/>
        <w:spacing w:line="272" w:lineRule="auto"/>
        <w:ind w:left="100" w:firstLine="420"/>
        <w:rPr>
          <w:rFonts w:hint="default"/>
          <w:color w:val="auto"/>
          <w:highlight w:val="none"/>
        </w:rPr>
      </w:pPr>
      <w:r>
        <w:rPr>
          <w:color w:val="auto"/>
          <w:highlight w:val="none"/>
        </w:rPr>
        <w:t>19.5.2比选申请人对要求澄清或说明的内容应在评比委员会规定的时间内以书面形式予以澄清，该澄清或说明函应有比选申请人负责人或其委托代理人的签名。</w:t>
      </w:r>
    </w:p>
    <w:p>
      <w:pPr>
        <w:pStyle w:val="12"/>
        <w:kinsoku w:val="0"/>
        <w:overflowPunct w:val="0"/>
        <w:spacing w:line="272" w:lineRule="auto"/>
        <w:ind w:left="100" w:firstLine="420"/>
        <w:rPr>
          <w:rFonts w:hint="default"/>
          <w:color w:val="auto"/>
          <w:highlight w:val="none"/>
        </w:rPr>
      </w:pPr>
      <w:r>
        <w:rPr>
          <w:color w:val="auto"/>
          <w:highlight w:val="none"/>
        </w:rPr>
        <w:t>19.5.3比选申请人的澄清或说明函作为比选申请文件的组成部分。</w:t>
      </w:r>
    </w:p>
    <w:p>
      <w:pPr>
        <w:pStyle w:val="12"/>
        <w:kinsoku w:val="0"/>
        <w:overflowPunct w:val="0"/>
        <w:spacing w:line="272" w:lineRule="auto"/>
        <w:ind w:left="100" w:firstLine="420"/>
        <w:rPr>
          <w:rFonts w:hint="default"/>
          <w:color w:val="auto"/>
          <w:highlight w:val="none"/>
        </w:rPr>
      </w:pPr>
      <w:r>
        <w:rPr>
          <w:color w:val="auto"/>
          <w:highlight w:val="none"/>
        </w:rPr>
        <w:t>19.5.4比选申请人对比选申请文件的澄清或说明不得超出比选申请文件的范围或改变投标的实质内容。</w:t>
      </w:r>
    </w:p>
    <w:p>
      <w:pPr>
        <w:pStyle w:val="12"/>
        <w:kinsoku w:val="0"/>
        <w:overflowPunct w:val="0"/>
        <w:spacing w:line="272" w:lineRule="auto"/>
        <w:ind w:left="100" w:firstLine="420"/>
        <w:rPr>
          <w:rFonts w:hint="default"/>
          <w:color w:val="auto"/>
          <w:highlight w:val="none"/>
        </w:rPr>
      </w:pPr>
      <w:r>
        <w:rPr>
          <w:color w:val="auto"/>
          <w:highlight w:val="none"/>
        </w:rPr>
        <w:t>20.比选申请文件评比相关要求</w:t>
      </w:r>
    </w:p>
    <w:p>
      <w:pPr>
        <w:pStyle w:val="12"/>
        <w:kinsoku w:val="0"/>
        <w:overflowPunct w:val="0"/>
        <w:spacing w:line="272" w:lineRule="auto"/>
        <w:ind w:left="100" w:firstLine="420"/>
        <w:rPr>
          <w:rFonts w:hint="default"/>
          <w:color w:val="auto"/>
          <w:highlight w:val="none"/>
        </w:rPr>
      </w:pPr>
      <w:r>
        <w:rPr>
          <w:color w:val="auto"/>
          <w:highlight w:val="none"/>
        </w:rPr>
        <w:t>20.1比选申请人资格审查只有通过资格审查才能进入下一步的评比，资格审查资料有任何一项不合格者其资格审查视为不通过。</w:t>
      </w:r>
    </w:p>
    <w:p>
      <w:pPr>
        <w:pStyle w:val="7"/>
        <w:kinsoku w:val="0"/>
        <w:overflowPunct w:val="0"/>
        <w:rPr>
          <w:rFonts w:hint="default"/>
          <w:b w:val="0"/>
          <w:color w:val="auto"/>
          <w:highlight w:val="none"/>
        </w:rPr>
      </w:pPr>
      <w:r>
        <w:rPr>
          <w:b w:val="0"/>
          <w:color w:val="auto"/>
          <w:highlight w:val="none"/>
        </w:rPr>
        <w:t>20.2比选申请人或其比选文件有下列情况之一者，其比选申请文件将视为无效或作废处理：</w:t>
      </w:r>
    </w:p>
    <w:p>
      <w:pPr>
        <w:pStyle w:val="12"/>
        <w:kinsoku w:val="0"/>
        <w:overflowPunct w:val="0"/>
        <w:spacing w:line="272" w:lineRule="auto"/>
        <w:ind w:left="100" w:firstLine="420"/>
        <w:rPr>
          <w:rFonts w:hint="default"/>
          <w:color w:val="auto"/>
          <w:highlight w:val="none"/>
        </w:rPr>
      </w:pPr>
      <w:r>
        <w:rPr>
          <w:color w:val="auto"/>
          <w:highlight w:val="none"/>
        </w:rPr>
        <w:t>（1）比选申请文件未按照规定的要求装订、密封和标记的；</w:t>
      </w:r>
    </w:p>
    <w:p>
      <w:pPr>
        <w:pStyle w:val="12"/>
        <w:kinsoku w:val="0"/>
        <w:overflowPunct w:val="0"/>
        <w:spacing w:line="272" w:lineRule="auto"/>
        <w:ind w:left="100" w:firstLine="420"/>
        <w:rPr>
          <w:rFonts w:hint="default"/>
          <w:color w:val="auto"/>
          <w:highlight w:val="none"/>
        </w:rPr>
      </w:pPr>
      <w:r>
        <w:rPr>
          <w:color w:val="auto"/>
          <w:highlight w:val="none"/>
        </w:rPr>
        <w:t>（2）本须知第11条规定的比选申请文件有关内容未按本须知第15条规定加盖比选申请人公章、未经比选申请人负责人或其委托代理人签</w:t>
      </w:r>
      <w:bookmarkStart w:id="13" w:name="bookmark9"/>
      <w:bookmarkEnd w:id="13"/>
      <w:bookmarkStart w:id="14" w:name="七、授予合同"/>
      <w:bookmarkEnd w:id="14"/>
      <w:r>
        <w:rPr>
          <w:color w:val="auto"/>
          <w:highlight w:val="none"/>
        </w:rPr>
        <w:t>字或盖</w:t>
      </w:r>
      <w:bookmarkStart w:id="15" w:name="第二章合同条款"/>
      <w:bookmarkEnd w:id="15"/>
      <w:r>
        <w:rPr>
          <w:color w:val="auto"/>
          <w:highlight w:val="none"/>
        </w:rPr>
        <w:t>章的；</w:t>
      </w:r>
    </w:p>
    <w:p>
      <w:pPr>
        <w:pStyle w:val="12"/>
        <w:kinsoku w:val="0"/>
        <w:overflowPunct w:val="0"/>
        <w:spacing w:line="272" w:lineRule="auto"/>
        <w:ind w:left="100" w:firstLine="420"/>
        <w:rPr>
          <w:rFonts w:hint="default"/>
          <w:color w:val="auto"/>
          <w:highlight w:val="none"/>
        </w:rPr>
      </w:pPr>
      <w:r>
        <w:rPr>
          <w:color w:val="auto"/>
          <w:highlight w:val="none"/>
        </w:rPr>
        <w:t>（3）不按本须知第11条内容提供资料的；逾期递交比选申请文件的；</w:t>
      </w:r>
    </w:p>
    <w:p>
      <w:pPr>
        <w:pStyle w:val="12"/>
        <w:kinsoku w:val="0"/>
        <w:overflowPunct w:val="0"/>
        <w:spacing w:line="272" w:lineRule="auto"/>
        <w:ind w:left="100" w:firstLine="420"/>
        <w:rPr>
          <w:rFonts w:hint="default"/>
          <w:color w:val="auto"/>
          <w:highlight w:val="none"/>
        </w:rPr>
      </w:pPr>
      <w:r>
        <w:rPr>
          <w:color w:val="auto"/>
          <w:highlight w:val="none"/>
        </w:rPr>
        <w:t>（4）比选申请文件内容不真实的；</w:t>
      </w:r>
    </w:p>
    <w:p>
      <w:pPr>
        <w:pStyle w:val="12"/>
        <w:kinsoku w:val="0"/>
        <w:overflowPunct w:val="0"/>
        <w:spacing w:line="272" w:lineRule="auto"/>
        <w:ind w:left="100" w:firstLine="420"/>
        <w:rPr>
          <w:rFonts w:hint="default"/>
          <w:color w:val="auto"/>
          <w:highlight w:val="none"/>
        </w:rPr>
      </w:pPr>
      <w:r>
        <w:rPr>
          <w:color w:val="auto"/>
          <w:highlight w:val="none"/>
        </w:rPr>
        <w:t>（5）比选申请文件实质上没有响应比选文件的要求的；（包括以下内容：比选项目所涉及的人员配置、业绩、价格、服务内容、合同条款等）；</w:t>
      </w:r>
    </w:p>
    <w:p>
      <w:pPr>
        <w:pStyle w:val="12"/>
        <w:kinsoku w:val="0"/>
        <w:overflowPunct w:val="0"/>
        <w:spacing w:line="272" w:lineRule="auto"/>
        <w:ind w:left="100" w:firstLine="420"/>
        <w:rPr>
          <w:rFonts w:hint="default"/>
          <w:color w:val="auto"/>
          <w:highlight w:val="none"/>
        </w:rPr>
      </w:pPr>
      <w:r>
        <w:rPr>
          <w:color w:val="auto"/>
          <w:highlight w:val="none"/>
        </w:rPr>
        <w:t>（6）比选申请人报价超过上控价的；</w:t>
      </w:r>
    </w:p>
    <w:p>
      <w:pPr>
        <w:pStyle w:val="12"/>
        <w:kinsoku w:val="0"/>
        <w:overflowPunct w:val="0"/>
        <w:spacing w:line="272" w:lineRule="auto"/>
        <w:ind w:left="100" w:firstLine="420"/>
        <w:rPr>
          <w:rFonts w:hint="default"/>
          <w:color w:val="auto"/>
          <w:highlight w:val="none"/>
        </w:rPr>
      </w:pPr>
      <w:r>
        <w:rPr>
          <w:color w:val="auto"/>
          <w:highlight w:val="none"/>
        </w:rPr>
        <w:t>（7）比选申请人不符合前附表第9条所述资格要求或比选申请人符合前附表第9条所述资格要求但就本比选项目分别提交两个（每个正本一份、副本四份）及以上的比选申请文件的。</w:t>
      </w:r>
    </w:p>
    <w:p>
      <w:pPr>
        <w:pStyle w:val="12"/>
        <w:kinsoku w:val="0"/>
        <w:overflowPunct w:val="0"/>
        <w:spacing w:line="272" w:lineRule="auto"/>
        <w:ind w:left="100" w:firstLine="420"/>
        <w:rPr>
          <w:rFonts w:hint="default"/>
          <w:color w:val="auto"/>
          <w:highlight w:val="none"/>
        </w:rPr>
      </w:pPr>
      <w:r>
        <w:rPr>
          <w:color w:val="auto"/>
          <w:highlight w:val="none"/>
        </w:rPr>
        <w:t>20.3评比细则详见第四章。</w:t>
      </w:r>
    </w:p>
    <w:p>
      <w:pPr>
        <w:pStyle w:val="12"/>
        <w:kinsoku w:val="0"/>
        <w:overflowPunct w:val="0"/>
        <w:spacing w:line="272" w:lineRule="auto"/>
        <w:ind w:left="100" w:firstLine="420"/>
        <w:rPr>
          <w:rFonts w:hint="default"/>
          <w:color w:val="auto"/>
          <w:highlight w:val="none"/>
        </w:rPr>
      </w:pPr>
      <w:r>
        <w:rPr>
          <w:color w:val="auto"/>
          <w:highlight w:val="none"/>
        </w:rPr>
        <w:t>20.4确定中选人</w:t>
      </w:r>
    </w:p>
    <w:p>
      <w:pPr>
        <w:pStyle w:val="12"/>
        <w:kinsoku w:val="0"/>
        <w:overflowPunct w:val="0"/>
        <w:spacing w:line="272" w:lineRule="auto"/>
        <w:ind w:left="100" w:firstLine="420"/>
        <w:rPr>
          <w:rFonts w:hint="default"/>
          <w:color w:val="auto"/>
          <w:highlight w:val="none"/>
        </w:rPr>
      </w:pPr>
      <w:r>
        <w:rPr>
          <w:color w:val="auto"/>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pStyle w:val="12"/>
        <w:kinsoku w:val="0"/>
        <w:overflowPunct w:val="0"/>
        <w:spacing w:line="272" w:lineRule="auto"/>
        <w:ind w:left="100" w:firstLine="420"/>
        <w:rPr>
          <w:rFonts w:hint="default"/>
          <w:color w:val="auto"/>
          <w:highlight w:val="none"/>
        </w:rPr>
      </w:pPr>
      <w:r>
        <w:rPr>
          <w:color w:val="auto"/>
          <w:highlight w:val="none"/>
        </w:rPr>
        <w:t>21.评比结果公示</w:t>
      </w:r>
    </w:p>
    <w:p>
      <w:pPr>
        <w:pStyle w:val="12"/>
        <w:kinsoku w:val="0"/>
        <w:overflowPunct w:val="0"/>
        <w:spacing w:line="272" w:lineRule="auto"/>
        <w:ind w:left="100" w:firstLine="420"/>
        <w:rPr>
          <w:rFonts w:hint="default"/>
          <w:color w:val="auto"/>
          <w:highlight w:val="none"/>
        </w:rPr>
      </w:pPr>
      <w:r>
        <w:rPr>
          <w:color w:val="auto"/>
          <w:highlight w:val="none"/>
        </w:rPr>
        <w:t>21.1在评比结束后，比选人将在南宁轨道交通集团有限责任公司官网(</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color w:val="auto"/>
          <w:highlight w:val="none"/>
        </w:rPr>
        <w:t>http://www.nngdjt.com/)</w:t>
      </w:r>
      <w:r>
        <w:rPr>
          <w:color w:val="auto"/>
          <w:highlight w:val="none"/>
        </w:rPr>
        <w:fldChar w:fldCharType="end"/>
      </w:r>
      <w:r>
        <w:rPr>
          <w:color w:val="auto"/>
          <w:highlight w:val="none"/>
        </w:rPr>
        <w:t>的“招标招商”中的“中标信息”处公示评比结果。</w:t>
      </w:r>
    </w:p>
    <w:p>
      <w:pPr>
        <w:ind w:right="-21" w:firstLine="420" w:firstLineChars="200"/>
        <w:rPr>
          <w:color w:val="auto"/>
          <w:sz w:val="21"/>
          <w:highlight w:val="none"/>
        </w:rPr>
      </w:pPr>
      <w:r>
        <w:rPr>
          <w:color w:val="auto"/>
          <w:sz w:val="21"/>
          <w:highlight w:val="none"/>
        </w:rPr>
        <w:t>21.2</w:t>
      </w:r>
      <w:r>
        <w:rPr>
          <w:rFonts w:hint="eastAsia"/>
          <w:color w:val="auto"/>
          <w:sz w:val="21"/>
          <w:highlight w:val="none"/>
        </w:rPr>
        <w:t>比选申请人如对评比结果有异议，在接到评审结果或中选公告后3天内，可以书面形式向比选人提出质疑。比选人应当在收到比选申请人的书面质疑后五个工作日内做出答复，但答复的内容不得涉及商业秘密。</w:t>
      </w:r>
    </w:p>
    <w:p>
      <w:pPr>
        <w:ind w:right="-21"/>
        <w:rPr>
          <w:color w:val="auto"/>
          <w:sz w:val="21"/>
          <w:highlight w:val="none"/>
        </w:rPr>
      </w:pPr>
    </w:p>
    <w:p>
      <w:pPr>
        <w:pStyle w:val="12"/>
        <w:kinsoku w:val="0"/>
        <w:overflowPunct w:val="0"/>
        <w:spacing w:before="0"/>
        <w:ind w:left="653" w:right="780"/>
        <w:jc w:val="center"/>
        <w:rPr>
          <w:rFonts w:hint="default"/>
          <w:b/>
          <w:color w:val="auto"/>
          <w:highlight w:val="none"/>
        </w:rPr>
      </w:pPr>
      <w:r>
        <w:rPr>
          <w:b/>
          <w:color w:val="auto"/>
          <w:highlight w:val="none"/>
        </w:rPr>
        <w:t>七、授予合同</w:t>
      </w:r>
    </w:p>
    <w:p>
      <w:pPr>
        <w:pStyle w:val="12"/>
        <w:kinsoku w:val="0"/>
        <w:overflowPunct w:val="0"/>
        <w:spacing w:before="0"/>
        <w:ind w:left="0"/>
        <w:rPr>
          <w:rFonts w:hint="default"/>
          <w:color w:val="auto"/>
          <w:sz w:val="20"/>
          <w:highlight w:val="none"/>
        </w:rPr>
      </w:pPr>
    </w:p>
    <w:p>
      <w:pPr>
        <w:pStyle w:val="12"/>
        <w:kinsoku w:val="0"/>
        <w:overflowPunct w:val="0"/>
        <w:spacing w:line="272" w:lineRule="auto"/>
        <w:ind w:left="100" w:firstLine="420"/>
        <w:rPr>
          <w:rFonts w:hint="default"/>
          <w:color w:val="auto"/>
          <w:highlight w:val="none"/>
        </w:rPr>
      </w:pPr>
      <w:r>
        <w:rPr>
          <w:color w:val="auto"/>
          <w:highlight w:val="none"/>
        </w:rPr>
        <w:t>22.中选通知书</w:t>
      </w:r>
    </w:p>
    <w:p>
      <w:pPr>
        <w:pStyle w:val="12"/>
        <w:kinsoku w:val="0"/>
        <w:overflowPunct w:val="0"/>
        <w:spacing w:line="272" w:lineRule="auto"/>
        <w:ind w:left="100" w:firstLine="420"/>
        <w:rPr>
          <w:rFonts w:hint="default"/>
          <w:color w:val="auto"/>
          <w:highlight w:val="none"/>
        </w:rPr>
      </w:pPr>
      <w:r>
        <w:rPr>
          <w:color w:val="auto"/>
          <w:highlight w:val="none"/>
        </w:rPr>
        <w:t>22.1比选人将向中选人发出中选通知书。</w:t>
      </w:r>
    </w:p>
    <w:p>
      <w:pPr>
        <w:pStyle w:val="12"/>
        <w:kinsoku w:val="0"/>
        <w:overflowPunct w:val="0"/>
        <w:spacing w:line="272" w:lineRule="auto"/>
        <w:ind w:left="100" w:firstLine="420"/>
        <w:rPr>
          <w:rFonts w:hint="default"/>
          <w:color w:val="auto"/>
          <w:highlight w:val="none"/>
        </w:rPr>
      </w:pPr>
      <w:r>
        <w:rPr>
          <w:color w:val="auto"/>
          <w:highlight w:val="none"/>
        </w:rPr>
        <w:t>22.2比选人无义务向落选的比选申请人解释落选原因和退还比选申请文件。</w:t>
      </w:r>
    </w:p>
    <w:p>
      <w:pPr>
        <w:pStyle w:val="12"/>
        <w:kinsoku w:val="0"/>
        <w:overflowPunct w:val="0"/>
        <w:spacing w:line="272" w:lineRule="auto"/>
        <w:ind w:left="100" w:firstLine="420"/>
        <w:rPr>
          <w:rFonts w:hint="default"/>
          <w:color w:val="auto"/>
          <w:highlight w:val="none"/>
        </w:rPr>
      </w:pPr>
      <w:r>
        <w:rPr>
          <w:color w:val="auto"/>
          <w:highlight w:val="none"/>
        </w:rPr>
        <w:t>22.3中选通知书作为合同的组成部分。</w:t>
      </w:r>
    </w:p>
    <w:p>
      <w:pPr>
        <w:pStyle w:val="12"/>
        <w:kinsoku w:val="0"/>
        <w:overflowPunct w:val="0"/>
        <w:spacing w:line="272" w:lineRule="auto"/>
        <w:ind w:left="100" w:firstLine="420"/>
        <w:rPr>
          <w:rFonts w:hint="default"/>
          <w:color w:val="auto"/>
          <w:highlight w:val="none"/>
        </w:rPr>
      </w:pPr>
      <w:r>
        <w:rPr>
          <w:color w:val="auto"/>
          <w:highlight w:val="none"/>
        </w:rPr>
        <w:t>23.合同的签署</w:t>
      </w:r>
    </w:p>
    <w:p>
      <w:pPr>
        <w:pStyle w:val="12"/>
        <w:kinsoku w:val="0"/>
        <w:overflowPunct w:val="0"/>
        <w:spacing w:line="272" w:lineRule="auto"/>
        <w:ind w:left="100" w:firstLine="420"/>
        <w:rPr>
          <w:rFonts w:hint="default"/>
          <w:color w:val="auto"/>
          <w:highlight w:val="none"/>
        </w:rPr>
      </w:pPr>
      <w:r>
        <w:rPr>
          <w:color w:val="auto"/>
          <w:highlight w:val="none"/>
        </w:rPr>
        <w:t>23.1中选人应按中选通知书中的相关要求，由中选人负责人或授权代表前往比选人处与比选人进行签订合同。</w:t>
      </w:r>
    </w:p>
    <w:p>
      <w:pPr>
        <w:pStyle w:val="12"/>
        <w:kinsoku w:val="0"/>
        <w:overflowPunct w:val="0"/>
        <w:spacing w:line="272" w:lineRule="auto"/>
        <w:ind w:left="100" w:firstLine="420"/>
        <w:rPr>
          <w:rFonts w:hint="default"/>
          <w:color w:val="auto"/>
          <w:highlight w:val="none"/>
        </w:rPr>
      </w:pPr>
      <w:r>
        <w:rPr>
          <w:color w:val="auto"/>
          <w:highlight w:val="none"/>
        </w:rPr>
        <w:t>23.2中选人如放弃中选资格，则比选人有权将其列入不良行为记录名单、三年内禁止其参加比选人发起的任何采购活动。</w:t>
      </w:r>
    </w:p>
    <w:p>
      <w:pPr>
        <w:pStyle w:val="12"/>
        <w:kinsoku w:val="0"/>
        <w:overflowPunct w:val="0"/>
        <w:spacing w:line="272" w:lineRule="auto"/>
        <w:ind w:left="100" w:firstLine="420"/>
        <w:rPr>
          <w:rFonts w:hint="default"/>
          <w:color w:val="auto"/>
          <w:highlight w:val="none"/>
        </w:rPr>
      </w:pPr>
      <w:r>
        <w:rPr>
          <w:color w:val="auto"/>
          <w:highlight w:val="none"/>
        </w:rPr>
        <w:t>23.3中选人被废除中选资格后，比选人有权将标授予预备中选单位。</w:t>
      </w:r>
    </w:p>
    <w:p>
      <w:pPr>
        <w:pStyle w:val="12"/>
        <w:kinsoku w:val="0"/>
        <w:overflowPunct w:val="0"/>
        <w:spacing w:line="272" w:lineRule="auto"/>
        <w:ind w:left="100" w:firstLine="420"/>
        <w:rPr>
          <w:rFonts w:hint="default"/>
          <w:color w:val="auto"/>
          <w:highlight w:val="none"/>
        </w:rPr>
        <w:sectPr>
          <w:pgSz w:w="11910" w:h="16840"/>
          <w:pgMar w:top="1400" w:right="1020" w:bottom="1180" w:left="1340" w:header="0" w:footer="986" w:gutter="0"/>
          <w:cols w:space="720" w:num="1"/>
        </w:sectPr>
      </w:pPr>
    </w:p>
    <w:p>
      <w:pPr>
        <w:pStyle w:val="12"/>
        <w:kinsoku w:val="0"/>
        <w:overflowPunct w:val="0"/>
        <w:spacing w:before="0" w:after="480" w:afterLines="200"/>
        <w:ind w:left="0"/>
        <w:jc w:val="center"/>
        <w:outlineLvl w:val="1"/>
        <w:rPr>
          <w:rFonts w:hint="default" w:asciiTheme="minorEastAsia" w:hAnsiTheme="minorEastAsia" w:eastAsiaTheme="minorEastAsia"/>
          <w:color w:val="auto"/>
          <w:sz w:val="28"/>
          <w:szCs w:val="28"/>
          <w:highlight w:val="none"/>
        </w:rPr>
      </w:pPr>
      <w:r>
        <w:rPr>
          <w:rFonts w:asciiTheme="minorEastAsia" w:hAnsiTheme="minorEastAsia" w:eastAsiaTheme="minorEastAsia"/>
          <w:b/>
          <w:color w:val="auto"/>
          <w:sz w:val="28"/>
          <w:szCs w:val="28"/>
          <w:highlight w:val="none"/>
        </w:rPr>
        <w:t>第二章合同条款</w:t>
      </w:r>
    </w:p>
    <w:p>
      <w:pPr>
        <w:spacing w:line="360" w:lineRule="auto"/>
        <w:jc w:val="center"/>
        <w:rPr>
          <w:rFonts w:asciiTheme="minorEastAsia" w:hAnsiTheme="minorEastAsia" w:eastAsiaTheme="minorEastAsia"/>
          <w:b/>
          <w:bCs/>
          <w:color w:val="auto"/>
          <w:sz w:val="36"/>
          <w:highlight w:val="none"/>
        </w:rPr>
      </w:pPr>
      <w:r>
        <w:rPr>
          <w:rFonts w:hint="eastAsia" w:asciiTheme="minorEastAsia" w:hAnsiTheme="minorEastAsia" w:eastAsiaTheme="minorEastAsia"/>
          <w:b/>
          <w:bCs/>
          <w:color w:val="auto"/>
          <w:sz w:val="36"/>
          <w:highlight w:val="none"/>
        </w:rPr>
        <w:t>南宁轨道交通集团有限责任公司</w:t>
      </w:r>
    </w:p>
    <w:p>
      <w:pPr>
        <w:spacing w:line="360" w:lineRule="auto"/>
        <w:jc w:val="center"/>
        <w:rPr>
          <w:rFonts w:asciiTheme="minorEastAsia" w:hAnsiTheme="minorEastAsia" w:eastAsiaTheme="minorEastAsia"/>
          <w:b/>
          <w:bCs/>
          <w:color w:val="auto"/>
          <w:sz w:val="36"/>
          <w:highlight w:val="none"/>
        </w:rPr>
      </w:pPr>
      <w:r>
        <w:rPr>
          <w:rFonts w:hint="eastAsia" w:asciiTheme="minorEastAsia" w:hAnsiTheme="minorEastAsia" w:eastAsiaTheme="minorEastAsia"/>
          <w:b/>
          <w:bCs/>
          <w:color w:val="auto"/>
          <w:sz w:val="36"/>
          <w:highlight w:val="none"/>
          <w:lang w:val="en-US" w:eastAsia="zh-CN"/>
        </w:rPr>
        <w:t>管控</w:t>
      </w:r>
      <w:r>
        <w:rPr>
          <w:rFonts w:hint="eastAsia" w:asciiTheme="minorEastAsia" w:hAnsiTheme="minorEastAsia" w:eastAsiaTheme="minorEastAsia"/>
          <w:b/>
          <w:bCs/>
          <w:color w:val="auto"/>
          <w:sz w:val="36"/>
          <w:highlight w:val="none"/>
        </w:rPr>
        <w:t>体系优化咨询项目合同书</w:t>
      </w:r>
    </w:p>
    <w:p>
      <w:pPr>
        <w:rPr>
          <w:rFonts w:asciiTheme="minorEastAsia" w:hAnsiTheme="minorEastAsia" w:eastAsiaTheme="minorEastAsia"/>
          <w:color w:val="auto"/>
          <w:sz w:val="32"/>
          <w:highlight w:val="none"/>
        </w:rPr>
      </w:pPr>
    </w:p>
    <w:p>
      <w:pPr>
        <w:rPr>
          <w:rFonts w:asciiTheme="minorEastAsia" w:hAnsiTheme="minorEastAsia" w:eastAsiaTheme="minorEastAsia"/>
          <w:color w:val="auto"/>
          <w:sz w:val="32"/>
          <w:highlight w:val="none"/>
        </w:rPr>
      </w:pPr>
    </w:p>
    <w:p>
      <w:pPr>
        <w:spacing w:before="240" w:beforeLines="100" w:after="240" w:afterLines="100" w:line="360" w:lineRule="auto"/>
        <w:rPr>
          <w:rFonts w:cs="仿宋" w:asciiTheme="minorEastAsia" w:hAnsiTheme="minorEastAsia" w:eastAsiaTheme="minorEastAsia"/>
          <w:b/>
          <w:bCs/>
          <w:color w:val="auto"/>
          <w:sz w:val="30"/>
          <w:highlight w:val="none"/>
        </w:rPr>
      </w:pPr>
      <w:r>
        <w:rPr>
          <w:rFonts w:hint="eastAsia" w:cs="仿宋" w:asciiTheme="minorEastAsia" w:hAnsiTheme="minorEastAsia" w:eastAsiaTheme="minorEastAsia"/>
          <w:b/>
          <w:bCs/>
          <w:color w:val="auto"/>
          <w:sz w:val="30"/>
          <w:highlight w:val="none"/>
        </w:rPr>
        <w:t>合同编号：</w:t>
      </w:r>
    </w:p>
    <w:p>
      <w:pPr>
        <w:ind w:left="1494" w:hanging="1494" w:hangingChars="496"/>
        <w:rPr>
          <w:rFonts w:asciiTheme="minorEastAsia" w:hAnsiTheme="minorEastAsia" w:eastAsiaTheme="minorEastAsia"/>
          <w:b/>
          <w:bCs/>
          <w:color w:val="auto"/>
          <w:sz w:val="30"/>
          <w:szCs w:val="30"/>
          <w:highlight w:val="none"/>
        </w:rPr>
      </w:pPr>
      <w:r>
        <w:rPr>
          <w:rFonts w:hint="eastAsia" w:cs="仿宋" w:asciiTheme="minorEastAsia" w:hAnsiTheme="minorEastAsia" w:eastAsiaTheme="minorEastAsia"/>
          <w:b/>
          <w:bCs/>
          <w:color w:val="auto"/>
          <w:sz w:val="30"/>
          <w:highlight w:val="none"/>
        </w:rPr>
        <w:t>项目名称：</w:t>
      </w:r>
      <w:bookmarkStart w:id="16" w:name="OLE_LINK1"/>
      <w:r>
        <w:rPr>
          <w:rFonts w:hint="eastAsia" w:asciiTheme="minorEastAsia" w:hAnsiTheme="minorEastAsia" w:eastAsiaTheme="minorEastAsia"/>
          <w:b/>
          <w:bCs/>
          <w:color w:val="auto"/>
          <w:sz w:val="30"/>
          <w:szCs w:val="30"/>
          <w:highlight w:val="none"/>
          <w:lang w:val="en-US" w:eastAsia="zh-CN"/>
        </w:rPr>
        <w:t>南宁轨道交通集团有限责任公司</w:t>
      </w:r>
      <w:r>
        <w:rPr>
          <w:rFonts w:hint="eastAsia" w:asciiTheme="minorEastAsia" w:hAnsiTheme="minorEastAsia" w:eastAsiaTheme="minorEastAsia"/>
          <w:b/>
          <w:bCs/>
          <w:color w:val="auto"/>
          <w:sz w:val="30"/>
          <w:szCs w:val="30"/>
          <w:highlight w:val="none"/>
        </w:rPr>
        <w:t>管</w:t>
      </w:r>
      <w:r>
        <w:rPr>
          <w:rFonts w:hint="eastAsia" w:asciiTheme="minorEastAsia" w:hAnsiTheme="minorEastAsia" w:eastAsiaTheme="minorEastAsia"/>
          <w:b/>
          <w:bCs/>
          <w:color w:val="auto"/>
          <w:sz w:val="30"/>
          <w:szCs w:val="30"/>
          <w:highlight w:val="none"/>
          <w:lang w:val="en-US" w:eastAsia="zh-CN"/>
        </w:rPr>
        <w:t>控</w:t>
      </w:r>
      <w:r>
        <w:rPr>
          <w:rFonts w:hint="eastAsia" w:asciiTheme="minorEastAsia" w:hAnsiTheme="minorEastAsia" w:eastAsiaTheme="minorEastAsia"/>
          <w:b/>
          <w:bCs/>
          <w:color w:val="auto"/>
          <w:sz w:val="30"/>
          <w:szCs w:val="30"/>
          <w:highlight w:val="none"/>
        </w:rPr>
        <w:t>体系优化咨询项目</w:t>
      </w:r>
    </w:p>
    <w:bookmarkEnd w:id="16"/>
    <w:p>
      <w:pPr>
        <w:spacing w:before="240" w:beforeLines="100" w:after="240" w:afterLines="100" w:line="360" w:lineRule="auto"/>
        <w:rPr>
          <w:rFonts w:cs="仿宋" w:asciiTheme="minorEastAsia" w:hAnsiTheme="minorEastAsia" w:eastAsiaTheme="minorEastAsia"/>
          <w:b/>
          <w:bCs/>
          <w:color w:val="auto"/>
          <w:sz w:val="30"/>
          <w:highlight w:val="none"/>
        </w:rPr>
      </w:pPr>
    </w:p>
    <w:p>
      <w:pPr>
        <w:spacing w:before="240" w:beforeLines="100" w:after="240" w:afterLines="100" w:line="360" w:lineRule="auto"/>
        <w:rPr>
          <w:rFonts w:cs="仿宋" w:asciiTheme="minorEastAsia" w:hAnsiTheme="minorEastAsia" w:eastAsiaTheme="minorEastAsia"/>
          <w:b/>
          <w:bCs/>
          <w:color w:val="auto"/>
          <w:sz w:val="30"/>
          <w:highlight w:val="none"/>
        </w:rPr>
      </w:pPr>
    </w:p>
    <w:p>
      <w:pPr>
        <w:spacing w:before="240" w:beforeLines="100" w:after="240" w:afterLines="100" w:line="360" w:lineRule="auto"/>
        <w:rPr>
          <w:rFonts w:cs="仿宋" w:asciiTheme="minorEastAsia" w:hAnsiTheme="minorEastAsia" w:eastAsiaTheme="minorEastAsia"/>
          <w:b/>
          <w:bCs/>
          <w:color w:val="auto"/>
          <w:sz w:val="30"/>
          <w:highlight w:val="none"/>
        </w:rPr>
      </w:pPr>
    </w:p>
    <w:p>
      <w:pPr>
        <w:spacing w:before="240" w:beforeLines="100" w:after="240" w:afterLines="100" w:line="360" w:lineRule="auto"/>
        <w:rPr>
          <w:rFonts w:cs="仿宋" w:asciiTheme="minorEastAsia" w:hAnsiTheme="minorEastAsia" w:eastAsiaTheme="minorEastAsia"/>
          <w:b/>
          <w:bCs/>
          <w:color w:val="auto"/>
          <w:sz w:val="30"/>
          <w:highlight w:val="none"/>
        </w:rPr>
      </w:pPr>
    </w:p>
    <w:p>
      <w:pPr>
        <w:spacing w:line="360" w:lineRule="auto"/>
        <w:jc w:val="center"/>
        <w:rPr>
          <w:rFonts w:asciiTheme="minorEastAsia" w:hAnsiTheme="minorEastAsia" w:eastAsiaTheme="minorEastAsia"/>
          <w:color w:val="auto"/>
          <w:sz w:val="30"/>
          <w:highlight w:val="none"/>
        </w:rPr>
      </w:pPr>
      <w:r>
        <w:rPr>
          <w:rFonts w:hint="eastAsia" w:asciiTheme="minorEastAsia" w:hAnsiTheme="minorEastAsia" w:eastAsiaTheme="minorEastAsia"/>
          <w:color w:val="auto"/>
          <w:sz w:val="30"/>
          <w:highlight w:val="none"/>
        </w:rPr>
        <w:t>甲方：</w:t>
      </w:r>
      <w:r>
        <w:rPr>
          <w:rFonts w:hint="eastAsia" w:asciiTheme="minorEastAsia" w:hAnsiTheme="minorEastAsia" w:eastAsiaTheme="minorEastAsia"/>
          <w:color w:val="auto"/>
          <w:sz w:val="30"/>
          <w:highlight w:val="none"/>
          <w:u w:val="single"/>
        </w:rPr>
        <w:t xml:space="preserve">  南宁轨道交通集团有限责任公司</w:t>
      </w:r>
    </w:p>
    <w:p>
      <w:pPr>
        <w:spacing w:line="360" w:lineRule="auto"/>
        <w:ind w:firstLine="1950" w:firstLineChars="650"/>
        <w:rPr>
          <w:rStyle w:val="22"/>
          <w:rFonts w:asciiTheme="minorEastAsia" w:hAnsiTheme="minorEastAsia" w:eastAsiaTheme="minorEastAsia"/>
          <w:b w:val="0"/>
          <w:color w:val="auto"/>
          <w:sz w:val="30"/>
          <w:szCs w:val="30"/>
          <w:highlight w:val="none"/>
        </w:rPr>
      </w:pPr>
      <w:r>
        <w:rPr>
          <w:rFonts w:hint="eastAsia" w:asciiTheme="minorEastAsia" w:hAnsiTheme="minorEastAsia" w:eastAsiaTheme="minorEastAsia"/>
          <w:color w:val="auto"/>
          <w:sz w:val="30"/>
          <w:highlight w:val="none"/>
        </w:rPr>
        <w:t>乙方：</w:t>
      </w:r>
    </w:p>
    <w:p>
      <w:pPr>
        <w:ind w:left="2400" w:leftChars="1000" w:firstLine="1320" w:firstLineChars="440"/>
        <w:rPr>
          <w:rFonts w:asciiTheme="minorEastAsia" w:hAnsiTheme="minorEastAsia" w:eastAsiaTheme="minorEastAsia"/>
          <w:color w:val="auto"/>
          <w:sz w:val="30"/>
          <w:highlight w:val="none"/>
        </w:rPr>
      </w:pPr>
    </w:p>
    <w:p>
      <w:pPr>
        <w:jc w:val="center"/>
        <w:rPr>
          <w:rFonts w:asciiTheme="minorEastAsia" w:hAnsiTheme="minorEastAsia" w:eastAsiaTheme="minorEastAsia"/>
          <w:color w:val="auto"/>
          <w:sz w:val="30"/>
          <w:highlight w:val="none"/>
        </w:rPr>
      </w:pPr>
    </w:p>
    <w:p>
      <w:pPr>
        <w:jc w:val="center"/>
        <w:rPr>
          <w:rFonts w:asciiTheme="minorEastAsia" w:hAnsiTheme="minorEastAsia" w:eastAsiaTheme="minorEastAsia"/>
          <w:color w:val="auto"/>
          <w:sz w:val="30"/>
          <w:highlight w:val="none"/>
        </w:rPr>
      </w:pPr>
    </w:p>
    <w:p>
      <w:pPr>
        <w:jc w:val="center"/>
        <w:rPr>
          <w:rFonts w:asciiTheme="minorEastAsia" w:hAnsiTheme="minorEastAsia" w:eastAsiaTheme="minorEastAsia"/>
          <w:color w:val="auto"/>
          <w:sz w:val="30"/>
          <w:highlight w:val="none"/>
        </w:rPr>
      </w:pPr>
    </w:p>
    <w:p>
      <w:pPr>
        <w:jc w:val="center"/>
        <w:rPr>
          <w:rFonts w:asciiTheme="minorEastAsia" w:hAnsiTheme="minorEastAsia" w:eastAsiaTheme="minorEastAsia"/>
          <w:color w:val="auto"/>
          <w:sz w:val="30"/>
          <w:highlight w:val="none"/>
        </w:rPr>
      </w:pPr>
      <w:r>
        <w:rPr>
          <w:rFonts w:hint="eastAsia" w:asciiTheme="minorEastAsia" w:hAnsiTheme="minorEastAsia" w:eastAsiaTheme="minorEastAsia"/>
          <w:color w:val="auto"/>
          <w:sz w:val="30"/>
          <w:highlight w:val="none"/>
        </w:rPr>
        <w:t>签订时间：    年    月    日</w:t>
      </w:r>
    </w:p>
    <w:p>
      <w:pPr>
        <w:spacing w:line="360" w:lineRule="auto"/>
        <w:ind w:firstLine="600" w:firstLineChars="200"/>
        <w:rPr>
          <w:rFonts w:ascii="楷体_GB2312" w:hAnsi="宋体" w:eastAsia="楷体_GB2312"/>
          <w:color w:val="auto"/>
          <w:sz w:val="30"/>
          <w:highlight w:val="none"/>
        </w:rPr>
      </w:pPr>
      <w:r>
        <w:rPr>
          <w:rFonts w:hint="eastAsia" w:ascii="楷体_GB2312" w:hAnsi="宋体" w:eastAsia="楷体_GB2312"/>
          <w:color w:val="auto"/>
          <w:sz w:val="30"/>
          <w:highlight w:val="none"/>
        </w:rPr>
        <w:br w:type="page"/>
      </w:r>
    </w:p>
    <w:p>
      <w:pPr>
        <w:pStyle w:val="12"/>
        <w:kinsoku w:val="0"/>
        <w:overflowPunct w:val="0"/>
        <w:spacing w:line="272" w:lineRule="auto"/>
        <w:ind w:left="100" w:firstLine="420"/>
        <w:jc w:val="center"/>
        <w:rPr>
          <w:rFonts w:hint="default"/>
          <w:b/>
          <w:color w:val="auto"/>
          <w:sz w:val="44"/>
          <w:szCs w:val="44"/>
          <w:highlight w:val="none"/>
        </w:rPr>
      </w:pPr>
      <w:r>
        <w:rPr>
          <w:b/>
          <w:color w:val="auto"/>
          <w:sz w:val="44"/>
          <w:szCs w:val="44"/>
          <w:highlight w:val="none"/>
        </w:rPr>
        <w:t>南宁轨道交通集团有限责任公司</w:t>
      </w:r>
    </w:p>
    <w:p>
      <w:pPr>
        <w:pStyle w:val="12"/>
        <w:kinsoku w:val="0"/>
        <w:overflowPunct w:val="0"/>
        <w:spacing w:line="272" w:lineRule="auto"/>
        <w:ind w:left="100" w:firstLine="420"/>
        <w:jc w:val="center"/>
        <w:rPr>
          <w:rFonts w:hint="default"/>
          <w:b/>
          <w:color w:val="auto"/>
          <w:sz w:val="44"/>
          <w:szCs w:val="44"/>
          <w:highlight w:val="none"/>
        </w:rPr>
      </w:pPr>
      <w:r>
        <w:rPr>
          <w:b/>
          <w:color w:val="auto"/>
          <w:sz w:val="44"/>
          <w:szCs w:val="44"/>
          <w:highlight w:val="none"/>
        </w:rPr>
        <w:t>管</w:t>
      </w:r>
      <w:r>
        <w:rPr>
          <w:rFonts w:hint="eastAsia"/>
          <w:b/>
          <w:color w:val="auto"/>
          <w:sz w:val="44"/>
          <w:szCs w:val="44"/>
          <w:highlight w:val="none"/>
          <w:lang w:val="en-US" w:eastAsia="zh-CN"/>
        </w:rPr>
        <w:t>控</w:t>
      </w:r>
      <w:r>
        <w:rPr>
          <w:b/>
          <w:color w:val="auto"/>
          <w:sz w:val="44"/>
          <w:szCs w:val="44"/>
          <w:highlight w:val="none"/>
        </w:rPr>
        <w:t>体系优化咨询项目合同书</w:t>
      </w:r>
    </w:p>
    <w:p>
      <w:pPr>
        <w:pStyle w:val="12"/>
        <w:kinsoku w:val="0"/>
        <w:overflowPunct w:val="0"/>
        <w:spacing w:line="272" w:lineRule="auto"/>
        <w:ind w:left="100" w:firstLine="420"/>
        <w:jc w:val="center"/>
        <w:rPr>
          <w:rFonts w:hint="default"/>
          <w:b/>
          <w:color w:val="auto"/>
          <w:szCs w:val="21"/>
          <w:highlight w:val="none"/>
        </w:rPr>
      </w:pPr>
    </w:p>
    <w:tbl>
      <w:tblPr>
        <w:tblStyle w:val="19"/>
        <w:tblpPr w:leftFromText="180" w:rightFromText="180" w:vertAnchor="text" w:horzAnchor="margin" w:tblpXSpec="center" w:tblpY="16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3723"/>
        <w:gridCol w:w="949"/>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甲  方</w:t>
            </w:r>
          </w:p>
        </w:tc>
        <w:tc>
          <w:tcPr>
            <w:tcW w:w="3723" w:type="dxa"/>
            <w:vAlign w:val="center"/>
          </w:tcPr>
          <w:p>
            <w:pPr>
              <w:tabs>
                <w:tab w:val="left" w:pos="4515"/>
              </w:tabs>
              <w:rPr>
                <w:rFonts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"https://crm.beisencorp.com/_root/homepage.aspx?etc=1&amp;pagemode=iframe&amp;sitemappath=SFA%7cSFA%7cnav_accts" \t "_self" \o "南宁轨道交通集团有限责任公司" </w:instrText>
            </w:r>
            <w:r>
              <w:rPr>
                <w:color w:val="auto"/>
                <w:highlight w:val="none"/>
              </w:rPr>
              <w:fldChar w:fldCharType="separate"/>
            </w:r>
            <w:r>
              <w:rPr>
                <w:rFonts w:hint="eastAsia" w:asciiTheme="minorEastAsia" w:hAnsiTheme="minorEastAsia" w:eastAsiaTheme="minorEastAsia"/>
                <w:color w:val="auto"/>
                <w:highlight w:val="none"/>
              </w:rPr>
              <w:t>南宁轨道交通集团有限责任公司</w:t>
            </w:r>
            <w:r>
              <w:rPr>
                <w:rFonts w:hint="eastAsia" w:asciiTheme="minorEastAsia" w:hAnsiTheme="minorEastAsia" w:eastAsiaTheme="minorEastAsia"/>
                <w:color w:val="auto"/>
                <w:highlight w:val="none"/>
              </w:rPr>
              <w:fldChar w:fldCharType="end"/>
            </w: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乙  方</w:t>
            </w:r>
          </w:p>
        </w:tc>
        <w:tc>
          <w:tcPr>
            <w:tcW w:w="4117" w:type="dxa"/>
            <w:vAlign w:val="center"/>
          </w:tcPr>
          <w:p>
            <w:pPr>
              <w:tabs>
                <w:tab w:val="left" w:pos="4515"/>
              </w:tabs>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  址</w:t>
            </w:r>
          </w:p>
        </w:tc>
        <w:tc>
          <w:tcPr>
            <w:tcW w:w="3723" w:type="dxa"/>
            <w:vAlign w:val="center"/>
          </w:tcPr>
          <w:p>
            <w:pPr>
              <w:tabs>
                <w:tab w:val="left" w:pos="4515"/>
              </w:tabs>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广西</w:t>
            </w:r>
            <w:r>
              <w:rPr>
                <w:rFonts w:asciiTheme="minorEastAsia" w:hAnsiTheme="minorEastAsia" w:eastAsiaTheme="minorEastAsia"/>
                <w:color w:val="auto"/>
                <w:highlight w:val="none"/>
              </w:rPr>
              <w:t>南宁市</w:t>
            </w:r>
            <w:r>
              <w:rPr>
                <w:rFonts w:hint="eastAsia" w:asciiTheme="minorEastAsia" w:hAnsiTheme="minorEastAsia" w:eastAsiaTheme="minorEastAsia"/>
                <w:color w:val="auto"/>
                <w:highlight w:val="none"/>
              </w:rPr>
              <w:t>云</w:t>
            </w:r>
            <w:r>
              <w:rPr>
                <w:rFonts w:asciiTheme="minorEastAsia" w:hAnsiTheme="minorEastAsia" w:eastAsiaTheme="minorEastAsia"/>
                <w:color w:val="auto"/>
                <w:highlight w:val="none"/>
              </w:rPr>
              <w:t>景路</w:t>
            </w:r>
            <w:r>
              <w:rPr>
                <w:rFonts w:hint="eastAsia" w:asciiTheme="minorEastAsia" w:hAnsiTheme="minorEastAsia" w:eastAsiaTheme="minorEastAsia"/>
                <w:color w:val="auto"/>
                <w:highlight w:val="none"/>
              </w:rPr>
              <w:t>69号</w:t>
            </w: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  址</w:t>
            </w:r>
          </w:p>
        </w:tc>
        <w:tc>
          <w:tcPr>
            <w:tcW w:w="4117" w:type="dxa"/>
            <w:vAlign w:val="center"/>
          </w:tcPr>
          <w:p>
            <w:pPr>
              <w:tabs>
                <w:tab w:val="left" w:pos="4515"/>
              </w:tabs>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纳税人</w:t>
            </w:r>
          </w:p>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识别号</w:t>
            </w:r>
          </w:p>
        </w:tc>
        <w:tc>
          <w:tcPr>
            <w:tcW w:w="3723" w:type="dxa"/>
            <w:vAlign w:val="center"/>
          </w:tcPr>
          <w:p>
            <w:pPr>
              <w:tabs>
                <w:tab w:val="left" w:pos="4515"/>
              </w:tabs>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914501006821248433</w:t>
            </w: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纳税人</w:t>
            </w:r>
          </w:p>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识别号</w:t>
            </w:r>
          </w:p>
        </w:tc>
        <w:tc>
          <w:tcPr>
            <w:tcW w:w="4117" w:type="dxa"/>
            <w:vAlign w:val="center"/>
          </w:tcPr>
          <w:p>
            <w:pPr>
              <w:tabs>
                <w:tab w:val="left" w:pos="4515"/>
              </w:tabs>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开户行</w:t>
            </w:r>
          </w:p>
        </w:tc>
        <w:tc>
          <w:tcPr>
            <w:tcW w:w="3723" w:type="dxa"/>
            <w:vAlign w:val="center"/>
          </w:tcPr>
          <w:p>
            <w:pPr>
              <w:tabs>
                <w:tab w:val="left" w:pos="4515"/>
              </w:tabs>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建行南宁市朝阳支行营业部</w:t>
            </w: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开户行</w:t>
            </w:r>
          </w:p>
        </w:tc>
        <w:tc>
          <w:tcPr>
            <w:tcW w:w="4117" w:type="dxa"/>
            <w:vAlign w:val="center"/>
          </w:tcPr>
          <w:p>
            <w:pPr>
              <w:tabs>
                <w:tab w:val="left" w:pos="4515"/>
              </w:tabs>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账  号</w:t>
            </w:r>
          </w:p>
        </w:tc>
        <w:tc>
          <w:tcPr>
            <w:tcW w:w="3723" w:type="dxa"/>
            <w:vAlign w:val="center"/>
          </w:tcPr>
          <w:p>
            <w:pPr>
              <w:tabs>
                <w:tab w:val="left" w:pos="4515"/>
              </w:tabs>
              <w:rPr>
                <w:rFonts w:asciiTheme="minorEastAsia" w:hAnsiTheme="minorEastAsia" w:eastAsiaTheme="minorEastAsia"/>
                <w:color w:val="auto"/>
                <w:highlight w:val="none"/>
              </w:rPr>
            </w:pPr>
            <w:r>
              <w:rPr>
                <w:rFonts w:asciiTheme="minorEastAsia" w:hAnsiTheme="minorEastAsia" w:eastAsiaTheme="minorEastAsia"/>
                <w:color w:val="auto"/>
                <w:highlight w:val="none"/>
              </w:rPr>
              <w:t>45001604473059116688</w:t>
            </w: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账  号</w:t>
            </w:r>
          </w:p>
        </w:tc>
        <w:tc>
          <w:tcPr>
            <w:tcW w:w="4117" w:type="dxa"/>
            <w:vAlign w:val="center"/>
          </w:tcPr>
          <w:p>
            <w:pPr>
              <w:tabs>
                <w:tab w:val="left" w:pos="4515"/>
              </w:tabs>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w:t>
            </w:r>
          </w:p>
        </w:tc>
        <w:tc>
          <w:tcPr>
            <w:tcW w:w="3723" w:type="dxa"/>
            <w:vAlign w:val="center"/>
          </w:tcPr>
          <w:p>
            <w:pPr>
              <w:tabs>
                <w:tab w:val="left" w:pos="4515"/>
              </w:tabs>
              <w:rPr>
                <w:rFonts w:asciiTheme="minorEastAsia" w:hAnsiTheme="minorEastAsia" w:eastAsiaTheme="minorEastAsia"/>
                <w:color w:val="auto"/>
                <w:highlight w:val="none"/>
              </w:rPr>
            </w:pP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联系人</w:t>
            </w:r>
          </w:p>
        </w:tc>
        <w:tc>
          <w:tcPr>
            <w:tcW w:w="4117" w:type="dxa"/>
            <w:vAlign w:val="center"/>
          </w:tcPr>
          <w:p>
            <w:pPr>
              <w:tabs>
                <w:tab w:val="left" w:pos="4515"/>
              </w:tabs>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58"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  话</w:t>
            </w:r>
          </w:p>
        </w:tc>
        <w:tc>
          <w:tcPr>
            <w:tcW w:w="3723" w:type="dxa"/>
            <w:vAlign w:val="center"/>
          </w:tcPr>
          <w:p>
            <w:pPr>
              <w:tabs>
                <w:tab w:val="left" w:pos="4515"/>
              </w:tabs>
              <w:rPr>
                <w:rFonts w:asciiTheme="minorEastAsia" w:hAnsiTheme="minorEastAsia" w:eastAsiaTheme="minorEastAsia"/>
                <w:color w:val="auto"/>
                <w:highlight w:val="none"/>
              </w:rPr>
            </w:pPr>
          </w:p>
        </w:tc>
        <w:tc>
          <w:tcPr>
            <w:tcW w:w="949" w:type="dxa"/>
            <w:vAlign w:val="center"/>
          </w:tcPr>
          <w:p>
            <w:pPr>
              <w:tabs>
                <w:tab w:val="left" w:pos="4515"/>
              </w:tabs>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电  话</w:t>
            </w:r>
          </w:p>
        </w:tc>
        <w:tc>
          <w:tcPr>
            <w:tcW w:w="4117" w:type="dxa"/>
            <w:vAlign w:val="center"/>
          </w:tcPr>
          <w:p>
            <w:pPr>
              <w:tabs>
                <w:tab w:val="left" w:pos="4515"/>
              </w:tabs>
              <w:rPr>
                <w:rFonts w:asciiTheme="minorEastAsia" w:hAnsiTheme="minorEastAsia" w:eastAsiaTheme="minorEastAsia"/>
                <w:color w:val="auto"/>
                <w:highlight w:val="none"/>
              </w:rPr>
            </w:pPr>
          </w:p>
        </w:tc>
      </w:tr>
    </w:tbl>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甲方因业务发展需要，通过公开比选确定乙方为中选单位，经双方平等友好协商，达成如下协议：</w:t>
      </w:r>
    </w:p>
    <w:p>
      <w:pPr>
        <w:pStyle w:val="12"/>
        <w:kinsoku w:val="0"/>
        <w:overflowPunct w:val="0"/>
        <w:adjustRightInd/>
        <w:spacing w:before="100" w:beforeAutospacing="1" w:after="100" w:afterAutospacing="1" w:line="500" w:lineRule="exact"/>
        <w:ind w:left="0" w:firstLine="562" w:firstLineChars="200"/>
        <w:contextualSpacing/>
        <w:rPr>
          <w:rFonts w:hint="eastAsia" w:asciiTheme="minorEastAsia" w:hAnsiTheme="minorEastAsia" w:eastAsiaTheme="minorEastAsia"/>
          <w:b/>
          <w:color w:val="auto"/>
          <w:sz w:val="28"/>
          <w:szCs w:val="28"/>
          <w:highlight w:val="none"/>
          <w:lang w:val="en-US" w:eastAsia="zh-CN"/>
        </w:rPr>
      </w:pPr>
      <w:r>
        <w:rPr>
          <w:rFonts w:hint="eastAsia" w:asciiTheme="minorEastAsia" w:hAnsiTheme="minorEastAsia" w:eastAsiaTheme="minorEastAsia"/>
          <w:b/>
          <w:color w:val="auto"/>
          <w:sz w:val="28"/>
          <w:szCs w:val="28"/>
          <w:highlight w:val="none"/>
          <w:lang w:val="en-US" w:eastAsia="zh-CN"/>
        </w:rPr>
        <w:t>1.合同文件的构成和优先次序</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1.1下列文件一起构成合同文件</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（1）合同协议书及各种合同附件（含比选评审期间和合同谈判过程中的澄清文件和补充资料）；</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（2）中选通知书；</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（3）比选申请文件及比选申请函；</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（4）比选文件；</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（5）其他合同文件。</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1.2上述文件互相补充和解释，如有不明确或不一致之处，以上述次序在先者为准；同一次序的文件以时间在后的为准。</w:t>
      </w:r>
    </w:p>
    <w:p>
      <w:pPr>
        <w:pStyle w:val="12"/>
        <w:kinsoku w:val="0"/>
        <w:overflowPunct w:val="0"/>
        <w:adjustRightInd/>
        <w:spacing w:before="100" w:beforeAutospacing="1" w:after="100" w:afterAutospacing="1" w:line="500" w:lineRule="exact"/>
        <w:ind w:left="0" w:firstLine="562" w:firstLineChars="200"/>
        <w:contextualSpacing/>
        <w:rPr>
          <w:rFonts w:hint="eastAsia" w:asciiTheme="minorEastAsia" w:hAnsiTheme="minorEastAsia" w:eastAsiaTheme="minorEastAsia"/>
          <w:b/>
          <w:color w:val="auto"/>
          <w:sz w:val="28"/>
          <w:szCs w:val="28"/>
          <w:highlight w:val="none"/>
          <w:lang w:val="en-US" w:eastAsia="zh-CN"/>
        </w:rPr>
      </w:pPr>
      <w:r>
        <w:rPr>
          <w:rFonts w:hint="eastAsia" w:asciiTheme="minorEastAsia" w:hAnsiTheme="minorEastAsia" w:eastAsiaTheme="minorEastAsia"/>
          <w:b/>
          <w:color w:val="auto"/>
          <w:sz w:val="28"/>
          <w:szCs w:val="28"/>
          <w:highlight w:val="none"/>
          <w:lang w:val="en-US" w:eastAsia="zh-CN"/>
        </w:rPr>
        <w:t>2.乙方的服务范围及工作内容</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2.1在集团公司战略指引、内控、合规、风控管理的要求的基础上，通过调研访谈、对标分析等方式，梳理各业务条线管控工作、各项业务管控权限，出具集团公司本部对二级公司的《管控体系优化项目调研与诊断报告》。</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2.2基于调研和诊断结果，通过国内外标杆企业分析，设计集团公司本部对二级公司的管控模式分类，确定总部对不同管控模式的业务单元的管控边界，明确总部的管控职能范围，出具《集团公司管控模式设计方案》。</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2.3在集团公司现有管控制度的基础上，对内容进行修订，重新明确管控体系的基本管理要求，包括管控模式分类、管理机构与职责、管控具体操作要求等，制定《集团公司管控管理制度》。</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2.4按照“一企一策”原则，制定集团公司本部对每个二级子公司的《管控权责清单》，实现对二级业务单元的“一企一策”管控。</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2.5梳理集团公司总部与二级子公司之间跨层级事项的权限划分，以及总部各决策机构间的权限配置，提出优化建议，并形成《管控权限指引表》，以此实现集团管控和本部业务决策权责明确、协作紧密、运行高效的目标，推动职能部门优化业务管理制度，并为管控信息化建设奠定管理基础。</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2.6提供宣贯服务。乙方负责召开至少一次宣贯会。</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2.7提供实施辅导。成果交付实施后，提供为期至少180个自然日的落地执行解释、咨询、评审等辅导服务。</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2.8提供调整优化服务。成果交付实施满180个自然日，乙方根据甲方执行情况，对交付的咨询成果进行调整优化。</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2.9制定项目实施方案、记录工作相关信息、汇报工作进度、汇报项目成果。</w:t>
      </w:r>
    </w:p>
    <w:p>
      <w:pPr>
        <w:pStyle w:val="12"/>
        <w:kinsoku w:val="0"/>
        <w:overflowPunct w:val="0"/>
        <w:adjustRightInd/>
        <w:spacing w:before="100" w:beforeAutospacing="1" w:after="100" w:afterAutospacing="1" w:line="500" w:lineRule="exact"/>
        <w:ind w:left="557" w:leftChars="232" w:firstLine="0" w:firstLineChars="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3</w:t>
      </w:r>
      <w:r>
        <w:rPr>
          <w:rFonts w:asciiTheme="minorEastAsia" w:hAnsiTheme="minorEastAsia" w:eastAsiaTheme="minorEastAsia"/>
          <w:b/>
          <w:color w:val="auto"/>
          <w:sz w:val="28"/>
          <w:szCs w:val="28"/>
          <w:highlight w:val="none"/>
        </w:rPr>
        <w:t>.服务项目及价格</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本合同</w:t>
      </w:r>
      <w:r>
        <w:rPr>
          <w:rFonts w:hint="eastAsia" w:asciiTheme="minorEastAsia" w:hAnsiTheme="minorEastAsia" w:eastAsiaTheme="minorEastAsia"/>
          <w:color w:val="auto"/>
          <w:sz w:val="28"/>
          <w:szCs w:val="28"/>
          <w:highlight w:val="none"/>
          <w:lang w:val="en-US" w:eastAsia="zh-CN"/>
        </w:rPr>
        <w:t>不</w:t>
      </w:r>
      <w:r>
        <w:rPr>
          <w:rFonts w:asciiTheme="minorEastAsia" w:hAnsiTheme="minorEastAsia" w:eastAsiaTheme="minorEastAsia"/>
          <w:color w:val="auto"/>
          <w:sz w:val="28"/>
          <w:szCs w:val="28"/>
          <w:highlight w:val="none"/>
        </w:rPr>
        <w:t>含税</w:t>
      </w:r>
      <w:r>
        <w:rPr>
          <w:rFonts w:hint="eastAsia" w:asciiTheme="minorEastAsia" w:hAnsiTheme="minorEastAsia" w:eastAsiaTheme="minorEastAsia"/>
          <w:color w:val="auto"/>
          <w:sz w:val="28"/>
          <w:szCs w:val="28"/>
          <w:highlight w:val="none"/>
          <w:lang w:val="en-US" w:eastAsia="zh-CN"/>
        </w:rPr>
        <w:t>价款</w:t>
      </w:r>
      <w:r>
        <w:rPr>
          <w:rFonts w:asciiTheme="minorEastAsia" w:hAnsiTheme="minorEastAsia" w:eastAsiaTheme="minorEastAsia"/>
          <w:color w:val="auto"/>
          <w:sz w:val="28"/>
          <w:szCs w:val="28"/>
          <w:highlight w:val="none"/>
        </w:rPr>
        <w:t>为（大写）人民币__________元整（¥______元），增值税税率为___%，税额为（大写）人民币_________元整（¥_____元）</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价税合计为</w:t>
      </w:r>
      <w:r>
        <w:rPr>
          <w:rFonts w:asciiTheme="minorEastAsia" w:hAnsiTheme="minorEastAsia" w:eastAsiaTheme="minorEastAsia"/>
          <w:color w:val="auto"/>
          <w:sz w:val="28"/>
          <w:szCs w:val="28"/>
          <w:highlight w:val="none"/>
        </w:rPr>
        <w:t>（大写）人民币__________元整（¥______元）。</w:t>
      </w:r>
      <w:r>
        <w:rPr>
          <w:rFonts w:hint="eastAsia" w:asciiTheme="minorEastAsia" w:hAnsiTheme="minorEastAsia" w:eastAsiaTheme="minorEastAsia"/>
          <w:color w:val="auto"/>
          <w:sz w:val="28"/>
          <w:szCs w:val="28"/>
          <w:highlight w:val="none"/>
        </w:rPr>
        <w:t>本合同价格为暂定价，在合同履约过程中，本合同税率将遵照国家现行税法执行，随国家税率调整而调整。本合同最终税金在结算阶段，按实际产生的税金进行核算，但合同不含税价格不因国家税率调整而调整。本合同价格为包干价，包括项目调研、报告编制、项目组成员因本项目相关工作产生的现场调研、汇报、团队差旅食宿、税金等一切费用。</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4</w:t>
      </w:r>
      <w:r>
        <w:rPr>
          <w:rFonts w:asciiTheme="minorEastAsia" w:hAnsiTheme="minorEastAsia" w:eastAsiaTheme="minorEastAsia"/>
          <w:b/>
          <w:color w:val="auto"/>
          <w:sz w:val="28"/>
          <w:szCs w:val="28"/>
          <w:highlight w:val="none"/>
        </w:rPr>
        <w:t>.付款时间及方式</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4</w:t>
      </w:r>
      <w:r>
        <w:rPr>
          <w:rFonts w:asciiTheme="minorEastAsia" w:hAnsiTheme="minorEastAsia" w:eastAsiaTheme="minorEastAsia"/>
          <w:color w:val="auto"/>
          <w:sz w:val="28"/>
          <w:szCs w:val="28"/>
          <w:highlight w:val="none"/>
        </w:rPr>
        <w:t>.1第</w:t>
      </w:r>
      <w:r>
        <w:rPr>
          <w:rFonts w:hint="eastAsia" w:asciiTheme="minorEastAsia" w:hAnsiTheme="minorEastAsia" w:eastAsiaTheme="minorEastAsia"/>
          <w:color w:val="auto"/>
          <w:sz w:val="28"/>
          <w:szCs w:val="28"/>
          <w:highlight w:val="none"/>
          <w:lang w:val="en-US" w:eastAsia="zh-CN"/>
        </w:rPr>
        <w:t>一</w:t>
      </w:r>
      <w:r>
        <w:rPr>
          <w:rFonts w:asciiTheme="minorEastAsia" w:hAnsiTheme="minorEastAsia" w:eastAsiaTheme="minorEastAsia"/>
          <w:color w:val="auto"/>
          <w:sz w:val="28"/>
          <w:szCs w:val="28"/>
          <w:highlight w:val="none"/>
        </w:rPr>
        <w:t>期：</w:t>
      </w:r>
      <w:r>
        <w:rPr>
          <w:rFonts w:hint="eastAsia" w:asciiTheme="minorEastAsia" w:hAnsiTheme="minorEastAsia" w:eastAsiaTheme="minorEastAsia"/>
          <w:color w:val="auto"/>
          <w:sz w:val="28"/>
          <w:szCs w:val="28"/>
          <w:highlight w:val="none"/>
        </w:rPr>
        <w:t>合同签订且乙方进场，甲方收到乙方付款申请后10个工作日内，支付合同总价的</w:t>
      </w:r>
      <w:r>
        <w:rPr>
          <w:rFonts w:hint="eastAsia" w:asciiTheme="minorEastAsia" w:hAnsiTheme="minorEastAsia" w:eastAsiaTheme="minorEastAsia"/>
          <w:color w:val="FF0000"/>
          <w:sz w:val="28"/>
          <w:szCs w:val="28"/>
          <w:highlight w:val="none"/>
          <w:lang w:val="en-US" w:eastAsia="zh-CN"/>
        </w:rPr>
        <w:t>3</w:t>
      </w:r>
      <w:r>
        <w:rPr>
          <w:rFonts w:hint="eastAsia" w:asciiTheme="minorEastAsia" w:hAnsiTheme="minorEastAsia" w:eastAsiaTheme="minorEastAsia"/>
          <w:color w:val="FF0000"/>
          <w:sz w:val="28"/>
          <w:szCs w:val="28"/>
          <w:highlight w:val="none"/>
        </w:rPr>
        <w:t>0%</w:t>
      </w:r>
      <w:r>
        <w:rPr>
          <w:rFonts w:hint="eastAsia" w:asciiTheme="minorEastAsia" w:hAnsiTheme="minorEastAsia" w:eastAsiaTheme="minorEastAsia"/>
          <w:color w:val="auto"/>
          <w:sz w:val="28"/>
          <w:szCs w:val="28"/>
          <w:highlight w:val="none"/>
        </w:rPr>
        <w:t>，计¥______元（大写：________）；</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4.2</w:t>
      </w:r>
      <w:r>
        <w:rPr>
          <w:rFonts w:hint="eastAsia" w:asciiTheme="minorEastAsia" w:hAnsiTheme="minorEastAsia" w:eastAsiaTheme="minorEastAsia"/>
          <w:color w:val="auto"/>
          <w:sz w:val="28"/>
          <w:szCs w:val="28"/>
          <w:highlight w:val="none"/>
        </w:rPr>
        <w:t>第</w:t>
      </w:r>
      <w:r>
        <w:rPr>
          <w:rFonts w:hint="eastAsia" w:asciiTheme="minorEastAsia" w:hAnsiTheme="minorEastAsia" w:eastAsiaTheme="minorEastAsia"/>
          <w:color w:val="auto"/>
          <w:sz w:val="28"/>
          <w:szCs w:val="28"/>
          <w:highlight w:val="none"/>
          <w:lang w:val="en-US" w:eastAsia="zh-CN"/>
        </w:rPr>
        <w:t>二</w:t>
      </w:r>
      <w:r>
        <w:rPr>
          <w:rFonts w:hint="eastAsia" w:asciiTheme="minorEastAsia" w:hAnsiTheme="minorEastAsia" w:eastAsiaTheme="minorEastAsia"/>
          <w:color w:val="auto"/>
          <w:sz w:val="28"/>
          <w:szCs w:val="28"/>
          <w:highlight w:val="none"/>
        </w:rPr>
        <w:t>期：</w:t>
      </w:r>
      <w:r>
        <w:rPr>
          <w:rFonts w:asciiTheme="minorEastAsia" w:hAnsiTheme="minorEastAsia" w:eastAsiaTheme="minorEastAsia"/>
          <w:color w:val="auto"/>
          <w:sz w:val="28"/>
          <w:szCs w:val="28"/>
          <w:highlight w:val="none"/>
        </w:rPr>
        <w:t>乙方完成合同第</w:t>
      </w:r>
      <w:r>
        <w:rPr>
          <w:rFonts w:hint="eastAsia" w:asciiTheme="minorEastAsia" w:hAnsiTheme="minorEastAsia" w:eastAsiaTheme="minorEastAsia"/>
          <w:color w:val="auto"/>
          <w:sz w:val="28"/>
          <w:szCs w:val="28"/>
          <w:highlight w:val="none"/>
          <w:lang w:val="en-US" w:eastAsia="zh-CN"/>
        </w:rPr>
        <w:t>8款</w:t>
      </w:r>
      <w:r>
        <w:rPr>
          <w:rFonts w:asciiTheme="minorEastAsia" w:hAnsiTheme="minorEastAsia" w:eastAsiaTheme="minorEastAsia"/>
          <w:color w:val="auto"/>
          <w:sz w:val="28"/>
          <w:szCs w:val="28"/>
          <w:highlight w:val="none"/>
        </w:rPr>
        <w:t>约定的项目成果①</w:t>
      </w:r>
      <w:r>
        <w:rPr>
          <w:rFonts w:hint="default"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管</w:t>
      </w:r>
      <w:r>
        <w:rPr>
          <w:rFonts w:hint="eastAsia" w:asciiTheme="minorEastAsia" w:hAnsiTheme="minorEastAsia" w:eastAsiaTheme="minorEastAsia"/>
          <w:color w:val="auto"/>
          <w:sz w:val="28"/>
          <w:szCs w:val="28"/>
          <w:highlight w:val="none"/>
          <w:lang w:val="en-US" w:eastAsia="zh-CN"/>
        </w:rPr>
        <w:t>控</w:t>
      </w:r>
      <w:r>
        <w:rPr>
          <w:rFonts w:asciiTheme="minorEastAsia" w:hAnsiTheme="minorEastAsia" w:eastAsiaTheme="minorEastAsia"/>
          <w:color w:val="auto"/>
          <w:sz w:val="28"/>
          <w:szCs w:val="28"/>
          <w:highlight w:val="none"/>
        </w:rPr>
        <w:t>体系</w:t>
      </w:r>
      <w:r>
        <w:rPr>
          <w:rFonts w:hint="default" w:asciiTheme="minorEastAsia" w:hAnsiTheme="minorEastAsia" w:eastAsiaTheme="minorEastAsia"/>
          <w:color w:val="auto"/>
          <w:sz w:val="28"/>
          <w:szCs w:val="28"/>
          <w:highlight w:val="none"/>
        </w:rPr>
        <w:t>优化项目调研</w:t>
      </w:r>
      <w:r>
        <w:rPr>
          <w:rFonts w:hint="eastAsia" w:asciiTheme="minorEastAsia" w:hAnsiTheme="minorEastAsia" w:eastAsiaTheme="minorEastAsia"/>
          <w:color w:val="auto"/>
          <w:sz w:val="28"/>
          <w:szCs w:val="28"/>
          <w:highlight w:val="none"/>
          <w:lang w:val="en-US" w:eastAsia="zh-CN"/>
        </w:rPr>
        <w:t>与诊断</w:t>
      </w:r>
      <w:r>
        <w:rPr>
          <w:rFonts w:hint="default" w:asciiTheme="minorEastAsia" w:hAnsiTheme="minorEastAsia" w:eastAsiaTheme="minorEastAsia"/>
          <w:color w:val="auto"/>
          <w:sz w:val="28"/>
          <w:szCs w:val="28"/>
          <w:highlight w:val="none"/>
        </w:rPr>
        <w:t>报告》</w:t>
      </w:r>
      <w:r>
        <w:rPr>
          <w:rFonts w:hint="eastAsia" w:asciiTheme="minorEastAsia" w:hAnsiTheme="minorEastAsia" w:eastAsiaTheme="minorEastAsia"/>
          <w:color w:val="auto"/>
          <w:sz w:val="28"/>
          <w:szCs w:val="28"/>
          <w:highlight w:val="none"/>
          <w:lang w:val="en-US" w:eastAsia="zh-CN"/>
        </w:rPr>
        <w:t>②《集团公司管控模式优化方案》③《集团公司管控管理制度》④每个子公司“一企一策”《管控权限清单》⑤《管控权限指引表》并提交甲方验收通过后，乙方根据甲方要求提交相关支付申请后15个工作日内，支付合同总价的</w:t>
      </w:r>
      <w:r>
        <w:rPr>
          <w:rFonts w:hint="eastAsia" w:asciiTheme="minorEastAsia" w:hAnsiTheme="minorEastAsia" w:eastAsiaTheme="minorEastAsia"/>
          <w:color w:val="FF0000"/>
          <w:sz w:val="28"/>
          <w:szCs w:val="28"/>
          <w:highlight w:val="none"/>
          <w:lang w:val="en-US" w:eastAsia="zh-CN"/>
        </w:rPr>
        <w:t>60%</w:t>
      </w:r>
      <w:r>
        <w:rPr>
          <w:rFonts w:hint="eastAsia" w:asciiTheme="minorEastAsia" w:hAnsiTheme="minorEastAsia" w:eastAsiaTheme="minorEastAsia"/>
          <w:color w:val="auto"/>
          <w:sz w:val="28"/>
          <w:szCs w:val="28"/>
          <w:highlight w:val="none"/>
          <w:lang w:val="en-US" w:eastAsia="zh-CN"/>
        </w:rPr>
        <w:t>，计¥________元（大写：________）；</w:t>
      </w:r>
    </w:p>
    <w:p>
      <w:pPr>
        <w:pStyle w:val="12"/>
        <w:kinsoku w:val="0"/>
        <w:overflowPunct w:val="0"/>
        <w:adjustRightInd/>
        <w:spacing w:before="100" w:beforeAutospacing="1" w:after="100" w:afterAutospacing="1" w:line="500" w:lineRule="exact"/>
        <w:ind w:left="0" w:firstLine="560" w:firstLineChars="200"/>
        <w:contextualSpacing/>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4</w:t>
      </w:r>
      <w:r>
        <w:rPr>
          <w:rFonts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第</w:t>
      </w:r>
      <w:r>
        <w:rPr>
          <w:rFonts w:hint="eastAsia" w:asciiTheme="minorEastAsia" w:hAnsiTheme="minorEastAsia" w:eastAsiaTheme="minorEastAsia"/>
          <w:color w:val="auto"/>
          <w:sz w:val="28"/>
          <w:szCs w:val="28"/>
          <w:highlight w:val="none"/>
          <w:lang w:val="en-US" w:eastAsia="zh-CN"/>
        </w:rPr>
        <w:t>三</w:t>
      </w:r>
      <w:r>
        <w:rPr>
          <w:rFonts w:asciiTheme="minorEastAsia" w:hAnsiTheme="minorEastAsia" w:eastAsiaTheme="minorEastAsia"/>
          <w:color w:val="auto"/>
          <w:sz w:val="28"/>
          <w:szCs w:val="28"/>
          <w:highlight w:val="none"/>
        </w:rPr>
        <w:t>期：乙方辅导甲方将项目成果实施落地，</w:t>
      </w:r>
      <w:r>
        <w:rPr>
          <w:rFonts w:hint="eastAsia" w:asciiTheme="minorEastAsia" w:hAnsiTheme="minorEastAsia" w:eastAsiaTheme="minorEastAsia"/>
          <w:color w:val="auto"/>
          <w:sz w:val="28"/>
          <w:szCs w:val="28"/>
          <w:highlight w:val="none"/>
        </w:rPr>
        <w:t>根据甲方执行情况对交付的咨询成果进行调整优化，并提交甲方验收</w:t>
      </w:r>
      <w:r>
        <w:rPr>
          <w:rFonts w:hint="eastAsia" w:asciiTheme="minorEastAsia" w:hAnsiTheme="minorEastAsia" w:eastAsiaTheme="minorEastAsia"/>
          <w:color w:val="auto"/>
          <w:sz w:val="28"/>
          <w:szCs w:val="28"/>
          <w:highlight w:val="none"/>
          <w:lang w:eastAsia="zh-CN"/>
        </w:rPr>
        <w:t>，通过项目阶段验收，乙方提出结算申请，</w:t>
      </w:r>
      <w:r>
        <w:rPr>
          <w:rFonts w:asciiTheme="minorEastAsia" w:hAnsiTheme="minorEastAsia" w:eastAsiaTheme="minorEastAsia"/>
          <w:color w:val="auto"/>
          <w:sz w:val="28"/>
          <w:szCs w:val="28"/>
          <w:highlight w:val="none"/>
        </w:rPr>
        <w:t>经甲方结算审定后一次性支付余款。</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结算申请</w:t>
      </w:r>
      <w:r>
        <w:rPr>
          <w:rFonts w:hint="default" w:asciiTheme="minorEastAsia" w:hAnsiTheme="minorEastAsia" w:eastAsiaTheme="minorEastAsia"/>
          <w:color w:val="auto"/>
          <w:sz w:val="28"/>
          <w:szCs w:val="28"/>
          <w:highlight w:val="none"/>
        </w:rPr>
        <w:t>材料</w:t>
      </w:r>
      <w:r>
        <w:rPr>
          <w:rFonts w:hint="eastAsia" w:asciiTheme="minorEastAsia" w:hAnsiTheme="minorEastAsia" w:eastAsiaTheme="minorEastAsia"/>
          <w:color w:val="auto"/>
          <w:sz w:val="28"/>
          <w:szCs w:val="28"/>
          <w:highlight w:val="none"/>
          <w:lang w:val="en-US" w:eastAsia="zh-CN"/>
        </w:rPr>
        <w:t>如下：</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default" w:asciiTheme="minorEastAsia" w:hAnsiTheme="minorEastAsia" w:eastAsiaTheme="minorEastAsia"/>
          <w:color w:val="auto"/>
          <w:sz w:val="28"/>
          <w:szCs w:val="28"/>
          <w:highlight w:val="none"/>
        </w:rPr>
        <w:t>（1）乙方每次提供的当次金额100%分类出具的增值税专用发票。</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default" w:asciiTheme="minorEastAsia" w:hAnsiTheme="minorEastAsia" w:eastAsiaTheme="minorEastAsia"/>
          <w:color w:val="auto"/>
          <w:sz w:val="28"/>
          <w:szCs w:val="28"/>
          <w:highlight w:val="none"/>
        </w:rPr>
        <w:t>（2）乙方出具的支付申请书。</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default" w:asciiTheme="minorEastAsia" w:hAnsiTheme="minorEastAsia" w:eastAsiaTheme="minorEastAsia"/>
          <w:color w:val="auto"/>
          <w:sz w:val="28"/>
          <w:szCs w:val="28"/>
          <w:highlight w:val="none"/>
        </w:rPr>
        <w:t>（3）甲乙双方签名确认的验收单。</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default" w:asciiTheme="minorEastAsia" w:hAnsiTheme="minorEastAsia" w:eastAsiaTheme="minorEastAsia"/>
          <w:color w:val="auto"/>
          <w:sz w:val="28"/>
          <w:szCs w:val="28"/>
          <w:highlight w:val="none"/>
        </w:rPr>
        <w:t>（4）经甲方审定的结算资料。</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如乙方未按约定提供足额的增值税专用发票、支付申请书及验收材料的，甲方有权顺延付款时间直至乙方按约定补足相应资料为止。</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4</w:t>
      </w:r>
      <w:r>
        <w:rPr>
          <w:rFonts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上述合同款项由甲方以转账方式汇入本合同指定的乙方帐户。</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5</w:t>
      </w:r>
      <w:r>
        <w:rPr>
          <w:rFonts w:asciiTheme="minorEastAsia" w:hAnsiTheme="minorEastAsia" w:eastAsiaTheme="minorEastAsia"/>
          <w:b/>
          <w:color w:val="auto"/>
          <w:sz w:val="28"/>
          <w:szCs w:val="28"/>
          <w:highlight w:val="none"/>
        </w:rPr>
        <w:t>.服务期限及成果提交时间</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本合同服务期限从合同签订之日至项目完成</w:t>
      </w:r>
      <w:r>
        <w:rPr>
          <w:rFonts w:hint="eastAsia" w:asciiTheme="minorEastAsia" w:hAnsiTheme="minorEastAsia" w:eastAsiaTheme="minorEastAsia"/>
          <w:color w:val="auto"/>
          <w:sz w:val="28"/>
          <w:szCs w:val="28"/>
          <w:highlight w:val="none"/>
          <w:lang w:val="en-US" w:eastAsia="zh-CN"/>
        </w:rPr>
        <w:t>结算为</w:t>
      </w:r>
      <w:r>
        <w:rPr>
          <w:rFonts w:asciiTheme="minorEastAsia" w:hAnsiTheme="minorEastAsia" w:eastAsiaTheme="minorEastAsia"/>
          <w:color w:val="auto"/>
          <w:sz w:val="28"/>
          <w:szCs w:val="28"/>
          <w:highlight w:val="none"/>
        </w:rPr>
        <w:t>止。乙方应与甲方沟通，制定项目联合工作计划表，并按工作计划表推进项目服务工作</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工期随阶段性工作完成顺延</w:t>
      </w:r>
      <w:r>
        <w:rPr>
          <w:rFonts w:asciiTheme="minorEastAsia" w:hAnsiTheme="minorEastAsia" w:eastAsiaTheme="minorEastAsia"/>
          <w:color w:val="auto"/>
          <w:sz w:val="28"/>
          <w:szCs w:val="28"/>
          <w:highlight w:val="none"/>
        </w:rPr>
        <w:t>。</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.1合同签订且乙方进场之日起，</w:t>
      </w:r>
      <w:r>
        <w:rPr>
          <w:rFonts w:hint="eastAsia" w:asciiTheme="minorEastAsia" w:hAnsiTheme="minorEastAsia" w:eastAsiaTheme="minorEastAsia"/>
          <w:color w:val="auto"/>
          <w:sz w:val="28"/>
          <w:szCs w:val="28"/>
          <w:highlight w:val="none"/>
          <w:lang w:val="en-US" w:eastAsia="zh-CN"/>
        </w:rPr>
        <w:t>15</w:t>
      </w:r>
      <w:r>
        <w:rPr>
          <w:rFonts w:asciiTheme="minorEastAsia" w:hAnsiTheme="minorEastAsia" w:eastAsiaTheme="minorEastAsia"/>
          <w:color w:val="auto"/>
          <w:sz w:val="28"/>
          <w:szCs w:val="28"/>
          <w:highlight w:val="none"/>
        </w:rPr>
        <w:t>个自然日内完成访谈、内部调研等工作，并出具诊断报告。</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.2合同签订且乙方进场之日起，乙方在</w:t>
      </w:r>
      <w:r>
        <w:rPr>
          <w:rFonts w:hint="eastAsia" w:asciiTheme="minorEastAsia" w:hAnsiTheme="minorEastAsia" w:eastAsiaTheme="minorEastAsia"/>
          <w:color w:val="auto"/>
          <w:sz w:val="28"/>
          <w:szCs w:val="28"/>
          <w:highlight w:val="none"/>
          <w:lang w:eastAsia="zh-CN"/>
        </w:rPr>
        <w:t>6</w:t>
      </w:r>
      <w:r>
        <w:rPr>
          <w:rFonts w:hint="eastAsia" w:asciiTheme="minorEastAsia" w:hAnsiTheme="minorEastAsia" w:eastAsiaTheme="minorEastAsia"/>
          <w:color w:val="auto"/>
          <w:sz w:val="28"/>
          <w:szCs w:val="28"/>
          <w:highlight w:val="none"/>
          <w:lang w:val="en-US" w:eastAsia="zh-CN"/>
        </w:rPr>
        <w:t>0</w:t>
      </w:r>
      <w:r>
        <w:rPr>
          <w:rFonts w:asciiTheme="minorEastAsia" w:hAnsiTheme="minorEastAsia" w:eastAsiaTheme="minorEastAsia"/>
          <w:color w:val="auto"/>
          <w:sz w:val="28"/>
          <w:szCs w:val="28"/>
          <w:highlight w:val="none"/>
        </w:rPr>
        <w:t>个自然日内完成合同第</w:t>
      </w:r>
      <w:r>
        <w:rPr>
          <w:rFonts w:hint="eastAsia" w:asciiTheme="minorEastAsia" w:hAnsiTheme="minorEastAsia" w:eastAsiaTheme="minorEastAsia"/>
          <w:color w:val="auto"/>
          <w:sz w:val="28"/>
          <w:szCs w:val="28"/>
          <w:highlight w:val="none"/>
          <w:lang w:eastAsia="zh-CN"/>
        </w:rPr>
        <w:t>8</w:t>
      </w:r>
      <w:r>
        <w:rPr>
          <w:rFonts w:hint="eastAsia" w:asciiTheme="minorEastAsia" w:hAnsiTheme="minorEastAsia" w:eastAsiaTheme="minorEastAsia"/>
          <w:color w:val="auto"/>
          <w:sz w:val="28"/>
          <w:szCs w:val="28"/>
          <w:highlight w:val="none"/>
          <w:lang w:val="en-US" w:eastAsia="zh-CN"/>
        </w:rPr>
        <w:t>款</w:t>
      </w:r>
      <w:r>
        <w:rPr>
          <w:rFonts w:asciiTheme="minorEastAsia" w:hAnsiTheme="minorEastAsia" w:eastAsiaTheme="minorEastAsia"/>
          <w:color w:val="auto"/>
          <w:sz w:val="28"/>
          <w:szCs w:val="28"/>
          <w:highlight w:val="none"/>
        </w:rPr>
        <w:t>要求的项目成果，并提交甲方审查。</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.3乙方在甲方审查后14个自然日内根据甲方审查意见完成项目成果的修改，并提交甲方</w:t>
      </w:r>
      <w:r>
        <w:rPr>
          <w:rFonts w:hint="eastAsia" w:asciiTheme="minorEastAsia" w:hAnsiTheme="minorEastAsia" w:eastAsiaTheme="minorEastAsia"/>
          <w:color w:val="auto"/>
          <w:sz w:val="28"/>
          <w:szCs w:val="28"/>
          <w:highlight w:val="none"/>
          <w:lang w:val="en-US" w:eastAsia="zh-CN"/>
        </w:rPr>
        <w:t>申请第一期成果</w:t>
      </w:r>
      <w:r>
        <w:rPr>
          <w:rFonts w:asciiTheme="minorEastAsia" w:hAnsiTheme="minorEastAsia" w:eastAsiaTheme="minorEastAsia"/>
          <w:color w:val="auto"/>
          <w:sz w:val="28"/>
          <w:szCs w:val="28"/>
          <w:highlight w:val="none"/>
        </w:rPr>
        <w:t>验收。</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乙方负责召开至少一次宣贯会。</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5.5第一期</w:t>
      </w:r>
      <w:r>
        <w:rPr>
          <w:rFonts w:hint="eastAsia" w:asciiTheme="minorEastAsia" w:hAnsiTheme="minorEastAsia" w:eastAsiaTheme="minorEastAsia"/>
          <w:color w:val="auto"/>
          <w:sz w:val="28"/>
          <w:szCs w:val="28"/>
          <w:highlight w:val="none"/>
        </w:rPr>
        <w:t>成果</w:t>
      </w:r>
      <w:r>
        <w:rPr>
          <w:rFonts w:asciiTheme="minorEastAsia" w:hAnsiTheme="minorEastAsia" w:eastAsiaTheme="minorEastAsia"/>
          <w:color w:val="auto"/>
          <w:sz w:val="28"/>
          <w:szCs w:val="28"/>
          <w:highlight w:val="none"/>
        </w:rPr>
        <w:t>经甲方验收合格后</w:t>
      </w:r>
      <w:r>
        <w:rPr>
          <w:rFonts w:hint="eastAsia"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乙方根据本合同附件《南宁轨道交通集团有限责任公司管</w:t>
      </w:r>
      <w:r>
        <w:rPr>
          <w:rFonts w:hint="eastAsia" w:asciiTheme="minorEastAsia" w:hAnsiTheme="minorEastAsia" w:eastAsiaTheme="minorEastAsia"/>
          <w:color w:val="auto"/>
          <w:sz w:val="28"/>
          <w:szCs w:val="28"/>
          <w:highlight w:val="none"/>
          <w:lang w:val="en-US" w:eastAsia="zh-CN"/>
        </w:rPr>
        <w:t>控</w:t>
      </w:r>
      <w:r>
        <w:rPr>
          <w:rFonts w:asciiTheme="minorEastAsia" w:hAnsiTheme="minorEastAsia" w:eastAsiaTheme="minorEastAsia"/>
          <w:color w:val="auto"/>
          <w:sz w:val="28"/>
          <w:szCs w:val="28"/>
          <w:highlight w:val="none"/>
        </w:rPr>
        <w:t>体系优化咨询项目比选申请文件》技术部分的辅导实施方案及甲方需求</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rPr>
        <w:t>提供为期</w:t>
      </w:r>
      <w:r>
        <w:rPr>
          <w:rFonts w:hint="eastAsia" w:asciiTheme="minorEastAsia" w:hAnsiTheme="minorEastAsia" w:eastAsiaTheme="minorEastAsia"/>
          <w:color w:val="auto"/>
          <w:sz w:val="28"/>
          <w:szCs w:val="28"/>
          <w:highlight w:val="none"/>
          <w:lang w:val="en-US" w:eastAsia="zh-CN"/>
        </w:rPr>
        <w:t>至少180个自然日</w:t>
      </w:r>
      <w:r>
        <w:rPr>
          <w:rFonts w:hint="eastAsia" w:asciiTheme="minorEastAsia" w:hAnsiTheme="minorEastAsia" w:eastAsiaTheme="minorEastAsia"/>
          <w:color w:val="auto"/>
          <w:sz w:val="28"/>
          <w:szCs w:val="28"/>
          <w:highlight w:val="none"/>
        </w:rPr>
        <w:t>的落地执行解释、咨询、评审等</w:t>
      </w:r>
      <w:r>
        <w:rPr>
          <w:rFonts w:hint="eastAsia" w:asciiTheme="minorEastAsia" w:hAnsiTheme="minorEastAsia" w:eastAsiaTheme="minorEastAsia"/>
          <w:color w:val="auto"/>
          <w:sz w:val="28"/>
          <w:szCs w:val="28"/>
          <w:highlight w:val="none"/>
          <w:lang w:val="en-US" w:eastAsia="zh-CN"/>
        </w:rPr>
        <w:t>辅导</w:t>
      </w:r>
      <w:r>
        <w:rPr>
          <w:rFonts w:hint="eastAsia" w:asciiTheme="minorEastAsia" w:hAnsiTheme="minorEastAsia" w:eastAsiaTheme="minorEastAsia"/>
          <w:color w:val="auto"/>
          <w:sz w:val="28"/>
          <w:szCs w:val="28"/>
          <w:highlight w:val="none"/>
        </w:rPr>
        <w:t>服务</w:t>
      </w:r>
      <w:r>
        <w:rPr>
          <w:rFonts w:asciiTheme="minorEastAsia" w:hAnsiTheme="minorEastAsia" w:eastAsiaTheme="minorEastAsia"/>
          <w:color w:val="auto"/>
          <w:sz w:val="28"/>
          <w:szCs w:val="28"/>
          <w:highlight w:val="none"/>
        </w:rPr>
        <w:t>，并根据实施过程中出现的问题提出解决方案。</w:t>
      </w:r>
    </w:p>
    <w:p>
      <w:pPr>
        <w:pStyle w:val="12"/>
        <w:kinsoku w:val="0"/>
        <w:overflowPunct w:val="0"/>
        <w:adjustRightInd/>
        <w:spacing w:before="100" w:beforeAutospacing="1" w:after="100" w:afterAutospacing="1" w:line="500" w:lineRule="exact"/>
        <w:ind w:left="0" w:firstLine="560" w:firstLineChars="200"/>
        <w:contextualSpacing/>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5.6乙方</w:t>
      </w:r>
      <w:r>
        <w:rPr>
          <w:rFonts w:hint="eastAsia" w:asciiTheme="minorEastAsia" w:hAnsiTheme="minorEastAsia" w:eastAsiaTheme="minorEastAsia"/>
          <w:color w:val="auto"/>
          <w:sz w:val="28"/>
          <w:szCs w:val="28"/>
          <w:highlight w:val="none"/>
        </w:rPr>
        <w:t>根据</w:t>
      </w:r>
      <w:r>
        <w:rPr>
          <w:rFonts w:hint="eastAsia" w:asciiTheme="minorEastAsia" w:hAnsiTheme="minorEastAsia" w:eastAsiaTheme="minorEastAsia"/>
          <w:color w:val="auto"/>
          <w:sz w:val="28"/>
          <w:szCs w:val="28"/>
          <w:highlight w:val="none"/>
          <w:lang w:val="en-US" w:eastAsia="zh-CN"/>
        </w:rPr>
        <w:t>落地辅导服务期</w:t>
      </w:r>
      <w:r>
        <w:rPr>
          <w:rFonts w:hint="eastAsia" w:asciiTheme="minorEastAsia" w:hAnsiTheme="minorEastAsia" w:eastAsiaTheme="minorEastAsia"/>
          <w:color w:val="auto"/>
          <w:sz w:val="28"/>
          <w:szCs w:val="28"/>
          <w:highlight w:val="none"/>
        </w:rPr>
        <w:t>执行情况对交付的咨询成果进行调整优化</w:t>
      </w:r>
      <w:r>
        <w:rPr>
          <w:rFonts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将调整优化后的成果</w:t>
      </w:r>
      <w:r>
        <w:rPr>
          <w:rFonts w:asciiTheme="minorEastAsia" w:hAnsiTheme="minorEastAsia" w:eastAsiaTheme="minorEastAsia"/>
          <w:color w:val="auto"/>
          <w:sz w:val="28"/>
          <w:szCs w:val="28"/>
          <w:highlight w:val="none"/>
        </w:rPr>
        <w:t>提交甲方</w:t>
      </w:r>
      <w:r>
        <w:rPr>
          <w:rFonts w:hint="eastAsia" w:asciiTheme="minorEastAsia" w:hAnsiTheme="minorEastAsia" w:eastAsiaTheme="minorEastAsia"/>
          <w:color w:val="auto"/>
          <w:sz w:val="28"/>
          <w:szCs w:val="28"/>
          <w:highlight w:val="none"/>
          <w:lang w:val="en-US" w:eastAsia="zh-CN"/>
        </w:rPr>
        <w:t>申请第二期成果</w:t>
      </w:r>
      <w:r>
        <w:rPr>
          <w:rFonts w:asciiTheme="minorEastAsia" w:hAnsiTheme="minorEastAsia" w:eastAsiaTheme="minorEastAsia"/>
          <w:color w:val="auto"/>
          <w:sz w:val="28"/>
          <w:szCs w:val="28"/>
          <w:highlight w:val="none"/>
        </w:rPr>
        <w:t>验收</w:t>
      </w:r>
      <w:r>
        <w:rPr>
          <w:rFonts w:hint="eastAsia" w:asciiTheme="minorEastAsia" w:hAnsiTheme="minorEastAsia" w:eastAsiaTheme="minorEastAsia"/>
          <w:color w:val="auto"/>
          <w:sz w:val="28"/>
          <w:szCs w:val="28"/>
          <w:highlight w:val="none"/>
        </w:rPr>
        <w:t>。</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6</w:t>
      </w:r>
      <w:r>
        <w:rPr>
          <w:rFonts w:asciiTheme="minorEastAsia" w:hAnsiTheme="minorEastAsia" w:eastAsiaTheme="minorEastAsia"/>
          <w:b/>
          <w:color w:val="auto"/>
          <w:sz w:val="28"/>
          <w:szCs w:val="28"/>
          <w:highlight w:val="none"/>
        </w:rPr>
        <w:t xml:space="preserve">.甲方应向乙方提供的资料及协作事项 </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6</w:t>
      </w:r>
      <w:r>
        <w:rPr>
          <w:rFonts w:asciiTheme="minorEastAsia" w:hAnsiTheme="minorEastAsia" w:eastAsiaTheme="minorEastAsia"/>
          <w:color w:val="auto"/>
          <w:sz w:val="28"/>
          <w:szCs w:val="28"/>
          <w:highlight w:val="none"/>
        </w:rPr>
        <w:t>.1资料清单：双方商定项目所需资料。</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6</w:t>
      </w:r>
      <w:r>
        <w:rPr>
          <w:rFonts w:asciiTheme="minorEastAsia" w:hAnsiTheme="minorEastAsia" w:eastAsiaTheme="minorEastAsia"/>
          <w:color w:val="auto"/>
          <w:sz w:val="28"/>
          <w:szCs w:val="28"/>
          <w:highlight w:val="none"/>
        </w:rPr>
        <w:t>.2提供时间和方式：项目启动前及项目进行中，以双方协商确定的方式提供。</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6</w:t>
      </w:r>
      <w:r>
        <w:rPr>
          <w:rFonts w:asciiTheme="minorEastAsia" w:hAnsiTheme="minorEastAsia" w:eastAsiaTheme="minorEastAsia"/>
          <w:color w:val="auto"/>
          <w:sz w:val="28"/>
          <w:szCs w:val="28"/>
          <w:highlight w:val="none"/>
        </w:rPr>
        <w:t>.3其他协作事项：双方保持密切沟通，协商解决项目中遇到的具体问题。</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7</w:t>
      </w:r>
      <w:r>
        <w:rPr>
          <w:rFonts w:asciiTheme="minorEastAsia" w:hAnsiTheme="minorEastAsia" w:eastAsiaTheme="minorEastAsia"/>
          <w:b/>
          <w:color w:val="auto"/>
          <w:sz w:val="28"/>
          <w:szCs w:val="28"/>
          <w:highlight w:val="none"/>
        </w:rPr>
        <w:t>.运作方式</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若服务项目需要乙方在甲方现场了解情况、访谈、讨论方案、培训和汇报，乙方项目组</w:t>
      </w:r>
      <w:r>
        <w:rPr>
          <w:rFonts w:hint="eastAsia" w:asciiTheme="minorEastAsia" w:hAnsiTheme="minorEastAsia" w:eastAsiaTheme="minorEastAsia"/>
          <w:color w:val="auto"/>
          <w:sz w:val="28"/>
          <w:szCs w:val="28"/>
          <w:highlight w:val="none"/>
          <w:lang w:val="en-US" w:eastAsia="zh-CN"/>
        </w:rPr>
        <w:t>应</w:t>
      </w:r>
      <w:r>
        <w:rPr>
          <w:rFonts w:asciiTheme="minorEastAsia" w:hAnsiTheme="minorEastAsia" w:eastAsiaTheme="minorEastAsia"/>
          <w:color w:val="auto"/>
          <w:sz w:val="28"/>
          <w:szCs w:val="28"/>
          <w:highlight w:val="none"/>
        </w:rPr>
        <w:t>在甲方所在地工作。对于其他项目工作，包括项目组内部讨论、方案的设计、报告的准备等工作，乙方项目组</w:t>
      </w:r>
      <w:r>
        <w:rPr>
          <w:rFonts w:hint="eastAsia" w:asciiTheme="minorEastAsia" w:hAnsiTheme="minorEastAsia" w:eastAsiaTheme="minorEastAsia"/>
          <w:color w:val="auto"/>
          <w:sz w:val="28"/>
          <w:szCs w:val="28"/>
          <w:highlight w:val="none"/>
          <w:lang w:val="en-US" w:eastAsia="zh-CN"/>
        </w:rPr>
        <w:t>可</w:t>
      </w:r>
      <w:r>
        <w:rPr>
          <w:rFonts w:asciiTheme="minorEastAsia" w:hAnsiTheme="minorEastAsia" w:eastAsiaTheme="minorEastAsia"/>
          <w:color w:val="auto"/>
          <w:sz w:val="28"/>
          <w:szCs w:val="28"/>
          <w:highlight w:val="none"/>
        </w:rPr>
        <w:t>在乙方办公室完成。</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8</w:t>
      </w:r>
      <w:r>
        <w:rPr>
          <w:rFonts w:asciiTheme="minorEastAsia" w:hAnsiTheme="minorEastAsia" w:eastAsiaTheme="minorEastAsia"/>
          <w:b/>
          <w:color w:val="auto"/>
          <w:sz w:val="28"/>
          <w:szCs w:val="28"/>
          <w:highlight w:val="none"/>
        </w:rPr>
        <w:t>.项目成果验收</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8</w:t>
      </w:r>
      <w:r>
        <w:rPr>
          <w:rFonts w:asciiTheme="minorEastAsia" w:hAnsiTheme="minorEastAsia" w:eastAsiaTheme="minorEastAsia"/>
          <w:color w:val="auto"/>
          <w:sz w:val="28"/>
          <w:szCs w:val="28"/>
          <w:highlight w:val="none"/>
        </w:rPr>
        <w:t>.1项目成果验收：合同签订后，乙方按本合同附件《南宁轨道交通集团有限责任公司管</w:t>
      </w:r>
      <w:r>
        <w:rPr>
          <w:rFonts w:hint="eastAsia" w:asciiTheme="minorEastAsia" w:hAnsiTheme="minorEastAsia" w:eastAsiaTheme="minorEastAsia"/>
          <w:color w:val="auto"/>
          <w:sz w:val="28"/>
          <w:szCs w:val="28"/>
          <w:highlight w:val="none"/>
          <w:lang w:val="en-US" w:eastAsia="zh-CN"/>
        </w:rPr>
        <w:t>控</w:t>
      </w:r>
      <w:r>
        <w:rPr>
          <w:rFonts w:asciiTheme="minorEastAsia" w:hAnsiTheme="minorEastAsia" w:eastAsiaTheme="minorEastAsia"/>
          <w:color w:val="auto"/>
          <w:sz w:val="28"/>
          <w:szCs w:val="28"/>
          <w:highlight w:val="none"/>
        </w:rPr>
        <w:t>体系优化咨询项目比选申请文件》技术部分的项目服务方案完成项目所有服务内容，交付项目所有电子版成果及五套纸质版成果，成果包括但不限于：</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①</w:t>
      </w:r>
      <w:r>
        <w:rPr>
          <w:rFonts w:hint="default"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管</w:t>
      </w:r>
      <w:r>
        <w:rPr>
          <w:rFonts w:hint="eastAsia" w:asciiTheme="minorEastAsia" w:hAnsiTheme="minorEastAsia" w:eastAsiaTheme="minorEastAsia"/>
          <w:color w:val="auto"/>
          <w:sz w:val="28"/>
          <w:szCs w:val="28"/>
          <w:highlight w:val="none"/>
          <w:lang w:val="en-US" w:eastAsia="zh-CN"/>
        </w:rPr>
        <w:t>控</w:t>
      </w:r>
      <w:r>
        <w:rPr>
          <w:rFonts w:asciiTheme="minorEastAsia" w:hAnsiTheme="minorEastAsia" w:eastAsiaTheme="minorEastAsia"/>
          <w:color w:val="auto"/>
          <w:sz w:val="28"/>
          <w:szCs w:val="28"/>
          <w:highlight w:val="none"/>
        </w:rPr>
        <w:t>体系</w:t>
      </w:r>
      <w:r>
        <w:rPr>
          <w:rFonts w:hint="default" w:asciiTheme="minorEastAsia" w:hAnsiTheme="minorEastAsia" w:eastAsiaTheme="minorEastAsia"/>
          <w:color w:val="auto"/>
          <w:sz w:val="28"/>
          <w:szCs w:val="28"/>
          <w:highlight w:val="none"/>
        </w:rPr>
        <w:t>优化项目调研</w:t>
      </w:r>
      <w:r>
        <w:rPr>
          <w:rFonts w:hint="eastAsia" w:asciiTheme="minorEastAsia" w:hAnsiTheme="minorEastAsia" w:eastAsiaTheme="minorEastAsia"/>
          <w:color w:val="auto"/>
          <w:sz w:val="28"/>
          <w:szCs w:val="28"/>
          <w:highlight w:val="none"/>
          <w:lang w:val="en-US" w:eastAsia="zh-CN"/>
        </w:rPr>
        <w:t>与诊断</w:t>
      </w:r>
      <w:r>
        <w:rPr>
          <w:rFonts w:hint="default" w:asciiTheme="minorEastAsia" w:hAnsiTheme="minorEastAsia" w:eastAsiaTheme="minorEastAsia"/>
          <w:color w:val="auto"/>
          <w:sz w:val="28"/>
          <w:szCs w:val="28"/>
          <w:highlight w:val="none"/>
        </w:rPr>
        <w:t>报告》</w:t>
      </w:r>
    </w:p>
    <w:p>
      <w:pPr>
        <w:pStyle w:val="12"/>
        <w:kinsoku w:val="0"/>
        <w:overflowPunct w:val="0"/>
        <w:adjustRightInd/>
        <w:spacing w:before="100" w:beforeAutospacing="1" w:after="100" w:afterAutospacing="1" w:line="500" w:lineRule="exact"/>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②《</w:t>
      </w:r>
      <w:r>
        <w:rPr>
          <w:rFonts w:hint="eastAsia" w:asciiTheme="minorEastAsia" w:hAnsiTheme="minorEastAsia" w:eastAsiaTheme="minorEastAsia"/>
          <w:color w:val="auto"/>
          <w:sz w:val="28"/>
          <w:szCs w:val="28"/>
          <w:highlight w:val="none"/>
        </w:rPr>
        <w:t>集团公司</w:t>
      </w:r>
      <w:r>
        <w:rPr>
          <w:rFonts w:hint="eastAsia" w:asciiTheme="minorEastAsia" w:hAnsiTheme="minorEastAsia" w:eastAsiaTheme="minorEastAsia"/>
          <w:color w:val="auto"/>
          <w:sz w:val="28"/>
          <w:szCs w:val="28"/>
          <w:highlight w:val="none"/>
          <w:lang w:val="en-US" w:eastAsia="zh-CN"/>
        </w:rPr>
        <w:t>管控模式</w:t>
      </w:r>
      <w:r>
        <w:rPr>
          <w:rFonts w:asciiTheme="minorEastAsia" w:hAnsiTheme="minorEastAsia" w:eastAsiaTheme="minorEastAsia"/>
          <w:color w:val="auto"/>
          <w:sz w:val="28"/>
          <w:szCs w:val="28"/>
          <w:highlight w:val="none"/>
        </w:rPr>
        <w:t>优化方案》</w:t>
      </w:r>
    </w:p>
    <w:p>
      <w:pPr>
        <w:pStyle w:val="12"/>
        <w:kinsoku w:val="0"/>
        <w:overflowPunct w:val="0"/>
        <w:adjustRightInd/>
        <w:spacing w:before="100" w:beforeAutospacing="1" w:after="100" w:afterAutospacing="1" w:line="500" w:lineRule="exact"/>
        <w:ind w:left="518" w:leftChars="216"/>
        <w:contextualSpacing/>
        <w:rPr>
          <w:rFonts w:hint="eastAsia" w:asciiTheme="minorEastAsia" w:hAnsiTheme="minorEastAsia" w:eastAsiaTheme="minorEastAsia"/>
          <w:color w:val="auto"/>
          <w:sz w:val="28"/>
          <w:szCs w:val="28"/>
          <w:highlight w:val="none"/>
          <w:lang w:eastAsia="zh-CN"/>
        </w:rPr>
      </w:pPr>
      <w:r>
        <w:rPr>
          <w:rFonts w:asciiTheme="minorEastAsia" w:hAnsiTheme="minorEastAsia" w:eastAsiaTheme="minorEastAsia"/>
          <w:color w:val="auto"/>
          <w:sz w:val="28"/>
          <w:szCs w:val="28"/>
          <w:highlight w:val="none"/>
        </w:rPr>
        <w:t>③</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rPr>
        <w:t>集团公司</w:t>
      </w:r>
      <w:r>
        <w:rPr>
          <w:rFonts w:hint="eastAsia" w:asciiTheme="minorEastAsia" w:hAnsiTheme="minorEastAsia" w:eastAsiaTheme="minorEastAsia"/>
          <w:color w:val="auto"/>
          <w:sz w:val="28"/>
          <w:szCs w:val="28"/>
          <w:highlight w:val="none"/>
          <w:lang w:val="en-US" w:eastAsia="zh-CN"/>
        </w:rPr>
        <w:t>管控管理制度</w:t>
      </w:r>
      <w:r>
        <w:rPr>
          <w:rFonts w:asciiTheme="minorEastAsia" w:hAnsiTheme="minorEastAsia" w:eastAsiaTheme="minorEastAsia"/>
          <w:color w:val="auto"/>
          <w:sz w:val="28"/>
          <w:szCs w:val="28"/>
          <w:highlight w:val="none"/>
        </w:rPr>
        <w:t>》</w:t>
      </w:r>
    </w:p>
    <w:p>
      <w:pPr>
        <w:pStyle w:val="12"/>
        <w:kinsoku w:val="0"/>
        <w:overflowPunct w:val="0"/>
        <w:adjustRightInd/>
        <w:spacing w:before="100" w:beforeAutospacing="1" w:after="100" w:afterAutospacing="1" w:line="500" w:lineRule="exact"/>
        <w:ind w:left="518" w:leftChars="216"/>
        <w:contextualSpacing/>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④</w:t>
      </w:r>
      <w:r>
        <w:rPr>
          <w:rFonts w:hint="eastAsia" w:asciiTheme="minorEastAsia" w:hAnsiTheme="minorEastAsia" w:eastAsiaTheme="minorEastAsia"/>
          <w:color w:val="auto"/>
          <w:sz w:val="28"/>
          <w:szCs w:val="28"/>
          <w:highlight w:val="none"/>
          <w:lang w:val="en-US" w:eastAsia="zh-CN"/>
        </w:rPr>
        <w:t>每个子公司“一企一策”</w:t>
      </w:r>
      <w:r>
        <w:rPr>
          <w:rFonts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rPr>
        <w:t>管控权限清单</w:t>
      </w:r>
      <w:r>
        <w:rPr>
          <w:rFonts w:asciiTheme="minorEastAsia" w:hAnsiTheme="minorEastAsia" w:eastAsiaTheme="minorEastAsia"/>
          <w:color w:val="auto"/>
          <w:sz w:val="28"/>
          <w:szCs w:val="28"/>
          <w:highlight w:val="none"/>
        </w:rPr>
        <w:t>》</w:t>
      </w:r>
    </w:p>
    <w:p>
      <w:pPr>
        <w:pStyle w:val="12"/>
        <w:kinsoku w:val="0"/>
        <w:overflowPunct w:val="0"/>
        <w:adjustRightInd/>
        <w:spacing w:before="100" w:beforeAutospacing="1" w:after="100" w:afterAutospacing="1" w:line="500" w:lineRule="exact"/>
        <w:ind w:left="518" w:leftChars="216"/>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rPr>
        <w:t>⑤</w:t>
      </w:r>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rPr>
        <w:t>管控权限</w:t>
      </w:r>
      <w:r>
        <w:rPr>
          <w:rFonts w:hint="eastAsia" w:asciiTheme="minorEastAsia" w:hAnsiTheme="minorEastAsia" w:eastAsiaTheme="minorEastAsia"/>
          <w:color w:val="auto"/>
          <w:sz w:val="28"/>
          <w:szCs w:val="28"/>
          <w:highlight w:val="none"/>
          <w:lang w:val="en-US" w:eastAsia="zh-CN"/>
        </w:rPr>
        <w:t>指引</w:t>
      </w:r>
      <w:r>
        <w:rPr>
          <w:rFonts w:hint="eastAsia" w:asciiTheme="minorEastAsia" w:hAnsiTheme="minorEastAsia" w:eastAsiaTheme="minorEastAsia"/>
          <w:color w:val="auto"/>
          <w:sz w:val="28"/>
          <w:szCs w:val="28"/>
          <w:highlight w:val="none"/>
        </w:rPr>
        <w:t>表</w:t>
      </w:r>
      <w:r>
        <w:rPr>
          <w:rFonts w:hint="eastAsia" w:asciiTheme="minorEastAsia" w:hAnsiTheme="minorEastAsia" w:eastAsiaTheme="minorEastAsia"/>
          <w:color w:val="auto"/>
          <w:sz w:val="28"/>
          <w:szCs w:val="28"/>
          <w:highlight w:val="none"/>
          <w:lang w:eastAsia="zh-CN"/>
        </w:rPr>
        <w:t>》</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8</w:t>
      </w:r>
      <w:r>
        <w:rPr>
          <w:rFonts w:asciiTheme="minorEastAsia" w:hAnsiTheme="minorEastAsia" w:eastAsiaTheme="minorEastAsia"/>
          <w:color w:val="auto"/>
          <w:sz w:val="28"/>
          <w:szCs w:val="28"/>
          <w:highlight w:val="none"/>
        </w:rPr>
        <w:t>.2甲方可根据工作需求要求乙方对项目过程进度和成果进行及时汇报，乙方不得拒绝。甲方在乙方完成项目成果后，应积极组织相关人员或会议进行成果验收和确认。</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8</w:t>
      </w:r>
      <w:r>
        <w:rPr>
          <w:rFonts w:asciiTheme="minorEastAsia" w:hAnsiTheme="minorEastAsia" w:eastAsiaTheme="minorEastAsia"/>
          <w:color w:val="auto"/>
          <w:sz w:val="28"/>
          <w:szCs w:val="28"/>
          <w:highlight w:val="none"/>
        </w:rPr>
        <w:t>.3为了确保项目最终成果能按项目进度与质量要求提交，乙方应于项目开展前提供《项目双方联合工作计划》，确认各阶段项目内容及双方配合事宜，同时甲乙双方应对项目成果的要求、期望与验收标准进行充分沟通并经双方确认。</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9</w:t>
      </w:r>
      <w:r>
        <w:rPr>
          <w:rFonts w:asciiTheme="minorEastAsia" w:hAnsiTheme="minorEastAsia" w:eastAsiaTheme="minorEastAsia"/>
          <w:b/>
          <w:color w:val="auto"/>
          <w:sz w:val="28"/>
          <w:szCs w:val="28"/>
          <w:highlight w:val="none"/>
        </w:rPr>
        <w:t>.甲方权利与义务</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9</w:t>
      </w:r>
      <w:r>
        <w:rPr>
          <w:rFonts w:asciiTheme="minorEastAsia" w:hAnsiTheme="minorEastAsia" w:eastAsiaTheme="minorEastAsia"/>
          <w:color w:val="auto"/>
          <w:sz w:val="28"/>
          <w:szCs w:val="28"/>
          <w:highlight w:val="none"/>
        </w:rPr>
        <w:t>.1有权对乙方的项目实施过程进行监督检查，并提出项目建议。</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9</w:t>
      </w:r>
      <w:r>
        <w:rPr>
          <w:rFonts w:asciiTheme="minorEastAsia" w:hAnsiTheme="minorEastAsia" w:eastAsiaTheme="minorEastAsia"/>
          <w:color w:val="auto"/>
          <w:sz w:val="28"/>
          <w:szCs w:val="28"/>
          <w:highlight w:val="none"/>
        </w:rPr>
        <w:t>.2须依约向乙方支付服务费。</w:t>
      </w:r>
    </w:p>
    <w:p>
      <w:pPr>
        <w:pStyle w:val="12"/>
        <w:kinsoku w:val="0"/>
        <w:overflowPunct w:val="0"/>
        <w:adjustRightInd/>
        <w:spacing w:before="100" w:beforeAutospacing="1" w:after="100" w:afterAutospacing="1" w:line="500" w:lineRule="exact"/>
        <w:ind w:left="0" w:firstLine="544" w:firstLineChars="200"/>
        <w:contextualSpacing/>
        <w:rPr>
          <w:rFonts w:hint="default"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lang w:val="en-US" w:eastAsia="zh-CN"/>
        </w:rPr>
        <w:t>9</w:t>
      </w:r>
      <w:r>
        <w:rPr>
          <w:rFonts w:asciiTheme="minorEastAsia" w:hAnsiTheme="minorEastAsia" w:eastAsiaTheme="minorEastAsia"/>
          <w:color w:val="auto"/>
          <w:spacing w:val="-4"/>
          <w:sz w:val="28"/>
          <w:szCs w:val="28"/>
          <w:highlight w:val="none"/>
        </w:rPr>
        <w:t>.3在项目实施期间，甲方应向乙方派出的服务顾问提供必要办公条件。</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9</w:t>
      </w:r>
      <w:r>
        <w:rPr>
          <w:rFonts w:asciiTheme="minorEastAsia" w:hAnsiTheme="minorEastAsia" w:eastAsiaTheme="minorEastAsia"/>
          <w:color w:val="auto"/>
          <w:sz w:val="28"/>
          <w:szCs w:val="28"/>
          <w:highlight w:val="none"/>
        </w:rPr>
        <w:t>.4向乙方提供完成委托事项所需的相关数据、资料和文件，并保证资料的正确、完整、合法。</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9</w:t>
      </w:r>
      <w:r>
        <w:rPr>
          <w:rFonts w:asciiTheme="minorEastAsia" w:hAnsiTheme="minorEastAsia" w:eastAsiaTheme="minorEastAsia"/>
          <w:color w:val="auto"/>
          <w:sz w:val="28"/>
          <w:szCs w:val="28"/>
          <w:highlight w:val="none"/>
        </w:rPr>
        <w:t>.5协助乙方项目组开展工作，并配合乙方项目组制定工作计划。</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9</w:t>
      </w:r>
      <w:r>
        <w:rPr>
          <w:rFonts w:asciiTheme="minorEastAsia" w:hAnsiTheme="minorEastAsia" w:eastAsiaTheme="minorEastAsia"/>
          <w:color w:val="auto"/>
          <w:sz w:val="28"/>
          <w:szCs w:val="28"/>
          <w:highlight w:val="none"/>
        </w:rPr>
        <w:t>.6在有合理的理由的情况下，甲方有权要求乙方调回或替换任何不称职的人员，乙方应予接受且承担由此引起的责任和费用。</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9</w:t>
      </w:r>
      <w:r>
        <w:rPr>
          <w:rFonts w:asciiTheme="minorEastAsia" w:hAnsiTheme="minorEastAsia" w:eastAsiaTheme="minorEastAsia"/>
          <w:color w:val="auto"/>
          <w:sz w:val="28"/>
          <w:szCs w:val="28"/>
          <w:highlight w:val="none"/>
        </w:rPr>
        <w:t>.7</w:t>
      </w:r>
      <w:r>
        <w:rPr>
          <w:color w:val="auto"/>
          <w:highlight w:val="none"/>
        </w:rPr>
        <w:t xml:space="preserve"> </w:t>
      </w:r>
      <w:r>
        <w:rPr>
          <w:rFonts w:asciiTheme="minorEastAsia" w:hAnsiTheme="minorEastAsia" w:eastAsiaTheme="minorEastAsia"/>
          <w:color w:val="auto"/>
          <w:sz w:val="28"/>
          <w:szCs w:val="28"/>
          <w:highlight w:val="none"/>
        </w:rPr>
        <w:t>在项目执行期间，甲方有权在适当时间对项目作部分修改、删除、增加或其他调整。这些调整须通过书面形式通知乙方。如有异议，乙方须在收到该通知后2工作日内提出；否则视为乙方已接受这些调整，并以此为合同的组成部分继续履行合同义务，且甲方不再另行支付额外费用。</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10</w:t>
      </w:r>
      <w:r>
        <w:rPr>
          <w:rFonts w:asciiTheme="minorEastAsia" w:hAnsiTheme="minorEastAsia" w:eastAsiaTheme="minorEastAsia"/>
          <w:b/>
          <w:color w:val="auto"/>
          <w:sz w:val="28"/>
          <w:szCs w:val="28"/>
          <w:highlight w:val="none"/>
        </w:rPr>
        <w:t>.乙方权利与义务</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.1按合同约定收取服务费，要求甲方配合提供项目实施所需资料、信息。</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.2不得无理由拒绝甲方关于合同项目的咨询，对甲方的相关咨询必须给予明确答复。</w:t>
      </w:r>
    </w:p>
    <w:p>
      <w:pPr>
        <w:pStyle w:val="12"/>
        <w:kinsoku w:val="0"/>
        <w:overflowPunct w:val="0"/>
        <w:adjustRightInd/>
        <w:spacing w:before="100" w:beforeAutospacing="1" w:after="100" w:afterAutospacing="1" w:line="500" w:lineRule="exact"/>
        <w:ind w:left="0" w:firstLine="552" w:firstLineChars="200"/>
        <w:contextualSpacing/>
        <w:rPr>
          <w:rFonts w:hint="default" w:asciiTheme="minorEastAsia" w:hAnsiTheme="minorEastAsia" w:eastAsiaTheme="minorEastAsia"/>
          <w:color w:val="auto"/>
          <w:spacing w:val="-2"/>
          <w:sz w:val="28"/>
          <w:szCs w:val="28"/>
          <w:highlight w:val="none"/>
        </w:rPr>
      </w:pPr>
      <w:r>
        <w:rPr>
          <w:rFonts w:hint="eastAsia" w:asciiTheme="minorEastAsia" w:hAnsiTheme="minorEastAsia" w:eastAsiaTheme="minorEastAsia"/>
          <w:color w:val="auto"/>
          <w:spacing w:val="-2"/>
          <w:sz w:val="28"/>
          <w:szCs w:val="28"/>
          <w:highlight w:val="none"/>
          <w:lang w:val="en-US" w:eastAsia="zh-CN"/>
        </w:rPr>
        <w:t>10</w:t>
      </w:r>
      <w:r>
        <w:rPr>
          <w:rFonts w:asciiTheme="minorEastAsia" w:hAnsiTheme="minorEastAsia" w:eastAsiaTheme="minorEastAsia"/>
          <w:color w:val="auto"/>
          <w:spacing w:val="-2"/>
          <w:sz w:val="28"/>
          <w:szCs w:val="28"/>
          <w:highlight w:val="none"/>
        </w:rPr>
        <w:t>.3保证已经完全理解甲方的具体要求并有能力按照本合同规定开展服务工作。</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.4对服务的工作量、正确性、完整性、合法性和及时性负责。</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.5在项目实施过程中，应遵守国家法律法规及地方法规的有关规定，并承担因违反上述规定而产生的法律责任。</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pacing w:val="-2"/>
          <w:sz w:val="28"/>
          <w:szCs w:val="28"/>
          <w:highlight w:val="none"/>
        </w:rPr>
      </w:pP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.6</w:t>
      </w:r>
      <w:r>
        <w:rPr>
          <w:rFonts w:asciiTheme="minorEastAsia" w:hAnsiTheme="minorEastAsia" w:eastAsiaTheme="minorEastAsia"/>
          <w:color w:val="auto"/>
          <w:spacing w:val="-2"/>
          <w:sz w:val="28"/>
          <w:szCs w:val="28"/>
          <w:highlight w:val="none"/>
        </w:rPr>
        <w:t>就本项目安排具备相应能力的人员组成项目工作团队，项目经理必须</w:t>
      </w:r>
      <w:r>
        <w:rPr>
          <w:rFonts w:asciiTheme="minorEastAsia" w:hAnsiTheme="minorEastAsia" w:eastAsiaTheme="minorEastAsia"/>
          <w:color w:val="auto"/>
          <w:sz w:val="28"/>
          <w:szCs w:val="28"/>
          <w:highlight w:val="none"/>
        </w:rPr>
        <w:t>全过程跟踪管理，并根据甲方要求参加会议。</w:t>
      </w:r>
      <w:r>
        <w:rPr>
          <w:rFonts w:asciiTheme="minorEastAsia" w:hAnsiTheme="minorEastAsia" w:eastAsiaTheme="minorEastAsia"/>
          <w:color w:val="auto"/>
          <w:spacing w:val="-2"/>
          <w:sz w:val="28"/>
          <w:szCs w:val="28"/>
          <w:highlight w:val="none"/>
        </w:rPr>
        <w:t>如乙方在本项目进行期间需要更换任何项目人员，应取得甲方书面同意。</w:t>
      </w:r>
    </w:p>
    <w:p>
      <w:pPr>
        <w:pStyle w:val="12"/>
        <w:kinsoku w:val="0"/>
        <w:overflowPunct w:val="0"/>
        <w:adjustRightInd/>
        <w:spacing w:before="0"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11</w:t>
      </w:r>
      <w:r>
        <w:rPr>
          <w:rFonts w:asciiTheme="minorEastAsia" w:hAnsiTheme="minorEastAsia" w:eastAsiaTheme="minorEastAsia"/>
          <w:b/>
          <w:color w:val="auto"/>
          <w:sz w:val="28"/>
          <w:szCs w:val="28"/>
          <w:highlight w:val="none"/>
        </w:rPr>
        <w:t>.知识产权的保证条款</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11</w:t>
      </w:r>
      <w:r>
        <w:rPr>
          <w:rFonts w:asciiTheme="minorEastAsia" w:hAnsiTheme="minorEastAsia" w:eastAsiaTheme="minorEastAsia"/>
          <w:color w:val="auto"/>
          <w:sz w:val="28"/>
          <w:szCs w:val="28"/>
          <w:highlight w:val="none"/>
        </w:rPr>
        <w:t>.1项目成果（书面文档及电子文档）归甲方所有，未经</w:t>
      </w:r>
      <w:r>
        <w:rPr>
          <w:rFonts w:hint="eastAsia" w:asciiTheme="minorEastAsia" w:hAnsiTheme="minorEastAsia" w:eastAsiaTheme="minorEastAsia"/>
          <w:color w:val="auto"/>
          <w:sz w:val="28"/>
          <w:szCs w:val="28"/>
          <w:highlight w:val="none"/>
          <w:lang w:val="en-US" w:eastAsia="zh-CN"/>
        </w:rPr>
        <w:t>甲</w:t>
      </w:r>
      <w:r>
        <w:rPr>
          <w:rFonts w:asciiTheme="minorEastAsia" w:hAnsiTheme="minorEastAsia" w:eastAsiaTheme="minorEastAsia"/>
          <w:color w:val="auto"/>
          <w:sz w:val="28"/>
          <w:szCs w:val="28"/>
          <w:highlight w:val="none"/>
        </w:rPr>
        <w:t>方同意，</w:t>
      </w:r>
      <w:r>
        <w:rPr>
          <w:rFonts w:hint="eastAsia" w:asciiTheme="minorEastAsia" w:hAnsiTheme="minorEastAsia" w:eastAsiaTheme="minorEastAsia"/>
          <w:color w:val="auto"/>
          <w:sz w:val="28"/>
          <w:szCs w:val="28"/>
          <w:highlight w:val="none"/>
          <w:lang w:val="en-US" w:eastAsia="zh-CN"/>
        </w:rPr>
        <w:t>乙</w:t>
      </w:r>
      <w:r>
        <w:rPr>
          <w:rFonts w:asciiTheme="minorEastAsia" w:hAnsiTheme="minorEastAsia" w:eastAsiaTheme="minorEastAsia"/>
          <w:color w:val="auto"/>
          <w:sz w:val="28"/>
          <w:szCs w:val="28"/>
          <w:highlight w:val="none"/>
        </w:rPr>
        <w:t>方不得向第三方透露。</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11</w:t>
      </w:r>
      <w:r>
        <w:rPr>
          <w:rFonts w:asciiTheme="minorEastAsia" w:hAnsiTheme="minorEastAsia" w:eastAsiaTheme="minorEastAsia"/>
          <w:color w:val="auto"/>
          <w:sz w:val="28"/>
          <w:szCs w:val="28"/>
          <w:highlight w:val="none"/>
        </w:rPr>
        <w:t>.2乙方应保证甲方在使用乙方提供的文档时，免受第三方提出的侵犯其著作权、专利权等索赔或起诉，因上述索赔或起诉而产生的法律责任及造成的直接损失均由乙方承担。</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12</w:t>
      </w:r>
      <w:r>
        <w:rPr>
          <w:rFonts w:asciiTheme="minorEastAsia" w:hAnsiTheme="minorEastAsia" w:eastAsiaTheme="minorEastAsia"/>
          <w:b/>
          <w:color w:val="auto"/>
          <w:sz w:val="28"/>
          <w:szCs w:val="28"/>
          <w:highlight w:val="none"/>
        </w:rPr>
        <w:t>.保密条款</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2</w:t>
      </w:r>
      <w:r>
        <w:rPr>
          <w:rFonts w:asciiTheme="minorEastAsia" w:hAnsiTheme="minorEastAsia" w:eastAsiaTheme="minorEastAsia"/>
          <w:color w:val="auto"/>
          <w:sz w:val="28"/>
          <w:szCs w:val="28"/>
          <w:highlight w:val="none"/>
        </w:rPr>
        <w:t>.1在履行本合同期间及本合同终止后，对于所获知的另一方</w:t>
      </w:r>
      <w:r>
        <w:rPr>
          <w:rFonts w:hint="eastAsia" w:asciiTheme="minorEastAsia" w:hAnsiTheme="minorEastAsia" w:eastAsiaTheme="minorEastAsia"/>
          <w:color w:val="auto"/>
          <w:sz w:val="28"/>
          <w:szCs w:val="28"/>
          <w:highlight w:val="none"/>
          <w:lang w:val="en-US" w:eastAsia="zh-CN"/>
        </w:rPr>
        <w:t>保密信息</w:t>
      </w:r>
      <w:r>
        <w:rPr>
          <w:rFonts w:asciiTheme="minorEastAsia" w:hAnsiTheme="minorEastAsia" w:eastAsiaTheme="minorEastAsia"/>
          <w:color w:val="auto"/>
          <w:sz w:val="28"/>
          <w:szCs w:val="28"/>
          <w:highlight w:val="none"/>
        </w:rPr>
        <w:t>负有保密义务，任何一方不得将所获知的另一方</w:t>
      </w:r>
      <w:r>
        <w:rPr>
          <w:rFonts w:hint="eastAsia" w:asciiTheme="minorEastAsia" w:hAnsiTheme="minorEastAsia" w:eastAsiaTheme="minorEastAsia"/>
          <w:color w:val="auto"/>
          <w:sz w:val="28"/>
          <w:szCs w:val="28"/>
          <w:highlight w:val="none"/>
          <w:lang w:val="en-US" w:eastAsia="zh-CN"/>
        </w:rPr>
        <w:t>保密信息</w:t>
      </w:r>
      <w:r>
        <w:rPr>
          <w:rFonts w:asciiTheme="minorEastAsia" w:hAnsiTheme="minorEastAsia" w:eastAsiaTheme="minorEastAsia"/>
          <w:color w:val="auto"/>
          <w:sz w:val="28"/>
          <w:szCs w:val="28"/>
          <w:highlight w:val="none"/>
        </w:rPr>
        <w:t>泄露给任何第三方，且任何一方不得不正当的使用该</w:t>
      </w:r>
      <w:r>
        <w:rPr>
          <w:rFonts w:hint="eastAsia" w:asciiTheme="minorEastAsia" w:hAnsiTheme="minorEastAsia" w:eastAsiaTheme="minorEastAsia"/>
          <w:color w:val="auto"/>
          <w:sz w:val="28"/>
          <w:szCs w:val="28"/>
          <w:highlight w:val="none"/>
          <w:lang w:val="en-US" w:eastAsia="zh-CN"/>
        </w:rPr>
        <w:t>保密</w:t>
      </w:r>
      <w:r>
        <w:rPr>
          <w:rFonts w:asciiTheme="minorEastAsia" w:hAnsiTheme="minorEastAsia" w:eastAsiaTheme="minorEastAsia"/>
          <w:color w:val="auto"/>
          <w:sz w:val="28"/>
          <w:szCs w:val="28"/>
          <w:highlight w:val="none"/>
        </w:rPr>
        <w:t>秘密。</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2</w:t>
      </w: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保密信息应包括但不限于接受方从提供方处获得的任何性质的、任何形式的信息、知识、数据、绘图、专有技术、分析、计算、编辑、研究和其他材料；保密信息还包括接受方从上述信息或者与上述信息相关的信息开发得到的信息以及其他具有保密性质的信息。所有这些信息总称为“保密信息”</w:t>
      </w:r>
      <w:r>
        <w:rPr>
          <w:rFonts w:asciiTheme="minorEastAsia" w:hAnsiTheme="minorEastAsia" w:eastAsiaTheme="minorEastAsia"/>
          <w:color w:val="auto"/>
          <w:sz w:val="28"/>
          <w:szCs w:val="28"/>
          <w:highlight w:val="none"/>
        </w:rPr>
        <w:t>。</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2</w:t>
      </w:r>
      <w:r>
        <w:rPr>
          <w:rFonts w:asciiTheme="minorEastAsia" w:hAnsiTheme="minorEastAsia" w:eastAsiaTheme="minorEastAsia"/>
          <w:color w:val="auto"/>
          <w:sz w:val="28"/>
          <w:szCs w:val="28"/>
          <w:highlight w:val="none"/>
        </w:rPr>
        <w:t>.3保密条款不因合同终止而失效。</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1</w:t>
      </w:r>
      <w:r>
        <w:rPr>
          <w:rFonts w:hint="eastAsia" w:asciiTheme="minorEastAsia" w:hAnsiTheme="minorEastAsia" w:eastAsiaTheme="minorEastAsia"/>
          <w:b/>
          <w:color w:val="auto"/>
          <w:sz w:val="28"/>
          <w:szCs w:val="28"/>
          <w:highlight w:val="none"/>
          <w:lang w:val="en-US" w:eastAsia="zh-CN"/>
        </w:rPr>
        <w:t>3</w:t>
      </w:r>
      <w:r>
        <w:rPr>
          <w:rFonts w:asciiTheme="minorEastAsia" w:hAnsiTheme="minorEastAsia" w:eastAsiaTheme="minorEastAsia"/>
          <w:b/>
          <w:color w:val="auto"/>
          <w:sz w:val="28"/>
          <w:szCs w:val="28"/>
          <w:highlight w:val="none"/>
        </w:rPr>
        <w:t>.违约责任</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.1</w:t>
      </w:r>
      <w:r>
        <w:rPr>
          <w:color w:val="auto"/>
          <w:highlight w:val="none"/>
        </w:rPr>
        <w:t xml:space="preserve"> </w:t>
      </w:r>
      <w:r>
        <w:rPr>
          <w:rFonts w:asciiTheme="minorEastAsia" w:hAnsiTheme="minorEastAsia" w:eastAsiaTheme="minorEastAsia"/>
          <w:color w:val="auto"/>
          <w:sz w:val="28"/>
          <w:szCs w:val="28"/>
          <w:highlight w:val="none"/>
        </w:rPr>
        <w:t>合同双方任何一方违反了履约规定，履约方提出索赔，则违约方应对由于其违约引起的或与之有关的事宜负责，并向履约方赔偿损失费用，包括因诉讼或仲裁而支付的律师费、调查取证费、诉讼费等。</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.2</w:t>
      </w:r>
      <w:r>
        <w:rPr>
          <w:color w:val="auto"/>
          <w:highlight w:val="none"/>
        </w:rPr>
        <w:t xml:space="preserve"> </w:t>
      </w:r>
      <w:r>
        <w:rPr>
          <w:rFonts w:hint="eastAsia" w:asciiTheme="minorEastAsia" w:hAnsiTheme="minorEastAsia" w:eastAsiaTheme="minorEastAsia"/>
          <w:color w:val="auto"/>
          <w:sz w:val="28"/>
          <w:szCs w:val="28"/>
          <w:highlight w:val="none"/>
        </w:rPr>
        <w:t>如乙方不能按照本合同约定履行义务的，甲方有权直接解除合同，剩余合同费用不予支付。甲方有权视情形要求乙方退回已支付的全部或部分服务费用，给甲方造成其他损失的，乙方还应进行赔偿</w:t>
      </w:r>
      <w:r>
        <w:rPr>
          <w:rFonts w:asciiTheme="minorEastAsia" w:hAnsiTheme="minorEastAsia" w:eastAsiaTheme="minorEastAsia"/>
          <w:color w:val="auto"/>
          <w:sz w:val="28"/>
          <w:szCs w:val="28"/>
          <w:highlight w:val="none"/>
        </w:rPr>
        <w:t>。</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.3乙方逾期提交各阶段成果，需向甲方支付违约金，按合同含税总价的万分之五计算逾期每日违约金。</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.4如乙方提供虚假报告，应向甲方退还所有已经收取的服务费用，并承担甲方因此产生的直接损失。</w:t>
      </w:r>
    </w:p>
    <w:p>
      <w:pPr>
        <w:pStyle w:val="12"/>
        <w:kinsoku w:val="0"/>
        <w:overflowPunct w:val="0"/>
        <w:adjustRightInd/>
        <w:spacing w:before="100" w:beforeAutospacing="1" w:after="100" w:afterAutospacing="1" w:line="500" w:lineRule="exact"/>
        <w:ind w:left="0" w:firstLine="560" w:firstLineChars="200"/>
        <w:contextualSpacing/>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3</w:t>
      </w:r>
      <w:r>
        <w:rPr>
          <w:rFonts w:asciiTheme="minorEastAsia" w:hAnsiTheme="minorEastAsia" w:eastAsiaTheme="minorEastAsia"/>
          <w:color w:val="auto"/>
          <w:sz w:val="28"/>
          <w:szCs w:val="28"/>
          <w:highlight w:val="none"/>
        </w:rPr>
        <w:t>.5乙方未按本合同第</w:t>
      </w: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条第</w:t>
      </w:r>
      <w:r>
        <w:rPr>
          <w:rFonts w:hint="eastAsia" w:asciiTheme="minorEastAsia" w:hAnsiTheme="minorEastAsia" w:eastAsiaTheme="minorEastAsia"/>
          <w:color w:val="auto"/>
          <w:sz w:val="28"/>
          <w:szCs w:val="28"/>
          <w:highlight w:val="none"/>
          <w:lang w:val="en-US" w:eastAsia="zh-CN"/>
        </w:rPr>
        <w:t>10</w:t>
      </w:r>
      <w:r>
        <w:rPr>
          <w:rFonts w:asciiTheme="minorEastAsia" w:hAnsiTheme="minorEastAsia" w:eastAsiaTheme="minorEastAsia"/>
          <w:color w:val="auto"/>
          <w:sz w:val="28"/>
          <w:szCs w:val="28"/>
          <w:highlight w:val="none"/>
        </w:rPr>
        <w:t>.6款履行的，每违约一次应向甲方支付违约金2000元。如造成甲方损失，乙方应赔偿由此造成的损失。</w:t>
      </w:r>
    </w:p>
    <w:p>
      <w:pPr>
        <w:pStyle w:val="12"/>
        <w:kinsoku w:val="0"/>
        <w:overflowPunct w:val="0"/>
        <w:adjustRightInd/>
        <w:spacing w:before="100" w:beforeAutospacing="1" w:after="100" w:afterAutospacing="1" w:line="500" w:lineRule="exact"/>
        <w:ind w:left="0" w:firstLine="560" w:firstLineChars="200"/>
        <w:contextualSpacing/>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13.6因乙方原因导致知识产权或专利纠纷，从而导致甲方不能正常使用乙方提供的服务的, 乙方须全额退还甲方已经支付的款项，因此给甲方造成损失的，由乙方承担全部赔偿责任。</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1</w:t>
      </w:r>
      <w:r>
        <w:rPr>
          <w:rFonts w:hint="eastAsia" w:asciiTheme="minorEastAsia" w:hAnsiTheme="minorEastAsia" w:eastAsiaTheme="minorEastAsia"/>
          <w:b/>
          <w:color w:val="auto"/>
          <w:sz w:val="28"/>
          <w:szCs w:val="28"/>
          <w:highlight w:val="none"/>
          <w:lang w:val="en-US" w:eastAsia="zh-CN"/>
        </w:rPr>
        <w:t>4</w:t>
      </w:r>
      <w:r>
        <w:rPr>
          <w:rFonts w:asciiTheme="minorEastAsia" w:hAnsiTheme="minorEastAsia" w:eastAsiaTheme="minorEastAsia"/>
          <w:b/>
          <w:color w:val="auto"/>
          <w:sz w:val="28"/>
          <w:szCs w:val="28"/>
          <w:highlight w:val="none"/>
        </w:rPr>
        <w:t>.争议解决</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本合同未尽事项或履行本合同过程中出现争议时，甲乙双方应就争议事项通过友好协商解决；协商不成的，任何一方可向甲方所在地人民法院提起诉讼。</w:t>
      </w:r>
    </w:p>
    <w:p>
      <w:pPr>
        <w:pStyle w:val="12"/>
        <w:kinsoku w:val="0"/>
        <w:overflowPunct w:val="0"/>
        <w:adjustRightInd/>
        <w:spacing w:before="100" w:beforeAutospacing="1" w:after="100" w:afterAutospacing="1" w:line="500" w:lineRule="exact"/>
        <w:ind w:left="0" w:firstLine="562" w:firstLineChars="200"/>
        <w:contextualSpacing/>
        <w:rPr>
          <w:rFonts w:hint="default"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1</w:t>
      </w:r>
      <w:r>
        <w:rPr>
          <w:rFonts w:hint="eastAsia" w:asciiTheme="minorEastAsia" w:hAnsiTheme="minorEastAsia" w:eastAsiaTheme="minorEastAsia"/>
          <w:b/>
          <w:color w:val="auto"/>
          <w:sz w:val="28"/>
          <w:szCs w:val="28"/>
          <w:highlight w:val="none"/>
          <w:lang w:val="en-US" w:eastAsia="zh-CN"/>
        </w:rPr>
        <w:t>5</w:t>
      </w:r>
      <w:r>
        <w:rPr>
          <w:rFonts w:asciiTheme="minorEastAsia" w:hAnsiTheme="minorEastAsia" w:eastAsiaTheme="minorEastAsia"/>
          <w:b/>
          <w:color w:val="auto"/>
          <w:sz w:val="28"/>
          <w:szCs w:val="28"/>
          <w:highlight w:val="none"/>
        </w:rPr>
        <w:t>.其它</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.1本合同未尽事宜、合同条款的修订更改或补充，经双方协商后，签订补充协议，与本合同具有同等法律效力。</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.2本合同所有附件均为合同的有效组成部分，与本合同具有同等法律效力。</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.3本合同一式</w:t>
      </w:r>
      <w:r>
        <w:rPr>
          <w:rFonts w:hint="eastAsia" w:asciiTheme="minorEastAsia" w:hAnsiTheme="minorEastAsia" w:eastAsiaTheme="minorEastAsia"/>
          <w:color w:val="auto"/>
          <w:sz w:val="28"/>
          <w:szCs w:val="28"/>
          <w:highlight w:val="none"/>
          <w:lang w:val="en-US" w:eastAsia="zh-CN"/>
        </w:rPr>
        <w:t>捌</w:t>
      </w:r>
      <w:r>
        <w:rPr>
          <w:rFonts w:asciiTheme="minorEastAsia" w:hAnsiTheme="minorEastAsia" w:eastAsiaTheme="minorEastAsia"/>
          <w:color w:val="auto"/>
          <w:sz w:val="28"/>
          <w:szCs w:val="28"/>
          <w:highlight w:val="none"/>
        </w:rPr>
        <w:t>份，甲方执</w:t>
      </w:r>
      <w:r>
        <w:rPr>
          <w:rFonts w:hint="eastAsia" w:asciiTheme="minorEastAsia" w:hAnsiTheme="minorEastAsia" w:eastAsiaTheme="minorEastAsia"/>
          <w:color w:val="auto"/>
          <w:sz w:val="28"/>
          <w:szCs w:val="28"/>
          <w:highlight w:val="none"/>
          <w:lang w:val="en-US" w:eastAsia="zh-CN"/>
        </w:rPr>
        <w:t>陆</w:t>
      </w:r>
      <w:r>
        <w:rPr>
          <w:rFonts w:asciiTheme="minorEastAsia" w:hAnsiTheme="minorEastAsia" w:eastAsiaTheme="minorEastAsia"/>
          <w:color w:val="auto"/>
          <w:sz w:val="28"/>
          <w:szCs w:val="28"/>
          <w:highlight w:val="none"/>
        </w:rPr>
        <w:t>份，乙方执</w:t>
      </w:r>
      <w:r>
        <w:rPr>
          <w:rFonts w:hint="eastAsia" w:asciiTheme="minorEastAsia" w:hAnsiTheme="minorEastAsia" w:eastAsiaTheme="minorEastAsia"/>
          <w:color w:val="auto"/>
          <w:sz w:val="28"/>
          <w:szCs w:val="28"/>
          <w:highlight w:val="none"/>
          <w:lang w:val="en-US" w:eastAsia="zh-CN"/>
        </w:rPr>
        <w:t>贰</w:t>
      </w:r>
      <w:r>
        <w:rPr>
          <w:rFonts w:asciiTheme="minorEastAsia" w:hAnsiTheme="minorEastAsia" w:eastAsiaTheme="minorEastAsia"/>
          <w:color w:val="auto"/>
          <w:sz w:val="28"/>
          <w:szCs w:val="28"/>
          <w:highlight w:val="none"/>
        </w:rPr>
        <w:t>份，具有同等法律效力。</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val="en-US" w:eastAsia="zh-CN"/>
        </w:rPr>
        <w:t>5</w:t>
      </w:r>
      <w:r>
        <w:rPr>
          <w:rFonts w:asciiTheme="minorEastAsia" w:hAnsiTheme="minorEastAsia" w:eastAsiaTheme="minorEastAsia"/>
          <w:color w:val="auto"/>
          <w:sz w:val="28"/>
          <w:szCs w:val="28"/>
          <w:highlight w:val="none"/>
        </w:rPr>
        <w:t>.4本合同有效期自双方签字或盖章之日起至项目完成，甲、乙双方按合同约定履行完全部义务之日止。</w:t>
      </w:r>
    </w:p>
    <w:p>
      <w:pPr>
        <w:pStyle w:val="12"/>
        <w:kinsoku w:val="0"/>
        <w:overflowPunct w:val="0"/>
        <w:adjustRightInd/>
        <w:spacing w:before="100" w:beforeAutospacing="1" w:after="100" w:afterAutospacing="1" w:line="500" w:lineRule="exact"/>
        <w:ind w:left="0" w:firstLine="560" w:firstLineChars="200"/>
        <w:contextualSpacing/>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（以下无正文）</w:t>
      </w:r>
    </w:p>
    <w:p>
      <w:pPr>
        <w:pStyle w:val="12"/>
        <w:kinsoku w:val="0"/>
        <w:overflowPunct w:val="0"/>
        <w:spacing w:before="0" w:line="272" w:lineRule="auto"/>
        <w:ind w:left="100" w:firstLine="420"/>
        <w:rPr>
          <w:rFonts w:hint="default" w:asciiTheme="minorEastAsia" w:hAnsiTheme="minorEastAsia" w:eastAsiaTheme="minorEastAsia"/>
          <w:color w:val="auto"/>
          <w:sz w:val="28"/>
          <w:szCs w:val="28"/>
          <w:highlight w:val="none"/>
        </w:rPr>
      </w:pPr>
    </w:p>
    <w:tbl>
      <w:tblPr>
        <w:tblStyle w:val="20"/>
        <w:tblW w:w="101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4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5353" w:type="dxa"/>
          </w:tcPr>
          <w:p>
            <w:pPr>
              <w:pStyle w:val="12"/>
              <w:kinsoku w:val="0"/>
              <w:overflowPunct w:val="0"/>
              <w:spacing w:before="0" w:line="272" w:lineRule="auto"/>
              <w:ind w:left="100" w:firstLine="420"/>
              <w:rPr>
                <w:rFonts w:hint="default" w:asciiTheme="minorEastAsia" w:hAnsiTheme="minorEastAsia" w:eastAsiaTheme="minorEastAsia"/>
                <w:color w:val="auto"/>
                <w:kern w:val="0"/>
                <w:sz w:val="28"/>
                <w:szCs w:val="28"/>
                <w:highlight w:val="none"/>
              </w:rPr>
            </w:pPr>
            <w:r>
              <w:rPr>
                <w:rFonts w:asciiTheme="minorEastAsia" w:hAnsiTheme="minorEastAsia" w:eastAsiaTheme="minorEastAsia"/>
                <w:color w:val="auto"/>
                <w:kern w:val="0"/>
                <w:sz w:val="28"/>
                <w:szCs w:val="28"/>
                <w:highlight w:val="none"/>
              </w:rPr>
              <w:t>甲方（盖章）：</w:t>
            </w:r>
          </w:p>
        </w:tc>
        <w:tc>
          <w:tcPr>
            <w:tcW w:w="4811" w:type="dxa"/>
          </w:tcPr>
          <w:p>
            <w:pPr>
              <w:pStyle w:val="12"/>
              <w:kinsoku w:val="0"/>
              <w:overflowPunct w:val="0"/>
              <w:spacing w:before="0" w:line="272" w:lineRule="auto"/>
              <w:ind w:left="100" w:firstLine="420"/>
              <w:rPr>
                <w:rFonts w:hint="default" w:asciiTheme="minorEastAsia" w:hAnsiTheme="minorEastAsia" w:eastAsiaTheme="minorEastAsia"/>
                <w:color w:val="auto"/>
                <w:kern w:val="0"/>
                <w:sz w:val="28"/>
                <w:szCs w:val="28"/>
                <w:highlight w:val="none"/>
              </w:rPr>
            </w:pPr>
            <w:r>
              <w:rPr>
                <w:rFonts w:asciiTheme="minorEastAsia" w:hAnsiTheme="minorEastAsia" w:eastAsiaTheme="minorEastAsia"/>
                <w:color w:val="auto"/>
                <w:kern w:val="0"/>
                <w:sz w:val="28"/>
                <w:szCs w:val="28"/>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5353" w:type="dxa"/>
          </w:tcPr>
          <w:p>
            <w:pPr>
              <w:pStyle w:val="12"/>
              <w:kinsoku w:val="0"/>
              <w:overflowPunct w:val="0"/>
              <w:spacing w:before="0" w:line="272" w:lineRule="auto"/>
              <w:ind w:left="100" w:firstLine="420"/>
              <w:rPr>
                <w:rFonts w:hint="default" w:asciiTheme="minorEastAsia" w:hAnsiTheme="minorEastAsia" w:eastAsiaTheme="minorEastAsia"/>
                <w:color w:val="auto"/>
                <w:kern w:val="0"/>
                <w:sz w:val="28"/>
                <w:szCs w:val="28"/>
                <w:highlight w:val="none"/>
              </w:rPr>
            </w:pPr>
            <w:r>
              <w:rPr>
                <w:rFonts w:asciiTheme="minorEastAsia" w:hAnsiTheme="minorEastAsia" w:eastAsiaTheme="minorEastAsia"/>
                <w:color w:val="auto"/>
                <w:kern w:val="0"/>
                <w:sz w:val="28"/>
                <w:szCs w:val="28"/>
                <w:highlight w:val="none"/>
              </w:rPr>
              <w:t>法定代表人或委托代理人：</w:t>
            </w:r>
          </w:p>
        </w:tc>
        <w:tc>
          <w:tcPr>
            <w:tcW w:w="4811" w:type="dxa"/>
          </w:tcPr>
          <w:p>
            <w:pPr>
              <w:pStyle w:val="12"/>
              <w:kinsoku w:val="0"/>
              <w:overflowPunct w:val="0"/>
              <w:spacing w:before="0" w:line="272" w:lineRule="auto"/>
              <w:ind w:left="100" w:firstLine="420"/>
              <w:rPr>
                <w:rFonts w:hint="default" w:asciiTheme="minorEastAsia" w:hAnsiTheme="minorEastAsia" w:eastAsiaTheme="minorEastAsia"/>
                <w:color w:val="auto"/>
                <w:kern w:val="0"/>
                <w:sz w:val="28"/>
                <w:szCs w:val="28"/>
                <w:highlight w:val="none"/>
              </w:rPr>
            </w:pPr>
            <w:r>
              <w:rPr>
                <w:rFonts w:asciiTheme="minorEastAsia" w:hAnsiTheme="minorEastAsia" w:eastAsiaTheme="minorEastAsia"/>
                <w:color w:val="auto"/>
                <w:kern w:val="0"/>
                <w:sz w:val="28"/>
                <w:szCs w:val="28"/>
                <w:highlight w:val="none"/>
              </w:rPr>
              <w:t>法定代表人或委托代理人：</w:t>
            </w:r>
          </w:p>
        </w:tc>
      </w:tr>
    </w:tbl>
    <w:p>
      <w:pPr>
        <w:pStyle w:val="12"/>
        <w:kinsoku w:val="0"/>
        <w:overflowPunct w:val="0"/>
        <w:spacing w:before="0" w:line="272" w:lineRule="auto"/>
        <w:ind w:left="0"/>
        <w:rPr>
          <w:rFonts w:hint="default" w:asciiTheme="minorEastAsia" w:hAnsiTheme="minorEastAsia" w:eastAsiaTheme="minorEastAsia"/>
          <w:color w:val="auto"/>
          <w:sz w:val="28"/>
          <w:szCs w:val="28"/>
          <w:highlight w:val="none"/>
        </w:rPr>
      </w:pPr>
    </w:p>
    <w:p>
      <w:pPr>
        <w:pStyle w:val="12"/>
        <w:kinsoku w:val="0"/>
        <w:overflowPunct w:val="0"/>
        <w:spacing w:before="0" w:line="500" w:lineRule="exact"/>
        <w:ind w:left="102" w:firstLine="420"/>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合同签订地点：广西南宁市青秀区云景路69号</w:t>
      </w:r>
    </w:p>
    <w:p>
      <w:pPr>
        <w:pStyle w:val="12"/>
        <w:kinsoku w:val="0"/>
        <w:overflowPunct w:val="0"/>
        <w:spacing w:before="0" w:line="500" w:lineRule="exact"/>
        <w:ind w:left="102" w:firstLine="420"/>
        <w:rPr>
          <w:rFonts w:hint="default"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合同签订日期：     年    月    日</w:t>
      </w:r>
    </w:p>
    <w:p>
      <w:pPr>
        <w:spacing w:before="120" w:beforeLines="50" w:after="120" w:afterLines="50" w:line="300" w:lineRule="auto"/>
        <w:rPr>
          <w:rFonts w:ascii="楷体_GB2312" w:hAnsi="宋体" w:eastAsia="楷体_GB2312"/>
          <w:color w:val="auto"/>
          <w:sz w:val="30"/>
          <w:highlight w:val="none"/>
        </w:rPr>
      </w:pPr>
    </w:p>
    <w:p>
      <w:pPr>
        <w:pStyle w:val="12"/>
        <w:kinsoku w:val="0"/>
        <w:overflowPunct w:val="0"/>
        <w:spacing w:before="14"/>
        <w:ind w:left="0"/>
        <w:rPr>
          <w:rFonts w:hint="default"/>
          <w:b/>
          <w:color w:val="auto"/>
          <w:spacing w:val="-1"/>
          <w:sz w:val="28"/>
          <w:highlight w:val="none"/>
        </w:rPr>
      </w:pPr>
      <w:bookmarkStart w:id="17" w:name="bookmark10"/>
      <w:bookmarkEnd w:id="17"/>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jc w:val="center"/>
        <w:rPr>
          <w:rFonts w:hint="default"/>
          <w:b/>
          <w:color w:val="auto"/>
          <w:spacing w:val="-1"/>
          <w:sz w:val="28"/>
          <w:highlight w:val="none"/>
        </w:rPr>
      </w:pPr>
    </w:p>
    <w:p>
      <w:pPr>
        <w:pStyle w:val="12"/>
        <w:kinsoku w:val="0"/>
        <w:overflowPunct w:val="0"/>
        <w:spacing w:before="14"/>
        <w:ind w:left="0"/>
        <w:rPr>
          <w:rFonts w:hint="default"/>
          <w:b/>
          <w:color w:val="auto"/>
          <w:spacing w:val="-1"/>
          <w:sz w:val="28"/>
          <w:highlight w:val="none"/>
        </w:rPr>
      </w:pPr>
    </w:p>
    <w:p>
      <w:pPr>
        <w:pStyle w:val="12"/>
        <w:kinsoku w:val="0"/>
        <w:overflowPunct w:val="0"/>
        <w:spacing w:before="14"/>
        <w:ind w:left="0"/>
        <w:jc w:val="center"/>
        <w:rPr>
          <w:rFonts w:hint="default"/>
          <w:b/>
          <w:color w:val="auto"/>
          <w:spacing w:val="-1"/>
          <w:sz w:val="28"/>
          <w:highlight w:val="none"/>
        </w:rPr>
      </w:pPr>
    </w:p>
    <w:p>
      <w:pPr>
        <w:rPr>
          <w:b/>
          <w:color w:val="auto"/>
          <w:spacing w:val="-1"/>
          <w:sz w:val="28"/>
          <w:highlight w:val="none"/>
        </w:rPr>
      </w:pPr>
      <w:r>
        <w:rPr>
          <w:b/>
          <w:color w:val="auto"/>
          <w:spacing w:val="-1"/>
          <w:sz w:val="28"/>
          <w:highlight w:val="none"/>
        </w:rPr>
        <w:br w:type="page"/>
      </w:r>
    </w:p>
    <w:p>
      <w:pPr>
        <w:pStyle w:val="12"/>
        <w:kinsoku w:val="0"/>
        <w:overflowPunct w:val="0"/>
        <w:spacing w:before="14"/>
        <w:ind w:left="0"/>
        <w:jc w:val="center"/>
        <w:outlineLvl w:val="1"/>
        <w:rPr>
          <w:rFonts w:hint="default"/>
          <w:color w:val="auto"/>
          <w:sz w:val="28"/>
          <w:highlight w:val="none"/>
        </w:rPr>
      </w:pPr>
      <w:r>
        <w:rPr>
          <w:b/>
          <w:color w:val="auto"/>
          <w:spacing w:val="-1"/>
          <w:sz w:val="28"/>
          <w:highlight w:val="none"/>
        </w:rPr>
        <w:t>第三章</w:t>
      </w:r>
      <w:bookmarkStart w:id="18" w:name="bookmark11"/>
      <w:bookmarkEnd w:id="18"/>
      <w:bookmarkStart w:id="19" w:name="比选申请文件（格式）"/>
      <w:bookmarkEnd w:id="19"/>
      <w:r>
        <w:rPr>
          <w:b/>
          <w:color w:val="auto"/>
          <w:spacing w:val="-1"/>
          <w:sz w:val="28"/>
          <w:highlight w:val="none"/>
        </w:rPr>
        <w:t>比选申请文件（格式）</w:t>
      </w:r>
    </w:p>
    <w:p>
      <w:pPr>
        <w:pStyle w:val="12"/>
        <w:kinsoku w:val="0"/>
        <w:overflowPunct w:val="0"/>
        <w:spacing w:before="0"/>
        <w:ind w:left="0"/>
        <w:rPr>
          <w:rFonts w:hint="default"/>
          <w:b/>
          <w:color w:val="auto"/>
          <w:sz w:val="28"/>
          <w:highlight w:val="none"/>
        </w:rPr>
      </w:pPr>
    </w:p>
    <w:p>
      <w:pPr>
        <w:pStyle w:val="12"/>
        <w:kinsoku w:val="0"/>
        <w:overflowPunct w:val="0"/>
        <w:spacing w:before="0"/>
        <w:ind w:left="0"/>
        <w:rPr>
          <w:rFonts w:hint="default"/>
          <w:b/>
          <w:color w:val="auto"/>
          <w:sz w:val="28"/>
          <w:highlight w:val="none"/>
        </w:rPr>
      </w:pPr>
    </w:p>
    <w:p>
      <w:pPr>
        <w:pStyle w:val="12"/>
        <w:kinsoku w:val="0"/>
        <w:overflowPunct w:val="0"/>
        <w:spacing w:before="225"/>
        <w:ind w:left="59"/>
        <w:jc w:val="center"/>
        <w:rPr>
          <w:rFonts w:hint="default"/>
          <w:color w:val="auto"/>
          <w:spacing w:val="-2"/>
          <w:sz w:val="28"/>
          <w:highlight w:val="none"/>
        </w:rPr>
      </w:pPr>
      <w:r>
        <w:rPr>
          <w:color w:val="auto"/>
          <w:spacing w:val="-2"/>
          <w:sz w:val="28"/>
          <w:highlight w:val="none"/>
        </w:rPr>
        <w:t>（封面格式）</w:t>
      </w: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b/>
          <w:color w:val="auto"/>
          <w:sz w:val="28"/>
          <w:highlight w:val="none"/>
        </w:rPr>
      </w:pPr>
    </w:p>
    <w:p>
      <w:pPr>
        <w:pStyle w:val="12"/>
        <w:kinsoku w:val="0"/>
        <w:overflowPunct w:val="0"/>
        <w:spacing w:before="0"/>
        <w:ind w:left="0"/>
        <w:rPr>
          <w:rFonts w:hint="default"/>
          <w:b/>
          <w:color w:val="auto"/>
          <w:sz w:val="28"/>
          <w:highlight w:val="none"/>
        </w:rPr>
      </w:pPr>
    </w:p>
    <w:p>
      <w:pPr>
        <w:pStyle w:val="12"/>
        <w:kinsoku w:val="0"/>
        <w:overflowPunct w:val="0"/>
        <w:spacing w:before="0" w:line="360" w:lineRule="auto"/>
        <w:ind w:left="0"/>
        <w:jc w:val="center"/>
        <w:rPr>
          <w:rFonts w:hint="default"/>
          <w:b/>
          <w:color w:val="auto"/>
          <w:spacing w:val="26"/>
          <w:sz w:val="30"/>
          <w:szCs w:val="30"/>
          <w:highlight w:val="none"/>
        </w:rPr>
      </w:pPr>
      <w:r>
        <w:rPr>
          <w:b/>
          <w:color w:val="auto"/>
          <w:spacing w:val="-2"/>
          <w:sz w:val="30"/>
          <w:szCs w:val="30"/>
          <w:highlight w:val="none"/>
        </w:rPr>
        <w:t>项目比选申请文件</w:t>
      </w:r>
    </w:p>
    <w:p>
      <w:pPr>
        <w:pStyle w:val="12"/>
        <w:kinsoku w:val="0"/>
        <w:overflowPunct w:val="0"/>
        <w:spacing w:before="0" w:line="360" w:lineRule="auto"/>
        <w:ind w:left="0"/>
        <w:jc w:val="center"/>
        <w:outlineLvl w:val="1"/>
        <w:rPr>
          <w:rFonts w:hint="default"/>
          <w:b/>
          <w:color w:val="auto"/>
          <w:spacing w:val="-2"/>
          <w:sz w:val="30"/>
          <w:szCs w:val="30"/>
          <w:highlight w:val="none"/>
        </w:rPr>
      </w:pPr>
      <w:r>
        <w:rPr>
          <w:b/>
          <w:color w:val="auto"/>
          <w:spacing w:val="-2"/>
          <w:sz w:val="30"/>
          <w:szCs w:val="30"/>
          <w:highlight w:val="none"/>
        </w:rPr>
        <w:t>资格审查部分</w:t>
      </w: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5"/>
        <w:ind w:left="0"/>
        <w:rPr>
          <w:rFonts w:hint="default"/>
          <w:color w:val="auto"/>
          <w:sz w:val="27"/>
          <w:highlight w:val="none"/>
        </w:rPr>
      </w:pPr>
    </w:p>
    <w:p>
      <w:pPr>
        <w:pStyle w:val="12"/>
        <w:tabs>
          <w:tab w:val="left" w:pos="5840"/>
        </w:tabs>
        <w:kinsoku w:val="0"/>
        <w:overflowPunct w:val="0"/>
        <w:spacing w:before="0" w:line="600" w:lineRule="exact"/>
        <w:ind w:left="101" w:leftChars="42" w:firstLine="552" w:firstLineChars="200"/>
        <w:rPr>
          <w:rFonts w:hint="default"/>
          <w:color w:val="auto"/>
          <w:spacing w:val="-2"/>
          <w:sz w:val="28"/>
          <w:highlight w:val="none"/>
        </w:rPr>
      </w:pPr>
      <w:r>
        <w:rPr>
          <w:color w:val="auto"/>
          <w:spacing w:val="-2"/>
          <w:sz w:val="28"/>
          <w:highlight w:val="none"/>
        </w:rPr>
        <w:t>比选申请人：</w:t>
      </w:r>
      <w:r>
        <w:rPr>
          <w:color w:val="auto"/>
          <w:spacing w:val="-2"/>
          <w:sz w:val="28"/>
          <w:highlight w:val="none"/>
        </w:rPr>
        <w:tab/>
      </w:r>
      <w:r>
        <w:rPr>
          <w:color w:val="auto"/>
          <w:spacing w:val="-2"/>
          <w:sz w:val="28"/>
          <w:highlight w:val="none"/>
        </w:rPr>
        <w:t>（盖章）</w:t>
      </w:r>
    </w:p>
    <w:p>
      <w:pPr>
        <w:pStyle w:val="12"/>
        <w:kinsoku w:val="0"/>
        <w:overflowPunct w:val="0"/>
        <w:spacing w:before="0" w:line="600" w:lineRule="exact"/>
        <w:ind w:left="101" w:leftChars="42" w:right="2550" w:firstLine="552" w:firstLineChars="200"/>
        <w:rPr>
          <w:rFonts w:hint="default"/>
          <w:color w:val="auto"/>
          <w:spacing w:val="-2"/>
          <w:sz w:val="28"/>
          <w:highlight w:val="none"/>
        </w:rPr>
      </w:pPr>
      <w:r>
        <w:rPr>
          <w:color w:val="auto"/>
          <w:spacing w:val="-2"/>
          <w:sz w:val="28"/>
          <w:highlight w:val="none"/>
        </w:rPr>
        <w:t>负责人或委托代理人：（签字或盖章）</w:t>
      </w:r>
    </w:p>
    <w:p>
      <w:pPr>
        <w:pStyle w:val="12"/>
        <w:kinsoku w:val="0"/>
        <w:overflowPunct w:val="0"/>
        <w:spacing w:before="0" w:line="600" w:lineRule="exact"/>
        <w:ind w:left="101" w:leftChars="42" w:right="2550" w:firstLine="552" w:firstLineChars="200"/>
        <w:rPr>
          <w:rFonts w:hint="default"/>
          <w:color w:val="auto"/>
          <w:spacing w:val="-2"/>
          <w:sz w:val="28"/>
          <w:highlight w:val="none"/>
        </w:rPr>
      </w:pPr>
      <w:r>
        <w:rPr>
          <w:color w:val="auto"/>
          <w:spacing w:val="-2"/>
          <w:sz w:val="28"/>
          <w:highlight w:val="none"/>
        </w:rPr>
        <w:t>电话/传真：</w:t>
      </w:r>
    </w:p>
    <w:p>
      <w:pPr>
        <w:pStyle w:val="12"/>
        <w:kinsoku w:val="0"/>
        <w:overflowPunct w:val="0"/>
        <w:spacing w:before="60" w:line="600" w:lineRule="exact"/>
        <w:ind w:left="101" w:leftChars="42" w:firstLine="552" w:firstLineChars="200"/>
        <w:rPr>
          <w:rFonts w:hint="default"/>
          <w:color w:val="auto"/>
          <w:spacing w:val="-2"/>
          <w:sz w:val="28"/>
          <w:highlight w:val="none"/>
        </w:rPr>
      </w:pPr>
      <w:r>
        <w:rPr>
          <w:color w:val="auto"/>
          <w:spacing w:val="-2"/>
          <w:sz w:val="28"/>
          <w:highlight w:val="none"/>
        </w:rPr>
        <w:t>地址：</w:t>
      </w:r>
    </w:p>
    <w:p>
      <w:pPr>
        <w:pStyle w:val="12"/>
        <w:tabs>
          <w:tab w:val="left" w:pos="2199"/>
          <w:tab w:val="left" w:pos="3039"/>
        </w:tabs>
        <w:kinsoku w:val="0"/>
        <w:overflowPunct w:val="0"/>
        <w:spacing w:before="0" w:line="600" w:lineRule="exact"/>
        <w:ind w:left="0" w:firstLine="1260" w:firstLineChars="450"/>
        <w:rPr>
          <w:rFonts w:hint="default"/>
          <w:color w:val="auto"/>
          <w:sz w:val="28"/>
          <w:highlight w:val="none"/>
        </w:rPr>
      </w:pPr>
      <w:r>
        <w:rPr>
          <w:color w:val="auto"/>
          <w:sz w:val="28"/>
          <w:highlight w:val="none"/>
        </w:rPr>
        <w:t>年</w:t>
      </w:r>
      <w:r>
        <w:rPr>
          <w:color w:val="auto"/>
          <w:sz w:val="28"/>
          <w:highlight w:val="none"/>
        </w:rPr>
        <w:tab/>
      </w:r>
      <w:r>
        <w:rPr>
          <w:color w:val="auto"/>
          <w:sz w:val="28"/>
          <w:highlight w:val="none"/>
        </w:rPr>
        <w:t>月</w:t>
      </w:r>
      <w:r>
        <w:rPr>
          <w:color w:val="auto"/>
          <w:sz w:val="28"/>
          <w:highlight w:val="none"/>
        </w:rPr>
        <w:tab/>
      </w:r>
      <w:r>
        <w:rPr>
          <w:color w:val="auto"/>
          <w:sz w:val="28"/>
          <w:highlight w:val="none"/>
        </w:rPr>
        <w:t>日</w:t>
      </w:r>
    </w:p>
    <w:p>
      <w:pPr>
        <w:pStyle w:val="12"/>
        <w:tabs>
          <w:tab w:val="left" w:pos="2199"/>
          <w:tab w:val="left" w:pos="3039"/>
        </w:tabs>
        <w:kinsoku w:val="0"/>
        <w:overflowPunct w:val="0"/>
        <w:spacing w:before="0"/>
        <w:ind w:left="1360"/>
        <w:rPr>
          <w:rFonts w:hint="default"/>
          <w:color w:val="auto"/>
          <w:sz w:val="28"/>
          <w:highlight w:val="none"/>
        </w:rPr>
        <w:sectPr>
          <w:footerReference r:id="rId5" w:type="default"/>
          <w:pgSz w:w="11910" w:h="16840"/>
          <w:pgMar w:top="1440" w:right="1361" w:bottom="1440" w:left="1361" w:header="0" w:footer="987" w:gutter="0"/>
          <w:cols w:space="720" w:num="1"/>
          <w:docGrid w:linePitch="326" w:charSpace="0"/>
        </w:sectPr>
      </w:pPr>
    </w:p>
    <w:p>
      <w:pPr>
        <w:pStyle w:val="12"/>
        <w:kinsoku w:val="0"/>
        <w:overflowPunct w:val="0"/>
        <w:spacing w:before="0" w:line="355" w:lineRule="exact"/>
        <w:ind w:left="184" w:firstLine="2784"/>
        <w:outlineLvl w:val="2"/>
        <w:rPr>
          <w:rFonts w:hint="default"/>
          <w:b/>
          <w:color w:val="auto"/>
          <w:spacing w:val="-2"/>
          <w:sz w:val="30"/>
          <w:szCs w:val="30"/>
          <w:highlight w:val="none"/>
        </w:rPr>
      </w:pPr>
      <w:bookmarkStart w:id="20" w:name="bookmark12"/>
      <w:bookmarkEnd w:id="20"/>
      <w:bookmarkStart w:id="21" w:name="一、资格审查文件目录"/>
      <w:bookmarkEnd w:id="21"/>
      <w:r>
        <w:rPr>
          <w:b/>
          <w:color w:val="auto"/>
          <w:spacing w:val="-2"/>
          <w:sz w:val="30"/>
          <w:szCs w:val="30"/>
          <w:highlight w:val="none"/>
        </w:rPr>
        <w:t>一、资格审查文件目录</w:t>
      </w:r>
    </w:p>
    <w:p>
      <w:pPr>
        <w:pStyle w:val="12"/>
        <w:kinsoku w:val="0"/>
        <w:overflowPunct w:val="0"/>
        <w:spacing w:before="0"/>
        <w:ind w:left="0"/>
        <w:rPr>
          <w:rFonts w:hint="default"/>
          <w:color w:val="auto"/>
          <w:sz w:val="28"/>
          <w:highlight w:val="none"/>
        </w:rPr>
      </w:pPr>
    </w:p>
    <w:p>
      <w:pPr>
        <w:pStyle w:val="12"/>
        <w:kinsoku w:val="0"/>
        <w:overflowPunct w:val="0"/>
        <w:spacing w:before="186"/>
        <w:ind w:left="0"/>
        <w:rPr>
          <w:rFonts w:hint="default"/>
          <w:color w:val="auto"/>
          <w:spacing w:val="-2"/>
          <w:sz w:val="28"/>
          <w:highlight w:val="none"/>
        </w:rPr>
      </w:pPr>
      <w:r>
        <w:rPr>
          <w:color w:val="auto"/>
          <w:sz w:val="28"/>
          <w:highlight w:val="none"/>
        </w:rPr>
        <w:t>1.</w:t>
      </w:r>
      <w:r>
        <w:rPr>
          <w:color w:val="auto"/>
          <w:spacing w:val="-2"/>
          <w:sz w:val="28"/>
          <w:highlight w:val="none"/>
        </w:rPr>
        <w:t>诚信声明（原件）</w:t>
      </w:r>
    </w:p>
    <w:p>
      <w:pPr>
        <w:pStyle w:val="12"/>
        <w:kinsoku w:val="0"/>
        <w:overflowPunct w:val="0"/>
        <w:spacing w:before="192"/>
        <w:ind w:left="0"/>
        <w:rPr>
          <w:rFonts w:hint="default"/>
          <w:color w:val="auto"/>
          <w:spacing w:val="-2"/>
          <w:sz w:val="28"/>
          <w:highlight w:val="none"/>
        </w:rPr>
      </w:pPr>
      <w:r>
        <w:rPr>
          <w:color w:val="auto"/>
          <w:sz w:val="28"/>
          <w:highlight w:val="none"/>
        </w:rPr>
        <w:t>2.</w:t>
      </w:r>
      <w:r>
        <w:rPr>
          <w:color w:val="auto"/>
          <w:spacing w:val="-2"/>
          <w:sz w:val="28"/>
          <w:highlight w:val="none"/>
        </w:rPr>
        <w:t>法定代表人资格证明书（原件）</w:t>
      </w:r>
    </w:p>
    <w:p>
      <w:pPr>
        <w:pStyle w:val="12"/>
        <w:kinsoku w:val="0"/>
        <w:overflowPunct w:val="0"/>
        <w:spacing w:before="195"/>
        <w:ind w:left="0"/>
        <w:rPr>
          <w:rFonts w:hint="default"/>
          <w:color w:val="auto"/>
          <w:spacing w:val="-2"/>
          <w:sz w:val="28"/>
          <w:highlight w:val="none"/>
        </w:rPr>
      </w:pPr>
      <w:r>
        <w:rPr>
          <w:color w:val="auto"/>
          <w:sz w:val="28"/>
          <w:highlight w:val="none"/>
        </w:rPr>
        <w:t>3.</w:t>
      </w:r>
      <w:r>
        <w:rPr>
          <w:color w:val="auto"/>
          <w:spacing w:val="-2"/>
          <w:sz w:val="28"/>
          <w:highlight w:val="none"/>
        </w:rPr>
        <w:t>法定代表人身份证明文件（提供复印件加盖法人单位公章）</w:t>
      </w:r>
    </w:p>
    <w:p>
      <w:pPr>
        <w:pStyle w:val="12"/>
        <w:kinsoku w:val="0"/>
        <w:overflowPunct w:val="0"/>
        <w:spacing w:before="192"/>
        <w:ind w:left="0"/>
        <w:rPr>
          <w:rFonts w:hint="default"/>
          <w:color w:val="auto"/>
          <w:spacing w:val="-2"/>
          <w:sz w:val="28"/>
          <w:highlight w:val="none"/>
        </w:rPr>
      </w:pPr>
      <w:r>
        <w:rPr>
          <w:color w:val="auto"/>
          <w:sz w:val="28"/>
          <w:highlight w:val="none"/>
        </w:rPr>
        <w:t>4.</w:t>
      </w:r>
      <w:r>
        <w:rPr>
          <w:color w:val="auto"/>
          <w:spacing w:val="-2"/>
          <w:sz w:val="28"/>
          <w:highlight w:val="none"/>
        </w:rPr>
        <w:t>比选申请文件签署授权委托书（原件）</w:t>
      </w:r>
    </w:p>
    <w:p>
      <w:pPr>
        <w:pStyle w:val="12"/>
        <w:kinsoku w:val="0"/>
        <w:overflowPunct w:val="0"/>
        <w:spacing w:before="192"/>
        <w:ind w:left="0"/>
        <w:rPr>
          <w:rFonts w:hint="default"/>
          <w:color w:val="auto"/>
          <w:spacing w:val="-2"/>
          <w:sz w:val="28"/>
          <w:highlight w:val="none"/>
        </w:rPr>
      </w:pPr>
      <w:r>
        <w:rPr>
          <w:color w:val="auto"/>
          <w:sz w:val="28"/>
          <w:highlight w:val="none"/>
        </w:rPr>
        <w:t>5.</w:t>
      </w:r>
      <w:r>
        <w:rPr>
          <w:color w:val="auto"/>
          <w:spacing w:val="-2"/>
          <w:sz w:val="28"/>
          <w:highlight w:val="none"/>
        </w:rPr>
        <w:t>授权代理人身份证明文件（提供复印件加盖法人单位公章）</w:t>
      </w:r>
    </w:p>
    <w:p>
      <w:pPr>
        <w:pStyle w:val="12"/>
        <w:kinsoku w:val="0"/>
        <w:overflowPunct w:val="0"/>
        <w:spacing w:before="195"/>
        <w:ind w:left="0"/>
        <w:rPr>
          <w:rFonts w:hint="default"/>
          <w:color w:val="auto"/>
          <w:sz w:val="28"/>
          <w:highlight w:val="none"/>
        </w:rPr>
      </w:pPr>
      <w:r>
        <w:rPr>
          <w:color w:val="auto"/>
          <w:sz w:val="28"/>
          <w:highlight w:val="none"/>
        </w:rPr>
        <w:t>6.</w:t>
      </w:r>
      <w:r>
        <w:rPr>
          <w:color w:val="auto"/>
          <w:spacing w:val="-1"/>
          <w:sz w:val="28"/>
          <w:highlight w:val="none"/>
        </w:rPr>
        <w:t>营业执照（提供复印件加盖法人单位公章）</w:t>
      </w:r>
    </w:p>
    <w:p>
      <w:pPr>
        <w:pStyle w:val="12"/>
        <w:kinsoku w:val="0"/>
        <w:overflowPunct w:val="0"/>
        <w:spacing w:before="192"/>
        <w:ind w:left="0"/>
        <w:rPr>
          <w:rFonts w:hint="default"/>
          <w:color w:val="auto"/>
          <w:spacing w:val="-2"/>
          <w:sz w:val="28"/>
          <w:highlight w:val="none"/>
        </w:rPr>
      </w:pPr>
      <w:r>
        <w:rPr>
          <w:color w:val="auto"/>
          <w:sz w:val="28"/>
          <w:highlight w:val="none"/>
        </w:rPr>
        <w:t>7.</w:t>
      </w:r>
      <w:r>
        <w:rPr>
          <w:color w:val="auto"/>
          <w:spacing w:val="-2"/>
          <w:sz w:val="28"/>
          <w:highlight w:val="none"/>
        </w:rPr>
        <w:t>税务登记证（加盖单位公章,如已办理三证合一则不需提供）；</w:t>
      </w:r>
    </w:p>
    <w:p>
      <w:pPr>
        <w:pStyle w:val="12"/>
        <w:kinsoku w:val="0"/>
        <w:overflowPunct w:val="0"/>
        <w:spacing w:before="195"/>
        <w:ind w:left="0"/>
        <w:rPr>
          <w:rFonts w:hint="eastAsia" w:eastAsia="宋体"/>
          <w:color w:val="auto"/>
          <w:spacing w:val="-1"/>
          <w:sz w:val="28"/>
          <w:highlight w:val="none"/>
          <w:lang w:eastAsia="zh-CN"/>
        </w:rPr>
      </w:pPr>
      <w:r>
        <w:rPr>
          <w:color w:val="auto"/>
          <w:spacing w:val="-1"/>
          <w:sz w:val="28"/>
          <w:highlight w:val="none"/>
        </w:rPr>
        <w:t>8.组织机构代码证复印件（加盖单位公章,如已办理三证合一则不需提供）</w:t>
      </w:r>
    </w:p>
    <w:p>
      <w:pPr>
        <w:pStyle w:val="12"/>
        <w:kinsoku w:val="0"/>
        <w:overflowPunct w:val="0"/>
        <w:spacing w:before="195"/>
        <w:ind w:left="0"/>
        <w:rPr>
          <w:rFonts w:hint="default"/>
          <w:color w:val="auto"/>
          <w:spacing w:val="-1"/>
          <w:sz w:val="28"/>
          <w:highlight w:val="none"/>
          <w:lang w:val="en-US" w:eastAsia="zh-CN"/>
        </w:rPr>
      </w:pPr>
      <w:r>
        <w:rPr>
          <w:rFonts w:hint="eastAsia"/>
          <w:color w:val="auto"/>
          <w:spacing w:val="-1"/>
          <w:sz w:val="28"/>
          <w:highlight w:val="none"/>
          <w:lang w:val="en-US" w:eastAsia="zh-CN"/>
        </w:rPr>
        <w:t>9.其他</w:t>
      </w:r>
    </w:p>
    <w:p>
      <w:pPr>
        <w:pStyle w:val="12"/>
        <w:kinsoku w:val="0"/>
        <w:overflowPunct w:val="0"/>
        <w:spacing w:before="0"/>
        <w:ind w:left="0"/>
        <w:rPr>
          <w:rFonts w:hint="default"/>
          <w:i/>
          <w:color w:val="auto"/>
          <w:sz w:val="28"/>
          <w:highlight w:val="none"/>
        </w:rPr>
      </w:pPr>
    </w:p>
    <w:p>
      <w:pPr>
        <w:pStyle w:val="12"/>
        <w:kinsoku w:val="0"/>
        <w:overflowPunct w:val="0"/>
        <w:spacing w:before="7"/>
        <w:ind w:left="0"/>
        <w:rPr>
          <w:rFonts w:hint="default"/>
          <w:i/>
          <w:color w:val="auto"/>
          <w:sz w:val="31"/>
          <w:highlight w:val="none"/>
        </w:rPr>
      </w:pPr>
    </w:p>
    <w:p>
      <w:pPr>
        <w:pStyle w:val="12"/>
        <w:kinsoku w:val="0"/>
        <w:overflowPunct w:val="0"/>
        <w:spacing w:before="0"/>
        <w:ind w:left="0"/>
        <w:rPr>
          <w:rFonts w:hint="default"/>
          <w:color w:val="auto"/>
          <w:spacing w:val="-2"/>
          <w:sz w:val="28"/>
          <w:highlight w:val="none"/>
        </w:rPr>
      </w:pPr>
      <w:r>
        <w:rPr>
          <w:color w:val="auto"/>
          <w:spacing w:val="-2"/>
          <w:sz w:val="28"/>
          <w:highlight w:val="none"/>
        </w:rPr>
        <w:t>备注：以上材料均需加盖单位公章，并按照目录顺序编排，标注页码</w:t>
      </w:r>
    </w:p>
    <w:p>
      <w:pPr>
        <w:pStyle w:val="12"/>
        <w:kinsoku w:val="0"/>
        <w:overflowPunct w:val="0"/>
        <w:spacing w:before="0"/>
        <w:ind w:left="319"/>
        <w:rPr>
          <w:rFonts w:hint="default"/>
          <w:color w:val="auto"/>
          <w:spacing w:val="-2"/>
          <w:sz w:val="28"/>
          <w:highlight w:val="none"/>
        </w:rPr>
        <w:sectPr>
          <w:pgSz w:w="11910" w:h="16840"/>
          <w:pgMar w:top="1520" w:right="1140" w:bottom="1180" w:left="1680" w:header="0" w:footer="986" w:gutter="0"/>
          <w:cols w:space="720" w:num="1"/>
        </w:sectPr>
      </w:pPr>
    </w:p>
    <w:p>
      <w:pPr>
        <w:spacing w:line="560" w:lineRule="exact"/>
        <w:jc w:val="center"/>
        <w:outlineLvl w:val="3"/>
        <w:rPr>
          <w:rFonts w:ascii="宋体" w:hAnsi="宋体"/>
          <w:b/>
          <w:bCs/>
          <w:color w:val="auto"/>
          <w:sz w:val="30"/>
          <w:szCs w:val="30"/>
          <w:highlight w:val="none"/>
        </w:rPr>
      </w:pPr>
      <w:r>
        <w:rPr>
          <w:rFonts w:hint="eastAsia" w:ascii="宋体" w:hAnsi="宋体"/>
          <w:b/>
          <w:bCs/>
          <w:color w:val="auto"/>
          <w:sz w:val="30"/>
          <w:szCs w:val="30"/>
          <w:highlight w:val="none"/>
        </w:rPr>
        <w:t>1.诚信声明</w:t>
      </w:r>
    </w:p>
    <w:p>
      <w:pPr>
        <w:spacing w:line="560" w:lineRule="exact"/>
        <w:ind w:firstLine="480" w:firstLineChars="200"/>
        <w:rPr>
          <w:rFonts w:ascii="宋体" w:hAnsi="宋体"/>
          <w:color w:val="auto"/>
          <w:highlight w:val="none"/>
        </w:rPr>
      </w:pPr>
    </w:p>
    <w:p>
      <w:pPr>
        <w:spacing w:line="360" w:lineRule="auto"/>
        <w:ind w:firstLine="470" w:firstLineChars="196"/>
        <w:rPr>
          <w:rFonts w:ascii="宋体" w:hAnsi="宋体"/>
          <w:color w:val="auto"/>
          <w:highlight w:val="none"/>
        </w:rPr>
      </w:pPr>
      <w:r>
        <w:rPr>
          <w:rFonts w:hint="eastAsia" w:ascii="宋体" w:hAnsi="宋体"/>
          <w:color w:val="auto"/>
          <w:highlight w:val="none"/>
        </w:rPr>
        <w:t>本人       （法定代表人、身份证号码              ）郑重声明：</w:t>
      </w:r>
    </w:p>
    <w:p>
      <w:pPr>
        <w:spacing w:line="360" w:lineRule="auto"/>
        <w:ind w:firstLine="470" w:firstLineChars="196"/>
        <w:rPr>
          <w:rFonts w:ascii="宋体" w:hAnsi="宋体"/>
          <w:color w:val="auto"/>
          <w:highlight w:val="none"/>
        </w:rPr>
      </w:pPr>
      <w:r>
        <w:rPr>
          <w:rFonts w:hint="eastAsia" w:ascii="宋体" w:hAnsi="宋体"/>
          <w:color w:val="auto"/>
          <w:highlight w:val="none"/>
        </w:rPr>
        <w:t>1.本单位参加</w:t>
      </w:r>
      <w:r>
        <w:rPr>
          <w:rFonts w:hint="eastAsia" w:ascii="宋体" w:hAnsi="宋体" w:cs="宋体"/>
          <w:b/>
          <w:bCs/>
          <w:color w:val="auto"/>
          <w:highlight w:val="none"/>
          <w:u w:val="single"/>
        </w:rPr>
        <w:t>南宁轨道交通集团有限责任公司</w:t>
      </w:r>
      <w:r>
        <w:rPr>
          <w:rFonts w:hint="eastAsia" w:ascii="宋体" w:hAnsi="宋体" w:cs="宋体"/>
          <w:b/>
          <w:bCs/>
          <w:color w:val="auto"/>
          <w:highlight w:val="none"/>
          <w:u w:val="single"/>
          <w:lang w:val="en-US" w:eastAsia="zh-CN"/>
        </w:rPr>
        <w:t>管控</w:t>
      </w:r>
      <w:r>
        <w:rPr>
          <w:rFonts w:hint="eastAsia" w:ascii="宋体" w:hAnsi="宋体" w:cs="宋体"/>
          <w:b/>
          <w:bCs/>
          <w:color w:val="auto"/>
          <w:highlight w:val="none"/>
          <w:u w:val="single"/>
        </w:rPr>
        <w:t>体系优化咨询项目</w:t>
      </w:r>
      <w:r>
        <w:rPr>
          <w:rFonts w:hint="eastAsia" w:ascii="宋体" w:hAnsi="宋体"/>
          <w:color w:val="auto"/>
          <w:highlight w:val="none"/>
        </w:rPr>
        <w:t>采购比选活动所提交的所有资料、填写数据及所包含的附件资料内容是真实的、合法的、有效的；</w:t>
      </w:r>
    </w:p>
    <w:p>
      <w:pPr>
        <w:spacing w:line="360" w:lineRule="auto"/>
        <w:ind w:firstLine="470" w:firstLineChars="196"/>
        <w:rPr>
          <w:rFonts w:ascii="宋体" w:hAnsi="宋体"/>
          <w:color w:val="auto"/>
          <w:highlight w:val="none"/>
        </w:rPr>
      </w:pPr>
      <w:r>
        <w:rPr>
          <w:rFonts w:hint="eastAsia" w:ascii="宋体" w:hAnsi="宋体"/>
          <w:color w:val="auto"/>
          <w:highlight w:val="none"/>
        </w:rPr>
        <w:t>2.本单位未被国家、广西壮族自治区、南宁市相关行政主管部门通报停止投标活动，无犯罪行贿记录；</w:t>
      </w:r>
    </w:p>
    <w:p>
      <w:pPr>
        <w:spacing w:line="360" w:lineRule="auto"/>
        <w:ind w:firstLine="470" w:firstLineChars="196"/>
        <w:rPr>
          <w:rFonts w:ascii="宋体" w:hAnsi="宋体"/>
          <w:color w:val="auto"/>
          <w:highlight w:val="none"/>
        </w:rPr>
      </w:pPr>
      <w:r>
        <w:rPr>
          <w:rFonts w:hint="eastAsia" w:ascii="宋体" w:hAnsi="宋体"/>
          <w:color w:val="auto"/>
          <w:highlight w:val="none"/>
        </w:rPr>
        <w:t>3.同时，我在此所作的声明也是真实有效的，并愿意对在比选过程中有关部门的调查结果承担责任；</w:t>
      </w:r>
    </w:p>
    <w:p>
      <w:pPr>
        <w:spacing w:line="360" w:lineRule="auto"/>
        <w:ind w:firstLine="470" w:firstLineChars="196"/>
        <w:rPr>
          <w:rFonts w:ascii="宋体" w:hAnsi="宋体"/>
          <w:color w:val="auto"/>
          <w:highlight w:val="none"/>
        </w:rPr>
      </w:pPr>
      <w:r>
        <w:rPr>
          <w:rFonts w:hint="eastAsia" w:ascii="宋体" w:hAnsi="宋体"/>
          <w:color w:val="auto"/>
          <w:highlight w:val="none"/>
        </w:rPr>
        <w:t>4.本单位提交的所有比选申请资料如有不实，愿接受相关部门依据有关法律法规给予的处罚。</w:t>
      </w:r>
    </w:p>
    <w:p>
      <w:pPr>
        <w:spacing w:line="360" w:lineRule="auto"/>
        <w:ind w:firstLine="470" w:firstLineChars="196"/>
        <w:rPr>
          <w:rFonts w:ascii="宋体" w:hAnsi="宋体"/>
          <w:color w:val="auto"/>
          <w:highlight w:val="none"/>
        </w:rPr>
      </w:pPr>
      <w:r>
        <w:rPr>
          <w:rFonts w:hint="eastAsia" w:ascii="宋体" w:hAnsi="宋体"/>
          <w:color w:val="auto"/>
          <w:highlight w:val="none"/>
        </w:rPr>
        <w:t>5.本单位提供的服务不存在知识产权或专利纠纷，保证甲方能正常使用本单位所提供的服务。</w:t>
      </w:r>
    </w:p>
    <w:p>
      <w:pPr>
        <w:spacing w:line="360" w:lineRule="auto"/>
        <w:ind w:firstLine="470" w:firstLineChars="196"/>
        <w:rPr>
          <w:rStyle w:val="22"/>
          <w:rFonts w:cs="Arial"/>
          <w:b w:val="0"/>
          <w:color w:val="auto"/>
          <w:highlight w:val="none"/>
        </w:rPr>
      </w:pPr>
      <w:r>
        <w:rPr>
          <w:rFonts w:ascii="宋体" w:hAnsi="宋体"/>
          <w:iCs/>
          <w:color w:val="auto"/>
          <w:highlight w:val="none"/>
        </w:rPr>
        <w:t>6</w:t>
      </w:r>
      <w:r>
        <w:rPr>
          <w:rFonts w:hint="eastAsia" w:ascii="宋体" w:hAnsi="宋体"/>
          <w:iCs/>
          <w:color w:val="auto"/>
          <w:highlight w:val="none"/>
        </w:rPr>
        <w:t>.本</w:t>
      </w:r>
      <w:r>
        <w:rPr>
          <w:rFonts w:hint="eastAsia" w:ascii="宋体" w:hAnsi="宋体"/>
          <w:color w:val="auto"/>
          <w:highlight w:val="none"/>
        </w:rPr>
        <w:t>单位</w:t>
      </w:r>
      <w:r>
        <w:rPr>
          <w:rFonts w:hint="eastAsia" w:ascii="宋体" w:hAnsi="宋体"/>
          <w:iCs/>
          <w:color w:val="auto"/>
          <w:highlight w:val="none"/>
        </w:rPr>
        <w:t>在</w:t>
      </w:r>
      <w:r>
        <w:rPr>
          <w:rStyle w:val="22"/>
          <w:rFonts w:hint="eastAsia" w:cs="Arial"/>
          <w:b w:val="0"/>
          <w:color w:val="auto"/>
          <w:highlight w:val="none"/>
        </w:rPr>
        <w:t>参加本次项目前三年内，在经营活动中无违反政府采购法和其他法律法规被处罚的记录，在以往类似项目中没有负面记录、不良社会报道及法律纠纷。</w:t>
      </w:r>
    </w:p>
    <w:p>
      <w:pPr>
        <w:spacing w:line="360" w:lineRule="auto"/>
        <w:ind w:firstLine="470" w:firstLineChars="196"/>
        <w:rPr>
          <w:rFonts w:cs="Arial" w:asciiTheme="minorEastAsia" w:hAnsiTheme="minorEastAsia" w:eastAsiaTheme="minorEastAsia"/>
          <w:bCs/>
          <w:color w:val="auto"/>
          <w:szCs w:val="24"/>
          <w:highlight w:val="none"/>
        </w:rPr>
      </w:pPr>
      <w:r>
        <w:rPr>
          <w:rStyle w:val="22"/>
          <w:rFonts w:hint="eastAsia" w:cs="Arial" w:asciiTheme="minorEastAsia" w:hAnsiTheme="minorEastAsia" w:eastAsiaTheme="minorEastAsia"/>
          <w:b w:val="0"/>
          <w:color w:val="auto"/>
          <w:szCs w:val="24"/>
          <w:highlight w:val="none"/>
        </w:rPr>
        <w:t>7.</w:t>
      </w:r>
      <w:r>
        <w:rPr>
          <w:rFonts w:hint="eastAsia" w:ascii="宋体" w:hAnsi="宋体"/>
          <w:iCs/>
          <w:color w:val="auto"/>
          <w:highlight w:val="none"/>
        </w:rPr>
        <w:t>本</w:t>
      </w:r>
      <w:r>
        <w:rPr>
          <w:rFonts w:hint="eastAsia" w:ascii="宋体" w:hAnsi="宋体"/>
          <w:color w:val="auto"/>
          <w:highlight w:val="none"/>
        </w:rPr>
        <w:t>单位</w:t>
      </w:r>
      <w:r>
        <w:rPr>
          <w:rFonts w:hint="eastAsia" w:asciiTheme="minorEastAsia" w:hAnsiTheme="minorEastAsia" w:eastAsiaTheme="minorEastAsia"/>
          <w:color w:val="auto"/>
          <w:szCs w:val="24"/>
          <w:highlight w:val="none"/>
        </w:rPr>
        <w:t>具有较好的公司财务状况，具有良好的银行资信和商业信誉，没有处于被责令停业、财产被接管、冻结、破产状态，最近三年没有受到外部监管机构或行业协会的行政处罚。</w:t>
      </w:r>
    </w:p>
    <w:p>
      <w:pPr>
        <w:spacing w:line="360" w:lineRule="auto"/>
        <w:ind w:firstLine="470" w:firstLineChars="196"/>
        <w:rPr>
          <w:rStyle w:val="22"/>
          <w:rFonts w:cs="Arial"/>
          <w:b w:val="0"/>
          <w:color w:val="auto"/>
          <w:highlight w:val="none"/>
        </w:rPr>
      </w:pPr>
    </w:p>
    <w:p>
      <w:pPr>
        <w:spacing w:line="360" w:lineRule="auto"/>
        <w:ind w:firstLine="470" w:firstLineChars="196"/>
        <w:rPr>
          <w:rStyle w:val="22"/>
          <w:rFonts w:cs="Arial"/>
          <w:b w:val="0"/>
          <w:color w:val="auto"/>
          <w:highlight w:val="none"/>
        </w:rPr>
      </w:pPr>
    </w:p>
    <w:p>
      <w:pPr>
        <w:spacing w:line="360" w:lineRule="auto"/>
        <w:ind w:firstLine="470" w:firstLineChars="196"/>
        <w:rPr>
          <w:rFonts w:ascii="宋体" w:hAnsi="宋体"/>
          <w:color w:val="auto"/>
          <w:highlight w:val="none"/>
        </w:rPr>
      </w:pPr>
    </w:p>
    <w:p>
      <w:pPr>
        <w:spacing w:line="360" w:lineRule="auto"/>
        <w:ind w:firstLine="470" w:firstLineChars="196"/>
        <w:rPr>
          <w:rFonts w:ascii="宋体" w:hAnsi="宋体"/>
          <w:color w:val="auto"/>
          <w:highlight w:val="none"/>
        </w:rPr>
      </w:pPr>
      <w:r>
        <w:rPr>
          <w:rFonts w:hint="eastAsia" w:ascii="宋体" w:hAnsi="宋体"/>
          <w:color w:val="auto"/>
          <w:highlight w:val="none"/>
        </w:rPr>
        <w:t>（公章）</w:t>
      </w:r>
    </w:p>
    <w:p>
      <w:pPr>
        <w:spacing w:line="360" w:lineRule="auto"/>
        <w:ind w:firstLine="470" w:firstLineChars="196"/>
        <w:rPr>
          <w:rFonts w:ascii="宋体" w:hAnsi="宋体"/>
          <w:color w:val="auto"/>
          <w:highlight w:val="none"/>
        </w:rPr>
      </w:pPr>
    </w:p>
    <w:p>
      <w:pPr>
        <w:spacing w:line="360" w:lineRule="auto"/>
        <w:ind w:firstLine="470" w:firstLineChars="196"/>
        <w:rPr>
          <w:rFonts w:ascii="宋体" w:hAnsi="宋体"/>
          <w:color w:val="auto"/>
          <w:highlight w:val="none"/>
        </w:rPr>
      </w:pPr>
      <w:r>
        <w:rPr>
          <w:rFonts w:hint="eastAsia" w:ascii="宋体" w:hAnsi="宋体"/>
          <w:color w:val="auto"/>
          <w:highlight w:val="none"/>
        </w:rPr>
        <w:t>法定代表人：（签字）</w:t>
      </w:r>
    </w:p>
    <w:p>
      <w:pPr>
        <w:spacing w:line="360" w:lineRule="auto"/>
        <w:ind w:firstLine="470" w:firstLineChars="196"/>
        <w:rPr>
          <w:rFonts w:ascii="宋体" w:hAnsi="宋体"/>
          <w:color w:val="auto"/>
          <w:highlight w:val="none"/>
        </w:rPr>
      </w:pPr>
    </w:p>
    <w:p>
      <w:pPr>
        <w:spacing w:line="360" w:lineRule="auto"/>
        <w:ind w:firstLine="470" w:firstLineChars="196"/>
        <w:rPr>
          <w:color w:val="auto"/>
          <w:highlight w:val="none"/>
        </w:rPr>
      </w:pPr>
      <w:r>
        <w:rPr>
          <w:rFonts w:hint="eastAsia" w:ascii="宋体" w:hAnsi="宋体"/>
          <w:color w:val="auto"/>
          <w:highlight w:val="none"/>
        </w:rPr>
        <w:t>日期：　　年   月    日</w:t>
      </w:r>
    </w:p>
    <w:p>
      <w:pPr>
        <w:spacing w:line="360" w:lineRule="auto"/>
        <w:ind w:firstLine="470" w:firstLineChars="196"/>
        <w:rPr>
          <w:color w:val="auto"/>
          <w:highlight w:val="none"/>
        </w:rPr>
      </w:pPr>
    </w:p>
    <w:p>
      <w:pPr>
        <w:spacing w:line="360" w:lineRule="auto"/>
        <w:ind w:firstLine="470" w:firstLineChars="196"/>
        <w:rPr>
          <w:color w:val="auto"/>
          <w:highlight w:val="none"/>
        </w:rPr>
      </w:pPr>
    </w:p>
    <w:p>
      <w:pPr>
        <w:spacing w:line="360" w:lineRule="auto"/>
        <w:ind w:firstLine="470" w:firstLineChars="196"/>
        <w:rPr>
          <w:color w:val="auto"/>
          <w:highlight w:val="none"/>
        </w:rPr>
      </w:pPr>
    </w:p>
    <w:p>
      <w:pPr>
        <w:pStyle w:val="12"/>
        <w:tabs>
          <w:tab w:val="left" w:pos="1770"/>
          <w:tab w:val="left" w:pos="2370"/>
          <w:tab w:val="left" w:pos="3090"/>
        </w:tabs>
        <w:kinsoku w:val="0"/>
        <w:overflowPunct w:val="0"/>
        <w:spacing w:before="0" w:line="715" w:lineRule="auto"/>
        <w:ind w:left="0" w:right="6213"/>
        <w:rPr>
          <w:rFonts w:hint="default"/>
          <w:color w:val="auto"/>
          <w:sz w:val="24"/>
          <w:highlight w:val="none"/>
        </w:rPr>
        <w:sectPr>
          <w:pgSz w:w="11910" w:h="16840"/>
          <w:pgMar w:top="1560" w:right="1020" w:bottom="1180" w:left="1340" w:header="0" w:footer="986" w:gutter="0"/>
          <w:cols w:space="720" w:num="1"/>
        </w:sectPr>
      </w:pPr>
    </w:p>
    <w:p>
      <w:pPr>
        <w:pStyle w:val="12"/>
        <w:kinsoku w:val="0"/>
        <w:overflowPunct w:val="0"/>
        <w:spacing w:before="4"/>
        <w:ind w:left="0"/>
        <w:outlineLvl w:val="9"/>
        <w:rPr>
          <w:rFonts w:hint="default"/>
          <w:color w:val="auto"/>
          <w:sz w:val="24"/>
          <w:highlight w:val="none"/>
        </w:rPr>
      </w:pPr>
    </w:p>
    <w:p>
      <w:pPr>
        <w:jc w:val="center"/>
        <w:outlineLvl w:val="3"/>
        <w:rPr>
          <w:rFonts w:ascii="宋体" w:hAnsi="宋体"/>
          <w:b/>
          <w:color w:val="auto"/>
          <w:sz w:val="30"/>
          <w:szCs w:val="30"/>
          <w:highlight w:val="none"/>
        </w:rPr>
      </w:pPr>
      <w:bookmarkStart w:id="22" w:name="3、法定代表人身份证明文件（提供复印件加盖法人单位公章）"/>
      <w:bookmarkEnd w:id="22"/>
      <w:bookmarkStart w:id="23" w:name="_Toc19937"/>
      <w:bookmarkStart w:id="24" w:name="_Toc7760"/>
      <w:bookmarkStart w:id="25" w:name="_Toc3498"/>
      <w:bookmarkStart w:id="26" w:name="_Toc32075"/>
      <w:bookmarkStart w:id="27" w:name="_Toc750"/>
      <w:bookmarkStart w:id="28" w:name="_Toc16756"/>
      <w:bookmarkStart w:id="29" w:name="_Toc28436"/>
      <w:bookmarkStart w:id="30" w:name="_Toc6606"/>
      <w:bookmarkStart w:id="31" w:name="_Toc25670"/>
      <w:r>
        <w:rPr>
          <w:rFonts w:hint="eastAsia" w:ascii="宋体" w:hAnsi="宋体"/>
          <w:b/>
          <w:color w:val="auto"/>
          <w:sz w:val="30"/>
          <w:szCs w:val="30"/>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rPr>
          <w:rFonts w:ascii="宋体" w:hAnsi="宋体"/>
          <w:color w:val="auto"/>
          <w:highlight w:val="none"/>
        </w:rPr>
      </w:pPr>
      <w:r>
        <w:rPr>
          <w:rFonts w:hint="eastAsia" w:ascii="宋体" w:hAnsi="宋体"/>
          <w:color w:val="auto"/>
          <w:highlight w:val="none"/>
        </w:rPr>
        <w:t>单位名称：</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2"/>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单位性质：</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0"/>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地    址：</w:t>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0"/>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成立时间：年月日</w:t>
      </w:r>
    </w:p>
    <w:p>
      <w:pPr>
        <w:spacing w:line="360" w:lineRule="auto"/>
        <w:ind w:firstLine="610"/>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经营期限：</w:t>
      </w:r>
      <w:r>
        <w:rPr>
          <w:rFonts w:hint="eastAsia" w:ascii="宋体" w:hAnsi="宋体"/>
          <w:color w:val="auto"/>
          <w:highlight w:val="none"/>
          <w:u w:val="single"/>
        </w:rPr>
        <w:tab/>
      </w:r>
      <w:r>
        <w:rPr>
          <w:rFonts w:hint="eastAsia" w:ascii="宋体" w:hAnsi="宋体"/>
          <w:color w:val="auto"/>
          <w:highlight w:val="none"/>
          <w:u w:val="single"/>
        </w:rPr>
        <w:tab/>
      </w:r>
    </w:p>
    <w:p>
      <w:pPr>
        <w:spacing w:line="360" w:lineRule="auto"/>
        <w:ind w:firstLine="610"/>
        <w:rPr>
          <w:rFonts w:ascii="宋体" w:hAnsi="宋体"/>
          <w:color w:val="auto"/>
          <w:highlight w:val="none"/>
        </w:rPr>
      </w:pPr>
    </w:p>
    <w:p>
      <w:pPr>
        <w:spacing w:line="360" w:lineRule="auto"/>
        <w:rPr>
          <w:rFonts w:ascii="宋体" w:hAnsi="宋体"/>
          <w:color w:val="auto"/>
          <w:highlight w:val="none"/>
          <w:u w:val="single"/>
        </w:rPr>
      </w:pPr>
      <w:r>
        <w:rPr>
          <w:rFonts w:hint="eastAsia" w:ascii="宋体" w:hAnsi="宋体"/>
          <w:color w:val="auto"/>
          <w:highlight w:val="none"/>
        </w:rPr>
        <w:t>姓名：       性别：       年龄：       职务：</w:t>
      </w:r>
    </w:p>
    <w:p>
      <w:pPr>
        <w:spacing w:line="360" w:lineRule="auto"/>
        <w:ind w:firstLine="610"/>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系</w:t>
      </w:r>
      <w:r>
        <w:rPr>
          <w:rFonts w:hint="eastAsia" w:ascii="宋体" w:hAnsi="宋体"/>
          <w:color w:val="auto"/>
          <w:highlight w:val="none"/>
          <w:u w:val="single"/>
        </w:rPr>
        <w:t xml:space="preserve">          （比选申请人单位名称）         </w:t>
      </w:r>
      <w:r>
        <w:rPr>
          <w:rFonts w:hint="eastAsia" w:ascii="宋体" w:hAnsi="宋体"/>
          <w:color w:val="auto"/>
          <w:highlight w:val="none"/>
        </w:rPr>
        <w:t>的法定代表人。</w:t>
      </w:r>
    </w:p>
    <w:p>
      <w:pPr>
        <w:spacing w:line="360" w:lineRule="auto"/>
        <w:ind w:firstLine="610"/>
        <w:rPr>
          <w:rFonts w:ascii="宋体" w:hAnsi="宋体"/>
          <w:color w:val="auto"/>
          <w:highlight w:val="none"/>
        </w:rPr>
      </w:pPr>
    </w:p>
    <w:p>
      <w:pPr>
        <w:spacing w:line="360" w:lineRule="auto"/>
        <w:rPr>
          <w:rFonts w:ascii="宋体" w:hAnsi="宋体"/>
          <w:color w:val="auto"/>
          <w:highlight w:val="none"/>
        </w:rPr>
      </w:pPr>
      <w:r>
        <w:rPr>
          <w:rFonts w:hint="eastAsia" w:ascii="宋体" w:hAnsi="宋体"/>
          <w:color w:val="auto"/>
          <w:highlight w:val="none"/>
        </w:rPr>
        <w:t>特此证明。</w:t>
      </w:r>
    </w:p>
    <w:p>
      <w:pPr>
        <w:tabs>
          <w:tab w:val="left" w:pos="720"/>
          <w:tab w:val="left" w:pos="900"/>
        </w:tabs>
        <w:spacing w:line="360" w:lineRule="auto"/>
        <w:rPr>
          <w:rFonts w:ascii="宋体" w:hAnsi="宋体"/>
          <w:color w:val="auto"/>
          <w:highlight w:val="none"/>
        </w:rPr>
      </w:pPr>
    </w:p>
    <w:p>
      <w:pPr>
        <w:tabs>
          <w:tab w:val="left" w:pos="720"/>
          <w:tab w:val="left" w:pos="900"/>
        </w:tabs>
        <w:spacing w:line="360" w:lineRule="auto"/>
        <w:jc w:val="center"/>
        <w:rPr>
          <w:rFonts w:ascii="宋体" w:hAnsi="宋体"/>
          <w:color w:val="auto"/>
          <w:highlight w:val="none"/>
        </w:rPr>
      </w:pPr>
      <w:r>
        <w:rPr>
          <w:rFonts w:hint="eastAsia" w:ascii="宋体" w:hAnsi="宋体"/>
          <w:color w:val="auto"/>
          <w:highlight w:val="none"/>
        </w:rPr>
        <w:t xml:space="preserve">                           比选申请人：</w:t>
      </w:r>
      <w:r>
        <w:rPr>
          <w:rFonts w:hint="eastAsia" w:ascii="宋体" w:hAnsi="宋体"/>
          <w:color w:val="auto"/>
          <w:highlight w:val="none"/>
          <w:u w:val="single"/>
        </w:rPr>
        <w:t xml:space="preserve">     （盖公章）        </w:t>
      </w:r>
    </w:p>
    <w:p>
      <w:pPr>
        <w:spacing w:line="360" w:lineRule="auto"/>
        <w:jc w:val="center"/>
        <w:rPr>
          <w:rFonts w:ascii="宋体" w:hAnsi="宋体"/>
          <w:color w:val="auto"/>
          <w:highlight w:val="none"/>
        </w:rPr>
      </w:pPr>
      <w:r>
        <w:rPr>
          <w:rFonts w:hint="eastAsia" w:ascii="宋体" w:hAnsi="宋体"/>
          <w:color w:val="auto"/>
          <w:highlight w:val="none"/>
        </w:rPr>
        <w:t xml:space="preserve">                                  日  期：        年  月  日</w:t>
      </w:r>
    </w:p>
    <w:p>
      <w:pPr>
        <w:pStyle w:val="12"/>
        <w:tabs>
          <w:tab w:val="left" w:pos="6047"/>
          <w:tab w:val="left" w:pos="6407"/>
          <w:tab w:val="left" w:pos="8627"/>
        </w:tabs>
        <w:kinsoku w:val="0"/>
        <w:overflowPunct w:val="0"/>
        <w:spacing w:before="146" w:line="357" w:lineRule="auto"/>
        <w:ind w:left="5568" w:right="116" w:hanging="1200"/>
        <w:rPr>
          <w:rFonts w:hint="default"/>
          <w:color w:val="auto"/>
          <w:sz w:val="24"/>
          <w:highlight w:val="none"/>
        </w:rPr>
        <w:sectPr>
          <w:pgSz w:w="11910" w:h="16840"/>
          <w:pgMar w:top="1580" w:right="1480" w:bottom="1180" w:left="1680" w:header="0" w:footer="986" w:gutter="0"/>
          <w:cols w:space="720" w:num="1"/>
        </w:sectPr>
      </w:pPr>
      <w:r>
        <w:rPr>
          <w:rFonts w:ascii="楷体_GB2312" w:eastAsia="楷体_GB2312"/>
          <w:b/>
          <w:color w:val="auto"/>
          <w:sz w:val="24"/>
          <w:highlight w:val="none"/>
        </w:rPr>
        <w:br w:type="page"/>
      </w:r>
      <w:bookmarkEnd w:id="23"/>
      <w:bookmarkEnd w:id="24"/>
      <w:bookmarkEnd w:id="25"/>
      <w:bookmarkEnd w:id="26"/>
      <w:bookmarkEnd w:id="27"/>
      <w:bookmarkEnd w:id="28"/>
      <w:bookmarkEnd w:id="29"/>
      <w:bookmarkEnd w:id="30"/>
      <w:bookmarkEnd w:id="31"/>
    </w:p>
    <w:p>
      <w:pPr>
        <w:pStyle w:val="12"/>
        <w:kinsoku w:val="0"/>
        <w:overflowPunct w:val="0"/>
        <w:spacing w:before="3"/>
        <w:ind w:left="0"/>
        <w:rPr>
          <w:rFonts w:hint="default"/>
          <w:b/>
          <w:color w:val="auto"/>
          <w:sz w:val="13"/>
          <w:highlight w:val="none"/>
        </w:rPr>
      </w:pPr>
    </w:p>
    <w:p>
      <w:pPr>
        <w:pStyle w:val="12"/>
        <w:kinsoku w:val="0"/>
        <w:overflowPunct w:val="0"/>
        <w:spacing w:before="14"/>
        <w:ind w:left="100"/>
        <w:jc w:val="center"/>
        <w:outlineLvl w:val="3"/>
        <w:rPr>
          <w:rFonts w:hint="default" w:asciiTheme="minorEastAsia" w:hAnsiTheme="minorEastAsia" w:eastAsiaTheme="minorEastAsia"/>
          <w:b/>
          <w:color w:val="auto"/>
          <w:spacing w:val="-2"/>
          <w:sz w:val="30"/>
          <w:szCs w:val="30"/>
          <w:highlight w:val="none"/>
        </w:rPr>
      </w:pPr>
      <w:r>
        <w:rPr>
          <w:rFonts w:asciiTheme="minorEastAsia" w:hAnsiTheme="minorEastAsia" w:eastAsiaTheme="minorEastAsia"/>
          <w:b/>
          <w:color w:val="auto"/>
          <w:spacing w:val="-2"/>
          <w:sz w:val="30"/>
          <w:szCs w:val="30"/>
          <w:highlight w:val="none"/>
        </w:rPr>
        <w:t>3.法定代表人身份证明文件（提供复印件加盖法人单位公章）</w:t>
      </w:r>
    </w:p>
    <w:p>
      <w:pPr>
        <w:pStyle w:val="12"/>
        <w:kinsoku w:val="0"/>
        <w:overflowPunct w:val="0"/>
        <w:spacing w:before="14"/>
        <w:ind w:left="100"/>
        <w:rPr>
          <w:rFonts w:hint="default"/>
          <w:color w:val="auto"/>
          <w:spacing w:val="-2"/>
          <w:sz w:val="28"/>
          <w:highlight w:val="none"/>
        </w:rPr>
        <w:sectPr>
          <w:pgSz w:w="11910" w:h="16840"/>
          <w:pgMar w:top="1580" w:right="1680" w:bottom="1180" w:left="1340" w:header="0" w:footer="986" w:gutter="0"/>
          <w:cols w:space="720" w:num="1"/>
        </w:sectPr>
      </w:pPr>
    </w:p>
    <w:p>
      <w:pPr>
        <w:pStyle w:val="5"/>
        <w:kinsoku w:val="0"/>
        <w:overflowPunct w:val="0"/>
        <w:spacing w:line="385" w:lineRule="exact"/>
        <w:ind w:right="5"/>
        <w:jc w:val="center"/>
        <w:rPr>
          <w:rFonts w:hint="default"/>
          <w:b w:val="0"/>
          <w:color w:val="auto"/>
          <w:highlight w:val="none"/>
        </w:rPr>
      </w:pPr>
      <w:r>
        <w:rPr>
          <w:color w:val="auto"/>
          <w:highlight w:val="none"/>
        </w:rPr>
        <w:t>4.授权委托书</w:t>
      </w:r>
    </w:p>
    <w:p>
      <w:pPr>
        <w:pStyle w:val="12"/>
        <w:kinsoku w:val="0"/>
        <w:overflowPunct w:val="0"/>
        <w:spacing w:before="0"/>
        <w:ind w:left="0"/>
        <w:rPr>
          <w:rFonts w:hint="default"/>
          <w:b/>
          <w:color w:val="auto"/>
          <w:sz w:val="30"/>
          <w:highlight w:val="none"/>
        </w:rPr>
      </w:pPr>
    </w:p>
    <w:p>
      <w:pPr>
        <w:pStyle w:val="12"/>
        <w:kinsoku w:val="0"/>
        <w:overflowPunct w:val="0"/>
        <w:spacing w:before="1"/>
        <w:ind w:left="0"/>
        <w:rPr>
          <w:rFonts w:hint="default"/>
          <w:b/>
          <w:color w:val="auto"/>
          <w:sz w:val="39"/>
          <w:highlight w:val="none"/>
        </w:rPr>
      </w:pPr>
    </w:p>
    <w:p>
      <w:pPr>
        <w:spacing w:line="480" w:lineRule="auto"/>
        <w:ind w:firstLine="614" w:firstLineChars="256"/>
        <w:rPr>
          <w:rFonts w:ascii="宋体" w:hAnsi="宋体"/>
          <w:color w:val="auto"/>
          <w:highlight w:val="none"/>
        </w:rPr>
      </w:pPr>
      <w:r>
        <w:rPr>
          <w:rFonts w:hint="eastAsia" w:ascii="宋体" w:hAnsi="宋体"/>
          <w:color w:val="auto"/>
          <w:highlight w:val="none"/>
        </w:rPr>
        <w:t>本授权委托书声明：我</w:t>
      </w:r>
      <w:r>
        <w:rPr>
          <w:rFonts w:hint="eastAsia" w:ascii="宋体" w:hAnsi="宋体"/>
          <w:color w:val="auto"/>
          <w:highlight w:val="none"/>
          <w:u w:val="single"/>
        </w:rPr>
        <w:t xml:space="preserve">   （姓名）    </w:t>
      </w:r>
      <w:r>
        <w:rPr>
          <w:rFonts w:hint="eastAsia" w:ascii="宋体" w:hAnsi="宋体"/>
          <w:color w:val="auto"/>
          <w:highlight w:val="none"/>
        </w:rPr>
        <w:t>系</w:t>
      </w:r>
      <w:r>
        <w:rPr>
          <w:rFonts w:hint="eastAsia" w:ascii="宋体" w:hAnsi="宋体"/>
          <w:color w:val="auto"/>
          <w:highlight w:val="none"/>
          <w:u w:val="single"/>
        </w:rPr>
        <w:t>（比选申请人名称）</w:t>
      </w:r>
      <w:r>
        <w:rPr>
          <w:rFonts w:hint="eastAsia" w:ascii="宋体" w:hAnsi="宋体"/>
          <w:color w:val="auto"/>
          <w:highlight w:val="none"/>
        </w:rPr>
        <w:t>的法定代表人，现授权委托</w:t>
      </w:r>
      <w:r>
        <w:rPr>
          <w:rFonts w:ascii="宋体" w:hAnsi="宋体"/>
          <w:color w:val="auto"/>
          <w:highlight w:val="none"/>
          <w:u w:val="single"/>
        </w:rPr>
        <w:t>(</w:t>
      </w:r>
      <w:r>
        <w:rPr>
          <w:rFonts w:hint="eastAsia" w:ascii="宋体" w:hAnsi="宋体"/>
          <w:color w:val="auto"/>
          <w:highlight w:val="none"/>
          <w:u w:val="single"/>
        </w:rPr>
        <w:t xml:space="preserve">比选申请人名称)        </w:t>
      </w:r>
      <w:r>
        <w:rPr>
          <w:rFonts w:hint="eastAsia" w:ascii="宋体" w:hAnsi="宋体"/>
          <w:color w:val="auto"/>
          <w:highlight w:val="none"/>
        </w:rPr>
        <w:t>的</w:t>
      </w:r>
      <w:r>
        <w:rPr>
          <w:rFonts w:hint="eastAsia" w:ascii="宋体" w:hAnsi="宋体"/>
          <w:color w:val="auto"/>
          <w:highlight w:val="none"/>
          <w:u w:val="single"/>
        </w:rPr>
        <w:t xml:space="preserve">   （姓名）  </w:t>
      </w:r>
      <w:r>
        <w:rPr>
          <w:rFonts w:hint="eastAsia" w:ascii="宋体" w:hAnsi="宋体"/>
          <w:color w:val="auto"/>
          <w:highlight w:val="none"/>
        </w:rPr>
        <w:t>为我公司代理人，以本公司名义参加</w:t>
      </w:r>
      <w:r>
        <w:rPr>
          <w:rFonts w:hint="eastAsia" w:ascii="宋体" w:hAnsi="宋体" w:cs="宋体"/>
          <w:b/>
          <w:bCs/>
          <w:color w:val="auto"/>
          <w:highlight w:val="none"/>
          <w:u w:val="single"/>
        </w:rPr>
        <w:t>南宁轨道交通集团有限责任公司管</w:t>
      </w:r>
      <w:r>
        <w:rPr>
          <w:rFonts w:hint="eastAsia" w:ascii="宋体" w:hAnsi="宋体" w:cs="宋体"/>
          <w:b/>
          <w:bCs/>
          <w:color w:val="auto"/>
          <w:highlight w:val="none"/>
          <w:u w:val="single"/>
          <w:lang w:val="en-US" w:eastAsia="zh-CN"/>
        </w:rPr>
        <w:t>控</w:t>
      </w:r>
      <w:r>
        <w:rPr>
          <w:rFonts w:hint="eastAsia" w:ascii="宋体" w:hAnsi="宋体" w:cs="宋体"/>
          <w:b/>
          <w:bCs/>
          <w:color w:val="auto"/>
          <w:highlight w:val="none"/>
          <w:u w:val="single"/>
        </w:rPr>
        <w:t>体系优化咨询项目</w:t>
      </w:r>
      <w:r>
        <w:rPr>
          <w:rFonts w:hint="eastAsia" w:ascii="宋体" w:hAnsi="宋体"/>
          <w:color w:val="auto"/>
          <w:highlight w:val="none"/>
        </w:rPr>
        <w:t>比选活动。代理人在评审、合同过程中所签署的一切文件和处理与之有关的一切事务，我均予以确认。</w:t>
      </w:r>
    </w:p>
    <w:p>
      <w:pPr>
        <w:spacing w:line="480" w:lineRule="auto"/>
        <w:ind w:firstLine="614" w:firstLineChars="256"/>
        <w:rPr>
          <w:rFonts w:ascii="宋体" w:hAnsi="宋体"/>
          <w:color w:val="auto"/>
          <w:highlight w:val="none"/>
        </w:rPr>
      </w:pPr>
    </w:p>
    <w:p>
      <w:pPr>
        <w:spacing w:line="480" w:lineRule="auto"/>
        <w:ind w:firstLine="614" w:firstLineChars="256"/>
        <w:rPr>
          <w:rFonts w:ascii="宋体" w:hAnsi="宋体"/>
          <w:color w:val="auto"/>
          <w:highlight w:val="none"/>
        </w:rPr>
      </w:pPr>
      <w:r>
        <w:rPr>
          <w:rFonts w:hint="eastAsia" w:ascii="宋体" w:hAnsi="宋体"/>
          <w:color w:val="auto"/>
          <w:highlight w:val="none"/>
        </w:rPr>
        <w:t>代理人无转委托权。特此委托。</w:t>
      </w:r>
    </w:p>
    <w:p>
      <w:pPr>
        <w:spacing w:line="480" w:lineRule="auto"/>
        <w:ind w:firstLine="614" w:firstLineChars="256"/>
        <w:rPr>
          <w:rFonts w:ascii="宋体" w:hAnsi="宋体"/>
          <w:color w:val="auto"/>
          <w:highlight w:val="none"/>
        </w:rPr>
      </w:pPr>
    </w:p>
    <w:p>
      <w:pPr>
        <w:spacing w:line="480" w:lineRule="auto"/>
        <w:ind w:firstLine="614" w:firstLineChars="256"/>
        <w:rPr>
          <w:rFonts w:ascii="宋体" w:hAnsi="宋体"/>
          <w:color w:val="auto"/>
          <w:highlight w:val="none"/>
        </w:rPr>
      </w:pPr>
      <w:r>
        <w:rPr>
          <w:rFonts w:hint="eastAsia" w:ascii="宋体" w:hAnsi="宋体"/>
          <w:color w:val="auto"/>
          <w:highlight w:val="none"/>
        </w:rPr>
        <w:t>代理人：   性别：   年龄：</w:t>
      </w:r>
    </w:p>
    <w:p>
      <w:pPr>
        <w:spacing w:line="480" w:lineRule="auto"/>
        <w:ind w:firstLine="614" w:firstLineChars="256"/>
        <w:rPr>
          <w:rFonts w:ascii="宋体" w:hAnsi="宋体"/>
          <w:color w:val="auto"/>
          <w:highlight w:val="none"/>
        </w:rPr>
      </w:pPr>
      <w:r>
        <w:rPr>
          <w:rFonts w:hint="eastAsia" w:ascii="宋体" w:hAnsi="宋体"/>
          <w:color w:val="auto"/>
          <w:highlight w:val="none"/>
        </w:rPr>
        <w:t>单位：     部门：   职务：</w:t>
      </w:r>
    </w:p>
    <w:p>
      <w:pPr>
        <w:spacing w:line="480" w:lineRule="auto"/>
        <w:ind w:firstLine="614" w:firstLineChars="256"/>
        <w:rPr>
          <w:rFonts w:ascii="宋体" w:hAnsi="宋体"/>
          <w:color w:val="auto"/>
          <w:highlight w:val="none"/>
        </w:rPr>
      </w:pPr>
    </w:p>
    <w:p>
      <w:pPr>
        <w:spacing w:line="480" w:lineRule="auto"/>
        <w:ind w:firstLine="614" w:firstLineChars="256"/>
        <w:rPr>
          <w:rFonts w:ascii="宋体" w:hAnsi="宋体"/>
          <w:color w:val="auto"/>
          <w:highlight w:val="none"/>
        </w:rPr>
      </w:pPr>
      <w:r>
        <w:rPr>
          <w:rFonts w:hint="eastAsia" w:ascii="宋体" w:hAnsi="宋体"/>
          <w:color w:val="auto"/>
          <w:highlight w:val="none"/>
        </w:rPr>
        <w:t>比选申请人：（ 加盖单位公章）</w:t>
      </w:r>
    </w:p>
    <w:p>
      <w:pPr>
        <w:spacing w:line="480" w:lineRule="auto"/>
        <w:ind w:firstLine="614" w:firstLineChars="256"/>
        <w:rPr>
          <w:rFonts w:ascii="宋体" w:hAnsi="宋体"/>
          <w:color w:val="auto"/>
          <w:highlight w:val="none"/>
        </w:rPr>
      </w:pPr>
    </w:p>
    <w:p>
      <w:pPr>
        <w:spacing w:line="480" w:lineRule="auto"/>
        <w:ind w:firstLine="614" w:firstLineChars="256"/>
        <w:rPr>
          <w:rFonts w:ascii="宋体" w:hAnsi="宋体"/>
          <w:color w:val="auto"/>
          <w:highlight w:val="none"/>
        </w:rPr>
      </w:pPr>
      <w:r>
        <w:rPr>
          <w:rFonts w:hint="eastAsia" w:ascii="宋体" w:hAnsi="宋体"/>
          <w:color w:val="auto"/>
          <w:highlight w:val="none"/>
        </w:rPr>
        <w:t>法定代表人：（签字、盖章）</w:t>
      </w:r>
    </w:p>
    <w:p>
      <w:pPr>
        <w:spacing w:line="480" w:lineRule="auto"/>
        <w:ind w:firstLine="614" w:firstLineChars="256"/>
        <w:rPr>
          <w:rFonts w:ascii="宋体" w:hAnsi="宋体"/>
          <w:color w:val="auto"/>
          <w:highlight w:val="none"/>
        </w:rPr>
      </w:pPr>
    </w:p>
    <w:p>
      <w:pPr>
        <w:spacing w:line="480" w:lineRule="auto"/>
        <w:ind w:firstLine="614" w:firstLineChars="256"/>
        <w:rPr>
          <w:rFonts w:ascii="宋体" w:hAnsi="宋体"/>
          <w:color w:val="auto"/>
          <w:highlight w:val="none"/>
        </w:rPr>
      </w:pPr>
      <w:r>
        <w:rPr>
          <w:rFonts w:hint="eastAsia" w:ascii="宋体" w:hAnsi="宋体"/>
          <w:color w:val="auto"/>
          <w:highlight w:val="none"/>
        </w:rPr>
        <w:t>日期：    年  月  日</w:t>
      </w:r>
    </w:p>
    <w:p>
      <w:pPr>
        <w:pStyle w:val="12"/>
        <w:tabs>
          <w:tab w:val="left" w:pos="1914"/>
          <w:tab w:val="left" w:pos="2754"/>
          <w:tab w:val="left" w:pos="3594"/>
        </w:tabs>
        <w:kinsoku w:val="0"/>
        <w:overflowPunct w:val="0"/>
        <w:spacing w:before="0"/>
        <w:ind w:left="714"/>
        <w:rPr>
          <w:rFonts w:hint="default"/>
          <w:color w:val="auto"/>
          <w:sz w:val="24"/>
          <w:highlight w:val="none"/>
        </w:rPr>
        <w:sectPr>
          <w:footerReference r:id="rId6" w:type="default"/>
          <w:pgSz w:w="11910" w:h="16840"/>
          <w:pgMar w:top="1500" w:right="1140" w:bottom="1200" w:left="1340" w:header="0" w:footer="1006" w:gutter="0"/>
          <w:cols w:space="720" w:num="1"/>
        </w:sectPr>
      </w:pPr>
    </w:p>
    <w:p>
      <w:pPr>
        <w:pStyle w:val="12"/>
        <w:kinsoku w:val="0"/>
        <w:overflowPunct w:val="0"/>
        <w:spacing w:before="0" w:line="385" w:lineRule="exact"/>
        <w:ind w:left="100"/>
        <w:jc w:val="center"/>
        <w:outlineLvl w:val="3"/>
        <w:rPr>
          <w:rFonts w:hint="default"/>
          <w:color w:val="auto"/>
          <w:sz w:val="30"/>
          <w:highlight w:val="none"/>
        </w:rPr>
      </w:pPr>
      <w:r>
        <w:rPr>
          <w:color w:val="auto"/>
          <w:sz w:val="30"/>
          <w:szCs w:val="30"/>
          <w:highlight w:val="none"/>
        </w:rPr>
        <w:t>5.</w:t>
      </w:r>
      <w:r>
        <w:rPr>
          <w:b/>
          <w:color w:val="auto"/>
          <w:sz w:val="30"/>
          <w:highlight w:val="none"/>
        </w:rPr>
        <w:t>授权代理人身份证明文件（提供复印件加盖法人单位公章）</w:t>
      </w:r>
    </w:p>
    <w:p>
      <w:pPr>
        <w:pStyle w:val="12"/>
        <w:kinsoku w:val="0"/>
        <w:overflowPunct w:val="0"/>
        <w:spacing w:before="0" w:line="385" w:lineRule="exact"/>
        <w:ind w:left="100"/>
        <w:rPr>
          <w:rFonts w:hint="default"/>
          <w:color w:val="auto"/>
          <w:sz w:val="30"/>
          <w:highlight w:val="none"/>
        </w:rPr>
        <w:sectPr>
          <w:pgSz w:w="11910" w:h="16840"/>
          <w:pgMar w:top="1500" w:right="1680" w:bottom="1200" w:left="1340" w:header="0" w:footer="1006" w:gutter="0"/>
          <w:cols w:space="720" w:num="1"/>
        </w:sectPr>
      </w:pPr>
    </w:p>
    <w:p>
      <w:pPr>
        <w:pStyle w:val="12"/>
        <w:kinsoku w:val="0"/>
        <w:overflowPunct w:val="0"/>
        <w:spacing w:before="5"/>
        <w:ind w:left="100"/>
        <w:outlineLvl w:val="3"/>
        <w:rPr>
          <w:rFonts w:hint="default"/>
          <w:color w:val="auto"/>
          <w:sz w:val="30"/>
          <w:szCs w:val="30"/>
          <w:highlight w:val="none"/>
        </w:rPr>
      </w:pPr>
      <w:r>
        <w:rPr>
          <w:b/>
          <w:color w:val="auto"/>
          <w:sz w:val="30"/>
          <w:szCs w:val="30"/>
          <w:highlight w:val="none"/>
        </w:rPr>
        <w:t>6.营业执照副本复印件（加盖单位公章）</w:t>
      </w:r>
    </w:p>
    <w:p>
      <w:pPr>
        <w:pStyle w:val="12"/>
        <w:kinsoku w:val="0"/>
        <w:overflowPunct w:val="0"/>
        <w:spacing w:before="5"/>
        <w:ind w:left="100"/>
        <w:rPr>
          <w:rFonts w:hint="default"/>
          <w:color w:val="auto"/>
          <w:sz w:val="24"/>
          <w:highlight w:val="none"/>
        </w:rPr>
        <w:sectPr>
          <w:pgSz w:w="11910" w:h="16840"/>
          <w:pgMar w:top="1380" w:right="1680" w:bottom="1200" w:left="1340" w:header="0" w:footer="1006" w:gutter="0"/>
          <w:cols w:space="720" w:num="1"/>
        </w:sectPr>
      </w:pPr>
    </w:p>
    <w:p>
      <w:pPr>
        <w:pStyle w:val="12"/>
        <w:kinsoku w:val="0"/>
        <w:overflowPunct w:val="0"/>
        <w:spacing w:before="5"/>
        <w:ind w:left="100"/>
        <w:jc w:val="center"/>
        <w:outlineLvl w:val="3"/>
        <w:rPr>
          <w:rFonts w:hint="default"/>
          <w:color w:val="auto"/>
          <w:sz w:val="30"/>
          <w:szCs w:val="30"/>
          <w:highlight w:val="none"/>
        </w:rPr>
        <w:sectPr>
          <w:pgSz w:w="11910" w:h="16840"/>
          <w:pgMar w:top="1380" w:right="1680" w:bottom="1200" w:left="1340" w:header="0" w:footer="1006" w:gutter="0"/>
          <w:cols w:space="720" w:num="1"/>
        </w:sectPr>
      </w:pPr>
      <w:r>
        <w:rPr>
          <w:b/>
          <w:color w:val="auto"/>
          <w:sz w:val="30"/>
          <w:szCs w:val="30"/>
          <w:highlight w:val="none"/>
        </w:rPr>
        <w:t>7.税务登记证（加盖单位公章,如已办理三证合一则不需提供）</w:t>
      </w:r>
    </w:p>
    <w:p>
      <w:pPr>
        <w:pStyle w:val="12"/>
        <w:kinsoku w:val="0"/>
        <w:overflowPunct w:val="0"/>
        <w:spacing w:before="1"/>
        <w:ind w:left="240"/>
        <w:outlineLvl w:val="3"/>
        <w:rPr>
          <w:rFonts w:hint="default"/>
          <w:color w:val="auto"/>
          <w:sz w:val="30"/>
          <w:szCs w:val="30"/>
          <w:highlight w:val="none"/>
        </w:rPr>
      </w:pPr>
      <w:r>
        <w:rPr>
          <w:b/>
          <w:color w:val="auto"/>
          <w:sz w:val="30"/>
          <w:szCs w:val="30"/>
          <w:highlight w:val="none"/>
        </w:rPr>
        <w:t>8.组织机构代码证复印件（加盖单位公章,如已办理三证合一则不需提供）</w:t>
      </w:r>
    </w:p>
    <w:p>
      <w:pPr>
        <w:pStyle w:val="12"/>
        <w:kinsoku w:val="0"/>
        <w:overflowPunct w:val="0"/>
        <w:spacing w:before="1"/>
        <w:ind w:left="0"/>
        <w:rPr>
          <w:rFonts w:hint="default"/>
          <w:color w:val="auto"/>
          <w:sz w:val="24"/>
          <w:highlight w:val="none"/>
        </w:rPr>
        <w:sectPr>
          <w:pgSz w:w="11910" w:h="16840"/>
          <w:pgMar w:top="1540" w:right="1680" w:bottom="1200" w:left="1680" w:header="0" w:footer="1006" w:gutter="0"/>
          <w:cols w:space="720" w:num="1"/>
        </w:sectPr>
      </w:pPr>
    </w:p>
    <w:p>
      <w:pPr>
        <w:pStyle w:val="12"/>
        <w:kinsoku w:val="0"/>
        <w:overflowPunct w:val="0"/>
        <w:spacing w:before="2"/>
        <w:ind w:left="0"/>
        <w:rPr>
          <w:rFonts w:hint="default"/>
          <w:i/>
          <w:color w:val="auto"/>
          <w:highlight w:val="none"/>
        </w:rPr>
      </w:pPr>
    </w:p>
    <w:p>
      <w:pPr>
        <w:pStyle w:val="12"/>
        <w:kinsoku w:val="0"/>
        <w:overflowPunct w:val="0"/>
        <w:spacing w:before="14"/>
        <w:ind w:left="100"/>
        <w:rPr>
          <w:rFonts w:hint="default"/>
          <w:color w:val="auto"/>
          <w:spacing w:val="-2"/>
          <w:sz w:val="28"/>
          <w:highlight w:val="none"/>
        </w:rPr>
      </w:pPr>
      <w:r>
        <w:rPr>
          <w:color w:val="auto"/>
          <w:spacing w:val="-2"/>
          <w:sz w:val="28"/>
          <w:highlight w:val="none"/>
        </w:rPr>
        <w:t>（封面格式）</w:t>
      </w: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9"/>
        <w:ind w:left="0"/>
        <w:rPr>
          <w:rFonts w:hint="default"/>
          <w:color w:val="auto"/>
          <w:sz w:val="30"/>
          <w:szCs w:val="30"/>
          <w:highlight w:val="none"/>
        </w:rPr>
      </w:pPr>
    </w:p>
    <w:p>
      <w:pPr>
        <w:pStyle w:val="12"/>
        <w:kinsoku w:val="0"/>
        <w:overflowPunct w:val="0"/>
        <w:spacing w:before="14" w:line="408" w:lineRule="auto"/>
        <w:ind w:left="0" w:right="-41"/>
        <w:jc w:val="center"/>
        <w:rPr>
          <w:rFonts w:hint="default"/>
          <w:b/>
          <w:color w:val="auto"/>
          <w:spacing w:val="-2"/>
          <w:sz w:val="30"/>
          <w:szCs w:val="30"/>
          <w:highlight w:val="none"/>
        </w:rPr>
      </w:pPr>
      <w:r>
        <w:rPr>
          <w:b/>
          <w:color w:val="auto"/>
          <w:spacing w:val="-2"/>
          <w:sz w:val="30"/>
          <w:szCs w:val="30"/>
          <w:highlight w:val="none"/>
        </w:rPr>
        <w:t>项目比选申请文件</w:t>
      </w:r>
    </w:p>
    <w:p>
      <w:pPr>
        <w:pStyle w:val="12"/>
        <w:kinsoku w:val="0"/>
        <w:overflowPunct w:val="0"/>
        <w:spacing w:before="14" w:line="408" w:lineRule="auto"/>
        <w:ind w:left="0" w:right="-41"/>
        <w:jc w:val="center"/>
        <w:outlineLvl w:val="1"/>
        <w:rPr>
          <w:rFonts w:hint="default"/>
          <w:b/>
          <w:color w:val="auto"/>
          <w:spacing w:val="-2"/>
          <w:sz w:val="30"/>
          <w:szCs w:val="30"/>
          <w:highlight w:val="none"/>
        </w:rPr>
      </w:pPr>
      <w:r>
        <w:rPr>
          <w:b/>
          <w:color w:val="auto"/>
          <w:spacing w:val="-2"/>
          <w:sz w:val="30"/>
          <w:szCs w:val="30"/>
          <w:highlight w:val="none"/>
        </w:rPr>
        <w:t>技术部分</w:t>
      </w: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5"/>
        <w:ind w:left="0"/>
        <w:rPr>
          <w:rFonts w:hint="default"/>
          <w:color w:val="auto"/>
          <w:sz w:val="27"/>
          <w:highlight w:val="none"/>
        </w:rPr>
      </w:pPr>
    </w:p>
    <w:p>
      <w:pPr>
        <w:pStyle w:val="12"/>
        <w:tabs>
          <w:tab w:val="left" w:pos="5840"/>
        </w:tabs>
        <w:kinsoku w:val="0"/>
        <w:overflowPunct w:val="0"/>
        <w:spacing w:before="0"/>
        <w:ind w:left="101" w:leftChars="42" w:firstLine="552" w:firstLineChars="200"/>
        <w:rPr>
          <w:rFonts w:hint="default"/>
          <w:color w:val="auto"/>
          <w:spacing w:val="-2"/>
          <w:sz w:val="28"/>
          <w:highlight w:val="none"/>
        </w:rPr>
      </w:pPr>
      <w:r>
        <w:rPr>
          <w:color w:val="auto"/>
          <w:spacing w:val="-2"/>
          <w:sz w:val="28"/>
          <w:highlight w:val="none"/>
        </w:rPr>
        <w:t>比选申请人：</w:t>
      </w:r>
      <w:r>
        <w:rPr>
          <w:color w:val="auto"/>
          <w:spacing w:val="-2"/>
          <w:sz w:val="28"/>
          <w:highlight w:val="none"/>
        </w:rPr>
        <w:tab/>
      </w:r>
      <w:r>
        <w:rPr>
          <w:color w:val="auto"/>
          <w:spacing w:val="-2"/>
          <w:sz w:val="28"/>
          <w:highlight w:val="none"/>
        </w:rPr>
        <w:t>（盖章）</w:t>
      </w:r>
    </w:p>
    <w:p>
      <w:pPr>
        <w:pStyle w:val="12"/>
        <w:kinsoku w:val="0"/>
        <w:overflowPunct w:val="0"/>
        <w:spacing w:before="9"/>
        <w:ind w:left="0"/>
        <w:rPr>
          <w:rFonts w:hint="default"/>
          <w:color w:val="auto"/>
          <w:sz w:val="19"/>
          <w:highlight w:val="none"/>
        </w:rPr>
      </w:pPr>
    </w:p>
    <w:p>
      <w:pPr>
        <w:pStyle w:val="12"/>
        <w:kinsoku w:val="0"/>
        <w:overflowPunct w:val="0"/>
        <w:spacing w:before="0" w:line="408" w:lineRule="auto"/>
        <w:ind w:left="101" w:leftChars="42" w:right="2550" w:firstLine="552" w:firstLineChars="200"/>
        <w:rPr>
          <w:rFonts w:hint="default"/>
          <w:color w:val="auto"/>
          <w:spacing w:val="-2"/>
          <w:sz w:val="28"/>
          <w:highlight w:val="none"/>
        </w:rPr>
      </w:pPr>
      <w:r>
        <w:rPr>
          <w:color w:val="auto"/>
          <w:spacing w:val="-2"/>
          <w:sz w:val="28"/>
          <w:highlight w:val="none"/>
        </w:rPr>
        <w:t>负责人或委托代理人：（签字或盖章）</w:t>
      </w:r>
    </w:p>
    <w:p>
      <w:pPr>
        <w:pStyle w:val="12"/>
        <w:kinsoku w:val="0"/>
        <w:overflowPunct w:val="0"/>
        <w:spacing w:before="0" w:line="408" w:lineRule="auto"/>
        <w:ind w:left="101" w:leftChars="42" w:right="2550" w:firstLine="552" w:firstLineChars="200"/>
        <w:rPr>
          <w:rFonts w:hint="default"/>
          <w:color w:val="auto"/>
          <w:spacing w:val="-2"/>
          <w:sz w:val="28"/>
          <w:highlight w:val="none"/>
        </w:rPr>
      </w:pPr>
      <w:r>
        <w:rPr>
          <w:color w:val="auto"/>
          <w:spacing w:val="-2"/>
          <w:sz w:val="28"/>
          <w:highlight w:val="none"/>
        </w:rPr>
        <w:t>电话/传真：</w:t>
      </w:r>
    </w:p>
    <w:p>
      <w:pPr>
        <w:pStyle w:val="12"/>
        <w:kinsoku w:val="0"/>
        <w:overflowPunct w:val="0"/>
        <w:spacing w:before="60"/>
        <w:ind w:left="101" w:leftChars="42" w:firstLine="552" w:firstLineChars="200"/>
        <w:rPr>
          <w:rFonts w:hint="default"/>
          <w:color w:val="auto"/>
          <w:spacing w:val="-2"/>
          <w:sz w:val="28"/>
          <w:highlight w:val="none"/>
        </w:rPr>
      </w:pPr>
      <w:r>
        <w:rPr>
          <w:color w:val="auto"/>
          <w:spacing w:val="-2"/>
          <w:sz w:val="28"/>
          <w:highlight w:val="none"/>
        </w:rPr>
        <w:t>地址：</w:t>
      </w:r>
    </w:p>
    <w:p>
      <w:pPr>
        <w:pStyle w:val="12"/>
        <w:kinsoku w:val="0"/>
        <w:overflowPunct w:val="0"/>
        <w:spacing w:before="9"/>
        <w:ind w:left="0"/>
        <w:rPr>
          <w:rFonts w:hint="default"/>
          <w:color w:val="auto"/>
          <w:sz w:val="19"/>
          <w:highlight w:val="none"/>
        </w:rPr>
      </w:pPr>
    </w:p>
    <w:p>
      <w:pPr>
        <w:pStyle w:val="12"/>
        <w:tabs>
          <w:tab w:val="left" w:pos="1779"/>
          <w:tab w:val="left" w:pos="2619"/>
        </w:tabs>
        <w:kinsoku w:val="0"/>
        <w:overflowPunct w:val="0"/>
        <w:spacing w:before="0"/>
        <w:ind w:left="941" w:leftChars="392" w:firstLine="560" w:firstLineChars="200"/>
        <w:rPr>
          <w:rFonts w:hint="default"/>
          <w:color w:val="auto"/>
          <w:sz w:val="28"/>
          <w:highlight w:val="none"/>
        </w:rPr>
      </w:pPr>
      <w:r>
        <w:rPr>
          <w:color w:val="auto"/>
          <w:sz w:val="28"/>
          <w:highlight w:val="none"/>
        </w:rPr>
        <w:t>年</w:t>
      </w:r>
      <w:r>
        <w:rPr>
          <w:color w:val="auto"/>
          <w:sz w:val="28"/>
          <w:highlight w:val="none"/>
        </w:rPr>
        <w:tab/>
      </w:r>
      <w:r>
        <w:rPr>
          <w:color w:val="auto"/>
          <w:sz w:val="28"/>
          <w:highlight w:val="none"/>
        </w:rPr>
        <w:t>月</w:t>
      </w:r>
      <w:r>
        <w:rPr>
          <w:color w:val="auto"/>
          <w:sz w:val="28"/>
          <w:highlight w:val="none"/>
        </w:rPr>
        <w:tab/>
      </w:r>
      <w:r>
        <w:rPr>
          <w:color w:val="auto"/>
          <w:sz w:val="28"/>
          <w:highlight w:val="none"/>
        </w:rPr>
        <w:t>日</w:t>
      </w:r>
    </w:p>
    <w:p>
      <w:pPr>
        <w:pStyle w:val="12"/>
        <w:tabs>
          <w:tab w:val="left" w:pos="1779"/>
          <w:tab w:val="left" w:pos="2619"/>
        </w:tabs>
        <w:kinsoku w:val="0"/>
        <w:overflowPunct w:val="0"/>
        <w:spacing w:before="0"/>
        <w:ind w:left="940"/>
        <w:rPr>
          <w:rFonts w:hint="default"/>
          <w:color w:val="auto"/>
          <w:sz w:val="28"/>
          <w:highlight w:val="none"/>
        </w:rPr>
        <w:sectPr>
          <w:pgSz w:w="11910" w:h="16840"/>
          <w:pgMar w:top="1580" w:right="1680" w:bottom="1200" w:left="1340" w:header="0" w:footer="1006" w:gutter="0"/>
          <w:cols w:space="720" w:num="1"/>
        </w:sectPr>
      </w:pPr>
    </w:p>
    <w:p>
      <w:pPr>
        <w:pStyle w:val="12"/>
        <w:kinsoku w:val="0"/>
        <w:overflowPunct w:val="0"/>
        <w:spacing w:before="0" w:line="355" w:lineRule="exact"/>
        <w:ind w:left="112"/>
        <w:jc w:val="center"/>
        <w:outlineLvl w:val="2"/>
        <w:rPr>
          <w:rFonts w:hint="default"/>
          <w:color w:val="auto"/>
          <w:sz w:val="30"/>
          <w:szCs w:val="30"/>
          <w:highlight w:val="none"/>
        </w:rPr>
      </w:pPr>
      <w:bookmarkStart w:id="32" w:name="bookmark13"/>
      <w:bookmarkEnd w:id="32"/>
      <w:bookmarkStart w:id="33" w:name="二、技术部分材料目录"/>
      <w:bookmarkEnd w:id="33"/>
      <w:r>
        <w:rPr>
          <w:b/>
          <w:color w:val="auto"/>
          <w:spacing w:val="-1"/>
          <w:sz w:val="30"/>
          <w:szCs w:val="30"/>
          <w:highlight w:val="none"/>
        </w:rPr>
        <w:t>二、技术部分材料目录</w:t>
      </w:r>
    </w:p>
    <w:p>
      <w:pPr>
        <w:pStyle w:val="12"/>
        <w:kinsoku w:val="0"/>
        <w:overflowPunct w:val="0"/>
        <w:spacing w:before="0"/>
        <w:ind w:left="0"/>
        <w:rPr>
          <w:rFonts w:hint="default"/>
          <w:b/>
          <w:color w:val="auto"/>
          <w:sz w:val="20"/>
          <w:highlight w:val="none"/>
        </w:rPr>
      </w:pPr>
    </w:p>
    <w:p>
      <w:pPr>
        <w:pStyle w:val="12"/>
        <w:numPr>
          <w:ilvl w:val="0"/>
          <w:numId w:val="5"/>
        </w:numPr>
        <w:kinsoku w:val="0"/>
        <w:overflowPunct w:val="0"/>
        <w:spacing w:before="0" w:line="360" w:lineRule="auto"/>
        <w:rPr>
          <w:rFonts w:hint="default"/>
          <w:color w:val="auto"/>
          <w:spacing w:val="-2"/>
          <w:sz w:val="28"/>
          <w:highlight w:val="none"/>
        </w:rPr>
      </w:pPr>
      <w:r>
        <w:rPr>
          <w:color w:val="auto"/>
          <w:spacing w:val="-2"/>
          <w:sz w:val="28"/>
          <w:highlight w:val="none"/>
        </w:rPr>
        <w:t>综合实力</w:t>
      </w:r>
    </w:p>
    <w:p>
      <w:pPr>
        <w:pStyle w:val="12"/>
        <w:numPr>
          <w:ilvl w:val="3"/>
          <w:numId w:val="6"/>
        </w:numPr>
        <w:kinsoku w:val="0"/>
        <w:overflowPunct w:val="0"/>
        <w:spacing w:before="0" w:line="360" w:lineRule="auto"/>
        <w:rPr>
          <w:color w:val="auto"/>
          <w:spacing w:val="-2"/>
          <w:sz w:val="28"/>
          <w:szCs w:val="28"/>
          <w:highlight w:val="none"/>
        </w:rPr>
      </w:pPr>
      <w:r>
        <w:rPr>
          <w:color w:val="auto"/>
          <w:spacing w:val="-2"/>
          <w:sz w:val="28"/>
          <w:szCs w:val="28"/>
          <w:highlight w:val="none"/>
        </w:rPr>
        <w:t>近</w:t>
      </w:r>
      <w:r>
        <w:rPr>
          <w:rFonts w:hint="eastAsia"/>
          <w:color w:val="auto"/>
          <w:spacing w:val="-2"/>
          <w:sz w:val="28"/>
          <w:szCs w:val="28"/>
          <w:highlight w:val="none"/>
          <w:lang w:val="en-US" w:eastAsia="zh-CN"/>
        </w:rPr>
        <w:t>三</w:t>
      </w:r>
      <w:r>
        <w:rPr>
          <w:color w:val="auto"/>
          <w:spacing w:val="-2"/>
          <w:sz w:val="28"/>
          <w:szCs w:val="28"/>
          <w:highlight w:val="none"/>
        </w:rPr>
        <w:t>年业绩表</w:t>
      </w:r>
      <w:r>
        <w:rPr>
          <w:rFonts w:hint="eastAsia"/>
          <w:color w:val="auto"/>
          <w:spacing w:val="-2"/>
          <w:sz w:val="28"/>
          <w:szCs w:val="28"/>
          <w:highlight w:val="none"/>
        </w:rPr>
        <w:t>（加盖单位公章）</w:t>
      </w:r>
    </w:p>
    <w:p>
      <w:pPr>
        <w:pStyle w:val="12"/>
        <w:numPr>
          <w:ilvl w:val="3"/>
          <w:numId w:val="6"/>
        </w:numPr>
        <w:kinsoku w:val="0"/>
        <w:overflowPunct w:val="0"/>
        <w:spacing w:before="0" w:line="360" w:lineRule="auto"/>
        <w:rPr>
          <w:color w:val="auto"/>
          <w:spacing w:val="-2"/>
          <w:sz w:val="28"/>
          <w:szCs w:val="28"/>
          <w:highlight w:val="none"/>
        </w:rPr>
      </w:pPr>
      <w:r>
        <w:rPr>
          <w:rFonts w:hint="eastAsia"/>
          <w:color w:val="auto"/>
          <w:spacing w:val="-2"/>
          <w:sz w:val="28"/>
          <w:szCs w:val="28"/>
          <w:highlight w:val="none"/>
        </w:rPr>
        <w:t>拟派项目负责人简历表（加盖单位公章）</w:t>
      </w:r>
    </w:p>
    <w:p>
      <w:pPr>
        <w:pStyle w:val="12"/>
        <w:numPr>
          <w:ilvl w:val="3"/>
          <w:numId w:val="6"/>
        </w:numPr>
        <w:kinsoku w:val="0"/>
        <w:overflowPunct w:val="0"/>
        <w:spacing w:before="0" w:line="360" w:lineRule="auto"/>
        <w:rPr>
          <w:color w:val="auto"/>
          <w:spacing w:val="-2"/>
          <w:sz w:val="28"/>
          <w:szCs w:val="28"/>
          <w:highlight w:val="none"/>
        </w:rPr>
      </w:pPr>
      <w:r>
        <w:rPr>
          <w:rFonts w:hint="default"/>
          <w:color w:val="auto"/>
          <w:spacing w:val="-2"/>
          <w:sz w:val="28"/>
          <w:szCs w:val="28"/>
          <w:highlight w:val="none"/>
        </w:rPr>
        <w:t>拟投入本项目主要团队成员情况表</w:t>
      </w:r>
      <w:r>
        <w:rPr>
          <w:rFonts w:hint="eastAsia"/>
          <w:color w:val="auto"/>
          <w:spacing w:val="-2"/>
          <w:sz w:val="28"/>
          <w:szCs w:val="28"/>
          <w:highlight w:val="none"/>
        </w:rPr>
        <w:t>（加盖单位公章）</w:t>
      </w:r>
    </w:p>
    <w:p>
      <w:pPr>
        <w:pStyle w:val="12"/>
        <w:numPr>
          <w:ilvl w:val="0"/>
          <w:numId w:val="5"/>
        </w:numPr>
        <w:kinsoku w:val="0"/>
        <w:overflowPunct w:val="0"/>
        <w:spacing w:before="0" w:line="360" w:lineRule="auto"/>
        <w:rPr>
          <w:rFonts w:hint="default"/>
          <w:color w:val="auto"/>
          <w:spacing w:val="-2"/>
          <w:sz w:val="28"/>
          <w:highlight w:val="none"/>
        </w:rPr>
      </w:pPr>
      <w:r>
        <w:rPr>
          <w:color w:val="auto"/>
          <w:spacing w:val="-2"/>
          <w:sz w:val="28"/>
          <w:highlight w:val="none"/>
        </w:rPr>
        <w:t>项目服务方案</w:t>
      </w:r>
      <w:r>
        <w:rPr>
          <w:rFonts w:cs="宋体"/>
          <w:color w:val="auto"/>
          <w:sz w:val="28"/>
          <w:szCs w:val="28"/>
          <w:highlight w:val="none"/>
        </w:rPr>
        <w:t>（由比选申请人自行编写</w:t>
      </w:r>
      <w:r>
        <w:rPr>
          <w:rFonts w:hint="eastAsia" w:cs="宋体"/>
          <w:color w:val="auto"/>
          <w:sz w:val="28"/>
          <w:szCs w:val="28"/>
          <w:highlight w:val="none"/>
          <w:lang w:eastAsia="zh-CN"/>
        </w:rPr>
        <w:t>，</w:t>
      </w:r>
      <w:r>
        <w:rPr>
          <w:rFonts w:hint="eastAsia"/>
          <w:color w:val="auto"/>
          <w:spacing w:val="-2"/>
          <w:sz w:val="28"/>
          <w:szCs w:val="28"/>
          <w:highlight w:val="none"/>
        </w:rPr>
        <w:t>加盖单位公章</w:t>
      </w:r>
      <w:r>
        <w:rPr>
          <w:rFonts w:cs="宋体"/>
          <w:color w:val="auto"/>
          <w:sz w:val="28"/>
          <w:szCs w:val="28"/>
          <w:highlight w:val="none"/>
        </w:rPr>
        <w:t>）</w:t>
      </w:r>
    </w:p>
    <w:p>
      <w:pPr>
        <w:pStyle w:val="12"/>
        <w:kinsoku w:val="0"/>
        <w:overflowPunct w:val="0"/>
        <w:spacing w:before="0"/>
        <w:ind w:left="0"/>
        <w:rPr>
          <w:rFonts w:hint="default"/>
          <w:i/>
          <w:color w:val="auto"/>
          <w:sz w:val="30"/>
          <w:highlight w:val="none"/>
        </w:rPr>
      </w:pPr>
    </w:p>
    <w:p>
      <w:pPr>
        <w:pStyle w:val="12"/>
        <w:kinsoku w:val="0"/>
        <w:overflowPunct w:val="0"/>
        <w:spacing w:before="0"/>
        <w:ind w:left="0"/>
        <w:rPr>
          <w:rFonts w:hint="default"/>
          <w:color w:val="auto"/>
          <w:spacing w:val="-2"/>
          <w:sz w:val="28"/>
          <w:highlight w:val="none"/>
        </w:rPr>
      </w:pPr>
      <w:r>
        <w:rPr>
          <w:color w:val="auto"/>
          <w:spacing w:val="-2"/>
          <w:sz w:val="28"/>
          <w:highlight w:val="none"/>
        </w:rPr>
        <w:t>备注：以上材料均需加盖单位公章，并按照目录顺序编排，标注页码。</w:t>
      </w:r>
    </w:p>
    <w:p>
      <w:pPr>
        <w:pStyle w:val="12"/>
        <w:kinsoku w:val="0"/>
        <w:overflowPunct w:val="0"/>
        <w:spacing w:before="0" w:line="376" w:lineRule="exact"/>
        <w:ind w:left="0"/>
        <w:rPr>
          <w:rFonts w:hint="default" w:ascii="Times New Roman" w:hAnsi="Times New Roman"/>
          <w:color w:val="auto"/>
          <w:spacing w:val="-2"/>
          <w:sz w:val="28"/>
          <w:highlight w:val="none"/>
        </w:rPr>
      </w:pPr>
      <w:bookmarkStart w:id="34" w:name="2.拟投入人员配置明细表"/>
      <w:bookmarkEnd w:id="34"/>
      <w:r>
        <w:rPr>
          <w:rFonts w:ascii="Times New Roman" w:hAnsi="Times New Roman"/>
          <w:color w:val="auto"/>
          <w:spacing w:val="-2"/>
          <w:sz w:val="28"/>
          <w:highlight w:val="none"/>
        </w:rPr>
        <w:br w:type="page"/>
      </w:r>
    </w:p>
    <w:p>
      <w:pPr>
        <w:pStyle w:val="12"/>
        <w:kinsoku w:val="0"/>
        <w:overflowPunct w:val="0"/>
        <w:spacing w:before="0" w:line="360" w:lineRule="auto"/>
        <w:ind w:left="0"/>
        <w:outlineLvl w:val="3"/>
        <w:rPr>
          <w:rFonts w:hint="default"/>
          <w:color w:val="auto"/>
          <w:spacing w:val="-2"/>
          <w:sz w:val="28"/>
          <w:highlight w:val="none"/>
        </w:rPr>
      </w:pPr>
      <w:r>
        <w:rPr>
          <w:color w:val="auto"/>
          <w:spacing w:val="-2"/>
          <w:sz w:val="28"/>
          <w:highlight w:val="none"/>
        </w:rPr>
        <w:t>（一）综合实力</w:t>
      </w:r>
    </w:p>
    <w:p>
      <w:pPr>
        <w:pStyle w:val="12"/>
        <w:kinsoku w:val="0"/>
        <w:overflowPunct w:val="0"/>
        <w:spacing w:before="0" w:line="360" w:lineRule="auto"/>
        <w:ind w:left="0"/>
        <w:rPr>
          <w:rFonts w:hint="default"/>
          <w:b/>
          <w:color w:val="auto"/>
          <w:spacing w:val="-2"/>
          <w:sz w:val="30"/>
          <w:szCs w:val="30"/>
          <w:highlight w:val="none"/>
        </w:rPr>
      </w:pPr>
      <w:r>
        <w:rPr>
          <w:b/>
          <w:color w:val="auto"/>
          <w:spacing w:val="-2"/>
          <w:sz w:val="30"/>
          <w:szCs w:val="30"/>
          <w:highlight w:val="none"/>
        </w:rPr>
        <w:t>1.近</w:t>
      </w:r>
      <w:r>
        <w:rPr>
          <w:rFonts w:hint="eastAsia"/>
          <w:b/>
          <w:color w:val="auto"/>
          <w:spacing w:val="-2"/>
          <w:sz w:val="30"/>
          <w:szCs w:val="30"/>
          <w:highlight w:val="none"/>
          <w:lang w:val="en-US" w:eastAsia="zh-CN"/>
        </w:rPr>
        <w:t>三</w:t>
      </w:r>
      <w:r>
        <w:rPr>
          <w:b/>
          <w:color w:val="auto"/>
          <w:spacing w:val="-2"/>
          <w:sz w:val="30"/>
          <w:szCs w:val="30"/>
          <w:highlight w:val="none"/>
        </w:rPr>
        <w:t>年业绩表-</w:t>
      </w:r>
      <w:r>
        <w:rPr>
          <w:rFonts w:hint="eastAsia"/>
          <w:b/>
          <w:color w:val="auto"/>
          <w:spacing w:val="-2"/>
          <w:sz w:val="30"/>
          <w:szCs w:val="30"/>
          <w:highlight w:val="none"/>
          <w:lang w:val="en-US" w:eastAsia="zh-CN"/>
        </w:rPr>
        <w:t>同类型企业（下辖多元化子企业的集团）涉及管控体系优化</w:t>
      </w:r>
      <w:r>
        <w:rPr>
          <w:b/>
          <w:color w:val="auto"/>
          <w:spacing w:val="-2"/>
          <w:sz w:val="30"/>
          <w:szCs w:val="30"/>
          <w:highlight w:val="none"/>
        </w:rPr>
        <w:t>咨询</w:t>
      </w:r>
      <w:r>
        <w:rPr>
          <w:rFonts w:hint="eastAsia"/>
          <w:b/>
          <w:color w:val="auto"/>
          <w:spacing w:val="-2"/>
          <w:sz w:val="30"/>
          <w:szCs w:val="30"/>
          <w:highlight w:val="none"/>
          <w:lang w:val="en-US" w:eastAsia="zh-CN"/>
        </w:rPr>
        <w:t>的</w:t>
      </w:r>
      <w:r>
        <w:rPr>
          <w:b/>
          <w:color w:val="auto"/>
          <w:spacing w:val="-2"/>
          <w:sz w:val="30"/>
          <w:szCs w:val="30"/>
          <w:highlight w:val="none"/>
        </w:rPr>
        <w:t>项目（</w:t>
      </w:r>
      <w:r>
        <w:rPr>
          <w:b/>
          <w:color w:val="auto"/>
          <w:sz w:val="30"/>
          <w:szCs w:val="30"/>
          <w:highlight w:val="none"/>
        </w:rPr>
        <w:t>加盖单位公章</w:t>
      </w:r>
      <w:r>
        <w:rPr>
          <w:b/>
          <w:color w:val="auto"/>
          <w:spacing w:val="-2"/>
          <w:sz w:val="30"/>
          <w:szCs w:val="30"/>
          <w:highlight w:val="none"/>
        </w:rPr>
        <w:t>）</w:t>
      </w:r>
    </w:p>
    <w:tbl>
      <w:tblPr>
        <w:tblStyle w:val="19"/>
        <w:tblW w:w="10238" w:type="dxa"/>
        <w:jc w:val="center"/>
        <w:tblLayout w:type="fixed"/>
        <w:tblCellMar>
          <w:top w:w="0" w:type="dxa"/>
          <w:left w:w="108" w:type="dxa"/>
          <w:bottom w:w="0" w:type="dxa"/>
          <w:right w:w="108" w:type="dxa"/>
        </w:tblCellMar>
      </w:tblPr>
      <w:tblGrid>
        <w:gridCol w:w="844"/>
        <w:gridCol w:w="3899"/>
        <w:gridCol w:w="2066"/>
        <w:gridCol w:w="1789"/>
        <w:gridCol w:w="1640"/>
      </w:tblGrid>
      <w:tr>
        <w:tblPrEx>
          <w:tblCellMar>
            <w:top w:w="0" w:type="dxa"/>
            <w:left w:w="108" w:type="dxa"/>
            <w:bottom w:w="0" w:type="dxa"/>
            <w:right w:w="108" w:type="dxa"/>
          </w:tblCellMar>
        </w:tblPrEx>
        <w:trPr>
          <w:trHeight w:val="47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序号</w:t>
            </w:r>
          </w:p>
        </w:tc>
        <w:tc>
          <w:tcPr>
            <w:tcW w:w="38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合同对方名称</w:t>
            </w:r>
          </w:p>
        </w:tc>
        <w:tc>
          <w:tcPr>
            <w:tcW w:w="20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合同项目名称</w:t>
            </w:r>
          </w:p>
        </w:tc>
        <w:tc>
          <w:tcPr>
            <w:tcW w:w="17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服务内容</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highlight w:val="none"/>
              </w:rPr>
            </w:pPr>
            <w:r>
              <w:rPr>
                <w:rFonts w:hint="eastAsia" w:ascii="宋体" w:hAnsi="宋体" w:cs="宋体"/>
                <w:color w:val="auto"/>
                <w:highlight w:val="none"/>
              </w:rPr>
              <w:t>合同金额</w:t>
            </w: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highlight w:val="none"/>
              </w:rPr>
            </w:pPr>
          </w:p>
        </w:tc>
        <w:tc>
          <w:tcPr>
            <w:tcW w:w="389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2066"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c>
          <w:tcPr>
            <w:tcW w:w="1789"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r>
              <w:rPr>
                <w:rFonts w:hint="eastAsia" w:ascii="宋体" w:hAnsi="宋体" w:cs="宋体"/>
                <w:color w:val="auto"/>
                <w:highlight w:val="none"/>
              </w:rPr>
              <w:t>　</w:t>
            </w:r>
          </w:p>
        </w:tc>
        <w:tc>
          <w:tcPr>
            <w:tcW w:w="1640" w:type="dxa"/>
            <w:tcBorders>
              <w:top w:val="nil"/>
              <w:left w:val="nil"/>
              <w:bottom w:val="single" w:color="auto" w:sz="4" w:space="0"/>
              <w:right w:val="single" w:color="auto" w:sz="4" w:space="0"/>
            </w:tcBorders>
            <w:vAlign w:val="center"/>
          </w:tcPr>
          <w:p>
            <w:pPr>
              <w:widowControl/>
              <w:rPr>
                <w:rFonts w:ascii="宋体" w:hAnsi="宋体" w:cs="宋体"/>
                <w:color w:val="auto"/>
                <w:highlight w:val="none"/>
              </w:rPr>
            </w:pPr>
          </w:p>
        </w:tc>
      </w:tr>
    </w:tbl>
    <w:p>
      <w:pPr>
        <w:spacing w:before="120" w:beforeLines="50" w:line="360" w:lineRule="auto"/>
        <w:rPr>
          <w:rFonts w:ascii="宋体" w:hAnsi="宋体"/>
          <w:color w:val="auto"/>
          <w:highlight w:val="none"/>
        </w:rPr>
      </w:pPr>
      <w:r>
        <w:rPr>
          <w:rFonts w:hint="eastAsia" w:ascii="宋体" w:hAnsi="宋体"/>
          <w:color w:val="auto"/>
          <w:highlight w:val="none"/>
        </w:rPr>
        <w:t>备注：</w:t>
      </w:r>
    </w:p>
    <w:p>
      <w:pPr>
        <w:spacing w:line="360" w:lineRule="auto"/>
        <w:ind w:firstLine="480" w:firstLineChars="200"/>
        <w:rPr>
          <w:rFonts w:ascii="宋体" w:hAnsi="宋体"/>
          <w:color w:val="auto"/>
          <w:szCs w:val="24"/>
          <w:highlight w:val="none"/>
        </w:rPr>
      </w:pPr>
      <w:r>
        <w:rPr>
          <w:rFonts w:hint="eastAsia" w:ascii="宋体" w:hAnsi="宋体"/>
          <w:color w:val="auto"/>
          <w:highlight w:val="none"/>
        </w:rPr>
        <w:t>1.</w:t>
      </w:r>
      <w:r>
        <w:rPr>
          <w:rFonts w:hint="eastAsia" w:asciiTheme="minorEastAsia" w:hAnsiTheme="minorEastAsia" w:eastAsiaTheme="minorEastAsia"/>
          <w:color w:val="auto"/>
          <w:szCs w:val="24"/>
          <w:highlight w:val="none"/>
        </w:rPr>
        <w:t>提供近</w:t>
      </w:r>
      <w:r>
        <w:rPr>
          <w:rFonts w:hint="eastAsia" w:asciiTheme="minorEastAsia" w:hAnsiTheme="minorEastAsia" w:eastAsiaTheme="minorEastAsia"/>
          <w:color w:val="auto"/>
          <w:szCs w:val="24"/>
          <w:highlight w:val="none"/>
          <w:lang w:val="en-US" w:eastAsia="zh-CN"/>
        </w:rPr>
        <w:t>三</w:t>
      </w:r>
      <w:r>
        <w:rPr>
          <w:rFonts w:hint="eastAsia" w:asciiTheme="minorEastAsia" w:hAnsiTheme="minorEastAsia" w:eastAsiaTheme="minorEastAsia"/>
          <w:color w:val="auto"/>
          <w:szCs w:val="24"/>
          <w:highlight w:val="none"/>
        </w:rPr>
        <w:t>年（</w:t>
      </w:r>
      <w:r>
        <w:rPr>
          <w:rFonts w:asciiTheme="minorEastAsia" w:hAnsiTheme="minorEastAsia" w:eastAsiaTheme="minorEastAsia"/>
          <w:color w:val="auto"/>
          <w:szCs w:val="24"/>
          <w:highlight w:val="none"/>
        </w:rPr>
        <w:t>20</w:t>
      </w:r>
      <w:r>
        <w:rPr>
          <w:rFonts w:hint="eastAsia"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0</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lang w:val="en-US" w:eastAsia="zh-CN"/>
        </w:rPr>
        <w:t>1</w:t>
      </w:r>
      <w:r>
        <w:rPr>
          <w:rFonts w:hint="eastAsia" w:asciiTheme="minorEastAsia" w:hAnsiTheme="minorEastAsia" w:eastAsiaTheme="minorEastAsia"/>
          <w:color w:val="auto"/>
          <w:szCs w:val="24"/>
          <w:highlight w:val="none"/>
        </w:rPr>
        <w:t>月</w:t>
      </w:r>
      <w:r>
        <w:rPr>
          <w:rFonts w:asciiTheme="minorEastAsia" w:hAnsiTheme="minorEastAsia" w:eastAsiaTheme="minorEastAsia"/>
          <w:color w:val="auto"/>
          <w:szCs w:val="24"/>
          <w:highlight w:val="none"/>
        </w:rPr>
        <w:t>1</w:t>
      </w:r>
      <w:r>
        <w:rPr>
          <w:rFonts w:hint="eastAsia" w:asciiTheme="minorEastAsia" w:hAnsiTheme="minorEastAsia" w:eastAsiaTheme="minorEastAsia"/>
          <w:color w:val="auto"/>
          <w:szCs w:val="24"/>
          <w:highlight w:val="none"/>
        </w:rPr>
        <w:t>日至今）实施的合同金额≥</w:t>
      </w:r>
      <w:r>
        <w:rPr>
          <w:rFonts w:asciiTheme="minorEastAsia" w:hAnsiTheme="minorEastAsia" w:eastAsiaTheme="minorEastAsia"/>
          <w:color w:val="auto"/>
          <w:szCs w:val="24"/>
          <w:highlight w:val="none"/>
        </w:rPr>
        <w:t>50万元</w:t>
      </w:r>
      <w:r>
        <w:rPr>
          <w:rFonts w:hint="eastAsia" w:asciiTheme="minorEastAsia" w:hAnsiTheme="minorEastAsia" w:eastAsiaTheme="minorEastAsia"/>
          <w:color w:val="auto"/>
          <w:szCs w:val="24"/>
          <w:highlight w:val="none"/>
        </w:rPr>
        <w:t>的项目，只需提供有代表性的三个咨询项目。</w:t>
      </w:r>
    </w:p>
    <w:p>
      <w:pPr>
        <w:spacing w:line="360" w:lineRule="auto"/>
        <w:ind w:firstLine="480" w:firstLineChars="200"/>
        <w:rPr>
          <w:rFonts w:ascii="宋体" w:hAnsi="宋体"/>
          <w:color w:val="auto"/>
          <w:highlight w:val="none"/>
        </w:rPr>
      </w:pPr>
      <w:r>
        <w:rPr>
          <w:rFonts w:hint="eastAsia" w:ascii="宋体" w:hAnsi="宋体"/>
          <w:color w:val="auto"/>
          <w:highlight w:val="none"/>
        </w:rPr>
        <w:t>2.此表须附相应合同复印件（必须体现</w:t>
      </w:r>
      <w:r>
        <w:rPr>
          <w:rFonts w:hint="eastAsia" w:ascii="宋体" w:hAnsi="宋体" w:cs="宋体"/>
          <w:color w:val="auto"/>
          <w:highlight w:val="none"/>
        </w:rPr>
        <w:t>合同双方名称、签订日期、合同金额、合同服务内容，除此外，涉及到商业秘密的内容可以隐去</w:t>
      </w:r>
      <w:r>
        <w:rPr>
          <w:rFonts w:hint="eastAsia" w:ascii="宋体" w:hAnsi="宋体"/>
          <w:color w:val="auto"/>
          <w:highlight w:val="none"/>
        </w:rPr>
        <w:t>）证明材料。未附有效证明材料的业绩视为无效。</w:t>
      </w:r>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rPr>
          <w:rFonts w:hint="default"/>
          <w:b/>
          <w:color w:val="auto"/>
          <w:spacing w:val="-2"/>
          <w:sz w:val="30"/>
          <w:szCs w:val="30"/>
          <w:highlight w:val="none"/>
        </w:rPr>
      </w:pPr>
    </w:p>
    <w:p>
      <w:pPr>
        <w:widowControl/>
        <w:autoSpaceDE/>
        <w:autoSpaceDN/>
        <w:adjustRightInd/>
        <w:rPr>
          <w:rFonts w:ascii="宋体" w:hAnsi="宋体"/>
          <w:b/>
          <w:color w:val="auto"/>
          <w:spacing w:val="-2"/>
          <w:sz w:val="30"/>
          <w:szCs w:val="30"/>
          <w:highlight w:val="none"/>
        </w:rPr>
      </w:pPr>
      <w:r>
        <w:rPr>
          <w:b/>
          <w:color w:val="auto"/>
          <w:spacing w:val="-2"/>
          <w:sz w:val="30"/>
          <w:szCs w:val="30"/>
          <w:highlight w:val="none"/>
        </w:rPr>
        <w:br w:type="page"/>
      </w:r>
    </w:p>
    <w:p>
      <w:pPr>
        <w:pStyle w:val="12"/>
        <w:kinsoku w:val="0"/>
        <w:overflowPunct w:val="0"/>
        <w:spacing w:before="0" w:line="360" w:lineRule="auto"/>
        <w:ind w:left="0"/>
        <w:jc w:val="center"/>
        <w:rPr>
          <w:rFonts w:hint="default"/>
          <w:b/>
          <w:color w:val="auto"/>
          <w:spacing w:val="-2"/>
          <w:sz w:val="30"/>
          <w:szCs w:val="30"/>
          <w:highlight w:val="none"/>
        </w:rPr>
      </w:pPr>
      <w:r>
        <w:rPr>
          <w:b/>
          <w:color w:val="auto"/>
          <w:spacing w:val="-2"/>
          <w:sz w:val="30"/>
          <w:szCs w:val="30"/>
          <w:highlight w:val="none"/>
        </w:rPr>
        <w:t>2.</w:t>
      </w:r>
      <w:bookmarkStart w:id="35" w:name="_Toc282549834"/>
      <w:bookmarkStart w:id="36" w:name="_Toc282376922"/>
      <w:bookmarkStart w:id="37" w:name="_Toc384731063"/>
      <w:bookmarkStart w:id="38" w:name="_Toc287988791"/>
      <w:bookmarkStart w:id="39" w:name="_Toc287988959"/>
      <w:bookmarkStart w:id="40" w:name="_Toc287989683"/>
      <w:bookmarkStart w:id="41" w:name="_Toc479326951"/>
      <w:bookmarkStart w:id="42" w:name="_Toc346895304"/>
      <w:bookmarkStart w:id="43" w:name="_Toc413933303"/>
      <w:bookmarkStart w:id="44" w:name="_Toc359572282"/>
      <w:bookmarkStart w:id="45" w:name="_Toc25201"/>
      <w:bookmarkStart w:id="46" w:name="_Toc413933196"/>
      <w:bookmarkStart w:id="47" w:name="_Toc3325"/>
      <w:r>
        <w:rPr>
          <w:b/>
          <w:color w:val="auto"/>
          <w:spacing w:val="-2"/>
          <w:sz w:val="30"/>
          <w:szCs w:val="30"/>
          <w:highlight w:val="none"/>
        </w:rPr>
        <w:t>拟派项目负责人简历表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456"/>
        <w:gridCol w:w="1984"/>
        <w:gridCol w:w="1985"/>
        <w:gridCol w:w="992"/>
        <w:gridCol w:w="162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28" w:hRule="atLeast"/>
          <w:jc w:val="center"/>
        </w:trPr>
        <w:tc>
          <w:tcPr>
            <w:tcW w:w="980" w:type="dxa"/>
            <w:tcBorders>
              <w:top w:val="single" w:color="auto" w:sz="4" w:space="0"/>
              <w:left w:val="single" w:color="auto" w:sz="4" w:space="0"/>
              <w:right w:val="single" w:color="auto" w:sz="4" w:space="0"/>
            </w:tcBorders>
            <w:vAlign w:val="center"/>
          </w:tcPr>
          <w:p>
            <w:pPr>
              <w:pStyle w:val="33"/>
              <w:spacing w:line="240" w:lineRule="exact"/>
              <w:rPr>
                <w:color w:val="auto"/>
                <w:szCs w:val="24"/>
                <w:highlight w:val="none"/>
              </w:rPr>
            </w:pPr>
            <w:r>
              <w:rPr>
                <w:rFonts w:hint="eastAsia"/>
                <w:color w:val="auto"/>
                <w:highlight w:val="none"/>
              </w:rPr>
              <w:t>姓  名</w:t>
            </w:r>
          </w:p>
        </w:tc>
        <w:tc>
          <w:tcPr>
            <w:tcW w:w="1456" w:type="dxa"/>
            <w:tcBorders>
              <w:top w:val="single" w:color="auto" w:sz="4" w:space="0"/>
              <w:left w:val="single" w:color="auto" w:sz="4" w:space="0"/>
              <w:right w:val="single" w:color="auto" w:sz="4" w:space="0"/>
            </w:tcBorders>
            <w:vAlign w:val="center"/>
          </w:tcPr>
          <w:p>
            <w:pPr>
              <w:pStyle w:val="33"/>
              <w:spacing w:line="240" w:lineRule="exact"/>
              <w:rPr>
                <w:color w:val="auto"/>
                <w:szCs w:val="24"/>
                <w:highlight w:val="none"/>
              </w:rPr>
            </w:pPr>
          </w:p>
        </w:tc>
        <w:tc>
          <w:tcPr>
            <w:tcW w:w="1984" w:type="dxa"/>
            <w:tcBorders>
              <w:top w:val="single" w:color="auto" w:sz="4" w:space="0"/>
              <w:left w:val="single" w:color="auto" w:sz="4" w:space="0"/>
              <w:right w:val="single" w:color="auto" w:sz="4" w:space="0"/>
            </w:tcBorders>
            <w:vAlign w:val="center"/>
          </w:tcPr>
          <w:p>
            <w:pPr>
              <w:pStyle w:val="33"/>
              <w:spacing w:line="240" w:lineRule="exact"/>
              <w:rPr>
                <w:color w:val="auto"/>
                <w:szCs w:val="24"/>
                <w:highlight w:val="none"/>
              </w:rPr>
            </w:pPr>
            <w:r>
              <w:rPr>
                <w:rFonts w:hint="eastAsia"/>
                <w:color w:val="auto"/>
                <w:highlight w:val="none"/>
              </w:rPr>
              <w:t>性   别</w:t>
            </w:r>
          </w:p>
        </w:tc>
        <w:tc>
          <w:tcPr>
            <w:tcW w:w="1985" w:type="dxa"/>
            <w:tcBorders>
              <w:top w:val="single" w:color="auto" w:sz="4" w:space="0"/>
              <w:left w:val="single" w:color="auto" w:sz="4" w:space="0"/>
              <w:right w:val="single" w:color="auto" w:sz="4" w:space="0"/>
            </w:tcBorders>
            <w:vAlign w:val="center"/>
          </w:tcPr>
          <w:p>
            <w:pPr>
              <w:pStyle w:val="33"/>
              <w:spacing w:line="240" w:lineRule="exact"/>
              <w:rPr>
                <w:color w:val="auto"/>
                <w:szCs w:val="24"/>
                <w:highlight w:val="none"/>
              </w:rPr>
            </w:pPr>
          </w:p>
        </w:tc>
        <w:tc>
          <w:tcPr>
            <w:tcW w:w="992" w:type="dxa"/>
            <w:tcBorders>
              <w:top w:val="single" w:color="auto" w:sz="4" w:space="0"/>
              <w:left w:val="single" w:color="auto" w:sz="4" w:space="0"/>
              <w:right w:val="single" w:color="auto" w:sz="4" w:space="0"/>
            </w:tcBorders>
            <w:vAlign w:val="center"/>
          </w:tcPr>
          <w:p>
            <w:pPr>
              <w:pStyle w:val="33"/>
              <w:spacing w:line="240" w:lineRule="exact"/>
              <w:rPr>
                <w:color w:val="auto"/>
                <w:szCs w:val="24"/>
                <w:highlight w:val="none"/>
              </w:rPr>
            </w:pPr>
            <w:r>
              <w:rPr>
                <w:rFonts w:hint="eastAsia"/>
                <w:color w:val="auto"/>
                <w:highlight w:val="none"/>
              </w:rPr>
              <w:t>学   历</w:t>
            </w:r>
          </w:p>
        </w:tc>
        <w:tc>
          <w:tcPr>
            <w:tcW w:w="1629" w:type="dxa"/>
            <w:tcBorders>
              <w:top w:val="single" w:color="auto" w:sz="4" w:space="0"/>
              <w:left w:val="single" w:color="auto" w:sz="4" w:space="0"/>
              <w:right w:val="single" w:color="auto" w:sz="4" w:space="0"/>
            </w:tcBorders>
            <w:vAlign w:val="center"/>
          </w:tcPr>
          <w:p>
            <w:pPr>
              <w:pStyle w:val="33"/>
              <w:spacing w:line="240" w:lineRule="exact"/>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0"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highlight w:val="none"/>
              </w:rPr>
            </w:pPr>
            <w:r>
              <w:rPr>
                <w:rFonts w:hint="eastAsia"/>
                <w:color w:val="auto"/>
                <w:highlight w:val="none"/>
              </w:rPr>
              <w:t>职称或职业资格等级</w:t>
            </w:r>
          </w:p>
        </w:tc>
        <w:tc>
          <w:tcPr>
            <w:tcW w:w="6590" w:type="dxa"/>
            <w:gridSpan w:val="4"/>
            <w:tcBorders>
              <w:top w:val="single" w:color="auto" w:sz="4" w:space="0"/>
              <w:left w:val="single" w:color="auto" w:sz="4" w:space="0"/>
              <w:bottom w:val="single" w:color="auto" w:sz="4" w:space="0"/>
              <w:right w:val="single" w:color="auto" w:sz="4" w:space="0"/>
            </w:tcBorders>
            <w:vAlign w:val="center"/>
          </w:tcPr>
          <w:p>
            <w:pPr>
              <w:pStyle w:val="33"/>
              <w:spacing w:line="240" w:lineRule="exact"/>
              <w:jc w:val="both"/>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0"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szCs w:val="24"/>
                <w:highlight w:val="none"/>
              </w:rPr>
            </w:pPr>
            <w:r>
              <w:rPr>
                <w:rFonts w:hint="eastAsia"/>
                <w:color w:val="auto"/>
                <w:highlight w:val="none"/>
              </w:rPr>
              <w:t>从业工作年限</w:t>
            </w:r>
          </w:p>
        </w:tc>
        <w:tc>
          <w:tcPr>
            <w:tcW w:w="6590" w:type="dxa"/>
            <w:gridSpan w:val="4"/>
            <w:tcBorders>
              <w:top w:val="single" w:color="auto" w:sz="4" w:space="0"/>
              <w:left w:val="single" w:color="auto" w:sz="4" w:space="0"/>
              <w:bottom w:val="single" w:color="auto" w:sz="4" w:space="0"/>
              <w:right w:val="single" w:color="auto" w:sz="4" w:space="0"/>
            </w:tcBorders>
            <w:vAlign w:val="center"/>
          </w:tcPr>
          <w:p>
            <w:pPr>
              <w:pStyle w:val="33"/>
              <w:spacing w:line="240" w:lineRule="exact"/>
              <w:jc w:val="both"/>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highlight w:val="none"/>
              </w:rPr>
            </w:pPr>
            <w:r>
              <w:rPr>
                <w:rFonts w:hint="eastAsia"/>
                <w:color w:val="auto"/>
                <w:highlight w:val="none"/>
              </w:rPr>
              <w:t>担任项目负责人年限</w:t>
            </w:r>
          </w:p>
        </w:tc>
        <w:tc>
          <w:tcPr>
            <w:tcW w:w="6590" w:type="dxa"/>
            <w:gridSpan w:val="4"/>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highlight w:val="none"/>
              </w:rPr>
            </w:pPr>
            <w:r>
              <w:rPr>
                <w:rFonts w:hint="eastAsia"/>
                <w:color w:val="auto"/>
                <w:highlight w:val="none"/>
              </w:rPr>
              <w:t>个人工作介绍</w:t>
            </w:r>
          </w:p>
        </w:tc>
        <w:tc>
          <w:tcPr>
            <w:tcW w:w="6590" w:type="dxa"/>
            <w:gridSpan w:val="4"/>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3" w:type="dxa"/>
            <w:gridSpan w:val="7"/>
            <w:tcBorders>
              <w:top w:val="single" w:color="auto" w:sz="4" w:space="0"/>
              <w:left w:val="single" w:color="auto" w:sz="4" w:space="0"/>
              <w:bottom w:val="single" w:color="auto" w:sz="4" w:space="0"/>
              <w:right w:val="single" w:color="auto" w:sz="4" w:space="0"/>
            </w:tcBorders>
            <w:vAlign w:val="center"/>
          </w:tcPr>
          <w:p>
            <w:pPr>
              <w:pStyle w:val="33"/>
              <w:spacing w:line="240" w:lineRule="exact"/>
              <w:rPr>
                <w:color w:val="auto"/>
                <w:szCs w:val="24"/>
                <w:highlight w:val="none"/>
              </w:rPr>
            </w:pPr>
            <w:r>
              <w:rPr>
                <w:rFonts w:hint="eastAsia"/>
                <w:color w:val="auto"/>
                <w:highlight w:val="none"/>
              </w:rPr>
              <w:t>担任项目负责人已完成主要项目情况（自2020年1月至今）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260" w:lineRule="exact"/>
              <w:rPr>
                <w:color w:val="auto"/>
                <w:szCs w:val="24"/>
                <w:highlight w:val="none"/>
              </w:rPr>
            </w:pPr>
            <w:r>
              <w:rPr>
                <w:rFonts w:hint="eastAsia"/>
                <w:color w:val="auto"/>
                <w:highlight w:val="none"/>
              </w:rPr>
              <w:t>项目名称</w:t>
            </w: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260" w:lineRule="exact"/>
              <w:rPr>
                <w:color w:val="auto"/>
                <w:szCs w:val="24"/>
                <w:highlight w:val="none"/>
              </w:rPr>
            </w:pPr>
            <w:r>
              <w:rPr>
                <w:rFonts w:hint="eastAsia"/>
                <w:color w:val="auto"/>
                <w:szCs w:val="24"/>
                <w:highlight w:val="none"/>
              </w:rPr>
              <w:t>服务内容</w:t>
            </w: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260" w:lineRule="exact"/>
              <w:rPr>
                <w:color w:val="auto"/>
                <w:szCs w:val="24"/>
                <w:highlight w:val="none"/>
              </w:rPr>
            </w:pPr>
            <w:r>
              <w:rPr>
                <w:rFonts w:hint="eastAsia"/>
                <w:color w:val="auto"/>
                <w:highlight w:val="none"/>
              </w:rPr>
              <w:t>委托时间</w:t>
            </w: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260" w:lineRule="exact"/>
              <w:rPr>
                <w:color w:val="auto"/>
                <w:szCs w:val="24"/>
                <w:highlight w:val="none"/>
              </w:rPr>
            </w:pPr>
            <w:r>
              <w:rPr>
                <w:rFonts w:hint="eastAsia"/>
                <w:color w:val="auto"/>
                <w:highlight w:val="none"/>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jc w:val="center"/>
        </w:trPr>
        <w:tc>
          <w:tcPr>
            <w:tcW w:w="2436"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621" w:type="dxa"/>
            <w:gridSpan w:val="2"/>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bl>
    <w:p>
      <w:pPr>
        <w:spacing w:before="120" w:line="360" w:lineRule="auto"/>
        <w:rPr>
          <w:color w:val="auto"/>
          <w:highlight w:val="none"/>
        </w:rPr>
      </w:pPr>
    </w:p>
    <w:p>
      <w:pPr>
        <w:spacing w:before="120" w:line="360" w:lineRule="auto"/>
        <w:ind w:left="3600" w:leftChars="1500" w:firstLine="288" w:firstLineChars="120"/>
        <w:rPr>
          <w:color w:val="auto"/>
          <w:highlight w:val="none"/>
          <w:u w:val="single"/>
        </w:rPr>
      </w:pPr>
      <w:r>
        <w:rPr>
          <w:rFonts w:hint="eastAsia"/>
          <w:color w:val="auto"/>
          <w:highlight w:val="none"/>
        </w:rPr>
        <w:t>投标人：</w:t>
      </w:r>
      <w:r>
        <w:rPr>
          <w:color w:val="auto"/>
          <w:highlight w:val="none"/>
          <w:u w:val="single"/>
        </w:rPr>
        <w:t xml:space="preserve">                              </w:t>
      </w:r>
      <w:r>
        <w:rPr>
          <w:rFonts w:hint="eastAsia"/>
          <w:color w:val="auto"/>
          <w:highlight w:val="none"/>
          <w:u w:val="single"/>
        </w:rPr>
        <w:t>（盖公章）</w:t>
      </w:r>
    </w:p>
    <w:p>
      <w:pPr>
        <w:spacing w:before="120" w:line="360" w:lineRule="auto"/>
        <w:ind w:left="3600" w:leftChars="1500" w:firstLine="288" w:firstLineChars="120"/>
        <w:rPr>
          <w:color w:val="auto"/>
          <w:highlight w:val="none"/>
        </w:rPr>
      </w:pPr>
      <w:r>
        <w:rPr>
          <w:rFonts w:hint="eastAsia"/>
          <w:color w:val="auto"/>
          <w:highlight w:val="none"/>
        </w:rPr>
        <w:t>法定代表人或</w:t>
      </w:r>
    </w:p>
    <w:p>
      <w:pPr>
        <w:spacing w:before="120" w:line="360" w:lineRule="auto"/>
        <w:ind w:left="3600" w:leftChars="1500" w:firstLine="288" w:firstLineChars="120"/>
        <w:rPr>
          <w:color w:val="auto"/>
          <w:highlight w:val="none"/>
          <w:u w:val="single"/>
        </w:rPr>
      </w:pPr>
      <w:r>
        <w:rPr>
          <w:rFonts w:hint="eastAsia"/>
          <w:color w:val="auto"/>
          <w:highlight w:val="none"/>
        </w:rPr>
        <w:t>其授权委托代理人：</w:t>
      </w: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（签字或盖章）</w:t>
      </w:r>
    </w:p>
    <w:p>
      <w:pPr>
        <w:spacing w:before="120" w:line="360" w:lineRule="auto"/>
        <w:ind w:left="3600" w:leftChars="1500" w:firstLine="288" w:firstLineChars="120"/>
        <w:rPr>
          <w:color w:val="auto"/>
          <w:highlight w:val="none"/>
        </w:rPr>
      </w:pPr>
      <w:r>
        <w:rPr>
          <w:rFonts w:hint="eastAsia"/>
          <w:color w:val="auto"/>
          <w:highlight w:val="none"/>
        </w:rPr>
        <w:t>日</w:t>
      </w:r>
      <w:r>
        <w:rPr>
          <w:color w:val="auto"/>
          <w:highlight w:val="none"/>
        </w:rPr>
        <w:t xml:space="preserve">    </w:t>
      </w:r>
      <w:r>
        <w:rPr>
          <w:rFonts w:hint="eastAsia"/>
          <w:color w:val="auto"/>
          <w:highlight w:val="none"/>
        </w:rPr>
        <w:t>期：</w:t>
      </w:r>
      <w:r>
        <w:rPr>
          <w:color w:val="auto"/>
          <w:highlight w:val="none"/>
          <w:u w:val="single"/>
        </w:rPr>
        <w:t xml:space="preserve">        </w:t>
      </w:r>
      <w:r>
        <w:rPr>
          <w:rFonts w:hint="eastAsia"/>
          <w:color w:val="auto"/>
          <w:highlight w:val="none"/>
          <w:u w:val="single"/>
        </w:rPr>
        <w:t>年</w:t>
      </w:r>
      <w:r>
        <w:rPr>
          <w:color w:val="auto"/>
          <w:highlight w:val="none"/>
          <w:u w:val="single"/>
        </w:rPr>
        <w:t xml:space="preserve">       </w:t>
      </w:r>
      <w:r>
        <w:rPr>
          <w:rFonts w:hint="eastAsia"/>
          <w:color w:val="auto"/>
          <w:highlight w:val="none"/>
          <w:u w:val="single"/>
        </w:rPr>
        <w:t>月</w:t>
      </w:r>
      <w:r>
        <w:rPr>
          <w:color w:val="auto"/>
          <w:highlight w:val="none"/>
          <w:u w:val="single"/>
        </w:rPr>
        <w:t xml:space="preserve">       </w:t>
      </w:r>
      <w:r>
        <w:rPr>
          <w:rFonts w:hint="eastAsia"/>
          <w:color w:val="auto"/>
          <w:highlight w:val="none"/>
          <w:u w:val="single"/>
        </w:rPr>
        <w:t>日</w:t>
      </w:r>
    </w:p>
    <w:p>
      <w:pPr>
        <w:spacing w:before="120"/>
        <w:rPr>
          <w:rFonts w:hint="eastAsia"/>
          <w:color w:val="auto"/>
          <w:highlight w:val="none"/>
        </w:rPr>
      </w:pPr>
      <w:r>
        <w:rPr>
          <w:rFonts w:hint="eastAsia"/>
          <w:color w:val="auto"/>
          <w:highlight w:val="none"/>
        </w:rPr>
        <w:t>附：</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项目</w:t>
      </w:r>
      <w:r>
        <w:rPr>
          <w:rFonts w:hint="eastAsia"/>
          <w:color w:val="auto"/>
          <w:highlight w:val="none"/>
          <w:lang w:val="en-US" w:eastAsia="zh-CN"/>
        </w:rPr>
        <w:t>负责人</w:t>
      </w:r>
      <w:r>
        <w:rPr>
          <w:rFonts w:hint="eastAsia"/>
          <w:color w:val="auto"/>
          <w:highlight w:val="none"/>
        </w:rPr>
        <w:t>身份证</w:t>
      </w:r>
    </w:p>
    <w:p>
      <w:pPr>
        <w:numPr>
          <w:ilvl w:val="0"/>
          <w:numId w:val="7"/>
        </w:numPr>
        <w:spacing w:before="120"/>
        <w:ind w:firstLine="480" w:firstLineChars="200"/>
        <w:rPr>
          <w:rFonts w:hint="eastAsia"/>
          <w:color w:val="auto"/>
          <w:highlight w:val="none"/>
        </w:rPr>
      </w:pPr>
      <w:r>
        <w:rPr>
          <w:rFonts w:hint="eastAsia"/>
          <w:color w:val="auto"/>
          <w:highlight w:val="none"/>
        </w:rPr>
        <w:t>项目</w:t>
      </w:r>
      <w:r>
        <w:rPr>
          <w:rFonts w:hint="eastAsia"/>
          <w:color w:val="auto"/>
          <w:highlight w:val="none"/>
          <w:lang w:val="en-US" w:eastAsia="zh-CN"/>
        </w:rPr>
        <w:t>负责人</w:t>
      </w:r>
      <w:r>
        <w:rPr>
          <w:rFonts w:hint="eastAsia"/>
          <w:color w:val="auto"/>
          <w:highlight w:val="none"/>
        </w:rPr>
        <w:t>毕业证书、学位证书</w:t>
      </w:r>
    </w:p>
    <w:p>
      <w:pPr>
        <w:numPr>
          <w:ilvl w:val="0"/>
          <w:numId w:val="7"/>
        </w:numPr>
        <w:spacing w:before="120"/>
        <w:ind w:firstLine="480" w:firstLineChars="200"/>
        <w:rPr>
          <w:rFonts w:hint="eastAsia"/>
          <w:color w:val="auto"/>
          <w:highlight w:val="none"/>
        </w:rPr>
      </w:pPr>
      <w:r>
        <w:rPr>
          <w:rFonts w:hint="eastAsia"/>
          <w:color w:val="auto"/>
          <w:highlight w:val="none"/>
        </w:rPr>
        <w:t>项目</w:t>
      </w:r>
      <w:r>
        <w:rPr>
          <w:rFonts w:hint="eastAsia"/>
          <w:color w:val="auto"/>
          <w:highlight w:val="none"/>
          <w:lang w:val="en-US" w:eastAsia="zh-CN"/>
        </w:rPr>
        <w:t>负责人</w:t>
      </w:r>
      <w:r>
        <w:rPr>
          <w:rFonts w:hint="eastAsia"/>
          <w:color w:val="auto"/>
          <w:highlight w:val="none"/>
        </w:rPr>
        <w:t>职称证或职业资格证</w:t>
      </w:r>
    </w:p>
    <w:p>
      <w:pPr>
        <w:numPr>
          <w:ilvl w:val="0"/>
          <w:numId w:val="7"/>
        </w:numPr>
        <w:spacing w:before="120"/>
        <w:ind w:firstLine="480" w:firstLineChars="200"/>
        <w:rPr>
          <w:rFonts w:hint="eastAsia"/>
          <w:color w:val="auto"/>
          <w:highlight w:val="none"/>
        </w:rPr>
      </w:pPr>
      <w:r>
        <w:rPr>
          <w:rFonts w:hint="eastAsia"/>
          <w:color w:val="auto"/>
          <w:highlight w:val="none"/>
        </w:rPr>
        <w:t>项目</w:t>
      </w:r>
      <w:r>
        <w:rPr>
          <w:rFonts w:hint="eastAsia"/>
          <w:color w:val="auto"/>
          <w:highlight w:val="none"/>
          <w:lang w:val="en-US" w:eastAsia="zh-CN"/>
        </w:rPr>
        <w:t>负责人</w:t>
      </w:r>
      <w:r>
        <w:rPr>
          <w:rFonts w:hint="eastAsia"/>
          <w:color w:val="auto"/>
          <w:highlight w:val="none"/>
        </w:rPr>
        <w:t>工作时间证明、在职证明</w:t>
      </w:r>
      <w:r>
        <w:rPr>
          <w:rFonts w:hint="eastAsia"/>
          <w:color w:val="auto"/>
          <w:highlight w:val="none"/>
          <w:lang w:eastAsia="zh-CN"/>
        </w:rPr>
        <w:t>、</w:t>
      </w:r>
      <w:r>
        <w:rPr>
          <w:rFonts w:hint="eastAsia"/>
          <w:color w:val="auto"/>
          <w:highlight w:val="none"/>
        </w:rPr>
        <w:t>工作业绩等历史从业经验证明材料</w:t>
      </w:r>
    </w:p>
    <w:p>
      <w:pPr>
        <w:numPr>
          <w:ilvl w:val="0"/>
          <w:numId w:val="7"/>
        </w:numPr>
        <w:spacing w:before="120"/>
        <w:ind w:firstLine="480" w:firstLineChars="200"/>
        <w:rPr>
          <w:rFonts w:hint="eastAsia"/>
          <w:color w:val="auto"/>
          <w:highlight w:val="none"/>
        </w:rPr>
      </w:pPr>
      <w:r>
        <w:rPr>
          <w:rFonts w:hint="eastAsia"/>
          <w:color w:val="auto"/>
          <w:highlight w:val="none"/>
        </w:rPr>
        <w:t>担任项目负责人已完成主要项目情况</w:t>
      </w:r>
      <w:r>
        <w:rPr>
          <w:rFonts w:hint="eastAsia"/>
          <w:color w:val="auto"/>
          <w:highlight w:val="none"/>
          <w:lang w:val="en-US" w:eastAsia="zh-CN"/>
        </w:rPr>
        <w:t>需</w:t>
      </w:r>
      <w:r>
        <w:rPr>
          <w:rFonts w:hint="eastAsia"/>
          <w:color w:val="auto"/>
          <w:highlight w:val="none"/>
        </w:rPr>
        <w:t>附相应合同复印件（必须体现合同双方名称、签订日期、合同服务内容，除此外，涉及到商业秘密的内容可以隐去）或项目验收书等证明材料，提供的</w:t>
      </w:r>
      <w:r>
        <w:rPr>
          <w:rFonts w:hint="eastAsia"/>
          <w:color w:val="auto"/>
          <w:highlight w:val="none"/>
          <w:lang w:val="en-US" w:eastAsia="zh-CN"/>
        </w:rPr>
        <w:t>证明材料</w:t>
      </w:r>
      <w:r>
        <w:rPr>
          <w:rFonts w:hint="eastAsia"/>
          <w:color w:val="auto"/>
          <w:highlight w:val="none"/>
        </w:rPr>
        <w:t>中需列明有项目负责人具体人选。未附有效证明材料的业绩视为无效。</w:t>
      </w:r>
    </w:p>
    <w:p>
      <w:pPr>
        <w:spacing w:before="120"/>
        <w:rPr>
          <w:rFonts w:hint="eastAsia" w:eastAsia="宋体"/>
          <w:color w:val="auto"/>
          <w:highlight w:val="none"/>
          <w:lang w:val="en-US" w:eastAsia="zh-CN"/>
        </w:rPr>
      </w:pPr>
    </w:p>
    <w:p>
      <w:pPr>
        <w:widowControl/>
        <w:autoSpaceDE/>
        <w:autoSpaceDN/>
        <w:adjustRightInd/>
        <w:rPr>
          <w:rFonts w:ascii="宋体" w:hAnsi="宋体"/>
          <w:b/>
          <w:color w:val="auto"/>
          <w:spacing w:val="-2"/>
          <w:sz w:val="30"/>
          <w:szCs w:val="30"/>
          <w:highlight w:val="none"/>
        </w:rPr>
      </w:pPr>
    </w:p>
    <w:p>
      <w:pPr>
        <w:widowControl/>
        <w:autoSpaceDE/>
        <w:autoSpaceDN/>
        <w:adjustRightInd/>
        <w:jc w:val="center"/>
        <w:rPr>
          <w:rFonts w:ascii="宋体" w:hAnsi="宋体"/>
          <w:b/>
          <w:color w:val="auto"/>
          <w:spacing w:val="-2"/>
          <w:sz w:val="30"/>
          <w:szCs w:val="30"/>
          <w:highlight w:val="none"/>
        </w:rPr>
      </w:pPr>
    </w:p>
    <w:p>
      <w:pPr>
        <w:pStyle w:val="12"/>
        <w:kinsoku w:val="0"/>
        <w:overflowPunct w:val="0"/>
        <w:spacing w:before="0" w:line="360" w:lineRule="auto"/>
        <w:ind w:left="0"/>
        <w:jc w:val="center"/>
        <w:rPr>
          <w:rFonts w:hint="default"/>
          <w:b/>
          <w:color w:val="auto"/>
          <w:spacing w:val="-2"/>
          <w:sz w:val="30"/>
          <w:szCs w:val="30"/>
          <w:highlight w:val="none"/>
        </w:rPr>
      </w:pPr>
      <w:r>
        <w:rPr>
          <w:rFonts w:hint="eastAsia"/>
          <w:b/>
          <w:color w:val="auto"/>
          <w:spacing w:val="-2"/>
          <w:sz w:val="30"/>
          <w:szCs w:val="30"/>
          <w:highlight w:val="none"/>
          <w:lang w:val="en-US" w:eastAsia="zh-CN"/>
        </w:rPr>
        <w:t>3.</w:t>
      </w:r>
      <w:r>
        <w:rPr>
          <w:b/>
          <w:color w:val="auto"/>
          <w:spacing w:val="-2"/>
          <w:sz w:val="30"/>
          <w:szCs w:val="30"/>
          <w:highlight w:val="none"/>
        </w:rPr>
        <w:t>拟投入本项目主要团队成员情况表</w:t>
      </w:r>
      <w:bookmarkEnd w:id="35"/>
      <w:bookmarkEnd w:id="36"/>
      <w:bookmarkEnd w:id="37"/>
      <w:bookmarkEnd w:id="38"/>
      <w:bookmarkEnd w:id="39"/>
      <w:bookmarkEnd w:id="40"/>
      <w:bookmarkEnd w:id="41"/>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266"/>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2" w:type="dxa"/>
            <w:gridSpan w:val="4"/>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color w:val="auto"/>
                <w:highlight w:val="none"/>
              </w:rPr>
              <w:t>1</w:t>
            </w:r>
            <w:r>
              <w:rPr>
                <w:rFonts w:hint="eastAsia"/>
                <w:color w:val="auto"/>
                <w:highlight w:val="none"/>
              </w:rPr>
              <w:t>．现场驻场团队成员（不包括项目负责人及后台技术团队专家）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总</w:t>
            </w:r>
            <w:r>
              <w:rPr>
                <w:color w:val="auto"/>
                <w:highlight w:val="none"/>
              </w:rPr>
              <w:t xml:space="preserve">  </w:t>
            </w:r>
            <w:r>
              <w:rPr>
                <w:rFonts w:hint="eastAsia"/>
                <w:color w:val="auto"/>
                <w:highlight w:val="none"/>
              </w:rPr>
              <w:t>数</w:t>
            </w:r>
          </w:p>
        </w:tc>
        <w:tc>
          <w:tcPr>
            <w:tcW w:w="6800" w:type="dxa"/>
            <w:gridSpan w:val="3"/>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拟为本项目提供的</w:t>
            </w:r>
          </w:p>
          <w:p>
            <w:pPr>
              <w:pStyle w:val="33"/>
              <w:spacing w:line="360" w:lineRule="exact"/>
              <w:rPr>
                <w:color w:val="auto"/>
                <w:szCs w:val="24"/>
                <w:highlight w:val="none"/>
              </w:rPr>
            </w:pPr>
            <w:r>
              <w:rPr>
                <w:rFonts w:hint="eastAsia"/>
                <w:color w:val="auto"/>
                <w:highlight w:val="none"/>
              </w:rPr>
              <w:t>人员总数</w:t>
            </w:r>
          </w:p>
        </w:tc>
        <w:tc>
          <w:tcPr>
            <w:tcW w:w="6800" w:type="dxa"/>
            <w:gridSpan w:val="3"/>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072" w:type="dxa"/>
            <w:gridSpan w:val="4"/>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color w:val="auto"/>
                <w:highlight w:val="none"/>
              </w:rPr>
              <w:t>2.</w:t>
            </w:r>
            <w:r>
              <w:rPr>
                <w:rFonts w:hint="eastAsia"/>
                <w:color w:val="auto"/>
                <w:highlight w:val="none"/>
              </w:rPr>
              <w:t>拟投入本项目的主要人员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szCs w:val="24"/>
                <w:highlight w:val="none"/>
              </w:rPr>
              <w:t>学历</w:t>
            </w: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从业时间</w:t>
            </w: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exact"/>
              <w:rPr>
                <w:color w:val="auto"/>
                <w:szCs w:val="24"/>
                <w:highlight w:val="none"/>
              </w:rPr>
            </w:pPr>
            <w:r>
              <w:rPr>
                <w:rFonts w:hint="eastAsia"/>
                <w:color w:val="auto"/>
                <w:highlight w:val="none"/>
              </w:rPr>
              <w:t>相关工作业绩、资历及能力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r>
              <w:rPr>
                <w:rFonts w:hint="eastAsia"/>
                <w:color w:val="auto"/>
                <w:highlight w:val="none"/>
              </w:rPr>
              <w:t>……</w:t>
            </w:r>
          </w:p>
        </w:tc>
        <w:tc>
          <w:tcPr>
            <w:tcW w:w="2266"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color w:val="auto"/>
                <w:szCs w:val="24"/>
                <w:highlight w:val="none"/>
              </w:rPr>
            </w:pPr>
          </w:p>
        </w:tc>
      </w:tr>
    </w:tbl>
    <w:p>
      <w:pPr>
        <w:spacing w:before="120"/>
        <w:rPr>
          <w:color w:val="auto"/>
          <w:highlight w:val="none"/>
        </w:rPr>
      </w:pPr>
      <w:r>
        <w:rPr>
          <w:rFonts w:hint="eastAsia"/>
          <w:color w:val="auto"/>
          <w:highlight w:val="none"/>
        </w:rPr>
        <w:t>附：拟投入本项目组成员身份证、学历学位证书、工作业绩等。</w:t>
      </w:r>
    </w:p>
    <w:p>
      <w:pPr>
        <w:spacing w:before="120"/>
        <w:rPr>
          <w:color w:val="auto"/>
          <w:highlight w:val="none"/>
        </w:rPr>
      </w:pPr>
    </w:p>
    <w:p>
      <w:pPr>
        <w:pStyle w:val="18"/>
        <w:spacing w:after="0" w:line="360" w:lineRule="auto"/>
        <w:ind w:firstLine="241"/>
        <w:outlineLvl w:val="9"/>
        <w:rPr>
          <w:rFonts w:ascii="宋体"/>
          <w:color w:val="auto"/>
          <w:szCs w:val="24"/>
          <w:highlight w:val="none"/>
        </w:rPr>
      </w:pPr>
      <w:r>
        <w:rPr>
          <w:rFonts w:hint="eastAsia"/>
          <w:b/>
          <w:color w:val="auto"/>
          <w:szCs w:val="24"/>
          <w:highlight w:val="none"/>
        </w:rPr>
        <w:br w:type="page"/>
      </w:r>
      <w:bookmarkEnd w:id="42"/>
      <w:bookmarkEnd w:id="43"/>
      <w:bookmarkEnd w:id="44"/>
      <w:bookmarkEnd w:id="45"/>
      <w:bookmarkEnd w:id="46"/>
      <w:bookmarkEnd w:id="47"/>
    </w:p>
    <w:p>
      <w:pPr>
        <w:pStyle w:val="12"/>
        <w:kinsoku w:val="0"/>
        <w:overflowPunct w:val="0"/>
        <w:spacing w:before="0" w:line="360" w:lineRule="auto"/>
        <w:ind w:left="0"/>
        <w:rPr>
          <w:rFonts w:hint="default"/>
          <w:b/>
          <w:color w:val="auto"/>
          <w:spacing w:val="-2"/>
          <w:sz w:val="30"/>
          <w:szCs w:val="30"/>
          <w:highlight w:val="none"/>
        </w:rPr>
      </w:pPr>
    </w:p>
    <w:p>
      <w:pPr>
        <w:pStyle w:val="12"/>
        <w:kinsoku w:val="0"/>
        <w:overflowPunct w:val="0"/>
        <w:spacing w:before="0" w:line="360" w:lineRule="auto"/>
        <w:ind w:left="0"/>
        <w:jc w:val="center"/>
        <w:outlineLvl w:val="3"/>
        <w:rPr>
          <w:rFonts w:hint="default" w:cs="宋体"/>
          <w:b/>
          <w:color w:val="auto"/>
          <w:sz w:val="30"/>
          <w:szCs w:val="30"/>
          <w:highlight w:val="none"/>
        </w:rPr>
      </w:pPr>
      <w:r>
        <w:rPr>
          <w:b/>
          <w:color w:val="auto"/>
          <w:spacing w:val="-2"/>
          <w:sz w:val="30"/>
          <w:szCs w:val="30"/>
          <w:highlight w:val="none"/>
        </w:rPr>
        <w:t>（二）项目服务方案</w:t>
      </w:r>
      <w:r>
        <w:rPr>
          <w:rFonts w:cs="宋体"/>
          <w:b/>
          <w:color w:val="auto"/>
          <w:sz w:val="30"/>
          <w:szCs w:val="30"/>
          <w:highlight w:val="none"/>
        </w:rPr>
        <w:t>（由比选申请人自行编写）</w:t>
      </w:r>
    </w:p>
    <w:p>
      <w:pPr>
        <w:pStyle w:val="12"/>
        <w:kinsoku w:val="0"/>
        <w:overflowPunct w:val="0"/>
        <w:spacing w:before="0" w:line="360" w:lineRule="auto"/>
        <w:ind w:left="0"/>
        <w:rPr>
          <w:rFonts w:hint="default" w:cs="宋体"/>
          <w:b/>
          <w:color w:val="auto"/>
          <w:sz w:val="30"/>
          <w:szCs w:val="30"/>
          <w:highlight w:val="none"/>
        </w:rPr>
      </w:pPr>
    </w:p>
    <w:p>
      <w:pPr>
        <w:pStyle w:val="12"/>
        <w:kinsoku w:val="0"/>
        <w:overflowPunct w:val="0"/>
        <w:spacing w:before="0" w:line="360" w:lineRule="auto"/>
        <w:ind w:left="0" w:firstLine="600" w:firstLineChars="200"/>
        <w:rPr>
          <w:rFonts w:hint="default" w:cs="宋体"/>
          <w:color w:val="auto"/>
          <w:sz w:val="30"/>
          <w:szCs w:val="30"/>
          <w:highlight w:val="none"/>
        </w:rPr>
        <w:sectPr>
          <w:footerReference r:id="rId7" w:type="default"/>
          <w:pgSz w:w="11910" w:h="16840"/>
          <w:pgMar w:top="1520" w:right="1140" w:bottom="1200" w:left="1220" w:header="0" w:footer="1006" w:gutter="0"/>
          <w:cols w:space="720" w:num="1"/>
        </w:sectPr>
      </w:pPr>
      <w:r>
        <w:rPr>
          <w:rFonts w:cs="宋体"/>
          <w:color w:val="auto"/>
          <w:sz w:val="30"/>
          <w:szCs w:val="30"/>
          <w:highlight w:val="none"/>
        </w:rPr>
        <w:t>备注：项目服务方案需包含但不限于项目服务内容、项目实施计划、项目周期、项目人员配置、成果输出形式、成果反馈方式，预期存在问题及解决措施、成果落地后的</w:t>
      </w:r>
      <w:r>
        <w:rPr>
          <w:color w:val="auto"/>
          <w:spacing w:val="-2"/>
          <w:sz w:val="30"/>
          <w:szCs w:val="30"/>
          <w:highlight w:val="none"/>
        </w:rPr>
        <w:t>辅导实施</w:t>
      </w:r>
      <w:r>
        <w:rPr>
          <w:rFonts w:cs="宋体"/>
          <w:color w:val="auto"/>
          <w:sz w:val="30"/>
          <w:szCs w:val="30"/>
          <w:highlight w:val="none"/>
        </w:rPr>
        <w:t>内容、</w:t>
      </w:r>
      <w:r>
        <w:rPr>
          <w:color w:val="auto"/>
          <w:spacing w:val="-2"/>
          <w:sz w:val="30"/>
          <w:szCs w:val="30"/>
          <w:highlight w:val="none"/>
        </w:rPr>
        <w:t>辅导实施时间、辅导实施方式等内容。</w:t>
      </w:r>
    </w:p>
    <w:p>
      <w:pPr>
        <w:pStyle w:val="12"/>
        <w:kinsoku w:val="0"/>
        <w:overflowPunct w:val="0"/>
        <w:spacing w:before="0" w:line="360" w:lineRule="auto"/>
        <w:ind w:left="0"/>
        <w:rPr>
          <w:rFonts w:hint="default" w:cs="宋体"/>
          <w:color w:val="auto"/>
          <w:sz w:val="30"/>
          <w:szCs w:val="30"/>
          <w:highlight w:val="none"/>
        </w:rPr>
      </w:pPr>
    </w:p>
    <w:p>
      <w:pPr>
        <w:pStyle w:val="12"/>
        <w:kinsoku w:val="0"/>
        <w:overflowPunct w:val="0"/>
        <w:spacing w:before="11"/>
        <w:ind w:left="0"/>
        <w:rPr>
          <w:rFonts w:hint="default"/>
          <w:i/>
          <w:color w:val="auto"/>
          <w:sz w:val="28"/>
          <w:highlight w:val="none"/>
        </w:rPr>
      </w:pPr>
      <w:bookmarkStart w:id="48" w:name="4.服务方案（由比选申请人自行编写）"/>
      <w:bookmarkEnd w:id="48"/>
    </w:p>
    <w:p>
      <w:pPr>
        <w:pStyle w:val="12"/>
        <w:kinsoku w:val="0"/>
        <w:overflowPunct w:val="0"/>
        <w:spacing w:before="14"/>
        <w:ind w:left="100"/>
        <w:rPr>
          <w:rFonts w:hint="default"/>
          <w:color w:val="auto"/>
          <w:spacing w:val="-2"/>
          <w:sz w:val="28"/>
          <w:highlight w:val="none"/>
        </w:rPr>
      </w:pPr>
      <w:r>
        <w:rPr>
          <w:color w:val="auto"/>
          <w:spacing w:val="-2"/>
          <w:sz w:val="28"/>
          <w:highlight w:val="none"/>
        </w:rPr>
        <w:t>（封面格式）</w:t>
      </w:r>
    </w:p>
    <w:p>
      <w:pPr>
        <w:pStyle w:val="12"/>
        <w:kinsoku w:val="0"/>
        <w:overflowPunct w:val="0"/>
        <w:spacing w:before="0"/>
        <w:ind w:left="0"/>
        <w:rPr>
          <w:rFonts w:hint="default"/>
          <w:color w:val="auto"/>
          <w:sz w:val="20"/>
          <w:highlight w:val="none"/>
        </w:rPr>
      </w:pPr>
    </w:p>
    <w:p>
      <w:pPr>
        <w:pStyle w:val="12"/>
        <w:kinsoku w:val="0"/>
        <w:overflowPunct w:val="0"/>
        <w:spacing w:before="0"/>
        <w:ind w:left="0"/>
        <w:rPr>
          <w:rFonts w:hint="default"/>
          <w:color w:val="auto"/>
          <w:sz w:val="20"/>
          <w:highlight w:val="none"/>
        </w:rPr>
      </w:pPr>
    </w:p>
    <w:p>
      <w:pPr>
        <w:pStyle w:val="12"/>
        <w:kinsoku w:val="0"/>
        <w:overflowPunct w:val="0"/>
        <w:spacing w:before="3" w:line="360" w:lineRule="auto"/>
        <w:ind w:left="0"/>
        <w:rPr>
          <w:rFonts w:hint="default"/>
          <w:color w:val="auto"/>
          <w:sz w:val="26"/>
          <w:highlight w:val="none"/>
        </w:rPr>
      </w:pPr>
    </w:p>
    <w:p>
      <w:pPr>
        <w:pStyle w:val="12"/>
        <w:kinsoku w:val="0"/>
        <w:overflowPunct w:val="0"/>
        <w:spacing w:before="14" w:line="360" w:lineRule="auto"/>
        <w:ind w:left="2906" w:right="2983"/>
        <w:jc w:val="center"/>
        <w:rPr>
          <w:rFonts w:hint="default"/>
          <w:b/>
          <w:color w:val="auto"/>
          <w:spacing w:val="-2"/>
          <w:sz w:val="30"/>
          <w:szCs w:val="30"/>
          <w:highlight w:val="none"/>
        </w:rPr>
      </w:pPr>
      <w:r>
        <w:rPr>
          <w:b/>
          <w:color w:val="auto"/>
          <w:spacing w:val="-2"/>
          <w:sz w:val="30"/>
          <w:szCs w:val="30"/>
          <w:highlight w:val="none"/>
        </w:rPr>
        <w:t>项目比选申请文件</w:t>
      </w:r>
    </w:p>
    <w:p>
      <w:pPr>
        <w:pStyle w:val="12"/>
        <w:kinsoku w:val="0"/>
        <w:overflowPunct w:val="0"/>
        <w:spacing w:before="0" w:line="360" w:lineRule="auto"/>
        <w:ind w:left="532"/>
        <w:jc w:val="center"/>
        <w:outlineLvl w:val="1"/>
        <w:rPr>
          <w:rFonts w:hint="default"/>
          <w:b/>
          <w:color w:val="auto"/>
          <w:spacing w:val="-2"/>
          <w:sz w:val="30"/>
          <w:szCs w:val="30"/>
          <w:highlight w:val="none"/>
        </w:rPr>
      </w:pPr>
      <w:r>
        <w:rPr>
          <w:b/>
          <w:color w:val="auto"/>
          <w:spacing w:val="-2"/>
          <w:sz w:val="30"/>
          <w:szCs w:val="30"/>
          <w:highlight w:val="none"/>
        </w:rPr>
        <w:t>商务部分</w:t>
      </w: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0"/>
        <w:ind w:left="0"/>
        <w:rPr>
          <w:rFonts w:hint="default"/>
          <w:color w:val="auto"/>
          <w:sz w:val="28"/>
          <w:highlight w:val="none"/>
        </w:rPr>
      </w:pPr>
    </w:p>
    <w:p>
      <w:pPr>
        <w:pStyle w:val="12"/>
        <w:kinsoku w:val="0"/>
        <w:overflowPunct w:val="0"/>
        <w:spacing w:before="4"/>
        <w:ind w:left="0"/>
        <w:rPr>
          <w:rFonts w:hint="default"/>
          <w:color w:val="auto"/>
          <w:sz w:val="41"/>
          <w:highlight w:val="none"/>
        </w:rPr>
      </w:pPr>
    </w:p>
    <w:p>
      <w:pPr>
        <w:pStyle w:val="12"/>
        <w:tabs>
          <w:tab w:val="left" w:pos="5840"/>
        </w:tabs>
        <w:kinsoku w:val="0"/>
        <w:overflowPunct w:val="0"/>
        <w:spacing w:before="0"/>
        <w:ind w:left="101" w:leftChars="42" w:firstLine="552" w:firstLineChars="200"/>
        <w:rPr>
          <w:rFonts w:hint="default"/>
          <w:color w:val="auto"/>
          <w:spacing w:val="-2"/>
          <w:sz w:val="28"/>
          <w:highlight w:val="none"/>
        </w:rPr>
      </w:pPr>
      <w:r>
        <w:rPr>
          <w:color w:val="auto"/>
          <w:spacing w:val="-2"/>
          <w:sz w:val="28"/>
          <w:highlight w:val="none"/>
        </w:rPr>
        <w:t>比选申请人：</w:t>
      </w:r>
      <w:r>
        <w:rPr>
          <w:color w:val="auto"/>
          <w:spacing w:val="-2"/>
          <w:sz w:val="28"/>
          <w:highlight w:val="none"/>
        </w:rPr>
        <w:tab/>
      </w:r>
      <w:r>
        <w:rPr>
          <w:color w:val="auto"/>
          <w:spacing w:val="-2"/>
          <w:sz w:val="28"/>
          <w:highlight w:val="none"/>
        </w:rPr>
        <w:t>（盖章）</w:t>
      </w:r>
    </w:p>
    <w:p>
      <w:pPr>
        <w:pStyle w:val="12"/>
        <w:kinsoku w:val="0"/>
        <w:overflowPunct w:val="0"/>
        <w:spacing w:before="9"/>
        <w:ind w:left="0"/>
        <w:rPr>
          <w:rFonts w:hint="default"/>
          <w:color w:val="auto"/>
          <w:sz w:val="19"/>
          <w:highlight w:val="none"/>
        </w:rPr>
      </w:pPr>
    </w:p>
    <w:p>
      <w:pPr>
        <w:pStyle w:val="12"/>
        <w:kinsoku w:val="0"/>
        <w:overflowPunct w:val="0"/>
        <w:spacing w:before="0" w:line="408" w:lineRule="auto"/>
        <w:ind w:left="101" w:leftChars="42" w:right="2550" w:firstLine="552" w:firstLineChars="200"/>
        <w:rPr>
          <w:rFonts w:hint="default"/>
          <w:color w:val="auto"/>
          <w:spacing w:val="29"/>
          <w:sz w:val="28"/>
          <w:highlight w:val="none"/>
        </w:rPr>
      </w:pPr>
      <w:r>
        <w:rPr>
          <w:color w:val="auto"/>
          <w:spacing w:val="-2"/>
          <w:sz w:val="28"/>
          <w:highlight w:val="none"/>
        </w:rPr>
        <w:t>负责人或委托代理人：（签字或盖章）</w:t>
      </w:r>
    </w:p>
    <w:p>
      <w:pPr>
        <w:pStyle w:val="12"/>
        <w:kinsoku w:val="0"/>
        <w:overflowPunct w:val="0"/>
        <w:spacing w:before="0" w:line="408" w:lineRule="auto"/>
        <w:ind w:left="101" w:leftChars="42" w:right="2550" w:firstLine="552" w:firstLineChars="200"/>
        <w:rPr>
          <w:rFonts w:hint="default"/>
          <w:color w:val="auto"/>
          <w:spacing w:val="-2"/>
          <w:sz w:val="28"/>
          <w:highlight w:val="none"/>
        </w:rPr>
      </w:pPr>
      <w:r>
        <w:rPr>
          <w:color w:val="auto"/>
          <w:spacing w:val="-2"/>
          <w:sz w:val="28"/>
          <w:highlight w:val="none"/>
        </w:rPr>
        <w:t>电话/传真：</w:t>
      </w:r>
    </w:p>
    <w:p>
      <w:pPr>
        <w:pStyle w:val="12"/>
        <w:kinsoku w:val="0"/>
        <w:overflowPunct w:val="0"/>
        <w:spacing w:before="60"/>
        <w:ind w:left="101" w:leftChars="42" w:firstLine="552" w:firstLineChars="200"/>
        <w:rPr>
          <w:rFonts w:hint="default"/>
          <w:color w:val="auto"/>
          <w:spacing w:val="-2"/>
          <w:sz w:val="28"/>
          <w:highlight w:val="none"/>
        </w:rPr>
      </w:pPr>
      <w:r>
        <w:rPr>
          <w:color w:val="auto"/>
          <w:spacing w:val="-2"/>
          <w:sz w:val="28"/>
          <w:highlight w:val="none"/>
        </w:rPr>
        <w:t>地址：</w:t>
      </w:r>
    </w:p>
    <w:p>
      <w:pPr>
        <w:pStyle w:val="12"/>
        <w:kinsoku w:val="0"/>
        <w:overflowPunct w:val="0"/>
        <w:spacing w:before="9"/>
        <w:ind w:left="0"/>
        <w:rPr>
          <w:rFonts w:hint="default"/>
          <w:color w:val="auto"/>
          <w:sz w:val="19"/>
          <w:highlight w:val="none"/>
        </w:rPr>
      </w:pPr>
    </w:p>
    <w:p>
      <w:pPr>
        <w:pStyle w:val="12"/>
        <w:tabs>
          <w:tab w:val="left" w:pos="2480"/>
        </w:tabs>
        <w:kinsoku w:val="0"/>
        <w:overflowPunct w:val="0"/>
        <w:spacing w:before="0"/>
        <w:ind w:left="799" w:leftChars="333" w:firstLine="840" w:firstLineChars="300"/>
        <w:rPr>
          <w:rFonts w:hint="default"/>
          <w:color w:val="auto"/>
          <w:sz w:val="28"/>
          <w:highlight w:val="none"/>
        </w:rPr>
      </w:pPr>
      <w:r>
        <w:rPr>
          <w:color w:val="auto"/>
          <w:sz w:val="28"/>
          <w:highlight w:val="none"/>
        </w:rPr>
        <w:t>年</w:t>
      </w:r>
      <w:r>
        <w:rPr>
          <w:color w:val="auto"/>
          <w:sz w:val="28"/>
          <w:highlight w:val="none"/>
        </w:rPr>
        <w:tab/>
      </w:r>
      <w:r>
        <w:rPr>
          <w:color w:val="auto"/>
          <w:sz w:val="28"/>
          <w:highlight w:val="none"/>
        </w:rPr>
        <w:t>月</w:t>
      </w:r>
      <w:r>
        <w:rPr>
          <w:color w:val="auto"/>
          <w:sz w:val="28"/>
          <w:highlight w:val="none"/>
        </w:rPr>
        <w:tab/>
      </w:r>
      <w:r>
        <w:rPr>
          <w:color w:val="auto"/>
          <w:sz w:val="28"/>
          <w:highlight w:val="none"/>
        </w:rPr>
        <w:t>日</w:t>
      </w:r>
    </w:p>
    <w:p>
      <w:pPr>
        <w:pStyle w:val="12"/>
        <w:tabs>
          <w:tab w:val="left" w:pos="1640"/>
          <w:tab w:val="left" w:pos="2480"/>
        </w:tabs>
        <w:kinsoku w:val="0"/>
        <w:overflowPunct w:val="0"/>
        <w:spacing w:before="0"/>
        <w:ind w:left="800"/>
        <w:rPr>
          <w:rFonts w:hint="default"/>
          <w:color w:val="auto"/>
          <w:sz w:val="28"/>
          <w:highlight w:val="none"/>
        </w:rPr>
        <w:sectPr>
          <w:footerReference r:id="rId8" w:type="default"/>
          <w:pgSz w:w="11910" w:h="16840"/>
          <w:pgMar w:top="1580" w:right="1680" w:bottom="1200" w:left="1340" w:header="0" w:footer="1006" w:gutter="0"/>
          <w:cols w:space="720" w:num="1"/>
        </w:sectPr>
      </w:pPr>
    </w:p>
    <w:p>
      <w:pPr>
        <w:pStyle w:val="12"/>
        <w:kinsoku w:val="0"/>
        <w:overflowPunct w:val="0"/>
        <w:spacing w:before="0" w:line="355" w:lineRule="exact"/>
        <w:ind w:left="3304"/>
        <w:outlineLvl w:val="2"/>
        <w:rPr>
          <w:rFonts w:hint="default"/>
          <w:color w:val="auto"/>
          <w:sz w:val="30"/>
          <w:szCs w:val="30"/>
          <w:highlight w:val="none"/>
        </w:rPr>
      </w:pPr>
      <w:bookmarkStart w:id="49" w:name="三、商务部分材料目录"/>
      <w:bookmarkEnd w:id="49"/>
      <w:bookmarkStart w:id="50" w:name="bookmark14"/>
      <w:bookmarkEnd w:id="50"/>
      <w:r>
        <w:rPr>
          <w:b/>
          <w:color w:val="auto"/>
          <w:spacing w:val="-1"/>
          <w:sz w:val="30"/>
          <w:szCs w:val="30"/>
          <w:highlight w:val="none"/>
        </w:rPr>
        <w:t>三、商务部分材料目录</w:t>
      </w:r>
    </w:p>
    <w:p>
      <w:pPr>
        <w:pStyle w:val="12"/>
        <w:kinsoku w:val="0"/>
        <w:overflowPunct w:val="0"/>
        <w:spacing w:before="0"/>
        <w:ind w:left="0"/>
        <w:rPr>
          <w:rFonts w:hint="default"/>
          <w:b/>
          <w:color w:val="auto"/>
          <w:sz w:val="20"/>
          <w:highlight w:val="none"/>
        </w:rPr>
      </w:pPr>
    </w:p>
    <w:p>
      <w:pPr>
        <w:pStyle w:val="12"/>
        <w:kinsoku w:val="0"/>
        <w:overflowPunct w:val="0"/>
        <w:spacing w:before="5"/>
        <w:ind w:left="0"/>
        <w:jc w:val="center"/>
        <w:rPr>
          <w:rFonts w:hint="default"/>
          <w:b/>
          <w:color w:val="auto"/>
          <w:sz w:val="18"/>
          <w:highlight w:val="none"/>
        </w:rPr>
      </w:pPr>
    </w:p>
    <w:p>
      <w:pPr>
        <w:pStyle w:val="12"/>
        <w:tabs>
          <w:tab w:val="left" w:pos="312"/>
        </w:tabs>
        <w:kinsoku w:val="0"/>
        <w:overflowPunct w:val="0"/>
        <w:spacing w:before="14" w:line="408" w:lineRule="auto"/>
        <w:ind w:left="0"/>
        <w:rPr>
          <w:rFonts w:hint="default"/>
          <w:b/>
          <w:color w:val="auto"/>
          <w:spacing w:val="21"/>
          <w:sz w:val="30"/>
          <w:szCs w:val="30"/>
          <w:highlight w:val="none"/>
        </w:rPr>
      </w:pPr>
      <w:r>
        <w:rPr>
          <w:b/>
          <w:color w:val="auto"/>
          <w:spacing w:val="-1"/>
          <w:sz w:val="30"/>
          <w:szCs w:val="30"/>
          <w:highlight w:val="none"/>
        </w:rPr>
        <w:t>1.报价表（样式）</w:t>
      </w:r>
    </w:p>
    <w:tbl>
      <w:tblPr>
        <w:tblStyle w:val="19"/>
        <w:tblW w:w="9826" w:type="dxa"/>
        <w:tblInd w:w="-108" w:type="dxa"/>
        <w:tblLayout w:type="autofit"/>
        <w:tblCellMar>
          <w:top w:w="0" w:type="dxa"/>
          <w:left w:w="10" w:type="dxa"/>
          <w:bottom w:w="0" w:type="dxa"/>
          <w:right w:w="10" w:type="dxa"/>
        </w:tblCellMar>
      </w:tblPr>
      <w:tblGrid>
        <w:gridCol w:w="643"/>
        <w:gridCol w:w="1337"/>
        <w:gridCol w:w="2206"/>
        <w:gridCol w:w="960"/>
        <w:gridCol w:w="2265"/>
        <w:gridCol w:w="2415"/>
      </w:tblGrid>
      <w:tr>
        <w:tblPrEx>
          <w:tblCellMar>
            <w:top w:w="0" w:type="dxa"/>
            <w:left w:w="10" w:type="dxa"/>
            <w:bottom w:w="0" w:type="dxa"/>
            <w:right w:w="10" w:type="dxa"/>
          </w:tblCellMar>
        </w:tblPrEx>
        <w:tc>
          <w:tcPr>
            <w:tcW w:w="6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13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both"/>
              <w:rPr>
                <w:rFonts w:ascii="宋体" w:hAnsi="宋体" w:cs="宋体"/>
                <w:color w:val="auto"/>
                <w:sz w:val="28"/>
                <w:szCs w:val="28"/>
                <w:highlight w:val="none"/>
              </w:rPr>
            </w:pPr>
            <w:r>
              <w:rPr>
                <w:rFonts w:hint="eastAsia" w:ascii="宋体" w:hAnsi="宋体" w:cs="宋体"/>
                <w:color w:val="auto"/>
                <w:sz w:val="28"/>
                <w:szCs w:val="28"/>
                <w:highlight w:val="none"/>
              </w:rPr>
              <w:t>项目名称</w:t>
            </w:r>
          </w:p>
        </w:tc>
        <w:tc>
          <w:tcPr>
            <w:tcW w:w="22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不含税价</w:t>
            </w:r>
            <w:r>
              <w:rPr>
                <w:rFonts w:hint="eastAsia" w:ascii="宋体" w:hAnsi="宋体" w:cs="宋体"/>
                <w:color w:val="auto"/>
                <w:sz w:val="28"/>
                <w:szCs w:val="28"/>
                <w:highlight w:val="none"/>
              </w:rPr>
              <w:t>（元）</w:t>
            </w: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税率</w:t>
            </w:r>
          </w:p>
        </w:tc>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税</w:t>
            </w:r>
            <w:r>
              <w:rPr>
                <w:rFonts w:hint="eastAsia" w:ascii="宋体" w:hAnsi="宋体" w:cs="宋体"/>
                <w:color w:val="auto"/>
                <w:sz w:val="28"/>
                <w:szCs w:val="28"/>
                <w:highlight w:val="none"/>
                <w:lang w:val="en-US" w:eastAsia="zh-CN"/>
              </w:rPr>
              <w:t>金</w:t>
            </w:r>
            <w:r>
              <w:rPr>
                <w:rFonts w:hint="eastAsia" w:ascii="宋体" w:hAnsi="宋体" w:cs="宋体"/>
                <w:color w:val="auto"/>
                <w:sz w:val="28"/>
                <w:szCs w:val="28"/>
                <w:highlight w:val="none"/>
              </w:rPr>
              <w:t>（元）</w:t>
            </w:r>
          </w:p>
        </w:tc>
        <w:tc>
          <w:tcPr>
            <w:tcW w:w="2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宋体" w:hAnsi="宋体" w:cs="宋体"/>
                <w:color w:val="auto"/>
                <w:sz w:val="28"/>
                <w:szCs w:val="28"/>
                <w:highlight w:val="none"/>
              </w:rPr>
            </w:pPr>
          </w:p>
          <w:p>
            <w:pPr>
              <w:jc w:val="both"/>
              <w:rPr>
                <w:rFonts w:ascii="宋体" w:hAnsi="宋体" w:cs="宋体"/>
                <w:color w:val="auto"/>
                <w:sz w:val="28"/>
                <w:szCs w:val="28"/>
                <w:highlight w:val="none"/>
              </w:rPr>
            </w:pPr>
            <w:r>
              <w:rPr>
                <w:rFonts w:hint="eastAsia" w:ascii="宋体" w:hAnsi="宋体" w:cs="宋体"/>
                <w:color w:val="auto"/>
                <w:sz w:val="28"/>
                <w:szCs w:val="28"/>
                <w:highlight w:val="none"/>
              </w:rPr>
              <w:t>含税总价（元）</w:t>
            </w:r>
          </w:p>
        </w:tc>
      </w:tr>
      <w:tr>
        <w:tblPrEx>
          <w:tblCellMar>
            <w:top w:w="0" w:type="dxa"/>
            <w:left w:w="10" w:type="dxa"/>
            <w:bottom w:w="0" w:type="dxa"/>
            <w:right w:w="10" w:type="dxa"/>
          </w:tblCellMar>
        </w:tblPrEx>
        <w:trPr>
          <w:trHeight w:val="2376" w:hRule="atLeast"/>
        </w:trPr>
        <w:tc>
          <w:tcPr>
            <w:tcW w:w="6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13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南宁轨道交通集团有限责任公司管</w:t>
            </w:r>
            <w:r>
              <w:rPr>
                <w:rFonts w:hint="eastAsia" w:ascii="宋体" w:hAnsi="宋体" w:cs="宋体"/>
                <w:color w:val="auto"/>
                <w:sz w:val="28"/>
                <w:szCs w:val="28"/>
                <w:highlight w:val="none"/>
                <w:lang w:val="en-US" w:eastAsia="zh-CN"/>
              </w:rPr>
              <w:t>控</w:t>
            </w:r>
            <w:r>
              <w:rPr>
                <w:rFonts w:hint="eastAsia" w:ascii="宋体" w:hAnsi="宋体" w:cs="宋体"/>
                <w:color w:val="auto"/>
                <w:sz w:val="28"/>
                <w:szCs w:val="28"/>
                <w:highlight w:val="none"/>
              </w:rPr>
              <w:t>体系优化咨询项目</w:t>
            </w:r>
          </w:p>
        </w:tc>
        <w:tc>
          <w:tcPr>
            <w:tcW w:w="220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cs="宋体"/>
                <w:color w:val="auto"/>
                <w:highlight w:val="none"/>
              </w:rPr>
            </w:pPr>
          </w:p>
        </w:tc>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cs="宋体"/>
                <w:color w:val="auto"/>
                <w:highlight w:val="none"/>
              </w:rPr>
            </w:pPr>
          </w:p>
        </w:tc>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宋体" w:hAnsi="宋体" w:cs="宋体"/>
                <w:color w:val="auto"/>
                <w:highlight w:val="none"/>
              </w:rPr>
            </w:pPr>
          </w:p>
        </w:tc>
        <w:tc>
          <w:tcPr>
            <w:tcW w:w="2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小写：</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大写：</w:t>
            </w:r>
          </w:p>
        </w:tc>
      </w:tr>
    </w:tbl>
    <w:p>
      <w:pPr>
        <w:spacing w:line="360" w:lineRule="auto"/>
        <w:ind w:right="646" w:rightChars="269"/>
        <w:rPr>
          <w:rFonts w:ascii="宋体" w:hAnsi="宋体" w:cs="宋体"/>
          <w:color w:val="auto"/>
          <w:sz w:val="28"/>
          <w:szCs w:val="28"/>
          <w:highlight w:val="none"/>
        </w:rPr>
      </w:pPr>
    </w:p>
    <w:p>
      <w:pPr>
        <w:spacing w:line="360" w:lineRule="auto"/>
        <w:ind w:right="646" w:rightChars="269"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注：1、未按照本比选报价表的格式及要求填写报价表的，将视为不满足比选文件要求，从而导致该比选申请人竞选无效。</w:t>
      </w:r>
    </w:p>
    <w:p>
      <w:pPr>
        <w:pStyle w:val="12"/>
        <w:kinsoku w:val="0"/>
        <w:overflowPunct w:val="0"/>
        <w:spacing w:before="0" w:line="408" w:lineRule="auto"/>
        <w:ind w:left="0" w:right="1978"/>
        <w:rPr>
          <w:rFonts w:hint="default"/>
          <w:color w:val="auto"/>
          <w:spacing w:val="-2"/>
          <w:sz w:val="28"/>
          <w:highlight w:val="none"/>
        </w:rPr>
      </w:pPr>
      <w:r>
        <w:rPr>
          <w:color w:val="auto"/>
          <w:spacing w:val="-2"/>
          <w:sz w:val="28"/>
          <w:highlight w:val="none"/>
        </w:rPr>
        <w:t xml:space="preserve">        2、</w:t>
      </w:r>
      <w:r>
        <w:rPr>
          <w:rFonts w:cs="宋体"/>
          <w:color w:val="auto"/>
          <w:sz w:val="28"/>
          <w:szCs w:val="28"/>
          <w:highlight w:val="none"/>
        </w:rPr>
        <w:t>以含税总价作为评标价。</w:t>
      </w:r>
    </w:p>
    <w:p>
      <w:pPr>
        <w:pStyle w:val="12"/>
        <w:kinsoku w:val="0"/>
        <w:overflowPunct w:val="0"/>
        <w:spacing w:before="0" w:line="408" w:lineRule="auto"/>
        <w:ind w:left="0" w:right="1978"/>
        <w:rPr>
          <w:rFonts w:hint="default" w:cs="宋体"/>
          <w:color w:val="auto"/>
          <w:sz w:val="28"/>
          <w:szCs w:val="28"/>
          <w:highlight w:val="none"/>
        </w:rPr>
      </w:pPr>
    </w:p>
    <w:p>
      <w:pPr>
        <w:pStyle w:val="12"/>
        <w:kinsoku w:val="0"/>
        <w:overflowPunct w:val="0"/>
        <w:spacing w:before="0" w:line="408" w:lineRule="auto"/>
        <w:ind w:left="0" w:right="1978"/>
        <w:rPr>
          <w:rFonts w:hint="default" w:cs="宋体"/>
          <w:color w:val="auto"/>
          <w:sz w:val="28"/>
          <w:szCs w:val="28"/>
          <w:highlight w:val="none"/>
        </w:rPr>
      </w:pPr>
      <w:r>
        <w:rPr>
          <w:rFonts w:cs="宋体"/>
          <w:color w:val="auto"/>
          <w:sz w:val="28"/>
          <w:szCs w:val="28"/>
          <w:highlight w:val="none"/>
        </w:rPr>
        <w:t>比选申请人（盖章）：</w:t>
      </w:r>
    </w:p>
    <w:p>
      <w:pPr>
        <w:pStyle w:val="12"/>
        <w:kinsoku w:val="0"/>
        <w:overflowPunct w:val="0"/>
        <w:spacing w:before="0" w:line="408" w:lineRule="auto"/>
        <w:ind w:left="0" w:right="1978"/>
        <w:rPr>
          <w:rFonts w:hint="default" w:cs="宋体"/>
          <w:color w:val="auto"/>
          <w:sz w:val="28"/>
          <w:szCs w:val="28"/>
          <w:highlight w:val="none"/>
        </w:rPr>
        <w:sectPr>
          <w:pgSz w:w="11910" w:h="16840"/>
          <w:pgMar w:top="1520" w:right="1000" w:bottom="1200" w:left="1220" w:header="0" w:footer="1006" w:gutter="0"/>
          <w:cols w:space="720" w:num="1"/>
        </w:sectPr>
      </w:pPr>
      <w:r>
        <w:rPr>
          <w:rFonts w:cs="宋体"/>
          <w:color w:val="auto"/>
          <w:sz w:val="28"/>
          <w:szCs w:val="28"/>
          <w:highlight w:val="none"/>
        </w:rPr>
        <w:t>负责人或委托代理人签名（或盖章）：</w:t>
      </w:r>
    </w:p>
    <w:p>
      <w:pPr>
        <w:pStyle w:val="12"/>
        <w:kinsoku w:val="0"/>
        <w:overflowPunct w:val="0"/>
        <w:spacing w:before="0" w:line="358" w:lineRule="exact"/>
        <w:ind w:left="534"/>
        <w:jc w:val="center"/>
        <w:outlineLvl w:val="1"/>
        <w:rPr>
          <w:rFonts w:hint="default"/>
          <w:color w:val="auto"/>
          <w:sz w:val="28"/>
          <w:highlight w:val="none"/>
        </w:rPr>
      </w:pPr>
      <w:bookmarkStart w:id="51" w:name="bookmark15"/>
      <w:bookmarkEnd w:id="51"/>
      <w:bookmarkStart w:id="52" w:name="第四章评比办法"/>
      <w:bookmarkEnd w:id="52"/>
      <w:bookmarkStart w:id="53" w:name="一、综合评分办法"/>
      <w:bookmarkEnd w:id="53"/>
      <w:bookmarkStart w:id="54" w:name="bookmark16"/>
      <w:bookmarkEnd w:id="54"/>
      <w:r>
        <w:rPr>
          <w:b/>
          <w:color w:val="auto"/>
          <w:spacing w:val="-1"/>
          <w:sz w:val="28"/>
          <w:highlight w:val="none"/>
        </w:rPr>
        <w:t>第四章评比办法</w:t>
      </w:r>
    </w:p>
    <w:p>
      <w:pPr>
        <w:pStyle w:val="12"/>
        <w:kinsoku w:val="0"/>
        <w:overflowPunct w:val="0"/>
        <w:spacing w:before="0" w:line="360" w:lineRule="auto"/>
        <w:ind w:left="0"/>
        <w:rPr>
          <w:rFonts w:hint="default"/>
          <w:color w:val="auto"/>
          <w:spacing w:val="-2"/>
          <w:sz w:val="28"/>
          <w:highlight w:val="none"/>
        </w:rPr>
      </w:pPr>
    </w:p>
    <w:p>
      <w:pPr>
        <w:pStyle w:val="4"/>
        <w:snapToGrid w:val="0"/>
        <w:spacing w:line="360" w:lineRule="auto"/>
        <w:ind w:firstLine="411" w:firstLineChars="196"/>
        <w:rPr>
          <w:rFonts w:hint="default"/>
          <w:color w:val="auto"/>
          <w:sz w:val="21"/>
          <w:szCs w:val="21"/>
          <w:highlight w:val="none"/>
        </w:rPr>
      </w:pPr>
      <w:r>
        <w:rPr>
          <w:color w:val="auto"/>
          <w:sz w:val="21"/>
          <w:szCs w:val="21"/>
          <w:highlight w:val="none"/>
        </w:rPr>
        <w:t>一、综合评分办法</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napToGrid w:val="0"/>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资格评审：对比选申请人的资格条件、比选申请文件的完整性和有效性、比选申请文件的有效期等方面进行审查。通过资格评审的比选申请文件进入技术、商务评审。</w:t>
      </w:r>
    </w:p>
    <w:p>
      <w:pPr>
        <w:snapToGrid w:val="0"/>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技术、商务评审：由比选评审小组按照比选文件的要求，对照比选申请文件的应答进行比较，并对各比选申请文件的技术、商务内容进行评审，且技术部分、商务部分由比选评审小组讨论定档后进行打分。</w:t>
      </w:r>
    </w:p>
    <w:p>
      <w:pPr>
        <w:snapToGrid w:val="0"/>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napToGrid w:val="0"/>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）如果数字表示的金额和用文字表示的金额不一致时，应以文字表示的金额为准；</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）当单价与数量的乘积与合价不一致时，以合价为准，并调整单价；</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）当合价与报价总价不一致时，以报价总价为准，调整相关合价；</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）评审期间，比选评审小组不接受任何比选申请人主动提出的对报价及单价、合价的调整；</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5</w:t>
      </w:r>
      <w:r>
        <w:rPr>
          <w:rFonts w:hint="eastAsia" w:ascii="宋体" w:hAnsi="宋体" w:cs="宋体"/>
          <w:color w:val="auto"/>
          <w:sz w:val="21"/>
          <w:szCs w:val="21"/>
          <w:highlight w:val="none"/>
        </w:rPr>
        <w:t>）其它未尽事宜，由评审小组审议确定</w:t>
      </w:r>
      <w:r>
        <w:rPr>
          <w:rFonts w:ascii="宋体" w:hAnsi="宋体" w:cs="宋体"/>
          <w:color w:val="auto"/>
          <w:sz w:val="21"/>
          <w:szCs w:val="21"/>
          <w:highlight w:val="none"/>
        </w:rPr>
        <w:t>(</w:t>
      </w:r>
      <w:r>
        <w:rPr>
          <w:rFonts w:hint="eastAsia" w:ascii="宋体" w:hAnsi="宋体" w:cs="宋体"/>
          <w:color w:val="auto"/>
          <w:sz w:val="21"/>
          <w:szCs w:val="21"/>
          <w:highlight w:val="none"/>
        </w:rPr>
        <w:t>如意见不一致时，以记名方式投票确定</w:t>
      </w:r>
      <w:r>
        <w:rPr>
          <w:rFonts w:ascii="宋体" w:hAnsi="宋体" w:cs="宋体"/>
          <w:color w:val="auto"/>
          <w:sz w:val="21"/>
          <w:szCs w:val="21"/>
          <w:highlight w:val="none"/>
        </w:rPr>
        <w:t>)</w:t>
      </w:r>
      <w:r>
        <w:rPr>
          <w:rFonts w:hint="eastAsia" w:ascii="宋体" w:hAnsi="宋体" w:cs="宋体"/>
          <w:color w:val="auto"/>
          <w:sz w:val="21"/>
          <w:szCs w:val="21"/>
          <w:highlight w:val="none"/>
        </w:rPr>
        <w:t>。</w:t>
      </w:r>
    </w:p>
    <w:p>
      <w:pPr>
        <w:snapToGrid w:val="0"/>
        <w:spacing w:line="360" w:lineRule="auto"/>
        <w:ind w:firstLine="420" w:firstLineChars="200"/>
        <w:rPr>
          <w:rFonts w:ascii="宋体" w:cs="宋体"/>
          <w:color w:val="auto"/>
          <w:sz w:val="21"/>
          <w:szCs w:val="21"/>
          <w:highlight w:val="none"/>
        </w:rPr>
      </w:pPr>
      <w:r>
        <w:rPr>
          <w:rFonts w:ascii="宋体" w:hAnsi="宋体" w:cs="宋体"/>
          <w:color w:val="auto"/>
          <w:sz w:val="21"/>
          <w:szCs w:val="21"/>
          <w:highlight w:val="none"/>
        </w:rPr>
        <w:t>5.</w:t>
      </w:r>
      <w:r>
        <w:rPr>
          <w:rFonts w:hint="eastAsia" w:ascii="宋体" w:hAnsi="宋体" w:cs="宋体"/>
          <w:color w:val="auto"/>
          <w:sz w:val="21"/>
          <w:szCs w:val="21"/>
          <w:highlight w:val="none"/>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snapToGrid w:val="0"/>
        <w:spacing w:line="360" w:lineRule="auto"/>
        <w:ind w:firstLine="411" w:firstLineChars="196"/>
        <w:rPr>
          <w:rFonts w:hint="default"/>
          <w:color w:val="auto"/>
          <w:sz w:val="21"/>
          <w:szCs w:val="21"/>
          <w:highlight w:val="none"/>
        </w:rPr>
      </w:pPr>
      <w:r>
        <w:rPr>
          <w:color w:val="auto"/>
          <w:sz w:val="21"/>
          <w:szCs w:val="21"/>
          <w:highlight w:val="none"/>
        </w:rPr>
        <w:t>二、总分计算公式</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总分即比选申请人评分综合得分，其计算公式：</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总分＝商务部分得分</w:t>
      </w:r>
      <w:r>
        <w:rPr>
          <w:rFonts w:ascii="宋体" w:hAnsi="宋体" w:cs="宋体"/>
          <w:color w:val="auto"/>
          <w:sz w:val="21"/>
          <w:szCs w:val="21"/>
          <w:highlight w:val="none"/>
        </w:rPr>
        <w:t>+</w:t>
      </w:r>
      <w:r>
        <w:rPr>
          <w:rFonts w:hint="eastAsia" w:ascii="宋体" w:hAnsi="宋体" w:cs="宋体"/>
          <w:color w:val="auto"/>
          <w:sz w:val="21"/>
          <w:szCs w:val="21"/>
          <w:highlight w:val="none"/>
        </w:rPr>
        <w:t>技术部分得分</w:t>
      </w:r>
    </w:p>
    <w:p>
      <w:pPr>
        <w:snapToGrid w:val="0"/>
        <w:spacing w:line="360" w:lineRule="auto"/>
        <w:ind w:firstLine="420" w:firstLineChars="200"/>
        <w:rPr>
          <w:rFonts w:ascii="宋体" w:cs="宋体"/>
          <w:color w:val="auto"/>
          <w:sz w:val="21"/>
          <w:szCs w:val="21"/>
          <w:highlight w:val="none"/>
        </w:rPr>
      </w:pPr>
      <w:r>
        <w:rPr>
          <w:rFonts w:hint="eastAsia" w:ascii="宋体" w:hAnsi="宋体" w:cs="宋体"/>
          <w:color w:val="auto"/>
          <w:sz w:val="21"/>
          <w:szCs w:val="21"/>
          <w:highlight w:val="none"/>
        </w:rPr>
        <w:t>注：各项指标的分数计算四舍五入，取小数点后两位。</w:t>
      </w:r>
    </w:p>
    <w:p>
      <w:pPr>
        <w:pStyle w:val="4"/>
        <w:snapToGrid w:val="0"/>
        <w:spacing w:line="460" w:lineRule="exact"/>
        <w:rPr>
          <w:rFonts w:hint="default"/>
          <w:color w:val="auto"/>
          <w:sz w:val="21"/>
          <w:szCs w:val="21"/>
          <w:highlight w:val="none"/>
        </w:rPr>
      </w:pPr>
      <w:bookmarkStart w:id="55" w:name="_Toc13406"/>
      <w:bookmarkStart w:id="56" w:name="_Toc32296"/>
      <w:bookmarkStart w:id="57" w:name="_Toc28207"/>
      <w:bookmarkStart w:id="58" w:name="_Toc26842"/>
      <w:bookmarkStart w:id="59" w:name="_Toc18027"/>
      <w:bookmarkStart w:id="60" w:name="_Toc31078"/>
      <w:bookmarkStart w:id="61" w:name="_Toc2392"/>
      <w:bookmarkStart w:id="62" w:name="_Toc471482376"/>
      <w:bookmarkStart w:id="63" w:name="_Toc10918"/>
      <w:bookmarkStart w:id="64" w:name="_Toc9696"/>
    </w:p>
    <w:p>
      <w:pPr>
        <w:pStyle w:val="4"/>
        <w:snapToGrid w:val="0"/>
        <w:spacing w:line="460" w:lineRule="exact"/>
        <w:ind w:firstLine="411" w:firstLineChars="196"/>
        <w:rPr>
          <w:rFonts w:hint="default"/>
          <w:color w:val="auto"/>
          <w:sz w:val="21"/>
          <w:szCs w:val="21"/>
          <w:highlight w:val="none"/>
        </w:rPr>
      </w:pPr>
      <w:r>
        <w:rPr>
          <w:color w:val="auto"/>
          <w:sz w:val="21"/>
          <w:szCs w:val="21"/>
          <w:highlight w:val="none"/>
        </w:rPr>
        <w:t>三、评分细则</w:t>
      </w:r>
      <w:bookmarkEnd w:id="55"/>
      <w:bookmarkEnd w:id="56"/>
      <w:bookmarkEnd w:id="57"/>
      <w:bookmarkEnd w:id="58"/>
      <w:bookmarkEnd w:id="59"/>
      <w:bookmarkEnd w:id="60"/>
      <w:bookmarkEnd w:id="61"/>
      <w:bookmarkEnd w:id="62"/>
      <w:bookmarkEnd w:id="63"/>
      <w:bookmarkEnd w:id="64"/>
    </w:p>
    <w:p>
      <w:pPr>
        <w:pStyle w:val="13"/>
        <w:snapToGrid w:val="0"/>
        <w:spacing w:before="120" w:beforeLines="50" w:after="120" w:afterLines="50" w:line="460" w:lineRule="exact"/>
        <w:ind w:firstLine="413" w:firstLineChars="196"/>
        <w:rPr>
          <w:b/>
          <w:color w:val="auto"/>
          <w:sz w:val="21"/>
          <w:highlight w:val="none"/>
        </w:rPr>
      </w:pPr>
      <w:bookmarkStart w:id="65" w:name="_Toc18752"/>
      <w:bookmarkStart w:id="66" w:name="_Toc15382"/>
      <w:bookmarkStart w:id="67" w:name="_Toc1358"/>
      <w:r>
        <w:rPr>
          <w:b/>
          <w:color w:val="auto"/>
          <w:sz w:val="21"/>
          <w:highlight w:val="none"/>
        </w:rPr>
        <w:t>1.</w:t>
      </w:r>
      <w:r>
        <w:rPr>
          <w:rFonts w:hint="eastAsia"/>
          <w:b/>
          <w:color w:val="auto"/>
          <w:sz w:val="21"/>
          <w:highlight w:val="none"/>
        </w:rPr>
        <w:t>商务部分评分细则（满分</w:t>
      </w:r>
      <w:r>
        <w:rPr>
          <w:rFonts w:hint="eastAsia"/>
          <w:b/>
          <w:color w:val="auto"/>
          <w:sz w:val="21"/>
          <w:highlight w:val="none"/>
          <w:lang w:val="en-US" w:eastAsia="zh-CN"/>
        </w:rPr>
        <w:t>20</w:t>
      </w:r>
      <w:r>
        <w:rPr>
          <w:rFonts w:hint="eastAsia"/>
          <w:b/>
          <w:color w:val="auto"/>
          <w:sz w:val="21"/>
          <w:highlight w:val="none"/>
        </w:rPr>
        <w:t>分）</w:t>
      </w:r>
      <w:bookmarkEnd w:id="65"/>
      <w:bookmarkEnd w:id="66"/>
      <w:bookmarkEnd w:id="67"/>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09"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序号</w:t>
            </w:r>
          </w:p>
        </w:tc>
        <w:tc>
          <w:tcPr>
            <w:tcW w:w="2518"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评分因素</w:t>
            </w:r>
          </w:p>
        </w:tc>
        <w:tc>
          <w:tcPr>
            <w:tcW w:w="6237" w:type="dxa"/>
            <w:vAlign w:val="center"/>
          </w:tcPr>
          <w:p>
            <w:pPr>
              <w:jc w:val="center"/>
              <w:rPr>
                <w:rFonts w:ascii="宋体" w:cs="宋体"/>
                <w:color w:val="auto"/>
                <w:sz w:val="21"/>
                <w:szCs w:val="21"/>
                <w:highlight w:val="none"/>
              </w:rPr>
            </w:pPr>
            <w:r>
              <w:rPr>
                <w:rFonts w:hint="eastAsia" w:ascii="宋体" w:hAnsi="宋体" w:cs="宋体"/>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709" w:type="dxa"/>
            <w:vAlign w:val="center"/>
          </w:tcPr>
          <w:p>
            <w:pPr>
              <w:spacing w:line="360" w:lineRule="auto"/>
              <w:jc w:val="center"/>
              <w:rPr>
                <w:rFonts w:ascii="宋体" w:cs="宋体"/>
                <w:color w:val="auto"/>
                <w:sz w:val="21"/>
                <w:szCs w:val="21"/>
                <w:highlight w:val="none"/>
              </w:rPr>
            </w:pPr>
            <w:r>
              <w:rPr>
                <w:rFonts w:ascii="宋体" w:hAnsi="宋体" w:cs="宋体"/>
                <w:color w:val="auto"/>
                <w:sz w:val="21"/>
                <w:szCs w:val="21"/>
                <w:highlight w:val="none"/>
              </w:rPr>
              <w:t>1</w:t>
            </w:r>
          </w:p>
        </w:tc>
        <w:tc>
          <w:tcPr>
            <w:tcW w:w="2518" w:type="dxa"/>
            <w:vAlign w:val="center"/>
          </w:tcPr>
          <w:p>
            <w:pPr>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本项目报价评分</w:t>
            </w:r>
          </w:p>
          <w:p>
            <w:pPr>
              <w:spacing w:line="360" w:lineRule="auto"/>
              <w:jc w:val="center"/>
              <w:rPr>
                <w:rFonts w:ascii="宋体" w:cs="宋体"/>
                <w:color w:val="auto"/>
                <w:sz w:val="21"/>
                <w:szCs w:val="21"/>
                <w:highlight w:val="none"/>
              </w:rPr>
            </w:pPr>
            <w:r>
              <w:rPr>
                <w:rFonts w:hint="eastAsia" w:ascii="宋体" w:hAnsi="宋体" w:cs="宋体"/>
                <w:color w:val="auto"/>
                <w:sz w:val="21"/>
                <w:szCs w:val="21"/>
                <w:highlight w:val="none"/>
              </w:rPr>
              <w:t>（满分</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分）</w:t>
            </w:r>
          </w:p>
        </w:tc>
        <w:tc>
          <w:tcPr>
            <w:tcW w:w="6237" w:type="dxa"/>
          </w:tcPr>
          <w:p>
            <w:pPr>
              <w:spacing w:line="360" w:lineRule="auto"/>
              <w:ind w:firstLine="420" w:firstLineChars="200"/>
              <w:rPr>
                <w:rFonts w:ascii="宋体" w:hAnsi="宋体" w:cs="宋体"/>
                <w:color w:val="auto"/>
                <w:sz w:val="21"/>
                <w:szCs w:val="21"/>
                <w:highlight w:val="none"/>
              </w:rPr>
            </w:pPr>
            <w:r>
              <w:rPr>
                <w:rFonts w:ascii="宋体" w:hAnsi="宋体" w:cs="宋体"/>
                <w:color w:val="auto"/>
                <w:sz w:val="21"/>
                <w:szCs w:val="21"/>
                <w:highlight w:val="none"/>
              </w:rPr>
              <w:t>当比选申请人价格小于或者等于上控价时，资格审查合格的有效报价投标人在5家以上（不含5家）的，将去掉最高和最低有效报价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不含税金额</w:t>
            </w:r>
            <w:r>
              <w:rPr>
                <w:rFonts w:hint="eastAsia" w:ascii="宋体" w:hAnsi="宋体" w:cs="宋体"/>
                <w:color w:val="auto"/>
                <w:sz w:val="21"/>
                <w:szCs w:val="21"/>
                <w:highlight w:val="none"/>
                <w:lang w:eastAsia="zh-CN"/>
              </w:rPr>
              <w:t>）</w:t>
            </w:r>
            <w:r>
              <w:rPr>
                <w:rFonts w:ascii="宋体" w:hAnsi="宋体" w:cs="宋体"/>
                <w:color w:val="auto"/>
                <w:sz w:val="21"/>
                <w:szCs w:val="21"/>
                <w:highlight w:val="none"/>
              </w:rPr>
              <w:t>后，取有效报价的算术平均值作为评审基准价；资格审查合格的投标人在5家以下（含5家）的，取有效报价的算术平均值作为评审基准价。</w:t>
            </w:r>
          </w:p>
          <w:p>
            <w:pPr>
              <w:spacing w:line="360" w:lineRule="auto"/>
              <w:ind w:firstLine="420" w:firstLineChars="200"/>
              <w:rPr>
                <w:rFonts w:ascii="宋体"/>
                <w:color w:val="auto"/>
                <w:sz w:val="21"/>
                <w:szCs w:val="21"/>
                <w:highlight w:val="none"/>
              </w:rPr>
            </w:pPr>
            <w:r>
              <w:rPr>
                <w:rFonts w:ascii="宋体" w:hAnsi="宋体" w:cs="宋体"/>
                <w:color w:val="auto"/>
                <w:sz w:val="21"/>
                <w:szCs w:val="21"/>
                <w:highlight w:val="none"/>
              </w:rPr>
              <w:t>评审时以经评审的基准价为最高分，采用内插法计算，投标人报价每高于基准价1％的扣</w:t>
            </w:r>
            <w:r>
              <w:rPr>
                <w:rFonts w:hint="eastAsia" w:ascii="宋体" w:hAnsi="宋体" w:cs="宋体"/>
                <w:color w:val="auto"/>
                <w:sz w:val="21"/>
                <w:szCs w:val="21"/>
                <w:highlight w:val="none"/>
                <w:lang w:val="en-US" w:eastAsia="zh-CN"/>
              </w:rPr>
              <w:t>2</w:t>
            </w:r>
            <w:r>
              <w:rPr>
                <w:rFonts w:ascii="宋体" w:hAnsi="宋体" w:cs="宋体"/>
                <w:color w:val="auto"/>
                <w:sz w:val="21"/>
                <w:szCs w:val="21"/>
                <w:highlight w:val="none"/>
              </w:rPr>
              <w:t>分，每低于基准价1％的扣</w:t>
            </w:r>
            <w:r>
              <w:rPr>
                <w:rFonts w:hint="eastAsia" w:ascii="宋体" w:hAnsi="宋体" w:cs="宋体"/>
                <w:color w:val="auto"/>
                <w:sz w:val="21"/>
                <w:szCs w:val="21"/>
                <w:highlight w:val="none"/>
                <w:lang w:val="en-US" w:eastAsia="zh-CN"/>
              </w:rPr>
              <w:t>1</w:t>
            </w:r>
            <w:r>
              <w:rPr>
                <w:rFonts w:ascii="宋体" w:hAnsi="宋体" w:cs="宋体"/>
                <w:color w:val="auto"/>
                <w:sz w:val="21"/>
                <w:szCs w:val="21"/>
                <w:highlight w:val="none"/>
              </w:rPr>
              <w:t>分，扣完即止。</w:t>
            </w:r>
          </w:p>
        </w:tc>
      </w:tr>
    </w:tbl>
    <w:p>
      <w:pPr>
        <w:pStyle w:val="12"/>
        <w:kinsoku w:val="0"/>
        <w:overflowPunct w:val="0"/>
        <w:spacing w:before="360" w:after="120" w:afterLines="50"/>
        <w:ind w:left="0" w:firstLine="405" w:firstLineChars="196"/>
        <w:rPr>
          <w:rFonts w:hint="default"/>
          <w:b/>
          <w:color w:val="auto"/>
          <w:spacing w:val="-2"/>
          <w:szCs w:val="21"/>
          <w:highlight w:val="none"/>
        </w:rPr>
      </w:pPr>
      <w:r>
        <w:rPr>
          <w:b/>
          <w:color w:val="auto"/>
          <w:spacing w:val="-2"/>
          <w:szCs w:val="21"/>
          <w:highlight w:val="none"/>
        </w:rPr>
        <w:t>2.技术部分评分细则（满分8</w:t>
      </w:r>
      <w:r>
        <w:rPr>
          <w:rFonts w:hint="eastAsia"/>
          <w:b/>
          <w:color w:val="auto"/>
          <w:spacing w:val="-2"/>
          <w:szCs w:val="21"/>
          <w:highlight w:val="none"/>
          <w:lang w:val="en-US" w:eastAsia="zh-CN"/>
        </w:rPr>
        <w:t>0</w:t>
      </w:r>
      <w:r>
        <w:rPr>
          <w:b/>
          <w:color w:val="auto"/>
          <w:spacing w:val="-2"/>
          <w:szCs w:val="21"/>
          <w:highlight w:val="none"/>
        </w:rPr>
        <w:t>分,</w:t>
      </w:r>
      <w:r>
        <w:rPr>
          <w:rFonts w:cs="宋体"/>
          <w:b/>
          <w:color w:val="auto"/>
          <w:szCs w:val="21"/>
          <w:highlight w:val="none"/>
        </w:rPr>
        <w:t>低于60分不能参与综合得分排名</w:t>
      </w:r>
      <w:r>
        <w:rPr>
          <w:b/>
          <w:color w:val="auto"/>
          <w:spacing w:val="-2"/>
          <w:szCs w:val="21"/>
          <w:highlight w:val="none"/>
        </w:rPr>
        <w:t>）</w:t>
      </w:r>
    </w:p>
    <w:tbl>
      <w:tblPr>
        <w:tblStyle w:val="19"/>
        <w:tblW w:w="941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050"/>
        <w:gridCol w:w="708"/>
        <w:gridCol w:w="993"/>
        <w:gridCol w:w="708"/>
        <w:gridCol w:w="59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43" w:hRule="atLeast"/>
        </w:trPr>
        <w:tc>
          <w:tcPr>
            <w:tcW w:w="1050" w:type="dxa"/>
            <w:vAlign w:val="center"/>
          </w:tcPr>
          <w:p>
            <w:pPr>
              <w:widowControl/>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类别</w:t>
            </w:r>
          </w:p>
        </w:tc>
        <w:tc>
          <w:tcPr>
            <w:tcW w:w="708" w:type="dxa"/>
            <w:vAlign w:val="center"/>
          </w:tcPr>
          <w:p>
            <w:pPr>
              <w:widowControl/>
              <w:jc w:val="center"/>
              <w:rPr>
                <w:rFonts w:cs="宋体" w:asciiTheme="minorEastAsia" w:hAnsiTheme="minorEastAsia" w:eastAsiaTheme="minorEastAsia"/>
                <w:bCs/>
                <w:color w:val="auto"/>
                <w:sz w:val="21"/>
                <w:szCs w:val="21"/>
                <w:highlight w:val="none"/>
              </w:rPr>
            </w:pPr>
            <w:r>
              <w:rPr>
                <w:rFonts w:hint="eastAsia" w:asciiTheme="minorEastAsia" w:hAnsiTheme="minorEastAsia" w:eastAsiaTheme="minorEastAsia"/>
                <w:color w:val="auto"/>
                <w:sz w:val="21"/>
                <w:szCs w:val="21"/>
                <w:highlight w:val="none"/>
              </w:rPr>
              <w:t>序号</w:t>
            </w:r>
          </w:p>
        </w:tc>
        <w:tc>
          <w:tcPr>
            <w:tcW w:w="993" w:type="dxa"/>
            <w:shd w:val="clear" w:color="auto" w:fill="auto"/>
            <w:vAlign w:val="center"/>
          </w:tcPr>
          <w:p>
            <w:pPr>
              <w:widowControl/>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评审内容</w:t>
            </w:r>
          </w:p>
        </w:tc>
        <w:tc>
          <w:tcPr>
            <w:tcW w:w="708" w:type="dxa"/>
            <w:shd w:val="clear" w:color="auto" w:fill="auto"/>
            <w:vAlign w:val="center"/>
          </w:tcPr>
          <w:p>
            <w:pPr>
              <w:widowControl/>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分值</w:t>
            </w:r>
          </w:p>
        </w:tc>
        <w:tc>
          <w:tcPr>
            <w:tcW w:w="5954" w:type="dxa"/>
            <w:shd w:val="clear" w:color="auto" w:fill="auto"/>
            <w:vAlign w:val="center"/>
          </w:tcPr>
          <w:p>
            <w:pPr>
              <w:widowControl/>
              <w:jc w:val="center"/>
              <w:rPr>
                <w:rFonts w:cs="宋体" w:asciiTheme="minorEastAsia" w:hAnsiTheme="minorEastAsia" w:eastAsiaTheme="minorEastAsia"/>
                <w:bCs/>
                <w:color w:val="auto"/>
                <w:sz w:val="21"/>
                <w:szCs w:val="21"/>
                <w:highlight w:val="none"/>
              </w:rPr>
            </w:pPr>
            <w:r>
              <w:rPr>
                <w:rFonts w:hint="eastAsia" w:cs="宋体" w:asciiTheme="minorEastAsia" w:hAnsiTheme="minorEastAsia" w:eastAsiaTheme="minorEastAsia"/>
                <w:bCs/>
                <w:color w:val="auto"/>
                <w:sz w:val="21"/>
                <w:szCs w:val="21"/>
                <w:highlight w:val="none"/>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539" w:hRule="atLeast"/>
        </w:trPr>
        <w:tc>
          <w:tcPr>
            <w:tcW w:w="1050" w:type="dxa"/>
            <w:vMerge w:val="restart"/>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(一)</w:t>
            </w:r>
            <w:r>
              <w:rPr>
                <w:rFonts w:hint="eastAsia" w:asciiTheme="minorEastAsia" w:hAnsiTheme="minorEastAsia" w:eastAsiaTheme="minorEastAsia"/>
                <w:b/>
                <w:color w:val="auto"/>
                <w:sz w:val="21"/>
                <w:szCs w:val="21"/>
                <w:highlight w:val="none"/>
              </w:rPr>
              <w:t>综合实力</w:t>
            </w:r>
          </w:p>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(满分30分)</w:t>
            </w:r>
          </w:p>
        </w:tc>
        <w:tc>
          <w:tcPr>
            <w:tcW w:w="708" w:type="dxa"/>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c>
          <w:tcPr>
            <w:tcW w:w="993"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业绩情况</w:t>
            </w:r>
          </w:p>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（12分）</w:t>
            </w:r>
          </w:p>
        </w:tc>
        <w:tc>
          <w:tcPr>
            <w:tcW w:w="708" w:type="dxa"/>
            <w:shd w:val="clear" w:color="auto" w:fill="auto"/>
            <w:vAlign w:val="center"/>
          </w:tcPr>
          <w:p>
            <w:pPr>
              <w:spacing w:line="360" w:lineRule="auto"/>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12</w:t>
            </w:r>
          </w:p>
        </w:tc>
        <w:tc>
          <w:tcPr>
            <w:tcW w:w="5954" w:type="dxa"/>
            <w:shd w:val="clear" w:color="auto" w:fill="auto"/>
            <w:vAlign w:val="center"/>
          </w:tcPr>
          <w:p>
            <w:pPr>
              <w:snapToGrid w:val="0"/>
              <w:spacing w:line="360" w:lineRule="auto"/>
              <w:ind w:firstLine="420" w:firstLineChars="200"/>
              <w:rPr>
                <w:rFonts w:asciiTheme="minorEastAsia" w:hAnsiTheme="minorEastAsia"/>
                <w:color w:val="auto"/>
                <w:sz w:val="21"/>
                <w:szCs w:val="21"/>
                <w:highlight w:val="none"/>
              </w:rPr>
            </w:pPr>
            <w:r>
              <w:rPr>
                <w:rFonts w:hint="eastAsia" w:ascii="宋体" w:hAnsi="宋体" w:cs="宋体"/>
                <w:color w:val="auto"/>
                <w:sz w:val="21"/>
                <w:szCs w:val="21"/>
                <w:highlight w:val="none"/>
              </w:rPr>
              <w:t>近</w:t>
            </w:r>
            <w:r>
              <w:rPr>
                <w:rFonts w:hint="eastAsia" w:ascii="宋体" w:hAnsi="宋体" w:cs="宋体"/>
                <w:color w:val="auto"/>
                <w:sz w:val="21"/>
                <w:szCs w:val="21"/>
                <w:highlight w:val="none"/>
                <w:lang w:val="en-US" w:eastAsia="zh-CN"/>
              </w:rPr>
              <w:t>三</w:t>
            </w:r>
            <w:r>
              <w:rPr>
                <w:rFonts w:hint="eastAsia" w:ascii="宋体" w:hAnsi="宋体" w:cs="宋体"/>
                <w:color w:val="auto"/>
                <w:sz w:val="21"/>
                <w:szCs w:val="21"/>
                <w:highlight w:val="none"/>
              </w:rPr>
              <w:t>年（</w:t>
            </w:r>
            <w:r>
              <w:rPr>
                <w:rFonts w:ascii="宋体" w:hAnsi="宋体" w:cs="宋体"/>
                <w:color w:val="auto"/>
                <w:sz w:val="21"/>
                <w:szCs w:val="21"/>
                <w:highlight w:val="none"/>
              </w:rPr>
              <w:t>20</w:t>
            </w: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月</w:t>
            </w:r>
            <w:r>
              <w:rPr>
                <w:rFonts w:ascii="宋体" w:hAnsi="宋体" w:cs="宋体"/>
                <w:color w:val="auto"/>
                <w:sz w:val="21"/>
                <w:szCs w:val="21"/>
                <w:highlight w:val="none"/>
              </w:rPr>
              <w:t>1</w:t>
            </w:r>
            <w:r>
              <w:rPr>
                <w:rFonts w:hint="eastAsia" w:ascii="宋体" w:hAnsi="宋体" w:cs="宋体"/>
                <w:color w:val="auto"/>
                <w:sz w:val="21"/>
                <w:szCs w:val="21"/>
                <w:highlight w:val="none"/>
              </w:rPr>
              <w:t>日至今）实施过的</w:t>
            </w:r>
            <w:r>
              <w:rPr>
                <w:rFonts w:hint="eastAsia" w:ascii="宋体" w:hAnsi="宋体" w:cs="宋体"/>
                <w:color w:val="auto"/>
                <w:sz w:val="21"/>
                <w:szCs w:val="21"/>
                <w:highlight w:val="none"/>
                <w:lang w:val="en-US" w:eastAsia="zh-CN"/>
              </w:rPr>
              <w:t>同类型企业（下辖多元子企业的集团）涉及管控体系优化</w:t>
            </w:r>
            <w:r>
              <w:rPr>
                <w:rFonts w:hint="eastAsia" w:ascii="宋体" w:hAnsi="宋体" w:cs="宋体"/>
                <w:color w:val="auto"/>
                <w:sz w:val="21"/>
                <w:szCs w:val="21"/>
                <w:highlight w:val="none"/>
              </w:rPr>
              <w:t>方面的咨询项目，合同金额≥50</w:t>
            </w:r>
            <w:r>
              <w:rPr>
                <w:rFonts w:ascii="宋体" w:hAnsi="宋体" w:cs="宋体"/>
                <w:color w:val="auto"/>
                <w:sz w:val="21"/>
                <w:szCs w:val="21"/>
                <w:highlight w:val="none"/>
              </w:rPr>
              <w:t>万元，每个得</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分；最高得</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分。（提供3个代表性项目即可，提供合同复印件并加盖单位公章，合同需体现合同金额、工作内容、乙方单位名称等</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保密条款可隐藏</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提供乙方单位集团和下辖子公司架构并加盖比选申请人单位公章</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5" w:hRule="atLeast"/>
        </w:trPr>
        <w:tc>
          <w:tcPr>
            <w:tcW w:w="1050" w:type="dxa"/>
            <w:vMerge w:val="continue"/>
          </w:tcPr>
          <w:p>
            <w:pPr>
              <w:spacing w:line="360" w:lineRule="auto"/>
              <w:jc w:val="center"/>
              <w:rPr>
                <w:rFonts w:asciiTheme="minorEastAsia" w:hAnsiTheme="minorEastAsia" w:eastAsiaTheme="minorEastAsia"/>
                <w:color w:val="auto"/>
                <w:sz w:val="21"/>
                <w:szCs w:val="21"/>
                <w:highlight w:val="none"/>
              </w:rPr>
            </w:pPr>
          </w:p>
        </w:tc>
        <w:tc>
          <w:tcPr>
            <w:tcW w:w="708" w:type="dxa"/>
            <w:vMerge w:val="restart"/>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w:t>
            </w:r>
          </w:p>
        </w:tc>
        <w:tc>
          <w:tcPr>
            <w:tcW w:w="993" w:type="dxa"/>
            <w:vMerge w:val="restart"/>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团队资历</w:t>
            </w:r>
          </w:p>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（18分）</w:t>
            </w:r>
          </w:p>
        </w:tc>
        <w:tc>
          <w:tcPr>
            <w:tcW w:w="708"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w:t>
            </w:r>
          </w:p>
        </w:tc>
        <w:tc>
          <w:tcPr>
            <w:tcW w:w="5954" w:type="dxa"/>
            <w:shd w:val="clear" w:color="auto" w:fill="auto"/>
            <w:vAlign w:val="center"/>
          </w:tcPr>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驻场的项目负责人的资历情况，本项最高得6分：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1、项目负责人要求为全日制本科及以上学历、从业经验≥10年，同时符合上述条件得基准分4分。有一项不符合上述要求的，本项得0分。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2、在得基准分的基础上，最高学历为硕士加0.5分；最高学历为博士加1分。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3、在得基准分的基础上，20年＞从业经验＞10年，加0.5分。从业经验≥20年，加1分。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（提供项目负责人简历及工作年限证明、毕业证、学位证、职称及职业资格证书复印件等材料证明）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32" w:hRule="atLeast"/>
        </w:trPr>
        <w:tc>
          <w:tcPr>
            <w:tcW w:w="1050" w:type="dxa"/>
            <w:vMerge w:val="continue"/>
          </w:tcPr>
          <w:p>
            <w:pPr>
              <w:spacing w:line="360" w:lineRule="auto"/>
              <w:jc w:val="center"/>
              <w:rPr>
                <w:rFonts w:asciiTheme="minorEastAsia" w:hAnsiTheme="minorEastAsia" w:eastAsiaTheme="minorEastAsia"/>
                <w:color w:val="auto"/>
                <w:sz w:val="21"/>
                <w:szCs w:val="21"/>
                <w:highlight w:val="none"/>
              </w:rPr>
            </w:pPr>
          </w:p>
        </w:tc>
        <w:tc>
          <w:tcPr>
            <w:tcW w:w="708" w:type="dxa"/>
            <w:vMerge w:val="continue"/>
            <w:vAlign w:val="center"/>
          </w:tcPr>
          <w:p>
            <w:pPr>
              <w:spacing w:line="360" w:lineRule="auto"/>
              <w:jc w:val="center"/>
              <w:rPr>
                <w:rFonts w:asciiTheme="minorEastAsia" w:hAnsiTheme="minorEastAsia" w:eastAsiaTheme="minorEastAsia"/>
                <w:color w:val="auto"/>
                <w:sz w:val="21"/>
                <w:szCs w:val="21"/>
                <w:highlight w:val="none"/>
              </w:rPr>
            </w:pPr>
          </w:p>
        </w:tc>
        <w:tc>
          <w:tcPr>
            <w:tcW w:w="993" w:type="dxa"/>
            <w:vMerge w:val="continue"/>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w:t>
            </w:r>
          </w:p>
        </w:tc>
        <w:tc>
          <w:tcPr>
            <w:tcW w:w="5954" w:type="dxa"/>
            <w:shd w:val="clear" w:color="auto" w:fill="auto"/>
            <w:vAlign w:val="center"/>
          </w:tcPr>
          <w:p>
            <w:pPr>
              <w:snapToGrid w:val="0"/>
              <w:spacing w:line="360" w:lineRule="auto"/>
              <w:ind w:firstLine="420" w:firstLineChars="200"/>
              <w:rPr>
                <w:rFonts w:asciiTheme="minorEastAsia" w:hAnsiTheme="minorEastAsia"/>
                <w:color w:val="auto"/>
                <w:sz w:val="21"/>
                <w:szCs w:val="21"/>
                <w:highlight w:val="none"/>
              </w:rPr>
            </w:pPr>
            <w:r>
              <w:rPr>
                <w:rFonts w:hint="eastAsia" w:ascii="宋体" w:hAnsi="宋体" w:cs="宋体"/>
                <w:color w:val="auto"/>
                <w:sz w:val="21"/>
                <w:szCs w:val="21"/>
                <w:highlight w:val="none"/>
              </w:rPr>
              <w:t>驻场的项目负责人，从2020年1月至今，作为项目负责人服务过的项目经验中，有6家以上</w:t>
            </w:r>
            <w:r>
              <w:rPr>
                <w:rFonts w:hint="eastAsia" w:ascii="宋体" w:hAnsi="宋体" w:cs="宋体"/>
                <w:color w:val="auto"/>
                <w:sz w:val="21"/>
                <w:szCs w:val="21"/>
                <w:highlight w:val="none"/>
                <w:lang w:val="en-US" w:eastAsia="zh-CN"/>
              </w:rPr>
              <w:t>集团公司的管控</w:t>
            </w:r>
            <w:r>
              <w:rPr>
                <w:rFonts w:hint="eastAsia" w:ascii="宋体" w:hAnsi="宋体" w:cs="宋体"/>
                <w:color w:val="auto"/>
                <w:sz w:val="21"/>
                <w:szCs w:val="21"/>
                <w:highlight w:val="none"/>
              </w:rPr>
              <w:t>咨询项目经验者得6分，5家得5分，4家4分。3家及以下不得分。（提供项目负责人简历、合同复印件并加盖单位公章，合同需体现项目名称、项目内容、乙方单位名称等，提供的合同中需列明有项目负责人具体人选的合同复印件</w:t>
            </w:r>
            <w:r>
              <w:rPr>
                <w:rFonts w:hint="eastAsia" w:ascii="宋体" w:hAnsi="宋体" w:cs="宋体"/>
                <w:color w:val="auto"/>
                <w:sz w:val="21"/>
                <w:szCs w:val="21"/>
                <w:highlight w:val="none"/>
                <w:lang w:val="en-US" w:eastAsia="zh-CN"/>
              </w:rPr>
              <w:t>或</w:t>
            </w:r>
            <w:r>
              <w:rPr>
                <w:rFonts w:hint="eastAsia" w:ascii="宋体" w:hAnsi="宋体" w:cs="宋体"/>
                <w:color w:val="auto"/>
                <w:sz w:val="21"/>
                <w:szCs w:val="21"/>
                <w:highlight w:val="none"/>
              </w:rPr>
              <w:t>项目验收书等证明材料）注：本条项目可与第一条业绩情况提供的项目重复。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83" w:hRule="atLeast"/>
        </w:trPr>
        <w:tc>
          <w:tcPr>
            <w:tcW w:w="1050" w:type="dxa"/>
            <w:vMerge w:val="continue"/>
          </w:tcPr>
          <w:p>
            <w:pPr>
              <w:spacing w:line="360" w:lineRule="auto"/>
              <w:jc w:val="center"/>
              <w:rPr>
                <w:rFonts w:asciiTheme="minorEastAsia" w:hAnsiTheme="minorEastAsia" w:eastAsiaTheme="minorEastAsia"/>
                <w:color w:val="auto"/>
                <w:sz w:val="21"/>
                <w:szCs w:val="21"/>
                <w:highlight w:val="none"/>
              </w:rPr>
            </w:pPr>
          </w:p>
        </w:tc>
        <w:tc>
          <w:tcPr>
            <w:tcW w:w="708" w:type="dxa"/>
            <w:vMerge w:val="continue"/>
            <w:vAlign w:val="center"/>
          </w:tcPr>
          <w:p>
            <w:pPr>
              <w:spacing w:line="360" w:lineRule="auto"/>
              <w:jc w:val="center"/>
              <w:rPr>
                <w:rFonts w:asciiTheme="minorEastAsia" w:hAnsiTheme="minorEastAsia" w:eastAsiaTheme="minorEastAsia"/>
                <w:color w:val="auto"/>
                <w:sz w:val="21"/>
                <w:szCs w:val="21"/>
                <w:highlight w:val="none"/>
              </w:rPr>
            </w:pPr>
          </w:p>
        </w:tc>
        <w:tc>
          <w:tcPr>
            <w:tcW w:w="993" w:type="dxa"/>
            <w:vMerge w:val="continue"/>
            <w:shd w:val="clear" w:color="auto" w:fill="auto"/>
            <w:vAlign w:val="center"/>
          </w:tcPr>
          <w:p>
            <w:pPr>
              <w:spacing w:line="360" w:lineRule="auto"/>
              <w:jc w:val="center"/>
              <w:rPr>
                <w:rFonts w:asciiTheme="minorEastAsia" w:hAnsiTheme="minorEastAsia" w:eastAsiaTheme="minorEastAsia"/>
                <w:color w:val="auto"/>
                <w:sz w:val="21"/>
                <w:szCs w:val="21"/>
                <w:highlight w:val="none"/>
              </w:rPr>
            </w:pPr>
          </w:p>
        </w:tc>
        <w:tc>
          <w:tcPr>
            <w:tcW w:w="708"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w:t>
            </w:r>
          </w:p>
        </w:tc>
        <w:tc>
          <w:tcPr>
            <w:tcW w:w="5954" w:type="dxa"/>
            <w:shd w:val="clear" w:color="auto" w:fill="auto"/>
            <w:vAlign w:val="center"/>
          </w:tcPr>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驻场的项目团队人员（不包含项目负责人、后台不驻场技术团队）的配备合理程度。最高得6分。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1、配备成员为2名，学历为全日制本科及以上，从业经验≥</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年的，同时符合以上条件的，本项得基准分4分。有一项不符合上述要求的，本项得0分。</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2、在得基准分的基础上，驻场的项目团队人员从业经验≥10年的，加0.5分/人。</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3、在得基准分的基础上，每增加1名驻场人员，加1分/人。</w:t>
            </w:r>
          </w:p>
          <w:p>
            <w:pPr>
              <w:snapToGrid w:val="0"/>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4、在得基准分的基础上，最高学历为硕士的加0.5分/人，最高学历为博士的加1分/人。（不重复加分）</w:t>
            </w:r>
          </w:p>
          <w:p>
            <w:pPr>
              <w:snapToGrid w:val="0"/>
              <w:spacing w:line="360" w:lineRule="auto"/>
              <w:ind w:firstLine="420" w:firstLineChars="200"/>
              <w:rPr>
                <w:rFonts w:asciiTheme="minorEastAsia" w:hAnsiTheme="minorEastAsia" w:eastAsiaTheme="minorEastAsia"/>
                <w:color w:val="auto"/>
                <w:sz w:val="21"/>
                <w:szCs w:val="21"/>
                <w:highlight w:val="none"/>
              </w:rPr>
            </w:pPr>
            <w:r>
              <w:rPr>
                <w:rFonts w:hint="eastAsia" w:ascii="宋体" w:hAnsi="宋体" w:cs="宋体"/>
                <w:color w:val="auto"/>
                <w:sz w:val="21"/>
                <w:szCs w:val="21"/>
                <w:highlight w:val="none"/>
              </w:rPr>
              <w:t>（以《拟投入本项目主要团队成员情况表》为准）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828" w:hRule="atLeast"/>
        </w:trPr>
        <w:tc>
          <w:tcPr>
            <w:tcW w:w="1050" w:type="dxa"/>
            <w:vMerge w:val="restart"/>
            <w:vAlign w:val="center"/>
          </w:tcPr>
          <w:p>
            <w:pPr>
              <w:widowControl/>
              <w:spacing w:line="360" w:lineRule="auto"/>
              <w:jc w:val="center"/>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(二)</w:t>
            </w:r>
            <w:r>
              <w:rPr>
                <w:rFonts w:hint="eastAsia" w:asciiTheme="minorEastAsia" w:hAnsiTheme="minorEastAsia" w:eastAsiaTheme="minorEastAsia"/>
                <w:b/>
                <w:color w:val="auto"/>
                <w:sz w:val="21"/>
                <w:szCs w:val="21"/>
                <w:highlight w:val="none"/>
              </w:rPr>
              <w:t>项目</w:t>
            </w:r>
            <w:r>
              <w:rPr>
                <w:rFonts w:hint="eastAsia" w:cs="宋体" w:asciiTheme="minorEastAsia" w:hAnsiTheme="minorEastAsia" w:eastAsiaTheme="minorEastAsia"/>
                <w:b/>
                <w:color w:val="auto"/>
                <w:sz w:val="21"/>
                <w:szCs w:val="21"/>
                <w:highlight w:val="none"/>
              </w:rPr>
              <w:t>服务方案</w:t>
            </w:r>
          </w:p>
          <w:p>
            <w:pPr>
              <w:spacing w:line="360" w:lineRule="auto"/>
              <w:jc w:val="center"/>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(满分5</w:t>
            </w:r>
            <w:r>
              <w:rPr>
                <w:rFonts w:hint="eastAsia" w:asciiTheme="minorEastAsia" w:hAnsiTheme="minorEastAsia" w:eastAsiaTheme="minorEastAsia"/>
                <w:color w:val="auto"/>
                <w:sz w:val="21"/>
                <w:szCs w:val="21"/>
                <w:highlight w:val="none"/>
                <w:lang w:val="en-US" w:eastAsia="zh-CN"/>
              </w:rPr>
              <w:t>0</w:t>
            </w:r>
            <w:r>
              <w:rPr>
                <w:rFonts w:hint="eastAsia" w:asciiTheme="minorEastAsia" w:hAnsiTheme="minorEastAsia" w:eastAsiaTheme="minorEastAsia"/>
                <w:color w:val="auto"/>
                <w:sz w:val="21"/>
                <w:szCs w:val="21"/>
                <w:highlight w:val="none"/>
              </w:rPr>
              <w:t>分)</w:t>
            </w:r>
          </w:p>
        </w:tc>
        <w:tc>
          <w:tcPr>
            <w:tcW w:w="708" w:type="dxa"/>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1</w:t>
            </w:r>
          </w:p>
        </w:tc>
        <w:tc>
          <w:tcPr>
            <w:tcW w:w="993"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优势</w:t>
            </w:r>
          </w:p>
        </w:tc>
        <w:tc>
          <w:tcPr>
            <w:tcW w:w="708" w:type="dxa"/>
            <w:shd w:val="clear" w:color="auto" w:fill="auto"/>
            <w:vAlign w:val="center"/>
          </w:tcPr>
          <w:p>
            <w:pPr>
              <w:spacing w:line="360" w:lineRule="auto"/>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5</w:t>
            </w:r>
          </w:p>
        </w:tc>
        <w:tc>
          <w:tcPr>
            <w:tcW w:w="5954" w:type="dxa"/>
            <w:shd w:val="clear" w:color="auto" w:fill="auto"/>
            <w:vAlign w:val="center"/>
          </w:tcPr>
          <w:p>
            <w:pPr>
              <w:snapToGrid w:val="0"/>
              <w:spacing w:line="360" w:lineRule="auto"/>
              <w:ind w:firstLine="420" w:firstLineChars="200"/>
              <w:rPr>
                <w:rFonts w:asciiTheme="minorEastAsia" w:hAnsiTheme="minorEastAsia" w:eastAsiaTheme="minorEastAsia"/>
                <w:color w:val="auto"/>
                <w:sz w:val="21"/>
                <w:szCs w:val="21"/>
                <w:highlight w:val="none"/>
              </w:rPr>
            </w:pPr>
            <w:r>
              <w:rPr>
                <w:rFonts w:hint="eastAsia" w:ascii="宋体" w:hAnsi="宋体" w:cs="宋体"/>
                <w:color w:val="auto"/>
                <w:sz w:val="21"/>
                <w:szCs w:val="21"/>
                <w:highlight w:val="none"/>
              </w:rPr>
              <w:t>熟悉大型</w:t>
            </w:r>
            <w:r>
              <w:rPr>
                <w:rFonts w:hint="eastAsia" w:ascii="宋体" w:hAnsi="宋体" w:cs="宋体"/>
                <w:color w:val="auto"/>
                <w:sz w:val="21"/>
                <w:szCs w:val="21"/>
                <w:highlight w:val="none"/>
                <w:lang w:val="en-US" w:eastAsia="zh-CN"/>
              </w:rPr>
              <w:t>集团公司总部管控</w:t>
            </w:r>
            <w:r>
              <w:rPr>
                <w:rFonts w:hint="eastAsia" w:ascii="宋体" w:hAnsi="宋体" w:cs="宋体"/>
                <w:color w:val="auto"/>
                <w:sz w:val="21"/>
                <w:szCs w:val="21"/>
                <w:highlight w:val="none"/>
              </w:rPr>
              <w:t>管理相关情况，掌握相关数据或对本项目有促进作用的其它优势。优秀得3.6-5分，良好得2.1-3.5分，一般得0-2分。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083" w:hRule="atLeast"/>
        </w:trPr>
        <w:tc>
          <w:tcPr>
            <w:tcW w:w="1050" w:type="dxa"/>
            <w:vMerge w:val="continue"/>
            <w:vAlign w:val="center"/>
          </w:tcPr>
          <w:p>
            <w:pPr>
              <w:widowControl/>
              <w:spacing w:line="360" w:lineRule="auto"/>
              <w:jc w:val="center"/>
              <w:rPr>
                <w:rFonts w:cs="宋体" w:asciiTheme="minorEastAsia" w:hAnsiTheme="minorEastAsia" w:eastAsiaTheme="minorEastAsia"/>
                <w:color w:val="auto"/>
                <w:sz w:val="21"/>
                <w:szCs w:val="21"/>
                <w:highlight w:val="none"/>
              </w:rPr>
            </w:pPr>
          </w:p>
        </w:tc>
        <w:tc>
          <w:tcPr>
            <w:tcW w:w="708" w:type="dxa"/>
            <w:vAlign w:val="center"/>
          </w:tcPr>
          <w:p>
            <w:pPr>
              <w:widowControl/>
              <w:spacing w:line="36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2</w:t>
            </w:r>
          </w:p>
        </w:tc>
        <w:tc>
          <w:tcPr>
            <w:tcW w:w="993" w:type="dxa"/>
            <w:shd w:val="clear" w:color="auto" w:fill="auto"/>
            <w:vAlign w:val="center"/>
          </w:tcPr>
          <w:p>
            <w:pPr>
              <w:widowControl/>
              <w:spacing w:line="360" w:lineRule="auto"/>
              <w:jc w:val="center"/>
              <w:rPr>
                <w:rFonts w:cs="宋体" w:asciiTheme="minorEastAsia" w:hAnsiTheme="minorEastAsia" w:eastAsiaTheme="minorEastAsia"/>
                <w:color w:val="auto"/>
                <w:sz w:val="22"/>
                <w:highlight w:val="none"/>
              </w:rPr>
            </w:pPr>
            <w:r>
              <w:rPr>
                <w:rFonts w:hint="eastAsia" w:ascii="宋体" w:hAnsi="宋体"/>
                <w:color w:val="auto"/>
                <w:sz w:val="22"/>
                <w:highlight w:val="none"/>
              </w:rPr>
              <w:t>对项目的理解</w:t>
            </w:r>
          </w:p>
        </w:tc>
        <w:tc>
          <w:tcPr>
            <w:tcW w:w="708" w:type="dxa"/>
            <w:shd w:val="clear" w:color="auto" w:fill="auto"/>
            <w:vAlign w:val="center"/>
          </w:tcPr>
          <w:p>
            <w:pPr>
              <w:widowControl/>
              <w:spacing w:line="360" w:lineRule="auto"/>
              <w:jc w:val="center"/>
              <w:rPr>
                <w:rFonts w:cs="宋体" w:asciiTheme="minorEastAsia" w:hAnsiTheme="minorEastAsia" w:eastAsiaTheme="minorEastAsia"/>
                <w:color w:val="auto"/>
                <w:sz w:val="22"/>
                <w:highlight w:val="none"/>
              </w:rPr>
            </w:pPr>
            <w:r>
              <w:rPr>
                <w:rFonts w:cs="宋体" w:asciiTheme="minorEastAsia" w:hAnsiTheme="minorEastAsia" w:eastAsiaTheme="minorEastAsia"/>
                <w:color w:val="auto"/>
                <w:sz w:val="22"/>
                <w:highlight w:val="none"/>
              </w:rPr>
              <w:t>1</w:t>
            </w:r>
            <w:r>
              <w:rPr>
                <w:rFonts w:hint="eastAsia" w:cs="宋体" w:asciiTheme="minorEastAsia" w:hAnsiTheme="minorEastAsia" w:eastAsiaTheme="minorEastAsia"/>
                <w:color w:val="auto"/>
                <w:sz w:val="22"/>
                <w:highlight w:val="none"/>
              </w:rPr>
              <w:t>0</w:t>
            </w:r>
          </w:p>
        </w:tc>
        <w:tc>
          <w:tcPr>
            <w:tcW w:w="5954" w:type="dxa"/>
            <w:shd w:val="clear" w:color="auto" w:fill="auto"/>
            <w:vAlign w:val="center"/>
          </w:tcPr>
          <w:p>
            <w:pPr>
              <w:snapToGrid w:val="0"/>
              <w:spacing w:line="360" w:lineRule="auto"/>
              <w:ind w:firstLine="420" w:firstLineChars="200"/>
              <w:rPr>
                <w:rFonts w:ascii="宋体" w:hAnsi="宋体"/>
                <w:color w:val="auto"/>
                <w:sz w:val="22"/>
                <w:highlight w:val="none"/>
              </w:rPr>
            </w:pPr>
            <w:r>
              <w:rPr>
                <w:rFonts w:hint="eastAsia" w:ascii="宋体" w:hAnsi="宋体" w:cs="宋体"/>
                <w:color w:val="auto"/>
                <w:sz w:val="21"/>
                <w:szCs w:val="21"/>
                <w:highlight w:val="none"/>
              </w:rPr>
              <w:t>对项目理解充分、透彻，实现目标清晰，能充分满足招标人的需求。优秀得7</w:t>
            </w:r>
            <w:r>
              <w:rPr>
                <w:rFonts w:ascii="宋体" w:hAnsi="宋体" w:cs="宋体"/>
                <w:color w:val="auto"/>
                <w:sz w:val="21"/>
                <w:szCs w:val="21"/>
                <w:highlight w:val="none"/>
              </w:rPr>
              <w:t>.1-1</w:t>
            </w:r>
            <w:r>
              <w:rPr>
                <w:rFonts w:hint="eastAsia" w:ascii="宋体" w:hAnsi="宋体" w:cs="宋体"/>
                <w:color w:val="auto"/>
                <w:sz w:val="21"/>
                <w:szCs w:val="21"/>
                <w:highlight w:val="none"/>
              </w:rPr>
              <w:t>0</w:t>
            </w:r>
            <w:r>
              <w:rPr>
                <w:rFonts w:ascii="宋体" w:hAnsi="宋体" w:cs="宋体"/>
                <w:color w:val="auto"/>
                <w:sz w:val="21"/>
                <w:szCs w:val="21"/>
                <w:highlight w:val="none"/>
              </w:rPr>
              <w:t>分</w:t>
            </w:r>
            <w:r>
              <w:rPr>
                <w:rFonts w:hint="eastAsia" w:ascii="宋体" w:hAnsi="宋体" w:cs="宋体"/>
                <w:color w:val="auto"/>
                <w:sz w:val="21"/>
                <w:szCs w:val="21"/>
                <w:highlight w:val="none"/>
              </w:rPr>
              <w:t>，良好得4</w:t>
            </w:r>
            <w:r>
              <w:rPr>
                <w:rFonts w:ascii="宋体" w:hAnsi="宋体" w:cs="宋体"/>
                <w:color w:val="auto"/>
                <w:sz w:val="21"/>
                <w:szCs w:val="21"/>
                <w:highlight w:val="none"/>
              </w:rPr>
              <w:t>.1-</w:t>
            </w:r>
            <w:r>
              <w:rPr>
                <w:rFonts w:hint="eastAsia" w:ascii="宋体" w:hAnsi="宋体" w:cs="宋体"/>
                <w:color w:val="auto"/>
                <w:sz w:val="21"/>
                <w:szCs w:val="21"/>
                <w:highlight w:val="none"/>
              </w:rPr>
              <w:t>7</w:t>
            </w:r>
            <w:r>
              <w:rPr>
                <w:rFonts w:ascii="宋体" w:hAnsi="宋体" w:cs="宋体"/>
                <w:color w:val="auto"/>
                <w:sz w:val="21"/>
                <w:szCs w:val="21"/>
                <w:highlight w:val="none"/>
              </w:rPr>
              <w:t>分，一般得0-</w:t>
            </w:r>
            <w:r>
              <w:rPr>
                <w:rFonts w:hint="eastAsia" w:ascii="宋体" w:hAnsi="宋体" w:cs="宋体"/>
                <w:color w:val="auto"/>
                <w:sz w:val="21"/>
                <w:szCs w:val="21"/>
                <w:highlight w:val="none"/>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26" w:hRule="atLeast"/>
        </w:trPr>
        <w:tc>
          <w:tcPr>
            <w:tcW w:w="1050" w:type="dxa"/>
            <w:vMerge w:val="continue"/>
          </w:tcPr>
          <w:p>
            <w:pPr>
              <w:widowControl/>
              <w:spacing w:line="360" w:lineRule="auto"/>
              <w:jc w:val="center"/>
              <w:rPr>
                <w:rFonts w:cs="宋体" w:asciiTheme="minorEastAsia" w:hAnsiTheme="minorEastAsia" w:eastAsiaTheme="minorEastAsia"/>
                <w:color w:val="auto"/>
                <w:sz w:val="21"/>
                <w:szCs w:val="21"/>
                <w:highlight w:val="none"/>
              </w:rPr>
            </w:pPr>
          </w:p>
        </w:tc>
        <w:tc>
          <w:tcPr>
            <w:tcW w:w="708" w:type="dxa"/>
            <w:vMerge w:val="restart"/>
            <w:vAlign w:val="center"/>
          </w:tcPr>
          <w:p>
            <w:pPr>
              <w:widowControl/>
              <w:spacing w:line="36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w:t>
            </w:r>
          </w:p>
        </w:tc>
        <w:tc>
          <w:tcPr>
            <w:tcW w:w="993" w:type="dxa"/>
            <w:vMerge w:val="restart"/>
            <w:shd w:val="clear" w:color="auto" w:fill="auto"/>
            <w:vAlign w:val="center"/>
          </w:tcPr>
          <w:p>
            <w:pPr>
              <w:widowControl/>
              <w:spacing w:line="360" w:lineRule="auto"/>
              <w:jc w:val="center"/>
              <w:rPr>
                <w:rFonts w:ascii="宋体" w:hAnsi="宋体"/>
                <w:color w:val="auto"/>
                <w:sz w:val="22"/>
                <w:highlight w:val="none"/>
              </w:rPr>
            </w:pPr>
            <w:r>
              <w:rPr>
                <w:rFonts w:hint="eastAsia" w:ascii="宋体" w:hAnsi="宋体"/>
                <w:color w:val="auto"/>
                <w:sz w:val="22"/>
                <w:highlight w:val="none"/>
              </w:rPr>
              <w:t>项目</w:t>
            </w:r>
          </w:p>
          <w:p>
            <w:pPr>
              <w:widowControl/>
              <w:spacing w:line="360" w:lineRule="auto"/>
              <w:jc w:val="center"/>
              <w:rPr>
                <w:rFonts w:cs="宋体" w:asciiTheme="minorEastAsia" w:hAnsiTheme="minorEastAsia" w:eastAsiaTheme="minorEastAsia"/>
                <w:color w:val="auto"/>
                <w:sz w:val="22"/>
                <w:highlight w:val="none"/>
              </w:rPr>
            </w:pPr>
            <w:r>
              <w:rPr>
                <w:rFonts w:hint="eastAsia" w:ascii="宋体" w:hAnsi="宋体"/>
                <w:color w:val="auto"/>
                <w:sz w:val="22"/>
                <w:highlight w:val="none"/>
              </w:rPr>
              <w:t>方案</w:t>
            </w:r>
          </w:p>
        </w:tc>
        <w:tc>
          <w:tcPr>
            <w:tcW w:w="708" w:type="dxa"/>
            <w:shd w:val="clear" w:color="auto" w:fill="auto"/>
            <w:vAlign w:val="center"/>
          </w:tcPr>
          <w:p>
            <w:pPr>
              <w:widowControl/>
              <w:spacing w:line="360" w:lineRule="auto"/>
              <w:jc w:val="center"/>
              <w:rPr>
                <w:rFonts w:hint="eastAsia" w:cs="宋体" w:asciiTheme="minorEastAsia" w:hAnsiTheme="minorEastAsia" w:eastAsiaTheme="minorEastAsia"/>
                <w:color w:val="auto"/>
                <w:sz w:val="22"/>
                <w:highlight w:val="none"/>
                <w:lang w:eastAsia="zh-CN"/>
              </w:rPr>
            </w:pPr>
            <w:r>
              <w:rPr>
                <w:rFonts w:hint="eastAsia" w:cs="宋体" w:asciiTheme="minorEastAsia" w:hAnsiTheme="minorEastAsia" w:eastAsiaTheme="minorEastAsia"/>
                <w:color w:val="auto"/>
                <w:sz w:val="22"/>
                <w:highlight w:val="none"/>
              </w:rPr>
              <w:t>1</w:t>
            </w:r>
            <w:r>
              <w:rPr>
                <w:rFonts w:hint="eastAsia" w:cs="宋体" w:asciiTheme="minorEastAsia" w:hAnsiTheme="minorEastAsia" w:eastAsiaTheme="minorEastAsia"/>
                <w:color w:val="auto"/>
                <w:sz w:val="22"/>
                <w:highlight w:val="none"/>
                <w:lang w:val="en-US" w:eastAsia="zh-CN"/>
              </w:rPr>
              <w:t>0</w:t>
            </w:r>
          </w:p>
        </w:tc>
        <w:tc>
          <w:tcPr>
            <w:tcW w:w="5954" w:type="dxa"/>
            <w:shd w:val="clear" w:color="auto" w:fill="auto"/>
            <w:vAlign w:val="center"/>
          </w:tcPr>
          <w:p>
            <w:pPr>
              <w:snapToGrid w:val="0"/>
              <w:spacing w:line="360" w:lineRule="auto"/>
              <w:ind w:firstLine="420" w:firstLineChars="200"/>
              <w:rPr>
                <w:rFonts w:cs="宋体" w:asciiTheme="minorEastAsia" w:hAnsiTheme="minorEastAsia" w:eastAsiaTheme="minorEastAsia"/>
                <w:color w:val="auto"/>
                <w:sz w:val="22"/>
                <w:highlight w:val="none"/>
              </w:rPr>
            </w:pPr>
            <w:r>
              <w:rPr>
                <w:rFonts w:hint="eastAsia" w:ascii="宋体" w:hAnsi="宋体" w:cs="宋体"/>
                <w:color w:val="auto"/>
                <w:sz w:val="21"/>
                <w:szCs w:val="21"/>
                <w:highlight w:val="none"/>
              </w:rPr>
              <w:t>准确把握本项目需求，针对项目需求，提供详细完善的解决方案，项目实施的理论依据、工具和方法论，方案内容完整、详细、有条理、可执行。优秀得</w:t>
            </w:r>
            <w:r>
              <w:rPr>
                <w:rFonts w:ascii="宋体" w:hAnsi="宋体" w:cs="宋体"/>
                <w:color w:val="auto"/>
                <w:sz w:val="21"/>
                <w:szCs w:val="21"/>
                <w:highlight w:val="none"/>
              </w:rPr>
              <w:t>1</w:t>
            </w:r>
            <w:r>
              <w:rPr>
                <w:rFonts w:hint="eastAsia" w:ascii="宋体" w:hAnsi="宋体" w:cs="宋体"/>
                <w:color w:val="auto"/>
                <w:sz w:val="21"/>
                <w:szCs w:val="21"/>
                <w:highlight w:val="none"/>
              </w:rPr>
              <w:t>1</w:t>
            </w:r>
            <w:r>
              <w:rPr>
                <w:rFonts w:ascii="宋体" w:hAnsi="宋体" w:cs="宋体"/>
                <w:color w:val="auto"/>
                <w:sz w:val="21"/>
                <w:szCs w:val="21"/>
                <w:highlight w:val="none"/>
              </w:rPr>
              <w:t>.1-</w:t>
            </w:r>
            <w:r>
              <w:rPr>
                <w:rFonts w:hint="eastAsia" w:ascii="宋体" w:hAnsi="宋体" w:cs="宋体"/>
                <w:color w:val="auto"/>
                <w:sz w:val="21"/>
                <w:szCs w:val="21"/>
                <w:highlight w:val="none"/>
              </w:rPr>
              <w:t>15分，良好得6</w:t>
            </w:r>
            <w:r>
              <w:rPr>
                <w:rFonts w:ascii="宋体" w:hAnsi="宋体" w:cs="宋体"/>
                <w:color w:val="auto"/>
                <w:sz w:val="21"/>
                <w:szCs w:val="21"/>
                <w:highlight w:val="none"/>
              </w:rPr>
              <w:t>.1-</w:t>
            </w:r>
            <w:r>
              <w:rPr>
                <w:rFonts w:hint="eastAsia" w:ascii="宋体" w:hAnsi="宋体" w:cs="宋体"/>
                <w:color w:val="auto"/>
                <w:sz w:val="21"/>
                <w:szCs w:val="21"/>
                <w:highlight w:val="none"/>
              </w:rPr>
              <w:t>11分，一般得</w:t>
            </w:r>
            <w:r>
              <w:rPr>
                <w:rFonts w:ascii="宋体" w:hAnsi="宋体" w:cs="宋体"/>
                <w:color w:val="auto"/>
                <w:sz w:val="21"/>
                <w:szCs w:val="21"/>
                <w:highlight w:val="none"/>
              </w:rPr>
              <w:t>0-</w:t>
            </w:r>
            <w:r>
              <w:rPr>
                <w:rFonts w:hint="eastAsia" w:ascii="宋体" w:hAnsi="宋体" w:cs="宋体"/>
                <w:color w:val="auto"/>
                <w:sz w:val="21"/>
                <w:szCs w:val="21"/>
                <w:highlight w:val="none"/>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076" w:hRule="atLeast"/>
        </w:trPr>
        <w:tc>
          <w:tcPr>
            <w:tcW w:w="1050" w:type="dxa"/>
            <w:vMerge w:val="continue"/>
          </w:tcPr>
          <w:p>
            <w:pPr>
              <w:widowControl/>
              <w:spacing w:line="360" w:lineRule="auto"/>
              <w:jc w:val="center"/>
              <w:rPr>
                <w:rFonts w:cs="宋体" w:asciiTheme="minorEastAsia" w:hAnsiTheme="minorEastAsia" w:eastAsiaTheme="minorEastAsia"/>
                <w:color w:val="auto"/>
                <w:sz w:val="21"/>
                <w:szCs w:val="21"/>
                <w:highlight w:val="none"/>
              </w:rPr>
            </w:pPr>
          </w:p>
        </w:tc>
        <w:tc>
          <w:tcPr>
            <w:tcW w:w="708" w:type="dxa"/>
            <w:vMerge w:val="continue"/>
            <w:vAlign w:val="center"/>
          </w:tcPr>
          <w:p>
            <w:pPr>
              <w:widowControl/>
              <w:spacing w:line="360" w:lineRule="auto"/>
              <w:jc w:val="center"/>
              <w:rPr>
                <w:rFonts w:cs="宋体" w:asciiTheme="minorEastAsia" w:hAnsiTheme="minorEastAsia" w:eastAsiaTheme="minorEastAsia"/>
                <w:color w:val="auto"/>
                <w:sz w:val="21"/>
                <w:szCs w:val="21"/>
                <w:highlight w:val="none"/>
              </w:rPr>
            </w:pPr>
          </w:p>
        </w:tc>
        <w:tc>
          <w:tcPr>
            <w:tcW w:w="993" w:type="dxa"/>
            <w:vMerge w:val="continue"/>
            <w:shd w:val="clear" w:color="auto" w:fill="auto"/>
            <w:vAlign w:val="center"/>
          </w:tcPr>
          <w:p>
            <w:pPr>
              <w:widowControl/>
              <w:spacing w:line="360" w:lineRule="auto"/>
              <w:jc w:val="center"/>
              <w:rPr>
                <w:rFonts w:ascii="宋体" w:hAnsi="宋体"/>
                <w:color w:val="auto"/>
                <w:sz w:val="22"/>
                <w:highlight w:val="none"/>
              </w:rPr>
            </w:pPr>
          </w:p>
        </w:tc>
        <w:tc>
          <w:tcPr>
            <w:tcW w:w="708" w:type="dxa"/>
            <w:shd w:val="clear" w:color="auto" w:fill="auto"/>
            <w:vAlign w:val="center"/>
          </w:tcPr>
          <w:p>
            <w:pPr>
              <w:widowControl/>
              <w:spacing w:line="360" w:lineRule="auto"/>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10</w:t>
            </w:r>
          </w:p>
        </w:tc>
        <w:tc>
          <w:tcPr>
            <w:tcW w:w="5954" w:type="dxa"/>
            <w:shd w:val="clear" w:color="auto" w:fill="auto"/>
            <w:vAlign w:val="center"/>
          </w:tcPr>
          <w:p>
            <w:pPr>
              <w:snapToGrid w:val="0"/>
              <w:spacing w:line="360" w:lineRule="auto"/>
              <w:ind w:firstLine="440" w:firstLineChars="200"/>
              <w:rPr>
                <w:rFonts w:ascii="宋体" w:hAnsi="宋体" w:cs="宋体"/>
                <w:color w:val="auto"/>
                <w:sz w:val="21"/>
                <w:szCs w:val="21"/>
                <w:highlight w:val="none"/>
              </w:rPr>
            </w:pPr>
            <w:r>
              <w:rPr>
                <w:rFonts w:hint="eastAsia" w:ascii="宋体" w:hAnsi="宋体"/>
                <w:color w:val="auto"/>
                <w:sz w:val="22"/>
                <w:highlight w:val="none"/>
              </w:rPr>
              <w:t>能够结合过往项目操盘经验，提前考虑到项目落地过程中可能会存在的问题，并预先提出有建设性的解决措施，解决思路周全可行。</w:t>
            </w:r>
            <w:r>
              <w:rPr>
                <w:rFonts w:hint="eastAsia" w:ascii="宋体" w:hAnsi="宋体" w:cs="宋体"/>
                <w:color w:val="auto"/>
                <w:sz w:val="21"/>
                <w:szCs w:val="21"/>
                <w:highlight w:val="none"/>
              </w:rPr>
              <w:t>优秀得7</w:t>
            </w:r>
            <w:r>
              <w:rPr>
                <w:rFonts w:ascii="宋体" w:hAnsi="宋体" w:cs="宋体"/>
                <w:color w:val="auto"/>
                <w:sz w:val="21"/>
                <w:szCs w:val="21"/>
                <w:highlight w:val="none"/>
              </w:rPr>
              <w:t>.1-</w:t>
            </w:r>
            <w:r>
              <w:rPr>
                <w:rFonts w:hint="eastAsia" w:ascii="宋体" w:hAnsi="宋体" w:cs="宋体"/>
                <w:color w:val="auto"/>
                <w:sz w:val="21"/>
                <w:szCs w:val="21"/>
                <w:highlight w:val="none"/>
              </w:rPr>
              <w:t>10</w:t>
            </w:r>
            <w:r>
              <w:rPr>
                <w:rFonts w:ascii="宋体" w:hAnsi="宋体" w:cs="宋体"/>
                <w:color w:val="auto"/>
                <w:sz w:val="21"/>
                <w:szCs w:val="21"/>
                <w:highlight w:val="none"/>
              </w:rPr>
              <w:t>分，基本满足得</w:t>
            </w:r>
            <w:r>
              <w:rPr>
                <w:rFonts w:hint="eastAsia" w:ascii="宋体" w:hAnsi="宋体" w:cs="宋体"/>
                <w:color w:val="auto"/>
                <w:sz w:val="21"/>
                <w:szCs w:val="21"/>
                <w:highlight w:val="none"/>
              </w:rPr>
              <w:t>4</w:t>
            </w:r>
            <w:r>
              <w:rPr>
                <w:rFonts w:ascii="宋体" w:hAnsi="宋体" w:cs="宋体"/>
                <w:color w:val="auto"/>
                <w:sz w:val="21"/>
                <w:szCs w:val="21"/>
                <w:highlight w:val="none"/>
              </w:rPr>
              <w:t>.1-</w:t>
            </w:r>
            <w:r>
              <w:rPr>
                <w:rFonts w:hint="eastAsia" w:ascii="宋体" w:hAnsi="宋体" w:cs="宋体"/>
                <w:color w:val="auto"/>
                <w:sz w:val="21"/>
                <w:szCs w:val="21"/>
                <w:highlight w:val="none"/>
              </w:rPr>
              <w:t>7</w:t>
            </w:r>
            <w:r>
              <w:rPr>
                <w:rFonts w:ascii="宋体" w:hAnsi="宋体" w:cs="宋体"/>
                <w:color w:val="auto"/>
                <w:sz w:val="21"/>
                <w:szCs w:val="21"/>
                <w:highlight w:val="none"/>
              </w:rPr>
              <w:t>分，一般得0-</w:t>
            </w:r>
            <w:r>
              <w:rPr>
                <w:rFonts w:hint="eastAsia" w:ascii="宋体" w:hAnsi="宋体" w:cs="宋体"/>
                <w:color w:val="auto"/>
                <w:sz w:val="21"/>
                <w:szCs w:val="21"/>
                <w:highlight w:val="none"/>
              </w:rPr>
              <w:t>4</w:t>
            </w:r>
            <w:r>
              <w:rPr>
                <w:rFonts w:ascii="宋体" w:hAnsi="宋体" w:cs="宋体"/>
                <w:color w:val="auto"/>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1438" w:hRule="atLeast"/>
        </w:trPr>
        <w:tc>
          <w:tcPr>
            <w:tcW w:w="1050" w:type="dxa"/>
            <w:vMerge w:val="continue"/>
          </w:tcPr>
          <w:p>
            <w:pPr>
              <w:widowControl/>
              <w:spacing w:line="360" w:lineRule="auto"/>
              <w:jc w:val="center"/>
              <w:rPr>
                <w:rFonts w:cs="宋体" w:asciiTheme="minorEastAsia" w:hAnsiTheme="minorEastAsia" w:eastAsiaTheme="minorEastAsia"/>
                <w:color w:val="auto"/>
                <w:sz w:val="21"/>
                <w:szCs w:val="21"/>
                <w:highlight w:val="none"/>
              </w:rPr>
            </w:pPr>
          </w:p>
        </w:tc>
        <w:tc>
          <w:tcPr>
            <w:tcW w:w="708" w:type="dxa"/>
            <w:vAlign w:val="center"/>
          </w:tcPr>
          <w:p>
            <w:pPr>
              <w:widowControl/>
              <w:spacing w:line="36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4</w:t>
            </w:r>
          </w:p>
        </w:tc>
        <w:tc>
          <w:tcPr>
            <w:tcW w:w="993" w:type="dxa"/>
            <w:shd w:val="clear" w:color="auto" w:fill="auto"/>
            <w:vAlign w:val="center"/>
          </w:tcPr>
          <w:p>
            <w:pPr>
              <w:widowControl/>
              <w:spacing w:line="360" w:lineRule="auto"/>
              <w:jc w:val="center"/>
              <w:rPr>
                <w:rFonts w:ascii="宋体" w:hAnsi="宋体"/>
                <w:color w:val="auto"/>
                <w:sz w:val="22"/>
                <w:highlight w:val="none"/>
              </w:rPr>
            </w:pPr>
            <w:r>
              <w:rPr>
                <w:rFonts w:hint="eastAsia" w:ascii="宋体" w:hAnsi="宋体"/>
                <w:color w:val="auto"/>
                <w:sz w:val="22"/>
                <w:highlight w:val="none"/>
              </w:rPr>
              <w:t>项目</w:t>
            </w:r>
          </w:p>
          <w:p>
            <w:pPr>
              <w:widowControl/>
              <w:spacing w:line="360" w:lineRule="auto"/>
              <w:jc w:val="center"/>
              <w:rPr>
                <w:rFonts w:cs="宋体" w:asciiTheme="minorEastAsia" w:hAnsiTheme="minorEastAsia" w:eastAsiaTheme="minorEastAsia"/>
                <w:color w:val="auto"/>
                <w:sz w:val="22"/>
                <w:highlight w:val="none"/>
              </w:rPr>
            </w:pPr>
            <w:r>
              <w:rPr>
                <w:rFonts w:hint="eastAsia" w:ascii="宋体" w:hAnsi="宋体"/>
                <w:color w:val="auto"/>
                <w:sz w:val="22"/>
                <w:highlight w:val="none"/>
              </w:rPr>
              <w:t>实施</w:t>
            </w:r>
          </w:p>
        </w:tc>
        <w:tc>
          <w:tcPr>
            <w:tcW w:w="708" w:type="dxa"/>
            <w:shd w:val="clear" w:color="auto" w:fill="auto"/>
            <w:vAlign w:val="center"/>
          </w:tcPr>
          <w:p>
            <w:pPr>
              <w:widowControl/>
              <w:spacing w:line="360" w:lineRule="auto"/>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10</w:t>
            </w:r>
          </w:p>
        </w:tc>
        <w:tc>
          <w:tcPr>
            <w:tcW w:w="5954" w:type="dxa"/>
            <w:shd w:val="clear" w:color="auto" w:fill="auto"/>
            <w:vAlign w:val="center"/>
          </w:tcPr>
          <w:p>
            <w:pPr>
              <w:snapToGrid w:val="0"/>
              <w:spacing w:line="360" w:lineRule="auto"/>
              <w:ind w:firstLine="420" w:firstLineChars="200"/>
              <w:rPr>
                <w:rFonts w:cs="宋体" w:asciiTheme="minorEastAsia" w:hAnsiTheme="minorEastAsia" w:eastAsiaTheme="minorEastAsia"/>
                <w:color w:val="auto"/>
                <w:sz w:val="22"/>
                <w:highlight w:val="none"/>
              </w:rPr>
            </w:pPr>
            <w:r>
              <w:rPr>
                <w:rFonts w:hint="eastAsia" w:ascii="宋体" w:hAnsi="宋体" w:cs="宋体"/>
                <w:color w:val="auto"/>
                <w:sz w:val="21"/>
                <w:szCs w:val="21"/>
                <w:highlight w:val="none"/>
              </w:rPr>
              <w:t>项目进度管理、质量管理、服务方案等过程实施系统全面、科学合理，为项目的成功实施提供充足保障，确保项目达到预期目标。优秀得7</w:t>
            </w:r>
            <w:r>
              <w:rPr>
                <w:rFonts w:ascii="宋体" w:hAnsi="宋体" w:cs="宋体"/>
                <w:color w:val="auto"/>
                <w:sz w:val="21"/>
                <w:szCs w:val="21"/>
                <w:highlight w:val="none"/>
              </w:rPr>
              <w:t>.1-</w:t>
            </w:r>
            <w:r>
              <w:rPr>
                <w:rFonts w:hint="eastAsia" w:ascii="宋体" w:hAnsi="宋体" w:cs="宋体"/>
                <w:color w:val="auto"/>
                <w:sz w:val="21"/>
                <w:szCs w:val="21"/>
                <w:highlight w:val="none"/>
              </w:rPr>
              <w:t>10</w:t>
            </w:r>
            <w:r>
              <w:rPr>
                <w:rFonts w:ascii="宋体" w:hAnsi="宋体" w:cs="宋体"/>
                <w:color w:val="auto"/>
                <w:sz w:val="21"/>
                <w:szCs w:val="21"/>
                <w:highlight w:val="none"/>
              </w:rPr>
              <w:t>分，基本满足得</w:t>
            </w:r>
            <w:r>
              <w:rPr>
                <w:rFonts w:hint="eastAsia" w:ascii="宋体" w:hAnsi="宋体" w:cs="宋体"/>
                <w:color w:val="auto"/>
                <w:sz w:val="21"/>
                <w:szCs w:val="21"/>
                <w:highlight w:val="none"/>
              </w:rPr>
              <w:t>4</w:t>
            </w:r>
            <w:r>
              <w:rPr>
                <w:rFonts w:ascii="宋体" w:hAnsi="宋体" w:cs="宋体"/>
                <w:color w:val="auto"/>
                <w:sz w:val="21"/>
                <w:szCs w:val="21"/>
                <w:highlight w:val="none"/>
              </w:rPr>
              <w:t>.1-</w:t>
            </w:r>
            <w:r>
              <w:rPr>
                <w:rFonts w:hint="eastAsia" w:ascii="宋体" w:hAnsi="宋体" w:cs="宋体"/>
                <w:color w:val="auto"/>
                <w:sz w:val="21"/>
                <w:szCs w:val="21"/>
                <w:highlight w:val="none"/>
              </w:rPr>
              <w:t>7</w:t>
            </w:r>
            <w:r>
              <w:rPr>
                <w:rFonts w:ascii="宋体" w:hAnsi="宋体" w:cs="宋体"/>
                <w:color w:val="auto"/>
                <w:sz w:val="21"/>
                <w:szCs w:val="21"/>
                <w:highlight w:val="none"/>
              </w:rPr>
              <w:t>分，一般得0-</w:t>
            </w:r>
            <w:r>
              <w:rPr>
                <w:rFonts w:hint="eastAsia" w:ascii="宋体" w:hAnsi="宋体" w:cs="宋体"/>
                <w:color w:val="auto"/>
                <w:sz w:val="21"/>
                <w:szCs w:val="21"/>
                <w:highlight w:val="none"/>
              </w:rPr>
              <w:t>4</w:t>
            </w:r>
            <w:r>
              <w:rPr>
                <w:rFonts w:ascii="宋体" w:hAnsi="宋体" w:cs="宋体"/>
                <w:color w:val="auto"/>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917" w:hRule="atLeast"/>
        </w:trPr>
        <w:tc>
          <w:tcPr>
            <w:tcW w:w="1050" w:type="dxa"/>
            <w:vMerge w:val="continue"/>
            <w:vAlign w:val="center"/>
          </w:tcPr>
          <w:p>
            <w:pPr>
              <w:widowControl/>
              <w:spacing w:line="360" w:lineRule="auto"/>
              <w:jc w:val="center"/>
              <w:rPr>
                <w:rFonts w:cs="宋体" w:asciiTheme="minorEastAsia" w:hAnsiTheme="minorEastAsia" w:eastAsiaTheme="minorEastAsia"/>
                <w:color w:val="auto"/>
                <w:sz w:val="21"/>
                <w:szCs w:val="21"/>
                <w:highlight w:val="none"/>
              </w:rPr>
            </w:pPr>
          </w:p>
        </w:tc>
        <w:tc>
          <w:tcPr>
            <w:tcW w:w="708" w:type="dxa"/>
            <w:vAlign w:val="center"/>
          </w:tcPr>
          <w:p>
            <w:pPr>
              <w:widowControl/>
              <w:spacing w:line="360" w:lineRule="auto"/>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5</w:t>
            </w:r>
          </w:p>
        </w:tc>
        <w:tc>
          <w:tcPr>
            <w:tcW w:w="993" w:type="dxa"/>
            <w:shd w:val="clear" w:color="auto" w:fill="auto"/>
            <w:vAlign w:val="center"/>
          </w:tcPr>
          <w:p>
            <w:pPr>
              <w:widowControl/>
              <w:spacing w:line="360" w:lineRule="auto"/>
              <w:jc w:val="center"/>
              <w:rPr>
                <w:rFonts w:ascii="宋体" w:hAnsi="宋体"/>
                <w:color w:val="auto"/>
                <w:sz w:val="22"/>
                <w:highlight w:val="none"/>
              </w:rPr>
            </w:pPr>
            <w:r>
              <w:rPr>
                <w:rFonts w:hint="eastAsia" w:ascii="宋体" w:hAnsi="宋体"/>
                <w:color w:val="auto"/>
                <w:sz w:val="22"/>
                <w:highlight w:val="none"/>
              </w:rPr>
              <w:t>落地辅导服务时间</w:t>
            </w:r>
          </w:p>
        </w:tc>
        <w:tc>
          <w:tcPr>
            <w:tcW w:w="708" w:type="dxa"/>
            <w:shd w:val="clear" w:color="auto" w:fill="auto"/>
            <w:vAlign w:val="center"/>
          </w:tcPr>
          <w:p>
            <w:pPr>
              <w:widowControl/>
              <w:spacing w:line="360" w:lineRule="auto"/>
              <w:jc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5</w:t>
            </w:r>
          </w:p>
        </w:tc>
        <w:tc>
          <w:tcPr>
            <w:tcW w:w="5954" w:type="dxa"/>
            <w:shd w:val="clear" w:color="auto" w:fill="auto"/>
            <w:vAlign w:val="center"/>
          </w:tcPr>
          <w:p>
            <w:pPr>
              <w:widowControl/>
              <w:spacing w:line="336" w:lineRule="auto"/>
              <w:rPr>
                <w:rFonts w:ascii="宋体" w:hAnsi="宋体"/>
                <w:bCs/>
                <w:color w:val="auto"/>
                <w:spacing w:val="-6"/>
                <w:sz w:val="22"/>
                <w:highlight w:val="none"/>
              </w:rPr>
            </w:pPr>
            <w:r>
              <w:rPr>
                <w:rFonts w:hint="eastAsia" w:ascii="宋体" w:hAnsi="宋体"/>
                <w:bCs/>
                <w:color w:val="auto"/>
                <w:spacing w:val="-6"/>
                <w:sz w:val="22"/>
                <w:highlight w:val="none"/>
              </w:rPr>
              <w:t>落地辅导服务</w:t>
            </w:r>
            <w:r>
              <w:rPr>
                <w:rFonts w:hint="eastAsia" w:ascii="宋体" w:hAnsi="宋体"/>
                <w:bCs/>
                <w:color w:val="auto"/>
                <w:spacing w:val="-6"/>
                <w:sz w:val="22"/>
                <w:highlight w:val="none"/>
                <w:lang w:val="en-US" w:eastAsia="zh-CN"/>
              </w:rPr>
              <w:t>期</w:t>
            </w:r>
            <w:r>
              <w:rPr>
                <w:rFonts w:hint="eastAsia" w:ascii="宋体" w:hAnsi="宋体" w:cs="宋体"/>
                <w:color w:val="auto"/>
                <w:sz w:val="21"/>
                <w:szCs w:val="21"/>
                <w:highlight w:val="none"/>
              </w:rPr>
              <w:t>≥</w:t>
            </w:r>
            <w:r>
              <w:rPr>
                <w:rFonts w:hint="eastAsia" w:ascii="宋体" w:hAnsi="宋体"/>
                <w:bCs/>
                <w:color w:val="auto"/>
                <w:spacing w:val="-6"/>
                <w:sz w:val="22"/>
                <w:highlight w:val="none"/>
                <w:lang w:val="en-US" w:eastAsia="zh-CN"/>
              </w:rPr>
              <w:t>270个自然日</w:t>
            </w:r>
            <w:r>
              <w:rPr>
                <w:rFonts w:hint="eastAsia" w:ascii="宋体" w:hAnsi="宋体"/>
                <w:bCs/>
                <w:color w:val="auto"/>
                <w:spacing w:val="-6"/>
                <w:sz w:val="22"/>
                <w:highlight w:val="none"/>
              </w:rPr>
              <w:t>的，得5分；</w:t>
            </w:r>
            <w:r>
              <w:rPr>
                <w:rFonts w:hint="eastAsia" w:ascii="宋体" w:hAnsi="宋体"/>
                <w:bCs/>
                <w:color w:val="auto"/>
                <w:spacing w:val="-6"/>
                <w:sz w:val="22"/>
                <w:highlight w:val="none"/>
                <w:lang w:val="en-US" w:eastAsia="zh-CN"/>
              </w:rPr>
              <w:t>240个自然日</w:t>
            </w:r>
            <w:r>
              <w:rPr>
                <w:rFonts w:hint="eastAsia" w:ascii="宋体" w:hAnsi="宋体" w:cs="宋体"/>
                <w:color w:val="auto"/>
                <w:sz w:val="21"/>
                <w:szCs w:val="21"/>
                <w:highlight w:val="none"/>
              </w:rPr>
              <w:t>得4分</w:t>
            </w:r>
            <w:r>
              <w:rPr>
                <w:rFonts w:hint="eastAsia" w:ascii="宋体" w:hAnsi="宋体"/>
                <w:bCs/>
                <w:color w:val="auto"/>
                <w:spacing w:val="-6"/>
                <w:sz w:val="22"/>
                <w:highlight w:val="none"/>
              </w:rPr>
              <w:t>；</w:t>
            </w:r>
            <w:r>
              <w:rPr>
                <w:rFonts w:hint="eastAsia" w:ascii="宋体" w:hAnsi="宋体"/>
                <w:bCs/>
                <w:color w:val="auto"/>
                <w:spacing w:val="-6"/>
                <w:sz w:val="22"/>
                <w:highlight w:val="none"/>
                <w:lang w:val="en-US" w:eastAsia="zh-CN"/>
              </w:rPr>
              <w:t>210个自然日</w:t>
            </w:r>
            <w:r>
              <w:rPr>
                <w:rFonts w:hint="eastAsia" w:ascii="宋体" w:hAnsi="宋体"/>
                <w:bCs/>
                <w:color w:val="auto"/>
                <w:spacing w:val="-6"/>
                <w:sz w:val="22"/>
                <w:highlight w:val="none"/>
              </w:rPr>
              <w:t>得</w:t>
            </w:r>
            <w:r>
              <w:rPr>
                <w:rFonts w:hint="eastAsia" w:ascii="宋体" w:hAnsi="宋体"/>
                <w:bCs/>
                <w:color w:val="auto"/>
                <w:spacing w:val="-6"/>
                <w:sz w:val="22"/>
                <w:highlight w:val="none"/>
                <w:lang w:val="en-US" w:eastAsia="zh-CN"/>
              </w:rPr>
              <w:t>3</w:t>
            </w:r>
            <w:r>
              <w:rPr>
                <w:rFonts w:hint="eastAsia" w:ascii="宋体" w:hAnsi="宋体"/>
                <w:bCs/>
                <w:color w:val="auto"/>
                <w:spacing w:val="-6"/>
                <w:sz w:val="22"/>
                <w:highlight w:val="none"/>
              </w:rPr>
              <w:t>分；</w:t>
            </w:r>
            <w:r>
              <w:rPr>
                <w:rFonts w:hint="eastAsia" w:ascii="宋体" w:hAnsi="宋体"/>
                <w:bCs/>
                <w:color w:val="auto"/>
                <w:spacing w:val="-6"/>
                <w:sz w:val="22"/>
                <w:highlight w:val="none"/>
                <w:lang w:val="en-US" w:eastAsia="zh-CN"/>
              </w:rPr>
              <w:t>180个自然日</w:t>
            </w:r>
            <w:r>
              <w:rPr>
                <w:rFonts w:hint="eastAsia" w:ascii="宋体" w:hAnsi="宋体"/>
                <w:bCs/>
                <w:color w:val="auto"/>
                <w:spacing w:val="-6"/>
                <w:sz w:val="22"/>
                <w:highlight w:val="none"/>
              </w:rPr>
              <w:t>得</w:t>
            </w:r>
            <w:r>
              <w:rPr>
                <w:rFonts w:hint="eastAsia" w:ascii="宋体" w:hAnsi="宋体"/>
                <w:bCs/>
                <w:color w:val="auto"/>
                <w:spacing w:val="-6"/>
                <w:sz w:val="22"/>
                <w:highlight w:val="none"/>
                <w:lang w:val="en-US" w:eastAsia="zh-CN"/>
              </w:rPr>
              <w:t>2</w:t>
            </w:r>
            <w:r>
              <w:rPr>
                <w:rFonts w:hint="eastAsia" w:ascii="宋体" w:hAnsi="宋体"/>
                <w:bCs/>
                <w:color w:val="auto"/>
                <w:spacing w:val="-6"/>
                <w:sz w:val="22"/>
                <w:highlight w:val="none"/>
              </w:rPr>
              <w:t>分；时间＜</w:t>
            </w:r>
            <w:r>
              <w:rPr>
                <w:rFonts w:hint="eastAsia" w:ascii="宋体" w:hAnsi="宋体"/>
                <w:bCs/>
                <w:color w:val="auto"/>
                <w:spacing w:val="-6"/>
                <w:sz w:val="22"/>
                <w:highlight w:val="none"/>
                <w:lang w:val="en-US" w:eastAsia="zh-CN"/>
              </w:rPr>
              <w:t>180个自然日</w:t>
            </w:r>
            <w:r>
              <w:rPr>
                <w:rFonts w:hint="eastAsia" w:ascii="宋体" w:hAnsi="宋体"/>
                <w:bCs/>
                <w:color w:val="auto"/>
                <w:spacing w:val="-6"/>
                <w:sz w:val="22"/>
                <w:highlight w:val="none"/>
              </w:rPr>
              <w:t>，得0分。</w:t>
            </w:r>
          </w:p>
        </w:tc>
      </w:tr>
    </w:tbl>
    <w:p>
      <w:pPr>
        <w:pStyle w:val="7"/>
        <w:kinsoku w:val="0"/>
        <w:overflowPunct w:val="0"/>
        <w:spacing w:before="240" w:line="360" w:lineRule="auto"/>
        <w:ind w:left="0" w:firstLine="405" w:firstLineChars="196"/>
        <w:rPr>
          <w:rFonts w:hint="default"/>
          <w:b/>
          <w:color w:val="auto"/>
          <w:sz w:val="21"/>
          <w:szCs w:val="21"/>
          <w:highlight w:val="none"/>
        </w:rPr>
      </w:pPr>
      <w:r>
        <w:rPr>
          <w:b/>
          <w:color w:val="auto"/>
          <w:spacing w:val="-2"/>
          <w:sz w:val="21"/>
          <w:szCs w:val="21"/>
          <w:highlight w:val="none"/>
        </w:rPr>
        <w:t>四、中选标准</w:t>
      </w:r>
    </w:p>
    <w:p>
      <w:pPr>
        <w:pStyle w:val="4"/>
        <w:spacing w:line="360" w:lineRule="auto"/>
        <w:ind w:firstLine="420" w:firstLineChars="200"/>
        <w:rPr>
          <w:rFonts w:hint="default" w:cs="宋体"/>
          <w:b w:val="0"/>
          <w:color w:val="auto"/>
          <w:sz w:val="21"/>
          <w:szCs w:val="21"/>
          <w:highlight w:val="none"/>
        </w:rPr>
      </w:pPr>
      <w:r>
        <w:rPr>
          <w:rFonts w:cs="宋体"/>
          <w:b w:val="0"/>
          <w:color w:val="auto"/>
          <w:sz w:val="21"/>
          <w:szCs w:val="21"/>
          <w:highlight w:val="none"/>
        </w:rPr>
        <w:t>评审小组将按照综合得分由高到低进行排名，综合</w:t>
      </w:r>
      <w:r>
        <w:rPr>
          <w:b w:val="0"/>
          <w:color w:val="auto"/>
          <w:spacing w:val="-2"/>
          <w:sz w:val="21"/>
          <w:szCs w:val="21"/>
          <w:highlight w:val="none"/>
        </w:rPr>
        <w:t>得分最高的排名第一</w:t>
      </w:r>
      <w:r>
        <w:rPr>
          <w:color w:val="auto"/>
          <w:spacing w:val="-2"/>
          <w:sz w:val="21"/>
          <w:szCs w:val="21"/>
          <w:highlight w:val="none"/>
        </w:rPr>
        <w:t>，</w:t>
      </w:r>
      <w:r>
        <w:rPr>
          <w:rFonts w:cs="宋体"/>
          <w:b w:val="0"/>
          <w:color w:val="auto"/>
          <w:sz w:val="21"/>
          <w:szCs w:val="21"/>
          <w:highlight w:val="none"/>
        </w:rPr>
        <w:t>当综合得分相同时，按照技术部分项目服务方案得分由高到低顺序排列；综合得分和项目服务方案得分相同的，按报价由低到高顺序排列；综合得分、技术部分项目服务方案及报价得分均相同的，按照技术部分综合实力的近</w:t>
      </w:r>
      <w:r>
        <w:rPr>
          <w:rFonts w:hint="eastAsia" w:cs="宋体"/>
          <w:b w:val="0"/>
          <w:color w:val="auto"/>
          <w:sz w:val="21"/>
          <w:szCs w:val="21"/>
          <w:highlight w:val="none"/>
          <w:lang w:val="en-US" w:eastAsia="zh-CN"/>
        </w:rPr>
        <w:t>三</w:t>
      </w:r>
      <w:r>
        <w:rPr>
          <w:rFonts w:cs="宋体"/>
          <w:b w:val="0"/>
          <w:color w:val="auto"/>
          <w:sz w:val="21"/>
          <w:szCs w:val="21"/>
          <w:highlight w:val="none"/>
        </w:rPr>
        <w:t>年业绩得分由高到低顺序排列；如按前述规则排名仍有相同时，以记名方式投票并按照多数评审意见确定相同排名者的排名先后。如排名第一的比选参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sectPr>
      <w:footerReference r:id="rId9" w:type="default"/>
      <w:pgSz w:w="11910" w:h="16840"/>
      <w:pgMar w:top="1520" w:right="1680" w:bottom="1200" w:left="1340" w:header="0" w:footer="10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6385" cy="147955"/>
              <wp:effectExtent l="0" t="0" r="0" b="4445"/>
              <wp:wrapNone/>
              <wp:docPr id="7"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15"/>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第</w:t>
                          </w: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3</w:t>
                          </w:r>
                          <w:r>
                            <w:rPr>
                              <w:color w:val="FFFFFF" w:themeColor="background1"/>
                              <w14:textFill>
                                <w14:solidFill>
                                  <w14:schemeClr w14:val="bg1"/>
                                </w14:solidFill>
                              </w14:textFill>
                            </w:rPr>
                            <w:fldChar w:fldCharType="end"/>
                          </w:r>
                          <w:r>
                            <w:rPr>
                              <w:rFonts w:hint="eastAsia"/>
                              <w:color w:val="FFFFFF" w:themeColor="background1"/>
                              <w14:textFill>
                                <w14:solidFill>
                                  <w14:schemeClr w14:val="bg1"/>
                                </w14:solidFill>
                              </w14:textFill>
                            </w:rPr>
                            <w:t>页</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1.65pt;width:22.55pt;mso-position-horizontal:center;mso-position-horizontal-relative:margin;mso-wrap-style:none;z-index:251661312;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NZJBeQsCAAACBAAADgAAAGRycy9lMm9Eb2MueG1srVNLjhMxEN0j&#10;cQfLe9JJIJnQSmc0TBSENHykgQM4bnfaou2yyk66hwPADVixYc+5cg7K7nQYhs0s2Fhlu/zqvVfl&#10;5WVnGnZQ6DXYgk9GY86UlVBquyv4p4+bZwvOfBC2FA1YVfA75fnl6umTZetyNYUamlIhIxDr89YV&#10;vA7B5VnmZa2M8CNwytJlBWhEoC3ushJFS+imyabj8TxrAUuHIJX3dLruL/kJER8DCFWlpVqD3Btl&#10;Q4+KqhGBJPlaO89XiW1VKRneV5VXgTUFJ6UhrVSE4m1cs9VS5DsUrtbyREE8hsIDTUZoS0XPUGsR&#10;BNuj/gfKaIngoQojCSbrhSRHSMVk/MCb21o4lbSQ1d6dTff/D1a+O3xApsuCX3BmhaGGH79/O/74&#10;dfz5lc2jPa3zOWXdOsoL3SvoaGiSVO9uQH72zMJ1LexOXSFCWytREr1JfJnde9rj+Aiybd9CSXXE&#10;PkAC6io00TtygxE6tebu3BrVBSbpcLqYP1/MOJN0NXlx8XI2SxVEPjx26MNrBYbFoOBInU/g4nDj&#10;QyQj8iEl1rKw0U2Tut/Yvw4oMZ4k8pFvzzx02+5kxhbKO5KB0A8TfSUKasAvnLU0SAW39G84a95Y&#10;MiLO3BDgEGyHQFhJDwseOOvD69DP5t6h3tWEO1h9RWZtdBISXe05nFjSaCR9pzGOs3d/n7L+fN3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GzHSAAAAAwEAAA8AAAAAAAAAAQAgAAAAIgAAAGRy&#10;cy9kb3ducmV2LnhtbFBLAQIUABQAAAAIAIdO4kA1kkF5CwIAAAIEAAAOAAAAAAAAAAEAIAAAACEB&#10;AABkcnMvZTJvRG9jLnhtbFBLBQYAAAAABgAGAFkBAACeBQAAAAA=&#10;">
              <v:fill on="f" focussize="0,0"/>
              <v:stroke on="f"/>
              <v:imagedata o:title=""/>
              <o:lock v:ext="edit" aspectratio="f"/>
              <v:textbox inset="0mm,0mm,0mm,0mm" style="mso-fit-shape-to-text:t;">
                <w:txbxContent>
                  <w:p>
                    <w:pPr>
                      <w:pStyle w:val="15"/>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第</w:t>
                    </w: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3</w:t>
                    </w:r>
                    <w:r>
                      <w:rPr>
                        <w:color w:val="FFFFFF" w:themeColor="background1"/>
                        <w14:textFill>
                          <w14:solidFill>
                            <w14:schemeClr w14:val="bg1"/>
                          </w14:solidFill>
                        </w14:textFill>
                      </w:rPr>
                      <w:fldChar w:fldCharType="end"/>
                    </w:r>
                    <w:r>
                      <w:rPr>
                        <w:rFonts w:hint="eastAsia"/>
                        <w:color w:val="FFFFFF" w:themeColor="background1"/>
                        <w14:textFill>
                          <w14:solidFill>
                            <w14:schemeClr w14:val="bg1"/>
                          </w14:solidFill>
                        </w14:textFill>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insoku w:val="0"/>
      <w:overflowPunct w:val="0"/>
      <w:spacing w:before="0" w:line="14" w:lineRule="auto"/>
      <w:ind w:left="0"/>
      <w:rPr>
        <w:rFonts w:hint="default"/>
        <w:sz w:val="18"/>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9913620</wp:posOffset>
              </wp:positionV>
              <wp:extent cx="417195" cy="158115"/>
              <wp:effectExtent l="0" t="0" r="1905" b="0"/>
              <wp:wrapNone/>
              <wp:docPr id="6"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7195" cy="158115"/>
                      </a:xfrm>
                      <a:prstGeom prst="rect">
                        <a:avLst/>
                      </a:prstGeom>
                      <a:noFill/>
                      <a:ln>
                        <a:noFill/>
                      </a:ln>
                    </wps:spPr>
                    <wps:txbx>
                      <w:txbxContent>
                        <w:p>
                          <w:pPr>
                            <w:pStyle w:val="12"/>
                            <w:kinsoku w:val="0"/>
                            <w:overflowPunct w:val="0"/>
                            <w:spacing w:before="0" w:line="236" w:lineRule="exact"/>
                            <w:ind w:left="20"/>
                            <w:rPr>
                              <w:rFonts w:hint="default"/>
                              <w:sz w:val="18"/>
                            </w:rPr>
                          </w:pPr>
                          <w:r>
                            <w:rPr>
                              <w:sz w:val="18"/>
                            </w:rPr>
                            <w:t xml:space="preserve">第 </w:t>
                          </w:r>
                          <w:r>
                            <w:rPr>
                              <w:sz w:val="18"/>
                            </w:rPr>
                            <w:fldChar w:fldCharType="begin"/>
                          </w:r>
                          <w:r>
                            <w:rPr>
                              <w:sz w:val="18"/>
                            </w:rPr>
                            <w:instrText xml:space="preserve"> PAGE  \* MERGEFORMAT </w:instrText>
                          </w:r>
                          <w:r>
                            <w:rPr>
                              <w:sz w:val="18"/>
                            </w:rPr>
                            <w:fldChar w:fldCharType="separate"/>
                          </w:r>
                          <w:r>
                            <w:rPr>
                              <w:rFonts w:hint="default"/>
                              <w:sz w:val="18"/>
                            </w:rPr>
                            <w:t>8</w:t>
                          </w:r>
                          <w:r>
                            <w:rPr>
                              <w:sz w:val="18"/>
                            </w:rPr>
                            <w:fldChar w:fldCharType="end"/>
                          </w:r>
                          <w:r>
                            <w:rPr>
                              <w:sz w:val="18"/>
                            </w:rPr>
                            <w:t xml:space="preserve"> 页</w:t>
                          </w:r>
                        </w:p>
                      </w:txbxContent>
                    </wps:txbx>
                    <wps:bodyPr rot="0" vert="horz" wrap="square" lIns="0" tIns="0" rIns="0" bIns="0" anchor="t" anchorCtr="0" upright="1">
                      <a:noAutofit/>
                    </wps:bodyPr>
                  </wps:wsp>
                </a:graphicData>
              </a:graphic>
            </wp:anchor>
          </w:drawing>
        </mc:Choice>
        <mc:Fallback>
          <w:pict>
            <v:shape id="文本框 1" o:spid="_x0000_s1026" o:spt="202" type="#_x0000_t202" style="position:absolute;left:0pt;margin-top:780.6pt;height:12.45pt;width:32.85pt;mso-position-horizontal:center;mso-position-horizontal-relative:margin;mso-position-vertical-relative:page;z-index:251659264;mso-width-relative:page;mso-height-relative:page;" filled="f" stroked="f" coordsize="21600,21600" o:gfxdata="UEsDBAoAAAAAAIdO4kAAAAAAAAAAAAAAAAAEAAAAZHJzL1BLAwQUAAAACACHTuJAZADX99cAAAAJ&#10;AQAADwAAAGRycy9kb3ducmV2LnhtbE2PzU7DMBCE70i8g7VI3KidSjUlxKkQghMSIg0Hjk68TaLG&#10;6xC7P7w92xMcd2Y0+02xOftRHHGOQyAD2UKBQGqDG6gz8Fm/3q1BxGTJ2TEQGvjBCJvy+qqwuQsn&#10;qvC4TZ3gEoq5NdCnNOVSxrZHb+MiTEjs7cLsbeJz7qSb7YnL/SiXSmnp7UD8obcTPvfY7rcHb+Dp&#10;i6qX4fu9+ah21VDXD4re9N6Y25tMPYJIeE5/YbjgMzqUzNSEA7koRgM8JLG60tkSBPt6dQ+iuShr&#10;nYEsC/l/QfkLUEsDBBQAAAAIAIdO4kDofqgmCwIAAAQEAAAOAAAAZHJzL2Uyb0RvYy54bWytU81u&#10;EzEQviPxDpbvZLMVKWWVTVUaFSGVH6nwAI7Xm7VYe8zYyW55AHiDnrhw57nyHIztJJRy6YGLNbbH&#10;33zfN+P5+Wh6tlXoNdial5MpZ8pKaLRd1/zTx6tnZ5z5IGwjerCq5rfK8/PF0yfzwVXqBDroG4WM&#10;QKyvBlfzLgRXFYWXnTLCT8ApS5ctoBGBtrguGhQDoZu+OJlOT4sBsHEIUnlPp8t8yfeI+BhAaFst&#10;1RLkxigbMiqqXgSS5DvtPF8ktm2rZHjftl4F1teclIa0UhGKV3EtFnNRrVG4Tss9BfEYCg80GaEt&#10;FT1CLUUQbIP6HyijJYKHNkwkmCILSY6QinL6wJubTjiVtJDV3h1N9/8PVr7bfkCmm5qfcmaFoYbv&#10;7r7vfvza/fzGymjP4HxFWTeO8sL4CkYamiTVu2uQnz2zcNkJu1YXiDB0SjREL70s7j3NOD6CrIa3&#10;0FAdsQmQgMYWTfSO3GCETq25PbZGjYFJOnxevihfzjiTdFXOzspyFrkVojo8dujDawWGxaDmSJ1P&#10;4GJ77UNOPaTEWhaudN+n7vf2rwPCjCeJfOSbmYdxNe7NWEFzSzIQ8jDRV6KgA/zK2UCDVHP/ZSNQ&#10;cda/sWRFnLpDgIdgdQiElfS05oGzHF6GPJ0bh3rdEXI228IF2dXqJCX6mlnsedJwJDP2gxyn7/4+&#10;Zf35vI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ADX99cAAAAJAQAADwAAAAAAAAABACAAAAAi&#10;AAAAZHJzL2Rvd25yZXYueG1sUEsBAhQAFAAAAAgAh07iQOh+qCYLAgAABAQAAA4AAAAAAAAAAQAg&#10;AAAAJgEAAGRycy9lMm9Eb2MueG1sUEsFBgAAAAAGAAYAWQEAAKMFAAAAAA==&#10;">
              <v:fill on="f" focussize="0,0"/>
              <v:stroke on="f"/>
              <v:imagedata o:title=""/>
              <o:lock v:ext="edit" aspectratio="f"/>
              <v:textbox inset="0mm,0mm,0mm,0mm">
                <w:txbxContent>
                  <w:p>
                    <w:pPr>
                      <w:pStyle w:val="12"/>
                      <w:kinsoku w:val="0"/>
                      <w:overflowPunct w:val="0"/>
                      <w:spacing w:before="0" w:line="236" w:lineRule="exact"/>
                      <w:ind w:left="20"/>
                      <w:rPr>
                        <w:rFonts w:hint="default"/>
                        <w:sz w:val="18"/>
                      </w:rPr>
                    </w:pPr>
                    <w:r>
                      <w:rPr>
                        <w:sz w:val="18"/>
                      </w:rPr>
                      <w:t xml:space="preserve">第 </w:t>
                    </w:r>
                    <w:r>
                      <w:rPr>
                        <w:sz w:val="18"/>
                      </w:rPr>
                      <w:fldChar w:fldCharType="begin"/>
                    </w:r>
                    <w:r>
                      <w:rPr>
                        <w:sz w:val="18"/>
                      </w:rPr>
                      <w:instrText xml:space="preserve"> PAGE  \* MERGEFORMAT </w:instrText>
                    </w:r>
                    <w:r>
                      <w:rPr>
                        <w:sz w:val="18"/>
                      </w:rPr>
                      <w:fldChar w:fldCharType="separate"/>
                    </w:r>
                    <w:r>
                      <w:rPr>
                        <w:rFonts w:hint="default"/>
                        <w:sz w:val="18"/>
                      </w:rPr>
                      <w:t>8</w:t>
                    </w:r>
                    <w:r>
                      <w:rPr>
                        <w:sz w:val="18"/>
                      </w:rPr>
                      <w:fldChar w:fldCharType="end"/>
                    </w:r>
                    <w:r>
                      <w:rPr>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insoku w:val="0"/>
      <w:overflowPunct w:val="0"/>
      <w:spacing w:before="0" w:line="14" w:lineRule="auto"/>
      <w:ind w:left="0"/>
      <w:rPr>
        <w:rFonts w:hint="default"/>
        <w:sz w:val="18"/>
      </w:rPr>
    </w:pPr>
    <w:r>
      <w:rPr>
        <w:rFonts w:hint="default"/>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47955"/>
              <wp:effectExtent l="0" t="0" r="0" b="4445"/>
              <wp:wrapNone/>
              <wp:docPr id="5"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21</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1.65pt;width:27.05pt;mso-position-horizontal:center;mso-position-horizontal-relative:margin;mso-wrap-style:none;z-index:251662336;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uc4k2wsCAAACBAAADgAAAGRycy9lMm9Eb2MueG1srVPNbhMxEL4j&#10;8Q6W72STpoF2lU1VGgUhlR+p8ACO15u1WHussZPd8ADwBpy4cOe58hwde7OhlEsPXKyxPf7m+74Z&#10;z68607CdQq/BFnwyGnOmrIRS203BP39avbjgzAdhS9GAVQXfK8+vFs+fzVuXqzOooSkVMgKxPm9d&#10;wesQXJ5lXtbKCD8CpyxdVoBGBNriJitRtIRumuxsPH6ZtYClQ5DKezpd9pf8iIhPAYSq0lItQW6N&#10;sqFHRdWIQJJ8rZ3ni8S2qpQMH6rKq8CagpPSkFYqQvE6rtliLvINCldreaQgnkLhkSYjtKWiJ6il&#10;CIJtUf8DZbRE8FCFkQST9UKSI6RiMn7kzV0tnEpayGrvTqb7/wcr3+8+ItNlwWecWWGo4Ycf3w8/&#10;fx9+fWOX0Z7W+Zyy7hzlhe41dDQ0Sap3tyC/eGbhphZ2o64Roa2VKIneJL7MHjztcXwEWbfvoKQ6&#10;YhsgAXUVmugducEInVqzP7VGdYFJOpyeT2dToijpanL+6nI2SxVEPjx26MMbBYbFoOBInU/gYnfr&#10;QyQj8iEl1rKw0k2Tut/Yvw4oMZ4k8pFvzzx06+5oxhrKPclA6IeJvhIFNeBXzloapIJb+jecNW8t&#10;GRFnbghwCNZDIKykhwUPnPXhTehnc+tQb2rCHay+JrNWOgmJrvYcjixpNJK+4xjH2Xu4T1l/vu7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bqVPSAAAAAwEAAA8AAAAAAAAAAQAgAAAAIgAAAGRy&#10;cy9kb3ducmV2LnhtbFBLAQIUABQAAAAIAIdO4kC5ziTbCwIAAAIEAAAOAAAAAAAAAAEAIAAAACEB&#10;AABkcnMvZTJvRG9jLnhtbFBLBQYAAAAABgAGAFkBAACeBQ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21</w:t>
                    </w:r>
                    <w:r>
                      <w:fldChar w:fldCharType="end"/>
                    </w:r>
                    <w:r>
                      <w:rPr>
                        <w:rFonts w:hint="eastAsia"/>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147955"/>
              <wp:effectExtent l="0" t="0" r="0" b="4445"/>
              <wp:wrapNone/>
              <wp:docPr id="4"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27</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1.65pt;width:27.05pt;mso-position-horizontal:center;mso-position-horizontal-relative:margin;mso-wrap-style:none;z-index:251663360;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YFtM9gwCAAADBAAADgAAAGRycy9lMm9Eb2MueG1srVNLjhMxEN0j&#10;cQfLe9LJJOHTSmc0TBSENHykgQM4bnfaou2yyk66wwHgBqzYsOdcOQdldzozDJtZsLHKdvnVe6/K&#10;i8vONGyv0GuwBZ+MxpwpK6HUdlvwz5/Wz15y5oOwpWjAqoIflOeXy6dPFq3L1QXU0JQKGYFYn7eu&#10;4HUILs8yL2tlhB+BU5YuK0AjAm1xm5UoWkI3TXYxHj/PWsDSIUjlPZ2u+kt+QsTHAEJVaalWIHdG&#10;2dCjompEIEm+1s7zZWJbVUqGD1XlVWBNwUlpSCsVoXgT12y5EPkWhau1PFEQj6HwQJMR2lLRM9RK&#10;BMF2qP+BMloieKjCSILJeiHJEVIxGT/w5rYWTiUtZLV3Z9P9/4OV7/cfkemy4DPOrDDU8OOP78ef&#10;v4+/vrFJ8qd1Pqe0W0eJoXsNHU1N0urdDcgvnlm4roXdqitEaGslSuI3ic5m957GjvjcR5BN+w5K&#10;KiR2ARJQV6GJ5pEdjNCpN4dzb1QXmKTD6Ww6n845k3Q1mb14NZ+nCiIfHjv04Y0Cw2JQcKTWJ3Cx&#10;v/EhkhH5kBJrWVjrpkntb+xfB5QYTxL5yLdnHrpNR9lRxAbKA8lA6KeJ/hIFNeBXzlqapIJb+jic&#10;NW8tGRGHbghwCDZDIKykhwUPnPXhdeiHc+dQb2vCHay+IrPWOgm543BiSbOR9J3mOA7f/X3Kuvu7&#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26lT0gAAAAMBAAAPAAAAAAAAAAEAIAAAACIAAABk&#10;cnMvZG93bnJldi54bWxQSwECFAAUAAAACACHTuJAYFtM9gwCAAADBAAADgAAAAAAAAABACAAAAAh&#10;AQAAZHJzL2Uyb0RvYy54bWxQSwUGAAAAAAYABgBZAQAAnwU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27</w:t>
                    </w:r>
                    <w:r>
                      <w:fldChar w:fldCharType="end"/>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3535" cy="147955"/>
              <wp:effectExtent l="0" t="0" r="0" b="0"/>
              <wp:wrapNone/>
              <wp:docPr id="8"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28</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1.65pt;width:27.05pt;mso-position-horizontal:center;mso-position-horizontal-relative:margin;mso-wrap-style:none;z-index:251664384;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4QmC0woCAAADBAAADgAAAGRycy9lMm9Eb2MueG1srVPBbhMxEL0j&#10;8Q+W72STpoGyyqYqjYKQCkUqfIDj9WYt1h5r7GQ3fAD8QU9cuPNd+Q7G3mwo5dIDF2tsj9+892Y8&#10;v+xMw3YKvQZb8MlozJmyEkptNwX//Gn14oIzH4QtRQNWFXyvPL9cPH82b12uzqCGplTICMT6vHUF&#10;r0NweZZ5WSsj/AicsnRZARoRaIubrETRErppsrPx+GXWApYOQSrv6XTZX/IjIj4FEKpKS7UEuTXK&#10;hh4VVSMCSfK1dp4vEtuqUjLcVpVXgTUFJ6UhrVSE4nVcs8Vc5BsUrtbySEE8hcIjTUZoS0VPUEsR&#10;BNui/gfKaIngoQojCSbrhSRHSMVk/Mibu1o4lbSQ1d6dTPf/D1Z+2H1EpsuCU9utMNTww/33w49f&#10;h5/f2GQS/WmdzyntzlFi6N5AR1OTtHp3A/KLZxaua2E36goR2lqJkvill9mDpz2OjyDr9j2UVEhs&#10;AySgrkITzSM7GKFTb/an3qguMEmH0/PpbDrjTNLV5PzV69kscstEPjx26MNbBYbFoOBIrU/gYnfj&#10;Q586pMRaFla6aVL7G/vXAWHGk0Q+8u2Zh27dHc1YQ7knGQj9NNFfoqAG/MpZS5NUcEsfh7PmnSUj&#10;4tANAQ7BegiElfSw4IGzPrwO/XBuHepNTbiD1Vdk1konIdHVnsORJc1GsuI4x3H4Hu5T1p+/u/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tupU9IAAAADAQAADwAAAAAAAAABACAAAAAiAAAAZHJz&#10;L2Rvd25yZXYueG1sUEsBAhQAFAAAAAgAh07iQOEJgtMKAgAAAwQAAA4AAAAAAAAAAQAgAAAAIQEA&#10;AGRycy9lMm9Eb2MueG1sUEsFBgAAAAAGAAYAWQEAAJ0FA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28</w:t>
                    </w:r>
                    <w:r>
                      <w:fldChar w:fldCharType="end"/>
                    </w:r>
                    <w:r>
                      <w:rPr>
                        <w:rFonts w:hint="eastAsia"/>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47955"/>
              <wp:effectExtent l="0" t="0" r="0" b="4445"/>
              <wp:wrapNone/>
              <wp:docPr id="3"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37</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1.65pt;width:27.05pt;mso-position-horizontal:center;mso-position-horizontal-relative:margin;mso-wrap-style:none;z-index:251665408;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wfQiOwoCAAADBAAADgAAAGRycy9lMm9Eb2MueG1srVPBbhMxEL0j&#10;8Q+W72STpoGyyqYqjYKQCkUqfIDj9WYt1h5r7GQ3fAD8QU9cuPNd+Q7G3mwo5dIDF2tsj9+892Y8&#10;v+xMw3YKvQZb8MlozJmyEkptNwX//Gn14oIzH4QtRQNWFXyvPL9cPH82b12uzqCGplTICMT6vHUF&#10;r0NweZZ5WSsj/AicsnRZARoRaIubrETRErppsrPx+GXWApYOQSrv6XTZX/IjIj4FEKpKS7UEuTXK&#10;hh4VVSMCSfK1dp4vEtuqUjLcVpVXgTUFJ6UhrVSE4nVcs8Vc5BsUrtbySEE8hcIjTUZoS0VPUEsR&#10;BNui/gfKaIngoQojCSbrhSRHSMVk/Mibu1o4lbSQ1d6dTPf/D1Z+2H1EpsuCTzmzwlDDD/ffDz9+&#10;HX5+Y5NJ9Kd1Pqe0O0eJoXsDHU1N0urdDcgvnlm4roXdqCtEaGslSuKXXmYPnvY4PoKs2/dQUiGx&#10;DZCAugpNNI/sYIROvdmfeqO6wCQdTs+ns+mMM0lXk/NXr2ezyC0T+fDYoQ9vFRgWg4IjtT6Bi92N&#10;D33qkBJrWVjppkntb+xfB4QZTxL5yLdnHrp1dzRjDeWeZCD000R/iYIa8CtnLU1SwS19HM6ad5aM&#10;iEM3BDgE6yEQVtLDggfO+vA69MO5dag3NeEOVl+RWSudhERXew5HljQbyYrjHMfhe7hPWX/+7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tupU9IAAAADAQAADwAAAAAAAAABACAAAAAiAAAAZHJz&#10;L2Rvd25yZXYueG1sUEsBAhQAFAAAAAgAh07iQMH0IjsKAgAAAwQAAA4AAAAAAAAAAQAgAAAAIQEA&#10;AGRycy9lMm9Eb2MueG1sUEsFBgAAAAAGAAYAWQEAAJ0FA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37</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343535" cy="147955"/>
              <wp:effectExtent l="0" t="0" r="0" b="4445"/>
              <wp:wrapNone/>
              <wp:docPr id="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15"/>
                          </w:pPr>
                          <w:r>
                            <w:rPr>
                              <w:rFonts w:hint="eastAsia"/>
                            </w:rPr>
                            <w:t>第</w:t>
                          </w:r>
                          <w:r>
                            <w:fldChar w:fldCharType="begin"/>
                          </w:r>
                          <w:r>
                            <w:instrText xml:space="preserve"> PAGE  \* MERGEFORMAT </w:instrText>
                          </w:r>
                          <w:r>
                            <w:fldChar w:fldCharType="separate"/>
                          </w:r>
                          <w:r>
                            <w:t>40</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1.65pt;width:27.05pt;mso-position-horizontal:center;mso-position-horizontal-relative:margin;mso-wrap-style:none;z-index:251666432;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xhhQ4AwCAAADBAAADgAAAGRycy9lMm9Eb2MueG1srVNLjhMxEN0j&#10;cQfLe9L5TPi00hkNEwUhDR9p4ACO2522aLusspPucAC4wazYsOdcOQdldzoMw2YWbKyyXX713qvy&#10;4rIzDdsr9BpswSejMWfKSii13Rb886f1s5ec+SBsKRqwquAH5fnl8umTRetyNYUamlIhIxDr89YV&#10;vA7B5VnmZa2M8CNwytJlBWhEoC1usxJFS+imyabj8fOsBSwdglTe0+mqv+QnRHwMIFSVlmoFcmeU&#10;DT0qqkYEkuRr7TxfJrZVpWT4UFVeBdYUnJSGtFIRijdxzZYLkW9RuFrLEwXxGAoPNBmhLRU9Q61E&#10;EGyH+h8ooyWChyqMJJisF5IcIRWT8QNvbmvhVNJCVnt3Nt3/P1j5fv8RmS4LPuXMCkMNP959P/74&#10;dfz5jU2m0Z/W+ZzSbh0lhu41dDQ1Sat3NyC/eGbhuhZ2q64Qoa2VKInfJL7M7j3tcXwE2bTvoKRC&#10;YhcgAXUVmmge2cEInXpzOPdGdYFJOpxdzOazOWeSriYXL17N56mCyIfHDn14o8CwGBQcqfUJXOxv&#10;fIhkRD6kxFoW1rppUvsb+9cBJcaTRD7y7ZmHbtOdzNhAeSAZCP000V+ioAb8yllLk1RwSx+Hs+at&#10;JSPi0A0BDsFmCISV9LDggbM+vA79cO4c6m1NuIPVV2TWWich0dWew4klzUbSd5rjOHz39ynrz99d&#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26lT0gAAAAMBAAAPAAAAAAAAAAEAIAAAACIAAABk&#10;cnMvZG93bnJldi54bWxQSwECFAAUAAAACACHTuJAxhhQ4AwCAAADBAAADgAAAAAAAAABACAAAAAh&#10;AQAAZHJzL2Uyb0RvYy54bWxQSwUGAAAAAAYABgBZAQAAnwU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40</w:t>
                    </w:r>
                    <w:r>
                      <w:fldChar w:fldCharType="end"/>
                    </w:r>
                    <w:r>
                      <w:rPr>
                        <w:rFonts w:hint="eastAsia"/>
                      </w:rPr>
                      <w:t>页</w:t>
                    </w:r>
                  </w:p>
                </w:txbxContent>
              </v:textbox>
            </v:shape>
          </w:pict>
        </mc:Fallback>
      </mc:AlternateContent>
    </w: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6781800</wp:posOffset>
              </wp:positionV>
              <wp:extent cx="348615" cy="158115"/>
              <wp:effectExtent l="0" t="0" r="3810" b="381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48615" cy="158115"/>
                      </a:xfrm>
                      <a:prstGeom prst="rect">
                        <a:avLst/>
                      </a:prstGeom>
                      <a:noFill/>
                      <a:ln>
                        <a:noFill/>
                      </a:ln>
                    </wps:spPr>
                    <wps:txbx>
                      <w:txbxContent>
                        <w:p>
                          <w:pPr>
                            <w:pStyle w:val="12"/>
                            <w:kinsoku w:val="0"/>
                            <w:overflowPunct w:val="0"/>
                            <w:spacing w:before="0" w:line="236" w:lineRule="exact"/>
                            <w:rPr>
                              <w:rFonts w:hint="default"/>
                              <w:sz w:val="18"/>
                            </w:rPr>
                          </w:pPr>
                          <w:r>
                            <w:rPr>
                              <w:sz w:val="18"/>
                            </w:rPr>
                            <w:t>页</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top:534pt;height:12.45pt;width:27.45pt;mso-position-horizontal:center;mso-position-horizontal-relative:margin;mso-position-vertical-relative:page;z-index:251660288;mso-width-relative:page;mso-height-relative:page;" filled="f" stroked="f" coordsize="21600,21600" o:gfxdata="UEsDBAoAAAAAAIdO4kAAAAAAAAAAAAAAAAAEAAAAZHJzL1BLAwQUAAAACACHTuJANbOA69cAAAAJ&#10;AQAADwAAAGRycy9kb3ducmV2LnhtbE2PzU7DMBCE70i8g7VI3KjdCqImxKkQghMSIg0Hjk68TazG&#10;6xC7P7w92xPcdmdWs9+Um7MfxRHn6AJpWC4UCKQuWEe9hs/m9W4NIiZD1oyBUMMPRthU11elKWw4&#10;UY3HbeoFh1AsjIYhpamQMnYDehMXYUJibxdmbxKvcy/tbE4c7ke5UiqT3jjiD4OZ8HnAbr89eA1P&#10;X1S/uO/39qPe1a5pckVv2V7r25ulegSR8Jz+juGCz+hQMVMbDmSjGDVwkcSqytY8sf9wn4NoL0q+&#10;ykFWpfzfoPoFUEsDBBQAAAAIAIdO4kCSqrcgCwIAAAQEAAAOAAAAZHJzL2Uyb0RvYy54bWytU0tu&#10;2zAQ3RfoHQjua1lpHRiC5SCNkaJA+gHSHmBEURZRicMOaUvuAdobdJVN9z2Xz9GhZDtpusmiG2I4&#10;HL5573G4uOjbRmw1eYM2l+lkKoW2Cktj17n8/On6xVwKH8CW0KDVudxpLy+Wz58tOpfpM6yxKTUJ&#10;BrE+61wu6xBcliRe1boFP0GnLR9WSC0E3tI6KQk6Rm+b5Gw6PU86pNIRKu09Z1fjoTwg0lMAsaqM&#10;0itUm1bbMKKSbiCwJF8b5+VyYFtVWoUPVeV1EE0uWWkYVm7CcRHXZLmAbE3gaqMOFOApFB5pasFY&#10;bnqCWkEAsSHzD1RrFKHHKkwUtskoZHCEVaTTR97c1uD0oIWt9u5kuv9/sOr99iMJU/IkSGGh5Qff&#10;//yxv/u9//VdzKI9nfMZV906rgv9a+xjaZTq3Q2qL15YvKrBrvUlEXa1hpLppfFm8uDqiOMjSNG9&#10;w5L7wCbgANRX1EZAdkMwOj/N7vQ0ug9CcfLlq/l5OpNC8VE6m6ccxw6QHS878uGNxlbEIJfELz+A&#10;w/bGh7H0WBJ7Wbw2TcN5yBr7V4IxY2YgH/mOzENf9FwdFRVY7lgG4ThM/JU4qJG+SdHxIOXSf90A&#10;aSmat5atiFN3DOgYFMcArOKruQxSjOFVGKdz48isa0YezbZ4yXZVZpByz+LAk4djMOMwyHH6Hu6H&#10;qvvPu/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bOA69cAAAAJAQAADwAAAAAAAAABACAAAAAi&#10;AAAAZHJzL2Rvd25yZXYueG1sUEsBAhQAFAAAAAgAh07iQJKqtyALAgAABAQAAA4AAAAAAAAAAQAg&#10;AAAAJgEAAGRycy9lMm9Eb2MueG1sUEsFBgAAAAAGAAYAWQEAAKMFAAAAAA==&#10;">
              <v:fill on="f" focussize="0,0"/>
              <v:stroke on="f"/>
              <v:imagedata o:title=""/>
              <o:lock v:ext="edit" aspectratio="f"/>
              <v:textbox inset="0mm,0mm,0mm,0mm">
                <w:txbxContent>
                  <w:p>
                    <w:pPr>
                      <w:pStyle w:val="12"/>
                      <w:kinsoku w:val="0"/>
                      <w:overflowPunct w:val="0"/>
                      <w:spacing w:before="0" w:line="236" w:lineRule="exact"/>
                      <w:rPr>
                        <w:rFonts w:hint="default"/>
                        <w:sz w:val="18"/>
                      </w:rPr>
                    </w:pPr>
                    <w:r>
                      <w:rPr>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61200B"/>
    <w:multiLevelType w:val="multilevel"/>
    <w:tmpl w:val="D861200B"/>
    <w:lvl w:ilvl="0" w:tentative="0">
      <w:start w:val="3"/>
      <w:numFmt w:val="chineseCounting"/>
      <w:suff w:val="nothing"/>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
    <w:nsid w:val="E80DE3AB"/>
    <w:multiLevelType w:val="singleLevel"/>
    <w:tmpl w:val="E80DE3AB"/>
    <w:lvl w:ilvl="0" w:tentative="0">
      <w:start w:val="1"/>
      <w:numFmt w:val="decimal"/>
      <w:suff w:val="nothing"/>
      <w:lvlText w:val="（%1）"/>
      <w:lvlJc w:val="left"/>
    </w:lvl>
  </w:abstractNum>
  <w:abstractNum w:abstractNumId="2">
    <w:nsid w:val="F9125C5E"/>
    <w:multiLevelType w:val="singleLevel"/>
    <w:tmpl w:val="F9125C5E"/>
    <w:lvl w:ilvl="0" w:tentative="0">
      <w:start w:val="2"/>
      <w:numFmt w:val="decimal"/>
      <w:lvlText w:val="%1."/>
      <w:lvlJc w:val="left"/>
      <w:pPr>
        <w:tabs>
          <w:tab w:val="left" w:pos="312"/>
        </w:tabs>
      </w:pPr>
    </w:lvl>
  </w:abstractNum>
  <w:abstractNum w:abstractNumId="3">
    <w:nsid w:val="07B96C00"/>
    <w:multiLevelType w:val="multilevel"/>
    <w:tmpl w:val="07B96C00"/>
    <w:lvl w:ilvl="0" w:tentative="0">
      <w:start w:val="1"/>
      <w:numFmt w:val="japaneseCounting"/>
      <w:lvlText w:val="%1、"/>
      <w:lvlJc w:val="left"/>
      <w:pPr>
        <w:ind w:left="450" w:hanging="450"/>
      </w:pPr>
      <w:rPr>
        <w:rFonts w:hint="default"/>
        <w:b/>
        <w:sz w:val="28"/>
        <w:szCs w:val="28"/>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988"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A42F4B"/>
    <w:multiLevelType w:val="singleLevel"/>
    <w:tmpl w:val="24A42F4B"/>
    <w:lvl w:ilvl="0" w:tentative="0">
      <w:start w:val="1"/>
      <w:numFmt w:val="decimal"/>
      <w:lvlText w:val="%1"/>
      <w:lvlJc w:val="left"/>
      <w:pPr>
        <w:tabs>
          <w:tab w:val="left" w:pos="420"/>
        </w:tabs>
        <w:ind w:left="425" w:leftChars="0" w:hanging="425" w:firstLineChars="0"/>
      </w:pPr>
      <w:rPr>
        <w:rFonts w:hint="default"/>
      </w:rPr>
    </w:lvl>
  </w:abstractNum>
  <w:abstractNum w:abstractNumId="5">
    <w:nsid w:val="41BE4DA5"/>
    <w:multiLevelType w:val="multilevel"/>
    <w:tmpl w:val="41BE4DA5"/>
    <w:lvl w:ilvl="0" w:tentative="0">
      <w:start w:val="1"/>
      <w:numFmt w:val="japaneseCounting"/>
      <w:lvlText w:val="（%1）"/>
      <w:lvlJc w:val="left"/>
      <w:pPr>
        <w:ind w:left="828" w:hanging="828"/>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7ECB889"/>
    <w:multiLevelType w:val="singleLevel"/>
    <w:tmpl w:val="47ECB889"/>
    <w:lvl w:ilvl="0" w:tentative="0">
      <w:start w:val="2"/>
      <w:numFmt w:val="decimal"/>
      <w:suff w:val="nothing"/>
      <w:lvlText w:val="%1、"/>
      <w:lvlJc w:val="left"/>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720"/>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ODZkZWU5ZGEwOWE5MTk4ZGY2YWU3NzgxYmMyNjMifQ=="/>
  </w:docVars>
  <w:rsids>
    <w:rsidRoot w:val="00172A27"/>
    <w:rsid w:val="00001442"/>
    <w:rsid w:val="00015B70"/>
    <w:rsid w:val="0002155B"/>
    <w:rsid w:val="00021AEA"/>
    <w:rsid w:val="000273FD"/>
    <w:rsid w:val="00037C30"/>
    <w:rsid w:val="000412A1"/>
    <w:rsid w:val="00041CBE"/>
    <w:rsid w:val="000421F3"/>
    <w:rsid w:val="00046EC6"/>
    <w:rsid w:val="00047446"/>
    <w:rsid w:val="000500F6"/>
    <w:rsid w:val="00050BF0"/>
    <w:rsid w:val="00055EAB"/>
    <w:rsid w:val="00056454"/>
    <w:rsid w:val="00056696"/>
    <w:rsid w:val="00057685"/>
    <w:rsid w:val="000677C0"/>
    <w:rsid w:val="00071F39"/>
    <w:rsid w:val="00073E92"/>
    <w:rsid w:val="000753CA"/>
    <w:rsid w:val="00084E38"/>
    <w:rsid w:val="00085AB9"/>
    <w:rsid w:val="00086E31"/>
    <w:rsid w:val="000977E0"/>
    <w:rsid w:val="000A068D"/>
    <w:rsid w:val="000A7B42"/>
    <w:rsid w:val="000B109B"/>
    <w:rsid w:val="000B36FD"/>
    <w:rsid w:val="000B75A0"/>
    <w:rsid w:val="000C10E9"/>
    <w:rsid w:val="000C2528"/>
    <w:rsid w:val="000C2F27"/>
    <w:rsid w:val="000C7717"/>
    <w:rsid w:val="000D092D"/>
    <w:rsid w:val="000E0C6D"/>
    <w:rsid w:val="000E1E56"/>
    <w:rsid w:val="000E2198"/>
    <w:rsid w:val="000E7FB4"/>
    <w:rsid w:val="000F3AA6"/>
    <w:rsid w:val="00100AD0"/>
    <w:rsid w:val="00102F99"/>
    <w:rsid w:val="00111DE4"/>
    <w:rsid w:val="00114908"/>
    <w:rsid w:val="00116A93"/>
    <w:rsid w:val="00117367"/>
    <w:rsid w:val="001177CD"/>
    <w:rsid w:val="001261E6"/>
    <w:rsid w:val="00126390"/>
    <w:rsid w:val="00136D56"/>
    <w:rsid w:val="00147740"/>
    <w:rsid w:val="00150B45"/>
    <w:rsid w:val="00150C24"/>
    <w:rsid w:val="00153531"/>
    <w:rsid w:val="00154DC3"/>
    <w:rsid w:val="0016163B"/>
    <w:rsid w:val="00165EA6"/>
    <w:rsid w:val="0016750A"/>
    <w:rsid w:val="00172A27"/>
    <w:rsid w:val="00173646"/>
    <w:rsid w:val="001827D2"/>
    <w:rsid w:val="00184441"/>
    <w:rsid w:val="00184B0C"/>
    <w:rsid w:val="001A04C0"/>
    <w:rsid w:val="001A1F19"/>
    <w:rsid w:val="001B3B3D"/>
    <w:rsid w:val="001C065A"/>
    <w:rsid w:val="001C15DC"/>
    <w:rsid w:val="001C3C5C"/>
    <w:rsid w:val="001C4698"/>
    <w:rsid w:val="001C4D83"/>
    <w:rsid w:val="001D4F3D"/>
    <w:rsid w:val="001E3490"/>
    <w:rsid w:val="001F1950"/>
    <w:rsid w:val="001F3556"/>
    <w:rsid w:val="001F7BCD"/>
    <w:rsid w:val="00204555"/>
    <w:rsid w:val="00205C62"/>
    <w:rsid w:val="00206FB7"/>
    <w:rsid w:val="00207073"/>
    <w:rsid w:val="0021035A"/>
    <w:rsid w:val="0021170B"/>
    <w:rsid w:val="00211F1A"/>
    <w:rsid w:val="002122EB"/>
    <w:rsid w:val="00224FC1"/>
    <w:rsid w:val="002263B1"/>
    <w:rsid w:val="00227160"/>
    <w:rsid w:val="002317A9"/>
    <w:rsid w:val="0023256E"/>
    <w:rsid w:val="00232DED"/>
    <w:rsid w:val="00243EB2"/>
    <w:rsid w:val="0025069B"/>
    <w:rsid w:val="00251921"/>
    <w:rsid w:val="00256DC0"/>
    <w:rsid w:val="00261FEC"/>
    <w:rsid w:val="00267F96"/>
    <w:rsid w:val="00272622"/>
    <w:rsid w:val="00272DE6"/>
    <w:rsid w:val="0027363D"/>
    <w:rsid w:val="00277F4C"/>
    <w:rsid w:val="002803F3"/>
    <w:rsid w:val="002828AC"/>
    <w:rsid w:val="00286E0F"/>
    <w:rsid w:val="002964BB"/>
    <w:rsid w:val="002A14F0"/>
    <w:rsid w:val="002A1A76"/>
    <w:rsid w:val="002A4589"/>
    <w:rsid w:val="002B09D3"/>
    <w:rsid w:val="002B1255"/>
    <w:rsid w:val="002B146B"/>
    <w:rsid w:val="002B1F30"/>
    <w:rsid w:val="002C1906"/>
    <w:rsid w:val="002C36BD"/>
    <w:rsid w:val="002D15AE"/>
    <w:rsid w:val="002D3501"/>
    <w:rsid w:val="002D3E60"/>
    <w:rsid w:val="002D438A"/>
    <w:rsid w:val="002E3945"/>
    <w:rsid w:val="002E39AE"/>
    <w:rsid w:val="002F34F3"/>
    <w:rsid w:val="002F4AA1"/>
    <w:rsid w:val="002F59AE"/>
    <w:rsid w:val="002F66AB"/>
    <w:rsid w:val="00301936"/>
    <w:rsid w:val="00302018"/>
    <w:rsid w:val="0030209A"/>
    <w:rsid w:val="0030460F"/>
    <w:rsid w:val="0030609E"/>
    <w:rsid w:val="00310FD3"/>
    <w:rsid w:val="0032229F"/>
    <w:rsid w:val="00327AC4"/>
    <w:rsid w:val="003426D7"/>
    <w:rsid w:val="00343381"/>
    <w:rsid w:val="00347E07"/>
    <w:rsid w:val="003565A9"/>
    <w:rsid w:val="003605BD"/>
    <w:rsid w:val="00364111"/>
    <w:rsid w:val="0036480C"/>
    <w:rsid w:val="00364856"/>
    <w:rsid w:val="00365D10"/>
    <w:rsid w:val="003733DE"/>
    <w:rsid w:val="00386BBA"/>
    <w:rsid w:val="00387C9C"/>
    <w:rsid w:val="003A0F8B"/>
    <w:rsid w:val="003A0FF9"/>
    <w:rsid w:val="003A606B"/>
    <w:rsid w:val="003A6870"/>
    <w:rsid w:val="003A7649"/>
    <w:rsid w:val="003C0522"/>
    <w:rsid w:val="003C16DC"/>
    <w:rsid w:val="003C3373"/>
    <w:rsid w:val="003C5F0A"/>
    <w:rsid w:val="003D08D0"/>
    <w:rsid w:val="003D792B"/>
    <w:rsid w:val="003D79A7"/>
    <w:rsid w:val="003D7BAE"/>
    <w:rsid w:val="003E1853"/>
    <w:rsid w:val="003E5FBB"/>
    <w:rsid w:val="003F0370"/>
    <w:rsid w:val="003F11ED"/>
    <w:rsid w:val="003F12B8"/>
    <w:rsid w:val="003F1C19"/>
    <w:rsid w:val="003F1EE6"/>
    <w:rsid w:val="003F2392"/>
    <w:rsid w:val="003F54EE"/>
    <w:rsid w:val="00404BB0"/>
    <w:rsid w:val="00413EFD"/>
    <w:rsid w:val="00415402"/>
    <w:rsid w:val="0042397F"/>
    <w:rsid w:val="00424232"/>
    <w:rsid w:val="00430156"/>
    <w:rsid w:val="00432EC5"/>
    <w:rsid w:val="004360D7"/>
    <w:rsid w:val="0044148C"/>
    <w:rsid w:val="004438D2"/>
    <w:rsid w:val="00447274"/>
    <w:rsid w:val="0044780C"/>
    <w:rsid w:val="0045370C"/>
    <w:rsid w:val="00475681"/>
    <w:rsid w:val="00485B30"/>
    <w:rsid w:val="00485D5A"/>
    <w:rsid w:val="004A20E9"/>
    <w:rsid w:val="004B4140"/>
    <w:rsid w:val="004C3222"/>
    <w:rsid w:val="004D16CA"/>
    <w:rsid w:val="004D2FB5"/>
    <w:rsid w:val="004E2292"/>
    <w:rsid w:val="004E641C"/>
    <w:rsid w:val="004E6A6F"/>
    <w:rsid w:val="004F0CB0"/>
    <w:rsid w:val="005103EE"/>
    <w:rsid w:val="00513E6A"/>
    <w:rsid w:val="00514D18"/>
    <w:rsid w:val="005170D6"/>
    <w:rsid w:val="00521891"/>
    <w:rsid w:val="00524B45"/>
    <w:rsid w:val="0052670C"/>
    <w:rsid w:val="005407BC"/>
    <w:rsid w:val="00540EEE"/>
    <w:rsid w:val="00541838"/>
    <w:rsid w:val="0054338A"/>
    <w:rsid w:val="00543399"/>
    <w:rsid w:val="00544476"/>
    <w:rsid w:val="00553B5F"/>
    <w:rsid w:val="00556305"/>
    <w:rsid w:val="00556307"/>
    <w:rsid w:val="00566C03"/>
    <w:rsid w:val="005714C8"/>
    <w:rsid w:val="0058072F"/>
    <w:rsid w:val="005814DB"/>
    <w:rsid w:val="00581B93"/>
    <w:rsid w:val="00592805"/>
    <w:rsid w:val="00593E6A"/>
    <w:rsid w:val="005965FE"/>
    <w:rsid w:val="005A2241"/>
    <w:rsid w:val="005A2EC5"/>
    <w:rsid w:val="005A3AA5"/>
    <w:rsid w:val="005A6F63"/>
    <w:rsid w:val="005B14AC"/>
    <w:rsid w:val="005B6B24"/>
    <w:rsid w:val="005C11F7"/>
    <w:rsid w:val="005C2285"/>
    <w:rsid w:val="005C5186"/>
    <w:rsid w:val="005E52E5"/>
    <w:rsid w:val="005F23C3"/>
    <w:rsid w:val="0060550D"/>
    <w:rsid w:val="00605513"/>
    <w:rsid w:val="00607BB5"/>
    <w:rsid w:val="00610E44"/>
    <w:rsid w:val="0061144D"/>
    <w:rsid w:val="0061231D"/>
    <w:rsid w:val="00613FC8"/>
    <w:rsid w:val="006164BC"/>
    <w:rsid w:val="0062147A"/>
    <w:rsid w:val="006236E3"/>
    <w:rsid w:val="0063024B"/>
    <w:rsid w:val="00637B2A"/>
    <w:rsid w:val="00641AE7"/>
    <w:rsid w:val="0064415B"/>
    <w:rsid w:val="00650967"/>
    <w:rsid w:val="00652780"/>
    <w:rsid w:val="0065373C"/>
    <w:rsid w:val="00660D96"/>
    <w:rsid w:val="0066243E"/>
    <w:rsid w:val="00663501"/>
    <w:rsid w:val="00665EC2"/>
    <w:rsid w:val="00671C70"/>
    <w:rsid w:val="00671D82"/>
    <w:rsid w:val="00672BCA"/>
    <w:rsid w:val="00683808"/>
    <w:rsid w:val="00686549"/>
    <w:rsid w:val="00691252"/>
    <w:rsid w:val="00692CFD"/>
    <w:rsid w:val="006931EF"/>
    <w:rsid w:val="00695C8E"/>
    <w:rsid w:val="006A215C"/>
    <w:rsid w:val="006A3D83"/>
    <w:rsid w:val="006A60F1"/>
    <w:rsid w:val="006A790E"/>
    <w:rsid w:val="006A7D77"/>
    <w:rsid w:val="006B03C2"/>
    <w:rsid w:val="006D111C"/>
    <w:rsid w:val="006D1532"/>
    <w:rsid w:val="006D5968"/>
    <w:rsid w:val="006D6325"/>
    <w:rsid w:val="006E2C13"/>
    <w:rsid w:val="006E3C61"/>
    <w:rsid w:val="006E6BAA"/>
    <w:rsid w:val="006F2470"/>
    <w:rsid w:val="00700CA8"/>
    <w:rsid w:val="0071056C"/>
    <w:rsid w:val="00717ED6"/>
    <w:rsid w:val="0072027D"/>
    <w:rsid w:val="007222DA"/>
    <w:rsid w:val="00723E21"/>
    <w:rsid w:val="00725387"/>
    <w:rsid w:val="00735991"/>
    <w:rsid w:val="00736745"/>
    <w:rsid w:val="00746561"/>
    <w:rsid w:val="00747EED"/>
    <w:rsid w:val="00750CC4"/>
    <w:rsid w:val="00756A5A"/>
    <w:rsid w:val="00760C29"/>
    <w:rsid w:val="00772AE6"/>
    <w:rsid w:val="00772E6B"/>
    <w:rsid w:val="00775366"/>
    <w:rsid w:val="007804DC"/>
    <w:rsid w:val="00784798"/>
    <w:rsid w:val="00785A7D"/>
    <w:rsid w:val="00787CF0"/>
    <w:rsid w:val="00792EA4"/>
    <w:rsid w:val="007947F0"/>
    <w:rsid w:val="0079542B"/>
    <w:rsid w:val="007957D7"/>
    <w:rsid w:val="007A276E"/>
    <w:rsid w:val="007A775F"/>
    <w:rsid w:val="007A78B7"/>
    <w:rsid w:val="007B1A7E"/>
    <w:rsid w:val="007B5974"/>
    <w:rsid w:val="007C3B8F"/>
    <w:rsid w:val="007D4215"/>
    <w:rsid w:val="007D6241"/>
    <w:rsid w:val="007D74E0"/>
    <w:rsid w:val="007E17BD"/>
    <w:rsid w:val="007E5665"/>
    <w:rsid w:val="007E73DE"/>
    <w:rsid w:val="007F3B57"/>
    <w:rsid w:val="007F6ADA"/>
    <w:rsid w:val="008009CB"/>
    <w:rsid w:val="00807F04"/>
    <w:rsid w:val="008115F2"/>
    <w:rsid w:val="008122F8"/>
    <w:rsid w:val="008140F0"/>
    <w:rsid w:val="008143E8"/>
    <w:rsid w:val="00815668"/>
    <w:rsid w:val="00815945"/>
    <w:rsid w:val="00820CAF"/>
    <w:rsid w:val="00824CD5"/>
    <w:rsid w:val="00830C18"/>
    <w:rsid w:val="008360FC"/>
    <w:rsid w:val="00836184"/>
    <w:rsid w:val="008449BE"/>
    <w:rsid w:val="00851701"/>
    <w:rsid w:val="00860FD2"/>
    <w:rsid w:val="008660C5"/>
    <w:rsid w:val="00867DF6"/>
    <w:rsid w:val="00872B7D"/>
    <w:rsid w:val="00884C31"/>
    <w:rsid w:val="008A04F0"/>
    <w:rsid w:val="008A10F7"/>
    <w:rsid w:val="008A17CD"/>
    <w:rsid w:val="008B5FB3"/>
    <w:rsid w:val="008B5FBD"/>
    <w:rsid w:val="008C2E9E"/>
    <w:rsid w:val="008C7F8E"/>
    <w:rsid w:val="008D2919"/>
    <w:rsid w:val="008E00B7"/>
    <w:rsid w:val="008E5874"/>
    <w:rsid w:val="008E592C"/>
    <w:rsid w:val="008E6876"/>
    <w:rsid w:val="008E6FDC"/>
    <w:rsid w:val="008F3AFA"/>
    <w:rsid w:val="008F7C70"/>
    <w:rsid w:val="00901E28"/>
    <w:rsid w:val="0090286F"/>
    <w:rsid w:val="009060C4"/>
    <w:rsid w:val="0091154F"/>
    <w:rsid w:val="0091397B"/>
    <w:rsid w:val="009216AC"/>
    <w:rsid w:val="00924968"/>
    <w:rsid w:val="00925846"/>
    <w:rsid w:val="00934518"/>
    <w:rsid w:val="00935285"/>
    <w:rsid w:val="00936DF7"/>
    <w:rsid w:val="00937847"/>
    <w:rsid w:val="009435E8"/>
    <w:rsid w:val="0094521C"/>
    <w:rsid w:val="009453D8"/>
    <w:rsid w:val="00961BFB"/>
    <w:rsid w:val="00963FAC"/>
    <w:rsid w:val="00965AAD"/>
    <w:rsid w:val="00972A01"/>
    <w:rsid w:val="009739EB"/>
    <w:rsid w:val="00976E1D"/>
    <w:rsid w:val="009B32AE"/>
    <w:rsid w:val="009B4C69"/>
    <w:rsid w:val="009C6978"/>
    <w:rsid w:val="009C7E84"/>
    <w:rsid w:val="009E3C56"/>
    <w:rsid w:val="009E5A16"/>
    <w:rsid w:val="009E7EAF"/>
    <w:rsid w:val="009F0E29"/>
    <w:rsid w:val="009F0F75"/>
    <w:rsid w:val="009F26B6"/>
    <w:rsid w:val="009F2E43"/>
    <w:rsid w:val="009F34BC"/>
    <w:rsid w:val="009F4088"/>
    <w:rsid w:val="00A04857"/>
    <w:rsid w:val="00A052EC"/>
    <w:rsid w:val="00A06168"/>
    <w:rsid w:val="00A067D6"/>
    <w:rsid w:val="00A16710"/>
    <w:rsid w:val="00A17119"/>
    <w:rsid w:val="00A17377"/>
    <w:rsid w:val="00A3726C"/>
    <w:rsid w:val="00A47210"/>
    <w:rsid w:val="00A55F44"/>
    <w:rsid w:val="00A57933"/>
    <w:rsid w:val="00A57CB6"/>
    <w:rsid w:val="00A64BBA"/>
    <w:rsid w:val="00A7143F"/>
    <w:rsid w:val="00A74F34"/>
    <w:rsid w:val="00A7686D"/>
    <w:rsid w:val="00A77A50"/>
    <w:rsid w:val="00A807BE"/>
    <w:rsid w:val="00A81388"/>
    <w:rsid w:val="00A83EFC"/>
    <w:rsid w:val="00A83FCA"/>
    <w:rsid w:val="00A852F2"/>
    <w:rsid w:val="00A86627"/>
    <w:rsid w:val="00AA2B49"/>
    <w:rsid w:val="00AA3625"/>
    <w:rsid w:val="00AA363D"/>
    <w:rsid w:val="00AA6D4D"/>
    <w:rsid w:val="00AB0087"/>
    <w:rsid w:val="00AB339F"/>
    <w:rsid w:val="00AB3728"/>
    <w:rsid w:val="00AB74A3"/>
    <w:rsid w:val="00AC0D43"/>
    <w:rsid w:val="00AC0E80"/>
    <w:rsid w:val="00AC126D"/>
    <w:rsid w:val="00AC554D"/>
    <w:rsid w:val="00AD05F1"/>
    <w:rsid w:val="00AD27B0"/>
    <w:rsid w:val="00AD2B2E"/>
    <w:rsid w:val="00AF1F3F"/>
    <w:rsid w:val="00AF4F90"/>
    <w:rsid w:val="00B074AC"/>
    <w:rsid w:val="00B1317E"/>
    <w:rsid w:val="00B1632D"/>
    <w:rsid w:val="00B16EBC"/>
    <w:rsid w:val="00B23BDB"/>
    <w:rsid w:val="00B30B58"/>
    <w:rsid w:val="00B42E0F"/>
    <w:rsid w:val="00B45C2B"/>
    <w:rsid w:val="00B4766A"/>
    <w:rsid w:val="00B478EC"/>
    <w:rsid w:val="00B56E8B"/>
    <w:rsid w:val="00B57FA5"/>
    <w:rsid w:val="00B62D6C"/>
    <w:rsid w:val="00B65624"/>
    <w:rsid w:val="00B674A3"/>
    <w:rsid w:val="00B7349B"/>
    <w:rsid w:val="00B74DD3"/>
    <w:rsid w:val="00B77B0F"/>
    <w:rsid w:val="00B77B9D"/>
    <w:rsid w:val="00B9339E"/>
    <w:rsid w:val="00BA7156"/>
    <w:rsid w:val="00BC0DD6"/>
    <w:rsid w:val="00BC0E9E"/>
    <w:rsid w:val="00BC0FE9"/>
    <w:rsid w:val="00BC44BF"/>
    <w:rsid w:val="00BC53AB"/>
    <w:rsid w:val="00BC72F8"/>
    <w:rsid w:val="00BC7A4C"/>
    <w:rsid w:val="00BD2D65"/>
    <w:rsid w:val="00BD2D8C"/>
    <w:rsid w:val="00BD663E"/>
    <w:rsid w:val="00BE407D"/>
    <w:rsid w:val="00BE4439"/>
    <w:rsid w:val="00BE7136"/>
    <w:rsid w:val="00BF017F"/>
    <w:rsid w:val="00BF79CF"/>
    <w:rsid w:val="00C003DC"/>
    <w:rsid w:val="00C00A52"/>
    <w:rsid w:val="00C01239"/>
    <w:rsid w:val="00C0154A"/>
    <w:rsid w:val="00C0253F"/>
    <w:rsid w:val="00C0258F"/>
    <w:rsid w:val="00C11B4E"/>
    <w:rsid w:val="00C12641"/>
    <w:rsid w:val="00C14CCC"/>
    <w:rsid w:val="00C23431"/>
    <w:rsid w:val="00C265F2"/>
    <w:rsid w:val="00C272A0"/>
    <w:rsid w:val="00C3134E"/>
    <w:rsid w:val="00C3280F"/>
    <w:rsid w:val="00C32EF4"/>
    <w:rsid w:val="00C343E9"/>
    <w:rsid w:val="00C46920"/>
    <w:rsid w:val="00C4704B"/>
    <w:rsid w:val="00C52F03"/>
    <w:rsid w:val="00C550EB"/>
    <w:rsid w:val="00C55C7C"/>
    <w:rsid w:val="00C56D88"/>
    <w:rsid w:val="00C65EF6"/>
    <w:rsid w:val="00C74D41"/>
    <w:rsid w:val="00C75AE0"/>
    <w:rsid w:val="00C75CBB"/>
    <w:rsid w:val="00C77C87"/>
    <w:rsid w:val="00C80DAA"/>
    <w:rsid w:val="00C8625A"/>
    <w:rsid w:val="00C87294"/>
    <w:rsid w:val="00C93AC3"/>
    <w:rsid w:val="00C95B4A"/>
    <w:rsid w:val="00CA011C"/>
    <w:rsid w:val="00CA43FD"/>
    <w:rsid w:val="00CA6B28"/>
    <w:rsid w:val="00CB1973"/>
    <w:rsid w:val="00CC35AE"/>
    <w:rsid w:val="00CC7EFF"/>
    <w:rsid w:val="00CE0A3A"/>
    <w:rsid w:val="00CE3995"/>
    <w:rsid w:val="00CF1357"/>
    <w:rsid w:val="00CF2FA2"/>
    <w:rsid w:val="00CF7C1C"/>
    <w:rsid w:val="00D0073B"/>
    <w:rsid w:val="00D01C29"/>
    <w:rsid w:val="00D02DA3"/>
    <w:rsid w:val="00D0687F"/>
    <w:rsid w:val="00D11052"/>
    <w:rsid w:val="00D17371"/>
    <w:rsid w:val="00D258F0"/>
    <w:rsid w:val="00D2617C"/>
    <w:rsid w:val="00D26D7A"/>
    <w:rsid w:val="00D2768D"/>
    <w:rsid w:val="00D3054F"/>
    <w:rsid w:val="00D35F72"/>
    <w:rsid w:val="00D43FDA"/>
    <w:rsid w:val="00D50C07"/>
    <w:rsid w:val="00D55EB0"/>
    <w:rsid w:val="00D55F1A"/>
    <w:rsid w:val="00D570C7"/>
    <w:rsid w:val="00D61931"/>
    <w:rsid w:val="00D835F5"/>
    <w:rsid w:val="00D83E8F"/>
    <w:rsid w:val="00D933E5"/>
    <w:rsid w:val="00D96A81"/>
    <w:rsid w:val="00DB75D6"/>
    <w:rsid w:val="00DC6EB5"/>
    <w:rsid w:val="00DD1EA8"/>
    <w:rsid w:val="00DD29FB"/>
    <w:rsid w:val="00DD51F4"/>
    <w:rsid w:val="00DE01C8"/>
    <w:rsid w:val="00DE5498"/>
    <w:rsid w:val="00DE55ED"/>
    <w:rsid w:val="00DF079E"/>
    <w:rsid w:val="00DF15F9"/>
    <w:rsid w:val="00DF6846"/>
    <w:rsid w:val="00E0004B"/>
    <w:rsid w:val="00E00966"/>
    <w:rsid w:val="00E26A94"/>
    <w:rsid w:val="00E30AFB"/>
    <w:rsid w:val="00E32E5B"/>
    <w:rsid w:val="00E3622B"/>
    <w:rsid w:val="00E42325"/>
    <w:rsid w:val="00E46D56"/>
    <w:rsid w:val="00E53BB5"/>
    <w:rsid w:val="00E55446"/>
    <w:rsid w:val="00E65005"/>
    <w:rsid w:val="00E66E87"/>
    <w:rsid w:val="00E77E4A"/>
    <w:rsid w:val="00E86BF9"/>
    <w:rsid w:val="00E93864"/>
    <w:rsid w:val="00E93970"/>
    <w:rsid w:val="00E9408F"/>
    <w:rsid w:val="00E96816"/>
    <w:rsid w:val="00E974E0"/>
    <w:rsid w:val="00EA688B"/>
    <w:rsid w:val="00EA7B7F"/>
    <w:rsid w:val="00EC4D08"/>
    <w:rsid w:val="00EC6829"/>
    <w:rsid w:val="00ED00C7"/>
    <w:rsid w:val="00ED21FA"/>
    <w:rsid w:val="00ED2FCA"/>
    <w:rsid w:val="00EF04A5"/>
    <w:rsid w:val="00EF18CF"/>
    <w:rsid w:val="00EF4747"/>
    <w:rsid w:val="00F01873"/>
    <w:rsid w:val="00F02F4A"/>
    <w:rsid w:val="00F03384"/>
    <w:rsid w:val="00F13D65"/>
    <w:rsid w:val="00F17F19"/>
    <w:rsid w:val="00F322B4"/>
    <w:rsid w:val="00F32FA0"/>
    <w:rsid w:val="00F3312C"/>
    <w:rsid w:val="00F454BD"/>
    <w:rsid w:val="00F466D9"/>
    <w:rsid w:val="00F53BB7"/>
    <w:rsid w:val="00F554E9"/>
    <w:rsid w:val="00F631C4"/>
    <w:rsid w:val="00F729D1"/>
    <w:rsid w:val="00F75636"/>
    <w:rsid w:val="00F7606B"/>
    <w:rsid w:val="00F80E54"/>
    <w:rsid w:val="00F83E0C"/>
    <w:rsid w:val="00F90B98"/>
    <w:rsid w:val="00F91299"/>
    <w:rsid w:val="00F93D29"/>
    <w:rsid w:val="00F9421F"/>
    <w:rsid w:val="00F947DF"/>
    <w:rsid w:val="00F94A7A"/>
    <w:rsid w:val="00F9726C"/>
    <w:rsid w:val="00FA02B6"/>
    <w:rsid w:val="00FA4091"/>
    <w:rsid w:val="00FA6616"/>
    <w:rsid w:val="00FB1788"/>
    <w:rsid w:val="00FB5CED"/>
    <w:rsid w:val="00FB5F59"/>
    <w:rsid w:val="00FB7ED5"/>
    <w:rsid w:val="00FC061A"/>
    <w:rsid w:val="00FC1DC7"/>
    <w:rsid w:val="00FC3754"/>
    <w:rsid w:val="00FC71D3"/>
    <w:rsid w:val="00FC79C2"/>
    <w:rsid w:val="00FD14AD"/>
    <w:rsid w:val="00FD5B1E"/>
    <w:rsid w:val="00FD603E"/>
    <w:rsid w:val="00FD761E"/>
    <w:rsid w:val="00FE5EAE"/>
    <w:rsid w:val="01047C84"/>
    <w:rsid w:val="01451CE4"/>
    <w:rsid w:val="01870952"/>
    <w:rsid w:val="01935FDA"/>
    <w:rsid w:val="01A74591"/>
    <w:rsid w:val="01BD2CFF"/>
    <w:rsid w:val="02A478AB"/>
    <w:rsid w:val="02EB09E3"/>
    <w:rsid w:val="02EB3F78"/>
    <w:rsid w:val="031E01D8"/>
    <w:rsid w:val="0320714F"/>
    <w:rsid w:val="035937A7"/>
    <w:rsid w:val="038E2CE0"/>
    <w:rsid w:val="03F34FF1"/>
    <w:rsid w:val="04130F17"/>
    <w:rsid w:val="04567A33"/>
    <w:rsid w:val="04BC20E2"/>
    <w:rsid w:val="058B78C7"/>
    <w:rsid w:val="05B603ED"/>
    <w:rsid w:val="05FF7882"/>
    <w:rsid w:val="065175DE"/>
    <w:rsid w:val="0661605D"/>
    <w:rsid w:val="066F544C"/>
    <w:rsid w:val="06F27825"/>
    <w:rsid w:val="071A0CF5"/>
    <w:rsid w:val="07E56D09"/>
    <w:rsid w:val="08262019"/>
    <w:rsid w:val="085A5E3C"/>
    <w:rsid w:val="090A0715"/>
    <w:rsid w:val="092E6ACF"/>
    <w:rsid w:val="09455E57"/>
    <w:rsid w:val="09785588"/>
    <w:rsid w:val="098F09E8"/>
    <w:rsid w:val="09DE1F31"/>
    <w:rsid w:val="09EE6699"/>
    <w:rsid w:val="0A326207"/>
    <w:rsid w:val="0A343E3A"/>
    <w:rsid w:val="0A3534D9"/>
    <w:rsid w:val="0A8F5D00"/>
    <w:rsid w:val="0AD10ED9"/>
    <w:rsid w:val="0ADB786D"/>
    <w:rsid w:val="0AFD3643"/>
    <w:rsid w:val="0B0A3D21"/>
    <w:rsid w:val="0B2656E3"/>
    <w:rsid w:val="0B6B4093"/>
    <w:rsid w:val="0BBE26DA"/>
    <w:rsid w:val="0BC57161"/>
    <w:rsid w:val="0C4B55B7"/>
    <w:rsid w:val="0C8F3D96"/>
    <w:rsid w:val="0CE6111D"/>
    <w:rsid w:val="0CE82F26"/>
    <w:rsid w:val="0CFB374D"/>
    <w:rsid w:val="0D662D48"/>
    <w:rsid w:val="0D6909E6"/>
    <w:rsid w:val="0D7F252D"/>
    <w:rsid w:val="0DF7435F"/>
    <w:rsid w:val="0EA13A05"/>
    <w:rsid w:val="0F391AE8"/>
    <w:rsid w:val="0F740E36"/>
    <w:rsid w:val="0F8F4699"/>
    <w:rsid w:val="0F9657BF"/>
    <w:rsid w:val="0FC4792B"/>
    <w:rsid w:val="0FD635F7"/>
    <w:rsid w:val="1094292C"/>
    <w:rsid w:val="10BA2D07"/>
    <w:rsid w:val="10FB5FDE"/>
    <w:rsid w:val="11186991"/>
    <w:rsid w:val="118D27FA"/>
    <w:rsid w:val="118F65E6"/>
    <w:rsid w:val="12295D60"/>
    <w:rsid w:val="12334E03"/>
    <w:rsid w:val="1288478E"/>
    <w:rsid w:val="12B5207C"/>
    <w:rsid w:val="12E83721"/>
    <w:rsid w:val="12FF5D0A"/>
    <w:rsid w:val="133E4C51"/>
    <w:rsid w:val="13453400"/>
    <w:rsid w:val="13503807"/>
    <w:rsid w:val="139742EB"/>
    <w:rsid w:val="13AD3B87"/>
    <w:rsid w:val="14002A7D"/>
    <w:rsid w:val="1424224D"/>
    <w:rsid w:val="14756806"/>
    <w:rsid w:val="1594336A"/>
    <w:rsid w:val="15D24D6C"/>
    <w:rsid w:val="15F94BDC"/>
    <w:rsid w:val="1624418C"/>
    <w:rsid w:val="165D2930"/>
    <w:rsid w:val="167F4E7B"/>
    <w:rsid w:val="16B5406F"/>
    <w:rsid w:val="176248A0"/>
    <w:rsid w:val="1763479D"/>
    <w:rsid w:val="178B5087"/>
    <w:rsid w:val="17935CD1"/>
    <w:rsid w:val="17BD5C5B"/>
    <w:rsid w:val="17D83CDB"/>
    <w:rsid w:val="17DB68C6"/>
    <w:rsid w:val="181E02AD"/>
    <w:rsid w:val="18414C73"/>
    <w:rsid w:val="184D68B1"/>
    <w:rsid w:val="18533FA8"/>
    <w:rsid w:val="18730EE8"/>
    <w:rsid w:val="188756AF"/>
    <w:rsid w:val="189D5FF2"/>
    <w:rsid w:val="18C8063D"/>
    <w:rsid w:val="18D11FAF"/>
    <w:rsid w:val="192D0AC0"/>
    <w:rsid w:val="193006AE"/>
    <w:rsid w:val="19327416"/>
    <w:rsid w:val="19592546"/>
    <w:rsid w:val="199C323C"/>
    <w:rsid w:val="19A5109C"/>
    <w:rsid w:val="1A0B77E8"/>
    <w:rsid w:val="1A3F329F"/>
    <w:rsid w:val="1A934E2D"/>
    <w:rsid w:val="1B2123D4"/>
    <w:rsid w:val="1B2314C7"/>
    <w:rsid w:val="1B4F5E18"/>
    <w:rsid w:val="1B6770B2"/>
    <w:rsid w:val="1BD059D8"/>
    <w:rsid w:val="1BDA2114"/>
    <w:rsid w:val="1BFA67F2"/>
    <w:rsid w:val="1CA53E79"/>
    <w:rsid w:val="1CDB1D19"/>
    <w:rsid w:val="1CEE309E"/>
    <w:rsid w:val="1D207DC7"/>
    <w:rsid w:val="1D4F5D51"/>
    <w:rsid w:val="1D773624"/>
    <w:rsid w:val="1DB766A6"/>
    <w:rsid w:val="1DDF111B"/>
    <w:rsid w:val="1DE46931"/>
    <w:rsid w:val="1E5A3F42"/>
    <w:rsid w:val="1E8A74D2"/>
    <w:rsid w:val="1E9C3364"/>
    <w:rsid w:val="1E9D4E78"/>
    <w:rsid w:val="1EAA2CA2"/>
    <w:rsid w:val="1EB6219C"/>
    <w:rsid w:val="1ECB52AF"/>
    <w:rsid w:val="1ED42E87"/>
    <w:rsid w:val="1F3A0E0F"/>
    <w:rsid w:val="1F434491"/>
    <w:rsid w:val="1F5B02DD"/>
    <w:rsid w:val="1FBF5292"/>
    <w:rsid w:val="1FDC7DD1"/>
    <w:rsid w:val="1FE72513"/>
    <w:rsid w:val="2011608D"/>
    <w:rsid w:val="20303E03"/>
    <w:rsid w:val="20965950"/>
    <w:rsid w:val="20C749C0"/>
    <w:rsid w:val="20E063CC"/>
    <w:rsid w:val="21031104"/>
    <w:rsid w:val="21247AD5"/>
    <w:rsid w:val="21286AEB"/>
    <w:rsid w:val="21467699"/>
    <w:rsid w:val="215E57AC"/>
    <w:rsid w:val="22143AEA"/>
    <w:rsid w:val="22170802"/>
    <w:rsid w:val="2244205C"/>
    <w:rsid w:val="224C2963"/>
    <w:rsid w:val="226118D9"/>
    <w:rsid w:val="227B6E3E"/>
    <w:rsid w:val="228821E7"/>
    <w:rsid w:val="22B22989"/>
    <w:rsid w:val="234F6C68"/>
    <w:rsid w:val="236C14F7"/>
    <w:rsid w:val="23E51F22"/>
    <w:rsid w:val="24F829C8"/>
    <w:rsid w:val="25064AE4"/>
    <w:rsid w:val="253E0D1B"/>
    <w:rsid w:val="255A53A1"/>
    <w:rsid w:val="25826736"/>
    <w:rsid w:val="25A15B75"/>
    <w:rsid w:val="26071DB6"/>
    <w:rsid w:val="2611346F"/>
    <w:rsid w:val="266A7583"/>
    <w:rsid w:val="26A12BEB"/>
    <w:rsid w:val="26C92BD2"/>
    <w:rsid w:val="271F02D4"/>
    <w:rsid w:val="274F2925"/>
    <w:rsid w:val="2770507C"/>
    <w:rsid w:val="27781B9E"/>
    <w:rsid w:val="27A0367E"/>
    <w:rsid w:val="27AB0D5B"/>
    <w:rsid w:val="27D52D7C"/>
    <w:rsid w:val="2833091D"/>
    <w:rsid w:val="285777E9"/>
    <w:rsid w:val="28816D18"/>
    <w:rsid w:val="28DF25A3"/>
    <w:rsid w:val="2910005E"/>
    <w:rsid w:val="29146921"/>
    <w:rsid w:val="29371698"/>
    <w:rsid w:val="29887309"/>
    <w:rsid w:val="29DF24E8"/>
    <w:rsid w:val="29FE3787"/>
    <w:rsid w:val="2A5B73A2"/>
    <w:rsid w:val="2A6F11D1"/>
    <w:rsid w:val="2AFE384E"/>
    <w:rsid w:val="2B37047D"/>
    <w:rsid w:val="2B7B7EAF"/>
    <w:rsid w:val="2B9D15AA"/>
    <w:rsid w:val="2BB85BFF"/>
    <w:rsid w:val="2BF0264B"/>
    <w:rsid w:val="2C2B46E1"/>
    <w:rsid w:val="2C475C34"/>
    <w:rsid w:val="2C477A38"/>
    <w:rsid w:val="2C721598"/>
    <w:rsid w:val="2C752D7C"/>
    <w:rsid w:val="2C9E2B15"/>
    <w:rsid w:val="2CD86C3B"/>
    <w:rsid w:val="2CF55A3F"/>
    <w:rsid w:val="2D19661A"/>
    <w:rsid w:val="2D2A2BE8"/>
    <w:rsid w:val="2D4100BE"/>
    <w:rsid w:val="2D4D5E03"/>
    <w:rsid w:val="2D8E123A"/>
    <w:rsid w:val="2DE9514A"/>
    <w:rsid w:val="2E552B17"/>
    <w:rsid w:val="2EA414CB"/>
    <w:rsid w:val="2EE42428"/>
    <w:rsid w:val="2EED6117"/>
    <w:rsid w:val="2F186005"/>
    <w:rsid w:val="3002732E"/>
    <w:rsid w:val="30106D7A"/>
    <w:rsid w:val="304D7F6A"/>
    <w:rsid w:val="304E10D8"/>
    <w:rsid w:val="30AE1A4F"/>
    <w:rsid w:val="31A3294F"/>
    <w:rsid w:val="31BF2D00"/>
    <w:rsid w:val="31D00846"/>
    <w:rsid w:val="320C504B"/>
    <w:rsid w:val="32351D34"/>
    <w:rsid w:val="32787B6D"/>
    <w:rsid w:val="32832040"/>
    <w:rsid w:val="32A9229E"/>
    <w:rsid w:val="32AE0710"/>
    <w:rsid w:val="32E5255E"/>
    <w:rsid w:val="33566BB6"/>
    <w:rsid w:val="33650457"/>
    <w:rsid w:val="3366090B"/>
    <w:rsid w:val="33784018"/>
    <w:rsid w:val="339E30BB"/>
    <w:rsid w:val="34181541"/>
    <w:rsid w:val="34CF1DAC"/>
    <w:rsid w:val="35663534"/>
    <w:rsid w:val="35D46457"/>
    <w:rsid w:val="360B3639"/>
    <w:rsid w:val="3630548B"/>
    <w:rsid w:val="366F0610"/>
    <w:rsid w:val="36D007BC"/>
    <w:rsid w:val="3701505D"/>
    <w:rsid w:val="37384B5E"/>
    <w:rsid w:val="374D6CD8"/>
    <w:rsid w:val="3794371B"/>
    <w:rsid w:val="38616C50"/>
    <w:rsid w:val="38920159"/>
    <w:rsid w:val="392225A0"/>
    <w:rsid w:val="395A20EA"/>
    <w:rsid w:val="395A61E8"/>
    <w:rsid w:val="395B52F8"/>
    <w:rsid w:val="39617BFA"/>
    <w:rsid w:val="3ABC118C"/>
    <w:rsid w:val="3ABD3D17"/>
    <w:rsid w:val="3AFE1F63"/>
    <w:rsid w:val="3C4B4638"/>
    <w:rsid w:val="3CA66A41"/>
    <w:rsid w:val="3CC97466"/>
    <w:rsid w:val="3CD55569"/>
    <w:rsid w:val="3D073351"/>
    <w:rsid w:val="3D0A1241"/>
    <w:rsid w:val="3DA14BE8"/>
    <w:rsid w:val="3E3E5FAD"/>
    <w:rsid w:val="3EA17FE9"/>
    <w:rsid w:val="3EA63C10"/>
    <w:rsid w:val="3EAB60AF"/>
    <w:rsid w:val="3EBE007B"/>
    <w:rsid w:val="3ED53345"/>
    <w:rsid w:val="3EE608F7"/>
    <w:rsid w:val="3F2C4BDD"/>
    <w:rsid w:val="3F2F3033"/>
    <w:rsid w:val="3F4B1415"/>
    <w:rsid w:val="3F6A5497"/>
    <w:rsid w:val="3FC964D8"/>
    <w:rsid w:val="3FF61246"/>
    <w:rsid w:val="402D3A0C"/>
    <w:rsid w:val="406C1AA0"/>
    <w:rsid w:val="40C31C84"/>
    <w:rsid w:val="40F741C8"/>
    <w:rsid w:val="41047591"/>
    <w:rsid w:val="416E5FEC"/>
    <w:rsid w:val="41DD02CD"/>
    <w:rsid w:val="42363DAA"/>
    <w:rsid w:val="42741958"/>
    <w:rsid w:val="42AA12A4"/>
    <w:rsid w:val="42CA3C47"/>
    <w:rsid w:val="42D330C4"/>
    <w:rsid w:val="43482500"/>
    <w:rsid w:val="43842446"/>
    <w:rsid w:val="438C4E60"/>
    <w:rsid w:val="438C733C"/>
    <w:rsid w:val="43917E18"/>
    <w:rsid w:val="439F2181"/>
    <w:rsid w:val="43E20142"/>
    <w:rsid w:val="43FC2128"/>
    <w:rsid w:val="440219BB"/>
    <w:rsid w:val="44305883"/>
    <w:rsid w:val="443C4F57"/>
    <w:rsid w:val="44922D23"/>
    <w:rsid w:val="44D87DAC"/>
    <w:rsid w:val="45350C9E"/>
    <w:rsid w:val="46295569"/>
    <w:rsid w:val="465423DC"/>
    <w:rsid w:val="46860F7A"/>
    <w:rsid w:val="46BE39EE"/>
    <w:rsid w:val="46DD1482"/>
    <w:rsid w:val="471700F0"/>
    <w:rsid w:val="473B25B7"/>
    <w:rsid w:val="47420853"/>
    <w:rsid w:val="47887329"/>
    <w:rsid w:val="47D7315D"/>
    <w:rsid w:val="47F33778"/>
    <w:rsid w:val="47F556FA"/>
    <w:rsid w:val="47F779A6"/>
    <w:rsid w:val="48567FF7"/>
    <w:rsid w:val="486E0837"/>
    <w:rsid w:val="48DC2FE7"/>
    <w:rsid w:val="48DD3AD2"/>
    <w:rsid w:val="48FC1090"/>
    <w:rsid w:val="491820A9"/>
    <w:rsid w:val="49322832"/>
    <w:rsid w:val="495438D1"/>
    <w:rsid w:val="498208C7"/>
    <w:rsid w:val="49AD0453"/>
    <w:rsid w:val="49E94157"/>
    <w:rsid w:val="4A442CD8"/>
    <w:rsid w:val="4A4E49F8"/>
    <w:rsid w:val="4AE755DB"/>
    <w:rsid w:val="4AF130B9"/>
    <w:rsid w:val="4AFD65B3"/>
    <w:rsid w:val="4B9507E9"/>
    <w:rsid w:val="4BCE66F4"/>
    <w:rsid w:val="4C03562B"/>
    <w:rsid w:val="4C084F42"/>
    <w:rsid w:val="4C2D382D"/>
    <w:rsid w:val="4C6B699B"/>
    <w:rsid w:val="4C964902"/>
    <w:rsid w:val="4C9F0125"/>
    <w:rsid w:val="4CAC4B09"/>
    <w:rsid w:val="4CB22D7C"/>
    <w:rsid w:val="4D0E32E4"/>
    <w:rsid w:val="4D276894"/>
    <w:rsid w:val="4DBB0AA4"/>
    <w:rsid w:val="4DC82688"/>
    <w:rsid w:val="4DDE2E04"/>
    <w:rsid w:val="4DE16C5A"/>
    <w:rsid w:val="4E0E252C"/>
    <w:rsid w:val="4E5F54C1"/>
    <w:rsid w:val="4E747C87"/>
    <w:rsid w:val="4E791BD4"/>
    <w:rsid w:val="4EDE264F"/>
    <w:rsid w:val="4F781436"/>
    <w:rsid w:val="4F7A3410"/>
    <w:rsid w:val="4F8E22C9"/>
    <w:rsid w:val="4FB81416"/>
    <w:rsid w:val="4FD65F92"/>
    <w:rsid w:val="4FF06EC3"/>
    <w:rsid w:val="4FF213CE"/>
    <w:rsid w:val="4FF445F3"/>
    <w:rsid w:val="500C1D11"/>
    <w:rsid w:val="502563E7"/>
    <w:rsid w:val="506F0091"/>
    <w:rsid w:val="510103B6"/>
    <w:rsid w:val="512D3F90"/>
    <w:rsid w:val="517C291B"/>
    <w:rsid w:val="520F12D0"/>
    <w:rsid w:val="52483D98"/>
    <w:rsid w:val="531F6437"/>
    <w:rsid w:val="53351276"/>
    <w:rsid w:val="53C3567C"/>
    <w:rsid w:val="540A1108"/>
    <w:rsid w:val="540F6A97"/>
    <w:rsid w:val="541339D2"/>
    <w:rsid w:val="54160245"/>
    <w:rsid w:val="543976A5"/>
    <w:rsid w:val="5455708D"/>
    <w:rsid w:val="54967983"/>
    <w:rsid w:val="54A4403F"/>
    <w:rsid w:val="54D062C6"/>
    <w:rsid w:val="54D66964"/>
    <w:rsid w:val="54D741AB"/>
    <w:rsid w:val="55B17EA6"/>
    <w:rsid w:val="55BF34FB"/>
    <w:rsid w:val="55C24748"/>
    <w:rsid w:val="5633353C"/>
    <w:rsid w:val="56570D32"/>
    <w:rsid w:val="5683705E"/>
    <w:rsid w:val="569A4BFB"/>
    <w:rsid w:val="5701275D"/>
    <w:rsid w:val="5738370E"/>
    <w:rsid w:val="573B2628"/>
    <w:rsid w:val="575371C8"/>
    <w:rsid w:val="577951F3"/>
    <w:rsid w:val="57D63D80"/>
    <w:rsid w:val="58D764D1"/>
    <w:rsid w:val="58DA6BDE"/>
    <w:rsid w:val="594F7A86"/>
    <w:rsid w:val="59707850"/>
    <w:rsid w:val="59991E7B"/>
    <w:rsid w:val="59D04678"/>
    <w:rsid w:val="59E67F1B"/>
    <w:rsid w:val="59E97B17"/>
    <w:rsid w:val="59F232FA"/>
    <w:rsid w:val="5A6126F8"/>
    <w:rsid w:val="5A6479FE"/>
    <w:rsid w:val="5A786858"/>
    <w:rsid w:val="5AFC448A"/>
    <w:rsid w:val="5B024715"/>
    <w:rsid w:val="5B133629"/>
    <w:rsid w:val="5B3867C8"/>
    <w:rsid w:val="5B402248"/>
    <w:rsid w:val="5B896218"/>
    <w:rsid w:val="5C6B1339"/>
    <w:rsid w:val="5CB63432"/>
    <w:rsid w:val="5CC05B29"/>
    <w:rsid w:val="5CF47B52"/>
    <w:rsid w:val="5D890B1C"/>
    <w:rsid w:val="5E4429B7"/>
    <w:rsid w:val="5F242E51"/>
    <w:rsid w:val="5F43738B"/>
    <w:rsid w:val="5FA34FE2"/>
    <w:rsid w:val="5FB06CFC"/>
    <w:rsid w:val="5FB107AA"/>
    <w:rsid w:val="5FBF602C"/>
    <w:rsid w:val="5FD7193E"/>
    <w:rsid w:val="603235A2"/>
    <w:rsid w:val="60BB2C55"/>
    <w:rsid w:val="6128307F"/>
    <w:rsid w:val="61346BEB"/>
    <w:rsid w:val="61500EBB"/>
    <w:rsid w:val="61A82AA5"/>
    <w:rsid w:val="61BC3344"/>
    <w:rsid w:val="6212075F"/>
    <w:rsid w:val="624C1682"/>
    <w:rsid w:val="625A5DC3"/>
    <w:rsid w:val="62804FC6"/>
    <w:rsid w:val="62864978"/>
    <w:rsid w:val="62C70D09"/>
    <w:rsid w:val="62ED731F"/>
    <w:rsid w:val="63030521"/>
    <w:rsid w:val="63267478"/>
    <w:rsid w:val="633974A1"/>
    <w:rsid w:val="63604E42"/>
    <w:rsid w:val="63A72C44"/>
    <w:rsid w:val="63F34EF6"/>
    <w:rsid w:val="64551946"/>
    <w:rsid w:val="649936C0"/>
    <w:rsid w:val="64D47832"/>
    <w:rsid w:val="65136B7C"/>
    <w:rsid w:val="6517683E"/>
    <w:rsid w:val="653463FD"/>
    <w:rsid w:val="65BF02FA"/>
    <w:rsid w:val="66170A2D"/>
    <w:rsid w:val="66617B96"/>
    <w:rsid w:val="66707C43"/>
    <w:rsid w:val="66F2758A"/>
    <w:rsid w:val="671078EB"/>
    <w:rsid w:val="672D11CE"/>
    <w:rsid w:val="673D6EF3"/>
    <w:rsid w:val="6773145F"/>
    <w:rsid w:val="678E6299"/>
    <w:rsid w:val="67BA1B6D"/>
    <w:rsid w:val="67BD5511"/>
    <w:rsid w:val="67C3409F"/>
    <w:rsid w:val="67E213F1"/>
    <w:rsid w:val="67E81D47"/>
    <w:rsid w:val="680C5800"/>
    <w:rsid w:val="6865643E"/>
    <w:rsid w:val="687125F4"/>
    <w:rsid w:val="68DE7878"/>
    <w:rsid w:val="68EE45FC"/>
    <w:rsid w:val="69440EF3"/>
    <w:rsid w:val="69594684"/>
    <w:rsid w:val="699C3FD5"/>
    <w:rsid w:val="69A25FD8"/>
    <w:rsid w:val="69BE2FF2"/>
    <w:rsid w:val="69E7235B"/>
    <w:rsid w:val="69E76204"/>
    <w:rsid w:val="69F95788"/>
    <w:rsid w:val="69FB6280"/>
    <w:rsid w:val="6A3C7658"/>
    <w:rsid w:val="6AFA5590"/>
    <w:rsid w:val="6B266CCC"/>
    <w:rsid w:val="6B5D34D5"/>
    <w:rsid w:val="6B985A77"/>
    <w:rsid w:val="6BE21C56"/>
    <w:rsid w:val="6BEB2446"/>
    <w:rsid w:val="6C615F97"/>
    <w:rsid w:val="6CB45126"/>
    <w:rsid w:val="6D286FA2"/>
    <w:rsid w:val="6D5A2010"/>
    <w:rsid w:val="6D713E58"/>
    <w:rsid w:val="6D77314B"/>
    <w:rsid w:val="6DAF21C0"/>
    <w:rsid w:val="6DCF530A"/>
    <w:rsid w:val="6E2471D8"/>
    <w:rsid w:val="6E3D1753"/>
    <w:rsid w:val="6EC60AEC"/>
    <w:rsid w:val="6ED66B76"/>
    <w:rsid w:val="6ED86592"/>
    <w:rsid w:val="6F5352D5"/>
    <w:rsid w:val="6FD31FD9"/>
    <w:rsid w:val="702512AF"/>
    <w:rsid w:val="70A9685A"/>
    <w:rsid w:val="70B05001"/>
    <w:rsid w:val="70D108DD"/>
    <w:rsid w:val="713423AD"/>
    <w:rsid w:val="713C72EB"/>
    <w:rsid w:val="719B00B1"/>
    <w:rsid w:val="71F31B1A"/>
    <w:rsid w:val="71F735FC"/>
    <w:rsid w:val="72141068"/>
    <w:rsid w:val="72564DCA"/>
    <w:rsid w:val="726409B7"/>
    <w:rsid w:val="72814B58"/>
    <w:rsid w:val="72961380"/>
    <w:rsid w:val="72D249B5"/>
    <w:rsid w:val="7300532E"/>
    <w:rsid w:val="731233C1"/>
    <w:rsid w:val="731C6E4F"/>
    <w:rsid w:val="73443D60"/>
    <w:rsid w:val="734863A7"/>
    <w:rsid w:val="73734098"/>
    <w:rsid w:val="737D6578"/>
    <w:rsid w:val="738A16BB"/>
    <w:rsid w:val="73BF166A"/>
    <w:rsid w:val="73D342A2"/>
    <w:rsid w:val="73EA3263"/>
    <w:rsid w:val="73FA7E18"/>
    <w:rsid w:val="74175BD6"/>
    <w:rsid w:val="74F15037"/>
    <w:rsid w:val="75A33E8C"/>
    <w:rsid w:val="760408BF"/>
    <w:rsid w:val="76046CB6"/>
    <w:rsid w:val="760F0AB4"/>
    <w:rsid w:val="76126652"/>
    <w:rsid w:val="76976E5D"/>
    <w:rsid w:val="76985B86"/>
    <w:rsid w:val="771006B9"/>
    <w:rsid w:val="77516D2C"/>
    <w:rsid w:val="778E2610"/>
    <w:rsid w:val="7797608D"/>
    <w:rsid w:val="77B67B73"/>
    <w:rsid w:val="77C73829"/>
    <w:rsid w:val="78122BD4"/>
    <w:rsid w:val="783F5750"/>
    <w:rsid w:val="78441C6D"/>
    <w:rsid w:val="78BD63C6"/>
    <w:rsid w:val="792765C1"/>
    <w:rsid w:val="79424E37"/>
    <w:rsid w:val="796926C2"/>
    <w:rsid w:val="798F0FD2"/>
    <w:rsid w:val="79BE07D3"/>
    <w:rsid w:val="79CF2401"/>
    <w:rsid w:val="79F828AA"/>
    <w:rsid w:val="7A6D49C2"/>
    <w:rsid w:val="7B43160C"/>
    <w:rsid w:val="7B93191E"/>
    <w:rsid w:val="7B932914"/>
    <w:rsid w:val="7C3F4427"/>
    <w:rsid w:val="7C4A7595"/>
    <w:rsid w:val="7C77330E"/>
    <w:rsid w:val="7C7F28B8"/>
    <w:rsid w:val="7CAB47E1"/>
    <w:rsid w:val="7DAA5EF8"/>
    <w:rsid w:val="7DDF2F52"/>
    <w:rsid w:val="7E0C1287"/>
    <w:rsid w:val="7E34347C"/>
    <w:rsid w:val="7E480907"/>
    <w:rsid w:val="7E9B156F"/>
    <w:rsid w:val="7FA77AA0"/>
    <w:rsid w:val="7FB34C77"/>
    <w:rsid w:val="7FD75729"/>
    <w:rsid w:val="7FDB2AED"/>
    <w:rsid w:val="7FFA0C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iPriority="1" w:semiHidden="0" w:name="heading 4"/>
    <w:lsdException w:qFormat="1" w:uiPriority="1" w:semiHidden="0" w:name="heading 5"/>
    <w:lsdException w:qFormat="1" w:uiPriority="1" w:semiHidden="0" w:name="heading 6"/>
    <w:lsdException w:qFormat="1" w:uiPriority="1" w:semiHidden="0" w:name="heading 7"/>
    <w:lsdException w:qFormat="1" w:uiPriority="1" w:semiHidden="0" w:name="heading 8"/>
    <w:lsdException w:qFormat="1" w:uiPriority="9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qFormat="1" w:uiPriority="99" w:name="index heading"/>
    <w:lsdException w:qFormat="1" w:uiPriority="99"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0" w:semiHidden="0" w:name="page number"/>
    <w:lsdException w:qFormat="1" w:uiPriority="99" w:name="endnote reference"/>
    <w:lsdException w:qFormat="1" w:uiPriority="99" w:name="endnote text"/>
    <w:lsdException w:qFormat="1" w:unhideWhenUsed="0" w:uiPriority="99" w:semiHidden="0" w:name="table of authorities"/>
    <w:lsdException w:qFormat="1" w:uiPriority="99" w:name="macro"/>
    <w:lsdException w:qFormat="1" w:unhideWhenUsed="0" w:uiPriority="0" w:semiHidden="0" w:name="toa heading"/>
    <w:lsdException w:qFormat="1" w:unhideWhenUsed="0" w:uiPriority="99" w:semiHidden="0" w:name="List"/>
    <w:lsdException w:qFormat="1" w:unhideWhenUsed="0" w:uiPriority="99" w:semiHidden="0"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99" w:semiHidden="0" w:name="Title"/>
    <w:lsdException w:qFormat="1" w:uiPriority="99" w:name="Closing"/>
    <w:lsdException w:qFormat="1" w:uiPriority="99" w:name="Signature"/>
    <w:lsdException w:qFormat="1" w:uiPriority="1" w:name="Default Paragraph Font"/>
    <w:lsdException w:qFormat="1" w:uiPriority="1" w:semiHidden="0" w:name="Body Text"/>
    <w:lsdException w:qFormat="1" w:uiPriority="99" w:name="Body Text Indent"/>
    <w:lsdException w:qFormat="1" w:uiPriority="99"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iPriority="99" w:name="Message Header"/>
    <w:lsdException w:qFormat="1" w:unhideWhenUsed="0" w:uiPriority="99"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qFormat="1" w:uiPriority="99" w:name="Document Map"/>
    <w:lsdException w:qFormat="1" w:unhideWhenUsed="0" w:uiPriority="99" w:semiHidden="0" w:name="Plain Text"/>
    <w:lsdException w:qFormat="1" w:uiPriority="99" w:name="E-mail Signature"/>
    <w:lsdException w:qFormat="1"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5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unhideWhenUsed/>
    <w:qFormat/>
    <w:uiPriority w:val="1"/>
    <w:pPr>
      <w:spacing w:before="54"/>
      <w:outlineLvl w:val="0"/>
    </w:pPr>
    <w:rPr>
      <w:rFonts w:hint="eastAsia" w:ascii="宋体" w:hAnsi="宋体"/>
      <w:sz w:val="36"/>
    </w:rPr>
  </w:style>
  <w:style w:type="paragraph" w:styleId="3">
    <w:name w:val="heading 2"/>
    <w:basedOn w:val="1"/>
    <w:next w:val="1"/>
    <w:link w:val="32"/>
    <w:unhideWhenUsed/>
    <w:qFormat/>
    <w:uiPriority w:val="1"/>
    <w:pPr>
      <w:outlineLvl w:val="1"/>
    </w:pPr>
    <w:rPr>
      <w:rFonts w:hint="eastAsia" w:ascii="宋体" w:hAnsi="宋体"/>
      <w:b/>
      <w:sz w:val="30"/>
    </w:rPr>
  </w:style>
  <w:style w:type="paragraph" w:styleId="4">
    <w:name w:val="heading 3"/>
    <w:basedOn w:val="1"/>
    <w:next w:val="1"/>
    <w:unhideWhenUsed/>
    <w:qFormat/>
    <w:uiPriority w:val="1"/>
    <w:pPr>
      <w:ind w:left="100"/>
      <w:outlineLvl w:val="2"/>
    </w:pPr>
    <w:rPr>
      <w:rFonts w:hint="eastAsia" w:ascii="宋体" w:hAnsi="宋体"/>
      <w:i/>
      <w:sz w:val="29"/>
    </w:rPr>
  </w:style>
  <w:style w:type="paragraph" w:styleId="5">
    <w:name w:val="heading 4"/>
    <w:basedOn w:val="1"/>
    <w:next w:val="1"/>
    <w:unhideWhenUsed/>
    <w:qFormat/>
    <w:uiPriority w:val="1"/>
    <w:pPr>
      <w:ind w:left="659"/>
      <w:outlineLvl w:val="3"/>
    </w:pPr>
    <w:rPr>
      <w:rFonts w:hint="eastAsia" w:ascii="宋体" w:hAnsi="宋体"/>
      <w:b/>
      <w:sz w:val="28"/>
    </w:rPr>
  </w:style>
  <w:style w:type="paragraph" w:styleId="6">
    <w:name w:val="heading 5"/>
    <w:basedOn w:val="1"/>
    <w:next w:val="1"/>
    <w:unhideWhenUsed/>
    <w:qFormat/>
    <w:uiPriority w:val="1"/>
    <w:pPr>
      <w:ind w:left="100"/>
      <w:outlineLvl w:val="4"/>
    </w:pPr>
    <w:rPr>
      <w:rFonts w:hint="eastAsia" w:ascii="宋体" w:hAnsi="宋体"/>
      <w:sz w:val="28"/>
    </w:rPr>
  </w:style>
  <w:style w:type="paragraph" w:styleId="7">
    <w:name w:val="heading 6"/>
    <w:basedOn w:val="1"/>
    <w:next w:val="1"/>
    <w:unhideWhenUsed/>
    <w:qFormat/>
    <w:uiPriority w:val="1"/>
    <w:pPr>
      <w:spacing w:before="24"/>
      <w:ind w:left="559"/>
      <w:outlineLvl w:val="5"/>
    </w:pPr>
    <w:rPr>
      <w:rFonts w:hint="eastAsia" w:ascii="宋体" w:hAnsi="宋体"/>
      <w:i/>
      <w:sz w:val="25"/>
    </w:rPr>
  </w:style>
  <w:style w:type="paragraph" w:styleId="8">
    <w:name w:val="heading 7"/>
    <w:basedOn w:val="1"/>
    <w:next w:val="1"/>
    <w:unhideWhenUsed/>
    <w:qFormat/>
    <w:uiPriority w:val="1"/>
    <w:pPr>
      <w:spacing w:before="36"/>
      <w:ind w:left="100"/>
      <w:outlineLvl w:val="6"/>
    </w:pPr>
    <w:rPr>
      <w:rFonts w:hint="eastAsia" w:ascii="宋体" w:hAnsi="宋体"/>
      <w:b/>
    </w:rPr>
  </w:style>
  <w:style w:type="paragraph" w:styleId="9">
    <w:name w:val="heading 8"/>
    <w:basedOn w:val="1"/>
    <w:next w:val="1"/>
    <w:unhideWhenUsed/>
    <w:qFormat/>
    <w:uiPriority w:val="1"/>
    <w:pPr>
      <w:spacing w:before="37"/>
      <w:ind w:left="520"/>
      <w:outlineLvl w:val="7"/>
    </w:pPr>
    <w:rPr>
      <w:rFonts w:hint="eastAsia" w:ascii="宋体" w:hAnsi="宋体"/>
      <w:b/>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0">
    <w:name w:val="toa heading"/>
    <w:basedOn w:val="1"/>
    <w:next w:val="1"/>
    <w:qFormat/>
    <w:uiPriority w:val="0"/>
    <w:pPr>
      <w:autoSpaceDE/>
      <w:autoSpaceDN/>
      <w:adjustRightInd/>
      <w:spacing w:before="120"/>
      <w:jc w:val="both"/>
    </w:pPr>
    <w:rPr>
      <w:rFonts w:ascii="Arial" w:hAnsi="Arial"/>
      <w:kern w:val="2"/>
      <w:szCs w:val="24"/>
    </w:rPr>
  </w:style>
  <w:style w:type="paragraph" w:styleId="11">
    <w:name w:val="annotation text"/>
    <w:basedOn w:val="1"/>
    <w:semiHidden/>
    <w:unhideWhenUsed/>
    <w:qFormat/>
    <w:uiPriority w:val="99"/>
  </w:style>
  <w:style w:type="paragraph" w:styleId="12">
    <w:name w:val="Body Text"/>
    <w:basedOn w:val="1"/>
    <w:link w:val="29"/>
    <w:unhideWhenUsed/>
    <w:qFormat/>
    <w:uiPriority w:val="1"/>
    <w:pPr>
      <w:spacing w:before="37"/>
      <w:ind w:left="520"/>
    </w:pPr>
    <w:rPr>
      <w:rFonts w:hint="eastAsia" w:ascii="宋体" w:hAnsi="宋体"/>
      <w:sz w:val="21"/>
    </w:rPr>
  </w:style>
  <w:style w:type="paragraph" w:styleId="13">
    <w:name w:val="Plain Text"/>
    <w:basedOn w:val="1"/>
    <w:link w:val="30"/>
    <w:qFormat/>
    <w:uiPriority w:val="99"/>
    <w:rPr>
      <w:rFonts w:ascii="宋体" w:hAnsi="Courier New"/>
      <w:szCs w:val="21"/>
    </w:rPr>
  </w:style>
  <w:style w:type="paragraph" w:styleId="14">
    <w:name w:val="Balloon Text"/>
    <w:basedOn w:val="1"/>
    <w:link w:val="28"/>
    <w:qFormat/>
    <w:uiPriority w:val="99"/>
    <w:rPr>
      <w:sz w:val="18"/>
      <w:szCs w:val="18"/>
    </w:rPr>
  </w:style>
  <w:style w:type="paragraph" w:styleId="15">
    <w:name w:val="footer"/>
    <w:basedOn w:val="1"/>
    <w:unhideWhenUsed/>
    <w:qFormat/>
    <w:uiPriority w:val="0"/>
    <w:pPr>
      <w:tabs>
        <w:tab w:val="center" w:pos="4153"/>
        <w:tab w:val="right" w:pos="8306"/>
      </w:tabs>
      <w:snapToGrid w:val="0"/>
    </w:pPr>
    <w:rPr>
      <w:sz w:val="18"/>
    </w:rPr>
  </w:style>
  <w:style w:type="paragraph" w:styleId="16">
    <w:name w:val="header"/>
    <w:basedOn w:val="1"/>
    <w:unhideWhenUsed/>
    <w:qFormat/>
    <w:uiPriority w:val="99"/>
    <w:pPr>
      <w:tabs>
        <w:tab w:val="center" w:pos="4320"/>
        <w:tab w:val="right" w:pos="8640"/>
      </w:tabs>
    </w:pPr>
  </w:style>
  <w:style w:type="paragraph" w:styleId="17">
    <w:name w:val="Normal (Web)"/>
    <w:basedOn w:val="1"/>
    <w:unhideWhenUsed/>
    <w:qFormat/>
    <w:uiPriority w:val="99"/>
  </w:style>
  <w:style w:type="paragraph" w:styleId="18">
    <w:name w:val="Body Text First Indent"/>
    <w:basedOn w:val="12"/>
    <w:link w:val="31"/>
    <w:semiHidden/>
    <w:unhideWhenUsed/>
    <w:qFormat/>
    <w:uiPriority w:val="99"/>
    <w:pPr>
      <w:spacing w:before="0" w:after="120"/>
      <w:ind w:left="0" w:firstLine="420" w:firstLineChars="100"/>
    </w:pPr>
    <w:rPr>
      <w:rFonts w:hint="default" w:ascii="Times New Roman" w:hAnsi="Times New Roman"/>
      <w:sz w:val="24"/>
    </w:rPr>
  </w:style>
  <w:style w:type="table" w:styleId="20">
    <w:name w:val="Table Grid"/>
    <w:basedOn w:val="1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page number"/>
    <w:basedOn w:val="21"/>
    <w:unhideWhenUsed/>
    <w:qFormat/>
    <w:uiPriority w:val="0"/>
    <w:rPr>
      <w:rFonts w:hint="default"/>
      <w:sz w:val="24"/>
    </w:rPr>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styleId="25">
    <w:name w:val="annotation reference"/>
    <w:basedOn w:val="21"/>
    <w:semiHidden/>
    <w:unhideWhenUsed/>
    <w:qFormat/>
    <w:uiPriority w:val="99"/>
    <w:rPr>
      <w:sz w:val="21"/>
      <w:szCs w:val="21"/>
    </w:rPr>
  </w:style>
  <w:style w:type="paragraph" w:styleId="26">
    <w:name w:val="List Paragraph"/>
    <w:basedOn w:val="1"/>
    <w:unhideWhenUsed/>
    <w:qFormat/>
    <w:uiPriority w:val="34"/>
  </w:style>
  <w:style w:type="paragraph" w:customStyle="1" w:styleId="27">
    <w:name w:val="Table Paragraph"/>
    <w:basedOn w:val="1"/>
    <w:unhideWhenUsed/>
    <w:qFormat/>
    <w:uiPriority w:val="1"/>
  </w:style>
  <w:style w:type="character" w:customStyle="1" w:styleId="28">
    <w:name w:val="批注框文本 Char"/>
    <w:basedOn w:val="21"/>
    <w:link w:val="14"/>
    <w:qFormat/>
    <w:uiPriority w:val="99"/>
    <w:rPr>
      <w:sz w:val="18"/>
      <w:szCs w:val="18"/>
    </w:rPr>
  </w:style>
  <w:style w:type="character" w:customStyle="1" w:styleId="29">
    <w:name w:val="正文文本 Char"/>
    <w:basedOn w:val="21"/>
    <w:link w:val="12"/>
    <w:qFormat/>
    <w:uiPriority w:val="1"/>
    <w:rPr>
      <w:rFonts w:ascii="宋体" w:hAnsi="宋体"/>
      <w:sz w:val="21"/>
    </w:rPr>
  </w:style>
  <w:style w:type="character" w:customStyle="1" w:styleId="30">
    <w:name w:val="纯文本 Char"/>
    <w:link w:val="13"/>
    <w:qFormat/>
    <w:locked/>
    <w:uiPriority w:val="99"/>
    <w:rPr>
      <w:rFonts w:ascii="宋体" w:hAnsi="Courier New"/>
      <w:sz w:val="24"/>
      <w:szCs w:val="21"/>
    </w:rPr>
  </w:style>
  <w:style w:type="character" w:customStyle="1" w:styleId="31">
    <w:name w:val="正文首行缩进 Char"/>
    <w:basedOn w:val="29"/>
    <w:link w:val="18"/>
    <w:semiHidden/>
    <w:qFormat/>
    <w:uiPriority w:val="99"/>
    <w:rPr>
      <w:rFonts w:ascii="宋体" w:hAnsi="宋体"/>
      <w:sz w:val="24"/>
    </w:rPr>
  </w:style>
  <w:style w:type="character" w:customStyle="1" w:styleId="32">
    <w:name w:val="标题 2 Char"/>
    <w:basedOn w:val="21"/>
    <w:link w:val="3"/>
    <w:qFormat/>
    <w:locked/>
    <w:uiPriority w:val="1"/>
    <w:rPr>
      <w:rFonts w:ascii="宋体" w:hAnsi="宋体"/>
      <w:b/>
      <w:sz w:val="30"/>
    </w:rPr>
  </w:style>
  <w:style w:type="paragraph" w:customStyle="1" w:styleId="33">
    <w:name w:val="表格文字"/>
    <w:qFormat/>
    <w:uiPriority w:val="0"/>
    <w:pPr>
      <w:widowControl w:val="0"/>
      <w:adjustRightInd w:val="0"/>
      <w:snapToGrid w:val="0"/>
      <w:jc w:val="center"/>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FEF89-0950-4869-A965-AE4551BD0A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17059</Words>
  <Characters>17923</Characters>
  <Lines>285</Lines>
  <Paragraphs>711</Paragraphs>
  <TotalTime>27</TotalTime>
  <ScaleCrop>false</ScaleCrop>
  <LinksUpToDate>false</LinksUpToDate>
  <CharactersWithSpaces>18652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2021-01-20T09:32:00Z</dcterms:created>
  <dc:creator>HP</dc:creator>
  <cp:lastModifiedBy>傅傅</cp:lastModifiedBy>
  <cp:lastPrinted>2023-08-09T06:45:00Z</cp:lastPrinted>
  <dcterms:modified xsi:type="dcterms:W3CDTF">2023-08-29T01:16:28Z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146746ED79DA426CAC730E8ACEE0DC9B_12</vt:lpwstr>
  </property>
</Properties>
</file>